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1394F" w14:textId="77777777" w:rsidR="00040C3A" w:rsidRPr="00FC406F" w:rsidRDefault="006311DA" w:rsidP="001E4D7D">
      <w:pPr>
        <w:jc w:val="both"/>
        <w:rPr>
          <w:rFonts w:asciiTheme="majorHAnsi" w:hAnsiTheme="majorHAnsi" w:cs="Univers"/>
          <w:b/>
          <w:bCs/>
          <w:sz w:val="20"/>
          <w:szCs w:val="20"/>
        </w:rPr>
      </w:pPr>
      <w:r w:rsidRPr="00FC406F">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19C45373" wp14:editId="1BC21462">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C2666"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FC406F">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7F94B084" wp14:editId="0644ABA5">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B29DFB" w14:textId="77777777" w:rsidR="003C665E" w:rsidRDefault="003C665E">
                            <w:r>
                              <w:rPr>
                                <w:noProof/>
                              </w:rPr>
                              <w:drawing>
                                <wp:inline distT="0" distB="0" distL="0" distR="0" wp14:anchorId="474872D9" wp14:editId="416ACB38">
                                  <wp:extent cx="2522763" cy="485775"/>
                                  <wp:effectExtent l="0" t="0" r="0" b="0"/>
                                  <wp:docPr id="6" name="Picture 6"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94B084"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6AB29DFB" w14:textId="77777777" w:rsidR="003C665E" w:rsidRDefault="003C665E">
                      <w:r>
                        <w:rPr>
                          <w:noProof/>
                        </w:rPr>
                        <w:drawing>
                          <wp:inline distT="0" distB="0" distL="0" distR="0" wp14:anchorId="474872D9" wp14:editId="416ACB38">
                            <wp:extent cx="2522763" cy="485775"/>
                            <wp:effectExtent l="0" t="0" r="0" b="0"/>
                            <wp:docPr id="6" name="Picture 6"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7A4081EF" w14:textId="77777777" w:rsidR="00040C3A" w:rsidRPr="00FC406F" w:rsidRDefault="00040C3A" w:rsidP="00040C3A">
      <w:pPr>
        <w:tabs>
          <w:tab w:val="center" w:pos="5400"/>
        </w:tabs>
        <w:suppressAutoHyphens/>
        <w:jc w:val="both"/>
        <w:rPr>
          <w:rFonts w:asciiTheme="majorHAnsi" w:hAnsiTheme="majorHAnsi"/>
          <w:sz w:val="20"/>
          <w:szCs w:val="20"/>
        </w:rPr>
      </w:pPr>
    </w:p>
    <w:p w14:paraId="17C59FF1" w14:textId="77777777" w:rsidR="00040C3A" w:rsidRPr="00FC406F" w:rsidRDefault="00040C3A" w:rsidP="00040C3A">
      <w:pPr>
        <w:tabs>
          <w:tab w:val="center" w:pos="5400"/>
        </w:tabs>
        <w:suppressAutoHyphens/>
        <w:jc w:val="both"/>
        <w:rPr>
          <w:rFonts w:asciiTheme="majorHAnsi" w:hAnsiTheme="majorHAnsi"/>
          <w:sz w:val="20"/>
          <w:szCs w:val="20"/>
        </w:rPr>
      </w:pPr>
    </w:p>
    <w:p w14:paraId="1395AC9B" w14:textId="77777777" w:rsidR="005128E4" w:rsidRPr="00FC406F" w:rsidRDefault="005128E4" w:rsidP="00040C3A">
      <w:pPr>
        <w:tabs>
          <w:tab w:val="center" w:pos="5400"/>
        </w:tabs>
        <w:suppressAutoHyphens/>
        <w:rPr>
          <w:rFonts w:asciiTheme="majorHAnsi" w:hAnsiTheme="majorHAnsi"/>
          <w:sz w:val="20"/>
          <w:szCs w:val="20"/>
        </w:rPr>
      </w:pPr>
    </w:p>
    <w:p w14:paraId="700B77CB" w14:textId="77777777" w:rsidR="005128E4" w:rsidRPr="00FC406F" w:rsidRDefault="005128E4" w:rsidP="00040C3A">
      <w:pPr>
        <w:tabs>
          <w:tab w:val="center" w:pos="5400"/>
        </w:tabs>
        <w:suppressAutoHyphens/>
        <w:rPr>
          <w:rFonts w:asciiTheme="majorHAnsi" w:hAnsiTheme="majorHAnsi"/>
          <w:sz w:val="20"/>
          <w:szCs w:val="20"/>
        </w:rPr>
      </w:pPr>
    </w:p>
    <w:p w14:paraId="02FF9D83" w14:textId="77777777" w:rsidR="005128E4" w:rsidRPr="00FC406F" w:rsidRDefault="005128E4" w:rsidP="00040C3A">
      <w:pPr>
        <w:tabs>
          <w:tab w:val="center" w:pos="5400"/>
        </w:tabs>
        <w:suppressAutoHyphens/>
        <w:rPr>
          <w:rFonts w:asciiTheme="majorHAnsi" w:hAnsiTheme="majorHAnsi"/>
          <w:sz w:val="20"/>
          <w:szCs w:val="20"/>
        </w:rPr>
      </w:pPr>
    </w:p>
    <w:p w14:paraId="234A5A52" w14:textId="77777777" w:rsidR="00040C3A" w:rsidRPr="00FC406F" w:rsidRDefault="00040C3A" w:rsidP="005128E4">
      <w:pPr>
        <w:tabs>
          <w:tab w:val="center" w:pos="5400"/>
        </w:tabs>
        <w:suppressAutoHyphens/>
        <w:jc w:val="center"/>
        <w:rPr>
          <w:rFonts w:asciiTheme="majorHAnsi" w:hAnsiTheme="majorHAnsi"/>
          <w:sz w:val="20"/>
          <w:szCs w:val="20"/>
        </w:rPr>
      </w:pPr>
    </w:p>
    <w:p w14:paraId="7677CA50" w14:textId="77777777" w:rsidR="00040C3A" w:rsidRPr="00FC406F" w:rsidRDefault="00DA1520" w:rsidP="005128E4">
      <w:pPr>
        <w:tabs>
          <w:tab w:val="center" w:pos="5400"/>
        </w:tabs>
        <w:suppressAutoHyphens/>
        <w:jc w:val="center"/>
        <w:rPr>
          <w:rFonts w:asciiTheme="majorHAnsi" w:hAnsiTheme="majorHAnsi"/>
          <w:sz w:val="20"/>
          <w:szCs w:val="20"/>
        </w:rPr>
      </w:pPr>
      <w:r w:rsidRPr="00FC406F">
        <w:rPr>
          <w:rFonts w:asciiTheme="majorHAnsi" w:hAnsiTheme="majorHAnsi"/>
          <w:noProof/>
          <w:sz w:val="20"/>
          <w:szCs w:val="20"/>
        </w:rPr>
        <mc:AlternateContent>
          <mc:Choice Requires="wps">
            <w:drawing>
              <wp:anchor distT="0" distB="0" distL="114300" distR="114300" simplePos="0" relativeHeight="251657216" behindDoc="0" locked="0" layoutInCell="1" allowOverlap="1" wp14:anchorId="13799DCE" wp14:editId="3BA7988A">
                <wp:simplePos x="0" y="0"/>
                <wp:positionH relativeFrom="column">
                  <wp:posOffset>1078173</wp:posOffset>
                </wp:positionH>
                <wp:positionV relativeFrom="paragraph">
                  <wp:posOffset>88947</wp:posOffset>
                </wp:positionV>
                <wp:extent cx="4333875" cy="3678072"/>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36780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F6AF0F" w14:textId="77777777" w:rsidR="003C665E" w:rsidRDefault="003C665E" w:rsidP="004B7EB6">
                            <w:pPr>
                              <w:spacing w:line="276" w:lineRule="auto"/>
                              <w:rPr>
                                <w:rFonts w:asciiTheme="majorHAnsi" w:hAnsiTheme="majorHAnsi" w:cs="Arial"/>
                                <w:b/>
                                <w:bCs/>
                                <w:color w:val="0D0D0D" w:themeColor="text1" w:themeTint="F2"/>
                                <w:sz w:val="36"/>
                                <w:szCs w:val="40"/>
                              </w:rPr>
                            </w:pPr>
                          </w:p>
                          <w:p w14:paraId="2FA6A027" w14:textId="77777777" w:rsidR="003C665E" w:rsidRDefault="003C665E" w:rsidP="004B7EB6">
                            <w:pPr>
                              <w:spacing w:line="276" w:lineRule="auto"/>
                              <w:rPr>
                                <w:rFonts w:asciiTheme="majorHAnsi" w:hAnsiTheme="majorHAnsi" w:cs="Arial"/>
                                <w:b/>
                                <w:bCs/>
                                <w:color w:val="0D0D0D" w:themeColor="text1" w:themeTint="F2"/>
                                <w:sz w:val="36"/>
                                <w:szCs w:val="40"/>
                              </w:rPr>
                            </w:pPr>
                          </w:p>
                          <w:p w14:paraId="265AB982" w14:textId="77777777" w:rsidR="003C665E" w:rsidRDefault="003C665E" w:rsidP="004B7EB6">
                            <w:pPr>
                              <w:spacing w:line="276" w:lineRule="auto"/>
                              <w:rPr>
                                <w:rFonts w:asciiTheme="majorHAnsi" w:hAnsiTheme="majorHAnsi" w:cs="Arial"/>
                                <w:b/>
                                <w:bCs/>
                                <w:color w:val="0D0D0D" w:themeColor="text1" w:themeTint="F2"/>
                                <w:sz w:val="36"/>
                                <w:szCs w:val="40"/>
                              </w:rPr>
                            </w:pPr>
                          </w:p>
                          <w:p w14:paraId="018B72B1" w14:textId="77777777" w:rsidR="003C665E" w:rsidRDefault="003C665E" w:rsidP="004B7EB6">
                            <w:pPr>
                              <w:spacing w:line="276" w:lineRule="auto"/>
                              <w:rPr>
                                <w:rFonts w:asciiTheme="majorHAnsi" w:hAnsiTheme="majorHAnsi" w:cs="Arial"/>
                                <w:b/>
                                <w:bCs/>
                                <w:color w:val="0D0D0D" w:themeColor="text1" w:themeTint="F2"/>
                                <w:sz w:val="36"/>
                                <w:szCs w:val="40"/>
                              </w:rPr>
                            </w:pPr>
                          </w:p>
                          <w:p w14:paraId="5DBBA832" w14:textId="77777777" w:rsidR="003C665E" w:rsidRPr="00382BCA" w:rsidRDefault="007B75D6"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303</w:t>
                            </w:r>
                            <w:r w:rsidR="003C665E" w:rsidRPr="00382BCA">
                              <w:rPr>
                                <w:rFonts w:asciiTheme="majorHAnsi" w:hAnsiTheme="majorHAnsi" w:cs="Arial"/>
                                <w:b/>
                                <w:bCs/>
                                <w:color w:val="0D0D0D" w:themeColor="text1" w:themeTint="F2"/>
                                <w:sz w:val="36"/>
                                <w:szCs w:val="40"/>
                              </w:rPr>
                              <w:t>/20</w:t>
                            </w:r>
                          </w:p>
                          <w:p w14:paraId="03307357" w14:textId="77777777" w:rsidR="003C665E" w:rsidRPr="00382BCA" w:rsidRDefault="003C665E" w:rsidP="00B36400">
                            <w:pPr>
                              <w:spacing w:line="276" w:lineRule="auto"/>
                              <w:rPr>
                                <w:rFonts w:asciiTheme="majorHAnsi" w:hAnsiTheme="majorHAnsi" w:cs="Arial"/>
                                <w:b/>
                                <w:color w:val="0D0D0D" w:themeColor="text1" w:themeTint="F2"/>
                                <w:sz w:val="36"/>
                                <w:szCs w:val="22"/>
                              </w:rPr>
                            </w:pPr>
                            <w:r w:rsidRPr="00382BCA">
                              <w:rPr>
                                <w:rFonts w:asciiTheme="majorHAnsi" w:hAnsiTheme="majorHAnsi" w:cs="Arial"/>
                                <w:b/>
                                <w:color w:val="0D0D0D" w:themeColor="text1" w:themeTint="F2"/>
                                <w:sz w:val="36"/>
                                <w:szCs w:val="22"/>
                              </w:rPr>
                              <w:t>CASE 13.727</w:t>
                            </w:r>
                          </w:p>
                          <w:p w14:paraId="74C58221" w14:textId="77777777" w:rsidR="003C665E" w:rsidRPr="00382BCA" w:rsidRDefault="003C665E" w:rsidP="00B36400">
                            <w:pPr>
                              <w:spacing w:line="276" w:lineRule="auto"/>
                              <w:rPr>
                                <w:rFonts w:asciiTheme="majorHAnsi" w:hAnsiTheme="majorHAnsi" w:cs="Arial"/>
                                <w:szCs w:val="22"/>
                              </w:rPr>
                            </w:pPr>
                            <w:r w:rsidRPr="00382BCA">
                              <w:rPr>
                                <w:rFonts w:asciiTheme="majorHAnsi" w:hAnsiTheme="majorHAnsi" w:cs="Arial"/>
                                <w:szCs w:val="22"/>
                              </w:rPr>
                              <w:t>REPORT ON THE MERITS</w:t>
                            </w:r>
                          </w:p>
                          <w:p w14:paraId="581E2EAA" w14:textId="77777777" w:rsidR="003C665E" w:rsidRPr="00382BCA" w:rsidRDefault="003C665E" w:rsidP="00B36400">
                            <w:pPr>
                              <w:spacing w:line="276" w:lineRule="auto"/>
                              <w:rPr>
                                <w:rFonts w:asciiTheme="majorHAnsi" w:hAnsiTheme="majorHAnsi" w:cs="Arial"/>
                                <w:color w:val="0D0D0D" w:themeColor="text1" w:themeTint="F2"/>
                                <w:szCs w:val="22"/>
                              </w:rPr>
                            </w:pPr>
                            <w:bookmarkStart w:id="0" w:name="_ftnref1"/>
                          </w:p>
                          <w:p w14:paraId="18F11849" w14:textId="77777777" w:rsidR="003C665E" w:rsidRPr="0010736F" w:rsidRDefault="003C665E" w:rsidP="00B36400">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FABIO GADEA MANTILLA</w:t>
                            </w:r>
                          </w:p>
                          <w:bookmarkEnd w:id="0"/>
                          <w:p w14:paraId="743D6AE7" w14:textId="77777777" w:rsidR="003C665E" w:rsidRPr="0010736F" w:rsidRDefault="003C665E" w:rsidP="00B36400">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NICARAGUA</w:t>
                            </w:r>
                          </w:p>
                          <w:p w14:paraId="733B1D92" w14:textId="77777777" w:rsidR="003C665E" w:rsidRPr="00E57833" w:rsidRDefault="003C665E" w:rsidP="00B36400">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99DCE" id="Text Box 5" o:spid="_x0000_s1027" type="#_x0000_t202" style="position:absolute;left:0;text-align:left;margin-left:84.9pt;margin-top:7pt;width:341.25pt;height:28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" filled="f" stroked="f" strokeweight=".5pt">
                <v:textbox>
                  <w:txbxContent>
                    <w:p w14:paraId="41F6AF0F" w14:textId="77777777" w:rsidR="003C665E" w:rsidRDefault="003C665E" w:rsidP="004B7EB6">
                      <w:pPr>
                        <w:spacing w:line="276" w:lineRule="auto"/>
                        <w:rPr>
                          <w:rFonts w:asciiTheme="majorHAnsi" w:hAnsiTheme="majorHAnsi" w:cs="Arial"/>
                          <w:b/>
                          <w:bCs/>
                          <w:color w:val="0D0D0D" w:themeColor="text1" w:themeTint="F2"/>
                          <w:sz w:val="36"/>
                          <w:szCs w:val="40"/>
                        </w:rPr>
                      </w:pPr>
                    </w:p>
                    <w:p w14:paraId="2FA6A027" w14:textId="77777777" w:rsidR="003C665E" w:rsidRDefault="003C665E" w:rsidP="004B7EB6">
                      <w:pPr>
                        <w:spacing w:line="276" w:lineRule="auto"/>
                        <w:rPr>
                          <w:rFonts w:asciiTheme="majorHAnsi" w:hAnsiTheme="majorHAnsi" w:cs="Arial"/>
                          <w:b/>
                          <w:bCs/>
                          <w:color w:val="0D0D0D" w:themeColor="text1" w:themeTint="F2"/>
                          <w:sz w:val="36"/>
                          <w:szCs w:val="40"/>
                        </w:rPr>
                      </w:pPr>
                    </w:p>
                    <w:p w14:paraId="265AB982" w14:textId="77777777" w:rsidR="003C665E" w:rsidRDefault="003C665E" w:rsidP="004B7EB6">
                      <w:pPr>
                        <w:spacing w:line="276" w:lineRule="auto"/>
                        <w:rPr>
                          <w:rFonts w:asciiTheme="majorHAnsi" w:hAnsiTheme="majorHAnsi" w:cs="Arial"/>
                          <w:b/>
                          <w:bCs/>
                          <w:color w:val="0D0D0D" w:themeColor="text1" w:themeTint="F2"/>
                          <w:sz w:val="36"/>
                          <w:szCs w:val="40"/>
                        </w:rPr>
                      </w:pPr>
                    </w:p>
                    <w:p w14:paraId="018B72B1" w14:textId="77777777" w:rsidR="003C665E" w:rsidRDefault="003C665E" w:rsidP="004B7EB6">
                      <w:pPr>
                        <w:spacing w:line="276" w:lineRule="auto"/>
                        <w:rPr>
                          <w:rFonts w:asciiTheme="majorHAnsi" w:hAnsiTheme="majorHAnsi" w:cs="Arial"/>
                          <w:b/>
                          <w:bCs/>
                          <w:color w:val="0D0D0D" w:themeColor="text1" w:themeTint="F2"/>
                          <w:sz w:val="36"/>
                          <w:szCs w:val="40"/>
                        </w:rPr>
                      </w:pPr>
                    </w:p>
                    <w:p w14:paraId="5DBBA832" w14:textId="77777777" w:rsidR="003C665E" w:rsidRPr="00382BCA" w:rsidRDefault="007B75D6"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303</w:t>
                      </w:r>
                      <w:r w:rsidR="003C665E" w:rsidRPr="00382BCA">
                        <w:rPr>
                          <w:rFonts w:asciiTheme="majorHAnsi" w:hAnsiTheme="majorHAnsi" w:cs="Arial"/>
                          <w:b/>
                          <w:bCs/>
                          <w:color w:val="0D0D0D" w:themeColor="text1" w:themeTint="F2"/>
                          <w:sz w:val="36"/>
                          <w:szCs w:val="40"/>
                        </w:rPr>
                        <w:t>/20</w:t>
                      </w:r>
                    </w:p>
                    <w:p w14:paraId="03307357" w14:textId="77777777" w:rsidR="003C665E" w:rsidRPr="00382BCA" w:rsidRDefault="003C665E" w:rsidP="00B36400">
                      <w:pPr>
                        <w:spacing w:line="276" w:lineRule="auto"/>
                        <w:rPr>
                          <w:rFonts w:asciiTheme="majorHAnsi" w:hAnsiTheme="majorHAnsi" w:cs="Arial"/>
                          <w:b/>
                          <w:color w:val="0D0D0D" w:themeColor="text1" w:themeTint="F2"/>
                          <w:sz w:val="36"/>
                          <w:szCs w:val="22"/>
                        </w:rPr>
                      </w:pPr>
                      <w:r w:rsidRPr="00382BCA">
                        <w:rPr>
                          <w:rFonts w:asciiTheme="majorHAnsi" w:hAnsiTheme="majorHAnsi" w:cs="Arial"/>
                          <w:b/>
                          <w:color w:val="0D0D0D" w:themeColor="text1" w:themeTint="F2"/>
                          <w:sz w:val="36"/>
                          <w:szCs w:val="22"/>
                        </w:rPr>
                        <w:t>CASE 13.727</w:t>
                      </w:r>
                    </w:p>
                    <w:p w14:paraId="74C58221" w14:textId="77777777" w:rsidR="003C665E" w:rsidRPr="00382BCA" w:rsidRDefault="003C665E" w:rsidP="00B36400">
                      <w:pPr>
                        <w:spacing w:line="276" w:lineRule="auto"/>
                        <w:rPr>
                          <w:rFonts w:asciiTheme="majorHAnsi" w:hAnsiTheme="majorHAnsi" w:cs="Arial"/>
                          <w:szCs w:val="22"/>
                        </w:rPr>
                      </w:pPr>
                      <w:r w:rsidRPr="00382BCA">
                        <w:rPr>
                          <w:rFonts w:asciiTheme="majorHAnsi" w:hAnsiTheme="majorHAnsi" w:cs="Arial"/>
                          <w:szCs w:val="22"/>
                        </w:rPr>
                        <w:t>REPORT ON THE MERITS</w:t>
                      </w:r>
                    </w:p>
                    <w:p w14:paraId="581E2EAA" w14:textId="77777777" w:rsidR="003C665E" w:rsidRPr="00382BCA" w:rsidRDefault="003C665E" w:rsidP="00B36400">
                      <w:pPr>
                        <w:spacing w:line="276" w:lineRule="auto"/>
                        <w:rPr>
                          <w:rFonts w:asciiTheme="majorHAnsi" w:hAnsiTheme="majorHAnsi" w:cs="Arial"/>
                          <w:color w:val="0D0D0D" w:themeColor="text1" w:themeTint="F2"/>
                          <w:szCs w:val="22"/>
                        </w:rPr>
                      </w:pPr>
                      <w:bookmarkStart w:id="1" w:name="_ftnref1"/>
                    </w:p>
                    <w:p w14:paraId="18F11849" w14:textId="77777777" w:rsidR="003C665E" w:rsidRPr="0010736F" w:rsidRDefault="003C665E" w:rsidP="00B36400">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FABIO GADEA MANTILLA</w:t>
                      </w:r>
                    </w:p>
                    <w:bookmarkEnd w:id="1"/>
                    <w:p w14:paraId="743D6AE7" w14:textId="77777777" w:rsidR="003C665E" w:rsidRPr="0010736F" w:rsidRDefault="003C665E" w:rsidP="00B36400">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NICARAGUA</w:t>
                      </w:r>
                    </w:p>
                    <w:p w14:paraId="733B1D92" w14:textId="77777777" w:rsidR="003C665E" w:rsidRPr="00E57833" w:rsidRDefault="003C665E" w:rsidP="00B36400">
                      <w:pPr>
                        <w:spacing w:line="276" w:lineRule="auto"/>
                        <w:rPr>
                          <w:rFonts w:asciiTheme="majorHAnsi" w:hAnsiTheme="majorHAnsi"/>
                          <w:color w:val="0D0D0D" w:themeColor="text1" w:themeTint="F2"/>
                        </w:rPr>
                      </w:pPr>
                    </w:p>
                  </w:txbxContent>
                </v:textbox>
              </v:shape>
            </w:pict>
          </mc:Fallback>
        </mc:AlternateContent>
      </w:r>
    </w:p>
    <w:p w14:paraId="6C995DB0" w14:textId="77777777" w:rsidR="005B52B0" w:rsidRPr="00FC406F" w:rsidRDefault="005B52B0" w:rsidP="005128E4">
      <w:pPr>
        <w:tabs>
          <w:tab w:val="center" w:pos="5400"/>
        </w:tabs>
        <w:suppressAutoHyphens/>
        <w:jc w:val="center"/>
        <w:rPr>
          <w:rFonts w:asciiTheme="majorHAnsi" w:hAnsiTheme="majorHAnsi"/>
          <w:sz w:val="20"/>
          <w:szCs w:val="20"/>
        </w:rPr>
      </w:pPr>
    </w:p>
    <w:p w14:paraId="52AC283D" w14:textId="77777777" w:rsidR="005B52B0" w:rsidRPr="00FC406F" w:rsidRDefault="005B52B0" w:rsidP="005128E4">
      <w:pPr>
        <w:tabs>
          <w:tab w:val="center" w:pos="5400"/>
        </w:tabs>
        <w:suppressAutoHyphens/>
        <w:jc w:val="center"/>
        <w:rPr>
          <w:rFonts w:asciiTheme="majorHAnsi" w:hAnsiTheme="majorHAnsi"/>
          <w:sz w:val="20"/>
          <w:szCs w:val="20"/>
        </w:rPr>
      </w:pPr>
    </w:p>
    <w:p w14:paraId="31909D61" w14:textId="77777777" w:rsidR="005B52B0" w:rsidRPr="00FC406F" w:rsidRDefault="005B52B0" w:rsidP="005128E4">
      <w:pPr>
        <w:tabs>
          <w:tab w:val="center" w:pos="5400"/>
        </w:tabs>
        <w:suppressAutoHyphens/>
        <w:jc w:val="center"/>
        <w:rPr>
          <w:rFonts w:asciiTheme="majorHAnsi" w:hAnsiTheme="majorHAnsi"/>
          <w:sz w:val="20"/>
          <w:szCs w:val="20"/>
        </w:rPr>
      </w:pPr>
    </w:p>
    <w:p w14:paraId="13F25753" w14:textId="77777777" w:rsidR="00040C3A" w:rsidRPr="00FC406F" w:rsidRDefault="00040C3A" w:rsidP="00040C3A">
      <w:pPr>
        <w:tabs>
          <w:tab w:val="center" w:pos="5400"/>
        </w:tabs>
        <w:suppressAutoHyphens/>
        <w:jc w:val="center"/>
        <w:rPr>
          <w:rFonts w:asciiTheme="majorHAnsi" w:hAnsiTheme="majorHAnsi"/>
          <w:sz w:val="20"/>
          <w:szCs w:val="20"/>
        </w:rPr>
      </w:pPr>
    </w:p>
    <w:p w14:paraId="530CD0C3" w14:textId="77777777" w:rsidR="00040C3A" w:rsidRPr="00FC406F" w:rsidRDefault="00040C3A" w:rsidP="00040C3A">
      <w:pPr>
        <w:tabs>
          <w:tab w:val="center" w:pos="5400"/>
        </w:tabs>
        <w:suppressAutoHyphens/>
        <w:jc w:val="center"/>
        <w:rPr>
          <w:rFonts w:asciiTheme="majorHAnsi" w:hAnsiTheme="majorHAnsi"/>
          <w:sz w:val="20"/>
          <w:szCs w:val="20"/>
        </w:rPr>
      </w:pPr>
    </w:p>
    <w:p w14:paraId="2DB198DD" w14:textId="77777777" w:rsidR="00040C3A" w:rsidRPr="00FC406F" w:rsidRDefault="00040C3A" w:rsidP="00040C3A">
      <w:pPr>
        <w:tabs>
          <w:tab w:val="center" w:pos="5400"/>
        </w:tabs>
        <w:suppressAutoHyphens/>
        <w:jc w:val="center"/>
        <w:rPr>
          <w:rFonts w:asciiTheme="majorHAnsi" w:hAnsiTheme="majorHAnsi"/>
          <w:sz w:val="20"/>
          <w:szCs w:val="20"/>
        </w:rPr>
      </w:pPr>
    </w:p>
    <w:p w14:paraId="11422FD4" w14:textId="77777777" w:rsidR="00040C3A" w:rsidRPr="00FC406F" w:rsidRDefault="00040C3A" w:rsidP="00040C3A">
      <w:pPr>
        <w:tabs>
          <w:tab w:val="center" w:pos="5400"/>
        </w:tabs>
        <w:suppressAutoHyphens/>
        <w:jc w:val="center"/>
        <w:rPr>
          <w:rFonts w:asciiTheme="majorHAnsi" w:hAnsiTheme="majorHAnsi"/>
          <w:sz w:val="20"/>
          <w:szCs w:val="20"/>
        </w:rPr>
      </w:pPr>
    </w:p>
    <w:p w14:paraId="33318DD1" w14:textId="77777777" w:rsidR="00040C3A" w:rsidRPr="00FC406F" w:rsidRDefault="00A84A45" w:rsidP="00040C3A">
      <w:pPr>
        <w:tabs>
          <w:tab w:val="center" w:pos="5400"/>
        </w:tabs>
        <w:suppressAutoHyphens/>
        <w:jc w:val="center"/>
        <w:rPr>
          <w:rFonts w:asciiTheme="majorHAnsi" w:hAnsiTheme="majorHAnsi"/>
          <w:sz w:val="20"/>
          <w:szCs w:val="20"/>
        </w:rPr>
      </w:pPr>
      <w:r w:rsidRPr="00FC406F">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2793C285" wp14:editId="6A9A40BB">
                <wp:simplePos x="0" y="0"/>
                <wp:positionH relativeFrom="column">
                  <wp:posOffset>-369988</wp:posOffset>
                </wp:positionH>
                <wp:positionV relativeFrom="paragraph">
                  <wp:posOffset>43250</wp:posOffset>
                </wp:positionV>
                <wp:extent cx="1334135" cy="835117"/>
                <wp:effectExtent l="0" t="0" r="0" b="3175"/>
                <wp:wrapNone/>
                <wp:docPr id="8" name="Text Box 8"/>
                <wp:cNvGraphicFramePr/>
                <a:graphic xmlns:a="http://schemas.openxmlformats.org/drawingml/2006/main">
                  <a:graphicData uri="http://schemas.microsoft.com/office/word/2010/wordprocessingShape">
                    <wps:wsp>
                      <wps:cNvSpPr txBox="1"/>
                      <wps:spPr>
                        <a:xfrm>
                          <a:off x="0" y="0"/>
                          <a:ext cx="1334135" cy="8351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C177E0" w14:textId="77777777" w:rsidR="003C665E" w:rsidRPr="005F55DC" w:rsidRDefault="007B75D6" w:rsidP="002C1641">
                            <w:pPr>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OEA/Ser.L/V/II.</w:t>
                            </w:r>
                          </w:p>
                          <w:p w14:paraId="3320B713" w14:textId="77777777" w:rsidR="003C665E" w:rsidRPr="00706D7E" w:rsidRDefault="003C665E" w:rsidP="002C1641">
                            <w:pPr>
                              <w:jc w:val="right"/>
                              <w:rPr>
                                <w:rFonts w:asciiTheme="minorHAnsi" w:hAnsiTheme="minorHAnsi"/>
                                <w:color w:val="FFFFFF" w:themeColor="background1"/>
                                <w:sz w:val="22"/>
                              </w:rPr>
                            </w:pPr>
                            <w:r w:rsidRPr="00706D7E">
                              <w:rPr>
                                <w:rFonts w:asciiTheme="minorHAnsi" w:hAnsiTheme="minorHAnsi"/>
                                <w:color w:val="FFFFFF" w:themeColor="background1"/>
                                <w:sz w:val="22"/>
                              </w:rPr>
                              <w:t xml:space="preserve">Doc. </w:t>
                            </w:r>
                            <w:r w:rsidR="007B75D6">
                              <w:rPr>
                                <w:rFonts w:asciiTheme="minorHAnsi" w:hAnsiTheme="minorHAnsi"/>
                                <w:color w:val="FFFFFF" w:themeColor="background1"/>
                                <w:sz w:val="22"/>
                              </w:rPr>
                              <w:t>320</w:t>
                            </w:r>
                          </w:p>
                          <w:p w14:paraId="091C208F" w14:textId="77777777" w:rsidR="003C665E" w:rsidRPr="004B7EB6" w:rsidRDefault="007B75D6" w:rsidP="002C1641">
                            <w:pPr>
                              <w:jc w:val="right"/>
                              <w:rPr>
                                <w:rFonts w:asciiTheme="minorHAnsi" w:hAnsiTheme="minorHAnsi"/>
                                <w:color w:val="FFFFFF" w:themeColor="background1"/>
                                <w:sz w:val="22"/>
                              </w:rPr>
                            </w:pPr>
                            <w:r>
                              <w:rPr>
                                <w:rFonts w:asciiTheme="minorHAnsi" w:hAnsiTheme="minorHAnsi"/>
                                <w:color w:val="FFFFFF" w:themeColor="background1"/>
                                <w:sz w:val="22"/>
                              </w:rPr>
                              <w:t>October 29,</w:t>
                            </w:r>
                            <w:r w:rsidR="003C665E">
                              <w:rPr>
                                <w:rFonts w:asciiTheme="minorHAnsi" w:hAnsiTheme="minorHAnsi"/>
                                <w:color w:val="FFFFFF" w:themeColor="background1"/>
                                <w:sz w:val="22"/>
                              </w:rPr>
                              <w:t xml:space="preserve"> 2020</w:t>
                            </w:r>
                          </w:p>
                          <w:p w14:paraId="1719BA76" w14:textId="77777777" w:rsidR="003C665E" w:rsidRPr="004B7EB6" w:rsidRDefault="003C665E"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 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3C285" id="Text Box 8" o:spid="_x0000_s1028" type="#_x0000_t202" style="position:absolute;left:0;text-align:left;margin-left:-29.15pt;margin-top:3.4pt;width:105.05pt;height:6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" filled="f" stroked="f" strokeweight=".5pt">
                <v:textbox>
                  <w:txbxContent>
                    <w:p w14:paraId="62C177E0" w14:textId="77777777" w:rsidR="003C665E" w:rsidRPr="005F55DC" w:rsidRDefault="007B75D6" w:rsidP="002C1641">
                      <w:pPr>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OEA/Ser.L/V/II.</w:t>
                      </w:r>
                    </w:p>
                    <w:p w14:paraId="3320B713" w14:textId="77777777" w:rsidR="003C665E" w:rsidRPr="00706D7E" w:rsidRDefault="003C665E" w:rsidP="002C1641">
                      <w:pPr>
                        <w:jc w:val="right"/>
                        <w:rPr>
                          <w:rFonts w:asciiTheme="minorHAnsi" w:hAnsiTheme="minorHAnsi"/>
                          <w:color w:val="FFFFFF" w:themeColor="background1"/>
                          <w:sz w:val="22"/>
                        </w:rPr>
                      </w:pPr>
                      <w:r w:rsidRPr="00706D7E">
                        <w:rPr>
                          <w:rFonts w:asciiTheme="minorHAnsi" w:hAnsiTheme="minorHAnsi"/>
                          <w:color w:val="FFFFFF" w:themeColor="background1"/>
                          <w:sz w:val="22"/>
                        </w:rPr>
                        <w:t xml:space="preserve">Doc. </w:t>
                      </w:r>
                      <w:r w:rsidR="007B75D6">
                        <w:rPr>
                          <w:rFonts w:asciiTheme="minorHAnsi" w:hAnsiTheme="minorHAnsi"/>
                          <w:color w:val="FFFFFF" w:themeColor="background1"/>
                          <w:sz w:val="22"/>
                        </w:rPr>
                        <w:t>320</w:t>
                      </w:r>
                    </w:p>
                    <w:p w14:paraId="091C208F" w14:textId="77777777" w:rsidR="003C665E" w:rsidRPr="004B7EB6" w:rsidRDefault="007B75D6" w:rsidP="002C1641">
                      <w:pPr>
                        <w:jc w:val="right"/>
                        <w:rPr>
                          <w:rFonts w:asciiTheme="minorHAnsi" w:hAnsiTheme="minorHAnsi"/>
                          <w:color w:val="FFFFFF" w:themeColor="background1"/>
                          <w:sz w:val="22"/>
                        </w:rPr>
                      </w:pPr>
                      <w:r>
                        <w:rPr>
                          <w:rFonts w:asciiTheme="minorHAnsi" w:hAnsiTheme="minorHAnsi"/>
                          <w:color w:val="FFFFFF" w:themeColor="background1"/>
                          <w:sz w:val="22"/>
                        </w:rPr>
                        <w:t>October 29,</w:t>
                      </w:r>
                      <w:r w:rsidR="003C665E">
                        <w:rPr>
                          <w:rFonts w:asciiTheme="minorHAnsi" w:hAnsiTheme="minorHAnsi"/>
                          <w:color w:val="FFFFFF" w:themeColor="background1"/>
                          <w:sz w:val="22"/>
                        </w:rPr>
                        <w:t xml:space="preserve"> 2020</w:t>
                      </w:r>
                    </w:p>
                    <w:p w14:paraId="1719BA76" w14:textId="77777777" w:rsidR="003C665E" w:rsidRPr="004B7EB6" w:rsidRDefault="003C665E"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 English</w:t>
                      </w:r>
                    </w:p>
                  </w:txbxContent>
                </v:textbox>
              </v:shape>
            </w:pict>
          </mc:Fallback>
        </mc:AlternateContent>
      </w:r>
    </w:p>
    <w:p w14:paraId="0F1A4E71" w14:textId="77777777" w:rsidR="00040C3A" w:rsidRPr="00FC406F" w:rsidRDefault="00040C3A" w:rsidP="00040C3A">
      <w:pPr>
        <w:tabs>
          <w:tab w:val="center" w:pos="5400"/>
        </w:tabs>
        <w:suppressAutoHyphens/>
        <w:jc w:val="center"/>
        <w:rPr>
          <w:rFonts w:asciiTheme="majorHAnsi" w:hAnsiTheme="majorHAnsi" w:cs="Arial"/>
          <w:sz w:val="20"/>
          <w:szCs w:val="20"/>
        </w:rPr>
      </w:pPr>
    </w:p>
    <w:p w14:paraId="7F3FEB69" w14:textId="77777777" w:rsidR="00040C3A" w:rsidRPr="00FC406F" w:rsidRDefault="00040C3A" w:rsidP="00040C3A">
      <w:pPr>
        <w:tabs>
          <w:tab w:val="center" w:pos="5400"/>
        </w:tabs>
        <w:suppressAutoHyphens/>
        <w:jc w:val="center"/>
        <w:rPr>
          <w:rFonts w:asciiTheme="majorHAnsi" w:hAnsiTheme="majorHAnsi"/>
          <w:sz w:val="20"/>
          <w:szCs w:val="20"/>
        </w:rPr>
      </w:pPr>
    </w:p>
    <w:p w14:paraId="52371B59" w14:textId="77777777" w:rsidR="00040C3A" w:rsidRPr="00FC406F" w:rsidRDefault="00040C3A" w:rsidP="00040C3A">
      <w:pPr>
        <w:tabs>
          <w:tab w:val="center" w:pos="5400"/>
        </w:tabs>
        <w:suppressAutoHyphens/>
        <w:jc w:val="center"/>
        <w:rPr>
          <w:rFonts w:asciiTheme="majorHAnsi" w:hAnsiTheme="majorHAnsi"/>
          <w:sz w:val="20"/>
          <w:szCs w:val="20"/>
        </w:rPr>
      </w:pPr>
    </w:p>
    <w:p w14:paraId="2720F715" w14:textId="77777777" w:rsidR="00040C3A" w:rsidRPr="00FC406F" w:rsidRDefault="00040C3A" w:rsidP="00040C3A">
      <w:pPr>
        <w:tabs>
          <w:tab w:val="center" w:pos="5400"/>
        </w:tabs>
        <w:suppressAutoHyphens/>
        <w:jc w:val="center"/>
        <w:rPr>
          <w:rFonts w:asciiTheme="majorHAnsi" w:hAnsiTheme="majorHAnsi"/>
          <w:sz w:val="20"/>
          <w:szCs w:val="20"/>
        </w:rPr>
      </w:pPr>
    </w:p>
    <w:p w14:paraId="36B39AA0" w14:textId="77777777" w:rsidR="00040C3A" w:rsidRPr="00FC406F" w:rsidRDefault="00040C3A" w:rsidP="00040C3A">
      <w:pPr>
        <w:tabs>
          <w:tab w:val="center" w:pos="5400"/>
        </w:tabs>
        <w:suppressAutoHyphens/>
        <w:jc w:val="center"/>
        <w:rPr>
          <w:rFonts w:asciiTheme="majorHAnsi" w:hAnsiTheme="majorHAnsi"/>
          <w:sz w:val="20"/>
          <w:szCs w:val="20"/>
        </w:rPr>
      </w:pPr>
    </w:p>
    <w:p w14:paraId="233FB63B" w14:textId="77777777" w:rsidR="005128E4" w:rsidRPr="00FC406F" w:rsidRDefault="005128E4" w:rsidP="00040C3A">
      <w:pPr>
        <w:tabs>
          <w:tab w:val="center" w:pos="5400"/>
        </w:tabs>
        <w:suppressAutoHyphens/>
        <w:jc w:val="center"/>
        <w:rPr>
          <w:rFonts w:asciiTheme="majorHAnsi" w:hAnsiTheme="majorHAnsi"/>
          <w:sz w:val="20"/>
          <w:szCs w:val="20"/>
        </w:rPr>
      </w:pPr>
    </w:p>
    <w:p w14:paraId="5E3EC18F" w14:textId="77777777" w:rsidR="00040C3A" w:rsidRPr="00FC406F" w:rsidRDefault="00040C3A" w:rsidP="00040C3A">
      <w:pPr>
        <w:tabs>
          <w:tab w:val="center" w:pos="5400"/>
        </w:tabs>
        <w:suppressAutoHyphens/>
        <w:jc w:val="center"/>
        <w:rPr>
          <w:rFonts w:asciiTheme="majorHAnsi" w:hAnsiTheme="majorHAnsi"/>
          <w:sz w:val="20"/>
          <w:szCs w:val="20"/>
        </w:rPr>
      </w:pPr>
    </w:p>
    <w:p w14:paraId="289479C5" w14:textId="77777777" w:rsidR="005128E4" w:rsidRPr="00FC406F" w:rsidRDefault="005128E4" w:rsidP="00040C3A">
      <w:pPr>
        <w:tabs>
          <w:tab w:val="center" w:pos="5400"/>
        </w:tabs>
        <w:suppressAutoHyphens/>
        <w:jc w:val="center"/>
        <w:rPr>
          <w:rFonts w:asciiTheme="majorHAnsi" w:hAnsiTheme="majorHAnsi"/>
          <w:sz w:val="20"/>
          <w:szCs w:val="20"/>
        </w:rPr>
      </w:pPr>
    </w:p>
    <w:p w14:paraId="631046D7" w14:textId="77777777" w:rsidR="005128E4" w:rsidRPr="00FC406F" w:rsidRDefault="005128E4" w:rsidP="00040C3A">
      <w:pPr>
        <w:tabs>
          <w:tab w:val="center" w:pos="5400"/>
        </w:tabs>
        <w:suppressAutoHyphens/>
        <w:jc w:val="center"/>
        <w:rPr>
          <w:rFonts w:asciiTheme="majorHAnsi" w:hAnsiTheme="majorHAnsi"/>
          <w:sz w:val="20"/>
          <w:szCs w:val="20"/>
        </w:rPr>
      </w:pPr>
    </w:p>
    <w:p w14:paraId="027AA2DD" w14:textId="77777777" w:rsidR="005128E4" w:rsidRPr="00FC406F" w:rsidRDefault="005128E4" w:rsidP="00040C3A">
      <w:pPr>
        <w:tabs>
          <w:tab w:val="center" w:pos="5400"/>
        </w:tabs>
        <w:suppressAutoHyphens/>
        <w:jc w:val="center"/>
        <w:rPr>
          <w:rFonts w:asciiTheme="majorHAnsi" w:hAnsiTheme="majorHAnsi"/>
          <w:sz w:val="20"/>
          <w:szCs w:val="20"/>
        </w:rPr>
      </w:pPr>
    </w:p>
    <w:p w14:paraId="35C6BC52" w14:textId="77777777" w:rsidR="00040C3A" w:rsidRPr="00FC406F" w:rsidRDefault="00040C3A" w:rsidP="00040C3A">
      <w:pPr>
        <w:tabs>
          <w:tab w:val="center" w:pos="5400"/>
        </w:tabs>
        <w:suppressAutoHyphens/>
        <w:jc w:val="center"/>
        <w:rPr>
          <w:rFonts w:asciiTheme="majorHAnsi" w:hAnsiTheme="majorHAnsi"/>
          <w:sz w:val="20"/>
          <w:szCs w:val="20"/>
        </w:rPr>
      </w:pPr>
    </w:p>
    <w:p w14:paraId="24336CEF" w14:textId="77777777" w:rsidR="00040C3A" w:rsidRPr="00FC406F" w:rsidRDefault="00040C3A" w:rsidP="00040C3A">
      <w:pPr>
        <w:tabs>
          <w:tab w:val="center" w:pos="5400"/>
        </w:tabs>
        <w:suppressAutoHyphens/>
        <w:jc w:val="center"/>
        <w:rPr>
          <w:rFonts w:asciiTheme="majorHAnsi" w:hAnsiTheme="majorHAnsi"/>
          <w:sz w:val="20"/>
          <w:szCs w:val="20"/>
        </w:rPr>
      </w:pPr>
    </w:p>
    <w:p w14:paraId="63E6E0D1" w14:textId="77777777" w:rsidR="002C1641" w:rsidRPr="00FC406F" w:rsidRDefault="002C1641" w:rsidP="00040C3A">
      <w:pPr>
        <w:tabs>
          <w:tab w:val="center" w:pos="5400"/>
        </w:tabs>
        <w:suppressAutoHyphens/>
        <w:jc w:val="center"/>
        <w:rPr>
          <w:rFonts w:asciiTheme="majorHAnsi" w:hAnsiTheme="majorHAnsi"/>
          <w:sz w:val="20"/>
          <w:szCs w:val="20"/>
        </w:rPr>
      </w:pPr>
    </w:p>
    <w:p w14:paraId="2B4BA385" w14:textId="77777777" w:rsidR="002C1641" w:rsidRPr="00FC406F" w:rsidRDefault="002C1641" w:rsidP="00040C3A">
      <w:pPr>
        <w:tabs>
          <w:tab w:val="center" w:pos="5400"/>
        </w:tabs>
        <w:suppressAutoHyphens/>
        <w:jc w:val="center"/>
        <w:rPr>
          <w:rFonts w:asciiTheme="majorHAnsi" w:hAnsiTheme="majorHAnsi"/>
          <w:sz w:val="20"/>
          <w:szCs w:val="20"/>
        </w:rPr>
      </w:pPr>
    </w:p>
    <w:p w14:paraId="0FCCE6E2" w14:textId="77777777" w:rsidR="002C1641" w:rsidRPr="00FC406F" w:rsidRDefault="002C1641" w:rsidP="00040C3A">
      <w:pPr>
        <w:tabs>
          <w:tab w:val="center" w:pos="5400"/>
        </w:tabs>
        <w:suppressAutoHyphens/>
        <w:jc w:val="center"/>
        <w:rPr>
          <w:rFonts w:asciiTheme="majorHAnsi" w:hAnsiTheme="majorHAnsi"/>
          <w:sz w:val="20"/>
          <w:szCs w:val="20"/>
        </w:rPr>
      </w:pPr>
    </w:p>
    <w:p w14:paraId="42C21D1B" w14:textId="77777777" w:rsidR="002C1641" w:rsidRPr="00FC406F" w:rsidRDefault="002C1641" w:rsidP="00040C3A">
      <w:pPr>
        <w:tabs>
          <w:tab w:val="center" w:pos="5400"/>
        </w:tabs>
        <w:suppressAutoHyphens/>
        <w:jc w:val="center"/>
        <w:rPr>
          <w:rFonts w:asciiTheme="majorHAnsi" w:hAnsiTheme="majorHAnsi"/>
          <w:sz w:val="20"/>
          <w:szCs w:val="20"/>
        </w:rPr>
      </w:pPr>
    </w:p>
    <w:p w14:paraId="2BE366B5" w14:textId="77777777" w:rsidR="002C1641" w:rsidRPr="00FC406F" w:rsidRDefault="002C1641" w:rsidP="00040C3A">
      <w:pPr>
        <w:tabs>
          <w:tab w:val="center" w:pos="5400"/>
        </w:tabs>
        <w:suppressAutoHyphens/>
        <w:jc w:val="center"/>
        <w:rPr>
          <w:rFonts w:asciiTheme="majorHAnsi" w:hAnsiTheme="majorHAnsi"/>
          <w:sz w:val="20"/>
          <w:szCs w:val="20"/>
        </w:rPr>
      </w:pPr>
    </w:p>
    <w:p w14:paraId="4DE7F5AF" w14:textId="77777777" w:rsidR="002C1641" w:rsidRPr="00FC406F" w:rsidRDefault="002C1641" w:rsidP="00040C3A">
      <w:pPr>
        <w:tabs>
          <w:tab w:val="center" w:pos="5400"/>
        </w:tabs>
        <w:suppressAutoHyphens/>
        <w:jc w:val="center"/>
        <w:rPr>
          <w:rFonts w:asciiTheme="majorHAnsi" w:hAnsiTheme="majorHAnsi"/>
          <w:sz w:val="20"/>
          <w:szCs w:val="20"/>
        </w:rPr>
      </w:pPr>
    </w:p>
    <w:p w14:paraId="56C922CC" w14:textId="77777777" w:rsidR="002C1641" w:rsidRPr="00FC406F" w:rsidRDefault="002C1641" w:rsidP="00040C3A">
      <w:pPr>
        <w:tabs>
          <w:tab w:val="center" w:pos="5400"/>
        </w:tabs>
        <w:suppressAutoHyphens/>
        <w:jc w:val="center"/>
        <w:rPr>
          <w:rFonts w:asciiTheme="majorHAnsi" w:hAnsiTheme="majorHAnsi"/>
          <w:sz w:val="20"/>
          <w:szCs w:val="20"/>
        </w:rPr>
      </w:pPr>
    </w:p>
    <w:p w14:paraId="7D48DF58" w14:textId="77777777" w:rsidR="002C1641" w:rsidRPr="00FC406F" w:rsidRDefault="002C1641" w:rsidP="00040C3A">
      <w:pPr>
        <w:tabs>
          <w:tab w:val="center" w:pos="5400"/>
        </w:tabs>
        <w:suppressAutoHyphens/>
        <w:jc w:val="center"/>
        <w:rPr>
          <w:rFonts w:asciiTheme="majorHAnsi" w:hAnsiTheme="majorHAnsi"/>
          <w:sz w:val="20"/>
          <w:szCs w:val="20"/>
        </w:rPr>
      </w:pPr>
    </w:p>
    <w:p w14:paraId="6FAD411B" w14:textId="77777777" w:rsidR="002C1641" w:rsidRPr="00FC406F" w:rsidRDefault="002C1641" w:rsidP="00040C3A">
      <w:pPr>
        <w:tabs>
          <w:tab w:val="center" w:pos="5400"/>
        </w:tabs>
        <w:suppressAutoHyphens/>
        <w:jc w:val="center"/>
        <w:rPr>
          <w:rFonts w:asciiTheme="majorHAnsi" w:hAnsiTheme="majorHAnsi"/>
          <w:sz w:val="20"/>
          <w:szCs w:val="20"/>
        </w:rPr>
      </w:pPr>
    </w:p>
    <w:p w14:paraId="64A798AD" w14:textId="77777777" w:rsidR="002C1641" w:rsidRPr="00FC406F" w:rsidRDefault="002C1641" w:rsidP="00040C3A">
      <w:pPr>
        <w:tabs>
          <w:tab w:val="center" w:pos="5400"/>
        </w:tabs>
        <w:suppressAutoHyphens/>
        <w:jc w:val="center"/>
        <w:rPr>
          <w:rFonts w:asciiTheme="majorHAnsi" w:hAnsiTheme="majorHAnsi"/>
          <w:sz w:val="20"/>
          <w:szCs w:val="20"/>
        </w:rPr>
      </w:pPr>
    </w:p>
    <w:p w14:paraId="0C990608" w14:textId="77777777" w:rsidR="002C1641" w:rsidRPr="00FC406F" w:rsidRDefault="002C1641" w:rsidP="00040C3A">
      <w:pPr>
        <w:tabs>
          <w:tab w:val="center" w:pos="5400"/>
        </w:tabs>
        <w:suppressAutoHyphens/>
        <w:jc w:val="center"/>
        <w:rPr>
          <w:rFonts w:asciiTheme="majorHAnsi" w:hAnsiTheme="majorHAnsi"/>
          <w:sz w:val="20"/>
          <w:szCs w:val="20"/>
        </w:rPr>
      </w:pPr>
    </w:p>
    <w:p w14:paraId="65892AEF" w14:textId="77777777" w:rsidR="002C1641" w:rsidRPr="00FC406F" w:rsidRDefault="002C1641" w:rsidP="00040C3A">
      <w:pPr>
        <w:tabs>
          <w:tab w:val="center" w:pos="5400"/>
        </w:tabs>
        <w:suppressAutoHyphens/>
        <w:jc w:val="center"/>
        <w:rPr>
          <w:rFonts w:asciiTheme="majorHAnsi" w:hAnsiTheme="majorHAnsi"/>
          <w:sz w:val="20"/>
          <w:szCs w:val="20"/>
        </w:rPr>
      </w:pPr>
    </w:p>
    <w:p w14:paraId="5A40FE58" w14:textId="77777777" w:rsidR="002C1641" w:rsidRPr="00FC406F" w:rsidRDefault="003C32BC" w:rsidP="00040C3A">
      <w:pPr>
        <w:tabs>
          <w:tab w:val="center" w:pos="5400"/>
        </w:tabs>
        <w:suppressAutoHyphens/>
        <w:jc w:val="center"/>
        <w:rPr>
          <w:rFonts w:asciiTheme="majorHAnsi" w:hAnsiTheme="majorHAnsi"/>
          <w:sz w:val="20"/>
          <w:szCs w:val="20"/>
        </w:rPr>
      </w:pPr>
      <w:r w:rsidRPr="00FC406F">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3AB22CA9" wp14:editId="60682A5B">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996C9F" w14:textId="77777777" w:rsidR="003C665E" w:rsidRPr="003C32BC" w:rsidRDefault="003C665E"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at its session No. </w:t>
                            </w:r>
                            <w:r w:rsidR="007B75D6">
                              <w:rPr>
                                <w:rFonts w:asciiTheme="majorHAnsi" w:hAnsiTheme="majorHAnsi"/>
                                <w:color w:val="0D0D0D" w:themeColor="text1" w:themeTint="F2"/>
                                <w:sz w:val="18"/>
                                <w:szCs w:val="20"/>
                              </w:rPr>
                              <w:t>2190</w:t>
                            </w:r>
                            <w:r w:rsidRPr="003C32BC">
                              <w:rPr>
                                <w:rFonts w:asciiTheme="majorHAnsi" w:hAnsiTheme="majorHAnsi"/>
                                <w:color w:val="0D0D0D" w:themeColor="text1" w:themeTint="F2"/>
                                <w:sz w:val="18"/>
                                <w:szCs w:val="20"/>
                              </w:rPr>
                              <w:t xml:space="preserve"> held on </w:t>
                            </w:r>
                            <w:r w:rsidR="007B75D6">
                              <w:rPr>
                                <w:rFonts w:asciiTheme="majorHAnsi" w:hAnsiTheme="majorHAnsi"/>
                                <w:color w:val="0D0D0D" w:themeColor="text1" w:themeTint="F2"/>
                                <w:sz w:val="18"/>
                                <w:szCs w:val="20"/>
                              </w:rPr>
                              <w:t>October 29</w:t>
                            </w:r>
                            <w:r>
                              <w:rPr>
                                <w:rFonts w:asciiTheme="majorHAnsi" w:hAnsiTheme="majorHAnsi"/>
                                <w:color w:val="0D0D0D" w:themeColor="text1" w:themeTint="F2"/>
                                <w:sz w:val="18"/>
                                <w:szCs w:val="20"/>
                              </w:rPr>
                              <w:t>, 2020</w:t>
                            </w:r>
                            <w:r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22CA9"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5E996C9F" w14:textId="77777777" w:rsidR="003C665E" w:rsidRPr="003C32BC" w:rsidRDefault="003C665E"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at its session No. </w:t>
                      </w:r>
                      <w:r w:rsidR="007B75D6">
                        <w:rPr>
                          <w:rFonts w:asciiTheme="majorHAnsi" w:hAnsiTheme="majorHAnsi"/>
                          <w:color w:val="0D0D0D" w:themeColor="text1" w:themeTint="F2"/>
                          <w:sz w:val="18"/>
                          <w:szCs w:val="20"/>
                        </w:rPr>
                        <w:t>2190</w:t>
                      </w:r>
                      <w:r w:rsidRPr="003C32BC">
                        <w:rPr>
                          <w:rFonts w:asciiTheme="majorHAnsi" w:hAnsiTheme="majorHAnsi"/>
                          <w:color w:val="0D0D0D" w:themeColor="text1" w:themeTint="F2"/>
                          <w:sz w:val="18"/>
                          <w:szCs w:val="20"/>
                        </w:rPr>
                        <w:t xml:space="preserve"> held on </w:t>
                      </w:r>
                      <w:r w:rsidR="007B75D6">
                        <w:rPr>
                          <w:rFonts w:asciiTheme="majorHAnsi" w:hAnsiTheme="majorHAnsi"/>
                          <w:color w:val="0D0D0D" w:themeColor="text1" w:themeTint="F2"/>
                          <w:sz w:val="18"/>
                          <w:szCs w:val="20"/>
                        </w:rPr>
                        <w:t>October 29</w:t>
                      </w:r>
                      <w:r>
                        <w:rPr>
                          <w:rFonts w:asciiTheme="majorHAnsi" w:hAnsiTheme="majorHAnsi"/>
                          <w:color w:val="0D0D0D" w:themeColor="text1" w:themeTint="F2"/>
                          <w:sz w:val="18"/>
                          <w:szCs w:val="20"/>
                        </w:rPr>
                        <w:t>, 2020</w:t>
                      </w:r>
                      <w:r w:rsidRPr="003C32BC">
                        <w:rPr>
                          <w:rFonts w:asciiTheme="majorHAnsi" w:hAnsiTheme="majorHAnsi"/>
                          <w:color w:val="0D0D0D" w:themeColor="text1" w:themeTint="F2"/>
                          <w:sz w:val="18"/>
                          <w:szCs w:val="20"/>
                        </w:rPr>
                        <w:br/>
                      </w:r>
                    </w:p>
                  </w:txbxContent>
                </v:textbox>
              </v:shape>
            </w:pict>
          </mc:Fallback>
        </mc:AlternateContent>
      </w:r>
    </w:p>
    <w:p w14:paraId="0A6A68EA" w14:textId="77777777" w:rsidR="002C1641" w:rsidRPr="00FC406F" w:rsidRDefault="002C1641" w:rsidP="00040C3A">
      <w:pPr>
        <w:tabs>
          <w:tab w:val="center" w:pos="5400"/>
        </w:tabs>
        <w:suppressAutoHyphens/>
        <w:jc w:val="center"/>
        <w:rPr>
          <w:rFonts w:asciiTheme="majorHAnsi" w:hAnsiTheme="majorHAnsi"/>
          <w:sz w:val="20"/>
          <w:szCs w:val="20"/>
        </w:rPr>
      </w:pPr>
    </w:p>
    <w:p w14:paraId="2F477E8C" w14:textId="77777777" w:rsidR="002C1641" w:rsidRPr="00FC406F" w:rsidRDefault="002C1641" w:rsidP="00040C3A">
      <w:pPr>
        <w:tabs>
          <w:tab w:val="center" w:pos="5400"/>
        </w:tabs>
        <w:suppressAutoHyphens/>
        <w:jc w:val="center"/>
        <w:rPr>
          <w:rFonts w:asciiTheme="majorHAnsi" w:hAnsiTheme="majorHAnsi"/>
          <w:sz w:val="20"/>
          <w:szCs w:val="20"/>
        </w:rPr>
      </w:pPr>
    </w:p>
    <w:p w14:paraId="64CE9AC5" w14:textId="77777777" w:rsidR="002C1641" w:rsidRPr="00FC406F" w:rsidRDefault="002C1641" w:rsidP="00040C3A">
      <w:pPr>
        <w:tabs>
          <w:tab w:val="center" w:pos="5400"/>
        </w:tabs>
        <w:suppressAutoHyphens/>
        <w:jc w:val="center"/>
        <w:rPr>
          <w:rFonts w:asciiTheme="majorHAnsi" w:hAnsiTheme="majorHAnsi"/>
          <w:sz w:val="20"/>
          <w:szCs w:val="20"/>
        </w:rPr>
      </w:pPr>
    </w:p>
    <w:p w14:paraId="65147691" w14:textId="77777777" w:rsidR="002C1641" w:rsidRPr="00FC406F" w:rsidRDefault="002C1641" w:rsidP="00040C3A">
      <w:pPr>
        <w:tabs>
          <w:tab w:val="center" w:pos="5400"/>
        </w:tabs>
        <w:suppressAutoHyphens/>
        <w:jc w:val="center"/>
        <w:rPr>
          <w:rFonts w:asciiTheme="majorHAnsi" w:hAnsiTheme="majorHAnsi"/>
          <w:sz w:val="20"/>
          <w:szCs w:val="20"/>
        </w:rPr>
      </w:pPr>
    </w:p>
    <w:p w14:paraId="5D15944E" w14:textId="77777777" w:rsidR="002C1641" w:rsidRPr="00FC406F" w:rsidRDefault="003C32BC" w:rsidP="00040C3A">
      <w:pPr>
        <w:tabs>
          <w:tab w:val="center" w:pos="5400"/>
        </w:tabs>
        <w:suppressAutoHyphens/>
        <w:jc w:val="center"/>
        <w:rPr>
          <w:rFonts w:asciiTheme="majorHAnsi" w:hAnsiTheme="majorHAnsi"/>
          <w:sz w:val="20"/>
          <w:szCs w:val="20"/>
        </w:rPr>
      </w:pPr>
      <w:r w:rsidRPr="00FC406F">
        <w:rPr>
          <w:rFonts w:asciiTheme="majorHAnsi" w:hAnsiTheme="majorHAnsi"/>
          <w:noProof/>
          <w:sz w:val="20"/>
          <w:szCs w:val="20"/>
        </w:rPr>
        <mc:AlternateContent>
          <mc:Choice Requires="wps">
            <w:drawing>
              <wp:anchor distT="0" distB="0" distL="114300" distR="114300" simplePos="0" relativeHeight="251683840" behindDoc="0" locked="0" layoutInCell="1" allowOverlap="1" wp14:anchorId="172DD288" wp14:editId="53F26D58">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DFD65F" w14:textId="77777777" w:rsidR="003C665E" w:rsidRPr="003C32BC" w:rsidRDefault="003C665E" w:rsidP="00F45EBF">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7B75D6" w:rsidRPr="007B75D6">
                              <w:rPr>
                                <w:rFonts w:asciiTheme="majorHAnsi" w:hAnsiTheme="majorHAnsi"/>
                                <w:color w:val="595959" w:themeColor="text1" w:themeTint="A6"/>
                                <w:sz w:val="18"/>
                              </w:rPr>
                              <w:t>302</w:t>
                            </w:r>
                            <w:r w:rsidRPr="007B75D6">
                              <w:rPr>
                                <w:rFonts w:asciiTheme="majorHAnsi" w:hAnsiTheme="majorHAnsi"/>
                                <w:color w:val="595959" w:themeColor="text1" w:themeTint="A6"/>
                                <w:sz w:val="18"/>
                              </w:rPr>
                              <w:t xml:space="preserve">/20. </w:t>
                            </w:r>
                            <w:r w:rsidRPr="00B36400">
                              <w:rPr>
                                <w:rFonts w:asciiTheme="majorHAnsi" w:hAnsiTheme="majorHAnsi"/>
                                <w:color w:val="595959" w:themeColor="text1" w:themeTint="A6"/>
                                <w:sz w:val="18"/>
                                <w:lang w:val="es-US"/>
                              </w:rPr>
                              <w:t xml:space="preserve">Case 13.727. Merits. Fabio Gadea Mantilla. Nicaragua. </w:t>
                            </w:r>
                            <w:r w:rsidR="007B75D6">
                              <w:rPr>
                                <w:rFonts w:asciiTheme="majorHAnsi" w:hAnsiTheme="majorHAnsi"/>
                                <w:color w:val="595959" w:themeColor="text1" w:themeTint="A6"/>
                                <w:sz w:val="18"/>
                              </w:rPr>
                              <w:t>October 29</w:t>
                            </w:r>
                            <w:r w:rsidRPr="00682CC9">
                              <w:rPr>
                                <w:rFonts w:asciiTheme="majorHAnsi" w:hAnsiTheme="majorHAnsi"/>
                                <w:color w:val="595959" w:themeColor="text1" w:themeTint="A6"/>
                                <w:sz w:val="18"/>
                              </w:rPr>
                              <w:t xml:space="preserve">, </w:t>
                            </w:r>
                            <w:r>
                              <w:rPr>
                                <w:rFonts w:asciiTheme="majorHAnsi" w:hAnsiTheme="majorHAnsi"/>
                                <w:color w:val="595959" w:themeColor="text1" w:themeTint="A6"/>
                                <w:sz w:val="18"/>
                              </w:rPr>
                              <w:t>2020</w:t>
                            </w:r>
                            <w:r w:rsidRPr="00682CC9">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DD288"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0CDFD65F" w14:textId="77777777" w:rsidR="003C665E" w:rsidRPr="003C32BC" w:rsidRDefault="003C665E" w:rsidP="00F45EBF">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7B75D6" w:rsidRPr="007B75D6">
                        <w:rPr>
                          <w:rFonts w:asciiTheme="majorHAnsi" w:hAnsiTheme="majorHAnsi"/>
                          <w:color w:val="595959" w:themeColor="text1" w:themeTint="A6"/>
                          <w:sz w:val="18"/>
                        </w:rPr>
                        <w:t>302</w:t>
                      </w:r>
                      <w:r w:rsidRPr="007B75D6">
                        <w:rPr>
                          <w:rFonts w:asciiTheme="majorHAnsi" w:hAnsiTheme="majorHAnsi"/>
                          <w:color w:val="595959" w:themeColor="text1" w:themeTint="A6"/>
                          <w:sz w:val="18"/>
                        </w:rPr>
                        <w:t xml:space="preserve">/20. </w:t>
                      </w:r>
                      <w:r w:rsidRPr="00B36400">
                        <w:rPr>
                          <w:rFonts w:asciiTheme="majorHAnsi" w:hAnsiTheme="majorHAnsi"/>
                          <w:color w:val="595959" w:themeColor="text1" w:themeTint="A6"/>
                          <w:sz w:val="18"/>
                          <w:lang w:val="es-US"/>
                        </w:rPr>
                        <w:t xml:space="preserve">Case 13.727. Merits. Fabio Gadea Mantilla. Nicaragua. </w:t>
                      </w:r>
                      <w:r w:rsidR="007B75D6">
                        <w:rPr>
                          <w:rFonts w:asciiTheme="majorHAnsi" w:hAnsiTheme="majorHAnsi"/>
                          <w:color w:val="595959" w:themeColor="text1" w:themeTint="A6"/>
                          <w:sz w:val="18"/>
                        </w:rPr>
                        <w:t>October 29</w:t>
                      </w:r>
                      <w:r w:rsidRPr="00682CC9">
                        <w:rPr>
                          <w:rFonts w:asciiTheme="majorHAnsi" w:hAnsiTheme="majorHAnsi"/>
                          <w:color w:val="595959" w:themeColor="text1" w:themeTint="A6"/>
                          <w:sz w:val="18"/>
                        </w:rPr>
                        <w:t xml:space="preserve">, </w:t>
                      </w:r>
                      <w:r>
                        <w:rPr>
                          <w:rFonts w:asciiTheme="majorHAnsi" w:hAnsiTheme="majorHAnsi"/>
                          <w:color w:val="595959" w:themeColor="text1" w:themeTint="A6"/>
                          <w:sz w:val="18"/>
                        </w:rPr>
                        <w:t>2020</w:t>
                      </w:r>
                      <w:r w:rsidRPr="00682CC9">
                        <w:rPr>
                          <w:rFonts w:asciiTheme="majorHAnsi" w:hAnsiTheme="majorHAnsi"/>
                          <w:color w:val="595959" w:themeColor="text1" w:themeTint="A6"/>
                          <w:sz w:val="18"/>
                        </w:rPr>
                        <w:t>.</w:t>
                      </w:r>
                    </w:p>
                  </w:txbxContent>
                </v:textbox>
              </v:shape>
            </w:pict>
          </mc:Fallback>
        </mc:AlternateContent>
      </w:r>
    </w:p>
    <w:p w14:paraId="1FE7694D" w14:textId="77777777" w:rsidR="002C1641" w:rsidRPr="00FC406F" w:rsidRDefault="002C1641" w:rsidP="00040C3A">
      <w:pPr>
        <w:tabs>
          <w:tab w:val="center" w:pos="5400"/>
        </w:tabs>
        <w:suppressAutoHyphens/>
        <w:jc w:val="center"/>
        <w:rPr>
          <w:rFonts w:asciiTheme="majorHAnsi" w:hAnsiTheme="majorHAnsi"/>
          <w:sz w:val="20"/>
          <w:szCs w:val="20"/>
        </w:rPr>
      </w:pPr>
    </w:p>
    <w:p w14:paraId="0BBF7735" w14:textId="77777777" w:rsidR="002C1641" w:rsidRPr="00FC406F" w:rsidRDefault="002C1641" w:rsidP="00040C3A">
      <w:pPr>
        <w:tabs>
          <w:tab w:val="center" w:pos="5400"/>
        </w:tabs>
        <w:suppressAutoHyphens/>
        <w:jc w:val="center"/>
        <w:rPr>
          <w:rFonts w:asciiTheme="majorHAnsi" w:hAnsiTheme="majorHAnsi"/>
          <w:sz w:val="20"/>
          <w:szCs w:val="20"/>
        </w:rPr>
      </w:pPr>
    </w:p>
    <w:p w14:paraId="4B4CE3A0" w14:textId="77777777" w:rsidR="003C32BC" w:rsidRPr="00FC406F" w:rsidRDefault="003C32BC" w:rsidP="003C32BC">
      <w:pPr>
        <w:tabs>
          <w:tab w:val="center" w:pos="5400"/>
        </w:tabs>
        <w:suppressAutoHyphens/>
        <w:jc w:val="center"/>
        <w:rPr>
          <w:rFonts w:asciiTheme="majorHAnsi" w:hAnsiTheme="majorHAnsi"/>
          <w:sz w:val="20"/>
          <w:szCs w:val="20"/>
        </w:rPr>
      </w:pPr>
    </w:p>
    <w:p w14:paraId="5FC553E1" w14:textId="77777777" w:rsidR="003C32BC" w:rsidRPr="00FC406F" w:rsidRDefault="006311DA" w:rsidP="003C32BC">
      <w:pPr>
        <w:tabs>
          <w:tab w:val="center" w:pos="5400"/>
        </w:tabs>
        <w:suppressAutoHyphens/>
        <w:jc w:val="center"/>
        <w:rPr>
          <w:rFonts w:asciiTheme="majorHAnsi" w:hAnsiTheme="majorHAnsi"/>
          <w:sz w:val="20"/>
          <w:szCs w:val="20"/>
        </w:rPr>
      </w:pPr>
      <w:r w:rsidRPr="00FC406F">
        <w:rPr>
          <w:rFonts w:asciiTheme="majorHAnsi" w:hAnsiTheme="majorHAnsi"/>
          <w:noProof/>
          <w:sz w:val="20"/>
          <w:szCs w:val="20"/>
        </w:rPr>
        <mc:AlternateContent>
          <mc:Choice Requires="wps">
            <w:drawing>
              <wp:anchor distT="0" distB="0" distL="114300" distR="114300" simplePos="0" relativeHeight="251686912" behindDoc="0" locked="0" layoutInCell="1" allowOverlap="1" wp14:anchorId="16599CD1" wp14:editId="06E1BB39">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96AD86" w14:textId="77777777" w:rsidR="003C665E" w:rsidRPr="004B7EB6" w:rsidRDefault="003C665E"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99CD1"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7D96AD86" w14:textId="77777777" w:rsidR="003C665E" w:rsidRPr="004B7EB6" w:rsidRDefault="003C665E"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FC406F">
        <w:rPr>
          <w:rFonts w:asciiTheme="majorHAnsi" w:hAnsiTheme="majorHAnsi"/>
          <w:noProof/>
          <w:sz w:val="20"/>
          <w:szCs w:val="20"/>
        </w:rPr>
        <mc:AlternateContent>
          <mc:Choice Requires="wps">
            <w:drawing>
              <wp:anchor distT="0" distB="0" distL="114300" distR="114300" simplePos="0" relativeHeight="251684864" behindDoc="0" locked="0" layoutInCell="1" allowOverlap="1" wp14:anchorId="1CD81D27" wp14:editId="29E3116C">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96FDC8" w14:textId="77777777" w:rsidR="003C665E" w:rsidRDefault="003C665E">
                            <w:r>
                              <w:rPr>
                                <w:noProof/>
                              </w:rPr>
                              <w:drawing>
                                <wp:inline distT="0" distB="0" distL="0" distR="0" wp14:anchorId="3902FBC3" wp14:editId="42812834">
                                  <wp:extent cx="1519555" cy="38798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EA-ENG-Main-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81D27"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4896FDC8" w14:textId="77777777" w:rsidR="003C665E" w:rsidRDefault="003C665E">
                      <w:r>
                        <w:rPr>
                          <w:noProof/>
                        </w:rPr>
                        <w:drawing>
                          <wp:inline distT="0" distB="0" distL="0" distR="0" wp14:anchorId="3902FBC3" wp14:editId="42812834">
                            <wp:extent cx="1519555" cy="38798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EA-ENG-Main-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302FC804" w14:textId="77777777" w:rsidR="007607C4" w:rsidRPr="00FC406F" w:rsidRDefault="007607C4" w:rsidP="003C32BC">
      <w:pPr>
        <w:tabs>
          <w:tab w:val="center" w:pos="5400"/>
        </w:tabs>
        <w:suppressAutoHyphens/>
        <w:jc w:val="center"/>
        <w:rPr>
          <w:rFonts w:asciiTheme="majorHAnsi" w:hAnsiTheme="majorHAnsi"/>
          <w:sz w:val="20"/>
          <w:szCs w:val="20"/>
        </w:rPr>
        <w:sectPr w:rsidR="007607C4" w:rsidRPr="00FC406F"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sdt>
      <w:sdtPr>
        <w:rPr>
          <w:rFonts w:ascii="Times New Roman" w:eastAsia="Arial Unicode MS" w:hAnsi="Times New Roman" w:cs="Times New Roman"/>
          <w:sz w:val="24"/>
          <w:szCs w:val="24"/>
          <w:bdr w:val="nil"/>
        </w:rPr>
        <w:id w:val="-153066358"/>
        <w:docPartObj>
          <w:docPartGallery w:val="Table of Contents"/>
          <w:docPartUnique/>
        </w:docPartObj>
      </w:sdtPr>
      <w:sdtEndPr>
        <w:rPr>
          <w:b/>
          <w:bCs/>
          <w:noProof/>
        </w:rPr>
      </w:sdtEndPr>
      <w:sdtContent>
        <w:p w14:paraId="3418FCCC" w14:textId="77777777" w:rsidR="00CE64F4" w:rsidRDefault="00CE64F4">
          <w:pPr>
            <w:pStyle w:val="TOCHeading"/>
          </w:pPr>
        </w:p>
        <w:p w14:paraId="3DA6F28E" w14:textId="77777777" w:rsidR="00CE64F4" w:rsidRPr="00CE64F4" w:rsidRDefault="00CE64F4" w:rsidP="00CE64F4"/>
        <w:p w14:paraId="48B40043" w14:textId="117A6394" w:rsidR="00CE64F4" w:rsidRPr="00CE64F4" w:rsidRDefault="00CE64F4">
          <w:pPr>
            <w:pStyle w:val="TOC1"/>
            <w:rPr>
              <w:rFonts w:eastAsiaTheme="minorEastAsia" w:cstheme="minorBidi"/>
              <w:b w:val="0"/>
              <w:bdr w:val="none" w:sz="0" w:space="0" w:color="auto"/>
              <w:lang w:val="en-US"/>
            </w:rPr>
          </w:pPr>
          <w:r>
            <w:fldChar w:fldCharType="begin"/>
          </w:r>
          <w:r>
            <w:instrText xml:space="preserve"> TOC \o "1-3" \h \z \u </w:instrText>
          </w:r>
          <w:r>
            <w:fldChar w:fldCharType="separate"/>
          </w:r>
          <w:hyperlink w:anchor="_Toc56778646" w:history="1">
            <w:r w:rsidRPr="00CE64F4">
              <w:rPr>
                <w:rStyle w:val="Hyperlink"/>
              </w:rPr>
              <w:t>I.</w:t>
            </w:r>
            <w:r w:rsidRPr="00CE64F4">
              <w:rPr>
                <w:rFonts w:eastAsiaTheme="minorEastAsia" w:cstheme="minorBidi"/>
                <w:b w:val="0"/>
                <w:bdr w:val="none" w:sz="0" w:space="0" w:color="auto"/>
                <w:lang w:val="en-US"/>
              </w:rPr>
              <w:tab/>
            </w:r>
            <w:r w:rsidRPr="00CE64F4">
              <w:rPr>
                <w:rStyle w:val="Hyperlink"/>
              </w:rPr>
              <w:t>INTRODUCTION</w:t>
            </w:r>
            <w:r w:rsidRPr="00CE64F4">
              <w:rPr>
                <w:b w:val="0"/>
                <w:webHidden/>
              </w:rPr>
              <w:tab/>
            </w:r>
            <w:r w:rsidRPr="00CE64F4">
              <w:rPr>
                <w:b w:val="0"/>
                <w:webHidden/>
              </w:rPr>
              <w:fldChar w:fldCharType="begin"/>
            </w:r>
            <w:r w:rsidRPr="00CE64F4">
              <w:rPr>
                <w:b w:val="0"/>
                <w:webHidden/>
              </w:rPr>
              <w:instrText xml:space="preserve"> PAGEREF _Toc56778646 \h </w:instrText>
            </w:r>
            <w:r w:rsidRPr="00CE64F4">
              <w:rPr>
                <w:b w:val="0"/>
                <w:webHidden/>
              </w:rPr>
            </w:r>
            <w:r w:rsidRPr="00CE64F4">
              <w:rPr>
                <w:b w:val="0"/>
                <w:webHidden/>
              </w:rPr>
              <w:fldChar w:fldCharType="separate"/>
            </w:r>
            <w:r w:rsidR="003D7A5F">
              <w:rPr>
                <w:b w:val="0"/>
                <w:webHidden/>
              </w:rPr>
              <w:t>1</w:t>
            </w:r>
            <w:r w:rsidRPr="00CE64F4">
              <w:rPr>
                <w:b w:val="0"/>
                <w:webHidden/>
              </w:rPr>
              <w:fldChar w:fldCharType="end"/>
            </w:r>
          </w:hyperlink>
        </w:p>
        <w:p w14:paraId="3C7AD98A" w14:textId="40A9B491" w:rsidR="00CE64F4" w:rsidRPr="00CE64F4" w:rsidRDefault="003D7A5F">
          <w:pPr>
            <w:pStyle w:val="TOC1"/>
            <w:rPr>
              <w:rFonts w:eastAsiaTheme="minorEastAsia" w:cstheme="minorBidi"/>
              <w:b w:val="0"/>
              <w:bdr w:val="none" w:sz="0" w:space="0" w:color="auto"/>
              <w:lang w:val="en-US"/>
            </w:rPr>
          </w:pPr>
          <w:hyperlink w:anchor="_Toc56778647" w:history="1">
            <w:r w:rsidR="00CE64F4" w:rsidRPr="00CE64F4">
              <w:rPr>
                <w:rStyle w:val="Hyperlink"/>
              </w:rPr>
              <w:t>II.</w:t>
            </w:r>
            <w:r w:rsidR="00CE64F4" w:rsidRPr="00CE64F4">
              <w:rPr>
                <w:rFonts w:eastAsiaTheme="minorEastAsia" w:cstheme="minorBidi"/>
                <w:b w:val="0"/>
                <w:bdr w:val="none" w:sz="0" w:space="0" w:color="auto"/>
                <w:lang w:val="en-US"/>
              </w:rPr>
              <w:tab/>
            </w:r>
            <w:r w:rsidR="00CE64F4" w:rsidRPr="00CE64F4">
              <w:rPr>
                <w:rStyle w:val="Hyperlink"/>
              </w:rPr>
              <w:t>ALLEGATIONS OF THE PARTIES</w:t>
            </w:r>
            <w:r w:rsidR="00CE64F4" w:rsidRPr="00CE64F4">
              <w:rPr>
                <w:b w:val="0"/>
                <w:webHidden/>
              </w:rPr>
              <w:tab/>
            </w:r>
            <w:r w:rsidR="00CE64F4" w:rsidRPr="00CE64F4">
              <w:rPr>
                <w:b w:val="0"/>
                <w:webHidden/>
              </w:rPr>
              <w:fldChar w:fldCharType="begin"/>
            </w:r>
            <w:r w:rsidR="00CE64F4" w:rsidRPr="00CE64F4">
              <w:rPr>
                <w:b w:val="0"/>
                <w:webHidden/>
              </w:rPr>
              <w:instrText xml:space="preserve"> PAGEREF _Toc56778647 \h </w:instrText>
            </w:r>
            <w:r w:rsidR="00CE64F4" w:rsidRPr="00CE64F4">
              <w:rPr>
                <w:b w:val="0"/>
                <w:webHidden/>
              </w:rPr>
            </w:r>
            <w:r w:rsidR="00CE64F4" w:rsidRPr="00CE64F4">
              <w:rPr>
                <w:b w:val="0"/>
                <w:webHidden/>
              </w:rPr>
              <w:fldChar w:fldCharType="separate"/>
            </w:r>
            <w:r>
              <w:rPr>
                <w:b w:val="0"/>
                <w:webHidden/>
              </w:rPr>
              <w:t>1</w:t>
            </w:r>
            <w:r w:rsidR="00CE64F4" w:rsidRPr="00CE64F4">
              <w:rPr>
                <w:b w:val="0"/>
                <w:webHidden/>
              </w:rPr>
              <w:fldChar w:fldCharType="end"/>
            </w:r>
          </w:hyperlink>
        </w:p>
        <w:p w14:paraId="4FF85CBF" w14:textId="72D93C7C" w:rsidR="00CE64F4" w:rsidRPr="00CE64F4" w:rsidRDefault="003D7A5F">
          <w:pPr>
            <w:pStyle w:val="TOC2"/>
            <w:rPr>
              <w:rFonts w:asciiTheme="majorHAnsi" w:eastAsiaTheme="minorEastAsia" w:hAnsiTheme="majorHAnsi" w:cstheme="minorBidi"/>
              <w:sz w:val="20"/>
              <w:szCs w:val="20"/>
              <w:bdr w:val="none" w:sz="0" w:space="0" w:color="auto"/>
            </w:rPr>
          </w:pPr>
          <w:hyperlink w:anchor="_Toc56778648" w:history="1">
            <w:r w:rsidR="00CE64F4" w:rsidRPr="00CE64F4">
              <w:rPr>
                <w:rStyle w:val="Hyperlink"/>
                <w:rFonts w:asciiTheme="majorHAnsi" w:hAnsiTheme="majorHAnsi"/>
                <w:sz w:val="20"/>
                <w:szCs w:val="20"/>
              </w:rPr>
              <w:t>A.</w:t>
            </w:r>
            <w:r w:rsidR="00CE64F4" w:rsidRPr="00CE64F4">
              <w:rPr>
                <w:rFonts w:asciiTheme="majorHAnsi" w:eastAsiaTheme="minorEastAsia" w:hAnsiTheme="majorHAnsi" w:cstheme="minorBidi"/>
                <w:sz w:val="20"/>
                <w:szCs w:val="20"/>
                <w:bdr w:val="none" w:sz="0" w:space="0" w:color="auto"/>
              </w:rPr>
              <w:tab/>
            </w:r>
            <w:r w:rsidR="00CE64F4" w:rsidRPr="00CE64F4">
              <w:rPr>
                <w:rStyle w:val="Hyperlink"/>
                <w:rFonts w:asciiTheme="majorHAnsi" w:hAnsiTheme="majorHAnsi"/>
                <w:sz w:val="20"/>
                <w:szCs w:val="20"/>
              </w:rPr>
              <w:t>Petitioner</w:t>
            </w:r>
            <w:r w:rsidR="00CE64F4" w:rsidRPr="00CE64F4">
              <w:rPr>
                <w:rFonts w:asciiTheme="majorHAnsi" w:hAnsiTheme="majorHAnsi"/>
                <w:webHidden/>
                <w:sz w:val="20"/>
                <w:szCs w:val="20"/>
              </w:rPr>
              <w:tab/>
            </w:r>
            <w:r w:rsidR="00CE64F4" w:rsidRPr="00CE64F4">
              <w:rPr>
                <w:rFonts w:asciiTheme="majorHAnsi" w:hAnsiTheme="majorHAnsi"/>
                <w:webHidden/>
                <w:sz w:val="20"/>
                <w:szCs w:val="20"/>
              </w:rPr>
              <w:fldChar w:fldCharType="begin"/>
            </w:r>
            <w:r w:rsidR="00CE64F4" w:rsidRPr="00CE64F4">
              <w:rPr>
                <w:rFonts w:asciiTheme="majorHAnsi" w:hAnsiTheme="majorHAnsi"/>
                <w:webHidden/>
                <w:sz w:val="20"/>
                <w:szCs w:val="20"/>
              </w:rPr>
              <w:instrText xml:space="preserve"> PAGEREF _Toc56778648 \h </w:instrText>
            </w:r>
            <w:r w:rsidR="00CE64F4" w:rsidRPr="00CE64F4">
              <w:rPr>
                <w:rFonts w:asciiTheme="majorHAnsi" w:hAnsiTheme="majorHAnsi"/>
                <w:webHidden/>
                <w:sz w:val="20"/>
                <w:szCs w:val="20"/>
              </w:rPr>
            </w:r>
            <w:r w:rsidR="00CE64F4" w:rsidRPr="00CE64F4">
              <w:rPr>
                <w:rFonts w:asciiTheme="majorHAnsi" w:hAnsiTheme="majorHAnsi"/>
                <w:webHidden/>
                <w:sz w:val="20"/>
                <w:szCs w:val="20"/>
              </w:rPr>
              <w:fldChar w:fldCharType="separate"/>
            </w:r>
            <w:r>
              <w:rPr>
                <w:rFonts w:asciiTheme="majorHAnsi" w:hAnsiTheme="majorHAnsi"/>
                <w:webHidden/>
                <w:sz w:val="20"/>
                <w:szCs w:val="20"/>
              </w:rPr>
              <w:t>1</w:t>
            </w:r>
            <w:r w:rsidR="00CE64F4" w:rsidRPr="00CE64F4">
              <w:rPr>
                <w:rFonts w:asciiTheme="majorHAnsi" w:hAnsiTheme="majorHAnsi"/>
                <w:webHidden/>
                <w:sz w:val="20"/>
                <w:szCs w:val="20"/>
              </w:rPr>
              <w:fldChar w:fldCharType="end"/>
            </w:r>
          </w:hyperlink>
        </w:p>
        <w:p w14:paraId="060AEE85" w14:textId="779AE538" w:rsidR="00CE64F4" w:rsidRPr="00CE64F4" w:rsidRDefault="003D7A5F">
          <w:pPr>
            <w:pStyle w:val="TOC2"/>
            <w:rPr>
              <w:rFonts w:asciiTheme="majorHAnsi" w:eastAsiaTheme="minorEastAsia" w:hAnsiTheme="majorHAnsi" w:cstheme="minorBidi"/>
              <w:sz w:val="20"/>
              <w:szCs w:val="20"/>
              <w:bdr w:val="none" w:sz="0" w:space="0" w:color="auto"/>
            </w:rPr>
          </w:pPr>
          <w:hyperlink w:anchor="_Toc56778649" w:history="1">
            <w:r w:rsidR="00CE64F4" w:rsidRPr="00CE64F4">
              <w:rPr>
                <w:rStyle w:val="Hyperlink"/>
                <w:rFonts w:asciiTheme="majorHAnsi" w:hAnsiTheme="majorHAnsi"/>
                <w:sz w:val="20"/>
                <w:szCs w:val="20"/>
              </w:rPr>
              <w:t>B.</w:t>
            </w:r>
            <w:r w:rsidR="00CE64F4" w:rsidRPr="00CE64F4">
              <w:rPr>
                <w:rFonts w:asciiTheme="majorHAnsi" w:eastAsiaTheme="minorEastAsia" w:hAnsiTheme="majorHAnsi" w:cstheme="minorBidi"/>
                <w:sz w:val="20"/>
                <w:szCs w:val="20"/>
                <w:bdr w:val="none" w:sz="0" w:space="0" w:color="auto"/>
              </w:rPr>
              <w:tab/>
            </w:r>
            <w:r w:rsidR="00CE64F4" w:rsidRPr="00CE64F4">
              <w:rPr>
                <w:rStyle w:val="Hyperlink"/>
                <w:rFonts w:asciiTheme="majorHAnsi" w:hAnsiTheme="majorHAnsi"/>
                <w:sz w:val="20"/>
                <w:szCs w:val="20"/>
              </w:rPr>
              <w:t>State</w:t>
            </w:r>
            <w:r w:rsidR="00CE64F4" w:rsidRPr="00CE64F4">
              <w:rPr>
                <w:rFonts w:asciiTheme="majorHAnsi" w:hAnsiTheme="majorHAnsi"/>
                <w:webHidden/>
                <w:sz w:val="20"/>
                <w:szCs w:val="20"/>
              </w:rPr>
              <w:tab/>
            </w:r>
            <w:r w:rsidR="00CE64F4" w:rsidRPr="00CE64F4">
              <w:rPr>
                <w:rFonts w:asciiTheme="majorHAnsi" w:hAnsiTheme="majorHAnsi"/>
                <w:webHidden/>
                <w:sz w:val="20"/>
                <w:szCs w:val="20"/>
              </w:rPr>
              <w:fldChar w:fldCharType="begin"/>
            </w:r>
            <w:r w:rsidR="00CE64F4" w:rsidRPr="00CE64F4">
              <w:rPr>
                <w:rFonts w:asciiTheme="majorHAnsi" w:hAnsiTheme="majorHAnsi"/>
                <w:webHidden/>
                <w:sz w:val="20"/>
                <w:szCs w:val="20"/>
              </w:rPr>
              <w:instrText xml:space="preserve"> PAGEREF _Toc56778649 \h </w:instrText>
            </w:r>
            <w:r w:rsidR="00CE64F4" w:rsidRPr="00CE64F4">
              <w:rPr>
                <w:rFonts w:asciiTheme="majorHAnsi" w:hAnsiTheme="majorHAnsi"/>
                <w:webHidden/>
                <w:sz w:val="20"/>
                <w:szCs w:val="20"/>
              </w:rPr>
            </w:r>
            <w:r w:rsidR="00CE64F4" w:rsidRPr="00CE64F4">
              <w:rPr>
                <w:rFonts w:asciiTheme="majorHAnsi" w:hAnsiTheme="majorHAnsi"/>
                <w:webHidden/>
                <w:sz w:val="20"/>
                <w:szCs w:val="20"/>
              </w:rPr>
              <w:fldChar w:fldCharType="separate"/>
            </w:r>
            <w:r>
              <w:rPr>
                <w:rFonts w:asciiTheme="majorHAnsi" w:hAnsiTheme="majorHAnsi"/>
                <w:webHidden/>
                <w:sz w:val="20"/>
                <w:szCs w:val="20"/>
              </w:rPr>
              <w:t>2</w:t>
            </w:r>
            <w:r w:rsidR="00CE64F4" w:rsidRPr="00CE64F4">
              <w:rPr>
                <w:rFonts w:asciiTheme="majorHAnsi" w:hAnsiTheme="majorHAnsi"/>
                <w:webHidden/>
                <w:sz w:val="20"/>
                <w:szCs w:val="20"/>
              </w:rPr>
              <w:fldChar w:fldCharType="end"/>
            </w:r>
          </w:hyperlink>
        </w:p>
        <w:p w14:paraId="6C6D23B4" w14:textId="3AB36CF5" w:rsidR="00CE64F4" w:rsidRPr="00CE64F4" w:rsidRDefault="003D7A5F">
          <w:pPr>
            <w:pStyle w:val="TOC1"/>
            <w:rPr>
              <w:rFonts w:eastAsiaTheme="minorEastAsia" w:cstheme="minorBidi"/>
              <w:b w:val="0"/>
              <w:bdr w:val="none" w:sz="0" w:space="0" w:color="auto"/>
              <w:lang w:val="en-US"/>
            </w:rPr>
          </w:pPr>
          <w:hyperlink w:anchor="_Toc56778650" w:history="1">
            <w:r w:rsidR="00CE64F4" w:rsidRPr="00CE64F4">
              <w:rPr>
                <w:rStyle w:val="Hyperlink"/>
              </w:rPr>
              <w:t>III.</w:t>
            </w:r>
            <w:r w:rsidR="00CE64F4" w:rsidRPr="00CE64F4">
              <w:rPr>
                <w:rFonts w:eastAsiaTheme="minorEastAsia" w:cstheme="minorBidi"/>
                <w:b w:val="0"/>
                <w:bdr w:val="none" w:sz="0" w:space="0" w:color="auto"/>
                <w:lang w:val="en-US"/>
              </w:rPr>
              <w:tab/>
            </w:r>
            <w:r w:rsidR="00CE64F4" w:rsidRPr="00CE64F4">
              <w:rPr>
                <w:rStyle w:val="Hyperlink"/>
              </w:rPr>
              <w:t>DETERMINATIONS OF FACT</w:t>
            </w:r>
            <w:r w:rsidR="00CE64F4" w:rsidRPr="00CE64F4">
              <w:rPr>
                <w:b w:val="0"/>
                <w:webHidden/>
              </w:rPr>
              <w:tab/>
            </w:r>
            <w:r w:rsidR="00CE64F4" w:rsidRPr="00CE64F4">
              <w:rPr>
                <w:b w:val="0"/>
                <w:webHidden/>
              </w:rPr>
              <w:fldChar w:fldCharType="begin"/>
            </w:r>
            <w:r w:rsidR="00CE64F4" w:rsidRPr="00CE64F4">
              <w:rPr>
                <w:b w:val="0"/>
                <w:webHidden/>
              </w:rPr>
              <w:instrText xml:space="preserve"> PAGEREF _Toc56778650 \h </w:instrText>
            </w:r>
            <w:r w:rsidR="00CE64F4" w:rsidRPr="00CE64F4">
              <w:rPr>
                <w:b w:val="0"/>
                <w:webHidden/>
              </w:rPr>
            </w:r>
            <w:r w:rsidR="00CE64F4" w:rsidRPr="00CE64F4">
              <w:rPr>
                <w:b w:val="0"/>
                <w:webHidden/>
              </w:rPr>
              <w:fldChar w:fldCharType="separate"/>
            </w:r>
            <w:r>
              <w:rPr>
                <w:b w:val="0"/>
                <w:webHidden/>
              </w:rPr>
              <w:t>4</w:t>
            </w:r>
            <w:r w:rsidR="00CE64F4" w:rsidRPr="00CE64F4">
              <w:rPr>
                <w:b w:val="0"/>
                <w:webHidden/>
              </w:rPr>
              <w:fldChar w:fldCharType="end"/>
            </w:r>
          </w:hyperlink>
        </w:p>
        <w:p w14:paraId="31FFA3DB" w14:textId="79B1660F" w:rsidR="00CE64F4" w:rsidRPr="00CE64F4" w:rsidRDefault="003D7A5F">
          <w:pPr>
            <w:pStyle w:val="TOC2"/>
            <w:rPr>
              <w:rFonts w:asciiTheme="majorHAnsi" w:eastAsiaTheme="minorEastAsia" w:hAnsiTheme="majorHAnsi" w:cstheme="minorBidi"/>
              <w:sz w:val="20"/>
              <w:szCs w:val="20"/>
              <w:bdr w:val="none" w:sz="0" w:space="0" w:color="auto"/>
            </w:rPr>
          </w:pPr>
          <w:hyperlink w:anchor="_Toc56778651" w:history="1">
            <w:r w:rsidR="00CE64F4" w:rsidRPr="00CE64F4">
              <w:rPr>
                <w:rStyle w:val="Hyperlink"/>
                <w:rFonts w:asciiTheme="majorHAnsi" w:hAnsiTheme="majorHAnsi"/>
                <w:sz w:val="20"/>
                <w:szCs w:val="20"/>
              </w:rPr>
              <w:t>A.</w:t>
            </w:r>
            <w:r w:rsidR="00CE64F4" w:rsidRPr="00CE64F4">
              <w:rPr>
                <w:rFonts w:asciiTheme="majorHAnsi" w:eastAsiaTheme="minorEastAsia" w:hAnsiTheme="majorHAnsi" w:cstheme="minorBidi"/>
                <w:sz w:val="20"/>
                <w:szCs w:val="20"/>
                <w:bdr w:val="none" w:sz="0" w:space="0" w:color="auto"/>
              </w:rPr>
              <w:tab/>
            </w:r>
            <w:r w:rsidR="00CE64F4" w:rsidRPr="00CE64F4">
              <w:rPr>
                <w:rStyle w:val="Hyperlink"/>
                <w:rFonts w:asciiTheme="majorHAnsi" w:hAnsiTheme="majorHAnsi"/>
                <w:sz w:val="20"/>
                <w:szCs w:val="20"/>
              </w:rPr>
              <w:t>General context of the concentration of power and undermining of the rule of law in Nicaragua</w:t>
            </w:r>
            <w:r w:rsidR="00CE64F4" w:rsidRPr="00CE64F4">
              <w:rPr>
                <w:rFonts w:asciiTheme="majorHAnsi" w:hAnsiTheme="majorHAnsi"/>
                <w:webHidden/>
                <w:sz w:val="20"/>
                <w:szCs w:val="20"/>
              </w:rPr>
              <w:tab/>
            </w:r>
            <w:r w:rsidR="00CE64F4" w:rsidRPr="00CE64F4">
              <w:rPr>
                <w:rFonts w:asciiTheme="majorHAnsi" w:hAnsiTheme="majorHAnsi"/>
                <w:webHidden/>
                <w:sz w:val="20"/>
                <w:szCs w:val="20"/>
              </w:rPr>
              <w:fldChar w:fldCharType="begin"/>
            </w:r>
            <w:r w:rsidR="00CE64F4" w:rsidRPr="00CE64F4">
              <w:rPr>
                <w:rFonts w:asciiTheme="majorHAnsi" w:hAnsiTheme="majorHAnsi"/>
                <w:webHidden/>
                <w:sz w:val="20"/>
                <w:szCs w:val="20"/>
              </w:rPr>
              <w:instrText xml:space="preserve"> PAGEREF _Toc56778651 \h </w:instrText>
            </w:r>
            <w:r w:rsidR="00CE64F4" w:rsidRPr="00CE64F4">
              <w:rPr>
                <w:rFonts w:asciiTheme="majorHAnsi" w:hAnsiTheme="majorHAnsi"/>
                <w:webHidden/>
                <w:sz w:val="20"/>
                <w:szCs w:val="20"/>
              </w:rPr>
            </w:r>
            <w:r w:rsidR="00CE64F4" w:rsidRPr="00CE64F4">
              <w:rPr>
                <w:rFonts w:asciiTheme="majorHAnsi" w:hAnsiTheme="majorHAnsi"/>
                <w:webHidden/>
                <w:sz w:val="20"/>
                <w:szCs w:val="20"/>
              </w:rPr>
              <w:fldChar w:fldCharType="separate"/>
            </w:r>
            <w:r>
              <w:rPr>
                <w:rFonts w:asciiTheme="majorHAnsi" w:hAnsiTheme="majorHAnsi"/>
                <w:webHidden/>
                <w:sz w:val="20"/>
                <w:szCs w:val="20"/>
              </w:rPr>
              <w:t>4</w:t>
            </w:r>
            <w:r w:rsidR="00CE64F4" w:rsidRPr="00CE64F4">
              <w:rPr>
                <w:rFonts w:asciiTheme="majorHAnsi" w:hAnsiTheme="majorHAnsi"/>
                <w:webHidden/>
                <w:sz w:val="20"/>
                <w:szCs w:val="20"/>
              </w:rPr>
              <w:fldChar w:fldCharType="end"/>
            </w:r>
          </w:hyperlink>
        </w:p>
        <w:p w14:paraId="373DDEF4" w14:textId="5147B559" w:rsidR="00CE64F4" w:rsidRPr="00CE64F4" w:rsidRDefault="003D7A5F">
          <w:pPr>
            <w:pStyle w:val="TOC2"/>
            <w:rPr>
              <w:rFonts w:asciiTheme="majorHAnsi" w:eastAsiaTheme="minorEastAsia" w:hAnsiTheme="majorHAnsi" w:cstheme="minorBidi"/>
              <w:sz w:val="20"/>
              <w:szCs w:val="20"/>
              <w:bdr w:val="none" w:sz="0" w:space="0" w:color="auto"/>
            </w:rPr>
          </w:pPr>
          <w:hyperlink w:anchor="_Toc56778652" w:history="1">
            <w:r w:rsidR="00CE64F4" w:rsidRPr="00CE64F4">
              <w:rPr>
                <w:rStyle w:val="Hyperlink"/>
                <w:rFonts w:asciiTheme="majorHAnsi" w:hAnsiTheme="majorHAnsi"/>
                <w:sz w:val="20"/>
                <w:szCs w:val="20"/>
              </w:rPr>
              <w:t>B.</w:t>
            </w:r>
            <w:r w:rsidR="00CE64F4" w:rsidRPr="00CE64F4">
              <w:rPr>
                <w:rFonts w:asciiTheme="majorHAnsi" w:eastAsiaTheme="minorEastAsia" w:hAnsiTheme="majorHAnsi" w:cstheme="minorBidi"/>
                <w:sz w:val="20"/>
                <w:szCs w:val="20"/>
                <w:bdr w:val="none" w:sz="0" w:space="0" w:color="auto"/>
              </w:rPr>
              <w:tab/>
            </w:r>
            <w:r w:rsidR="00CE64F4" w:rsidRPr="00CE64F4">
              <w:rPr>
                <w:rStyle w:val="Hyperlink"/>
                <w:rFonts w:asciiTheme="majorHAnsi" w:hAnsiTheme="majorHAnsi"/>
                <w:sz w:val="20"/>
                <w:szCs w:val="20"/>
              </w:rPr>
              <w:t>Relevant regulatory framework and background to the instant case</w:t>
            </w:r>
            <w:r w:rsidR="00CE64F4" w:rsidRPr="00CE64F4">
              <w:rPr>
                <w:rFonts w:asciiTheme="majorHAnsi" w:hAnsiTheme="majorHAnsi"/>
                <w:webHidden/>
                <w:sz w:val="20"/>
                <w:szCs w:val="20"/>
              </w:rPr>
              <w:tab/>
            </w:r>
            <w:r w:rsidR="00CE64F4" w:rsidRPr="00CE64F4">
              <w:rPr>
                <w:rFonts w:asciiTheme="majorHAnsi" w:hAnsiTheme="majorHAnsi"/>
                <w:webHidden/>
                <w:sz w:val="20"/>
                <w:szCs w:val="20"/>
              </w:rPr>
              <w:fldChar w:fldCharType="begin"/>
            </w:r>
            <w:r w:rsidR="00CE64F4" w:rsidRPr="00CE64F4">
              <w:rPr>
                <w:rFonts w:asciiTheme="majorHAnsi" w:hAnsiTheme="majorHAnsi"/>
                <w:webHidden/>
                <w:sz w:val="20"/>
                <w:szCs w:val="20"/>
              </w:rPr>
              <w:instrText xml:space="preserve"> PAGEREF _Toc56778652 \h </w:instrText>
            </w:r>
            <w:r w:rsidR="00CE64F4" w:rsidRPr="00CE64F4">
              <w:rPr>
                <w:rFonts w:asciiTheme="majorHAnsi" w:hAnsiTheme="majorHAnsi"/>
                <w:webHidden/>
                <w:sz w:val="20"/>
                <w:szCs w:val="20"/>
              </w:rPr>
            </w:r>
            <w:r w:rsidR="00CE64F4" w:rsidRPr="00CE64F4">
              <w:rPr>
                <w:rFonts w:asciiTheme="majorHAnsi" w:hAnsiTheme="majorHAnsi"/>
                <w:webHidden/>
                <w:sz w:val="20"/>
                <w:szCs w:val="20"/>
              </w:rPr>
              <w:fldChar w:fldCharType="separate"/>
            </w:r>
            <w:r>
              <w:rPr>
                <w:rFonts w:asciiTheme="majorHAnsi" w:hAnsiTheme="majorHAnsi"/>
                <w:webHidden/>
                <w:sz w:val="20"/>
                <w:szCs w:val="20"/>
              </w:rPr>
              <w:t>5</w:t>
            </w:r>
            <w:r w:rsidR="00CE64F4" w:rsidRPr="00CE64F4">
              <w:rPr>
                <w:rFonts w:asciiTheme="majorHAnsi" w:hAnsiTheme="majorHAnsi"/>
                <w:webHidden/>
                <w:sz w:val="20"/>
                <w:szCs w:val="20"/>
              </w:rPr>
              <w:fldChar w:fldCharType="end"/>
            </w:r>
          </w:hyperlink>
        </w:p>
        <w:p w14:paraId="5B9EFAAD" w14:textId="25798194" w:rsidR="00CE64F4" w:rsidRPr="00CE64F4" w:rsidRDefault="003D7A5F">
          <w:pPr>
            <w:pStyle w:val="TOC2"/>
            <w:rPr>
              <w:rFonts w:asciiTheme="majorHAnsi" w:eastAsiaTheme="minorEastAsia" w:hAnsiTheme="majorHAnsi" w:cstheme="minorBidi"/>
              <w:sz w:val="20"/>
              <w:szCs w:val="20"/>
              <w:bdr w:val="none" w:sz="0" w:space="0" w:color="auto"/>
            </w:rPr>
          </w:pPr>
          <w:hyperlink w:anchor="_Toc56778653" w:history="1">
            <w:r w:rsidR="00CE64F4" w:rsidRPr="00CE64F4">
              <w:rPr>
                <w:rStyle w:val="Hyperlink"/>
                <w:rFonts w:asciiTheme="majorHAnsi" w:hAnsiTheme="majorHAnsi"/>
                <w:sz w:val="20"/>
                <w:szCs w:val="20"/>
              </w:rPr>
              <w:t>C.</w:t>
            </w:r>
            <w:r w:rsidR="00CE64F4" w:rsidRPr="00CE64F4">
              <w:rPr>
                <w:rFonts w:asciiTheme="majorHAnsi" w:eastAsiaTheme="minorEastAsia" w:hAnsiTheme="majorHAnsi" w:cstheme="minorBidi"/>
                <w:sz w:val="20"/>
                <w:szCs w:val="20"/>
                <w:bdr w:val="none" w:sz="0" w:space="0" w:color="auto"/>
              </w:rPr>
              <w:tab/>
            </w:r>
            <w:r w:rsidR="00CE64F4" w:rsidRPr="00CE64F4">
              <w:rPr>
                <w:rStyle w:val="Hyperlink"/>
                <w:rFonts w:asciiTheme="majorHAnsi" w:hAnsiTheme="majorHAnsi"/>
                <w:sz w:val="20"/>
                <w:szCs w:val="20"/>
              </w:rPr>
              <w:t>Facts of the instant case</w:t>
            </w:r>
            <w:r w:rsidR="00CE64F4" w:rsidRPr="00CE64F4">
              <w:rPr>
                <w:rFonts w:asciiTheme="majorHAnsi" w:hAnsiTheme="majorHAnsi"/>
                <w:webHidden/>
                <w:sz w:val="20"/>
                <w:szCs w:val="20"/>
              </w:rPr>
              <w:tab/>
            </w:r>
            <w:r w:rsidR="00CE64F4" w:rsidRPr="00CE64F4">
              <w:rPr>
                <w:rFonts w:asciiTheme="majorHAnsi" w:hAnsiTheme="majorHAnsi"/>
                <w:webHidden/>
                <w:sz w:val="20"/>
                <w:szCs w:val="20"/>
              </w:rPr>
              <w:fldChar w:fldCharType="begin"/>
            </w:r>
            <w:r w:rsidR="00CE64F4" w:rsidRPr="00CE64F4">
              <w:rPr>
                <w:rFonts w:asciiTheme="majorHAnsi" w:hAnsiTheme="majorHAnsi"/>
                <w:webHidden/>
                <w:sz w:val="20"/>
                <w:szCs w:val="20"/>
              </w:rPr>
              <w:instrText xml:space="preserve"> PAGEREF _Toc56778653 \h </w:instrText>
            </w:r>
            <w:r w:rsidR="00CE64F4" w:rsidRPr="00CE64F4">
              <w:rPr>
                <w:rFonts w:asciiTheme="majorHAnsi" w:hAnsiTheme="majorHAnsi"/>
                <w:webHidden/>
                <w:sz w:val="20"/>
                <w:szCs w:val="20"/>
              </w:rPr>
            </w:r>
            <w:r w:rsidR="00CE64F4" w:rsidRPr="00CE64F4">
              <w:rPr>
                <w:rFonts w:asciiTheme="majorHAnsi" w:hAnsiTheme="majorHAnsi"/>
                <w:webHidden/>
                <w:sz w:val="20"/>
                <w:szCs w:val="20"/>
              </w:rPr>
              <w:fldChar w:fldCharType="separate"/>
            </w:r>
            <w:r>
              <w:rPr>
                <w:rFonts w:asciiTheme="majorHAnsi" w:hAnsiTheme="majorHAnsi"/>
                <w:webHidden/>
                <w:sz w:val="20"/>
                <w:szCs w:val="20"/>
              </w:rPr>
              <w:t>8</w:t>
            </w:r>
            <w:r w:rsidR="00CE64F4" w:rsidRPr="00CE64F4">
              <w:rPr>
                <w:rFonts w:asciiTheme="majorHAnsi" w:hAnsiTheme="majorHAnsi"/>
                <w:webHidden/>
                <w:sz w:val="20"/>
                <w:szCs w:val="20"/>
              </w:rPr>
              <w:fldChar w:fldCharType="end"/>
            </w:r>
          </w:hyperlink>
        </w:p>
        <w:p w14:paraId="7D0395FC" w14:textId="068B6284" w:rsidR="00CE64F4" w:rsidRPr="00CE64F4" w:rsidRDefault="003D7A5F">
          <w:pPr>
            <w:pStyle w:val="TOC2"/>
            <w:rPr>
              <w:rFonts w:asciiTheme="majorHAnsi" w:eastAsiaTheme="minorEastAsia" w:hAnsiTheme="majorHAnsi" w:cstheme="minorBidi"/>
              <w:sz w:val="20"/>
              <w:szCs w:val="20"/>
              <w:bdr w:val="none" w:sz="0" w:space="0" w:color="auto"/>
            </w:rPr>
          </w:pPr>
          <w:hyperlink w:anchor="_Toc56778654" w:history="1">
            <w:r w:rsidR="00CE64F4" w:rsidRPr="00CE64F4">
              <w:rPr>
                <w:rStyle w:val="Hyperlink"/>
                <w:rFonts w:asciiTheme="majorHAnsi" w:hAnsiTheme="majorHAnsi"/>
                <w:sz w:val="20"/>
                <w:szCs w:val="20"/>
              </w:rPr>
              <w:t>D.</w:t>
            </w:r>
            <w:r w:rsidR="00CE64F4" w:rsidRPr="00CE64F4">
              <w:rPr>
                <w:rFonts w:asciiTheme="majorHAnsi" w:eastAsiaTheme="minorEastAsia" w:hAnsiTheme="majorHAnsi" w:cstheme="minorBidi"/>
                <w:sz w:val="20"/>
                <w:szCs w:val="20"/>
                <w:bdr w:val="none" w:sz="0" w:space="0" w:color="auto"/>
              </w:rPr>
              <w:tab/>
            </w:r>
            <w:r w:rsidR="00CE64F4" w:rsidRPr="00CE64F4">
              <w:rPr>
                <w:rStyle w:val="Hyperlink"/>
                <w:rFonts w:asciiTheme="majorHAnsi" w:hAnsiTheme="majorHAnsi"/>
                <w:sz w:val="20"/>
                <w:szCs w:val="20"/>
              </w:rPr>
              <w:t>Report on irregularities in the 2011 elections</w:t>
            </w:r>
            <w:r w:rsidR="00CE64F4" w:rsidRPr="00CE64F4">
              <w:rPr>
                <w:rFonts w:asciiTheme="majorHAnsi" w:hAnsiTheme="majorHAnsi"/>
                <w:webHidden/>
                <w:sz w:val="20"/>
                <w:szCs w:val="20"/>
              </w:rPr>
              <w:tab/>
            </w:r>
            <w:r w:rsidR="00CE64F4" w:rsidRPr="00CE64F4">
              <w:rPr>
                <w:rFonts w:asciiTheme="majorHAnsi" w:hAnsiTheme="majorHAnsi"/>
                <w:webHidden/>
                <w:sz w:val="20"/>
                <w:szCs w:val="20"/>
              </w:rPr>
              <w:fldChar w:fldCharType="begin"/>
            </w:r>
            <w:r w:rsidR="00CE64F4" w:rsidRPr="00CE64F4">
              <w:rPr>
                <w:rFonts w:asciiTheme="majorHAnsi" w:hAnsiTheme="majorHAnsi"/>
                <w:webHidden/>
                <w:sz w:val="20"/>
                <w:szCs w:val="20"/>
              </w:rPr>
              <w:instrText xml:space="preserve"> PAGEREF _Toc56778654 \h </w:instrText>
            </w:r>
            <w:r w:rsidR="00CE64F4" w:rsidRPr="00CE64F4">
              <w:rPr>
                <w:rFonts w:asciiTheme="majorHAnsi" w:hAnsiTheme="majorHAnsi"/>
                <w:webHidden/>
                <w:sz w:val="20"/>
                <w:szCs w:val="20"/>
              </w:rPr>
            </w:r>
            <w:r w:rsidR="00CE64F4" w:rsidRPr="00CE64F4">
              <w:rPr>
                <w:rFonts w:asciiTheme="majorHAnsi" w:hAnsiTheme="majorHAnsi"/>
                <w:webHidden/>
                <w:sz w:val="20"/>
                <w:szCs w:val="20"/>
              </w:rPr>
              <w:fldChar w:fldCharType="separate"/>
            </w:r>
            <w:r>
              <w:rPr>
                <w:rFonts w:asciiTheme="majorHAnsi" w:hAnsiTheme="majorHAnsi"/>
                <w:webHidden/>
                <w:sz w:val="20"/>
                <w:szCs w:val="20"/>
              </w:rPr>
              <w:t>9</w:t>
            </w:r>
            <w:r w:rsidR="00CE64F4" w:rsidRPr="00CE64F4">
              <w:rPr>
                <w:rFonts w:asciiTheme="majorHAnsi" w:hAnsiTheme="majorHAnsi"/>
                <w:webHidden/>
                <w:sz w:val="20"/>
                <w:szCs w:val="20"/>
              </w:rPr>
              <w:fldChar w:fldCharType="end"/>
            </w:r>
          </w:hyperlink>
        </w:p>
        <w:p w14:paraId="0D9DEE45" w14:textId="6F10247C" w:rsidR="00CE64F4" w:rsidRPr="00CE64F4" w:rsidRDefault="003D7A5F">
          <w:pPr>
            <w:pStyle w:val="TOC1"/>
            <w:rPr>
              <w:rFonts w:eastAsiaTheme="minorEastAsia" w:cstheme="minorBidi"/>
              <w:b w:val="0"/>
              <w:bdr w:val="none" w:sz="0" w:space="0" w:color="auto"/>
              <w:lang w:val="en-US"/>
            </w:rPr>
          </w:pPr>
          <w:hyperlink w:anchor="_Toc56778655" w:history="1">
            <w:r w:rsidR="00CE64F4" w:rsidRPr="00CE64F4">
              <w:rPr>
                <w:rStyle w:val="Hyperlink"/>
              </w:rPr>
              <w:t>IV.</w:t>
            </w:r>
            <w:r w:rsidR="00CE64F4" w:rsidRPr="00CE64F4">
              <w:rPr>
                <w:rFonts w:eastAsiaTheme="minorEastAsia" w:cstheme="minorBidi"/>
                <w:b w:val="0"/>
                <w:bdr w:val="none" w:sz="0" w:space="0" w:color="auto"/>
                <w:lang w:val="en-US"/>
              </w:rPr>
              <w:tab/>
            </w:r>
            <w:r w:rsidR="00CE64F4" w:rsidRPr="00CE64F4">
              <w:rPr>
                <w:rStyle w:val="Hyperlink"/>
              </w:rPr>
              <w:t>DETERMINATIONS OF LAW</w:t>
            </w:r>
            <w:r w:rsidR="00CE64F4" w:rsidRPr="00CE64F4">
              <w:rPr>
                <w:b w:val="0"/>
                <w:webHidden/>
              </w:rPr>
              <w:tab/>
            </w:r>
            <w:r w:rsidR="00CE64F4" w:rsidRPr="00CE64F4">
              <w:rPr>
                <w:b w:val="0"/>
                <w:webHidden/>
              </w:rPr>
              <w:fldChar w:fldCharType="begin"/>
            </w:r>
            <w:r w:rsidR="00CE64F4" w:rsidRPr="00CE64F4">
              <w:rPr>
                <w:b w:val="0"/>
                <w:webHidden/>
              </w:rPr>
              <w:instrText xml:space="preserve"> PAGEREF _Toc56778655 \h </w:instrText>
            </w:r>
            <w:r w:rsidR="00CE64F4" w:rsidRPr="00CE64F4">
              <w:rPr>
                <w:b w:val="0"/>
                <w:webHidden/>
              </w:rPr>
            </w:r>
            <w:r w:rsidR="00CE64F4" w:rsidRPr="00CE64F4">
              <w:rPr>
                <w:b w:val="0"/>
                <w:webHidden/>
              </w:rPr>
              <w:fldChar w:fldCharType="separate"/>
            </w:r>
            <w:r>
              <w:rPr>
                <w:b w:val="0"/>
                <w:webHidden/>
              </w:rPr>
              <w:t>11</w:t>
            </w:r>
            <w:r w:rsidR="00CE64F4" w:rsidRPr="00CE64F4">
              <w:rPr>
                <w:b w:val="0"/>
                <w:webHidden/>
              </w:rPr>
              <w:fldChar w:fldCharType="end"/>
            </w:r>
          </w:hyperlink>
        </w:p>
        <w:p w14:paraId="7ECA7B25" w14:textId="20BFA47C" w:rsidR="00CE64F4" w:rsidRPr="00CE64F4" w:rsidRDefault="003D7A5F">
          <w:pPr>
            <w:pStyle w:val="TOC2"/>
            <w:rPr>
              <w:rFonts w:asciiTheme="majorHAnsi" w:eastAsiaTheme="minorEastAsia" w:hAnsiTheme="majorHAnsi" w:cstheme="minorBidi"/>
              <w:sz w:val="20"/>
              <w:szCs w:val="20"/>
              <w:bdr w:val="none" w:sz="0" w:space="0" w:color="auto"/>
            </w:rPr>
          </w:pPr>
          <w:hyperlink w:anchor="_Toc56778656" w:history="1">
            <w:r w:rsidR="00CE64F4" w:rsidRPr="00CE64F4">
              <w:rPr>
                <w:rStyle w:val="Hyperlink"/>
                <w:rFonts w:asciiTheme="majorHAnsi" w:hAnsiTheme="majorHAnsi"/>
                <w:sz w:val="20"/>
                <w:szCs w:val="20"/>
              </w:rPr>
              <w:t>A.</w:t>
            </w:r>
            <w:r w:rsidR="00CE64F4" w:rsidRPr="00CE64F4">
              <w:rPr>
                <w:rFonts w:asciiTheme="majorHAnsi" w:eastAsiaTheme="minorEastAsia" w:hAnsiTheme="majorHAnsi" w:cstheme="minorBidi"/>
                <w:sz w:val="20"/>
                <w:szCs w:val="20"/>
                <w:bdr w:val="none" w:sz="0" w:space="0" w:color="auto"/>
              </w:rPr>
              <w:tab/>
            </w:r>
            <w:r w:rsidR="00CE64F4" w:rsidRPr="00CE64F4">
              <w:rPr>
                <w:rStyle w:val="Hyperlink"/>
                <w:rFonts w:asciiTheme="majorHAnsi" w:hAnsiTheme="majorHAnsi"/>
                <w:sz w:val="20"/>
                <w:szCs w:val="20"/>
              </w:rPr>
              <w:t>Political rights</w:t>
            </w:r>
            <w:r w:rsidR="00CE64F4" w:rsidRPr="00CE64F4">
              <w:rPr>
                <w:rFonts w:asciiTheme="majorHAnsi" w:hAnsiTheme="majorHAnsi"/>
                <w:webHidden/>
                <w:sz w:val="20"/>
                <w:szCs w:val="20"/>
              </w:rPr>
              <w:tab/>
            </w:r>
            <w:r w:rsidR="00CE64F4" w:rsidRPr="00CE64F4">
              <w:rPr>
                <w:rFonts w:asciiTheme="majorHAnsi" w:hAnsiTheme="majorHAnsi"/>
                <w:webHidden/>
                <w:sz w:val="20"/>
                <w:szCs w:val="20"/>
              </w:rPr>
              <w:fldChar w:fldCharType="begin"/>
            </w:r>
            <w:r w:rsidR="00CE64F4" w:rsidRPr="00CE64F4">
              <w:rPr>
                <w:rFonts w:asciiTheme="majorHAnsi" w:hAnsiTheme="majorHAnsi"/>
                <w:webHidden/>
                <w:sz w:val="20"/>
                <w:szCs w:val="20"/>
              </w:rPr>
              <w:instrText xml:space="preserve"> PAGEREF _Toc56778656 \h </w:instrText>
            </w:r>
            <w:r w:rsidR="00CE64F4" w:rsidRPr="00CE64F4">
              <w:rPr>
                <w:rFonts w:asciiTheme="majorHAnsi" w:hAnsiTheme="majorHAnsi"/>
                <w:webHidden/>
                <w:sz w:val="20"/>
                <w:szCs w:val="20"/>
              </w:rPr>
            </w:r>
            <w:r w:rsidR="00CE64F4" w:rsidRPr="00CE64F4">
              <w:rPr>
                <w:rFonts w:asciiTheme="majorHAnsi" w:hAnsiTheme="majorHAnsi"/>
                <w:webHidden/>
                <w:sz w:val="20"/>
                <w:szCs w:val="20"/>
              </w:rPr>
              <w:fldChar w:fldCharType="separate"/>
            </w:r>
            <w:r>
              <w:rPr>
                <w:rFonts w:asciiTheme="majorHAnsi" w:hAnsiTheme="majorHAnsi"/>
                <w:webHidden/>
                <w:sz w:val="20"/>
                <w:szCs w:val="20"/>
              </w:rPr>
              <w:t>11</w:t>
            </w:r>
            <w:r w:rsidR="00CE64F4" w:rsidRPr="00CE64F4">
              <w:rPr>
                <w:rFonts w:asciiTheme="majorHAnsi" w:hAnsiTheme="majorHAnsi"/>
                <w:webHidden/>
                <w:sz w:val="20"/>
                <w:szCs w:val="20"/>
              </w:rPr>
              <w:fldChar w:fldCharType="end"/>
            </w:r>
          </w:hyperlink>
        </w:p>
        <w:p w14:paraId="38E32F7B" w14:textId="299168A7" w:rsidR="00CE64F4" w:rsidRPr="00CE64F4" w:rsidRDefault="003D7A5F">
          <w:pPr>
            <w:pStyle w:val="TOC3"/>
            <w:rPr>
              <w:rFonts w:asciiTheme="majorHAnsi" w:eastAsiaTheme="minorEastAsia" w:hAnsiTheme="majorHAnsi" w:cstheme="minorBidi"/>
              <w:noProof/>
              <w:sz w:val="20"/>
              <w:szCs w:val="20"/>
              <w:bdr w:val="none" w:sz="0" w:space="0" w:color="auto"/>
            </w:rPr>
          </w:pPr>
          <w:hyperlink w:anchor="_Toc56778657" w:history="1">
            <w:r w:rsidR="00CE64F4" w:rsidRPr="00CE64F4">
              <w:rPr>
                <w:rStyle w:val="Hyperlink"/>
                <w:rFonts w:asciiTheme="majorHAnsi" w:hAnsiTheme="majorHAnsi"/>
                <w:noProof/>
                <w:sz w:val="20"/>
                <w:szCs w:val="20"/>
              </w:rPr>
              <w:t>1.</w:t>
            </w:r>
            <w:r w:rsidR="00CE64F4" w:rsidRPr="00CE64F4">
              <w:rPr>
                <w:rFonts w:asciiTheme="majorHAnsi" w:eastAsiaTheme="minorEastAsia" w:hAnsiTheme="majorHAnsi" w:cstheme="minorBidi"/>
                <w:noProof/>
                <w:sz w:val="20"/>
                <w:szCs w:val="20"/>
                <w:bdr w:val="none" w:sz="0" w:space="0" w:color="auto"/>
              </w:rPr>
              <w:tab/>
            </w:r>
            <w:r w:rsidR="00CE64F4" w:rsidRPr="00CE64F4">
              <w:rPr>
                <w:rStyle w:val="Hyperlink"/>
                <w:rFonts w:asciiTheme="majorHAnsi" w:hAnsiTheme="majorHAnsi"/>
                <w:noProof/>
                <w:sz w:val="20"/>
                <w:szCs w:val="20"/>
              </w:rPr>
              <w:t>General standards on the right to political participation on equal terms</w:t>
            </w:r>
            <w:r w:rsidR="00CE64F4" w:rsidRPr="00CE64F4">
              <w:rPr>
                <w:rFonts w:asciiTheme="majorHAnsi" w:hAnsiTheme="majorHAnsi"/>
                <w:noProof/>
                <w:webHidden/>
                <w:sz w:val="20"/>
                <w:szCs w:val="20"/>
              </w:rPr>
              <w:tab/>
            </w:r>
            <w:r w:rsidR="00CE64F4" w:rsidRPr="00CE64F4">
              <w:rPr>
                <w:rFonts w:asciiTheme="majorHAnsi" w:hAnsiTheme="majorHAnsi"/>
                <w:noProof/>
                <w:webHidden/>
                <w:sz w:val="20"/>
                <w:szCs w:val="20"/>
              </w:rPr>
              <w:fldChar w:fldCharType="begin"/>
            </w:r>
            <w:r w:rsidR="00CE64F4" w:rsidRPr="00CE64F4">
              <w:rPr>
                <w:rFonts w:asciiTheme="majorHAnsi" w:hAnsiTheme="majorHAnsi"/>
                <w:noProof/>
                <w:webHidden/>
                <w:sz w:val="20"/>
                <w:szCs w:val="20"/>
              </w:rPr>
              <w:instrText xml:space="preserve"> PAGEREF _Toc56778657 \h </w:instrText>
            </w:r>
            <w:r w:rsidR="00CE64F4" w:rsidRPr="00CE64F4">
              <w:rPr>
                <w:rFonts w:asciiTheme="majorHAnsi" w:hAnsiTheme="majorHAnsi"/>
                <w:noProof/>
                <w:webHidden/>
                <w:sz w:val="20"/>
                <w:szCs w:val="20"/>
              </w:rPr>
            </w:r>
            <w:r w:rsidR="00CE64F4" w:rsidRPr="00CE64F4">
              <w:rPr>
                <w:rFonts w:asciiTheme="majorHAnsi" w:hAnsiTheme="majorHAnsi"/>
                <w:noProof/>
                <w:webHidden/>
                <w:sz w:val="20"/>
                <w:szCs w:val="20"/>
              </w:rPr>
              <w:fldChar w:fldCharType="separate"/>
            </w:r>
            <w:r>
              <w:rPr>
                <w:rFonts w:asciiTheme="majorHAnsi" w:hAnsiTheme="majorHAnsi"/>
                <w:noProof/>
                <w:webHidden/>
                <w:sz w:val="20"/>
                <w:szCs w:val="20"/>
              </w:rPr>
              <w:t>11</w:t>
            </w:r>
            <w:r w:rsidR="00CE64F4" w:rsidRPr="00CE64F4">
              <w:rPr>
                <w:rFonts w:asciiTheme="majorHAnsi" w:hAnsiTheme="majorHAnsi"/>
                <w:noProof/>
                <w:webHidden/>
                <w:sz w:val="20"/>
                <w:szCs w:val="20"/>
              </w:rPr>
              <w:fldChar w:fldCharType="end"/>
            </w:r>
          </w:hyperlink>
        </w:p>
        <w:p w14:paraId="7EA15107" w14:textId="2BB3994C" w:rsidR="00CE64F4" w:rsidRPr="00CE64F4" w:rsidRDefault="003D7A5F">
          <w:pPr>
            <w:pStyle w:val="TOC3"/>
            <w:rPr>
              <w:rFonts w:asciiTheme="majorHAnsi" w:eastAsiaTheme="minorEastAsia" w:hAnsiTheme="majorHAnsi" w:cstheme="minorBidi"/>
              <w:noProof/>
              <w:sz w:val="20"/>
              <w:szCs w:val="20"/>
              <w:bdr w:val="none" w:sz="0" w:space="0" w:color="auto"/>
            </w:rPr>
          </w:pPr>
          <w:hyperlink w:anchor="_Toc56778658" w:history="1">
            <w:r w:rsidR="00CE64F4" w:rsidRPr="00CE64F4">
              <w:rPr>
                <w:rStyle w:val="Hyperlink"/>
                <w:rFonts w:asciiTheme="majorHAnsi" w:hAnsiTheme="majorHAnsi"/>
                <w:noProof/>
                <w:sz w:val="20"/>
                <w:szCs w:val="20"/>
              </w:rPr>
              <w:t>2.</w:t>
            </w:r>
            <w:r w:rsidR="00CE64F4" w:rsidRPr="00CE64F4">
              <w:rPr>
                <w:rFonts w:asciiTheme="majorHAnsi" w:eastAsiaTheme="minorEastAsia" w:hAnsiTheme="majorHAnsi" w:cstheme="minorBidi"/>
                <w:noProof/>
                <w:sz w:val="20"/>
                <w:szCs w:val="20"/>
                <w:bdr w:val="none" w:sz="0" w:space="0" w:color="auto"/>
              </w:rPr>
              <w:tab/>
            </w:r>
            <w:r w:rsidR="00CE64F4" w:rsidRPr="00CE64F4">
              <w:rPr>
                <w:rStyle w:val="Hyperlink"/>
                <w:rFonts w:asciiTheme="majorHAnsi" w:hAnsiTheme="majorHAnsi"/>
                <w:noProof/>
                <w:sz w:val="20"/>
                <w:szCs w:val="20"/>
              </w:rPr>
              <w:t>Factors linked to possible advantages in general conditions, as well as the election’s organization and implementation</w:t>
            </w:r>
            <w:r w:rsidR="00CE64F4" w:rsidRPr="00CE64F4">
              <w:rPr>
                <w:rFonts w:asciiTheme="majorHAnsi" w:hAnsiTheme="majorHAnsi"/>
                <w:noProof/>
                <w:webHidden/>
                <w:sz w:val="20"/>
                <w:szCs w:val="20"/>
              </w:rPr>
              <w:tab/>
            </w:r>
            <w:r w:rsidR="00CE64F4" w:rsidRPr="00CE64F4">
              <w:rPr>
                <w:rFonts w:asciiTheme="majorHAnsi" w:hAnsiTheme="majorHAnsi"/>
                <w:noProof/>
                <w:webHidden/>
                <w:sz w:val="20"/>
                <w:szCs w:val="20"/>
              </w:rPr>
              <w:fldChar w:fldCharType="begin"/>
            </w:r>
            <w:r w:rsidR="00CE64F4" w:rsidRPr="00CE64F4">
              <w:rPr>
                <w:rFonts w:asciiTheme="majorHAnsi" w:hAnsiTheme="majorHAnsi"/>
                <w:noProof/>
                <w:webHidden/>
                <w:sz w:val="20"/>
                <w:szCs w:val="20"/>
              </w:rPr>
              <w:instrText xml:space="preserve"> PAGEREF _Toc56778658 \h </w:instrText>
            </w:r>
            <w:r w:rsidR="00CE64F4" w:rsidRPr="00CE64F4">
              <w:rPr>
                <w:rFonts w:asciiTheme="majorHAnsi" w:hAnsiTheme="majorHAnsi"/>
                <w:noProof/>
                <w:webHidden/>
                <w:sz w:val="20"/>
                <w:szCs w:val="20"/>
              </w:rPr>
            </w:r>
            <w:r w:rsidR="00CE64F4" w:rsidRPr="00CE64F4">
              <w:rPr>
                <w:rFonts w:asciiTheme="majorHAnsi" w:hAnsiTheme="majorHAnsi"/>
                <w:noProof/>
                <w:webHidden/>
                <w:sz w:val="20"/>
                <w:szCs w:val="20"/>
              </w:rPr>
              <w:fldChar w:fldCharType="separate"/>
            </w:r>
            <w:r>
              <w:rPr>
                <w:rFonts w:asciiTheme="majorHAnsi" w:hAnsiTheme="majorHAnsi"/>
                <w:noProof/>
                <w:webHidden/>
                <w:sz w:val="20"/>
                <w:szCs w:val="20"/>
              </w:rPr>
              <w:t>13</w:t>
            </w:r>
            <w:r w:rsidR="00CE64F4" w:rsidRPr="00CE64F4">
              <w:rPr>
                <w:rFonts w:asciiTheme="majorHAnsi" w:hAnsiTheme="majorHAnsi"/>
                <w:noProof/>
                <w:webHidden/>
                <w:sz w:val="20"/>
                <w:szCs w:val="20"/>
              </w:rPr>
              <w:fldChar w:fldCharType="end"/>
            </w:r>
          </w:hyperlink>
        </w:p>
        <w:p w14:paraId="0DAE8776" w14:textId="18E16F3F" w:rsidR="00CE64F4" w:rsidRPr="00CE64F4" w:rsidRDefault="003D7A5F">
          <w:pPr>
            <w:pStyle w:val="TOC3"/>
            <w:rPr>
              <w:rFonts w:asciiTheme="majorHAnsi" w:eastAsiaTheme="minorEastAsia" w:hAnsiTheme="majorHAnsi" w:cstheme="minorBidi"/>
              <w:noProof/>
              <w:sz w:val="20"/>
              <w:szCs w:val="20"/>
              <w:bdr w:val="none" w:sz="0" w:space="0" w:color="auto"/>
            </w:rPr>
          </w:pPr>
          <w:hyperlink w:anchor="_Toc56778659" w:history="1">
            <w:r w:rsidR="00CE64F4" w:rsidRPr="00CE64F4">
              <w:rPr>
                <w:rStyle w:val="Hyperlink"/>
                <w:rFonts w:asciiTheme="majorHAnsi" w:hAnsiTheme="majorHAnsi"/>
                <w:noProof/>
                <w:sz w:val="20"/>
                <w:szCs w:val="20"/>
              </w:rPr>
              <w:t>3.</w:t>
            </w:r>
            <w:r w:rsidR="00CE64F4" w:rsidRPr="00CE64F4">
              <w:rPr>
                <w:rFonts w:asciiTheme="majorHAnsi" w:eastAsiaTheme="minorEastAsia" w:hAnsiTheme="majorHAnsi" w:cstheme="minorBidi"/>
                <w:noProof/>
                <w:sz w:val="20"/>
                <w:szCs w:val="20"/>
                <w:bdr w:val="none" w:sz="0" w:space="0" w:color="auto"/>
              </w:rPr>
              <w:tab/>
            </w:r>
            <w:r w:rsidR="00CE64F4" w:rsidRPr="00CE64F4">
              <w:rPr>
                <w:rStyle w:val="Hyperlink"/>
                <w:rFonts w:asciiTheme="majorHAnsi" w:hAnsiTheme="majorHAnsi"/>
                <w:noProof/>
                <w:sz w:val="20"/>
                <w:szCs w:val="20"/>
              </w:rPr>
              <w:t>Analysis of the instant case</w:t>
            </w:r>
            <w:r w:rsidR="00CE64F4" w:rsidRPr="00CE64F4">
              <w:rPr>
                <w:rFonts w:asciiTheme="majorHAnsi" w:hAnsiTheme="majorHAnsi"/>
                <w:noProof/>
                <w:webHidden/>
                <w:sz w:val="20"/>
                <w:szCs w:val="20"/>
              </w:rPr>
              <w:tab/>
            </w:r>
            <w:r w:rsidR="00CE64F4" w:rsidRPr="00CE64F4">
              <w:rPr>
                <w:rFonts w:asciiTheme="majorHAnsi" w:hAnsiTheme="majorHAnsi"/>
                <w:noProof/>
                <w:webHidden/>
                <w:sz w:val="20"/>
                <w:szCs w:val="20"/>
              </w:rPr>
              <w:fldChar w:fldCharType="begin"/>
            </w:r>
            <w:r w:rsidR="00CE64F4" w:rsidRPr="00CE64F4">
              <w:rPr>
                <w:rFonts w:asciiTheme="majorHAnsi" w:hAnsiTheme="majorHAnsi"/>
                <w:noProof/>
                <w:webHidden/>
                <w:sz w:val="20"/>
                <w:szCs w:val="20"/>
              </w:rPr>
              <w:instrText xml:space="preserve"> PAGEREF _Toc56778659 \h </w:instrText>
            </w:r>
            <w:r w:rsidR="00CE64F4" w:rsidRPr="00CE64F4">
              <w:rPr>
                <w:rFonts w:asciiTheme="majorHAnsi" w:hAnsiTheme="majorHAnsi"/>
                <w:noProof/>
                <w:webHidden/>
                <w:sz w:val="20"/>
                <w:szCs w:val="20"/>
              </w:rPr>
            </w:r>
            <w:r w:rsidR="00CE64F4" w:rsidRPr="00CE64F4">
              <w:rPr>
                <w:rFonts w:asciiTheme="majorHAnsi" w:hAnsiTheme="majorHAnsi"/>
                <w:noProof/>
                <w:webHidden/>
                <w:sz w:val="20"/>
                <w:szCs w:val="20"/>
              </w:rPr>
              <w:fldChar w:fldCharType="separate"/>
            </w:r>
            <w:r>
              <w:rPr>
                <w:rFonts w:asciiTheme="majorHAnsi" w:hAnsiTheme="majorHAnsi"/>
                <w:noProof/>
                <w:webHidden/>
                <w:sz w:val="20"/>
                <w:szCs w:val="20"/>
              </w:rPr>
              <w:t>20</w:t>
            </w:r>
            <w:r w:rsidR="00CE64F4" w:rsidRPr="00CE64F4">
              <w:rPr>
                <w:rFonts w:asciiTheme="majorHAnsi" w:hAnsiTheme="majorHAnsi"/>
                <w:noProof/>
                <w:webHidden/>
                <w:sz w:val="20"/>
                <w:szCs w:val="20"/>
              </w:rPr>
              <w:fldChar w:fldCharType="end"/>
            </w:r>
          </w:hyperlink>
        </w:p>
        <w:p w14:paraId="7B8F6E8A" w14:textId="08C68A8A" w:rsidR="00CE64F4" w:rsidRPr="00CE64F4" w:rsidRDefault="003D7A5F">
          <w:pPr>
            <w:pStyle w:val="TOC2"/>
            <w:rPr>
              <w:rFonts w:asciiTheme="majorHAnsi" w:eastAsiaTheme="minorEastAsia" w:hAnsiTheme="majorHAnsi" w:cstheme="minorBidi"/>
              <w:sz w:val="20"/>
              <w:szCs w:val="20"/>
              <w:bdr w:val="none" w:sz="0" w:space="0" w:color="auto"/>
            </w:rPr>
          </w:pPr>
          <w:hyperlink w:anchor="_Toc56778660" w:history="1">
            <w:r w:rsidR="00CE64F4" w:rsidRPr="00CE64F4">
              <w:rPr>
                <w:rStyle w:val="Hyperlink"/>
                <w:rFonts w:asciiTheme="majorHAnsi" w:hAnsiTheme="majorHAnsi"/>
                <w:sz w:val="20"/>
                <w:szCs w:val="20"/>
              </w:rPr>
              <w:t>B.</w:t>
            </w:r>
            <w:r w:rsidR="00CE64F4" w:rsidRPr="00CE64F4">
              <w:rPr>
                <w:rFonts w:asciiTheme="majorHAnsi" w:eastAsiaTheme="minorEastAsia" w:hAnsiTheme="majorHAnsi" w:cstheme="minorBidi"/>
                <w:sz w:val="20"/>
                <w:szCs w:val="20"/>
                <w:bdr w:val="none" w:sz="0" w:space="0" w:color="auto"/>
              </w:rPr>
              <w:tab/>
            </w:r>
            <w:r w:rsidR="00CE64F4" w:rsidRPr="00CE64F4">
              <w:rPr>
                <w:rStyle w:val="Hyperlink"/>
                <w:rFonts w:asciiTheme="majorHAnsi" w:hAnsiTheme="majorHAnsi"/>
                <w:sz w:val="20"/>
                <w:szCs w:val="20"/>
              </w:rPr>
              <w:t>The right to judicial protection</w:t>
            </w:r>
            <w:r w:rsidR="00CE64F4" w:rsidRPr="00CE64F4">
              <w:rPr>
                <w:rFonts w:asciiTheme="majorHAnsi" w:hAnsiTheme="majorHAnsi"/>
                <w:webHidden/>
                <w:sz w:val="20"/>
                <w:szCs w:val="20"/>
              </w:rPr>
              <w:tab/>
            </w:r>
            <w:r w:rsidR="00CE64F4" w:rsidRPr="00CE64F4">
              <w:rPr>
                <w:rFonts w:asciiTheme="majorHAnsi" w:hAnsiTheme="majorHAnsi"/>
                <w:webHidden/>
                <w:sz w:val="20"/>
                <w:szCs w:val="20"/>
              </w:rPr>
              <w:fldChar w:fldCharType="begin"/>
            </w:r>
            <w:r w:rsidR="00CE64F4" w:rsidRPr="00CE64F4">
              <w:rPr>
                <w:rFonts w:asciiTheme="majorHAnsi" w:hAnsiTheme="majorHAnsi"/>
                <w:webHidden/>
                <w:sz w:val="20"/>
                <w:szCs w:val="20"/>
              </w:rPr>
              <w:instrText xml:space="preserve"> PAGEREF _Toc56778660 \h </w:instrText>
            </w:r>
            <w:r w:rsidR="00CE64F4" w:rsidRPr="00CE64F4">
              <w:rPr>
                <w:rFonts w:asciiTheme="majorHAnsi" w:hAnsiTheme="majorHAnsi"/>
                <w:webHidden/>
                <w:sz w:val="20"/>
                <w:szCs w:val="20"/>
              </w:rPr>
            </w:r>
            <w:r w:rsidR="00CE64F4" w:rsidRPr="00CE64F4">
              <w:rPr>
                <w:rFonts w:asciiTheme="majorHAnsi" w:hAnsiTheme="majorHAnsi"/>
                <w:webHidden/>
                <w:sz w:val="20"/>
                <w:szCs w:val="20"/>
              </w:rPr>
              <w:fldChar w:fldCharType="separate"/>
            </w:r>
            <w:r>
              <w:rPr>
                <w:rFonts w:asciiTheme="majorHAnsi" w:hAnsiTheme="majorHAnsi"/>
                <w:webHidden/>
                <w:sz w:val="20"/>
                <w:szCs w:val="20"/>
              </w:rPr>
              <w:t>22</w:t>
            </w:r>
            <w:r w:rsidR="00CE64F4" w:rsidRPr="00CE64F4">
              <w:rPr>
                <w:rFonts w:asciiTheme="majorHAnsi" w:hAnsiTheme="majorHAnsi"/>
                <w:webHidden/>
                <w:sz w:val="20"/>
                <w:szCs w:val="20"/>
              </w:rPr>
              <w:fldChar w:fldCharType="end"/>
            </w:r>
          </w:hyperlink>
        </w:p>
        <w:p w14:paraId="48909892" w14:textId="5B7126AF" w:rsidR="00CE64F4" w:rsidRPr="00CE64F4" w:rsidRDefault="003D7A5F">
          <w:pPr>
            <w:pStyle w:val="TOC1"/>
            <w:rPr>
              <w:rFonts w:eastAsiaTheme="minorEastAsia" w:cstheme="minorBidi"/>
              <w:b w:val="0"/>
              <w:bdr w:val="none" w:sz="0" w:space="0" w:color="auto"/>
              <w:lang w:val="en-US"/>
            </w:rPr>
          </w:pPr>
          <w:hyperlink w:anchor="_Toc56778661" w:history="1">
            <w:r w:rsidR="00CE64F4" w:rsidRPr="00CE64F4">
              <w:rPr>
                <w:rStyle w:val="Hyperlink"/>
              </w:rPr>
              <w:t>V.</w:t>
            </w:r>
            <w:r w:rsidR="00CE64F4" w:rsidRPr="00CE64F4">
              <w:rPr>
                <w:rFonts w:eastAsiaTheme="minorEastAsia" w:cstheme="minorBidi"/>
                <w:b w:val="0"/>
                <w:bdr w:val="none" w:sz="0" w:space="0" w:color="auto"/>
                <w:lang w:val="en-US"/>
              </w:rPr>
              <w:tab/>
            </w:r>
            <w:r w:rsidR="00CE64F4" w:rsidRPr="00CE64F4">
              <w:rPr>
                <w:rStyle w:val="Hyperlink"/>
              </w:rPr>
              <w:t>CONCLUSIONS AND RECOMMENDATIONS</w:t>
            </w:r>
            <w:r w:rsidR="00CE64F4" w:rsidRPr="00CE64F4">
              <w:rPr>
                <w:b w:val="0"/>
                <w:webHidden/>
              </w:rPr>
              <w:tab/>
            </w:r>
            <w:r w:rsidR="00CE64F4" w:rsidRPr="00CE64F4">
              <w:rPr>
                <w:b w:val="0"/>
                <w:webHidden/>
              </w:rPr>
              <w:fldChar w:fldCharType="begin"/>
            </w:r>
            <w:r w:rsidR="00CE64F4" w:rsidRPr="00CE64F4">
              <w:rPr>
                <w:b w:val="0"/>
                <w:webHidden/>
              </w:rPr>
              <w:instrText xml:space="preserve"> PAGEREF _Toc56778661 \h </w:instrText>
            </w:r>
            <w:r w:rsidR="00CE64F4" w:rsidRPr="00CE64F4">
              <w:rPr>
                <w:b w:val="0"/>
                <w:webHidden/>
              </w:rPr>
            </w:r>
            <w:r w:rsidR="00CE64F4" w:rsidRPr="00CE64F4">
              <w:rPr>
                <w:b w:val="0"/>
                <w:webHidden/>
              </w:rPr>
              <w:fldChar w:fldCharType="separate"/>
            </w:r>
            <w:r>
              <w:rPr>
                <w:b w:val="0"/>
                <w:webHidden/>
              </w:rPr>
              <w:t>23</w:t>
            </w:r>
            <w:r w:rsidR="00CE64F4" w:rsidRPr="00CE64F4">
              <w:rPr>
                <w:b w:val="0"/>
                <w:webHidden/>
              </w:rPr>
              <w:fldChar w:fldCharType="end"/>
            </w:r>
          </w:hyperlink>
        </w:p>
        <w:p w14:paraId="6E39FD5E" w14:textId="77777777" w:rsidR="00CE64F4" w:rsidRDefault="00CE64F4">
          <w:r>
            <w:rPr>
              <w:b/>
              <w:bCs/>
              <w:noProof/>
            </w:rPr>
            <w:fldChar w:fldCharType="end"/>
          </w:r>
        </w:p>
      </w:sdtContent>
    </w:sdt>
    <w:p w14:paraId="41B9E14E" w14:textId="77777777" w:rsidR="00B36400" w:rsidRPr="00FC406F" w:rsidRDefault="00B36400" w:rsidP="00B36400">
      <w:pPr>
        <w:tabs>
          <w:tab w:val="center" w:pos="5400"/>
        </w:tabs>
        <w:suppressAutoHyphens/>
        <w:jc w:val="center"/>
        <w:rPr>
          <w:rFonts w:asciiTheme="majorHAnsi" w:hAnsiTheme="majorHAnsi"/>
          <w:b/>
          <w:sz w:val="22"/>
          <w:szCs w:val="20"/>
        </w:rPr>
      </w:pPr>
    </w:p>
    <w:p w14:paraId="13054561" w14:textId="77777777" w:rsidR="00B36400" w:rsidRPr="00FC406F" w:rsidRDefault="00B36400" w:rsidP="00B36400">
      <w:pPr>
        <w:tabs>
          <w:tab w:val="center" w:pos="5400"/>
        </w:tabs>
        <w:suppressAutoHyphens/>
        <w:jc w:val="center"/>
        <w:rPr>
          <w:rFonts w:asciiTheme="majorHAnsi" w:hAnsiTheme="majorHAnsi"/>
          <w:b/>
          <w:sz w:val="22"/>
          <w:szCs w:val="20"/>
        </w:rPr>
      </w:pPr>
    </w:p>
    <w:p w14:paraId="4C435E1F" w14:textId="77777777" w:rsidR="00B36400" w:rsidRPr="00FC406F" w:rsidRDefault="00B36400" w:rsidP="008073A6">
      <w:pPr>
        <w:tabs>
          <w:tab w:val="center" w:pos="5400"/>
        </w:tabs>
        <w:suppressAutoHyphens/>
        <w:spacing w:line="276" w:lineRule="auto"/>
        <w:jc w:val="both"/>
        <w:rPr>
          <w:rFonts w:asciiTheme="majorHAnsi" w:hAnsiTheme="majorHAnsi"/>
          <w:sz w:val="20"/>
          <w:szCs w:val="20"/>
        </w:rPr>
      </w:pPr>
    </w:p>
    <w:p w14:paraId="4F7EBAD4" w14:textId="77777777" w:rsidR="00B36400" w:rsidRPr="00FC406F" w:rsidRDefault="00B36400" w:rsidP="008073A6">
      <w:pPr>
        <w:tabs>
          <w:tab w:val="center" w:pos="5400"/>
        </w:tabs>
        <w:suppressAutoHyphens/>
        <w:spacing w:line="276" w:lineRule="auto"/>
        <w:jc w:val="both"/>
        <w:rPr>
          <w:rFonts w:asciiTheme="majorHAnsi" w:hAnsiTheme="majorHAnsi"/>
          <w:sz w:val="20"/>
          <w:szCs w:val="20"/>
        </w:rPr>
        <w:sectPr w:rsidR="00B36400" w:rsidRPr="00FC406F" w:rsidSect="006311DA">
          <w:footerReference w:type="first" r:id="rId17"/>
          <w:pgSz w:w="12240" w:h="15840"/>
          <w:pgMar w:top="1440" w:right="1440" w:bottom="1440" w:left="1440" w:header="720" w:footer="720" w:gutter="0"/>
          <w:pgNumType w:start="1"/>
          <w:cols w:space="720"/>
          <w:docGrid w:linePitch="326"/>
        </w:sectPr>
      </w:pPr>
    </w:p>
    <w:p w14:paraId="4BD2429D" w14:textId="77777777" w:rsidR="00B36400" w:rsidRPr="00FC406F" w:rsidRDefault="00B36400" w:rsidP="00B36400">
      <w:pPr>
        <w:pStyle w:val="Heading1"/>
      </w:pPr>
      <w:bookmarkStart w:id="2" w:name="_Toc42609964"/>
      <w:bookmarkStart w:id="3" w:name="_Toc56778646"/>
      <w:r w:rsidRPr="00FC406F">
        <w:lastRenderedPageBreak/>
        <w:t>INTRODUC</w:t>
      </w:r>
      <w:r w:rsidR="00A26B17" w:rsidRPr="00FC406F">
        <w:t>TION</w:t>
      </w:r>
      <w:bookmarkEnd w:id="2"/>
      <w:bookmarkEnd w:id="3"/>
    </w:p>
    <w:p w14:paraId="5C525494" w14:textId="77777777" w:rsidR="00B36400" w:rsidRPr="00FC406F" w:rsidRDefault="00B36400" w:rsidP="00B36400">
      <w:pPr>
        <w:tabs>
          <w:tab w:val="left" w:pos="360"/>
        </w:tabs>
        <w:suppressAutoHyphens/>
        <w:rPr>
          <w:rFonts w:asciiTheme="majorHAnsi" w:hAnsiTheme="majorHAnsi"/>
          <w:b/>
          <w:sz w:val="20"/>
          <w:szCs w:val="20"/>
        </w:rPr>
      </w:pPr>
    </w:p>
    <w:p w14:paraId="5D839FE9" w14:textId="77777777" w:rsidR="00B36400" w:rsidRPr="00FC406F" w:rsidRDefault="00036E78" w:rsidP="00031C3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color w:val="000000" w:themeColor="text1"/>
          <w:sz w:val="20"/>
          <w:szCs w:val="20"/>
        </w:rPr>
      </w:pPr>
      <w:r w:rsidRPr="00FC406F">
        <w:rPr>
          <w:rFonts w:ascii="Cambria" w:hAnsi="Cambria"/>
          <w:color w:val="000000" w:themeColor="text1"/>
          <w:sz w:val="20"/>
          <w:szCs w:val="20"/>
        </w:rPr>
        <w:t>On October</w:t>
      </w:r>
      <w:r w:rsidR="00B36400" w:rsidRPr="00FC406F">
        <w:rPr>
          <w:rFonts w:ascii="Cambria" w:hAnsi="Cambria"/>
          <w:color w:val="000000" w:themeColor="text1"/>
          <w:sz w:val="20"/>
          <w:szCs w:val="20"/>
        </w:rPr>
        <w:t xml:space="preserve"> 5</w:t>
      </w:r>
      <w:r w:rsidRPr="00FC406F">
        <w:rPr>
          <w:rFonts w:ascii="Cambria" w:hAnsi="Cambria"/>
          <w:color w:val="000000" w:themeColor="text1"/>
          <w:sz w:val="20"/>
          <w:szCs w:val="20"/>
        </w:rPr>
        <w:t>,</w:t>
      </w:r>
      <w:r w:rsidR="00B36400" w:rsidRPr="00FC406F">
        <w:rPr>
          <w:rFonts w:ascii="Cambria" w:hAnsi="Cambria"/>
          <w:color w:val="000000" w:themeColor="text1"/>
          <w:sz w:val="20"/>
          <w:szCs w:val="20"/>
        </w:rPr>
        <w:t xml:space="preserve"> 2011</w:t>
      </w:r>
      <w:r w:rsidRPr="00FC406F">
        <w:rPr>
          <w:rFonts w:ascii="Cambria" w:hAnsi="Cambria"/>
          <w:color w:val="000000" w:themeColor="text1"/>
          <w:sz w:val="20"/>
          <w:szCs w:val="20"/>
        </w:rPr>
        <w:t>, the Inter-American Commission on Human Rights</w:t>
      </w:r>
      <w:r w:rsidR="00B36400" w:rsidRPr="00FC406F">
        <w:rPr>
          <w:rFonts w:ascii="Cambria" w:hAnsi="Cambria"/>
          <w:color w:val="000000" w:themeColor="text1"/>
          <w:sz w:val="20"/>
          <w:szCs w:val="20"/>
        </w:rPr>
        <w:t xml:space="preserve"> (</w:t>
      </w:r>
      <w:r w:rsidRPr="00FC406F">
        <w:rPr>
          <w:rFonts w:ascii="Cambria" w:hAnsi="Cambria"/>
          <w:color w:val="000000" w:themeColor="text1"/>
          <w:sz w:val="20"/>
          <w:szCs w:val="20"/>
        </w:rPr>
        <w:t>hereinafter</w:t>
      </w:r>
      <w:r w:rsidR="00B36400" w:rsidRPr="00FC406F">
        <w:rPr>
          <w:rFonts w:ascii="Cambria" w:hAnsi="Cambria"/>
          <w:color w:val="000000" w:themeColor="text1"/>
          <w:sz w:val="20"/>
          <w:szCs w:val="20"/>
        </w:rPr>
        <w:t xml:space="preserve"> “</w:t>
      </w:r>
      <w:r w:rsidRPr="00FC406F">
        <w:rPr>
          <w:rFonts w:ascii="Cambria" w:hAnsi="Cambria"/>
          <w:color w:val="000000" w:themeColor="text1"/>
          <w:sz w:val="20"/>
          <w:szCs w:val="20"/>
        </w:rPr>
        <w:t>the Inter-American Commission,”</w:t>
      </w:r>
      <w:r w:rsidR="00B36400" w:rsidRPr="00FC406F">
        <w:rPr>
          <w:rFonts w:ascii="Cambria" w:hAnsi="Cambria"/>
          <w:color w:val="000000" w:themeColor="text1"/>
          <w:sz w:val="20"/>
          <w:szCs w:val="20"/>
        </w:rPr>
        <w:t xml:space="preserve"> “</w:t>
      </w:r>
      <w:r w:rsidRPr="00FC406F">
        <w:rPr>
          <w:rFonts w:ascii="Cambria" w:hAnsi="Cambria"/>
          <w:color w:val="000000" w:themeColor="text1"/>
          <w:sz w:val="20"/>
          <w:szCs w:val="20"/>
        </w:rPr>
        <w:t>the Commission,</w:t>
      </w:r>
      <w:r w:rsidR="00B36400" w:rsidRPr="00FC406F">
        <w:rPr>
          <w:rFonts w:ascii="Cambria" w:hAnsi="Cambria"/>
          <w:color w:val="000000" w:themeColor="text1"/>
          <w:sz w:val="20"/>
          <w:szCs w:val="20"/>
        </w:rPr>
        <w:t>” o</w:t>
      </w:r>
      <w:r w:rsidRPr="00FC406F">
        <w:rPr>
          <w:rFonts w:ascii="Cambria" w:hAnsi="Cambria"/>
          <w:color w:val="000000" w:themeColor="text1"/>
          <w:sz w:val="20"/>
          <w:szCs w:val="20"/>
        </w:rPr>
        <w:t>r “the IACHR</w:t>
      </w:r>
      <w:r w:rsidR="00B36400" w:rsidRPr="00FC406F">
        <w:rPr>
          <w:rFonts w:ascii="Cambria" w:hAnsi="Cambria"/>
          <w:color w:val="000000" w:themeColor="text1"/>
          <w:sz w:val="20"/>
          <w:szCs w:val="20"/>
        </w:rPr>
        <w:t>”) re</w:t>
      </w:r>
      <w:r w:rsidRPr="00FC406F">
        <w:rPr>
          <w:rFonts w:ascii="Cambria" w:hAnsi="Cambria"/>
          <w:color w:val="000000" w:themeColor="text1"/>
          <w:sz w:val="20"/>
          <w:szCs w:val="20"/>
        </w:rPr>
        <w:t>ceived a petition filed by</w:t>
      </w:r>
      <w:r w:rsidR="00B36400" w:rsidRPr="00FC406F">
        <w:rPr>
          <w:rFonts w:ascii="Cambria" w:hAnsi="Cambria"/>
          <w:color w:val="000000" w:themeColor="text1"/>
          <w:sz w:val="20"/>
          <w:szCs w:val="20"/>
        </w:rPr>
        <w:t xml:space="preserve"> Björn Arp (</w:t>
      </w:r>
      <w:r w:rsidRPr="00FC406F">
        <w:rPr>
          <w:rFonts w:ascii="Cambria" w:hAnsi="Cambria"/>
          <w:color w:val="000000" w:themeColor="text1"/>
          <w:sz w:val="20"/>
          <w:szCs w:val="20"/>
        </w:rPr>
        <w:t>hereinafter</w:t>
      </w:r>
      <w:r w:rsidR="00B36400" w:rsidRPr="00FC406F">
        <w:rPr>
          <w:rFonts w:ascii="Cambria" w:hAnsi="Cambria"/>
          <w:color w:val="000000" w:themeColor="text1"/>
          <w:sz w:val="20"/>
          <w:szCs w:val="20"/>
        </w:rPr>
        <w:t xml:space="preserve"> “</w:t>
      </w:r>
      <w:r w:rsidRPr="00FC406F">
        <w:rPr>
          <w:rFonts w:ascii="Cambria" w:hAnsi="Cambria"/>
          <w:color w:val="000000" w:themeColor="text1"/>
          <w:sz w:val="20"/>
          <w:szCs w:val="20"/>
        </w:rPr>
        <w:t>the petitioner</w:t>
      </w:r>
      <w:r w:rsidR="00B36400" w:rsidRPr="00FC406F">
        <w:rPr>
          <w:rFonts w:ascii="Cambria" w:hAnsi="Cambria"/>
          <w:color w:val="000000" w:themeColor="text1"/>
          <w:sz w:val="20"/>
          <w:szCs w:val="20"/>
        </w:rPr>
        <w:t xml:space="preserve">”) </w:t>
      </w:r>
      <w:r w:rsidRPr="00FC406F">
        <w:rPr>
          <w:rFonts w:ascii="Cambria" w:hAnsi="Cambria"/>
          <w:color w:val="000000" w:themeColor="text1"/>
          <w:sz w:val="20"/>
          <w:szCs w:val="20"/>
        </w:rPr>
        <w:t>alleging the international responsibility of the Republic of Nicaragua</w:t>
      </w:r>
      <w:r w:rsidR="00B36400" w:rsidRPr="00FC406F">
        <w:rPr>
          <w:rFonts w:ascii="Cambria" w:hAnsi="Cambria"/>
          <w:color w:val="000000" w:themeColor="text1"/>
          <w:sz w:val="20"/>
          <w:szCs w:val="20"/>
        </w:rPr>
        <w:t xml:space="preserve"> (</w:t>
      </w:r>
      <w:r w:rsidRPr="00FC406F">
        <w:rPr>
          <w:rFonts w:ascii="Cambria" w:hAnsi="Cambria"/>
          <w:color w:val="000000" w:themeColor="text1"/>
          <w:sz w:val="20"/>
          <w:szCs w:val="20"/>
        </w:rPr>
        <w:t xml:space="preserve">hereinafter “the state of </w:t>
      </w:r>
      <w:r w:rsidR="00B36400" w:rsidRPr="00FC406F">
        <w:rPr>
          <w:rFonts w:ascii="Cambria" w:hAnsi="Cambria"/>
          <w:color w:val="000000" w:themeColor="text1"/>
          <w:sz w:val="20"/>
          <w:szCs w:val="20"/>
        </w:rPr>
        <w:t>Nicaragua</w:t>
      </w:r>
      <w:r w:rsidRPr="00FC406F">
        <w:rPr>
          <w:rFonts w:ascii="Cambria" w:hAnsi="Cambria"/>
          <w:color w:val="000000" w:themeColor="text1"/>
          <w:sz w:val="20"/>
          <w:szCs w:val="20"/>
        </w:rPr>
        <w:t>,</w:t>
      </w:r>
      <w:r w:rsidR="00B36400" w:rsidRPr="00FC406F">
        <w:rPr>
          <w:rFonts w:ascii="Cambria" w:hAnsi="Cambria"/>
          <w:color w:val="000000" w:themeColor="text1"/>
          <w:sz w:val="20"/>
          <w:szCs w:val="20"/>
        </w:rPr>
        <w:t>” “</w:t>
      </w:r>
      <w:r w:rsidRPr="00FC406F">
        <w:rPr>
          <w:rFonts w:ascii="Cambria" w:hAnsi="Cambria"/>
          <w:color w:val="000000" w:themeColor="text1"/>
          <w:sz w:val="20"/>
          <w:szCs w:val="20"/>
        </w:rPr>
        <w:t>the state,</w:t>
      </w:r>
      <w:r w:rsidR="00B36400" w:rsidRPr="00FC406F">
        <w:rPr>
          <w:rFonts w:ascii="Cambria" w:hAnsi="Cambria"/>
          <w:color w:val="000000" w:themeColor="text1"/>
          <w:sz w:val="20"/>
          <w:szCs w:val="20"/>
        </w:rPr>
        <w:t>” o</w:t>
      </w:r>
      <w:r w:rsidRPr="00FC406F">
        <w:rPr>
          <w:rFonts w:ascii="Cambria" w:hAnsi="Cambria"/>
          <w:color w:val="000000" w:themeColor="text1"/>
          <w:sz w:val="20"/>
          <w:szCs w:val="20"/>
        </w:rPr>
        <w:t>r</w:t>
      </w:r>
      <w:r w:rsidR="00B36400" w:rsidRPr="00FC406F">
        <w:rPr>
          <w:rFonts w:ascii="Cambria" w:hAnsi="Cambria"/>
          <w:color w:val="000000" w:themeColor="text1"/>
          <w:sz w:val="20"/>
          <w:szCs w:val="20"/>
        </w:rPr>
        <w:t xml:space="preserve"> “Nicaragua”) </w:t>
      </w:r>
      <w:r w:rsidRPr="00FC406F">
        <w:rPr>
          <w:rFonts w:ascii="Cambria" w:hAnsi="Cambria"/>
          <w:color w:val="000000" w:themeColor="text1"/>
          <w:sz w:val="20"/>
          <w:szCs w:val="20"/>
        </w:rPr>
        <w:t>for violating the human rights enshrined in the American Convention on Human Rights</w:t>
      </w:r>
      <w:r w:rsidR="00B36400" w:rsidRPr="00FC406F">
        <w:rPr>
          <w:rFonts w:ascii="Cambria" w:hAnsi="Cambria"/>
          <w:color w:val="000000" w:themeColor="text1"/>
          <w:sz w:val="20"/>
          <w:szCs w:val="20"/>
        </w:rPr>
        <w:t xml:space="preserve"> (</w:t>
      </w:r>
      <w:r w:rsidRPr="00FC406F">
        <w:rPr>
          <w:rFonts w:ascii="Cambria" w:hAnsi="Cambria"/>
          <w:color w:val="000000" w:themeColor="text1"/>
          <w:sz w:val="20"/>
          <w:szCs w:val="20"/>
        </w:rPr>
        <w:t>hereinafter</w:t>
      </w:r>
      <w:r w:rsidR="00B36400" w:rsidRPr="00FC406F">
        <w:rPr>
          <w:rFonts w:ascii="Cambria" w:hAnsi="Cambria"/>
          <w:color w:val="000000" w:themeColor="text1"/>
          <w:sz w:val="20"/>
          <w:szCs w:val="20"/>
        </w:rPr>
        <w:t xml:space="preserve"> “</w:t>
      </w:r>
      <w:r w:rsidRPr="00FC406F">
        <w:rPr>
          <w:rFonts w:ascii="Cambria" w:hAnsi="Cambria"/>
          <w:color w:val="000000" w:themeColor="text1"/>
          <w:sz w:val="20"/>
          <w:szCs w:val="20"/>
        </w:rPr>
        <w:t>the Convention</w:t>
      </w:r>
      <w:r w:rsidR="00B36400" w:rsidRPr="00FC406F">
        <w:rPr>
          <w:rFonts w:ascii="Cambria" w:hAnsi="Cambria"/>
          <w:color w:val="000000" w:themeColor="text1"/>
          <w:sz w:val="20"/>
          <w:szCs w:val="20"/>
        </w:rPr>
        <w:t>” o</w:t>
      </w:r>
      <w:r w:rsidRPr="00FC406F">
        <w:rPr>
          <w:rFonts w:ascii="Cambria" w:hAnsi="Cambria"/>
          <w:color w:val="000000" w:themeColor="text1"/>
          <w:sz w:val="20"/>
          <w:szCs w:val="20"/>
        </w:rPr>
        <w:t>r</w:t>
      </w:r>
      <w:r w:rsidR="00B36400" w:rsidRPr="00FC406F">
        <w:rPr>
          <w:rFonts w:ascii="Cambria" w:hAnsi="Cambria"/>
          <w:color w:val="000000" w:themeColor="text1"/>
          <w:sz w:val="20"/>
          <w:szCs w:val="20"/>
        </w:rPr>
        <w:t xml:space="preserve"> “</w:t>
      </w:r>
      <w:r w:rsidRPr="00FC406F">
        <w:rPr>
          <w:rFonts w:ascii="Cambria" w:hAnsi="Cambria"/>
          <w:color w:val="000000" w:themeColor="text1"/>
          <w:sz w:val="20"/>
          <w:szCs w:val="20"/>
        </w:rPr>
        <w:t>the American Convention</w:t>
      </w:r>
      <w:r w:rsidR="00B36400" w:rsidRPr="00FC406F">
        <w:rPr>
          <w:rFonts w:ascii="Cambria" w:hAnsi="Cambria"/>
          <w:color w:val="000000" w:themeColor="text1"/>
          <w:sz w:val="20"/>
          <w:szCs w:val="20"/>
        </w:rPr>
        <w:t xml:space="preserve">”) </w:t>
      </w:r>
      <w:r w:rsidRPr="00FC406F">
        <w:rPr>
          <w:rFonts w:ascii="Cambria" w:hAnsi="Cambria"/>
          <w:color w:val="000000" w:themeColor="text1"/>
          <w:sz w:val="20"/>
          <w:szCs w:val="20"/>
        </w:rPr>
        <w:t xml:space="preserve">to the detriment of </w:t>
      </w:r>
      <w:r w:rsidR="00B36400" w:rsidRPr="00FC406F">
        <w:rPr>
          <w:rFonts w:ascii="Cambria" w:hAnsi="Cambria"/>
          <w:color w:val="000000" w:themeColor="text1"/>
          <w:sz w:val="20"/>
          <w:szCs w:val="20"/>
        </w:rPr>
        <w:t xml:space="preserve">Fabio Gadea Mantilla, </w:t>
      </w:r>
      <w:r w:rsidRPr="00FC406F">
        <w:rPr>
          <w:rFonts w:ascii="Cambria" w:hAnsi="Cambria"/>
          <w:color w:val="000000" w:themeColor="text1"/>
          <w:sz w:val="20"/>
          <w:szCs w:val="20"/>
        </w:rPr>
        <w:t xml:space="preserve">in the context of his political participation as a presidential candidate in the elections of 2011, in which </w:t>
      </w:r>
      <w:r w:rsidR="00B36400" w:rsidRPr="00FC406F">
        <w:rPr>
          <w:rFonts w:ascii="Cambria" w:hAnsi="Cambria"/>
          <w:color w:val="000000" w:themeColor="text1"/>
          <w:sz w:val="20"/>
          <w:szCs w:val="20"/>
        </w:rPr>
        <w:t>President José Daniel Ortega Saavedra</w:t>
      </w:r>
      <w:r w:rsidRPr="00FC406F">
        <w:rPr>
          <w:rFonts w:ascii="Cambria" w:hAnsi="Cambria"/>
          <w:color w:val="000000" w:themeColor="text1"/>
          <w:sz w:val="20"/>
          <w:szCs w:val="20"/>
        </w:rPr>
        <w:t xml:space="preserve"> participated</w:t>
      </w:r>
      <w:r w:rsidR="00B36400" w:rsidRPr="00FC406F">
        <w:rPr>
          <w:rFonts w:ascii="Cambria" w:hAnsi="Cambria"/>
          <w:color w:val="000000" w:themeColor="text1"/>
          <w:sz w:val="20"/>
          <w:szCs w:val="20"/>
        </w:rPr>
        <w:t>.</w:t>
      </w:r>
    </w:p>
    <w:p w14:paraId="1D9A87F0" w14:textId="77777777" w:rsidR="00B36400" w:rsidRPr="00FC406F" w:rsidRDefault="00B36400" w:rsidP="00B3640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themeColor="text1"/>
          <w:sz w:val="20"/>
          <w:szCs w:val="20"/>
        </w:rPr>
      </w:pPr>
    </w:p>
    <w:p w14:paraId="4C5DB0F1" w14:textId="77777777" w:rsidR="00B36400" w:rsidRPr="00FC406F" w:rsidRDefault="00036E78" w:rsidP="00031C3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color w:val="000000" w:themeColor="text1"/>
          <w:sz w:val="20"/>
          <w:szCs w:val="20"/>
        </w:rPr>
      </w:pPr>
      <w:r w:rsidRPr="00FC406F">
        <w:rPr>
          <w:rFonts w:ascii="Cambria" w:hAnsi="Cambria"/>
          <w:color w:val="000000" w:themeColor="text1"/>
          <w:sz w:val="20"/>
          <w:szCs w:val="20"/>
        </w:rPr>
        <w:t>The Commission approved admissibility report</w:t>
      </w:r>
      <w:r w:rsidR="00B36400" w:rsidRPr="00FC406F">
        <w:rPr>
          <w:rFonts w:ascii="Cambria" w:hAnsi="Cambria"/>
          <w:color w:val="000000" w:themeColor="text1"/>
          <w:sz w:val="20"/>
          <w:szCs w:val="20"/>
        </w:rPr>
        <w:t xml:space="preserve"> No. 179/18 </w:t>
      </w:r>
      <w:r w:rsidRPr="00FC406F">
        <w:rPr>
          <w:rFonts w:ascii="Cambria" w:hAnsi="Cambria"/>
          <w:color w:val="000000" w:themeColor="text1"/>
          <w:sz w:val="20"/>
          <w:szCs w:val="20"/>
        </w:rPr>
        <w:t>of December</w:t>
      </w:r>
      <w:r w:rsidR="00B36400" w:rsidRPr="00FC406F">
        <w:rPr>
          <w:rFonts w:ascii="Cambria" w:hAnsi="Cambria"/>
          <w:color w:val="000000" w:themeColor="text1"/>
          <w:sz w:val="20"/>
          <w:szCs w:val="20"/>
        </w:rPr>
        <w:t xml:space="preserve"> 26</w:t>
      </w:r>
      <w:r w:rsidRPr="00FC406F">
        <w:rPr>
          <w:rFonts w:ascii="Cambria" w:hAnsi="Cambria"/>
          <w:color w:val="000000" w:themeColor="text1"/>
          <w:sz w:val="20"/>
          <w:szCs w:val="20"/>
        </w:rPr>
        <w:t>,</w:t>
      </w:r>
      <w:r w:rsidR="00B36400" w:rsidRPr="00FC406F">
        <w:rPr>
          <w:rFonts w:ascii="Cambria" w:hAnsi="Cambria"/>
          <w:color w:val="000000" w:themeColor="text1"/>
          <w:sz w:val="20"/>
          <w:szCs w:val="20"/>
        </w:rPr>
        <w:t xml:space="preserve"> 2018</w:t>
      </w:r>
      <w:r w:rsidRPr="00FC406F">
        <w:rPr>
          <w:rFonts w:ascii="Cambria" w:hAnsi="Cambria"/>
          <w:color w:val="000000" w:themeColor="text1"/>
          <w:sz w:val="20"/>
          <w:szCs w:val="20"/>
        </w:rPr>
        <w:t>.</w:t>
      </w:r>
      <w:r w:rsidR="00B36400" w:rsidRPr="00FC406F">
        <w:rPr>
          <w:rFonts w:ascii="Cambria" w:hAnsi="Cambria"/>
          <w:color w:val="000000" w:themeColor="text1"/>
          <w:sz w:val="20"/>
          <w:szCs w:val="20"/>
          <w:vertAlign w:val="superscript"/>
        </w:rPr>
        <w:footnoteReference w:id="2"/>
      </w:r>
      <w:r w:rsidRPr="00FC406F">
        <w:rPr>
          <w:rFonts w:ascii="Cambria" w:hAnsi="Cambria"/>
          <w:color w:val="000000" w:themeColor="text1"/>
          <w:sz w:val="20"/>
          <w:szCs w:val="20"/>
        </w:rPr>
        <w:t xml:space="preserve"> On January</w:t>
      </w:r>
      <w:r w:rsidR="00B36400" w:rsidRPr="00FC406F">
        <w:rPr>
          <w:rFonts w:ascii="Cambria" w:hAnsi="Cambria"/>
          <w:color w:val="000000" w:themeColor="text1"/>
          <w:sz w:val="20"/>
          <w:szCs w:val="20"/>
        </w:rPr>
        <w:t xml:space="preserve"> 31</w:t>
      </w:r>
      <w:r w:rsidRPr="00FC406F">
        <w:rPr>
          <w:rFonts w:ascii="Cambria" w:hAnsi="Cambria"/>
          <w:color w:val="000000" w:themeColor="text1"/>
          <w:sz w:val="20"/>
          <w:szCs w:val="20"/>
        </w:rPr>
        <w:t xml:space="preserve">, 2019, the Commission notified both parties of said report and </w:t>
      </w:r>
      <w:r w:rsidR="00EA3371" w:rsidRPr="00FC406F">
        <w:rPr>
          <w:rFonts w:ascii="Cambria" w:hAnsi="Cambria"/>
          <w:color w:val="000000" w:themeColor="text1"/>
          <w:sz w:val="20"/>
          <w:szCs w:val="20"/>
        </w:rPr>
        <w:t>stated its availability to help them</w:t>
      </w:r>
      <w:r w:rsidRPr="00FC406F">
        <w:rPr>
          <w:rFonts w:ascii="Cambria" w:hAnsi="Cambria"/>
          <w:color w:val="000000" w:themeColor="text1"/>
          <w:sz w:val="20"/>
          <w:szCs w:val="20"/>
        </w:rPr>
        <w:t xml:space="preserve"> reach a friendly settlement, although the conditions for proceeding with this option were not in place</w:t>
      </w:r>
      <w:r w:rsidR="00B36400" w:rsidRPr="00FC406F">
        <w:rPr>
          <w:rFonts w:ascii="Cambria" w:hAnsi="Cambria"/>
          <w:color w:val="000000" w:themeColor="text1"/>
          <w:sz w:val="20"/>
          <w:szCs w:val="20"/>
        </w:rPr>
        <w:t xml:space="preserve">. </w:t>
      </w:r>
      <w:r w:rsidRPr="00FC406F">
        <w:rPr>
          <w:rFonts w:ascii="Cambria" w:hAnsi="Cambria"/>
          <w:color w:val="000000" w:themeColor="text1"/>
          <w:sz w:val="20"/>
          <w:szCs w:val="20"/>
        </w:rPr>
        <w:t>The parties benefited from the regulatory time-limits to submit their additional observations on the merits. All information received</w:t>
      </w:r>
      <w:r w:rsidR="00FA248A" w:rsidRPr="00FC406F">
        <w:rPr>
          <w:rFonts w:ascii="Cambria" w:hAnsi="Cambria"/>
          <w:color w:val="000000" w:themeColor="text1"/>
          <w:sz w:val="20"/>
          <w:szCs w:val="20"/>
        </w:rPr>
        <w:t xml:space="preserve"> was duly forwarded to the parties.</w:t>
      </w:r>
    </w:p>
    <w:p w14:paraId="4159F494" w14:textId="77777777" w:rsidR="00B36400" w:rsidRPr="00FC406F" w:rsidRDefault="00B36400" w:rsidP="00B3640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jc w:val="both"/>
        <w:rPr>
          <w:rFonts w:ascii="Cambria" w:hAnsi="Cambria"/>
          <w:sz w:val="20"/>
          <w:szCs w:val="20"/>
        </w:rPr>
      </w:pPr>
    </w:p>
    <w:p w14:paraId="3308A23D" w14:textId="77777777" w:rsidR="00B36400" w:rsidRPr="00FC406F" w:rsidRDefault="00FA248A" w:rsidP="00B36400">
      <w:pPr>
        <w:pStyle w:val="Heading1"/>
      </w:pPr>
      <w:bookmarkStart w:id="4" w:name="_Toc42609965"/>
      <w:bookmarkStart w:id="5" w:name="_Toc56778647"/>
      <w:r w:rsidRPr="00FC406F">
        <w:t>ALLEGATIONS OF THE PARTIES</w:t>
      </w:r>
      <w:bookmarkEnd w:id="4"/>
      <w:bookmarkEnd w:id="5"/>
    </w:p>
    <w:p w14:paraId="6D44DB25" w14:textId="77777777" w:rsidR="00B36400" w:rsidRPr="00FC406F" w:rsidRDefault="00B36400" w:rsidP="00B36400"/>
    <w:p w14:paraId="0598043E" w14:textId="77777777" w:rsidR="00B36400" w:rsidRPr="00FC406F" w:rsidRDefault="00B36400" w:rsidP="00B36400">
      <w:pPr>
        <w:pStyle w:val="Heading2"/>
      </w:pPr>
      <w:bookmarkStart w:id="6" w:name="_Toc42609966"/>
      <w:bookmarkStart w:id="7" w:name="_Toc56778648"/>
      <w:r w:rsidRPr="00FC406F">
        <w:t>P</w:t>
      </w:r>
      <w:r w:rsidR="00FA248A" w:rsidRPr="00FC406F">
        <w:t>etitioner</w:t>
      </w:r>
      <w:bookmarkEnd w:id="6"/>
      <w:bookmarkEnd w:id="7"/>
    </w:p>
    <w:p w14:paraId="33E78448" w14:textId="77777777" w:rsidR="00B36400" w:rsidRPr="00FC406F" w:rsidRDefault="00B36400" w:rsidP="00B36400">
      <w:pPr>
        <w:tabs>
          <w:tab w:val="left" w:pos="360"/>
        </w:tabs>
        <w:suppressAutoHyphens/>
        <w:rPr>
          <w:rFonts w:asciiTheme="majorHAnsi" w:hAnsiTheme="majorHAnsi"/>
          <w:sz w:val="20"/>
          <w:szCs w:val="20"/>
        </w:rPr>
      </w:pPr>
    </w:p>
    <w:p w14:paraId="53CA9C1E" w14:textId="77777777" w:rsidR="00B36400" w:rsidRPr="00FC406F" w:rsidRDefault="00FA248A" w:rsidP="00031C3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color w:val="000000" w:themeColor="text1"/>
          <w:sz w:val="20"/>
          <w:szCs w:val="20"/>
        </w:rPr>
      </w:pPr>
      <w:r w:rsidRPr="00FC406F">
        <w:rPr>
          <w:rFonts w:ascii="Cambria" w:hAnsi="Cambria"/>
          <w:color w:val="000000" w:themeColor="text1"/>
          <w:sz w:val="20"/>
          <w:szCs w:val="20"/>
        </w:rPr>
        <w:t>As</w:t>
      </w:r>
      <w:r w:rsidR="00EA3371" w:rsidRPr="00FC406F">
        <w:rPr>
          <w:rFonts w:ascii="Cambria" w:hAnsi="Cambria"/>
          <w:color w:val="000000" w:themeColor="text1"/>
          <w:sz w:val="20"/>
          <w:szCs w:val="20"/>
        </w:rPr>
        <w:t xml:space="preserve"> a</w:t>
      </w:r>
      <w:r w:rsidRPr="00FC406F">
        <w:rPr>
          <w:rFonts w:ascii="Cambria" w:hAnsi="Cambria"/>
          <w:color w:val="000000" w:themeColor="text1"/>
          <w:sz w:val="20"/>
          <w:szCs w:val="20"/>
        </w:rPr>
        <w:t xml:space="preserve"> context to the petition, the petitioner indicated that, at the time of the incidents, in various countries of Latin America, attempts were being made to consolidate the initiative of an alleged “human right to indefinite reelection</w:t>
      </w:r>
      <w:r w:rsidR="00B36400" w:rsidRPr="00FC406F">
        <w:rPr>
          <w:rFonts w:ascii="Cambria" w:hAnsi="Cambria"/>
          <w:color w:val="000000" w:themeColor="text1"/>
          <w:sz w:val="20"/>
          <w:szCs w:val="20"/>
        </w:rPr>
        <w:t xml:space="preserve">” </w:t>
      </w:r>
      <w:r w:rsidRPr="00FC406F">
        <w:rPr>
          <w:rFonts w:ascii="Cambria" w:hAnsi="Cambria"/>
          <w:color w:val="000000" w:themeColor="text1"/>
          <w:sz w:val="20"/>
          <w:szCs w:val="20"/>
        </w:rPr>
        <w:t xml:space="preserve">of </w:t>
      </w:r>
      <w:r w:rsidR="00EA3371" w:rsidRPr="00FC406F">
        <w:rPr>
          <w:rFonts w:ascii="Cambria" w:hAnsi="Cambria"/>
          <w:color w:val="000000" w:themeColor="text1"/>
          <w:sz w:val="20"/>
          <w:szCs w:val="20"/>
        </w:rPr>
        <w:t xml:space="preserve">their </w:t>
      </w:r>
      <w:r w:rsidRPr="00FC406F">
        <w:rPr>
          <w:rFonts w:ascii="Cambria" w:hAnsi="Cambria"/>
          <w:color w:val="000000" w:themeColor="text1"/>
          <w:sz w:val="20"/>
          <w:szCs w:val="20"/>
        </w:rPr>
        <w:t>presidents on the basis of Article 23 of the American Convention</w:t>
      </w:r>
      <w:r w:rsidR="00B36400" w:rsidRPr="00FC406F">
        <w:rPr>
          <w:rFonts w:ascii="Cambria" w:hAnsi="Cambria"/>
          <w:color w:val="000000" w:themeColor="text1"/>
          <w:sz w:val="20"/>
          <w:szCs w:val="20"/>
        </w:rPr>
        <w:t xml:space="preserve">. </w:t>
      </w:r>
      <w:r w:rsidRPr="00FC406F">
        <w:rPr>
          <w:rFonts w:ascii="Cambria" w:hAnsi="Cambria"/>
          <w:color w:val="000000" w:themeColor="text1"/>
          <w:sz w:val="20"/>
          <w:szCs w:val="20"/>
        </w:rPr>
        <w:t>He alleged that the Political Constitution of Nicaragua</w:t>
      </w:r>
      <w:r w:rsidR="00EA3371" w:rsidRPr="00FC406F">
        <w:rPr>
          <w:rFonts w:ascii="Cambria" w:hAnsi="Cambria"/>
          <w:color w:val="000000" w:themeColor="text1"/>
          <w:sz w:val="20"/>
          <w:szCs w:val="20"/>
        </w:rPr>
        <w:t>,</w:t>
      </w:r>
      <w:r w:rsidRPr="00FC406F">
        <w:rPr>
          <w:rFonts w:ascii="Cambria" w:hAnsi="Cambria"/>
          <w:color w:val="000000" w:themeColor="text1"/>
          <w:sz w:val="20"/>
          <w:szCs w:val="20"/>
        </w:rPr>
        <w:t xml:space="preserve"> in </w:t>
      </w:r>
      <w:r w:rsidR="00AE490D" w:rsidRPr="00FC406F">
        <w:rPr>
          <w:rFonts w:ascii="Cambria" w:hAnsi="Cambria"/>
          <w:color w:val="000000" w:themeColor="text1"/>
          <w:sz w:val="20"/>
          <w:szCs w:val="20"/>
        </w:rPr>
        <w:t>force</w:t>
      </w:r>
      <w:r w:rsidRPr="00FC406F">
        <w:rPr>
          <w:rFonts w:ascii="Cambria" w:hAnsi="Cambria"/>
          <w:color w:val="000000" w:themeColor="text1"/>
          <w:sz w:val="20"/>
          <w:szCs w:val="20"/>
        </w:rPr>
        <w:t xml:space="preserve"> at the time of the incidents</w:t>
      </w:r>
      <w:r w:rsidR="00EA3371" w:rsidRPr="00FC406F">
        <w:rPr>
          <w:rFonts w:ascii="Cambria" w:hAnsi="Cambria"/>
          <w:color w:val="000000" w:themeColor="text1"/>
          <w:sz w:val="20"/>
          <w:szCs w:val="20"/>
        </w:rPr>
        <w:t>,</w:t>
      </w:r>
      <w:r w:rsidRPr="00FC406F">
        <w:rPr>
          <w:rFonts w:ascii="Cambria" w:hAnsi="Cambria"/>
          <w:color w:val="000000" w:themeColor="text1"/>
          <w:sz w:val="20"/>
          <w:szCs w:val="20"/>
        </w:rPr>
        <w:t xml:space="preserve"> </w:t>
      </w:r>
      <w:r w:rsidR="00EA3371" w:rsidRPr="00FC406F">
        <w:rPr>
          <w:rFonts w:ascii="Cambria" w:hAnsi="Cambria"/>
          <w:color w:val="000000" w:themeColor="text1"/>
          <w:sz w:val="20"/>
          <w:szCs w:val="20"/>
        </w:rPr>
        <w:t>stipulated</w:t>
      </w:r>
      <w:r w:rsidR="00AE490D" w:rsidRPr="00FC406F">
        <w:rPr>
          <w:rFonts w:ascii="Cambria" w:hAnsi="Cambria"/>
          <w:color w:val="000000" w:themeColor="text1"/>
          <w:sz w:val="20"/>
          <w:szCs w:val="20"/>
        </w:rPr>
        <w:t>,</w:t>
      </w:r>
      <w:r w:rsidRPr="00FC406F">
        <w:rPr>
          <w:rFonts w:ascii="Cambria" w:hAnsi="Cambria"/>
          <w:color w:val="000000" w:themeColor="text1"/>
          <w:sz w:val="20"/>
          <w:szCs w:val="20"/>
        </w:rPr>
        <w:t xml:space="preserve"> in its Article 147</w:t>
      </w:r>
      <w:r w:rsidR="00AE490D" w:rsidRPr="00FC406F">
        <w:rPr>
          <w:rFonts w:ascii="Cambria" w:hAnsi="Cambria"/>
          <w:color w:val="000000" w:themeColor="text1"/>
          <w:sz w:val="20"/>
          <w:szCs w:val="20"/>
        </w:rPr>
        <w:t>,</w:t>
      </w:r>
      <w:r w:rsidRPr="00FC406F">
        <w:rPr>
          <w:rFonts w:ascii="Cambria" w:hAnsi="Cambria"/>
          <w:color w:val="000000" w:themeColor="text1"/>
          <w:sz w:val="20"/>
          <w:szCs w:val="20"/>
        </w:rPr>
        <w:t xml:space="preserve"> that no </w:t>
      </w:r>
      <w:r w:rsidR="00EA3371" w:rsidRPr="00FC406F">
        <w:rPr>
          <w:rFonts w:ascii="Cambria" w:hAnsi="Cambria"/>
          <w:color w:val="000000" w:themeColor="text1"/>
          <w:sz w:val="20"/>
          <w:szCs w:val="20"/>
        </w:rPr>
        <w:t>president or vice-p</w:t>
      </w:r>
      <w:r w:rsidRPr="00FC406F">
        <w:rPr>
          <w:rFonts w:ascii="Cambria" w:hAnsi="Cambria"/>
          <w:color w:val="000000" w:themeColor="text1"/>
          <w:sz w:val="20"/>
          <w:szCs w:val="20"/>
        </w:rPr>
        <w:t>resident of the</w:t>
      </w:r>
      <w:r w:rsidR="00AE490D" w:rsidRPr="00FC406F">
        <w:rPr>
          <w:rFonts w:ascii="Cambria" w:hAnsi="Cambria"/>
          <w:color w:val="000000" w:themeColor="text1"/>
          <w:sz w:val="20"/>
          <w:szCs w:val="20"/>
        </w:rPr>
        <w:t xml:space="preserve"> </w:t>
      </w:r>
      <w:r w:rsidR="00DF194A" w:rsidRPr="00FC406F">
        <w:rPr>
          <w:rFonts w:ascii="Cambria" w:hAnsi="Cambria"/>
          <w:color w:val="000000" w:themeColor="text1"/>
          <w:sz w:val="20"/>
          <w:szCs w:val="20"/>
        </w:rPr>
        <w:t>r</w:t>
      </w:r>
      <w:r w:rsidRPr="00FC406F">
        <w:rPr>
          <w:rFonts w:ascii="Cambria" w:hAnsi="Cambria"/>
          <w:color w:val="000000" w:themeColor="text1"/>
          <w:sz w:val="20"/>
          <w:szCs w:val="20"/>
        </w:rPr>
        <w:t>epublic</w:t>
      </w:r>
      <w:r w:rsidR="00DF194A" w:rsidRPr="00FC406F">
        <w:rPr>
          <w:rFonts w:ascii="Cambria" w:hAnsi="Cambria"/>
          <w:color w:val="000000" w:themeColor="text1"/>
          <w:sz w:val="20"/>
          <w:szCs w:val="20"/>
        </w:rPr>
        <w:t xml:space="preserve"> could </w:t>
      </w:r>
      <w:r w:rsidR="00AE490D" w:rsidRPr="00FC406F">
        <w:rPr>
          <w:rFonts w:ascii="Cambria" w:hAnsi="Cambria"/>
          <w:color w:val="000000" w:themeColor="text1"/>
          <w:sz w:val="20"/>
          <w:szCs w:val="20"/>
        </w:rPr>
        <w:t>run as a candidate for the same office if they had already served two terms</w:t>
      </w:r>
      <w:r w:rsidR="00B36400" w:rsidRPr="00FC406F">
        <w:rPr>
          <w:rFonts w:ascii="Cambria" w:hAnsi="Cambria"/>
          <w:color w:val="000000" w:themeColor="text1"/>
          <w:sz w:val="20"/>
          <w:szCs w:val="20"/>
        </w:rPr>
        <w:t xml:space="preserve">. </w:t>
      </w:r>
      <w:r w:rsidR="00AE490D" w:rsidRPr="00FC406F">
        <w:rPr>
          <w:rFonts w:ascii="Cambria" w:hAnsi="Cambria"/>
          <w:color w:val="000000" w:themeColor="text1"/>
          <w:sz w:val="20"/>
          <w:szCs w:val="20"/>
        </w:rPr>
        <w:t xml:space="preserve">He also stressed that the above-mentioned article also </w:t>
      </w:r>
      <w:r w:rsidR="00DF194A" w:rsidRPr="00FC406F">
        <w:rPr>
          <w:rFonts w:ascii="Cambria" w:hAnsi="Cambria"/>
          <w:color w:val="000000" w:themeColor="text1"/>
          <w:sz w:val="20"/>
          <w:szCs w:val="20"/>
        </w:rPr>
        <w:t xml:space="preserve">banned immediate reelection to </w:t>
      </w:r>
      <w:r w:rsidR="00AE490D" w:rsidRPr="00FC406F">
        <w:rPr>
          <w:rFonts w:ascii="Cambria" w:hAnsi="Cambria"/>
          <w:color w:val="000000" w:themeColor="text1"/>
          <w:sz w:val="20"/>
          <w:szCs w:val="20"/>
        </w:rPr>
        <w:t xml:space="preserve">constitutional terms of office.  He added that, at the time of the incidents, </w:t>
      </w:r>
      <w:r w:rsidR="00B36400" w:rsidRPr="00FC406F">
        <w:rPr>
          <w:rFonts w:asciiTheme="majorHAnsi" w:hAnsiTheme="majorHAnsi" w:cs="Garamond"/>
          <w:sz w:val="20"/>
          <w:szCs w:val="20"/>
        </w:rPr>
        <w:t xml:space="preserve">José Daniel Ortega Saavedra </w:t>
      </w:r>
      <w:r w:rsidR="00AE490D" w:rsidRPr="00FC406F">
        <w:rPr>
          <w:rFonts w:asciiTheme="majorHAnsi" w:hAnsiTheme="majorHAnsi" w:cs="Garamond"/>
          <w:sz w:val="20"/>
          <w:szCs w:val="20"/>
        </w:rPr>
        <w:t>was serving his third term as President of Nicaragua</w:t>
      </w:r>
      <w:r w:rsidR="00B36400" w:rsidRPr="00FC406F">
        <w:rPr>
          <w:rFonts w:asciiTheme="majorHAnsi" w:hAnsiTheme="majorHAnsi" w:cs="Garamond"/>
          <w:sz w:val="20"/>
          <w:szCs w:val="20"/>
        </w:rPr>
        <w:t>.</w:t>
      </w:r>
    </w:p>
    <w:p w14:paraId="1ED3FC33" w14:textId="77777777" w:rsidR="00B36400" w:rsidRPr="00FC406F" w:rsidRDefault="00B36400" w:rsidP="00B3640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themeColor="text1"/>
          <w:sz w:val="20"/>
          <w:szCs w:val="20"/>
        </w:rPr>
      </w:pPr>
    </w:p>
    <w:p w14:paraId="457EE713" w14:textId="77777777" w:rsidR="00B36400" w:rsidRPr="00FC406F" w:rsidRDefault="000645CE" w:rsidP="00031C3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color w:val="000000" w:themeColor="text1"/>
          <w:sz w:val="20"/>
          <w:szCs w:val="20"/>
        </w:rPr>
      </w:pPr>
      <w:r w:rsidRPr="00FC406F">
        <w:rPr>
          <w:rFonts w:ascii="Cambria" w:hAnsi="Cambria"/>
          <w:color w:val="000000" w:themeColor="text1"/>
          <w:sz w:val="20"/>
          <w:szCs w:val="20"/>
        </w:rPr>
        <w:t>The petitioner</w:t>
      </w:r>
      <w:r w:rsidR="00AE490D" w:rsidRPr="00FC406F">
        <w:rPr>
          <w:rFonts w:ascii="Cambria" w:hAnsi="Cambria"/>
          <w:color w:val="000000" w:themeColor="text1"/>
          <w:sz w:val="20"/>
          <w:szCs w:val="20"/>
        </w:rPr>
        <w:t xml:space="preserve"> stated that, on March</w:t>
      </w:r>
      <w:r w:rsidR="00B36400" w:rsidRPr="00FC406F">
        <w:rPr>
          <w:rFonts w:ascii="Cambria" w:hAnsi="Cambria"/>
          <w:color w:val="000000" w:themeColor="text1"/>
          <w:sz w:val="20"/>
          <w:szCs w:val="20"/>
        </w:rPr>
        <w:t xml:space="preserve"> 9</w:t>
      </w:r>
      <w:r w:rsidR="00AE490D" w:rsidRPr="00FC406F">
        <w:rPr>
          <w:rFonts w:ascii="Cambria" w:hAnsi="Cambria"/>
          <w:color w:val="000000" w:themeColor="text1"/>
          <w:sz w:val="20"/>
          <w:szCs w:val="20"/>
        </w:rPr>
        <w:t>,</w:t>
      </w:r>
      <w:r w:rsidR="00B36400" w:rsidRPr="00FC406F">
        <w:rPr>
          <w:rFonts w:ascii="Cambria" w:hAnsi="Cambria"/>
          <w:color w:val="000000" w:themeColor="text1"/>
          <w:sz w:val="20"/>
          <w:szCs w:val="20"/>
        </w:rPr>
        <w:t xml:space="preserve"> 2011</w:t>
      </w:r>
      <w:r w:rsidR="00AE490D" w:rsidRPr="00FC406F">
        <w:rPr>
          <w:rFonts w:ascii="Cambria" w:hAnsi="Cambria"/>
          <w:color w:val="000000" w:themeColor="text1"/>
          <w:sz w:val="20"/>
          <w:szCs w:val="20"/>
        </w:rPr>
        <w:t xml:space="preserve">, the alleged victim </w:t>
      </w:r>
      <w:r w:rsidR="005515DF" w:rsidRPr="00FC406F">
        <w:rPr>
          <w:rFonts w:ascii="Cambria" w:hAnsi="Cambria"/>
          <w:color w:val="000000" w:themeColor="text1"/>
          <w:sz w:val="20"/>
          <w:szCs w:val="20"/>
        </w:rPr>
        <w:t>filed, with the Supreme Electoral</w:t>
      </w:r>
      <w:r w:rsidR="008800AB" w:rsidRPr="00FC406F">
        <w:rPr>
          <w:rFonts w:ascii="Cambria" w:hAnsi="Cambria"/>
          <w:color w:val="000000" w:themeColor="text1"/>
          <w:sz w:val="20"/>
          <w:szCs w:val="20"/>
        </w:rPr>
        <w:t xml:space="preserve"> Council (</w:t>
      </w:r>
      <w:r w:rsidR="008800AB" w:rsidRPr="00FC406F">
        <w:rPr>
          <w:rFonts w:ascii="Cambria" w:hAnsi="Cambria"/>
          <w:i/>
          <w:color w:val="000000" w:themeColor="text1"/>
          <w:sz w:val="20"/>
          <w:szCs w:val="20"/>
        </w:rPr>
        <w:t>Consejo Supremo Elect</w:t>
      </w:r>
      <w:r w:rsidR="005515DF" w:rsidRPr="00FC406F">
        <w:rPr>
          <w:rFonts w:ascii="Cambria" w:hAnsi="Cambria"/>
          <w:i/>
          <w:color w:val="000000" w:themeColor="text1"/>
          <w:sz w:val="20"/>
          <w:szCs w:val="20"/>
        </w:rPr>
        <w:t>o</w:t>
      </w:r>
      <w:r w:rsidR="008800AB" w:rsidRPr="00FC406F">
        <w:rPr>
          <w:rFonts w:ascii="Cambria" w:hAnsi="Cambria"/>
          <w:i/>
          <w:color w:val="000000" w:themeColor="text1"/>
          <w:sz w:val="20"/>
          <w:szCs w:val="20"/>
        </w:rPr>
        <w:t>r</w:t>
      </w:r>
      <w:r w:rsidR="005515DF" w:rsidRPr="00FC406F">
        <w:rPr>
          <w:rFonts w:ascii="Cambria" w:hAnsi="Cambria"/>
          <w:i/>
          <w:color w:val="000000" w:themeColor="text1"/>
          <w:sz w:val="20"/>
          <w:szCs w:val="20"/>
        </w:rPr>
        <w:t>al―CSE</w:t>
      </w:r>
      <w:r w:rsidRPr="00FC406F">
        <w:rPr>
          <w:rFonts w:ascii="Cambria" w:hAnsi="Cambria"/>
          <w:color w:val="000000" w:themeColor="text1"/>
          <w:sz w:val="20"/>
          <w:szCs w:val="20"/>
        </w:rPr>
        <w:t>) his candidacy to run for</w:t>
      </w:r>
      <w:r w:rsidR="005515DF" w:rsidRPr="00FC406F">
        <w:rPr>
          <w:rFonts w:ascii="Cambria" w:hAnsi="Cambria"/>
          <w:color w:val="000000" w:themeColor="text1"/>
          <w:sz w:val="20"/>
          <w:szCs w:val="20"/>
        </w:rPr>
        <w:t xml:space="preserve"> president, on behalf of the Independent Liberal Party Alliance (</w:t>
      </w:r>
      <w:r w:rsidR="005515DF" w:rsidRPr="00FC406F">
        <w:rPr>
          <w:rFonts w:ascii="Cambria" w:hAnsi="Cambria"/>
          <w:i/>
          <w:color w:val="000000" w:themeColor="text1"/>
          <w:sz w:val="20"/>
          <w:szCs w:val="20"/>
        </w:rPr>
        <w:t>A</w:t>
      </w:r>
      <w:r w:rsidR="00B36400" w:rsidRPr="00FC406F">
        <w:rPr>
          <w:rFonts w:ascii="Cambria" w:hAnsi="Cambria"/>
          <w:i/>
          <w:color w:val="000000" w:themeColor="text1"/>
          <w:sz w:val="20"/>
          <w:szCs w:val="20"/>
        </w:rPr>
        <w:t>lianza del Partido Liberal Independiente</w:t>
      </w:r>
      <w:r w:rsidR="005515DF" w:rsidRPr="00FC406F">
        <w:rPr>
          <w:rFonts w:ascii="Cambria" w:hAnsi="Cambria"/>
          <w:color w:val="000000" w:themeColor="text1"/>
          <w:sz w:val="20"/>
          <w:szCs w:val="20"/>
        </w:rPr>
        <w:t>), in Nicaragua’s presidential elections to be held on November 6, 2011</w:t>
      </w:r>
      <w:r w:rsidR="00B36400" w:rsidRPr="00FC406F">
        <w:rPr>
          <w:rFonts w:ascii="Cambria" w:hAnsi="Cambria"/>
          <w:color w:val="000000" w:themeColor="text1"/>
          <w:sz w:val="20"/>
          <w:szCs w:val="20"/>
        </w:rPr>
        <w:t xml:space="preserve">. </w:t>
      </w:r>
      <w:r w:rsidR="005515DF" w:rsidRPr="00FC406F">
        <w:rPr>
          <w:rFonts w:ascii="Cambria" w:hAnsi="Cambria"/>
          <w:color w:val="000000" w:themeColor="text1"/>
          <w:sz w:val="20"/>
          <w:szCs w:val="20"/>
        </w:rPr>
        <w:t>He indicated that both the alleged victim and the other candidates decided to participate in the elections, bearing in mind that</w:t>
      </w:r>
      <w:r w:rsidR="00B36400" w:rsidRPr="00FC406F">
        <w:rPr>
          <w:rFonts w:ascii="Cambria" w:hAnsi="Cambria"/>
          <w:color w:val="000000" w:themeColor="text1"/>
          <w:sz w:val="20"/>
          <w:szCs w:val="20"/>
        </w:rPr>
        <w:t xml:space="preserve"> </w:t>
      </w:r>
      <w:r w:rsidR="005515DF" w:rsidRPr="00FC406F">
        <w:rPr>
          <w:rFonts w:ascii="Cambria" w:hAnsi="Cambria"/>
          <w:color w:val="000000" w:themeColor="text1"/>
          <w:sz w:val="20"/>
          <w:szCs w:val="20"/>
        </w:rPr>
        <w:t xml:space="preserve">the incumbent </w:t>
      </w:r>
      <w:r w:rsidR="00B36400" w:rsidRPr="00FC406F">
        <w:rPr>
          <w:rFonts w:ascii="Cambria" w:hAnsi="Cambria"/>
          <w:color w:val="000000" w:themeColor="text1"/>
          <w:sz w:val="20"/>
          <w:szCs w:val="20"/>
        </w:rPr>
        <w:t xml:space="preserve">President Ortega </w:t>
      </w:r>
      <w:r w:rsidR="005515DF" w:rsidRPr="00FC406F">
        <w:rPr>
          <w:rFonts w:ascii="Cambria" w:hAnsi="Cambria"/>
          <w:color w:val="000000" w:themeColor="text1"/>
          <w:sz w:val="20"/>
          <w:szCs w:val="20"/>
        </w:rPr>
        <w:t>could not l</w:t>
      </w:r>
      <w:r w:rsidR="00822EA8" w:rsidRPr="00FC406F">
        <w:rPr>
          <w:rFonts w:ascii="Cambria" w:hAnsi="Cambria"/>
          <w:color w:val="000000" w:themeColor="text1"/>
          <w:sz w:val="20"/>
          <w:szCs w:val="20"/>
        </w:rPr>
        <w:t>awfully</w:t>
      </w:r>
      <w:r w:rsidR="005515DF" w:rsidRPr="00FC406F">
        <w:rPr>
          <w:rFonts w:ascii="Cambria" w:hAnsi="Cambria"/>
          <w:color w:val="000000" w:themeColor="text1"/>
          <w:sz w:val="20"/>
          <w:szCs w:val="20"/>
        </w:rPr>
        <w:t xml:space="preserve"> run for reelection pursuant to the provisions of the electoral system in force at the time</w:t>
      </w:r>
      <w:r w:rsidR="00B36400" w:rsidRPr="00FC406F">
        <w:rPr>
          <w:rFonts w:ascii="Cambria" w:hAnsi="Cambria"/>
          <w:color w:val="000000" w:themeColor="text1"/>
          <w:sz w:val="20"/>
          <w:szCs w:val="20"/>
        </w:rPr>
        <w:t>. N</w:t>
      </w:r>
      <w:r w:rsidR="005515DF" w:rsidRPr="00FC406F">
        <w:rPr>
          <w:rFonts w:ascii="Cambria" w:hAnsi="Cambria"/>
          <w:color w:val="000000" w:themeColor="text1"/>
          <w:sz w:val="20"/>
          <w:szCs w:val="20"/>
        </w:rPr>
        <w:t>evertheless, the latter did submit his candidacy for the above-mentioned elections as the candidate for the Sandinista National Liberation Front (</w:t>
      </w:r>
      <w:r w:rsidR="005515DF" w:rsidRPr="00FC406F">
        <w:rPr>
          <w:rFonts w:ascii="Cambria" w:hAnsi="Cambria"/>
          <w:i/>
          <w:color w:val="000000" w:themeColor="text1"/>
          <w:sz w:val="20"/>
          <w:szCs w:val="20"/>
        </w:rPr>
        <w:t>F</w:t>
      </w:r>
      <w:r w:rsidR="00B36400" w:rsidRPr="00FC406F">
        <w:rPr>
          <w:rFonts w:ascii="Cambria" w:hAnsi="Cambria"/>
          <w:i/>
          <w:sz w:val="20"/>
          <w:szCs w:val="20"/>
        </w:rPr>
        <w:t>rente San</w:t>
      </w:r>
      <w:r w:rsidR="005515DF" w:rsidRPr="00FC406F">
        <w:rPr>
          <w:rFonts w:ascii="Cambria" w:hAnsi="Cambria"/>
          <w:i/>
          <w:sz w:val="20"/>
          <w:szCs w:val="20"/>
        </w:rPr>
        <w:t>dinista de Liberación Nacional―</w:t>
      </w:r>
      <w:r w:rsidR="00B36400" w:rsidRPr="00FC406F">
        <w:rPr>
          <w:rFonts w:ascii="Cambria" w:hAnsi="Cambria"/>
          <w:i/>
          <w:sz w:val="20"/>
          <w:szCs w:val="20"/>
        </w:rPr>
        <w:t>FSLN</w:t>
      </w:r>
      <w:r w:rsidR="00B36400" w:rsidRPr="00FC406F">
        <w:rPr>
          <w:rFonts w:ascii="Cambria" w:hAnsi="Cambria"/>
          <w:sz w:val="20"/>
          <w:szCs w:val="20"/>
        </w:rPr>
        <w:t>)</w:t>
      </w:r>
      <w:r w:rsidR="005515DF" w:rsidRPr="00FC406F">
        <w:rPr>
          <w:rFonts w:ascii="Cambria" w:hAnsi="Cambria"/>
          <w:sz w:val="20"/>
          <w:szCs w:val="20"/>
        </w:rPr>
        <w:t>, in breach of the ban set forth in Article 147 of Nicaragua’s Political Constitution</w:t>
      </w:r>
      <w:r w:rsidR="00B36400" w:rsidRPr="00FC406F">
        <w:rPr>
          <w:rFonts w:ascii="Cambria" w:hAnsi="Cambria"/>
          <w:sz w:val="20"/>
          <w:szCs w:val="20"/>
        </w:rPr>
        <w:t>.</w:t>
      </w:r>
    </w:p>
    <w:p w14:paraId="3073A6BC" w14:textId="77777777" w:rsidR="00B36400" w:rsidRPr="00FC406F" w:rsidRDefault="00B36400" w:rsidP="00B36400">
      <w:pPr>
        <w:pStyle w:val="ListParagraph"/>
      </w:pPr>
    </w:p>
    <w:p w14:paraId="5FD0442D" w14:textId="77777777" w:rsidR="00B36400" w:rsidRPr="00FC406F" w:rsidRDefault="000645CE" w:rsidP="00031C3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color w:val="000000" w:themeColor="text1"/>
          <w:sz w:val="20"/>
          <w:szCs w:val="20"/>
        </w:rPr>
      </w:pPr>
      <w:r w:rsidRPr="00FC406F">
        <w:rPr>
          <w:rFonts w:ascii="Cambria" w:hAnsi="Cambria"/>
          <w:color w:val="000000" w:themeColor="text1"/>
          <w:sz w:val="20"/>
          <w:szCs w:val="20"/>
        </w:rPr>
        <w:t>The petitioner</w:t>
      </w:r>
      <w:r w:rsidR="005515DF" w:rsidRPr="00FC406F">
        <w:rPr>
          <w:rFonts w:ascii="Cambria" w:hAnsi="Cambria"/>
          <w:color w:val="000000" w:themeColor="text1"/>
          <w:sz w:val="20"/>
          <w:szCs w:val="20"/>
        </w:rPr>
        <w:t xml:space="preserve"> pointed out that, on April </w:t>
      </w:r>
      <w:r w:rsidR="00B36400" w:rsidRPr="00FC406F">
        <w:rPr>
          <w:rFonts w:ascii="Cambria" w:hAnsi="Cambria"/>
          <w:color w:val="000000" w:themeColor="text1"/>
          <w:sz w:val="20"/>
          <w:szCs w:val="20"/>
        </w:rPr>
        <w:t>1</w:t>
      </w:r>
      <w:r w:rsidR="005515DF" w:rsidRPr="00FC406F">
        <w:rPr>
          <w:rFonts w:ascii="Cambria" w:hAnsi="Cambria"/>
          <w:color w:val="000000" w:themeColor="text1"/>
          <w:sz w:val="20"/>
          <w:szCs w:val="20"/>
        </w:rPr>
        <w:t>,</w:t>
      </w:r>
      <w:r w:rsidR="00B36400" w:rsidRPr="00FC406F">
        <w:rPr>
          <w:rFonts w:ascii="Cambria" w:hAnsi="Cambria"/>
          <w:color w:val="000000" w:themeColor="text1"/>
          <w:sz w:val="20"/>
          <w:szCs w:val="20"/>
        </w:rPr>
        <w:t xml:space="preserve"> 2011</w:t>
      </w:r>
      <w:r w:rsidR="005515DF" w:rsidRPr="00FC406F">
        <w:rPr>
          <w:rFonts w:ascii="Cambria" w:hAnsi="Cambria"/>
          <w:color w:val="000000" w:themeColor="text1"/>
          <w:sz w:val="20"/>
          <w:szCs w:val="20"/>
        </w:rPr>
        <w:t xml:space="preserve">, he filed, along with other candidates, an appeal challenging the </w:t>
      </w:r>
      <w:r w:rsidR="00DF194A" w:rsidRPr="00FC406F">
        <w:rPr>
          <w:rFonts w:ascii="Cambria" w:hAnsi="Cambria"/>
          <w:color w:val="000000" w:themeColor="text1"/>
          <w:sz w:val="20"/>
          <w:szCs w:val="20"/>
        </w:rPr>
        <w:t>registration</w:t>
      </w:r>
      <w:r w:rsidR="005515DF" w:rsidRPr="00FC406F">
        <w:rPr>
          <w:rFonts w:ascii="Cambria" w:hAnsi="Cambria"/>
          <w:color w:val="000000" w:themeColor="text1"/>
          <w:sz w:val="20"/>
          <w:szCs w:val="20"/>
        </w:rPr>
        <w:t xml:space="preserve"> of President Ortega’s candidacy, arguing that it violated the Constitution’s ban on continuous reelection, as set forth in Article 47 of the Constitution. He stated that, on April 4, 2011, the CSE dismissed the </w:t>
      </w:r>
      <w:r w:rsidR="007A609B" w:rsidRPr="00FC406F">
        <w:rPr>
          <w:rFonts w:ascii="Cambria" w:hAnsi="Cambria"/>
          <w:color w:val="000000" w:themeColor="text1"/>
          <w:sz w:val="20"/>
          <w:szCs w:val="20"/>
        </w:rPr>
        <w:t>remedy challenging the candidacy by declaring that the presidential candidate José Daniel Ortega Saavedra had been duly registered and appeared in the register</w:t>
      </w:r>
      <w:r w:rsidR="005515DF" w:rsidRPr="00FC406F">
        <w:rPr>
          <w:rFonts w:ascii="Cambria" w:hAnsi="Cambria"/>
          <w:color w:val="000000" w:themeColor="text1"/>
          <w:sz w:val="20"/>
          <w:szCs w:val="20"/>
        </w:rPr>
        <w:t xml:space="preserve"> </w:t>
      </w:r>
      <w:r w:rsidR="007A609B" w:rsidRPr="00FC406F">
        <w:rPr>
          <w:rFonts w:ascii="Cambria" w:hAnsi="Cambria"/>
          <w:color w:val="000000" w:themeColor="text1"/>
          <w:sz w:val="20"/>
          <w:szCs w:val="20"/>
        </w:rPr>
        <w:t>for the elections of 2011.</w:t>
      </w:r>
    </w:p>
    <w:p w14:paraId="53D44FEF" w14:textId="77777777" w:rsidR="00B36400" w:rsidRPr="00FC406F" w:rsidRDefault="00B36400" w:rsidP="00B36400">
      <w:pPr>
        <w:pStyle w:val="ListParagraph"/>
      </w:pPr>
    </w:p>
    <w:p w14:paraId="130B58A5" w14:textId="77777777" w:rsidR="00B36400" w:rsidRPr="00FC406F" w:rsidRDefault="000645CE" w:rsidP="00031C3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color w:val="000000" w:themeColor="text1"/>
          <w:sz w:val="20"/>
          <w:szCs w:val="20"/>
        </w:rPr>
      </w:pPr>
      <w:r w:rsidRPr="00FC406F">
        <w:rPr>
          <w:rFonts w:ascii="Cambria" w:hAnsi="Cambria"/>
          <w:color w:val="000000" w:themeColor="text1"/>
          <w:sz w:val="20"/>
          <w:szCs w:val="20"/>
        </w:rPr>
        <w:t>The petitioner</w:t>
      </w:r>
      <w:r w:rsidR="007A609B" w:rsidRPr="00FC406F">
        <w:rPr>
          <w:rFonts w:ascii="Cambria" w:hAnsi="Cambria"/>
          <w:color w:val="000000" w:themeColor="text1"/>
          <w:sz w:val="20"/>
          <w:szCs w:val="20"/>
        </w:rPr>
        <w:t xml:space="preserve"> indicated that the CSE’s ruling was based on a judgment issued by the Constitutional Chamber of the Supreme Court of Justice on October 19, 2009, whereby said court ascertained that restricting the number of presidential terms of </w:t>
      </w:r>
      <w:r w:rsidR="0018306D" w:rsidRPr="00FC406F">
        <w:rPr>
          <w:rFonts w:ascii="Cambria" w:hAnsi="Cambria"/>
          <w:color w:val="000000" w:themeColor="text1"/>
          <w:sz w:val="20"/>
          <w:szCs w:val="20"/>
        </w:rPr>
        <w:t>office that a person could serv</w:t>
      </w:r>
      <w:r w:rsidR="007A609B" w:rsidRPr="00FC406F">
        <w:rPr>
          <w:rFonts w:ascii="Cambria" w:hAnsi="Cambria"/>
          <w:color w:val="000000" w:themeColor="text1"/>
          <w:sz w:val="20"/>
          <w:szCs w:val="20"/>
        </w:rPr>
        <w:t>e constitute</w:t>
      </w:r>
      <w:r w:rsidR="0018306D" w:rsidRPr="00FC406F">
        <w:rPr>
          <w:rFonts w:ascii="Cambria" w:hAnsi="Cambria"/>
          <w:color w:val="000000" w:themeColor="text1"/>
          <w:sz w:val="20"/>
          <w:szCs w:val="20"/>
        </w:rPr>
        <w:t>d</w:t>
      </w:r>
      <w:r w:rsidR="007A609B" w:rsidRPr="00FC406F">
        <w:rPr>
          <w:rFonts w:ascii="Cambria" w:hAnsi="Cambria"/>
          <w:color w:val="000000" w:themeColor="text1"/>
          <w:sz w:val="20"/>
          <w:szCs w:val="20"/>
        </w:rPr>
        <w:t xml:space="preserve"> a violation of the right to equality and declared that Article 147(a) and (b) of the Constitution were </w:t>
      </w:r>
      <w:r w:rsidR="003F3C49" w:rsidRPr="00FC406F">
        <w:rPr>
          <w:rFonts w:ascii="Cambria" w:hAnsi="Cambria"/>
          <w:color w:val="000000" w:themeColor="text1"/>
          <w:sz w:val="20"/>
          <w:szCs w:val="20"/>
        </w:rPr>
        <w:t>nonapplicable</w:t>
      </w:r>
      <w:r w:rsidR="007A609B" w:rsidRPr="00FC406F">
        <w:rPr>
          <w:rFonts w:ascii="Cambria" w:hAnsi="Cambria"/>
          <w:color w:val="000000" w:themeColor="text1"/>
          <w:sz w:val="20"/>
          <w:szCs w:val="20"/>
        </w:rPr>
        <w:t xml:space="preserve"> and ordered the CSE to certify President Ortega and the other citizens who had filed an appeal</w:t>
      </w:r>
      <w:r w:rsidRPr="00FC406F">
        <w:rPr>
          <w:rFonts w:ascii="Cambria" w:hAnsi="Cambria"/>
          <w:color w:val="000000" w:themeColor="text1"/>
          <w:sz w:val="20"/>
          <w:szCs w:val="20"/>
        </w:rPr>
        <w:t xml:space="preserve"> for protection</w:t>
      </w:r>
      <w:r w:rsidR="007A609B" w:rsidRPr="00FC406F">
        <w:rPr>
          <w:rFonts w:ascii="Cambria" w:hAnsi="Cambria"/>
          <w:color w:val="000000" w:themeColor="text1"/>
          <w:sz w:val="20"/>
          <w:szCs w:val="20"/>
        </w:rPr>
        <w:t xml:space="preserve"> on constitutional </w:t>
      </w:r>
      <w:r w:rsidR="007A609B" w:rsidRPr="00FC406F">
        <w:rPr>
          <w:rFonts w:ascii="Cambria" w:hAnsi="Cambria"/>
          <w:color w:val="000000" w:themeColor="text1"/>
          <w:sz w:val="20"/>
          <w:szCs w:val="20"/>
        </w:rPr>
        <w:lastRenderedPageBreak/>
        <w:t xml:space="preserve">grounds </w:t>
      </w:r>
      <w:r w:rsidRPr="00FC406F">
        <w:rPr>
          <w:rFonts w:ascii="Cambria" w:hAnsi="Cambria"/>
          <w:color w:val="000000" w:themeColor="text1"/>
          <w:sz w:val="20"/>
          <w:szCs w:val="20"/>
        </w:rPr>
        <w:t>(</w:t>
      </w:r>
      <w:r w:rsidRPr="00FC406F">
        <w:rPr>
          <w:rFonts w:ascii="Cambria" w:hAnsi="Cambria"/>
          <w:i/>
          <w:color w:val="000000" w:themeColor="text1"/>
          <w:sz w:val="20"/>
          <w:szCs w:val="20"/>
        </w:rPr>
        <w:t>amparo</w:t>
      </w:r>
      <w:r w:rsidRPr="00FC406F">
        <w:rPr>
          <w:rFonts w:ascii="Cambria" w:hAnsi="Cambria"/>
          <w:color w:val="000000" w:themeColor="text1"/>
          <w:sz w:val="20"/>
          <w:szCs w:val="20"/>
        </w:rPr>
        <w:t xml:space="preserve">) </w:t>
      </w:r>
      <w:r w:rsidR="007A609B" w:rsidRPr="00FC406F">
        <w:rPr>
          <w:rFonts w:ascii="Cambria" w:hAnsi="Cambria"/>
          <w:color w:val="000000" w:themeColor="text1"/>
          <w:sz w:val="20"/>
          <w:szCs w:val="20"/>
        </w:rPr>
        <w:t xml:space="preserve">as citizens eligible to participate in the </w:t>
      </w:r>
      <w:r w:rsidRPr="00FC406F">
        <w:rPr>
          <w:rFonts w:ascii="Cambria" w:hAnsi="Cambria"/>
          <w:color w:val="000000" w:themeColor="text1"/>
          <w:sz w:val="20"/>
          <w:szCs w:val="20"/>
        </w:rPr>
        <w:t xml:space="preserve">2011 </w:t>
      </w:r>
      <w:r w:rsidR="007A609B" w:rsidRPr="00FC406F">
        <w:rPr>
          <w:rFonts w:ascii="Cambria" w:hAnsi="Cambria"/>
          <w:color w:val="000000" w:themeColor="text1"/>
          <w:sz w:val="20"/>
          <w:szCs w:val="20"/>
        </w:rPr>
        <w:t>election</w:t>
      </w:r>
      <w:r w:rsidRPr="00FC406F">
        <w:rPr>
          <w:rFonts w:ascii="Cambria" w:hAnsi="Cambria"/>
          <w:color w:val="000000" w:themeColor="text1"/>
          <w:sz w:val="20"/>
          <w:szCs w:val="20"/>
        </w:rPr>
        <w:t>s</w:t>
      </w:r>
      <w:r w:rsidR="00B36400" w:rsidRPr="00FC406F">
        <w:rPr>
          <w:rFonts w:ascii="Cambria" w:hAnsi="Cambria"/>
          <w:color w:val="000000" w:themeColor="text1"/>
          <w:sz w:val="20"/>
          <w:szCs w:val="20"/>
        </w:rPr>
        <w:t>. T</w:t>
      </w:r>
      <w:r w:rsidR="0018306D" w:rsidRPr="00FC406F">
        <w:rPr>
          <w:rFonts w:ascii="Cambria" w:hAnsi="Cambria"/>
          <w:color w:val="000000" w:themeColor="text1"/>
          <w:sz w:val="20"/>
          <w:szCs w:val="20"/>
        </w:rPr>
        <w:t>his ruling was again upheld by the plenary chamber of the Supreme Court of Justice on September 30, 2010</w:t>
      </w:r>
      <w:r w:rsidR="00B36400" w:rsidRPr="00FC406F">
        <w:rPr>
          <w:rFonts w:ascii="Cambria" w:hAnsi="Cambria"/>
          <w:color w:val="000000" w:themeColor="text1"/>
          <w:sz w:val="20"/>
          <w:szCs w:val="20"/>
        </w:rPr>
        <w:t xml:space="preserve">. </w:t>
      </w:r>
    </w:p>
    <w:p w14:paraId="35547D18" w14:textId="77777777" w:rsidR="0018306D" w:rsidRPr="00FC406F" w:rsidRDefault="0018306D" w:rsidP="0018306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themeColor="text1"/>
          <w:sz w:val="20"/>
          <w:szCs w:val="20"/>
        </w:rPr>
      </w:pPr>
    </w:p>
    <w:p w14:paraId="054FE2AE" w14:textId="77777777" w:rsidR="00B36400" w:rsidRPr="00FC406F" w:rsidRDefault="000645CE" w:rsidP="00031C3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color w:val="000000" w:themeColor="text1"/>
          <w:sz w:val="20"/>
          <w:szCs w:val="20"/>
        </w:rPr>
      </w:pPr>
      <w:r w:rsidRPr="00FC406F">
        <w:rPr>
          <w:rFonts w:ascii="Cambria" w:hAnsi="Cambria"/>
          <w:color w:val="000000" w:themeColor="text1"/>
          <w:sz w:val="20"/>
          <w:szCs w:val="20"/>
        </w:rPr>
        <w:t>The petitioner</w:t>
      </w:r>
      <w:r w:rsidR="0018306D" w:rsidRPr="00FC406F">
        <w:rPr>
          <w:rFonts w:ascii="Cambria" w:hAnsi="Cambria"/>
          <w:color w:val="000000" w:themeColor="text1"/>
          <w:sz w:val="20"/>
          <w:szCs w:val="20"/>
        </w:rPr>
        <w:t xml:space="preserve"> stated that the registration of </w:t>
      </w:r>
      <w:r w:rsidR="00B36400" w:rsidRPr="00FC406F">
        <w:rPr>
          <w:rFonts w:ascii="Cambria" w:hAnsi="Cambria"/>
          <w:color w:val="000000" w:themeColor="text1"/>
          <w:sz w:val="20"/>
          <w:szCs w:val="20"/>
        </w:rPr>
        <w:t xml:space="preserve">President Ortega, </w:t>
      </w:r>
      <w:r w:rsidR="0018306D" w:rsidRPr="00FC406F">
        <w:rPr>
          <w:rFonts w:ascii="Cambria" w:hAnsi="Cambria"/>
          <w:color w:val="000000" w:themeColor="text1"/>
          <w:sz w:val="20"/>
          <w:szCs w:val="20"/>
        </w:rPr>
        <w:t>on the basis of the above-mentioned rulings, violat</w:t>
      </w:r>
      <w:r w:rsidRPr="00FC406F">
        <w:rPr>
          <w:rFonts w:ascii="Cambria" w:hAnsi="Cambria"/>
          <w:color w:val="000000" w:themeColor="text1"/>
          <w:sz w:val="20"/>
          <w:szCs w:val="20"/>
        </w:rPr>
        <w:t>ed</w:t>
      </w:r>
      <w:r w:rsidR="0018306D" w:rsidRPr="00FC406F">
        <w:rPr>
          <w:rFonts w:ascii="Cambria" w:hAnsi="Cambria"/>
          <w:color w:val="000000" w:themeColor="text1"/>
          <w:sz w:val="20"/>
          <w:szCs w:val="20"/>
        </w:rPr>
        <w:t xml:space="preserve"> the principle of constitutional supremacy, bearing in mind that said rules prevailed over the constitutional provision referring to the electoral system</w:t>
      </w:r>
      <w:r w:rsidR="00B36400" w:rsidRPr="00FC406F">
        <w:rPr>
          <w:rFonts w:ascii="Cambria" w:hAnsi="Cambria"/>
          <w:color w:val="000000" w:themeColor="text1"/>
          <w:sz w:val="20"/>
          <w:szCs w:val="20"/>
        </w:rPr>
        <w:t xml:space="preserve">. </w:t>
      </w:r>
      <w:r w:rsidR="0018306D" w:rsidRPr="00FC406F">
        <w:rPr>
          <w:rFonts w:ascii="Cambria" w:hAnsi="Cambria"/>
          <w:color w:val="000000" w:themeColor="text1"/>
          <w:sz w:val="20"/>
          <w:szCs w:val="20"/>
        </w:rPr>
        <w:t>He underscored that Article 182 of the Constitution of Nicaragua provides that laws, treaties, orders, or provisions that run counter to or alter the provisions of the Constitution shall have no standing whatsoever</w:t>
      </w:r>
      <w:r w:rsidR="00B36400" w:rsidRPr="00FC406F">
        <w:rPr>
          <w:rFonts w:ascii="Cambria" w:hAnsi="Cambria"/>
          <w:color w:val="000000" w:themeColor="text1"/>
          <w:sz w:val="20"/>
          <w:szCs w:val="20"/>
        </w:rPr>
        <w:t xml:space="preserve">. </w:t>
      </w:r>
      <w:r w:rsidR="0018306D" w:rsidRPr="00FC406F">
        <w:rPr>
          <w:rFonts w:ascii="Cambria" w:hAnsi="Cambria"/>
          <w:color w:val="000000" w:themeColor="text1"/>
          <w:sz w:val="20"/>
          <w:szCs w:val="20"/>
        </w:rPr>
        <w:t>He also established that the Constitution envisages stringent mechanisms whereb</w:t>
      </w:r>
      <w:r w:rsidRPr="00FC406F">
        <w:rPr>
          <w:rFonts w:ascii="Cambria" w:hAnsi="Cambria"/>
          <w:color w:val="000000" w:themeColor="text1"/>
          <w:sz w:val="20"/>
          <w:szCs w:val="20"/>
        </w:rPr>
        <w:t>y its contents can be amended, and</w:t>
      </w:r>
      <w:r w:rsidR="0018306D" w:rsidRPr="00FC406F">
        <w:rPr>
          <w:rFonts w:ascii="Cambria" w:hAnsi="Cambria"/>
          <w:color w:val="000000" w:themeColor="text1"/>
          <w:sz w:val="20"/>
          <w:szCs w:val="20"/>
        </w:rPr>
        <w:t xml:space="preserve"> the judicial branch of government is not included among the institutions that can alter the Constitution, </w:t>
      </w:r>
      <w:r w:rsidR="00D876BD" w:rsidRPr="00FC406F">
        <w:rPr>
          <w:rFonts w:ascii="Cambria" w:hAnsi="Cambria"/>
          <w:color w:val="000000" w:themeColor="text1"/>
          <w:sz w:val="20"/>
          <w:szCs w:val="20"/>
        </w:rPr>
        <w:t>let alone in response to an appeal for protection on constitutional grounds (</w:t>
      </w:r>
      <w:r w:rsidR="00D876BD" w:rsidRPr="00FC406F">
        <w:rPr>
          <w:rFonts w:ascii="Cambria" w:hAnsi="Cambria"/>
          <w:i/>
          <w:color w:val="000000" w:themeColor="text1"/>
          <w:sz w:val="20"/>
          <w:szCs w:val="20"/>
        </w:rPr>
        <w:t>amparo</w:t>
      </w:r>
      <w:r w:rsidR="00D876BD" w:rsidRPr="00FC406F">
        <w:rPr>
          <w:rFonts w:ascii="Cambria" w:hAnsi="Cambria"/>
          <w:color w:val="000000" w:themeColor="text1"/>
          <w:sz w:val="20"/>
          <w:szCs w:val="20"/>
        </w:rPr>
        <w:t>). He indicated that the above-mentioned judgments cannot have any effect to amend the Constitution, let alone to modify the electoral system provided for in the Constitution</w:t>
      </w:r>
      <w:r w:rsidR="00B36400" w:rsidRPr="00FC406F">
        <w:rPr>
          <w:rFonts w:ascii="Cambria" w:hAnsi="Cambria"/>
          <w:color w:val="000000" w:themeColor="text1"/>
          <w:sz w:val="20"/>
          <w:szCs w:val="20"/>
        </w:rPr>
        <w:t xml:space="preserve">. </w:t>
      </w:r>
    </w:p>
    <w:p w14:paraId="64B7E255" w14:textId="77777777" w:rsidR="00B36400" w:rsidRPr="00FC406F" w:rsidRDefault="00B36400" w:rsidP="00B36400">
      <w:pPr>
        <w:rPr>
          <w:color w:val="000000" w:themeColor="text1"/>
          <w:sz w:val="20"/>
          <w:szCs w:val="20"/>
        </w:rPr>
      </w:pPr>
    </w:p>
    <w:p w14:paraId="7D72CEC3" w14:textId="77777777" w:rsidR="00B36400" w:rsidRPr="00FC406F" w:rsidRDefault="00D876BD" w:rsidP="00031C3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color w:val="000000" w:themeColor="text1"/>
          <w:sz w:val="20"/>
          <w:szCs w:val="20"/>
        </w:rPr>
      </w:pPr>
      <w:r w:rsidRPr="00FC406F">
        <w:rPr>
          <w:rFonts w:ascii="Cambria" w:hAnsi="Cambria"/>
          <w:color w:val="000000" w:themeColor="text1"/>
          <w:sz w:val="20"/>
          <w:szCs w:val="20"/>
        </w:rPr>
        <w:t>Speci</w:t>
      </w:r>
      <w:r w:rsidR="000645CE" w:rsidRPr="00FC406F">
        <w:rPr>
          <w:rFonts w:ascii="Cambria" w:hAnsi="Cambria"/>
          <w:color w:val="000000" w:themeColor="text1"/>
          <w:sz w:val="20"/>
          <w:szCs w:val="20"/>
        </w:rPr>
        <w:t>fically, in terms of the law, the petitioner</w:t>
      </w:r>
      <w:r w:rsidRPr="00FC406F">
        <w:rPr>
          <w:rFonts w:ascii="Cambria" w:hAnsi="Cambria"/>
          <w:color w:val="000000" w:themeColor="text1"/>
          <w:sz w:val="20"/>
          <w:szCs w:val="20"/>
        </w:rPr>
        <w:t xml:space="preserve"> argued that the right to a</w:t>
      </w:r>
      <w:r w:rsidR="00B36400" w:rsidRPr="00FC406F">
        <w:rPr>
          <w:rFonts w:ascii="Cambria" w:hAnsi="Cambria"/>
          <w:color w:val="000000" w:themeColor="text1"/>
          <w:sz w:val="20"/>
          <w:szCs w:val="20"/>
        </w:rPr>
        <w:t xml:space="preserve"> </w:t>
      </w:r>
      <w:r w:rsidRPr="00FC406F">
        <w:rPr>
          <w:rFonts w:ascii="Cambria" w:hAnsi="Cambria"/>
          <w:b/>
          <w:color w:val="000000" w:themeColor="text1"/>
          <w:sz w:val="20"/>
          <w:szCs w:val="20"/>
        </w:rPr>
        <w:t>fair trial</w:t>
      </w:r>
      <w:r w:rsidR="00B36400" w:rsidRPr="00FC406F">
        <w:rPr>
          <w:rFonts w:ascii="Cambria" w:hAnsi="Cambria"/>
          <w:color w:val="000000" w:themeColor="text1"/>
          <w:sz w:val="20"/>
          <w:szCs w:val="20"/>
        </w:rPr>
        <w:t xml:space="preserve">, </w:t>
      </w:r>
      <w:r w:rsidRPr="00FC406F">
        <w:rPr>
          <w:rFonts w:ascii="Cambria" w:hAnsi="Cambria"/>
          <w:b/>
          <w:color w:val="000000" w:themeColor="text1"/>
          <w:sz w:val="20"/>
          <w:szCs w:val="20"/>
        </w:rPr>
        <w:t>political rights</w:t>
      </w:r>
      <w:r w:rsidRPr="00FC406F">
        <w:rPr>
          <w:rFonts w:ascii="Cambria" w:hAnsi="Cambria"/>
          <w:color w:val="000000" w:themeColor="text1"/>
          <w:sz w:val="20"/>
          <w:szCs w:val="20"/>
        </w:rPr>
        <w:t>, the</w:t>
      </w:r>
      <w:r w:rsidR="00B36400" w:rsidRPr="00FC406F">
        <w:rPr>
          <w:rFonts w:ascii="Cambria" w:hAnsi="Cambria"/>
          <w:color w:val="000000" w:themeColor="text1"/>
          <w:sz w:val="20"/>
          <w:szCs w:val="20"/>
        </w:rPr>
        <w:t xml:space="preserve"> </w:t>
      </w:r>
      <w:r w:rsidRPr="00FC406F">
        <w:rPr>
          <w:rFonts w:ascii="Cambria" w:hAnsi="Cambria"/>
          <w:b/>
          <w:color w:val="000000" w:themeColor="text1"/>
          <w:sz w:val="20"/>
          <w:szCs w:val="20"/>
        </w:rPr>
        <w:t>right to judicial protection</w:t>
      </w:r>
      <w:r w:rsidR="00B36400" w:rsidRPr="00FC406F">
        <w:rPr>
          <w:rFonts w:ascii="Cambria" w:hAnsi="Cambria"/>
          <w:color w:val="000000" w:themeColor="text1"/>
          <w:sz w:val="20"/>
          <w:szCs w:val="20"/>
        </w:rPr>
        <w:t xml:space="preserve">, </w:t>
      </w:r>
      <w:r w:rsidRPr="00FC406F">
        <w:rPr>
          <w:rFonts w:ascii="Cambria" w:hAnsi="Cambria"/>
          <w:color w:val="000000" w:themeColor="text1"/>
          <w:sz w:val="20"/>
          <w:szCs w:val="20"/>
        </w:rPr>
        <w:t>and the</w:t>
      </w:r>
      <w:r w:rsidR="00B36400" w:rsidRPr="00FC406F">
        <w:rPr>
          <w:rFonts w:ascii="Cambria" w:hAnsi="Cambria"/>
          <w:color w:val="000000" w:themeColor="text1"/>
          <w:sz w:val="20"/>
          <w:szCs w:val="20"/>
        </w:rPr>
        <w:t xml:space="preserve"> </w:t>
      </w:r>
      <w:r w:rsidRPr="00FC406F">
        <w:rPr>
          <w:rFonts w:ascii="Cambria" w:hAnsi="Cambria"/>
          <w:b/>
          <w:color w:val="000000" w:themeColor="text1"/>
          <w:sz w:val="20"/>
          <w:szCs w:val="20"/>
        </w:rPr>
        <w:t>right to adopt provisions under domestic law</w:t>
      </w:r>
      <w:r w:rsidR="000645CE" w:rsidRPr="00FC406F">
        <w:rPr>
          <w:rFonts w:ascii="Cambria" w:hAnsi="Cambria"/>
          <w:color w:val="000000" w:themeColor="text1"/>
          <w:sz w:val="20"/>
          <w:szCs w:val="20"/>
        </w:rPr>
        <w:t xml:space="preserve"> had been violated.</w:t>
      </w:r>
      <w:r w:rsidR="00B36400" w:rsidRPr="00FC406F">
        <w:rPr>
          <w:rFonts w:ascii="Cambria" w:hAnsi="Cambria"/>
          <w:color w:val="000000" w:themeColor="text1"/>
          <w:sz w:val="20"/>
          <w:szCs w:val="20"/>
        </w:rPr>
        <w:t xml:space="preserve"> </w:t>
      </w:r>
      <w:r w:rsidRPr="00FC406F">
        <w:rPr>
          <w:rFonts w:ascii="Cambria" w:hAnsi="Cambria"/>
          <w:color w:val="000000" w:themeColor="text1"/>
          <w:sz w:val="20"/>
          <w:szCs w:val="20"/>
        </w:rPr>
        <w:t xml:space="preserve">Regarding </w:t>
      </w:r>
      <w:r w:rsidRPr="00FC406F">
        <w:rPr>
          <w:rFonts w:ascii="Cambria" w:hAnsi="Cambria"/>
          <w:b/>
          <w:color w:val="000000" w:themeColor="text1"/>
          <w:sz w:val="20"/>
          <w:szCs w:val="20"/>
        </w:rPr>
        <w:t>the right to a fair trial,</w:t>
      </w:r>
      <w:r w:rsidRPr="00FC406F">
        <w:rPr>
          <w:rFonts w:ascii="Cambria" w:hAnsi="Cambria"/>
          <w:color w:val="000000" w:themeColor="text1"/>
          <w:sz w:val="20"/>
          <w:szCs w:val="20"/>
        </w:rPr>
        <w:t xml:space="preserve"> he argued that </w:t>
      </w:r>
      <w:r w:rsidR="00E068B3" w:rsidRPr="00FC406F">
        <w:rPr>
          <w:rFonts w:ascii="Cambria" w:hAnsi="Cambria"/>
          <w:color w:val="000000" w:themeColor="text1"/>
          <w:sz w:val="20"/>
          <w:szCs w:val="20"/>
        </w:rPr>
        <w:t>said right was violated because</w:t>
      </w:r>
      <w:r w:rsidRPr="00FC406F">
        <w:rPr>
          <w:rFonts w:ascii="Cambria" w:hAnsi="Cambria"/>
          <w:color w:val="000000" w:themeColor="text1"/>
          <w:sz w:val="20"/>
          <w:szCs w:val="20"/>
        </w:rPr>
        <w:t xml:space="preserve"> the CSE’s ruling upholding President Ortega’s candidacy is groundless and is confined to indicating that its ruling is based on the judgment of the Supreme Court of Nicaragua of September 30, 2010, without specifying</w:t>
      </w:r>
      <w:r w:rsidR="00F42B8E" w:rsidRPr="00FC406F">
        <w:rPr>
          <w:rFonts w:ascii="Cambria" w:hAnsi="Cambria"/>
          <w:color w:val="000000" w:themeColor="text1"/>
          <w:sz w:val="20"/>
          <w:szCs w:val="20"/>
        </w:rPr>
        <w:t xml:space="preserve"> why</w:t>
      </w:r>
      <w:r w:rsidRPr="00FC406F">
        <w:rPr>
          <w:rFonts w:ascii="Cambria" w:hAnsi="Cambria"/>
          <w:color w:val="000000" w:themeColor="text1"/>
          <w:sz w:val="20"/>
          <w:szCs w:val="20"/>
        </w:rPr>
        <w:t xml:space="preserve"> said judgment should prevail over the </w:t>
      </w:r>
      <w:r w:rsidR="00F42B8E" w:rsidRPr="00FC406F">
        <w:rPr>
          <w:rFonts w:ascii="Cambria" w:hAnsi="Cambria"/>
          <w:color w:val="000000" w:themeColor="text1"/>
          <w:sz w:val="20"/>
          <w:szCs w:val="20"/>
        </w:rPr>
        <w:t>express</w:t>
      </w:r>
      <w:r w:rsidRPr="00FC406F">
        <w:rPr>
          <w:rFonts w:ascii="Cambria" w:hAnsi="Cambria"/>
          <w:color w:val="000000" w:themeColor="text1"/>
          <w:sz w:val="20"/>
          <w:szCs w:val="20"/>
        </w:rPr>
        <w:t xml:space="preserve"> wording of Nicaragua’s Constitution</w:t>
      </w:r>
      <w:r w:rsidR="00B36400" w:rsidRPr="00FC406F">
        <w:rPr>
          <w:rFonts w:ascii="Cambria" w:hAnsi="Cambria"/>
          <w:color w:val="000000" w:themeColor="text1"/>
          <w:sz w:val="20"/>
          <w:szCs w:val="20"/>
        </w:rPr>
        <w:t xml:space="preserve">. </w:t>
      </w:r>
    </w:p>
    <w:p w14:paraId="387300A8" w14:textId="77777777" w:rsidR="00B36400" w:rsidRPr="00FC406F" w:rsidRDefault="00B36400" w:rsidP="00B36400">
      <w:pPr>
        <w:pStyle w:val="ListParagraph"/>
      </w:pPr>
    </w:p>
    <w:p w14:paraId="2EED0393" w14:textId="77777777" w:rsidR="00B36400" w:rsidRPr="00FC406F" w:rsidRDefault="00D876BD" w:rsidP="00031C3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color w:val="000000" w:themeColor="text1"/>
          <w:sz w:val="20"/>
          <w:szCs w:val="20"/>
        </w:rPr>
      </w:pPr>
      <w:r w:rsidRPr="00FC406F">
        <w:rPr>
          <w:rFonts w:ascii="Cambria" w:hAnsi="Cambria"/>
          <w:color w:val="000000" w:themeColor="text1"/>
          <w:sz w:val="20"/>
          <w:szCs w:val="20"/>
        </w:rPr>
        <w:t>Likewise, in connection with judicial guarantees, he alleged</w:t>
      </w:r>
      <w:r w:rsidR="00F42B8E" w:rsidRPr="00FC406F">
        <w:rPr>
          <w:rFonts w:ascii="Cambria" w:hAnsi="Cambria"/>
          <w:color w:val="000000" w:themeColor="text1"/>
          <w:sz w:val="20"/>
          <w:szCs w:val="20"/>
        </w:rPr>
        <w:t xml:space="preserve"> that</w:t>
      </w:r>
      <w:r w:rsidRPr="00FC406F">
        <w:rPr>
          <w:rFonts w:ascii="Cambria" w:hAnsi="Cambria"/>
          <w:color w:val="000000" w:themeColor="text1"/>
          <w:sz w:val="20"/>
          <w:szCs w:val="20"/>
        </w:rPr>
        <w:t xml:space="preserve"> the Supreme Electoral Court </w:t>
      </w:r>
      <w:r w:rsidR="00F42B8E" w:rsidRPr="00FC406F">
        <w:rPr>
          <w:rFonts w:ascii="Cambria" w:hAnsi="Cambria"/>
          <w:color w:val="000000" w:themeColor="text1"/>
          <w:sz w:val="20"/>
          <w:szCs w:val="20"/>
        </w:rPr>
        <w:t>lacked</w:t>
      </w:r>
      <w:r w:rsidRPr="00FC406F">
        <w:rPr>
          <w:rFonts w:ascii="Cambria" w:hAnsi="Cambria"/>
          <w:color w:val="000000" w:themeColor="text1"/>
          <w:sz w:val="20"/>
          <w:szCs w:val="20"/>
        </w:rPr>
        <w:t xml:space="preserve"> </w:t>
      </w:r>
      <w:r w:rsidR="00E068B3" w:rsidRPr="00FC406F">
        <w:rPr>
          <w:rFonts w:ascii="Cambria" w:hAnsi="Cambria"/>
          <w:color w:val="000000" w:themeColor="text1"/>
          <w:sz w:val="20"/>
          <w:szCs w:val="20"/>
        </w:rPr>
        <w:t>independence</w:t>
      </w:r>
      <w:r w:rsidRPr="00FC406F">
        <w:rPr>
          <w:rFonts w:ascii="Cambria" w:hAnsi="Cambria"/>
          <w:color w:val="000000" w:themeColor="text1"/>
          <w:sz w:val="20"/>
          <w:szCs w:val="20"/>
        </w:rPr>
        <w:t xml:space="preserve"> and impartiality</w:t>
      </w:r>
      <w:r w:rsidR="00525787" w:rsidRPr="00FC406F">
        <w:rPr>
          <w:rFonts w:ascii="Cambria" w:hAnsi="Cambria"/>
          <w:color w:val="000000" w:themeColor="text1"/>
          <w:sz w:val="20"/>
          <w:szCs w:val="20"/>
        </w:rPr>
        <w:t xml:space="preserve"> and pointed out that said institution was subject to political interference. He stated that, after the CSE’s ruling, in 2014 the National Assembly of Ni</w:t>
      </w:r>
      <w:r w:rsidR="00E068B3" w:rsidRPr="00FC406F">
        <w:rPr>
          <w:rFonts w:ascii="Cambria" w:hAnsi="Cambria"/>
          <w:color w:val="000000" w:themeColor="text1"/>
          <w:sz w:val="20"/>
          <w:szCs w:val="20"/>
        </w:rPr>
        <w:t>caragua adopted the amendment to</w:t>
      </w:r>
      <w:r w:rsidR="00525787" w:rsidRPr="00FC406F">
        <w:rPr>
          <w:rFonts w:ascii="Cambria" w:hAnsi="Cambria"/>
          <w:color w:val="000000" w:themeColor="text1"/>
          <w:sz w:val="20"/>
          <w:szCs w:val="20"/>
        </w:rPr>
        <w:t xml:space="preserve"> Articles 146 and 147 of the </w:t>
      </w:r>
      <w:r w:rsidR="00F42B8E" w:rsidRPr="00FC406F">
        <w:rPr>
          <w:rFonts w:ascii="Cambria" w:hAnsi="Cambria"/>
          <w:color w:val="000000" w:themeColor="text1"/>
          <w:sz w:val="20"/>
          <w:szCs w:val="20"/>
        </w:rPr>
        <w:t xml:space="preserve">Constitution, authorizing </w:t>
      </w:r>
      <w:r w:rsidR="00525787" w:rsidRPr="00FC406F">
        <w:rPr>
          <w:rFonts w:ascii="Cambria" w:hAnsi="Cambria"/>
          <w:color w:val="000000" w:themeColor="text1"/>
          <w:sz w:val="20"/>
          <w:szCs w:val="20"/>
        </w:rPr>
        <w:t>indefinite reelection and enacting measures such as the right to rule by decree</w:t>
      </w:r>
      <w:r w:rsidR="00B36400" w:rsidRPr="00FC406F">
        <w:rPr>
          <w:rFonts w:ascii="Cambria" w:hAnsi="Cambria"/>
          <w:color w:val="000000" w:themeColor="text1"/>
          <w:sz w:val="20"/>
          <w:szCs w:val="20"/>
        </w:rPr>
        <w:t xml:space="preserve">. </w:t>
      </w:r>
      <w:r w:rsidR="00525787" w:rsidRPr="00FC406F">
        <w:rPr>
          <w:rFonts w:ascii="Cambria" w:hAnsi="Cambria"/>
          <w:color w:val="000000" w:themeColor="text1"/>
          <w:sz w:val="20"/>
          <w:szCs w:val="20"/>
        </w:rPr>
        <w:t xml:space="preserve">He alleged that it was a demonstration </w:t>
      </w:r>
      <w:r w:rsidR="00F42B8E" w:rsidRPr="00FC406F">
        <w:rPr>
          <w:rFonts w:ascii="Cambria" w:hAnsi="Cambria"/>
          <w:color w:val="000000" w:themeColor="text1"/>
          <w:sz w:val="20"/>
          <w:szCs w:val="20"/>
        </w:rPr>
        <w:t xml:space="preserve">of </w:t>
      </w:r>
      <w:r w:rsidR="00525787" w:rsidRPr="00FC406F">
        <w:rPr>
          <w:rFonts w:ascii="Cambria" w:hAnsi="Cambria"/>
          <w:color w:val="000000" w:themeColor="text1"/>
          <w:sz w:val="20"/>
          <w:szCs w:val="20"/>
        </w:rPr>
        <w:t>how the executive branch of government was coopting powers</w:t>
      </w:r>
      <w:r w:rsidR="00B36400" w:rsidRPr="00FC406F">
        <w:rPr>
          <w:rFonts w:ascii="Cambria" w:hAnsi="Cambria"/>
          <w:color w:val="000000" w:themeColor="text1"/>
          <w:sz w:val="20"/>
          <w:szCs w:val="20"/>
        </w:rPr>
        <w:t xml:space="preserve">. </w:t>
      </w:r>
      <w:r w:rsidR="00525787" w:rsidRPr="00FC406F">
        <w:rPr>
          <w:rFonts w:ascii="Cambria" w:hAnsi="Cambria"/>
          <w:color w:val="000000" w:themeColor="text1"/>
          <w:sz w:val="20"/>
          <w:szCs w:val="20"/>
        </w:rPr>
        <w:t xml:space="preserve">He added that, in 2016, the government abolished opposition political parties, including that of the alleged victim, by replacing the legitimate representatives of said political parties as established </w:t>
      </w:r>
      <w:r w:rsidR="00E068B3" w:rsidRPr="00FC406F">
        <w:rPr>
          <w:rFonts w:ascii="Cambria" w:hAnsi="Cambria"/>
          <w:color w:val="000000" w:themeColor="text1"/>
          <w:sz w:val="20"/>
          <w:szCs w:val="20"/>
        </w:rPr>
        <w:t>by th</w:t>
      </w:r>
      <w:r w:rsidR="00525787" w:rsidRPr="00FC406F">
        <w:rPr>
          <w:rFonts w:ascii="Cambria" w:hAnsi="Cambria"/>
          <w:color w:val="000000" w:themeColor="text1"/>
          <w:sz w:val="20"/>
          <w:szCs w:val="20"/>
        </w:rPr>
        <w:t xml:space="preserve">eir </w:t>
      </w:r>
      <w:r w:rsidR="00E068B3" w:rsidRPr="00FC406F">
        <w:rPr>
          <w:rFonts w:ascii="Cambria" w:hAnsi="Cambria"/>
          <w:color w:val="000000" w:themeColor="text1"/>
          <w:sz w:val="20"/>
          <w:szCs w:val="20"/>
        </w:rPr>
        <w:t>statutes</w:t>
      </w:r>
      <w:r w:rsidR="00525787" w:rsidRPr="00FC406F">
        <w:rPr>
          <w:rFonts w:ascii="Cambria" w:hAnsi="Cambria"/>
          <w:color w:val="000000" w:themeColor="text1"/>
          <w:sz w:val="20"/>
          <w:szCs w:val="20"/>
        </w:rPr>
        <w:t>.</w:t>
      </w:r>
    </w:p>
    <w:p w14:paraId="55AEF05F" w14:textId="77777777" w:rsidR="00B36400" w:rsidRPr="00FC406F" w:rsidRDefault="00B36400" w:rsidP="00B36400">
      <w:pPr>
        <w:pStyle w:val="ListParagraph"/>
      </w:pPr>
    </w:p>
    <w:p w14:paraId="334861C7" w14:textId="77777777" w:rsidR="00B36400" w:rsidRPr="00FC406F" w:rsidRDefault="00F469D8" w:rsidP="00031C3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color w:val="000000" w:themeColor="text1"/>
          <w:sz w:val="20"/>
          <w:szCs w:val="20"/>
        </w:rPr>
      </w:pPr>
      <w:r w:rsidRPr="00FC406F">
        <w:rPr>
          <w:rFonts w:ascii="Cambria" w:hAnsi="Cambria"/>
          <w:color w:val="000000" w:themeColor="text1"/>
          <w:sz w:val="20"/>
          <w:szCs w:val="20"/>
        </w:rPr>
        <w:t>The petitioner</w:t>
      </w:r>
      <w:r w:rsidR="00382BCA" w:rsidRPr="00FC406F">
        <w:rPr>
          <w:rFonts w:ascii="Cambria" w:hAnsi="Cambria"/>
          <w:color w:val="000000" w:themeColor="text1"/>
          <w:sz w:val="20"/>
          <w:szCs w:val="20"/>
        </w:rPr>
        <w:t xml:space="preserve"> also contend</w:t>
      </w:r>
      <w:r w:rsidRPr="00FC406F">
        <w:rPr>
          <w:rFonts w:ascii="Cambria" w:hAnsi="Cambria"/>
          <w:color w:val="000000" w:themeColor="text1"/>
          <w:sz w:val="20"/>
          <w:szCs w:val="20"/>
        </w:rPr>
        <w:t>ed</w:t>
      </w:r>
      <w:r w:rsidR="00382BCA" w:rsidRPr="00FC406F">
        <w:rPr>
          <w:rFonts w:ascii="Cambria" w:hAnsi="Cambria"/>
          <w:color w:val="000000" w:themeColor="text1"/>
          <w:sz w:val="20"/>
          <w:szCs w:val="20"/>
        </w:rPr>
        <w:t xml:space="preserve"> that </w:t>
      </w:r>
      <w:r w:rsidR="00382BCA" w:rsidRPr="00FC406F">
        <w:rPr>
          <w:rFonts w:ascii="Cambria" w:hAnsi="Cambria"/>
          <w:b/>
          <w:color w:val="000000" w:themeColor="text1"/>
          <w:sz w:val="20"/>
          <w:szCs w:val="20"/>
        </w:rPr>
        <w:t>political rights</w:t>
      </w:r>
      <w:r w:rsidR="00382BCA" w:rsidRPr="00FC406F">
        <w:rPr>
          <w:rFonts w:ascii="Cambria" w:hAnsi="Cambria"/>
          <w:color w:val="000000" w:themeColor="text1"/>
          <w:sz w:val="20"/>
          <w:szCs w:val="20"/>
        </w:rPr>
        <w:t xml:space="preserve"> </w:t>
      </w:r>
      <w:r w:rsidRPr="00FC406F">
        <w:rPr>
          <w:rFonts w:ascii="Cambria" w:hAnsi="Cambria"/>
          <w:color w:val="000000" w:themeColor="text1"/>
          <w:sz w:val="20"/>
          <w:szCs w:val="20"/>
        </w:rPr>
        <w:t xml:space="preserve">were violated, </w:t>
      </w:r>
      <w:r w:rsidR="00382BCA" w:rsidRPr="00FC406F">
        <w:rPr>
          <w:rFonts w:ascii="Cambria" w:hAnsi="Cambria"/>
          <w:color w:val="000000" w:themeColor="text1"/>
          <w:sz w:val="20"/>
          <w:szCs w:val="20"/>
        </w:rPr>
        <w:t xml:space="preserve">in terms of the right to participate on </w:t>
      </w:r>
      <w:r w:rsidR="003C67CE" w:rsidRPr="00FC406F">
        <w:rPr>
          <w:rFonts w:ascii="Cambria" w:hAnsi="Cambria"/>
          <w:color w:val="000000" w:themeColor="text1"/>
          <w:sz w:val="20"/>
          <w:szCs w:val="20"/>
        </w:rPr>
        <w:t>equal terms</w:t>
      </w:r>
      <w:r w:rsidR="00B36400" w:rsidRPr="00FC406F">
        <w:rPr>
          <w:rFonts w:ascii="Cambria" w:hAnsi="Cambria"/>
          <w:color w:val="000000" w:themeColor="text1"/>
          <w:sz w:val="20"/>
          <w:szCs w:val="20"/>
        </w:rPr>
        <w:t xml:space="preserve">. </w:t>
      </w:r>
      <w:r w:rsidR="00382BCA" w:rsidRPr="00FC406F">
        <w:rPr>
          <w:rFonts w:ascii="Cambria" w:hAnsi="Cambria"/>
          <w:color w:val="000000" w:themeColor="text1"/>
          <w:sz w:val="20"/>
          <w:szCs w:val="20"/>
        </w:rPr>
        <w:t xml:space="preserve">Regarding this, he stated that the CSE registered President Ortega’s candidacy in breach of Article 147 of the Constitution and that said registration changed the rules governing the electoral process. He added that, by virtue of the principle of equality, there would no reason to grant President Ortega an exceptional status with respect to </w:t>
      </w:r>
      <w:r w:rsidR="003F3C49" w:rsidRPr="00FC406F">
        <w:rPr>
          <w:rFonts w:ascii="Cambria" w:hAnsi="Cambria"/>
          <w:color w:val="000000" w:themeColor="text1"/>
          <w:sz w:val="20"/>
          <w:szCs w:val="20"/>
        </w:rPr>
        <w:t>compliance with</w:t>
      </w:r>
      <w:r w:rsidR="00382BCA" w:rsidRPr="00FC406F">
        <w:rPr>
          <w:rFonts w:ascii="Cambria" w:hAnsi="Cambria"/>
          <w:color w:val="000000" w:themeColor="text1"/>
          <w:sz w:val="20"/>
          <w:szCs w:val="20"/>
        </w:rPr>
        <w:t xml:space="preserve"> the Constitution.</w:t>
      </w:r>
    </w:p>
    <w:p w14:paraId="7ADBCD08" w14:textId="77777777" w:rsidR="00B36400" w:rsidRPr="00FC406F" w:rsidRDefault="00B36400" w:rsidP="00B36400">
      <w:pPr>
        <w:pStyle w:val="ListParagraph"/>
      </w:pPr>
    </w:p>
    <w:p w14:paraId="5D559F85" w14:textId="77777777" w:rsidR="00B36400" w:rsidRPr="00FC406F" w:rsidRDefault="00F469D8" w:rsidP="00031C3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color w:val="000000" w:themeColor="text1"/>
          <w:sz w:val="20"/>
          <w:szCs w:val="20"/>
        </w:rPr>
      </w:pPr>
      <w:r w:rsidRPr="00FC406F">
        <w:rPr>
          <w:rFonts w:ascii="Cambria" w:hAnsi="Cambria"/>
          <w:color w:val="000000" w:themeColor="text1"/>
          <w:sz w:val="20"/>
          <w:szCs w:val="20"/>
        </w:rPr>
        <w:t>The petitioner</w:t>
      </w:r>
      <w:r w:rsidR="00382BCA" w:rsidRPr="00FC406F">
        <w:rPr>
          <w:rFonts w:ascii="Cambria" w:hAnsi="Cambria"/>
          <w:color w:val="000000" w:themeColor="text1"/>
          <w:sz w:val="20"/>
          <w:szCs w:val="20"/>
        </w:rPr>
        <w:t xml:space="preserve"> explained that, according to the inter-American system, the constraints on reelections were aime</w:t>
      </w:r>
      <w:r w:rsidRPr="00FC406F">
        <w:rPr>
          <w:rFonts w:ascii="Cambria" w:hAnsi="Cambria"/>
          <w:color w:val="000000" w:themeColor="text1"/>
          <w:sz w:val="20"/>
          <w:szCs w:val="20"/>
        </w:rPr>
        <w:t>d</w:t>
      </w:r>
      <w:r w:rsidR="00382BCA" w:rsidRPr="00FC406F">
        <w:rPr>
          <w:rFonts w:ascii="Cambria" w:hAnsi="Cambria"/>
          <w:color w:val="000000" w:themeColor="text1"/>
          <w:sz w:val="20"/>
          <w:szCs w:val="20"/>
        </w:rPr>
        <w:t xml:space="preserve"> at observing the principle of proportionality. Regarding this, he stated that the limits o</w:t>
      </w:r>
      <w:r w:rsidRPr="00FC406F">
        <w:rPr>
          <w:rFonts w:ascii="Cambria" w:hAnsi="Cambria"/>
          <w:color w:val="000000" w:themeColor="text1"/>
          <w:sz w:val="20"/>
          <w:szCs w:val="20"/>
        </w:rPr>
        <w:t>n presidential terms of office a</w:t>
      </w:r>
      <w:r w:rsidR="00382BCA" w:rsidRPr="00FC406F">
        <w:rPr>
          <w:rFonts w:ascii="Cambria" w:hAnsi="Cambria"/>
          <w:color w:val="000000" w:themeColor="text1"/>
          <w:sz w:val="20"/>
          <w:szCs w:val="20"/>
        </w:rPr>
        <w:t xml:space="preserve">re geared to preventing the indefinite consolidation of power of </w:t>
      </w:r>
      <w:r w:rsidR="00E068B3" w:rsidRPr="00FC406F">
        <w:rPr>
          <w:rFonts w:ascii="Cambria" w:hAnsi="Cambria"/>
          <w:color w:val="000000" w:themeColor="text1"/>
          <w:sz w:val="20"/>
          <w:szCs w:val="20"/>
        </w:rPr>
        <w:t>incumbent</w:t>
      </w:r>
      <w:r w:rsidR="00382BCA" w:rsidRPr="00FC406F">
        <w:rPr>
          <w:rFonts w:ascii="Cambria" w:hAnsi="Cambria"/>
          <w:color w:val="000000" w:themeColor="text1"/>
          <w:sz w:val="20"/>
          <w:szCs w:val="20"/>
        </w:rPr>
        <w:t xml:space="preserve"> presidents. He therefore alleged that it is a measure aimed at achieving the general goal of ensuring freedom </w:t>
      </w:r>
      <w:r w:rsidRPr="00FC406F">
        <w:rPr>
          <w:rFonts w:ascii="Cambria" w:hAnsi="Cambria"/>
          <w:color w:val="000000" w:themeColor="text1"/>
          <w:sz w:val="20"/>
          <w:szCs w:val="20"/>
        </w:rPr>
        <w:t>and equality of opportunities for</w:t>
      </w:r>
      <w:r w:rsidR="00382BCA" w:rsidRPr="00FC406F">
        <w:rPr>
          <w:rFonts w:ascii="Cambria" w:hAnsi="Cambria"/>
          <w:color w:val="000000" w:themeColor="text1"/>
          <w:sz w:val="20"/>
          <w:szCs w:val="20"/>
        </w:rPr>
        <w:t xml:space="preserve"> all citizens</w:t>
      </w:r>
      <w:r w:rsidR="00B36400" w:rsidRPr="00FC406F">
        <w:rPr>
          <w:rFonts w:ascii="Cambria" w:hAnsi="Cambria"/>
          <w:color w:val="000000" w:themeColor="text1"/>
          <w:sz w:val="20"/>
          <w:szCs w:val="20"/>
        </w:rPr>
        <w:t>.</w:t>
      </w:r>
    </w:p>
    <w:p w14:paraId="38D595A5" w14:textId="77777777" w:rsidR="00B36400" w:rsidRPr="00FC406F" w:rsidRDefault="00B36400" w:rsidP="00B36400"/>
    <w:p w14:paraId="74DABD18" w14:textId="77777777" w:rsidR="00B36400" w:rsidRPr="00FC406F" w:rsidRDefault="00B36400" w:rsidP="00031C3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color w:val="000000" w:themeColor="text1"/>
          <w:sz w:val="20"/>
          <w:szCs w:val="20"/>
        </w:rPr>
      </w:pPr>
      <w:r w:rsidRPr="00FC406F">
        <w:rPr>
          <w:rFonts w:ascii="Cambria" w:hAnsi="Cambria"/>
          <w:color w:val="000000" w:themeColor="text1"/>
          <w:sz w:val="20"/>
          <w:szCs w:val="20"/>
        </w:rPr>
        <w:t>Final</w:t>
      </w:r>
      <w:r w:rsidR="00382BCA" w:rsidRPr="00FC406F">
        <w:rPr>
          <w:rFonts w:ascii="Cambria" w:hAnsi="Cambria"/>
          <w:color w:val="000000" w:themeColor="text1"/>
          <w:sz w:val="20"/>
          <w:szCs w:val="20"/>
        </w:rPr>
        <w:t>ly</w:t>
      </w:r>
      <w:r w:rsidRPr="00FC406F">
        <w:rPr>
          <w:rFonts w:ascii="Cambria" w:hAnsi="Cambria"/>
          <w:color w:val="000000" w:themeColor="text1"/>
          <w:sz w:val="20"/>
          <w:szCs w:val="20"/>
        </w:rPr>
        <w:t xml:space="preserve">, </w:t>
      </w:r>
      <w:r w:rsidR="00382BCA" w:rsidRPr="00FC406F">
        <w:rPr>
          <w:rFonts w:ascii="Cambria" w:hAnsi="Cambria"/>
          <w:color w:val="000000" w:themeColor="text1"/>
          <w:sz w:val="20"/>
          <w:szCs w:val="20"/>
        </w:rPr>
        <w:t>he argued there was a violation of the</w:t>
      </w:r>
      <w:r w:rsidRPr="00FC406F">
        <w:rPr>
          <w:rFonts w:ascii="Cambria" w:hAnsi="Cambria"/>
          <w:color w:val="000000" w:themeColor="text1"/>
          <w:sz w:val="20"/>
          <w:szCs w:val="20"/>
        </w:rPr>
        <w:t xml:space="preserve"> </w:t>
      </w:r>
      <w:r w:rsidR="00382BCA" w:rsidRPr="00FC406F">
        <w:rPr>
          <w:rFonts w:ascii="Cambria" w:hAnsi="Cambria"/>
          <w:b/>
          <w:color w:val="000000" w:themeColor="text1"/>
          <w:sz w:val="20"/>
          <w:szCs w:val="20"/>
        </w:rPr>
        <w:t>right to judicial protection and the duty of adopting provisions under domestic law</w:t>
      </w:r>
      <w:r w:rsidR="00382BCA" w:rsidRPr="00FC406F">
        <w:rPr>
          <w:rFonts w:ascii="Cambria" w:hAnsi="Cambria"/>
          <w:color w:val="000000" w:themeColor="text1"/>
          <w:sz w:val="20"/>
          <w:szCs w:val="20"/>
        </w:rPr>
        <w:t>, bearing in mind that there are no effective remedies to challenge the CSE’s rulings</w:t>
      </w:r>
      <w:r w:rsidRPr="00FC406F">
        <w:rPr>
          <w:rFonts w:ascii="Cambria" w:hAnsi="Cambria"/>
          <w:color w:val="000000" w:themeColor="text1"/>
          <w:sz w:val="20"/>
          <w:szCs w:val="20"/>
        </w:rPr>
        <w:t xml:space="preserve">. </w:t>
      </w:r>
      <w:r w:rsidR="00382BCA" w:rsidRPr="00FC406F">
        <w:rPr>
          <w:rFonts w:ascii="Cambria" w:hAnsi="Cambria"/>
          <w:color w:val="000000" w:themeColor="text1"/>
          <w:sz w:val="20"/>
          <w:szCs w:val="20"/>
        </w:rPr>
        <w:t>Regarding this, he stated that, according to the Constitution, it was not possible to file ordinary or extraordinary remedies against the CSE’s ruling</w:t>
      </w:r>
      <w:r w:rsidR="00F469D8" w:rsidRPr="00FC406F">
        <w:rPr>
          <w:rFonts w:ascii="Cambria" w:hAnsi="Cambria"/>
          <w:color w:val="000000" w:themeColor="text1"/>
          <w:sz w:val="20"/>
          <w:szCs w:val="20"/>
        </w:rPr>
        <w:t>s</w:t>
      </w:r>
      <w:r w:rsidRPr="00FC406F">
        <w:rPr>
          <w:rFonts w:ascii="Cambria" w:hAnsi="Cambria"/>
          <w:color w:val="000000" w:themeColor="text1"/>
          <w:sz w:val="20"/>
          <w:szCs w:val="20"/>
        </w:rPr>
        <w:t xml:space="preserve">. </w:t>
      </w:r>
      <w:r w:rsidR="00382BCA" w:rsidRPr="00FC406F">
        <w:rPr>
          <w:rFonts w:ascii="Cambria" w:hAnsi="Cambria"/>
          <w:color w:val="000000" w:themeColor="text1"/>
          <w:sz w:val="20"/>
          <w:szCs w:val="20"/>
        </w:rPr>
        <w:t>He stressed that, in the case of</w:t>
      </w:r>
      <w:r w:rsidRPr="00FC406F">
        <w:rPr>
          <w:rFonts w:ascii="Cambria" w:hAnsi="Cambria"/>
          <w:color w:val="000000" w:themeColor="text1"/>
          <w:sz w:val="20"/>
          <w:szCs w:val="20"/>
        </w:rPr>
        <w:t xml:space="preserve"> </w:t>
      </w:r>
      <w:r w:rsidRPr="00FC406F">
        <w:rPr>
          <w:rFonts w:ascii="Cambria" w:hAnsi="Cambria"/>
          <w:i/>
          <w:color w:val="000000" w:themeColor="text1"/>
          <w:sz w:val="20"/>
          <w:szCs w:val="20"/>
        </w:rPr>
        <w:t>Yatama v. Nicaragua</w:t>
      </w:r>
      <w:r w:rsidRPr="00FC406F">
        <w:rPr>
          <w:rFonts w:ascii="Cambria" w:hAnsi="Cambria"/>
          <w:color w:val="000000" w:themeColor="text1"/>
          <w:sz w:val="20"/>
          <w:szCs w:val="20"/>
        </w:rPr>
        <w:t xml:space="preserve">, </w:t>
      </w:r>
      <w:r w:rsidR="00382BCA" w:rsidRPr="00FC406F">
        <w:rPr>
          <w:rFonts w:ascii="Cambria" w:hAnsi="Cambria"/>
          <w:color w:val="000000" w:themeColor="text1"/>
          <w:sz w:val="20"/>
          <w:szCs w:val="20"/>
        </w:rPr>
        <w:t>the Inter-American Court ordered the state to establish an effective legal remedy; nevertheless, Nicaragua</w:t>
      </w:r>
      <w:r w:rsidR="0001065E" w:rsidRPr="00FC406F">
        <w:rPr>
          <w:rFonts w:ascii="Cambria" w:hAnsi="Cambria"/>
          <w:color w:val="000000" w:themeColor="text1"/>
          <w:sz w:val="20"/>
          <w:szCs w:val="20"/>
        </w:rPr>
        <w:t xml:space="preserve"> has still not adjusted its domestic law accordingly.</w:t>
      </w:r>
    </w:p>
    <w:p w14:paraId="06953FFA" w14:textId="77777777" w:rsidR="00B36400" w:rsidRPr="00FC406F" w:rsidRDefault="00B36400" w:rsidP="00B36400">
      <w:pPr>
        <w:tabs>
          <w:tab w:val="left" w:pos="360"/>
        </w:tabs>
        <w:suppressAutoHyphens/>
        <w:rPr>
          <w:rFonts w:asciiTheme="majorHAnsi" w:hAnsiTheme="majorHAnsi"/>
          <w:color w:val="548DD4" w:themeColor="text2" w:themeTint="99"/>
          <w:sz w:val="20"/>
          <w:szCs w:val="20"/>
        </w:rPr>
      </w:pPr>
    </w:p>
    <w:p w14:paraId="26C40FD8" w14:textId="77777777" w:rsidR="00B36400" w:rsidRPr="00FC406F" w:rsidRDefault="0001065E" w:rsidP="00B36400">
      <w:pPr>
        <w:pStyle w:val="Heading2"/>
      </w:pPr>
      <w:bookmarkStart w:id="8" w:name="_Toc42609967"/>
      <w:bookmarkStart w:id="9" w:name="_Toc56778649"/>
      <w:r w:rsidRPr="00FC406F">
        <w:t>State</w:t>
      </w:r>
      <w:bookmarkEnd w:id="8"/>
      <w:bookmarkEnd w:id="9"/>
    </w:p>
    <w:p w14:paraId="4AA0A9E2" w14:textId="77777777" w:rsidR="00B36400" w:rsidRPr="00FC406F" w:rsidRDefault="00B36400" w:rsidP="00B3640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sz w:val="20"/>
          <w:szCs w:val="20"/>
        </w:rPr>
      </w:pPr>
    </w:p>
    <w:p w14:paraId="10A229D5" w14:textId="77777777" w:rsidR="00B36400" w:rsidRPr="00FC406F" w:rsidRDefault="00E068B3" w:rsidP="00031C3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rPr>
      </w:pPr>
      <w:r w:rsidRPr="00FC406F">
        <w:rPr>
          <w:rFonts w:asciiTheme="majorHAnsi" w:hAnsiTheme="majorHAnsi"/>
          <w:sz w:val="20"/>
          <w:szCs w:val="20"/>
        </w:rPr>
        <w:t>As background to the case, t</w:t>
      </w:r>
      <w:r w:rsidR="0001065E" w:rsidRPr="00FC406F">
        <w:rPr>
          <w:rFonts w:asciiTheme="majorHAnsi" w:hAnsiTheme="majorHAnsi"/>
          <w:sz w:val="20"/>
          <w:szCs w:val="20"/>
        </w:rPr>
        <w:t xml:space="preserve">he state of </w:t>
      </w:r>
      <w:r w:rsidR="00B36400" w:rsidRPr="00FC406F">
        <w:rPr>
          <w:rFonts w:asciiTheme="majorHAnsi" w:hAnsiTheme="majorHAnsi"/>
          <w:sz w:val="20"/>
          <w:szCs w:val="20"/>
        </w:rPr>
        <w:t xml:space="preserve">Nicaragua </w:t>
      </w:r>
      <w:r w:rsidR="0001065E" w:rsidRPr="00FC406F">
        <w:rPr>
          <w:rFonts w:asciiTheme="majorHAnsi" w:hAnsiTheme="majorHAnsi"/>
          <w:sz w:val="20"/>
          <w:szCs w:val="20"/>
        </w:rPr>
        <w:t>pointed out</w:t>
      </w:r>
      <w:r w:rsidRPr="00FC406F">
        <w:rPr>
          <w:rFonts w:asciiTheme="majorHAnsi" w:hAnsiTheme="majorHAnsi"/>
          <w:sz w:val="20"/>
          <w:szCs w:val="20"/>
        </w:rPr>
        <w:t xml:space="preserve"> </w:t>
      </w:r>
      <w:r w:rsidR="0001065E" w:rsidRPr="00FC406F">
        <w:rPr>
          <w:rFonts w:asciiTheme="majorHAnsi" w:hAnsiTheme="majorHAnsi"/>
          <w:sz w:val="20"/>
          <w:szCs w:val="20"/>
        </w:rPr>
        <w:t>that in Nicaragua democracy is exercised directly,</w:t>
      </w:r>
      <w:r w:rsidR="000B38D1" w:rsidRPr="00FC406F">
        <w:rPr>
          <w:rFonts w:asciiTheme="majorHAnsi" w:hAnsiTheme="majorHAnsi"/>
          <w:sz w:val="20"/>
          <w:szCs w:val="20"/>
        </w:rPr>
        <w:t xml:space="preserve"> on the basis of a </w:t>
      </w:r>
      <w:r w:rsidR="0001065E" w:rsidRPr="00FC406F">
        <w:rPr>
          <w:rFonts w:asciiTheme="majorHAnsi" w:hAnsiTheme="majorHAnsi"/>
          <w:sz w:val="20"/>
          <w:szCs w:val="20"/>
        </w:rPr>
        <w:t>participato</w:t>
      </w:r>
      <w:r w:rsidR="000B38D1" w:rsidRPr="00FC406F">
        <w:rPr>
          <w:rFonts w:asciiTheme="majorHAnsi" w:hAnsiTheme="majorHAnsi"/>
          <w:sz w:val="20"/>
          <w:szCs w:val="20"/>
        </w:rPr>
        <w:t xml:space="preserve">ry and representative approach, as illustrated in the 19 electoral processes and more than 45 elections leading to the </w:t>
      </w:r>
      <w:r w:rsidR="00F469D8" w:rsidRPr="00FC406F">
        <w:rPr>
          <w:rFonts w:asciiTheme="majorHAnsi" w:hAnsiTheme="majorHAnsi"/>
          <w:sz w:val="20"/>
          <w:szCs w:val="20"/>
        </w:rPr>
        <w:t>rotation</w:t>
      </w:r>
      <w:r w:rsidR="000B38D1" w:rsidRPr="00FC406F">
        <w:rPr>
          <w:rFonts w:asciiTheme="majorHAnsi" w:hAnsiTheme="majorHAnsi"/>
          <w:sz w:val="20"/>
          <w:szCs w:val="20"/>
        </w:rPr>
        <w:t xml:space="preserve"> of political and ideological schools of thought </w:t>
      </w:r>
      <w:r w:rsidR="00D62916" w:rsidRPr="00FC406F">
        <w:rPr>
          <w:rFonts w:asciiTheme="majorHAnsi" w:hAnsiTheme="majorHAnsi"/>
          <w:sz w:val="20"/>
          <w:szCs w:val="20"/>
        </w:rPr>
        <w:t xml:space="preserve">to be </w:t>
      </w:r>
      <w:r w:rsidR="000B38D1" w:rsidRPr="00FC406F">
        <w:rPr>
          <w:rFonts w:asciiTheme="majorHAnsi" w:hAnsiTheme="majorHAnsi"/>
          <w:sz w:val="20"/>
          <w:szCs w:val="20"/>
        </w:rPr>
        <w:t>at the helm of government</w:t>
      </w:r>
      <w:r w:rsidR="00B36400" w:rsidRPr="00FC406F">
        <w:rPr>
          <w:rFonts w:asciiTheme="majorHAnsi" w:hAnsiTheme="majorHAnsi"/>
          <w:sz w:val="20"/>
          <w:szCs w:val="20"/>
        </w:rPr>
        <w:t>.</w:t>
      </w:r>
    </w:p>
    <w:p w14:paraId="382B84FB" w14:textId="77777777" w:rsidR="00B36400" w:rsidRPr="00FC406F" w:rsidRDefault="00B36400" w:rsidP="00B3640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sz w:val="20"/>
          <w:szCs w:val="20"/>
        </w:rPr>
      </w:pPr>
    </w:p>
    <w:p w14:paraId="7899584A" w14:textId="77777777" w:rsidR="00B36400" w:rsidRPr="00FC406F" w:rsidRDefault="000B38D1" w:rsidP="00031C3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rPr>
      </w:pPr>
      <w:r w:rsidRPr="00FC406F">
        <w:rPr>
          <w:rFonts w:asciiTheme="majorHAnsi" w:hAnsiTheme="majorHAnsi"/>
          <w:sz w:val="20"/>
          <w:szCs w:val="20"/>
        </w:rPr>
        <w:t>Specifically regarding the alleged victim, it stressed that none of his rights were violated and that the Political Constitution guarantees a level playing field for Nicaraguans to exercise their political rights. It states that evidence for this can be found in the alleged victim’s registration as a presidential candidate running in the elections of 2011</w:t>
      </w:r>
      <w:r w:rsidR="00B36400" w:rsidRPr="00FC406F">
        <w:rPr>
          <w:rFonts w:asciiTheme="majorHAnsi" w:hAnsiTheme="majorHAnsi"/>
          <w:sz w:val="20"/>
          <w:szCs w:val="20"/>
        </w:rPr>
        <w:t>.</w:t>
      </w:r>
    </w:p>
    <w:p w14:paraId="2DDCF72F" w14:textId="77777777" w:rsidR="000B38D1" w:rsidRPr="00FC406F" w:rsidRDefault="000B38D1" w:rsidP="000B38D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sz w:val="20"/>
          <w:szCs w:val="20"/>
        </w:rPr>
      </w:pPr>
    </w:p>
    <w:p w14:paraId="110399EC" w14:textId="77777777" w:rsidR="00B36400" w:rsidRPr="00FC406F" w:rsidRDefault="000B38D1" w:rsidP="00031C3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rPr>
      </w:pPr>
      <w:r w:rsidRPr="00FC406F">
        <w:rPr>
          <w:rFonts w:asciiTheme="majorHAnsi" w:hAnsiTheme="majorHAnsi"/>
          <w:sz w:val="20"/>
          <w:szCs w:val="20"/>
        </w:rPr>
        <w:t xml:space="preserve">As for the alleged victim’s argument that he registered as a presidential candidate bearing in mind that President Ortega would not be able to participate, it states that this is not true because he was aware of the judgment issued by the Constitutional Chamber of the Supreme Court of Justice of </w:t>
      </w:r>
      <w:r w:rsidR="009C5DBC" w:rsidRPr="00FC406F">
        <w:rPr>
          <w:rFonts w:asciiTheme="majorHAnsi" w:hAnsiTheme="majorHAnsi"/>
          <w:sz w:val="20"/>
          <w:szCs w:val="20"/>
        </w:rPr>
        <w:t>October 19,</w:t>
      </w:r>
      <w:r w:rsidRPr="00FC406F">
        <w:rPr>
          <w:rFonts w:asciiTheme="majorHAnsi" w:hAnsiTheme="majorHAnsi"/>
          <w:sz w:val="20"/>
          <w:szCs w:val="20"/>
        </w:rPr>
        <w:t xml:space="preserve"> 2009, upheld by the September 30, 2010 ruling of the Supreme Court of Justice, which </w:t>
      </w:r>
      <w:r w:rsidR="008D1F09" w:rsidRPr="00FC406F">
        <w:rPr>
          <w:rFonts w:asciiTheme="majorHAnsi" w:hAnsiTheme="majorHAnsi"/>
          <w:sz w:val="20"/>
          <w:szCs w:val="20"/>
        </w:rPr>
        <w:t xml:space="preserve">declared that Article 147 of the Constitution was </w:t>
      </w:r>
      <w:r w:rsidR="003F3C49" w:rsidRPr="00FC406F">
        <w:rPr>
          <w:rFonts w:asciiTheme="majorHAnsi" w:hAnsiTheme="majorHAnsi"/>
          <w:sz w:val="20"/>
          <w:szCs w:val="20"/>
        </w:rPr>
        <w:t>nonapplicable</w:t>
      </w:r>
      <w:r w:rsidR="008D1F09" w:rsidRPr="00FC406F">
        <w:rPr>
          <w:rFonts w:asciiTheme="majorHAnsi" w:hAnsiTheme="majorHAnsi"/>
          <w:sz w:val="20"/>
          <w:szCs w:val="20"/>
        </w:rPr>
        <w:t xml:space="preserve"> and authorized the incumbent President to be reelected.</w:t>
      </w:r>
      <w:r w:rsidR="00B36400" w:rsidRPr="00FC406F">
        <w:rPr>
          <w:rFonts w:asciiTheme="majorHAnsi" w:hAnsiTheme="majorHAnsi"/>
          <w:sz w:val="20"/>
          <w:szCs w:val="20"/>
        </w:rPr>
        <w:t xml:space="preserve"> </w:t>
      </w:r>
      <w:r w:rsidR="008D1F09" w:rsidRPr="00FC406F">
        <w:rPr>
          <w:rFonts w:asciiTheme="majorHAnsi" w:hAnsiTheme="majorHAnsi"/>
          <w:sz w:val="20"/>
          <w:szCs w:val="20"/>
        </w:rPr>
        <w:t>It contended that, regarding this, whe</w:t>
      </w:r>
      <w:r w:rsidR="00E068B3" w:rsidRPr="00FC406F">
        <w:rPr>
          <w:rFonts w:asciiTheme="majorHAnsi" w:hAnsiTheme="majorHAnsi"/>
          <w:sz w:val="20"/>
          <w:szCs w:val="20"/>
        </w:rPr>
        <w:t>n the 2011 elections were convened</w:t>
      </w:r>
      <w:r w:rsidR="008D1F09" w:rsidRPr="00FC406F">
        <w:rPr>
          <w:rFonts w:asciiTheme="majorHAnsi" w:hAnsiTheme="majorHAnsi"/>
          <w:sz w:val="20"/>
          <w:szCs w:val="20"/>
        </w:rPr>
        <w:t xml:space="preserve"> on October 28, 2010, the constitutional provisions on the ban of reelection w</w:t>
      </w:r>
      <w:r w:rsidR="00F469D8" w:rsidRPr="00FC406F">
        <w:rPr>
          <w:rFonts w:asciiTheme="majorHAnsi" w:hAnsiTheme="majorHAnsi"/>
          <w:sz w:val="20"/>
          <w:szCs w:val="20"/>
        </w:rPr>
        <w:t>ere</w:t>
      </w:r>
      <w:r w:rsidR="008D1F09" w:rsidRPr="00FC406F">
        <w:rPr>
          <w:rFonts w:asciiTheme="majorHAnsi" w:hAnsiTheme="majorHAnsi"/>
          <w:sz w:val="20"/>
          <w:szCs w:val="20"/>
        </w:rPr>
        <w:t xml:space="preserve"> devoid of any standing</w:t>
      </w:r>
      <w:r w:rsidR="00B36400" w:rsidRPr="00FC406F">
        <w:rPr>
          <w:rFonts w:asciiTheme="majorHAnsi" w:hAnsiTheme="majorHAnsi"/>
          <w:sz w:val="20"/>
          <w:szCs w:val="20"/>
        </w:rPr>
        <w:t xml:space="preserve">. </w:t>
      </w:r>
    </w:p>
    <w:p w14:paraId="5234B006" w14:textId="77777777" w:rsidR="00B36400" w:rsidRPr="00FC406F" w:rsidRDefault="00B36400" w:rsidP="00B36400">
      <w:pPr>
        <w:pStyle w:val="ListParagraph"/>
      </w:pPr>
    </w:p>
    <w:p w14:paraId="4A51C659" w14:textId="77777777" w:rsidR="00B36400" w:rsidRPr="00FC406F" w:rsidRDefault="008D1F09" w:rsidP="00031C3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rPr>
      </w:pPr>
      <w:r w:rsidRPr="00FC406F">
        <w:rPr>
          <w:rFonts w:asciiTheme="majorHAnsi" w:hAnsiTheme="majorHAnsi"/>
          <w:sz w:val="20"/>
          <w:szCs w:val="20"/>
        </w:rPr>
        <w:t>Furthermore, with respect to</w:t>
      </w:r>
      <w:r w:rsidR="009C5DBC" w:rsidRPr="00FC406F">
        <w:rPr>
          <w:rFonts w:asciiTheme="majorHAnsi" w:hAnsiTheme="majorHAnsi"/>
          <w:sz w:val="20"/>
          <w:szCs w:val="20"/>
        </w:rPr>
        <w:t xml:space="preserve"> the right to reelection, the st</w:t>
      </w:r>
      <w:r w:rsidRPr="00FC406F">
        <w:rPr>
          <w:rFonts w:asciiTheme="majorHAnsi" w:hAnsiTheme="majorHAnsi"/>
          <w:sz w:val="20"/>
          <w:szCs w:val="20"/>
        </w:rPr>
        <w:t>ate alleged that the 1987 Constitution did not provide any norms or principles for the banning of reelection and it was on the basis of the constitutional amendment of 1995 that the ban on reelections was</w:t>
      </w:r>
      <w:r w:rsidR="00E068B3" w:rsidRPr="00FC406F">
        <w:rPr>
          <w:rFonts w:asciiTheme="majorHAnsi" w:hAnsiTheme="majorHAnsi"/>
          <w:sz w:val="20"/>
          <w:szCs w:val="20"/>
        </w:rPr>
        <w:t xml:space="preserve"> introduced with Article 147. It</w:t>
      </w:r>
      <w:r w:rsidRPr="00FC406F">
        <w:rPr>
          <w:rFonts w:asciiTheme="majorHAnsi" w:hAnsiTheme="majorHAnsi"/>
          <w:sz w:val="20"/>
          <w:szCs w:val="20"/>
        </w:rPr>
        <w:t xml:space="preserve"> stated that the incorporation of this provision led to a contradiction in the Constitution as Articles</w:t>
      </w:r>
      <w:r w:rsidR="004622F5" w:rsidRPr="00FC406F">
        <w:rPr>
          <w:rFonts w:asciiTheme="majorHAnsi" w:hAnsiTheme="majorHAnsi"/>
          <w:sz w:val="20"/>
          <w:szCs w:val="20"/>
        </w:rPr>
        <w:t xml:space="preserve"> 27, 47, 48, 50, and 51 enshrine the principle of absolute equality </w:t>
      </w:r>
      <w:r w:rsidR="00D62916" w:rsidRPr="00FC406F">
        <w:rPr>
          <w:rFonts w:asciiTheme="majorHAnsi" w:hAnsiTheme="majorHAnsi"/>
          <w:sz w:val="20"/>
          <w:szCs w:val="20"/>
        </w:rPr>
        <w:t xml:space="preserve">before the law </w:t>
      </w:r>
      <w:r w:rsidR="004622F5" w:rsidRPr="00FC406F">
        <w:rPr>
          <w:rFonts w:asciiTheme="majorHAnsi" w:hAnsiTheme="majorHAnsi"/>
          <w:sz w:val="20"/>
          <w:szCs w:val="20"/>
        </w:rPr>
        <w:t>for all citizens</w:t>
      </w:r>
      <w:r w:rsidR="00B36400" w:rsidRPr="00FC406F">
        <w:rPr>
          <w:rFonts w:asciiTheme="majorHAnsi" w:hAnsiTheme="majorHAnsi"/>
          <w:sz w:val="20"/>
          <w:szCs w:val="20"/>
        </w:rPr>
        <w:t xml:space="preserve">. </w:t>
      </w:r>
      <w:r w:rsidR="004622F5" w:rsidRPr="00FC406F">
        <w:rPr>
          <w:rFonts w:asciiTheme="majorHAnsi" w:hAnsiTheme="majorHAnsi"/>
          <w:sz w:val="20"/>
          <w:szCs w:val="20"/>
        </w:rPr>
        <w:t>It concluded that Article 147 undermine</w:t>
      </w:r>
      <w:r w:rsidR="009C5DBC" w:rsidRPr="00FC406F">
        <w:rPr>
          <w:rFonts w:asciiTheme="majorHAnsi" w:hAnsiTheme="majorHAnsi"/>
          <w:sz w:val="20"/>
          <w:szCs w:val="20"/>
        </w:rPr>
        <w:t>d</w:t>
      </w:r>
      <w:r w:rsidR="004622F5" w:rsidRPr="00FC406F">
        <w:rPr>
          <w:rFonts w:asciiTheme="majorHAnsi" w:hAnsiTheme="majorHAnsi"/>
          <w:sz w:val="20"/>
          <w:szCs w:val="20"/>
        </w:rPr>
        <w:t xml:space="preserve"> key values and constitutional principles of the Nicaraguan nation and that the judgment of the Supreme Court of Justic</w:t>
      </w:r>
      <w:r w:rsidR="00734D80" w:rsidRPr="00FC406F">
        <w:rPr>
          <w:rFonts w:asciiTheme="majorHAnsi" w:hAnsiTheme="majorHAnsi"/>
          <w:sz w:val="20"/>
          <w:szCs w:val="20"/>
        </w:rPr>
        <w:t>e of September 30, 2010 observed</w:t>
      </w:r>
      <w:r w:rsidR="004622F5" w:rsidRPr="00FC406F">
        <w:rPr>
          <w:rFonts w:asciiTheme="majorHAnsi" w:hAnsiTheme="majorHAnsi"/>
          <w:sz w:val="20"/>
          <w:szCs w:val="20"/>
        </w:rPr>
        <w:t xml:space="preserve"> key principles of international law regarding the equality of all citizens. It states that the provisions of the 1987 Constitution, the Law on Elections, and the principle of equality before the law were the grounds substantiat</w:t>
      </w:r>
      <w:r w:rsidR="009C5DBC" w:rsidRPr="00FC406F">
        <w:rPr>
          <w:rFonts w:asciiTheme="majorHAnsi" w:hAnsiTheme="majorHAnsi"/>
          <w:sz w:val="20"/>
          <w:szCs w:val="20"/>
        </w:rPr>
        <w:t>ing</w:t>
      </w:r>
      <w:r w:rsidR="004622F5" w:rsidRPr="00FC406F">
        <w:rPr>
          <w:rFonts w:asciiTheme="majorHAnsi" w:hAnsiTheme="majorHAnsi"/>
          <w:sz w:val="20"/>
          <w:szCs w:val="20"/>
        </w:rPr>
        <w:t xml:space="preserve"> President Ortega’s bid for the presidency in 2011.</w:t>
      </w:r>
    </w:p>
    <w:p w14:paraId="3E331AF3" w14:textId="77777777" w:rsidR="00B36400" w:rsidRPr="00FC406F" w:rsidRDefault="00B36400" w:rsidP="00B36400">
      <w:pPr>
        <w:pStyle w:val="ListParagraph"/>
      </w:pPr>
    </w:p>
    <w:p w14:paraId="499DB538" w14:textId="77777777" w:rsidR="00B36400" w:rsidRPr="00FC406F" w:rsidRDefault="004622F5" w:rsidP="00031C3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rPr>
      </w:pPr>
      <w:r w:rsidRPr="00FC406F">
        <w:rPr>
          <w:rFonts w:asciiTheme="majorHAnsi" w:hAnsiTheme="majorHAnsi"/>
          <w:sz w:val="20"/>
          <w:szCs w:val="20"/>
        </w:rPr>
        <w:t xml:space="preserve">Furthermore, the state underlined that the assertion made by the petitioner that the elections had been an “act of robbery” is slanderous because the OAS itself, in its electoral observation report, had recognized the results, </w:t>
      </w:r>
      <w:r w:rsidR="009C5DBC" w:rsidRPr="00FC406F">
        <w:rPr>
          <w:rFonts w:asciiTheme="majorHAnsi" w:hAnsiTheme="majorHAnsi"/>
          <w:sz w:val="20"/>
          <w:szCs w:val="20"/>
        </w:rPr>
        <w:t>and therefore</w:t>
      </w:r>
      <w:r w:rsidRPr="00FC406F">
        <w:rPr>
          <w:rFonts w:asciiTheme="majorHAnsi" w:hAnsiTheme="majorHAnsi"/>
          <w:sz w:val="20"/>
          <w:szCs w:val="20"/>
        </w:rPr>
        <w:t xml:space="preserve"> the petitioner must prove his “rash” statement. It also indicated that there are no material damages to be provided to the alleged victim because the party for which he participated in the 2011 elections, received a sizeable reimbursement, an amount higher than what it had spent for the electoral process</w:t>
      </w:r>
      <w:r w:rsidR="00B36400" w:rsidRPr="00FC406F">
        <w:rPr>
          <w:rFonts w:asciiTheme="majorHAnsi" w:hAnsiTheme="majorHAnsi"/>
          <w:sz w:val="20"/>
          <w:szCs w:val="20"/>
        </w:rPr>
        <w:t xml:space="preserve">. </w:t>
      </w:r>
    </w:p>
    <w:p w14:paraId="423DF01F" w14:textId="77777777" w:rsidR="00B36400" w:rsidRPr="00FC406F" w:rsidRDefault="00B36400" w:rsidP="00B36400">
      <w:pPr>
        <w:pStyle w:val="ListParagraph"/>
      </w:pPr>
    </w:p>
    <w:p w14:paraId="5D31B9BD" w14:textId="77777777" w:rsidR="00B36400" w:rsidRPr="00FC406F" w:rsidRDefault="004622F5" w:rsidP="00031C3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rPr>
      </w:pPr>
      <w:r w:rsidRPr="00FC406F">
        <w:rPr>
          <w:rFonts w:asciiTheme="majorHAnsi" w:hAnsiTheme="majorHAnsi"/>
          <w:sz w:val="20"/>
          <w:szCs w:val="20"/>
        </w:rPr>
        <w:t>As for the law</w:t>
      </w:r>
      <w:r w:rsidR="00B36400" w:rsidRPr="00FC406F">
        <w:rPr>
          <w:rFonts w:asciiTheme="majorHAnsi" w:hAnsiTheme="majorHAnsi"/>
          <w:sz w:val="20"/>
          <w:szCs w:val="20"/>
        </w:rPr>
        <w:t>,</w:t>
      </w:r>
      <w:r w:rsidRPr="00FC406F">
        <w:rPr>
          <w:rFonts w:asciiTheme="majorHAnsi" w:hAnsiTheme="majorHAnsi"/>
          <w:sz w:val="20"/>
          <w:szCs w:val="20"/>
        </w:rPr>
        <w:t xml:space="preserve"> it argued that it did not violate</w:t>
      </w:r>
      <w:r w:rsidRPr="00FC406F">
        <w:rPr>
          <w:rFonts w:asciiTheme="majorHAnsi" w:hAnsiTheme="majorHAnsi"/>
          <w:b/>
          <w:sz w:val="20"/>
          <w:szCs w:val="20"/>
        </w:rPr>
        <w:t xml:space="preserve"> the right to a fair trial.</w:t>
      </w:r>
      <w:r w:rsidR="00B36400" w:rsidRPr="00FC406F">
        <w:rPr>
          <w:rFonts w:asciiTheme="majorHAnsi" w:hAnsiTheme="majorHAnsi"/>
          <w:sz w:val="20"/>
          <w:szCs w:val="20"/>
        </w:rPr>
        <w:t xml:space="preserve"> </w:t>
      </w:r>
      <w:r w:rsidRPr="00FC406F">
        <w:rPr>
          <w:rFonts w:asciiTheme="majorHAnsi" w:hAnsiTheme="majorHAnsi"/>
          <w:sz w:val="20"/>
          <w:szCs w:val="20"/>
        </w:rPr>
        <w:t xml:space="preserve">It alleged that the guarantees of due process of law and </w:t>
      </w:r>
      <w:r w:rsidR="00721597" w:rsidRPr="00FC406F">
        <w:rPr>
          <w:rFonts w:asciiTheme="majorHAnsi" w:hAnsiTheme="majorHAnsi"/>
          <w:sz w:val="20"/>
          <w:szCs w:val="20"/>
        </w:rPr>
        <w:t>access to effective legal remedy are governed by Article 34 of the Constitution and that the judgment of the Constitutional Chamber of t</w:t>
      </w:r>
      <w:r w:rsidR="009C5DBC" w:rsidRPr="00FC406F">
        <w:rPr>
          <w:rFonts w:asciiTheme="majorHAnsi" w:hAnsiTheme="majorHAnsi"/>
          <w:sz w:val="20"/>
          <w:szCs w:val="20"/>
        </w:rPr>
        <w:t>he Supreme Court of Justice of October 19</w:t>
      </w:r>
      <w:r w:rsidR="00721597" w:rsidRPr="00FC406F">
        <w:rPr>
          <w:rFonts w:asciiTheme="majorHAnsi" w:hAnsiTheme="majorHAnsi"/>
          <w:sz w:val="20"/>
          <w:szCs w:val="20"/>
        </w:rPr>
        <w:t xml:space="preserve">, 2009 upheld by the plenary of the Supreme Court of Justice on September 30, 2010 was duly motivated to rule that Article 147 of the Constitution was </w:t>
      </w:r>
      <w:r w:rsidR="003F3C49" w:rsidRPr="00FC406F">
        <w:rPr>
          <w:rFonts w:asciiTheme="majorHAnsi" w:hAnsiTheme="majorHAnsi"/>
          <w:sz w:val="20"/>
          <w:szCs w:val="20"/>
        </w:rPr>
        <w:t>nonapplicable</w:t>
      </w:r>
      <w:r w:rsidR="00721597" w:rsidRPr="00FC406F">
        <w:rPr>
          <w:rFonts w:asciiTheme="majorHAnsi" w:hAnsiTheme="majorHAnsi"/>
          <w:sz w:val="20"/>
          <w:szCs w:val="20"/>
        </w:rPr>
        <w:t>, as</w:t>
      </w:r>
      <w:r w:rsidR="006C21CB" w:rsidRPr="00FC406F">
        <w:rPr>
          <w:rFonts w:asciiTheme="majorHAnsi" w:hAnsiTheme="majorHAnsi"/>
          <w:sz w:val="20"/>
          <w:szCs w:val="20"/>
        </w:rPr>
        <w:t xml:space="preserve"> a result of which there was no</w:t>
      </w:r>
      <w:r w:rsidR="00721597" w:rsidRPr="00FC406F">
        <w:rPr>
          <w:rFonts w:asciiTheme="majorHAnsi" w:hAnsiTheme="majorHAnsi"/>
          <w:sz w:val="20"/>
          <w:szCs w:val="20"/>
        </w:rPr>
        <w:t xml:space="preserve"> violation of the right to a fair trial. It added that the candidacy of the alleged victim was duly registered, on the same footing as those of the remaining candidates</w:t>
      </w:r>
      <w:r w:rsidR="00B36400" w:rsidRPr="00FC406F">
        <w:rPr>
          <w:rFonts w:asciiTheme="majorHAnsi" w:hAnsiTheme="majorHAnsi"/>
          <w:sz w:val="20"/>
          <w:szCs w:val="20"/>
        </w:rPr>
        <w:t xml:space="preserve">. </w:t>
      </w:r>
    </w:p>
    <w:p w14:paraId="57AF77C0" w14:textId="77777777" w:rsidR="00B36400" w:rsidRPr="00FC406F" w:rsidRDefault="00B36400" w:rsidP="00B36400">
      <w:pPr>
        <w:pStyle w:val="ListParagraph"/>
      </w:pPr>
    </w:p>
    <w:p w14:paraId="0191F6C4" w14:textId="77777777" w:rsidR="00B36400" w:rsidRPr="00FC406F" w:rsidRDefault="00721597" w:rsidP="00031C3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rPr>
      </w:pPr>
      <w:r w:rsidRPr="00FC406F">
        <w:rPr>
          <w:rFonts w:asciiTheme="majorHAnsi" w:hAnsiTheme="majorHAnsi"/>
          <w:sz w:val="20"/>
          <w:szCs w:val="20"/>
        </w:rPr>
        <w:t>The state argued that allowing President Ortega’s political participation in the 2011 elections did not violate the</w:t>
      </w:r>
      <w:r w:rsidR="006C21CB" w:rsidRPr="00FC406F">
        <w:rPr>
          <w:rFonts w:asciiTheme="majorHAnsi" w:hAnsiTheme="majorHAnsi"/>
          <w:sz w:val="20"/>
          <w:szCs w:val="20"/>
        </w:rPr>
        <w:t xml:space="preserve"> alleged victim’s</w:t>
      </w:r>
      <w:r w:rsidR="00B36400" w:rsidRPr="00FC406F">
        <w:rPr>
          <w:rFonts w:asciiTheme="majorHAnsi" w:hAnsiTheme="majorHAnsi"/>
          <w:sz w:val="20"/>
          <w:szCs w:val="20"/>
        </w:rPr>
        <w:t xml:space="preserve"> </w:t>
      </w:r>
      <w:r w:rsidRPr="00FC406F">
        <w:rPr>
          <w:rFonts w:asciiTheme="majorHAnsi" w:hAnsiTheme="majorHAnsi"/>
          <w:b/>
          <w:sz w:val="20"/>
          <w:szCs w:val="20"/>
        </w:rPr>
        <w:t>political rights</w:t>
      </w:r>
      <w:r w:rsidR="00B36400" w:rsidRPr="00FC406F">
        <w:rPr>
          <w:rFonts w:asciiTheme="majorHAnsi" w:hAnsiTheme="majorHAnsi"/>
          <w:sz w:val="20"/>
          <w:szCs w:val="20"/>
        </w:rPr>
        <w:t xml:space="preserve">. </w:t>
      </w:r>
      <w:r w:rsidRPr="00FC406F">
        <w:rPr>
          <w:rFonts w:asciiTheme="majorHAnsi" w:hAnsiTheme="majorHAnsi"/>
          <w:sz w:val="20"/>
          <w:szCs w:val="20"/>
        </w:rPr>
        <w:t xml:space="preserve">Regarding this, it stated that the </w:t>
      </w:r>
      <w:r w:rsidR="00134569" w:rsidRPr="00FC406F">
        <w:rPr>
          <w:rFonts w:asciiTheme="majorHAnsi" w:hAnsiTheme="majorHAnsi"/>
          <w:sz w:val="20"/>
          <w:szCs w:val="20"/>
        </w:rPr>
        <w:t>political rights of Nicaraguan citizens are recognized in the Constitution and the only limitation that can be imposed is base</w:t>
      </w:r>
      <w:r w:rsidR="000E5917" w:rsidRPr="00FC406F">
        <w:rPr>
          <w:rFonts w:asciiTheme="majorHAnsi" w:hAnsiTheme="majorHAnsi"/>
          <w:sz w:val="20"/>
          <w:szCs w:val="20"/>
        </w:rPr>
        <w:t>d on age. It added that it is the state’s obligation</w:t>
      </w:r>
      <w:r w:rsidR="00134569" w:rsidRPr="00FC406F">
        <w:rPr>
          <w:rFonts w:asciiTheme="majorHAnsi" w:hAnsiTheme="majorHAnsi"/>
          <w:sz w:val="20"/>
          <w:szCs w:val="20"/>
        </w:rPr>
        <w:t xml:space="preserve"> to remove obstacles that in fact prevent equality among Nicaraguans and their participation in the country’s political, economic, and social life</w:t>
      </w:r>
      <w:r w:rsidR="006C21CB" w:rsidRPr="00FC406F">
        <w:rPr>
          <w:rFonts w:asciiTheme="majorHAnsi" w:hAnsiTheme="majorHAnsi"/>
          <w:sz w:val="20"/>
          <w:szCs w:val="20"/>
        </w:rPr>
        <w:t>. I</w:t>
      </w:r>
      <w:r w:rsidR="00134569" w:rsidRPr="00FC406F">
        <w:rPr>
          <w:rFonts w:asciiTheme="majorHAnsi" w:hAnsiTheme="majorHAnsi"/>
          <w:sz w:val="20"/>
          <w:szCs w:val="20"/>
        </w:rPr>
        <w:t>t conclude</w:t>
      </w:r>
      <w:r w:rsidR="006C21CB" w:rsidRPr="00FC406F">
        <w:rPr>
          <w:rFonts w:asciiTheme="majorHAnsi" w:hAnsiTheme="majorHAnsi"/>
          <w:sz w:val="20"/>
          <w:szCs w:val="20"/>
        </w:rPr>
        <w:t>d</w:t>
      </w:r>
      <w:r w:rsidR="00134569" w:rsidRPr="00FC406F">
        <w:rPr>
          <w:rFonts w:asciiTheme="majorHAnsi" w:hAnsiTheme="majorHAnsi"/>
          <w:sz w:val="20"/>
          <w:szCs w:val="20"/>
        </w:rPr>
        <w:t xml:space="preserve"> that it is the sovereign people who decide the country’s destiny</w:t>
      </w:r>
      <w:r w:rsidR="006C21CB" w:rsidRPr="00FC406F">
        <w:rPr>
          <w:rFonts w:asciiTheme="majorHAnsi" w:hAnsiTheme="majorHAnsi"/>
          <w:sz w:val="20"/>
          <w:szCs w:val="20"/>
        </w:rPr>
        <w:t>,</w:t>
      </w:r>
      <w:r w:rsidR="00134569" w:rsidRPr="00FC406F">
        <w:rPr>
          <w:rFonts w:asciiTheme="majorHAnsi" w:hAnsiTheme="majorHAnsi"/>
          <w:sz w:val="20"/>
          <w:szCs w:val="20"/>
        </w:rPr>
        <w:t xml:space="preserve"> and they cannot be prevented from electing the persons they deem most suitable </w:t>
      </w:r>
      <w:r w:rsidR="000E5917" w:rsidRPr="00FC406F">
        <w:rPr>
          <w:rFonts w:asciiTheme="majorHAnsi" w:hAnsiTheme="majorHAnsi"/>
          <w:sz w:val="20"/>
          <w:szCs w:val="20"/>
        </w:rPr>
        <w:t>to</w:t>
      </w:r>
      <w:r w:rsidR="00134569" w:rsidRPr="00FC406F">
        <w:rPr>
          <w:rFonts w:asciiTheme="majorHAnsi" w:hAnsiTheme="majorHAnsi"/>
          <w:sz w:val="20"/>
          <w:szCs w:val="20"/>
        </w:rPr>
        <w:t xml:space="preserve"> the office</w:t>
      </w:r>
      <w:r w:rsidR="00B36400" w:rsidRPr="00FC406F">
        <w:rPr>
          <w:rFonts w:asciiTheme="majorHAnsi" w:hAnsiTheme="majorHAnsi"/>
          <w:sz w:val="20"/>
          <w:szCs w:val="20"/>
        </w:rPr>
        <w:t>.</w:t>
      </w:r>
    </w:p>
    <w:p w14:paraId="57B473E6" w14:textId="77777777" w:rsidR="00B36400" w:rsidRPr="00FC406F" w:rsidRDefault="00B36400" w:rsidP="00B36400">
      <w:pPr>
        <w:pStyle w:val="ListParagraph"/>
      </w:pPr>
    </w:p>
    <w:p w14:paraId="40CF2F53" w14:textId="77777777" w:rsidR="00B36400" w:rsidRPr="00FC406F" w:rsidRDefault="00134569" w:rsidP="00031C3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rPr>
      </w:pPr>
      <w:r w:rsidRPr="00FC406F">
        <w:rPr>
          <w:rFonts w:asciiTheme="majorHAnsi" w:hAnsiTheme="majorHAnsi"/>
          <w:sz w:val="20"/>
          <w:szCs w:val="20"/>
        </w:rPr>
        <w:t>It alleged that the right to reelection as provided for in Nicaragua is consistent with the American Convention and the inter-American system and that it is also recognized in the jurisprudence and constitutional norms of countries such as Costa Rica and</w:t>
      </w:r>
      <w:r w:rsidR="00B36400" w:rsidRPr="00FC406F">
        <w:rPr>
          <w:rFonts w:asciiTheme="majorHAnsi" w:hAnsiTheme="majorHAnsi"/>
          <w:sz w:val="20"/>
          <w:szCs w:val="20"/>
        </w:rPr>
        <w:t xml:space="preserve"> Honduras. </w:t>
      </w:r>
      <w:r w:rsidRPr="00FC406F">
        <w:rPr>
          <w:rFonts w:asciiTheme="majorHAnsi" w:hAnsiTheme="majorHAnsi"/>
          <w:sz w:val="20"/>
          <w:szCs w:val="20"/>
        </w:rPr>
        <w:t>It also added that the information provided by the alleged victim about the state’s supposed abolition of opposition political parties for the 2016 elections is untrue</w:t>
      </w:r>
      <w:r w:rsidR="00B36400" w:rsidRPr="00FC406F">
        <w:rPr>
          <w:rFonts w:asciiTheme="majorHAnsi" w:hAnsiTheme="majorHAnsi"/>
          <w:sz w:val="20"/>
          <w:szCs w:val="20"/>
        </w:rPr>
        <w:t xml:space="preserve">. </w:t>
      </w:r>
      <w:r w:rsidRPr="00FC406F">
        <w:rPr>
          <w:rFonts w:asciiTheme="majorHAnsi" w:hAnsiTheme="majorHAnsi"/>
          <w:sz w:val="20"/>
          <w:szCs w:val="20"/>
        </w:rPr>
        <w:t>It asserted that, in the general elections of 2011, there were 18 political parties p</w:t>
      </w:r>
      <w:r w:rsidR="00F33484" w:rsidRPr="00FC406F">
        <w:rPr>
          <w:rFonts w:asciiTheme="majorHAnsi" w:hAnsiTheme="majorHAnsi"/>
          <w:sz w:val="20"/>
          <w:szCs w:val="20"/>
        </w:rPr>
        <w:t>articip</w:t>
      </w:r>
      <w:r w:rsidRPr="00FC406F">
        <w:rPr>
          <w:rFonts w:asciiTheme="majorHAnsi" w:hAnsiTheme="majorHAnsi"/>
          <w:sz w:val="20"/>
          <w:szCs w:val="20"/>
        </w:rPr>
        <w:t>ating and that the political party</w:t>
      </w:r>
      <w:r w:rsidR="00F33484" w:rsidRPr="00FC406F">
        <w:rPr>
          <w:rFonts w:asciiTheme="majorHAnsi" w:hAnsiTheme="majorHAnsi"/>
          <w:sz w:val="20"/>
          <w:szCs w:val="20"/>
        </w:rPr>
        <w:t xml:space="preserve"> for</w:t>
      </w:r>
      <w:r w:rsidRPr="00FC406F">
        <w:rPr>
          <w:rFonts w:asciiTheme="majorHAnsi" w:hAnsiTheme="majorHAnsi"/>
          <w:sz w:val="20"/>
          <w:szCs w:val="20"/>
        </w:rPr>
        <w:t xml:space="preserve"> wh</w:t>
      </w:r>
      <w:r w:rsidR="00F33484" w:rsidRPr="00FC406F">
        <w:rPr>
          <w:rFonts w:asciiTheme="majorHAnsi" w:hAnsiTheme="majorHAnsi"/>
          <w:sz w:val="20"/>
          <w:szCs w:val="20"/>
        </w:rPr>
        <w:t>ich the alleged victim was running as a candidate</w:t>
      </w:r>
      <w:r w:rsidRPr="00FC406F">
        <w:rPr>
          <w:rFonts w:asciiTheme="majorHAnsi" w:hAnsiTheme="majorHAnsi"/>
          <w:sz w:val="20"/>
          <w:szCs w:val="20"/>
        </w:rPr>
        <w:t xml:space="preserve"> in </w:t>
      </w:r>
      <w:r w:rsidR="00F33484" w:rsidRPr="00FC406F">
        <w:rPr>
          <w:rFonts w:asciiTheme="majorHAnsi" w:hAnsiTheme="majorHAnsi"/>
          <w:sz w:val="20"/>
          <w:szCs w:val="20"/>
        </w:rPr>
        <w:t>the 2011 elections has been</w:t>
      </w:r>
      <w:r w:rsidRPr="00FC406F">
        <w:rPr>
          <w:rFonts w:asciiTheme="majorHAnsi" w:hAnsiTheme="majorHAnsi"/>
          <w:sz w:val="20"/>
          <w:szCs w:val="20"/>
        </w:rPr>
        <w:t xml:space="preserve"> </w:t>
      </w:r>
      <w:r w:rsidR="006C21CB" w:rsidRPr="00FC406F">
        <w:rPr>
          <w:rFonts w:asciiTheme="majorHAnsi" w:hAnsiTheme="majorHAnsi"/>
          <w:sz w:val="20"/>
          <w:szCs w:val="20"/>
        </w:rPr>
        <w:t>exercising it</w:t>
      </w:r>
      <w:r w:rsidR="00F33484" w:rsidRPr="00FC406F">
        <w:rPr>
          <w:rFonts w:asciiTheme="majorHAnsi" w:hAnsiTheme="majorHAnsi"/>
          <w:sz w:val="20"/>
          <w:szCs w:val="20"/>
        </w:rPr>
        <w:t>s</w:t>
      </w:r>
      <w:r w:rsidRPr="00FC406F">
        <w:rPr>
          <w:rFonts w:asciiTheme="majorHAnsi" w:hAnsiTheme="majorHAnsi"/>
          <w:sz w:val="20"/>
          <w:szCs w:val="20"/>
        </w:rPr>
        <w:t xml:space="preserve"> legal status</w:t>
      </w:r>
      <w:r w:rsidR="00F33484" w:rsidRPr="00FC406F">
        <w:rPr>
          <w:rFonts w:asciiTheme="majorHAnsi" w:hAnsiTheme="majorHAnsi"/>
          <w:sz w:val="20"/>
          <w:szCs w:val="20"/>
        </w:rPr>
        <w:t xml:space="preserve"> fully</w:t>
      </w:r>
      <w:r w:rsidRPr="00FC406F">
        <w:rPr>
          <w:rFonts w:asciiTheme="majorHAnsi" w:hAnsiTheme="majorHAnsi"/>
          <w:sz w:val="20"/>
          <w:szCs w:val="20"/>
        </w:rPr>
        <w:t xml:space="preserve"> and has participated in all elections convened since 1990</w:t>
      </w:r>
      <w:r w:rsidR="00B36400" w:rsidRPr="00FC406F">
        <w:rPr>
          <w:rFonts w:asciiTheme="majorHAnsi" w:hAnsiTheme="majorHAnsi"/>
          <w:sz w:val="20"/>
          <w:szCs w:val="20"/>
        </w:rPr>
        <w:t xml:space="preserve">. </w:t>
      </w:r>
    </w:p>
    <w:p w14:paraId="67575040" w14:textId="77777777" w:rsidR="00B36400" w:rsidRPr="00FC406F" w:rsidRDefault="00B36400" w:rsidP="00B36400">
      <w:pPr>
        <w:pStyle w:val="ListParagraph"/>
      </w:pPr>
    </w:p>
    <w:p w14:paraId="1BAEA3EF" w14:textId="77777777" w:rsidR="00B36400" w:rsidRPr="00FC406F" w:rsidRDefault="00F33484" w:rsidP="00031C3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rPr>
      </w:pPr>
      <w:r w:rsidRPr="00FC406F">
        <w:rPr>
          <w:rFonts w:asciiTheme="majorHAnsi" w:hAnsiTheme="majorHAnsi"/>
          <w:sz w:val="20"/>
          <w:szCs w:val="20"/>
        </w:rPr>
        <w:t>Regarding the</w:t>
      </w:r>
      <w:r w:rsidR="00B36400" w:rsidRPr="00FC406F">
        <w:rPr>
          <w:rFonts w:asciiTheme="majorHAnsi" w:hAnsiTheme="majorHAnsi"/>
          <w:sz w:val="20"/>
          <w:szCs w:val="20"/>
        </w:rPr>
        <w:t xml:space="preserve"> </w:t>
      </w:r>
      <w:r w:rsidRPr="00FC406F">
        <w:rPr>
          <w:rFonts w:asciiTheme="majorHAnsi" w:hAnsiTheme="majorHAnsi"/>
          <w:b/>
          <w:sz w:val="20"/>
          <w:szCs w:val="20"/>
        </w:rPr>
        <w:t>right to judicial protection</w:t>
      </w:r>
      <w:r w:rsidRPr="00FC406F">
        <w:rPr>
          <w:rFonts w:asciiTheme="majorHAnsi" w:hAnsiTheme="majorHAnsi"/>
          <w:sz w:val="20"/>
          <w:szCs w:val="20"/>
        </w:rPr>
        <w:t xml:space="preserve"> and the</w:t>
      </w:r>
      <w:r w:rsidR="00B36400" w:rsidRPr="00FC406F">
        <w:rPr>
          <w:rFonts w:asciiTheme="majorHAnsi" w:hAnsiTheme="majorHAnsi"/>
          <w:sz w:val="20"/>
          <w:szCs w:val="20"/>
        </w:rPr>
        <w:t xml:space="preserve"> </w:t>
      </w:r>
      <w:r w:rsidR="00B36400" w:rsidRPr="00FC406F">
        <w:rPr>
          <w:rFonts w:asciiTheme="majorHAnsi" w:hAnsiTheme="majorHAnsi"/>
          <w:b/>
          <w:sz w:val="20"/>
          <w:szCs w:val="20"/>
        </w:rPr>
        <w:t>d</w:t>
      </w:r>
      <w:r w:rsidRPr="00FC406F">
        <w:rPr>
          <w:rFonts w:asciiTheme="majorHAnsi" w:hAnsiTheme="majorHAnsi"/>
          <w:b/>
          <w:sz w:val="20"/>
          <w:szCs w:val="20"/>
        </w:rPr>
        <w:t>uty to adopt provisions under domestic law</w:t>
      </w:r>
      <w:r w:rsidRPr="00FC406F">
        <w:rPr>
          <w:rFonts w:asciiTheme="majorHAnsi" w:hAnsiTheme="majorHAnsi"/>
          <w:sz w:val="20"/>
          <w:szCs w:val="20"/>
        </w:rPr>
        <w:t>, the state presented diverging positions at different times. First, it stated that the alleged victim had access to available remedies for appealing the ruling of the CSE which registered President Ortega’s candidacy. It also stated that, when the Supreme Court of Justice’s judgments were being issued, the appeal for clarification was available.</w:t>
      </w:r>
    </w:p>
    <w:p w14:paraId="15D3C4E5" w14:textId="77777777" w:rsidR="00B36400" w:rsidRPr="00FC406F" w:rsidRDefault="00B36400" w:rsidP="00B36400">
      <w:pPr>
        <w:pStyle w:val="ListParagraph"/>
      </w:pPr>
    </w:p>
    <w:p w14:paraId="78353A16" w14:textId="77777777" w:rsidR="00B36400" w:rsidRPr="00FC406F" w:rsidRDefault="00F33484" w:rsidP="00031C3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rPr>
      </w:pPr>
      <w:r w:rsidRPr="00FC406F">
        <w:rPr>
          <w:rFonts w:asciiTheme="majorHAnsi" w:hAnsiTheme="majorHAnsi"/>
          <w:sz w:val="20"/>
          <w:szCs w:val="20"/>
        </w:rPr>
        <w:t xml:space="preserve">Second, it stated that electoral law stipulates that, in electoral matters, appeals are </w:t>
      </w:r>
      <w:r w:rsidR="008A4315" w:rsidRPr="00FC406F">
        <w:rPr>
          <w:rFonts w:asciiTheme="majorHAnsi" w:hAnsiTheme="majorHAnsi"/>
          <w:sz w:val="20"/>
          <w:szCs w:val="20"/>
        </w:rPr>
        <w:t xml:space="preserve">not </w:t>
      </w:r>
      <w:r w:rsidRPr="00FC406F">
        <w:rPr>
          <w:rFonts w:asciiTheme="majorHAnsi" w:hAnsiTheme="majorHAnsi"/>
          <w:sz w:val="20"/>
          <w:szCs w:val="20"/>
        </w:rPr>
        <w:t>admis</w:t>
      </w:r>
      <w:r w:rsidR="008A4315" w:rsidRPr="00FC406F">
        <w:rPr>
          <w:rFonts w:asciiTheme="majorHAnsi" w:hAnsiTheme="majorHAnsi"/>
          <w:sz w:val="20"/>
          <w:szCs w:val="20"/>
        </w:rPr>
        <w:t>s</w:t>
      </w:r>
      <w:r w:rsidRPr="00FC406F">
        <w:rPr>
          <w:rFonts w:asciiTheme="majorHAnsi" w:hAnsiTheme="majorHAnsi"/>
          <w:sz w:val="20"/>
          <w:szCs w:val="20"/>
        </w:rPr>
        <w:t xml:space="preserve">ible because </w:t>
      </w:r>
      <w:r w:rsidR="008A4315" w:rsidRPr="00FC406F">
        <w:rPr>
          <w:rFonts w:asciiTheme="majorHAnsi" w:hAnsiTheme="majorHAnsi"/>
          <w:sz w:val="20"/>
          <w:szCs w:val="20"/>
        </w:rPr>
        <w:t>an electoral process needs to guarantee certainty and security. It also stated that, under domestic law, constitutional and legal provisions have been adopted to guarantee the right of citizens to judicial protection.</w:t>
      </w:r>
    </w:p>
    <w:p w14:paraId="2D026756" w14:textId="77777777" w:rsidR="00B36400" w:rsidRPr="00FC406F" w:rsidRDefault="00B36400" w:rsidP="00B36400"/>
    <w:p w14:paraId="50432622" w14:textId="77777777" w:rsidR="00B36400" w:rsidRPr="00FC406F" w:rsidRDefault="00B36400" w:rsidP="00B36400">
      <w:pPr>
        <w:pStyle w:val="Heading1"/>
      </w:pPr>
      <w:bookmarkStart w:id="10" w:name="_Toc42609968"/>
      <w:bookmarkStart w:id="11" w:name="_Toc56778650"/>
      <w:r w:rsidRPr="00FC406F">
        <w:t>DETERMIN</w:t>
      </w:r>
      <w:r w:rsidR="008A4315" w:rsidRPr="00FC406F">
        <w:t>ATIONS OF FACT</w:t>
      </w:r>
      <w:bookmarkEnd w:id="10"/>
      <w:bookmarkEnd w:id="11"/>
    </w:p>
    <w:p w14:paraId="3B1AC2AA" w14:textId="77777777" w:rsidR="00B36400" w:rsidRPr="00FC406F" w:rsidRDefault="00B36400" w:rsidP="00B36400">
      <w:pPr>
        <w:rPr>
          <w:lang w:eastAsia="es-ES"/>
        </w:rPr>
      </w:pPr>
    </w:p>
    <w:p w14:paraId="0CAAC535" w14:textId="77777777" w:rsidR="00B36400" w:rsidRPr="00FC406F" w:rsidRDefault="008A4315" w:rsidP="00031C34">
      <w:pPr>
        <w:pStyle w:val="Heading2"/>
        <w:numPr>
          <w:ilvl w:val="0"/>
          <w:numId w:val="59"/>
        </w:numPr>
      </w:pPr>
      <w:bookmarkStart w:id="12" w:name="_Toc42609969"/>
      <w:bookmarkStart w:id="13" w:name="_Toc56778651"/>
      <w:r w:rsidRPr="00FC406F">
        <w:t xml:space="preserve">General context of the concentration of power and </w:t>
      </w:r>
      <w:r w:rsidR="000E5917" w:rsidRPr="00FC406F">
        <w:t>undermining</w:t>
      </w:r>
      <w:r w:rsidRPr="00FC406F">
        <w:t xml:space="preserve"> of the rule of law in </w:t>
      </w:r>
      <w:r w:rsidR="00B36400" w:rsidRPr="00FC406F">
        <w:t>Nicaragua</w:t>
      </w:r>
      <w:bookmarkEnd w:id="12"/>
      <w:bookmarkEnd w:id="13"/>
    </w:p>
    <w:p w14:paraId="0E5C46BE" w14:textId="77777777" w:rsidR="00B36400" w:rsidRPr="00FC406F" w:rsidRDefault="00B36400" w:rsidP="00B36400"/>
    <w:p w14:paraId="05129B41" w14:textId="77777777" w:rsidR="00B36400" w:rsidRPr="00FC406F" w:rsidRDefault="008A4315" w:rsidP="00031C3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rPr>
      </w:pPr>
      <w:r w:rsidRPr="00FC406F">
        <w:rPr>
          <w:rFonts w:asciiTheme="majorHAnsi" w:hAnsiTheme="majorHAnsi"/>
          <w:color w:val="000000" w:themeColor="text1"/>
          <w:sz w:val="20"/>
          <w:szCs w:val="20"/>
        </w:rPr>
        <w:t xml:space="preserve">The IACHR has documented, through its monitoring </w:t>
      </w:r>
      <w:r w:rsidR="007E5DF1" w:rsidRPr="00FC406F">
        <w:rPr>
          <w:rFonts w:asciiTheme="majorHAnsi" w:hAnsiTheme="majorHAnsi"/>
          <w:color w:val="000000" w:themeColor="text1"/>
          <w:sz w:val="20"/>
          <w:szCs w:val="20"/>
        </w:rPr>
        <w:t>mechanisms</w:t>
      </w:r>
      <w:r w:rsidRPr="00FC406F">
        <w:rPr>
          <w:rFonts w:asciiTheme="majorHAnsi" w:hAnsiTheme="majorHAnsi"/>
          <w:color w:val="000000" w:themeColor="text1"/>
          <w:sz w:val="20"/>
          <w:szCs w:val="20"/>
        </w:rPr>
        <w:t xml:space="preserve">, a general context of concentration of power </w:t>
      </w:r>
      <w:r w:rsidR="007E5DF1" w:rsidRPr="00FC406F">
        <w:rPr>
          <w:rFonts w:asciiTheme="majorHAnsi" w:hAnsiTheme="majorHAnsi"/>
          <w:color w:val="000000" w:themeColor="text1"/>
          <w:sz w:val="20"/>
          <w:szCs w:val="20"/>
        </w:rPr>
        <w:t>in the hands of</w:t>
      </w:r>
      <w:r w:rsidRPr="00FC406F">
        <w:rPr>
          <w:rFonts w:asciiTheme="majorHAnsi" w:hAnsiTheme="majorHAnsi"/>
          <w:color w:val="000000" w:themeColor="text1"/>
          <w:sz w:val="20"/>
          <w:szCs w:val="20"/>
        </w:rPr>
        <w:t xml:space="preserve"> the executive branch and </w:t>
      </w:r>
      <w:r w:rsidR="000E5917" w:rsidRPr="00FC406F">
        <w:rPr>
          <w:rFonts w:asciiTheme="majorHAnsi" w:hAnsiTheme="majorHAnsi"/>
          <w:color w:val="000000" w:themeColor="text1"/>
          <w:sz w:val="20"/>
          <w:szCs w:val="20"/>
        </w:rPr>
        <w:t>the undermining</w:t>
      </w:r>
      <w:r w:rsidRPr="00FC406F">
        <w:rPr>
          <w:rFonts w:asciiTheme="majorHAnsi" w:hAnsiTheme="majorHAnsi"/>
          <w:color w:val="000000" w:themeColor="text1"/>
          <w:sz w:val="20"/>
          <w:szCs w:val="20"/>
        </w:rPr>
        <w:t xml:space="preserve"> of democratic institutions in Nicaragua, abetted by the </w:t>
      </w:r>
      <w:r w:rsidR="007E5DF1" w:rsidRPr="00FC406F">
        <w:rPr>
          <w:rFonts w:asciiTheme="majorHAnsi" w:hAnsiTheme="majorHAnsi"/>
          <w:color w:val="000000" w:themeColor="text1"/>
          <w:sz w:val="20"/>
          <w:szCs w:val="20"/>
        </w:rPr>
        <w:t xml:space="preserve">apportionment </w:t>
      </w:r>
      <w:r w:rsidRPr="00FC406F">
        <w:rPr>
          <w:rFonts w:asciiTheme="majorHAnsi" w:hAnsiTheme="majorHAnsi"/>
          <w:color w:val="000000" w:themeColor="text1"/>
          <w:sz w:val="20"/>
          <w:szCs w:val="20"/>
        </w:rPr>
        <w:t xml:space="preserve">of </w:t>
      </w:r>
      <w:r w:rsidR="006C21CB" w:rsidRPr="00FC406F">
        <w:rPr>
          <w:rFonts w:asciiTheme="majorHAnsi" w:hAnsiTheme="majorHAnsi"/>
          <w:color w:val="000000" w:themeColor="text1"/>
          <w:sz w:val="20"/>
          <w:szCs w:val="20"/>
        </w:rPr>
        <w:t>the branches of government to</w:t>
      </w:r>
      <w:r w:rsidR="007E5DF1" w:rsidRPr="00FC406F">
        <w:rPr>
          <w:rFonts w:asciiTheme="majorHAnsi" w:hAnsiTheme="majorHAnsi"/>
          <w:color w:val="000000" w:themeColor="text1"/>
          <w:sz w:val="20"/>
          <w:szCs w:val="20"/>
        </w:rPr>
        <w:t xml:space="preserve"> </w:t>
      </w:r>
      <w:r w:rsidR="006F3476" w:rsidRPr="00FC406F">
        <w:rPr>
          <w:rFonts w:asciiTheme="majorHAnsi" w:hAnsiTheme="majorHAnsi"/>
          <w:color w:val="000000" w:themeColor="text1"/>
          <w:sz w:val="20"/>
          <w:szCs w:val="20"/>
        </w:rPr>
        <w:t xml:space="preserve">members of the administration’s </w:t>
      </w:r>
      <w:r w:rsidR="007E5DF1" w:rsidRPr="00FC406F">
        <w:rPr>
          <w:rFonts w:asciiTheme="majorHAnsi" w:hAnsiTheme="majorHAnsi"/>
          <w:color w:val="000000" w:themeColor="text1"/>
          <w:sz w:val="20"/>
          <w:szCs w:val="20"/>
        </w:rPr>
        <w:t>politi</w:t>
      </w:r>
      <w:r w:rsidR="006C21CB" w:rsidRPr="00FC406F">
        <w:rPr>
          <w:rFonts w:asciiTheme="majorHAnsi" w:hAnsiTheme="majorHAnsi"/>
          <w:color w:val="000000" w:themeColor="text1"/>
          <w:sz w:val="20"/>
          <w:szCs w:val="20"/>
        </w:rPr>
        <w:t>cal party, as well as the lack</w:t>
      </w:r>
      <w:r w:rsidR="007E5DF1" w:rsidRPr="00FC406F">
        <w:rPr>
          <w:rFonts w:asciiTheme="majorHAnsi" w:hAnsiTheme="majorHAnsi"/>
          <w:color w:val="000000" w:themeColor="text1"/>
          <w:sz w:val="20"/>
          <w:szCs w:val="20"/>
        </w:rPr>
        <w:t xml:space="preserve"> of </w:t>
      </w:r>
      <w:r w:rsidR="006C21CB" w:rsidRPr="00FC406F">
        <w:rPr>
          <w:rFonts w:asciiTheme="majorHAnsi" w:hAnsiTheme="majorHAnsi"/>
          <w:color w:val="000000" w:themeColor="text1"/>
          <w:sz w:val="20"/>
          <w:szCs w:val="20"/>
        </w:rPr>
        <w:t>independence</w:t>
      </w:r>
      <w:r w:rsidR="006F3476" w:rsidRPr="00FC406F">
        <w:rPr>
          <w:rFonts w:asciiTheme="majorHAnsi" w:hAnsiTheme="majorHAnsi"/>
          <w:color w:val="000000" w:themeColor="text1"/>
          <w:sz w:val="20"/>
          <w:szCs w:val="20"/>
        </w:rPr>
        <w:t xml:space="preserve"> and impartiality of certain </w:t>
      </w:r>
      <w:r w:rsidR="003C665E" w:rsidRPr="00FC406F">
        <w:rPr>
          <w:rFonts w:asciiTheme="majorHAnsi" w:hAnsiTheme="majorHAnsi"/>
          <w:color w:val="000000" w:themeColor="text1"/>
          <w:sz w:val="20"/>
          <w:szCs w:val="20"/>
        </w:rPr>
        <w:t>monitoring</w:t>
      </w:r>
      <w:r w:rsidR="007E5DF1" w:rsidRPr="00FC406F">
        <w:rPr>
          <w:rFonts w:asciiTheme="majorHAnsi" w:hAnsiTheme="majorHAnsi"/>
          <w:color w:val="000000" w:themeColor="text1"/>
          <w:sz w:val="20"/>
          <w:szCs w:val="20"/>
        </w:rPr>
        <w:t xml:space="preserve"> bodies</w:t>
      </w:r>
      <w:r w:rsidR="00B36400" w:rsidRPr="00FC406F">
        <w:rPr>
          <w:rFonts w:asciiTheme="majorHAnsi" w:hAnsiTheme="majorHAnsi"/>
          <w:color w:val="000000" w:themeColor="text1"/>
          <w:sz w:val="20"/>
          <w:szCs w:val="20"/>
        </w:rPr>
        <w:t xml:space="preserve">. </w:t>
      </w:r>
      <w:r w:rsidR="006F3476" w:rsidRPr="00FC406F">
        <w:rPr>
          <w:rFonts w:asciiTheme="majorHAnsi" w:hAnsiTheme="majorHAnsi"/>
          <w:color w:val="000000" w:themeColor="text1"/>
          <w:sz w:val="20"/>
          <w:szCs w:val="20"/>
        </w:rPr>
        <w:t xml:space="preserve">In that respect, on repeated occasions the IACHR has received complaints filed by civil society on how </w:t>
      </w:r>
      <w:r w:rsidR="009D1C2C" w:rsidRPr="00FC406F">
        <w:rPr>
          <w:rFonts w:asciiTheme="majorHAnsi" w:hAnsiTheme="majorHAnsi"/>
          <w:color w:val="000000" w:themeColor="text1"/>
          <w:sz w:val="20"/>
          <w:szCs w:val="20"/>
        </w:rPr>
        <w:t xml:space="preserve">appointments to </w:t>
      </w:r>
      <w:r w:rsidR="006F3476" w:rsidRPr="00FC406F">
        <w:rPr>
          <w:rFonts w:asciiTheme="majorHAnsi" w:hAnsiTheme="majorHAnsi"/>
          <w:color w:val="000000" w:themeColor="text1"/>
          <w:sz w:val="20"/>
          <w:szCs w:val="20"/>
        </w:rPr>
        <w:t xml:space="preserve">various government institutions―the Supreme Court of Justice (CSJ), the Office of the </w:t>
      </w:r>
      <w:r w:rsidR="006C21CB" w:rsidRPr="00FC406F">
        <w:rPr>
          <w:rFonts w:asciiTheme="majorHAnsi" w:hAnsiTheme="majorHAnsi"/>
          <w:color w:val="000000" w:themeColor="text1"/>
          <w:sz w:val="20"/>
          <w:szCs w:val="20"/>
        </w:rPr>
        <w:t xml:space="preserve">Comptroller </w:t>
      </w:r>
      <w:r w:rsidR="006F3476" w:rsidRPr="00FC406F">
        <w:rPr>
          <w:rFonts w:asciiTheme="majorHAnsi" w:hAnsiTheme="majorHAnsi"/>
          <w:color w:val="000000" w:themeColor="text1"/>
          <w:sz w:val="20"/>
          <w:szCs w:val="20"/>
        </w:rPr>
        <w:t xml:space="preserve">General, the Supreme Electoral Council </w:t>
      </w:r>
      <w:r w:rsidR="00B36400" w:rsidRPr="00FC406F">
        <w:rPr>
          <w:rFonts w:asciiTheme="majorHAnsi" w:eastAsia="Times New Roman" w:hAnsiTheme="majorHAnsi"/>
          <w:sz w:val="20"/>
          <w:szCs w:val="20"/>
        </w:rPr>
        <w:t>(CSE)</w:t>
      </w:r>
      <w:r w:rsidR="006F3476" w:rsidRPr="00FC406F">
        <w:rPr>
          <w:rFonts w:asciiTheme="majorHAnsi" w:eastAsia="Times New Roman" w:hAnsiTheme="majorHAnsi"/>
          <w:sz w:val="20"/>
          <w:szCs w:val="20"/>
        </w:rPr>
        <w:t>, and the Office of the Attorney General of the</w:t>
      </w:r>
      <w:r w:rsidR="009D1C2C" w:rsidRPr="00FC406F">
        <w:rPr>
          <w:rFonts w:asciiTheme="majorHAnsi" w:eastAsia="Times New Roman" w:hAnsiTheme="majorHAnsi"/>
          <w:sz w:val="20"/>
          <w:szCs w:val="20"/>
        </w:rPr>
        <w:t xml:space="preserve"> </w:t>
      </w:r>
      <w:r w:rsidR="006F3476" w:rsidRPr="00FC406F">
        <w:rPr>
          <w:rFonts w:asciiTheme="majorHAnsi" w:eastAsia="Times New Roman" w:hAnsiTheme="majorHAnsi"/>
          <w:sz w:val="20"/>
          <w:szCs w:val="20"/>
        </w:rPr>
        <w:t>Republic―have bee</w:t>
      </w:r>
      <w:r w:rsidR="009D1C2C" w:rsidRPr="00FC406F">
        <w:rPr>
          <w:rFonts w:asciiTheme="majorHAnsi" w:eastAsia="Times New Roman" w:hAnsiTheme="majorHAnsi"/>
          <w:sz w:val="20"/>
          <w:szCs w:val="20"/>
        </w:rPr>
        <w:t>n given</w:t>
      </w:r>
      <w:r w:rsidR="006F3476" w:rsidRPr="00FC406F">
        <w:rPr>
          <w:rFonts w:asciiTheme="majorHAnsi" w:eastAsia="Times New Roman" w:hAnsiTheme="majorHAnsi"/>
          <w:sz w:val="20"/>
          <w:szCs w:val="20"/>
        </w:rPr>
        <w:t xml:space="preserve"> to members of the ruling political party and how this has undermined the people’s exercise of their political rights, right to </w:t>
      </w:r>
      <w:r w:rsidR="003C665E" w:rsidRPr="00FC406F">
        <w:rPr>
          <w:rFonts w:asciiTheme="majorHAnsi" w:eastAsia="Times New Roman" w:hAnsiTheme="majorHAnsi"/>
          <w:sz w:val="20"/>
          <w:szCs w:val="20"/>
        </w:rPr>
        <w:t>freedom of association and</w:t>
      </w:r>
      <w:r w:rsidR="006F3476" w:rsidRPr="00FC406F">
        <w:rPr>
          <w:rFonts w:asciiTheme="majorHAnsi" w:eastAsia="Times New Roman" w:hAnsiTheme="majorHAnsi"/>
          <w:sz w:val="20"/>
          <w:szCs w:val="20"/>
        </w:rPr>
        <w:t xml:space="preserve"> assembly, right to freedom of expression</w:t>
      </w:r>
      <w:r w:rsidR="006C21CB" w:rsidRPr="00FC406F">
        <w:rPr>
          <w:rFonts w:asciiTheme="majorHAnsi" w:eastAsia="Times New Roman" w:hAnsiTheme="majorHAnsi"/>
          <w:sz w:val="20"/>
          <w:szCs w:val="20"/>
        </w:rPr>
        <w:t>,</w:t>
      </w:r>
      <w:r w:rsidR="006F3476" w:rsidRPr="00FC406F">
        <w:rPr>
          <w:rFonts w:asciiTheme="majorHAnsi" w:eastAsia="Times New Roman" w:hAnsiTheme="majorHAnsi"/>
          <w:sz w:val="20"/>
          <w:szCs w:val="20"/>
        </w:rPr>
        <w:t xml:space="preserve"> and right to</w:t>
      </w:r>
      <w:r w:rsidR="006C21CB" w:rsidRPr="00FC406F">
        <w:rPr>
          <w:rFonts w:asciiTheme="majorHAnsi" w:eastAsia="Times New Roman" w:hAnsiTheme="majorHAnsi"/>
          <w:sz w:val="20"/>
          <w:szCs w:val="20"/>
        </w:rPr>
        <w:t xml:space="preserve"> the circulation of</w:t>
      </w:r>
      <w:r w:rsidR="009D1C2C" w:rsidRPr="00FC406F">
        <w:rPr>
          <w:rFonts w:asciiTheme="majorHAnsi" w:eastAsia="Times New Roman" w:hAnsiTheme="majorHAnsi"/>
          <w:sz w:val="20"/>
          <w:szCs w:val="20"/>
        </w:rPr>
        <w:t xml:space="preserve"> ideas</w:t>
      </w:r>
      <w:r w:rsidR="00B36400" w:rsidRPr="00FC406F">
        <w:rPr>
          <w:rFonts w:asciiTheme="majorHAnsi" w:eastAsia="Times New Roman" w:hAnsiTheme="majorHAnsi"/>
          <w:sz w:val="20"/>
          <w:szCs w:val="20"/>
        </w:rPr>
        <w:t>, (…)</w:t>
      </w:r>
      <w:r w:rsidR="009D1C2C" w:rsidRPr="00FC406F">
        <w:rPr>
          <w:rFonts w:asciiTheme="majorHAnsi" w:eastAsia="Times New Roman" w:hAnsiTheme="majorHAnsi"/>
          <w:sz w:val="20"/>
          <w:szCs w:val="20"/>
        </w:rPr>
        <w:t>.</w:t>
      </w:r>
      <w:r w:rsidR="00B36400" w:rsidRPr="00FC406F">
        <w:rPr>
          <w:rStyle w:val="FootnoteReference"/>
          <w:rFonts w:asciiTheme="majorHAnsi" w:eastAsia="Times New Roman" w:hAnsiTheme="majorHAnsi"/>
          <w:sz w:val="20"/>
          <w:szCs w:val="20"/>
        </w:rPr>
        <w:footnoteReference w:id="3"/>
      </w:r>
      <w:r w:rsidR="00B36400" w:rsidRPr="00FC406F">
        <w:rPr>
          <w:rFonts w:asciiTheme="majorHAnsi" w:eastAsia="Times New Roman" w:hAnsiTheme="majorHAnsi"/>
          <w:sz w:val="20"/>
          <w:szCs w:val="20"/>
        </w:rPr>
        <w:t xml:space="preserve"> </w:t>
      </w:r>
      <w:r w:rsidR="009D1C2C" w:rsidRPr="00FC406F">
        <w:rPr>
          <w:rFonts w:asciiTheme="majorHAnsi" w:eastAsia="Times New Roman" w:hAnsiTheme="majorHAnsi"/>
          <w:sz w:val="20"/>
          <w:szCs w:val="20"/>
        </w:rPr>
        <w:t xml:space="preserve">According to the Interdisciplinary Group of Independent Experts appointed by the IACHR, this process of </w:t>
      </w:r>
      <w:r w:rsidR="003C665E" w:rsidRPr="00FC406F">
        <w:rPr>
          <w:rFonts w:asciiTheme="majorHAnsi" w:eastAsia="Times New Roman" w:hAnsiTheme="majorHAnsi"/>
          <w:sz w:val="20"/>
          <w:szCs w:val="20"/>
        </w:rPr>
        <w:t>undermining</w:t>
      </w:r>
      <w:r w:rsidR="009D1C2C" w:rsidRPr="00FC406F">
        <w:rPr>
          <w:rFonts w:asciiTheme="majorHAnsi" w:eastAsia="Times New Roman" w:hAnsiTheme="majorHAnsi"/>
          <w:sz w:val="20"/>
          <w:szCs w:val="20"/>
        </w:rPr>
        <w:t xml:space="preserve"> democratic institutions can be identified as starting at the end of the nineties and has intensified since 2007 when José Daniel Ortega Saavedra came into office as President</w:t>
      </w:r>
      <w:r w:rsidR="006C21CB" w:rsidRPr="00FC406F">
        <w:rPr>
          <w:rFonts w:asciiTheme="majorHAnsi" w:eastAsia="Times New Roman" w:hAnsiTheme="majorHAnsi"/>
          <w:sz w:val="20"/>
          <w:szCs w:val="20"/>
        </w:rPr>
        <w:t xml:space="preserve"> of the Republic</w:t>
      </w:r>
      <w:r w:rsidR="009D1C2C" w:rsidRPr="00FC406F">
        <w:rPr>
          <w:rFonts w:asciiTheme="majorHAnsi" w:eastAsia="Times New Roman" w:hAnsiTheme="majorHAnsi"/>
          <w:sz w:val="20"/>
          <w:szCs w:val="20"/>
        </w:rPr>
        <w:t>.</w:t>
      </w:r>
      <w:r w:rsidR="00B36400" w:rsidRPr="00FC406F">
        <w:rPr>
          <w:rStyle w:val="FootnoteReference"/>
          <w:rFonts w:asciiTheme="majorHAnsi" w:eastAsia="Times New Roman" w:hAnsiTheme="majorHAnsi"/>
          <w:sz w:val="20"/>
          <w:szCs w:val="20"/>
        </w:rPr>
        <w:footnoteReference w:id="4"/>
      </w:r>
    </w:p>
    <w:p w14:paraId="35DAB0E1" w14:textId="77777777" w:rsidR="00B36400" w:rsidRPr="00FC406F" w:rsidRDefault="00B36400" w:rsidP="00B3640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sz w:val="20"/>
          <w:szCs w:val="20"/>
        </w:rPr>
      </w:pPr>
    </w:p>
    <w:p w14:paraId="21C07E48" w14:textId="77777777" w:rsidR="00B36400" w:rsidRPr="00FC406F" w:rsidRDefault="0063463A" w:rsidP="00031C3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color w:val="000000" w:themeColor="text1"/>
          <w:sz w:val="20"/>
          <w:szCs w:val="20"/>
        </w:rPr>
      </w:pPr>
      <w:r w:rsidRPr="00FC406F">
        <w:rPr>
          <w:rFonts w:asciiTheme="majorHAnsi" w:hAnsiTheme="majorHAnsi"/>
          <w:color w:val="000000" w:themeColor="text1"/>
          <w:sz w:val="20"/>
          <w:szCs w:val="20"/>
        </w:rPr>
        <w:t>As for the Office of the United Nations High Commissioner for Human Rights, it has underscored that, since the presidential elections of 2006, the institutional framework has been undermined by the concentration of the branches of government in the hands of the ruling party</w:t>
      </w:r>
      <w:r w:rsidR="00B36400" w:rsidRPr="00FC406F">
        <w:rPr>
          <w:rFonts w:asciiTheme="majorHAnsi" w:hAnsiTheme="majorHAnsi"/>
          <w:color w:val="000000" w:themeColor="text1"/>
          <w:sz w:val="20"/>
          <w:szCs w:val="20"/>
        </w:rPr>
        <w:t xml:space="preserve">. </w:t>
      </w:r>
      <w:r w:rsidR="00126859" w:rsidRPr="00FC406F">
        <w:rPr>
          <w:rFonts w:asciiTheme="majorHAnsi" w:hAnsiTheme="majorHAnsi"/>
          <w:color w:val="000000" w:themeColor="text1"/>
          <w:sz w:val="20"/>
          <w:szCs w:val="20"/>
        </w:rPr>
        <w:t>This has contrib</w:t>
      </w:r>
      <w:r w:rsidR="001508D1" w:rsidRPr="00FC406F">
        <w:rPr>
          <w:rFonts w:asciiTheme="majorHAnsi" w:hAnsiTheme="majorHAnsi"/>
          <w:color w:val="000000" w:themeColor="text1"/>
          <w:sz w:val="20"/>
          <w:szCs w:val="20"/>
        </w:rPr>
        <w:t>uted to reduced civic space</w:t>
      </w:r>
      <w:r w:rsidR="00126859" w:rsidRPr="00FC406F">
        <w:rPr>
          <w:rFonts w:asciiTheme="majorHAnsi" w:hAnsiTheme="majorHAnsi"/>
          <w:color w:val="000000" w:themeColor="text1"/>
          <w:sz w:val="20"/>
          <w:szCs w:val="20"/>
        </w:rPr>
        <w:t xml:space="preserve">, the </w:t>
      </w:r>
      <w:r w:rsidR="00AE5EDC" w:rsidRPr="00FC406F">
        <w:rPr>
          <w:rFonts w:asciiTheme="majorHAnsi" w:hAnsiTheme="majorHAnsi"/>
          <w:color w:val="000000" w:themeColor="text1"/>
          <w:sz w:val="20"/>
          <w:szCs w:val="20"/>
        </w:rPr>
        <w:t>lack</w:t>
      </w:r>
      <w:r w:rsidR="00126859" w:rsidRPr="00FC406F">
        <w:rPr>
          <w:rFonts w:asciiTheme="majorHAnsi" w:hAnsiTheme="majorHAnsi"/>
          <w:color w:val="000000" w:themeColor="text1"/>
          <w:sz w:val="20"/>
          <w:szCs w:val="20"/>
        </w:rPr>
        <w:t xml:space="preserve"> of </w:t>
      </w:r>
      <w:r w:rsidR="00AE5EDC" w:rsidRPr="00FC406F">
        <w:rPr>
          <w:rFonts w:asciiTheme="majorHAnsi" w:hAnsiTheme="majorHAnsi"/>
          <w:color w:val="000000" w:themeColor="text1"/>
          <w:sz w:val="20"/>
          <w:szCs w:val="20"/>
        </w:rPr>
        <w:t xml:space="preserve">independence </w:t>
      </w:r>
      <w:r w:rsidR="00126859" w:rsidRPr="00FC406F">
        <w:rPr>
          <w:rFonts w:asciiTheme="majorHAnsi" w:hAnsiTheme="majorHAnsi"/>
          <w:color w:val="000000" w:themeColor="text1"/>
          <w:sz w:val="20"/>
          <w:szCs w:val="20"/>
        </w:rPr>
        <w:t>of the judicia</w:t>
      </w:r>
      <w:r w:rsidR="001508D1" w:rsidRPr="00FC406F">
        <w:rPr>
          <w:rFonts w:asciiTheme="majorHAnsi" w:hAnsiTheme="majorHAnsi"/>
          <w:color w:val="000000" w:themeColor="text1"/>
          <w:sz w:val="20"/>
          <w:szCs w:val="20"/>
        </w:rPr>
        <w:t>ry</w:t>
      </w:r>
      <w:r w:rsidR="00126859" w:rsidRPr="00FC406F">
        <w:rPr>
          <w:rFonts w:asciiTheme="majorHAnsi" w:hAnsiTheme="majorHAnsi"/>
          <w:color w:val="000000" w:themeColor="text1"/>
          <w:sz w:val="20"/>
          <w:szCs w:val="20"/>
        </w:rPr>
        <w:t xml:space="preserve"> and the national human rights institution (Office of the Human Rights Defen</w:t>
      </w:r>
      <w:r w:rsidR="003C665E" w:rsidRPr="00FC406F">
        <w:rPr>
          <w:rFonts w:asciiTheme="majorHAnsi" w:hAnsiTheme="majorHAnsi"/>
          <w:color w:val="000000" w:themeColor="text1"/>
          <w:sz w:val="20"/>
          <w:szCs w:val="20"/>
        </w:rPr>
        <w:t>der</w:t>
      </w:r>
      <w:r w:rsidR="00126859" w:rsidRPr="00FC406F">
        <w:rPr>
          <w:rFonts w:asciiTheme="majorHAnsi" w:hAnsiTheme="majorHAnsi"/>
          <w:color w:val="000000" w:themeColor="text1"/>
          <w:sz w:val="20"/>
          <w:szCs w:val="20"/>
        </w:rPr>
        <w:t>), r</w:t>
      </w:r>
      <w:r w:rsidR="001508D1" w:rsidRPr="00FC406F">
        <w:rPr>
          <w:rFonts w:asciiTheme="majorHAnsi" w:hAnsiTheme="majorHAnsi"/>
          <w:color w:val="000000" w:themeColor="text1"/>
          <w:sz w:val="20"/>
          <w:szCs w:val="20"/>
        </w:rPr>
        <w:t>ecurrent allegations of</w:t>
      </w:r>
      <w:r w:rsidR="00126859" w:rsidRPr="00FC406F">
        <w:rPr>
          <w:rFonts w:asciiTheme="majorHAnsi" w:hAnsiTheme="majorHAnsi"/>
          <w:color w:val="000000" w:themeColor="text1"/>
          <w:sz w:val="20"/>
          <w:szCs w:val="20"/>
        </w:rPr>
        <w:t xml:space="preserve"> corruption, electoral fraud, and </w:t>
      </w:r>
      <w:r w:rsidR="001508D1" w:rsidRPr="00FC406F">
        <w:rPr>
          <w:rFonts w:asciiTheme="majorHAnsi" w:hAnsiTheme="majorHAnsi"/>
          <w:color w:val="000000" w:themeColor="text1"/>
          <w:sz w:val="20"/>
          <w:szCs w:val="20"/>
        </w:rPr>
        <w:t>media censorship</w:t>
      </w:r>
      <w:r w:rsidR="00126859" w:rsidRPr="00FC406F">
        <w:rPr>
          <w:rFonts w:asciiTheme="majorHAnsi" w:hAnsiTheme="majorHAnsi"/>
          <w:color w:val="000000" w:themeColor="text1"/>
          <w:sz w:val="20"/>
          <w:szCs w:val="20"/>
        </w:rPr>
        <w:t>, and high levels of impunity</w:t>
      </w:r>
      <w:r w:rsidR="00B36400" w:rsidRPr="00FC406F">
        <w:rPr>
          <w:rFonts w:asciiTheme="majorHAnsi" w:hAnsiTheme="majorHAnsi"/>
          <w:color w:val="000000" w:themeColor="text1"/>
          <w:sz w:val="20"/>
          <w:szCs w:val="20"/>
        </w:rPr>
        <w:t xml:space="preserve"> (…)</w:t>
      </w:r>
      <w:r w:rsidR="00126859" w:rsidRPr="00FC406F">
        <w:rPr>
          <w:rFonts w:asciiTheme="majorHAnsi" w:hAnsiTheme="majorHAnsi"/>
          <w:color w:val="000000" w:themeColor="text1"/>
          <w:sz w:val="20"/>
          <w:szCs w:val="20"/>
        </w:rPr>
        <w:t>.</w:t>
      </w:r>
      <w:r w:rsidR="00B36400" w:rsidRPr="00FC406F">
        <w:rPr>
          <w:rFonts w:asciiTheme="majorHAnsi" w:hAnsiTheme="majorHAnsi"/>
          <w:color w:val="000000" w:themeColor="text1"/>
          <w:sz w:val="20"/>
          <w:szCs w:val="20"/>
          <w:vertAlign w:val="superscript"/>
        </w:rPr>
        <w:footnoteReference w:id="5"/>
      </w:r>
    </w:p>
    <w:p w14:paraId="70B96220" w14:textId="77777777" w:rsidR="00B36400" w:rsidRPr="00FC406F" w:rsidRDefault="00B36400" w:rsidP="00B3640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eastAsia="Times New Roman" w:hAnsiTheme="majorHAnsi"/>
          <w:sz w:val="20"/>
          <w:szCs w:val="20"/>
        </w:rPr>
      </w:pPr>
    </w:p>
    <w:p w14:paraId="12F65AE4" w14:textId="77777777" w:rsidR="00B36400" w:rsidRPr="00FC406F" w:rsidRDefault="00126859" w:rsidP="00031C3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eastAsia="Times New Roman"/>
          <w:sz w:val="20"/>
          <w:szCs w:val="20"/>
        </w:rPr>
      </w:pPr>
      <w:r w:rsidRPr="00FC406F">
        <w:rPr>
          <w:rFonts w:asciiTheme="majorHAnsi" w:eastAsia="Times New Roman" w:hAnsiTheme="majorHAnsi"/>
          <w:sz w:val="20"/>
          <w:szCs w:val="20"/>
        </w:rPr>
        <w:t xml:space="preserve">Specifically, regarding the absence of </w:t>
      </w:r>
      <w:r w:rsidR="003C665E" w:rsidRPr="00FC406F">
        <w:rPr>
          <w:rFonts w:asciiTheme="majorHAnsi" w:eastAsia="Times New Roman" w:hAnsiTheme="majorHAnsi"/>
          <w:sz w:val="20"/>
          <w:szCs w:val="20"/>
        </w:rPr>
        <w:t>independence</w:t>
      </w:r>
      <w:r w:rsidRPr="00FC406F">
        <w:rPr>
          <w:rFonts w:asciiTheme="majorHAnsi" w:eastAsia="Times New Roman" w:hAnsiTheme="majorHAnsi"/>
          <w:sz w:val="20"/>
          <w:szCs w:val="20"/>
        </w:rPr>
        <w:t xml:space="preserve"> the judicial branch, the IACHR has contended that</w:t>
      </w:r>
      <w:r w:rsidR="00B36400" w:rsidRPr="00FC406F">
        <w:rPr>
          <w:rFonts w:asciiTheme="majorHAnsi" w:eastAsia="Times New Roman" w:hAnsiTheme="majorHAnsi"/>
          <w:sz w:val="20"/>
          <w:szCs w:val="20"/>
        </w:rPr>
        <w:t>:</w:t>
      </w:r>
    </w:p>
    <w:p w14:paraId="10099AA6" w14:textId="77777777" w:rsidR="00B36400" w:rsidRPr="00FC406F" w:rsidRDefault="00B36400" w:rsidP="00B3640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eastAsia="Times New Roman"/>
          <w:sz w:val="20"/>
          <w:szCs w:val="20"/>
        </w:rPr>
      </w:pPr>
    </w:p>
    <w:p w14:paraId="5B7E8029" w14:textId="77777777" w:rsidR="00B36400" w:rsidRPr="00FC406F" w:rsidRDefault="00FC406F" w:rsidP="00B3640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Theme="majorHAnsi" w:hAnsiTheme="majorHAnsi"/>
          <w:color w:val="000000" w:themeColor="text1"/>
          <w:sz w:val="18"/>
          <w:szCs w:val="18"/>
        </w:rPr>
      </w:pPr>
      <w:r>
        <w:rPr>
          <w:rFonts w:ascii="Cambria" w:hAnsi="Cambria"/>
          <w:sz w:val="18"/>
          <w:szCs w:val="18"/>
        </w:rPr>
        <w:t>[T]</w:t>
      </w:r>
      <w:r w:rsidR="00692652" w:rsidRPr="00FC406F">
        <w:rPr>
          <w:rFonts w:ascii="Cambria" w:hAnsi="Cambria"/>
          <w:sz w:val="18"/>
          <w:szCs w:val="18"/>
        </w:rPr>
        <w:t xml:space="preserve">he state of Nicaragua does not have an independent judicial branch of government because of appointment procedures tainted by factors such as nepotism or influence and manipulation by the </w:t>
      </w:r>
      <w:r w:rsidR="00101DDB" w:rsidRPr="00FC406F">
        <w:rPr>
          <w:rFonts w:ascii="Cambria" w:hAnsi="Cambria"/>
          <w:sz w:val="18"/>
          <w:szCs w:val="18"/>
        </w:rPr>
        <w:t>government’s political party.</w:t>
      </w:r>
      <w:r w:rsidR="00692652" w:rsidRPr="00FC406F">
        <w:rPr>
          <w:rFonts w:ascii="Cambria" w:hAnsi="Cambria"/>
          <w:sz w:val="18"/>
          <w:szCs w:val="18"/>
        </w:rPr>
        <w:t xml:space="preserve"> Since 2000, the Supreme Court of Justice was composed of 16 justices and 16 alternate judges were appointed to the court, which made it possible to distribute the seats to the country’s two principal political forces. In 2010, President Daniel Ortega approved Presidential Decree 03/2010 that made it possible for the judges of the Supreme Court of Justice to keep their seats although their terms of office had expired. In this context, in 2013, the then United Nations Special Rapporteur on the Independence of Judges and Lawyers, Gabriela Knaul, reported the huge political leverage involved in appointing the judges of the Supreme Court of Justice, and in particular because the government’s political majority in the National Assembly made it possible to appoint state officials without the endorsement of any other political representation. By 2014, the FSLN and judges close to the President held three of the four chambers of the judicial branch of government</w:t>
      </w:r>
      <w:r w:rsidR="00101DDB" w:rsidRPr="00FC406F">
        <w:rPr>
          <w:rFonts w:asciiTheme="majorHAnsi" w:hAnsiTheme="majorHAnsi"/>
          <w:color w:val="000000" w:themeColor="text1"/>
          <w:sz w:val="18"/>
          <w:szCs w:val="18"/>
        </w:rPr>
        <w:t>.</w:t>
      </w:r>
      <w:r w:rsidR="00B36400" w:rsidRPr="00FC406F">
        <w:rPr>
          <w:rStyle w:val="FootnoteReference"/>
          <w:rFonts w:asciiTheme="majorHAnsi" w:eastAsia="Times New Roman" w:hAnsiTheme="majorHAnsi"/>
          <w:sz w:val="18"/>
          <w:szCs w:val="18"/>
        </w:rPr>
        <w:footnoteReference w:id="6"/>
      </w:r>
    </w:p>
    <w:p w14:paraId="1F078508" w14:textId="77777777" w:rsidR="00B36400" w:rsidRPr="00FC406F" w:rsidRDefault="00B36400" w:rsidP="00B3640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eastAsia="Times New Roman" w:hAnsiTheme="majorHAnsi"/>
          <w:sz w:val="20"/>
          <w:szCs w:val="20"/>
        </w:rPr>
      </w:pPr>
    </w:p>
    <w:p w14:paraId="7E87391A" w14:textId="77777777" w:rsidR="00B36400" w:rsidRPr="00FC406F" w:rsidRDefault="00272EDB" w:rsidP="00031C3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eastAsia="Times New Roman" w:hAnsiTheme="majorHAnsi"/>
          <w:sz w:val="20"/>
          <w:szCs w:val="20"/>
        </w:rPr>
      </w:pPr>
      <w:r w:rsidRPr="00FC406F">
        <w:rPr>
          <w:rFonts w:asciiTheme="majorHAnsi" w:eastAsia="Times New Roman" w:hAnsiTheme="majorHAnsi"/>
          <w:sz w:val="20"/>
          <w:szCs w:val="20"/>
        </w:rPr>
        <w:t>Likewise, the IACHR</w:t>
      </w:r>
      <w:r w:rsidR="00B36400" w:rsidRPr="00FC406F">
        <w:rPr>
          <w:rFonts w:asciiTheme="majorHAnsi" w:eastAsia="Times New Roman" w:hAnsiTheme="majorHAnsi"/>
          <w:sz w:val="20"/>
          <w:szCs w:val="20"/>
        </w:rPr>
        <w:t xml:space="preserve"> </w:t>
      </w:r>
      <w:r w:rsidRPr="00FC406F">
        <w:rPr>
          <w:rFonts w:asciiTheme="majorHAnsi" w:eastAsia="Times New Roman" w:hAnsiTheme="majorHAnsi"/>
          <w:i/>
          <w:sz w:val="20"/>
          <w:szCs w:val="20"/>
        </w:rPr>
        <w:t>Special Rapporteurship for Freedom of Expression</w:t>
      </w:r>
      <w:r w:rsidR="00B36400" w:rsidRPr="00FC406F">
        <w:rPr>
          <w:rFonts w:asciiTheme="majorHAnsi" w:eastAsia="Times New Roman" w:hAnsiTheme="majorHAnsi"/>
          <w:sz w:val="20"/>
          <w:szCs w:val="20"/>
        </w:rPr>
        <w:t xml:space="preserve"> ha</w:t>
      </w:r>
      <w:r w:rsidRPr="00FC406F">
        <w:rPr>
          <w:rFonts w:asciiTheme="majorHAnsi" w:eastAsia="Times New Roman" w:hAnsiTheme="majorHAnsi"/>
          <w:sz w:val="20"/>
          <w:szCs w:val="20"/>
        </w:rPr>
        <w:t xml:space="preserve">s stated that in </w:t>
      </w:r>
      <w:r w:rsidR="00B36400" w:rsidRPr="00FC406F">
        <w:rPr>
          <w:rFonts w:asciiTheme="majorHAnsi" w:eastAsia="Times New Roman" w:hAnsiTheme="majorHAnsi"/>
          <w:sz w:val="20"/>
          <w:szCs w:val="20"/>
        </w:rPr>
        <w:t>Nicaragua “</w:t>
      </w:r>
      <w:r w:rsidRPr="00FC406F">
        <w:rPr>
          <w:rFonts w:ascii="Cambria" w:hAnsi="Cambria"/>
          <w:sz w:val="20"/>
          <w:szCs w:val="20"/>
        </w:rPr>
        <w:t>a duopoly has been consolidated in the media, controlling the majority of television and radio broadcasting media. In fact, most audiovisual media is under the political control of the President’s family or of one businessperson with ties to the government. As a result, these media are highly biased and their journalists encounter obstacles when they wish to carry out their work independently</w:t>
      </w:r>
      <w:r w:rsidR="00B36400" w:rsidRPr="00FC406F">
        <w:rPr>
          <w:rFonts w:asciiTheme="majorHAnsi" w:eastAsia="Times New Roman" w:hAnsiTheme="majorHAnsi"/>
          <w:sz w:val="20"/>
          <w:szCs w:val="20"/>
        </w:rPr>
        <w:t xml:space="preserve"> (…)</w:t>
      </w:r>
      <w:r w:rsidR="009B4706" w:rsidRPr="00FC406F">
        <w:rPr>
          <w:rFonts w:asciiTheme="majorHAnsi" w:eastAsia="Times New Roman" w:hAnsiTheme="majorHAnsi"/>
          <w:sz w:val="20"/>
          <w:szCs w:val="20"/>
        </w:rPr>
        <w:t>.</w:t>
      </w:r>
      <w:r w:rsidR="00484EE6" w:rsidRPr="00FC406F">
        <w:rPr>
          <w:rFonts w:asciiTheme="majorHAnsi" w:eastAsia="Times New Roman" w:hAnsiTheme="majorHAnsi"/>
          <w:sz w:val="20"/>
          <w:szCs w:val="20"/>
        </w:rPr>
        <w:t>”</w:t>
      </w:r>
      <w:r w:rsidR="00B36400" w:rsidRPr="00FC406F">
        <w:rPr>
          <w:rStyle w:val="FootnoteReference"/>
          <w:rFonts w:asciiTheme="majorHAnsi" w:eastAsia="Times New Roman" w:hAnsiTheme="majorHAnsi"/>
          <w:sz w:val="20"/>
          <w:szCs w:val="20"/>
        </w:rPr>
        <w:footnoteReference w:id="7"/>
      </w:r>
      <w:r w:rsidR="009B4706" w:rsidRPr="00FC406F">
        <w:rPr>
          <w:rFonts w:asciiTheme="majorHAnsi" w:eastAsia="Times New Roman" w:hAnsiTheme="majorHAnsi"/>
          <w:sz w:val="20"/>
          <w:szCs w:val="20"/>
        </w:rPr>
        <w:t xml:space="preserve"> For example, in its Annual Report for 2011, the Special Rapporteurship underscored that it</w:t>
      </w:r>
      <w:r w:rsidR="00B36400" w:rsidRPr="00FC406F">
        <w:rPr>
          <w:rFonts w:asciiTheme="majorHAnsi" w:hAnsiTheme="majorHAnsi"/>
          <w:sz w:val="20"/>
          <w:szCs w:val="20"/>
        </w:rPr>
        <w:t>:</w:t>
      </w:r>
    </w:p>
    <w:p w14:paraId="24A6994D" w14:textId="77777777" w:rsidR="00B36400" w:rsidRPr="00FC406F" w:rsidRDefault="00B36400" w:rsidP="00B3640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sz w:val="20"/>
          <w:szCs w:val="20"/>
        </w:rPr>
      </w:pPr>
    </w:p>
    <w:p w14:paraId="2653E662" w14:textId="77777777" w:rsidR="00B36400" w:rsidRPr="00FC406F" w:rsidRDefault="009B4706" w:rsidP="00B3640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Theme="majorHAnsi" w:hAnsiTheme="majorHAnsi"/>
          <w:color w:val="000000" w:themeColor="text1"/>
          <w:sz w:val="18"/>
          <w:szCs w:val="18"/>
        </w:rPr>
      </w:pPr>
      <w:r w:rsidRPr="00FC406F">
        <w:rPr>
          <w:rFonts w:ascii="Cambria" w:hAnsi="Cambria" w:cs="Courier New"/>
          <w:sz w:val="18"/>
          <w:szCs w:val="18"/>
        </w:rPr>
        <w:t xml:space="preserve">has received information indicating that multiple presidential broadcasts have continued to be employed on all cable television channels to transmit messages that even include partisan elements. Such actions are carried out based on administrative order 009-2010 of the Nicaraguan Institute for </w:t>
      </w:r>
      <w:r w:rsidRPr="00FC406F">
        <w:rPr>
          <w:rFonts w:ascii="Cambria" w:hAnsi="Cambria" w:cs="Courier New"/>
          <w:iCs/>
          <w:sz w:val="18"/>
          <w:szCs w:val="18"/>
        </w:rPr>
        <w:t>Telecommunications</w:t>
      </w:r>
      <w:r w:rsidRPr="00FC406F">
        <w:rPr>
          <w:rFonts w:ascii="Cambria" w:hAnsi="Cambria" w:cs="Courier New"/>
          <w:sz w:val="18"/>
          <w:szCs w:val="18"/>
        </w:rPr>
        <w:t xml:space="preserve"> and </w:t>
      </w:r>
      <w:r w:rsidRPr="00FC406F">
        <w:rPr>
          <w:rFonts w:ascii="Cambria" w:hAnsi="Cambria" w:cs="Courier New"/>
          <w:iCs/>
          <w:sz w:val="18"/>
          <w:szCs w:val="18"/>
        </w:rPr>
        <w:t>Postal Service</w:t>
      </w:r>
      <w:r w:rsidRPr="00FC406F">
        <w:rPr>
          <w:rFonts w:ascii="Cambria" w:hAnsi="Cambria" w:cs="Courier New"/>
          <w:sz w:val="18"/>
          <w:szCs w:val="18"/>
        </w:rPr>
        <w:t xml:space="preserve"> (TELCOR), according to which subscriber-based television channels must make their services and facilities available to the Government of the Republic during times of national emergency. According to reports, last January 10 several cable television channels that did not link their signals up to the presidential speech were reportedly blocked when President Ortega issued his Government Report in a public square. In addition, on July 19, open channels and cable channels were forced to air the official celebration of the 32</w:t>
      </w:r>
      <w:r w:rsidRPr="00FC406F">
        <w:rPr>
          <w:rFonts w:ascii="Cambria" w:hAnsi="Cambria" w:cs="Courier New"/>
          <w:sz w:val="18"/>
          <w:szCs w:val="18"/>
          <w:vertAlign w:val="superscript"/>
        </w:rPr>
        <w:t>nd</w:t>
      </w:r>
      <w:r w:rsidRPr="00FC406F">
        <w:rPr>
          <w:rFonts w:ascii="Cambria" w:hAnsi="Cambria" w:cs="Courier New"/>
          <w:sz w:val="18"/>
          <w:szCs w:val="18"/>
        </w:rPr>
        <w:t xml:space="preserve"> anniversary of the triumph of the Sandinista revolution.</w:t>
      </w:r>
      <w:r w:rsidR="00B36400" w:rsidRPr="00FC406F">
        <w:rPr>
          <w:rStyle w:val="FootnoteReference"/>
          <w:rFonts w:asciiTheme="majorHAnsi" w:hAnsiTheme="majorHAnsi"/>
          <w:color w:val="000000" w:themeColor="text1"/>
          <w:sz w:val="18"/>
          <w:szCs w:val="18"/>
        </w:rPr>
        <w:footnoteReference w:id="8"/>
      </w:r>
    </w:p>
    <w:p w14:paraId="7BB9F50C" w14:textId="77777777" w:rsidR="00B36400" w:rsidRPr="00FC406F" w:rsidRDefault="00B36400" w:rsidP="00B3640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Theme="majorHAnsi" w:hAnsiTheme="majorHAnsi"/>
          <w:color w:val="000000" w:themeColor="text1"/>
          <w:sz w:val="18"/>
          <w:szCs w:val="18"/>
        </w:rPr>
      </w:pPr>
    </w:p>
    <w:p w14:paraId="27FAB716" w14:textId="77777777" w:rsidR="00B36400" w:rsidRPr="00FC406F" w:rsidRDefault="009B4706" w:rsidP="00031C34">
      <w:pPr>
        <w:pStyle w:val="Heading2"/>
        <w:numPr>
          <w:ilvl w:val="0"/>
          <w:numId w:val="59"/>
        </w:numPr>
      </w:pPr>
      <w:bookmarkStart w:id="14" w:name="_Toc42609970"/>
      <w:bookmarkStart w:id="15" w:name="_Toc56778652"/>
      <w:r w:rsidRPr="00FC406F">
        <w:t>Relevant regulatory framework and background to the instant case</w:t>
      </w:r>
      <w:bookmarkEnd w:id="14"/>
      <w:bookmarkEnd w:id="15"/>
    </w:p>
    <w:p w14:paraId="584E85DB" w14:textId="77777777" w:rsidR="00B36400" w:rsidRPr="00FC406F" w:rsidRDefault="00B36400" w:rsidP="00B3640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sz w:val="20"/>
          <w:szCs w:val="20"/>
        </w:rPr>
      </w:pPr>
    </w:p>
    <w:p w14:paraId="57720B9B" w14:textId="77777777" w:rsidR="00B36400" w:rsidRPr="00FC406F" w:rsidRDefault="009B4706" w:rsidP="00031C3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rPr>
      </w:pPr>
      <w:r w:rsidRPr="00FC406F">
        <w:rPr>
          <w:rFonts w:asciiTheme="majorHAnsi" w:hAnsiTheme="majorHAnsi"/>
          <w:sz w:val="20"/>
          <w:szCs w:val="20"/>
        </w:rPr>
        <w:t>The Commission recalls that, at the time of the incidents, the Political Constitution of Nicaragua of 1987 had the following provisions</w:t>
      </w:r>
      <w:r w:rsidR="009A408D" w:rsidRPr="00FC406F">
        <w:rPr>
          <w:rFonts w:asciiTheme="majorHAnsi" w:hAnsiTheme="majorHAnsi"/>
          <w:sz w:val="20"/>
          <w:szCs w:val="20"/>
        </w:rPr>
        <w:t xml:space="preserve"> in connection with the parts that are relevant for the instant case</w:t>
      </w:r>
      <w:r w:rsidR="00B36400" w:rsidRPr="00FC406F">
        <w:rPr>
          <w:rFonts w:asciiTheme="majorHAnsi" w:hAnsiTheme="majorHAnsi"/>
          <w:sz w:val="20"/>
          <w:szCs w:val="20"/>
        </w:rPr>
        <w:t>:</w:t>
      </w:r>
    </w:p>
    <w:p w14:paraId="4D342C79" w14:textId="77777777" w:rsidR="00B36400" w:rsidRPr="00FC406F" w:rsidRDefault="00B36400" w:rsidP="00B3640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sz w:val="20"/>
          <w:szCs w:val="20"/>
        </w:rPr>
      </w:pPr>
    </w:p>
    <w:p w14:paraId="659AFEC3" w14:textId="77777777" w:rsidR="005D50ED" w:rsidRPr="00FC406F" w:rsidRDefault="005D50ED" w:rsidP="005D50ED">
      <w:pPr>
        <w:pStyle w:val="parrafos"/>
        <w:ind w:left="360" w:right="360" w:firstLine="0"/>
        <w:rPr>
          <w:rFonts w:ascii="Cambria" w:hAnsi="Cambria"/>
          <w:sz w:val="18"/>
          <w:szCs w:val="18"/>
        </w:rPr>
      </w:pPr>
      <w:r w:rsidRPr="00FC406F">
        <w:rPr>
          <w:rFonts w:ascii="Cambria" w:hAnsi="Cambria"/>
          <w:sz w:val="18"/>
          <w:szCs w:val="18"/>
        </w:rPr>
        <w:t xml:space="preserve">ARTICLE 47. To be elected for office, the candidates for President and Vice President of the Republic must obtain at least forty-five percent of the valid votes, as relative majority. (…) If no candidate obtains the required percentage, a second election shall be held for the candidates who obtained first and second places, and the candidate with the highest number of votes shall be elected. </w:t>
      </w:r>
    </w:p>
    <w:p w14:paraId="062C72C2" w14:textId="77777777" w:rsidR="005D50ED" w:rsidRPr="00FC406F" w:rsidRDefault="005D50ED" w:rsidP="005D50ED">
      <w:pPr>
        <w:rPr>
          <w:rFonts w:ascii="Cambria" w:hAnsi="Cambria"/>
          <w:sz w:val="18"/>
          <w:szCs w:val="18"/>
        </w:rPr>
      </w:pPr>
    </w:p>
    <w:p w14:paraId="723B2FE0" w14:textId="77777777" w:rsidR="005D50ED" w:rsidRPr="00FC406F" w:rsidRDefault="005D50ED" w:rsidP="005D50ED">
      <w:pPr>
        <w:pStyle w:val="parrafos"/>
        <w:ind w:left="360" w:right="360" w:firstLine="0"/>
        <w:rPr>
          <w:rFonts w:ascii="Cambria" w:hAnsi="Cambria"/>
          <w:sz w:val="18"/>
          <w:szCs w:val="18"/>
        </w:rPr>
      </w:pPr>
      <w:r w:rsidRPr="00FC406F">
        <w:rPr>
          <w:rFonts w:ascii="Cambria" w:hAnsi="Cambria"/>
          <w:sz w:val="18"/>
          <w:szCs w:val="18"/>
        </w:rPr>
        <w:t>In order to be eligible as President or Vice President it is necessary:</w:t>
      </w:r>
    </w:p>
    <w:p w14:paraId="63A89571" w14:textId="77777777" w:rsidR="005D50ED" w:rsidRPr="00FC406F" w:rsidRDefault="005D50ED" w:rsidP="005D50ED">
      <w:pPr>
        <w:rPr>
          <w:rFonts w:ascii="Cambria" w:hAnsi="Cambria"/>
          <w:sz w:val="18"/>
          <w:szCs w:val="18"/>
        </w:rPr>
      </w:pPr>
    </w:p>
    <w:p w14:paraId="5579EDA3" w14:textId="77777777" w:rsidR="005D50ED" w:rsidRPr="00FC406F" w:rsidRDefault="005D50ED" w:rsidP="005D50ED">
      <w:pPr>
        <w:pStyle w:val="parrafos"/>
        <w:ind w:left="360" w:right="360" w:firstLine="0"/>
        <w:rPr>
          <w:rFonts w:ascii="Cambria" w:hAnsi="Cambria"/>
          <w:sz w:val="18"/>
          <w:szCs w:val="18"/>
        </w:rPr>
      </w:pPr>
      <w:r w:rsidRPr="00FC406F">
        <w:rPr>
          <w:rFonts w:ascii="Cambria" w:hAnsi="Cambria"/>
          <w:sz w:val="18"/>
          <w:szCs w:val="18"/>
        </w:rPr>
        <w:t>1. To be a national of Nicaragua.</w:t>
      </w:r>
    </w:p>
    <w:p w14:paraId="419E5B09" w14:textId="77777777" w:rsidR="005D50ED" w:rsidRPr="00FC406F" w:rsidRDefault="005D50ED" w:rsidP="005D50ED">
      <w:pPr>
        <w:ind w:firstLine="360"/>
        <w:rPr>
          <w:rFonts w:ascii="Cambria" w:hAnsi="Cambria"/>
          <w:sz w:val="18"/>
          <w:szCs w:val="18"/>
        </w:rPr>
      </w:pPr>
      <w:r w:rsidRPr="00FC406F">
        <w:rPr>
          <w:rFonts w:ascii="Cambria" w:hAnsi="Cambria"/>
          <w:sz w:val="18"/>
          <w:szCs w:val="18"/>
        </w:rPr>
        <w:t>2. To fully enjoy one’s civil and political rights.</w:t>
      </w:r>
    </w:p>
    <w:p w14:paraId="7317336B" w14:textId="77777777" w:rsidR="005D50ED" w:rsidRPr="00FC406F" w:rsidRDefault="005D50ED" w:rsidP="005D50ED">
      <w:pPr>
        <w:ind w:firstLine="360"/>
        <w:rPr>
          <w:rFonts w:ascii="Cambria" w:hAnsi="Cambria"/>
          <w:sz w:val="18"/>
          <w:szCs w:val="18"/>
        </w:rPr>
      </w:pPr>
      <w:r w:rsidRPr="00FC406F">
        <w:rPr>
          <w:rFonts w:ascii="Cambria" w:hAnsi="Cambria"/>
          <w:sz w:val="18"/>
          <w:szCs w:val="18"/>
        </w:rPr>
        <w:t>3. To be at least twenty-five years old</w:t>
      </w:r>
    </w:p>
    <w:p w14:paraId="5C1C9731" w14:textId="77777777" w:rsidR="005D50ED" w:rsidRPr="00FC406F" w:rsidRDefault="005D50ED" w:rsidP="005D50ED">
      <w:pPr>
        <w:pStyle w:val="parrafos"/>
        <w:ind w:left="360" w:right="360" w:firstLine="0"/>
        <w:rPr>
          <w:rFonts w:ascii="Cambria" w:hAnsi="Cambria"/>
          <w:sz w:val="18"/>
          <w:szCs w:val="18"/>
        </w:rPr>
      </w:pPr>
      <w:r w:rsidRPr="00FC406F">
        <w:rPr>
          <w:rFonts w:ascii="Cambria" w:hAnsi="Cambria"/>
          <w:sz w:val="18"/>
          <w:szCs w:val="18"/>
        </w:rPr>
        <w:t>4. To reside continuously in the country for four years prior to the election; this does not apply to persons who during the aforementioned period were engaged in diplomatic missions, were working in international organizations or were pursuing studies overseas.</w:t>
      </w:r>
    </w:p>
    <w:p w14:paraId="4FE10E70" w14:textId="77777777" w:rsidR="005D50ED" w:rsidRPr="00FC406F" w:rsidRDefault="005D50ED" w:rsidP="005D50ED">
      <w:pPr>
        <w:rPr>
          <w:rFonts w:ascii="Cambria" w:hAnsi="Cambria"/>
          <w:sz w:val="18"/>
          <w:szCs w:val="18"/>
        </w:rPr>
      </w:pPr>
    </w:p>
    <w:p w14:paraId="07F3BE26" w14:textId="77777777" w:rsidR="005D50ED" w:rsidRPr="00FC406F" w:rsidRDefault="005D50ED" w:rsidP="005D50ED">
      <w:pPr>
        <w:pStyle w:val="parrafos"/>
        <w:ind w:left="360" w:right="360" w:firstLine="0"/>
        <w:rPr>
          <w:sz w:val="18"/>
          <w:szCs w:val="18"/>
        </w:rPr>
      </w:pPr>
      <w:r w:rsidRPr="00FC406F">
        <w:rPr>
          <w:sz w:val="18"/>
          <w:szCs w:val="18"/>
        </w:rPr>
        <w:t>The following persons may not run for President or Vice President of the Republic:</w:t>
      </w:r>
    </w:p>
    <w:p w14:paraId="2CD27B04" w14:textId="77777777" w:rsidR="003C665E" w:rsidRPr="00FC406F" w:rsidRDefault="003C665E" w:rsidP="005D50ED">
      <w:pPr>
        <w:pStyle w:val="parrafos"/>
        <w:ind w:left="360" w:right="360" w:firstLine="0"/>
        <w:rPr>
          <w:sz w:val="18"/>
          <w:szCs w:val="18"/>
        </w:rPr>
      </w:pPr>
    </w:p>
    <w:p w14:paraId="21C61FAC" w14:textId="77777777" w:rsidR="005D50ED" w:rsidRPr="00FC406F" w:rsidRDefault="005D50ED" w:rsidP="005D50ED">
      <w:pPr>
        <w:pStyle w:val="parrafos"/>
        <w:ind w:left="360" w:right="360" w:firstLine="0"/>
        <w:rPr>
          <w:rFonts w:ascii="Cambria" w:hAnsi="Cambria"/>
          <w:sz w:val="18"/>
          <w:szCs w:val="18"/>
        </w:rPr>
      </w:pPr>
      <w:r w:rsidRPr="00FC406F">
        <w:rPr>
          <w:rFonts w:ascii="Cambria" w:hAnsi="Cambria"/>
          <w:sz w:val="18"/>
          <w:szCs w:val="18"/>
        </w:rPr>
        <w:t>a. Persons who have exercised the full powers of the presidency at any time during the period when the election for the following term is held, nor anyone who has exercised them for two presidential terms.</w:t>
      </w:r>
    </w:p>
    <w:p w14:paraId="48B9CD72" w14:textId="77777777" w:rsidR="005D50ED" w:rsidRPr="00FC406F" w:rsidRDefault="005D50ED" w:rsidP="00B36400">
      <w:pPr>
        <w:pStyle w:val="parrafos"/>
        <w:ind w:left="360" w:firstLine="0"/>
        <w:rPr>
          <w:sz w:val="18"/>
          <w:szCs w:val="18"/>
        </w:rPr>
      </w:pPr>
    </w:p>
    <w:p w14:paraId="1B0B5E97" w14:textId="77777777" w:rsidR="00B36400" w:rsidRPr="00FC406F" w:rsidRDefault="00B36400" w:rsidP="00B36400">
      <w:pPr>
        <w:pStyle w:val="parrafos"/>
        <w:ind w:left="360" w:firstLine="0"/>
        <w:rPr>
          <w:sz w:val="18"/>
          <w:szCs w:val="18"/>
        </w:rPr>
      </w:pPr>
      <w:r w:rsidRPr="00FC406F">
        <w:rPr>
          <w:sz w:val="18"/>
          <w:szCs w:val="18"/>
        </w:rPr>
        <w:t>ART</w:t>
      </w:r>
      <w:r w:rsidR="005D50ED" w:rsidRPr="00FC406F">
        <w:rPr>
          <w:sz w:val="18"/>
          <w:szCs w:val="18"/>
        </w:rPr>
        <w:t>ICLE</w:t>
      </w:r>
      <w:r w:rsidRPr="00FC406F">
        <w:rPr>
          <w:sz w:val="18"/>
          <w:szCs w:val="18"/>
        </w:rPr>
        <w:t xml:space="preserve"> 173.</w:t>
      </w:r>
      <w:r w:rsidR="00F56970" w:rsidRPr="00FC406F">
        <w:rPr>
          <w:sz w:val="18"/>
          <w:szCs w:val="18"/>
        </w:rPr>
        <w:t xml:space="preserve"> The Supreme Electoral Council has the following functions</w:t>
      </w:r>
      <w:r w:rsidRPr="00FC406F">
        <w:rPr>
          <w:sz w:val="18"/>
          <w:szCs w:val="18"/>
        </w:rPr>
        <w:t>:</w:t>
      </w:r>
    </w:p>
    <w:p w14:paraId="1E3887F8" w14:textId="77777777" w:rsidR="00B36400" w:rsidRPr="00FC406F" w:rsidRDefault="00B36400" w:rsidP="00B36400">
      <w:pPr>
        <w:pStyle w:val="parrafos"/>
        <w:ind w:left="360" w:firstLine="0"/>
        <w:rPr>
          <w:sz w:val="18"/>
          <w:szCs w:val="18"/>
        </w:rPr>
      </w:pPr>
    </w:p>
    <w:p w14:paraId="79C50903" w14:textId="77777777" w:rsidR="00B36400" w:rsidRPr="00FC406F" w:rsidRDefault="00B36400" w:rsidP="00B36400">
      <w:pPr>
        <w:pStyle w:val="parrafos"/>
        <w:ind w:left="360" w:right="360" w:firstLine="0"/>
        <w:rPr>
          <w:sz w:val="18"/>
          <w:szCs w:val="18"/>
        </w:rPr>
      </w:pPr>
      <w:r w:rsidRPr="00FC406F">
        <w:rPr>
          <w:sz w:val="18"/>
          <w:szCs w:val="18"/>
        </w:rPr>
        <w:t>(…)</w:t>
      </w:r>
      <w:r w:rsidR="00F56970" w:rsidRPr="00FC406F">
        <w:rPr>
          <w:sz w:val="18"/>
          <w:szCs w:val="18"/>
        </w:rPr>
        <w:t xml:space="preserve"> </w:t>
      </w:r>
      <w:r w:rsidR="00F56970" w:rsidRPr="00FC406F">
        <w:rPr>
          <w:rFonts w:ascii="Cambria" w:hAnsi="Cambria"/>
          <w:sz w:val="18"/>
          <w:szCs w:val="18"/>
        </w:rPr>
        <w:t>No appeal, ordinary or extraordinary, shall lie against the decisions taken by the Supreme Council on electoral matters.</w:t>
      </w:r>
      <w:r w:rsidRPr="00FC406F">
        <w:rPr>
          <w:rStyle w:val="FootnoteReference"/>
        </w:rPr>
        <w:footnoteReference w:id="9"/>
      </w:r>
    </w:p>
    <w:p w14:paraId="16F7A2B7" w14:textId="77777777" w:rsidR="00B36400" w:rsidRPr="00FC406F" w:rsidRDefault="00B36400" w:rsidP="00B3640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sz w:val="20"/>
          <w:szCs w:val="20"/>
        </w:rPr>
      </w:pPr>
    </w:p>
    <w:p w14:paraId="352A0C3D" w14:textId="77777777" w:rsidR="00B36400" w:rsidRPr="00FC406F" w:rsidRDefault="00F56970" w:rsidP="00031C3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rPr>
      </w:pPr>
      <w:r w:rsidRPr="00FC406F">
        <w:rPr>
          <w:rFonts w:asciiTheme="majorHAnsi" w:hAnsiTheme="majorHAnsi"/>
          <w:sz w:val="20"/>
          <w:szCs w:val="20"/>
        </w:rPr>
        <w:t xml:space="preserve">According to information in the public domain, President </w:t>
      </w:r>
      <w:r w:rsidR="00B36400" w:rsidRPr="00FC406F">
        <w:rPr>
          <w:rFonts w:asciiTheme="majorHAnsi" w:hAnsiTheme="majorHAnsi"/>
          <w:sz w:val="20"/>
          <w:szCs w:val="20"/>
        </w:rPr>
        <w:t xml:space="preserve">José Daniel Ortega Saavedra </w:t>
      </w:r>
      <w:r w:rsidRPr="00FC406F">
        <w:rPr>
          <w:rFonts w:asciiTheme="majorHAnsi" w:hAnsiTheme="majorHAnsi"/>
          <w:sz w:val="20"/>
          <w:szCs w:val="20"/>
        </w:rPr>
        <w:t>served as President under the constitutional system between 1985 and 1990 and between</w:t>
      </w:r>
      <w:r w:rsidR="00B36400" w:rsidRPr="00FC406F">
        <w:rPr>
          <w:rFonts w:asciiTheme="majorHAnsi" w:hAnsiTheme="majorHAnsi"/>
          <w:sz w:val="20"/>
          <w:szCs w:val="20"/>
        </w:rPr>
        <w:t xml:space="preserve"> 2006 </w:t>
      </w:r>
      <w:r w:rsidRPr="00FC406F">
        <w:rPr>
          <w:rFonts w:asciiTheme="majorHAnsi" w:hAnsiTheme="majorHAnsi"/>
          <w:sz w:val="20"/>
          <w:szCs w:val="20"/>
        </w:rPr>
        <w:t>and</w:t>
      </w:r>
      <w:r w:rsidR="00B36400" w:rsidRPr="00FC406F">
        <w:rPr>
          <w:rFonts w:asciiTheme="majorHAnsi" w:hAnsiTheme="majorHAnsi"/>
          <w:sz w:val="20"/>
          <w:szCs w:val="20"/>
        </w:rPr>
        <w:t xml:space="preserve"> 2011, </w:t>
      </w:r>
      <w:r w:rsidR="006606D9" w:rsidRPr="00FC406F">
        <w:rPr>
          <w:rFonts w:asciiTheme="majorHAnsi" w:hAnsiTheme="majorHAnsi"/>
          <w:sz w:val="20"/>
          <w:szCs w:val="20"/>
        </w:rPr>
        <w:t>and h</w:t>
      </w:r>
      <w:r w:rsidR="003C665E" w:rsidRPr="00FC406F">
        <w:rPr>
          <w:rFonts w:asciiTheme="majorHAnsi" w:hAnsiTheme="majorHAnsi"/>
          <w:sz w:val="20"/>
          <w:szCs w:val="20"/>
        </w:rPr>
        <w:t>as been holding</w:t>
      </w:r>
      <w:r w:rsidR="006606D9" w:rsidRPr="00FC406F">
        <w:rPr>
          <w:rFonts w:asciiTheme="majorHAnsi" w:hAnsiTheme="majorHAnsi"/>
          <w:sz w:val="20"/>
          <w:szCs w:val="20"/>
        </w:rPr>
        <w:t xml:space="preserve"> the office of President until now.</w:t>
      </w:r>
    </w:p>
    <w:p w14:paraId="29245E1F" w14:textId="77777777" w:rsidR="00B36400" w:rsidRPr="00FC406F" w:rsidRDefault="00B36400" w:rsidP="00B3640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sz w:val="20"/>
          <w:szCs w:val="20"/>
        </w:rPr>
      </w:pPr>
    </w:p>
    <w:p w14:paraId="733B9C8E" w14:textId="77777777" w:rsidR="00B36400" w:rsidRPr="00FC406F" w:rsidRDefault="00BD3C37" w:rsidP="00031C3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rPr>
      </w:pPr>
      <w:r w:rsidRPr="00FC406F">
        <w:rPr>
          <w:rFonts w:asciiTheme="majorHAnsi" w:hAnsiTheme="majorHAnsi"/>
          <w:sz w:val="20"/>
          <w:szCs w:val="20"/>
        </w:rPr>
        <w:t>On October</w:t>
      </w:r>
      <w:r w:rsidR="00B36400" w:rsidRPr="00FC406F">
        <w:rPr>
          <w:rFonts w:asciiTheme="majorHAnsi" w:hAnsiTheme="majorHAnsi"/>
          <w:sz w:val="20"/>
          <w:szCs w:val="20"/>
        </w:rPr>
        <w:t xml:space="preserve"> 15</w:t>
      </w:r>
      <w:r w:rsidRPr="00FC406F">
        <w:rPr>
          <w:rFonts w:asciiTheme="majorHAnsi" w:hAnsiTheme="majorHAnsi"/>
          <w:sz w:val="20"/>
          <w:szCs w:val="20"/>
        </w:rPr>
        <w:t xml:space="preserve">, </w:t>
      </w:r>
      <w:r w:rsidR="00B36400" w:rsidRPr="00FC406F">
        <w:rPr>
          <w:rFonts w:asciiTheme="majorHAnsi" w:hAnsiTheme="majorHAnsi"/>
          <w:sz w:val="20"/>
          <w:szCs w:val="20"/>
        </w:rPr>
        <w:t>2009</w:t>
      </w:r>
      <w:r w:rsidRPr="00FC406F">
        <w:rPr>
          <w:rFonts w:asciiTheme="majorHAnsi" w:hAnsiTheme="majorHAnsi"/>
          <w:sz w:val="20"/>
          <w:szCs w:val="20"/>
        </w:rPr>
        <w:t>, President</w:t>
      </w:r>
      <w:r w:rsidR="00B36400" w:rsidRPr="00FC406F">
        <w:rPr>
          <w:rFonts w:asciiTheme="majorHAnsi" w:hAnsiTheme="majorHAnsi"/>
          <w:sz w:val="20"/>
          <w:szCs w:val="20"/>
        </w:rPr>
        <w:t xml:space="preserve"> Ortega </w:t>
      </w:r>
      <w:r w:rsidRPr="00FC406F">
        <w:rPr>
          <w:rFonts w:asciiTheme="majorHAnsi" w:hAnsiTheme="majorHAnsi"/>
          <w:sz w:val="20"/>
          <w:szCs w:val="20"/>
        </w:rPr>
        <w:t xml:space="preserve">and several other Nicaraguans who held public office as </w:t>
      </w:r>
      <w:r w:rsidR="00D62916" w:rsidRPr="00FC406F">
        <w:rPr>
          <w:rFonts w:asciiTheme="majorHAnsi" w:hAnsiTheme="majorHAnsi"/>
          <w:sz w:val="20"/>
          <w:szCs w:val="20"/>
        </w:rPr>
        <w:t>municipal</w:t>
      </w:r>
      <w:r w:rsidRPr="00FC406F">
        <w:rPr>
          <w:rFonts w:asciiTheme="majorHAnsi" w:hAnsiTheme="majorHAnsi"/>
          <w:sz w:val="20"/>
          <w:szCs w:val="20"/>
        </w:rPr>
        <w:t xml:space="preserve"> mayors expressly requested the Supreme Electoral Council</w:t>
      </w:r>
      <w:r w:rsidR="00B36400" w:rsidRPr="00FC406F">
        <w:rPr>
          <w:rFonts w:asciiTheme="majorHAnsi" w:hAnsiTheme="majorHAnsi"/>
          <w:sz w:val="20"/>
          <w:szCs w:val="20"/>
        </w:rPr>
        <w:t xml:space="preserve"> “</w:t>
      </w:r>
      <w:r w:rsidR="003F3C49" w:rsidRPr="00FC406F">
        <w:rPr>
          <w:rFonts w:asciiTheme="majorHAnsi" w:hAnsiTheme="majorHAnsi"/>
          <w:sz w:val="20"/>
          <w:szCs w:val="20"/>
        </w:rPr>
        <w:t>to apply</w:t>
      </w:r>
      <w:r w:rsidRPr="00FC406F">
        <w:rPr>
          <w:rFonts w:asciiTheme="majorHAnsi" w:hAnsiTheme="majorHAnsi"/>
          <w:sz w:val="20"/>
          <w:szCs w:val="20"/>
        </w:rPr>
        <w:t xml:space="preserve"> the constitutional principles of unconditional equality of all Nicaraguan citizens</w:t>
      </w:r>
      <w:r w:rsidR="003F0F0F" w:rsidRPr="00FC406F">
        <w:rPr>
          <w:rFonts w:asciiTheme="majorHAnsi" w:hAnsiTheme="majorHAnsi"/>
          <w:sz w:val="20"/>
          <w:szCs w:val="20"/>
        </w:rPr>
        <w:t>,</w:t>
      </w:r>
      <w:r w:rsidRPr="00FC406F">
        <w:rPr>
          <w:rFonts w:asciiTheme="majorHAnsi" w:hAnsiTheme="majorHAnsi"/>
          <w:sz w:val="20"/>
          <w:szCs w:val="20"/>
        </w:rPr>
        <w:t xml:space="preserve"> as set forth in the preamble and Articles 27, 47, 48, 50, and</w:t>
      </w:r>
      <w:r w:rsidR="00B36400" w:rsidRPr="00FC406F">
        <w:rPr>
          <w:rFonts w:asciiTheme="majorHAnsi" w:hAnsiTheme="majorHAnsi"/>
          <w:sz w:val="20"/>
          <w:szCs w:val="20"/>
        </w:rPr>
        <w:t xml:space="preserve"> 51 </w:t>
      </w:r>
      <w:r w:rsidRPr="00FC406F">
        <w:rPr>
          <w:rFonts w:asciiTheme="majorHAnsi" w:hAnsiTheme="majorHAnsi"/>
          <w:sz w:val="20"/>
          <w:szCs w:val="20"/>
        </w:rPr>
        <w:lastRenderedPageBreak/>
        <w:t>of the Constitution</w:t>
      </w:r>
      <w:r w:rsidR="003F0F0F" w:rsidRPr="00FC406F">
        <w:rPr>
          <w:rFonts w:asciiTheme="majorHAnsi" w:hAnsiTheme="majorHAnsi"/>
          <w:sz w:val="20"/>
          <w:szCs w:val="20"/>
        </w:rPr>
        <w:t>,</w:t>
      </w:r>
      <w:r w:rsidRPr="00FC406F">
        <w:rPr>
          <w:rFonts w:asciiTheme="majorHAnsi" w:hAnsiTheme="majorHAnsi"/>
          <w:sz w:val="20"/>
          <w:szCs w:val="20"/>
        </w:rPr>
        <w:t xml:space="preserve"> to participate in the nation’s political affairs, without any </w:t>
      </w:r>
      <w:r w:rsidR="003F0F0F" w:rsidRPr="00FC406F">
        <w:rPr>
          <w:rFonts w:asciiTheme="majorHAnsi" w:hAnsiTheme="majorHAnsi"/>
          <w:sz w:val="20"/>
          <w:szCs w:val="20"/>
        </w:rPr>
        <w:t>limitations</w:t>
      </w:r>
      <w:r w:rsidRPr="00FC406F">
        <w:rPr>
          <w:rFonts w:asciiTheme="majorHAnsi" w:hAnsiTheme="majorHAnsi"/>
          <w:sz w:val="20"/>
          <w:szCs w:val="20"/>
        </w:rPr>
        <w:t xml:space="preserve"> other than those</w:t>
      </w:r>
      <w:r w:rsidR="003F0F0F" w:rsidRPr="00FC406F">
        <w:rPr>
          <w:rFonts w:asciiTheme="majorHAnsi" w:hAnsiTheme="majorHAnsi"/>
          <w:sz w:val="20"/>
          <w:szCs w:val="20"/>
        </w:rPr>
        <w:t xml:space="preserve"> stipulated in terms of age and suspension of </w:t>
      </w:r>
      <w:r w:rsidR="00822EA8" w:rsidRPr="00FC406F">
        <w:rPr>
          <w:rFonts w:asciiTheme="majorHAnsi" w:hAnsiTheme="majorHAnsi"/>
          <w:sz w:val="20"/>
          <w:szCs w:val="20"/>
        </w:rPr>
        <w:t>civil</w:t>
      </w:r>
      <w:r w:rsidR="003F0F0F" w:rsidRPr="00FC406F">
        <w:rPr>
          <w:rFonts w:asciiTheme="majorHAnsi" w:hAnsiTheme="majorHAnsi"/>
          <w:sz w:val="20"/>
          <w:szCs w:val="20"/>
        </w:rPr>
        <w:t xml:space="preserve"> rights on the basis of final court judgments; they also</w:t>
      </w:r>
      <w:r w:rsidRPr="00FC406F">
        <w:rPr>
          <w:rFonts w:asciiTheme="majorHAnsi" w:hAnsiTheme="majorHAnsi"/>
          <w:sz w:val="20"/>
          <w:szCs w:val="20"/>
        </w:rPr>
        <w:t xml:space="preserve"> requ</w:t>
      </w:r>
      <w:r w:rsidR="002D7548" w:rsidRPr="00FC406F">
        <w:rPr>
          <w:rFonts w:asciiTheme="majorHAnsi" w:hAnsiTheme="majorHAnsi"/>
          <w:sz w:val="20"/>
          <w:szCs w:val="20"/>
        </w:rPr>
        <w:t>e</w:t>
      </w:r>
      <w:r w:rsidRPr="00FC406F">
        <w:rPr>
          <w:rFonts w:asciiTheme="majorHAnsi" w:hAnsiTheme="majorHAnsi"/>
          <w:sz w:val="20"/>
          <w:szCs w:val="20"/>
        </w:rPr>
        <w:t>sted the NON</w:t>
      </w:r>
      <w:r w:rsidR="003F3C49" w:rsidRPr="00FC406F">
        <w:rPr>
          <w:rFonts w:asciiTheme="majorHAnsi" w:hAnsiTheme="majorHAnsi"/>
          <w:sz w:val="20"/>
          <w:szCs w:val="20"/>
        </w:rPr>
        <w:t>APPLICABILITY</w:t>
      </w:r>
      <w:r w:rsidRPr="00FC406F">
        <w:rPr>
          <w:rFonts w:asciiTheme="majorHAnsi" w:hAnsiTheme="majorHAnsi"/>
          <w:sz w:val="20"/>
          <w:szCs w:val="20"/>
        </w:rPr>
        <w:t xml:space="preserve"> of the electoral ban on </w:t>
      </w:r>
      <w:r w:rsidR="003F0F0F" w:rsidRPr="00FC406F">
        <w:rPr>
          <w:rFonts w:asciiTheme="majorHAnsi" w:hAnsiTheme="majorHAnsi"/>
          <w:sz w:val="20"/>
          <w:szCs w:val="20"/>
        </w:rPr>
        <w:t>running</w:t>
      </w:r>
      <w:r w:rsidRPr="00FC406F">
        <w:rPr>
          <w:rFonts w:asciiTheme="majorHAnsi" w:hAnsiTheme="majorHAnsi"/>
          <w:sz w:val="20"/>
          <w:szCs w:val="20"/>
        </w:rPr>
        <w:t xml:space="preserve"> for the office of President and Vice-President, </w:t>
      </w:r>
      <w:r w:rsidR="003F0F0F" w:rsidRPr="00FC406F">
        <w:rPr>
          <w:rFonts w:asciiTheme="majorHAnsi" w:hAnsiTheme="majorHAnsi"/>
          <w:sz w:val="20"/>
          <w:szCs w:val="20"/>
        </w:rPr>
        <w:t>Municipal</w:t>
      </w:r>
      <w:r w:rsidRPr="00FC406F">
        <w:rPr>
          <w:rFonts w:asciiTheme="majorHAnsi" w:hAnsiTheme="majorHAnsi"/>
          <w:sz w:val="20"/>
          <w:szCs w:val="20"/>
        </w:rPr>
        <w:t xml:space="preserve"> Mayor and Deputy Mayor.</w:t>
      </w:r>
      <w:r w:rsidR="00B36400" w:rsidRPr="00FC406F">
        <w:rPr>
          <w:rFonts w:asciiTheme="majorHAnsi" w:hAnsiTheme="majorHAnsi"/>
          <w:sz w:val="20"/>
          <w:szCs w:val="20"/>
        </w:rPr>
        <w:t>”</w:t>
      </w:r>
      <w:r w:rsidR="00B36400" w:rsidRPr="00FC406F">
        <w:rPr>
          <w:rStyle w:val="FootnoteReference"/>
          <w:rFonts w:asciiTheme="majorHAnsi" w:hAnsiTheme="majorHAnsi"/>
          <w:sz w:val="20"/>
          <w:szCs w:val="20"/>
        </w:rPr>
        <w:footnoteReference w:id="10"/>
      </w:r>
    </w:p>
    <w:p w14:paraId="50F1F6DC" w14:textId="77777777" w:rsidR="006606D9" w:rsidRPr="00FC406F" w:rsidRDefault="006606D9" w:rsidP="006606D9">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sz w:val="20"/>
          <w:szCs w:val="20"/>
        </w:rPr>
      </w:pPr>
    </w:p>
    <w:p w14:paraId="6D9838C0" w14:textId="77777777" w:rsidR="00B36400" w:rsidRPr="00FC406F" w:rsidRDefault="00BD3C37" w:rsidP="00031C3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rPr>
      </w:pPr>
      <w:r w:rsidRPr="00FC406F">
        <w:rPr>
          <w:rFonts w:asciiTheme="majorHAnsi" w:hAnsiTheme="majorHAnsi"/>
          <w:sz w:val="20"/>
          <w:szCs w:val="20"/>
        </w:rPr>
        <w:t xml:space="preserve">On October </w:t>
      </w:r>
      <w:r w:rsidR="00B36400" w:rsidRPr="00FC406F">
        <w:rPr>
          <w:rFonts w:asciiTheme="majorHAnsi" w:hAnsiTheme="majorHAnsi"/>
          <w:sz w:val="20"/>
          <w:szCs w:val="20"/>
        </w:rPr>
        <w:t>16</w:t>
      </w:r>
      <w:r w:rsidRPr="00FC406F">
        <w:rPr>
          <w:rFonts w:asciiTheme="majorHAnsi" w:hAnsiTheme="majorHAnsi"/>
          <w:sz w:val="20"/>
          <w:szCs w:val="20"/>
        </w:rPr>
        <w:t>,</w:t>
      </w:r>
      <w:r w:rsidR="00B36400" w:rsidRPr="00FC406F">
        <w:rPr>
          <w:rFonts w:asciiTheme="majorHAnsi" w:hAnsiTheme="majorHAnsi"/>
          <w:sz w:val="20"/>
          <w:szCs w:val="20"/>
        </w:rPr>
        <w:t xml:space="preserve"> 2009</w:t>
      </w:r>
      <w:r w:rsidRPr="00FC406F">
        <w:rPr>
          <w:rFonts w:asciiTheme="majorHAnsi" w:hAnsiTheme="majorHAnsi"/>
          <w:sz w:val="20"/>
          <w:szCs w:val="20"/>
        </w:rPr>
        <w:t>, the Supreme Electoral Council dismissed this petition, on the basis of the following terms</w:t>
      </w:r>
      <w:r w:rsidR="00B36400" w:rsidRPr="00FC406F">
        <w:rPr>
          <w:rFonts w:asciiTheme="majorHAnsi" w:hAnsiTheme="majorHAnsi"/>
          <w:sz w:val="20"/>
          <w:szCs w:val="20"/>
        </w:rPr>
        <w:t>:</w:t>
      </w:r>
    </w:p>
    <w:p w14:paraId="03C60DFF" w14:textId="77777777" w:rsidR="00B36400" w:rsidRPr="00FC406F" w:rsidRDefault="00B36400" w:rsidP="00B3640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sz w:val="20"/>
          <w:szCs w:val="20"/>
        </w:rPr>
      </w:pPr>
    </w:p>
    <w:p w14:paraId="6013A702" w14:textId="77777777" w:rsidR="00B36400" w:rsidRPr="00FC406F" w:rsidRDefault="00BD3C37" w:rsidP="00B3640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Theme="majorHAnsi" w:hAnsiTheme="majorHAnsi"/>
          <w:sz w:val="18"/>
          <w:szCs w:val="18"/>
        </w:rPr>
      </w:pPr>
      <w:r w:rsidRPr="00FC406F">
        <w:rPr>
          <w:rFonts w:asciiTheme="majorHAnsi" w:hAnsiTheme="majorHAnsi"/>
          <w:sz w:val="18"/>
          <w:szCs w:val="18"/>
        </w:rPr>
        <w:t>The Supreme Electoral Council has the following duties</w:t>
      </w:r>
      <w:r w:rsidR="00B36400" w:rsidRPr="00FC406F">
        <w:rPr>
          <w:rFonts w:asciiTheme="majorHAnsi" w:hAnsiTheme="majorHAnsi"/>
          <w:sz w:val="18"/>
          <w:szCs w:val="18"/>
        </w:rPr>
        <w:t>: 1. Organiz</w:t>
      </w:r>
      <w:r w:rsidRPr="00FC406F">
        <w:rPr>
          <w:rFonts w:asciiTheme="majorHAnsi" w:hAnsiTheme="majorHAnsi"/>
          <w:sz w:val="18"/>
          <w:szCs w:val="18"/>
        </w:rPr>
        <w:t xml:space="preserve">e and </w:t>
      </w:r>
      <w:r w:rsidR="00822EA8" w:rsidRPr="00FC406F">
        <w:rPr>
          <w:rFonts w:asciiTheme="majorHAnsi" w:hAnsiTheme="majorHAnsi"/>
          <w:sz w:val="18"/>
          <w:szCs w:val="18"/>
        </w:rPr>
        <w:t>conduct</w:t>
      </w:r>
      <w:r w:rsidRPr="00FC406F">
        <w:rPr>
          <w:rFonts w:asciiTheme="majorHAnsi" w:hAnsiTheme="majorHAnsi"/>
          <w:sz w:val="18"/>
          <w:szCs w:val="18"/>
        </w:rPr>
        <w:t xml:space="preserve"> elections, plebiscites, and </w:t>
      </w:r>
      <w:r w:rsidR="00E93E6B" w:rsidRPr="00FC406F">
        <w:rPr>
          <w:rFonts w:asciiTheme="majorHAnsi" w:hAnsiTheme="majorHAnsi"/>
          <w:sz w:val="18"/>
          <w:szCs w:val="18"/>
        </w:rPr>
        <w:t>refere</w:t>
      </w:r>
      <w:r w:rsidRPr="00FC406F">
        <w:rPr>
          <w:rFonts w:asciiTheme="majorHAnsi" w:hAnsiTheme="majorHAnsi"/>
          <w:sz w:val="18"/>
          <w:szCs w:val="18"/>
        </w:rPr>
        <w:t>ndums that are called in accordance with the provisions of the Constitution and law</w:t>
      </w:r>
      <w:r w:rsidR="00B36400" w:rsidRPr="00FC406F">
        <w:rPr>
          <w:rFonts w:asciiTheme="majorHAnsi" w:hAnsiTheme="majorHAnsi"/>
          <w:sz w:val="18"/>
          <w:szCs w:val="18"/>
        </w:rPr>
        <w:t xml:space="preserve">; … 4. </w:t>
      </w:r>
      <w:r w:rsidR="003F3C49" w:rsidRPr="00FC406F">
        <w:rPr>
          <w:rFonts w:asciiTheme="majorHAnsi" w:hAnsiTheme="majorHAnsi"/>
          <w:sz w:val="18"/>
          <w:szCs w:val="18"/>
        </w:rPr>
        <w:t xml:space="preserve">Apply </w:t>
      </w:r>
      <w:r w:rsidRPr="00FC406F">
        <w:rPr>
          <w:rFonts w:asciiTheme="majorHAnsi" w:hAnsiTheme="majorHAnsi"/>
          <w:sz w:val="18"/>
          <w:szCs w:val="18"/>
        </w:rPr>
        <w:t>constitutional and legal provisions referring to electoral processes</w:t>
      </w:r>
      <w:r w:rsidR="00B36400" w:rsidRPr="00FC406F">
        <w:rPr>
          <w:rFonts w:asciiTheme="majorHAnsi" w:hAnsiTheme="majorHAnsi"/>
          <w:sz w:val="18"/>
          <w:szCs w:val="18"/>
        </w:rPr>
        <w:t xml:space="preserve">. </w:t>
      </w:r>
      <w:r w:rsidRPr="00FC406F">
        <w:rPr>
          <w:rFonts w:asciiTheme="majorHAnsi" w:hAnsiTheme="majorHAnsi"/>
          <w:sz w:val="18"/>
          <w:szCs w:val="18"/>
        </w:rPr>
        <w:t xml:space="preserve">Also </w:t>
      </w:r>
      <w:r w:rsidR="003F0F0F" w:rsidRPr="00FC406F">
        <w:rPr>
          <w:rFonts w:asciiTheme="majorHAnsi" w:hAnsiTheme="majorHAnsi"/>
          <w:sz w:val="18"/>
          <w:szCs w:val="18"/>
        </w:rPr>
        <w:t>monitor</w:t>
      </w:r>
      <w:r w:rsidRPr="00FC406F">
        <w:rPr>
          <w:rFonts w:asciiTheme="majorHAnsi" w:hAnsiTheme="majorHAnsi"/>
          <w:sz w:val="18"/>
          <w:szCs w:val="18"/>
        </w:rPr>
        <w:t xml:space="preserve"> observance of said provisions by candidates participating in general and municipal elections</w:t>
      </w:r>
      <w:r w:rsidR="00B36400" w:rsidRPr="00FC406F">
        <w:rPr>
          <w:rFonts w:asciiTheme="majorHAnsi" w:hAnsiTheme="majorHAnsi"/>
          <w:sz w:val="18"/>
          <w:szCs w:val="18"/>
        </w:rPr>
        <w:t>. 14.</w:t>
      </w:r>
      <w:r w:rsidRPr="00FC406F">
        <w:rPr>
          <w:rFonts w:asciiTheme="majorHAnsi" w:hAnsiTheme="majorHAnsi"/>
          <w:sz w:val="18"/>
          <w:szCs w:val="18"/>
        </w:rPr>
        <w:t xml:space="preserve"> All others </w:t>
      </w:r>
      <w:r w:rsidR="0020524A" w:rsidRPr="00FC406F">
        <w:rPr>
          <w:rFonts w:asciiTheme="majorHAnsi" w:hAnsiTheme="majorHAnsi"/>
          <w:sz w:val="18"/>
          <w:szCs w:val="18"/>
        </w:rPr>
        <w:t>given to it by the Constitution and law</w:t>
      </w:r>
      <w:r w:rsidR="00B36400" w:rsidRPr="00FC406F">
        <w:rPr>
          <w:rFonts w:asciiTheme="majorHAnsi" w:hAnsiTheme="majorHAnsi"/>
          <w:sz w:val="18"/>
          <w:szCs w:val="18"/>
        </w:rPr>
        <w:t xml:space="preserve">. </w:t>
      </w:r>
      <w:r w:rsidR="0020524A" w:rsidRPr="00FC406F">
        <w:rPr>
          <w:rFonts w:asciiTheme="majorHAnsi" w:hAnsiTheme="majorHAnsi"/>
          <w:sz w:val="18"/>
          <w:szCs w:val="18"/>
        </w:rPr>
        <w:t xml:space="preserve">So that, although there might have been a possible constitutional contradiction between the constitutional principle of unconditional equality </w:t>
      </w:r>
      <w:r w:rsidR="003F0F0F" w:rsidRPr="00FC406F">
        <w:rPr>
          <w:rFonts w:asciiTheme="majorHAnsi" w:hAnsiTheme="majorHAnsi"/>
          <w:sz w:val="18"/>
          <w:szCs w:val="18"/>
        </w:rPr>
        <w:t xml:space="preserve">as set forth </w:t>
      </w:r>
      <w:r w:rsidR="0020524A" w:rsidRPr="00FC406F">
        <w:rPr>
          <w:rFonts w:asciiTheme="majorHAnsi" w:hAnsiTheme="majorHAnsi"/>
          <w:sz w:val="18"/>
          <w:szCs w:val="18"/>
        </w:rPr>
        <w:t xml:space="preserve">in Articles 27, 48, 50, and 51 of the Constitution and the principle of the constitutional reelection ban </w:t>
      </w:r>
      <w:r w:rsidR="00623E59" w:rsidRPr="00FC406F">
        <w:rPr>
          <w:rFonts w:asciiTheme="majorHAnsi" w:hAnsiTheme="majorHAnsi"/>
          <w:sz w:val="18"/>
          <w:szCs w:val="18"/>
        </w:rPr>
        <w:t>preventing</w:t>
      </w:r>
      <w:r w:rsidR="0020524A" w:rsidRPr="00FC406F">
        <w:rPr>
          <w:rFonts w:asciiTheme="majorHAnsi" w:hAnsiTheme="majorHAnsi"/>
          <w:sz w:val="18"/>
          <w:szCs w:val="18"/>
        </w:rPr>
        <w:t xml:space="preserve"> </w:t>
      </w:r>
      <w:r w:rsidR="00623E59" w:rsidRPr="00FC406F">
        <w:rPr>
          <w:rFonts w:asciiTheme="majorHAnsi" w:hAnsiTheme="majorHAnsi"/>
          <w:sz w:val="18"/>
          <w:szCs w:val="18"/>
        </w:rPr>
        <w:t>the</w:t>
      </w:r>
      <w:r w:rsidR="003F0F0F" w:rsidRPr="00FC406F">
        <w:rPr>
          <w:rFonts w:asciiTheme="majorHAnsi" w:hAnsiTheme="majorHAnsi"/>
          <w:sz w:val="18"/>
          <w:szCs w:val="18"/>
        </w:rPr>
        <w:t xml:space="preserve"> </w:t>
      </w:r>
      <w:r w:rsidR="0020524A" w:rsidRPr="00FC406F">
        <w:rPr>
          <w:rFonts w:asciiTheme="majorHAnsi" w:hAnsiTheme="majorHAnsi"/>
          <w:sz w:val="18"/>
          <w:szCs w:val="18"/>
        </w:rPr>
        <w:t xml:space="preserve">President and Vice-President of the Republic, Municipal Mayors and Deputy Mayors </w:t>
      </w:r>
      <w:r w:rsidR="00623E59" w:rsidRPr="00FC406F">
        <w:rPr>
          <w:rFonts w:asciiTheme="majorHAnsi" w:hAnsiTheme="majorHAnsi"/>
          <w:sz w:val="18"/>
          <w:szCs w:val="18"/>
        </w:rPr>
        <w:t xml:space="preserve">from </w:t>
      </w:r>
      <w:r w:rsidR="0020524A" w:rsidRPr="00FC406F">
        <w:rPr>
          <w:rFonts w:asciiTheme="majorHAnsi" w:hAnsiTheme="majorHAnsi"/>
          <w:sz w:val="18"/>
          <w:szCs w:val="18"/>
        </w:rPr>
        <w:t>participating consecutively</w:t>
      </w:r>
      <w:r w:rsidR="00623E59" w:rsidRPr="00FC406F">
        <w:rPr>
          <w:rFonts w:asciiTheme="majorHAnsi" w:hAnsiTheme="majorHAnsi"/>
          <w:sz w:val="18"/>
          <w:szCs w:val="18"/>
        </w:rPr>
        <w:t xml:space="preserve"> as candidates</w:t>
      </w:r>
      <w:r w:rsidR="0020524A" w:rsidRPr="00FC406F">
        <w:rPr>
          <w:rFonts w:asciiTheme="majorHAnsi" w:hAnsiTheme="majorHAnsi"/>
          <w:sz w:val="18"/>
          <w:szCs w:val="18"/>
        </w:rPr>
        <w:t xml:space="preserve"> in electoral processes to be held in the elections of November 2011 and 2012, IT DOES NOT PERTAIN TO THE PRESENT SUPREME ELECTORAL COUNCIL TO RESOLVE SAID CONTRADICTION.</w:t>
      </w:r>
      <w:r w:rsidR="00B36400" w:rsidRPr="00FC406F">
        <w:rPr>
          <w:rFonts w:asciiTheme="majorHAnsi" w:hAnsiTheme="majorHAnsi"/>
          <w:sz w:val="18"/>
          <w:szCs w:val="18"/>
        </w:rPr>
        <w:t>”</w:t>
      </w:r>
      <w:r w:rsidR="00B36400" w:rsidRPr="00FC406F">
        <w:rPr>
          <w:rStyle w:val="FootnoteReference"/>
          <w:rFonts w:asciiTheme="majorHAnsi" w:hAnsiTheme="majorHAnsi"/>
          <w:sz w:val="20"/>
          <w:szCs w:val="20"/>
        </w:rPr>
        <w:footnoteReference w:id="11"/>
      </w:r>
    </w:p>
    <w:p w14:paraId="6CFADA7B" w14:textId="77777777" w:rsidR="00B36400" w:rsidRPr="00FC406F" w:rsidRDefault="00B36400" w:rsidP="00B36400">
      <w:pPr>
        <w:pStyle w:val="ListParagraph"/>
      </w:pPr>
    </w:p>
    <w:p w14:paraId="6E9C89F5" w14:textId="77777777" w:rsidR="00B36400" w:rsidRPr="00FC406F" w:rsidRDefault="0020524A" w:rsidP="00031C3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rPr>
      </w:pPr>
      <w:r w:rsidRPr="00FC406F">
        <w:rPr>
          <w:rFonts w:asciiTheme="majorHAnsi" w:hAnsiTheme="majorHAnsi"/>
          <w:sz w:val="20"/>
          <w:szCs w:val="20"/>
        </w:rPr>
        <w:t>By virtue of the above, President Ortega and other</w:t>
      </w:r>
      <w:r w:rsidR="00B36400" w:rsidRPr="00FC406F">
        <w:rPr>
          <w:rFonts w:asciiTheme="majorHAnsi" w:hAnsiTheme="majorHAnsi"/>
          <w:sz w:val="20"/>
          <w:szCs w:val="20"/>
        </w:rPr>
        <w:t xml:space="preserve"> </w:t>
      </w:r>
      <w:r w:rsidR="00E93E6B" w:rsidRPr="00FC406F">
        <w:rPr>
          <w:rFonts w:asciiTheme="majorHAnsi" w:hAnsiTheme="majorHAnsi"/>
          <w:sz w:val="20"/>
          <w:szCs w:val="20"/>
        </w:rPr>
        <w:t>persons filed an appeal for protection on constitutional grounds (</w:t>
      </w:r>
      <w:r w:rsidR="00E93E6B" w:rsidRPr="00FC406F">
        <w:rPr>
          <w:rFonts w:asciiTheme="majorHAnsi" w:hAnsiTheme="majorHAnsi"/>
          <w:i/>
          <w:sz w:val="20"/>
          <w:szCs w:val="20"/>
        </w:rPr>
        <w:t>amparo</w:t>
      </w:r>
      <w:r w:rsidR="00E93E6B" w:rsidRPr="00FC406F">
        <w:rPr>
          <w:rFonts w:asciiTheme="majorHAnsi" w:hAnsiTheme="majorHAnsi"/>
          <w:sz w:val="20"/>
          <w:szCs w:val="20"/>
        </w:rPr>
        <w:t xml:space="preserve">) with the Constitutional Chamber of the Supreme Court of Justice of Nicaragua, arguing that said ruling constitutes a “true and absolute political ban, as it prevents them from participating actively in future national and municipal elections. That said administrative ruling breaches, </w:t>
      </w:r>
      <w:r w:rsidR="001859D2" w:rsidRPr="00FC406F">
        <w:rPr>
          <w:rFonts w:asciiTheme="majorHAnsi" w:hAnsiTheme="majorHAnsi"/>
          <w:sz w:val="20"/>
          <w:szCs w:val="20"/>
        </w:rPr>
        <w:t>harms, and undermines the fundamental and supreme principles underpinn</w:t>
      </w:r>
      <w:r w:rsidR="00623E59" w:rsidRPr="00FC406F">
        <w:rPr>
          <w:rFonts w:asciiTheme="majorHAnsi" w:hAnsiTheme="majorHAnsi"/>
          <w:sz w:val="20"/>
          <w:szCs w:val="20"/>
        </w:rPr>
        <w:t>ing</w:t>
      </w:r>
      <w:r w:rsidR="001859D2" w:rsidRPr="00FC406F">
        <w:rPr>
          <w:rFonts w:asciiTheme="majorHAnsi" w:hAnsiTheme="majorHAnsi"/>
          <w:sz w:val="20"/>
          <w:szCs w:val="20"/>
        </w:rPr>
        <w:t xml:space="preserve"> the Political Constitution itself.</w:t>
      </w:r>
      <w:r w:rsidR="00B36400" w:rsidRPr="00FC406F">
        <w:rPr>
          <w:rFonts w:asciiTheme="majorHAnsi" w:hAnsiTheme="majorHAnsi"/>
          <w:sz w:val="20"/>
          <w:szCs w:val="20"/>
        </w:rPr>
        <w:t>”</w:t>
      </w:r>
      <w:r w:rsidR="00B36400" w:rsidRPr="00FC406F">
        <w:rPr>
          <w:rStyle w:val="FootnoteReference"/>
          <w:rFonts w:asciiTheme="majorHAnsi" w:hAnsiTheme="majorHAnsi"/>
          <w:sz w:val="20"/>
          <w:szCs w:val="20"/>
        </w:rPr>
        <w:footnoteReference w:id="12"/>
      </w:r>
    </w:p>
    <w:p w14:paraId="06655DCA" w14:textId="77777777" w:rsidR="00B36400" w:rsidRPr="00FC406F" w:rsidRDefault="00B36400" w:rsidP="00B3640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sz w:val="20"/>
          <w:szCs w:val="20"/>
        </w:rPr>
      </w:pPr>
    </w:p>
    <w:p w14:paraId="79CBC381" w14:textId="77777777" w:rsidR="00B36400" w:rsidRPr="00FC406F" w:rsidRDefault="001859D2" w:rsidP="00031C3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rPr>
      </w:pPr>
      <w:r w:rsidRPr="00FC406F">
        <w:rPr>
          <w:rFonts w:asciiTheme="majorHAnsi" w:hAnsiTheme="majorHAnsi"/>
          <w:sz w:val="20"/>
          <w:szCs w:val="20"/>
        </w:rPr>
        <w:t>On October</w:t>
      </w:r>
      <w:r w:rsidR="00B36400" w:rsidRPr="00FC406F">
        <w:rPr>
          <w:rFonts w:asciiTheme="majorHAnsi" w:hAnsiTheme="majorHAnsi"/>
          <w:sz w:val="20"/>
          <w:szCs w:val="20"/>
        </w:rPr>
        <w:t xml:space="preserve"> 19</w:t>
      </w:r>
      <w:r w:rsidRPr="00FC406F">
        <w:rPr>
          <w:rFonts w:asciiTheme="majorHAnsi" w:hAnsiTheme="majorHAnsi"/>
          <w:sz w:val="20"/>
          <w:szCs w:val="20"/>
        </w:rPr>
        <w:t>,</w:t>
      </w:r>
      <w:r w:rsidR="00B36400" w:rsidRPr="00FC406F">
        <w:rPr>
          <w:rFonts w:asciiTheme="majorHAnsi" w:hAnsiTheme="majorHAnsi"/>
          <w:sz w:val="20"/>
          <w:szCs w:val="20"/>
        </w:rPr>
        <w:t xml:space="preserve"> 2009, </w:t>
      </w:r>
      <w:r w:rsidRPr="00FC406F">
        <w:rPr>
          <w:rFonts w:asciiTheme="majorHAnsi" w:hAnsiTheme="majorHAnsi"/>
          <w:sz w:val="20"/>
          <w:szCs w:val="20"/>
        </w:rPr>
        <w:t xml:space="preserve">the above-mentioned Chamber issued judgment No. 504 whereby it ruled that the appeal was admissible and judged that Article 147 of the Constitutional was </w:t>
      </w:r>
      <w:r w:rsidR="003F3C49" w:rsidRPr="00FC406F">
        <w:rPr>
          <w:rFonts w:asciiTheme="majorHAnsi" w:hAnsiTheme="majorHAnsi"/>
          <w:sz w:val="20"/>
          <w:szCs w:val="20"/>
        </w:rPr>
        <w:t>nonapplicable</w:t>
      </w:r>
      <w:r w:rsidRPr="00FC406F">
        <w:rPr>
          <w:rFonts w:asciiTheme="majorHAnsi" w:hAnsiTheme="majorHAnsi"/>
          <w:sz w:val="20"/>
          <w:szCs w:val="20"/>
        </w:rPr>
        <w:t>. The Chamber</w:t>
      </w:r>
      <w:r w:rsidR="00B36400" w:rsidRPr="00FC406F">
        <w:rPr>
          <w:rFonts w:asciiTheme="majorHAnsi" w:hAnsiTheme="majorHAnsi"/>
          <w:sz w:val="20"/>
          <w:szCs w:val="20"/>
        </w:rPr>
        <w:t xml:space="preserve"> </w:t>
      </w:r>
      <w:r w:rsidRPr="00FC406F">
        <w:rPr>
          <w:rFonts w:asciiTheme="majorHAnsi" w:hAnsiTheme="majorHAnsi"/>
          <w:sz w:val="20"/>
          <w:szCs w:val="20"/>
        </w:rPr>
        <w:t>reasoned that</w:t>
      </w:r>
      <w:r w:rsidR="00B36400" w:rsidRPr="00FC406F">
        <w:rPr>
          <w:rFonts w:asciiTheme="majorHAnsi" w:hAnsiTheme="majorHAnsi"/>
          <w:sz w:val="20"/>
          <w:szCs w:val="20"/>
        </w:rPr>
        <w:t>:</w:t>
      </w:r>
    </w:p>
    <w:p w14:paraId="191823C0" w14:textId="77777777" w:rsidR="00B36400" w:rsidRPr="00FC406F" w:rsidRDefault="00B36400" w:rsidP="00B3640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right="360"/>
        <w:jc w:val="both"/>
        <w:rPr>
          <w:rFonts w:asciiTheme="majorHAnsi" w:hAnsiTheme="majorHAnsi"/>
          <w:sz w:val="18"/>
          <w:szCs w:val="18"/>
        </w:rPr>
      </w:pPr>
    </w:p>
    <w:p w14:paraId="4E204834" w14:textId="77777777" w:rsidR="00B36400" w:rsidRPr="00FC406F" w:rsidRDefault="001859D2" w:rsidP="00B3640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Theme="majorHAnsi" w:hAnsiTheme="majorHAnsi"/>
          <w:sz w:val="18"/>
          <w:szCs w:val="18"/>
        </w:rPr>
      </w:pPr>
      <w:r w:rsidRPr="00FC406F">
        <w:rPr>
          <w:rFonts w:asciiTheme="majorHAnsi" w:hAnsiTheme="majorHAnsi"/>
          <w:sz w:val="18"/>
          <w:szCs w:val="18"/>
        </w:rPr>
        <w:t xml:space="preserve">According to the Political Constitution, namely Article 173 </w:t>
      </w:r>
      <w:r w:rsidRPr="00FC406F">
        <w:rPr>
          <w:rFonts w:asciiTheme="majorHAnsi" w:hAnsiTheme="majorHAnsi"/>
          <w:i/>
          <w:sz w:val="18"/>
          <w:szCs w:val="18"/>
        </w:rPr>
        <w:t>in fine</w:t>
      </w:r>
      <w:r w:rsidRPr="00FC406F">
        <w:rPr>
          <w:rFonts w:asciiTheme="majorHAnsi" w:hAnsiTheme="majorHAnsi"/>
          <w:sz w:val="18"/>
          <w:szCs w:val="18"/>
        </w:rPr>
        <w:t xml:space="preserve"> and Article 1(a)</w:t>
      </w:r>
      <w:r w:rsidR="00623E59" w:rsidRPr="00FC406F">
        <w:rPr>
          <w:rFonts w:asciiTheme="majorHAnsi" w:hAnsiTheme="majorHAnsi"/>
          <w:sz w:val="18"/>
          <w:szCs w:val="18"/>
        </w:rPr>
        <w:t xml:space="preserve"> </w:t>
      </w:r>
      <w:r w:rsidR="00623E59" w:rsidRPr="00FC406F">
        <w:rPr>
          <w:rFonts w:asciiTheme="majorHAnsi" w:hAnsiTheme="majorHAnsi"/>
          <w:i/>
          <w:sz w:val="18"/>
          <w:szCs w:val="18"/>
        </w:rPr>
        <w:t>in fine</w:t>
      </w:r>
      <w:r w:rsidRPr="00FC406F">
        <w:rPr>
          <w:rFonts w:asciiTheme="majorHAnsi" w:hAnsiTheme="majorHAnsi"/>
          <w:sz w:val="18"/>
          <w:szCs w:val="18"/>
        </w:rPr>
        <w:t xml:space="preserve">, </w:t>
      </w:r>
      <w:r w:rsidR="00623E59" w:rsidRPr="00FC406F">
        <w:rPr>
          <w:rFonts w:asciiTheme="majorHAnsi" w:hAnsiTheme="majorHAnsi"/>
          <w:sz w:val="18"/>
          <w:szCs w:val="18"/>
        </w:rPr>
        <w:t>there can be</w:t>
      </w:r>
      <w:r w:rsidRPr="00FC406F">
        <w:rPr>
          <w:rFonts w:asciiTheme="majorHAnsi" w:hAnsiTheme="majorHAnsi"/>
          <w:sz w:val="18"/>
          <w:szCs w:val="18"/>
        </w:rPr>
        <w:t xml:space="preserve"> no remedy, either ordinary or extraordinary,</w:t>
      </w:r>
      <w:r w:rsidR="00623E59" w:rsidRPr="00FC406F">
        <w:rPr>
          <w:rFonts w:asciiTheme="majorHAnsi" w:hAnsiTheme="majorHAnsi"/>
          <w:sz w:val="18"/>
          <w:szCs w:val="18"/>
        </w:rPr>
        <w:t xml:space="preserve"> brought against the rulings issued by the Supreme Electoral Council in this matter,</w:t>
      </w:r>
      <w:r w:rsidRPr="00FC406F">
        <w:rPr>
          <w:rFonts w:asciiTheme="majorHAnsi" w:hAnsiTheme="majorHAnsi"/>
          <w:sz w:val="18"/>
          <w:szCs w:val="18"/>
        </w:rPr>
        <w:t xml:space="preserve"> because </w:t>
      </w:r>
      <w:r w:rsidR="00623E59" w:rsidRPr="00FC406F">
        <w:rPr>
          <w:rFonts w:asciiTheme="majorHAnsi" w:hAnsiTheme="majorHAnsi"/>
          <w:sz w:val="18"/>
          <w:szCs w:val="18"/>
        </w:rPr>
        <w:t>it is the highest court governing</w:t>
      </w:r>
      <w:r w:rsidRPr="00FC406F">
        <w:rPr>
          <w:rFonts w:asciiTheme="majorHAnsi" w:hAnsiTheme="majorHAnsi"/>
          <w:sz w:val="18"/>
          <w:szCs w:val="18"/>
        </w:rPr>
        <w:t xml:space="preserve"> elections in the country and because of that it has exclusive competence in electoral matters (Judgments</w:t>
      </w:r>
      <w:r w:rsidR="00B36400" w:rsidRPr="00FC406F">
        <w:rPr>
          <w:rFonts w:asciiTheme="majorHAnsi" w:hAnsiTheme="majorHAnsi"/>
          <w:sz w:val="18"/>
          <w:szCs w:val="18"/>
        </w:rPr>
        <w:t xml:space="preserve"> No. 1-1997</w:t>
      </w:r>
      <w:r w:rsidRPr="00FC406F">
        <w:rPr>
          <w:rFonts w:asciiTheme="majorHAnsi" w:hAnsiTheme="majorHAnsi"/>
          <w:sz w:val="18"/>
          <w:szCs w:val="18"/>
        </w:rPr>
        <w:t>,</w:t>
      </w:r>
      <w:r w:rsidR="00B36400" w:rsidRPr="00FC406F">
        <w:rPr>
          <w:rFonts w:asciiTheme="majorHAnsi" w:hAnsiTheme="majorHAnsi"/>
          <w:sz w:val="18"/>
          <w:szCs w:val="18"/>
        </w:rPr>
        <w:t xml:space="preserve"> 133-1999</w:t>
      </w:r>
      <w:r w:rsidRPr="00FC406F">
        <w:rPr>
          <w:rFonts w:asciiTheme="majorHAnsi" w:hAnsiTheme="majorHAnsi"/>
          <w:sz w:val="18"/>
          <w:szCs w:val="18"/>
        </w:rPr>
        <w:t xml:space="preserve">, and 151-1999 of the Constitutional Chamber), although this is not the case in administrative matters where </w:t>
      </w:r>
      <w:r w:rsidR="008019D5" w:rsidRPr="00FC406F">
        <w:rPr>
          <w:rFonts w:asciiTheme="majorHAnsi" w:hAnsiTheme="majorHAnsi"/>
          <w:sz w:val="18"/>
          <w:szCs w:val="18"/>
        </w:rPr>
        <w:t>said rulings are liable to jurisdictional monitoring</w:t>
      </w:r>
      <w:r w:rsidR="00B36400" w:rsidRPr="00FC406F">
        <w:rPr>
          <w:rFonts w:asciiTheme="majorHAnsi" w:hAnsiTheme="majorHAnsi"/>
          <w:sz w:val="18"/>
          <w:szCs w:val="18"/>
        </w:rPr>
        <w:t xml:space="preserve"> (</w:t>
      </w:r>
      <w:r w:rsidR="00623E59" w:rsidRPr="00FC406F">
        <w:rPr>
          <w:rFonts w:asciiTheme="majorHAnsi" w:hAnsiTheme="majorHAnsi"/>
          <w:sz w:val="18"/>
          <w:szCs w:val="18"/>
        </w:rPr>
        <w:t>s</w:t>
      </w:r>
      <w:r w:rsidR="008019D5" w:rsidRPr="00FC406F">
        <w:rPr>
          <w:rFonts w:asciiTheme="majorHAnsi" w:hAnsiTheme="majorHAnsi"/>
          <w:sz w:val="18"/>
          <w:szCs w:val="18"/>
        </w:rPr>
        <w:t>ee judgment of the Supreme Court of Justice</w:t>
      </w:r>
      <w:r w:rsidR="00B36400" w:rsidRPr="00FC406F">
        <w:rPr>
          <w:rFonts w:asciiTheme="majorHAnsi" w:hAnsiTheme="majorHAnsi"/>
          <w:sz w:val="18"/>
          <w:szCs w:val="18"/>
        </w:rPr>
        <w:t xml:space="preserve"> No. 29-2007, </w:t>
      </w:r>
      <w:r w:rsidR="008019D5" w:rsidRPr="00FC406F">
        <w:rPr>
          <w:rFonts w:asciiTheme="majorHAnsi" w:hAnsiTheme="majorHAnsi"/>
          <w:sz w:val="18"/>
          <w:szCs w:val="18"/>
        </w:rPr>
        <w:t>at</w:t>
      </w:r>
      <w:r w:rsidR="00B36400" w:rsidRPr="00FC406F">
        <w:rPr>
          <w:rFonts w:asciiTheme="majorHAnsi" w:hAnsiTheme="majorHAnsi"/>
          <w:sz w:val="18"/>
          <w:szCs w:val="18"/>
        </w:rPr>
        <w:t xml:space="preserve"> 4:50 p.m., </w:t>
      </w:r>
      <w:r w:rsidR="008019D5" w:rsidRPr="00FC406F">
        <w:rPr>
          <w:rFonts w:asciiTheme="majorHAnsi" w:hAnsiTheme="majorHAnsi"/>
          <w:sz w:val="18"/>
          <w:szCs w:val="18"/>
        </w:rPr>
        <w:t>of August</w:t>
      </w:r>
      <w:r w:rsidR="00B36400" w:rsidRPr="00FC406F">
        <w:rPr>
          <w:rFonts w:asciiTheme="majorHAnsi" w:hAnsiTheme="majorHAnsi"/>
          <w:sz w:val="18"/>
          <w:szCs w:val="18"/>
        </w:rPr>
        <w:t xml:space="preserve"> 13</w:t>
      </w:r>
      <w:r w:rsidR="008019D5" w:rsidRPr="00FC406F">
        <w:rPr>
          <w:rFonts w:asciiTheme="majorHAnsi" w:hAnsiTheme="majorHAnsi"/>
          <w:sz w:val="18"/>
          <w:szCs w:val="18"/>
        </w:rPr>
        <w:t>,</w:t>
      </w:r>
      <w:r w:rsidR="00B36400" w:rsidRPr="00FC406F">
        <w:rPr>
          <w:rFonts w:asciiTheme="majorHAnsi" w:hAnsiTheme="majorHAnsi"/>
          <w:sz w:val="18"/>
          <w:szCs w:val="18"/>
        </w:rPr>
        <w:t xml:space="preserve"> 2007, Cons. </w:t>
      </w:r>
      <w:r w:rsidR="008F5650" w:rsidRPr="00FC406F">
        <w:rPr>
          <w:rFonts w:asciiTheme="majorHAnsi" w:hAnsiTheme="majorHAnsi"/>
          <w:sz w:val="18"/>
          <w:szCs w:val="18"/>
        </w:rPr>
        <w:t>III, “unnamed</w:t>
      </w:r>
      <w:r w:rsidR="008019D5" w:rsidRPr="00FC406F">
        <w:rPr>
          <w:rFonts w:asciiTheme="majorHAnsi" w:hAnsiTheme="majorHAnsi"/>
          <w:sz w:val="18"/>
          <w:szCs w:val="18"/>
        </w:rPr>
        <w:t>” appeal on the conflict of competence filed by the engineer René Núñez Téllez, Speaker of the National Assembly</w:t>
      </w:r>
      <w:r w:rsidR="00623E59" w:rsidRPr="00FC406F">
        <w:rPr>
          <w:rFonts w:asciiTheme="majorHAnsi" w:hAnsiTheme="majorHAnsi"/>
          <w:sz w:val="18"/>
          <w:szCs w:val="18"/>
        </w:rPr>
        <w:t xml:space="preserve"> v.</w:t>
      </w:r>
      <w:r w:rsidR="008019D5" w:rsidRPr="00FC406F">
        <w:rPr>
          <w:rFonts w:asciiTheme="majorHAnsi" w:hAnsiTheme="majorHAnsi"/>
          <w:sz w:val="18"/>
          <w:szCs w:val="18"/>
        </w:rPr>
        <w:t xml:space="preserve"> Supreme Electoral Council).</w:t>
      </w:r>
    </w:p>
    <w:p w14:paraId="477EC95C" w14:textId="77777777" w:rsidR="00B36400" w:rsidRPr="00FC406F" w:rsidRDefault="00B36400" w:rsidP="00B36400">
      <w:pPr>
        <w:pStyle w:val="parrafos"/>
        <w:ind w:left="360" w:right="360" w:firstLine="0"/>
        <w:rPr>
          <w:sz w:val="18"/>
          <w:szCs w:val="18"/>
        </w:rPr>
      </w:pPr>
    </w:p>
    <w:p w14:paraId="65FF996C" w14:textId="77777777" w:rsidR="00B36400" w:rsidRPr="00FC406F" w:rsidRDefault="008019D5" w:rsidP="00B36400">
      <w:pPr>
        <w:pStyle w:val="parrafos"/>
        <w:ind w:left="360" w:right="360" w:firstLine="0"/>
        <w:rPr>
          <w:sz w:val="18"/>
          <w:szCs w:val="18"/>
        </w:rPr>
      </w:pPr>
      <w:r w:rsidRPr="00FC406F">
        <w:rPr>
          <w:sz w:val="18"/>
          <w:szCs w:val="18"/>
        </w:rPr>
        <w:t xml:space="preserve">(…) Now, said public offices </w:t>
      </w:r>
      <w:r w:rsidR="00623E59" w:rsidRPr="00FC406F">
        <w:rPr>
          <w:sz w:val="18"/>
          <w:szCs w:val="18"/>
        </w:rPr>
        <w:t>elected</w:t>
      </w:r>
      <w:r w:rsidRPr="00FC406F">
        <w:rPr>
          <w:sz w:val="18"/>
          <w:szCs w:val="18"/>
        </w:rPr>
        <w:t xml:space="preserve"> by direct </w:t>
      </w:r>
      <w:r w:rsidR="00623E59" w:rsidRPr="00FC406F">
        <w:rPr>
          <w:sz w:val="18"/>
          <w:szCs w:val="18"/>
        </w:rPr>
        <w:t>suffrage</w:t>
      </w:r>
      <w:r w:rsidR="00937EB8" w:rsidRPr="00FC406F">
        <w:rPr>
          <w:sz w:val="18"/>
          <w:szCs w:val="18"/>
        </w:rPr>
        <w:t xml:space="preserve"> </w:t>
      </w:r>
      <w:r w:rsidRPr="00FC406F">
        <w:rPr>
          <w:sz w:val="18"/>
          <w:szCs w:val="18"/>
        </w:rPr>
        <w:t>show evidence of INEQUALITY REGARD</w:t>
      </w:r>
      <w:r w:rsidR="00D62916" w:rsidRPr="00FC406F">
        <w:rPr>
          <w:sz w:val="18"/>
          <w:szCs w:val="18"/>
        </w:rPr>
        <w:t>ING EQUALITY OF TERMS</w:t>
      </w:r>
      <w:r w:rsidR="00B36400" w:rsidRPr="00FC406F">
        <w:rPr>
          <w:sz w:val="18"/>
          <w:szCs w:val="18"/>
        </w:rPr>
        <w:t xml:space="preserve">, </w:t>
      </w:r>
      <w:r w:rsidRPr="00FC406F">
        <w:rPr>
          <w:sz w:val="18"/>
          <w:szCs w:val="18"/>
        </w:rPr>
        <w:t xml:space="preserve">only with reference to the President and Vice-President of the Republic and </w:t>
      </w:r>
      <w:r w:rsidR="00D62916" w:rsidRPr="00FC406F">
        <w:rPr>
          <w:sz w:val="18"/>
          <w:szCs w:val="18"/>
        </w:rPr>
        <w:t xml:space="preserve">Municipal </w:t>
      </w:r>
      <w:r w:rsidRPr="00FC406F">
        <w:rPr>
          <w:sz w:val="18"/>
          <w:szCs w:val="18"/>
        </w:rPr>
        <w:t>Mayors and Deputy Mayors</w:t>
      </w:r>
      <w:r w:rsidR="003144AF" w:rsidRPr="00FC406F">
        <w:rPr>
          <w:sz w:val="18"/>
          <w:szCs w:val="18"/>
        </w:rPr>
        <w:t xml:space="preserve">, </w:t>
      </w:r>
      <w:r w:rsidR="00937EB8" w:rsidRPr="00FC406F">
        <w:rPr>
          <w:sz w:val="18"/>
          <w:szCs w:val="18"/>
        </w:rPr>
        <w:t xml:space="preserve">because </w:t>
      </w:r>
      <w:r w:rsidR="003144AF" w:rsidRPr="00FC406F">
        <w:rPr>
          <w:sz w:val="18"/>
          <w:szCs w:val="18"/>
        </w:rPr>
        <w:t>said in</w:t>
      </w:r>
      <w:r w:rsidR="00D62916" w:rsidRPr="00FC406F">
        <w:rPr>
          <w:sz w:val="18"/>
          <w:szCs w:val="18"/>
        </w:rPr>
        <w:t>equality regarding equality of terms</w:t>
      </w:r>
      <w:r w:rsidR="003144AF" w:rsidRPr="00FC406F">
        <w:rPr>
          <w:sz w:val="18"/>
          <w:szCs w:val="18"/>
        </w:rPr>
        <w:t xml:space="preserve"> consists of</w:t>
      </w:r>
      <w:r w:rsidR="00B36400" w:rsidRPr="00FC406F">
        <w:rPr>
          <w:sz w:val="18"/>
          <w:szCs w:val="18"/>
        </w:rPr>
        <w:t>: “</w:t>
      </w:r>
      <w:r w:rsidR="00937EB8" w:rsidRPr="00FC406F">
        <w:rPr>
          <w:sz w:val="18"/>
          <w:szCs w:val="18"/>
        </w:rPr>
        <w:t>The right to run</w:t>
      </w:r>
      <w:r w:rsidR="003144AF" w:rsidRPr="00FC406F">
        <w:rPr>
          <w:sz w:val="18"/>
          <w:szCs w:val="18"/>
        </w:rPr>
        <w:t xml:space="preserve"> for the same public office consecutively in subsequent elections.”</w:t>
      </w:r>
      <w:r w:rsidR="00B36400" w:rsidRPr="00FC406F">
        <w:rPr>
          <w:sz w:val="18"/>
          <w:szCs w:val="18"/>
        </w:rPr>
        <w:t xml:space="preserve"> </w:t>
      </w:r>
      <w:r w:rsidR="003144AF" w:rsidRPr="00FC406F">
        <w:rPr>
          <w:sz w:val="18"/>
          <w:szCs w:val="18"/>
        </w:rPr>
        <w:t>For the President and Vice-President</w:t>
      </w:r>
      <w:r w:rsidR="00B36400" w:rsidRPr="00FC406F">
        <w:rPr>
          <w:sz w:val="18"/>
          <w:szCs w:val="18"/>
        </w:rPr>
        <w:t xml:space="preserve">: </w:t>
      </w:r>
      <w:r w:rsidR="003144AF" w:rsidRPr="00FC406F">
        <w:rPr>
          <w:sz w:val="18"/>
          <w:szCs w:val="18"/>
        </w:rPr>
        <w:t>THEY ARE NOT ALLOWED</w:t>
      </w:r>
      <w:r w:rsidR="00B36400" w:rsidRPr="00FC406F">
        <w:rPr>
          <w:sz w:val="18"/>
          <w:szCs w:val="18"/>
        </w:rPr>
        <w:t xml:space="preserve"> (Art</w:t>
      </w:r>
      <w:r w:rsidR="003144AF" w:rsidRPr="00FC406F">
        <w:rPr>
          <w:sz w:val="18"/>
          <w:szCs w:val="18"/>
        </w:rPr>
        <w:t>icle</w:t>
      </w:r>
      <w:r w:rsidR="00B36400" w:rsidRPr="00FC406F">
        <w:rPr>
          <w:sz w:val="18"/>
          <w:szCs w:val="18"/>
        </w:rPr>
        <w:t xml:space="preserve"> 147 </w:t>
      </w:r>
      <w:r w:rsidR="003144AF" w:rsidRPr="00FC406F">
        <w:rPr>
          <w:sz w:val="18"/>
          <w:szCs w:val="18"/>
        </w:rPr>
        <w:t>of the Constitution</w:t>
      </w:r>
      <w:r w:rsidR="00B36400" w:rsidRPr="00FC406F">
        <w:rPr>
          <w:sz w:val="18"/>
          <w:szCs w:val="18"/>
        </w:rPr>
        <w:t xml:space="preserve">); </w:t>
      </w:r>
      <w:r w:rsidR="003144AF" w:rsidRPr="00FC406F">
        <w:rPr>
          <w:sz w:val="18"/>
          <w:szCs w:val="18"/>
        </w:rPr>
        <w:t>Mayor and Deputy</w:t>
      </w:r>
      <w:r w:rsidR="00937EB8" w:rsidRPr="00FC406F">
        <w:rPr>
          <w:sz w:val="18"/>
          <w:szCs w:val="18"/>
        </w:rPr>
        <w:t xml:space="preserve"> Mayor</w:t>
      </w:r>
      <w:r w:rsidR="00B36400" w:rsidRPr="00FC406F">
        <w:rPr>
          <w:sz w:val="18"/>
          <w:szCs w:val="18"/>
        </w:rPr>
        <w:t xml:space="preserve">: </w:t>
      </w:r>
      <w:r w:rsidR="003144AF" w:rsidRPr="00FC406F">
        <w:rPr>
          <w:sz w:val="18"/>
          <w:szCs w:val="18"/>
        </w:rPr>
        <w:t>THEY ARE NOT ALLOWED</w:t>
      </w:r>
      <w:r w:rsidR="00B36400" w:rsidRPr="00FC406F">
        <w:rPr>
          <w:sz w:val="18"/>
          <w:szCs w:val="18"/>
        </w:rPr>
        <w:t xml:space="preserve"> (Art</w:t>
      </w:r>
      <w:r w:rsidR="003144AF" w:rsidRPr="00FC406F">
        <w:rPr>
          <w:sz w:val="18"/>
          <w:szCs w:val="18"/>
        </w:rPr>
        <w:t xml:space="preserve">icle </w:t>
      </w:r>
      <w:r w:rsidR="00B36400" w:rsidRPr="00FC406F">
        <w:rPr>
          <w:sz w:val="18"/>
          <w:szCs w:val="18"/>
        </w:rPr>
        <w:t xml:space="preserve">178 </w:t>
      </w:r>
      <w:r w:rsidR="003144AF" w:rsidRPr="00FC406F">
        <w:rPr>
          <w:sz w:val="18"/>
          <w:szCs w:val="18"/>
        </w:rPr>
        <w:t>of the Constitution</w:t>
      </w:r>
      <w:r w:rsidR="00B36400" w:rsidRPr="00FC406F">
        <w:rPr>
          <w:sz w:val="18"/>
          <w:szCs w:val="18"/>
        </w:rPr>
        <w:t xml:space="preserve">); </w:t>
      </w:r>
      <w:r w:rsidR="003144AF" w:rsidRPr="00FC406F">
        <w:rPr>
          <w:sz w:val="18"/>
          <w:szCs w:val="18"/>
        </w:rPr>
        <w:t>Congresspersons of the National Assembly</w:t>
      </w:r>
      <w:r w:rsidR="00B36400" w:rsidRPr="00FC406F">
        <w:rPr>
          <w:sz w:val="18"/>
          <w:szCs w:val="18"/>
        </w:rPr>
        <w:t xml:space="preserve">: </w:t>
      </w:r>
      <w:r w:rsidR="003144AF" w:rsidRPr="00FC406F">
        <w:rPr>
          <w:sz w:val="18"/>
          <w:szCs w:val="18"/>
        </w:rPr>
        <w:t>they are allowed; Representatives to PARLACEN</w:t>
      </w:r>
      <w:r w:rsidR="00B36400" w:rsidRPr="00FC406F">
        <w:rPr>
          <w:sz w:val="18"/>
          <w:szCs w:val="18"/>
        </w:rPr>
        <w:t xml:space="preserve">: </w:t>
      </w:r>
      <w:r w:rsidR="003144AF" w:rsidRPr="00FC406F">
        <w:rPr>
          <w:sz w:val="18"/>
          <w:szCs w:val="18"/>
        </w:rPr>
        <w:t xml:space="preserve">they are allowed; and congresspersons in </w:t>
      </w:r>
      <w:r w:rsidR="00937EB8" w:rsidRPr="00FC406F">
        <w:rPr>
          <w:sz w:val="18"/>
          <w:szCs w:val="18"/>
        </w:rPr>
        <w:t xml:space="preserve">Autonomous </w:t>
      </w:r>
      <w:r w:rsidR="003144AF" w:rsidRPr="00FC406F">
        <w:rPr>
          <w:sz w:val="18"/>
          <w:szCs w:val="18"/>
        </w:rPr>
        <w:t>Regional Councils (RAAS and</w:t>
      </w:r>
      <w:r w:rsidR="00B36400" w:rsidRPr="00FC406F">
        <w:rPr>
          <w:sz w:val="18"/>
          <w:szCs w:val="18"/>
        </w:rPr>
        <w:t xml:space="preserve"> RAAN): </w:t>
      </w:r>
      <w:r w:rsidR="003144AF" w:rsidRPr="00FC406F">
        <w:rPr>
          <w:sz w:val="18"/>
          <w:szCs w:val="18"/>
        </w:rPr>
        <w:t>they are allowed</w:t>
      </w:r>
      <w:r w:rsidR="00B36400" w:rsidRPr="00FC406F">
        <w:rPr>
          <w:sz w:val="18"/>
          <w:szCs w:val="18"/>
        </w:rPr>
        <w:t xml:space="preserve">. </w:t>
      </w:r>
      <w:r w:rsidR="003144AF" w:rsidRPr="00FC406F">
        <w:rPr>
          <w:sz w:val="18"/>
          <w:szCs w:val="18"/>
        </w:rPr>
        <w:t xml:space="preserve">As a result, the constitutional provisions </w:t>
      </w:r>
      <w:r w:rsidR="00937EB8" w:rsidRPr="00FC406F">
        <w:rPr>
          <w:sz w:val="18"/>
          <w:szCs w:val="18"/>
        </w:rPr>
        <w:t>in which</w:t>
      </w:r>
      <w:r w:rsidR="003144AF" w:rsidRPr="00FC406F">
        <w:rPr>
          <w:sz w:val="18"/>
          <w:szCs w:val="18"/>
        </w:rPr>
        <w:t xml:space="preserve"> this electoral ban appears is only for the President and Vice-President and for Mayors and</w:t>
      </w:r>
      <w:r w:rsidR="00937EB8" w:rsidRPr="00FC406F">
        <w:rPr>
          <w:sz w:val="18"/>
          <w:szCs w:val="18"/>
        </w:rPr>
        <w:t xml:space="preserve"> Deputy Mayors and constitutes</w:t>
      </w:r>
      <w:r w:rsidR="003144AF" w:rsidRPr="00FC406F">
        <w:rPr>
          <w:sz w:val="18"/>
          <w:szCs w:val="18"/>
        </w:rPr>
        <w:t xml:space="preserve"> unfair treatment, when it is clear that there is equality of </w:t>
      </w:r>
      <w:r w:rsidR="00D62916" w:rsidRPr="00FC406F">
        <w:rPr>
          <w:sz w:val="18"/>
          <w:szCs w:val="18"/>
        </w:rPr>
        <w:t>terms</w:t>
      </w:r>
      <w:r w:rsidR="003144AF" w:rsidRPr="00FC406F">
        <w:rPr>
          <w:sz w:val="18"/>
          <w:szCs w:val="18"/>
        </w:rPr>
        <w:t xml:space="preserve">, running counter to the principle of equality and the principle of proportionality, </w:t>
      </w:r>
      <w:r w:rsidR="00937EB8" w:rsidRPr="00FC406F">
        <w:rPr>
          <w:sz w:val="18"/>
          <w:szCs w:val="18"/>
        </w:rPr>
        <w:t>which recognizes that the only limitation</w:t>
      </w:r>
      <w:r w:rsidR="003144AF" w:rsidRPr="00FC406F">
        <w:rPr>
          <w:sz w:val="18"/>
          <w:szCs w:val="18"/>
        </w:rPr>
        <w:t xml:space="preserve"> is the one indicated in the dogmatic part by the Original Constitutional Convention, that is, age and a criminal conviction or civil ban</w:t>
      </w:r>
      <w:r w:rsidR="00B36400" w:rsidRPr="00FC406F">
        <w:rPr>
          <w:sz w:val="18"/>
          <w:szCs w:val="18"/>
        </w:rPr>
        <w:t>.</w:t>
      </w:r>
    </w:p>
    <w:p w14:paraId="19ADBD9F" w14:textId="77777777" w:rsidR="00B36400" w:rsidRPr="00FC406F" w:rsidRDefault="00B36400" w:rsidP="00B36400">
      <w:pPr>
        <w:pStyle w:val="parrafos"/>
        <w:ind w:left="0" w:right="360" w:firstLine="0"/>
        <w:rPr>
          <w:sz w:val="18"/>
          <w:szCs w:val="18"/>
        </w:rPr>
      </w:pPr>
    </w:p>
    <w:p w14:paraId="39503A21" w14:textId="77777777" w:rsidR="00B36400" w:rsidRPr="00FC406F" w:rsidRDefault="00B36400" w:rsidP="00B36400">
      <w:pPr>
        <w:pStyle w:val="parrafos"/>
        <w:ind w:left="360" w:right="360" w:firstLine="0"/>
        <w:rPr>
          <w:sz w:val="18"/>
          <w:szCs w:val="18"/>
        </w:rPr>
      </w:pPr>
      <w:r w:rsidRPr="00FC406F">
        <w:rPr>
          <w:sz w:val="18"/>
          <w:szCs w:val="18"/>
        </w:rPr>
        <w:t>(…)</w:t>
      </w:r>
      <w:r w:rsidR="002715B3" w:rsidRPr="00FC406F">
        <w:rPr>
          <w:sz w:val="18"/>
          <w:szCs w:val="18"/>
        </w:rPr>
        <w:t xml:space="preserve"> As a result, the present Constitution</w:t>
      </w:r>
      <w:r w:rsidR="003F3C49" w:rsidRPr="00FC406F">
        <w:rPr>
          <w:sz w:val="18"/>
          <w:szCs w:val="18"/>
        </w:rPr>
        <w:t>al Chamber hereby declares nonapplicability</w:t>
      </w:r>
      <w:r w:rsidR="002715B3" w:rsidRPr="00FC406F">
        <w:rPr>
          <w:sz w:val="18"/>
          <w:szCs w:val="18"/>
        </w:rPr>
        <w:t>, as of notification of the present judgment, of Article 47 (of the Constitution), solely in that part that literally reads in its entirety</w:t>
      </w:r>
      <w:r w:rsidRPr="00FC406F">
        <w:rPr>
          <w:sz w:val="18"/>
          <w:szCs w:val="18"/>
        </w:rPr>
        <w:t>: “</w:t>
      </w:r>
      <w:r w:rsidR="002715B3" w:rsidRPr="00FC406F">
        <w:rPr>
          <w:rFonts w:ascii="Cambria" w:hAnsi="Cambria"/>
          <w:sz w:val="18"/>
          <w:szCs w:val="18"/>
        </w:rPr>
        <w:t xml:space="preserve">The following persons may not run for President or Vice President of the Republic: a. Persons who have exercised the </w:t>
      </w:r>
      <w:r w:rsidR="002715B3" w:rsidRPr="00FC406F">
        <w:rPr>
          <w:rFonts w:ascii="Cambria" w:hAnsi="Cambria"/>
          <w:sz w:val="18"/>
          <w:szCs w:val="18"/>
        </w:rPr>
        <w:lastRenderedPageBreak/>
        <w:t>full powers of the presidency at any time during the period when the election for the following term is held, nor anyone who has exercised them for two presidential terms</w:t>
      </w:r>
      <w:r w:rsidRPr="00FC406F">
        <w:rPr>
          <w:sz w:val="18"/>
          <w:szCs w:val="18"/>
        </w:rPr>
        <w:t xml:space="preserve"> (…).</w:t>
      </w:r>
    </w:p>
    <w:p w14:paraId="55D2D4C3" w14:textId="77777777" w:rsidR="00B36400" w:rsidRPr="00FC406F" w:rsidRDefault="00B36400" w:rsidP="00B36400">
      <w:pPr>
        <w:pStyle w:val="parrafos"/>
        <w:ind w:left="360" w:right="360" w:firstLine="0"/>
        <w:rPr>
          <w:sz w:val="18"/>
          <w:szCs w:val="18"/>
        </w:rPr>
      </w:pPr>
    </w:p>
    <w:p w14:paraId="14390F57" w14:textId="77777777" w:rsidR="00B36400" w:rsidRPr="00FC406F" w:rsidRDefault="00B36400" w:rsidP="00B36400">
      <w:pPr>
        <w:pStyle w:val="parrafos"/>
        <w:ind w:left="360" w:right="360" w:firstLine="0"/>
        <w:rPr>
          <w:sz w:val="18"/>
          <w:szCs w:val="18"/>
        </w:rPr>
      </w:pPr>
      <w:r w:rsidRPr="00FC406F">
        <w:rPr>
          <w:sz w:val="18"/>
          <w:szCs w:val="18"/>
        </w:rPr>
        <w:t xml:space="preserve">(…) </w:t>
      </w:r>
      <w:r w:rsidR="002715B3" w:rsidRPr="00FC406F">
        <w:rPr>
          <w:sz w:val="18"/>
          <w:szCs w:val="18"/>
        </w:rPr>
        <w:t>The Supreme Electoral Council is instructed to deliver a certification to those citizens who appeared here, through the attorney</w:t>
      </w:r>
      <w:r w:rsidRPr="00FC406F">
        <w:rPr>
          <w:sz w:val="18"/>
          <w:szCs w:val="18"/>
        </w:rPr>
        <w:t xml:space="preserve"> Eduardo José Mejía Bermúdez, </w:t>
      </w:r>
      <w:r w:rsidR="002715B3" w:rsidRPr="00FC406F">
        <w:rPr>
          <w:sz w:val="18"/>
          <w:szCs w:val="18"/>
        </w:rPr>
        <w:t>as citizens eligible to exercise their political, constitutional</w:t>
      </w:r>
      <w:r w:rsidR="003C665E" w:rsidRPr="00FC406F">
        <w:rPr>
          <w:sz w:val="18"/>
          <w:szCs w:val="18"/>
        </w:rPr>
        <w:t>,</w:t>
      </w:r>
      <w:r w:rsidR="002715B3" w:rsidRPr="00FC406F">
        <w:rPr>
          <w:sz w:val="18"/>
          <w:szCs w:val="18"/>
        </w:rPr>
        <w:t xml:space="preserve"> and electoral rights</w:t>
      </w:r>
      <w:r w:rsidR="00937EB8" w:rsidRPr="00FC406F">
        <w:rPr>
          <w:sz w:val="18"/>
          <w:szCs w:val="18"/>
        </w:rPr>
        <w:t xml:space="preserve"> in order</w:t>
      </w:r>
      <w:r w:rsidR="002715B3" w:rsidRPr="00FC406F">
        <w:rPr>
          <w:sz w:val="18"/>
          <w:szCs w:val="18"/>
        </w:rPr>
        <w:t xml:space="preserve"> to participate in the elections to be held in 2011 and 2012, in the same public offices in which they are cu</w:t>
      </w:r>
      <w:r w:rsidR="00E7350C" w:rsidRPr="00FC406F">
        <w:rPr>
          <w:sz w:val="18"/>
          <w:szCs w:val="18"/>
        </w:rPr>
        <w:t>rrently serving, as candidates for</w:t>
      </w:r>
      <w:r w:rsidR="002715B3" w:rsidRPr="00FC406F">
        <w:rPr>
          <w:sz w:val="18"/>
          <w:szCs w:val="18"/>
        </w:rPr>
        <w:t xml:space="preserve"> President, Vice-President, Mayor, and Deputy Mayor, respective</w:t>
      </w:r>
      <w:r w:rsidR="00E72E19" w:rsidRPr="00FC406F">
        <w:rPr>
          <w:sz w:val="18"/>
          <w:szCs w:val="18"/>
        </w:rPr>
        <w:t>l</w:t>
      </w:r>
      <w:r w:rsidR="002715B3" w:rsidRPr="00FC406F">
        <w:rPr>
          <w:sz w:val="18"/>
          <w:szCs w:val="18"/>
        </w:rPr>
        <w:t>y, without any further requirements or</w:t>
      </w:r>
      <w:r w:rsidR="00E72E19" w:rsidRPr="00FC406F">
        <w:rPr>
          <w:sz w:val="18"/>
          <w:szCs w:val="18"/>
        </w:rPr>
        <w:t xml:space="preserve"> conditions other than those pertaining to any other citizens on the basis of age or impediment on the exercise of citizen rights because of a final criminal judgment or a civil ban, pursuant to Article 47 of the Constitution</w:t>
      </w:r>
      <w:r w:rsidRPr="00FC406F">
        <w:rPr>
          <w:sz w:val="18"/>
          <w:szCs w:val="18"/>
        </w:rPr>
        <w:t xml:space="preserve">, </w:t>
      </w:r>
      <w:r w:rsidR="00E72E19" w:rsidRPr="00FC406F">
        <w:rPr>
          <w:sz w:val="18"/>
          <w:szCs w:val="18"/>
        </w:rPr>
        <w:t>because according to the above-mentioned principle of unconditional equality of all Nicaraguan citizens: “</w:t>
      </w:r>
      <w:r w:rsidR="003C665E" w:rsidRPr="00FC406F">
        <w:rPr>
          <w:sz w:val="18"/>
          <w:szCs w:val="18"/>
        </w:rPr>
        <w:t>It is the state’s</w:t>
      </w:r>
      <w:r w:rsidR="001C73FB" w:rsidRPr="00FC406F">
        <w:rPr>
          <w:sz w:val="18"/>
          <w:szCs w:val="18"/>
        </w:rPr>
        <w:t xml:space="preserve"> obligation to remove all </w:t>
      </w:r>
      <w:r w:rsidR="00E5628F" w:rsidRPr="00FC406F">
        <w:rPr>
          <w:i/>
          <w:sz w:val="18"/>
          <w:szCs w:val="18"/>
        </w:rPr>
        <w:t>de facto</w:t>
      </w:r>
      <w:r w:rsidR="00E5628F" w:rsidRPr="00FC406F">
        <w:rPr>
          <w:sz w:val="18"/>
          <w:szCs w:val="18"/>
        </w:rPr>
        <w:t xml:space="preserve"> </w:t>
      </w:r>
      <w:r w:rsidR="001C73FB" w:rsidRPr="00FC406F">
        <w:rPr>
          <w:sz w:val="18"/>
          <w:szCs w:val="18"/>
        </w:rPr>
        <w:t>obstacles</w:t>
      </w:r>
      <w:r w:rsidR="00E7350C" w:rsidRPr="00FC406F">
        <w:rPr>
          <w:sz w:val="18"/>
          <w:szCs w:val="18"/>
        </w:rPr>
        <w:t xml:space="preserve"> </w:t>
      </w:r>
      <w:r w:rsidR="001C73FB" w:rsidRPr="00FC406F">
        <w:rPr>
          <w:sz w:val="18"/>
          <w:szCs w:val="18"/>
        </w:rPr>
        <w:t>hampering equality among Nicaraguans and their effective participation in the country’s political, economic, and social life.”</w:t>
      </w:r>
      <w:r w:rsidRPr="00FC406F">
        <w:rPr>
          <w:sz w:val="18"/>
          <w:szCs w:val="18"/>
        </w:rPr>
        <w:t xml:space="preserve"> (Art</w:t>
      </w:r>
      <w:r w:rsidR="001C73FB" w:rsidRPr="00FC406F">
        <w:rPr>
          <w:sz w:val="18"/>
          <w:szCs w:val="18"/>
        </w:rPr>
        <w:t>icle</w:t>
      </w:r>
      <w:r w:rsidRPr="00FC406F">
        <w:rPr>
          <w:sz w:val="18"/>
          <w:szCs w:val="18"/>
        </w:rPr>
        <w:t xml:space="preserve"> 48 </w:t>
      </w:r>
      <w:r w:rsidR="001C73FB" w:rsidRPr="00FC406F">
        <w:rPr>
          <w:sz w:val="18"/>
          <w:szCs w:val="18"/>
        </w:rPr>
        <w:t>of the Constitution</w:t>
      </w:r>
      <w:r w:rsidRPr="00FC406F">
        <w:rPr>
          <w:sz w:val="18"/>
          <w:szCs w:val="18"/>
        </w:rPr>
        <w:t xml:space="preserve">). </w:t>
      </w:r>
      <w:r w:rsidR="00BA7C2A" w:rsidRPr="00FC406F">
        <w:rPr>
          <w:sz w:val="18"/>
          <w:szCs w:val="18"/>
        </w:rPr>
        <w:t>III. Because</w:t>
      </w:r>
      <w:r w:rsidR="001C73FB" w:rsidRPr="00FC406F">
        <w:rPr>
          <w:sz w:val="18"/>
          <w:szCs w:val="18"/>
        </w:rPr>
        <w:t xml:space="preserve"> the constitutional provisions appearing in Articles 147 and 178 of the Constitution, amended by the Derived Constitutional Convention on the basis of Article 13 of Law No. 192, the Law on Partial Reform of the Political Constitution of the Republic of Nicaragua, published on July 4, 1995, in the New Gazette, creates discrimination and an electoral ban for the President and Vice-President, as well as Mayors and Deputy Mayors, therefore clashing or producing a constitutional contradiction</w:t>
      </w:r>
      <w:r w:rsidRPr="00FC406F">
        <w:rPr>
          <w:sz w:val="18"/>
          <w:szCs w:val="18"/>
        </w:rPr>
        <w:t xml:space="preserve"> (…)</w:t>
      </w:r>
      <w:r w:rsidR="00BA7C2A" w:rsidRPr="00FC406F">
        <w:rPr>
          <w:sz w:val="18"/>
          <w:szCs w:val="18"/>
        </w:rPr>
        <w:t>.</w:t>
      </w:r>
      <w:r w:rsidRPr="00FC406F">
        <w:rPr>
          <w:rStyle w:val="FootnoteReference"/>
          <w:sz w:val="18"/>
          <w:szCs w:val="18"/>
        </w:rPr>
        <w:footnoteReference w:id="13"/>
      </w:r>
    </w:p>
    <w:p w14:paraId="6C0E2F8E" w14:textId="77777777" w:rsidR="00B36400" w:rsidRPr="00FC406F" w:rsidRDefault="00B36400" w:rsidP="00B3640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sz w:val="18"/>
          <w:szCs w:val="18"/>
        </w:rPr>
      </w:pPr>
    </w:p>
    <w:p w14:paraId="77434834" w14:textId="77777777" w:rsidR="00B36400" w:rsidRPr="00FC406F" w:rsidRDefault="001C73FB" w:rsidP="00031C3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color w:val="000000" w:themeColor="text1"/>
          <w:sz w:val="20"/>
          <w:szCs w:val="20"/>
        </w:rPr>
      </w:pPr>
      <w:r w:rsidRPr="00FC406F">
        <w:rPr>
          <w:rFonts w:asciiTheme="majorHAnsi" w:hAnsiTheme="majorHAnsi"/>
          <w:color w:val="000000" w:themeColor="text1"/>
          <w:sz w:val="20"/>
          <w:szCs w:val="20"/>
        </w:rPr>
        <w:t>On January</w:t>
      </w:r>
      <w:r w:rsidR="00B36400" w:rsidRPr="00FC406F">
        <w:rPr>
          <w:rFonts w:asciiTheme="majorHAnsi" w:hAnsiTheme="majorHAnsi"/>
          <w:color w:val="000000" w:themeColor="text1"/>
          <w:sz w:val="20"/>
          <w:szCs w:val="20"/>
        </w:rPr>
        <w:t xml:space="preserve"> 9</w:t>
      </w:r>
      <w:r w:rsidRPr="00FC406F">
        <w:rPr>
          <w:rFonts w:asciiTheme="majorHAnsi" w:hAnsiTheme="majorHAnsi"/>
          <w:color w:val="000000" w:themeColor="text1"/>
          <w:sz w:val="20"/>
          <w:szCs w:val="20"/>
        </w:rPr>
        <w:t>,</w:t>
      </w:r>
      <w:r w:rsidR="00B36400" w:rsidRPr="00FC406F">
        <w:rPr>
          <w:rFonts w:asciiTheme="majorHAnsi" w:hAnsiTheme="majorHAnsi"/>
          <w:color w:val="000000" w:themeColor="text1"/>
          <w:sz w:val="20"/>
          <w:szCs w:val="20"/>
        </w:rPr>
        <w:t xml:space="preserve"> 2010</w:t>
      </w:r>
      <w:r w:rsidRPr="00FC406F">
        <w:rPr>
          <w:rFonts w:asciiTheme="majorHAnsi" w:hAnsiTheme="majorHAnsi"/>
          <w:color w:val="000000" w:themeColor="text1"/>
          <w:sz w:val="20"/>
          <w:szCs w:val="20"/>
        </w:rPr>
        <w:t xml:space="preserve">, President </w:t>
      </w:r>
      <w:r w:rsidR="00B36400" w:rsidRPr="00FC406F">
        <w:rPr>
          <w:rFonts w:asciiTheme="majorHAnsi" w:hAnsiTheme="majorHAnsi"/>
          <w:color w:val="000000" w:themeColor="text1"/>
          <w:sz w:val="20"/>
          <w:szCs w:val="20"/>
        </w:rPr>
        <w:t xml:space="preserve">Daniel Ortega </w:t>
      </w:r>
      <w:r w:rsidRPr="00FC406F">
        <w:rPr>
          <w:rFonts w:asciiTheme="majorHAnsi" w:hAnsiTheme="majorHAnsi"/>
          <w:color w:val="000000" w:themeColor="text1"/>
          <w:sz w:val="20"/>
          <w:szCs w:val="20"/>
        </w:rPr>
        <w:t>issued Executive Decree</w:t>
      </w:r>
      <w:r w:rsidR="00B36400" w:rsidRPr="00FC406F">
        <w:rPr>
          <w:rFonts w:asciiTheme="majorHAnsi" w:hAnsiTheme="majorHAnsi"/>
          <w:color w:val="000000" w:themeColor="text1"/>
          <w:sz w:val="20"/>
          <w:szCs w:val="20"/>
        </w:rPr>
        <w:t xml:space="preserve"> 3-2010 </w:t>
      </w:r>
      <w:r w:rsidR="006306B0" w:rsidRPr="00FC406F">
        <w:rPr>
          <w:rFonts w:asciiTheme="majorHAnsi" w:hAnsiTheme="majorHAnsi"/>
          <w:color w:val="000000" w:themeColor="text1"/>
          <w:sz w:val="20"/>
          <w:szCs w:val="20"/>
        </w:rPr>
        <w:t xml:space="preserve">extending the terms of office of all state authorities and institutions, including </w:t>
      </w:r>
      <w:r w:rsidR="003B0701" w:rsidRPr="00FC406F">
        <w:rPr>
          <w:rFonts w:asciiTheme="majorHAnsi" w:hAnsiTheme="majorHAnsi"/>
          <w:color w:val="000000" w:themeColor="text1"/>
          <w:sz w:val="20"/>
          <w:szCs w:val="20"/>
        </w:rPr>
        <w:t xml:space="preserve">those of </w:t>
      </w:r>
      <w:r w:rsidR="006306B0" w:rsidRPr="00FC406F">
        <w:rPr>
          <w:rFonts w:asciiTheme="majorHAnsi" w:hAnsiTheme="majorHAnsi"/>
          <w:color w:val="000000" w:themeColor="text1"/>
          <w:sz w:val="20"/>
          <w:szCs w:val="20"/>
        </w:rPr>
        <w:t>the Supreme Electoral Council, on the basis of the following considerations</w:t>
      </w:r>
      <w:r w:rsidR="00B36400" w:rsidRPr="00FC406F">
        <w:rPr>
          <w:rFonts w:asciiTheme="majorHAnsi" w:hAnsiTheme="majorHAnsi"/>
          <w:color w:val="000000" w:themeColor="text1"/>
          <w:sz w:val="20"/>
          <w:szCs w:val="20"/>
        </w:rPr>
        <w:t>:</w:t>
      </w:r>
    </w:p>
    <w:p w14:paraId="6B35E933" w14:textId="77777777" w:rsidR="00B36400" w:rsidRPr="00FC406F" w:rsidRDefault="00B36400" w:rsidP="00B3640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color w:val="000000" w:themeColor="text1"/>
          <w:sz w:val="20"/>
          <w:szCs w:val="20"/>
        </w:rPr>
      </w:pPr>
    </w:p>
    <w:p w14:paraId="0E40428A" w14:textId="77777777" w:rsidR="00B36400" w:rsidRPr="00FC406F" w:rsidRDefault="006306B0" w:rsidP="00B3640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Theme="majorHAnsi" w:hAnsiTheme="majorHAnsi"/>
          <w:color w:val="000000" w:themeColor="text1"/>
          <w:sz w:val="18"/>
          <w:szCs w:val="18"/>
        </w:rPr>
      </w:pPr>
      <w:r w:rsidRPr="00FC406F">
        <w:rPr>
          <w:rFonts w:asciiTheme="majorHAnsi" w:hAnsiTheme="majorHAnsi"/>
          <w:color w:val="000000" w:themeColor="text1"/>
          <w:sz w:val="18"/>
          <w:szCs w:val="18"/>
        </w:rPr>
        <w:t>On February</w:t>
      </w:r>
      <w:r w:rsidR="00B36400" w:rsidRPr="00FC406F">
        <w:rPr>
          <w:rFonts w:asciiTheme="majorHAnsi" w:hAnsiTheme="majorHAnsi"/>
          <w:color w:val="000000" w:themeColor="text1"/>
          <w:sz w:val="18"/>
          <w:szCs w:val="18"/>
        </w:rPr>
        <w:t xml:space="preserve"> 2</w:t>
      </w:r>
      <w:r w:rsidRPr="00FC406F">
        <w:rPr>
          <w:rFonts w:asciiTheme="majorHAnsi" w:hAnsiTheme="majorHAnsi"/>
          <w:color w:val="000000" w:themeColor="text1"/>
          <w:sz w:val="18"/>
          <w:szCs w:val="18"/>
        </w:rPr>
        <w:t>,</w:t>
      </w:r>
      <w:r w:rsidR="00B36400" w:rsidRPr="00FC406F">
        <w:rPr>
          <w:rFonts w:asciiTheme="majorHAnsi" w:hAnsiTheme="majorHAnsi"/>
          <w:color w:val="000000" w:themeColor="text1"/>
          <w:sz w:val="18"/>
          <w:szCs w:val="18"/>
        </w:rPr>
        <w:t xml:space="preserve"> 2010 </w:t>
      </w:r>
      <w:r w:rsidRPr="00FC406F">
        <w:rPr>
          <w:rFonts w:asciiTheme="majorHAnsi" w:hAnsiTheme="majorHAnsi"/>
          <w:color w:val="000000" w:themeColor="text1"/>
          <w:sz w:val="18"/>
          <w:szCs w:val="18"/>
        </w:rPr>
        <w:t>the term of office of the judges of the Supreme Electoral Court expires and on March 7 of the present year reg</w:t>
      </w:r>
      <w:r w:rsidR="00BA7C2A" w:rsidRPr="00FC406F">
        <w:rPr>
          <w:rFonts w:asciiTheme="majorHAnsi" w:hAnsiTheme="majorHAnsi"/>
          <w:color w:val="000000" w:themeColor="text1"/>
          <w:sz w:val="18"/>
          <w:szCs w:val="18"/>
        </w:rPr>
        <w:t>ional elections are being held o</w:t>
      </w:r>
      <w:r w:rsidRPr="00FC406F">
        <w:rPr>
          <w:rFonts w:asciiTheme="majorHAnsi" w:hAnsiTheme="majorHAnsi"/>
          <w:color w:val="000000" w:themeColor="text1"/>
          <w:sz w:val="18"/>
          <w:szCs w:val="18"/>
        </w:rPr>
        <w:t>n the Caribbean seaboard of the Republic of Nicaragua; nevertheless the National Assembly has not called for elections pertaining to these public offices, which would make it difficult to declare citizens elected in elections in the northern and southern Caribbean regions of the nation. The electoral branch of government would also be without a</w:t>
      </w:r>
      <w:r w:rsidR="003B0701" w:rsidRPr="00FC406F">
        <w:rPr>
          <w:rFonts w:asciiTheme="majorHAnsi" w:hAnsiTheme="majorHAnsi"/>
          <w:color w:val="000000" w:themeColor="text1"/>
          <w:sz w:val="18"/>
          <w:szCs w:val="18"/>
        </w:rPr>
        <w:t>n executive</w:t>
      </w:r>
      <w:r w:rsidRPr="00FC406F">
        <w:rPr>
          <w:rFonts w:asciiTheme="majorHAnsi" w:hAnsiTheme="majorHAnsi"/>
          <w:color w:val="000000" w:themeColor="text1"/>
          <w:sz w:val="18"/>
          <w:szCs w:val="18"/>
        </w:rPr>
        <w:t xml:space="preserve"> on the first of June of this year, on the eve of the electoral process of the national elections of </w:t>
      </w:r>
      <w:r w:rsidR="00B36400" w:rsidRPr="00FC406F">
        <w:rPr>
          <w:rFonts w:asciiTheme="majorHAnsi" w:hAnsiTheme="majorHAnsi"/>
          <w:color w:val="000000" w:themeColor="text1"/>
          <w:sz w:val="18"/>
          <w:szCs w:val="18"/>
        </w:rPr>
        <w:t>2011</w:t>
      </w:r>
      <w:r w:rsidRPr="00FC406F">
        <w:rPr>
          <w:rFonts w:asciiTheme="majorHAnsi" w:hAnsiTheme="majorHAnsi"/>
          <w:color w:val="000000" w:themeColor="text1"/>
          <w:sz w:val="18"/>
          <w:szCs w:val="18"/>
        </w:rPr>
        <w:t>.</w:t>
      </w:r>
      <w:r w:rsidR="00B36400" w:rsidRPr="00FC406F">
        <w:rPr>
          <w:rFonts w:asciiTheme="majorHAnsi" w:hAnsiTheme="majorHAnsi"/>
          <w:color w:val="000000" w:themeColor="text1"/>
          <w:sz w:val="18"/>
          <w:szCs w:val="18"/>
        </w:rPr>
        <w:t>”</w:t>
      </w:r>
      <w:r w:rsidR="00B36400" w:rsidRPr="00FC406F">
        <w:rPr>
          <w:sz w:val="18"/>
          <w:szCs w:val="18"/>
          <w:vertAlign w:val="superscript"/>
        </w:rPr>
        <w:footnoteReference w:id="14"/>
      </w:r>
    </w:p>
    <w:p w14:paraId="52456918" w14:textId="77777777" w:rsidR="00B36400" w:rsidRPr="00FC406F" w:rsidRDefault="00B36400" w:rsidP="00B3640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sz w:val="18"/>
          <w:szCs w:val="18"/>
        </w:rPr>
      </w:pPr>
    </w:p>
    <w:p w14:paraId="4BDDAA11" w14:textId="77777777" w:rsidR="00B36400" w:rsidRPr="00FC406F" w:rsidRDefault="006306B0" w:rsidP="00031C3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18"/>
          <w:szCs w:val="18"/>
        </w:rPr>
      </w:pPr>
      <w:r w:rsidRPr="00FC406F">
        <w:rPr>
          <w:rFonts w:asciiTheme="majorHAnsi" w:hAnsiTheme="majorHAnsi"/>
          <w:sz w:val="20"/>
          <w:szCs w:val="20"/>
        </w:rPr>
        <w:t>On September</w:t>
      </w:r>
      <w:r w:rsidR="00B36400" w:rsidRPr="00FC406F">
        <w:rPr>
          <w:rFonts w:asciiTheme="majorHAnsi" w:hAnsiTheme="majorHAnsi"/>
          <w:sz w:val="20"/>
          <w:szCs w:val="20"/>
        </w:rPr>
        <w:t xml:space="preserve"> 29</w:t>
      </w:r>
      <w:r w:rsidRPr="00FC406F">
        <w:rPr>
          <w:rFonts w:asciiTheme="majorHAnsi" w:hAnsiTheme="majorHAnsi"/>
          <w:sz w:val="20"/>
          <w:szCs w:val="20"/>
        </w:rPr>
        <w:t>,</w:t>
      </w:r>
      <w:r w:rsidR="00B36400" w:rsidRPr="00FC406F">
        <w:rPr>
          <w:rFonts w:asciiTheme="majorHAnsi" w:hAnsiTheme="majorHAnsi"/>
          <w:sz w:val="20"/>
          <w:szCs w:val="20"/>
        </w:rPr>
        <w:t xml:space="preserve"> 2010</w:t>
      </w:r>
      <w:r w:rsidRPr="00FC406F">
        <w:rPr>
          <w:rFonts w:asciiTheme="majorHAnsi" w:hAnsiTheme="majorHAnsi"/>
          <w:sz w:val="20"/>
          <w:szCs w:val="20"/>
        </w:rPr>
        <w:t xml:space="preserve">, the Constitutional Chamber of the Supreme Court of Justice referred the judgment to the plenary of the Supreme Court so that it would uphold it and as a result produce </w:t>
      </w:r>
      <w:r w:rsidR="00B36400" w:rsidRPr="00FC406F">
        <w:rPr>
          <w:rFonts w:asciiTheme="majorHAnsi" w:hAnsiTheme="majorHAnsi"/>
          <w:i/>
          <w:sz w:val="20"/>
          <w:szCs w:val="20"/>
        </w:rPr>
        <w:t>erga omnes</w:t>
      </w:r>
      <w:r w:rsidR="00E5628F" w:rsidRPr="00FC406F">
        <w:rPr>
          <w:rFonts w:asciiTheme="majorHAnsi" w:hAnsiTheme="majorHAnsi"/>
          <w:sz w:val="20"/>
          <w:szCs w:val="20"/>
        </w:rPr>
        <w:t xml:space="preserve"> effects.</w:t>
      </w:r>
      <w:r w:rsidR="00B36400" w:rsidRPr="00FC406F">
        <w:rPr>
          <w:rFonts w:asciiTheme="majorHAnsi" w:hAnsiTheme="majorHAnsi"/>
          <w:sz w:val="20"/>
          <w:szCs w:val="20"/>
        </w:rPr>
        <w:t xml:space="preserve"> </w:t>
      </w:r>
      <w:r w:rsidRPr="00FC406F">
        <w:rPr>
          <w:rFonts w:asciiTheme="majorHAnsi" w:hAnsiTheme="majorHAnsi"/>
          <w:sz w:val="20"/>
          <w:szCs w:val="20"/>
        </w:rPr>
        <w:t>On the basis of judgment No.</w:t>
      </w:r>
      <w:r w:rsidR="00B36400" w:rsidRPr="00FC406F">
        <w:rPr>
          <w:rFonts w:asciiTheme="majorHAnsi" w:hAnsiTheme="majorHAnsi"/>
          <w:sz w:val="20"/>
          <w:szCs w:val="20"/>
        </w:rPr>
        <w:t xml:space="preserve"> 06 </w:t>
      </w:r>
      <w:r w:rsidRPr="00FC406F">
        <w:rPr>
          <w:rFonts w:asciiTheme="majorHAnsi" w:hAnsiTheme="majorHAnsi"/>
          <w:sz w:val="20"/>
          <w:szCs w:val="20"/>
        </w:rPr>
        <w:t>of September</w:t>
      </w:r>
      <w:r w:rsidR="00B36400" w:rsidRPr="00FC406F">
        <w:rPr>
          <w:rFonts w:asciiTheme="majorHAnsi" w:hAnsiTheme="majorHAnsi"/>
          <w:sz w:val="20"/>
          <w:szCs w:val="20"/>
        </w:rPr>
        <w:t xml:space="preserve"> 30</w:t>
      </w:r>
      <w:r w:rsidRPr="00FC406F">
        <w:rPr>
          <w:rFonts w:asciiTheme="majorHAnsi" w:hAnsiTheme="majorHAnsi"/>
          <w:sz w:val="20"/>
          <w:szCs w:val="20"/>
        </w:rPr>
        <w:t>,</w:t>
      </w:r>
      <w:r w:rsidR="00B36400" w:rsidRPr="00FC406F">
        <w:rPr>
          <w:rFonts w:asciiTheme="majorHAnsi" w:hAnsiTheme="majorHAnsi"/>
          <w:sz w:val="20"/>
          <w:szCs w:val="20"/>
        </w:rPr>
        <w:t xml:space="preserve"> 2010, </w:t>
      </w:r>
      <w:r w:rsidRPr="00FC406F">
        <w:rPr>
          <w:rFonts w:asciiTheme="majorHAnsi" w:hAnsiTheme="majorHAnsi"/>
          <w:sz w:val="20"/>
          <w:szCs w:val="20"/>
        </w:rPr>
        <w:t>the plenary of the Supreme Court of Justice upheld judgment No. 504 in its entirety</w:t>
      </w:r>
      <w:r w:rsidR="00E17656" w:rsidRPr="00FC406F">
        <w:rPr>
          <w:rFonts w:asciiTheme="majorHAnsi" w:hAnsiTheme="majorHAnsi"/>
          <w:sz w:val="20"/>
          <w:szCs w:val="20"/>
        </w:rPr>
        <w:t xml:space="preserve"> and declared the </w:t>
      </w:r>
      <w:r w:rsidR="003F3C49" w:rsidRPr="00FC406F">
        <w:rPr>
          <w:rFonts w:asciiTheme="majorHAnsi" w:hAnsiTheme="majorHAnsi"/>
          <w:sz w:val="20"/>
          <w:szCs w:val="20"/>
        </w:rPr>
        <w:t>nonapplicability</w:t>
      </w:r>
      <w:r w:rsidR="00E17656" w:rsidRPr="00FC406F">
        <w:rPr>
          <w:rFonts w:asciiTheme="majorHAnsi" w:hAnsiTheme="majorHAnsi"/>
          <w:sz w:val="20"/>
          <w:szCs w:val="20"/>
        </w:rPr>
        <w:t xml:space="preserve"> </w:t>
      </w:r>
      <w:r w:rsidR="00B36400" w:rsidRPr="00FC406F">
        <w:rPr>
          <w:rFonts w:asciiTheme="majorHAnsi" w:hAnsiTheme="majorHAnsi"/>
          <w:i/>
          <w:sz w:val="20"/>
          <w:szCs w:val="20"/>
        </w:rPr>
        <w:t>erga omnes</w:t>
      </w:r>
      <w:r w:rsidR="00E17656" w:rsidRPr="00FC406F">
        <w:rPr>
          <w:rFonts w:asciiTheme="majorHAnsi" w:hAnsiTheme="majorHAnsi"/>
          <w:sz w:val="20"/>
          <w:szCs w:val="20"/>
        </w:rPr>
        <w:t xml:space="preserve"> of the constitutional provisions appearing in Articles</w:t>
      </w:r>
      <w:r w:rsidR="00B36400" w:rsidRPr="00FC406F">
        <w:rPr>
          <w:rFonts w:asciiTheme="majorHAnsi" w:hAnsiTheme="majorHAnsi"/>
          <w:sz w:val="20"/>
          <w:szCs w:val="20"/>
        </w:rPr>
        <w:t xml:space="preserve"> 147</w:t>
      </w:r>
      <w:r w:rsidR="00E17656" w:rsidRPr="00FC406F">
        <w:rPr>
          <w:rFonts w:asciiTheme="majorHAnsi" w:hAnsiTheme="majorHAnsi"/>
          <w:sz w:val="20"/>
          <w:szCs w:val="20"/>
        </w:rPr>
        <w:t>(</w:t>
      </w:r>
      <w:r w:rsidR="00B36400" w:rsidRPr="00FC406F">
        <w:rPr>
          <w:rFonts w:asciiTheme="majorHAnsi" w:hAnsiTheme="majorHAnsi"/>
          <w:sz w:val="20"/>
          <w:szCs w:val="20"/>
        </w:rPr>
        <w:t>a)</w:t>
      </w:r>
      <w:r w:rsidR="00E17656" w:rsidRPr="00FC406F">
        <w:rPr>
          <w:rFonts w:asciiTheme="majorHAnsi" w:hAnsiTheme="majorHAnsi"/>
          <w:sz w:val="20"/>
          <w:szCs w:val="20"/>
        </w:rPr>
        <w:t xml:space="preserve"> and (</w:t>
      </w:r>
      <w:r w:rsidR="00B36400" w:rsidRPr="00FC406F">
        <w:rPr>
          <w:rFonts w:asciiTheme="majorHAnsi" w:hAnsiTheme="majorHAnsi"/>
          <w:sz w:val="20"/>
          <w:szCs w:val="20"/>
        </w:rPr>
        <w:t xml:space="preserve">b) </w:t>
      </w:r>
      <w:r w:rsidR="00E17656" w:rsidRPr="00FC406F">
        <w:rPr>
          <w:rFonts w:asciiTheme="majorHAnsi" w:hAnsiTheme="majorHAnsi"/>
          <w:sz w:val="20"/>
          <w:szCs w:val="20"/>
        </w:rPr>
        <w:t>and</w:t>
      </w:r>
      <w:r w:rsidR="00B36400" w:rsidRPr="00FC406F">
        <w:rPr>
          <w:rFonts w:asciiTheme="majorHAnsi" w:hAnsiTheme="majorHAnsi"/>
          <w:sz w:val="20"/>
          <w:szCs w:val="20"/>
        </w:rPr>
        <w:t xml:space="preserve"> 178. </w:t>
      </w:r>
      <w:r w:rsidR="00E17656" w:rsidRPr="00FC406F">
        <w:rPr>
          <w:rFonts w:asciiTheme="majorHAnsi" w:hAnsiTheme="majorHAnsi"/>
          <w:sz w:val="20"/>
          <w:szCs w:val="20"/>
        </w:rPr>
        <w:t>In said ruling, the Supreme Court of Justice set forth the following reasoning</w:t>
      </w:r>
      <w:r w:rsidR="00B36400" w:rsidRPr="00FC406F">
        <w:rPr>
          <w:rFonts w:asciiTheme="majorHAnsi" w:hAnsiTheme="majorHAnsi"/>
          <w:sz w:val="20"/>
          <w:szCs w:val="20"/>
        </w:rPr>
        <w:t>:</w:t>
      </w:r>
    </w:p>
    <w:p w14:paraId="11D21AAE" w14:textId="77777777" w:rsidR="00B36400" w:rsidRPr="00FC406F" w:rsidRDefault="00B36400" w:rsidP="00B3640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sz w:val="20"/>
          <w:szCs w:val="20"/>
        </w:rPr>
      </w:pPr>
    </w:p>
    <w:p w14:paraId="44564A25" w14:textId="77777777" w:rsidR="00B36400" w:rsidRPr="00FC406F" w:rsidRDefault="00E17656" w:rsidP="00B36400">
      <w:pPr>
        <w:pStyle w:val="parrafos"/>
        <w:ind w:left="360" w:right="360" w:firstLine="0"/>
        <w:rPr>
          <w:sz w:val="18"/>
          <w:szCs w:val="18"/>
        </w:rPr>
      </w:pPr>
      <w:r w:rsidRPr="00FC406F">
        <w:rPr>
          <w:sz w:val="18"/>
          <w:szCs w:val="18"/>
        </w:rPr>
        <w:t xml:space="preserve">(…) These provisions </w:t>
      </w:r>
      <w:r w:rsidR="00815937" w:rsidRPr="00FC406F">
        <w:rPr>
          <w:sz w:val="18"/>
          <w:szCs w:val="18"/>
        </w:rPr>
        <w:t>cre</w:t>
      </w:r>
      <w:r w:rsidR="00BA7C2A" w:rsidRPr="00FC406F">
        <w:rPr>
          <w:sz w:val="18"/>
          <w:szCs w:val="18"/>
        </w:rPr>
        <w:t>ate an electoral ban on the president and vice-president of the republic and on municipal mayors and d</w:t>
      </w:r>
      <w:r w:rsidRPr="00FC406F">
        <w:rPr>
          <w:sz w:val="18"/>
          <w:szCs w:val="18"/>
        </w:rPr>
        <w:t xml:space="preserve">eputy </w:t>
      </w:r>
      <w:r w:rsidR="00BA7C2A" w:rsidRPr="00FC406F">
        <w:rPr>
          <w:sz w:val="18"/>
          <w:szCs w:val="18"/>
        </w:rPr>
        <w:t>m</w:t>
      </w:r>
      <w:r w:rsidR="003F3C49" w:rsidRPr="00FC406F">
        <w:rPr>
          <w:sz w:val="18"/>
          <w:szCs w:val="18"/>
        </w:rPr>
        <w:t>ayors, which is a ban that IS NONAPPLICABLE</w:t>
      </w:r>
      <w:r w:rsidR="00BA7C2A" w:rsidRPr="00FC406F">
        <w:rPr>
          <w:sz w:val="18"/>
          <w:szCs w:val="18"/>
        </w:rPr>
        <w:t xml:space="preserve"> to</w:t>
      </w:r>
      <w:r w:rsidRPr="00FC406F">
        <w:rPr>
          <w:sz w:val="18"/>
          <w:szCs w:val="18"/>
        </w:rPr>
        <w:t xml:space="preserve"> the other</w:t>
      </w:r>
      <w:r w:rsidR="00815937" w:rsidRPr="00FC406F">
        <w:rPr>
          <w:sz w:val="18"/>
          <w:szCs w:val="18"/>
        </w:rPr>
        <w:t xml:space="preserve"> public offices elected by direct universal suffrage.</w:t>
      </w:r>
      <w:r w:rsidR="00B36400" w:rsidRPr="00FC406F">
        <w:rPr>
          <w:sz w:val="18"/>
          <w:szCs w:val="18"/>
        </w:rPr>
        <w:t xml:space="preserve"> (…) </w:t>
      </w:r>
      <w:r w:rsidR="00815937" w:rsidRPr="00FC406F">
        <w:rPr>
          <w:sz w:val="18"/>
          <w:szCs w:val="18"/>
        </w:rPr>
        <w:t>As a result, th</w:t>
      </w:r>
      <w:r w:rsidR="003B0701" w:rsidRPr="00FC406F">
        <w:rPr>
          <w:sz w:val="18"/>
          <w:szCs w:val="18"/>
        </w:rPr>
        <w:t>e constitutional provisions in which that electoral ban appears are</w:t>
      </w:r>
      <w:r w:rsidR="00BA7C2A" w:rsidRPr="00FC406F">
        <w:rPr>
          <w:sz w:val="18"/>
          <w:szCs w:val="18"/>
        </w:rPr>
        <w:t xml:space="preserve"> solely for the president and vice-president, mayors and deputy m</w:t>
      </w:r>
      <w:r w:rsidR="00815937" w:rsidRPr="00FC406F">
        <w:rPr>
          <w:sz w:val="18"/>
          <w:szCs w:val="18"/>
        </w:rPr>
        <w:t>ayors</w:t>
      </w:r>
      <w:r w:rsidR="003B0701" w:rsidRPr="00FC406F">
        <w:rPr>
          <w:sz w:val="18"/>
          <w:szCs w:val="18"/>
        </w:rPr>
        <w:t xml:space="preserve"> and constitute</w:t>
      </w:r>
      <w:r w:rsidR="00255D72" w:rsidRPr="00FC406F">
        <w:rPr>
          <w:sz w:val="18"/>
          <w:szCs w:val="18"/>
        </w:rPr>
        <w:t xml:space="preserve"> unequal treatment although it is clear there is equality of </w:t>
      </w:r>
      <w:r w:rsidR="00D62916" w:rsidRPr="00FC406F">
        <w:rPr>
          <w:sz w:val="18"/>
          <w:szCs w:val="18"/>
        </w:rPr>
        <w:t>terms</w:t>
      </w:r>
      <w:r w:rsidR="00255D72" w:rsidRPr="00FC406F">
        <w:rPr>
          <w:sz w:val="18"/>
          <w:szCs w:val="18"/>
        </w:rPr>
        <w:t>, running counter to the principle of equality and the principle of proportionality</w:t>
      </w:r>
      <w:r w:rsidR="00B36400" w:rsidRPr="00FC406F">
        <w:rPr>
          <w:sz w:val="18"/>
          <w:szCs w:val="18"/>
        </w:rPr>
        <w:t xml:space="preserve"> (…)</w:t>
      </w:r>
    </w:p>
    <w:p w14:paraId="3D674B7A" w14:textId="77777777" w:rsidR="00B36400" w:rsidRPr="00FC406F" w:rsidRDefault="00B36400" w:rsidP="00B36400">
      <w:pPr>
        <w:pStyle w:val="parrafos"/>
        <w:ind w:left="0" w:right="360" w:firstLine="0"/>
        <w:rPr>
          <w:sz w:val="18"/>
          <w:szCs w:val="18"/>
        </w:rPr>
      </w:pPr>
    </w:p>
    <w:p w14:paraId="3EC75F96" w14:textId="77777777" w:rsidR="00B36400" w:rsidRPr="00FC406F" w:rsidRDefault="00255D72" w:rsidP="00B36400">
      <w:pPr>
        <w:pStyle w:val="parrafos"/>
        <w:ind w:left="360" w:right="360" w:firstLine="0"/>
        <w:rPr>
          <w:sz w:val="18"/>
          <w:szCs w:val="18"/>
        </w:rPr>
      </w:pPr>
      <w:r w:rsidRPr="00FC406F">
        <w:rPr>
          <w:sz w:val="18"/>
          <w:szCs w:val="18"/>
        </w:rPr>
        <w:t>THE PRESENT SUPREME COURT OF JUSTICE deems and ratifies that both the President of the Republic, Commander</w:t>
      </w:r>
      <w:r w:rsidR="00B36400" w:rsidRPr="00FC406F">
        <w:rPr>
          <w:sz w:val="18"/>
          <w:szCs w:val="18"/>
        </w:rPr>
        <w:t xml:space="preserve"> José Daniel Ortega Saavedra</w:t>
      </w:r>
      <w:r w:rsidR="00BA7C2A" w:rsidRPr="00FC406F">
        <w:rPr>
          <w:sz w:val="18"/>
          <w:szCs w:val="18"/>
        </w:rPr>
        <w:t>, and the m</w:t>
      </w:r>
      <w:r w:rsidRPr="00FC406F">
        <w:rPr>
          <w:sz w:val="18"/>
          <w:szCs w:val="18"/>
        </w:rPr>
        <w:t>ayors who came under the protection of Judgment</w:t>
      </w:r>
      <w:r w:rsidR="00B36400" w:rsidRPr="00FC406F">
        <w:rPr>
          <w:sz w:val="18"/>
          <w:szCs w:val="18"/>
        </w:rPr>
        <w:t xml:space="preserve"> No. 504-2009, </w:t>
      </w:r>
      <w:r w:rsidRPr="00FC406F">
        <w:rPr>
          <w:sz w:val="18"/>
          <w:szCs w:val="18"/>
        </w:rPr>
        <w:t>are eligible to run for office in national and municipal elections in 2011 and 2012, respectively</w:t>
      </w:r>
      <w:r w:rsidR="00B36400" w:rsidRPr="00FC406F">
        <w:rPr>
          <w:sz w:val="18"/>
          <w:szCs w:val="18"/>
        </w:rPr>
        <w:t xml:space="preserve">, </w:t>
      </w:r>
      <w:r w:rsidRPr="00FC406F">
        <w:rPr>
          <w:sz w:val="18"/>
          <w:szCs w:val="18"/>
        </w:rPr>
        <w:t xml:space="preserve">as well as </w:t>
      </w:r>
      <w:r w:rsidR="003B0701" w:rsidRPr="00FC406F">
        <w:rPr>
          <w:sz w:val="18"/>
          <w:szCs w:val="18"/>
        </w:rPr>
        <w:t>in subsequent elections,</w:t>
      </w:r>
      <w:r w:rsidR="00BA7C2A" w:rsidRPr="00FC406F">
        <w:rPr>
          <w:sz w:val="18"/>
          <w:szCs w:val="18"/>
        </w:rPr>
        <w:t xml:space="preserve"> the former as president of the r</w:t>
      </w:r>
      <w:r w:rsidRPr="00FC406F">
        <w:rPr>
          <w:sz w:val="18"/>
          <w:szCs w:val="18"/>
        </w:rPr>
        <w:t>epublic and the</w:t>
      </w:r>
      <w:r w:rsidR="00BA7C2A" w:rsidRPr="00FC406F">
        <w:rPr>
          <w:sz w:val="18"/>
          <w:szCs w:val="18"/>
        </w:rPr>
        <w:t xml:space="preserve"> latter as m</w:t>
      </w:r>
      <w:r w:rsidRPr="00FC406F">
        <w:rPr>
          <w:sz w:val="18"/>
          <w:szCs w:val="18"/>
        </w:rPr>
        <w:t>ayors</w:t>
      </w:r>
      <w:r w:rsidR="00B36400" w:rsidRPr="00FC406F">
        <w:rPr>
          <w:sz w:val="18"/>
          <w:szCs w:val="18"/>
        </w:rPr>
        <w:t xml:space="preserve">, </w:t>
      </w:r>
      <w:r w:rsidRPr="00FC406F">
        <w:rPr>
          <w:sz w:val="18"/>
          <w:szCs w:val="18"/>
        </w:rPr>
        <w:t>because as established in Judgment No. 504-2009 and</w:t>
      </w:r>
      <w:r w:rsidR="00B36400" w:rsidRPr="00FC406F">
        <w:rPr>
          <w:sz w:val="18"/>
          <w:szCs w:val="18"/>
        </w:rPr>
        <w:t xml:space="preserve"> 67-2010 </w:t>
      </w:r>
      <w:r w:rsidRPr="00FC406F">
        <w:rPr>
          <w:sz w:val="18"/>
          <w:szCs w:val="18"/>
        </w:rPr>
        <w:t>and we reiterate the wording here: “The principle of the sovereignty of the people and the right to elect and be elected cannot be altered not even by the Derived Constitutional Convention because it is a substantive and essential human right</w:t>
      </w:r>
      <w:r w:rsidR="00B36400" w:rsidRPr="00FC406F">
        <w:rPr>
          <w:sz w:val="18"/>
          <w:szCs w:val="18"/>
        </w:rPr>
        <w:t>.</w:t>
      </w:r>
    </w:p>
    <w:p w14:paraId="01AAD649" w14:textId="77777777" w:rsidR="00B36400" w:rsidRPr="00FC406F" w:rsidRDefault="00B36400" w:rsidP="00B36400">
      <w:pPr>
        <w:pStyle w:val="parrafos"/>
        <w:ind w:left="360" w:right="360" w:firstLine="0"/>
        <w:rPr>
          <w:sz w:val="18"/>
          <w:szCs w:val="18"/>
        </w:rPr>
      </w:pPr>
    </w:p>
    <w:p w14:paraId="11EB6B5D" w14:textId="77777777" w:rsidR="00B36400" w:rsidRPr="00FC406F" w:rsidRDefault="00B36400" w:rsidP="00B36400">
      <w:pPr>
        <w:pStyle w:val="parrafos"/>
        <w:ind w:left="360" w:right="360" w:firstLine="0"/>
        <w:rPr>
          <w:sz w:val="18"/>
          <w:szCs w:val="18"/>
        </w:rPr>
      </w:pPr>
      <w:r w:rsidRPr="00FC406F">
        <w:rPr>
          <w:sz w:val="18"/>
          <w:szCs w:val="18"/>
        </w:rPr>
        <w:t xml:space="preserve">(…) </w:t>
      </w:r>
      <w:r w:rsidR="00255D72" w:rsidRPr="00FC406F">
        <w:rPr>
          <w:sz w:val="18"/>
          <w:szCs w:val="18"/>
        </w:rPr>
        <w:t>IN THE INSTANT CASE THE UNCONSTITUTIONALITY IS UPHELD as declared in the THEREFORE</w:t>
      </w:r>
      <w:r w:rsidRPr="00FC406F">
        <w:rPr>
          <w:sz w:val="18"/>
          <w:szCs w:val="18"/>
        </w:rPr>
        <w:t xml:space="preserve"> </w:t>
      </w:r>
      <w:r w:rsidR="00255D72" w:rsidRPr="00FC406F">
        <w:rPr>
          <w:sz w:val="18"/>
          <w:szCs w:val="18"/>
        </w:rPr>
        <w:t xml:space="preserve">clause of Judgment </w:t>
      </w:r>
      <w:r w:rsidRPr="00FC406F">
        <w:rPr>
          <w:sz w:val="18"/>
          <w:szCs w:val="18"/>
        </w:rPr>
        <w:t xml:space="preserve">No. 504 (…) </w:t>
      </w:r>
      <w:r w:rsidR="00BA7C2A" w:rsidRPr="00FC406F">
        <w:rPr>
          <w:sz w:val="18"/>
          <w:szCs w:val="18"/>
        </w:rPr>
        <w:t xml:space="preserve">as a result of which: ERGA OMNES </w:t>
      </w:r>
      <w:r w:rsidR="003F3C49" w:rsidRPr="00FC406F">
        <w:rPr>
          <w:sz w:val="18"/>
          <w:szCs w:val="18"/>
        </w:rPr>
        <w:t>NONAPPLICABILITY</w:t>
      </w:r>
      <w:r w:rsidR="00255D72" w:rsidRPr="00FC406F">
        <w:rPr>
          <w:sz w:val="18"/>
          <w:szCs w:val="18"/>
        </w:rPr>
        <w:t xml:space="preserve"> IS HEREBY DECLARED</w:t>
      </w:r>
      <w:r w:rsidR="00B65974" w:rsidRPr="00FC406F">
        <w:rPr>
          <w:sz w:val="18"/>
          <w:szCs w:val="18"/>
        </w:rPr>
        <w:t xml:space="preserve"> for the following constitutional provisions</w:t>
      </w:r>
      <w:r w:rsidRPr="00FC406F">
        <w:rPr>
          <w:sz w:val="18"/>
          <w:szCs w:val="18"/>
        </w:rPr>
        <w:t xml:space="preserve">: </w:t>
      </w:r>
      <w:r w:rsidR="00B65974" w:rsidRPr="00FC406F">
        <w:rPr>
          <w:sz w:val="18"/>
          <w:szCs w:val="18"/>
        </w:rPr>
        <w:t>ARTICLE 147 of the Constitution, solely in that part that literally reads, in its entirety, as follows</w:t>
      </w:r>
      <w:r w:rsidRPr="00FC406F">
        <w:rPr>
          <w:sz w:val="18"/>
          <w:szCs w:val="18"/>
        </w:rPr>
        <w:t>: “</w:t>
      </w:r>
      <w:r w:rsidR="00B65974" w:rsidRPr="00FC406F">
        <w:rPr>
          <w:rFonts w:ascii="Cambria" w:hAnsi="Cambria"/>
          <w:sz w:val="18"/>
          <w:szCs w:val="18"/>
        </w:rPr>
        <w:t>The following persons may not run for President or Vice President of the Republic: a) Persons who have exercised the full powers of the presidency at any time during the period when the election for the following term is held, nor anyone who has exercised them for two presidential terms</w:t>
      </w:r>
      <w:r w:rsidRPr="00FC406F">
        <w:rPr>
          <w:sz w:val="18"/>
          <w:szCs w:val="18"/>
        </w:rPr>
        <w:t xml:space="preserve"> (…)</w:t>
      </w:r>
      <w:r w:rsidR="00B65974" w:rsidRPr="00FC406F">
        <w:rPr>
          <w:sz w:val="18"/>
          <w:szCs w:val="18"/>
        </w:rPr>
        <w:t>.</w:t>
      </w:r>
      <w:r w:rsidR="003B0701" w:rsidRPr="00FC406F">
        <w:rPr>
          <w:sz w:val="18"/>
          <w:szCs w:val="18"/>
        </w:rPr>
        <w:t>”</w:t>
      </w:r>
      <w:r w:rsidRPr="00FC406F">
        <w:rPr>
          <w:rStyle w:val="FootnoteReference"/>
          <w:sz w:val="18"/>
          <w:szCs w:val="18"/>
        </w:rPr>
        <w:footnoteReference w:id="15"/>
      </w:r>
    </w:p>
    <w:p w14:paraId="0F829526" w14:textId="77777777" w:rsidR="00B36400" w:rsidRPr="00FC406F" w:rsidRDefault="00B36400" w:rsidP="00B36400"/>
    <w:p w14:paraId="1FA08C6D" w14:textId="77777777" w:rsidR="00B36400" w:rsidRPr="00FC406F" w:rsidRDefault="00B65974" w:rsidP="00B36400">
      <w:pPr>
        <w:pStyle w:val="Heading2"/>
      </w:pPr>
      <w:bookmarkStart w:id="16" w:name="_Toc42609971"/>
      <w:bookmarkStart w:id="17" w:name="_Toc56778653"/>
      <w:r w:rsidRPr="00FC406F">
        <w:t>Facts of the instant case</w:t>
      </w:r>
      <w:bookmarkEnd w:id="16"/>
      <w:bookmarkEnd w:id="17"/>
    </w:p>
    <w:p w14:paraId="6D37FF39" w14:textId="77777777" w:rsidR="00B36400" w:rsidRPr="00FC406F" w:rsidRDefault="00B36400" w:rsidP="00B36400"/>
    <w:p w14:paraId="18470E71" w14:textId="77777777" w:rsidR="00B36400" w:rsidRPr="00FC406F" w:rsidRDefault="00B65974" w:rsidP="00031C3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rPr>
      </w:pPr>
      <w:r w:rsidRPr="00FC406F">
        <w:rPr>
          <w:rFonts w:asciiTheme="majorHAnsi" w:hAnsiTheme="majorHAnsi"/>
          <w:sz w:val="20"/>
          <w:szCs w:val="20"/>
        </w:rPr>
        <w:t>The alleged victim</w:t>
      </w:r>
      <w:r w:rsidR="00B36400" w:rsidRPr="00FC406F">
        <w:rPr>
          <w:rFonts w:asciiTheme="majorHAnsi" w:hAnsiTheme="majorHAnsi"/>
          <w:sz w:val="20"/>
          <w:szCs w:val="20"/>
        </w:rPr>
        <w:t>, Fabio Gadea Mantilla</w:t>
      </w:r>
      <w:r w:rsidRPr="00FC406F">
        <w:rPr>
          <w:rFonts w:asciiTheme="majorHAnsi" w:hAnsiTheme="majorHAnsi"/>
          <w:sz w:val="20"/>
          <w:szCs w:val="20"/>
        </w:rPr>
        <w:t>, is a Nicaraguan journalist and politician who has, on two occasions, been a candidate for a seat in the Central American Parliament and, on one occasion, been a candidate as national congressperson.</w:t>
      </w:r>
      <w:r w:rsidR="00B36400" w:rsidRPr="00FC406F">
        <w:rPr>
          <w:rStyle w:val="FootnoteReference"/>
          <w:rFonts w:asciiTheme="majorHAnsi" w:hAnsiTheme="majorHAnsi"/>
          <w:sz w:val="20"/>
          <w:szCs w:val="20"/>
        </w:rPr>
        <w:footnoteReference w:id="16"/>
      </w:r>
      <w:r w:rsidRPr="00FC406F">
        <w:rPr>
          <w:rFonts w:asciiTheme="majorHAnsi" w:hAnsiTheme="majorHAnsi"/>
          <w:sz w:val="20"/>
          <w:szCs w:val="20"/>
        </w:rPr>
        <w:t xml:space="preserve"> The facts of the present case involve his politi</w:t>
      </w:r>
      <w:r w:rsidR="00581BED" w:rsidRPr="00FC406F">
        <w:rPr>
          <w:rFonts w:asciiTheme="majorHAnsi" w:hAnsiTheme="majorHAnsi"/>
          <w:sz w:val="20"/>
          <w:szCs w:val="20"/>
        </w:rPr>
        <w:t>cal participation as candidate running for</w:t>
      </w:r>
      <w:r w:rsidR="00BA7C2A" w:rsidRPr="00FC406F">
        <w:rPr>
          <w:rFonts w:asciiTheme="majorHAnsi" w:hAnsiTheme="majorHAnsi"/>
          <w:sz w:val="20"/>
          <w:szCs w:val="20"/>
        </w:rPr>
        <w:t xml:space="preserve"> p</w:t>
      </w:r>
      <w:r w:rsidRPr="00FC406F">
        <w:rPr>
          <w:rFonts w:asciiTheme="majorHAnsi" w:hAnsiTheme="majorHAnsi"/>
          <w:sz w:val="20"/>
          <w:szCs w:val="20"/>
        </w:rPr>
        <w:t>resident of the Republic of Nicaragua in the elections of 2011</w:t>
      </w:r>
      <w:r w:rsidR="00B36400" w:rsidRPr="00FC406F">
        <w:rPr>
          <w:rFonts w:asciiTheme="majorHAnsi" w:hAnsiTheme="majorHAnsi"/>
          <w:sz w:val="20"/>
          <w:szCs w:val="20"/>
        </w:rPr>
        <w:t xml:space="preserve">. </w:t>
      </w:r>
    </w:p>
    <w:p w14:paraId="7901CBB4" w14:textId="77777777" w:rsidR="00B36400" w:rsidRPr="00FC406F" w:rsidRDefault="00B36400" w:rsidP="00B3640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sz w:val="20"/>
          <w:szCs w:val="20"/>
        </w:rPr>
      </w:pPr>
      <w:r w:rsidRPr="00FC406F">
        <w:rPr>
          <w:rFonts w:asciiTheme="majorHAnsi" w:hAnsiTheme="majorHAnsi"/>
          <w:sz w:val="20"/>
          <w:szCs w:val="20"/>
        </w:rPr>
        <w:t xml:space="preserve"> </w:t>
      </w:r>
    </w:p>
    <w:p w14:paraId="54F0C39B" w14:textId="77777777" w:rsidR="00B36400" w:rsidRPr="00FC406F" w:rsidRDefault="00B65974" w:rsidP="00031C3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rPr>
      </w:pPr>
      <w:r w:rsidRPr="00FC406F">
        <w:rPr>
          <w:rFonts w:asciiTheme="majorHAnsi" w:hAnsiTheme="majorHAnsi"/>
          <w:sz w:val="20"/>
          <w:szCs w:val="20"/>
        </w:rPr>
        <w:t xml:space="preserve">According to available information, on October 28, 2010, the Supreme Electoral Council announced elections for </w:t>
      </w:r>
      <w:r w:rsidR="00BA7C2A" w:rsidRPr="00FC406F">
        <w:rPr>
          <w:rFonts w:asciiTheme="majorHAnsi" w:hAnsiTheme="majorHAnsi"/>
          <w:sz w:val="20"/>
          <w:szCs w:val="20"/>
        </w:rPr>
        <w:t>president and vice-p</w:t>
      </w:r>
      <w:r w:rsidRPr="00FC406F">
        <w:rPr>
          <w:rFonts w:asciiTheme="majorHAnsi" w:hAnsiTheme="majorHAnsi"/>
          <w:sz w:val="20"/>
          <w:szCs w:val="20"/>
        </w:rPr>
        <w:t xml:space="preserve">resident of the </w:t>
      </w:r>
      <w:r w:rsidR="00BA7C2A" w:rsidRPr="00FC406F">
        <w:rPr>
          <w:rFonts w:asciiTheme="majorHAnsi" w:hAnsiTheme="majorHAnsi"/>
          <w:sz w:val="20"/>
          <w:szCs w:val="20"/>
        </w:rPr>
        <w:t>r</w:t>
      </w:r>
      <w:r w:rsidRPr="00FC406F">
        <w:rPr>
          <w:rFonts w:asciiTheme="majorHAnsi" w:hAnsiTheme="majorHAnsi"/>
          <w:sz w:val="20"/>
          <w:szCs w:val="20"/>
        </w:rPr>
        <w:t>epublic and other public offices, on the basis of the following terms</w:t>
      </w:r>
      <w:r w:rsidR="00B36400" w:rsidRPr="00FC406F">
        <w:rPr>
          <w:rFonts w:asciiTheme="majorHAnsi" w:hAnsiTheme="majorHAnsi"/>
          <w:sz w:val="20"/>
          <w:szCs w:val="20"/>
        </w:rPr>
        <w:t>:</w:t>
      </w:r>
    </w:p>
    <w:p w14:paraId="338CFE08" w14:textId="77777777" w:rsidR="00B36400" w:rsidRPr="00FC406F" w:rsidRDefault="00B36400" w:rsidP="00B3640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Theme="majorHAnsi" w:hAnsiTheme="majorHAnsi"/>
          <w:sz w:val="18"/>
          <w:szCs w:val="18"/>
        </w:rPr>
      </w:pPr>
    </w:p>
    <w:p w14:paraId="42FA41E3" w14:textId="77777777" w:rsidR="00B36400" w:rsidRPr="00FC406F" w:rsidRDefault="00B65974" w:rsidP="00B3640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Theme="majorHAnsi" w:hAnsiTheme="majorHAnsi"/>
          <w:sz w:val="18"/>
          <w:szCs w:val="18"/>
        </w:rPr>
      </w:pPr>
      <w:r w:rsidRPr="00FC406F">
        <w:rPr>
          <w:rFonts w:asciiTheme="majorHAnsi" w:hAnsiTheme="majorHAnsi"/>
          <w:sz w:val="18"/>
          <w:szCs w:val="18"/>
        </w:rPr>
        <w:t>It hereby agrees</w:t>
      </w:r>
      <w:r w:rsidR="00B36400" w:rsidRPr="00FC406F">
        <w:rPr>
          <w:rFonts w:asciiTheme="majorHAnsi" w:hAnsiTheme="majorHAnsi"/>
          <w:sz w:val="18"/>
          <w:szCs w:val="18"/>
        </w:rPr>
        <w:t xml:space="preserve">. </w:t>
      </w:r>
      <w:r w:rsidRPr="00FC406F">
        <w:rPr>
          <w:rFonts w:asciiTheme="majorHAnsi" w:hAnsiTheme="majorHAnsi"/>
          <w:sz w:val="18"/>
          <w:szCs w:val="18"/>
        </w:rPr>
        <w:t>First</w:t>
      </w:r>
      <w:r w:rsidR="00B36400" w:rsidRPr="00FC406F">
        <w:rPr>
          <w:rFonts w:asciiTheme="majorHAnsi" w:hAnsiTheme="majorHAnsi"/>
          <w:sz w:val="18"/>
          <w:szCs w:val="18"/>
        </w:rPr>
        <w:t xml:space="preserve">: </w:t>
      </w:r>
      <w:r w:rsidRPr="00FC406F">
        <w:rPr>
          <w:rFonts w:asciiTheme="majorHAnsi" w:hAnsiTheme="majorHAnsi"/>
          <w:sz w:val="18"/>
          <w:szCs w:val="18"/>
        </w:rPr>
        <w:t xml:space="preserve">To </w:t>
      </w:r>
      <w:r w:rsidR="00BA7C2A" w:rsidRPr="00FC406F">
        <w:rPr>
          <w:rFonts w:asciiTheme="majorHAnsi" w:hAnsiTheme="majorHAnsi"/>
          <w:sz w:val="18"/>
          <w:szCs w:val="18"/>
        </w:rPr>
        <w:t>convene elections to elect the president and vice-president of the r</w:t>
      </w:r>
      <w:r w:rsidRPr="00FC406F">
        <w:rPr>
          <w:rFonts w:asciiTheme="majorHAnsi" w:hAnsiTheme="majorHAnsi"/>
          <w:sz w:val="18"/>
          <w:szCs w:val="18"/>
        </w:rPr>
        <w:t>epublic,</w:t>
      </w:r>
      <w:r w:rsidR="00581BED" w:rsidRPr="00FC406F">
        <w:rPr>
          <w:rFonts w:asciiTheme="majorHAnsi" w:hAnsiTheme="majorHAnsi"/>
          <w:sz w:val="18"/>
          <w:szCs w:val="18"/>
        </w:rPr>
        <w:t xml:space="preserve"> and to elect congresspersons to</w:t>
      </w:r>
      <w:r w:rsidRPr="00FC406F">
        <w:rPr>
          <w:rFonts w:asciiTheme="majorHAnsi" w:hAnsiTheme="majorHAnsi"/>
          <w:sz w:val="18"/>
          <w:szCs w:val="18"/>
        </w:rPr>
        <w:t xml:space="preserve"> the National Assembly</w:t>
      </w:r>
      <w:r w:rsidR="00B36400" w:rsidRPr="00FC406F">
        <w:rPr>
          <w:rFonts w:asciiTheme="majorHAnsi" w:hAnsiTheme="majorHAnsi"/>
          <w:sz w:val="18"/>
          <w:szCs w:val="18"/>
        </w:rPr>
        <w:t xml:space="preserve">; 20 </w:t>
      </w:r>
      <w:r w:rsidR="00581BED" w:rsidRPr="00FC406F">
        <w:rPr>
          <w:rFonts w:asciiTheme="majorHAnsi" w:hAnsiTheme="majorHAnsi"/>
          <w:sz w:val="18"/>
          <w:szCs w:val="18"/>
        </w:rPr>
        <w:t xml:space="preserve">congresspersons </w:t>
      </w:r>
      <w:r w:rsidR="00E5628F" w:rsidRPr="00FC406F">
        <w:rPr>
          <w:rFonts w:asciiTheme="majorHAnsi" w:hAnsiTheme="majorHAnsi"/>
          <w:sz w:val="18"/>
          <w:szCs w:val="18"/>
        </w:rPr>
        <w:t xml:space="preserve">with a national constituency </w:t>
      </w:r>
      <w:r w:rsidR="00581BED" w:rsidRPr="00FC406F">
        <w:rPr>
          <w:rFonts w:asciiTheme="majorHAnsi" w:hAnsiTheme="majorHAnsi"/>
          <w:sz w:val="18"/>
          <w:szCs w:val="18"/>
        </w:rPr>
        <w:t>and 70 c</w:t>
      </w:r>
      <w:r w:rsidRPr="00FC406F">
        <w:rPr>
          <w:rFonts w:asciiTheme="majorHAnsi" w:hAnsiTheme="majorHAnsi"/>
          <w:sz w:val="18"/>
          <w:szCs w:val="18"/>
        </w:rPr>
        <w:t>ongressper</w:t>
      </w:r>
      <w:r w:rsidR="00581BED" w:rsidRPr="00FC406F">
        <w:rPr>
          <w:rFonts w:asciiTheme="majorHAnsi" w:hAnsiTheme="majorHAnsi"/>
          <w:sz w:val="18"/>
          <w:szCs w:val="18"/>
        </w:rPr>
        <w:t>sons</w:t>
      </w:r>
      <w:r w:rsidR="00E5628F" w:rsidRPr="00FC406F">
        <w:rPr>
          <w:rFonts w:asciiTheme="majorHAnsi" w:hAnsiTheme="majorHAnsi"/>
          <w:sz w:val="18"/>
          <w:szCs w:val="18"/>
        </w:rPr>
        <w:t xml:space="preserve"> with a departmental constituency</w:t>
      </w:r>
      <w:r w:rsidR="00581BED" w:rsidRPr="00FC406F">
        <w:rPr>
          <w:rFonts w:asciiTheme="majorHAnsi" w:hAnsiTheme="majorHAnsi"/>
          <w:sz w:val="18"/>
          <w:szCs w:val="18"/>
        </w:rPr>
        <w:t>; to elect congresspersons to t</w:t>
      </w:r>
      <w:r w:rsidRPr="00FC406F">
        <w:rPr>
          <w:rFonts w:asciiTheme="majorHAnsi" w:hAnsiTheme="majorHAnsi"/>
          <w:sz w:val="18"/>
          <w:szCs w:val="18"/>
        </w:rPr>
        <w:t xml:space="preserve">he Central American Parliament; </w:t>
      </w:r>
      <w:r w:rsidR="00640F51" w:rsidRPr="00FC406F">
        <w:rPr>
          <w:rFonts w:asciiTheme="majorHAnsi" w:hAnsiTheme="majorHAnsi"/>
          <w:sz w:val="18"/>
          <w:szCs w:val="18"/>
        </w:rPr>
        <w:t xml:space="preserve">20 national congresspersons; to be verified on Sunday </w:t>
      </w:r>
      <w:r w:rsidR="00581BED" w:rsidRPr="00FC406F">
        <w:rPr>
          <w:rFonts w:asciiTheme="majorHAnsi" w:hAnsiTheme="majorHAnsi"/>
          <w:sz w:val="18"/>
          <w:szCs w:val="18"/>
        </w:rPr>
        <w:t>the sixth of November in the year tw</w:t>
      </w:r>
      <w:r w:rsidR="00640F51" w:rsidRPr="00FC406F">
        <w:rPr>
          <w:rFonts w:asciiTheme="majorHAnsi" w:hAnsiTheme="majorHAnsi"/>
          <w:sz w:val="18"/>
          <w:szCs w:val="18"/>
        </w:rPr>
        <w:t>o thousand eleven.</w:t>
      </w:r>
      <w:r w:rsidR="00B36400" w:rsidRPr="00FC406F">
        <w:rPr>
          <w:rFonts w:ascii="Cambria" w:hAnsi="Cambria"/>
          <w:sz w:val="16"/>
          <w:szCs w:val="16"/>
          <w:vertAlign w:val="superscript"/>
        </w:rPr>
        <w:footnoteReference w:id="17"/>
      </w:r>
    </w:p>
    <w:p w14:paraId="15BE7829" w14:textId="77777777" w:rsidR="00B36400" w:rsidRPr="00FC406F" w:rsidRDefault="00B36400" w:rsidP="00B3640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sz w:val="20"/>
          <w:szCs w:val="20"/>
        </w:rPr>
      </w:pPr>
    </w:p>
    <w:p w14:paraId="47147670" w14:textId="77777777" w:rsidR="00B36400" w:rsidRPr="00FC406F" w:rsidRDefault="00640F51" w:rsidP="00031C3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rPr>
      </w:pPr>
      <w:r w:rsidRPr="00FC406F">
        <w:rPr>
          <w:rFonts w:asciiTheme="majorHAnsi" w:hAnsiTheme="majorHAnsi"/>
          <w:sz w:val="20"/>
          <w:szCs w:val="20"/>
        </w:rPr>
        <w:t>On March</w:t>
      </w:r>
      <w:r w:rsidR="00B36400" w:rsidRPr="00FC406F">
        <w:rPr>
          <w:rFonts w:asciiTheme="majorHAnsi" w:hAnsiTheme="majorHAnsi"/>
          <w:sz w:val="20"/>
          <w:szCs w:val="20"/>
        </w:rPr>
        <w:t xml:space="preserve"> 9</w:t>
      </w:r>
      <w:r w:rsidRPr="00FC406F">
        <w:rPr>
          <w:rFonts w:asciiTheme="majorHAnsi" w:hAnsiTheme="majorHAnsi"/>
          <w:sz w:val="20"/>
          <w:szCs w:val="20"/>
        </w:rPr>
        <w:t>,</w:t>
      </w:r>
      <w:r w:rsidR="00B36400" w:rsidRPr="00FC406F">
        <w:rPr>
          <w:rFonts w:asciiTheme="majorHAnsi" w:hAnsiTheme="majorHAnsi"/>
          <w:sz w:val="20"/>
          <w:szCs w:val="20"/>
        </w:rPr>
        <w:t xml:space="preserve"> 2011</w:t>
      </w:r>
      <w:r w:rsidRPr="00FC406F">
        <w:rPr>
          <w:rFonts w:asciiTheme="majorHAnsi" w:hAnsiTheme="majorHAnsi"/>
          <w:sz w:val="20"/>
          <w:szCs w:val="20"/>
        </w:rPr>
        <w:t>,</w:t>
      </w:r>
      <w:r w:rsidR="00A46006" w:rsidRPr="00FC406F">
        <w:rPr>
          <w:rFonts w:asciiTheme="majorHAnsi" w:hAnsiTheme="majorHAnsi"/>
          <w:sz w:val="20"/>
          <w:szCs w:val="20"/>
        </w:rPr>
        <w:t xml:space="preserve"> </w:t>
      </w:r>
      <w:r w:rsidRPr="00FC406F">
        <w:rPr>
          <w:rFonts w:asciiTheme="majorHAnsi" w:hAnsiTheme="majorHAnsi"/>
          <w:sz w:val="20"/>
          <w:szCs w:val="20"/>
        </w:rPr>
        <w:t xml:space="preserve">the alleged victim </w:t>
      </w:r>
      <w:r w:rsidR="00AD54BE" w:rsidRPr="00FC406F">
        <w:rPr>
          <w:rFonts w:asciiTheme="majorHAnsi" w:hAnsiTheme="majorHAnsi"/>
          <w:sz w:val="20"/>
          <w:szCs w:val="20"/>
        </w:rPr>
        <w:t>submitted</w:t>
      </w:r>
      <w:r w:rsidR="00581BED" w:rsidRPr="00FC406F">
        <w:rPr>
          <w:rFonts w:asciiTheme="majorHAnsi" w:hAnsiTheme="majorHAnsi"/>
          <w:sz w:val="20"/>
          <w:szCs w:val="20"/>
        </w:rPr>
        <w:t xml:space="preserve"> his candidacy to</w:t>
      </w:r>
      <w:r w:rsidRPr="00FC406F">
        <w:rPr>
          <w:rFonts w:asciiTheme="majorHAnsi" w:hAnsiTheme="majorHAnsi"/>
          <w:sz w:val="20"/>
          <w:szCs w:val="20"/>
        </w:rPr>
        <w:t xml:space="preserve"> the Supreme Electoral Co</w:t>
      </w:r>
      <w:r w:rsidR="00465D1B" w:rsidRPr="00FC406F">
        <w:rPr>
          <w:rFonts w:asciiTheme="majorHAnsi" w:hAnsiTheme="majorHAnsi"/>
          <w:sz w:val="20"/>
          <w:szCs w:val="20"/>
        </w:rPr>
        <w:t>uncil to run for the office of p</w:t>
      </w:r>
      <w:r w:rsidRPr="00FC406F">
        <w:rPr>
          <w:rFonts w:asciiTheme="majorHAnsi" w:hAnsiTheme="majorHAnsi"/>
          <w:sz w:val="20"/>
          <w:szCs w:val="20"/>
        </w:rPr>
        <w:t>resident of Nicaragua on behalf of the Independ</w:t>
      </w:r>
      <w:r w:rsidR="008800AB" w:rsidRPr="00FC406F">
        <w:rPr>
          <w:rFonts w:asciiTheme="majorHAnsi" w:hAnsiTheme="majorHAnsi"/>
          <w:sz w:val="20"/>
          <w:szCs w:val="20"/>
        </w:rPr>
        <w:t>e</w:t>
      </w:r>
      <w:r w:rsidRPr="00FC406F">
        <w:rPr>
          <w:rFonts w:asciiTheme="majorHAnsi" w:hAnsiTheme="majorHAnsi"/>
          <w:sz w:val="20"/>
          <w:szCs w:val="20"/>
        </w:rPr>
        <w:t>nt Liber</w:t>
      </w:r>
      <w:r w:rsidR="00AD54BE" w:rsidRPr="00FC406F">
        <w:rPr>
          <w:rFonts w:asciiTheme="majorHAnsi" w:hAnsiTheme="majorHAnsi"/>
          <w:sz w:val="20"/>
          <w:szCs w:val="20"/>
        </w:rPr>
        <w:t>al Party Alliance in the elections that would be held on November</w:t>
      </w:r>
      <w:r w:rsidR="00B36400" w:rsidRPr="00FC406F">
        <w:rPr>
          <w:rFonts w:asciiTheme="majorHAnsi" w:hAnsiTheme="majorHAnsi"/>
          <w:sz w:val="20"/>
          <w:szCs w:val="20"/>
        </w:rPr>
        <w:t xml:space="preserve"> 6</w:t>
      </w:r>
      <w:r w:rsidR="00AD54BE" w:rsidRPr="00FC406F">
        <w:rPr>
          <w:rFonts w:asciiTheme="majorHAnsi" w:hAnsiTheme="majorHAnsi"/>
          <w:sz w:val="20"/>
          <w:szCs w:val="20"/>
        </w:rPr>
        <w:t>,</w:t>
      </w:r>
      <w:r w:rsidR="00B36400" w:rsidRPr="00FC406F">
        <w:rPr>
          <w:rFonts w:asciiTheme="majorHAnsi" w:hAnsiTheme="majorHAnsi"/>
          <w:sz w:val="20"/>
          <w:szCs w:val="20"/>
        </w:rPr>
        <w:t xml:space="preserve"> 2011</w:t>
      </w:r>
      <w:r w:rsidR="00AD54BE" w:rsidRPr="00FC406F">
        <w:rPr>
          <w:rFonts w:asciiTheme="majorHAnsi" w:hAnsiTheme="majorHAnsi"/>
          <w:sz w:val="20"/>
          <w:szCs w:val="20"/>
        </w:rPr>
        <w:t>.</w:t>
      </w:r>
      <w:r w:rsidR="00B36400" w:rsidRPr="00FC406F">
        <w:rPr>
          <w:rStyle w:val="FootnoteReference"/>
          <w:rFonts w:asciiTheme="majorHAnsi" w:hAnsiTheme="majorHAnsi"/>
          <w:sz w:val="20"/>
          <w:szCs w:val="20"/>
        </w:rPr>
        <w:footnoteReference w:id="18"/>
      </w:r>
      <w:r w:rsidR="00AD54BE" w:rsidRPr="00FC406F">
        <w:rPr>
          <w:rFonts w:asciiTheme="majorHAnsi" w:hAnsiTheme="majorHAnsi"/>
          <w:sz w:val="20"/>
          <w:szCs w:val="20"/>
        </w:rPr>
        <w:t xml:space="preserve"> A few days thereafter, </w:t>
      </w:r>
      <w:r w:rsidR="00B36400" w:rsidRPr="00FC406F">
        <w:rPr>
          <w:rFonts w:asciiTheme="majorHAnsi" w:hAnsiTheme="majorHAnsi"/>
          <w:sz w:val="20"/>
          <w:szCs w:val="20"/>
        </w:rPr>
        <w:t xml:space="preserve">President Ortega </w:t>
      </w:r>
      <w:r w:rsidR="00AD54BE" w:rsidRPr="00FC406F">
        <w:rPr>
          <w:rFonts w:asciiTheme="majorHAnsi" w:hAnsiTheme="majorHAnsi"/>
          <w:sz w:val="20"/>
          <w:szCs w:val="20"/>
        </w:rPr>
        <w:t>submitted his candidacy to the Supreme Electoral Council to run for the same public office in the above-mentioned elections.</w:t>
      </w:r>
      <w:r w:rsidR="00B36400" w:rsidRPr="00FC406F">
        <w:rPr>
          <w:rStyle w:val="FootnoteReference"/>
          <w:rFonts w:asciiTheme="majorHAnsi" w:hAnsiTheme="majorHAnsi"/>
          <w:sz w:val="20"/>
          <w:szCs w:val="20"/>
        </w:rPr>
        <w:footnoteReference w:id="19"/>
      </w:r>
    </w:p>
    <w:p w14:paraId="771093B5" w14:textId="77777777" w:rsidR="00B36400" w:rsidRPr="00FC406F" w:rsidRDefault="00B36400" w:rsidP="00B3640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sz w:val="20"/>
          <w:szCs w:val="20"/>
        </w:rPr>
      </w:pPr>
    </w:p>
    <w:p w14:paraId="51FF6B9B" w14:textId="77777777" w:rsidR="00B36400" w:rsidRPr="00FC406F" w:rsidRDefault="00AD54BE" w:rsidP="00031C3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rPr>
      </w:pPr>
      <w:r w:rsidRPr="00FC406F">
        <w:rPr>
          <w:rFonts w:asciiTheme="majorHAnsi" w:hAnsiTheme="majorHAnsi"/>
          <w:sz w:val="20"/>
          <w:szCs w:val="20"/>
        </w:rPr>
        <w:t>On April</w:t>
      </w:r>
      <w:r w:rsidR="00B36400" w:rsidRPr="00FC406F">
        <w:rPr>
          <w:rFonts w:asciiTheme="majorHAnsi" w:hAnsiTheme="majorHAnsi"/>
          <w:sz w:val="20"/>
          <w:szCs w:val="20"/>
        </w:rPr>
        <w:t xml:space="preserve"> 6</w:t>
      </w:r>
      <w:r w:rsidRPr="00FC406F">
        <w:rPr>
          <w:rFonts w:asciiTheme="majorHAnsi" w:hAnsiTheme="majorHAnsi"/>
          <w:sz w:val="20"/>
          <w:szCs w:val="20"/>
        </w:rPr>
        <w:t>,</w:t>
      </w:r>
      <w:r w:rsidR="00B36400" w:rsidRPr="00FC406F">
        <w:rPr>
          <w:rFonts w:asciiTheme="majorHAnsi" w:hAnsiTheme="majorHAnsi"/>
          <w:sz w:val="20"/>
          <w:szCs w:val="20"/>
        </w:rPr>
        <w:t xml:space="preserve"> 2011</w:t>
      </w:r>
      <w:r w:rsidRPr="00FC406F">
        <w:rPr>
          <w:rFonts w:asciiTheme="majorHAnsi" w:hAnsiTheme="majorHAnsi"/>
          <w:sz w:val="20"/>
          <w:szCs w:val="20"/>
        </w:rPr>
        <w:t>, the Supreme Electoral Council published the final list of candidates</w:t>
      </w:r>
      <w:r w:rsidR="00B36400" w:rsidRPr="00FC406F">
        <w:rPr>
          <w:rFonts w:asciiTheme="majorHAnsi" w:hAnsiTheme="majorHAnsi"/>
          <w:sz w:val="20"/>
          <w:szCs w:val="20"/>
        </w:rPr>
        <w:t xml:space="preserve"> </w:t>
      </w:r>
      <w:r w:rsidR="00465D1B" w:rsidRPr="00FC406F">
        <w:rPr>
          <w:rFonts w:asciiTheme="majorHAnsi" w:hAnsiTheme="majorHAnsi"/>
          <w:sz w:val="20"/>
          <w:szCs w:val="20"/>
        </w:rPr>
        <w:t>for p</w:t>
      </w:r>
      <w:r w:rsidRPr="00FC406F">
        <w:rPr>
          <w:rFonts w:asciiTheme="majorHAnsi" w:hAnsiTheme="majorHAnsi"/>
          <w:sz w:val="20"/>
          <w:szCs w:val="20"/>
        </w:rPr>
        <w:t>res</w:t>
      </w:r>
      <w:r w:rsidR="00465D1B" w:rsidRPr="00FC406F">
        <w:rPr>
          <w:rFonts w:asciiTheme="majorHAnsi" w:hAnsiTheme="majorHAnsi"/>
          <w:sz w:val="20"/>
          <w:szCs w:val="20"/>
        </w:rPr>
        <w:t>ident and vice-p</w:t>
      </w:r>
      <w:r w:rsidRPr="00FC406F">
        <w:rPr>
          <w:rFonts w:asciiTheme="majorHAnsi" w:hAnsiTheme="majorHAnsi"/>
          <w:sz w:val="20"/>
          <w:szCs w:val="20"/>
        </w:rPr>
        <w:t>resident of the Re</w:t>
      </w:r>
      <w:r w:rsidR="00581BED" w:rsidRPr="00FC406F">
        <w:rPr>
          <w:rFonts w:asciiTheme="majorHAnsi" w:hAnsiTheme="majorHAnsi"/>
          <w:sz w:val="20"/>
          <w:szCs w:val="20"/>
        </w:rPr>
        <w:t>public, on</w:t>
      </w:r>
      <w:r w:rsidRPr="00FC406F">
        <w:rPr>
          <w:rFonts w:asciiTheme="majorHAnsi" w:hAnsiTheme="majorHAnsi"/>
          <w:sz w:val="20"/>
          <w:szCs w:val="20"/>
        </w:rPr>
        <w:t xml:space="preserve"> which both the alleged victim’s re</w:t>
      </w:r>
      <w:r w:rsidR="00465D1B" w:rsidRPr="00FC406F">
        <w:rPr>
          <w:rFonts w:asciiTheme="majorHAnsi" w:hAnsiTheme="majorHAnsi"/>
          <w:sz w:val="20"/>
          <w:szCs w:val="20"/>
        </w:rPr>
        <w:t>gistration of his</w:t>
      </w:r>
      <w:r w:rsidR="008800AB" w:rsidRPr="00FC406F">
        <w:rPr>
          <w:rFonts w:asciiTheme="majorHAnsi" w:hAnsiTheme="majorHAnsi"/>
          <w:sz w:val="20"/>
          <w:szCs w:val="20"/>
        </w:rPr>
        <w:t xml:space="preserve"> candidacy for</w:t>
      </w:r>
      <w:r w:rsidRPr="00FC406F">
        <w:rPr>
          <w:rFonts w:asciiTheme="majorHAnsi" w:hAnsiTheme="majorHAnsi"/>
          <w:sz w:val="20"/>
          <w:szCs w:val="20"/>
        </w:rPr>
        <w:t xml:space="preserve"> the office of president and President Ortega’s candidacy on behalf of the Sandinista National Liberation Front Alliance appeared.</w:t>
      </w:r>
      <w:r w:rsidR="00B36400" w:rsidRPr="00FC406F">
        <w:rPr>
          <w:rStyle w:val="FootnoteReference"/>
          <w:rFonts w:asciiTheme="majorHAnsi" w:hAnsiTheme="majorHAnsi"/>
          <w:sz w:val="20"/>
          <w:szCs w:val="20"/>
        </w:rPr>
        <w:footnoteReference w:id="20"/>
      </w:r>
    </w:p>
    <w:p w14:paraId="4ED00607" w14:textId="77777777" w:rsidR="00B36400" w:rsidRPr="00FC406F" w:rsidRDefault="00B36400" w:rsidP="00B36400">
      <w:pPr>
        <w:pStyle w:val="ListParagraph"/>
      </w:pPr>
    </w:p>
    <w:p w14:paraId="1D8429E4" w14:textId="77777777" w:rsidR="00B36400" w:rsidRPr="00FC406F" w:rsidRDefault="00AD54BE" w:rsidP="00031C3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rPr>
      </w:pPr>
      <w:r w:rsidRPr="00FC406F">
        <w:rPr>
          <w:rFonts w:asciiTheme="majorHAnsi" w:hAnsiTheme="majorHAnsi"/>
          <w:sz w:val="20"/>
          <w:szCs w:val="20"/>
        </w:rPr>
        <w:t>As reported by the petitioner, on April 1, 2011, the alleged victims and various other candidates filed a</w:t>
      </w:r>
      <w:r w:rsidR="00581BED" w:rsidRPr="00FC406F">
        <w:rPr>
          <w:rFonts w:asciiTheme="majorHAnsi" w:hAnsiTheme="majorHAnsi"/>
          <w:sz w:val="20"/>
          <w:szCs w:val="20"/>
        </w:rPr>
        <w:t>n</w:t>
      </w:r>
      <w:r w:rsidRPr="00FC406F">
        <w:rPr>
          <w:rFonts w:asciiTheme="majorHAnsi" w:hAnsiTheme="majorHAnsi"/>
          <w:sz w:val="20"/>
          <w:szCs w:val="20"/>
        </w:rPr>
        <w:t xml:space="preserve"> “</w:t>
      </w:r>
      <w:r w:rsidR="00F744C2" w:rsidRPr="00FC406F">
        <w:rPr>
          <w:rFonts w:asciiTheme="majorHAnsi" w:hAnsiTheme="majorHAnsi"/>
          <w:sz w:val="20"/>
          <w:szCs w:val="20"/>
        </w:rPr>
        <w:t>appeal to disqualify presidential</w:t>
      </w:r>
      <w:r w:rsidRPr="00FC406F">
        <w:rPr>
          <w:rFonts w:asciiTheme="majorHAnsi" w:hAnsiTheme="majorHAnsi"/>
          <w:sz w:val="20"/>
          <w:szCs w:val="20"/>
        </w:rPr>
        <w:t xml:space="preserve"> candidates</w:t>
      </w:r>
      <w:r w:rsidR="00B36400" w:rsidRPr="00FC406F">
        <w:rPr>
          <w:rFonts w:asciiTheme="majorHAnsi" w:hAnsiTheme="majorHAnsi"/>
          <w:sz w:val="20"/>
          <w:szCs w:val="20"/>
        </w:rPr>
        <w:t>” re</w:t>
      </w:r>
      <w:r w:rsidRPr="00FC406F">
        <w:rPr>
          <w:rFonts w:asciiTheme="majorHAnsi" w:hAnsiTheme="majorHAnsi"/>
          <w:sz w:val="20"/>
          <w:szCs w:val="20"/>
        </w:rPr>
        <w:t>garding the registration of President Ortega’s candidacy to run for president,</w:t>
      </w:r>
      <w:r w:rsidR="00B36400" w:rsidRPr="00FC406F">
        <w:rPr>
          <w:rStyle w:val="FootnoteReference"/>
          <w:rFonts w:asciiTheme="majorHAnsi" w:hAnsiTheme="majorHAnsi"/>
          <w:sz w:val="20"/>
          <w:szCs w:val="20"/>
        </w:rPr>
        <w:footnoteReference w:id="21"/>
      </w:r>
      <w:r w:rsidRPr="00FC406F">
        <w:rPr>
          <w:rFonts w:asciiTheme="majorHAnsi" w:hAnsiTheme="majorHAnsi"/>
          <w:sz w:val="20"/>
          <w:szCs w:val="20"/>
        </w:rPr>
        <w:t xml:space="preserve"> arguing that it was registered in flagrant breach of </w:t>
      </w:r>
      <w:r w:rsidR="00F744C2" w:rsidRPr="00FC406F">
        <w:rPr>
          <w:rFonts w:asciiTheme="majorHAnsi" w:hAnsiTheme="majorHAnsi"/>
          <w:sz w:val="20"/>
          <w:szCs w:val="20"/>
        </w:rPr>
        <w:t>the express wor</w:t>
      </w:r>
      <w:r w:rsidR="00581BED" w:rsidRPr="00FC406F">
        <w:rPr>
          <w:rFonts w:asciiTheme="majorHAnsi" w:hAnsiTheme="majorHAnsi"/>
          <w:sz w:val="20"/>
          <w:szCs w:val="20"/>
        </w:rPr>
        <w:t>d</w:t>
      </w:r>
      <w:r w:rsidR="00F744C2" w:rsidRPr="00FC406F">
        <w:rPr>
          <w:rFonts w:asciiTheme="majorHAnsi" w:hAnsiTheme="majorHAnsi"/>
          <w:sz w:val="20"/>
          <w:szCs w:val="20"/>
        </w:rPr>
        <w:t xml:space="preserve">ing of Article 147 of the Constitution and that </w:t>
      </w:r>
      <w:r w:rsidR="00581BED" w:rsidRPr="00FC406F">
        <w:rPr>
          <w:rFonts w:asciiTheme="majorHAnsi" w:hAnsiTheme="majorHAnsi"/>
          <w:sz w:val="20"/>
          <w:szCs w:val="20"/>
        </w:rPr>
        <w:t xml:space="preserve">both </w:t>
      </w:r>
      <w:r w:rsidR="00F744C2" w:rsidRPr="00FC406F">
        <w:rPr>
          <w:rFonts w:asciiTheme="majorHAnsi" w:hAnsiTheme="majorHAnsi"/>
          <w:sz w:val="20"/>
          <w:szCs w:val="20"/>
        </w:rPr>
        <w:t xml:space="preserve">judgment No. 504 of the Constitutional Chamber </w:t>
      </w:r>
      <w:r w:rsidR="00581BED" w:rsidRPr="00FC406F">
        <w:rPr>
          <w:rFonts w:asciiTheme="majorHAnsi" w:hAnsiTheme="majorHAnsi"/>
          <w:sz w:val="20"/>
          <w:szCs w:val="20"/>
        </w:rPr>
        <w:t>of the Supreme Court of Justice and</w:t>
      </w:r>
      <w:r w:rsidR="00F744C2" w:rsidRPr="00FC406F">
        <w:rPr>
          <w:rFonts w:asciiTheme="majorHAnsi" w:hAnsiTheme="majorHAnsi"/>
          <w:sz w:val="20"/>
          <w:szCs w:val="20"/>
        </w:rPr>
        <w:t xml:space="preserve"> judgment No. 6</w:t>
      </w:r>
      <w:r w:rsidR="00B36400" w:rsidRPr="00FC406F">
        <w:rPr>
          <w:rFonts w:asciiTheme="majorHAnsi" w:hAnsiTheme="majorHAnsi"/>
          <w:sz w:val="20"/>
          <w:szCs w:val="20"/>
        </w:rPr>
        <w:t xml:space="preserve"> </w:t>
      </w:r>
      <w:r w:rsidR="00F744C2" w:rsidRPr="00FC406F">
        <w:rPr>
          <w:rFonts w:asciiTheme="majorHAnsi" w:hAnsiTheme="majorHAnsi"/>
          <w:sz w:val="20"/>
          <w:szCs w:val="20"/>
        </w:rPr>
        <w:t>issued by the plenary of the Supreme Court of Justice</w:t>
      </w:r>
      <w:r w:rsidR="00581BED" w:rsidRPr="00FC406F">
        <w:rPr>
          <w:rFonts w:asciiTheme="majorHAnsi" w:hAnsiTheme="majorHAnsi"/>
          <w:sz w:val="20"/>
          <w:szCs w:val="20"/>
        </w:rPr>
        <w:t xml:space="preserve"> were unlawful</w:t>
      </w:r>
      <w:r w:rsidR="00F744C2" w:rsidRPr="00FC406F">
        <w:rPr>
          <w:rFonts w:asciiTheme="majorHAnsi" w:hAnsiTheme="majorHAnsi"/>
          <w:sz w:val="20"/>
          <w:szCs w:val="20"/>
        </w:rPr>
        <w:t>.</w:t>
      </w:r>
      <w:r w:rsidR="00B36400" w:rsidRPr="00FC406F">
        <w:rPr>
          <w:rStyle w:val="FootnoteReference"/>
          <w:rFonts w:asciiTheme="majorHAnsi" w:hAnsiTheme="majorHAnsi"/>
          <w:sz w:val="20"/>
          <w:szCs w:val="20"/>
        </w:rPr>
        <w:footnoteReference w:id="22"/>
      </w:r>
    </w:p>
    <w:p w14:paraId="7247C027" w14:textId="77777777" w:rsidR="00B36400" w:rsidRPr="00FC406F" w:rsidRDefault="00B36400" w:rsidP="00B36400">
      <w:pPr>
        <w:pStyle w:val="ListParagraph"/>
      </w:pPr>
    </w:p>
    <w:p w14:paraId="45A39E70" w14:textId="77777777" w:rsidR="00B36400" w:rsidRPr="00FC406F" w:rsidRDefault="00F744C2" w:rsidP="00031C3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rPr>
      </w:pPr>
      <w:r w:rsidRPr="00FC406F">
        <w:rPr>
          <w:rFonts w:asciiTheme="majorHAnsi" w:hAnsiTheme="majorHAnsi"/>
          <w:sz w:val="20"/>
          <w:szCs w:val="20"/>
        </w:rPr>
        <w:t>On April</w:t>
      </w:r>
      <w:r w:rsidR="00B36400" w:rsidRPr="00FC406F">
        <w:rPr>
          <w:rFonts w:asciiTheme="majorHAnsi" w:hAnsiTheme="majorHAnsi"/>
          <w:sz w:val="20"/>
          <w:szCs w:val="20"/>
        </w:rPr>
        <w:t xml:space="preserve"> 4</w:t>
      </w:r>
      <w:r w:rsidRPr="00FC406F">
        <w:rPr>
          <w:rFonts w:asciiTheme="majorHAnsi" w:hAnsiTheme="majorHAnsi"/>
          <w:sz w:val="20"/>
          <w:szCs w:val="20"/>
        </w:rPr>
        <w:t>,</w:t>
      </w:r>
      <w:r w:rsidR="00B36400" w:rsidRPr="00FC406F">
        <w:rPr>
          <w:rFonts w:asciiTheme="majorHAnsi" w:hAnsiTheme="majorHAnsi"/>
          <w:sz w:val="20"/>
          <w:szCs w:val="20"/>
        </w:rPr>
        <w:t xml:space="preserve"> 2011</w:t>
      </w:r>
      <w:r w:rsidRPr="00FC406F">
        <w:rPr>
          <w:rFonts w:asciiTheme="majorHAnsi" w:hAnsiTheme="majorHAnsi"/>
          <w:sz w:val="20"/>
          <w:szCs w:val="20"/>
        </w:rPr>
        <w:t>, the Supreme Electoral Council dismissed the appeal that had been filed. Regarding this, it argued that</w:t>
      </w:r>
      <w:r w:rsidR="00B36400" w:rsidRPr="00FC406F">
        <w:rPr>
          <w:rFonts w:asciiTheme="majorHAnsi" w:hAnsiTheme="majorHAnsi"/>
          <w:sz w:val="20"/>
          <w:szCs w:val="20"/>
        </w:rPr>
        <w:t>:</w:t>
      </w:r>
    </w:p>
    <w:p w14:paraId="31021BB6" w14:textId="77777777" w:rsidR="00B36400" w:rsidRPr="00FC406F" w:rsidRDefault="00B36400" w:rsidP="00B36400">
      <w:pPr>
        <w:pStyle w:val="ListParagraph"/>
      </w:pPr>
    </w:p>
    <w:p w14:paraId="38EDD39C" w14:textId="77777777" w:rsidR="00B36400" w:rsidRPr="00FC406F" w:rsidRDefault="00F744C2" w:rsidP="00B36400">
      <w:pPr>
        <w:pStyle w:val="parrafos"/>
        <w:ind w:left="360" w:right="360" w:firstLine="0"/>
        <w:rPr>
          <w:sz w:val="18"/>
          <w:szCs w:val="18"/>
        </w:rPr>
      </w:pPr>
      <w:r w:rsidRPr="00FC406F">
        <w:rPr>
          <w:sz w:val="18"/>
          <w:szCs w:val="18"/>
        </w:rPr>
        <w:t>Considering that it is known that the present Supreme Electoral Council, on</w:t>
      </w:r>
      <w:r w:rsidR="00581BED" w:rsidRPr="00FC406F">
        <w:rPr>
          <w:sz w:val="18"/>
          <w:szCs w:val="18"/>
        </w:rPr>
        <w:t xml:space="preserve"> the nineteenth of</w:t>
      </w:r>
      <w:r w:rsidRPr="00FC406F">
        <w:rPr>
          <w:sz w:val="18"/>
          <w:szCs w:val="18"/>
        </w:rPr>
        <w:t xml:space="preserve"> October </w:t>
      </w:r>
      <w:r w:rsidR="00581BED" w:rsidRPr="00FC406F">
        <w:rPr>
          <w:sz w:val="18"/>
          <w:szCs w:val="18"/>
        </w:rPr>
        <w:t>in</w:t>
      </w:r>
      <w:r w:rsidRPr="00FC406F">
        <w:rPr>
          <w:sz w:val="18"/>
          <w:szCs w:val="18"/>
        </w:rPr>
        <w:t xml:space="preserve"> the year two thousand nine at seven o’clock in the evening, by virtue of the powers granted to it by the Constitution and the Law on Elections</w:t>
      </w:r>
      <w:r w:rsidR="000B10F9" w:rsidRPr="00FC406F">
        <w:rPr>
          <w:sz w:val="18"/>
          <w:szCs w:val="18"/>
        </w:rPr>
        <w:t>,</w:t>
      </w:r>
      <w:r w:rsidRPr="00FC406F">
        <w:rPr>
          <w:sz w:val="18"/>
          <w:szCs w:val="18"/>
        </w:rPr>
        <w:t xml:space="preserve"> resolved to </w:t>
      </w:r>
      <w:r w:rsidR="003F3C49" w:rsidRPr="00FC406F">
        <w:rPr>
          <w:sz w:val="18"/>
          <w:szCs w:val="18"/>
        </w:rPr>
        <w:t>ensure compliance with</w:t>
      </w:r>
      <w:r w:rsidRPr="00FC406F">
        <w:rPr>
          <w:sz w:val="18"/>
          <w:szCs w:val="18"/>
        </w:rPr>
        <w:t xml:space="preserve"> the judgment of the Supreme Court of Justice described in the preamb</w:t>
      </w:r>
      <w:r w:rsidR="00BC650E" w:rsidRPr="00FC406F">
        <w:rPr>
          <w:sz w:val="18"/>
          <w:szCs w:val="18"/>
        </w:rPr>
        <w:t>le</w:t>
      </w:r>
      <w:r w:rsidRPr="00FC406F">
        <w:rPr>
          <w:sz w:val="18"/>
          <w:szCs w:val="18"/>
        </w:rPr>
        <w:t xml:space="preserve"> clauses, </w:t>
      </w:r>
      <w:r w:rsidR="00BC650E" w:rsidRPr="00FC406F">
        <w:rPr>
          <w:sz w:val="18"/>
          <w:szCs w:val="18"/>
        </w:rPr>
        <w:t>it hereby decides</w:t>
      </w:r>
      <w:r w:rsidR="00B36400" w:rsidRPr="00FC406F">
        <w:rPr>
          <w:sz w:val="18"/>
          <w:szCs w:val="18"/>
        </w:rPr>
        <w:t xml:space="preserve">, </w:t>
      </w:r>
      <w:r w:rsidR="000B10F9" w:rsidRPr="00FC406F">
        <w:rPr>
          <w:sz w:val="18"/>
          <w:szCs w:val="18"/>
        </w:rPr>
        <w:t xml:space="preserve">in each and every part, </w:t>
      </w:r>
      <w:r w:rsidR="00BC650E" w:rsidRPr="00FC406F">
        <w:rPr>
          <w:sz w:val="18"/>
          <w:szCs w:val="18"/>
        </w:rPr>
        <w:t xml:space="preserve">to </w:t>
      </w:r>
      <w:r w:rsidR="000B10F9" w:rsidRPr="00FC406F">
        <w:rPr>
          <w:sz w:val="18"/>
          <w:szCs w:val="18"/>
        </w:rPr>
        <w:t>declar</w:t>
      </w:r>
      <w:r w:rsidR="00BC650E" w:rsidRPr="00FC406F">
        <w:rPr>
          <w:sz w:val="18"/>
          <w:szCs w:val="18"/>
        </w:rPr>
        <w:t>e</w:t>
      </w:r>
      <w:r w:rsidR="000B10F9" w:rsidRPr="00FC406F">
        <w:rPr>
          <w:sz w:val="18"/>
          <w:szCs w:val="18"/>
        </w:rPr>
        <w:t xml:space="preserve"> the</w:t>
      </w:r>
      <w:r w:rsidR="00465D1B" w:rsidRPr="00FC406F">
        <w:rPr>
          <w:sz w:val="18"/>
          <w:szCs w:val="18"/>
        </w:rPr>
        <w:t xml:space="preserve"> </w:t>
      </w:r>
      <w:r w:rsidR="00465D1B" w:rsidRPr="00FC406F">
        <w:rPr>
          <w:i/>
          <w:sz w:val="18"/>
          <w:szCs w:val="18"/>
        </w:rPr>
        <w:t>erga omnes</w:t>
      </w:r>
      <w:r w:rsidR="000B10F9" w:rsidRPr="00FC406F">
        <w:rPr>
          <w:sz w:val="18"/>
          <w:szCs w:val="18"/>
        </w:rPr>
        <w:t xml:space="preserve"> </w:t>
      </w:r>
      <w:r w:rsidR="003F3C49" w:rsidRPr="00FC406F">
        <w:rPr>
          <w:sz w:val="18"/>
          <w:szCs w:val="18"/>
        </w:rPr>
        <w:t>nonapplicability</w:t>
      </w:r>
      <w:r w:rsidR="00B36400" w:rsidRPr="00FC406F">
        <w:rPr>
          <w:sz w:val="18"/>
          <w:szCs w:val="18"/>
        </w:rPr>
        <w:t xml:space="preserve"> </w:t>
      </w:r>
      <w:r w:rsidR="000B10F9" w:rsidRPr="00FC406F">
        <w:rPr>
          <w:sz w:val="18"/>
          <w:szCs w:val="18"/>
        </w:rPr>
        <w:t>of the constitutional provision appearing in Article 147 of the Constitution</w:t>
      </w:r>
      <w:r w:rsidR="00BC650E" w:rsidRPr="00FC406F">
        <w:rPr>
          <w:sz w:val="18"/>
          <w:szCs w:val="18"/>
        </w:rPr>
        <w:t xml:space="preserve"> with</w:t>
      </w:r>
      <w:r w:rsidR="000B10F9" w:rsidRPr="00FC406F">
        <w:rPr>
          <w:sz w:val="18"/>
          <w:szCs w:val="18"/>
        </w:rPr>
        <w:t xml:space="preserve"> reference to subparagraphs </w:t>
      </w:r>
      <w:r w:rsidR="00BC650E" w:rsidRPr="00FC406F">
        <w:rPr>
          <w:sz w:val="18"/>
          <w:szCs w:val="18"/>
        </w:rPr>
        <w:t>(</w:t>
      </w:r>
      <w:r w:rsidR="000B10F9" w:rsidRPr="00FC406F">
        <w:rPr>
          <w:sz w:val="18"/>
          <w:szCs w:val="18"/>
        </w:rPr>
        <w:t xml:space="preserve">a) and </w:t>
      </w:r>
      <w:r w:rsidR="00BC650E" w:rsidRPr="00FC406F">
        <w:rPr>
          <w:sz w:val="18"/>
          <w:szCs w:val="18"/>
        </w:rPr>
        <w:t>(</w:t>
      </w:r>
      <w:r w:rsidR="000B10F9" w:rsidRPr="00FC406F">
        <w:rPr>
          <w:sz w:val="18"/>
          <w:szCs w:val="18"/>
        </w:rPr>
        <w:t>b).</w:t>
      </w:r>
    </w:p>
    <w:p w14:paraId="16DBCDE2" w14:textId="77777777" w:rsidR="00B36400" w:rsidRPr="00FC406F" w:rsidRDefault="00B36400" w:rsidP="00B36400">
      <w:pPr>
        <w:pStyle w:val="parrafos"/>
        <w:ind w:left="360" w:right="360" w:firstLine="0"/>
        <w:rPr>
          <w:sz w:val="18"/>
          <w:szCs w:val="18"/>
        </w:rPr>
      </w:pPr>
    </w:p>
    <w:p w14:paraId="09761226" w14:textId="77777777" w:rsidR="00B36400" w:rsidRPr="00FC406F" w:rsidRDefault="000B10F9" w:rsidP="00B36400">
      <w:pPr>
        <w:pStyle w:val="parrafos"/>
        <w:ind w:left="360" w:right="360" w:firstLine="0"/>
        <w:rPr>
          <w:sz w:val="18"/>
          <w:szCs w:val="18"/>
        </w:rPr>
      </w:pPr>
      <w:r w:rsidRPr="00FC406F">
        <w:rPr>
          <w:sz w:val="18"/>
          <w:szCs w:val="18"/>
        </w:rPr>
        <w:t>Therefore</w:t>
      </w:r>
    </w:p>
    <w:p w14:paraId="11A2F461" w14:textId="77777777" w:rsidR="00B36400" w:rsidRPr="00FC406F" w:rsidRDefault="00B36400" w:rsidP="00B36400">
      <w:pPr>
        <w:pStyle w:val="parrafos"/>
        <w:ind w:left="360" w:right="360" w:firstLine="0"/>
        <w:rPr>
          <w:sz w:val="18"/>
          <w:szCs w:val="18"/>
        </w:rPr>
      </w:pPr>
    </w:p>
    <w:p w14:paraId="3385E609" w14:textId="77777777" w:rsidR="00B36400" w:rsidRPr="00FC406F" w:rsidRDefault="00B36400" w:rsidP="00B36400">
      <w:pPr>
        <w:pStyle w:val="parrafos"/>
        <w:ind w:left="360" w:right="360" w:firstLine="0"/>
        <w:rPr>
          <w:i/>
          <w:sz w:val="18"/>
          <w:szCs w:val="18"/>
        </w:rPr>
      </w:pPr>
      <w:r w:rsidRPr="00FC406F">
        <w:rPr>
          <w:sz w:val="18"/>
          <w:szCs w:val="18"/>
        </w:rPr>
        <w:lastRenderedPageBreak/>
        <w:t xml:space="preserve">(…) </w:t>
      </w:r>
      <w:r w:rsidR="000B10F9" w:rsidRPr="00FC406F">
        <w:rPr>
          <w:sz w:val="18"/>
          <w:szCs w:val="18"/>
        </w:rPr>
        <w:t>On the basis of judgment number six</w:t>
      </w:r>
      <w:r w:rsidR="00BC650E" w:rsidRPr="00FC406F">
        <w:rPr>
          <w:sz w:val="18"/>
          <w:szCs w:val="18"/>
        </w:rPr>
        <w:t>, at</w:t>
      </w:r>
      <w:r w:rsidR="000B10F9" w:rsidRPr="00FC406F">
        <w:rPr>
          <w:sz w:val="18"/>
          <w:szCs w:val="18"/>
        </w:rPr>
        <w:t xml:space="preserve"> six o’clock in the evening of</w:t>
      </w:r>
      <w:r w:rsidR="00BC309D" w:rsidRPr="00FC406F">
        <w:rPr>
          <w:sz w:val="18"/>
          <w:szCs w:val="18"/>
        </w:rPr>
        <w:t xml:space="preserve"> the thirtieth of</w:t>
      </w:r>
      <w:r w:rsidR="00BC650E" w:rsidRPr="00FC406F">
        <w:rPr>
          <w:sz w:val="18"/>
          <w:szCs w:val="18"/>
        </w:rPr>
        <w:t xml:space="preserve"> September in</w:t>
      </w:r>
      <w:r w:rsidR="000B10F9" w:rsidRPr="00FC406F">
        <w:rPr>
          <w:sz w:val="18"/>
          <w:szCs w:val="18"/>
        </w:rPr>
        <w:t xml:space="preserve"> the</w:t>
      </w:r>
      <w:r w:rsidR="00BC309D" w:rsidRPr="00FC406F">
        <w:rPr>
          <w:sz w:val="18"/>
          <w:szCs w:val="18"/>
        </w:rPr>
        <w:t xml:space="preserve"> </w:t>
      </w:r>
      <w:r w:rsidR="000B10F9" w:rsidRPr="00FC406F">
        <w:rPr>
          <w:sz w:val="18"/>
          <w:szCs w:val="18"/>
        </w:rPr>
        <w:t>year two thousand ten</w:t>
      </w:r>
      <w:r w:rsidR="00BC650E" w:rsidRPr="00FC406F">
        <w:rPr>
          <w:sz w:val="18"/>
          <w:szCs w:val="18"/>
        </w:rPr>
        <w:t>,</w:t>
      </w:r>
      <w:r w:rsidR="000B10F9" w:rsidRPr="00FC406F">
        <w:rPr>
          <w:sz w:val="18"/>
          <w:szCs w:val="18"/>
        </w:rPr>
        <w:t xml:space="preserve"> issued by the plenary of the Supreme Court of Justice, it is hereby ruled that,</w:t>
      </w:r>
      <w:r w:rsidRPr="00FC406F">
        <w:rPr>
          <w:sz w:val="18"/>
          <w:szCs w:val="18"/>
        </w:rPr>
        <w:t xml:space="preserve"> </w:t>
      </w:r>
      <w:r w:rsidR="000B10F9" w:rsidRPr="00FC406F">
        <w:rPr>
          <w:b/>
          <w:sz w:val="18"/>
          <w:szCs w:val="18"/>
        </w:rPr>
        <w:t>First</w:t>
      </w:r>
      <w:r w:rsidRPr="00FC406F">
        <w:rPr>
          <w:b/>
          <w:sz w:val="18"/>
          <w:szCs w:val="18"/>
        </w:rPr>
        <w:t xml:space="preserve">: </w:t>
      </w:r>
      <w:r w:rsidR="000B10F9" w:rsidRPr="00FC406F">
        <w:rPr>
          <w:sz w:val="18"/>
          <w:szCs w:val="18"/>
        </w:rPr>
        <w:t xml:space="preserve">The </w:t>
      </w:r>
      <w:r w:rsidR="00BC309D" w:rsidRPr="00FC406F">
        <w:rPr>
          <w:sz w:val="18"/>
          <w:szCs w:val="18"/>
        </w:rPr>
        <w:t xml:space="preserve">legal </w:t>
      </w:r>
      <w:r w:rsidR="000B10F9" w:rsidRPr="00FC406F">
        <w:rPr>
          <w:sz w:val="18"/>
          <w:szCs w:val="18"/>
        </w:rPr>
        <w:t>challenges filed by the legal representatives of the political organizations Independent Liberal Party Alliance and the Nicaraguan Liberal Alliance Party are inadmissible, insofar as the decisions and rulings issued by the supreme court of justice of the Republic of Nicaragua are binding and irrevocable.</w:t>
      </w:r>
      <w:r w:rsidRPr="00FC406F">
        <w:rPr>
          <w:sz w:val="18"/>
          <w:szCs w:val="18"/>
        </w:rPr>
        <w:t xml:space="preserve"> </w:t>
      </w:r>
      <w:r w:rsidRPr="00FC406F">
        <w:rPr>
          <w:b/>
          <w:sz w:val="18"/>
          <w:szCs w:val="18"/>
        </w:rPr>
        <w:t>Se</w:t>
      </w:r>
      <w:r w:rsidR="000B10F9" w:rsidRPr="00FC406F">
        <w:rPr>
          <w:b/>
          <w:sz w:val="18"/>
          <w:szCs w:val="18"/>
        </w:rPr>
        <w:t>cond</w:t>
      </w:r>
      <w:r w:rsidR="000B10F9" w:rsidRPr="00FC406F">
        <w:rPr>
          <w:sz w:val="18"/>
          <w:szCs w:val="18"/>
        </w:rPr>
        <w:t>: As a result, the citizen José Ortega Saavedra’s cand</w:t>
      </w:r>
      <w:r w:rsidR="00465D1B" w:rsidRPr="00FC406F">
        <w:rPr>
          <w:sz w:val="18"/>
          <w:szCs w:val="18"/>
        </w:rPr>
        <w:t>idacy to the presidency of the r</w:t>
      </w:r>
      <w:r w:rsidR="000B10F9" w:rsidRPr="00FC406F">
        <w:rPr>
          <w:sz w:val="18"/>
          <w:szCs w:val="18"/>
        </w:rPr>
        <w:t>epublic on behalf of the</w:t>
      </w:r>
      <w:r w:rsidR="00BC650E" w:rsidRPr="00FC406F">
        <w:rPr>
          <w:sz w:val="18"/>
          <w:szCs w:val="18"/>
        </w:rPr>
        <w:t xml:space="preserve"> political o</w:t>
      </w:r>
      <w:r w:rsidR="00BC309D" w:rsidRPr="00FC406F">
        <w:rPr>
          <w:sz w:val="18"/>
          <w:szCs w:val="18"/>
        </w:rPr>
        <w:t>rganization of the</w:t>
      </w:r>
      <w:r w:rsidR="000B10F9" w:rsidRPr="00FC406F">
        <w:rPr>
          <w:sz w:val="18"/>
          <w:szCs w:val="18"/>
        </w:rPr>
        <w:t xml:space="preserve"> Sandinista National Liberation Front</w:t>
      </w:r>
      <w:r w:rsidR="00BC650E" w:rsidRPr="00FC406F">
        <w:rPr>
          <w:sz w:val="18"/>
          <w:szCs w:val="18"/>
        </w:rPr>
        <w:t xml:space="preserve"> Alliance</w:t>
      </w:r>
      <w:r w:rsidR="000B10F9" w:rsidRPr="00FC406F">
        <w:rPr>
          <w:sz w:val="18"/>
          <w:szCs w:val="18"/>
        </w:rPr>
        <w:t xml:space="preserve"> </w:t>
      </w:r>
      <w:r w:rsidR="00BC309D" w:rsidRPr="00FC406F">
        <w:rPr>
          <w:sz w:val="18"/>
          <w:szCs w:val="18"/>
        </w:rPr>
        <w:t xml:space="preserve">is hereby duly </w:t>
      </w:r>
      <w:r w:rsidR="00BC650E" w:rsidRPr="00FC406F">
        <w:rPr>
          <w:sz w:val="18"/>
          <w:szCs w:val="18"/>
        </w:rPr>
        <w:t xml:space="preserve">filed and </w:t>
      </w:r>
      <w:r w:rsidR="00BC309D" w:rsidRPr="00FC406F">
        <w:rPr>
          <w:sz w:val="18"/>
          <w:szCs w:val="18"/>
        </w:rPr>
        <w:t>registered, because he is a citizen eligible to exercise political, constitutional, and electoral rights in order to participate in the election to be h</w:t>
      </w:r>
      <w:r w:rsidR="00BC650E" w:rsidRPr="00FC406F">
        <w:rPr>
          <w:sz w:val="18"/>
          <w:szCs w:val="18"/>
        </w:rPr>
        <w:t xml:space="preserve">eld on the sixth of November in </w:t>
      </w:r>
      <w:r w:rsidR="00BC309D" w:rsidRPr="00FC406F">
        <w:rPr>
          <w:sz w:val="18"/>
          <w:szCs w:val="18"/>
        </w:rPr>
        <w:t>the year two thousand eleven</w:t>
      </w:r>
      <w:r w:rsidRPr="00FC406F">
        <w:rPr>
          <w:sz w:val="18"/>
          <w:szCs w:val="18"/>
        </w:rPr>
        <w:t xml:space="preserve">. </w:t>
      </w:r>
      <w:r w:rsidRPr="00FC406F">
        <w:rPr>
          <w:b/>
          <w:sz w:val="18"/>
          <w:szCs w:val="18"/>
        </w:rPr>
        <w:t>T</w:t>
      </w:r>
      <w:r w:rsidR="00BC309D" w:rsidRPr="00FC406F">
        <w:rPr>
          <w:b/>
          <w:sz w:val="18"/>
          <w:szCs w:val="18"/>
        </w:rPr>
        <w:t>hird</w:t>
      </w:r>
      <w:r w:rsidRPr="00FC406F">
        <w:rPr>
          <w:b/>
          <w:sz w:val="18"/>
          <w:szCs w:val="18"/>
        </w:rPr>
        <w:t>:</w:t>
      </w:r>
      <w:r w:rsidRPr="00FC406F">
        <w:rPr>
          <w:sz w:val="18"/>
          <w:szCs w:val="18"/>
        </w:rPr>
        <w:t xml:space="preserve"> </w:t>
      </w:r>
      <w:r w:rsidR="00BC309D" w:rsidRPr="00FC406F">
        <w:rPr>
          <w:sz w:val="18"/>
          <w:szCs w:val="18"/>
        </w:rPr>
        <w:t>Likewise, writs filed past the time-limits are deemed to not have been submitted, for which purpose the Secretariat of Proceedings is authorized to send the correspondence referring to the subject.</w:t>
      </w:r>
      <w:r w:rsidRPr="00FC406F">
        <w:rPr>
          <w:sz w:val="18"/>
          <w:szCs w:val="18"/>
        </w:rPr>
        <w:t xml:space="preserve"> </w:t>
      </w:r>
      <w:r w:rsidR="00BC309D" w:rsidRPr="00FC406F">
        <w:rPr>
          <w:b/>
          <w:sz w:val="18"/>
          <w:szCs w:val="18"/>
        </w:rPr>
        <w:t>Fourth</w:t>
      </w:r>
      <w:r w:rsidRPr="00FC406F">
        <w:rPr>
          <w:b/>
          <w:sz w:val="18"/>
          <w:szCs w:val="18"/>
        </w:rPr>
        <w:t>:</w:t>
      </w:r>
      <w:r w:rsidRPr="00FC406F">
        <w:rPr>
          <w:i/>
          <w:sz w:val="18"/>
          <w:szCs w:val="18"/>
        </w:rPr>
        <w:t xml:space="preserve"> </w:t>
      </w:r>
      <w:r w:rsidR="00BC309D" w:rsidRPr="00FC406F">
        <w:rPr>
          <w:sz w:val="18"/>
          <w:szCs w:val="18"/>
        </w:rPr>
        <w:t>The present ruling deals with an electoral matter and is not subject to any appeal and comes into force as of the present date without detriment to its subsequent publication.</w:t>
      </w:r>
      <w:r w:rsidRPr="00FC406F">
        <w:rPr>
          <w:vertAlign w:val="superscript"/>
        </w:rPr>
        <w:footnoteReference w:id="23"/>
      </w:r>
    </w:p>
    <w:p w14:paraId="32D6B4F9" w14:textId="77777777" w:rsidR="00B36400" w:rsidRPr="00FC406F" w:rsidRDefault="00B36400" w:rsidP="00B36400">
      <w:pPr>
        <w:ind w:left="1440"/>
        <w:jc w:val="both"/>
        <w:rPr>
          <w:rFonts w:ascii="Cambria" w:hAnsi="Cambria"/>
          <w:sz w:val="18"/>
          <w:szCs w:val="18"/>
        </w:rPr>
      </w:pPr>
    </w:p>
    <w:p w14:paraId="71E975CB" w14:textId="77777777" w:rsidR="00B36400" w:rsidRPr="00FC406F" w:rsidRDefault="00BC309D" w:rsidP="00031C3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rPr>
      </w:pPr>
      <w:r w:rsidRPr="00FC406F">
        <w:rPr>
          <w:rFonts w:asciiTheme="majorHAnsi" w:hAnsiTheme="majorHAnsi"/>
          <w:sz w:val="20"/>
          <w:szCs w:val="20"/>
        </w:rPr>
        <w:t xml:space="preserve">As argued by the petitioner, </w:t>
      </w:r>
      <w:r w:rsidR="00BE4D39" w:rsidRPr="00FC406F">
        <w:rPr>
          <w:rFonts w:asciiTheme="majorHAnsi" w:hAnsiTheme="majorHAnsi"/>
          <w:sz w:val="20"/>
          <w:szCs w:val="20"/>
        </w:rPr>
        <w:t>against this ruling there was no remedy that would be deemed admissible, in view of</w:t>
      </w:r>
      <w:r w:rsidRPr="00FC406F">
        <w:rPr>
          <w:rFonts w:asciiTheme="majorHAnsi" w:hAnsiTheme="majorHAnsi"/>
          <w:sz w:val="20"/>
          <w:szCs w:val="20"/>
        </w:rPr>
        <w:t xml:space="preserve"> paragraph 15 of Article 173 of the Constitution, which provides that </w:t>
      </w:r>
      <w:r w:rsidR="00C23964" w:rsidRPr="00FC406F">
        <w:rPr>
          <w:rFonts w:asciiTheme="majorHAnsi" w:hAnsiTheme="majorHAnsi"/>
          <w:sz w:val="20"/>
          <w:szCs w:val="20"/>
        </w:rPr>
        <w:t>“the rulings of the Supreme Electoral Council shall not be subject to any appeal, w</w:t>
      </w:r>
      <w:r w:rsidR="00BE4D39" w:rsidRPr="00FC406F">
        <w:rPr>
          <w:rFonts w:asciiTheme="majorHAnsi" w:hAnsiTheme="majorHAnsi"/>
          <w:sz w:val="20"/>
          <w:szCs w:val="20"/>
        </w:rPr>
        <w:t>h</w:t>
      </w:r>
      <w:r w:rsidR="00C23964" w:rsidRPr="00FC406F">
        <w:rPr>
          <w:rFonts w:asciiTheme="majorHAnsi" w:hAnsiTheme="majorHAnsi"/>
          <w:sz w:val="20"/>
          <w:szCs w:val="20"/>
        </w:rPr>
        <w:t>ether ordinary or extraordinary</w:t>
      </w:r>
      <w:r w:rsidR="00BE4D39" w:rsidRPr="00FC406F">
        <w:rPr>
          <w:rFonts w:asciiTheme="majorHAnsi" w:hAnsiTheme="majorHAnsi"/>
          <w:sz w:val="20"/>
          <w:szCs w:val="20"/>
        </w:rPr>
        <w:t>.”</w:t>
      </w:r>
      <w:r w:rsidR="00B36400" w:rsidRPr="00FC406F">
        <w:rPr>
          <w:rStyle w:val="FootnoteReference"/>
          <w:rFonts w:asciiTheme="majorHAnsi" w:hAnsiTheme="majorHAnsi"/>
          <w:sz w:val="20"/>
          <w:szCs w:val="20"/>
        </w:rPr>
        <w:footnoteReference w:id="24"/>
      </w:r>
    </w:p>
    <w:p w14:paraId="2458D593" w14:textId="77777777" w:rsidR="00B36400" w:rsidRPr="00FC406F" w:rsidRDefault="00B36400" w:rsidP="00B3640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sz w:val="20"/>
          <w:szCs w:val="20"/>
        </w:rPr>
      </w:pPr>
    </w:p>
    <w:p w14:paraId="7F06205F" w14:textId="77777777" w:rsidR="00B36400" w:rsidRPr="00FC406F" w:rsidRDefault="00BE4D39" w:rsidP="00031C3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rPr>
      </w:pPr>
      <w:r w:rsidRPr="00FC406F">
        <w:rPr>
          <w:rFonts w:asciiTheme="majorHAnsi" w:hAnsiTheme="majorHAnsi"/>
          <w:sz w:val="20"/>
          <w:szCs w:val="20"/>
        </w:rPr>
        <w:t>On April</w:t>
      </w:r>
      <w:r w:rsidR="00B36400" w:rsidRPr="00FC406F">
        <w:rPr>
          <w:rFonts w:asciiTheme="majorHAnsi" w:hAnsiTheme="majorHAnsi"/>
          <w:sz w:val="20"/>
          <w:szCs w:val="20"/>
        </w:rPr>
        <w:t xml:space="preserve"> 5</w:t>
      </w:r>
      <w:r w:rsidRPr="00FC406F">
        <w:rPr>
          <w:rFonts w:asciiTheme="majorHAnsi" w:hAnsiTheme="majorHAnsi"/>
          <w:sz w:val="20"/>
          <w:szCs w:val="20"/>
        </w:rPr>
        <w:t>,</w:t>
      </w:r>
      <w:r w:rsidR="00B36400" w:rsidRPr="00FC406F">
        <w:rPr>
          <w:rFonts w:asciiTheme="majorHAnsi" w:hAnsiTheme="majorHAnsi"/>
          <w:sz w:val="20"/>
          <w:szCs w:val="20"/>
        </w:rPr>
        <w:t xml:space="preserve"> 2011</w:t>
      </w:r>
      <w:r w:rsidRPr="00FC406F">
        <w:rPr>
          <w:rFonts w:asciiTheme="majorHAnsi" w:hAnsiTheme="majorHAnsi"/>
          <w:sz w:val="20"/>
          <w:szCs w:val="20"/>
        </w:rPr>
        <w:t xml:space="preserve">, the Supreme Electoral Council published the final </w:t>
      </w:r>
      <w:r w:rsidR="00465D1B" w:rsidRPr="00FC406F">
        <w:rPr>
          <w:rFonts w:asciiTheme="majorHAnsi" w:hAnsiTheme="majorHAnsi"/>
          <w:sz w:val="20"/>
          <w:szCs w:val="20"/>
        </w:rPr>
        <w:t>list of candidates running for president and vice-p</w:t>
      </w:r>
      <w:r w:rsidRPr="00FC406F">
        <w:rPr>
          <w:rFonts w:asciiTheme="majorHAnsi" w:hAnsiTheme="majorHAnsi"/>
          <w:sz w:val="20"/>
          <w:szCs w:val="20"/>
        </w:rPr>
        <w:t xml:space="preserve">resident of the Republic in which candidates from five political organizations appeared, including that of President </w:t>
      </w:r>
      <w:r w:rsidR="00B36400" w:rsidRPr="00FC406F">
        <w:rPr>
          <w:rFonts w:asciiTheme="majorHAnsi" w:hAnsiTheme="majorHAnsi"/>
          <w:sz w:val="20"/>
          <w:szCs w:val="20"/>
        </w:rPr>
        <w:t xml:space="preserve">José Daniel Ortega Saavedra </w:t>
      </w:r>
      <w:r w:rsidRPr="00FC406F">
        <w:rPr>
          <w:rFonts w:asciiTheme="majorHAnsi" w:hAnsiTheme="majorHAnsi"/>
          <w:sz w:val="20"/>
          <w:szCs w:val="20"/>
        </w:rPr>
        <w:t>on behalf of the Sandinista National Liberation Front Alliance and the alleged victim on behalf of the Independent Liberal Party Alliance.</w:t>
      </w:r>
      <w:r w:rsidR="00B36400" w:rsidRPr="00FC406F">
        <w:rPr>
          <w:rStyle w:val="FootnoteReference"/>
          <w:rFonts w:asciiTheme="majorHAnsi" w:hAnsiTheme="majorHAnsi"/>
          <w:sz w:val="20"/>
          <w:szCs w:val="20"/>
        </w:rPr>
        <w:footnoteReference w:id="25"/>
      </w:r>
    </w:p>
    <w:p w14:paraId="2914D0A7" w14:textId="77777777" w:rsidR="00B36400" w:rsidRPr="00FC406F" w:rsidRDefault="00B36400" w:rsidP="00B36400">
      <w:pPr>
        <w:rPr>
          <w:rFonts w:asciiTheme="majorHAnsi" w:hAnsiTheme="majorHAnsi"/>
          <w:sz w:val="20"/>
          <w:szCs w:val="20"/>
        </w:rPr>
      </w:pPr>
    </w:p>
    <w:p w14:paraId="1E955F20" w14:textId="77777777" w:rsidR="00B36400" w:rsidRPr="00FC406F" w:rsidRDefault="00BE4D39" w:rsidP="00031C3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rPr>
      </w:pPr>
      <w:r w:rsidRPr="00FC406F">
        <w:rPr>
          <w:rFonts w:asciiTheme="majorHAnsi" w:hAnsiTheme="majorHAnsi"/>
          <w:sz w:val="20"/>
          <w:szCs w:val="20"/>
        </w:rPr>
        <w:t xml:space="preserve">On November 6, </w:t>
      </w:r>
      <w:r w:rsidR="00B36400" w:rsidRPr="00FC406F">
        <w:rPr>
          <w:rFonts w:asciiTheme="majorHAnsi" w:hAnsiTheme="majorHAnsi"/>
          <w:sz w:val="20"/>
          <w:szCs w:val="20"/>
        </w:rPr>
        <w:t>2011</w:t>
      </w:r>
      <w:r w:rsidRPr="00FC406F">
        <w:rPr>
          <w:rFonts w:asciiTheme="majorHAnsi" w:hAnsiTheme="majorHAnsi"/>
          <w:sz w:val="20"/>
          <w:szCs w:val="20"/>
        </w:rPr>
        <w:t xml:space="preserve">, the presidential elections were held in Nicaragua as a result of which </w:t>
      </w:r>
      <w:r w:rsidR="0048349F" w:rsidRPr="00FC406F">
        <w:rPr>
          <w:rFonts w:asciiTheme="majorHAnsi" w:hAnsiTheme="majorHAnsi"/>
          <w:sz w:val="20"/>
          <w:szCs w:val="20"/>
        </w:rPr>
        <w:t>President Ortega was reelected with</w:t>
      </w:r>
      <w:r w:rsidR="00B36400" w:rsidRPr="00FC406F">
        <w:rPr>
          <w:rFonts w:asciiTheme="majorHAnsi" w:hAnsiTheme="majorHAnsi"/>
          <w:sz w:val="20"/>
          <w:szCs w:val="20"/>
        </w:rPr>
        <w:t xml:space="preserve"> </w:t>
      </w:r>
      <w:r w:rsidRPr="00FC406F">
        <w:rPr>
          <w:rFonts w:asciiTheme="majorHAnsi" w:hAnsiTheme="majorHAnsi"/>
          <w:sz w:val="20"/>
          <w:szCs w:val="20"/>
        </w:rPr>
        <w:t>62.64% of the ballots, with the alleged victim ranking second. As a result of this ranking, the alleged victim, pursuant to Nicaraguan law, was appointed congressperson of the Republic of Nicaragua.</w:t>
      </w:r>
      <w:r w:rsidR="00B36400" w:rsidRPr="00FC406F">
        <w:rPr>
          <w:rStyle w:val="FootnoteReference"/>
          <w:rFonts w:asciiTheme="majorHAnsi" w:hAnsiTheme="majorHAnsi"/>
          <w:sz w:val="20"/>
          <w:szCs w:val="20"/>
        </w:rPr>
        <w:footnoteReference w:id="26"/>
      </w:r>
    </w:p>
    <w:p w14:paraId="636F1AE6" w14:textId="77777777" w:rsidR="00B36400" w:rsidRPr="00FC406F" w:rsidRDefault="00B36400" w:rsidP="00B36400"/>
    <w:p w14:paraId="3867E650" w14:textId="77777777" w:rsidR="00B36400" w:rsidRPr="00FC406F" w:rsidRDefault="00BE4D39" w:rsidP="00B36400">
      <w:pPr>
        <w:pStyle w:val="Heading2"/>
      </w:pPr>
      <w:bookmarkStart w:id="18" w:name="_Toc42609972"/>
      <w:bookmarkStart w:id="19" w:name="_Toc56778654"/>
      <w:r w:rsidRPr="00FC406F">
        <w:t>Report on irregularities in the 2011 elections</w:t>
      </w:r>
      <w:bookmarkEnd w:id="18"/>
      <w:bookmarkEnd w:id="19"/>
    </w:p>
    <w:p w14:paraId="04FB4F1A" w14:textId="77777777" w:rsidR="00B36400" w:rsidRPr="00FC406F" w:rsidRDefault="00B36400" w:rsidP="00B36400"/>
    <w:p w14:paraId="38164939" w14:textId="77777777" w:rsidR="00B36400" w:rsidRPr="00FC406F" w:rsidRDefault="00BE4D39" w:rsidP="00031C3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pPr>
      <w:r w:rsidRPr="00FC406F">
        <w:rPr>
          <w:rFonts w:asciiTheme="majorHAnsi" w:hAnsiTheme="majorHAnsi"/>
          <w:sz w:val="20"/>
          <w:szCs w:val="20"/>
        </w:rPr>
        <w:t xml:space="preserve">Various </w:t>
      </w:r>
      <w:r w:rsidR="002B484B" w:rsidRPr="00FC406F">
        <w:rPr>
          <w:rFonts w:asciiTheme="majorHAnsi" w:hAnsiTheme="majorHAnsi"/>
          <w:sz w:val="20"/>
          <w:szCs w:val="20"/>
        </w:rPr>
        <w:t>bodies involved in observing</w:t>
      </w:r>
      <w:r w:rsidRPr="00FC406F">
        <w:rPr>
          <w:rFonts w:asciiTheme="majorHAnsi" w:hAnsiTheme="majorHAnsi"/>
          <w:sz w:val="20"/>
          <w:szCs w:val="20"/>
        </w:rPr>
        <w:t xml:space="preserve"> Nicaragua’s el</w:t>
      </w:r>
      <w:r w:rsidR="007B7F93" w:rsidRPr="00FC406F">
        <w:rPr>
          <w:rFonts w:asciiTheme="majorHAnsi" w:hAnsiTheme="majorHAnsi"/>
          <w:sz w:val="20"/>
          <w:szCs w:val="20"/>
        </w:rPr>
        <w:t xml:space="preserve">ection in 2011 </w:t>
      </w:r>
      <w:r w:rsidR="002B0F9C" w:rsidRPr="00FC406F">
        <w:rPr>
          <w:rFonts w:asciiTheme="majorHAnsi" w:hAnsiTheme="majorHAnsi"/>
          <w:sz w:val="20"/>
          <w:szCs w:val="20"/>
        </w:rPr>
        <w:t>called attention to</w:t>
      </w:r>
      <w:r w:rsidR="007B7F93" w:rsidRPr="00FC406F">
        <w:rPr>
          <w:rFonts w:asciiTheme="majorHAnsi" w:hAnsiTheme="majorHAnsi"/>
          <w:sz w:val="20"/>
          <w:szCs w:val="20"/>
        </w:rPr>
        <w:t xml:space="preserve"> structural problems in the electoral process. In particular, the European Union </w:t>
      </w:r>
      <w:r w:rsidR="002B0F9C" w:rsidRPr="00FC406F">
        <w:rPr>
          <w:rFonts w:ascii="Cambria" w:hAnsi="Cambria"/>
          <w:sz w:val="20"/>
          <w:szCs w:val="20"/>
        </w:rPr>
        <w:t>deemed the process as lacking neutrality and transparency, since it was managed by an “insufficiently independent and unbiased electoral council that did not comply with its duties regarding transparency and collaboration with all parties involved</w:t>
      </w:r>
      <w:r w:rsidR="009E792E" w:rsidRPr="00FC406F">
        <w:rPr>
          <w:rFonts w:asciiTheme="majorHAnsi" w:hAnsiTheme="majorHAnsi"/>
          <w:sz w:val="20"/>
          <w:szCs w:val="20"/>
        </w:rPr>
        <w:t>.</w:t>
      </w:r>
      <w:r w:rsidR="00B36400" w:rsidRPr="00FC406F">
        <w:rPr>
          <w:rFonts w:asciiTheme="majorHAnsi" w:hAnsiTheme="majorHAnsi"/>
          <w:sz w:val="20"/>
          <w:szCs w:val="20"/>
        </w:rPr>
        <w:t>”</w:t>
      </w:r>
      <w:r w:rsidR="00B36400" w:rsidRPr="00FC406F">
        <w:rPr>
          <w:rStyle w:val="FootnoteReference"/>
          <w:rFonts w:eastAsia="Times New Roman"/>
          <w:sz w:val="20"/>
          <w:szCs w:val="20"/>
        </w:rPr>
        <w:footnoteReference w:id="27"/>
      </w:r>
    </w:p>
    <w:p w14:paraId="4A03F310" w14:textId="77777777" w:rsidR="00B36400" w:rsidRPr="00FC406F" w:rsidRDefault="00B36400" w:rsidP="00B3640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pPr>
    </w:p>
    <w:p w14:paraId="1490811C" w14:textId="77777777" w:rsidR="00B36400" w:rsidRPr="00FC406F" w:rsidRDefault="009E792E" w:rsidP="00031C3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rPr>
      </w:pPr>
      <w:r w:rsidRPr="00FC406F">
        <w:rPr>
          <w:rFonts w:asciiTheme="majorHAnsi" w:hAnsiTheme="majorHAnsi"/>
          <w:sz w:val="20"/>
          <w:szCs w:val="20"/>
        </w:rPr>
        <w:t>Regarding this, the European Union’s Elect</w:t>
      </w:r>
      <w:r w:rsidR="002B484B" w:rsidRPr="00FC406F">
        <w:rPr>
          <w:rFonts w:asciiTheme="majorHAnsi" w:hAnsiTheme="majorHAnsi"/>
          <w:sz w:val="20"/>
          <w:szCs w:val="20"/>
        </w:rPr>
        <w:t>ion</w:t>
      </w:r>
      <w:r w:rsidRPr="00FC406F">
        <w:rPr>
          <w:rFonts w:asciiTheme="majorHAnsi" w:hAnsiTheme="majorHAnsi"/>
          <w:sz w:val="20"/>
          <w:szCs w:val="20"/>
        </w:rPr>
        <w:t xml:space="preserve"> Observation Mission stated</w:t>
      </w:r>
      <w:r w:rsidR="00B36400" w:rsidRPr="00FC406F">
        <w:rPr>
          <w:rFonts w:asciiTheme="majorHAnsi" w:hAnsiTheme="majorHAnsi"/>
          <w:sz w:val="20"/>
          <w:szCs w:val="20"/>
        </w:rPr>
        <w:t>:</w:t>
      </w:r>
    </w:p>
    <w:p w14:paraId="06B5CFEA" w14:textId="77777777" w:rsidR="00B36400" w:rsidRPr="00FC406F" w:rsidRDefault="00B36400" w:rsidP="00B3640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sz w:val="20"/>
          <w:szCs w:val="20"/>
        </w:rPr>
      </w:pPr>
    </w:p>
    <w:p w14:paraId="07F5F517" w14:textId="77777777" w:rsidR="00B36400" w:rsidRPr="00FC406F" w:rsidRDefault="00B237D8" w:rsidP="00B3640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Theme="majorHAnsi" w:hAnsiTheme="majorHAnsi"/>
          <w:sz w:val="18"/>
          <w:szCs w:val="18"/>
        </w:rPr>
      </w:pPr>
      <w:r w:rsidRPr="00FC406F">
        <w:rPr>
          <w:rFonts w:asciiTheme="majorHAnsi" w:hAnsiTheme="majorHAnsi"/>
          <w:sz w:val="18"/>
          <w:szCs w:val="18"/>
        </w:rPr>
        <w:t>The electoral process</w:t>
      </w:r>
      <w:r w:rsidR="00B36400" w:rsidRPr="00FC406F">
        <w:rPr>
          <w:rFonts w:asciiTheme="majorHAnsi" w:hAnsiTheme="majorHAnsi"/>
          <w:sz w:val="18"/>
          <w:szCs w:val="18"/>
        </w:rPr>
        <w:t xml:space="preserve"> (…) ha</w:t>
      </w:r>
      <w:r w:rsidRPr="00FC406F">
        <w:rPr>
          <w:rFonts w:asciiTheme="majorHAnsi" w:hAnsiTheme="majorHAnsi"/>
          <w:sz w:val="18"/>
          <w:szCs w:val="18"/>
        </w:rPr>
        <w:t>s been directed by an ins</w:t>
      </w:r>
      <w:r w:rsidR="00E7350C" w:rsidRPr="00FC406F">
        <w:rPr>
          <w:rFonts w:asciiTheme="majorHAnsi" w:hAnsiTheme="majorHAnsi"/>
          <w:sz w:val="18"/>
          <w:szCs w:val="18"/>
        </w:rPr>
        <w:t>u</w:t>
      </w:r>
      <w:r w:rsidRPr="00FC406F">
        <w:rPr>
          <w:rFonts w:asciiTheme="majorHAnsi" w:hAnsiTheme="majorHAnsi"/>
          <w:sz w:val="18"/>
          <w:szCs w:val="18"/>
        </w:rPr>
        <w:t>fficiently independent and unbiased electoral council that did not comply with its duties regarding transparency and collaboration with all parties involved</w:t>
      </w:r>
      <w:r w:rsidR="00B36400" w:rsidRPr="00FC406F">
        <w:rPr>
          <w:rFonts w:asciiTheme="majorHAnsi" w:hAnsiTheme="majorHAnsi"/>
          <w:sz w:val="18"/>
          <w:szCs w:val="18"/>
        </w:rPr>
        <w:t xml:space="preserve">. </w:t>
      </w:r>
      <w:r w:rsidRPr="00FC406F">
        <w:rPr>
          <w:rFonts w:asciiTheme="majorHAnsi" w:hAnsiTheme="majorHAnsi"/>
          <w:sz w:val="18"/>
          <w:szCs w:val="18"/>
        </w:rPr>
        <w:t xml:space="preserve">The </w:t>
      </w:r>
      <w:r w:rsidR="00085095" w:rsidRPr="00FC406F">
        <w:rPr>
          <w:rFonts w:asciiTheme="majorHAnsi" w:hAnsiTheme="majorHAnsi"/>
          <w:sz w:val="18"/>
          <w:szCs w:val="18"/>
        </w:rPr>
        <w:t>double</w:t>
      </w:r>
      <w:r w:rsidRPr="00FC406F">
        <w:rPr>
          <w:rFonts w:asciiTheme="majorHAnsi" w:hAnsiTheme="majorHAnsi"/>
          <w:sz w:val="18"/>
          <w:szCs w:val="18"/>
        </w:rPr>
        <w:t xml:space="preserve"> standard used to accredit the national observation groups, the difficulties experienced by the opposition to accredit their auditors or the absolute power held in the polling stations of one of the coordinators appointed at the last minute, an option not envisaged by law and not subject to oversight by the parties, constitute serious limitations on transparency and notably reduce the capacity to </w:t>
      </w:r>
      <w:r w:rsidR="00085095" w:rsidRPr="00FC406F">
        <w:rPr>
          <w:rFonts w:asciiTheme="majorHAnsi" w:hAnsiTheme="majorHAnsi"/>
          <w:sz w:val="18"/>
          <w:szCs w:val="18"/>
        </w:rPr>
        <w:t>verify the key stages of the process, including the tally of results in the vote tabulation centers</w:t>
      </w:r>
      <w:r w:rsidR="00B36400" w:rsidRPr="00FC406F">
        <w:rPr>
          <w:rFonts w:asciiTheme="majorHAnsi" w:hAnsiTheme="majorHAnsi"/>
          <w:sz w:val="18"/>
          <w:szCs w:val="18"/>
        </w:rPr>
        <w:t xml:space="preserve">. </w:t>
      </w:r>
    </w:p>
    <w:p w14:paraId="01C825DC" w14:textId="77777777" w:rsidR="00B36400" w:rsidRPr="00FC406F" w:rsidRDefault="00B36400" w:rsidP="00B3640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right="360"/>
        <w:jc w:val="both"/>
        <w:rPr>
          <w:rFonts w:asciiTheme="majorHAnsi" w:hAnsiTheme="majorHAnsi"/>
          <w:sz w:val="18"/>
          <w:szCs w:val="18"/>
        </w:rPr>
      </w:pPr>
    </w:p>
    <w:p w14:paraId="76612CBB" w14:textId="77777777" w:rsidR="00B36400" w:rsidRPr="00FC406F" w:rsidRDefault="00085095" w:rsidP="00B3640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Theme="majorHAnsi" w:hAnsiTheme="majorHAnsi"/>
          <w:sz w:val="18"/>
          <w:szCs w:val="18"/>
        </w:rPr>
      </w:pPr>
      <w:r w:rsidRPr="00FC406F">
        <w:rPr>
          <w:rFonts w:asciiTheme="majorHAnsi" w:hAnsiTheme="majorHAnsi"/>
          <w:sz w:val="18"/>
          <w:szCs w:val="18"/>
        </w:rPr>
        <w:t>The</w:t>
      </w:r>
      <w:r w:rsidR="00B36400" w:rsidRPr="00FC406F">
        <w:rPr>
          <w:rFonts w:asciiTheme="majorHAnsi" w:hAnsiTheme="majorHAnsi"/>
          <w:sz w:val="18"/>
          <w:szCs w:val="18"/>
        </w:rPr>
        <w:t xml:space="preserve"> CSE h</w:t>
      </w:r>
      <w:r w:rsidR="002B484B" w:rsidRPr="00FC406F">
        <w:rPr>
          <w:rFonts w:asciiTheme="majorHAnsi" w:hAnsiTheme="majorHAnsi"/>
          <w:sz w:val="18"/>
          <w:szCs w:val="18"/>
        </w:rPr>
        <w:t xml:space="preserve">as shown </w:t>
      </w:r>
      <w:r w:rsidR="001538B8" w:rsidRPr="00FC406F">
        <w:rPr>
          <w:rFonts w:asciiTheme="majorHAnsi" w:hAnsiTheme="majorHAnsi"/>
          <w:sz w:val="18"/>
          <w:szCs w:val="18"/>
        </w:rPr>
        <w:t xml:space="preserve">great capacity for the management of logistics and organization, which was evident in the process of packing and distributing the </w:t>
      </w:r>
      <w:r w:rsidR="00465D1B" w:rsidRPr="00FC406F">
        <w:rPr>
          <w:rFonts w:asciiTheme="majorHAnsi" w:hAnsiTheme="majorHAnsi"/>
          <w:sz w:val="18"/>
          <w:szCs w:val="18"/>
        </w:rPr>
        <w:t>balloting</w:t>
      </w:r>
      <w:r w:rsidR="001538B8" w:rsidRPr="00FC406F">
        <w:rPr>
          <w:rFonts w:asciiTheme="majorHAnsi" w:hAnsiTheme="majorHAnsi"/>
          <w:sz w:val="18"/>
          <w:szCs w:val="18"/>
        </w:rPr>
        <w:t xml:space="preserve"> materials. Nevertheless, its neutrality and independen</w:t>
      </w:r>
      <w:r w:rsidR="002B484B" w:rsidRPr="00FC406F">
        <w:rPr>
          <w:rFonts w:asciiTheme="majorHAnsi" w:hAnsiTheme="majorHAnsi"/>
          <w:sz w:val="18"/>
          <w:szCs w:val="18"/>
        </w:rPr>
        <w:t>ce</w:t>
      </w:r>
      <w:r w:rsidR="001538B8" w:rsidRPr="00FC406F">
        <w:rPr>
          <w:rFonts w:asciiTheme="majorHAnsi" w:hAnsiTheme="majorHAnsi"/>
          <w:sz w:val="18"/>
          <w:szCs w:val="18"/>
        </w:rPr>
        <w:t xml:space="preserve"> have been questioned from the start of the current electoral process, to a large extent because, by virtue of a presidential decree that broadened its mandate in view of the National Assembly’s failure to renew the CSE, as the seven magistrates who make up the council are the same </w:t>
      </w:r>
      <w:r w:rsidR="00465D1B" w:rsidRPr="00FC406F">
        <w:rPr>
          <w:rFonts w:asciiTheme="majorHAnsi" w:hAnsiTheme="majorHAnsi"/>
          <w:sz w:val="18"/>
          <w:szCs w:val="18"/>
        </w:rPr>
        <w:t>who</w:t>
      </w:r>
      <w:r w:rsidR="001538B8" w:rsidRPr="00FC406F">
        <w:rPr>
          <w:rFonts w:asciiTheme="majorHAnsi" w:hAnsiTheme="majorHAnsi"/>
          <w:sz w:val="18"/>
          <w:szCs w:val="18"/>
        </w:rPr>
        <w:t xml:space="preserve"> managed the municipal elections of 2008.</w:t>
      </w:r>
      <w:r w:rsidR="0029676D" w:rsidRPr="00FC406F">
        <w:rPr>
          <w:rFonts w:asciiTheme="majorHAnsi" w:hAnsiTheme="majorHAnsi"/>
          <w:sz w:val="18"/>
          <w:szCs w:val="18"/>
        </w:rPr>
        <w:t xml:space="preserve"> This extensi</w:t>
      </w:r>
      <w:r w:rsidR="00EA3371" w:rsidRPr="00FC406F">
        <w:rPr>
          <w:rFonts w:asciiTheme="majorHAnsi" w:hAnsiTheme="majorHAnsi"/>
          <w:sz w:val="18"/>
          <w:szCs w:val="18"/>
        </w:rPr>
        <w:t>o</w:t>
      </w:r>
      <w:r w:rsidR="0029676D" w:rsidRPr="00FC406F">
        <w:rPr>
          <w:rFonts w:asciiTheme="majorHAnsi" w:hAnsiTheme="majorHAnsi"/>
          <w:sz w:val="18"/>
          <w:szCs w:val="18"/>
        </w:rPr>
        <w:t xml:space="preserve">n of their term of office, </w:t>
      </w:r>
      <w:r w:rsidR="00465D1B" w:rsidRPr="00FC406F">
        <w:rPr>
          <w:rFonts w:asciiTheme="majorHAnsi" w:hAnsiTheme="majorHAnsi"/>
          <w:sz w:val="18"/>
          <w:szCs w:val="18"/>
        </w:rPr>
        <w:t xml:space="preserve">which is </w:t>
      </w:r>
      <w:r w:rsidR="0029676D" w:rsidRPr="00FC406F">
        <w:rPr>
          <w:rFonts w:asciiTheme="majorHAnsi" w:hAnsiTheme="majorHAnsi"/>
          <w:sz w:val="18"/>
          <w:szCs w:val="18"/>
        </w:rPr>
        <w:t xml:space="preserve">in accordance with the Constitution, increased the perception that the </w:t>
      </w:r>
      <w:r w:rsidR="0029676D" w:rsidRPr="00FC406F">
        <w:rPr>
          <w:rFonts w:asciiTheme="majorHAnsi" w:hAnsiTheme="majorHAnsi"/>
          <w:sz w:val="18"/>
          <w:szCs w:val="18"/>
        </w:rPr>
        <w:lastRenderedPageBreak/>
        <w:t>CSE is aligned with the ruling party</w:t>
      </w:r>
      <w:r w:rsidR="00B36400" w:rsidRPr="00FC406F">
        <w:rPr>
          <w:rFonts w:asciiTheme="majorHAnsi" w:hAnsiTheme="majorHAnsi"/>
          <w:sz w:val="18"/>
          <w:szCs w:val="18"/>
        </w:rPr>
        <w:t xml:space="preserve">. </w:t>
      </w:r>
      <w:r w:rsidR="0029676D" w:rsidRPr="00FC406F">
        <w:rPr>
          <w:rFonts w:asciiTheme="majorHAnsi" w:hAnsiTheme="majorHAnsi"/>
          <w:sz w:val="18"/>
          <w:szCs w:val="18"/>
        </w:rPr>
        <w:t>The composition of the CSE at the lower echelons of the institution</w:t>
      </w:r>
      <w:r w:rsidR="00B36400" w:rsidRPr="00FC406F">
        <w:rPr>
          <w:rFonts w:asciiTheme="majorHAnsi" w:hAnsiTheme="majorHAnsi"/>
          <w:sz w:val="18"/>
          <w:szCs w:val="18"/>
        </w:rPr>
        <w:t xml:space="preserve">, </w:t>
      </w:r>
      <w:r w:rsidR="0029676D" w:rsidRPr="00FC406F">
        <w:rPr>
          <w:rFonts w:asciiTheme="majorHAnsi" w:hAnsiTheme="majorHAnsi"/>
          <w:sz w:val="18"/>
          <w:szCs w:val="18"/>
        </w:rPr>
        <w:t>whose limited pluralism has been observed by the EU EOM [</w:t>
      </w:r>
      <w:r w:rsidR="002B484B" w:rsidRPr="00FC406F">
        <w:rPr>
          <w:rFonts w:asciiTheme="majorHAnsi" w:hAnsiTheme="majorHAnsi"/>
          <w:sz w:val="18"/>
          <w:szCs w:val="18"/>
        </w:rPr>
        <w:t>European Union’s Election</w:t>
      </w:r>
      <w:r w:rsidR="0029676D" w:rsidRPr="00FC406F">
        <w:rPr>
          <w:rFonts w:asciiTheme="majorHAnsi" w:hAnsiTheme="majorHAnsi"/>
          <w:sz w:val="18"/>
          <w:szCs w:val="18"/>
        </w:rPr>
        <w:t xml:space="preserve"> Observation Mission</w:t>
      </w:r>
      <w:r w:rsidR="00B36400" w:rsidRPr="00FC406F">
        <w:rPr>
          <w:rFonts w:asciiTheme="majorHAnsi" w:hAnsiTheme="majorHAnsi"/>
          <w:sz w:val="18"/>
          <w:szCs w:val="18"/>
        </w:rPr>
        <w:t>]</w:t>
      </w:r>
      <w:r w:rsidR="002B484B" w:rsidRPr="00FC406F">
        <w:rPr>
          <w:rFonts w:asciiTheme="majorHAnsi" w:hAnsiTheme="majorHAnsi"/>
          <w:sz w:val="18"/>
          <w:szCs w:val="18"/>
        </w:rPr>
        <w:t>,</w:t>
      </w:r>
      <w:r w:rsidR="00B36400" w:rsidRPr="00FC406F">
        <w:rPr>
          <w:rFonts w:asciiTheme="majorHAnsi" w:hAnsiTheme="majorHAnsi"/>
          <w:sz w:val="18"/>
          <w:szCs w:val="18"/>
        </w:rPr>
        <w:t xml:space="preserve"> ha</w:t>
      </w:r>
      <w:r w:rsidR="002B484B" w:rsidRPr="00FC406F">
        <w:rPr>
          <w:rFonts w:asciiTheme="majorHAnsi" w:hAnsiTheme="majorHAnsi"/>
          <w:sz w:val="18"/>
          <w:szCs w:val="18"/>
        </w:rPr>
        <w:t>s contributed to increasing</w:t>
      </w:r>
      <w:r w:rsidR="0029676D" w:rsidRPr="00FC406F">
        <w:rPr>
          <w:rFonts w:asciiTheme="majorHAnsi" w:hAnsiTheme="majorHAnsi"/>
          <w:sz w:val="18"/>
          <w:szCs w:val="18"/>
        </w:rPr>
        <w:t xml:space="preserve"> this perception.</w:t>
      </w:r>
      <w:r w:rsidR="00B36400" w:rsidRPr="00FC406F">
        <w:rPr>
          <w:rFonts w:asciiTheme="majorHAnsi" w:hAnsiTheme="majorHAnsi"/>
          <w:sz w:val="18"/>
          <w:szCs w:val="18"/>
          <w:vertAlign w:val="superscript"/>
        </w:rPr>
        <w:footnoteReference w:id="28"/>
      </w:r>
    </w:p>
    <w:p w14:paraId="08FDEA8A" w14:textId="77777777" w:rsidR="00B36400" w:rsidRPr="00FC406F" w:rsidRDefault="00B36400" w:rsidP="00B36400"/>
    <w:p w14:paraId="101B6A35" w14:textId="77777777" w:rsidR="00B36400" w:rsidRPr="00FC406F" w:rsidRDefault="00B237D8" w:rsidP="00031C3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rPr>
      </w:pPr>
      <w:r w:rsidRPr="00FC406F">
        <w:rPr>
          <w:rFonts w:asciiTheme="majorHAnsi" w:hAnsiTheme="majorHAnsi"/>
          <w:sz w:val="20"/>
          <w:szCs w:val="20"/>
        </w:rPr>
        <w:t>Said Mission also referred to the misuse of public funds for the campaign of the N</w:t>
      </w:r>
      <w:r w:rsidR="00EA3371" w:rsidRPr="00FC406F">
        <w:rPr>
          <w:rFonts w:asciiTheme="majorHAnsi" w:hAnsiTheme="majorHAnsi"/>
          <w:sz w:val="20"/>
          <w:szCs w:val="20"/>
        </w:rPr>
        <w:t>ovember 2011 election. R</w:t>
      </w:r>
      <w:r w:rsidRPr="00FC406F">
        <w:rPr>
          <w:rFonts w:asciiTheme="majorHAnsi" w:hAnsiTheme="majorHAnsi"/>
          <w:sz w:val="20"/>
          <w:szCs w:val="20"/>
        </w:rPr>
        <w:t>egarding this, it stressed that</w:t>
      </w:r>
      <w:r w:rsidR="00B36400" w:rsidRPr="00FC406F">
        <w:rPr>
          <w:rFonts w:asciiTheme="majorHAnsi" w:hAnsiTheme="majorHAnsi"/>
          <w:sz w:val="20"/>
          <w:szCs w:val="20"/>
        </w:rPr>
        <w:t>:</w:t>
      </w:r>
    </w:p>
    <w:p w14:paraId="06C61DF8" w14:textId="77777777" w:rsidR="00B36400" w:rsidRPr="00FC406F" w:rsidRDefault="00B36400" w:rsidP="00B36400">
      <w:pPr>
        <w:rPr>
          <w:rFonts w:asciiTheme="majorHAnsi" w:hAnsiTheme="majorHAnsi"/>
          <w:sz w:val="20"/>
          <w:szCs w:val="20"/>
        </w:rPr>
      </w:pPr>
    </w:p>
    <w:p w14:paraId="797854BC" w14:textId="77777777" w:rsidR="00B36400" w:rsidRPr="00FC406F" w:rsidRDefault="00151AE2" w:rsidP="00B3640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Theme="majorHAnsi" w:hAnsiTheme="majorHAnsi"/>
          <w:sz w:val="18"/>
          <w:szCs w:val="18"/>
        </w:rPr>
      </w:pPr>
      <w:r w:rsidRPr="00FC406F">
        <w:rPr>
          <w:rFonts w:ascii="Cambria" w:hAnsi="Cambria"/>
          <w:sz w:val="18"/>
          <w:szCs w:val="18"/>
        </w:rPr>
        <w:t>The EU EOM observed a widespread and systematic use of public resources for</w:t>
      </w:r>
      <w:r w:rsidR="002B484B" w:rsidRPr="00FC406F">
        <w:rPr>
          <w:rFonts w:ascii="Cambria" w:hAnsi="Cambria"/>
          <w:sz w:val="18"/>
          <w:szCs w:val="18"/>
        </w:rPr>
        <w:t xml:space="preserve"> partisan</w:t>
      </w:r>
      <w:r w:rsidRPr="00FC406F">
        <w:rPr>
          <w:rFonts w:ascii="Cambria" w:hAnsi="Cambria"/>
          <w:sz w:val="18"/>
          <w:szCs w:val="18"/>
        </w:rPr>
        <w:t xml:space="preserve"> campaign purposes, a practice prohibited by article 107 of the </w:t>
      </w:r>
      <w:r w:rsidR="002B484B" w:rsidRPr="00FC406F">
        <w:rPr>
          <w:rFonts w:ascii="Cambria" w:hAnsi="Cambria"/>
          <w:sz w:val="18"/>
          <w:szCs w:val="18"/>
        </w:rPr>
        <w:t>Law on Elections.</w:t>
      </w:r>
      <w:r w:rsidRPr="00FC406F">
        <w:rPr>
          <w:rFonts w:ascii="Cambria" w:hAnsi="Cambria"/>
          <w:sz w:val="18"/>
          <w:szCs w:val="18"/>
        </w:rPr>
        <w:t xml:space="preserve"> In </w:t>
      </w:r>
      <w:r w:rsidR="002B484B" w:rsidRPr="00FC406F">
        <w:rPr>
          <w:rFonts w:ascii="Cambria" w:hAnsi="Cambria"/>
          <w:sz w:val="18"/>
          <w:szCs w:val="18"/>
        </w:rPr>
        <w:t>most</w:t>
      </w:r>
      <w:r w:rsidRPr="00FC406F">
        <w:rPr>
          <w:rFonts w:ascii="Cambria" w:hAnsi="Cambria"/>
          <w:sz w:val="18"/>
          <w:szCs w:val="18"/>
        </w:rPr>
        <w:t xml:space="preserve"> cases, this abuse was carried out by the FSLN, but the PLC was also observed relying on such practices in Nueva Segovia, RAAS and Estelí</w:t>
      </w:r>
      <w:r w:rsidR="00B36400" w:rsidRPr="00FC406F">
        <w:rPr>
          <w:rFonts w:asciiTheme="majorHAnsi" w:hAnsiTheme="majorHAnsi"/>
          <w:sz w:val="18"/>
          <w:szCs w:val="18"/>
        </w:rPr>
        <w:t>.</w:t>
      </w:r>
    </w:p>
    <w:p w14:paraId="18579F7E" w14:textId="77777777" w:rsidR="00B36400" w:rsidRPr="00FC406F" w:rsidRDefault="00B36400" w:rsidP="00B3640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Theme="majorHAnsi" w:hAnsiTheme="majorHAnsi"/>
          <w:sz w:val="18"/>
          <w:szCs w:val="18"/>
        </w:rPr>
      </w:pPr>
    </w:p>
    <w:p w14:paraId="748E6D87" w14:textId="77777777" w:rsidR="00B36400" w:rsidRPr="00FC406F" w:rsidRDefault="00C50434" w:rsidP="00B3640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Theme="majorHAnsi" w:hAnsiTheme="majorHAnsi"/>
          <w:sz w:val="18"/>
          <w:szCs w:val="18"/>
        </w:rPr>
      </w:pPr>
      <w:r w:rsidRPr="00FC406F">
        <w:rPr>
          <w:rFonts w:ascii="Cambria" w:hAnsi="Cambria"/>
          <w:sz w:val="18"/>
          <w:szCs w:val="18"/>
        </w:rPr>
        <w:t xml:space="preserve">Practices of misuse of public resources were similar throughout the country and above all consisted of making use of public buildings or institutions, and state‐owned vehicles. Many of these </w:t>
      </w:r>
      <w:r w:rsidR="000A03BE" w:rsidRPr="00FC406F">
        <w:rPr>
          <w:rFonts w:ascii="Cambria" w:hAnsi="Cambria"/>
          <w:sz w:val="18"/>
          <w:szCs w:val="18"/>
        </w:rPr>
        <w:t xml:space="preserve">campaign </w:t>
      </w:r>
      <w:r w:rsidRPr="00FC406F">
        <w:rPr>
          <w:rFonts w:ascii="Cambria" w:hAnsi="Cambria"/>
          <w:sz w:val="18"/>
          <w:szCs w:val="18"/>
        </w:rPr>
        <w:t xml:space="preserve">events involved the mobilisation of public‐sector workers and even schoolchildren during class hours. By using the inauguration of public works or the distribution of public goods or services for </w:t>
      </w:r>
      <w:r w:rsidR="000A03BE" w:rsidRPr="00FC406F">
        <w:rPr>
          <w:rFonts w:ascii="Cambria" w:hAnsi="Cambria"/>
          <w:sz w:val="18"/>
          <w:szCs w:val="18"/>
        </w:rPr>
        <w:t xml:space="preserve">partisan </w:t>
      </w:r>
      <w:r w:rsidRPr="00FC406F">
        <w:rPr>
          <w:rFonts w:ascii="Cambria" w:hAnsi="Cambria"/>
          <w:sz w:val="18"/>
          <w:szCs w:val="18"/>
        </w:rPr>
        <w:t>campaign purposes, the government blurred the lines between its official duties and the FSLN campaign, a practice that falls beneath international standards for democratic elections. Furthermore, the Citizens Power Councils (</w:t>
      </w:r>
      <w:r w:rsidRPr="00FC406F">
        <w:rPr>
          <w:rFonts w:ascii="Cambria" w:hAnsi="Cambria"/>
          <w:i/>
          <w:sz w:val="18"/>
          <w:szCs w:val="18"/>
        </w:rPr>
        <w:t>Consejos del Poder Ciudadano―CPCs</w:t>
      </w:r>
      <w:r w:rsidRPr="00FC406F">
        <w:rPr>
          <w:rFonts w:ascii="Cambria" w:hAnsi="Cambria"/>
          <w:sz w:val="18"/>
          <w:szCs w:val="18"/>
        </w:rPr>
        <w:t>), created by presidential decree, undertook significant activities during the FSLN campaign, organizing events with voters for which public goods and services were used</w:t>
      </w:r>
      <w:r w:rsidR="00B36400" w:rsidRPr="00FC406F">
        <w:rPr>
          <w:rFonts w:asciiTheme="majorHAnsi" w:hAnsiTheme="majorHAnsi"/>
          <w:sz w:val="18"/>
          <w:szCs w:val="18"/>
        </w:rPr>
        <w:t>.</w:t>
      </w:r>
    </w:p>
    <w:p w14:paraId="170CBC32" w14:textId="77777777" w:rsidR="00B36400" w:rsidRPr="00FC406F" w:rsidRDefault="00B36400" w:rsidP="00B3640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Theme="majorHAnsi" w:hAnsiTheme="majorHAnsi"/>
          <w:sz w:val="18"/>
          <w:szCs w:val="18"/>
        </w:rPr>
      </w:pPr>
    </w:p>
    <w:p w14:paraId="5E9C9038" w14:textId="77777777" w:rsidR="00B36400" w:rsidRPr="00FC406F" w:rsidRDefault="008009AB" w:rsidP="00B3640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Theme="majorHAnsi" w:hAnsiTheme="majorHAnsi"/>
          <w:sz w:val="18"/>
          <w:szCs w:val="18"/>
        </w:rPr>
      </w:pPr>
      <w:r w:rsidRPr="00FC406F">
        <w:rPr>
          <w:rFonts w:ascii="Cambria" w:hAnsi="Cambria"/>
          <w:sz w:val="18"/>
          <w:szCs w:val="18"/>
        </w:rPr>
        <w:t>Unequal access to funds was evident throughout the campaign. This is largely because political party financing is virtually unregulated in Nicaragua: there are no limits on how much may be donated or spent and very few restrictions regarding funding sources.</w:t>
      </w:r>
      <w:r w:rsidR="00B36400" w:rsidRPr="00FC406F">
        <w:rPr>
          <w:rStyle w:val="FootnoteReference"/>
          <w:rFonts w:asciiTheme="majorHAnsi" w:eastAsia="Times New Roman" w:hAnsiTheme="majorHAnsi"/>
          <w:sz w:val="18"/>
          <w:szCs w:val="18"/>
        </w:rPr>
        <w:footnoteReference w:id="29"/>
      </w:r>
    </w:p>
    <w:p w14:paraId="3755AE2E" w14:textId="77777777" w:rsidR="00B36400" w:rsidRPr="00FC406F" w:rsidRDefault="00B36400" w:rsidP="00B3640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color w:val="000000" w:themeColor="text1"/>
          <w:sz w:val="20"/>
          <w:szCs w:val="20"/>
        </w:rPr>
      </w:pPr>
    </w:p>
    <w:p w14:paraId="6D07DB86" w14:textId="77777777" w:rsidR="00B36400" w:rsidRPr="00FC406F" w:rsidRDefault="0062217E" w:rsidP="00031C3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color w:val="000000" w:themeColor="text1"/>
          <w:sz w:val="20"/>
          <w:szCs w:val="20"/>
        </w:rPr>
      </w:pPr>
      <w:r w:rsidRPr="00FC406F">
        <w:rPr>
          <w:rFonts w:asciiTheme="majorHAnsi" w:hAnsiTheme="majorHAnsi"/>
          <w:color w:val="000000" w:themeColor="text1"/>
          <w:sz w:val="20"/>
          <w:szCs w:val="20"/>
        </w:rPr>
        <w:t>Furthermore, the European Union Mission underscored that “the monitoring also</w:t>
      </w:r>
      <w:r w:rsidR="00B237D8" w:rsidRPr="00FC406F">
        <w:rPr>
          <w:rFonts w:asciiTheme="majorHAnsi" w:hAnsiTheme="majorHAnsi"/>
          <w:color w:val="000000" w:themeColor="text1"/>
          <w:sz w:val="20"/>
          <w:szCs w:val="20"/>
        </w:rPr>
        <w:t xml:space="preserve"> reveals that many of the norms for the media in electoral campaigns, among which those aimed at guaranteeing equal opportunities for the candidates</w:t>
      </w:r>
      <w:r w:rsidR="000A03BE" w:rsidRPr="00FC406F">
        <w:rPr>
          <w:rFonts w:asciiTheme="majorHAnsi" w:hAnsiTheme="majorHAnsi"/>
          <w:color w:val="000000" w:themeColor="text1"/>
          <w:sz w:val="20"/>
          <w:szCs w:val="20"/>
        </w:rPr>
        <w:t>,</w:t>
      </w:r>
      <w:r w:rsidR="00B237D8" w:rsidRPr="00FC406F">
        <w:rPr>
          <w:rFonts w:asciiTheme="majorHAnsi" w:hAnsiTheme="majorHAnsi"/>
          <w:color w:val="000000" w:themeColor="text1"/>
          <w:sz w:val="20"/>
          <w:szCs w:val="20"/>
        </w:rPr>
        <w:t xml:space="preserve"> have been violated without any consequences for the offenders.” In particular, it stated that</w:t>
      </w:r>
      <w:r w:rsidR="00B36400" w:rsidRPr="00FC406F">
        <w:rPr>
          <w:rFonts w:asciiTheme="majorHAnsi" w:hAnsiTheme="majorHAnsi"/>
          <w:color w:val="000000" w:themeColor="text1"/>
          <w:sz w:val="20"/>
          <w:szCs w:val="20"/>
        </w:rPr>
        <w:t>:</w:t>
      </w:r>
    </w:p>
    <w:p w14:paraId="617D8216" w14:textId="77777777" w:rsidR="00B36400" w:rsidRPr="00FC406F" w:rsidRDefault="00B36400" w:rsidP="00B3640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color w:val="000000" w:themeColor="text1"/>
          <w:sz w:val="20"/>
          <w:szCs w:val="20"/>
        </w:rPr>
      </w:pPr>
    </w:p>
    <w:p w14:paraId="26F4811A" w14:textId="77777777" w:rsidR="00B36400" w:rsidRPr="00FC406F" w:rsidRDefault="003B6B9C" w:rsidP="00B3640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Theme="majorHAnsi" w:hAnsiTheme="majorHAnsi"/>
          <w:sz w:val="18"/>
          <w:szCs w:val="18"/>
        </w:rPr>
      </w:pPr>
      <w:r w:rsidRPr="00FC406F">
        <w:rPr>
          <w:rFonts w:ascii="Cambria" w:hAnsi="Cambria"/>
          <w:sz w:val="18"/>
          <w:szCs w:val="18"/>
        </w:rPr>
        <w:t xml:space="preserve">Article 90 of the </w:t>
      </w:r>
      <w:r w:rsidR="000A03BE" w:rsidRPr="00FC406F">
        <w:rPr>
          <w:rFonts w:ascii="Cambria" w:hAnsi="Cambria"/>
          <w:sz w:val="18"/>
          <w:szCs w:val="18"/>
        </w:rPr>
        <w:t>Law on Elections</w:t>
      </w:r>
      <w:r w:rsidRPr="00FC406F">
        <w:rPr>
          <w:rFonts w:ascii="Cambria" w:hAnsi="Cambria"/>
          <w:sz w:val="18"/>
          <w:szCs w:val="18"/>
        </w:rPr>
        <w:t>, which sets limits for election campaigns in the media, was unanimously ignored by the parties, probably because the time-limits are flagrantly brief: at most three minutes on each television station per day, four and a half minutes on each radio station, and less than half a page in print media for each candidate daily. Regarding this failure to observe the limits, which the EU EOM had already highlighted in 2006, the FSLN is noteworthy as</w:t>
      </w:r>
      <w:r w:rsidR="00F1475B" w:rsidRPr="00FC406F">
        <w:rPr>
          <w:rFonts w:ascii="Cambria" w:hAnsi="Cambria"/>
          <w:sz w:val="18"/>
          <w:szCs w:val="18"/>
        </w:rPr>
        <w:t xml:space="preserve"> it</w:t>
      </w:r>
      <w:r w:rsidR="00E41ED2" w:rsidRPr="00FC406F">
        <w:rPr>
          <w:rFonts w:ascii="Cambria" w:hAnsi="Cambria"/>
          <w:sz w:val="18"/>
          <w:szCs w:val="18"/>
        </w:rPr>
        <w:t xml:space="preserve"> had more </w:t>
      </w:r>
      <w:r w:rsidR="000A03BE" w:rsidRPr="00FC406F">
        <w:rPr>
          <w:rFonts w:ascii="Cambria" w:hAnsi="Cambria"/>
          <w:sz w:val="18"/>
          <w:szCs w:val="18"/>
        </w:rPr>
        <w:t>campaigning</w:t>
      </w:r>
      <w:r w:rsidR="00E41ED2" w:rsidRPr="00FC406F">
        <w:rPr>
          <w:rFonts w:ascii="Cambria" w:hAnsi="Cambria"/>
          <w:sz w:val="18"/>
          <w:szCs w:val="18"/>
        </w:rPr>
        <w:t xml:space="preserve"> </w:t>
      </w:r>
      <w:r w:rsidR="00465D1B" w:rsidRPr="00FC406F">
        <w:rPr>
          <w:rFonts w:ascii="Cambria" w:hAnsi="Cambria"/>
          <w:sz w:val="18"/>
          <w:szCs w:val="18"/>
        </w:rPr>
        <w:t>air</w:t>
      </w:r>
      <w:r w:rsidR="00E41ED2" w:rsidRPr="00FC406F">
        <w:rPr>
          <w:rFonts w:ascii="Cambria" w:hAnsi="Cambria"/>
          <w:sz w:val="18"/>
          <w:szCs w:val="18"/>
        </w:rPr>
        <w:t>time than all of its rivals put together in almost all the monitored media. This was the case on</w:t>
      </w:r>
      <w:r w:rsidR="000A03BE" w:rsidRPr="00FC406F">
        <w:rPr>
          <w:rFonts w:ascii="Cambria" w:hAnsi="Cambria"/>
          <w:sz w:val="18"/>
          <w:szCs w:val="18"/>
        </w:rPr>
        <w:t xml:space="preserve"> the</w:t>
      </w:r>
      <w:r w:rsidR="00E41ED2" w:rsidRPr="00FC406F">
        <w:rPr>
          <w:rFonts w:ascii="Cambria" w:hAnsi="Cambria"/>
          <w:sz w:val="18"/>
          <w:szCs w:val="18"/>
        </w:rPr>
        <w:t xml:space="preserve"> television channels 2, 4, 6 and 8, as well as Radio Ya and Radio Nicaragua. The only exceptions were Radio Corporac</w:t>
      </w:r>
      <w:r w:rsidR="000A03BE" w:rsidRPr="00FC406F">
        <w:rPr>
          <w:rFonts w:ascii="Cambria" w:hAnsi="Cambria"/>
          <w:sz w:val="18"/>
          <w:szCs w:val="18"/>
        </w:rPr>
        <w:t>ión, where 94% of all campaigning</w:t>
      </w:r>
      <w:r w:rsidR="00E41ED2" w:rsidRPr="00FC406F">
        <w:rPr>
          <w:rFonts w:ascii="Cambria" w:hAnsi="Cambria"/>
          <w:sz w:val="18"/>
          <w:szCs w:val="18"/>
        </w:rPr>
        <w:t xml:space="preserve"> airtime </w:t>
      </w:r>
      <w:r w:rsidR="000A03BE" w:rsidRPr="00FC406F">
        <w:rPr>
          <w:rFonts w:ascii="Cambria" w:hAnsi="Cambria"/>
          <w:sz w:val="18"/>
          <w:szCs w:val="18"/>
        </w:rPr>
        <w:t xml:space="preserve">that was examined </w:t>
      </w:r>
      <w:r w:rsidR="00E41ED2" w:rsidRPr="00FC406F">
        <w:rPr>
          <w:rFonts w:ascii="Cambria" w:hAnsi="Cambria"/>
          <w:sz w:val="18"/>
          <w:szCs w:val="18"/>
        </w:rPr>
        <w:t>was granted to PLI; Canal 12, whe</w:t>
      </w:r>
      <w:r w:rsidR="000A03BE" w:rsidRPr="00FC406F">
        <w:rPr>
          <w:rFonts w:ascii="Cambria" w:hAnsi="Cambria"/>
          <w:sz w:val="18"/>
          <w:szCs w:val="18"/>
        </w:rPr>
        <w:t>re opposition parties together accounted for</w:t>
      </w:r>
      <w:r w:rsidR="00E41ED2" w:rsidRPr="00FC406F">
        <w:rPr>
          <w:rFonts w:ascii="Cambria" w:hAnsi="Cambria"/>
          <w:sz w:val="18"/>
          <w:szCs w:val="18"/>
        </w:rPr>
        <w:t xml:space="preserve"> 55% of </w:t>
      </w:r>
      <w:r w:rsidR="000A03BE" w:rsidRPr="00FC406F">
        <w:rPr>
          <w:rFonts w:ascii="Cambria" w:hAnsi="Cambria"/>
          <w:sz w:val="18"/>
          <w:szCs w:val="18"/>
        </w:rPr>
        <w:t>campaigning</w:t>
      </w:r>
      <w:r w:rsidR="00E41ED2" w:rsidRPr="00FC406F">
        <w:rPr>
          <w:rFonts w:ascii="Cambria" w:hAnsi="Cambria"/>
          <w:sz w:val="18"/>
          <w:szCs w:val="18"/>
        </w:rPr>
        <w:t xml:space="preserve"> </w:t>
      </w:r>
      <w:r w:rsidR="000A03BE" w:rsidRPr="00FC406F">
        <w:rPr>
          <w:rFonts w:ascii="Cambria" w:hAnsi="Cambria"/>
          <w:sz w:val="18"/>
          <w:szCs w:val="18"/>
        </w:rPr>
        <w:t>air</w:t>
      </w:r>
      <w:r w:rsidR="00E41ED2" w:rsidRPr="00FC406F">
        <w:rPr>
          <w:rFonts w:ascii="Cambria" w:hAnsi="Cambria"/>
          <w:sz w:val="18"/>
          <w:szCs w:val="18"/>
        </w:rPr>
        <w:t>time; and Canal 14 and Radio Universidad, wh</w:t>
      </w:r>
      <w:r w:rsidR="000A03BE" w:rsidRPr="00FC406F">
        <w:rPr>
          <w:rFonts w:ascii="Cambria" w:hAnsi="Cambria"/>
          <w:sz w:val="18"/>
          <w:szCs w:val="18"/>
        </w:rPr>
        <w:t>ich have no airtime for campaigning, at least</w:t>
      </w:r>
      <w:r w:rsidR="00E41ED2" w:rsidRPr="00FC406F">
        <w:rPr>
          <w:rFonts w:ascii="Cambria" w:hAnsi="Cambria"/>
          <w:sz w:val="18"/>
          <w:szCs w:val="18"/>
        </w:rPr>
        <w:t xml:space="preserve"> during monitoring hours</w:t>
      </w:r>
      <w:r w:rsidR="00B36400" w:rsidRPr="00FC406F">
        <w:rPr>
          <w:rFonts w:asciiTheme="majorHAnsi" w:hAnsiTheme="majorHAnsi"/>
          <w:sz w:val="18"/>
          <w:szCs w:val="18"/>
        </w:rPr>
        <w:t xml:space="preserve">. </w:t>
      </w:r>
    </w:p>
    <w:p w14:paraId="0D0986A2" w14:textId="77777777" w:rsidR="00B36400" w:rsidRPr="00FC406F" w:rsidRDefault="00B36400" w:rsidP="00B3640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Theme="majorHAnsi" w:hAnsiTheme="majorHAnsi"/>
          <w:sz w:val="18"/>
          <w:szCs w:val="18"/>
        </w:rPr>
      </w:pPr>
    </w:p>
    <w:p w14:paraId="417EB391" w14:textId="77777777" w:rsidR="00B36400" w:rsidRPr="00FC406F" w:rsidRDefault="0062217E" w:rsidP="00B3640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Theme="majorHAnsi" w:hAnsiTheme="majorHAnsi"/>
          <w:sz w:val="18"/>
          <w:szCs w:val="18"/>
        </w:rPr>
      </w:pPr>
      <w:r w:rsidRPr="00FC406F">
        <w:rPr>
          <w:rFonts w:asciiTheme="majorHAnsi" w:hAnsiTheme="majorHAnsi"/>
          <w:sz w:val="18"/>
          <w:szCs w:val="18"/>
        </w:rPr>
        <w:t>In addition, state-run media</w:t>
      </w:r>
      <w:r w:rsidR="00B36400" w:rsidRPr="00FC406F">
        <w:rPr>
          <w:rFonts w:asciiTheme="majorHAnsi" w:hAnsiTheme="majorHAnsi"/>
          <w:sz w:val="18"/>
          <w:szCs w:val="18"/>
        </w:rPr>
        <w:t xml:space="preserve"> (</w:t>
      </w:r>
      <w:r w:rsidRPr="00FC406F">
        <w:rPr>
          <w:rFonts w:asciiTheme="majorHAnsi" w:hAnsiTheme="majorHAnsi"/>
          <w:sz w:val="18"/>
          <w:szCs w:val="18"/>
        </w:rPr>
        <w:t xml:space="preserve">television </w:t>
      </w:r>
      <w:r w:rsidR="00B36400" w:rsidRPr="00FC406F">
        <w:rPr>
          <w:rFonts w:asciiTheme="majorHAnsi" w:hAnsiTheme="majorHAnsi"/>
          <w:sz w:val="18"/>
          <w:szCs w:val="18"/>
        </w:rPr>
        <w:t xml:space="preserve">Canal 6 </w:t>
      </w:r>
      <w:r w:rsidRPr="00FC406F">
        <w:rPr>
          <w:rFonts w:asciiTheme="majorHAnsi" w:hAnsiTheme="majorHAnsi"/>
          <w:sz w:val="18"/>
          <w:szCs w:val="18"/>
        </w:rPr>
        <w:t xml:space="preserve">and Radio Nicaragua) have not provided </w:t>
      </w:r>
      <w:r w:rsidR="000A03BE" w:rsidRPr="00FC406F">
        <w:rPr>
          <w:rFonts w:asciiTheme="majorHAnsi" w:hAnsiTheme="majorHAnsi"/>
          <w:sz w:val="18"/>
          <w:szCs w:val="18"/>
        </w:rPr>
        <w:t xml:space="preserve">the stipulated </w:t>
      </w:r>
      <w:r w:rsidRPr="00FC406F">
        <w:rPr>
          <w:rFonts w:asciiTheme="majorHAnsi" w:hAnsiTheme="majorHAnsi"/>
          <w:sz w:val="18"/>
          <w:szCs w:val="18"/>
        </w:rPr>
        <w:t xml:space="preserve">30 minutes of airtime on TV and 45 minutes </w:t>
      </w:r>
      <w:r w:rsidR="000A03BE" w:rsidRPr="00FC406F">
        <w:rPr>
          <w:rFonts w:asciiTheme="majorHAnsi" w:hAnsiTheme="majorHAnsi"/>
          <w:sz w:val="18"/>
          <w:szCs w:val="18"/>
        </w:rPr>
        <w:t xml:space="preserve">of </w:t>
      </w:r>
      <w:r w:rsidRPr="00FC406F">
        <w:rPr>
          <w:rFonts w:asciiTheme="majorHAnsi" w:hAnsiTheme="majorHAnsi"/>
          <w:sz w:val="18"/>
          <w:szCs w:val="18"/>
        </w:rPr>
        <w:t>radio broadcasting which, according the Law on Elections, the CSE must guarantee to all parties submitting candidates</w:t>
      </w:r>
      <w:r w:rsidR="00B36400" w:rsidRPr="00FC406F">
        <w:rPr>
          <w:rFonts w:asciiTheme="majorHAnsi" w:hAnsiTheme="majorHAnsi"/>
          <w:sz w:val="18"/>
          <w:szCs w:val="18"/>
        </w:rPr>
        <w:t xml:space="preserve"> (…)</w:t>
      </w:r>
      <w:r w:rsidRPr="00FC406F">
        <w:rPr>
          <w:rFonts w:asciiTheme="majorHAnsi" w:hAnsiTheme="majorHAnsi"/>
          <w:sz w:val="18"/>
          <w:szCs w:val="18"/>
        </w:rPr>
        <w:t>.</w:t>
      </w:r>
      <w:r w:rsidR="00B36400" w:rsidRPr="00FC406F">
        <w:rPr>
          <w:rStyle w:val="FootnoteReference"/>
          <w:rFonts w:asciiTheme="majorHAnsi" w:hAnsiTheme="majorHAnsi"/>
          <w:sz w:val="18"/>
          <w:szCs w:val="18"/>
        </w:rPr>
        <w:footnoteReference w:id="30"/>
      </w:r>
    </w:p>
    <w:p w14:paraId="34BB9CCA" w14:textId="77777777" w:rsidR="00B36400" w:rsidRPr="00FC406F" w:rsidRDefault="00B36400" w:rsidP="00B3640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right="360"/>
        <w:jc w:val="both"/>
        <w:rPr>
          <w:rFonts w:asciiTheme="majorHAnsi" w:hAnsiTheme="majorHAnsi"/>
          <w:sz w:val="18"/>
          <w:szCs w:val="18"/>
        </w:rPr>
      </w:pPr>
    </w:p>
    <w:p w14:paraId="1C7AC66E" w14:textId="77777777" w:rsidR="00B36400" w:rsidRPr="00FC406F" w:rsidRDefault="00FE3A05" w:rsidP="00031C3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color w:val="000000" w:themeColor="text1"/>
          <w:sz w:val="20"/>
          <w:szCs w:val="20"/>
        </w:rPr>
      </w:pPr>
      <w:r w:rsidRPr="00FC406F">
        <w:rPr>
          <w:rFonts w:asciiTheme="majorHAnsi" w:hAnsiTheme="majorHAnsi"/>
          <w:color w:val="000000" w:themeColor="text1"/>
          <w:sz w:val="20"/>
          <w:szCs w:val="20"/>
        </w:rPr>
        <w:t>Regarding the 2011 elections, the Carter Center also indicated the following</w:t>
      </w:r>
      <w:r w:rsidR="00B36400" w:rsidRPr="00FC406F">
        <w:rPr>
          <w:rFonts w:asciiTheme="majorHAnsi" w:hAnsiTheme="majorHAnsi"/>
          <w:color w:val="000000" w:themeColor="text1"/>
          <w:sz w:val="20"/>
          <w:szCs w:val="20"/>
        </w:rPr>
        <w:t>:</w:t>
      </w:r>
    </w:p>
    <w:p w14:paraId="2D1B23A8" w14:textId="77777777" w:rsidR="00B36400" w:rsidRPr="00FC406F" w:rsidRDefault="00B36400" w:rsidP="00B36400">
      <w:pPr>
        <w:pStyle w:val="ListParagraph"/>
      </w:pPr>
    </w:p>
    <w:p w14:paraId="0533B8A1" w14:textId="77777777" w:rsidR="00B36400" w:rsidRPr="00FC406F" w:rsidRDefault="00FE3A05" w:rsidP="00B3640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Theme="majorHAnsi" w:hAnsiTheme="majorHAnsi"/>
          <w:color w:val="000000" w:themeColor="text1"/>
          <w:sz w:val="18"/>
          <w:szCs w:val="18"/>
        </w:rPr>
      </w:pPr>
      <w:r w:rsidRPr="00FC406F">
        <w:rPr>
          <w:rFonts w:ascii="Cambria" w:hAnsi="Cambria"/>
          <w:sz w:val="18"/>
          <w:szCs w:val="18"/>
        </w:rPr>
        <w:t xml:space="preserve">The legal framework for the elections was marred by two important issues. First, the presidential candidacy of incumbent Daniel Ortega was inadmissible under the 1987 constitution because he had already served the maximum two terms (1984-1990; 2006- 2011), and because a reform passed in 1995 banned immediate re-election of the president. The Supreme Court of Justice (CSJ) had ruled in 2009 that these restrictions violated another constitutional principle of individual equality (and therefore the right of Daniel Ortega to run for office), but the partisan make-up of the court and procedural irregularities in that decision called its validity into question. Second, the Supreme Electoral Council (CSE) was composed of members who had overstayed their terms of office, having been authorized to do so by a questionable presidential decree in 2010. The CSE’s partisan composition and the dominance of the FSLN within the technical and administrative structure of the electoral branch were </w:t>
      </w:r>
      <w:r w:rsidRPr="00FC406F">
        <w:rPr>
          <w:rFonts w:ascii="Cambria" w:hAnsi="Cambria"/>
          <w:sz w:val="18"/>
          <w:szCs w:val="18"/>
        </w:rPr>
        <w:lastRenderedPageBreak/>
        <w:t>additional cause for concern, especially given that the same CSE magistrates had presided over municipal elections in 2008 in which opposition parties and domestic organizations presented significant evidence of fraud to the benefit of the governing party.</w:t>
      </w:r>
      <w:r w:rsidR="00B36400" w:rsidRPr="00FC406F">
        <w:rPr>
          <w:rStyle w:val="FootnoteReference"/>
          <w:rFonts w:asciiTheme="majorHAnsi" w:hAnsiTheme="majorHAnsi"/>
          <w:color w:val="000000" w:themeColor="text1"/>
          <w:sz w:val="18"/>
          <w:szCs w:val="18"/>
        </w:rPr>
        <w:footnoteReference w:id="31"/>
      </w:r>
    </w:p>
    <w:p w14:paraId="2C3EAEBD" w14:textId="77777777" w:rsidR="00B36400" w:rsidRPr="00FC406F" w:rsidRDefault="00B36400" w:rsidP="00B3640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color w:val="000000" w:themeColor="text1"/>
          <w:sz w:val="20"/>
          <w:szCs w:val="20"/>
        </w:rPr>
      </w:pPr>
    </w:p>
    <w:p w14:paraId="7BC24F9D" w14:textId="77777777" w:rsidR="00B36400" w:rsidRPr="00FC406F" w:rsidRDefault="00FE3A05" w:rsidP="00031C3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color w:val="000000" w:themeColor="text1"/>
          <w:sz w:val="20"/>
          <w:szCs w:val="20"/>
        </w:rPr>
      </w:pPr>
      <w:r w:rsidRPr="00FC406F">
        <w:rPr>
          <w:rFonts w:asciiTheme="majorHAnsi" w:hAnsiTheme="majorHAnsi"/>
          <w:color w:val="000000" w:themeColor="text1"/>
          <w:sz w:val="20"/>
          <w:szCs w:val="20"/>
        </w:rPr>
        <w:t xml:space="preserve">As </w:t>
      </w:r>
      <w:r w:rsidR="00D85802" w:rsidRPr="00FC406F">
        <w:rPr>
          <w:rFonts w:asciiTheme="majorHAnsi" w:hAnsiTheme="majorHAnsi"/>
          <w:color w:val="000000" w:themeColor="text1"/>
          <w:sz w:val="20"/>
          <w:szCs w:val="20"/>
        </w:rPr>
        <w:t>for the OAS Elect</w:t>
      </w:r>
      <w:r w:rsidR="000A03BE" w:rsidRPr="00FC406F">
        <w:rPr>
          <w:rFonts w:asciiTheme="majorHAnsi" w:hAnsiTheme="majorHAnsi"/>
          <w:color w:val="000000" w:themeColor="text1"/>
          <w:sz w:val="20"/>
          <w:szCs w:val="20"/>
        </w:rPr>
        <w:t>oral</w:t>
      </w:r>
      <w:r w:rsidR="00D85802" w:rsidRPr="00FC406F">
        <w:rPr>
          <w:rFonts w:asciiTheme="majorHAnsi" w:hAnsiTheme="majorHAnsi"/>
          <w:color w:val="000000" w:themeColor="text1"/>
          <w:sz w:val="20"/>
          <w:szCs w:val="20"/>
        </w:rPr>
        <w:t xml:space="preserve"> Accompanim</w:t>
      </w:r>
      <w:r w:rsidRPr="00FC406F">
        <w:rPr>
          <w:rFonts w:asciiTheme="majorHAnsi" w:hAnsiTheme="majorHAnsi"/>
          <w:color w:val="000000" w:themeColor="text1"/>
          <w:sz w:val="20"/>
          <w:szCs w:val="20"/>
        </w:rPr>
        <w:t>ent Mission, it underscored the following</w:t>
      </w:r>
      <w:r w:rsidR="00B36400" w:rsidRPr="00FC406F">
        <w:rPr>
          <w:rFonts w:asciiTheme="majorHAnsi" w:hAnsiTheme="majorHAnsi"/>
          <w:color w:val="000000" w:themeColor="text1"/>
          <w:sz w:val="20"/>
          <w:szCs w:val="20"/>
        </w:rPr>
        <w:t>:</w:t>
      </w:r>
    </w:p>
    <w:p w14:paraId="68753AC3" w14:textId="77777777" w:rsidR="00B36400" w:rsidRPr="00FC406F" w:rsidRDefault="00B36400" w:rsidP="00B3640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right="360"/>
        <w:jc w:val="both"/>
        <w:rPr>
          <w:rFonts w:asciiTheme="majorHAnsi" w:hAnsiTheme="majorHAnsi"/>
          <w:sz w:val="18"/>
          <w:szCs w:val="18"/>
        </w:rPr>
      </w:pPr>
    </w:p>
    <w:p w14:paraId="745C2713" w14:textId="77777777" w:rsidR="0007638D" w:rsidRPr="00FC406F" w:rsidRDefault="0007638D" w:rsidP="0007638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Cambria" w:hAnsi="Cambria"/>
          <w:sz w:val="18"/>
          <w:szCs w:val="18"/>
        </w:rPr>
      </w:pPr>
      <w:r w:rsidRPr="00FC406F">
        <w:rPr>
          <w:rFonts w:ascii="Cambria" w:hAnsi="Cambria"/>
          <w:sz w:val="18"/>
          <w:szCs w:val="18"/>
        </w:rPr>
        <w:t>[T]he regulatory framework in which the elections took place contains procedures beset with structural flaws that have existed since 1996. Mention was made of this structure and its flaws in the 2006 OAS Electoral Observation Mission Report. (…)</w:t>
      </w:r>
    </w:p>
    <w:p w14:paraId="0E53F4BF" w14:textId="77777777" w:rsidR="0007638D" w:rsidRPr="00FC406F" w:rsidRDefault="0007638D" w:rsidP="0007638D">
      <w:pPr>
        <w:jc w:val="both"/>
        <w:rPr>
          <w:rFonts w:ascii="Cambria" w:hAnsi="Cambria"/>
          <w:sz w:val="18"/>
          <w:szCs w:val="18"/>
        </w:rPr>
      </w:pPr>
    </w:p>
    <w:p w14:paraId="45E10C24" w14:textId="77777777" w:rsidR="0007638D" w:rsidRPr="00FC406F" w:rsidRDefault="0007638D" w:rsidP="0007638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Cambria" w:hAnsi="Cambria"/>
          <w:sz w:val="18"/>
          <w:szCs w:val="18"/>
        </w:rPr>
      </w:pPr>
      <w:r w:rsidRPr="00FC406F">
        <w:rPr>
          <w:rFonts w:ascii="Cambria" w:hAnsi="Cambria"/>
          <w:sz w:val="18"/>
          <w:szCs w:val="18"/>
        </w:rPr>
        <w:t>[A] faction from one political party filed a motion with the courts. There were motions for constitutional relief (amparo) filed by three factions of the Independent Liberal Party (PLI). None of these motions had been settled as of the date of this report. In this a context, we hope that the Supreme Court of Justice rules on said matter as soon as possible, and puts an end to the current state of uncertainty. If the Court were to issue a decision preventing a deputy elect from taking office after his or her nomination had been accepted by the Supreme Electoral Council, then that would amount to a serious breach of the will of the people. (…)</w:t>
      </w:r>
    </w:p>
    <w:p w14:paraId="659BA93A" w14:textId="77777777" w:rsidR="0007638D" w:rsidRPr="00FC406F" w:rsidRDefault="0007638D" w:rsidP="0007638D">
      <w:pPr>
        <w:jc w:val="both"/>
        <w:rPr>
          <w:rFonts w:ascii="Cambria" w:hAnsi="Cambria"/>
          <w:sz w:val="18"/>
          <w:szCs w:val="18"/>
        </w:rPr>
      </w:pPr>
    </w:p>
    <w:p w14:paraId="1FB80258" w14:textId="77777777" w:rsidR="00B36400" w:rsidRPr="00FC406F" w:rsidRDefault="0007638D" w:rsidP="0007638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Theme="majorHAnsi" w:hAnsiTheme="majorHAnsi"/>
          <w:sz w:val="18"/>
          <w:szCs w:val="18"/>
        </w:rPr>
      </w:pPr>
      <w:r w:rsidRPr="00FC406F">
        <w:rPr>
          <w:rFonts w:ascii="Cambria" w:hAnsi="Cambria"/>
          <w:sz w:val="18"/>
          <w:szCs w:val="18"/>
        </w:rPr>
        <w:t>As a fifth aspect, the rule in place establishing the party composition of polling stations is in response to a political reality of the past and is currently not justified. The current composition only guarantees the dominance of board members from two political parties and creates a lesser presence for other political forces. The disadvantage of this is that it distorts the role of board members, who in practice end up assuming control functions that are specific to party agents. In practice, this kind of rule left the Independent Liberal Party with almost no presence at the polling stations.</w:t>
      </w:r>
      <w:r w:rsidR="00B36400" w:rsidRPr="00FC406F">
        <w:rPr>
          <w:rStyle w:val="FootnoteReference"/>
          <w:rFonts w:asciiTheme="majorHAnsi" w:hAnsiTheme="majorHAnsi"/>
          <w:sz w:val="18"/>
          <w:szCs w:val="18"/>
        </w:rPr>
        <w:footnoteReference w:id="32"/>
      </w:r>
    </w:p>
    <w:p w14:paraId="713EAF80" w14:textId="77777777" w:rsidR="00B36400" w:rsidRPr="00FC406F" w:rsidRDefault="00B36400" w:rsidP="00B36400">
      <w:pPr>
        <w:pStyle w:val="ListParagraph"/>
      </w:pPr>
    </w:p>
    <w:p w14:paraId="0CDFB0EC" w14:textId="77777777" w:rsidR="00B36400" w:rsidRPr="00FC406F" w:rsidRDefault="004E1579" w:rsidP="00B36400">
      <w:pPr>
        <w:pStyle w:val="Heading1"/>
      </w:pPr>
      <w:bookmarkStart w:id="20" w:name="_Toc4595238"/>
      <w:bookmarkStart w:id="21" w:name="_Toc10456642"/>
      <w:bookmarkStart w:id="22" w:name="_Toc25343214"/>
      <w:bookmarkStart w:id="23" w:name="_Toc42609973"/>
      <w:bookmarkStart w:id="24" w:name="_Toc56778655"/>
      <w:r w:rsidRPr="00FC406F">
        <w:t xml:space="preserve">DETERMINATIONS OF </w:t>
      </w:r>
      <w:bookmarkEnd w:id="20"/>
      <w:bookmarkEnd w:id="21"/>
      <w:bookmarkEnd w:id="22"/>
      <w:bookmarkEnd w:id="23"/>
      <w:r w:rsidR="000905D8" w:rsidRPr="00FC406F">
        <w:t>LAW</w:t>
      </w:r>
      <w:bookmarkEnd w:id="24"/>
    </w:p>
    <w:p w14:paraId="7C93051A" w14:textId="77777777" w:rsidR="00B36400" w:rsidRPr="00FC406F" w:rsidRDefault="00B36400" w:rsidP="00B36400">
      <w:pPr>
        <w:rPr>
          <w:lang w:eastAsia="es-ES"/>
        </w:rPr>
      </w:pPr>
    </w:p>
    <w:p w14:paraId="2F37BF91" w14:textId="77777777" w:rsidR="00B36400" w:rsidRPr="00FC406F" w:rsidRDefault="004E1579" w:rsidP="00FC2C52">
      <w:pPr>
        <w:pStyle w:val="Heading2"/>
        <w:numPr>
          <w:ilvl w:val="0"/>
          <w:numId w:val="61"/>
        </w:numPr>
        <w:ind w:hanging="1080"/>
      </w:pPr>
      <w:bookmarkStart w:id="25" w:name="_Toc42609974"/>
      <w:bookmarkStart w:id="26" w:name="_Toc56778656"/>
      <w:r w:rsidRPr="00FC406F">
        <w:t>Political rights</w:t>
      </w:r>
      <w:r w:rsidR="00B36400" w:rsidRPr="00FC406F">
        <w:rPr>
          <w:rStyle w:val="FootnoteReference"/>
          <w:rFonts w:eastAsia="Trebuchet MS"/>
          <w:b w:val="0"/>
          <w:szCs w:val="20"/>
        </w:rPr>
        <w:footnoteReference w:id="33"/>
      </w:r>
      <w:bookmarkEnd w:id="25"/>
      <w:bookmarkEnd w:id="26"/>
      <w:r w:rsidR="00B36400" w:rsidRPr="00FC406F">
        <w:t xml:space="preserve"> </w:t>
      </w:r>
    </w:p>
    <w:p w14:paraId="08BCE0BE" w14:textId="77777777" w:rsidR="00B36400" w:rsidRPr="00FC2C52" w:rsidRDefault="00B36400" w:rsidP="00B36400">
      <w:pPr>
        <w:rPr>
          <w:sz w:val="20"/>
          <w:szCs w:val="20"/>
        </w:rPr>
      </w:pPr>
    </w:p>
    <w:p w14:paraId="51067BF0" w14:textId="77777777" w:rsidR="00B36400" w:rsidRPr="00FC2C52" w:rsidRDefault="004E1579" w:rsidP="00031C34">
      <w:pPr>
        <w:pStyle w:val="Heading3"/>
        <w:keepLines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before="0"/>
        <w:ind w:hanging="720"/>
        <w:rPr>
          <w:color w:val="auto"/>
          <w:sz w:val="20"/>
          <w:szCs w:val="20"/>
        </w:rPr>
      </w:pPr>
      <w:bookmarkStart w:id="27" w:name="_Toc42609975"/>
      <w:bookmarkStart w:id="28" w:name="_Toc56778657"/>
      <w:r w:rsidRPr="00FC2C52">
        <w:rPr>
          <w:color w:val="auto"/>
          <w:sz w:val="20"/>
          <w:szCs w:val="20"/>
        </w:rPr>
        <w:t xml:space="preserve">General standards on the right to political participation </w:t>
      </w:r>
      <w:r w:rsidR="00D62916" w:rsidRPr="00FC2C52">
        <w:rPr>
          <w:color w:val="auto"/>
          <w:sz w:val="20"/>
          <w:szCs w:val="20"/>
        </w:rPr>
        <w:t>on equal terms</w:t>
      </w:r>
      <w:bookmarkEnd w:id="27"/>
      <w:bookmarkEnd w:id="28"/>
    </w:p>
    <w:p w14:paraId="00CD98C2" w14:textId="77777777" w:rsidR="00B36400" w:rsidRPr="00FC406F" w:rsidRDefault="00B36400" w:rsidP="00B36400">
      <w:pPr>
        <w:pStyle w:val="parrafos"/>
        <w:ind w:firstLine="0"/>
      </w:pPr>
    </w:p>
    <w:p w14:paraId="6A69F389" w14:textId="77777777" w:rsidR="00B36400" w:rsidRPr="00FC406F" w:rsidRDefault="004E1579" w:rsidP="00031C34">
      <w:pPr>
        <w:pStyle w:val="parrafos"/>
        <w:numPr>
          <w:ilvl w:val="0"/>
          <w:numId w:val="54"/>
        </w:numPr>
        <w:tabs>
          <w:tab w:val="clear" w:pos="1440"/>
        </w:tabs>
        <w:ind w:left="0" w:firstLine="0"/>
        <w:rPr>
          <w:rFonts w:ascii="Cambria" w:hAnsi="Cambria"/>
        </w:rPr>
      </w:pPr>
      <w:r w:rsidRPr="00FC406F">
        <w:rPr>
          <w:rFonts w:ascii="Cambria" w:hAnsi="Cambria"/>
        </w:rPr>
        <w:t>The Commission recalls that “representative democracy is one of the pillars of the system that the Convention forms part of, and constitutes a principle reaffirmed by the States of the Americas in the OAS Charter</w:t>
      </w:r>
      <w:r w:rsidR="00B36400" w:rsidRPr="00FC406F">
        <w:rPr>
          <w:rFonts w:ascii="Cambria" w:hAnsi="Cambria"/>
        </w:rPr>
        <w:t>”</w:t>
      </w:r>
      <w:r w:rsidR="00B36400" w:rsidRPr="00FC406F">
        <w:rPr>
          <w:rStyle w:val="FootnoteReference"/>
          <w:rFonts w:ascii="Cambria" w:hAnsi="Cambria"/>
        </w:rPr>
        <w:footnoteReference w:id="34"/>
      </w:r>
      <w:r w:rsidR="00B36400" w:rsidRPr="00FC406F">
        <w:rPr>
          <w:rFonts w:ascii="Cambria" w:hAnsi="Cambria"/>
        </w:rPr>
        <w:t xml:space="preserve"> </w:t>
      </w:r>
      <w:r w:rsidRPr="00FC406F">
        <w:rPr>
          <w:rFonts w:ascii="Cambria" w:hAnsi="Cambria"/>
        </w:rPr>
        <w:t>as an indispensable condition for the stability, peace, and development of the region.</w:t>
      </w:r>
      <w:r w:rsidR="00B36400" w:rsidRPr="00FC406F">
        <w:rPr>
          <w:rStyle w:val="FootnoteReference"/>
          <w:rFonts w:ascii="Cambria" w:hAnsi="Cambria"/>
        </w:rPr>
        <w:footnoteReference w:id="35"/>
      </w:r>
      <w:r w:rsidR="00B36400" w:rsidRPr="00FC406F">
        <w:rPr>
          <w:rFonts w:ascii="Cambria" w:hAnsi="Cambria"/>
        </w:rPr>
        <w:t xml:space="preserve"> </w:t>
      </w:r>
      <w:r w:rsidRPr="00FC406F">
        <w:rPr>
          <w:rFonts w:ascii="Cambria" w:hAnsi="Cambria"/>
        </w:rPr>
        <w:t>The IACHR has stressed that only by means of the effective exercise of democracy can the observance of human rights be fully guaranteed.</w:t>
      </w:r>
      <w:r w:rsidR="00B36400" w:rsidRPr="00FC406F">
        <w:rPr>
          <w:rStyle w:val="FootnoteReference"/>
          <w:rFonts w:ascii="Cambria" w:hAnsi="Cambria"/>
        </w:rPr>
        <w:footnoteReference w:id="36"/>
      </w:r>
    </w:p>
    <w:p w14:paraId="7DB0BD49" w14:textId="77777777" w:rsidR="00B36400" w:rsidRPr="00FC406F" w:rsidRDefault="00B36400" w:rsidP="00B36400">
      <w:pPr>
        <w:pStyle w:val="parrafos"/>
        <w:ind w:left="0" w:firstLine="0"/>
        <w:rPr>
          <w:rFonts w:ascii="Cambria" w:hAnsi="Cambria"/>
        </w:rPr>
      </w:pPr>
    </w:p>
    <w:p w14:paraId="005AA21E" w14:textId="77777777" w:rsidR="00B36400" w:rsidRPr="00FC406F" w:rsidRDefault="00BB40F5" w:rsidP="00031C34">
      <w:pPr>
        <w:pStyle w:val="parrafos"/>
        <w:numPr>
          <w:ilvl w:val="0"/>
          <w:numId w:val="54"/>
        </w:numPr>
        <w:tabs>
          <w:tab w:val="clear" w:pos="1440"/>
        </w:tabs>
        <w:ind w:left="0" w:firstLine="0"/>
        <w:rPr>
          <w:rFonts w:ascii="Cambria" w:hAnsi="Cambria"/>
        </w:rPr>
      </w:pPr>
      <w:r w:rsidRPr="00FC406F">
        <w:rPr>
          <w:rFonts w:ascii="Cambria" w:hAnsi="Cambria"/>
        </w:rPr>
        <w:t>The Inter-American Democratic Charter stipulates that:</w:t>
      </w:r>
      <w:r w:rsidR="00B36400" w:rsidRPr="00FC406F">
        <w:rPr>
          <w:rFonts w:ascii="Cambria" w:hAnsi="Cambria"/>
        </w:rPr>
        <w:t xml:space="preserve"> “</w:t>
      </w:r>
      <w:r w:rsidRPr="00FC406F">
        <w:rPr>
          <w:rFonts w:ascii="Cambria" w:hAnsi="Cambria"/>
          <w:color w:val="000000"/>
          <w:shd w:val="clear" w:color="auto" w:fill="FFFFFF"/>
        </w:rPr>
        <w:t xml:space="preserve">Essential elements of representative democracy include, </w:t>
      </w:r>
      <w:r w:rsidRPr="00FC406F">
        <w:rPr>
          <w:rFonts w:ascii="Cambria" w:hAnsi="Cambria"/>
          <w:i/>
          <w:iCs/>
          <w:color w:val="000000"/>
          <w:shd w:val="clear" w:color="auto" w:fill="FFFFFF"/>
        </w:rPr>
        <w:t>inter alia</w:t>
      </w:r>
      <w:r w:rsidRPr="00FC406F">
        <w:rPr>
          <w:rFonts w:ascii="Cambria" w:hAnsi="Cambria"/>
          <w:color w:val="000000"/>
          <w:shd w:val="clear" w:color="auto" w:fill="FFFFFF"/>
        </w:rPr>
        <w:t>, respect for human rights and fundamental freedoms, access to and the exercise of power in accordance with the rule of law, the holding of periodic, free, and fair elections based on secret balloting and universal suffrage as an expression of the sovereignty of the people, the pluralistic system of political parties and organizations, and the separation of powers and independence of the branches of government.</w:t>
      </w:r>
      <w:r w:rsidR="00B36400" w:rsidRPr="00FC406F">
        <w:rPr>
          <w:rFonts w:ascii="Cambria" w:hAnsi="Cambria"/>
        </w:rPr>
        <w:t>”</w:t>
      </w:r>
      <w:r w:rsidR="00B36400" w:rsidRPr="00FC406F">
        <w:rPr>
          <w:rStyle w:val="FootnoteReference"/>
          <w:rFonts w:ascii="Cambria" w:hAnsi="Cambria"/>
        </w:rPr>
        <w:footnoteReference w:id="37"/>
      </w:r>
    </w:p>
    <w:p w14:paraId="300A1178" w14:textId="77777777" w:rsidR="00B36400" w:rsidRPr="00FC406F" w:rsidRDefault="00B36400" w:rsidP="00B36400">
      <w:pPr>
        <w:pStyle w:val="parrafos"/>
        <w:ind w:left="0" w:firstLine="0"/>
        <w:rPr>
          <w:rFonts w:ascii="Cambria" w:hAnsi="Cambria"/>
        </w:rPr>
      </w:pPr>
    </w:p>
    <w:p w14:paraId="0D4D07C2" w14:textId="77777777" w:rsidR="00B36400" w:rsidRPr="00FC406F" w:rsidRDefault="00BB40F5" w:rsidP="00031C34">
      <w:pPr>
        <w:pStyle w:val="parrafos"/>
        <w:numPr>
          <w:ilvl w:val="0"/>
          <w:numId w:val="54"/>
        </w:numPr>
        <w:tabs>
          <w:tab w:val="clear" w:pos="1440"/>
        </w:tabs>
        <w:ind w:left="0" w:firstLine="0"/>
        <w:rPr>
          <w:rFonts w:ascii="Cambria" w:hAnsi="Cambria"/>
        </w:rPr>
      </w:pPr>
      <w:r w:rsidRPr="00FC406F">
        <w:rPr>
          <w:rFonts w:ascii="Cambria" w:hAnsi="Cambria"/>
        </w:rPr>
        <w:t xml:space="preserve">Article 23 of the American Convention recognizes political rights and protects political participation through the right to active suffrage, as well as the right to passive suffrage, the latter understood as running for </w:t>
      </w:r>
      <w:r w:rsidRPr="00FC406F">
        <w:rPr>
          <w:rFonts w:ascii="Cambria" w:hAnsi="Cambria"/>
        </w:rPr>
        <w:lastRenderedPageBreak/>
        <w:t xml:space="preserve">publicly elected office, as well as the right to </w:t>
      </w:r>
      <w:r w:rsidR="00D62916" w:rsidRPr="00FC406F">
        <w:rPr>
          <w:rFonts w:ascii="Cambria" w:hAnsi="Cambria"/>
        </w:rPr>
        <w:t xml:space="preserve">equal </w:t>
      </w:r>
      <w:r w:rsidRPr="00FC406F">
        <w:rPr>
          <w:rFonts w:ascii="Cambria" w:hAnsi="Cambria"/>
        </w:rPr>
        <w:t xml:space="preserve">access to </w:t>
      </w:r>
      <w:r w:rsidR="00D62916" w:rsidRPr="00FC406F">
        <w:rPr>
          <w:rFonts w:ascii="Cambria" w:hAnsi="Cambria"/>
        </w:rPr>
        <w:t xml:space="preserve">a country’s </w:t>
      </w:r>
      <w:r w:rsidRPr="00FC406F">
        <w:rPr>
          <w:rFonts w:ascii="Cambria" w:hAnsi="Cambria"/>
        </w:rPr>
        <w:t xml:space="preserve">public </w:t>
      </w:r>
      <w:r w:rsidR="00D62916" w:rsidRPr="00FC406F">
        <w:rPr>
          <w:rFonts w:ascii="Cambria" w:hAnsi="Cambria"/>
        </w:rPr>
        <w:t>service</w:t>
      </w:r>
      <w:r w:rsidRPr="00FC406F">
        <w:rPr>
          <w:rFonts w:ascii="Cambria" w:hAnsi="Cambria"/>
        </w:rPr>
        <w:t>.</w:t>
      </w:r>
      <w:r w:rsidR="00B36400" w:rsidRPr="00FC406F">
        <w:rPr>
          <w:rStyle w:val="FootnoteReference"/>
          <w:rFonts w:ascii="Cambria" w:hAnsi="Cambria"/>
        </w:rPr>
        <w:footnoteReference w:id="38"/>
      </w:r>
      <w:r w:rsidR="00B36400" w:rsidRPr="00FC406F">
        <w:rPr>
          <w:rFonts w:ascii="Cambria" w:hAnsi="Cambria"/>
        </w:rPr>
        <w:t xml:space="preserve"> </w:t>
      </w:r>
      <w:r w:rsidRPr="00FC406F">
        <w:rPr>
          <w:rFonts w:ascii="Cambria" w:hAnsi="Cambria"/>
        </w:rPr>
        <w:t xml:space="preserve">This article not only provides that its beneficiaries must </w:t>
      </w:r>
      <w:r w:rsidR="000905D8" w:rsidRPr="00FC406F">
        <w:rPr>
          <w:rFonts w:ascii="Cambria" w:hAnsi="Cambria"/>
        </w:rPr>
        <w:t>enjoy rights, it also adds the word</w:t>
      </w:r>
      <w:r w:rsidRPr="00FC406F">
        <w:rPr>
          <w:rFonts w:ascii="Cambria" w:hAnsi="Cambria"/>
        </w:rPr>
        <w:t xml:space="preserve"> opportunities. The lat</w:t>
      </w:r>
      <w:r w:rsidR="00D62916" w:rsidRPr="00FC406F">
        <w:rPr>
          <w:rFonts w:ascii="Cambria" w:hAnsi="Cambria"/>
        </w:rPr>
        <w:t>t</w:t>
      </w:r>
      <w:r w:rsidRPr="00FC406F">
        <w:rPr>
          <w:rFonts w:ascii="Cambria" w:hAnsi="Cambria"/>
        </w:rPr>
        <w:t xml:space="preserve">er entails the obligation of guaranteeing, on the basis of positive measures, that every person who is formally a </w:t>
      </w:r>
      <w:r w:rsidR="00817DDF" w:rsidRPr="00FC406F">
        <w:rPr>
          <w:rFonts w:ascii="Cambria" w:hAnsi="Cambria"/>
        </w:rPr>
        <w:t>holder</w:t>
      </w:r>
      <w:r w:rsidRPr="00FC406F">
        <w:rPr>
          <w:rFonts w:ascii="Cambria" w:hAnsi="Cambria"/>
        </w:rPr>
        <w:t xml:space="preserve"> of political rights must enjoy real opportunities for exercising them</w:t>
      </w:r>
      <w:r w:rsidR="00817DDF" w:rsidRPr="00FC406F">
        <w:rPr>
          <w:rFonts w:ascii="Cambria" w:hAnsi="Cambria"/>
        </w:rPr>
        <w:t>.</w:t>
      </w:r>
      <w:r w:rsidR="00B36400" w:rsidRPr="00FC406F">
        <w:rPr>
          <w:rStyle w:val="FootnoteReference"/>
          <w:rFonts w:ascii="Cambria" w:hAnsi="Cambria"/>
        </w:rPr>
        <w:footnoteReference w:id="39"/>
      </w:r>
      <w:r w:rsidR="00B36400" w:rsidRPr="00FC406F">
        <w:rPr>
          <w:rFonts w:ascii="Cambria" w:hAnsi="Cambria"/>
        </w:rPr>
        <w:t xml:space="preserve"> </w:t>
      </w:r>
    </w:p>
    <w:p w14:paraId="5F2F5333" w14:textId="77777777" w:rsidR="00B36400" w:rsidRPr="00FC406F" w:rsidRDefault="00B36400" w:rsidP="00B36400">
      <w:pPr>
        <w:pStyle w:val="ListParagraph"/>
      </w:pPr>
    </w:p>
    <w:p w14:paraId="3597AE6F" w14:textId="77777777" w:rsidR="00B36400" w:rsidRPr="00FC406F" w:rsidRDefault="00817DDF" w:rsidP="00031C34">
      <w:pPr>
        <w:pStyle w:val="parrafos"/>
        <w:numPr>
          <w:ilvl w:val="0"/>
          <w:numId w:val="54"/>
        </w:numPr>
        <w:tabs>
          <w:tab w:val="clear" w:pos="1440"/>
        </w:tabs>
        <w:ind w:left="0" w:firstLine="0"/>
      </w:pPr>
      <w:r w:rsidRPr="00FC406F">
        <w:rPr>
          <w:rFonts w:ascii="Cambria" w:hAnsi="Cambria"/>
        </w:rPr>
        <w:t>The Inter-Am</w:t>
      </w:r>
      <w:r w:rsidR="00170067" w:rsidRPr="00FC406F">
        <w:rPr>
          <w:rFonts w:ascii="Cambria" w:hAnsi="Cambria"/>
        </w:rPr>
        <w:t>erican Court has stressed that instituting and applying requirements for exercising</w:t>
      </w:r>
      <w:r w:rsidRPr="00FC406F">
        <w:rPr>
          <w:rFonts w:ascii="Cambria" w:hAnsi="Cambria"/>
        </w:rPr>
        <w:t xml:space="preserve"> political rights </w:t>
      </w:r>
      <w:r w:rsidR="00170067" w:rsidRPr="00FC406F">
        <w:rPr>
          <w:rFonts w:ascii="Cambria" w:hAnsi="Cambria"/>
        </w:rPr>
        <w:t>is not</w:t>
      </w:r>
      <w:r w:rsidRPr="00FC406F">
        <w:rPr>
          <w:rFonts w:ascii="Cambria" w:hAnsi="Cambria"/>
        </w:rPr>
        <w:t xml:space="preserve">, </w:t>
      </w:r>
      <w:r w:rsidRPr="00FC406F">
        <w:rPr>
          <w:rFonts w:ascii="Cambria" w:hAnsi="Cambria"/>
          <w:i/>
        </w:rPr>
        <w:t>per se,</w:t>
      </w:r>
      <w:r w:rsidRPr="00FC406F">
        <w:rPr>
          <w:rFonts w:ascii="Cambria" w:hAnsi="Cambria"/>
        </w:rPr>
        <w:t xml:space="preserve"> an undue restriction o</w:t>
      </w:r>
      <w:r w:rsidR="00170067" w:rsidRPr="00FC406F">
        <w:rPr>
          <w:rFonts w:ascii="Cambria" w:hAnsi="Cambria"/>
        </w:rPr>
        <w:t>f</w:t>
      </w:r>
      <w:r w:rsidRPr="00FC406F">
        <w:rPr>
          <w:rFonts w:ascii="Cambria" w:hAnsi="Cambria"/>
        </w:rPr>
        <w:t xml:space="preserve"> political rights. Th</w:t>
      </w:r>
      <w:r w:rsidR="00170067" w:rsidRPr="00FC406F">
        <w:rPr>
          <w:rFonts w:ascii="Cambria" w:hAnsi="Cambria"/>
        </w:rPr>
        <w:t>e</w:t>
      </w:r>
      <w:r w:rsidRPr="00FC406F">
        <w:rPr>
          <w:rFonts w:ascii="Cambria" w:hAnsi="Cambria"/>
        </w:rPr>
        <w:t xml:space="preserve">se rights are </w:t>
      </w:r>
      <w:r w:rsidR="00170067" w:rsidRPr="00FC406F">
        <w:rPr>
          <w:rFonts w:ascii="Cambria" w:hAnsi="Cambria"/>
        </w:rPr>
        <w:t>not absolute and may</w:t>
      </w:r>
      <w:r w:rsidR="00246FF5" w:rsidRPr="00FC406F">
        <w:rPr>
          <w:rFonts w:ascii="Cambria" w:hAnsi="Cambria"/>
        </w:rPr>
        <w:t xml:space="preserve"> be subject to limitations. </w:t>
      </w:r>
      <w:r w:rsidR="00170067" w:rsidRPr="00FC406F">
        <w:rPr>
          <w:rFonts w:ascii="Cambria" w:hAnsi="Cambria"/>
        </w:rPr>
        <w:t>Their regulation should respect</w:t>
      </w:r>
      <w:r w:rsidR="00246FF5" w:rsidRPr="00FC406F">
        <w:rPr>
          <w:rFonts w:ascii="Cambria" w:hAnsi="Cambria"/>
        </w:rPr>
        <w:t xml:space="preserve"> the principles of legal</w:t>
      </w:r>
      <w:r w:rsidR="00170067" w:rsidRPr="00FC406F">
        <w:rPr>
          <w:rFonts w:ascii="Cambria" w:hAnsi="Cambria"/>
        </w:rPr>
        <w:t>ity</w:t>
      </w:r>
      <w:r w:rsidR="00246FF5" w:rsidRPr="00FC406F">
        <w:rPr>
          <w:rFonts w:ascii="Cambria" w:hAnsi="Cambria"/>
        </w:rPr>
        <w:t>, legitimate purpose, suitability, necessity, and proportionality.</w:t>
      </w:r>
      <w:r w:rsidR="00B36400" w:rsidRPr="00FC406F">
        <w:rPr>
          <w:rStyle w:val="FootnoteReference"/>
        </w:rPr>
        <w:footnoteReference w:id="40"/>
      </w:r>
      <w:r w:rsidR="00B36400" w:rsidRPr="00FC406F">
        <w:t xml:space="preserve"> </w:t>
      </w:r>
      <w:r w:rsidR="00246FF5" w:rsidRPr="00FC406F">
        <w:t>In particular, the Inter-American Court has emphasized that</w:t>
      </w:r>
      <w:r w:rsidR="00B36400" w:rsidRPr="00FC406F">
        <w:t>:</w:t>
      </w:r>
    </w:p>
    <w:p w14:paraId="170BA92D" w14:textId="77777777" w:rsidR="00B36400" w:rsidRPr="00FC406F" w:rsidRDefault="00B36400" w:rsidP="00B36400">
      <w:pPr>
        <w:rPr>
          <w:rFonts w:asciiTheme="majorHAnsi" w:hAnsiTheme="majorHAnsi"/>
          <w:sz w:val="18"/>
          <w:szCs w:val="18"/>
        </w:rPr>
      </w:pPr>
    </w:p>
    <w:p w14:paraId="3565D673" w14:textId="77777777" w:rsidR="00390AFB" w:rsidRPr="00FC406F" w:rsidRDefault="00390AFB" w:rsidP="007B75D6">
      <w:pPr>
        <w:ind w:left="360" w:right="360"/>
        <w:jc w:val="both"/>
        <w:rPr>
          <w:rFonts w:ascii="Cambria" w:hAnsi="Cambria"/>
          <w:sz w:val="18"/>
          <w:szCs w:val="18"/>
        </w:rPr>
      </w:pPr>
      <w:r w:rsidRPr="00FC406F">
        <w:rPr>
          <w:rFonts w:ascii="Cambria" w:hAnsi="Cambria"/>
          <w:sz w:val="18"/>
          <w:szCs w:val="18"/>
        </w:rPr>
        <w:t>The right and opportunity to vote and to be elected embodied in Article 23(1)(b) of the American Convention is exercised regularly in genuine periodic elections by universal and equal suffrage and by secret ballot that guarantees the free expression of the will of the voters. Over and above these characteristics of the electoral process (genuine periodic elections) and of the principles of the suffrage (universal, equal, secret, that reflect the free expression of the will of the people), the American Convention does not establish a specific mechanism or a particular electoral system by which the right to vote and to be elected must be exercised (…). The Convention merely establishes certain standards within which the States legitimately may and must regulate political rights, provided that these regulations comply with the requirements of legality, are designed to fulfill a legitimate purpose, and are necessary and proportionate; that is, they are reasonable according to the principles of representative democracy.</w:t>
      </w:r>
    </w:p>
    <w:p w14:paraId="1EE0CEF9" w14:textId="77777777" w:rsidR="00390AFB" w:rsidRPr="00FC406F" w:rsidRDefault="00390AFB" w:rsidP="007B75D6">
      <w:pPr>
        <w:ind w:right="360"/>
        <w:jc w:val="both"/>
        <w:rPr>
          <w:rFonts w:ascii="Cambria" w:hAnsi="Cambria"/>
          <w:sz w:val="18"/>
          <w:szCs w:val="18"/>
        </w:rPr>
      </w:pPr>
    </w:p>
    <w:p w14:paraId="3170EE17" w14:textId="77777777" w:rsidR="00B36400" w:rsidRPr="00FC406F" w:rsidRDefault="00390AFB" w:rsidP="007B75D6">
      <w:pPr>
        <w:ind w:left="360" w:right="360"/>
        <w:jc w:val="both"/>
        <w:rPr>
          <w:rFonts w:asciiTheme="majorHAnsi" w:hAnsiTheme="majorHAnsi"/>
          <w:sz w:val="18"/>
          <w:szCs w:val="18"/>
        </w:rPr>
      </w:pPr>
      <w:r w:rsidRPr="00FC406F">
        <w:rPr>
          <w:rFonts w:ascii="Cambria" w:hAnsi="Cambria"/>
          <w:sz w:val="18"/>
          <w:szCs w:val="18"/>
        </w:rPr>
        <w:t>Lastly, the right to have access to public office in general conditions of equality protects access to a direct form of participation in the design, development and execution of State policies through public office. It is understood that these general conditions of equality refer to both access to public office by popular election, and to appointment or designation.</w:t>
      </w:r>
      <w:r w:rsidR="00B36400" w:rsidRPr="00FC406F">
        <w:rPr>
          <w:rStyle w:val="FootnoteReference"/>
          <w:rFonts w:asciiTheme="majorHAnsi" w:hAnsiTheme="majorHAnsi"/>
          <w:sz w:val="18"/>
          <w:szCs w:val="18"/>
        </w:rPr>
        <w:footnoteReference w:id="41"/>
      </w:r>
    </w:p>
    <w:p w14:paraId="546AB4B5" w14:textId="77777777" w:rsidR="00B36400" w:rsidRPr="00FC406F" w:rsidRDefault="00B36400" w:rsidP="00B36400">
      <w:pPr>
        <w:ind w:left="360"/>
        <w:jc w:val="both"/>
        <w:rPr>
          <w:rFonts w:asciiTheme="majorHAnsi" w:hAnsiTheme="majorHAnsi"/>
          <w:sz w:val="18"/>
          <w:szCs w:val="18"/>
        </w:rPr>
      </w:pPr>
    </w:p>
    <w:p w14:paraId="1CA3611E" w14:textId="77777777" w:rsidR="00B36400" w:rsidRPr="00FC406F" w:rsidRDefault="00985DFE" w:rsidP="00031C34">
      <w:pPr>
        <w:pStyle w:val="parrafos"/>
        <w:numPr>
          <w:ilvl w:val="0"/>
          <w:numId w:val="54"/>
        </w:numPr>
        <w:tabs>
          <w:tab w:val="clear" w:pos="1440"/>
        </w:tabs>
        <w:ind w:left="0" w:firstLine="0"/>
        <w:rPr>
          <w:rFonts w:ascii="Cambria" w:hAnsi="Cambria"/>
        </w:rPr>
      </w:pPr>
      <w:r w:rsidRPr="00FC406F">
        <w:rPr>
          <w:rFonts w:ascii="Cambria" w:hAnsi="Cambria"/>
        </w:rPr>
        <w:t>The Commission has recognized that</w:t>
      </w:r>
      <w:r w:rsidR="00B36400" w:rsidRPr="00FC406F">
        <w:rPr>
          <w:rFonts w:ascii="Cambria" w:hAnsi="Cambria"/>
        </w:rPr>
        <w:t xml:space="preserve"> “</w:t>
      </w:r>
      <w:r w:rsidRPr="00FC406F">
        <w:rPr>
          <w:rFonts w:ascii="Cambria" w:hAnsi="Cambria"/>
          <w:color w:val="000000"/>
        </w:rPr>
        <w:t>the exercise of political rights is an essential element of representative democracy</w:t>
      </w:r>
      <w:r w:rsidRPr="00FC406F">
        <w:rPr>
          <w:rFonts w:ascii="Cambria" w:hAnsi="Cambria"/>
        </w:rPr>
        <w:t>” and</w:t>
      </w:r>
      <w:r w:rsidRPr="00FC406F">
        <w:rPr>
          <w:rFonts w:ascii="Cambria" w:hAnsi="Cambria"/>
          <w:color w:val="000000"/>
        </w:rPr>
        <w:t xml:space="preserve"> has stated the need to hold “authentic and free” elections, indicating that there is “a direct link between this electoral mechanism and the system of representative democracy.</w:t>
      </w:r>
      <w:r w:rsidR="00B36400" w:rsidRPr="00FC406F">
        <w:rPr>
          <w:rFonts w:ascii="Cambria" w:hAnsi="Cambria"/>
        </w:rPr>
        <w:t xml:space="preserve">” </w:t>
      </w:r>
      <w:r w:rsidRPr="00FC406F">
        <w:rPr>
          <w:rFonts w:ascii="Cambria" w:hAnsi="Cambria"/>
          <w:color w:val="000000"/>
        </w:rPr>
        <w:t>According to the Commission, as part of the authenticity of the elections referred to in Article 23(2) of the American Convention, in the positive sense, there must be consistency between the will of the voters and the result of the election</w:t>
      </w:r>
      <w:r w:rsidR="00B36400" w:rsidRPr="00FC406F">
        <w:rPr>
          <w:rFonts w:ascii="Cambria" w:hAnsi="Cambria"/>
        </w:rPr>
        <w:t xml:space="preserve">, </w:t>
      </w:r>
      <w:r w:rsidR="008A6494" w:rsidRPr="00FC406F">
        <w:rPr>
          <w:rFonts w:ascii="Cambria" w:hAnsi="Cambria"/>
        </w:rPr>
        <w:t>but</w:t>
      </w:r>
      <w:r w:rsidR="00B36400" w:rsidRPr="00FC406F">
        <w:rPr>
          <w:rFonts w:ascii="Cambria" w:hAnsi="Cambria"/>
        </w:rPr>
        <w:t xml:space="preserve"> “</w:t>
      </w:r>
      <w:r w:rsidRPr="00FC406F">
        <w:rPr>
          <w:rFonts w:ascii="Cambria" w:hAnsi="Cambria"/>
        </w:rPr>
        <w:t>[i]</w:t>
      </w:r>
      <w:r w:rsidRPr="00FC406F">
        <w:rPr>
          <w:rFonts w:ascii="Cambria" w:hAnsi="Cambria"/>
          <w:color w:val="000000"/>
        </w:rPr>
        <w:t>n the negative sense, the characteristic implies an absence of coercion which distorts the will of the citizens.</w:t>
      </w:r>
      <w:r w:rsidR="00B36400" w:rsidRPr="00FC406F">
        <w:rPr>
          <w:rFonts w:ascii="Cambria" w:hAnsi="Cambria"/>
        </w:rPr>
        <w:t>”</w:t>
      </w:r>
      <w:r w:rsidR="00B36400" w:rsidRPr="00FC406F">
        <w:rPr>
          <w:rStyle w:val="FootnoteReference"/>
        </w:rPr>
        <w:footnoteReference w:id="42"/>
      </w:r>
    </w:p>
    <w:p w14:paraId="42D17BD0" w14:textId="77777777" w:rsidR="00B36400" w:rsidRPr="00FC406F" w:rsidRDefault="00B36400" w:rsidP="00B36400">
      <w:pPr>
        <w:pStyle w:val="parrafos"/>
        <w:ind w:left="0" w:firstLine="0"/>
        <w:rPr>
          <w:rFonts w:ascii="Cambria" w:hAnsi="Cambria"/>
        </w:rPr>
      </w:pPr>
    </w:p>
    <w:p w14:paraId="7987B213" w14:textId="77777777" w:rsidR="00B36400" w:rsidRPr="00FC406F" w:rsidRDefault="00D7622A" w:rsidP="00031C34">
      <w:pPr>
        <w:pStyle w:val="parrafos"/>
        <w:numPr>
          <w:ilvl w:val="0"/>
          <w:numId w:val="54"/>
        </w:numPr>
        <w:tabs>
          <w:tab w:val="clear" w:pos="1440"/>
        </w:tabs>
        <w:ind w:left="0" w:firstLine="0"/>
        <w:rPr>
          <w:rFonts w:ascii="Cambria" w:hAnsi="Cambria"/>
        </w:rPr>
      </w:pPr>
      <w:r w:rsidRPr="00FC406F">
        <w:rPr>
          <w:rFonts w:ascii="Cambria" w:hAnsi="Cambria"/>
        </w:rPr>
        <w:t>Specifically the Commission has shown that the</w:t>
      </w:r>
      <w:r w:rsidR="00B36400" w:rsidRPr="00FC406F">
        <w:rPr>
          <w:rFonts w:ascii="Cambria" w:hAnsi="Cambria"/>
        </w:rPr>
        <w:t xml:space="preserve"> “aut</w:t>
      </w:r>
      <w:r w:rsidRPr="00FC406F">
        <w:rPr>
          <w:rFonts w:ascii="Cambria" w:hAnsi="Cambria"/>
        </w:rPr>
        <w:t>henticity of the elections covers two different categories of phenomena</w:t>
      </w:r>
      <w:r w:rsidR="00B36400" w:rsidRPr="00FC406F">
        <w:rPr>
          <w:rFonts w:ascii="Cambria" w:hAnsi="Cambria"/>
        </w:rPr>
        <w:t>”</w:t>
      </w:r>
      <w:r w:rsidRPr="00FC406F">
        <w:rPr>
          <w:rFonts w:ascii="Cambria" w:hAnsi="Cambria"/>
        </w:rPr>
        <w:t>:</w:t>
      </w:r>
      <w:r w:rsidR="00B36400" w:rsidRPr="00FC406F">
        <w:rPr>
          <w:rStyle w:val="FootnoteReference"/>
        </w:rPr>
        <w:t xml:space="preserve"> </w:t>
      </w:r>
      <w:r w:rsidR="00B36400" w:rsidRPr="00FC406F">
        <w:rPr>
          <w:rStyle w:val="FootnoteReference"/>
        </w:rPr>
        <w:footnoteReference w:id="43"/>
      </w:r>
      <w:r w:rsidRPr="00FC406F">
        <w:rPr>
          <w:rFonts w:ascii="Cambria" w:hAnsi="Cambria"/>
        </w:rPr>
        <w:t xml:space="preserve"> on the one hand, those referring to the general conditions in which the electoral process is carried out and, on the other hand, phenomena linked to the legal and institutional system that organizes elections and which implements activities linked to the electoral act, that is, everything related in an immediate and direct way to the casting of the vote.</w:t>
      </w:r>
      <w:r w:rsidR="00B36400" w:rsidRPr="00FC406F">
        <w:rPr>
          <w:rStyle w:val="FootnoteReference"/>
        </w:rPr>
        <w:footnoteReference w:id="44"/>
      </w:r>
    </w:p>
    <w:p w14:paraId="65C78919" w14:textId="77777777" w:rsidR="00B36400" w:rsidRPr="00FC406F" w:rsidRDefault="00B36400" w:rsidP="00B36400">
      <w:pPr>
        <w:pStyle w:val="parrafos"/>
        <w:ind w:left="0" w:firstLine="0"/>
        <w:rPr>
          <w:rFonts w:ascii="Cambria" w:hAnsi="Cambria"/>
        </w:rPr>
      </w:pPr>
    </w:p>
    <w:p w14:paraId="32E36A36" w14:textId="77777777" w:rsidR="00B36400" w:rsidRPr="00FC406F" w:rsidRDefault="00985DFE" w:rsidP="00B36400">
      <w:pPr>
        <w:pStyle w:val="parrafos"/>
        <w:numPr>
          <w:ilvl w:val="0"/>
          <w:numId w:val="54"/>
        </w:numPr>
        <w:tabs>
          <w:tab w:val="clear" w:pos="1440"/>
        </w:tabs>
        <w:ind w:left="0" w:firstLine="0"/>
      </w:pPr>
      <w:r w:rsidRPr="00FC406F">
        <w:rPr>
          <w:rFonts w:ascii="Cambria" w:hAnsi="Cambria"/>
          <w:color w:val="000000"/>
        </w:rPr>
        <w:t>As to the “general conditions in which the electoral contest takes place,” the Commission has indicated that from that characteristic, it can be deduced that</w:t>
      </w:r>
      <w:r w:rsidR="00B36400" w:rsidRPr="00FC406F">
        <w:t>:</w:t>
      </w:r>
    </w:p>
    <w:p w14:paraId="596E6332" w14:textId="77777777" w:rsidR="007B75D6" w:rsidRDefault="007B75D6" w:rsidP="008800AB">
      <w:pPr>
        <w:ind w:left="360"/>
        <w:jc w:val="both"/>
        <w:rPr>
          <w:rFonts w:ascii="Cambria" w:hAnsi="Cambria"/>
          <w:color w:val="000000"/>
          <w:sz w:val="18"/>
          <w:szCs w:val="18"/>
        </w:rPr>
      </w:pPr>
    </w:p>
    <w:p w14:paraId="7AE05D3C" w14:textId="77777777" w:rsidR="00B36400" w:rsidRPr="00FC406F" w:rsidRDefault="005E38FE" w:rsidP="007B75D6">
      <w:pPr>
        <w:ind w:left="360" w:right="360"/>
        <w:jc w:val="both"/>
        <w:rPr>
          <w:sz w:val="18"/>
          <w:szCs w:val="18"/>
        </w:rPr>
      </w:pPr>
      <w:r w:rsidRPr="00FC406F">
        <w:rPr>
          <w:rFonts w:ascii="Cambria" w:hAnsi="Cambria"/>
          <w:color w:val="000000"/>
          <w:sz w:val="18"/>
          <w:szCs w:val="18"/>
        </w:rPr>
        <w:lastRenderedPageBreak/>
        <w:t>[T]</w:t>
      </w:r>
      <w:r w:rsidR="00985DFE" w:rsidRPr="00FC406F">
        <w:rPr>
          <w:rFonts w:ascii="Cambria" w:hAnsi="Cambria"/>
          <w:color w:val="000000"/>
          <w:sz w:val="18"/>
          <w:szCs w:val="18"/>
        </w:rPr>
        <w:t>hey must allow the different political groups to participate in the electoral process under equal conditions, that is, that they all have similar basic conditions for conducting their campaign. In negative terms, this characteristic implies an absence of direct coercion of undue advantages for one of the participants in the electoral contest.</w:t>
      </w:r>
      <w:r w:rsidR="00B36400" w:rsidRPr="00FC406F">
        <w:rPr>
          <w:sz w:val="18"/>
          <w:szCs w:val="18"/>
          <w:vertAlign w:val="superscript"/>
        </w:rPr>
        <w:footnoteReference w:id="45"/>
      </w:r>
    </w:p>
    <w:p w14:paraId="0C65D277" w14:textId="77777777" w:rsidR="00170067" w:rsidRPr="00FC406F" w:rsidRDefault="00170067" w:rsidP="00170067">
      <w:pPr>
        <w:pStyle w:val="parrafos"/>
        <w:tabs>
          <w:tab w:val="clear" w:pos="360"/>
          <w:tab w:val="left" w:pos="630"/>
        </w:tabs>
        <w:ind w:left="0" w:right="720" w:firstLine="0"/>
        <w:rPr>
          <w:sz w:val="18"/>
          <w:szCs w:val="18"/>
        </w:rPr>
      </w:pPr>
    </w:p>
    <w:p w14:paraId="3947E8E3" w14:textId="77777777" w:rsidR="00B36400" w:rsidRPr="00FC406F" w:rsidRDefault="00B36400" w:rsidP="00031C34">
      <w:pPr>
        <w:pStyle w:val="parrafos"/>
        <w:numPr>
          <w:ilvl w:val="0"/>
          <w:numId w:val="54"/>
        </w:numPr>
        <w:tabs>
          <w:tab w:val="clear" w:pos="1440"/>
        </w:tabs>
        <w:ind w:left="0" w:firstLine="0"/>
      </w:pPr>
      <w:r w:rsidRPr="00FC406F">
        <w:t xml:space="preserve"> </w:t>
      </w:r>
      <w:r w:rsidR="008A6494" w:rsidRPr="00FC406F">
        <w:t>As for the Inter-American Court, it has stated that</w:t>
      </w:r>
      <w:r w:rsidRPr="00FC406F">
        <w:t>:</w:t>
      </w:r>
    </w:p>
    <w:p w14:paraId="16BE1526" w14:textId="77777777" w:rsidR="00B36400" w:rsidRPr="00FC406F" w:rsidRDefault="00B36400" w:rsidP="00B36400">
      <w:pPr>
        <w:rPr>
          <w:sz w:val="20"/>
          <w:szCs w:val="20"/>
        </w:rPr>
      </w:pPr>
    </w:p>
    <w:p w14:paraId="153E0DA0" w14:textId="77777777" w:rsidR="00B36400" w:rsidRPr="00FC406F" w:rsidRDefault="005E38FE" w:rsidP="007B75D6">
      <w:pPr>
        <w:ind w:left="360" w:right="360"/>
        <w:jc w:val="both"/>
        <w:rPr>
          <w:sz w:val="18"/>
          <w:szCs w:val="18"/>
        </w:rPr>
      </w:pPr>
      <w:r w:rsidRPr="00FC406F">
        <w:rPr>
          <w:rFonts w:ascii="Cambria" w:hAnsi="Cambria"/>
          <w:sz w:val="18"/>
          <w:szCs w:val="18"/>
        </w:rPr>
        <w:t>[O]</w:t>
      </w:r>
      <w:r w:rsidR="008A6494" w:rsidRPr="00FC406F">
        <w:rPr>
          <w:rFonts w:ascii="Cambria" w:hAnsi="Cambria"/>
          <w:sz w:val="18"/>
          <w:szCs w:val="18"/>
        </w:rPr>
        <w:t>pposition voices are essential in a democratic society; without them it is not possible to reach agreements that satisfy the different visions that prevail in society. Hence, in a democratic society States must guarantee the effective participation of opposition individuals, groups and political parties by means of appropriate laws, regulations and practices that enable them to have real and effective access to the different deliberative mechanisms on equal terms, but also by the adoption of the required measures to guarantee its full exercise, taking into consideration the situation of vulnerability of the members of some social groups or sectors</w:t>
      </w:r>
      <w:r w:rsidR="008A6494" w:rsidRPr="00FC406F">
        <w:rPr>
          <w:sz w:val="18"/>
          <w:szCs w:val="18"/>
        </w:rPr>
        <w:t>.</w:t>
      </w:r>
      <w:r w:rsidR="00B36400" w:rsidRPr="00FC406F">
        <w:rPr>
          <w:rStyle w:val="FootnoteReference"/>
          <w:sz w:val="18"/>
          <w:szCs w:val="18"/>
        </w:rPr>
        <w:footnoteReference w:id="46"/>
      </w:r>
    </w:p>
    <w:p w14:paraId="089D7D28" w14:textId="77777777" w:rsidR="00B36400" w:rsidRPr="00FC406F" w:rsidRDefault="00B36400" w:rsidP="00B36400">
      <w:pPr>
        <w:pStyle w:val="parrafos"/>
        <w:ind w:left="0" w:firstLine="0"/>
      </w:pPr>
    </w:p>
    <w:p w14:paraId="1CD72CB1" w14:textId="77777777" w:rsidR="00B36400" w:rsidRPr="00FC406F" w:rsidRDefault="002C31B7" w:rsidP="00031C34">
      <w:pPr>
        <w:pStyle w:val="parrafos"/>
        <w:numPr>
          <w:ilvl w:val="0"/>
          <w:numId w:val="54"/>
        </w:numPr>
        <w:tabs>
          <w:tab w:val="clear" w:pos="1440"/>
        </w:tabs>
        <w:ind w:left="0" w:firstLine="0"/>
      </w:pPr>
      <w:r w:rsidRPr="00FC406F">
        <w:t>The Inter-American Court has also indicated that</w:t>
      </w:r>
      <w:r w:rsidR="005E38FE" w:rsidRPr="00FC406F">
        <w:t>:</w:t>
      </w:r>
      <w:r w:rsidRPr="00FC406F">
        <w:t xml:space="preserve"> “</w:t>
      </w:r>
      <w:r w:rsidR="005E38FE" w:rsidRPr="00FC406F">
        <w:t>I</w:t>
      </w:r>
      <w:r w:rsidRPr="00FC406F">
        <w:rPr>
          <w:rFonts w:ascii="Cambria" w:hAnsi="Cambria"/>
        </w:rPr>
        <w:t>t is essential that the State should generate the optimum conditions and mechanisms to ensure that these political rights can be exercised effectively, respecting the principles of equality and non-discrimination</w:t>
      </w:r>
      <w:r w:rsidR="00B36400" w:rsidRPr="00FC406F">
        <w:t xml:space="preserve">” </w:t>
      </w:r>
      <w:r w:rsidRPr="00FC406F">
        <w:t xml:space="preserve">and that </w:t>
      </w:r>
      <w:r w:rsidR="00B36400" w:rsidRPr="00FC406F">
        <w:t>“</w:t>
      </w:r>
      <w:r w:rsidR="009F493D" w:rsidRPr="00FC406F">
        <w:rPr>
          <w:rFonts w:ascii="Cambria" w:hAnsi="Cambria"/>
        </w:rPr>
        <w:t xml:space="preserve">instituting and applying requirements for exercising political rights is not, </w:t>
      </w:r>
      <w:r w:rsidR="009F493D" w:rsidRPr="00FC406F">
        <w:rPr>
          <w:rFonts w:ascii="Cambria" w:hAnsi="Cambria"/>
          <w:i/>
        </w:rPr>
        <w:t>per se,</w:t>
      </w:r>
      <w:r w:rsidR="009F493D" w:rsidRPr="00FC406F">
        <w:rPr>
          <w:rFonts w:ascii="Cambria" w:hAnsi="Cambria"/>
        </w:rPr>
        <w:t xml:space="preserve"> an undue restriction of political rights.”</w:t>
      </w:r>
      <w:r w:rsidR="00B36400" w:rsidRPr="00FC406F">
        <w:rPr>
          <w:rStyle w:val="FootnoteReference"/>
        </w:rPr>
        <w:footnoteReference w:id="47"/>
      </w:r>
      <w:r w:rsidR="00B36400" w:rsidRPr="00FC406F">
        <w:t xml:space="preserve"> </w:t>
      </w:r>
      <w:r w:rsidRPr="00FC406F">
        <w:rPr>
          <w:rFonts w:ascii="Cambria" w:hAnsi="Cambria"/>
        </w:rPr>
        <w:t>Their regulation must observe the principles of legality, be designed to fulfill a legitimate purpose, and be necessary and proportionate, that is, they must be reasonable according to the principles of representative democracy.</w:t>
      </w:r>
      <w:r w:rsidR="00B36400" w:rsidRPr="00FC406F">
        <w:rPr>
          <w:rStyle w:val="FootnoteReference"/>
        </w:rPr>
        <w:footnoteReference w:id="48"/>
      </w:r>
    </w:p>
    <w:p w14:paraId="05DA4EE2" w14:textId="77777777" w:rsidR="00B36400" w:rsidRPr="00FC406F" w:rsidRDefault="00B36400" w:rsidP="00B36400">
      <w:pPr>
        <w:pStyle w:val="parrafos"/>
        <w:ind w:left="0" w:firstLine="0"/>
      </w:pPr>
    </w:p>
    <w:p w14:paraId="2310D9A5" w14:textId="77777777" w:rsidR="00B36400" w:rsidRPr="00FC406F" w:rsidRDefault="007047E2" w:rsidP="00031C34">
      <w:pPr>
        <w:pStyle w:val="parrafos"/>
        <w:numPr>
          <w:ilvl w:val="0"/>
          <w:numId w:val="54"/>
        </w:numPr>
        <w:tabs>
          <w:tab w:val="clear" w:pos="1440"/>
        </w:tabs>
        <w:ind w:left="0" w:firstLine="0"/>
      </w:pPr>
      <w:r w:rsidRPr="00FC406F">
        <w:t xml:space="preserve">On the basis of the above, the Commission understands that, for elections to meet the requirements laid out in Article 23 of the American Convention, it is essential for states to adopt measures that make it possible to ensure general conditions that are adequate for the electoral contest, as well as during the organization of the election and its implementation. The Commission considers that this encompasses both the state’s adoption of certain positive measures and its abstention from favoring any candidate or political group. Likewise, as indicated, the Commission recognizes that, precisely when fulfilling the obligations that make it possible to guarantee the authenticity of elections, not only is the state fulfilling the obligations stemming from political rights on the basis of an active approach, but also from a passive approach, </w:t>
      </w:r>
      <w:r w:rsidR="00340B09" w:rsidRPr="00FC406F">
        <w:t>by ensuring</w:t>
      </w:r>
      <w:r w:rsidRPr="00FC406F">
        <w:t xml:space="preserve"> equity in the electoral contest</w:t>
      </w:r>
      <w:r w:rsidR="007E4199" w:rsidRPr="00FC406F">
        <w:t>,</w:t>
      </w:r>
      <w:r w:rsidRPr="00FC406F">
        <w:t xml:space="preserve"> </w:t>
      </w:r>
      <w:r w:rsidR="00340B09" w:rsidRPr="00FC406F">
        <w:t xml:space="preserve">it </w:t>
      </w:r>
      <w:r w:rsidRPr="00FC406F">
        <w:t>contributes to the observance of the right to participate on an equal footing</w:t>
      </w:r>
      <w:r w:rsidR="00B36400" w:rsidRPr="00FC406F">
        <w:t>.</w:t>
      </w:r>
    </w:p>
    <w:p w14:paraId="587A427E" w14:textId="77777777" w:rsidR="00B36400" w:rsidRPr="00FC406F" w:rsidRDefault="00B36400" w:rsidP="00B36400">
      <w:pPr>
        <w:pStyle w:val="parrafos"/>
        <w:ind w:left="0" w:firstLine="0"/>
      </w:pPr>
    </w:p>
    <w:p w14:paraId="6555B469" w14:textId="77777777" w:rsidR="00B36400" w:rsidRPr="00FC2C52" w:rsidRDefault="00B36400" w:rsidP="00D85802">
      <w:pPr>
        <w:pStyle w:val="Heading3"/>
        <w:keepLines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before="0"/>
        <w:ind w:left="0" w:firstLine="0"/>
        <w:jc w:val="both"/>
        <w:rPr>
          <w:color w:val="auto"/>
          <w:sz w:val="20"/>
          <w:szCs w:val="20"/>
        </w:rPr>
      </w:pPr>
      <w:bookmarkStart w:id="29" w:name="_Toc42609976"/>
      <w:bookmarkStart w:id="30" w:name="_Toc56778658"/>
      <w:r w:rsidRPr="00FC2C52">
        <w:rPr>
          <w:color w:val="auto"/>
          <w:sz w:val="20"/>
          <w:szCs w:val="20"/>
        </w:rPr>
        <w:t xml:space="preserve">Factors </w:t>
      </w:r>
      <w:r w:rsidR="00340B09" w:rsidRPr="00FC2C52">
        <w:rPr>
          <w:color w:val="auto"/>
          <w:sz w:val="20"/>
          <w:szCs w:val="20"/>
        </w:rPr>
        <w:t xml:space="preserve">linked to possible advantages in general conditions, as well as the </w:t>
      </w:r>
      <w:r w:rsidR="007E4199" w:rsidRPr="00FC2C52">
        <w:rPr>
          <w:color w:val="auto"/>
          <w:sz w:val="20"/>
          <w:szCs w:val="20"/>
        </w:rPr>
        <w:t xml:space="preserve">election’s </w:t>
      </w:r>
      <w:r w:rsidR="00340B09" w:rsidRPr="00FC2C52">
        <w:rPr>
          <w:color w:val="auto"/>
          <w:sz w:val="20"/>
          <w:szCs w:val="20"/>
        </w:rPr>
        <w:t>organization and implementation</w:t>
      </w:r>
      <w:bookmarkEnd w:id="29"/>
      <w:bookmarkEnd w:id="30"/>
    </w:p>
    <w:p w14:paraId="23F71BC7" w14:textId="77777777" w:rsidR="00B36400" w:rsidRPr="00FC406F" w:rsidRDefault="00B36400" w:rsidP="00B36400">
      <w:pPr>
        <w:pStyle w:val="parrafos"/>
        <w:ind w:left="0" w:firstLine="0"/>
      </w:pPr>
    </w:p>
    <w:p w14:paraId="59F16FE4" w14:textId="77777777" w:rsidR="00B36400" w:rsidRPr="00FC406F" w:rsidRDefault="00340B09" w:rsidP="00031C34">
      <w:pPr>
        <w:pStyle w:val="parrafos"/>
        <w:numPr>
          <w:ilvl w:val="0"/>
          <w:numId w:val="54"/>
        </w:numPr>
        <w:tabs>
          <w:tab w:val="clear" w:pos="1440"/>
        </w:tabs>
        <w:ind w:left="0" w:firstLine="0"/>
      </w:pPr>
      <w:r w:rsidRPr="00FC406F">
        <w:t>The Commission, in several of its rulings, has referred to circumstances in which both the general conditions of an electoral process and the aspects linked to its organization and implementation lead to undue advantages for participants and can undermine the equity of the electoral contest</w:t>
      </w:r>
      <w:r w:rsidR="00B36400" w:rsidRPr="00FC406F">
        <w:t xml:space="preserve">. </w:t>
      </w:r>
    </w:p>
    <w:p w14:paraId="1E5E6C6D" w14:textId="77777777" w:rsidR="00B36400" w:rsidRPr="00FC406F" w:rsidRDefault="00B36400" w:rsidP="00B36400">
      <w:pPr>
        <w:pStyle w:val="parrafos"/>
        <w:ind w:left="0" w:firstLine="0"/>
      </w:pPr>
    </w:p>
    <w:p w14:paraId="277248F9" w14:textId="77777777" w:rsidR="00B36400" w:rsidRPr="00FC406F" w:rsidRDefault="00340B09" w:rsidP="00031C34">
      <w:pPr>
        <w:pStyle w:val="parrafos"/>
        <w:numPr>
          <w:ilvl w:val="0"/>
          <w:numId w:val="54"/>
        </w:numPr>
        <w:tabs>
          <w:tab w:val="clear" w:pos="1440"/>
        </w:tabs>
        <w:ind w:left="0" w:firstLine="0"/>
      </w:pPr>
      <w:r w:rsidRPr="00FC406F">
        <w:t>Thus, the Commission has referred to circumstances that include the fear or persecution of opposit</w:t>
      </w:r>
      <w:r w:rsidR="005E38FE" w:rsidRPr="00FC406F">
        <w:t>ion leaders, the absence of an electoral r</w:t>
      </w:r>
      <w:r w:rsidRPr="00FC406F">
        <w:t xml:space="preserve">egistry or the registration of a very low number of voters, </w:t>
      </w:r>
      <w:r w:rsidR="005E38FE" w:rsidRPr="00FC406F">
        <w:t xml:space="preserve">the </w:t>
      </w:r>
      <w:r w:rsidR="003F3C49" w:rsidRPr="00FC406F">
        <w:t xml:space="preserve">declaration </w:t>
      </w:r>
      <w:r w:rsidRPr="00FC406F">
        <w:t>of a state of eme</w:t>
      </w:r>
      <w:r w:rsidR="003F3C49" w:rsidRPr="00FC406F">
        <w:t>rgency during the elections or v</w:t>
      </w:r>
      <w:r w:rsidRPr="00FC406F">
        <w:t>ery close to the holding of the elections, practical disadvantages in t</w:t>
      </w:r>
      <w:r w:rsidR="007E4199" w:rsidRPr="00FC406F">
        <w:t>he</w:t>
      </w:r>
      <w:r w:rsidRPr="00FC406F">
        <w:t xml:space="preserve"> access of opposition sectors to media or direct or indirect control of the media, and the use of public resources to favor a candidacy.</w:t>
      </w:r>
      <w:r w:rsidR="00B36400" w:rsidRPr="00FC406F">
        <w:rPr>
          <w:rStyle w:val="FootnoteReference"/>
        </w:rPr>
        <w:footnoteReference w:id="49"/>
      </w:r>
    </w:p>
    <w:p w14:paraId="666634D9" w14:textId="77777777" w:rsidR="00B36400" w:rsidRPr="00FC406F" w:rsidRDefault="00B36400" w:rsidP="00B36400">
      <w:pPr>
        <w:pStyle w:val="ListParagraph"/>
      </w:pPr>
    </w:p>
    <w:p w14:paraId="7A06521A" w14:textId="77777777" w:rsidR="00B36400" w:rsidRPr="00FC406F" w:rsidRDefault="00991D63" w:rsidP="00031C34">
      <w:pPr>
        <w:pStyle w:val="parrafos"/>
        <w:numPr>
          <w:ilvl w:val="0"/>
          <w:numId w:val="54"/>
        </w:numPr>
        <w:tabs>
          <w:tab w:val="clear" w:pos="1440"/>
        </w:tabs>
        <w:ind w:left="0" w:firstLine="0"/>
      </w:pPr>
      <w:r w:rsidRPr="00FC406F">
        <w:lastRenderedPageBreak/>
        <w:t>The Commission has referred to the adverse impact stemming from the dominance of a political party at the helm of government when its leaders interfere decisively in operating the mechanisms for selecting candidates to hold elected office or when, in general</w:t>
      </w:r>
      <w:r w:rsidR="005E38FE" w:rsidRPr="00FC406F">
        <w:t>,</w:t>
      </w:r>
      <w:r w:rsidRPr="00FC406F">
        <w:t xml:space="preserve"> the organization in charge of conducting elections does not provide guarantees of impartiality of the bodies in charge of implementing the actions required to hold an election. In this context, the Commission </w:t>
      </w:r>
      <w:r w:rsidR="005E38FE" w:rsidRPr="00FC406F">
        <w:t xml:space="preserve">has </w:t>
      </w:r>
      <w:r w:rsidRPr="00FC406F">
        <w:t xml:space="preserve">also </w:t>
      </w:r>
      <w:r w:rsidR="005E38FE" w:rsidRPr="00FC406F">
        <w:t>r</w:t>
      </w:r>
      <w:r w:rsidRPr="00FC406F">
        <w:t>uled about how a government might use resources enabling it to transmit messages for its benefit and to constrain the possibility of opponents to transmit their own messages. In addition, the Commission has referred to the mandatory participation of government employees in marches, as well as acts of violence, against the opposition and to intimidate voters. The Commission has also taken into account those aspects related to establishing polling stations, the electoral court and its powers, as well as the availability of voting ballots that are understandable and devoid of bias swaying the voter.</w:t>
      </w:r>
      <w:r w:rsidR="00B36400" w:rsidRPr="00FC406F">
        <w:rPr>
          <w:rStyle w:val="FootnoteReference"/>
        </w:rPr>
        <w:footnoteReference w:id="50"/>
      </w:r>
    </w:p>
    <w:p w14:paraId="5F88B783" w14:textId="77777777" w:rsidR="00B36400" w:rsidRPr="00FC406F" w:rsidRDefault="00B36400" w:rsidP="00B36400">
      <w:pPr>
        <w:pStyle w:val="parrafos"/>
        <w:ind w:left="0" w:firstLine="0"/>
      </w:pPr>
    </w:p>
    <w:p w14:paraId="1AF51766" w14:textId="77777777" w:rsidR="00B36400" w:rsidRPr="00FC406F" w:rsidRDefault="00A74FA9" w:rsidP="00031C34">
      <w:pPr>
        <w:pStyle w:val="parrafos"/>
        <w:numPr>
          <w:ilvl w:val="0"/>
          <w:numId w:val="54"/>
        </w:numPr>
        <w:tabs>
          <w:tab w:val="clear" w:pos="1440"/>
        </w:tabs>
        <w:ind w:left="0" w:firstLine="0"/>
      </w:pPr>
      <w:r w:rsidRPr="00FC406F">
        <w:t xml:space="preserve">In one case, the IACHR also examined the </w:t>
      </w:r>
      <w:r w:rsidR="00C6133F" w:rsidRPr="00FC406F">
        <w:t>legal status</w:t>
      </w:r>
      <w:r w:rsidRPr="00FC406F">
        <w:t xml:space="preserve"> of senators-for-life and appointed senators that was in force in Chile, in the light of the principles of representative democracy</w:t>
      </w:r>
      <w:r w:rsidR="007E4199" w:rsidRPr="00FC406F">
        <w:t>,</w:t>
      </w:r>
      <w:r w:rsidRPr="00FC406F">
        <w:t xml:space="preserve"> and highlighted the following</w:t>
      </w:r>
      <w:r w:rsidR="00B36400" w:rsidRPr="00FC406F">
        <w:t>:</w:t>
      </w:r>
    </w:p>
    <w:p w14:paraId="478F72BB" w14:textId="77777777" w:rsidR="00B36400" w:rsidRPr="00FC406F" w:rsidRDefault="00B36400" w:rsidP="00B36400">
      <w:pPr>
        <w:pStyle w:val="ListParagraph"/>
        <w:rPr>
          <w:sz w:val="16"/>
          <w:szCs w:val="16"/>
        </w:rPr>
      </w:pPr>
    </w:p>
    <w:p w14:paraId="65313F21" w14:textId="77777777" w:rsidR="00DC1144" w:rsidRPr="00FC406F" w:rsidRDefault="00DC1144" w:rsidP="007B75D6">
      <w:pPr>
        <w:pStyle w:val="parrafos"/>
        <w:ind w:left="360" w:right="360" w:firstLine="0"/>
        <w:rPr>
          <w:rFonts w:ascii="Cambria" w:hAnsi="Cambria"/>
          <w:sz w:val="18"/>
          <w:szCs w:val="18"/>
        </w:rPr>
      </w:pPr>
      <w:r w:rsidRPr="00FC406F">
        <w:rPr>
          <w:rStyle w:val="footnoteref"/>
          <w:rFonts w:ascii="Cambria" w:hAnsi="Cambria"/>
          <w:color w:val="000000"/>
          <w:sz w:val="18"/>
          <w:szCs w:val="18"/>
        </w:rPr>
        <w:t>65.</w:t>
      </w:r>
      <w:r w:rsidRPr="00FC406F">
        <w:rPr>
          <w:rStyle w:val="footnoteref"/>
          <w:rFonts w:ascii="Cambria" w:hAnsi="Cambria"/>
          <w:sz w:val="18"/>
          <w:szCs w:val="18"/>
        </w:rPr>
        <w:t xml:space="preserve"> (…) [I]</w:t>
      </w:r>
      <w:r w:rsidRPr="00FC406F">
        <w:rPr>
          <w:rStyle w:val="footnoteref"/>
          <w:rFonts w:ascii="Cambria" w:hAnsi="Cambria"/>
          <w:color w:val="000000"/>
          <w:sz w:val="18"/>
          <w:szCs w:val="18"/>
        </w:rPr>
        <w:t>n the case of the senators with life tenure, while this institution has been incorporated in some member states (see, for example, Article 148 of the Venezuelan Constitution and Article 189 of the Paraguayan Constitution), in Chile, the institution of having senate posts with life tenure was imposed by a</w:t>
      </w:r>
      <w:r w:rsidRPr="00FC406F">
        <w:rPr>
          <w:rStyle w:val="footnoteref"/>
          <w:rFonts w:ascii="Cambria" w:hAnsi="Cambria"/>
          <w:sz w:val="18"/>
          <w:szCs w:val="18"/>
        </w:rPr>
        <w:t xml:space="preserve"> </w:t>
      </w:r>
      <w:r w:rsidRPr="00FC406F">
        <w:rPr>
          <w:rStyle w:val="footnoteref"/>
          <w:rFonts w:ascii="Cambria" w:hAnsi="Cambria"/>
          <w:i/>
          <w:iCs/>
          <w:color w:val="000000"/>
          <w:sz w:val="18"/>
          <w:szCs w:val="18"/>
        </w:rPr>
        <w:t>de facto</w:t>
      </w:r>
      <w:r w:rsidRPr="00FC406F">
        <w:rPr>
          <w:rStyle w:val="footnoteref"/>
          <w:rFonts w:ascii="Cambria" w:hAnsi="Cambria"/>
          <w:sz w:val="18"/>
          <w:szCs w:val="18"/>
        </w:rPr>
        <w:t xml:space="preserve"> </w:t>
      </w:r>
      <w:r w:rsidRPr="00FC406F">
        <w:rPr>
          <w:rStyle w:val="footnoteref"/>
          <w:rFonts w:ascii="Cambria" w:hAnsi="Cambria"/>
          <w:color w:val="000000"/>
          <w:sz w:val="18"/>
          <w:szCs w:val="18"/>
        </w:rPr>
        <w:t>regime, which was tantamount to self-designation of the head-of-state of Chile at the time, General Augusto Pinochet.</w:t>
      </w:r>
      <w:bookmarkStart w:id="31" w:name="_ftnref28"/>
      <w:r w:rsidRPr="00FC406F">
        <w:rPr>
          <w:rStyle w:val="footnoteref"/>
          <w:rFonts w:ascii="Cambria" w:hAnsi="Cambria"/>
          <w:color w:val="000000"/>
          <w:sz w:val="18"/>
          <w:szCs w:val="18"/>
        </w:rPr>
        <w:fldChar w:fldCharType="begin"/>
      </w:r>
      <w:r w:rsidRPr="00FC406F">
        <w:rPr>
          <w:rStyle w:val="footnoteref"/>
          <w:rFonts w:ascii="Cambria" w:hAnsi="Cambria"/>
          <w:color w:val="000000"/>
          <w:sz w:val="18"/>
          <w:szCs w:val="18"/>
        </w:rPr>
        <w:instrText xml:space="preserve"> HYPERLINK "https://www.cidh.oas.org/annualrep/99eng/Merits/Chile11.863.htm" \l "_ftn28" \o "" </w:instrText>
      </w:r>
      <w:r w:rsidRPr="00FC406F">
        <w:rPr>
          <w:rStyle w:val="footnoteref"/>
          <w:rFonts w:ascii="Cambria" w:hAnsi="Cambria"/>
          <w:color w:val="000000"/>
          <w:sz w:val="18"/>
          <w:szCs w:val="18"/>
        </w:rPr>
        <w:fldChar w:fldCharType="end"/>
      </w:r>
      <w:bookmarkEnd w:id="31"/>
      <w:r w:rsidRPr="00FC406F">
        <w:rPr>
          <w:rStyle w:val="footnoteref"/>
          <w:rFonts w:ascii="Cambria" w:hAnsi="Cambria"/>
          <w:sz w:val="18"/>
          <w:szCs w:val="18"/>
        </w:rPr>
        <w:t xml:space="preserve"> </w:t>
      </w:r>
      <w:r w:rsidRPr="00FC406F">
        <w:rPr>
          <w:rStyle w:val="footnoteref"/>
          <w:rFonts w:ascii="Cambria" w:hAnsi="Cambria"/>
          <w:color w:val="000000"/>
          <w:sz w:val="18"/>
          <w:szCs w:val="18"/>
        </w:rPr>
        <w:t>In effect, while all the other countries of the Americas that have this institution provide that the position can only be occupied by former presidents who hav</w:t>
      </w:r>
      <w:r w:rsidRPr="00FC406F">
        <w:rPr>
          <w:rStyle w:val="footnoteref"/>
          <w:rFonts w:ascii="Cambria" w:hAnsi="Cambria"/>
          <w:sz w:val="18"/>
          <w:szCs w:val="18"/>
        </w:rPr>
        <w:t>e been democratically elected―</w:t>
      </w:r>
      <w:r w:rsidRPr="00FC406F">
        <w:rPr>
          <w:rStyle w:val="footnoteref"/>
          <w:rFonts w:ascii="Cambria" w:hAnsi="Cambria"/>
          <w:color w:val="000000"/>
          <w:sz w:val="18"/>
          <w:szCs w:val="18"/>
        </w:rPr>
        <w:t>with which one could accept that there is an indirect</w:t>
      </w:r>
      <w:r w:rsidRPr="00FC406F">
        <w:rPr>
          <w:rStyle w:val="footnoteref"/>
          <w:rFonts w:ascii="Cambria" w:hAnsi="Cambria"/>
          <w:sz w:val="18"/>
          <w:szCs w:val="18"/>
        </w:rPr>
        <w:t xml:space="preserve"> sort of popular legitimation―</w:t>
      </w:r>
      <w:r w:rsidRPr="00FC406F">
        <w:rPr>
          <w:rStyle w:val="footnoteref"/>
          <w:rFonts w:ascii="Cambria" w:hAnsi="Cambria"/>
          <w:color w:val="000000"/>
          <w:sz w:val="18"/>
          <w:szCs w:val="18"/>
        </w:rPr>
        <w:t>in Chile it has been applied to give a Senate seat to a former head-of-state not elected by fair, free, secret and universal suffrage, in accordance with universally accepted standards.</w:t>
      </w:r>
      <w:r w:rsidRPr="00FC406F">
        <w:rPr>
          <w:rStyle w:val="footnoteref"/>
          <w:rFonts w:ascii="Cambria" w:hAnsi="Cambria"/>
          <w:sz w:val="18"/>
          <w:szCs w:val="18"/>
        </w:rPr>
        <w:t xml:space="preserve"> </w:t>
      </w:r>
      <w:r w:rsidRPr="00FC406F">
        <w:rPr>
          <w:rStyle w:val="footnoteref"/>
          <w:rFonts w:ascii="Cambria" w:hAnsi="Cambria"/>
          <w:color w:val="000000"/>
          <w:sz w:val="18"/>
          <w:szCs w:val="18"/>
        </w:rPr>
        <w:t>In this sense, it is contradictory that the first democratically elected president in Chile under the 1980 Constitution, Patricio Aylwin, was not able to join the Senate as a senator-for-life, since he did not fall within the Constitutional requirement of having exercised power for six continuous years, while General Augusto Pinochet,</w:t>
      </w:r>
      <w:r w:rsidRPr="00FC406F">
        <w:rPr>
          <w:rStyle w:val="footnoteref"/>
          <w:rFonts w:ascii="Cambria" w:hAnsi="Cambria"/>
          <w:sz w:val="18"/>
          <w:szCs w:val="18"/>
        </w:rPr>
        <w:t xml:space="preserve"> who was head-of-state during a </w:t>
      </w:r>
      <w:r w:rsidRPr="00FC406F">
        <w:rPr>
          <w:rStyle w:val="footnoteref"/>
          <w:rFonts w:ascii="Cambria" w:hAnsi="Cambria"/>
          <w:i/>
          <w:iCs/>
          <w:color w:val="000000"/>
          <w:sz w:val="18"/>
          <w:szCs w:val="18"/>
        </w:rPr>
        <w:t>de facto</w:t>
      </w:r>
      <w:r w:rsidRPr="00FC406F">
        <w:rPr>
          <w:rStyle w:val="footnoteref"/>
          <w:rFonts w:ascii="Cambria" w:hAnsi="Cambria"/>
          <w:sz w:val="18"/>
          <w:szCs w:val="18"/>
        </w:rPr>
        <w:t xml:space="preserve"> </w:t>
      </w:r>
      <w:r w:rsidRPr="00FC406F">
        <w:rPr>
          <w:rStyle w:val="footnoteref"/>
          <w:rFonts w:ascii="Cambria" w:hAnsi="Cambria"/>
          <w:color w:val="000000"/>
          <w:sz w:val="18"/>
          <w:szCs w:val="18"/>
        </w:rPr>
        <w:t>regime without any popular election, was made a senator-for-life under this provision</w:t>
      </w:r>
      <w:r w:rsidRPr="00FC406F">
        <w:rPr>
          <w:rFonts w:ascii="Cambria" w:hAnsi="Cambria"/>
          <w:color w:val="auto"/>
          <w:sz w:val="18"/>
          <w:szCs w:val="18"/>
        </w:rPr>
        <w:t>.</w:t>
      </w:r>
    </w:p>
    <w:p w14:paraId="2D4FD4F8" w14:textId="77777777" w:rsidR="00DC1144" w:rsidRPr="00FC406F" w:rsidRDefault="00DC1144" w:rsidP="007B75D6">
      <w:pPr>
        <w:jc w:val="both"/>
        <w:rPr>
          <w:rFonts w:ascii="Cambria" w:eastAsia="Times New Roman" w:hAnsi="Cambria"/>
          <w:color w:val="000000"/>
          <w:sz w:val="18"/>
          <w:szCs w:val="18"/>
          <w:lang w:eastAsia="es-EC"/>
        </w:rPr>
      </w:pPr>
    </w:p>
    <w:p w14:paraId="6AA9EADC" w14:textId="77777777" w:rsidR="00DC1144" w:rsidRPr="00FC406F" w:rsidRDefault="00DC1144" w:rsidP="007B75D6">
      <w:pPr>
        <w:pStyle w:val="parrafos"/>
        <w:ind w:left="360" w:right="360" w:firstLine="0"/>
        <w:rPr>
          <w:rStyle w:val="footnoteref"/>
          <w:rFonts w:ascii="Cambria" w:hAnsi="Cambria"/>
          <w:sz w:val="18"/>
          <w:szCs w:val="18"/>
        </w:rPr>
      </w:pPr>
      <w:r w:rsidRPr="00FC406F">
        <w:rPr>
          <w:rStyle w:val="footnoteref"/>
          <w:rFonts w:ascii="Cambria" w:hAnsi="Cambria"/>
          <w:sz w:val="18"/>
          <w:szCs w:val="18"/>
        </w:rPr>
        <w:t xml:space="preserve">66. </w:t>
      </w:r>
      <w:r w:rsidRPr="00FC406F">
        <w:rPr>
          <w:rStyle w:val="footnoteref"/>
          <w:rFonts w:ascii="Cambria" w:hAnsi="Cambria"/>
          <w:color w:val="000000"/>
          <w:sz w:val="18"/>
          <w:szCs w:val="18"/>
        </w:rPr>
        <w:t>This situation, which, moreover, is foreign to Chile's democratic constitutional tradition, cannot be legitimated by the argument that the institution of designated senators or senators-for-life was approved by the majority of the Chilean people in the plebiscite approving the 1980 Constitution, for, apart from what was noted above on the lack of guarantees in that election</w:t>
      </w:r>
      <w:r w:rsidRPr="00FC406F">
        <w:rPr>
          <w:rStyle w:val="footnoteref"/>
          <w:rFonts w:ascii="Cambria" w:hAnsi="Cambria"/>
          <w:sz w:val="18"/>
          <w:szCs w:val="18"/>
        </w:rPr>
        <w:t>―</w:t>
      </w:r>
      <w:r w:rsidRPr="00FC406F">
        <w:rPr>
          <w:rStyle w:val="footnoteref"/>
          <w:rFonts w:ascii="Cambria" w:hAnsi="Cambria"/>
          <w:color w:val="000000"/>
          <w:sz w:val="18"/>
          <w:szCs w:val="18"/>
        </w:rPr>
        <w:t>the majority cannot diminish or eliminate a right as fundamental as the opportunity to effectively elect their representati</w:t>
      </w:r>
      <w:r w:rsidRPr="00FC406F">
        <w:rPr>
          <w:rStyle w:val="footnoteref"/>
          <w:rFonts w:ascii="Cambria" w:hAnsi="Cambria"/>
          <w:sz w:val="18"/>
          <w:szCs w:val="18"/>
        </w:rPr>
        <w:t xml:space="preserve">ves to the legislative branch. </w:t>
      </w:r>
      <w:r w:rsidRPr="00FC406F">
        <w:rPr>
          <w:rStyle w:val="footnoteref"/>
          <w:rFonts w:ascii="Cambria" w:hAnsi="Cambria"/>
          <w:color w:val="000000"/>
          <w:sz w:val="18"/>
          <w:szCs w:val="18"/>
        </w:rPr>
        <w:t>There is a limit on the limitations that majorities can place on those rights of minorities that are protected by human rights. Otherwise, the majorities would seriously endanger the rights of the minorities, in open defiance</w:t>
      </w:r>
      <w:r w:rsidRPr="00FC406F">
        <w:rPr>
          <w:rStyle w:val="footnoteref"/>
          <w:rFonts w:ascii="Cambria" w:hAnsi="Cambria"/>
          <w:sz w:val="18"/>
          <w:szCs w:val="18"/>
        </w:rPr>
        <w:t xml:space="preserve"> of the democratic rule of law. </w:t>
      </w:r>
      <w:r w:rsidRPr="00FC406F">
        <w:rPr>
          <w:rStyle w:val="footnoteref"/>
          <w:rFonts w:ascii="Cambria" w:hAnsi="Cambria"/>
          <w:color w:val="000000"/>
          <w:sz w:val="18"/>
          <w:szCs w:val="18"/>
        </w:rPr>
        <w:t>In this respect, the decision of the U.S. Supreme Court in which it declared the unconstitutionality of a referendum in the state of Colorado, in which the voters had approved a federa</w:t>
      </w:r>
      <w:r w:rsidRPr="00FC406F">
        <w:rPr>
          <w:rStyle w:val="footnoteref"/>
          <w:rFonts w:ascii="Cambria" w:hAnsi="Cambria"/>
          <w:sz w:val="18"/>
          <w:szCs w:val="18"/>
        </w:rPr>
        <w:t>l plan, instead of the rule of “</w:t>
      </w:r>
      <w:r w:rsidRPr="00FC406F">
        <w:rPr>
          <w:rStyle w:val="footnoteref"/>
          <w:rFonts w:ascii="Cambria" w:hAnsi="Cambria"/>
          <w:color w:val="000000"/>
          <w:sz w:val="18"/>
          <w:szCs w:val="18"/>
        </w:rPr>
        <w:t>one person o</w:t>
      </w:r>
      <w:r w:rsidRPr="00FC406F">
        <w:rPr>
          <w:rStyle w:val="footnoteref"/>
          <w:rFonts w:ascii="Cambria" w:hAnsi="Cambria"/>
          <w:sz w:val="18"/>
          <w:szCs w:val="18"/>
        </w:rPr>
        <w:t xml:space="preserve">ne vote” is very enlightening. </w:t>
      </w:r>
      <w:r w:rsidRPr="00FC406F">
        <w:rPr>
          <w:rStyle w:val="footnoteref"/>
          <w:rFonts w:ascii="Cambria" w:hAnsi="Cambria"/>
          <w:color w:val="000000"/>
          <w:sz w:val="18"/>
          <w:szCs w:val="18"/>
        </w:rPr>
        <w:t>That court ratified the principle according to which:</w:t>
      </w:r>
      <w:r w:rsidRPr="00FC406F">
        <w:rPr>
          <w:rStyle w:val="footnoteref"/>
          <w:rFonts w:ascii="Cambria" w:hAnsi="Cambria"/>
          <w:sz w:val="18"/>
          <w:szCs w:val="18"/>
        </w:rPr>
        <w:t xml:space="preserve"> “</w:t>
      </w:r>
      <w:r w:rsidRPr="00FC406F">
        <w:rPr>
          <w:rStyle w:val="footnoteref"/>
          <w:rFonts w:ascii="Cambria" w:hAnsi="Cambria"/>
          <w:color w:val="000000"/>
          <w:sz w:val="18"/>
          <w:szCs w:val="18"/>
        </w:rPr>
        <w:t>An individual's constitutionally protected right to cast an equally weighted vote cannot be denied even by a vote of a major</w:t>
      </w:r>
      <w:r w:rsidRPr="00FC406F">
        <w:rPr>
          <w:rStyle w:val="footnoteref"/>
          <w:rFonts w:ascii="Cambria" w:hAnsi="Cambria"/>
          <w:sz w:val="18"/>
          <w:szCs w:val="18"/>
        </w:rPr>
        <w:t>ity of a State's electorate.”</w:t>
      </w:r>
    </w:p>
    <w:p w14:paraId="13A3DFAD" w14:textId="77777777" w:rsidR="00DC1144" w:rsidRPr="00FC406F" w:rsidRDefault="00DC1144" w:rsidP="007B75D6">
      <w:pPr>
        <w:ind w:right="360"/>
        <w:jc w:val="both"/>
        <w:rPr>
          <w:rFonts w:ascii="Cambria" w:hAnsi="Cambria"/>
          <w:color w:val="000000"/>
          <w:sz w:val="18"/>
          <w:szCs w:val="18"/>
        </w:rPr>
      </w:pPr>
    </w:p>
    <w:p w14:paraId="10C8BCF4" w14:textId="77777777" w:rsidR="00DC1144" w:rsidRPr="00FC406F" w:rsidRDefault="00DC1144" w:rsidP="007B75D6">
      <w:pPr>
        <w:pStyle w:val="parrafos"/>
        <w:ind w:left="360" w:right="360" w:firstLine="0"/>
        <w:rPr>
          <w:rStyle w:val="footnoteref"/>
          <w:rFonts w:ascii="Cambria" w:hAnsi="Cambria"/>
          <w:sz w:val="18"/>
          <w:szCs w:val="18"/>
        </w:rPr>
      </w:pPr>
      <w:r w:rsidRPr="00FC406F">
        <w:rPr>
          <w:rStyle w:val="footnoteref"/>
          <w:rFonts w:ascii="Cambria" w:hAnsi="Cambria"/>
          <w:color w:val="000000"/>
          <w:sz w:val="18"/>
          <w:szCs w:val="18"/>
        </w:rPr>
        <w:t>67.</w:t>
      </w:r>
      <w:r w:rsidRPr="00FC406F">
        <w:rPr>
          <w:rStyle w:val="footnoteref"/>
          <w:rFonts w:ascii="Cambria" w:hAnsi="Cambria"/>
          <w:sz w:val="18"/>
          <w:szCs w:val="18"/>
        </w:rPr>
        <w:t xml:space="preserve"> </w:t>
      </w:r>
      <w:r w:rsidRPr="00FC406F">
        <w:rPr>
          <w:rStyle w:val="footnoteref"/>
          <w:rFonts w:ascii="Cambria" w:hAnsi="Cambria"/>
          <w:color w:val="000000"/>
          <w:sz w:val="18"/>
          <w:szCs w:val="18"/>
        </w:rPr>
        <w:t>In the instant case, as petitioners have argued, the institution of designated senators compromises the very legitimacy of the rule of law, on taking from the sovereign people the ability to elect a significant number (20.83% to</w:t>
      </w:r>
      <w:r w:rsidRPr="00FC406F">
        <w:rPr>
          <w:rStyle w:val="footnoteref"/>
          <w:rFonts w:ascii="Cambria" w:hAnsi="Cambria"/>
          <w:sz w:val="18"/>
          <w:szCs w:val="18"/>
        </w:rPr>
        <w:t xml:space="preserve"> date) of its representatives. </w:t>
      </w:r>
      <w:r w:rsidRPr="00FC406F">
        <w:rPr>
          <w:rStyle w:val="footnoteref"/>
          <w:rFonts w:ascii="Cambria" w:hAnsi="Cambria"/>
          <w:color w:val="000000"/>
          <w:sz w:val="18"/>
          <w:szCs w:val="18"/>
        </w:rPr>
        <w:t>This situation notably diminishes the likelihood of the necessary representativity between the people and their representatives.</w:t>
      </w:r>
      <w:r w:rsidRPr="00FC406F">
        <w:rPr>
          <w:rStyle w:val="footnoteref"/>
          <w:rFonts w:ascii="Cambria" w:hAnsi="Cambria"/>
          <w:sz w:val="18"/>
          <w:szCs w:val="18"/>
        </w:rPr>
        <w:t xml:space="preserve"> </w:t>
      </w:r>
      <w:r w:rsidRPr="00FC406F">
        <w:rPr>
          <w:rStyle w:val="footnoteref"/>
          <w:rFonts w:ascii="Cambria" w:hAnsi="Cambria"/>
          <w:color w:val="000000"/>
          <w:sz w:val="18"/>
          <w:szCs w:val="18"/>
        </w:rPr>
        <w:t>This Commission considers that in practice the effects of this institution constitute an authoritarian enclave that has prevented culmination of the transition to full representative democracy.</w:t>
      </w:r>
    </w:p>
    <w:p w14:paraId="00058C99" w14:textId="77777777" w:rsidR="00DC1144" w:rsidRPr="00FC406F" w:rsidRDefault="00DC1144" w:rsidP="007B75D6">
      <w:pPr>
        <w:ind w:right="360"/>
        <w:jc w:val="both"/>
        <w:rPr>
          <w:rStyle w:val="footnoteref"/>
          <w:rFonts w:ascii="Cambria" w:hAnsi="Cambria"/>
          <w:sz w:val="18"/>
          <w:szCs w:val="18"/>
        </w:rPr>
      </w:pPr>
    </w:p>
    <w:p w14:paraId="6FEF86A5" w14:textId="77777777" w:rsidR="00B36400" w:rsidRPr="00FC406F" w:rsidRDefault="00DC1144" w:rsidP="007B75D6">
      <w:pPr>
        <w:pStyle w:val="parrafos"/>
        <w:ind w:left="360" w:right="360" w:firstLine="0"/>
        <w:rPr>
          <w:sz w:val="18"/>
          <w:szCs w:val="18"/>
        </w:rPr>
      </w:pPr>
      <w:r w:rsidRPr="00FC406F">
        <w:rPr>
          <w:rFonts w:ascii="Cambria" w:hAnsi="Cambria"/>
          <w:color w:val="000000"/>
          <w:sz w:val="18"/>
          <w:szCs w:val="18"/>
        </w:rPr>
        <w:t>97. The Commission understands that the above-cited rights to political equality prohibit the states parties to the American Convention from giving unreasonable distinct or unequal treatment to their citizens in the election of their representatives. Therefore, these rights imply that the states parties cannot reduce or water down the effective opportunity for the citizens to elect their representatives, giving greater weight to the votes cast by certain members of society, even if they are representatives of the people.</w:t>
      </w:r>
      <w:r w:rsidR="00B36400" w:rsidRPr="00FC406F">
        <w:rPr>
          <w:rStyle w:val="FootnoteReference"/>
          <w:color w:val="000000"/>
          <w:sz w:val="18"/>
          <w:szCs w:val="18"/>
        </w:rPr>
        <w:footnoteReference w:id="51"/>
      </w:r>
    </w:p>
    <w:p w14:paraId="530D6991" w14:textId="77777777" w:rsidR="00B36400" w:rsidRPr="00FC406F" w:rsidRDefault="00B36400" w:rsidP="00B36400">
      <w:pPr>
        <w:pStyle w:val="parrafos"/>
        <w:ind w:left="0" w:firstLine="0"/>
      </w:pPr>
    </w:p>
    <w:p w14:paraId="4497D098" w14:textId="77777777" w:rsidR="00B36400" w:rsidRPr="00FC406F" w:rsidRDefault="00C10407" w:rsidP="00031C34">
      <w:pPr>
        <w:pStyle w:val="parrafos"/>
        <w:numPr>
          <w:ilvl w:val="0"/>
          <w:numId w:val="54"/>
        </w:numPr>
        <w:tabs>
          <w:tab w:val="clear" w:pos="1440"/>
        </w:tabs>
        <w:ind w:left="0" w:firstLine="0"/>
      </w:pPr>
      <w:r w:rsidRPr="00FC406F">
        <w:t>The Commission obs</w:t>
      </w:r>
      <w:r w:rsidR="00A74FA9" w:rsidRPr="00FC406F">
        <w:t>erves that several</w:t>
      </w:r>
      <w:r w:rsidRPr="00FC406F">
        <w:t xml:space="preserve"> international organizations, as well as domestic courts, have referred to </w:t>
      </w:r>
      <w:r w:rsidR="00A74FA9" w:rsidRPr="00FC406F">
        <w:t>circumstances in which</w:t>
      </w:r>
      <w:r w:rsidRPr="00FC406F">
        <w:t xml:space="preserve"> the conc</w:t>
      </w:r>
      <w:r w:rsidR="00A74FA9" w:rsidRPr="00FC406F">
        <w:t xml:space="preserve">entration or use of power by an incumbent administration in an </w:t>
      </w:r>
      <w:r w:rsidR="00A74FA9" w:rsidRPr="00FC406F">
        <w:lastRenderedPageBreak/>
        <w:t xml:space="preserve">election may provide advantages that undermine the right of other candidates to participate </w:t>
      </w:r>
      <w:r w:rsidR="00D62916" w:rsidRPr="00FC406F">
        <w:t>on</w:t>
      </w:r>
      <w:r w:rsidR="00A74FA9" w:rsidRPr="00FC406F">
        <w:t xml:space="preserve"> equal </w:t>
      </w:r>
      <w:r w:rsidR="00D62916" w:rsidRPr="00FC406F">
        <w:t>terms</w:t>
      </w:r>
      <w:r w:rsidR="00A74FA9" w:rsidRPr="00FC406F">
        <w:t xml:space="preserve"> in an electoral race</w:t>
      </w:r>
      <w:r w:rsidR="00B36400" w:rsidRPr="00FC406F">
        <w:t>.</w:t>
      </w:r>
    </w:p>
    <w:p w14:paraId="0F2A26CC" w14:textId="77777777" w:rsidR="00B36400" w:rsidRPr="00FC406F" w:rsidRDefault="00B36400" w:rsidP="00B36400">
      <w:pPr>
        <w:pStyle w:val="parrafos"/>
        <w:ind w:left="0" w:firstLine="0"/>
      </w:pPr>
    </w:p>
    <w:p w14:paraId="5F1F0FD6" w14:textId="77777777" w:rsidR="00B36400" w:rsidRPr="00FC406F" w:rsidRDefault="00086434" w:rsidP="00031C34">
      <w:pPr>
        <w:pStyle w:val="parrafos"/>
        <w:numPr>
          <w:ilvl w:val="0"/>
          <w:numId w:val="54"/>
        </w:numPr>
        <w:tabs>
          <w:tab w:val="clear" w:pos="1440"/>
        </w:tabs>
        <w:ind w:left="0" w:firstLine="0"/>
      </w:pPr>
      <w:r w:rsidRPr="00FC406F">
        <w:t xml:space="preserve">For example, in the case of </w:t>
      </w:r>
      <w:r w:rsidR="00B36400" w:rsidRPr="00FC406F">
        <w:t xml:space="preserve">Gitonas </w:t>
      </w:r>
      <w:r w:rsidRPr="00FC406F">
        <w:t xml:space="preserve">and others v. Greece, the </w:t>
      </w:r>
      <w:r w:rsidRPr="00FC406F">
        <w:rPr>
          <w:i/>
        </w:rPr>
        <w:t>European Court of Human Rights</w:t>
      </w:r>
      <w:r w:rsidRPr="00FC406F">
        <w:t xml:space="preserve"> ruled that the</w:t>
      </w:r>
      <w:r w:rsidR="00C10407" w:rsidRPr="00FC406F">
        <w:t xml:space="preserve"> annulment of the election of five congresspersons for having held public office that established grounds for disqualification for more than three months in the three years preceding the elections did not breach Article 3 of Protocol No. 1 of the European Convention on Human Rights, which refers to the right to free elections. The Court stated as follows</w:t>
      </w:r>
      <w:r w:rsidR="00B36400" w:rsidRPr="00FC406F">
        <w:t>:</w:t>
      </w:r>
    </w:p>
    <w:p w14:paraId="45AF79A1" w14:textId="77777777" w:rsidR="00B36400" w:rsidRPr="00FC406F" w:rsidRDefault="00B36400" w:rsidP="00B36400">
      <w:pPr>
        <w:rPr>
          <w:sz w:val="20"/>
          <w:szCs w:val="20"/>
        </w:rPr>
      </w:pPr>
    </w:p>
    <w:p w14:paraId="77D9FD1C" w14:textId="77777777" w:rsidR="005C2C6B" w:rsidRPr="00FC406F" w:rsidRDefault="005C2C6B" w:rsidP="007B75D6">
      <w:pPr>
        <w:pStyle w:val="ListParagraph"/>
        <w:tabs>
          <w:tab w:val="left" w:pos="9000"/>
        </w:tabs>
        <w:ind w:left="360" w:right="360"/>
        <w:jc w:val="both"/>
        <w:rPr>
          <w:sz w:val="18"/>
          <w:szCs w:val="18"/>
        </w:rPr>
      </w:pPr>
      <w:r w:rsidRPr="00FC406F">
        <w:rPr>
          <w:sz w:val="18"/>
          <w:szCs w:val="18"/>
        </w:rPr>
        <w:t>The Court notes that paragraph 3 of Article 56 of the Constitution, which was applied in the applicants’ case, establishes grounds for disqualification that are both relative and final in that certain categories of holders of public office</w:t>
      </w:r>
      <w:r w:rsidRPr="00FC406F">
        <w:rPr>
          <w:rFonts w:cstheme="minorHAnsi"/>
          <w:sz w:val="18"/>
          <w:szCs w:val="18"/>
        </w:rPr>
        <w:t>―</w:t>
      </w:r>
      <w:r w:rsidRPr="00FC406F">
        <w:rPr>
          <w:sz w:val="18"/>
          <w:szCs w:val="18"/>
        </w:rPr>
        <w:t>including salaried public servants and members of staff of public-law entities and public undertakings</w:t>
      </w:r>
      <w:r w:rsidRPr="00FC406F">
        <w:rPr>
          <w:rFonts w:cstheme="minorHAnsi"/>
          <w:sz w:val="18"/>
          <w:szCs w:val="18"/>
        </w:rPr>
        <w:t>―</w:t>
      </w:r>
      <w:r w:rsidRPr="00FC406F">
        <w:rPr>
          <w:sz w:val="18"/>
          <w:szCs w:val="18"/>
        </w:rPr>
        <w:t>are precluded from standing for election and being elected in any constituency where they have performed their duties for more than three months in the three years preceding the elections; the disqualification will moreover stand notwithstanding a candidate’s prior resignation (…)</w:t>
      </w:r>
    </w:p>
    <w:p w14:paraId="00D02365" w14:textId="77777777" w:rsidR="005C2C6B" w:rsidRPr="00FC406F" w:rsidRDefault="005C2C6B" w:rsidP="007B75D6">
      <w:pPr>
        <w:tabs>
          <w:tab w:val="left" w:pos="9000"/>
        </w:tabs>
        <w:ind w:left="360" w:right="360"/>
        <w:jc w:val="both"/>
        <w:rPr>
          <w:rFonts w:ascii="Cambria" w:hAnsi="Cambria"/>
          <w:sz w:val="18"/>
          <w:szCs w:val="18"/>
        </w:rPr>
      </w:pPr>
    </w:p>
    <w:p w14:paraId="4BEA95DC" w14:textId="77777777" w:rsidR="005C2C6B" w:rsidRPr="00FC406F" w:rsidRDefault="005C2C6B" w:rsidP="007B75D6">
      <w:pPr>
        <w:pStyle w:val="ListParagraph"/>
        <w:tabs>
          <w:tab w:val="left" w:pos="9000"/>
        </w:tabs>
        <w:ind w:left="360" w:right="360"/>
        <w:jc w:val="both"/>
        <w:rPr>
          <w:sz w:val="18"/>
          <w:szCs w:val="18"/>
        </w:rPr>
      </w:pPr>
      <w:r w:rsidRPr="00FC406F">
        <w:rPr>
          <w:sz w:val="18"/>
          <w:szCs w:val="18"/>
        </w:rPr>
        <w:t>Such disqualification, for which equivalent provisions exist in several member States of the Council of Europe, serves a dual purpose that is essential for the proper functioning and upholding of democratic regimes, namely ensuring that candidates of different political persuasions enjoy equal means of influence (since holders of public office may on occasion have an unfair advantage over other candidates) and protecting the electorate from pressure from such officials who, because of their position, are called upon to take many</w:t>
      </w:r>
      <w:r w:rsidRPr="00FC406F">
        <w:rPr>
          <w:rFonts w:cstheme="minorHAnsi"/>
          <w:sz w:val="18"/>
          <w:szCs w:val="18"/>
        </w:rPr>
        <w:t>―</w:t>
      </w:r>
      <w:r w:rsidRPr="00FC406F">
        <w:rPr>
          <w:sz w:val="18"/>
          <w:szCs w:val="18"/>
        </w:rPr>
        <w:t>and sometimes important</w:t>
      </w:r>
      <w:r w:rsidRPr="00FC406F">
        <w:rPr>
          <w:rFonts w:cstheme="minorHAnsi"/>
          <w:sz w:val="18"/>
          <w:szCs w:val="18"/>
        </w:rPr>
        <w:t>―</w:t>
      </w:r>
      <w:r w:rsidRPr="00FC406F">
        <w:rPr>
          <w:sz w:val="18"/>
          <w:szCs w:val="18"/>
        </w:rPr>
        <w:t>decisions and enjoy substantial prestige in the eyes of the ordinary citizen, whose choice of candidate might be influenced</w:t>
      </w:r>
    </w:p>
    <w:p w14:paraId="0183ED4C" w14:textId="77777777" w:rsidR="005C2C6B" w:rsidRPr="00FC406F" w:rsidRDefault="005C2C6B" w:rsidP="007B75D6">
      <w:pPr>
        <w:tabs>
          <w:tab w:val="left" w:pos="9000"/>
        </w:tabs>
        <w:ind w:left="360" w:right="360"/>
        <w:jc w:val="both"/>
        <w:rPr>
          <w:rFonts w:ascii="Cambria" w:hAnsi="Cambria"/>
          <w:sz w:val="18"/>
          <w:szCs w:val="18"/>
        </w:rPr>
      </w:pPr>
    </w:p>
    <w:p w14:paraId="3D33296B" w14:textId="77777777" w:rsidR="00B36400" w:rsidRPr="00FC406F" w:rsidRDefault="005C2C6B" w:rsidP="007B75D6">
      <w:pPr>
        <w:pStyle w:val="ListParagraph"/>
        <w:tabs>
          <w:tab w:val="left" w:pos="9000"/>
        </w:tabs>
        <w:ind w:left="360" w:right="360"/>
        <w:jc w:val="both"/>
        <w:rPr>
          <w:sz w:val="18"/>
          <w:szCs w:val="18"/>
        </w:rPr>
      </w:pPr>
      <w:r w:rsidRPr="00FC406F">
        <w:rPr>
          <w:sz w:val="18"/>
          <w:szCs w:val="18"/>
        </w:rPr>
        <w:t>The Court cannot reach any other conclusion; there is nothing in the judgments of the Special Supreme Court to suggest that the annulments were contrary to Greek legislation, arbitrary or disproportionate, or thwarted “the free expression of the opinion of the people in the choice of the legislature</w:t>
      </w:r>
      <w:r w:rsidR="00CF01D0" w:rsidRPr="00FC406F">
        <w:rPr>
          <w:sz w:val="18"/>
          <w:szCs w:val="18"/>
        </w:rPr>
        <w:t>.”</w:t>
      </w:r>
      <w:r w:rsidRPr="00FC406F">
        <w:rPr>
          <w:sz w:val="18"/>
          <w:szCs w:val="18"/>
        </w:rPr>
        <w:t xml:space="preserve"> (…) Consequently, there has been no violation of Article 3 of Protocol No. 1 (P1-3).</w:t>
      </w:r>
      <w:r w:rsidR="00B36400" w:rsidRPr="00FC406F">
        <w:rPr>
          <w:rStyle w:val="FootnoteReference"/>
          <w:color w:val="auto"/>
          <w:sz w:val="18"/>
          <w:szCs w:val="18"/>
        </w:rPr>
        <w:footnoteReference w:id="52"/>
      </w:r>
    </w:p>
    <w:p w14:paraId="6EC8B92C" w14:textId="77777777" w:rsidR="00B36400" w:rsidRPr="00FC406F" w:rsidRDefault="00B36400" w:rsidP="00B36400">
      <w:pPr>
        <w:pStyle w:val="parrafos"/>
        <w:ind w:left="0" w:firstLine="0"/>
      </w:pPr>
    </w:p>
    <w:p w14:paraId="2574C758" w14:textId="77777777" w:rsidR="00B36400" w:rsidRPr="00FC406F" w:rsidRDefault="00991D63" w:rsidP="00031C34">
      <w:pPr>
        <w:pStyle w:val="parrafos"/>
        <w:numPr>
          <w:ilvl w:val="0"/>
          <w:numId w:val="54"/>
        </w:numPr>
        <w:tabs>
          <w:tab w:val="clear" w:pos="1440"/>
        </w:tabs>
        <w:ind w:left="0" w:firstLine="0"/>
      </w:pPr>
      <w:r w:rsidRPr="00FC406F">
        <w:t xml:space="preserve">As for the </w:t>
      </w:r>
      <w:r w:rsidRPr="00FC406F">
        <w:rPr>
          <w:i/>
        </w:rPr>
        <w:t>Constitutional Court of Germany,</w:t>
      </w:r>
      <w:r w:rsidRPr="00FC406F">
        <w:t xml:space="preserve"> it </w:t>
      </w:r>
      <w:r w:rsidR="004D054E" w:rsidRPr="00FC406F">
        <w:t>issued a ruling</w:t>
      </w:r>
      <w:r w:rsidRPr="00FC406F">
        <w:t xml:space="preserve"> in a case in which the federal state </w:t>
      </w:r>
      <w:r w:rsidR="004D054E" w:rsidRPr="00FC406F">
        <w:t xml:space="preserve">had </w:t>
      </w:r>
      <w:r w:rsidRPr="00FC406F">
        <w:t>violated the right of a person to parti</w:t>
      </w:r>
      <w:r w:rsidR="004D054E" w:rsidRPr="00FC406F">
        <w:t>cipate in an election on an equal footing. Regarding this, it made the following observations</w:t>
      </w:r>
      <w:r w:rsidR="00B36400" w:rsidRPr="00FC406F">
        <w:t>:</w:t>
      </w:r>
    </w:p>
    <w:p w14:paraId="0C104646" w14:textId="77777777" w:rsidR="00B36400" w:rsidRPr="00FC406F" w:rsidRDefault="00B36400" w:rsidP="00B36400">
      <w:pPr>
        <w:pStyle w:val="parrafos"/>
        <w:ind w:left="0" w:firstLine="0"/>
      </w:pPr>
    </w:p>
    <w:p w14:paraId="6764B3F5" w14:textId="77777777" w:rsidR="00B36400" w:rsidRPr="00FC406F" w:rsidRDefault="00B36400" w:rsidP="007B75D6">
      <w:pPr>
        <w:pStyle w:val="ListParagraph"/>
        <w:ind w:left="360" w:right="360"/>
        <w:jc w:val="both"/>
        <w:rPr>
          <w:sz w:val="18"/>
          <w:szCs w:val="18"/>
        </w:rPr>
      </w:pPr>
      <w:r w:rsidRPr="00FC406F">
        <w:rPr>
          <w:sz w:val="18"/>
          <w:szCs w:val="18"/>
        </w:rPr>
        <w:t xml:space="preserve">(…) </w:t>
      </w:r>
      <w:r w:rsidR="004D054E" w:rsidRPr="00FC406F">
        <w:rPr>
          <w:sz w:val="18"/>
          <w:szCs w:val="18"/>
        </w:rPr>
        <w:t>Democratic equality means that the ruling majority at a given time and the opposition minority must benefit, on principle, from the same opportunities in the election to secure votes. The guarantee of equity in the electoral contest and campaigns is an indispensable element in the free and open formative process of the people’s orientation and will, as enshrined in Basic Law</w:t>
      </w:r>
      <w:r w:rsidRPr="00FC406F">
        <w:rPr>
          <w:sz w:val="18"/>
          <w:szCs w:val="18"/>
        </w:rPr>
        <w:t xml:space="preserve">. </w:t>
      </w:r>
    </w:p>
    <w:p w14:paraId="1D58B79D" w14:textId="77777777" w:rsidR="00B36400" w:rsidRPr="00FC406F" w:rsidRDefault="00B36400" w:rsidP="007B75D6">
      <w:pPr>
        <w:pStyle w:val="ListParagraph"/>
        <w:ind w:left="360" w:right="360"/>
        <w:jc w:val="both"/>
        <w:rPr>
          <w:sz w:val="18"/>
          <w:szCs w:val="18"/>
        </w:rPr>
      </w:pPr>
    </w:p>
    <w:p w14:paraId="6F88D44E" w14:textId="77777777" w:rsidR="00B36400" w:rsidRPr="00FC406F" w:rsidRDefault="004D054E" w:rsidP="007B75D6">
      <w:pPr>
        <w:pStyle w:val="ListParagraph"/>
        <w:ind w:left="360" w:right="360"/>
        <w:jc w:val="both"/>
        <w:rPr>
          <w:sz w:val="18"/>
          <w:szCs w:val="18"/>
        </w:rPr>
      </w:pPr>
      <w:r w:rsidRPr="00FC406F">
        <w:rPr>
          <w:sz w:val="18"/>
          <w:szCs w:val="18"/>
        </w:rPr>
        <w:t>The right of political par</w:t>
      </w:r>
      <w:r w:rsidR="00340B09" w:rsidRPr="00FC406F">
        <w:rPr>
          <w:sz w:val="18"/>
          <w:szCs w:val="18"/>
        </w:rPr>
        <w:t>ties to equity in the electoral</w:t>
      </w:r>
      <w:r w:rsidRPr="00FC406F">
        <w:rPr>
          <w:sz w:val="18"/>
          <w:szCs w:val="18"/>
        </w:rPr>
        <w:t xml:space="preserve"> race was recognized so that it could be exercised during the election. Its </w:t>
      </w:r>
      <w:r w:rsidR="003F3C49" w:rsidRPr="00FC406F">
        <w:rPr>
          <w:sz w:val="18"/>
          <w:szCs w:val="18"/>
        </w:rPr>
        <w:t>application</w:t>
      </w:r>
      <w:r w:rsidRPr="00FC406F">
        <w:rPr>
          <w:sz w:val="18"/>
          <w:szCs w:val="18"/>
        </w:rPr>
        <w:t xml:space="preserve"> was gradually extended to pre-campaign activities. It is also applicable for electoral campaigns in </w:t>
      </w:r>
      <w:r w:rsidR="006C1C88" w:rsidRPr="00FC406F">
        <w:rPr>
          <w:sz w:val="18"/>
          <w:szCs w:val="18"/>
        </w:rPr>
        <w:t xml:space="preserve">a </w:t>
      </w:r>
      <w:r w:rsidRPr="00FC406F">
        <w:rPr>
          <w:sz w:val="18"/>
          <w:szCs w:val="18"/>
        </w:rPr>
        <w:t>democracy</w:t>
      </w:r>
      <w:r w:rsidR="006C1C88" w:rsidRPr="00FC406F">
        <w:rPr>
          <w:sz w:val="18"/>
          <w:szCs w:val="18"/>
        </w:rPr>
        <w:t xml:space="preserve"> of the masses</w:t>
      </w:r>
      <w:r w:rsidRPr="00FC406F">
        <w:rPr>
          <w:sz w:val="18"/>
          <w:szCs w:val="18"/>
        </w:rPr>
        <w:t>, as long as they are influenced by public authorities</w:t>
      </w:r>
      <w:r w:rsidR="00B36400" w:rsidRPr="00FC406F">
        <w:rPr>
          <w:sz w:val="18"/>
          <w:szCs w:val="18"/>
        </w:rPr>
        <w:t xml:space="preserve"> (…). </w:t>
      </w:r>
      <w:r w:rsidRPr="00FC406F">
        <w:rPr>
          <w:sz w:val="18"/>
          <w:szCs w:val="18"/>
        </w:rPr>
        <w:t xml:space="preserve">That right is breached when state bodies </w:t>
      </w:r>
      <w:r w:rsidR="003C107E" w:rsidRPr="00FC406F">
        <w:rPr>
          <w:sz w:val="18"/>
          <w:szCs w:val="18"/>
        </w:rPr>
        <w:t>are biased in favor of a political party or candidate in elections or interfere to the detriment to any one of them</w:t>
      </w:r>
      <w:r w:rsidR="00B36400" w:rsidRPr="00FC406F">
        <w:rPr>
          <w:sz w:val="18"/>
          <w:szCs w:val="18"/>
        </w:rPr>
        <w:t>.</w:t>
      </w:r>
    </w:p>
    <w:p w14:paraId="6F459F1B" w14:textId="77777777" w:rsidR="00B36400" w:rsidRPr="00FC406F" w:rsidRDefault="00B36400" w:rsidP="007B75D6">
      <w:pPr>
        <w:pStyle w:val="ListParagraph"/>
        <w:ind w:left="360" w:right="360"/>
        <w:jc w:val="both"/>
        <w:rPr>
          <w:sz w:val="18"/>
          <w:szCs w:val="18"/>
        </w:rPr>
      </w:pPr>
    </w:p>
    <w:p w14:paraId="5CF5C8DE" w14:textId="77777777" w:rsidR="00B36400" w:rsidRPr="00FC406F" w:rsidRDefault="003C107E" w:rsidP="007B75D6">
      <w:pPr>
        <w:pStyle w:val="ListParagraph"/>
        <w:ind w:left="360" w:right="360"/>
        <w:jc w:val="both"/>
        <w:rPr>
          <w:sz w:val="18"/>
          <w:szCs w:val="18"/>
        </w:rPr>
      </w:pPr>
      <w:r w:rsidRPr="00FC406F">
        <w:rPr>
          <w:sz w:val="18"/>
          <w:szCs w:val="18"/>
        </w:rPr>
        <w:t>The limit imposed by the Basic Law to public relations activities and electoral campaigning can also be infringed if the federal government’s official publications, although they are confined to providing objective information to the citizenry, that is</w:t>
      </w:r>
      <w:r w:rsidR="00CF01D0" w:rsidRPr="00FC406F">
        <w:rPr>
          <w:sz w:val="18"/>
          <w:szCs w:val="18"/>
        </w:rPr>
        <w:t xml:space="preserve">, without identifying their </w:t>
      </w:r>
      <w:r w:rsidRPr="00FC406F">
        <w:rPr>
          <w:sz w:val="18"/>
          <w:szCs w:val="18"/>
        </w:rPr>
        <w:t xml:space="preserve">contents or presentation as campaigning measures, serve to benefit their own objective of having a given political party staying in power, </w:t>
      </w:r>
      <w:r w:rsidR="006C1C88" w:rsidRPr="00FC406F">
        <w:rPr>
          <w:sz w:val="18"/>
          <w:szCs w:val="18"/>
        </w:rPr>
        <w:t>because that is done in the pre</w:t>
      </w:r>
      <w:r w:rsidR="00EF7183" w:rsidRPr="00FC406F">
        <w:rPr>
          <w:sz w:val="18"/>
          <w:szCs w:val="18"/>
        </w:rPr>
        <w:t>-</w:t>
      </w:r>
      <w:r w:rsidRPr="00FC406F">
        <w:rPr>
          <w:sz w:val="18"/>
          <w:szCs w:val="18"/>
        </w:rPr>
        <w:t>election period. This type of information does not appear on the political stage because it can only be viewed in the context of finding consistency in clear situations. The fact that the government is periodically informing the citizen</w:t>
      </w:r>
      <w:r w:rsidR="00D85802" w:rsidRPr="00FC406F">
        <w:rPr>
          <w:sz w:val="18"/>
          <w:szCs w:val="18"/>
        </w:rPr>
        <w:t>r</w:t>
      </w:r>
      <w:r w:rsidRPr="00FC406F">
        <w:rPr>
          <w:sz w:val="18"/>
          <w:szCs w:val="18"/>
        </w:rPr>
        <w:t xml:space="preserve">y of its achievements and successes on the basis of public relations activities, has impacts whose consequence also involves favoring political parties that are part of the government. This is not unconstitutional as long as the publication concerned is </w:t>
      </w:r>
      <w:r w:rsidR="00EF7183" w:rsidRPr="00FC406F">
        <w:rPr>
          <w:sz w:val="18"/>
          <w:szCs w:val="18"/>
        </w:rPr>
        <w:t>not directly related to the pre-</w:t>
      </w:r>
      <w:r w:rsidRPr="00FC406F">
        <w:rPr>
          <w:sz w:val="18"/>
          <w:szCs w:val="18"/>
        </w:rPr>
        <w:t>electio</w:t>
      </w:r>
      <w:r w:rsidR="00D671AD" w:rsidRPr="00FC406F">
        <w:rPr>
          <w:sz w:val="18"/>
          <w:szCs w:val="18"/>
        </w:rPr>
        <w:t>n</w:t>
      </w:r>
      <w:r w:rsidRPr="00FC406F">
        <w:rPr>
          <w:sz w:val="18"/>
          <w:szCs w:val="18"/>
        </w:rPr>
        <w:t xml:space="preserve"> pe</w:t>
      </w:r>
      <w:r w:rsidR="00CF01D0" w:rsidRPr="00FC406F">
        <w:rPr>
          <w:sz w:val="18"/>
          <w:szCs w:val="18"/>
        </w:rPr>
        <w:t>riod and therefore exerts a limited influence</w:t>
      </w:r>
      <w:r w:rsidRPr="00FC406F">
        <w:rPr>
          <w:sz w:val="18"/>
          <w:szCs w:val="18"/>
        </w:rPr>
        <w:t xml:space="preserve"> as campaigning in elections. Nevertheless, the federal government would infringe its ban on interfering in the election’s outcome by the citizenry for the benefit of a given political party or promoting its </w:t>
      </w:r>
      <w:r w:rsidR="00CF01D0" w:rsidRPr="00FC406F">
        <w:rPr>
          <w:sz w:val="18"/>
          <w:szCs w:val="18"/>
        </w:rPr>
        <w:t>continued power, if it</w:t>
      </w:r>
      <w:r w:rsidR="00D671AD" w:rsidRPr="00FC406F">
        <w:rPr>
          <w:sz w:val="18"/>
          <w:szCs w:val="18"/>
        </w:rPr>
        <w:t xml:space="preserve"> were to publish</w:t>
      </w:r>
      <w:r w:rsidR="00CF01D0" w:rsidRPr="00FC406F">
        <w:rPr>
          <w:sz w:val="18"/>
          <w:szCs w:val="18"/>
        </w:rPr>
        <w:t>,</w:t>
      </w:r>
      <w:r w:rsidR="00D671AD" w:rsidRPr="00FC406F">
        <w:rPr>
          <w:sz w:val="18"/>
          <w:szCs w:val="18"/>
        </w:rPr>
        <w:t xml:space="preserve"> during the pre</w:t>
      </w:r>
      <w:r w:rsidR="00EF7183" w:rsidRPr="00FC406F">
        <w:rPr>
          <w:sz w:val="18"/>
          <w:szCs w:val="18"/>
        </w:rPr>
        <w:t>-</w:t>
      </w:r>
      <w:r w:rsidR="00D671AD" w:rsidRPr="00FC406F">
        <w:rPr>
          <w:sz w:val="18"/>
          <w:szCs w:val="18"/>
        </w:rPr>
        <w:t>electoral period</w:t>
      </w:r>
      <w:r w:rsidR="00CF01D0" w:rsidRPr="00FC406F">
        <w:rPr>
          <w:sz w:val="18"/>
          <w:szCs w:val="18"/>
        </w:rPr>
        <w:t>, material that</w:t>
      </w:r>
      <w:r w:rsidR="00D671AD" w:rsidRPr="00FC406F">
        <w:rPr>
          <w:sz w:val="18"/>
          <w:szCs w:val="18"/>
        </w:rPr>
        <w:t xml:space="preserve"> would</w:t>
      </w:r>
      <w:r w:rsidR="00CF01D0" w:rsidRPr="00FC406F">
        <w:rPr>
          <w:sz w:val="18"/>
          <w:szCs w:val="18"/>
        </w:rPr>
        <w:t>,</w:t>
      </w:r>
      <w:r w:rsidR="00D671AD" w:rsidRPr="00FC406F">
        <w:rPr>
          <w:sz w:val="18"/>
          <w:szCs w:val="18"/>
        </w:rPr>
        <w:t xml:space="preserve"> because of its contents or presentation</w:t>
      </w:r>
      <w:r w:rsidR="00563CDB" w:rsidRPr="00FC406F">
        <w:rPr>
          <w:sz w:val="18"/>
          <w:szCs w:val="18"/>
        </w:rPr>
        <w:t>,</w:t>
      </w:r>
      <w:r w:rsidR="00D671AD" w:rsidRPr="00FC406F">
        <w:rPr>
          <w:sz w:val="18"/>
          <w:szCs w:val="18"/>
        </w:rPr>
        <w:t xml:space="preserve"> be banned, especially if it appeared</w:t>
      </w:r>
      <w:r w:rsidR="00563CDB" w:rsidRPr="00FC406F">
        <w:rPr>
          <w:sz w:val="18"/>
          <w:szCs w:val="18"/>
        </w:rPr>
        <w:t>, ostentatiously and in large amounts,</w:t>
      </w:r>
      <w:r w:rsidR="00D671AD" w:rsidRPr="00FC406F">
        <w:rPr>
          <w:sz w:val="18"/>
          <w:szCs w:val="18"/>
        </w:rPr>
        <w:t xml:space="preserve"> in the form of reports relative to the </w:t>
      </w:r>
      <w:r w:rsidR="00D671AD" w:rsidRPr="00FC406F">
        <w:rPr>
          <w:sz w:val="18"/>
          <w:szCs w:val="18"/>
        </w:rPr>
        <w:lastRenderedPageBreak/>
        <w:t>administration, productivity, and achievements or that it did not prevent its distribution for purposes of campaigning during the elections</w:t>
      </w:r>
      <w:r w:rsidR="00B36400" w:rsidRPr="00FC406F">
        <w:rPr>
          <w:sz w:val="18"/>
          <w:szCs w:val="18"/>
        </w:rPr>
        <w:t>.</w:t>
      </w:r>
    </w:p>
    <w:p w14:paraId="5C27C271" w14:textId="77777777" w:rsidR="00B36400" w:rsidRPr="00FC406F" w:rsidRDefault="00B36400" w:rsidP="003313D4">
      <w:pPr>
        <w:pStyle w:val="ListParagraph"/>
        <w:jc w:val="both"/>
        <w:rPr>
          <w:sz w:val="18"/>
          <w:szCs w:val="18"/>
        </w:rPr>
      </w:pPr>
    </w:p>
    <w:p w14:paraId="7C5B4210" w14:textId="77777777" w:rsidR="00B36400" w:rsidRPr="00FC406F" w:rsidRDefault="00D671AD" w:rsidP="007B75D6">
      <w:pPr>
        <w:pStyle w:val="ListParagraph"/>
        <w:ind w:left="360" w:right="360"/>
        <w:jc w:val="both"/>
        <w:rPr>
          <w:sz w:val="18"/>
          <w:szCs w:val="18"/>
        </w:rPr>
      </w:pPr>
      <w:r w:rsidRPr="00FC406F">
        <w:rPr>
          <w:sz w:val="18"/>
          <w:szCs w:val="18"/>
        </w:rPr>
        <w:t xml:space="preserve">When this limit is </w:t>
      </w:r>
      <w:r w:rsidR="00C36D54" w:rsidRPr="00FC406F">
        <w:rPr>
          <w:sz w:val="18"/>
          <w:szCs w:val="18"/>
        </w:rPr>
        <w:t>overst</w:t>
      </w:r>
      <w:r w:rsidR="00F33037" w:rsidRPr="00FC406F">
        <w:rPr>
          <w:sz w:val="18"/>
          <w:szCs w:val="18"/>
        </w:rPr>
        <w:t>epped, the probable influence e</w:t>
      </w:r>
      <w:r w:rsidR="005E38FE" w:rsidRPr="00FC406F">
        <w:rPr>
          <w:sz w:val="18"/>
          <w:szCs w:val="18"/>
        </w:rPr>
        <w:t>xerted by said publications on shaping</w:t>
      </w:r>
      <w:r w:rsidR="00F33037" w:rsidRPr="00FC406F">
        <w:rPr>
          <w:sz w:val="18"/>
          <w:szCs w:val="18"/>
        </w:rPr>
        <w:t xml:space="preserve"> the voters’ p</w:t>
      </w:r>
      <w:r w:rsidR="00C36D54" w:rsidRPr="00FC406F">
        <w:rPr>
          <w:sz w:val="18"/>
          <w:szCs w:val="18"/>
        </w:rPr>
        <w:t>olitical</w:t>
      </w:r>
      <w:r w:rsidR="00F33037" w:rsidRPr="00FC406F">
        <w:rPr>
          <w:sz w:val="18"/>
          <w:szCs w:val="18"/>
        </w:rPr>
        <w:t xml:space="preserve"> opinion</w:t>
      </w:r>
      <w:r w:rsidR="00C36D54" w:rsidRPr="00FC406F">
        <w:rPr>
          <w:sz w:val="18"/>
          <w:szCs w:val="18"/>
        </w:rPr>
        <w:t xml:space="preserve"> can</w:t>
      </w:r>
      <w:r w:rsidR="00563CDB" w:rsidRPr="00FC406F">
        <w:rPr>
          <w:sz w:val="18"/>
          <w:szCs w:val="18"/>
        </w:rPr>
        <w:t xml:space="preserve"> no longer be justified by the C</w:t>
      </w:r>
      <w:r w:rsidR="00C36D54" w:rsidRPr="00FC406F">
        <w:rPr>
          <w:sz w:val="18"/>
          <w:szCs w:val="18"/>
        </w:rPr>
        <w:t>onstitution, but exactly when the boundary is crossed cannot be ascertained in general. It depends, above all, on the number and scope of the measures, the proximity to the election period, and the intensity of the electoral campaign</w:t>
      </w:r>
      <w:r w:rsidR="00B36400" w:rsidRPr="00FC406F">
        <w:rPr>
          <w:sz w:val="18"/>
          <w:szCs w:val="18"/>
        </w:rPr>
        <w:t xml:space="preserve">. </w:t>
      </w:r>
      <w:r w:rsidR="00C36D54" w:rsidRPr="00FC406F">
        <w:rPr>
          <w:sz w:val="18"/>
          <w:szCs w:val="18"/>
        </w:rPr>
        <w:t xml:space="preserve">The closer the publications are to the start of the “hot phase” of the campaigning, the fewer are </w:t>
      </w:r>
      <w:r w:rsidR="00563CDB" w:rsidRPr="00FC406F">
        <w:rPr>
          <w:sz w:val="18"/>
          <w:szCs w:val="18"/>
        </w:rPr>
        <w:t xml:space="preserve">the </w:t>
      </w:r>
      <w:r w:rsidR="00C36D54" w:rsidRPr="00FC406F">
        <w:rPr>
          <w:sz w:val="18"/>
          <w:szCs w:val="18"/>
        </w:rPr>
        <w:t>possibilities of dismissing their impacts on the outcome of the election. Because of that, here the government’s duty and competence of providing citizens with objective information on past political facts, events, and achievements must be confined, to the extent possible, to supporting the duty to continu</w:t>
      </w:r>
      <w:r w:rsidR="00563CDB" w:rsidRPr="00FC406F">
        <w:rPr>
          <w:sz w:val="18"/>
          <w:szCs w:val="18"/>
        </w:rPr>
        <w:t>e</w:t>
      </w:r>
      <w:r w:rsidR="00C36D54" w:rsidRPr="00FC406F">
        <w:rPr>
          <w:sz w:val="18"/>
          <w:szCs w:val="18"/>
        </w:rPr>
        <w:t xml:space="preserve"> </w:t>
      </w:r>
      <w:r w:rsidR="00171A33" w:rsidRPr="00FC406F">
        <w:rPr>
          <w:sz w:val="18"/>
          <w:szCs w:val="18"/>
        </w:rPr>
        <w:t>shaping</w:t>
      </w:r>
      <w:r w:rsidR="00C36D54" w:rsidRPr="00FC406F">
        <w:rPr>
          <w:sz w:val="18"/>
          <w:szCs w:val="18"/>
        </w:rPr>
        <w:t xml:space="preserve"> the people’s the will for the elections without state intrusion. The federal government’s obligation to r</w:t>
      </w:r>
      <w:r w:rsidR="00171A33" w:rsidRPr="00FC406F">
        <w:rPr>
          <w:sz w:val="18"/>
          <w:szCs w:val="18"/>
        </w:rPr>
        <w:t>efrain from exerting any partisa</w:t>
      </w:r>
      <w:r w:rsidR="00C36D54" w:rsidRPr="00FC406F">
        <w:rPr>
          <w:sz w:val="18"/>
          <w:szCs w:val="18"/>
        </w:rPr>
        <w:t>n influence in the elections must ultimately lead</w:t>
      </w:r>
      <w:r w:rsidR="00171A33" w:rsidRPr="00FC406F">
        <w:rPr>
          <w:sz w:val="18"/>
          <w:szCs w:val="18"/>
        </w:rPr>
        <w:t xml:space="preserve"> </w:t>
      </w:r>
      <w:r w:rsidR="00563CDB" w:rsidRPr="00FC406F">
        <w:rPr>
          <w:sz w:val="18"/>
          <w:szCs w:val="18"/>
        </w:rPr>
        <w:t xml:space="preserve">to </w:t>
      </w:r>
      <w:r w:rsidR="00171A33" w:rsidRPr="00FC406F">
        <w:rPr>
          <w:sz w:val="18"/>
          <w:szCs w:val="18"/>
        </w:rPr>
        <w:t>the utmost moderation and the banning of any work of transparency on the basis of the state’s assets in the shape of so-called working reports, performance reports, or results reports. In the “hot phase of the electoral campaign,” this type of publication general</w:t>
      </w:r>
      <w:r w:rsidR="00563CDB" w:rsidRPr="00FC406F">
        <w:rPr>
          <w:sz w:val="18"/>
          <w:szCs w:val="18"/>
        </w:rPr>
        <w:t>ly</w:t>
      </w:r>
      <w:r w:rsidR="00171A33" w:rsidRPr="00FC406F">
        <w:rPr>
          <w:sz w:val="18"/>
          <w:szCs w:val="18"/>
        </w:rPr>
        <w:t xml:space="preserve"> acquires the character of partisan means of advertising in the electoral contest, which the government is forbidden to engage in, according to the Constitution</w:t>
      </w:r>
      <w:r w:rsidR="00B36400" w:rsidRPr="00FC406F">
        <w:rPr>
          <w:sz w:val="18"/>
          <w:szCs w:val="18"/>
        </w:rPr>
        <w:t xml:space="preserve"> (…) </w:t>
      </w:r>
    </w:p>
    <w:p w14:paraId="540257EC" w14:textId="77777777" w:rsidR="00B36400" w:rsidRPr="00FC406F" w:rsidRDefault="00B36400" w:rsidP="007B75D6">
      <w:pPr>
        <w:pStyle w:val="ListParagraph"/>
        <w:ind w:right="360"/>
        <w:jc w:val="both"/>
        <w:rPr>
          <w:sz w:val="18"/>
          <w:szCs w:val="18"/>
        </w:rPr>
      </w:pPr>
    </w:p>
    <w:p w14:paraId="78F3D92A" w14:textId="77777777" w:rsidR="00B36400" w:rsidRPr="00FC406F" w:rsidRDefault="00563CDB" w:rsidP="007B75D6">
      <w:pPr>
        <w:pStyle w:val="ListParagraph"/>
        <w:ind w:left="360" w:right="360"/>
        <w:jc w:val="both"/>
        <w:rPr>
          <w:sz w:val="18"/>
          <w:szCs w:val="18"/>
        </w:rPr>
      </w:pPr>
      <w:r w:rsidRPr="00FC406F">
        <w:rPr>
          <w:sz w:val="18"/>
          <w:szCs w:val="18"/>
        </w:rPr>
        <w:t xml:space="preserve">Which </w:t>
      </w:r>
      <w:r w:rsidR="00171A33" w:rsidRPr="00FC406F">
        <w:rPr>
          <w:sz w:val="18"/>
          <w:szCs w:val="18"/>
        </w:rPr>
        <w:t>also might indicate that there is a partisan intrusion in the electoral campaign if the federal government public</w:t>
      </w:r>
      <w:r w:rsidRPr="00FC406F">
        <w:rPr>
          <w:sz w:val="18"/>
          <w:szCs w:val="18"/>
        </w:rPr>
        <w:t>ly</w:t>
      </w:r>
      <w:r w:rsidR="00171A33" w:rsidRPr="00FC406F">
        <w:rPr>
          <w:sz w:val="18"/>
          <w:szCs w:val="18"/>
        </w:rPr>
        <w:t xml:space="preserve"> states its intent to “remain in office,” because it is providin</w:t>
      </w:r>
      <w:r w:rsidRPr="00FC406F">
        <w:rPr>
          <w:sz w:val="18"/>
          <w:szCs w:val="18"/>
        </w:rPr>
        <w:t>g positive reports about what it</w:t>
      </w:r>
      <w:r w:rsidR="00171A33" w:rsidRPr="00FC406F">
        <w:rPr>
          <w:sz w:val="18"/>
          <w:szCs w:val="18"/>
        </w:rPr>
        <w:t xml:space="preserve"> has fulfilled and achieved during its administration, and thus it is assuring that it is the only one that can offer guarantees for a safe future and it is doing that during the pre-election period</w:t>
      </w:r>
      <w:r w:rsidR="00B36400" w:rsidRPr="00FC406F">
        <w:rPr>
          <w:sz w:val="18"/>
          <w:szCs w:val="18"/>
        </w:rPr>
        <w:t xml:space="preserve">. (…) </w:t>
      </w:r>
      <w:r w:rsidR="00171A33" w:rsidRPr="00FC406F">
        <w:rPr>
          <w:sz w:val="18"/>
          <w:szCs w:val="18"/>
        </w:rPr>
        <w:t>In the period prior to the elections, using government funds in the amount of 10 million German marks, the federal government made a series of large-scale announcements in newspapers and magazines, violating the principle of neutrality, which exerted a partisan impact on the federal elections.</w:t>
      </w:r>
      <w:r w:rsidR="00B36400" w:rsidRPr="00FC406F">
        <w:rPr>
          <w:sz w:val="18"/>
          <w:szCs w:val="18"/>
          <w:vertAlign w:val="superscript"/>
        </w:rPr>
        <w:footnoteReference w:id="53"/>
      </w:r>
    </w:p>
    <w:p w14:paraId="3DDF17B2" w14:textId="77777777" w:rsidR="00B36400" w:rsidRPr="00FC406F" w:rsidRDefault="00B36400" w:rsidP="00B36400">
      <w:pPr>
        <w:pStyle w:val="parrafos"/>
        <w:ind w:left="0" w:firstLine="0"/>
      </w:pPr>
    </w:p>
    <w:p w14:paraId="329CCFD2" w14:textId="77777777" w:rsidR="00B36400" w:rsidRPr="00FC406F" w:rsidRDefault="00171A33" w:rsidP="00031C34">
      <w:pPr>
        <w:pStyle w:val="parrafos"/>
        <w:numPr>
          <w:ilvl w:val="0"/>
          <w:numId w:val="54"/>
        </w:numPr>
        <w:tabs>
          <w:tab w:val="clear" w:pos="1440"/>
        </w:tabs>
        <w:ind w:left="0" w:firstLine="0"/>
      </w:pPr>
      <w:r w:rsidRPr="00FC406F">
        <w:t xml:space="preserve">The </w:t>
      </w:r>
      <w:r w:rsidRPr="00FC406F">
        <w:rPr>
          <w:i/>
        </w:rPr>
        <w:t>Constitutional Court of Guatemala,</w:t>
      </w:r>
      <w:r w:rsidRPr="00FC406F">
        <w:t xml:space="preserve"> in one case, also declared that the former spouse of the President in office at the time, could not participate as a candidate to the presidency, </w:t>
      </w:r>
      <w:r w:rsidR="00563CDB" w:rsidRPr="00FC406F">
        <w:t>as</w:t>
      </w:r>
      <w:r w:rsidR="005F288A" w:rsidRPr="00FC406F">
        <w:t xml:space="preserve"> Article 186(</w:t>
      </w:r>
      <w:r w:rsidRPr="00FC406F">
        <w:t>c) of the Consti</w:t>
      </w:r>
      <w:r w:rsidR="006C1C88" w:rsidRPr="00FC406F">
        <w:t>tution establishes that no kin up to</w:t>
      </w:r>
      <w:r w:rsidRPr="00FC406F">
        <w:t xml:space="preserve"> the fourth degree of consanguinity and se</w:t>
      </w:r>
      <w:r w:rsidR="00EF7183" w:rsidRPr="00FC406F">
        <w:t>cond degree of affinity to the p</w:t>
      </w:r>
      <w:r w:rsidRPr="00FC406F">
        <w:t>r</w:t>
      </w:r>
      <w:r w:rsidR="00EF7183" w:rsidRPr="00FC406F">
        <w:t>esident or vice-p</w:t>
      </w:r>
      <w:r w:rsidRPr="00FC406F">
        <w:t>resident of the Republic</w:t>
      </w:r>
      <w:r w:rsidR="008D2A0C" w:rsidRPr="00FC406F">
        <w:t xml:space="preserve"> when he or she is currently in office can stand as</w:t>
      </w:r>
      <w:r w:rsidR="00EF7183" w:rsidRPr="00FC406F">
        <w:t xml:space="preserve"> a candidate for the office of president or vice-p</w:t>
      </w:r>
      <w:r w:rsidR="008D2A0C" w:rsidRPr="00FC406F">
        <w:t>resident of the Republic. In said ruling, it made observations that are relevant to the instant case</w:t>
      </w:r>
      <w:r w:rsidR="00B36400" w:rsidRPr="00FC406F">
        <w:t>:</w:t>
      </w:r>
    </w:p>
    <w:p w14:paraId="44DD820E" w14:textId="77777777" w:rsidR="00B36400" w:rsidRPr="00FC406F" w:rsidRDefault="00B36400" w:rsidP="00B36400">
      <w:pPr>
        <w:pStyle w:val="ListParagraph"/>
      </w:pPr>
    </w:p>
    <w:p w14:paraId="00D339F7" w14:textId="77777777" w:rsidR="00B36400" w:rsidRPr="00FC406F" w:rsidRDefault="00B36400" w:rsidP="007B75D6">
      <w:pPr>
        <w:pStyle w:val="ListParagraph"/>
        <w:ind w:left="360" w:right="360"/>
        <w:jc w:val="both"/>
        <w:rPr>
          <w:sz w:val="18"/>
          <w:szCs w:val="18"/>
        </w:rPr>
      </w:pPr>
      <w:r w:rsidRPr="00FC406F">
        <w:rPr>
          <w:sz w:val="18"/>
          <w:szCs w:val="18"/>
        </w:rPr>
        <w:t xml:space="preserve">(…) </w:t>
      </w:r>
      <w:r w:rsidR="008D2A0C" w:rsidRPr="00FC406F">
        <w:rPr>
          <w:sz w:val="18"/>
          <w:szCs w:val="18"/>
        </w:rPr>
        <w:t xml:space="preserve">since the middle of the past century until now, there has been a ban on those who are next of kin of the </w:t>
      </w:r>
      <w:r w:rsidR="00EF7183" w:rsidRPr="00FC406F">
        <w:rPr>
          <w:sz w:val="18"/>
          <w:szCs w:val="18"/>
        </w:rPr>
        <w:t>president of the r</w:t>
      </w:r>
      <w:r w:rsidR="008D2A0C" w:rsidRPr="00FC406F">
        <w:rPr>
          <w:sz w:val="18"/>
          <w:szCs w:val="18"/>
        </w:rPr>
        <w:t>epublic to stand for election to this office</w:t>
      </w:r>
      <w:r w:rsidRPr="00FC406F">
        <w:rPr>
          <w:sz w:val="18"/>
          <w:szCs w:val="18"/>
        </w:rPr>
        <w:t xml:space="preserve">. </w:t>
      </w:r>
      <w:r w:rsidR="008D2A0C" w:rsidRPr="00FC406F">
        <w:rPr>
          <w:sz w:val="18"/>
          <w:szCs w:val="18"/>
        </w:rPr>
        <w:t xml:space="preserve">It </w:t>
      </w:r>
      <w:r w:rsidR="007C79DA" w:rsidRPr="00FC406F">
        <w:rPr>
          <w:sz w:val="18"/>
          <w:szCs w:val="18"/>
        </w:rPr>
        <w:t xml:space="preserve">is </w:t>
      </w:r>
      <w:r w:rsidR="008D2A0C" w:rsidRPr="00FC406F">
        <w:rPr>
          <w:sz w:val="18"/>
          <w:szCs w:val="18"/>
        </w:rPr>
        <w:t>also relevant here to infer that the drafters of thos</w:t>
      </w:r>
      <w:r w:rsidR="00250C32" w:rsidRPr="00FC406F">
        <w:rPr>
          <w:sz w:val="18"/>
          <w:szCs w:val="18"/>
        </w:rPr>
        <w:t xml:space="preserve">e texts intended to prevent </w:t>
      </w:r>
      <w:r w:rsidR="008D2A0C" w:rsidRPr="00FC406F">
        <w:rPr>
          <w:sz w:val="18"/>
          <w:szCs w:val="18"/>
        </w:rPr>
        <w:t xml:space="preserve">dynastic </w:t>
      </w:r>
      <w:r w:rsidR="00250C32" w:rsidRPr="00FC406F">
        <w:rPr>
          <w:sz w:val="18"/>
          <w:szCs w:val="18"/>
        </w:rPr>
        <w:t>succession</w:t>
      </w:r>
      <w:r w:rsidR="008D2A0C" w:rsidRPr="00FC406F">
        <w:rPr>
          <w:sz w:val="18"/>
          <w:szCs w:val="18"/>
        </w:rPr>
        <w:t xml:space="preserve"> or ne</w:t>
      </w:r>
      <w:r w:rsidR="00EF7183" w:rsidRPr="00FC406F">
        <w:rPr>
          <w:sz w:val="18"/>
          <w:szCs w:val="18"/>
        </w:rPr>
        <w:t>potism regarding the office of president of the r</w:t>
      </w:r>
      <w:r w:rsidR="008D2A0C" w:rsidRPr="00FC406F">
        <w:rPr>
          <w:sz w:val="18"/>
          <w:szCs w:val="18"/>
        </w:rPr>
        <w:t xml:space="preserve">epublic and to thus uphold the principle of </w:t>
      </w:r>
      <w:r w:rsidR="006D564A" w:rsidRPr="00FC406F">
        <w:rPr>
          <w:sz w:val="18"/>
          <w:szCs w:val="18"/>
        </w:rPr>
        <w:t>political rotation for</w:t>
      </w:r>
      <w:r w:rsidR="008D2A0C" w:rsidRPr="00FC406F">
        <w:rPr>
          <w:sz w:val="18"/>
          <w:szCs w:val="18"/>
        </w:rPr>
        <w:t xml:space="preserve"> the above-mentioned office. </w:t>
      </w:r>
      <w:r w:rsidR="002A0BCB" w:rsidRPr="00FC406F">
        <w:rPr>
          <w:sz w:val="18"/>
          <w:szCs w:val="18"/>
        </w:rPr>
        <w:t xml:space="preserve">Contemporary world history and modern trends in history have been advocating the above-mentioned principle, so as to prevent undue </w:t>
      </w:r>
      <w:r w:rsidR="0071792E" w:rsidRPr="00FC406F">
        <w:rPr>
          <w:sz w:val="18"/>
          <w:szCs w:val="18"/>
        </w:rPr>
        <w:t>prolongations in the exercise of power</w:t>
      </w:r>
      <w:r w:rsidR="002C7910" w:rsidRPr="00FC406F">
        <w:rPr>
          <w:sz w:val="18"/>
          <w:szCs w:val="18"/>
        </w:rPr>
        <w:t>, which of course foster the emergence of dictatorships in which the right to live in an authentic democracy is notori</w:t>
      </w:r>
      <w:r w:rsidR="00EF7183" w:rsidRPr="00FC406F">
        <w:rPr>
          <w:sz w:val="18"/>
          <w:szCs w:val="18"/>
        </w:rPr>
        <w:t>ously constrained, and the same holds true for</w:t>
      </w:r>
      <w:r w:rsidR="002C7910" w:rsidRPr="00FC406F">
        <w:rPr>
          <w:sz w:val="18"/>
          <w:szCs w:val="18"/>
        </w:rPr>
        <w:t xml:space="preserve"> basic rights the adequate enjoyment of which is to be guaranteed in a democratic regime</w:t>
      </w:r>
      <w:r w:rsidRPr="00FC406F">
        <w:rPr>
          <w:sz w:val="18"/>
          <w:szCs w:val="18"/>
        </w:rPr>
        <w:t xml:space="preserve">. </w:t>
      </w:r>
    </w:p>
    <w:p w14:paraId="42637B44" w14:textId="77777777" w:rsidR="00B36400" w:rsidRPr="00FC406F" w:rsidRDefault="00B36400" w:rsidP="007B75D6">
      <w:pPr>
        <w:pStyle w:val="ListParagraph"/>
        <w:ind w:left="360" w:right="360"/>
        <w:jc w:val="both"/>
        <w:rPr>
          <w:sz w:val="18"/>
          <w:szCs w:val="18"/>
        </w:rPr>
      </w:pPr>
    </w:p>
    <w:p w14:paraId="7D7CC4EE" w14:textId="77777777" w:rsidR="00B36400" w:rsidRPr="00FC406F" w:rsidRDefault="00B36400" w:rsidP="007B75D6">
      <w:pPr>
        <w:pStyle w:val="ListParagraph"/>
        <w:ind w:left="360" w:right="360"/>
        <w:jc w:val="both"/>
        <w:rPr>
          <w:sz w:val="18"/>
          <w:szCs w:val="18"/>
        </w:rPr>
      </w:pPr>
      <w:r w:rsidRPr="00FC406F">
        <w:rPr>
          <w:sz w:val="18"/>
          <w:szCs w:val="18"/>
        </w:rPr>
        <w:t xml:space="preserve">(…) </w:t>
      </w:r>
      <w:r w:rsidR="00606CB6" w:rsidRPr="00FC406F">
        <w:rPr>
          <w:sz w:val="18"/>
          <w:szCs w:val="18"/>
        </w:rPr>
        <w:t>When applying this method of interpretation</w:t>
      </w:r>
      <w:r w:rsidRPr="00FC406F">
        <w:rPr>
          <w:sz w:val="18"/>
          <w:szCs w:val="18"/>
        </w:rPr>
        <w:t xml:space="preserve"> (</w:t>
      </w:r>
      <w:r w:rsidR="00250C32" w:rsidRPr="00FC406F">
        <w:rPr>
          <w:sz w:val="18"/>
          <w:szCs w:val="18"/>
        </w:rPr>
        <w:t>purposive</w:t>
      </w:r>
      <w:r w:rsidRPr="00FC406F">
        <w:rPr>
          <w:sz w:val="18"/>
          <w:szCs w:val="18"/>
        </w:rPr>
        <w:t xml:space="preserve">) </w:t>
      </w:r>
      <w:r w:rsidR="00E87AF8" w:rsidRPr="00FC406F">
        <w:rPr>
          <w:sz w:val="18"/>
          <w:szCs w:val="18"/>
        </w:rPr>
        <w:t>to the contents of subparagraph</w:t>
      </w:r>
      <w:r w:rsidRPr="00FC406F">
        <w:rPr>
          <w:sz w:val="18"/>
          <w:szCs w:val="18"/>
        </w:rPr>
        <w:t xml:space="preserve"> </w:t>
      </w:r>
      <w:r w:rsidR="005F288A" w:rsidRPr="00FC406F">
        <w:rPr>
          <w:sz w:val="18"/>
          <w:szCs w:val="18"/>
        </w:rPr>
        <w:t>(</w:t>
      </w:r>
      <w:r w:rsidRPr="00FC406F">
        <w:rPr>
          <w:sz w:val="18"/>
          <w:szCs w:val="18"/>
        </w:rPr>
        <w:t xml:space="preserve">c) </w:t>
      </w:r>
      <w:r w:rsidR="00E87AF8" w:rsidRPr="00FC406F">
        <w:rPr>
          <w:sz w:val="18"/>
          <w:szCs w:val="18"/>
        </w:rPr>
        <w:t xml:space="preserve">of Article 186 of the Constitution, the same conclusion was reached as the one drawn by </w:t>
      </w:r>
      <w:r w:rsidR="005F288A" w:rsidRPr="00FC406F">
        <w:rPr>
          <w:sz w:val="18"/>
          <w:szCs w:val="18"/>
        </w:rPr>
        <w:t xml:space="preserve">the </w:t>
      </w:r>
      <w:r w:rsidR="00E87AF8" w:rsidRPr="00FC406F">
        <w:rPr>
          <w:sz w:val="18"/>
          <w:szCs w:val="18"/>
        </w:rPr>
        <w:t>Constitutional Court on the same principle in the advisory opinion of the sixteenth of November nineteen hundred eighty nine (case file</w:t>
      </w:r>
      <w:r w:rsidRPr="00FC406F">
        <w:rPr>
          <w:sz w:val="18"/>
          <w:szCs w:val="18"/>
        </w:rPr>
        <w:t xml:space="preserve"> 212-89), </w:t>
      </w:r>
      <w:r w:rsidR="00E87AF8" w:rsidRPr="00FC406F">
        <w:rPr>
          <w:sz w:val="18"/>
          <w:szCs w:val="18"/>
        </w:rPr>
        <w:t>which deals with the ban contained in this subparagraph which the constitutional law</w:t>
      </w:r>
      <w:r w:rsidR="000B0B80" w:rsidRPr="00FC406F">
        <w:rPr>
          <w:sz w:val="18"/>
          <w:szCs w:val="18"/>
        </w:rPr>
        <w:t>maker instituted for the purpose of preventing the</w:t>
      </w:r>
      <w:r w:rsidR="00E87AF8" w:rsidRPr="00FC406F">
        <w:rPr>
          <w:sz w:val="18"/>
          <w:szCs w:val="18"/>
        </w:rPr>
        <w:t xml:space="preserve"> dynastic or nepotism-based transmission of power and </w:t>
      </w:r>
      <w:r w:rsidR="005F288A" w:rsidRPr="00FC406F">
        <w:rPr>
          <w:sz w:val="18"/>
          <w:szCs w:val="18"/>
        </w:rPr>
        <w:t>prevent</w:t>
      </w:r>
      <w:r w:rsidR="000B0B80" w:rsidRPr="00FC406F">
        <w:rPr>
          <w:sz w:val="18"/>
          <w:szCs w:val="18"/>
        </w:rPr>
        <w:t>ing</w:t>
      </w:r>
      <w:r w:rsidR="00E87AF8" w:rsidRPr="00FC406F">
        <w:rPr>
          <w:sz w:val="18"/>
          <w:szCs w:val="18"/>
        </w:rPr>
        <w:t xml:space="preserve"> a candidate</w:t>
      </w:r>
      <w:r w:rsidR="000B0B80" w:rsidRPr="00FC406F">
        <w:rPr>
          <w:sz w:val="18"/>
          <w:szCs w:val="18"/>
        </w:rPr>
        <w:t xml:space="preserve"> who is</w:t>
      </w:r>
      <w:r w:rsidR="00E87AF8" w:rsidRPr="00FC406F">
        <w:rPr>
          <w:sz w:val="18"/>
          <w:szCs w:val="18"/>
        </w:rPr>
        <w:t xml:space="preserve"> standing for an elected office by universal suffrage </w:t>
      </w:r>
      <w:r w:rsidR="005F288A" w:rsidRPr="00FC406F">
        <w:rPr>
          <w:sz w:val="18"/>
          <w:szCs w:val="18"/>
        </w:rPr>
        <w:t>from participating</w:t>
      </w:r>
      <w:r w:rsidR="00E87AF8" w:rsidRPr="00FC406F">
        <w:rPr>
          <w:sz w:val="18"/>
          <w:szCs w:val="18"/>
        </w:rPr>
        <w:t xml:space="preserve"> in an election under conditions of superiority compared to other candidates, with a clear breach of the principle of equality adopted by the democratic system.</w:t>
      </w:r>
      <w:r w:rsidRPr="00FC406F">
        <w:rPr>
          <w:rStyle w:val="FootnoteReference"/>
          <w:sz w:val="18"/>
          <w:szCs w:val="18"/>
        </w:rPr>
        <w:footnoteReference w:id="54"/>
      </w:r>
    </w:p>
    <w:p w14:paraId="369BD2FA" w14:textId="77777777" w:rsidR="00B36400" w:rsidRPr="00FC406F" w:rsidRDefault="00B36400" w:rsidP="00B36400">
      <w:pPr>
        <w:pStyle w:val="parrafos"/>
        <w:ind w:left="0" w:firstLine="0"/>
      </w:pPr>
    </w:p>
    <w:p w14:paraId="12F985AF" w14:textId="77777777" w:rsidR="00B36400" w:rsidRPr="00FC406F" w:rsidRDefault="007D2EDF" w:rsidP="00031C34">
      <w:pPr>
        <w:pStyle w:val="parrafos"/>
        <w:numPr>
          <w:ilvl w:val="0"/>
          <w:numId w:val="54"/>
        </w:numPr>
        <w:tabs>
          <w:tab w:val="clear" w:pos="1440"/>
        </w:tabs>
        <w:ind w:left="0" w:firstLine="0"/>
      </w:pPr>
      <w:r w:rsidRPr="00FC406F">
        <w:t>Furthermore, in connection with presidential reelection, th</w:t>
      </w:r>
      <w:r w:rsidR="005F288A" w:rsidRPr="00FC406F">
        <w:t>e IACHR notes that it has been regulated</w:t>
      </w:r>
      <w:r w:rsidRPr="00FC406F">
        <w:t xml:space="preserve"> in various ways by states in the region, with the establishment </w:t>
      </w:r>
      <w:r w:rsidR="00EF7183" w:rsidRPr="00FC406F">
        <w:t xml:space="preserve">of absolute bans </w:t>
      </w:r>
      <w:r w:rsidRPr="00FC406F">
        <w:t>in certain systems, relative bans on continuous or consecutive reelection</w:t>
      </w:r>
      <w:r w:rsidR="00EF7183" w:rsidRPr="00FC406F">
        <w:t xml:space="preserve"> in others</w:t>
      </w:r>
      <w:r w:rsidRPr="00FC406F">
        <w:t>, allowing one or two reelections at the most</w:t>
      </w:r>
      <w:r w:rsidR="00EF7183" w:rsidRPr="00FC406F">
        <w:t xml:space="preserve"> in others</w:t>
      </w:r>
      <w:r w:rsidRPr="00FC406F">
        <w:t>, and allowing presidential reelections without any limits</w:t>
      </w:r>
      <w:r w:rsidR="00EF7183" w:rsidRPr="00FC406F">
        <w:t xml:space="preserve"> in yet other systems</w:t>
      </w:r>
      <w:r w:rsidRPr="00FC406F">
        <w:t>.</w:t>
      </w:r>
      <w:r w:rsidR="00B36400" w:rsidRPr="00FC406F">
        <w:rPr>
          <w:rStyle w:val="FootnoteReference"/>
        </w:rPr>
        <w:footnoteReference w:id="55"/>
      </w:r>
      <w:r w:rsidRPr="00FC406F">
        <w:t xml:space="preserve"> The IACHR underscores that, in the present case, there is no need to conduct an abstract review of each system and its compatibility with the </w:t>
      </w:r>
      <w:r w:rsidRPr="00FC406F">
        <w:lastRenderedPageBreak/>
        <w:t>American Convention, but rather to examine the reasons and conditions for which the electoral process might lead to a breach of the right of a ca</w:t>
      </w:r>
      <w:r w:rsidR="00D62916" w:rsidRPr="00FC406F">
        <w:t>ndidate to participate on equal terms</w:t>
      </w:r>
      <w:r w:rsidRPr="00FC406F">
        <w:t>. Regarding this, reference has been made to various national bodies and courts, on the basis of the terms indicated below.</w:t>
      </w:r>
    </w:p>
    <w:p w14:paraId="098A3B48" w14:textId="77777777" w:rsidR="00B36400" w:rsidRPr="00FC406F" w:rsidRDefault="00B36400" w:rsidP="00B36400">
      <w:pPr>
        <w:pStyle w:val="parrafos"/>
        <w:ind w:left="0" w:firstLine="0"/>
      </w:pPr>
    </w:p>
    <w:p w14:paraId="1710EF2F" w14:textId="77777777" w:rsidR="00B36400" w:rsidRPr="00FC406F" w:rsidRDefault="002B6EDD" w:rsidP="00031C34">
      <w:pPr>
        <w:pStyle w:val="parrafos"/>
        <w:numPr>
          <w:ilvl w:val="0"/>
          <w:numId w:val="54"/>
        </w:numPr>
        <w:tabs>
          <w:tab w:val="clear" w:pos="1440"/>
        </w:tabs>
        <w:ind w:left="0" w:firstLine="0"/>
      </w:pPr>
      <w:r w:rsidRPr="00FC406F">
        <w:t xml:space="preserve">Regarding this, the </w:t>
      </w:r>
      <w:r w:rsidRPr="00FC406F">
        <w:rPr>
          <w:i/>
        </w:rPr>
        <w:t>Venice Commission,</w:t>
      </w:r>
      <w:r w:rsidRPr="00FC406F">
        <w:t xml:space="preserve"> in its report on term-limits for presidents, stated the following</w:t>
      </w:r>
      <w:r w:rsidR="00B36400" w:rsidRPr="00FC406F">
        <w:t>:</w:t>
      </w:r>
    </w:p>
    <w:p w14:paraId="7FB4901F" w14:textId="77777777" w:rsidR="00B36400" w:rsidRPr="00FC406F" w:rsidRDefault="00B36400" w:rsidP="00B36400">
      <w:pPr>
        <w:pStyle w:val="ListParagraph"/>
      </w:pPr>
    </w:p>
    <w:p w14:paraId="4D0A025A" w14:textId="77777777" w:rsidR="00B36400" w:rsidRPr="00FC406F" w:rsidRDefault="00B36400" w:rsidP="007B75D6">
      <w:pPr>
        <w:pStyle w:val="ListParagraph"/>
        <w:ind w:right="360"/>
        <w:jc w:val="both"/>
        <w:rPr>
          <w:sz w:val="18"/>
          <w:szCs w:val="18"/>
        </w:rPr>
      </w:pPr>
      <w:r w:rsidRPr="00FC406F">
        <w:rPr>
          <w:sz w:val="18"/>
          <w:szCs w:val="18"/>
        </w:rPr>
        <w:t>83. (…)</w:t>
      </w:r>
      <w:r w:rsidR="00E87D23" w:rsidRPr="00FC406F">
        <w:rPr>
          <w:sz w:val="18"/>
          <w:szCs w:val="18"/>
        </w:rPr>
        <w:t xml:space="preserve"> [I]t seems that the circumstances that generated the most common restriction to the right to stand for office (for example, the need to prevent incumbents from taking advantage of their position in order to remain in power or abuse state’s resources, persist in most contemporary democracies</w:t>
      </w:r>
      <w:r w:rsidRPr="00FC406F">
        <w:rPr>
          <w:sz w:val="18"/>
          <w:szCs w:val="18"/>
        </w:rPr>
        <w:t>.</w:t>
      </w:r>
    </w:p>
    <w:p w14:paraId="140911BC" w14:textId="77777777" w:rsidR="00B36400" w:rsidRPr="00FC406F" w:rsidRDefault="00B36400" w:rsidP="007B75D6">
      <w:pPr>
        <w:pStyle w:val="ListParagraph"/>
        <w:ind w:right="360"/>
        <w:jc w:val="both"/>
        <w:rPr>
          <w:sz w:val="18"/>
          <w:szCs w:val="18"/>
        </w:rPr>
      </w:pPr>
    </w:p>
    <w:p w14:paraId="3AFA275F" w14:textId="77777777" w:rsidR="00B36400" w:rsidRPr="00FC406F" w:rsidRDefault="00B36400" w:rsidP="007B75D6">
      <w:pPr>
        <w:pStyle w:val="ListParagraph"/>
        <w:ind w:right="360"/>
        <w:jc w:val="both"/>
        <w:rPr>
          <w:sz w:val="18"/>
          <w:szCs w:val="18"/>
        </w:rPr>
      </w:pPr>
      <w:r w:rsidRPr="00FC406F">
        <w:rPr>
          <w:sz w:val="18"/>
          <w:szCs w:val="18"/>
        </w:rPr>
        <w:t xml:space="preserve">85. </w:t>
      </w:r>
      <w:r w:rsidR="00E87D23" w:rsidRPr="00FC406F">
        <w:rPr>
          <w:sz w:val="18"/>
          <w:szCs w:val="18"/>
        </w:rPr>
        <w:t>At any rate, as long as there is no theoretical, international or constitutional foundation to recognize re-election as a human right, it should be conceived as an autonomous clause, linked with the right to political participation and of the right to stand for election. In any case, term limits or other limitations of the right to run for office in different ways, for example, prohibiting re-election of political officers, restricting the number of consecutive terms an official can serve or forbidding consecutive re-election of any public official, impose restrictions on the human right to political participation. As such, they must be justified by a legitimate aim, be necessary in a democratic society, and be reasonable</w:t>
      </w:r>
      <w:r w:rsidRPr="00FC406F">
        <w:rPr>
          <w:sz w:val="18"/>
          <w:szCs w:val="18"/>
        </w:rPr>
        <w:t>.</w:t>
      </w:r>
    </w:p>
    <w:p w14:paraId="29C54BB1" w14:textId="77777777" w:rsidR="00B36400" w:rsidRPr="00FC406F" w:rsidRDefault="00B36400" w:rsidP="007B75D6">
      <w:pPr>
        <w:pStyle w:val="ListParagraph"/>
        <w:ind w:right="360"/>
        <w:jc w:val="both"/>
        <w:rPr>
          <w:sz w:val="18"/>
          <w:szCs w:val="18"/>
        </w:rPr>
      </w:pPr>
    </w:p>
    <w:p w14:paraId="10F59986" w14:textId="77777777" w:rsidR="00B36400" w:rsidRPr="00FC406F" w:rsidRDefault="00B36400" w:rsidP="007B75D6">
      <w:pPr>
        <w:pStyle w:val="ListParagraph"/>
        <w:ind w:right="360"/>
        <w:jc w:val="both"/>
        <w:rPr>
          <w:sz w:val="18"/>
          <w:szCs w:val="18"/>
        </w:rPr>
      </w:pPr>
      <w:r w:rsidRPr="00FC406F">
        <w:rPr>
          <w:sz w:val="18"/>
          <w:szCs w:val="18"/>
        </w:rPr>
        <w:t xml:space="preserve">127. </w:t>
      </w:r>
      <w:r w:rsidR="00E87D23" w:rsidRPr="00FC406F">
        <w:rPr>
          <w:sz w:val="18"/>
          <w:szCs w:val="18"/>
        </w:rPr>
        <w:t>Presidential term limits are entrenched in the Constitution; a constitutional amendment is therefore required to modify them. Only the people who have lawful sovereign power can modify the scope of authority which they gave to the president. A decision to alter or remove presidential term limits should be subject to thorough public scrutiny and debate, and should fully respect the relevant constitutional and legal procedures.</w:t>
      </w:r>
    </w:p>
    <w:p w14:paraId="390F6373" w14:textId="77777777" w:rsidR="00B36400" w:rsidRPr="00FC406F" w:rsidRDefault="00B36400" w:rsidP="007B75D6">
      <w:pPr>
        <w:pStyle w:val="ListParagraph"/>
        <w:ind w:right="360"/>
        <w:jc w:val="both"/>
        <w:rPr>
          <w:sz w:val="18"/>
          <w:szCs w:val="18"/>
        </w:rPr>
      </w:pPr>
    </w:p>
    <w:p w14:paraId="1E670E58" w14:textId="77777777" w:rsidR="002B6EDD" w:rsidRPr="00FC406F" w:rsidRDefault="00B36400" w:rsidP="007B75D6">
      <w:pPr>
        <w:pStyle w:val="ListParagraph"/>
        <w:ind w:right="360"/>
        <w:jc w:val="both"/>
        <w:rPr>
          <w:sz w:val="18"/>
          <w:szCs w:val="18"/>
        </w:rPr>
      </w:pPr>
      <w:r w:rsidRPr="00FC406F">
        <w:rPr>
          <w:sz w:val="18"/>
          <w:szCs w:val="18"/>
        </w:rPr>
        <w:t>128.</w:t>
      </w:r>
      <w:r w:rsidR="00EA1669" w:rsidRPr="00FC406F">
        <w:rPr>
          <w:sz w:val="18"/>
          <w:szCs w:val="18"/>
        </w:rPr>
        <w:t xml:space="preserve"> </w:t>
      </w:r>
      <w:r w:rsidR="002B6EDD" w:rsidRPr="00FC406F">
        <w:rPr>
          <w:sz w:val="18"/>
          <w:szCs w:val="18"/>
        </w:rPr>
        <w:t>To the extent that constitutional amendments strengthening or prolonging the power of high offices of state are proposed, such amendments (if enacted) should have effect only for future holders of the office, not for the incumbent.</w:t>
      </w:r>
    </w:p>
    <w:p w14:paraId="729DF818" w14:textId="77777777" w:rsidR="002B6EDD" w:rsidRPr="00FC406F" w:rsidRDefault="002B6EDD" w:rsidP="007B75D6">
      <w:pPr>
        <w:pStyle w:val="ListParagraph"/>
        <w:ind w:right="360"/>
        <w:jc w:val="both"/>
        <w:rPr>
          <w:sz w:val="18"/>
          <w:szCs w:val="18"/>
        </w:rPr>
      </w:pPr>
    </w:p>
    <w:p w14:paraId="31439E6A" w14:textId="77777777" w:rsidR="00B36400" w:rsidRPr="00FC406F" w:rsidRDefault="00B36400" w:rsidP="007B75D6">
      <w:pPr>
        <w:pStyle w:val="ListParagraph"/>
        <w:ind w:right="360"/>
        <w:jc w:val="both"/>
        <w:rPr>
          <w:sz w:val="18"/>
          <w:szCs w:val="18"/>
        </w:rPr>
      </w:pPr>
      <w:r w:rsidRPr="00FC406F">
        <w:rPr>
          <w:sz w:val="18"/>
          <w:szCs w:val="18"/>
        </w:rPr>
        <w:t xml:space="preserve">130. </w:t>
      </w:r>
      <w:r w:rsidR="002B6EDD" w:rsidRPr="00FC406F">
        <w:rPr>
          <w:sz w:val="18"/>
          <w:szCs w:val="18"/>
        </w:rPr>
        <w:t>As regards the possible role of Constitutional or Supreme courts, they should intervene after the relevant amendment has been adopted by the constitutional legislator pursuant to the relevant, special constitutional requirements. The possibility for the Court to carry out a substantive a posteriori review that the amendment adopted is not in breach of “unamendable” provisions or principles should only be exercised in those countries where it already follows from clear and established doctrine, and even there with care, allowing a margin of appreciation for the constitutional legislator.</w:t>
      </w:r>
      <w:r w:rsidRPr="00FC406F">
        <w:rPr>
          <w:sz w:val="18"/>
          <w:szCs w:val="18"/>
          <w:vertAlign w:val="superscript"/>
        </w:rPr>
        <w:footnoteReference w:id="56"/>
      </w:r>
    </w:p>
    <w:p w14:paraId="0A211F5A" w14:textId="77777777" w:rsidR="00B36400" w:rsidRPr="00FC406F" w:rsidRDefault="00B36400" w:rsidP="00B36400">
      <w:pPr>
        <w:pStyle w:val="parrafos"/>
        <w:ind w:left="0" w:firstLine="0"/>
      </w:pPr>
    </w:p>
    <w:p w14:paraId="33BC872E" w14:textId="77777777" w:rsidR="00B36400" w:rsidRPr="00FC406F" w:rsidRDefault="00E87AF8" w:rsidP="00031C34">
      <w:pPr>
        <w:pStyle w:val="parrafos"/>
        <w:numPr>
          <w:ilvl w:val="0"/>
          <w:numId w:val="54"/>
        </w:numPr>
        <w:tabs>
          <w:tab w:val="clear" w:pos="1440"/>
        </w:tabs>
        <w:ind w:left="0" w:firstLine="0"/>
      </w:pPr>
      <w:r w:rsidRPr="00FC406F">
        <w:t xml:space="preserve">As for the </w:t>
      </w:r>
      <w:r w:rsidRPr="00FC406F">
        <w:rPr>
          <w:i/>
        </w:rPr>
        <w:t>Constitutional Court</w:t>
      </w:r>
      <w:r w:rsidR="00EF7183" w:rsidRPr="00FC406F">
        <w:rPr>
          <w:i/>
        </w:rPr>
        <w:t xml:space="preserve"> of Colombia</w:t>
      </w:r>
      <w:r w:rsidRPr="00FC406F">
        <w:rPr>
          <w:i/>
        </w:rPr>
        <w:t>,</w:t>
      </w:r>
      <w:r w:rsidRPr="00FC406F">
        <w:t xml:space="preserve"> in its judgment </w:t>
      </w:r>
      <w:r w:rsidR="00B36400" w:rsidRPr="00FC406F">
        <w:rPr>
          <w:i/>
        </w:rPr>
        <w:t>C 141-2010</w:t>
      </w:r>
      <w:r w:rsidRPr="00FC406F">
        <w:t xml:space="preserve">, it ruled that convening a constitutional referendum proposing an amendment </w:t>
      </w:r>
      <w:r w:rsidR="00804ACB" w:rsidRPr="00FC406F">
        <w:t xml:space="preserve">to </w:t>
      </w:r>
      <w:r w:rsidRPr="00FC406F">
        <w:t>the Constitution</w:t>
      </w:r>
      <w:r w:rsidR="00804ACB" w:rsidRPr="00FC406F">
        <w:t xml:space="preserve"> which would read as follows</w:t>
      </w:r>
      <w:r w:rsidRPr="00FC406F">
        <w:t xml:space="preserve"> was unconstitutional</w:t>
      </w:r>
      <w:r w:rsidR="00B36400" w:rsidRPr="00FC406F">
        <w:t>: “</w:t>
      </w:r>
      <w:r w:rsidRPr="00FC406F">
        <w:t xml:space="preserve">whoever has been elected </w:t>
      </w:r>
      <w:r w:rsidR="00F53BBB" w:rsidRPr="00FC406F">
        <w:t>to be the president of the r</w:t>
      </w:r>
      <w:r w:rsidRPr="00FC406F">
        <w:t xml:space="preserve">epublic for two constitutional terms of office </w:t>
      </w:r>
      <w:r w:rsidR="00804ACB" w:rsidRPr="00FC406F">
        <w:t>can only be elected for one other term of office.</w:t>
      </w:r>
      <w:r w:rsidR="00B36400" w:rsidRPr="00FC406F">
        <w:t xml:space="preserve">” </w:t>
      </w:r>
      <w:r w:rsidR="00804ACB" w:rsidRPr="00FC406F">
        <w:t>Regarding this the Court underscored the risks to democracy stemming from prol</w:t>
      </w:r>
      <w:r w:rsidR="00250C32" w:rsidRPr="00FC406F">
        <w:t>onged reelections, especially in those cases where</w:t>
      </w:r>
      <w:r w:rsidR="00804ACB" w:rsidRPr="00FC406F">
        <w:t xml:space="preserve"> the President has the authority to appoint officials in </w:t>
      </w:r>
      <w:r w:rsidR="000B0B80" w:rsidRPr="00FC406F">
        <w:t>monitoring</w:t>
      </w:r>
      <w:r w:rsidR="00804ACB" w:rsidRPr="00FC406F">
        <w:t xml:space="preserve"> bodies and the judicial branch of government</w:t>
      </w:r>
      <w:r w:rsidR="00B36400" w:rsidRPr="00FC406F">
        <w:t xml:space="preserve">. </w:t>
      </w:r>
      <w:r w:rsidR="00804ACB" w:rsidRPr="00FC406F">
        <w:t xml:space="preserve">It also highlighted the advantageous position that arises from </w:t>
      </w:r>
      <w:r w:rsidR="00F53BBB" w:rsidRPr="00FC406F">
        <w:t xml:space="preserve">holding a </w:t>
      </w:r>
      <w:r w:rsidR="00804ACB" w:rsidRPr="00FC406F">
        <w:t>public office and participating in an electoral contest on the basis of the following terms</w:t>
      </w:r>
      <w:r w:rsidR="00B36400" w:rsidRPr="00FC406F">
        <w:t>:</w:t>
      </w:r>
    </w:p>
    <w:p w14:paraId="629AAE20" w14:textId="77777777" w:rsidR="00B36400" w:rsidRPr="00FC406F" w:rsidRDefault="00B36400" w:rsidP="00B36400">
      <w:pPr>
        <w:pStyle w:val="parrafos"/>
        <w:ind w:left="0" w:firstLine="0"/>
      </w:pPr>
    </w:p>
    <w:p w14:paraId="6316E73A" w14:textId="77777777" w:rsidR="00B36400" w:rsidRPr="00FC406F" w:rsidRDefault="00B36400" w:rsidP="007B75D6">
      <w:pPr>
        <w:pStyle w:val="ListParagraph"/>
        <w:ind w:left="360" w:right="360"/>
        <w:jc w:val="both"/>
        <w:rPr>
          <w:sz w:val="18"/>
          <w:szCs w:val="18"/>
        </w:rPr>
      </w:pPr>
      <w:r w:rsidRPr="00FC406F">
        <w:rPr>
          <w:sz w:val="18"/>
          <w:szCs w:val="18"/>
        </w:rPr>
        <w:t xml:space="preserve">(…) </w:t>
      </w:r>
      <w:r w:rsidR="00804ACB" w:rsidRPr="00FC406F">
        <w:rPr>
          <w:sz w:val="18"/>
          <w:szCs w:val="18"/>
        </w:rPr>
        <w:t xml:space="preserve">if the </w:t>
      </w:r>
      <w:r w:rsidR="00F53BBB" w:rsidRPr="00FC406F">
        <w:rPr>
          <w:sz w:val="18"/>
          <w:szCs w:val="18"/>
        </w:rPr>
        <w:t>p</w:t>
      </w:r>
      <w:r w:rsidR="00804ACB" w:rsidRPr="00FC406F">
        <w:rPr>
          <w:sz w:val="18"/>
          <w:szCs w:val="18"/>
        </w:rPr>
        <w:t>resident were reelected for a second time, his or her term of office would extend for four more years, for a total number of twelve years, a lapse of time which, in addition to widely exceeding the limits that, according to institutional practice and history in C</w:t>
      </w:r>
      <w:r w:rsidR="00761BCF" w:rsidRPr="00FC406F">
        <w:rPr>
          <w:sz w:val="18"/>
          <w:szCs w:val="18"/>
        </w:rPr>
        <w:t xml:space="preserve">olombia, has been the </w:t>
      </w:r>
      <w:r w:rsidR="000B0B80" w:rsidRPr="00FC406F">
        <w:rPr>
          <w:sz w:val="18"/>
          <w:szCs w:val="18"/>
        </w:rPr>
        <w:t>long</w:t>
      </w:r>
      <w:r w:rsidR="00761BCF" w:rsidRPr="00FC406F">
        <w:rPr>
          <w:sz w:val="18"/>
          <w:szCs w:val="18"/>
        </w:rPr>
        <w:t>est attempted in a presidential system subject to rules that prevent its deterioration, would have an impact on the institutional balanc</w:t>
      </w:r>
      <w:r w:rsidR="00F53BBB" w:rsidRPr="00FC406F">
        <w:rPr>
          <w:sz w:val="18"/>
          <w:szCs w:val="18"/>
        </w:rPr>
        <w:t>e achieved by coordinating the p</w:t>
      </w:r>
      <w:r w:rsidR="00761BCF" w:rsidRPr="00FC406F">
        <w:rPr>
          <w:sz w:val="18"/>
          <w:szCs w:val="18"/>
        </w:rPr>
        <w:t>resident’s term of office with those of other senior state officials, as well as on the renewal of the political model and on the principle of rotation in office</w:t>
      </w:r>
      <w:r w:rsidRPr="00FC406F">
        <w:rPr>
          <w:sz w:val="18"/>
          <w:szCs w:val="18"/>
        </w:rPr>
        <w:t>.</w:t>
      </w:r>
    </w:p>
    <w:p w14:paraId="00B1819A" w14:textId="77777777" w:rsidR="00B36400" w:rsidRPr="00FC406F" w:rsidRDefault="00B36400" w:rsidP="007B75D6">
      <w:pPr>
        <w:pStyle w:val="ListParagraph"/>
        <w:ind w:left="360" w:right="360"/>
        <w:jc w:val="both"/>
        <w:rPr>
          <w:sz w:val="18"/>
          <w:szCs w:val="18"/>
        </w:rPr>
      </w:pPr>
    </w:p>
    <w:p w14:paraId="34C5A924" w14:textId="77777777" w:rsidR="00B36400" w:rsidRPr="00FC406F" w:rsidRDefault="00B36400" w:rsidP="007B75D6">
      <w:pPr>
        <w:pStyle w:val="ListParagraph"/>
        <w:ind w:left="360" w:right="360"/>
        <w:jc w:val="both"/>
        <w:rPr>
          <w:sz w:val="18"/>
          <w:szCs w:val="18"/>
        </w:rPr>
      </w:pPr>
      <w:r w:rsidRPr="00FC406F">
        <w:rPr>
          <w:sz w:val="18"/>
          <w:szCs w:val="18"/>
        </w:rPr>
        <w:t>(…)</w:t>
      </w:r>
      <w:r w:rsidR="00340B09" w:rsidRPr="00FC406F">
        <w:rPr>
          <w:sz w:val="18"/>
          <w:szCs w:val="18"/>
        </w:rPr>
        <w:t xml:space="preserve"> the eventual leng</w:t>
      </w:r>
      <w:r w:rsidR="00F53BBB" w:rsidRPr="00FC406F">
        <w:rPr>
          <w:sz w:val="18"/>
          <w:szCs w:val="18"/>
        </w:rPr>
        <w:t>thening of the p</w:t>
      </w:r>
      <w:r w:rsidR="00761BCF" w:rsidRPr="00FC406F">
        <w:rPr>
          <w:sz w:val="18"/>
          <w:szCs w:val="18"/>
        </w:rPr>
        <w:t>resident’s term of o</w:t>
      </w:r>
      <w:r w:rsidR="000B0B80" w:rsidRPr="00FC406F">
        <w:rPr>
          <w:sz w:val="18"/>
          <w:szCs w:val="18"/>
        </w:rPr>
        <w:t xml:space="preserve">ffice up to twelve years entails </w:t>
      </w:r>
      <w:r w:rsidR="00F53BBB" w:rsidRPr="00FC406F">
        <w:rPr>
          <w:sz w:val="18"/>
          <w:szCs w:val="18"/>
        </w:rPr>
        <w:t>upsetting</w:t>
      </w:r>
      <w:r w:rsidR="00761BCF" w:rsidRPr="00FC406F">
        <w:rPr>
          <w:sz w:val="18"/>
          <w:szCs w:val="18"/>
        </w:rPr>
        <w:t xml:space="preserve"> the equilib</w:t>
      </w:r>
      <w:r w:rsidR="00F53BBB" w:rsidRPr="00FC406F">
        <w:rPr>
          <w:sz w:val="18"/>
          <w:szCs w:val="18"/>
        </w:rPr>
        <w:t>rium between the figure of the head of s</w:t>
      </w:r>
      <w:r w:rsidR="00761BCF" w:rsidRPr="00FC406F">
        <w:rPr>
          <w:sz w:val="18"/>
          <w:szCs w:val="18"/>
        </w:rPr>
        <w:t>tate with t</w:t>
      </w:r>
      <w:r w:rsidR="00D85802" w:rsidRPr="00FC406F">
        <w:rPr>
          <w:sz w:val="18"/>
          <w:szCs w:val="18"/>
        </w:rPr>
        <w:t>he relevant powers vested in hi</w:t>
      </w:r>
      <w:r w:rsidR="00761BCF" w:rsidRPr="00FC406F">
        <w:rPr>
          <w:sz w:val="18"/>
          <w:szCs w:val="18"/>
        </w:rPr>
        <w:t>m or her by the presidential system of government, whose powers to appoint are reinforced and whose term of office coincides with those of the officials of variou</w:t>
      </w:r>
      <w:r w:rsidR="000B0B80" w:rsidRPr="00FC406F">
        <w:rPr>
          <w:sz w:val="18"/>
          <w:szCs w:val="18"/>
        </w:rPr>
        <w:t>s monitoring</w:t>
      </w:r>
      <w:r w:rsidR="00761BCF" w:rsidRPr="00FC406F">
        <w:rPr>
          <w:sz w:val="18"/>
          <w:szCs w:val="18"/>
        </w:rPr>
        <w:t xml:space="preserve"> and judicial bodies that he </w:t>
      </w:r>
      <w:r w:rsidR="00F25CBB" w:rsidRPr="00FC406F">
        <w:rPr>
          <w:sz w:val="18"/>
          <w:szCs w:val="18"/>
        </w:rPr>
        <w:t xml:space="preserve">or she </w:t>
      </w:r>
      <w:r w:rsidR="00761BCF" w:rsidRPr="00FC406F">
        <w:rPr>
          <w:sz w:val="18"/>
          <w:szCs w:val="18"/>
        </w:rPr>
        <w:t xml:space="preserve">appointed or were elected from short lists proposed by him or her, with regard to the role that these </w:t>
      </w:r>
      <w:r w:rsidR="000B0B80" w:rsidRPr="00FC406F">
        <w:rPr>
          <w:sz w:val="18"/>
          <w:szCs w:val="18"/>
        </w:rPr>
        <w:t>monitoring</w:t>
      </w:r>
      <w:r w:rsidR="00761BCF" w:rsidRPr="00FC406F">
        <w:rPr>
          <w:sz w:val="18"/>
          <w:szCs w:val="18"/>
        </w:rPr>
        <w:t xml:space="preserve"> bodies in charge of ensuring the system of </w:t>
      </w:r>
      <w:r w:rsidR="00761BCF" w:rsidRPr="00FC406F">
        <w:rPr>
          <w:sz w:val="18"/>
          <w:szCs w:val="18"/>
        </w:rPr>
        <w:lastRenderedPageBreak/>
        <w:t>checks and balances for the presidential power would perform</w:t>
      </w:r>
      <w:r w:rsidRPr="00FC406F">
        <w:rPr>
          <w:sz w:val="18"/>
          <w:szCs w:val="18"/>
        </w:rPr>
        <w:t xml:space="preserve">. </w:t>
      </w:r>
      <w:r w:rsidR="00761BCF" w:rsidRPr="00FC406F">
        <w:rPr>
          <w:sz w:val="18"/>
          <w:szCs w:val="18"/>
        </w:rPr>
        <w:t>A</w:t>
      </w:r>
      <w:r w:rsidR="00F53BBB" w:rsidRPr="00FC406F">
        <w:rPr>
          <w:sz w:val="18"/>
          <w:szCs w:val="18"/>
        </w:rPr>
        <w:t>s such, a p</w:t>
      </w:r>
      <w:r w:rsidR="00761BCF" w:rsidRPr="00FC406F">
        <w:rPr>
          <w:sz w:val="18"/>
          <w:szCs w:val="18"/>
        </w:rPr>
        <w:t>resident who is a member of a political party</w:t>
      </w:r>
      <w:r w:rsidR="00F53BBB" w:rsidRPr="00FC406F">
        <w:rPr>
          <w:sz w:val="18"/>
          <w:szCs w:val="18"/>
        </w:rPr>
        <w:t xml:space="preserve"> who has secured a majority in c</w:t>
      </w:r>
      <w:r w:rsidR="00761BCF" w:rsidRPr="00FC406F">
        <w:rPr>
          <w:sz w:val="18"/>
          <w:szCs w:val="18"/>
        </w:rPr>
        <w:t>ongress would manage to control not only the executive and legislative branches of government, but also the judicial branch and autonomous and independent institutions such as the Bank of the Republic and the National Television Commission</w:t>
      </w:r>
      <w:r w:rsidRPr="00FC406F">
        <w:rPr>
          <w:sz w:val="18"/>
          <w:szCs w:val="18"/>
        </w:rPr>
        <w:t>, precis</w:t>
      </w:r>
      <w:r w:rsidR="00761BCF" w:rsidRPr="00FC406F">
        <w:rPr>
          <w:sz w:val="18"/>
          <w:szCs w:val="18"/>
        </w:rPr>
        <w:t>ely by virtue of the authority to appoint described above.</w:t>
      </w:r>
    </w:p>
    <w:p w14:paraId="1DF6ACC3" w14:textId="77777777" w:rsidR="00B36400" w:rsidRPr="00FC406F" w:rsidRDefault="00B36400" w:rsidP="007B75D6">
      <w:pPr>
        <w:pStyle w:val="ListParagraph"/>
        <w:ind w:right="360"/>
        <w:jc w:val="both"/>
        <w:rPr>
          <w:sz w:val="18"/>
          <w:szCs w:val="18"/>
        </w:rPr>
      </w:pPr>
    </w:p>
    <w:p w14:paraId="1B4E7C49" w14:textId="77777777" w:rsidR="00B36400" w:rsidRPr="00FC406F" w:rsidRDefault="00B36400" w:rsidP="007B75D6">
      <w:pPr>
        <w:pStyle w:val="ListParagraph"/>
        <w:ind w:left="360" w:right="360"/>
        <w:jc w:val="both"/>
        <w:rPr>
          <w:sz w:val="18"/>
          <w:szCs w:val="18"/>
        </w:rPr>
      </w:pPr>
      <w:r w:rsidRPr="00FC406F">
        <w:rPr>
          <w:sz w:val="18"/>
          <w:szCs w:val="18"/>
        </w:rPr>
        <w:t xml:space="preserve">(…) </w:t>
      </w:r>
      <w:r w:rsidR="00761BCF" w:rsidRPr="00FC406F">
        <w:rPr>
          <w:sz w:val="18"/>
          <w:szCs w:val="18"/>
        </w:rPr>
        <w:t xml:space="preserve">The second immediate reelection would also have direct consequences for the relationship between the executive branch and </w:t>
      </w:r>
      <w:r w:rsidR="00F53BBB" w:rsidRPr="00FC406F">
        <w:rPr>
          <w:sz w:val="18"/>
          <w:szCs w:val="18"/>
        </w:rPr>
        <w:t>the legislative branch because c</w:t>
      </w:r>
      <w:r w:rsidR="00352D44" w:rsidRPr="00FC406F">
        <w:rPr>
          <w:sz w:val="18"/>
          <w:szCs w:val="18"/>
        </w:rPr>
        <w:t xml:space="preserve">ongress is renewed in its </w:t>
      </w:r>
      <w:r w:rsidR="00761BCF" w:rsidRPr="00FC406F">
        <w:rPr>
          <w:sz w:val="18"/>
          <w:szCs w:val="18"/>
        </w:rPr>
        <w:t>entirety</w:t>
      </w:r>
      <w:r w:rsidR="00F53BBB" w:rsidRPr="00FC406F">
        <w:rPr>
          <w:sz w:val="18"/>
          <w:szCs w:val="18"/>
        </w:rPr>
        <w:t xml:space="preserve"> every four years, whereas the p</w:t>
      </w:r>
      <w:r w:rsidR="00761BCF" w:rsidRPr="00FC406F">
        <w:rPr>
          <w:sz w:val="18"/>
          <w:szCs w:val="18"/>
        </w:rPr>
        <w:t xml:space="preserve">resident </w:t>
      </w:r>
      <w:r w:rsidR="00B141EA" w:rsidRPr="00FC406F">
        <w:rPr>
          <w:sz w:val="18"/>
          <w:szCs w:val="18"/>
        </w:rPr>
        <w:t xml:space="preserve">would be able to stay in power for twelve years. It is clear that, owing to the presidential system of government adopted by the 1991 Constitution, a </w:t>
      </w:r>
      <w:r w:rsidR="00F53BBB" w:rsidRPr="00FC406F">
        <w:rPr>
          <w:sz w:val="18"/>
          <w:szCs w:val="18"/>
        </w:rPr>
        <w:t>p</w:t>
      </w:r>
      <w:r w:rsidR="00B141EA" w:rsidRPr="00FC406F">
        <w:rPr>
          <w:sz w:val="18"/>
          <w:szCs w:val="18"/>
        </w:rPr>
        <w:t>resident elected by universal suffrage can exert a decisive influence on the structure of the legislative branch, so that political parties that pledge their support</w:t>
      </w:r>
      <w:r w:rsidR="00F53BBB" w:rsidRPr="00FC406F">
        <w:rPr>
          <w:sz w:val="18"/>
          <w:szCs w:val="18"/>
        </w:rPr>
        <w:t xml:space="preserve"> to the p</w:t>
      </w:r>
      <w:r w:rsidR="00F25CBB" w:rsidRPr="00FC406F">
        <w:rPr>
          <w:sz w:val="18"/>
          <w:szCs w:val="18"/>
        </w:rPr>
        <w:t>resident</w:t>
      </w:r>
      <w:r w:rsidR="00B141EA" w:rsidRPr="00FC406F">
        <w:rPr>
          <w:sz w:val="18"/>
          <w:szCs w:val="18"/>
        </w:rPr>
        <w:t xml:space="preserve"> may ob</w:t>
      </w:r>
      <w:r w:rsidR="00F53BBB" w:rsidRPr="00FC406F">
        <w:rPr>
          <w:sz w:val="18"/>
          <w:szCs w:val="18"/>
        </w:rPr>
        <w:t>tain significant majorities in c</w:t>
      </w:r>
      <w:r w:rsidR="00B141EA" w:rsidRPr="00FC406F">
        <w:rPr>
          <w:sz w:val="18"/>
          <w:szCs w:val="18"/>
        </w:rPr>
        <w:t>ongress</w:t>
      </w:r>
      <w:r w:rsidRPr="00FC406F">
        <w:rPr>
          <w:sz w:val="18"/>
          <w:szCs w:val="18"/>
        </w:rPr>
        <w:t>.</w:t>
      </w:r>
    </w:p>
    <w:p w14:paraId="2D02CAA2" w14:textId="77777777" w:rsidR="00B36400" w:rsidRPr="00FC406F" w:rsidRDefault="00B36400" w:rsidP="007B75D6">
      <w:pPr>
        <w:pStyle w:val="ListParagraph"/>
        <w:ind w:left="360" w:right="360"/>
        <w:jc w:val="both"/>
        <w:rPr>
          <w:sz w:val="18"/>
          <w:szCs w:val="18"/>
        </w:rPr>
      </w:pPr>
    </w:p>
    <w:p w14:paraId="5F247D55" w14:textId="77777777" w:rsidR="00B36400" w:rsidRPr="00FC406F" w:rsidRDefault="00B36400" w:rsidP="007B75D6">
      <w:pPr>
        <w:pStyle w:val="ListParagraph"/>
        <w:ind w:left="360" w:right="360"/>
        <w:jc w:val="both"/>
        <w:rPr>
          <w:sz w:val="18"/>
          <w:szCs w:val="18"/>
        </w:rPr>
      </w:pPr>
      <w:r w:rsidRPr="00FC406F">
        <w:rPr>
          <w:sz w:val="18"/>
          <w:szCs w:val="18"/>
        </w:rPr>
        <w:t xml:space="preserve">(…) </w:t>
      </w:r>
      <w:r w:rsidR="00B141EA" w:rsidRPr="00FC406F">
        <w:rPr>
          <w:sz w:val="18"/>
          <w:szCs w:val="18"/>
        </w:rPr>
        <w:t>The prolon</w:t>
      </w:r>
      <w:r w:rsidR="00F53BBB" w:rsidRPr="00FC406F">
        <w:rPr>
          <w:sz w:val="18"/>
          <w:szCs w:val="18"/>
        </w:rPr>
        <w:t>ged permanence of the p</w:t>
      </w:r>
      <w:r w:rsidR="00B141EA" w:rsidRPr="00FC406F">
        <w:rPr>
          <w:sz w:val="18"/>
          <w:szCs w:val="18"/>
        </w:rPr>
        <w:t>resident in office implies a similar permanence of the political party, movement, or coalition supporting the presidency, so that the continuation of persons or ideologies favorable to the state would thereby be consolidated</w:t>
      </w:r>
      <w:r w:rsidRPr="00FC406F">
        <w:rPr>
          <w:sz w:val="18"/>
          <w:szCs w:val="18"/>
        </w:rPr>
        <w:t xml:space="preserve">. </w:t>
      </w:r>
      <w:r w:rsidR="00B141EA" w:rsidRPr="00FC406F">
        <w:rPr>
          <w:sz w:val="18"/>
          <w:szCs w:val="18"/>
        </w:rPr>
        <w:t>This continuation entails a high risk of installing a hegemony, characterized specifically in the practical instatement of a system interested in ensuring the self-preservation of the model being advocated and</w:t>
      </w:r>
      <w:r w:rsidR="00F25CBB" w:rsidRPr="00FC406F">
        <w:rPr>
          <w:sz w:val="18"/>
          <w:szCs w:val="18"/>
        </w:rPr>
        <w:t xml:space="preserve"> the perpetuation of a regime</w:t>
      </w:r>
      <w:r w:rsidR="00B141EA" w:rsidRPr="00FC406F">
        <w:rPr>
          <w:sz w:val="18"/>
          <w:szCs w:val="18"/>
        </w:rPr>
        <w:t xml:space="preserve"> which, over time, tends to augment the decision-making role of the leader and the </w:t>
      </w:r>
      <w:r w:rsidR="00DB6E40" w:rsidRPr="00FC406F">
        <w:rPr>
          <w:sz w:val="18"/>
          <w:szCs w:val="18"/>
        </w:rPr>
        <w:t>glorification</w:t>
      </w:r>
      <w:r w:rsidR="00B141EA" w:rsidRPr="00FC406F">
        <w:rPr>
          <w:sz w:val="18"/>
          <w:szCs w:val="18"/>
        </w:rPr>
        <w:t xml:space="preserve"> of his </w:t>
      </w:r>
      <w:r w:rsidR="00DB6E40" w:rsidRPr="00FC406F">
        <w:rPr>
          <w:sz w:val="18"/>
          <w:szCs w:val="18"/>
        </w:rPr>
        <w:t xml:space="preserve">or her </w:t>
      </w:r>
      <w:r w:rsidR="00B141EA" w:rsidRPr="00FC406F">
        <w:rPr>
          <w:sz w:val="18"/>
          <w:szCs w:val="18"/>
        </w:rPr>
        <w:t xml:space="preserve">individual qualities, to the </w:t>
      </w:r>
      <w:r w:rsidR="00F53BBB" w:rsidRPr="00FC406F">
        <w:rPr>
          <w:sz w:val="18"/>
          <w:szCs w:val="18"/>
        </w:rPr>
        <w:t>point</w:t>
      </w:r>
      <w:r w:rsidR="00B141EA" w:rsidRPr="00FC406F">
        <w:rPr>
          <w:sz w:val="18"/>
          <w:szCs w:val="18"/>
        </w:rPr>
        <w:t xml:space="preserve"> of increasingly creating a kind of charismatic legitimacy supported by a prevailing majority and teams established to </w:t>
      </w:r>
      <w:r w:rsidR="00F53BBB" w:rsidRPr="00FC406F">
        <w:rPr>
          <w:sz w:val="18"/>
          <w:szCs w:val="18"/>
        </w:rPr>
        <w:t>perform</w:t>
      </w:r>
      <w:r w:rsidR="00B141EA" w:rsidRPr="00FC406F">
        <w:rPr>
          <w:sz w:val="18"/>
          <w:szCs w:val="18"/>
        </w:rPr>
        <w:t xml:space="preserve"> government tasks.</w:t>
      </w:r>
    </w:p>
    <w:p w14:paraId="15E90B39" w14:textId="77777777" w:rsidR="00B36400" w:rsidRPr="00FC406F" w:rsidRDefault="00B36400" w:rsidP="007B75D6">
      <w:pPr>
        <w:pStyle w:val="ListParagraph"/>
        <w:ind w:right="360"/>
        <w:jc w:val="both"/>
        <w:rPr>
          <w:sz w:val="18"/>
          <w:szCs w:val="18"/>
        </w:rPr>
      </w:pPr>
    </w:p>
    <w:p w14:paraId="286043B4" w14:textId="77777777" w:rsidR="007B75D6" w:rsidRDefault="00B36400" w:rsidP="007B75D6">
      <w:pPr>
        <w:pStyle w:val="ListParagraph"/>
        <w:ind w:left="360" w:right="360"/>
        <w:jc w:val="both"/>
        <w:rPr>
          <w:sz w:val="18"/>
          <w:szCs w:val="18"/>
        </w:rPr>
      </w:pPr>
      <w:r w:rsidRPr="00FC406F">
        <w:rPr>
          <w:sz w:val="18"/>
          <w:szCs w:val="18"/>
        </w:rPr>
        <w:t xml:space="preserve">(…) </w:t>
      </w:r>
      <w:r w:rsidR="00B141EA" w:rsidRPr="00FC406F">
        <w:rPr>
          <w:sz w:val="18"/>
          <w:szCs w:val="18"/>
        </w:rPr>
        <w:t xml:space="preserve">Suffice </w:t>
      </w:r>
      <w:r w:rsidR="00352D44" w:rsidRPr="00FC406F">
        <w:rPr>
          <w:sz w:val="18"/>
          <w:szCs w:val="18"/>
        </w:rPr>
        <w:t xml:space="preserve">it </w:t>
      </w:r>
      <w:r w:rsidR="00B141EA" w:rsidRPr="00FC406F">
        <w:rPr>
          <w:sz w:val="18"/>
          <w:szCs w:val="18"/>
        </w:rPr>
        <w:t xml:space="preserve">to add that, along with equality of treatment and within the </w:t>
      </w:r>
      <w:r w:rsidR="00352D44" w:rsidRPr="00FC406F">
        <w:rPr>
          <w:sz w:val="18"/>
          <w:szCs w:val="18"/>
        </w:rPr>
        <w:t>set of conditions that have been observed during the presidential campaign, equality of opportunitie</w:t>
      </w:r>
      <w:r w:rsidR="00F25CBB" w:rsidRPr="00FC406F">
        <w:rPr>
          <w:sz w:val="18"/>
          <w:szCs w:val="18"/>
        </w:rPr>
        <w:t>s also plays a noteworthy role, because of which</w:t>
      </w:r>
      <w:r w:rsidR="00352D44" w:rsidRPr="00FC406F">
        <w:rPr>
          <w:sz w:val="18"/>
          <w:szCs w:val="18"/>
        </w:rPr>
        <w:t xml:space="preserve"> an attempt is made to ensure that all candidates start off on a level playing field and that, in the electoral contest, their own specific capacities are taken into account to transmit their message to the voters, without the presence of unfair advantages that place some of them in a privileged or more favorable situation than </w:t>
      </w:r>
      <w:r w:rsidR="00F25CBB" w:rsidRPr="00FC406F">
        <w:rPr>
          <w:sz w:val="18"/>
          <w:szCs w:val="18"/>
        </w:rPr>
        <w:t xml:space="preserve">that enjoyed by </w:t>
      </w:r>
      <w:r w:rsidR="00352D44" w:rsidRPr="00FC406F">
        <w:rPr>
          <w:sz w:val="18"/>
          <w:szCs w:val="18"/>
        </w:rPr>
        <w:t>the other candidates</w:t>
      </w:r>
      <w:r w:rsidRPr="00FC406F">
        <w:rPr>
          <w:sz w:val="18"/>
          <w:szCs w:val="18"/>
        </w:rPr>
        <w:t>.</w:t>
      </w:r>
    </w:p>
    <w:p w14:paraId="10121A7F" w14:textId="77777777" w:rsidR="007B75D6" w:rsidRDefault="007B75D6" w:rsidP="007B75D6">
      <w:pPr>
        <w:pStyle w:val="ListParagraph"/>
        <w:ind w:left="360" w:right="360"/>
        <w:jc w:val="both"/>
        <w:rPr>
          <w:sz w:val="18"/>
          <w:szCs w:val="18"/>
        </w:rPr>
      </w:pPr>
    </w:p>
    <w:p w14:paraId="218F4644" w14:textId="77777777" w:rsidR="00B36400" w:rsidRPr="007B75D6" w:rsidRDefault="00B36400" w:rsidP="007B75D6">
      <w:pPr>
        <w:pStyle w:val="ListParagraph"/>
        <w:ind w:left="360" w:right="360"/>
        <w:jc w:val="both"/>
        <w:rPr>
          <w:sz w:val="18"/>
          <w:szCs w:val="18"/>
        </w:rPr>
      </w:pPr>
      <w:r w:rsidRPr="007B75D6">
        <w:rPr>
          <w:sz w:val="18"/>
          <w:szCs w:val="18"/>
        </w:rPr>
        <w:t xml:space="preserve">(…) </w:t>
      </w:r>
      <w:r w:rsidR="00352D44" w:rsidRPr="007B75D6">
        <w:rPr>
          <w:sz w:val="18"/>
          <w:szCs w:val="18"/>
        </w:rPr>
        <w:t>Among the factors with a high potential for unduly interfering with the electoral process and undermining the equality of opportunities which must help the candidates, there is the superiority enjoyed by those who</w:t>
      </w:r>
      <w:r w:rsidR="00F25CBB" w:rsidRPr="007B75D6">
        <w:rPr>
          <w:sz w:val="18"/>
          <w:szCs w:val="18"/>
        </w:rPr>
        <w:t xml:space="preserve"> are </w:t>
      </w:r>
      <w:r w:rsidR="00F53BBB" w:rsidRPr="007B75D6">
        <w:rPr>
          <w:sz w:val="18"/>
          <w:szCs w:val="18"/>
        </w:rPr>
        <w:t>holding</w:t>
      </w:r>
      <w:r w:rsidR="00352D44" w:rsidRPr="007B75D6">
        <w:rPr>
          <w:sz w:val="18"/>
          <w:szCs w:val="18"/>
        </w:rPr>
        <w:t xml:space="preserve"> a public office. Indeed</w:t>
      </w:r>
      <w:r w:rsidR="008F5FB6" w:rsidRPr="007B75D6">
        <w:rPr>
          <w:sz w:val="18"/>
          <w:szCs w:val="18"/>
        </w:rPr>
        <w:t xml:space="preserve">, the eventual wielding of power to influence voters is a mechanism of abuse that the legal system tries to avoid by requiring those at the helm of government to be neutral in the election or </w:t>
      </w:r>
      <w:r w:rsidR="00A97B24" w:rsidRPr="007B75D6">
        <w:rPr>
          <w:sz w:val="18"/>
          <w:szCs w:val="18"/>
        </w:rPr>
        <w:t>by preventing causes of disqualification which, because of their specific situation, would prevent certain persons from submitting their names to the consideration of voters.</w:t>
      </w:r>
      <w:r w:rsidRPr="00FC406F">
        <w:rPr>
          <w:rStyle w:val="FootnoteReference"/>
          <w:sz w:val="18"/>
          <w:szCs w:val="18"/>
        </w:rPr>
        <w:footnoteReference w:id="57"/>
      </w:r>
    </w:p>
    <w:p w14:paraId="10876729" w14:textId="77777777" w:rsidR="00B36400" w:rsidRPr="00FC406F" w:rsidRDefault="00B36400" w:rsidP="00B36400">
      <w:pPr>
        <w:pStyle w:val="ListParagraph"/>
      </w:pPr>
    </w:p>
    <w:p w14:paraId="358D5C2C" w14:textId="77777777" w:rsidR="00B36400" w:rsidRPr="00FC406F" w:rsidRDefault="00EF79F1" w:rsidP="00031C34">
      <w:pPr>
        <w:pStyle w:val="parrafos"/>
        <w:numPr>
          <w:ilvl w:val="0"/>
          <w:numId w:val="54"/>
        </w:numPr>
        <w:tabs>
          <w:tab w:val="clear" w:pos="1440"/>
        </w:tabs>
        <w:ind w:left="0" w:firstLine="0"/>
      </w:pPr>
      <w:r w:rsidRPr="00FC406F">
        <w:rPr>
          <w:rFonts w:eastAsia="Times New Roman"/>
          <w:color w:val="auto"/>
          <w:shd w:val="clear" w:color="auto" w:fill="FFFFFF"/>
        </w:rPr>
        <w:t xml:space="preserve">By means of Legislative Action 2 of 2015, Colombia eliminated the presidential reelection clause and confined the </w:t>
      </w:r>
      <w:r w:rsidR="00F43ECF" w:rsidRPr="00FC406F">
        <w:rPr>
          <w:rFonts w:eastAsia="Times New Roman"/>
          <w:color w:val="auto"/>
          <w:shd w:val="clear" w:color="auto" w:fill="FFFFFF"/>
        </w:rPr>
        <w:t xml:space="preserve">head of state’s </w:t>
      </w:r>
      <w:r w:rsidRPr="00FC406F">
        <w:rPr>
          <w:rFonts w:eastAsia="Times New Roman"/>
          <w:color w:val="auto"/>
          <w:shd w:val="clear" w:color="auto" w:fill="FFFFFF"/>
        </w:rPr>
        <w:t xml:space="preserve">constitutional administration to one single four-year term of office. In 2016, the Constitutional Court, in its judgment </w:t>
      </w:r>
      <w:r w:rsidR="00B36400" w:rsidRPr="00FC406F">
        <w:rPr>
          <w:i/>
          <w:color w:val="auto"/>
        </w:rPr>
        <w:t>C 230-2016</w:t>
      </w:r>
      <w:r w:rsidRPr="00FC406F">
        <w:rPr>
          <w:i/>
          <w:color w:val="auto"/>
        </w:rPr>
        <w:t>,</w:t>
      </w:r>
      <w:r w:rsidR="00B36400" w:rsidRPr="00FC406F">
        <w:rPr>
          <w:i/>
          <w:color w:val="auto"/>
        </w:rPr>
        <w:t xml:space="preserve"> </w:t>
      </w:r>
      <w:r w:rsidR="00B36400" w:rsidRPr="00FC406F">
        <w:rPr>
          <w:color w:val="auto"/>
        </w:rPr>
        <w:t>d</w:t>
      </w:r>
      <w:r w:rsidRPr="00FC406F">
        <w:rPr>
          <w:color w:val="auto"/>
        </w:rPr>
        <w:t xml:space="preserve">ismissed a claim on constitutional grounds against said provision that amended the Constitution and provided that a citizen who, on the basis of any standing, </w:t>
      </w:r>
      <w:r w:rsidR="00FE7E36" w:rsidRPr="00FC406F">
        <w:rPr>
          <w:color w:val="auto"/>
        </w:rPr>
        <w:t>had held the office of the presidency would n</w:t>
      </w:r>
      <w:r w:rsidR="004D655E" w:rsidRPr="00FC406F">
        <w:rPr>
          <w:color w:val="auto"/>
        </w:rPr>
        <w:t>ot be able to be elected to be president of the r</w:t>
      </w:r>
      <w:r w:rsidR="00FE7E36" w:rsidRPr="00FC406F">
        <w:rPr>
          <w:color w:val="auto"/>
        </w:rPr>
        <w:t>epublic. The ban on reelection could only be amended or repealed by means of a referendum convened by a people’s initiative or a constitutional convention. Regarding this, it provided the following reasoning</w:t>
      </w:r>
      <w:r w:rsidR="00B36400" w:rsidRPr="00FC406F">
        <w:t>:</w:t>
      </w:r>
    </w:p>
    <w:p w14:paraId="0B15DA61" w14:textId="77777777" w:rsidR="00B36400" w:rsidRPr="00FC406F" w:rsidRDefault="00B36400" w:rsidP="00B36400">
      <w:pPr>
        <w:rPr>
          <w:sz w:val="20"/>
          <w:szCs w:val="20"/>
        </w:rPr>
      </w:pPr>
    </w:p>
    <w:p w14:paraId="60677F46" w14:textId="77777777" w:rsidR="007B75D6" w:rsidRDefault="00B36400" w:rsidP="007B75D6">
      <w:pPr>
        <w:pStyle w:val="ListParagraph"/>
        <w:ind w:left="360" w:right="360"/>
        <w:jc w:val="both"/>
        <w:rPr>
          <w:sz w:val="18"/>
          <w:szCs w:val="18"/>
        </w:rPr>
      </w:pPr>
      <w:r w:rsidRPr="00FC406F">
        <w:rPr>
          <w:sz w:val="18"/>
          <w:szCs w:val="18"/>
        </w:rPr>
        <w:t>A</w:t>
      </w:r>
      <w:r w:rsidR="00FE7E36" w:rsidRPr="00FC406F">
        <w:rPr>
          <w:sz w:val="18"/>
          <w:szCs w:val="18"/>
        </w:rPr>
        <w:t>lthough the complaint observes the formal structure of a judgment on the substitution of the Constitution, identifying one major premise (model of constitutional rigidity), a minor premise (constraint on the authority of Congress to amend the Constitution), and a co</w:t>
      </w:r>
      <w:r w:rsidR="008E3541" w:rsidRPr="00FC406F">
        <w:rPr>
          <w:sz w:val="18"/>
          <w:szCs w:val="18"/>
        </w:rPr>
        <w:t>nclusion (substituting the inherent</w:t>
      </w:r>
      <w:r w:rsidR="00FE7E36" w:rsidRPr="00FC406F">
        <w:rPr>
          <w:sz w:val="18"/>
          <w:szCs w:val="18"/>
        </w:rPr>
        <w:t xml:space="preserve"> element of constitutional rigidity and, correlatively, affecting the validity of the democratic principle)</w:t>
      </w:r>
      <w:r w:rsidRPr="00FC406F">
        <w:rPr>
          <w:sz w:val="18"/>
          <w:szCs w:val="18"/>
        </w:rPr>
        <w:t xml:space="preserve">, </w:t>
      </w:r>
      <w:r w:rsidR="00FE7E36" w:rsidRPr="00FC406F">
        <w:rPr>
          <w:sz w:val="18"/>
          <w:szCs w:val="18"/>
        </w:rPr>
        <w:t xml:space="preserve">it does not explain why establishing that amending the ban on reelection can only be done by means of a referendum convened by a people’s initiative or a Constitutional Convention is tantamount to substituting the Constitution and therefore, the resulting constitution would </w:t>
      </w:r>
      <w:r w:rsidR="001C149C" w:rsidRPr="00FC406F">
        <w:rPr>
          <w:sz w:val="18"/>
          <w:szCs w:val="18"/>
        </w:rPr>
        <w:t>involve</w:t>
      </w:r>
      <w:r w:rsidR="00FE7E36" w:rsidRPr="00FC406F">
        <w:rPr>
          <w:sz w:val="18"/>
          <w:szCs w:val="18"/>
        </w:rPr>
        <w:t xml:space="preserve"> a </w:t>
      </w:r>
      <w:r w:rsidR="00825087" w:rsidRPr="00FC406F">
        <w:rPr>
          <w:sz w:val="18"/>
          <w:szCs w:val="18"/>
        </w:rPr>
        <w:t>juris</w:t>
      </w:r>
      <w:r w:rsidR="003F3C49" w:rsidRPr="00FC406F">
        <w:rPr>
          <w:sz w:val="18"/>
          <w:szCs w:val="18"/>
        </w:rPr>
        <w:t>diction</w:t>
      </w:r>
      <w:r w:rsidR="008E3541" w:rsidRPr="00FC406F">
        <w:rPr>
          <w:sz w:val="18"/>
          <w:szCs w:val="18"/>
        </w:rPr>
        <w:t>al error</w:t>
      </w:r>
      <w:r w:rsidR="003F3C49" w:rsidRPr="00FC406F">
        <w:rPr>
          <w:sz w:val="18"/>
          <w:szCs w:val="18"/>
        </w:rPr>
        <w:t xml:space="preserve"> that would lead to the nonapplicability</w:t>
      </w:r>
      <w:r w:rsidR="00825087" w:rsidRPr="00FC406F">
        <w:rPr>
          <w:sz w:val="18"/>
          <w:szCs w:val="18"/>
        </w:rPr>
        <w:t xml:space="preserve"> of the provision being charged as contained in Article 9 of Legislative Action 2 of </w:t>
      </w:r>
      <w:r w:rsidRPr="00FC406F">
        <w:rPr>
          <w:sz w:val="18"/>
          <w:szCs w:val="18"/>
        </w:rPr>
        <w:t>2015.</w:t>
      </w:r>
    </w:p>
    <w:p w14:paraId="7D8A7791" w14:textId="77777777" w:rsidR="007B75D6" w:rsidRDefault="007B75D6" w:rsidP="007B75D6">
      <w:pPr>
        <w:pStyle w:val="ListParagraph"/>
        <w:ind w:left="360" w:right="360"/>
        <w:jc w:val="both"/>
        <w:rPr>
          <w:sz w:val="18"/>
          <w:szCs w:val="18"/>
        </w:rPr>
      </w:pPr>
    </w:p>
    <w:p w14:paraId="4419FF65" w14:textId="77777777" w:rsidR="00B36400" w:rsidRPr="007B75D6" w:rsidRDefault="00825087" w:rsidP="007B75D6">
      <w:pPr>
        <w:pStyle w:val="ListParagraph"/>
        <w:ind w:left="360" w:right="360"/>
        <w:jc w:val="both"/>
        <w:rPr>
          <w:sz w:val="18"/>
          <w:szCs w:val="18"/>
        </w:rPr>
      </w:pPr>
      <w:r w:rsidRPr="007B75D6">
        <w:rPr>
          <w:sz w:val="18"/>
          <w:szCs w:val="18"/>
        </w:rPr>
        <w:t xml:space="preserve">Compounding the above, in the wording of the minor premise, the complainants are actually proposing material control over </w:t>
      </w:r>
      <w:r w:rsidR="001C149C" w:rsidRPr="007B75D6">
        <w:rPr>
          <w:sz w:val="18"/>
          <w:szCs w:val="18"/>
        </w:rPr>
        <w:t xml:space="preserve">the </w:t>
      </w:r>
      <w:r w:rsidRPr="007B75D6">
        <w:rPr>
          <w:sz w:val="18"/>
          <w:szCs w:val="18"/>
        </w:rPr>
        <w:t xml:space="preserve">constitutional amendment, based on comparing Article 197 </w:t>
      </w:r>
      <w:r w:rsidR="008E3541" w:rsidRPr="007B75D6">
        <w:rPr>
          <w:sz w:val="18"/>
          <w:szCs w:val="18"/>
        </w:rPr>
        <w:t>above</w:t>
      </w:r>
      <w:r w:rsidRPr="007B75D6">
        <w:rPr>
          <w:sz w:val="18"/>
          <w:szCs w:val="18"/>
        </w:rPr>
        <w:t xml:space="preserve"> and Articles 113 and 114 of the Political Constitution, without explaining precisely and clearly what the substitution of</w:t>
      </w:r>
      <w:r w:rsidR="001C149C" w:rsidRPr="007B75D6">
        <w:rPr>
          <w:sz w:val="18"/>
          <w:szCs w:val="18"/>
        </w:rPr>
        <w:t xml:space="preserve"> the semi-rigid model, which was supposedly</w:t>
      </w:r>
      <w:r w:rsidRPr="007B75D6">
        <w:rPr>
          <w:sz w:val="18"/>
          <w:szCs w:val="18"/>
        </w:rPr>
        <w:t xml:space="preserve"> enshrined by the 1991 Constitution</w:t>
      </w:r>
      <w:r w:rsidR="001C149C" w:rsidRPr="007B75D6">
        <w:rPr>
          <w:sz w:val="18"/>
          <w:szCs w:val="18"/>
        </w:rPr>
        <w:t>,</w:t>
      </w:r>
      <w:r w:rsidRPr="007B75D6">
        <w:rPr>
          <w:sz w:val="18"/>
          <w:szCs w:val="18"/>
        </w:rPr>
        <w:t xml:space="preserve"> would</w:t>
      </w:r>
      <w:r w:rsidR="001C149C" w:rsidRPr="007B75D6">
        <w:rPr>
          <w:sz w:val="18"/>
          <w:szCs w:val="18"/>
        </w:rPr>
        <w:t xml:space="preserve"> consist of and why that model would not be</w:t>
      </w:r>
      <w:r w:rsidRPr="007B75D6">
        <w:rPr>
          <w:sz w:val="18"/>
          <w:szCs w:val="18"/>
        </w:rPr>
        <w:t xml:space="preserve"> </w:t>
      </w:r>
      <w:r w:rsidRPr="007B75D6">
        <w:rPr>
          <w:sz w:val="18"/>
          <w:szCs w:val="18"/>
        </w:rPr>
        <w:lastRenderedPageBreak/>
        <w:t xml:space="preserve">subject to amendment. Under these conditions, the Court could not undertake an examination of the matter </w:t>
      </w:r>
      <w:r w:rsidR="001C149C" w:rsidRPr="007B75D6">
        <w:rPr>
          <w:sz w:val="18"/>
          <w:szCs w:val="18"/>
        </w:rPr>
        <w:t>or</w:t>
      </w:r>
      <w:r w:rsidRPr="007B75D6">
        <w:rPr>
          <w:sz w:val="18"/>
          <w:szCs w:val="18"/>
        </w:rPr>
        <w:t xml:space="preserve"> rule on its merits.</w:t>
      </w:r>
      <w:r w:rsidR="00B36400" w:rsidRPr="00FC406F">
        <w:rPr>
          <w:rStyle w:val="FootnoteReference"/>
          <w:sz w:val="18"/>
          <w:szCs w:val="18"/>
        </w:rPr>
        <w:footnoteReference w:id="58"/>
      </w:r>
    </w:p>
    <w:p w14:paraId="34679A23" w14:textId="77777777" w:rsidR="00B36400" w:rsidRPr="00FC406F" w:rsidRDefault="00B36400" w:rsidP="00B36400">
      <w:pPr>
        <w:pStyle w:val="ListParagraph"/>
        <w:rPr>
          <w:sz w:val="20"/>
          <w:szCs w:val="20"/>
        </w:rPr>
      </w:pPr>
    </w:p>
    <w:p w14:paraId="0590FF65" w14:textId="77777777" w:rsidR="00B36400" w:rsidRPr="00FC406F" w:rsidRDefault="00825087" w:rsidP="00031C34">
      <w:pPr>
        <w:pStyle w:val="parrafos"/>
        <w:numPr>
          <w:ilvl w:val="0"/>
          <w:numId w:val="54"/>
        </w:numPr>
        <w:tabs>
          <w:tab w:val="clear" w:pos="1440"/>
        </w:tabs>
        <w:ind w:left="0" w:firstLine="0"/>
      </w:pPr>
      <w:r w:rsidRPr="00FC406F">
        <w:t>The Commission notes that six judges submitted clarifications on the vote in said case. One judge stated that</w:t>
      </w:r>
      <w:r w:rsidR="00B36400" w:rsidRPr="00FC406F">
        <w:t>:</w:t>
      </w:r>
    </w:p>
    <w:p w14:paraId="26A26E87" w14:textId="77777777" w:rsidR="00B36400" w:rsidRPr="00FC406F" w:rsidRDefault="00B36400" w:rsidP="00EA1669">
      <w:pPr>
        <w:jc w:val="both"/>
        <w:rPr>
          <w:sz w:val="18"/>
          <w:szCs w:val="18"/>
        </w:rPr>
      </w:pPr>
    </w:p>
    <w:p w14:paraId="40770AA8" w14:textId="77777777" w:rsidR="007B75D6" w:rsidRDefault="00825087" w:rsidP="007B75D6">
      <w:pPr>
        <w:pStyle w:val="ListParagraph"/>
        <w:ind w:left="360" w:right="360"/>
        <w:jc w:val="both"/>
        <w:rPr>
          <w:sz w:val="18"/>
          <w:szCs w:val="18"/>
        </w:rPr>
      </w:pPr>
      <w:r w:rsidRPr="00FC406F">
        <w:rPr>
          <w:sz w:val="18"/>
          <w:szCs w:val="18"/>
        </w:rPr>
        <w:t>From my stand</w:t>
      </w:r>
      <w:r w:rsidR="00DC7846" w:rsidRPr="00FC406F">
        <w:rPr>
          <w:sz w:val="18"/>
          <w:szCs w:val="18"/>
        </w:rPr>
        <w:t>p</w:t>
      </w:r>
      <w:r w:rsidRPr="00FC406F">
        <w:rPr>
          <w:sz w:val="18"/>
          <w:szCs w:val="18"/>
        </w:rPr>
        <w:t>oint, this constitutional amendment does not breach the Constitution, because it is not undermining any of its key pillars as asserted by the complainant, but rather it is conso</w:t>
      </w:r>
      <w:r w:rsidR="00DC7846" w:rsidRPr="00FC406F">
        <w:rPr>
          <w:sz w:val="18"/>
          <w:szCs w:val="18"/>
        </w:rPr>
        <w:t>lid</w:t>
      </w:r>
      <w:r w:rsidRPr="00FC406F">
        <w:rPr>
          <w:sz w:val="18"/>
          <w:szCs w:val="18"/>
        </w:rPr>
        <w:t>ating cons</w:t>
      </w:r>
      <w:r w:rsidR="00DC7846" w:rsidRPr="00FC406F">
        <w:rPr>
          <w:sz w:val="18"/>
          <w:szCs w:val="18"/>
        </w:rPr>
        <w:t>t</w:t>
      </w:r>
      <w:r w:rsidRPr="00FC406F">
        <w:rPr>
          <w:sz w:val="18"/>
          <w:szCs w:val="18"/>
        </w:rPr>
        <w:t>itutional democracy, preventing constitutional amendments being processed in Congress from attempting to eliminate the principles that strengthen the so-called constitutional democracy. Because of that, I beli</w:t>
      </w:r>
      <w:r w:rsidR="00DC7846" w:rsidRPr="00FC406F">
        <w:rPr>
          <w:sz w:val="18"/>
          <w:szCs w:val="18"/>
        </w:rPr>
        <w:t>e</w:t>
      </w:r>
      <w:r w:rsidRPr="00FC406F">
        <w:rPr>
          <w:sz w:val="18"/>
          <w:szCs w:val="18"/>
        </w:rPr>
        <w:t>ve that, although on this occasion, the complaint did not meet the minimum requirements to undertake a study of constitutionality, this does not mean that, if said requirements had been met, it would have been possible for the complaint to prosper</w:t>
      </w:r>
      <w:r w:rsidR="00B36400" w:rsidRPr="00FC406F">
        <w:rPr>
          <w:sz w:val="18"/>
          <w:szCs w:val="18"/>
        </w:rPr>
        <w:t xml:space="preserve"> </w:t>
      </w:r>
      <w:r w:rsidR="00EC1180">
        <w:rPr>
          <w:sz w:val="18"/>
          <w:szCs w:val="18"/>
        </w:rPr>
        <w:t>(…)</w:t>
      </w:r>
    </w:p>
    <w:p w14:paraId="31E0B22A" w14:textId="77777777" w:rsidR="007B75D6" w:rsidRDefault="007B75D6" w:rsidP="007B75D6">
      <w:pPr>
        <w:pStyle w:val="ListParagraph"/>
        <w:ind w:left="360" w:right="360"/>
        <w:jc w:val="both"/>
        <w:rPr>
          <w:sz w:val="18"/>
          <w:szCs w:val="18"/>
        </w:rPr>
      </w:pPr>
    </w:p>
    <w:p w14:paraId="141FB4A6" w14:textId="77777777" w:rsidR="00B36400" w:rsidRPr="007B75D6" w:rsidRDefault="00DC7846" w:rsidP="007B75D6">
      <w:pPr>
        <w:pStyle w:val="ListParagraph"/>
        <w:ind w:left="360" w:right="360"/>
        <w:jc w:val="both"/>
        <w:rPr>
          <w:sz w:val="18"/>
          <w:szCs w:val="18"/>
        </w:rPr>
      </w:pPr>
      <w:r w:rsidRPr="007B75D6">
        <w:rPr>
          <w:sz w:val="18"/>
          <w:szCs w:val="18"/>
        </w:rPr>
        <w:t>In my opinion, this type of practice</w:t>
      </w:r>
      <w:r w:rsidR="00B36400" w:rsidRPr="007B75D6">
        <w:rPr>
          <w:sz w:val="18"/>
          <w:szCs w:val="18"/>
        </w:rPr>
        <w:t xml:space="preserve"> [</w:t>
      </w:r>
      <w:r w:rsidRPr="007B75D6">
        <w:rPr>
          <w:sz w:val="18"/>
          <w:szCs w:val="18"/>
        </w:rPr>
        <w:t>attempting to extend the term of office of rule</w:t>
      </w:r>
      <w:r w:rsidR="001C149C" w:rsidRPr="007B75D6">
        <w:rPr>
          <w:sz w:val="18"/>
          <w:szCs w:val="18"/>
        </w:rPr>
        <w:t>r</w:t>
      </w:r>
      <w:r w:rsidRPr="007B75D6">
        <w:rPr>
          <w:sz w:val="18"/>
          <w:szCs w:val="18"/>
        </w:rPr>
        <w:t>s beyond the terms literally set in the Constitution</w:t>
      </w:r>
      <w:r w:rsidR="00B36400" w:rsidRPr="007B75D6">
        <w:rPr>
          <w:sz w:val="18"/>
          <w:szCs w:val="18"/>
        </w:rPr>
        <w:t xml:space="preserve">] </w:t>
      </w:r>
      <w:r w:rsidRPr="007B75D6">
        <w:rPr>
          <w:sz w:val="18"/>
          <w:szCs w:val="18"/>
        </w:rPr>
        <w:t xml:space="preserve">jeopardizes constitutional democracy, understood as a democracy that guarantees the rights of minorities and </w:t>
      </w:r>
      <w:r w:rsidR="001C149C" w:rsidRPr="007B75D6">
        <w:rPr>
          <w:sz w:val="18"/>
          <w:szCs w:val="18"/>
        </w:rPr>
        <w:t xml:space="preserve">the </w:t>
      </w:r>
      <w:r w:rsidRPr="007B75D6">
        <w:rPr>
          <w:sz w:val="18"/>
          <w:szCs w:val="18"/>
        </w:rPr>
        <w:t>democratic rules of the game on the basis of safeguards such as del</w:t>
      </w:r>
      <w:r w:rsidR="001C149C" w:rsidRPr="007B75D6">
        <w:rPr>
          <w:sz w:val="18"/>
          <w:szCs w:val="18"/>
        </w:rPr>
        <w:t xml:space="preserve">iberation and rotation </w:t>
      </w:r>
      <w:r w:rsidR="00D62916" w:rsidRPr="007B75D6">
        <w:rPr>
          <w:sz w:val="18"/>
          <w:szCs w:val="18"/>
        </w:rPr>
        <w:t>in office</w:t>
      </w:r>
      <w:r w:rsidR="001C149C" w:rsidRPr="007B75D6">
        <w:rPr>
          <w:sz w:val="18"/>
          <w:szCs w:val="18"/>
        </w:rPr>
        <w:t>.</w:t>
      </w:r>
      <w:r w:rsidRPr="007B75D6">
        <w:rPr>
          <w:sz w:val="18"/>
          <w:szCs w:val="18"/>
        </w:rPr>
        <w:t xml:space="preserve"> The regulations of international law also have that same mandate, and Colombia adheres to them as in, for example, the Inter-American Democratic Charter of the OAS, which provides in its Article 3 that: “</w:t>
      </w:r>
      <w:r w:rsidR="007B4102" w:rsidRPr="007B75D6">
        <w:rPr>
          <w:sz w:val="18"/>
          <w:szCs w:val="18"/>
          <w:shd w:val="clear" w:color="auto" w:fill="FFFFFF"/>
        </w:rPr>
        <w:t>Essential elements of representative democracy include respect for human rights and fundamental freedoms, access to and the exercise of power in accordance with the rule of law, the holding of periodic, free, and fair elections based on secret balloting and universal suffrage as an expression of the sovereignty of the people.”</w:t>
      </w:r>
      <w:r w:rsidR="00B36400" w:rsidRPr="00FC406F">
        <w:rPr>
          <w:rStyle w:val="FootnoteReference"/>
          <w:sz w:val="18"/>
          <w:szCs w:val="18"/>
        </w:rPr>
        <w:footnoteReference w:id="59"/>
      </w:r>
    </w:p>
    <w:p w14:paraId="1F621169" w14:textId="77777777" w:rsidR="00B36400" w:rsidRPr="00FC406F" w:rsidRDefault="00B36400" w:rsidP="00B36400">
      <w:pPr>
        <w:pStyle w:val="ListParagraph"/>
      </w:pPr>
    </w:p>
    <w:p w14:paraId="1042991A" w14:textId="77777777" w:rsidR="00B36400" w:rsidRPr="00FC406F" w:rsidRDefault="007B4102" w:rsidP="00031C34">
      <w:pPr>
        <w:pStyle w:val="parrafos"/>
        <w:numPr>
          <w:ilvl w:val="0"/>
          <w:numId w:val="54"/>
        </w:numPr>
        <w:tabs>
          <w:tab w:val="clear" w:pos="1440"/>
        </w:tabs>
        <w:ind w:left="0" w:firstLine="0"/>
      </w:pPr>
      <w:r w:rsidRPr="00FC406F">
        <w:t xml:space="preserve">As for the </w:t>
      </w:r>
      <w:r w:rsidRPr="00FC406F">
        <w:rPr>
          <w:i/>
        </w:rPr>
        <w:t>Constitutional Court of Peru,</w:t>
      </w:r>
      <w:r w:rsidRPr="00FC406F">
        <w:t xml:space="preserve"> in 2018 it ruled to dismiss an appeal on constitutional grounds against Law</w:t>
      </w:r>
      <w:r w:rsidR="00B36400" w:rsidRPr="00FC406F">
        <w:t xml:space="preserve"> 30305, </w:t>
      </w:r>
      <w:r w:rsidRPr="00FC406F">
        <w:t xml:space="preserve">which amended Article 194 of the Constitution and provided for the banning </w:t>
      </w:r>
      <w:r w:rsidR="00C511F4" w:rsidRPr="00FC406F">
        <w:t xml:space="preserve">of </w:t>
      </w:r>
      <w:r w:rsidRPr="00FC406F">
        <w:t>the immediate reelection of mayors</w:t>
      </w:r>
      <w:r w:rsidR="00C511F4" w:rsidRPr="00FC406F">
        <w:t>, with observations that are relevant to the present case. The Court stressed that</w:t>
      </w:r>
      <w:r w:rsidR="00B36400" w:rsidRPr="00FC406F">
        <w:t>:</w:t>
      </w:r>
    </w:p>
    <w:p w14:paraId="65F83783" w14:textId="77777777" w:rsidR="00B36400" w:rsidRPr="00FC406F" w:rsidRDefault="00B36400" w:rsidP="00B36400">
      <w:pPr>
        <w:pStyle w:val="parrafos"/>
        <w:ind w:left="0" w:firstLine="0"/>
      </w:pPr>
    </w:p>
    <w:p w14:paraId="7E7677D9" w14:textId="77777777" w:rsidR="007B75D6" w:rsidRDefault="00C511F4" w:rsidP="007B75D6">
      <w:pPr>
        <w:pStyle w:val="ListParagraph"/>
        <w:ind w:left="360" w:right="360"/>
        <w:jc w:val="both"/>
        <w:rPr>
          <w:sz w:val="18"/>
          <w:szCs w:val="18"/>
        </w:rPr>
      </w:pPr>
      <w:r w:rsidRPr="00FC406F">
        <w:rPr>
          <w:sz w:val="18"/>
          <w:szCs w:val="18"/>
        </w:rPr>
        <w:t xml:space="preserve">As can be appreciated, there is no constitutional or treaty-based parameter that might lead us to ignore that the right to elect and </w:t>
      </w:r>
      <w:r w:rsidR="001C149C" w:rsidRPr="00FC406F">
        <w:rPr>
          <w:sz w:val="18"/>
          <w:szCs w:val="18"/>
        </w:rPr>
        <w:t>the right to be elected involve</w:t>
      </w:r>
      <w:r w:rsidRPr="00FC406F">
        <w:rPr>
          <w:sz w:val="18"/>
          <w:szCs w:val="18"/>
        </w:rPr>
        <w:t xml:space="preserve"> limits, as well as allowing us to infer that there is a supposed right to be reelected</w:t>
      </w:r>
      <w:r w:rsidR="00B36400" w:rsidRPr="00FC406F">
        <w:rPr>
          <w:sz w:val="18"/>
          <w:szCs w:val="18"/>
        </w:rPr>
        <w:t>.</w:t>
      </w:r>
    </w:p>
    <w:p w14:paraId="21E0C92E" w14:textId="77777777" w:rsidR="007B75D6" w:rsidRDefault="007B75D6" w:rsidP="007B75D6">
      <w:pPr>
        <w:pStyle w:val="ListParagraph"/>
        <w:ind w:left="360" w:right="360"/>
        <w:jc w:val="both"/>
        <w:rPr>
          <w:sz w:val="18"/>
          <w:szCs w:val="18"/>
        </w:rPr>
      </w:pPr>
    </w:p>
    <w:p w14:paraId="47929B3D" w14:textId="77777777" w:rsidR="007B75D6" w:rsidRDefault="00B36400" w:rsidP="007B75D6">
      <w:pPr>
        <w:pStyle w:val="ListParagraph"/>
        <w:ind w:left="360" w:right="360"/>
        <w:jc w:val="both"/>
        <w:rPr>
          <w:sz w:val="18"/>
          <w:szCs w:val="18"/>
        </w:rPr>
      </w:pPr>
      <w:r w:rsidRPr="007B75D6">
        <w:rPr>
          <w:sz w:val="18"/>
          <w:szCs w:val="18"/>
        </w:rPr>
        <w:t xml:space="preserve">(…) </w:t>
      </w:r>
      <w:r w:rsidR="00DE0D7A" w:rsidRPr="007B75D6">
        <w:rPr>
          <w:sz w:val="18"/>
          <w:szCs w:val="18"/>
        </w:rPr>
        <w:t xml:space="preserve">Furthermore, it must be noted that the ban on the reelection of mayors is associated with the principle of rotation </w:t>
      </w:r>
      <w:r w:rsidR="00D62916" w:rsidRPr="007B75D6">
        <w:rPr>
          <w:sz w:val="18"/>
          <w:szCs w:val="18"/>
        </w:rPr>
        <w:t>in office</w:t>
      </w:r>
      <w:r w:rsidR="00DE0D7A" w:rsidRPr="007B75D6">
        <w:rPr>
          <w:sz w:val="18"/>
          <w:szCs w:val="18"/>
        </w:rPr>
        <w:t>. In any case, it must be corroborated whether the scope of what is currently provided in our constitutional system is favorable to the succession of various elected officials for each municipal term of office</w:t>
      </w:r>
      <w:r w:rsidRPr="007B75D6">
        <w:rPr>
          <w:sz w:val="18"/>
          <w:szCs w:val="18"/>
        </w:rPr>
        <w:t xml:space="preserve">. </w:t>
      </w:r>
    </w:p>
    <w:p w14:paraId="5E5A4F78" w14:textId="77777777" w:rsidR="007B75D6" w:rsidRDefault="007B75D6" w:rsidP="007B75D6">
      <w:pPr>
        <w:pStyle w:val="ListParagraph"/>
        <w:ind w:left="360" w:right="360"/>
        <w:jc w:val="both"/>
        <w:rPr>
          <w:sz w:val="18"/>
          <w:szCs w:val="18"/>
        </w:rPr>
      </w:pPr>
    </w:p>
    <w:p w14:paraId="49A7A667" w14:textId="77777777" w:rsidR="007B75D6" w:rsidRDefault="00B36400" w:rsidP="007B75D6">
      <w:pPr>
        <w:pStyle w:val="ListParagraph"/>
        <w:ind w:left="360" w:right="360"/>
        <w:jc w:val="both"/>
        <w:rPr>
          <w:sz w:val="18"/>
          <w:szCs w:val="18"/>
        </w:rPr>
      </w:pPr>
      <w:r w:rsidRPr="007B75D6">
        <w:rPr>
          <w:sz w:val="18"/>
          <w:szCs w:val="18"/>
        </w:rPr>
        <w:t xml:space="preserve">(…) </w:t>
      </w:r>
      <w:r w:rsidR="00DE0D7A" w:rsidRPr="007B75D6">
        <w:rPr>
          <w:sz w:val="18"/>
          <w:szCs w:val="18"/>
        </w:rPr>
        <w:t>In that regard, it must be stressed that the Peruvian state identifies with the republican form of government, with a decentralized unitary state, and the separation of the branches of government, among other guiding principles that were referred to herein. These principles, of course, are not being undermined by the amendment to the third paragraph of Article 194 of our Constitution, which the constitutional law amendment that is being challenged has introduced</w:t>
      </w:r>
      <w:r w:rsidRPr="007B75D6">
        <w:rPr>
          <w:sz w:val="18"/>
          <w:szCs w:val="18"/>
        </w:rPr>
        <w:t xml:space="preserve">. </w:t>
      </w:r>
    </w:p>
    <w:p w14:paraId="3FA7A844" w14:textId="77777777" w:rsidR="007B75D6" w:rsidRDefault="007B75D6" w:rsidP="007B75D6">
      <w:pPr>
        <w:pStyle w:val="ListParagraph"/>
        <w:ind w:left="360" w:right="360"/>
        <w:jc w:val="both"/>
        <w:rPr>
          <w:sz w:val="18"/>
          <w:szCs w:val="18"/>
        </w:rPr>
      </w:pPr>
    </w:p>
    <w:p w14:paraId="1DEF134B" w14:textId="77777777" w:rsidR="00B36400" w:rsidRPr="007B75D6" w:rsidRDefault="008E5266" w:rsidP="007B75D6">
      <w:pPr>
        <w:pStyle w:val="ListParagraph"/>
        <w:ind w:left="360" w:right="360"/>
        <w:jc w:val="both"/>
        <w:rPr>
          <w:sz w:val="18"/>
          <w:szCs w:val="18"/>
        </w:rPr>
      </w:pPr>
      <w:r w:rsidRPr="007B75D6">
        <w:rPr>
          <w:sz w:val="18"/>
          <w:szCs w:val="18"/>
        </w:rPr>
        <w:t>And the fact</w:t>
      </w:r>
      <w:r w:rsidR="004D655E" w:rsidRPr="007B75D6">
        <w:rPr>
          <w:sz w:val="18"/>
          <w:szCs w:val="18"/>
        </w:rPr>
        <w:t xml:space="preserve"> is that neither the r</w:t>
      </w:r>
      <w:r w:rsidR="00DE0D7A" w:rsidRPr="007B75D6">
        <w:rPr>
          <w:sz w:val="18"/>
          <w:szCs w:val="18"/>
        </w:rPr>
        <w:t>epublic, nor decentralization, nor the separation of powers depend on whether or not certain public officials, such as mayors, for example, are reelected immediately</w:t>
      </w:r>
      <w:r w:rsidR="00B36400" w:rsidRPr="007B75D6">
        <w:rPr>
          <w:sz w:val="18"/>
          <w:szCs w:val="18"/>
        </w:rPr>
        <w:t xml:space="preserve">. </w:t>
      </w:r>
      <w:r w:rsidR="00DE0D7A" w:rsidRPr="007B75D6">
        <w:rPr>
          <w:sz w:val="18"/>
          <w:szCs w:val="18"/>
        </w:rPr>
        <w:t>As a result, the present complaint must be dismissed because the constitutional reform law that is being challenged</w:t>
      </w:r>
      <w:r w:rsidR="0019075E" w:rsidRPr="007B75D6">
        <w:rPr>
          <w:sz w:val="18"/>
          <w:szCs w:val="18"/>
        </w:rPr>
        <w:t xml:space="preserve"> is not contravening key parameters of the configuration of our Constitution, in terms of either jurisdiction, procedures, or contents.</w:t>
      </w:r>
      <w:r w:rsidR="00B36400" w:rsidRPr="00694B37">
        <w:rPr>
          <w:sz w:val="20"/>
          <w:szCs w:val="20"/>
          <w:vertAlign w:val="superscript"/>
        </w:rPr>
        <w:footnoteReference w:id="60"/>
      </w:r>
    </w:p>
    <w:p w14:paraId="77C3EEDF" w14:textId="77777777" w:rsidR="00B36400" w:rsidRPr="00FC406F" w:rsidRDefault="00B36400" w:rsidP="00B36400">
      <w:pPr>
        <w:pStyle w:val="ListParagraph"/>
        <w:rPr>
          <w:sz w:val="20"/>
          <w:szCs w:val="20"/>
        </w:rPr>
      </w:pPr>
    </w:p>
    <w:p w14:paraId="32AFDDEB" w14:textId="77777777" w:rsidR="00B36400" w:rsidRPr="00FC406F" w:rsidRDefault="0019075E" w:rsidP="00031C34">
      <w:pPr>
        <w:pStyle w:val="parrafos"/>
        <w:numPr>
          <w:ilvl w:val="0"/>
          <w:numId w:val="54"/>
        </w:numPr>
        <w:tabs>
          <w:tab w:val="clear" w:pos="1440"/>
        </w:tabs>
        <w:ind w:left="0" w:firstLine="0"/>
      </w:pPr>
      <w:r w:rsidRPr="00FC406F">
        <w:t>In the ruling indicated above, one judge issued a concurr</w:t>
      </w:r>
      <w:r w:rsidR="008E5266" w:rsidRPr="00FC406F">
        <w:t>ing</w:t>
      </w:r>
      <w:r w:rsidRPr="00FC406F">
        <w:t xml:space="preserve"> vote on the basis of the following terms</w:t>
      </w:r>
      <w:r w:rsidR="00B36400" w:rsidRPr="00FC406F">
        <w:t>:</w:t>
      </w:r>
    </w:p>
    <w:p w14:paraId="1FE1526B" w14:textId="77777777" w:rsidR="00B36400" w:rsidRPr="00FC406F" w:rsidRDefault="00B36400" w:rsidP="00B36400">
      <w:pPr>
        <w:pStyle w:val="parrafos"/>
        <w:ind w:left="0" w:firstLine="0"/>
      </w:pPr>
    </w:p>
    <w:p w14:paraId="2223A8BE" w14:textId="77777777" w:rsidR="00694B37" w:rsidRDefault="00B36400" w:rsidP="00694B37">
      <w:pPr>
        <w:pStyle w:val="ListParagraph"/>
        <w:ind w:left="360" w:right="360"/>
        <w:jc w:val="both"/>
        <w:rPr>
          <w:sz w:val="18"/>
          <w:szCs w:val="18"/>
        </w:rPr>
      </w:pPr>
      <w:r w:rsidRPr="00FC406F">
        <w:rPr>
          <w:sz w:val="18"/>
          <w:szCs w:val="18"/>
        </w:rPr>
        <w:t xml:space="preserve">(…) </w:t>
      </w:r>
      <w:r w:rsidR="0019075E" w:rsidRPr="00FC406F">
        <w:rPr>
          <w:sz w:val="18"/>
          <w:szCs w:val="18"/>
        </w:rPr>
        <w:t xml:space="preserve">the constitutional </w:t>
      </w:r>
      <w:r w:rsidR="008E5266" w:rsidRPr="00FC406F">
        <w:rPr>
          <w:sz w:val="18"/>
          <w:szCs w:val="18"/>
        </w:rPr>
        <w:t>reform that is the focus of review</w:t>
      </w:r>
      <w:r w:rsidR="0019075E" w:rsidRPr="00FC406F">
        <w:rPr>
          <w:sz w:val="18"/>
          <w:szCs w:val="18"/>
        </w:rPr>
        <w:t xml:space="preserve"> in the instant case contributes to the broader observance of the principle of rotation </w:t>
      </w:r>
      <w:r w:rsidR="00D62916" w:rsidRPr="00FC406F">
        <w:rPr>
          <w:sz w:val="18"/>
          <w:szCs w:val="18"/>
        </w:rPr>
        <w:t xml:space="preserve">in </w:t>
      </w:r>
      <w:r w:rsidR="0019075E" w:rsidRPr="00FC406F">
        <w:rPr>
          <w:sz w:val="18"/>
          <w:szCs w:val="18"/>
        </w:rPr>
        <w:t>government</w:t>
      </w:r>
      <w:r w:rsidR="00D62916" w:rsidRPr="00FC406F">
        <w:rPr>
          <w:sz w:val="18"/>
          <w:szCs w:val="18"/>
        </w:rPr>
        <w:t xml:space="preserve"> office</w:t>
      </w:r>
      <w:r w:rsidR="0019075E" w:rsidRPr="00FC406F">
        <w:rPr>
          <w:sz w:val="18"/>
          <w:szCs w:val="18"/>
        </w:rPr>
        <w:t xml:space="preserve"> on the basis of the following: It discourages t</w:t>
      </w:r>
      <w:r w:rsidR="005E04E1" w:rsidRPr="00FC406F">
        <w:rPr>
          <w:sz w:val="18"/>
          <w:szCs w:val="18"/>
        </w:rPr>
        <w:t>he detrimental differentiation between</w:t>
      </w:r>
      <w:r w:rsidR="0019075E" w:rsidRPr="00FC406F">
        <w:rPr>
          <w:sz w:val="18"/>
          <w:szCs w:val="18"/>
        </w:rPr>
        <w:t xml:space="preserve"> politicians</w:t>
      </w:r>
      <w:r w:rsidRPr="00FC406F">
        <w:rPr>
          <w:sz w:val="18"/>
          <w:szCs w:val="18"/>
        </w:rPr>
        <w:t xml:space="preserve"> (</w:t>
      </w:r>
      <w:r w:rsidR="0019075E" w:rsidRPr="00FC406F">
        <w:rPr>
          <w:sz w:val="18"/>
          <w:szCs w:val="18"/>
        </w:rPr>
        <w:t xml:space="preserve">commonly referred to as the “political </w:t>
      </w:r>
      <w:r w:rsidR="00697429" w:rsidRPr="00FC406F">
        <w:rPr>
          <w:sz w:val="18"/>
          <w:szCs w:val="18"/>
        </w:rPr>
        <w:t>establishment</w:t>
      </w:r>
      <w:r w:rsidR="0019075E" w:rsidRPr="00FC406F">
        <w:rPr>
          <w:sz w:val="18"/>
          <w:szCs w:val="18"/>
        </w:rPr>
        <w:t xml:space="preserve">") and </w:t>
      </w:r>
      <w:r w:rsidR="00697429" w:rsidRPr="00FC406F">
        <w:rPr>
          <w:sz w:val="18"/>
          <w:szCs w:val="18"/>
        </w:rPr>
        <w:t>ordinary</w:t>
      </w:r>
      <w:r w:rsidR="0019075E" w:rsidRPr="00FC406F">
        <w:rPr>
          <w:sz w:val="18"/>
          <w:szCs w:val="18"/>
        </w:rPr>
        <w:t xml:space="preserve"> citizens, in the sense that it prevents</w:t>
      </w:r>
      <w:r w:rsidR="00223265" w:rsidRPr="00FC406F">
        <w:rPr>
          <w:sz w:val="18"/>
          <w:szCs w:val="18"/>
        </w:rPr>
        <w:t xml:space="preserve"> </w:t>
      </w:r>
      <w:r w:rsidR="00EA7E2A" w:rsidRPr="00FC406F">
        <w:rPr>
          <w:sz w:val="18"/>
          <w:szCs w:val="18"/>
        </w:rPr>
        <w:t xml:space="preserve">a situation in which </w:t>
      </w:r>
      <w:r w:rsidR="005E04E1" w:rsidRPr="00FC406F">
        <w:rPr>
          <w:sz w:val="18"/>
          <w:szCs w:val="18"/>
        </w:rPr>
        <w:t xml:space="preserve">only a few individuals </w:t>
      </w:r>
      <w:r w:rsidR="00EA7E2A" w:rsidRPr="00FC406F">
        <w:rPr>
          <w:sz w:val="18"/>
          <w:szCs w:val="18"/>
        </w:rPr>
        <w:t>e</w:t>
      </w:r>
      <w:r w:rsidR="005E04E1" w:rsidRPr="00FC406F">
        <w:rPr>
          <w:sz w:val="18"/>
          <w:szCs w:val="18"/>
        </w:rPr>
        <w:t>ffectively participat</w:t>
      </w:r>
      <w:r w:rsidR="00EA7E2A" w:rsidRPr="00FC406F">
        <w:rPr>
          <w:sz w:val="18"/>
          <w:szCs w:val="18"/>
        </w:rPr>
        <w:t>e</w:t>
      </w:r>
      <w:r w:rsidR="005E04E1" w:rsidRPr="00FC406F">
        <w:rPr>
          <w:sz w:val="18"/>
          <w:szCs w:val="18"/>
        </w:rPr>
        <w:t xml:space="preserve"> in the decision-making process and the steering of public affairs in the context of local government </w:t>
      </w:r>
      <w:r w:rsidR="0019075E" w:rsidRPr="00FC406F">
        <w:rPr>
          <w:sz w:val="18"/>
          <w:szCs w:val="18"/>
        </w:rPr>
        <w:t xml:space="preserve">because of </w:t>
      </w:r>
      <w:r w:rsidR="00EA7E2A" w:rsidRPr="00FC406F">
        <w:rPr>
          <w:sz w:val="18"/>
          <w:szCs w:val="18"/>
        </w:rPr>
        <w:t xml:space="preserve">their </w:t>
      </w:r>
      <w:r w:rsidR="0019075E" w:rsidRPr="00FC406F">
        <w:rPr>
          <w:sz w:val="18"/>
          <w:szCs w:val="18"/>
        </w:rPr>
        <w:t xml:space="preserve">access to public office by </w:t>
      </w:r>
      <w:r w:rsidR="00EA7E2A" w:rsidRPr="00FC406F">
        <w:rPr>
          <w:sz w:val="18"/>
          <w:szCs w:val="18"/>
        </w:rPr>
        <w:t>universal suffrage</w:t>
      </w:r>
      <w:r w:rsidR="0019075E" w:rsidRPr="00FC406F">
        <w:rPr>
          <w:sz w:val="18"/>
          <w:szCs w:val="18"/>
        </w:rPr>
        <w:t xml:space="preserve"> and the corresponding “specialization” that this entails</w:t>
      </w:r>
      <w:r w:rsidRPr="00FC406F">
        <w:rPr>
          <w:sz w:val="18"/>
          <w:szCs w:val="18"/>
        </w:rPr>
        <w:t xml:space="preserve">; </w:t>
      </w:r>
    </w:p>
    <w:p w14:paraId="4D0D3AA5" w14:textId="77777777" w:rsidR="00694B37" w:rsidRDefault="00694B37" w:rsidP="00694B37">
      <w:pPr>
        <w:pStyle w:val="ListParagraph"/>
        <w:ind w:left="360" w:right="360"/>
        <w:jc w:val="both"/>
        <w:rPr>
          <w:sz w:val="18"/>
          <w:szCs w:val="18"/>
        </w:rPr>
      </w:pPr>
    </w:p>
    <w:p w14:paraId="0F8F9992" w14:textId="77777777" w:rsidR="00694B37" w:rsidRDefault="00B36400" w:rsidP="00694B37">
      <w:pPr>
        <w:pStyle w:val="ListParagraph"/>
        <w:ind w:left="360" w:right="360"/>
        <w:jc w:val="both"/>
        <w:rPr>
          <w:sz w:val="18"/>
          <w:szCs w:val="18"/>
        </w:rPr>
      </w:pPr>
      <w:r w:rsidRPr="00694B37">
        <w:rPr>
          <w:sz w:val="18"/>
          <w:szCs w:val="18"/>
        </w:rPr>
        <w:t>-</w:t>
      </w:r>
      <w:r w:rsidR="00223265" w:rsidRPr="00694B37">
        <w:rPr>
          <w:sz w:val="18"/>
          <w:szCs w:val="18"/>
        </w:rPr>
        <w:t xml:space="preserve"> As a result of this, citizens,</w:t>
      </w:r>
      <w:r w:rsidR="003F3C49" w:rsidRPr="00694B37">
        <w:rPr>
          <w:sz w:val="18"/>
          <w:szCs w:val="18"/>
        </w:rPr>
        <w:t xml:space="preserve"> regardless of their political e</w:t>
      </w:r>
      <w:r w:rsidR="00223265" w:rsidRPr="00694B37">
        <w:rPr>
          <w:sz w:val="18"/>
          <w:szCs w:val="18"/>
        </w:rPr>
        <w:t>xperience or background in terms of direct participation in public affairs, can become increa</w:t>
      </w:r>
      <w:r w:rsidR="00697429" w:rsidRPr="00694B37">
        <w:rPr>
          <w:sz w:val="18"/>
          <w:szCs w:val="18"/>
        </w:rPr>
        <w:t>singly involved in the latter, so as to foster and promote</w:t>
      </w:r>
      <w:r w:rsidR="00223265" w:rsidRPr="00694B37">
        <w:rPr>
          <w:sz w:val="18"/>
          <w:szCs w:val="18"/>
        </w:rPr>
        <w:t xml:space="preserve"> </w:t>
      </w:r>
      <w:r w:rsidR="00697429" w:rsidRPr="00694B37">
        <w:rPr>
          <w:sz w:val="18"/>
          <w:szCs w:val="18"/>
        </w:rPr>
        <w:t>the renewal of authorities in public service</w:t>
      </w:r>
      <w:r w:rsidR="00223265" w:rsidRPr="00694B37">
        <w:rPr>
          <w:sz w:val="18"/>
          <w:szCs w:val="18"/>
        </w:rPr>
        <w:t xml:space="preserve">, which in turn appears as an imperative call </w:t>
      </w:r>
      <w:r w:rsidR="004D655E" w:rsidRPr="00694B37">
        <w:rPr>
          <w:sz w:val="18"/>
          <w:szCs w:val="18"/>
        </w:rPr>
        <w:t>made to</w:t>
      </w:r>
      <w:r w:rsidR="00223265" w:rsidRPr="00694B37">
        <w:rPr>
          <w:sz w:val="18"/>
          <w:szCs w:val="18"/>
        </w:rPr>
        <w:t xml:space="preserve"> political parties participating in electoral contests, so that they can initiate or continue with the above-</w:t>
      </w:r>
      <w:r w:rsidR="00697429" w:rsidRPr="00694B37">
        <w:rPr>
          <w:sz w:val="18"/>
          <w:szCs w:val="18"/>
        </w:rPr>
        <w:t>mentioned effort of renewing high-ranking party members</w:t>
      </w:r>
      <w:r w:rsidR="00223265" w:rsidRPr="00694B37">
        <w:rPr>
          <w:sz w:val="18"/>
          <w:szCs w:val="18"/>
        </w:rPr>
        <w:t xml:space="preserve"> and the democratic participa</w:t>
      </w:r>
      <w:r w:rsidR="00697429" w:rsidRPr="00694B37">
        <w:rPr>
          <w:sz w:val="18"/>
          <w:szCs w:val="18"/>
        </w:rPr>
        <w:t>tion of the rank and file without the same</w:t>
      </w:r>
      <w:r w:rsidR="00223265" w:rsidRPr="00694B37">
        <w:rPr>
          <w:sz w:val="18"/>
          <w:szCs w:val="18"/>
        </w:rPr>
        <w:t xml:space="preserve"> candidates</w:t>
      </w:r>
      <w:r w:rsidR="00E0188A" w:rsidRPr="00694B37">
        <w:rPr>
          <w:sz w:val="18"/>
          <w:szCs w:val="18"/>
        </w:rPr>
        <w:t xml:space="preserve"> as always</w:t>
      </w:r>
      <w:r w:rsidR="00223265" w:rsidRPr="00694B37">
        <w:rPr>
          <w:sz w:val="18"/>
          <w:szCs w:val="18"/>
        </w:rPr>
        <w:t>, which in turn strengthens these parties because it imposes</w:t>
      </w:r>
      <w:r w:rsidR="00E0188A" w:rsidRPr="00694B37">
        <w:rPr>
          <w:sz w:val="18"/>
          <w:szCs w:val="18"/>
        </w:rPr>
        <w:t xml:space="preserve"> real limits on the power of</w:t>
      </w:r>
      <w:r w:rsidR="00223265" w:rsidRPr="00694B37">
        <w:rPr>
          <w:sz w:val="18"/>
          <w:szCs w:val="18"/>
        </w:rPr>
        <w:t xml:space="preserve"> leaders wh</w:t>
      </w:r>
      <w:r w:rsidR="008913B4" w:rsidRPr="00694B37">
        <w:rPr>
          <w:sz w:val="18"/>
          <w:szCs w:val="18"/>
        </w:rPr>
        <w:t>o</w:t>
      </w:r>
      <w:r w:rsidR="00223265" w:rsidRPr="00694B37">
        <w:rPr>
          <w:sz w:val="18"/>
          <w:szCs w:val="18"/>
        </w:rPr>
        <w:t xml:space="preserve"> tend to keep for themselves the spaces of power inside</w:t>
      </w:r>
      <w:r w:rsidR="004D655E" w:rsidRPr="00694B37">
        <w:rPr>
          <w:sz w:val="18"/>
          <w:szCs w:val="18"/>
        </w:rPr>
        <w:t xml:space="preserve"> political</w:t>
      </w:r>
      <w:r w:rsidR="00223265" w:rsidRPr="00694B37">
        <w:rPr>
          <w:sz w:val="18"/>
          <w:szCs w:val="18"/>
        </w:rPr>
        <w:t xml:space="preserve"> parties; and</w:t>
      </w:r>
    </w:p>
    <w:p w14:paraId="13033069" w14:textId="77777777" w:rsidR="00694B37" w:rsidRDefault="00694B37" w:rsidP="00694B37">
      <w:pPr>
        <w:pStyle w:val="ListParagraph"/>
        <w:ind w:left="360" w:right="360"/>
        <w:jc w:val="both"/>
        <w:rPr>
          <w:sz w:val="18"/>
          <w:szCs w:val="18"/>
        </w:rPr>
      </w:pPr>
    </w:p>
    <w:p w14:paraId="7C64F2B9" w14:textId="77777777" w:rsidR="00B36400" w:rsidRPr="00694B37" w:rsidRDefault="00B36400" w:rsidP="00694B37">
      <w:pPr>
        <w:pStyle w:val="ListParagraph"/>
        <w:ind w:left="360" w:right="360"/>
        <w:jc w:val="both"/>
        <w:rPr>
          <w:sz w:val="18"/>
          <w:szCs w:val="18"/>
        </w:rPr>
      </w:pPr>
      <w:r w:rsidRPr="00694B37">
        <w:rPr>
          <w:sz w:val="18"/>
          <w:szCs w:val="18"/>
        </w:rPr>
        <w:t>-</w:t>
      </w:r>
      <w:r w:rsidR="00223265" w:rsidRPr="00694B37">
        <w:rPr>
          <w:sz w:val="18"/>
          <w:szCs w:val="18"/>
        </w:rPr>
        <w:t xml:space="preserve"> It also promotes scrutiny of the outgoing administration by the new incoming administration, which in turn acts as an institutional mechanism for disclosure and monitoring of possible concealed practices,</w:t>
      </w:r>
      <w:r w:rsidR="00735B23" w:rsidRPr="00694B37">
        <w:rPr>
          <w:sz w:val="18"/>
          <w:szCs w:val="18"/>
        </w:rPr>
        <w:t xml:space="preserve"> which are usually not uncommon among many of the municipal administrations in our country, which is consistent with the consideration whereby, as referred to </w:t>
      </w:r>
      <w:r w:rsidR="008913B4" w:rsidRPr="00694B37">
        <w:rPr>
          <w:sz w:val="18"/>
          <w:szCs w:val="18"/>
        </w:rPr>
        <w:t xml:space="preserve">by this </w:t>
      </w:r>
      <w:r w:rsidR="00735B23" w:rsidRPr="00694B37">
        <w:rPr>
          <w:sz w:val="18"/>
          <w:szCs w:val="18"/>
        </w:rPr>
        <w:t xml:space="preserve">Constitutional Court, “combating all forms of corruption </w:t>
      </w:r>
      <w:r w:rsidR="008913B4" w:rsidRPr="00694B37">
        <w:rPr>
          <w:sz w:val="18"/>
          <w:szCs w:val="18"/>
        </w:rPr>
        <w:t>is protected</w:t>
      </w:r>
      <w:r w:rsidR="00735B23" w:rsidRPr="00694B37">
        <w:rPr>
          <w:sz w:val="18"/>
          <w:szCs w:val="18"/>
        </w:rPr>
        <w:t xml:space="preserve"> by the constitution, as eviden</w:t>
      </w:r>
      <w:r w:rsidR="004D655E" w:rsidRPr="00694B37">
        <w:rPr>
          <w:sz w:val="18"/>
          <w:szCs w:val="18"/>
        </w:rPr>
        <w:t>t in Articles 39 and 41 of the C</w:t>
      </w:r>
      <w:r w:rsidR="00735B23" w:rsidRPr="00694B37">
        <w:rPr>
          <w:sz w:val="18"/>
          <w:szCs w:val="18"/>
        </w:rPr>
        <w:t xml:space="preserve">onstitution, as well as </w:t>
      </w:r>
      <w:r w:rsidR="008913B4" w:rsidRPr="00694B37">
        <w:rPr>
          <w:sz w:val="18"/>
          <w:szCs w:val="18"/>
        </w:rPr>
        <w:t xml:space="preserve">by </w:t>
      </w:r>
      <w:r w:rsidR="00735B23" w:rsidRPr="00694B37">
        <w:rPr>
          <w:sz w:val="18"/>
          <w:szCs w:val="18"/>
        </w:rPr>
        <w:t>democratic law and order as provided for in Article 43 of the Constitution</w:t>
      </w:r>
      <w:r w:rsidRPr="00694B37">
        <w:rPr>
          <w:sz w:val="18"/>
          <w:szCs w:val="18"/>
        </w:rPr>
        <w:t>" (STC 00017-2011-PI/TC, FJ 16). 15.</w:t>
      </w:r>
      <w:r w:rsidR="00735B23" w:rsidRPr="00694B37">
        <w:rPr>
          <w:sz w:val="18"/>
          <w:szCs w:val="18"/>
        </w:rPr>
        <w:t xml:space="preserve"> As a result, I note that the constitutional reform that is being challenged in the instant case does not entail any impact on the supremacy of the constitution for mayors who are being targeted by this reform, to the extent that our legal system has not recognized the right to be reelected, let alone to be reelected immediately</w:t>
      </w:r>
      <w:r w:rsidR="008913B4" w:rsidRPr="00694B37">
        <w:rPr>
          <w:sz w:val="18"/>
          <w:szCs w:val="18"/>
        </w:rPr>
        <w:t>,</w:t>
      </w:r>
      <w:r w:rsidR="00735B23" w:rsidRPr="00694B37">
        <w:rPr>
          <w:sz w:val="18"/>
          <w:szCs w:val="18"/>
        </w:rPr>
        <w:t xml:space="preserve"> and which, on </w:t>
      </w:r>
      <w:r w:rsidR="008913B4" w:rsidRPr="00694B37">
        <w:rPr>
          <w:sz w:val="18"/>
          <w:szCs w:val="18"/>
        </w:rPr>
        <w:t>the contrary, contributes to</w:t>
      </w:r>
      <w:r w:rsidR="00735B23" w:rsidRPr="00694B37">
        <w:rPr>
          <w:sz w:val="18"/>
          <w:szCs w:val="18"/>
        </w:rPr>
        <w:t xml:space="preserve"> full realization</w:t>
      </w:r>
      <w:r w:rsidR="008913B4" w:rsidRPr="00694B37">
        <w:rPr>
          <w:sz w:val="18"/>
          <w:szCs w:val="18"/>
        </w:rPr>
        <w:t xml:space="preserve"> of the above</w:t>
      </w:r>
      <w:r w:rsidR="00735B23" w:rsidRPr="00694B37">
        <w:rPr>
          <w:sz w:val="18"/>
          <w:szCs w:val="18"/>
        </w:rPr>
        <w:t>.</w:t>
      </w:r>
      <w:r w:rsidRPr="00FC406F">
        <w:rPr>
          <w:vertAlign w:val="superscript"/>
        </w:rPr>
        <w:footnoteReference w:id="61"/>
      </w:r>
    </w:p>
    <w:p w14:paraId="47C0A775" w14:textId="77777777" w:rsidR="00B36400" w:rsidRPr="00FC406F" w:rsidRDefault="00B36400" w:rsidP="00B36400">
      <w:pPr>
        <w:pStyle w:val="parrafos"/>
        <w:ind w:left="0" w:firstLine="0"/>
      </w:pPr>
    </w:p>
    <w:p w14:paraId="44E4FDE8" w14:textId="77777777" w:rsidR="00B36400" w:rsidRPr="00FC406F" w:rsidRDefault="00735B23" w:rsidP="00031C34">
      <w:pPr>
        <w:pStyle w:val="parrafos"/>
        <w:numPr>
          <w:ilvl w:val="0"/>
          <w:numId w:val="54"/>
        </w:numPr>
        <w:tabs>
          <w:tab w:val="clear" w:pos="1440"/>
        </w:tabs>
        <w:ind w:left="0" w:firstLine="0"/>
      </w:pPr>
      <w:r w:rsidRPr="00FC406F">
        <w:t xml:space="preserve">As for the </w:t>
      </w:r>
      <w:r w:rsidRPr="00FC406F">
        <w:rPr>
          <w:i/>
        </w:rPr>
        <w:t>Supreme Court of Justice of the Nation of Argentina,</w:t>
      </w:r>
      <w:r w:rsidRPr="00FC406F">
        <w:t xml:space="preserve"> in 1999 it dismissed an extraordinary appeal aimed at</w:t>
      </w:r>
      <w:r w:rsidR="00F916A0" w:rsidRPr="00FC406F">
        <w:t xml:space="preserve"> having the Court </w:t>
      </w:r>
      <w:r w:rsidR="008913B4" w:rsidRPr="00FC406F">
        <w:t>disqualify</w:t>
      </w:r>
      <w:r w:rsidRPr="00FC406F">
        <w:t xml:space="preserve"> the ninth transitory clause of the Constitution and to authorize the presidential reelection of Carlos Menem. In his vote, Minister Petracchi stressed</w:t>
      </w:r>
      <w:r w:rsidR="00B36400" w:rsidRPr="00FC406F">
        <w:t>:</w:t>
      </w:r>
    </w:p>
    <w:p w14:paraId="1FED9549" w14:textId="77777777" w:rsidR="00B36400" w:rsidRPr="00FC406F" w:rsidRDefault="00B36400" w:rsidP="00B36400">
      <w:pPr>
        <w:pStyle w:val="parrafos"/>
        <w:ind w:left="0" w:firstLine="0"/>
      </w:pPr>
    </w:p>
    <w:p w14:paraId="7884C97D" w14:textId="77777777" w:rsidR="00694B37" w:rsidRDefault="00B36400" w:rsidP="00694B37">
      <w:pPr>
        <w:pStyle w:val="ListParagraph"/>
        <w:ind w:left="360" w:right="360"/>
        <w:jc w:val="both"/>
        <w:rPr>
          <w:sz w:val="18"/>
          <w:szCs w:val="18"/>
        </w:rPr>
      </w:pPr>
      <w:r w:rsidRPr="00FC406F">
        <w:rPr>
          <w:sz w:val="18"/>
          <w:szCs w:val="18"/>
        </w:rPr>
        <w:t xml:space="preserve">(..) </w:t>
      </w:r>
      <w:r w:rsidR="00735B23" w:rsidRPr="00FC406F">
        <w:rPr>
          <w:sz w:val="18"/>
          <w:szCs w:val="18"/>
        </w:rPr>
        <w:t xml:space="preserve">that Article 90 of the National Constitution provides that “the president and the vice-president remain in office for four years and may be reelected or mutually succeed each other for a single consecutive term of office. If they have been reelected or have mutually succeeded </w:t>
      </w:r>
      <w:r w:rsidR="00E0188A" w:rsidRPr="00FC406F">
        <w:rPr>
          <w:sz w:val="18"/>
          <w:szCs w:val="18"/>
        </w:rPr>
        <w:t>one another</w:t>
      </w:r>
      <w:r w:rsidR="00735B23" w:rsidRPr="00FC406F">
        <w:rPr>
          <w:sz w:val="18"/>
          <w:szCs w:val="18"/>
        </w:rPr>
        <w:t xml:space="preserve"> they cannot be elected to either of both offices, unless the interval of one term of office has elapsed. The ninth transitory clause establishes that “the term of office of the incumbent president when this amendment was</w:t>
      </w:r>
      <w:r w:rsidR="00230B8F" w:rsidRPr="00FC406F">
        <w:rPr>
          <w:sz w:val="18"/>
          <w:szCs w:val="18"/>
        </w:rPr>
        <w:t xml:space="preserve"> being enacted shall be deemed to </w:t>
      </w:r>
      <w:r w:rsidR="00F423E9" w:rsidRPr="00FC406F">
        <w:rPr>
          <w:sz w:val="18"/>
          <w:szCs w:val="18"/>
        </w:rPr>
        <w:t xml:space="preserve">be </w:t>
      </w:r>
      <w:r w:rsidR="00230B8F" w:rsidRPr="00FC406F">
        <w:rPr>
          <w:sz w:val="18"/>
          <w:szCs w:val="18"/>
        </w:rPr>
        <w:t>his or her first term of office.”</w:t>
      </w:r>
    </w:p>
    <w:p w14:paraId="1932B48D" w14:textId="77777777" w:rsidR="00694B37" w:rsidRDefault="00694B37" w:rsidP="00694B37">
      <w:pPr>
        <w:pStyle w:val="ListParagraph"/>
        <w:ind w:left="360" w:right="360"/>
        <w:jc w:val="both"/>
        <w:rPr>
          <w:sz w:val="18"/>
          <w:szCs w:val="18"/>
        </w:rPr>
      </w:pPr>
    </w:p>
    <w:p w14:paraId="49454DAE" w14:textId="77777777" w:rsidR="00694B37" w:rsidRDefault="00B36400" w:rsidP="00694B37">
      <w:pPr>
        <w:pStyle w:val="ListParagraph"/>
        <w:ind w:left="360" w:right="360"/>
        <w:jc w:val="both"/>
        <w:rPr>
          <w:sz w:val="18"/>
          <w:szCs w:val="18"/>
        </w:rPr>
      </w:pPr>
      <w:r w:rsidRPr="00694B37">
        <w:rPr>
          <w:sz w:val="18"/>
          <w:szCs w:val="18"/>
        </w:rPr>
        <w:t xml:space="preserve">(…) </w:t>
      </w:r>
      <w:r w:rsidR="00230B8F" w:rsidRPr="00694B37">
        <w:rPr>
          <w:sz w:val="18"/>
          <w:szCs w:val="18"/>
        </w:rPr>
        <w:t>the republican form of governmen</w:t>
      </w:r>
      <w:r w:rsidR="00F423E9" w:rsidRPr="00694B37">
        <w:rPr>
          <w:sz w:val="18"/>
          <w:szCs w:val="18"/>
        </w:rPr>
        <w:t>t―</w:t>
      </w:r>
      <w:r w:rsidR="00230B8F" w:rsidRPr="00694B37">
        <w:rPr>
          <w:sz w:val="18"/>
          <w:szCs w:val="18"/>
        </w:rPr>
        <w:t>liable, in and of itself, to a wide range of alternatives justified on the basis of social, cultur</w:t>
      </w:r>
      <w:r w:rsidR="00F423E9" w:rsidRPr="00694B37">
        <w:rPr>
          <w:sz w:val="18"/>
          <w:szCs w:val="18"/>
        </w:rPr>
        <w:t>al, institutional, etc. reasons―</w:t>
      </w:r>
      <w:r w:rsidR="00230B8F" w:rsidRPr="00694B37">
        <w:rPr>
          <w:sz w:val="18"/>
          <w:szCs w:val="18"/>
        </w:rPr>
        <w:t>does not necessarily require recognition of the right of rule</w:t>
      </w:r>
      <w:r w:rsidR="00F423E9" w:rsidRPr="00694B37">
        <w:rPr>
          <w:sz w:val="18"/>
          <w:szCs w:val="18"/>
        </w:rPr>
        <w:t>r</w:t>
      </w:r>
      <w:r w:rsidR="00230B8F" w:rsidRPr="00694B37">
        <w:rPr>
          <w:sz w:val="18"/>
          <w:szCs w:val="18"/>
        </w:rPr>
        <w:t>s to be elected again</w:t>
      </w:r>
      <w:r w:rsidRPr="00694B37">
        <w:rPr>
          <w:sz w:val="18"/>
          <w:szCs w:val="18"/>
        </w:rPr>
        <w:t xml:space="preserve"> (…)</w:t>
      </w:r>
      <w:r w:rsidR="00F423E9" w:rsidRPr="00694B37">
        <w:rPr>
          <w:sz w:val="18"/>
          <w:szCs w:val="18"/>
        </w:rPr>
        <w:t>.</w:t>
      </w:r>
      <w:r w:rsidR="00230B8F" w:rsidRPr="00694B37">
        <w:rPr>
          <w:sz w:val="18"/>
          <w:szCs w:val="18"/>
        </w:rPr>
        <w:t xml:space="preserve"> What underlies the clause being examined when authorizing a six-year term of office to be succeeded by two four-year terms, is an assessment of what is deemed excessive for a republican system</w:t>
      </w:r>
      <w:r w:rsidRPr="00694B37">
        <w:rPr>
          <w:sz w:val="18"/>
          <w:szCs w:val="18"/>
        </w:rPr>
        <w:t xml:space="preserve">. </w:t>
      </w:r>
    </w:p>
    <w:p w14:paraId="02C1D87E" w14:textId="77777777" w:rsidR="00694B37" w:rsidRDefault="00694B37" w:rsidP="00694B37">
      <w:pPr>
        <w:pStyle w:val="ListParagraph"/>
        <w:ind w:left="360" w:right="360"/>
        <w:jc w:val="both"/>
        <w:rPr>
          <w:sz w:val="18"/>
          <w:szCs w:val="18"/>
        </w:rPr>
      </w:pPr>
    </w:p>
    <w:p w14:paraId="619B09CD" w14:textId="77777777" w:rsidR="00B36400" w:rsidRPr="00694B37" w:rsidRDefault="00230B8F" w:rsidP="00694B37">
      <w:pPr>
        <w:pStyle w:val="ListParagraph"/>
        <w:ind w:left="360" w:right="360"/>
        <w:jc w:val="both"/>
        <w:rPr>
          <w:sz w:val="18"/>
          <w:szCs w:val="18"/>
        </w:rPr>
      </w:pPr>
      <w:r w:rsidRPr="00694B37">
        <w:rPr>
          <w:sz w:val="18"/>
          <w:szCs w:val="18"/>
        </w:rPr>
        <w:t>(…) standards that impose limits on reelecting those who perform executive roles does not breach any of the principles of the National Constitution</w:t>
      </w:r>
      <w:r w:rsidR="00B36400" w:rsidRPr="00694B37">
        <w:rPr>
          <w:sz w:val="18"/>
          <w:szCs w:val="18"/>
        </w:rPr>
        <w:t xml:space="preserve"> (…) </w:t>
      </w:r>
      <w:r w:rsidRPr="00694B37">
        <w:rPr>
          <w:sz w:val="18"/>
          <w:szCs w:val="18"/>
        </w:rPr>
        <w:t xml:space="preserve">precisely because one of the essential pillars (if not the most essential) of the democratic system adopted in our Constitution is the limit on the duration of presidential </w:t>
      </w:r>
      <w:r w:rsidR="00F423E9" w:rsidRPr="00694B37">
        <w:rPr>
          <w:sz w:val="18"/>
          <w:szCs w:val="18"/>
        </w:rPr>
        <w:t>functions</w:t>
      </w:r>
      <w:r w:rsidRPr="00694B37">
        <w:rPr>
          <w:sz w:val="18"/>
          <w:szCs w:val="18"/>
        </w:rPr>
        <w:t>.</w:t>
      </w:r>
      <w:r w:rsidR="00B36400" w:rsidRPr="00FC406F">
        <w:rPr>
          <w:rStyle w:val="FootnoteReference"/>
          <w:sz w:val="18"/>
          <w:szCs w:val="18"/>
        </w:rPr>
        <w:footnoteReference w:id="62"/>
      </w:r>
    </w:p>
    <w:p w14:paraId="13D3E7E0" w14:textId="77777777" w:rsidR="00B36400" w:rsidRPr="00FC406F" w:rsidRDefault="00B36400" w:rsidP="00B36400"/>
    <w:p w14:paraId="43734428" w14:textId="77777777" w:rsidR="00B36400" w:rsidRPr="00EC1180" w:rsidRDefault="00B36400" w:rsidP="00031C34">
      <w:pPr>
        <w:pStyle w:val="Heading3"/>
        <w:keepLines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before="0"/>
        <w:ind w:left="0" w:firstLine="0"/>
        <w:rPr>
          <w:color w:val="auto"/>
          <w:sz w:val="20"/>
          <w:szCs w:val="20"/>
        </w:rPr>
      </w:pPr>
      <w:bookmarkStart w:id="32" w:name="_Toc42609977"/>
      <w:bookmarkStart w:id="33" w:name="_Toc56778659"/>
      <w:r w:rsidRPr="00EC1180">
        <w:rPr>
          <w:color w:val="auto"/>
          <w:sz w:val="20"/>
          <w:szCs w:val="20"/>
        </w:rPr>
        <w:t>An</w:t>
      </w:r>
      <w:r w:rsidR="00C511F4" w:rsidRPr="00EC1180">
        <w:rPr>
          <w:color w:val="auto"/>
          <w:sz w:val="20"/>
          <w:szCs w:val="20"/>
        </w:rPr>
        <w:t>alysis of the instant case</w:t>
      </w:r>
      <w:bookmarkEnd w:id="32"/>
      <w:bookmarkEnd w:id="33"/>
    </w:p>
    <w:p w14:paraId="380A8CD2" w14:textId="77777777" w:rsidR="00B36400" w:rsidRPr="00FC406F" w:rsidRDefault="00B36400" w:rsidP="00B36400"/>
    <w:p w14:paraId="07C92969" w14:textId="77777777" w:rsidR="00B36400" w:rsidRPr="00FC406F" w:rsidRDefault="00C511F4" w:rsidP="00031C34">
      <w:pPr>
        <w:pStyle w:val="parrafos"/>
        <w:numPr>
          <w:ilvl w:val="0"/>
          <w:numId w:val="54"/>
        </w:numPr>
        <w:tabs>
          <w:tab w:val="clear" w:pos="1440"/>
        </w:tabs>
        <w:ind w:left="0" w:firstLine="0"/>
      </w:pPr>
      <w:r w:rsidRPr="00FC406F">
        <w:t xml:space="preserve">In the instant case, </w:t>
      </w:r>
      <w:r w:rsidR="00997B24" w:rsidRPr="00FC406F">
        <w:t>it must be examined whether or not the alleged victim’s right to participat</w:t>
      </w:r>
      <w:r w:rsidR="00D62916" w:rsidRPr="00FC406F">
        <w:t>e on equal terms</w:t>
      </w:r>
      <w:r w:rsidR="00997B24" w:rsidRPr="00FC406F">
        <w:t xml:space="preserve"> in the 2011 presidential elections</w:t>
      </w:r>
      <w:r w:rsidR="00F423E9" w:rsidRPr="00FC406F">
        <w:t xml:space="preserve"> was breached</w:t>
      </w:r>
      <w:r w:rsidR="00997B24" w:rsidRPr="00FC406F">
        <w:t xml:space="preserve"> because of the participation of President José Daniel Ortega Saavedra in said electoral contest. The Commission recalls that said right entails participating in the process under conditions that are equivalent, that is, under basic conditions that are similar, without undue advantages for one of the participants in the electoral process</w:t>
      </w:r>
      <w:r w:rsidR="00B36400" w:rsidRPr="00FC406F">
        <w:t xml:space="preserve">. </w:t>
      </w:r>
    </w:p>
    <w:p w14:paraId="4B4661CF" w14:textId="77777777" w:rsidR="00B36400" w:rsidRPr="00FC406F" w:rsidRDefault="00B36400" w:rsidP="00B36400">
      <w:pPr>
        <w:pStyle w:val="parrafos"/>
        <w:ind w:left="0" w:firstLine="0"/>
      </w:pPr>
    </w:p>
    <w:p w14:paraId="662312AC" w14:textId="77777777" w:rsidR="00B36400" w:rsidRPr="00FC406F" w:rsidRDefault="00997B24" w:rsidP="00031C34">
      <w:pPr>
        <w:pStyle w:val="parrafos"/>
        <w:numPr>
          <w:ilvl w:val="0"/>
          <w:numId w:val="54"/>
        </w:numPr>
        <w:tabs>
          <w:tab w:val="clear" w:pos="1440"/>
        </w:tabs>
        <w:ind w:left="0" w:firstLine="0"/>
      </w:pPr>
      <w:r w:rsidRPr="00FC406F">
        <w:t xml:space="preserve">The Commission recalls that, by the year 2011, President </w:t>
      </w:r>
      <w:r w:rsidR="00B36400" w:rsidRPr="00FC406F">
        <w:t>Ortega ha</w:t>
      </w:r>
      <w:r w:rsidRPr="00FC406F">
        <w:t xml:space="preserve">d been in office as president from 1985 to 1990 and was, at the time, the incumbent president since 2006 and up to 2011. During the latter term of office as president, the IACHR confirmed that a general context of concentration of power in the hands of the executive branch prevailed, leading to complaints about the absence of </w:t>
      </w:r>
      <w:r w:rsidR="00F423E9" w:rsidRPr="00FC406F">
        <w:t>independence</w:t>
      </w:r>
      <w:r w:rsidRPr="00FC406F">
        <w:t xml:space="preserve"> and impartiality of the Supreme Court of Justice and</w:t>
      </w:r>
      <w:r w:rsidR="00B36400" w:rsidRPr="00FC406F">
        <w:t xml:space="preserve"> </w:t>
      </w:r>
      <w:r w:rsidRPr="00FC406F">
        <w:t xml:space="preserve">the Supreme Electoral Council, as well as the appointments of persons close to the executive to several </w:t>
      </w:r>
      <w:r w:rsidR="00F423E9" w:rsidRPr="00FC406F">
        <w:t>monitoring</w:t>
      </w:r>
      <w:r w:rsidRPr="00FC406F">
        <w:t xml:space="preserve"> bodies. The IACHR also recalls that, although Article 147 of the Constitution </w:t>
      </w:r>
      <w:r w:rsidRPr="00FC406F">
        <w:lastRenderedPageBreak/>
        <w:t>banned the reelection of a president if he or she has held two terms of office in the presidency</w:t>
      </w:r>
      <w:r w:rsidR="00B36400" w:rsidRPr="00FC406F">
        <w:t xml:space="preserve">, </w:t>
      </w:r>
      <w:r w:rsidR="008304C3" w:rsidRPr="00FC406F">
        <w:t>in October 2009, in response to an appeal for protection on constitutional grounds filed by the President and other persons, the Constitutional Chamber of the Supreme Court of Justi</w:t>
      </w:r>
      <w:r w:rsidR="003F3C49" w:rsidRPr="00FC406F">
        <w:t>ce ruled that said article was nonapplicable</w:t>
      </w:r>
      <w:r w:rsidR="008304C3" w:rsidRPr="00FC406F">
        <w:t xml:space="preserve"> because it violated the principle of equality</w:t>
      </w:r>
      <w:r w:rsidR="00D62916" w:rsidRPr="00FC406F">
        <w:t>,</w:t>
      </w:r>
      <w:r w:rsidR="008304C3" w:rsidRPr="00FC406F">
        <w:t xml:space="preserve"> and the plenary of the same judicial body rule</w:t>
      </w:r>
      <w:r w:rsidR="00F423E9" w:rsidRPr="00FC406F">
        <w:t>d</w:t>
      </w:r>
      <w:r w:rsidR="008304C3" w:rsidRPr="00FC406F">
        <w:t xml:space="preserve"> that said constitutional norm was inapplicable</w:t>
      </w:r>
      <w:r w:rsidR="00B36400" w:rsidRPr="00FC406F">
        <w:t xml:space="preserve"> </w:t>
      </w:r>
      <w:r w:rsidR="00B36400" w:rsidRPr="00FC406F">
        <w:rPr>
          <w:i/>
        </w:rPr>
        <w:t>erga omnes</w:t>
      </w:r>
      <w:r w:rsidR="00B36400" w:rsidRPr="00FC406F">
        <w:t>.</w:t>
      </w:r>
    </w:p>
    <w:p w14:paraId="6A902D78" w14:textId="77777777" w:rsidR="00B36400" w:rsidRPr="00FC406F" w:rsidRDefault="00B36400" w:rsidP="00B36400">
      <w:pPr>
        <w:pStyle w:val="parrafos"/>
        <w:ind w:left="0" w:firstLine="0"/>
      </w:pPr>
    </w:p>
    <w:p w14:paraId="382D3E65" w14:textId="77777777" w:rsidR="00B36400" w:rsidRPr="00FC406F" w:rsidRDefault="008304C3" w:rsidP="00031C34">
      <w:pPr>
        <w:pStyle w:val="parrafos"/>
        <w:numPr>
          <w:ilvl w:val="0"/>
          <w:numId w:val="54"/>
        </w:numPr>
        <w:tabs>
          <w:tab w:val="clear" w:pos="1440"/>
        </w:tabs>
        <w:ind w:left="0" w:firstLine="0"/>
      </w:pPr>
      <w:r w:rsidRPr="00FC406F">
        <w:t>Although, in the present case, it is not the Commission’s role to determine whether or not reelection is a human right, the Commission stresses that indefinite reelection or extensive presidential terms of office held by one single person in certain contexts where there are no adequ</w:t>
      </w:r>
      <w:r w:rsidR="00F77176" w:rsidRPr="00FC406F">
        <w:t>ate safeguards or guarantees may</w:t>
      </w:r>
      <w:r w:rsidRPr="00FC406F">
        <w:t xml:space="preserve"> entail certain risks for representative democracy, which is a key pillar of the inter-American system</w:t>
      </w:r>
      <w:r w:rsidR="00B36400" w:rsidRPr="00FC406F">
        <w:t xml:space="preserve">. </w:t>
      </w:r>
      <w:r w:rsidRPr="00FC406F">
        <w:t>To the extent that the incumbent government has the authority to appoint officials to monitoring bodies and other branches of government, their prolonged or indefinite permanence in government may lead to a concentration of power that renders illusory</w:t>
      </w:r>
      <w:r w:rsidR="00F423E9" w:rsidRPr="00FC406F">
        <w:t xml:space="preserve"> the</w:t>
      </w:r>
      <w:r w:rsidRPr="00FC406F">
        <w:t xml:space="preserve"> institutional equilibrium secured through the system of checks and balances and </w:t>
      </w:r>
      <w:r w:rsidR="00F77176" w:rsidRPr="00FC406F">
        <w:t>may end</w:t>
      </w:r>
      <w:r w:rsidRPr="00FC406F">
        <w:t xml:space="preserve"> up undermining the </w:t>
      </w:r>
      <w:r w:rsidR="00F77176" w:rsidRPr="00FC406F">
        <w:t>foundations</w:t>
      </w:r>
      <w:r w:rsidRPr="00FC406F">
        <w:t xml:space="preserve"> of de</w:t>
      </w:r>
      <w:r w:rsidR="00036B00" w:rsidRPr="00FC406F">
        <w:t xml:space="preserve">mocracy such as rotation in office </w:t>
      </w:r>
      <w:r w:rsidRPr="00FC406F">
        <w:t>and access to power as a guarantee of pluralism</w:t>
      </w:r>
      <w:r w:rsidR="00B36400" w:rsidRPr="00FC406F">
        <w:t xml:space="preserve">. </w:t>
      </w:r>
    </w:p>
    <w:p w14:paraId="3ABF6E73" w14:textId="77777777" w:rsidR="00B36400" w:rsidRPr="00FC406F" w:rsidRDefault="00B36400" w:rsidP="00B36400">
      <w:pPr>
        <w:pStyle w:val="parrafos"/>
        <w:ind w:left="0" w:firstLine="0"/>
      </w:pPr>
    </w:p>
    <w:p w14:paraId="5CFD0FBC" w14:textId="77777777" w:rsidR="00B36400" w:rsidRPr="00FC406F" w:rsidRDefault="00036B00" w:rsidP="00031C34">
      <w:pPr>
        <w:pStyle w:val="parrafos"/>
        <w:numPr>
          <w:ilvl w:val="0"/>
          <w:numId w:val="54"/>
        </w:numPr>
        <w:tabs>
          <w:tab w:val="clear" w:pos="1440"/>
        </w:tabs>
        <w:ind w:left="0" w:firstLine="0"/>
      </w:pPr>
      <w:r w:rsidRPr="00FC406F">
        <w:t xml:space="preserve">In the instant </w:t>
      </w:r>
      <w:r w:rsidR="008304C3" w:rsidRPr="00FC406F">
        <w:t xml:space="preserve">case, the Commission observes that, apart from the general context of concentration of power and the </w:t>
      </w:r>
      <w:r w:rsidR="00B90C4D" w:rsidRPr="00FC406F">
        <w:t>undermining</w:t>
      </w:r>
      <w:r w:rsidR="008304C3" w:rsidRPr="00FC406F">
        <w:t xml:space="preserve"> of</w:t>
      </w:r>
      <w:r w:rsidR="005149A7" w:rsidRPr="00FC406F">
        <w:t xml:space="preserve"> institutions described, </w:t>
      </w:r>
      <w:r w:rsidR="00B90C4D" w:rsidRPr="00FC406F">
        <w:t>which proved</w:t>
      </w:r>
      <w:r w:rsidR="005149A7" w:rsidRPr="00FC406F">
        <w:t xml:space="preserve"> </w:t>
      </w:r>
      <w:r w:rsidR="00B90C4D" w:rsidRPr="00FC406F">
        <w:t xml:space="preserve">that the President of Nicaragua did </w:t>
      </w:r>
      <w:r w:rsidR="005149A7" w:rsidRPr="00FC406F">
        <w:t xml:space="preserve">participate </w:t>
      </w:r>
      <w:r w:rsidR="00B90C4D" w:rsidRPr="00FC406F">
        <w:t xml:space="preserve">under </w:t>
      </w:r>
      <w:r w:rsidR="005149A7" w:rsidRPr="00FC406F">
        <w:t>advantageous conditions compared to the situation of other candidates in the electoral process of 2011, the IACHR underscores that the electoral observation reports refer to a series of elements that created undue advantages for the incumbent president. In particular</w:t>
      </w:r>
      <w:r w:rsidR="00B36400" w:rsidRPr="00FC406F">
        <w:t>:</w:t>
      </w:r>
    </w:p>
    <w:p w14:paraId="735196F4" w14:textId="77777777" w:rsidR="00B36400" w:rsidRPr="00FC406F" w:rsidRDefault="00B36400" w:rsidP="00B36400">
      <w:pPr>
        <w:pStyle w:val="parrafos"/>
        <w:tabs>
          <w:tab w:val="left" w:pos="180"/>
        </w:tabs>
        <w:ind w:left="0" w:firstLine="0"/>
      </w:pPr>
    </w:p>
    <w:p w14:paraId="1C1911EB" w14:textId="77777777" w:rsidR="00B36400" w:rsidRPr="00FC406F" w:rsidRDefault="00820145" w:rsidP="00694B37">
      <w:pPr>
        <w:pStyle w:val="parrafos"/>
        <w:numPr>
          <w:ilvl w:val="0"/>
          <w:numId w:val="62"/>
        </w:numPr>
        <w:tabs>
          <w:tab w:val="clear" w:pos="1440"/>
          <w:tab w:val="left" w:pos="180"/>
        </w:tabs>
        <w:ind w:right="360"/>
      </w:pPr>
      <w:r w:rsidRPr="00FC406F">
        <w:t>It was confirmed that public resources were used to support President Ortega’s electoral campaign, Specifically, public works were inaugurated and public goods were distributed for partisan campaigning</w:t>
      </w:r>
      <w:r w:rsidR="00036B00" w:rsidRPr="00FC406F">
        <w:t xml:space="preserve"> purposes</w:t>
      </w:r>
      <w:r w:rsidRPr="00FC406F">
        <w:t>. Furthermore, the Citizens Power Councils, created by president</w:t>
      </w:r>
      <w:r w:rsidR="00CB56C0" w:rsidRPr="00FC406F">
        <w:t>i</w:t>
      </w:r>
      <w:r w:rsidRPr="00FC406F">
        <w:t>al decree, undertook electoral campaigning for the benefi</w:t>
      </w:r>
      <w:r w:rsidR="00036B00" w:rsidRPr="00FC406F">
        <w:t>t of the president and organized</w:t>
      </w:r>
      <w:r w:rsidRPr="00FC406F">
        <w:t xml:space="preserve"> events with voters in which public </w:t>
      </w:r>
      <w:r w:rsidR="00CB56C0" w:rsidRPr="00FC406F">
        <w:t>good</w:t>
      </w:r>
      <w:r w:rsidRPr="00FC406F">
        <w:t xml:space="preserve">s </w:t>
      </w:r>
      <w:r w:rsidR="00CB56C0" w:rsidRPr="00FC406F">
        <w:t>and services were us</w:t>
      </w:r>
      <w:r w:rsidRPr="00FC406F">
        <w:t>ed</w:t>
      </w:r>
      <w:r w:rsidR="00B36400" w:rsidRPr="00FC406F">
        <w:t>.</w:t>
      </w:r>
    </w:p>
    <w:p w14:paraId="08D120D8" w14:textId="77777777" w:rsidR="00B36400" w:rsidRPr="00FC406F" w:rsidRDefault="00B36400" w:rsidP="00694B37">
      <w:pPr>
        <w:pStyle w:val="parrafos"/>
        <w:tabs>
          <w:tab w:val="left" w:pos="180"/>
        </w:tabs>
        <w:ind w:left="0" w:right="360" w:firstLine="0"/>
      </w:pPr>
    </w:p>
    <w:p w14:paraId="59E5A1FC" w14:textId="77777777" w:rsidR="00B36400" w:rsidRPr="00FC406F" w:rsidRDefault="00CB56C0" w:rsidP="00694B37">
      <w:pPr>
        <w:pStyle w:val="parrafos"/>
        <w:numPr>
          <w:ilvl w:val="0"/>
          <w:numId w:val="62"/>
        </w:numPr>
        <w:tabs>
          <w:tab w:val="clear" w:pos="1440"/>
          <w:tab w:val="left" w:pos="180"/>
        </w:tabs>
        <w:ind w:right="360"/>
      </w:pPr>
      <w:r w:rsidRPr="00FC406F">
        <w:t>In the media it was observed that the ruling party benefited from more campaign advertising than all of its rivals put together in almost all the media. Furthermore, the state-owned media did not provide the thirty minutes that rightfully belonged to the other political parties pursuant to the law on elections</w:t>
      </w:r>
      <w:r w:rsidR="00B36400" w:rsidRPr="00FC406F">
        <w:t xml:space="preserve">. </w:t>
      </w:r>
    </w:p>
    <w:p w14:paraId="59841E22" w14:textId="77777777" w:rsidR="00B36400" w:rsidRPr="00FC406F" w:rsidRDefault="00B36400" w:rsidP="00694B37">
      <w:pPr>
        <w:pStyle w:val="parrafos"/>
        <w:tabs>
          <w:tab w:val="left" w:pos="180"/>
        </w:tabs>
        <w:ind w:right="360" w:firstLine="0"/>
      </w:pPr>
    </w:p>
    <w:p w14:paraId="3C84D32C" w14:textId="77777777" w:rsidR="00B36400" w:rsidRPr="00FC406F" w:rsidRDefault="00CB56C0" w:rsidP="00694B37">
      <w:pPr>
        <w:pStyle w:val="parrafos"/>
        <w:numPr>
          <w:ilvl w:val="0"/>
          <w:numId w:val="62"/>
        </w:numPr>
        <w:tabs>
          <w:tab w:val="clear" w:pos="1440"/>
          <w:tab w:val="left" w:pos="180"/>
        </w:tabs>
        <w:ind w:right="360"/>
      </w:pPr>
      <w:r w:rsidRPr="00FC406F">
        <w:t xml:space="preserve">The IACHR recalls, regarding this, the context of </w:t>
      </w:r>
      <w:r w:rsidR="00036B00" w:rsidRPr="00FC406F">
        <w:t xml:space="preserve">media </w:t>
      </w:r>
      <w:r w:rsidRPr="00FC406F">
        <w:t xml:space="preserve">concentration </w:t>
      </w:r>
      <w:r w:rsidR="00036B00" w:rsidRPr="00FC406F">
        <w:t>as</w:t>
      </w:r>
      <w:r w:rsidRPr="00FC406F">
        <w:t xml:space="preserve"> documented by the IACHR Special Rapporteurship for Freedom of Expression, according to which most of the audiovisual media in Nicaragua were under the political control of the President’s family and or </w:t>
      </w:r>
      <w:r w:rsidR="00036B00" w:rsidRPr="00FC406F">
        <w:t xml:space="preserve">an </w:t>
      </w:r>
      <w:r w:rsidRPr="00FC406F">
        <w:t>affiliated businessperson. In 2011, the Rapporteurship documented the broadcasting of many presidential messages on all cable television channels, which even included partisan contents</w:t>
      </w:r>
      <w:r w:rsidR="00B36400" w:rsidRPr="00FC406F">
        <w:t>.</w:t>
      </w:r>
    </w:p>
    <w:p w14:paraId="4EA60A23" w14:textId="77777777" w:rsidR="00B36400" w:rsidRPr="00FC406F" w:rsidRDefault="00B36400" w:rsidP="00694B37">
      <w:pPr>
        <w:pStyle w:val="parrafos"/>
        <w:tabs>
          <w:tab w:val="left" w:pos="180"/>
        </w:tabs>
        <w:ind w:left="0" w:right="360" w:firstLine="0"/>
      </w:pPr>
    </w:p>
    <w:p w14:paraId="52DFC1AC" w14:textId="77777777" w:rsidR="00B36400" w:rsidRPr="00FC406F" w:rsidRDefault="00CB56C0" w:rsidP="00694B37">
      <w:pPr>
        <w:pStyle w:val="parrafos"/>
        <w:numPr>
          <w:ilvl w:val="0"/>
          <w:numId w:val="62"/>
        </w:numPr>
        <w:tabs>
          <w:tab w:val="clear" w:pos="1440"/>
          <w:tab w:val="left" w:pos="180"/>
        </w:tabs>
        <w:ind w:right="360"/>
      </w:pPr>
      <w:r w:rsidRPr="00FC406F">
        <w:t xml:space="preserve">Various sources complained that the Supreme Electoral Council failed to be </w:t>
      </w:r>
      <w:r w:rsidR="00036B00" w:rsidRPr="00FC406F">
        <w:t>independent</w:t>
      </w:r>
      <w:r w:rsidRPr="00FC406F">
        <w:t xml:space="preserve"> in the framework of said process and </w:t>
      </w:r>
      <w:r w:rsidR="00036B00" w:rsidRPr="00FC406F">
        <w:t xml:space="preserve">that </w:t>
      </w:r>
      <w:r w:rsidRPr="00FC406F">
        <w:t>it was</w:t>
      </w:r>
      <w:r w:rsidR="00036B00" w:rsidRPr="00FC406F">
        <w:t xml:space="preserve"> perceived as</w:t>
      </w:r>
      <w:r w:rsidRPr="00FC406F">
        <w:t xml:space="preserve"> aligned with the ruling party</w:t>
      </w:r>
      <w:r w:rsidR="00B36400" w:rsidRPr="00FC406F">
        <w:t xml:space="preserve">. </w:t>
      </w:r>
      <w:r w:rsidR="00333CD2" w:rsidRPr="00FC406F">
        <w:t>Regarding this, one organization pointed out that the Council’s membership was composed of party supporter</w:t>
      </w:r>
      <w:r w:rsidR="00036B00" w:rsidRPr="00FC406F">
        <w:t>s</w:t>
      </w:r>
      <w:r w:rsidR="00333CD2" w:rsidRPr="00FC406F">
        <w:t xml:space="preserve"> and that the ruling party prevailed in the technical and administrative structure of the electoral branch of government, which is cause for great concern, because it was the same Council that presided over the municipal elections of 2008 for which </w:t>
      </w:r>
      <w:r w:rsidR="00036B00" w:rsidRPr="00FC406F">
        <w:t xml:space="preserve">there was </w:t>
      </w:r>
      <w:r w:rsidR="00333CD2" w:rsidRPr="00FC406F">
        <w:t>evidence of electoral fraud for the benefit of the ruling party</w:t>
      </w:r>
      <w:r w:rsidR="00B36400" w:rsidRPr="00FC406F">
        <w:t>.</w:t>
      </w:r>
    </w:p>
    <w:p w14:paraId="6D15BEF8" w14:textId="77777777" w:rsidR="00B36400" w:rsidRPr="00FC406F" w:rsidRDefault="00B36400" w:rsidP="00B36400">
      <w:pPr>
        <w:pStyle w:val="parrafos"/>
        <w:ind w:left="0" w:firstLine="0"/>
      </w:pPr>
    </w:p>
    <w:p w14:paraId="764C27FA" w14:textId="77777777" w:rsidR="00B36400" w:rsidRPr="00FC406F" w:rsidRDefault="007978FF" w:rsidP="00031C34">
      <w:pPr>
        <w:pStyle w:val="parrafos"/>
        <w:numPr>
          <w:ilvl w:val="0"/>
          <w:numId w:val="54"/>
        </w:numPr>
        <w:tabs>
          <w:tab w:val="clear" w:pos="1440"/>
        </w:tabs>
        <w:ind w:left="0" w:firstLine="0"/>
      </w:pPr>
      <w:r w:rsidRPr="00FC406F">
        <w:t>The Commission deems that the general context of concentration of power in the hands of the executive branch of government</w:t>
      </w:r>
      <w:r w:rsidR="00036B00" w:rsidRPr="00FC406F">
        <w:t>,</w:t>
      </w:r>
      <w:r w:rsidRPr="00FC406F">
        <w:t xml:space="preserve"> as confirmed by the IACHR at the time of the 2011 elections, including the absence of </w:t>
      </w:r>
      <w:r w:rsidR="00036B00" w:rsidRPr="00FC406F">
        <w:t xml:space="preserve">independence </w:t>
      </w:r>
      <w:r w:rsidRPr="00FC406F">
        <w:t xml:space="preserve">of the judicial branch and the Supreme Electoral Council in charge of overseeing the entire process, as well as the irregularities indicated in the previous paragraph, which brought advantages </w:t>
      </w:r>
      <w:r w:rsidR="0014657F" w:rsidRPr="00FC406F">
        <w:t>as a result of</w:t>
      </w:r>
      <w:r w:rsidRPr="00FC406F">
        <w:t xml:space="preserve"> the use of additional public resources and media for President Ortega’s campaign, greater </w:t>
      </w:r>
      <w:r w:rsidR="00036B00" w:rsidRPr="00FC406F">
        <w:t>campaigning</w:t>
      </w:r>
      <w:r w:rsidRPr="00FC406F">
        <w:t xml:space="preserve"> for his benefit in the media, and the shutting of airtime on state channels for the other political parties, make it possible to confirm that the incumbent presiden</w:t>
      </w:r>
      <w:r w:rsidR="00BA7BDC" w:rsidRPr="00FC406F">
        <w:t>t participated in the process on the basis</w:t>
      </w:r>
      <w:r w:rsidRPr="00FC406F">
        <w:t xml:space="preserve"> an advantageous or </w:t>
      </w:r>
      <w:r w:rsidRPr="00FC406F">
        <w:lastRenderedPageBreak/>
        <w:t>superior position</w:t>
      </w:r>
      <w:r w:rsidR="00B36400" w:rsidRPr="00FC406F">
        <w:t xml:space="preserve">. </w:t>
      </w:r>
      <w:r w:rsidRPr="00FC406F">
        <w:t xml:space="preserve">This undermined the </w:t>
      </w:r>
      <w:r w:rsidR="00D62916" w:rsidRPr="00FC406F">
        <w:t xml:space="preserve">alleged victim’s </w:t>
      </w:r>
      <w:r w:rsidRPr="00FC406F">
        <w:t>right</w:t>
      </w:r>
      <w:r w:rsidR="00D62916" w:rsidRPr="00FC406F">
        <w:t xml:space="preserve"> </w:t>
      </w:r>
      <w:r w:rsidRPr="00FC406F">
        <w:t xml:space="preserve">to participate in said process </w:t>
      </w:r>
      <w:r w:rsidR="00D62916" w:rsidRPr="00FC406F">
        <w:t>on equal terms and without any unlawful</w:t>
      </w:r>
      <w:r w:rsidRPr="00FC406F">
        <w:t xml:space="preserve"> advantage </w:t>
      </w:r>
      <w:r w:rsidR="00BA7BDC" w:rsidRPr="00FC406F">
        <w:t>compared to</w:t>
      </w:r>
      <w:r w:rsidRPr="00FC406F">
        <w:t xml:space="preserve"> other candidates</w:t>
      </w:r>
      <w:r w:rsidR="00B36400" w:rsidRPr="00FC406F">
        <w:t xml:space="preserve">. </w:t>
      </w:r>
    </w:p>
    <w:p w14:paraId="62A693A2" w14:textId="77777777" w:rsidR="00B36400" w:rsidRPr="00FC406F" w:rsidRDefault="00B36400" w:rsidP="00B36400">
      <w:pPr>
        <w:pStyle w:val="parrafos"/>
        <w:ind w:left="0" w:firstLine="0"/>
      </w:pPr>
    </w:p>
    <w:p w14:paraId="2B7AAAC2" w14:textId="77777777" w:rsidR="00B36400" w:rsidRPr="00FC406F" w:rsidRDefault="00BA7BDC" w:rsidP="00031C34">
      <w:pPr>
        <w:pStyle w:val="parrafos"/>
        <w:numPr>
          <w:ilvl w:val="0"/>
          <w:numId w:val="54"/>
        </w:numPr>
        <w:tabs>
          <w:tab w:val="clear" w:pos="1440"/>
        </w:tabs>
        <w:ind w:left="0" w:firstLine="0"/>
      </w:pPr>
      <w:r w:rsidRPr="00FC406F">
        <w:t>Furthermore the Commission cannot help noting</w:t>
      </w:r>
      <w:r w:rsidR="007978FF" w:rsidRPr="00FC406F">
        <w:t xml:space="preserve"> that breach</w:t>
      </w:r>
      <w:r w:rsidRPr="00FC406F">
        <w:t>ing</w:t>
      </w:r>
      <w:r w:rsidR="007978FF" w:rsidRPr="00FC406F">
        <w:t xml:space="preserve"> the right to participate </w:t>
      </w:r>
      <w:r w:rsidR="00D62916" w:rsidRPr="00FC406F">
        <w:t>on equal terms</w:t>
      </w:r>
      <w:r w:rsidR="007978FF" w:rsidRPr="00FC406F">
        <w:t xml:space="preserve"> in an electoral contest may undermine not only the individual rights of the person concerned but also the collective dimension of political rights</w:t>
      </w:r>
      <w:r w:rsidR="00B36400" w:rsidRPr="00FC406F">
        <w:t xml:space="preserve">, </w:t>
      </w:r>
      <w:r w:rsidR="007978FF" w:rsidRPr="00FC406F">
        <w:t xml:space="preserve">that is, the will of the voters, through universal suffrage, because said breach can </w:t>
      </w:r>
      <w:r w:rsidR="003628E5" w:rsidRPr="00FC406F">
        <w:t>prevent</w:t>
      </w:r>
      <w:r w:rsidR="007978FF" w:rsidRPr="00FC406F">
        <w:t xml:space="preserve"> the</w:t>
      </w:r>
      <w:r w:rsidR="003628E5" w:rsidRPr="00FC406F">
        <w:t xml:space="preserve"> ground rules of democracy from</w:t>
      </w:r>
      <w:r w:rsidR="005B4302" w:rsidRPr="00FC406F">
        <w:t xml:space="preserve"> being observed</w:t>
      </w:r>
      <w:r w:rsidR="00B36400" w:rsidRPr="00FC406F">
        <w:rPr>
          <w:rStyle w:val="FootnoteReference"/>
          <w:rFonts w:ascii="Cambria" w:hAnsi="Cambria" w:cs="Courier New"/>
          <w:color w:val="212121"/>
        </w:rPr>
        <w:footnoteReference w:id="63"/>
      </w:r>
      <w:r w:rsidR="007978FF" w:rsidRPr="00FC406F">
        <w:t xml:space="preserve"> by creating undue advantages for certain candidates over the remaining participants who present their candidacy in a popular election</w:t>
      </w:r>
      <w:r w:rsidR="00B36400" w:rsidRPr="00FC406F">
        <w:t xml:space="preserve">.  </w:t>
      </w:r>
    </w:p>
    <w:p w14:paraId="1BF5A673" w14:textId="77777777" w:rsidR="00B36400" w:rsidRPr="00FC406F" w:rsidRDefault="00B36400" w:rsidP="00B36400">
      <w:pPr>
        <w:pStyle w:val="parrafos"/>
        <w:ind w:left="0" w:firstLine="0"/>
      </w:pPr>
    </w:p>
    <w:p w14:paraId="39FF58AD" w14:textId="77777777" w:rsidR="00B36400" w:rsidRPr="00FC406F" w:rsidRDefault="005B4302" w:rsidP="00031C34">
      <w:pPr>
        <w:pStyle w:val="parrafos"/>
        <w:numPr>
          <w:ilvl w:val="0"/>
          <w:numId w:val="54"/>
        </w:numPr>
        <w:tabs>
          <w:tab w:val="clear" w:pos="1440"/>
        </w:tabs>
        <w:ind w:left="0" w:firstLine="0"/>
      </w:pPr>
      <w:r w:rsidRPr="00FC406F">
        <w:t xml:space="preserve">In view of the above, the Commission concludes that the state is responsible for violating the right to </w:t>
      </w:r>
      <w:r w:rsidR="00D62916" w:rsidRPr="00FC406F">
        <w:t xml:space="preserve">equal access </w:t>
      </w:r>
      <w:r w:rsidRPr="00FC406F">
        <w:t xml:space="preserve">to </w:t>
      </w:r>
      <w:r w:rsidR="00BA7BDC" w:rsidRPr="00FC406F">
        <w:t>public service in his country</w:t>
      </w:r>
      <w:r w:rsidRPr="00FC406F">
        <w:t>, as provide</w:t>
      </w:r>
      <w:r w:rsidR="00BA7BDC" w:rsidRPr="00FC406F">
        <w:t>d</w:t>
      </w:r>
      <w:r w:rsidRPr="00FC406F">
        <w:t xml:space="preserve"> for in Article </w:t>
      </w:r>
      <w:r w:rsidR="00B36400" w:rsidRPr="00FC406F">
        <w:t>23.1</w:t>
      </w:r>
      <w:r w:rsidRPr="00FC406F">
        <w:t xml:space="preserve">(c) of the American Convention in connection with Article </w:t>
      </w:r>
      <w:r w:rsidR="00B36400" w:rsidRPr="00FC406F">
        <w:t xml:space="preserve">1.1 </w:t>
      </w:r>
      <w:r w:rsidRPr="00FC406F">
        <w:t xml:space="preserve">of the same instrument, to the detriment of </w:t>
      </w:r>
      <w:r w:rsidR="00B36400" w:rsidRPr="00FC406F">
        <w:t xml:space="preserve">Fabio Gadea Mantilla. </w:t>
      </w:r>
    </w:p>
    <w:p w14:paraId="13F9C8F4" w14:textId="77777777" w:rsidR="00B36400" w:rsidRPr="00FC406F" w:rsidRDefault="00B36400" w:rsidP="00B36400">
      <w:pPr>
        <w:pStyle w:val="ListParagraph"/>
      </w:pPr>
    </w:p>
    <w:p w14:paraId="709F05E4" w14:textId="77777777" w:rsidR="00B36400" w:rsidRPr="00FC406F" w:rsidRDefault="005B4302" w:rsidP="00031C34">
      <w:pPr>
        <w:pStyle w:val="parrafos"/>
        <w:numPr>
          <w:ilvl w:val="0"/>
          <w:numId w:val="54"/>
        </w:numPr>
        <w:tabs>
          <w:tab w:val="clear" w:pos="1440"/>
        </w:tabs>
        <w:ind w:left="0" w:firstLine="0"/>
      </w:pPr>
      <w:r w:rsidRPr="00FC406F">
        <w:t>As for the allegations of violation of the principle of equality and non-discrimination under Article 24 of the American Convention filed by the alleged victim, the IACHR considers that the analysis of said claim is included in the determinations regarding Article 23.1(</w:t>
      </w:r>
      <w:r w:rsidR="00B36400" w:rsidRPr="00FC406F">
        <w:t xml:space="preserve">c) </w:t>
      </w:r>
      <w:r w:rsidRPr="00FC406F">
        <w:t>of the American Convention, which was referred to above</w:t>
      </w:r>
      <w:r w:rsidR="00B36400" w:rsidRPr="00FC406F">
        <w:t>.</w:t>
      </w:r>
    </w:p>
    <w:p w14:paraId="1FB1E016" w14:textId="77777777" w:rsidR="00B36400" w:rsidRPr="00FC406F" w:rsidRDefault="00B36400" w:rsidP="00B36400">
      <w:pPr>
        <w:rPr>
          <w:lang w:eastAsia="es-ES"/>
        </w:rPr>
      </w:pPr>
    </w:p>
    <w:p w14:paraId="05EE60F8" w14:textId="77777777" w:rsidR="00B36400" w:rsidRPr="00FC406F" w:rsidRDefault="0015497E" w:rsidP="00EC1180">
      <w:pPr>
        <w:pStyle w:val="Heading2"/>
        <w:numPr>
          <w:ilvl w:val="0"/>
          <w:numId w:val="61"/>
        </w:numPr>
        <w:ind w:hanging="1080"/>
      </w:pPr>
      <w:bookmarkStart w:id="34" w:name="_Toc42609978"/>
      <w:bookmarkStart w:id="35" w:name="_Toc56778660"/>
      <w:r w:rsidRPr="00FC406F">
        <w:t>The right to judicial protection</w:t>
      </w:r>
      <w:r w:rsidR="00B36400" w:rsidRPr="00FC406F">
        <w:rPr>
          <w:rStyle w:val="FootnoteReference"/>
          <w:rFonts w:eastAsia="Trebuchet MS"/>
          <w:b w:val="0"/>
          <w:szCs w:val="20"/>
        </w:rPr>
        <w:footnoteReference w:id="64"/>
      </w:r>
      <w:bookmarkEnd w:id="34"/>
      <w:bookmarkEnd w:id="35"/>
      <w:r w:rsidR="00B36400" w:rsidRPr="00FC406F">
        <w:t xml:space="preserve"> </w:t>
      </w:r>
    </w:p>
    <w:p w14:paraId="250ACDAE" w14:textId="77777777" w:rsidR="00B36400" w:rsidRPr="00FC406F" w:rsidRDefault="00B36400" w:rsidP="00B36400">
      <w:pPr>
        <w:rPr>
          <w:lang w:eastAsia="es-ES"/>
        </w:rPr>
      </w:pPr>
    </w:p>
    <w:p w14:paraId="2A815FE8" w14:textId="77777777" w:rsidR="00B36400" w:rsidRPr="00FC406F" w:rsidRDefault="0015497E" w:rsidP="00102875">
      <w:pPr>
        <w:pStyle w:val="parrafos"/>
        <w:numPr>
          <w:ilvl w:val="0"/>
          <w:numId w:val="54"/>
        </w:numPr>
        <w:tabs>
          <w:tab w:val="clear" w:pos="1440"/>
        </w:tabs>
        <w:ind w:left="0" w:firstLine="0"/>
      </w:pPr>
      <w:r w:rsidRPr="00FC406F">
        <w:t>The IACHR recalls that the state has the general obligation of providing effective judicial remedies to persons alleging to be victims of human rights violations</w:t>
      </w:r>
      <w:r w:rsidR="00B36400" w:rsidRPr="00FC406F">
        <w:t xml:space="preserve"> (</w:t>
      </w:r>
      <w:r w:rsidRPr="00FC406F">
        <w:t>Article</w:t>
      </w:r>
      <w:r w:rsidR="00B36400" w:rsidRPr="00FC406F">
        <w:t xml:space="preserve"> 25), </w:t>
      </w:r>
      <w:r w:rsidRPr="00FC406F">
        <w:t>which must be substantiated in accordance with the rules of due process of law</w:t>
      </w:r>
      <w:r w:rsidR="00B36400" w:rsidRPr="00FC406F">
        <w:t xml:space="preserve"> (</w:t>
      </w:r>
      <w:r w:rsidRPr="00FC406F">
        <w:t xml:space="preserve">Article </w:t>
      </w:r>
      <w:r w:rsidR="00B36400" w:rsidRPr="00FC406F">
        <w:t xml:space="preserve">8.1). </w:t>
      </w:r>
      <w:r w:rsidR="008242FD" w:rsidRPr="00FC406F">
        <w:rPr>
          <w:rFonts w:ascii="Cambria" w:hAnsi="Cambria"/>
        </w:rPr>
        <w:t xml:space="preserve">For an effective recourse to exist, it is not enough that it is established in the law, it must be truly appropriate to establish whether </w:t>
      </w:r>
      <w:r w:rsidR="00102875" w:rsidRPr="00FC406F">
        <w:rPr>
          <w:rFonts w:ascii="Cambria" w:hAnsi="Cambria"/>
        </w:rPr>
        <w:t xml:space="preserve">or not </w:t>
      </w:r>
      <w:r w:rsidR="008242FD" w:rsidRPr="00FC406F">
        <w:rPr>
          <w:rFonts w:ascii="Cambria" w:hAnsi="Cambria"/>
        </w:rPr>
        <w:t xml:space="preserve">there has been a </w:t>
      </w:r>
      <w:r w:rsidR="00BA7BDC" w:rsidRPr="00FC406F">
        <w:rPr>
          <w:rFonts w:ascii="Cambria" w:hAnsi="Cambria"/>
        </w:rPr>
        <w:t xml:space="preserve">human rights </w:t>
      </w:r>
      <w:r w:rsidR="0014657F" w:rsidRPr="00FC406F">
        <w:rPr>
          <w:rFonts w:ascii="Cambria" w:hAnsi="Cambria"/>
        </w:rPr>
        <w:t>violation and to promote what is needed to remedy it.</w:t>
      </w:r>
      <w:r w:rsidR="00102875" w:rsidRPr="00FC406F">
        <w:rPr>
          <w:vertAlign w:val="superscript"/>
        </w:rPr>
        <w:footnoteReference w:id="65"/>
      </w:r>
    </w:p>
    <w:p w14:paraId="40491D00" w14:textId="77777777" w:rsidR="00B36400" w:rsidRPr="00FC406F" w:rsidRDefault="00B36400" w:rsidP="00B36400">
      <w:pPr>
        <w:pStyle w:val="parrafos"/>
        <w:ind w:left="0" w:firstLine="0"/>
      </w:pPr>
    </w:p>
    <w:p w14:paraId="4FEA5B0C" w14:textId="77777777" w:rsidR="00B36400" w:rsidRPr="00FC406F" w:rsidRDefault="00432696" w:rsidP="00031C34">
      <w:pPr>
        <w:pStyle w:val="parrafos"/>
        <w:numPr>
          <w:ilvl w:val="0"/>
          <w:numId w:val="54"/>
        </w:numPr>
        <w:tabs>
          <w:tab w:val="clear" w:pos="1440"/>
        </w:tabs>
        <w:ind w:left="0" w:firstLine="0"/>
      </w:pPr>
      <w:r w:rsidRPr="00FC406F">
        <w:t>The Commission recalls that, according to the facts of the instant case, on March 9, 2011 the alleged victim registered his candidacy with the Supreme Electoral</w:t>
      </w:r>
      <w:r w:rsidR="00BA7BDC" w:rsidRPr="00FC406F">
        <w:t xml:space="preserve"> Council for the office of P</w:t>
      </w:r>
      <w:r w:rsidRPr="00FC406F">
        <w:t>resident and, on April 6, 2011, said body published the final list of candidates on which both the alleged victim and President Ortega appeared</w:t>
      </w:r>
      <w:r w:rsidR="00B36400" w:rsidRPr="00FC406F">
        <w:t xml:space="preserve">. </w:t>
      </w:r>
      <w:r w:rsidR="00BA7BDC" w:rsidRPr="00FC406F">
        <w:t>Because the alleged victim and other candidates deemed that President Ortega’s</w:t>
      </w:r>
      <w:r w:rsidRPr="00FC406F">
        <w:t xml:space="preserve"> registration was unlawful, th</w:t>
      </w:r>
      <w:r w:rsidR="00BA7BDC" w:rsidRPr="00FC406F">
        <w:t>ey</w:t>
      </w:r>
      <w:r w:rsidRPr="00FC406F">
        <w:t xml:space="preserve"> filed an appeal challenging said registration with the Supreme Electoral Court, but the appeal was dismissed on April 4, 2011. The alleged victim was unable to file a remedy to secure a judicial review of said ruling, because paragraph 15 of Article 173 of Constitution provided that “</w:t>
      </w:r>
      <w:r w:rsidR="00D85802" w:rsidRPr="00FC406F">
        <w:rPr>
          <w:rFonts w:ascii="Cambria" w:hAnsi="Cambria"/>
        </w:rPr>
        <w:t>No appeal, ordinary or extraordinary, shall lie against the decisions taken by the Supreme Council on electoral matters.</w:t>
      </w:r>
      <w:r w:rsidR="00D85802" w:rsidRPr="00FC406F">
        <w:t>”</w:t>
      </w:r>
      <w:r w:rsidR="00B36400" w:rsidRPr="00FC406F">
        <w:rPr>
          <w:rStyle w:val="FootnoteReference"/>
        </w:rPr>
        <w:footnoteReference w:id="66"/>
      </w:r>
      <w:r w:rsidR="00B36400" w:rsidRPr="00FC406F">
        <w:t xml:space="preserve"> </w:t>
      </w:r>
      <w:r w:rsidR="00D85802" w:rsidRPr="00FC406F">
        <w:t>Likewise, in the same ruling, it was stated that “the present ruling is an electoral matter and no remedy is admissible.”</w:t>
      </w:r>
    </w:p>
    <w:p w14:paraId="6CB3B13A" w14:textId="77777777" w:rsidR="00B36400" w:rsidRPr="00FC406F" w:rsidRDefault="00B36400" w:rsidP="00B36400">
      <w:pPr>
        <w:pStyle w:val="parrafos"/>
        <w:ind w:left="0" w:firstLine="0"/>
      </w:pPr>
    </w:p>
    <w:p w14:paraId="44A2DE0E" w14:textId="77777777" w:rsidR="00B36400" w:rsidRPr="00FC406F" w:rsidRDefault="003B73E3" w:rsidP="00031C34">
      <w:pPr>
        <w:pStyle w:val="parrafos"/>
        <w:numPr>
          <w:ilvl w:val="0"/>
          <w:numId w:val="54"/>
        </w:numPr>
        <w:tabs>
          <w:tab w:val="clear" w:pos="1440"/>
        </w:tabs>
        <w:ind w:left="0" w:firstLine="0"/>
      </w:pPr>
      <w:r w:rsidRPr="00FC406F">
        <w:t xml:space="preserve">In the case of </w:t>
      </w:r>
      <w:r w:rsidR="00B36400" w:rsidRPr="00FC406F">
        <w:rPr>
          <w:i/>
        </w:rPr>
        <w:t>Yatama v. Nicaragua</w:t>
      </w:r>
      <w:r w:rsidR="00B36400" w:rsidRPr="00FC406F">
        <w:t xml:space="preserve">, </w:t>
      </w:r>
      <w:r w:rsidRPr="00FC406F">
        <w:t>the Inter-American Court examined paragraph 15 of Article 173 of the Constitution in the light of the American Convention and concluded that said legal framework did not protect the right to judicial protection. Specifically in that case, the Court emphasized the following</w:t>
      </w:r>
      <w:r w:rsidR="00B36400" w:rsidRPr="00FC406F">
        <w:t>:</w:t>
      </w:r>
    </w:p>
    <w:p w14:paraId="372D8CCA" w14:textId="77777777" w:rsidR="00B36400" w:rsidRPr="00FC406F" w:rsidRDefault="00B36400" w:rsidP="00B36400">
      <w:pPr>
        <w:pStyle w:val="parrafos"/>
        <w:ind w:left="0" w:firstLine="0"/>
        <w:rPr>
          <w:sz w:val="18"/>
          <w:szCs w:val="18"/>
        </w:rPr>
      </w:pPr>
    </w:p>
    <w:p w14:paraId="697EE2B8" w14:textId="77777777" w:rsidR="003B73E3" w:rsidRPr="00FC406F" w:rsidRDefault="003B73E3" w:rsidP="00694B37">
      <w:pPr>
        <w:pStyle w:val="ListParagraph"/>
        <w:ind w:left="360" w:right="360"/>
        <w:jc w:val="both"/>
        <w:rPr>
          <w:sz w:val="18"/>
          <w:szCs w:val="18"/>
        </w:rPr>
      </w:pPr>
      <w:r w:rsidRPr="00FC406F">
        <w:rPr>
          <w:sz w:val="18"/>
          <w:szCs w:val="18"/>
        </w:rPr>
        <w:t>173. There was no judicial remedy against the resolution of the Supreme Electoral Council of August 15, 2000 (</w:t>
      </w:r>
      <w:r w:rsidRPr="00FC406F">
        <w:rPr>
          <w:i/>
          <w:sz w:val="18"/>
          <w:szCs w:val="18"/>
        </w:rPr>
        <w:t>supra</w:t>
      </w:r>
      <w:r w:rsidRPr="00FC406F">
        <w:rPr>
          <w:sz w:val="18"/>
          <w:szCs w:val="18"/>
        </w:rPr>
        <w:t xml:space="preserve"> para. 124(51)</w:t>
      </w:r>
      <w:r w:rsidR="00ED0661" w:rsidRPr="00FC406F">
        <w:rPr>
          <w:sz w:val="18"/>
          <w:szCs w:val="18"/>
        </w:rPr>
        <w:t>)</w:t>
      </w:r>
      <w:r w:rsidRPr="00FC406F">
        <w:rPr>
          <w:sz w:val="18"/>
          <w:szCs w:val="18"/>
        </w:rPr>
        <w:t>, so this could not be revised, even if it had been adopted without respecting the guarantees of the electoral procedure established in the Electoral Act or the minimum guarantees established in Article 8(1) of the Convention, applicable to the process.</w:t>
      </w:r>
    </w:p>
    <w:p w14:paraId="43CC95AB" w14:textId="77777777" w:rsidR="003B73E3" w:rsidRPr="00FC406F" w:rsidRDefault="003B73E3" w:rsidP="00694B37">
      <w:pPr>
        <w:ind w:left="360" w:right="360"/>
        <w:jc w:val="both"/>
        <w:rPr>
          <w:rFonts w:ascii="Cambria" w:hAnsi="Cambria"/>
          <w:sz w:val="18"/>
          <w:szCs w:val="18"/>
        </w:rPr>
      </w:pPr>
    </w:p>
    <w:p w14:paraId="1A969F62" w14:textId="77777777" w:rsidR="003B73E3" w:rsidRPr="00FC406F" w:rsidRDefault="003B73E3" w:rsidP="00694B37">
      <w:pPr>
        <w:pStyle w:val="ListParagraph"/>
        <w:ind w:left="360" w:right="360"/>
        <w:jc w:val="both"/>
        <w:rPr>
          <w:sz w:val="18"/>
          <w:szCs w:val="18"/>
        </w:rPr>
      </w:pPr>
      <w:r w:rsidRPr="00FC406F">
        <w:rPr>
          <w:sz w:val="18"/>
          <w:szCs w:val="18"/>
        </w:rPr>
        <w:lastRenderedPageBreak/>
        <w:t>174. Even though the Nicaraguan Constitution has established that the resolutions of the Supreme Electoral Council on electoral matters are not subject to ordinary or special recourses, this does not mean that this Council should not be subject to judicial controls, as are the other branches of government. The requirements arising from the principle of the independence of the powers of the State are not incompatible with the need to establish recourses or mechanisms to protect human rights.</w:t>
      </w:r>
    </w:p>
    <w:p w14:paraId="1F6D3969" w14:textId="77777777" w:rsidR="003B73E3" w:rsidRPr="00FC406F" w:rsidRDefault="003B73E3" w:rsidP="00694B37">
      <w:pPr>
        <w:ind w:left="360" w:right="360"/>
        <w:jc w:val="both"/>
        <w:rPr>
          <w:rFonts w:ascii="Cambria" w:hAnsi="Cambria"/>
          <w:sz w:val="18"/>
          <w:szCs w:val="18"/>
        </w:rPr>
      </w:pPr>
    </w:p>
    <w:p w14:paraId="3C403D92" w14:textId="77777777" w:rsidR="00B36400" w:rsidRPr="00FC406F" w:rsidRDefault="003B73E3" w:rsidP="00694B37">
      <w:pPr>
        <w:pStyle w:val="ListParagraph"/>
        <w:ind w:left="360" w:right="360"/>
        <w:jc w:val="both"/>
        <w:rPr>
          <w:sz w:val="18"/>
          <w:szCs w:val="18"/>
        </w:rPr>
      </w:pPr>
      <w:r w:rsidRPr="00FC406F">
        <w:rPr>
          <w:sz w:val="18"/>
          <w:szCs w:val="18"/>
        </w:rPr>
        <w:t>175. Irrespective of the regulations that each State establishes for its supreme electoral body, the latter must be subject to some form of jurisdictional control that allows it to be determined whether its acts have been adopted respecting the minimum guarantees and rights established in the American Convention, and those established in its own laws; this is not incompatible with regard for the functions inherent in this body concerning electoral matters. This control is essential when the supreme electoral bodies such as the Supreme Electoral Council in Nicaragua, have broad powers, which exceed administrative faculties and which could be used, without an adequate control, to favor determined partisan objectives. In this sphere, this recourse must be simple and prompt, taking into account the characteristics of the electoral process (</w:t>
      </w:r>
      <w:r w:rsidRPr="00FC406F">
        <w:rPr>
          <w:i/>
          <w:sz w:val="18"/>
          <w:szCs w:val="18"/>
        </w:rPr>
        <w:t>supra</w:t>
      </w:r>
      <w:r w:rsidRPr="00FC406F">
        <w:rPr>
          <w:sz w:val="18"/>
          <w:szCs w:val="18"/>
        </w:rPr>
        <w:t xml:space="preserve"> para. 150).</w:t>
      </w:r>
      <w:r w:rsidR="00B36400" w:rsidRPr="00FC406F">
        <w:rPr>
          <w:rStyle w:val="FootnoteReference"/>
          <w:sz w:val="18"/>
          <w:szCs w:val="18"/>
        </w:rPr>
        <w:footnoteReference w:id="67"/>
      </w:r>
    </w:p>
    <w:p w14:paraId="0786EE5F" w14:textId="77777777" w:rsidR="00B36400" w:rsidRPr="00FC406F" w:rsidRDefault="00B36400" w:rsidP="00B36400">
      <w:pPr>
        <w:rPr>
          <w:rFonts w:asciiTheme="majorHAnsi" w:hAnsiTheme="majorHAnsi"/>
          <w:color w:val="000000" w:themeColor="text1"/>
          <w:sz w:val="20"/>
          <w:szCs w:val="20"/>
        </w:rPr>
      </w:pPr>
    </w:p>
    <w:p w14:paraId="5E736E4E" w14:textId="77777777" w:rsidR="00B36400" w:rsidRPr="00FC406F" w:rsidRDefault="00C65E5F" w:rsidP="00031C34">
      <w:pPr>
        <w:pStyle w:val="parrafos"/>
        <w:numPr>
          <w:ilvl w:val="0"/>
          <w:numId w:val="54"/>
        </w:numPr>
        <w:tabs>
          <w:tab w:val="clear" w:pos="1440"/>
        </w:tabs>
        <w:ind w:left="0" w:firstLine="0"/>
        <w:rPr>
          <w:color w:val="auto"/>
        </w:rPr>
      </w:pPr>
      <w:r w:rsidRPr="00FC406F">
        <w:rPr>
          <w:color w:val="auto"/>
        </w:rPr>
        <w:t xml:space="preserve">When monitoring compliance </w:t>
      </w:r>
      <w:r w:rsidR="00267D64" w:rsidRPr="00FC406F">
        <w:rPr>
          <w:color w:val="auto"/>
        </w:rPr>
        <w:t xml:space="preserve">in the case of </w:t>
      </w:r>
      <w:r w:rsidR="00B36400" w:rsidRPr="00FC406F">
        <w:rPr>
          <w:color w:val="auto"/>
        </w:rPr>
        <w:t xml:space="preserve">Yatama </w:t>
      </w:r>
      <w:r w:rsidR="00267D64" w:rsidRPr="00FC406F">
        <w:rPr>
          <w:color w:val="auto"/>
        </w:rPr>
        <w:t>of</w:t>
      </w:r>
      <w:r w:rsidR="00B36400" w:rsidRPr="00FC406F">
        <w:rPr>
          <w:color w:val="auto"/>
        </w:rPr>
        <w:t xml:space="preserve"> 2015, </w:t>
      </w:r>
      <w:r w:rsidR="00267D64" w:rsidRPr="00FC406F">
        <w:rPr>
          <w:color w:val="auto"/>
        </w:rPr>
        <w:t>the Inter-American Court reiterated that</w:t>
      </w:r>
      <w:r w:rsidR="00B36400" w:rsidRPr="00FC406F">
        <w:rPr>
          <w:color w:val="auto"/>
        </w:rPr>
        <w:t xml:space="preserve"> “</w:t>
      </w:r>
      <w:r w:rsidR="001D6C92" w:rsidRPr="00FC406F">
        <w:rPr>
          <w:color w:val="auto"/>
        </w:rPr>
        <w:t xml:space="preserve">the state has not </w:t>
      </w:r>
      <w:r w:rsidRPr="00FC406F">
        <w:rPr>
          <w:color w:val="auto"/>
        </w:rPr>
        <w:t>complied with</w:t>
      </w:r>
      <w:r w:rsidR="001D6C92" w:rsidRPr="00FC406F">
        <w:rPr>
          <w:color w:val="auto"/>
        </w:rPr>
        <w:t xml:space="preserve"> the following reparations ordered in the judgment</w:t>
      </w:r>
      <w:r w:rsidR="00B36400" w:rsidRPr="00FC406F">
        <w:rPr>
          <w:color w:val="auto"/>
        </w:rPr>
        <w:t xml:space="preserve">: (…) b) </w:t>
      </w:r>
      <w:r w:rsidR="001D6C92" w:rsidRPr="00FC406F">
        <w:rPr>
          <w:color w:val="auto"/>
        </w:rPr>
        <w:t>to adopt, within a reasonable period of time, the necessary legislative measures to establish a simple,</w:t>
      </w:r>
      <w:r w:rsidRPr="00FC406F">
        <w:rPr>
          <w:color w:val="auto"/>
        </w:rPr>
        <w:t xml:space="preserve"> prompt</w:t>
      </w:r>
      <w:r w:rsidR="001D6C92" w:rsidRPr="00FC406F">
        <w:rPr>
          <w:color w:val="auto"/>
        </w:rPr>
        <w:t>, and effective legal remedy to monitor the decisions of the Supreme Electoral Council affecting human rights, such as political rights, with the observance of the respective legal and tre</w:t>
      </w:r>
      <w:r w:rsidR="00D85802" w:rsidRPr="00FC406F">
        <w:rPr>
          <w:color w:val="auto"/>
        </w:rPr>
        <w:t>a</w:t>
      </w:r>
      <w:r w:rsidR="001D6C92" w:rsidRPr="00FC406F">
        <w:rPr>
          <w:color w:val="auto"/>
        </w:rPr>
        <w:t>ty-based guarantees, and to repeal the regulations that prevent filing that remedy.</w:t>
      </w:r>
      <w:r w:rsidR="00B36400" w:rsidRPr="00FC406F">
        <w:rPr>
          <w:color w:val="auto"/>
        </w:rPr>
        <w:t>”</w:t>
      </w:r>
      <w:r w:rsidR="00B36400" w:rsidRPr="00FC406F">
        <w:rPr>
          <w:rStyle w:val="FootnoteReference"/>
          <w:color w:val="auto"/>
        </w:rPr>
        <w:footnoteReference w:id="68"/>
      </w:r>
    </w:p>
    <w:p w14:paraId="0D5B7E3B" w14:textId="77777777" w:rsidR="00B36400" w:rsidRPr="00FC406F" w:rsidRDefault="00B36400" w:rsidP="00B36400">
      <w:pPr>
        <w:pStyle w:val="parrafos"/>
        <w:ind w:left="0" w:firstLine="0"/>
        <w:rPr>
          <w:color w:val="auto"/>
        </w:rPr>
      </w:pPr>
    </w:p>
    <w:p w14:paraId="0A065363" w14:textId="77777777" w:rsidR="00B36400" w:rsidRPr="00FC406F" w:rsidRDefault="00267D64" w:rsidP="00031C34">
      <w:pPr>
        <w:pStyle w:val="parrafos"/>
        <w:numPr>
          <w:ilvl w:val="0"/>
          <w:numId w:val="54"/>
        </w:numPr>
        <w:tabs>
          <w:tab w:val="clear" w:pos="1440"/>
        </w:tabs>
        <w:ind w:left="0" w:firstLine="0"/>
        <w:rPr>
          <w:color w:val="auto"/>
        </w:rPr>
      </w:pPr>
      <w:r w:rsidRPr="00FC406F">
        <w:rPr>
          <w:color w:val="auto"/>
        </w:rPr>
        <w:t xml:space="preserve">The Commission deems that the possibility to legally challenge the ruling of the Supreme Electoral Council of April 4, 2011 was especially important in the instant case taking into account, among other aspects, the text of the Constitution </w:t>
      </w:r>
      <w:r w:rsidR="007E08B0" w:rsidRPr="00FC406F">
        <w:rPr>
          <w:color w:val="auto"/>
        </w:rPr>
        <w:t>whereby it would have been</w:t>
      </w:r>
      <w:r w:rsidRPr="00FC406F">
        <w:rPr>
          <w:color w:val="auto"/>
        </w:rPr>
        <w:t xml:space="preserve"> concluded that President Ortega was banned from participating in the electoral race, the allegations of failure to ensure the Supreme Electoral Council’s impartiality </w:t>
      </w:r>
      <w:r w:rsidR="00C65E5F" w:rsidRPr="00FC406F">
        <w:rPr>
          <w:color w:val="auto"/>
        </w:rPr>
        <w:t>as</w:t>
      </w:r>
      <w:r w:rsidRPr="00FC406F">
        <w:rPr>
          <w:color w:val="auto"/>
        </w:rPr>
        <w:t xml:space="preserve"> described in the section on context, </w:t>
      </w:r>
      <w:r w:rsidR="00C65E5F" w:rsidRPr="00FC406F">
        <w:rPr>
          <w:color w:val="auto"/>
        </w:rPr>
        <w:t>and</w:t>
      </w:r>
      <w:r w:rsidRPr="00FC406F">
        <w:rPr>
          <w:color w:val="auto"/>
        </w:rPr>
        <w:t xml:space="preserve"> the position held by the alleged victim in the electoral process. The IACHR recalls that, according to Article 25 of the American Convention, states must provide judicial remedies to those persons who allege being victims of human rights violations</w:t>
      </w:r>
      <w:r w:rsidR="00B36400" w:rsidRPr="00FC406F">
        <w:rPr>
          <w:color w:val="auto"/>
        </w:rPr>
        <w:t>.</w:t>
      </w:r>
    </w:p>
    <w:p w14:paraId="2FB9A80D" w14:textId="77777777" w:rsidR="00B36400" w:rsidRPr="00FC406F" w:rsidRDefault="00B36400" w:rsidP="00B36400">
      <w:pPr>
        <w:pStyle w:val="parrafos"/>
        <w:ind w:left="0" w:firstLine="0"/>
        <w:rPr>
          <w:color w:val="auto"/>
        </w:rPr>
      </w:pPr>
    </w:p>
    <w:p w14:paraId="0070BF36" w14:textId="77777777" w:rsidR="00B36400" w:rsidRPr="00FC406F" w:rsidRDefault="00267D64" w:rsidP="00031C34">
      <w:pPr>
        <w:pStyle w:val="parrafos"/>
        <w:numPr>
          <w:ilvl w:val="0"/>
          <w:numId w:val="54"/>
        </w:numPr>
        <w:tabs>
          <w:tab w:val="clear" w:pos="1440"/>
        </w:tabs>
        <w:ind w:left="0" w:firstLine="0"/>
      </w:pPr>
      <w:r w:rsidRPr="00FC406F">
        <w:t>By virtue of the above, the Commission concludes that the Nicaraguan state is respons</w:t>
      </w:r>
      <w:r w:rsidR="00D84CC7" w:rsidRPr="00FC406F">
        <w:t>i</w:t>
      </w:r>
      <w:r w:rsidRPr="00FC406F">
        <w:t>ble for the violat</w:t>
      </w:r>
      <w:r w:rsidR="00D84CC7" w:rsidRPr="00FC406F">
        <w:t>i</w:t>
      </w:r>
      <w:r w:rsidRPr="00FC406F">
        <w:t>on of the right to judicial protection as established in Article</w:t>
      </w:r>
      <w:r w:rsidR="00B36400" w:rsidRPr="00FC406F">
        <w:t xml:space="preserve"> 25.1 </w:t>
      </w:r>
      <w:r w:rsidRPr="00FC406F">
        <w:t>of the American Convention in connection with Articles</w:t>
      </w:r>
      <w:r w:rsidR="00B36400" w:rsidRPr="00FC406F">
        <w:t xml:space="preserve"> 1.1 </w:t>
      </w:r>
      <w:r w:rsidRPr="00FC406F">
        <w:t xml:space="preserve">and 2 of the same instrument, to the detriment of </w:t>
      </w:r>
      <w:r w:rsidR="00B36400" w:rsidRPr="00FC406F">
        <w:t xml:space="preserve">Fabio Gadea Mantilla. </w:t>
      </w:r>
    </w:p>
    <w:p w14:paraId="00642ED9" w14:textId="77777777" w:rsidR="00B36400" w:rsidRPr="00FC406F" w:rsidRDefault="00B36400" w:rsidP="00B36400">
      <w:pPr>
        <w:rPr>
          <w:lang w:eastAsia="es-ES"/>
        </w:rPr>
      </w:pPr>
    </w:p>
    <w:p w14:paraId="1E65DF1A" w14:textId="77777777" w:rsidR="00B36400" w:rsidRPr="00FC406F" w:rsidRDefault="00B36400" w:rsidP="00B36400">
      <w:pPr>
        <w:pStyle w:val="Heading1"/>
      </w:pPr>
      <w:bookmarkStart w:id="36" w:name="_Toc25343218"/>
      <w:bookmarkStart w:id="37" w:name="_Toc34746180"/>
      <w:bookmarkStart w:id="38" w:name="_Toc42609979"/>
      <w:bookmarkStart w:id="39" w:name="_Toc56778661"/>
      <w:r w:rsidRPr="00FC406F">
        <w:t xml:space="preserve">CONCLUSIONS </w:t>
      </w:r>
      <w:r w:rsidR="00126E90" w:rsidRPr="00FC406F">
        <w:t>AND RECOMMENDATIONS</w:t>
      </w:r>
      <w:bookmarkEnd w:id="36"/>
      <w:bookmarkEnd w:id="37"/>
      <w:bookmarkEnd w:id="38"/>
      <w:bookmarkEnd w:id="39"/>
    </w:p>
    <w:p w14:paraId="452CA420" w14:textId="77777777" w:rsidR="00B36400" w:rsidRPr="00FC406F" w:rsidRDefault="00B36400" w:rsidP="00B36400">
      <w:pPr>
        <w:pStyle w:val="parrafos"/>
        <w:ind w:left="360" w:firstLine="0"/>
      </w:pPr>
    </w:p>
    <w:p w14:paraId="5CA12C20" w14:textId="77777777" w:rsidR="00B36400" w:rsidRPr="00FC406F" w:rsidRDefault="00126E90" w:rsidP="00031C34">
      <w:pPr>
        <w:pStyle w:val="parrafos"/>
        <w:numPr>
          <w:ilvl w:val="0"/>
          <w:numId w:val="54"/>
        </w:numPr>
        <w:tabs>
          <w:tab w:val="clear" w:pos="1440"/>
        </w:tabs>
        <w:ind w:left="0" w:firstLine="0"/>
      </w:pPr>
      <w:r w:rsidRPr="00FC406F">
        <w:rPr>
          <w:color w:val="auto"/>
        </w:rPr>
        <w:t xml:space="preserve">The Commission concludes that the Nicaraguan state is </w:t>
      </w:r>
      <w:r w:rsidR="009857B1" w:rsidRPr="00FC406F">
        <w:rPr>
          <w:color w:val="auto"/>
        </w:rPr>
        <w:t>responsi</w:t>
      </w:r>
      <w:r w:rsidRPr="00FC406F">
        <w:rPr>
          <w:color w:val="auto"/>
        </w:rPr>
        <w:t>ble for the violation of the rights set forth in Article</w:t>
      </w:r>
      <w:r w:rsidR="00B36400" w:rsidRPr="00FC406F">
        <w:rPr>
          <w:color w:val="auto"/>
        </w:rPr>
        <w:t xml:space="preserve"> 23.1</w:t>
      </w:r>
      <w:r w:rsidRPr="00FC406F">
        <w:rPr>
          <w:color w:val="auto"/>
        </w:rPr>
        <w:t>(</w:t>
      </w:r>
      <w:r w:rsidR="00B36400" w:rsidRPr="00FC406F">
        <w:rPr>
          <w:color w:val="auto"/>
        </w:rPr>
        <w:t>c) (</w:t>
      </w:r>
      <w:r w:rsidRPr="00FC406F">
        <w:rPr>
          <w:color w:val="auto"/>
        </w:rPr>
        <w:t>political rights</w:t>
      </w:r>
      <w:r w:rsidR="00B36400" w:rsidRPr="00FC406F">
        <w:rPr>
          <w:color w:val="auto"/>
        </w:rPr>
        <w:t xml:space="preserve">) </w:t>
      </w:r>
      <w:r w:rsidRPr="00FC406F">
        <w:rPr>
          <w:color w:val="auto"/>
        </w:rPr>
        <w:t>and</w:t>
      </w:r>
      <w:r w:rsidR="00B36400" w:rsidRPr="00FC406F">
        <w:rPr>
          <w:color w:val="auto"/>
        </w:rPr>
        <w:t xml:space="preserve"> </w:t>
      </w:r>
      <w:r w:rsidR="00C65E5F" w:rsidRPr="00FC406F">
        <w:rPr>
          <w:color w:val="auto"/>
        </w:rPr>
        <w:t xml:space="preserve">Article </w:t>
      </w:r>
      <w:r w:rsidR="00B36400" w:rsidRPr="00FC406F">
        <w:rPr>
          <w:color w:val="auto"/>
        </w:rPr>
        <w:t>25.1 (</w:t>
      </w:r>
      <w:r w:rsidRPr="00FC406F">
        <w:rPr>
          <w:color w:val="auto"/>
        </w:rPr>
        <w:t>judicial protection</w:t>
      </w:r>
      <w:r w:rsidR="00B36400" w:rsidRPr="00FC406F">
        <w:rPr>
          <w:color w:val="auto"/>
        </w:rPr>
        <w:t xml:space="preserve">) </w:t>
      </w:r>
      <w:r w:rsidRPr="00FC406F">
        <w:rPr>
          <w:color w:val="auto"/>
        </w:rPr>
        <w:t>of the American Convention on Human Rights, in connection with the obligations laid out in Articles 1.1 and 2 of the same instrument</w:t>
      </w:r>
      <w:r w:rsidR="00B36400" w:rsidRPr="00FC406F">
        <w:rPr>
          <w:color w:val="auto"/>
        </w:rPr>
        <w:t xml:space="preserve">. </w:t>
      </w:r>
    </w:p>
    <w:p w14:paraId="2E26B2EC" w14:textId="77777777" w:rsidR="00B36400" w:rsidRPr="00FC406F" w:rsidRDefault="00B36400" w:rsidP="00B36400">
      <w:pPr>
        <w:pStyle w:val="parrafos"/>
        <w:ind w:left="0" w:firstLine="0"/>
      </w:pPr>
    </w:p>
    <w:p w14:paraId="1DAAE5C6" w14:textId="77777777" w:rsidR="00B36400" w:rsidRPr="00FC406F" w:rsidRDefault="009857B1" w:rsidP="00031C34">
      <w:pPr>
        <w:pStyle w:val="parrafos"/>
        <w:numPr>
          <w:ilvl w:val="0"/>
          <w:numId w:val="54"/>
        </w:numPr>
        <w:tabs>
          <w:tab w:val="clear" w:pos="1440"/>
        </w:tabs>
        <w:ind w:left="0" w:firstLine="0"/>
      </w:pPr>
      <w:r w:rsidRPr="00FC406F">
        <w:rPr>
          <w:color w:val="auto"/>
        </w:rPr>
        <w:t>On the ba</w:t>
      </w:r>
      <w:r w:rsidR="000D0A03" w:rsidRPr="00FC406F">
        <w:rPr>
          <w:color w:val="auto"/>
        </w:rPr>
        <w:t>s</w:t>
      </w:r>
      <w:r w:rsidRPr="00FC406F">
        <w:rPr>
          <w:color w:val="auto"/>
        </w:rPr>
        <w:t>is of the analysis and conclusions of the present report</w:t>
      </w:r>
      <w:r w:rsidR="00B36400" w:rsidRPr="00FC406F">
        <w:rPr>
          <w:color w:val="auto"/>
        </w:rPr>
        <w:t>,</w:t>
      </w:r>
    </w:p>
    <w:p w14:paraId="403D8ED5" w14:textId="77777777" w:rsidR="00B36400" w:rsidRPr="009D130D" w:rsidRDefault="00B36400" w:rsidP="009D130D">
      <w:pPr>
        <w:pStyle w:val="parrafos"/>
        <w:ind w:left="0" w:firstLine="0"/>
        <w:rPr>
          <w:b/>
          <w:bCs/>
          <w:color w:val="auto"/>
        </w:rPr>
      </w:pPr>
    </w:p>
    <w:p w14:paraId="149D5A2C" w14:textId="77777777" w:rsidR="00B36400" w:rsidRPr="00FC406F" w:rsidRDefault="00524A6F" w:rsidP="00B36400">
      <w:pPr>
        <w:pStyle w:val="parrafos"/>
        <w:ind w:left="0" w:firstLine="0"/>
        <w:rPr>
          <w:b/>
          <w:bCs/>
          <w:color w:val="auto"/>
        </w:rPr>
      </w:pPr>
      <w:r w:rsidRPr="00FC406F">
        <w:rPr>
          <w:b/>
          <w:bCs/>
          <w:color w:val="auto"/>
        </w:rPr>
        <w:t>THE INTER-AMERICAN COMMISSION ON HUMAN RIGHTS RECOMMENDS THE FOLLOWING TO THE STATE OF NI</w:t>
      </w:r>
      <w:r w:rsidR="00B36400" w:rsidRPr="00FC406F">
        <w:rPr>
          <w:b/>
          <w:bCs/>
          <w:color w:val="auto"/>
        </w:rPr>
        <w:t>CARAGUA:</w:t>
      </w:r>
    </w:p>
    <w:p w14:paraId="739906D3" w14:textId="77777777" w:rsidR="00B36400" w:rsidRPr="00FC406F" w:rsidRDefault="00B36400" w:rsidP="00B36400">
      <w:pPr>
        <w:pStyle w:val="parrafos"/>
        <w:ind w:left="0" w:firstLine="0"/>
      </w:pPr>
    </w:p>
    <w:p w14:paraId="50A7B95F" w14:textId="77777777" w:rsidR="00B36400" w:rsidRPr="00FC406F" w:rsidRDefault="00524A6F" w:rsidP="00031C34">
      <w:pPr>
        <w:pStyle w:val="BodyText3"/>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860"/>
          <w:tab w:val="left" w:pos="360"/>
        </w:tabs>
        <w:spacing w:after="0"/>
        <w:ind w:left="0" w:firstLine="0"/>
        <w:jc w:val="both"/>
        <w:rPr>
          <w:rFonts w:asciiTheme="majorHAnsi" w:hAnsiTheme="majorHAnsi"/>
          <w:sz w:val="20"/>
          <w:szCs w:val="20"/>
        </w:rPr>
      </w:pPr>
      <w:r w:rsidRPr="00FC406F">
        <w:rPr>
          <w:rFonts w:asciiTheme="majorHAnsi" w:hAnsiTheme="majorHAnsi"/>
          <w:sz w:val="20"/>
          <w:szCs w:val="20"/>
        </w:rPr>
        <w:t xml:space="preserve">To provide comprehensive reparations for the violations of the rights stated in the present report, including the payment of compensation for the violation of the right to have </w:t>
      </w:r>
      <w:r w:rsidR="00D62916" w:rsidRPr="00FC406F">
        <w:rPr>
          <w:rFonts w:asciiTheme="majorHAnsi" w:hAnsiTheme="majorHAnsi"/>
          <w:sz w:val="20"/>
          <w:szCs w:val="20"/>
        </w:rPr>
        <w:t xml:space="preserve">equal </w:t>
      </w:r>
      <w:r w:rsidRPr="00FC406F">
        <w:rPr>
          <w:rFonts w:asciiTheme="majorHAnsi" w:hAnsiTheme="majorHAnsi"/>
          <w:sz w:val="20"/>
          <w:szCs w:val="20"/>
        </w:rPr>
        <w:t xml:space="preserve">access to </w:t>
      </w:r>
      <w:r w:rsidR="00D62916" w:rsidRPr="00FC406F">
        <w:rPr>
          <w:rFonts w:asciiTheme="majorHAnsi" w:hAnsiTheme="majorHAnsi"/>
          <w:sz w:val="20"/>
          <w:szCs w:val="20"/>
        </w:rPr>
        <w:t xml:space="preserve">the country’s </w:t>
      </w:r>
      <w:r w:rsidR="00D16FDF" w:rsidRPr="00FC406F">
        <w:rPr>
          <w:rFonts w:asciiTheme="majorHAnsi" w:hAnsiTheme="majorHAnsi"/>
          <w:sz w:val="20"/>
          <w:szCs w:val="20"/>
        </w:rPr>
        <w:t>public service</w:t>
      </w:r>
      <w:r w:rsidR="00B36400" w:rsidRPr="00FC406F">
        <w:rPr>
          <w:rFonts w:asciiTheme="majorHAnsi" w:hAnsiTheme="majorHAnsi"/>
          <w:sz w:val="20"/>
          <w:szCs w:val="20"/>
        </w:rPr>
        <w:t xml:space="preserve">. </w:t>
      </w:r>
    </w:p>
    <w:p w14:paraId="4D7F60EE" w14:textId="77777777" w:rsidR="00B36400" w:rsidRPr="00FC406F" w:rsidRDefault="00B36400" w:rsidP="00B36400">
      <w:pPr>
        <w:pStyle w:val="BodyText3"/>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0"/>
        <w:jc w:val="both"/>
        <w:rPr>
          <w:rFonts w:asciiTheme="majorHAnsi" w:hAnsiTheme="majorHAnsi"/>
          <w:sz w:val="20"/>
          <w:szCs w:val="20"/>
        </w:rPr>
      </w:pPr>
    </w:p>
    <w:p w14:paraId="2AB6681F" w14:textId="77777777" w:rsidR="00B36400" w:rsidRPr="00FC406F" w:rsidRDefault="00524A6F" w:rsidP="00031C34">
      <w:pPr>
        <w:pStyle w:val="BodyText3"/>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860"/>
          <w:tab w:val="left" w:pos="360"/>
        </w:tabs>
        <w:spacing w:after="0"/>
        <w:ind w:left="0" w:firstLine="0"/>
        <w:jc w:val="both"/>
        <w:rPr>
          <w:rFonts w:asciiTheme="majorHAnsi" w:hAnsiTheme="majorHAnsi"/>
          <w:sz w:val="20"/>
          <w:szCs w:val="20"/>
        </w:rPr>
      </w:pPr>
      <w:r w:rsidRPr="00FC406F">
        <w:rPr>
          <w:rFonts w:asciiTheme="majorHAnsi" w:hAnsiTheme="majorHAnsi"/>
          <w:sz w:val="20"/>
          <w:szCs w:val="20"/>
        </w:rPr>
        <w:t xml:space="preserve">To adopt the measures of </w:t>
      </w:r>
      <w:r w:rsidR="00BE10F2" w:rsidRPr="00FC406F">
        <w:rPr>
          <w:rFonts w:asciiTheme="majorHAnsi" w:hAnsiTheme="majorHAnsi"/>
          <w:sz w:val="20"/>
          <w:szCs w:val="20"/>
        </w:rPr>
        <w:t>non-repetition to guarantee the equality of all participants in the presidential electoral process. In particular</w:t>
      </w:r>
      <w:r w:rsidR="00B36400" w:rsidRPr="00FC406F">
        <w:rPr>
          <w:rFonts w:asciiTheme="majorHAnsi" w:hAnsiTheme="majorHAnsi"/>
          <w:sz w:val="20"/>
          <w:szCs w:val="20"/>
        </w:rPr>
        <w:t xml:space="preserve">: 1) </w:t>
      </w:r>
      <w:r w:rsidR="00BE10F2" w:rsidRPr="00FC406F">
        <w:rPr>
          <w:rFonts w:asciiTheme="majorHAnsi" w:hAnsiTheme="majorHAnsi"/>
          <w:sz w:val="20"/>
          <w:szCs w:val="20"/>
        </w:rPr>
        <w:t>to provide</w:t>
      </w:r>
      <w:r w:rsidR="00154DBA" w:rsidRPr="00FC406F">
        <w:rPr>
          <w:rFonts w:asciiTheme="majorHAnsi" w:hAnsiTheme="majorHAnsi"/>
          <w:sz w:val="20"/>
          <w:szCs w:val="20"/>
        </w:rPr>
        <w:t xml:space="preserve"> the necessary measures so that the regulatory framework for elections and its </w:t>
      </w:r>
      <w:r w:rsidR="00D16FDF" w:rsidRPr="00FC406F">
        <w:rPr>
          <w:rFonts w:asciiTheme="majorHAnsi" w:hAnsiTheme="majorHAnsi"/>
          <w:sz w:val="20"/>
          <w:szCs w:val="20"/>
        </w:rPr>
        <w:t>application</w:t>
      </w:r>
      <w:r w:rsidR="00154DBA" w:rsidRPr="00FC406F">
        <w:rPr>
          <w:rFonts w:asciiTheme="majorHAnsi" w:hAnsiTheme="majorHAnsi"/>
          <w:sz w:val="20"/>
          <w:szCs w:val="20"/>
        </w:rPr>
        <w:t xml:space="preserve"> shall guarantee the equality of all candidates in an electoral contest and prevent </w:t>
      </w:r>
      <w:r w:rsidR="00154DBA" w:rsidRPr="00FC406F">
        <w:rPr>
          <w:rFonts w:asciiTheme="majorHAnsi" w:hAnsiTheme="majorHAnsi"/>
          <w:sz w:val="20"/>
          <w:szCs w:val="20"/>
        </w:rPr>
        <w:lastRenderedPageBreak/>
        <w:t>the incumbent administration</w:t>
      </w:r>
      <w:r w:rsidR="00126E90" w:rsidRPr="00FC406F">
        <w:rPr>
          <w:rFonts w:asciiTheme="majorHAnsi" w:hAnsiTheme="majorHAnsi"/>
          <w:sz w:val="20"/>
          <w:szCs w:val="20"/>
        </w:rPr>
        <w:t xml:space="preserve"> from failing in its duty to be neutral in the process and </w:t>
      </w:r>
      <w:r w:rsidR="00D16FDF" w:rsidRPr="00FC406F">
        <w:rPr>
          <w:rFonts w:asciiTheme="majorHAnsi" w:hAnsiTheme="majorHAnsi"/>
          <w:sz w:val="20"/>
          <w:szCs w:val="20"/>
        </w:rPr>
        <w:t xml:space="preserve">from </w:t>
      </w:r>
      <w:r w:rsidR="00126E90" w:rsidRPr="00FC406F">
        <w:rPr>
          <w:rFonts w:asciiTheme="majorHAnsi" w:hAnsiTheme="majorHAnsi"/>
          <w:sz w:val="20"/>
          <w:szCs w:val="20"/>
        </w:rPr>
        <w:t>securing undue advantages by using public resources or the media</w:t>
      </w:r>
      <w:r w:rsidR="00B36400" w:rsidRPr="00FC406F">
        <w:rPr>
          <w:rFonts w:asciiTheme="majorHAnsi" w:hAnsiTheme="majorHAnsi"/>
          <w:sz w:val="20"/>
          <w:szCs w:val="20"/>
        </w:rPr>
        <w:t xml:space="preserve">, 2) </w:t>
      </w:r>
      <w:r w:rsidR="00126E90" w:rsidRPr="00FC406F">
        <w:rPr>
          <w:rFonts w:asciiTheme="majorHAnsi" w:hAnsiTheme="majorHAnsi"/>
          <w:sz w:val="20"/>
          <w:szCs w:val="20"/>
        </w:rPr>
        <w:t>to take the necessary measures to strengthen and guarantee the independence of the Supreme Electoral Council</w:t>
      </w:r>
      <w:r w:rsidR="00B36400" w:rsidRPr="00FC406F">
        <w:rPr>
          <w:rFonts w:asciiTheme="majorHAnsi" w:hAnsiTheme="majorHAnsi"/>
          <w:sz w:val="20"/>
          <w:szCs w:val="20"/>
        </w:rPr>
        <w:t xml:space="preserve">; </w:t>
      </w:r>
      <w:r w:rsidR="00126E90" w:rsidRPr="00FC406F">
        <w:rPr>
          <w:rFonts w:asciiTheme="majorHAnsi" w:hAnsiTheme="majorHAnsi"/>
          <w:sz w:val="20"/>
          <w:szCs w:val="20"/>
        </w:rPr>
        <w:t xml:space="preserve">and </w:t>
      </w:r>
      <w:r w:rsidR="00B36400" w:rsidRPr="00FC406F">
        <w:rPr>
          <w:rFonts w:asciiTheme="majorHAnsi" w:hAnsiTheme="majorHAnsi"/>
          <w:sz w:val="20"/>
          <w:szCs w:val="20"/>
        </w:rPr>
        <w:t xml:space="preserve">3) </w:t>
      </w:r>
      <w:r w:rsidR="00126E90" w:rsidRPr="00FC406F">
        <w:rPr>
          <w:rFonts w:asciiTheme="majorHAnsi" w:hAnsiTheme="majorHAnsi"/>
          <w:sz w:val="20"/>
          <w:szCs w:val="20"/>
        </w:rPr>
        <w:t>to provide legislative, administrative, and any other kind of measures that might be needed to create an effective and simple remedy for challenging the resolutions of the Supreme Electoral Council, without limitations regarding the matter being appealed</w:t>
      </w:r>
      <w:r w:rsidR="00B36400" w:rsidRPr="00FC406F">
        <w:rPr>
          <w:rFonts w:asciiTheme="majorHAnsi" w:hAnsiTheme="majorHAnsi"/>
          <w:color w:val="000000" w:themeColor="text1"/>
          <w:sz w:val="20"/>
          <w:szCs w:val="20"/>
        </w:rPr>
        <w:t>.</w:t>
      </w:r>
    </w:p>
    <w:p w14:paraId="32C5490D" w14:textId="77777777" w:rsidR="00B36400" w:rsidRPr="00FC406F" w:rsidRDefault="00B36400" w:rsidP="00B36400">
      <w:pPr>
        <w:rPr>
          <w:rFonts w:asciiTheme="majorHAnsi" w:hAnsiTheme="majorHAnsi"/>
          <w:color w:val="000000" w:themeColor="text1"/>
          <w:sz w:val="20"/>
          <w:szCs w:val="20"/>
        </w:rPr>
      </w:pPr>
    </w:p>
    <w:p w14:paraId="55903EC1" w14:textId="77777777" w:rsidR="00B36400" w:rsidRPr="00FC406F" w:rsidRDefault="00B36400" w:rsidP="008073A6">
      <w:pPr>
        <w:tabs>
          <w:tab w:val="center" w:pos="5400"/>
        </w:tabs>
        <w:suppressAutoHyphens/>
        <w:spacing w:line="276" w:lineRule="auto"/>
        <w:jc w:val="both"/>
        <w:rPr>
          <w:rFonts w:asciiTheme="majorHAnsi" w:hAnsiTheme="majorHAnsi"/>
          <w:sz w:val="20"/>
          <w:szCs w:val="20"/>
        </w:rPr>
      </w:pPr>
    </w:p>
    <w:sectPr w:rsidR="00B36400" w:rsidRPr="00FC406F" w:rsidSect="00CE64F4">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93641" w14:textId="77777777" w:rsidR="0000291F" w:rsidRDefault="0000291F" w:rsidP="00036A8A">
      <w:r>
        <w:separator/>
      </w:r>
    </w:p>
  </w:endnote>
  <w:endnote w:type="continuationSeparator" w:id="0">
    <w:p w14:paraId="31CC2E67" w14:textId="77777777" w:rsidR="0000291F" w:rsidRDefault="0000291F"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28D93EF9" w14:textId="77777777" w:rsidR="003C665E" w:rsidRPr="006311DA" w:rsidRDefault="003C665E">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CE64F4">
          <w:rPr>
            <w:noProof/>
            <w:sz w:val="16"/>
          </w:rPr>
          <w:t>19</w:t>
        </w:r>
        <w:r w:rsidRPr="006311DA">
          <w:rPr>
            <w:noProof/>
            <w:sz w:val="16"/>
          </w:rPr>
          <w:fldChar w:fldCharType="end"/>
        </w:r>
      </w:p>
    </w:sdtContent>
  </w:sdt>
  <w:p w14:paraId="3151A9EE" w14:textId="77777777" w:rsidR="003C665E" w:rsidRDefault="003C66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2EBD7" w14:textId="77777777" w:rsidR="003C665E" w:rsidRDefault="003C665E">
    <w:pPr>
      <w:pStyle w:val="Footer"/>
      <w:jc w:val="center"/>
    </w:pPr>
  </w:p>
  <w:p w14:paraId="64CE6BD9" w14:textId="77777777" w:rsidR="003C665E" w:rsidRDefault="003C66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1927C452" w14:textId="77777777" w:rsidR="003C665E" w:rsidRDefault="003C665E">
        <w:pPr>
          <w:pStyle w:val="Footer"/>
          <w:jc w:val="center"/>
        </w:pPr>
        <w:r>
          <w:fldChar w:fldCharType="begin"/>
        </w:r>
        <w:r>
          <w:instrText xml:space="preserve"> PAGE   \* MERGEFORMAT </w:instrText>
        </w:r>
        <w:r>
          <w:fldChar w:fldCharType="separate"/>
        </w:r>
        <w:r w:rsidR="00CE64F4">
          <w:rPr>
            <w:noProof/>
          </w:rPr>
          <w:t>1</w:t>
        </w:r>
        <w:r>
          <w:rPr>
            <w:noProof/>
          </w:rPr>
          <w:fldChar w:fldCharType="end"/>
        </w:r>
      </w:p>
    </w:sdtContent>
  </w:sdt>
  <w:p w14:paraId="25A3328A" w14:textId="77777777" w:rsidR="003C665E" w:rsidRDefault="003C6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0352E" w14:textId="77777777" w:rsidR="0000291F" w:rsidRPr="00036A8A" w:rsidRDefault="0000291F"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1EB121B" w14:textId="77777777" w:rsidR="0000291F" w:rsidRPr="00036A8A" w:rsidRDefault="0000291F" w:rsidP="00036A8A">
      <w:pPr>
        <w:rPr>
          <w:rFonts w:asciiTheme="majorHAnsi" w:hAnsiTheme="majorHAnsi"/>
          <w:sz w:val="16"/>
          <w:szCs w:val="16"/>
        </w:rPr>
      </w:pPr>
      <w:r w:rsidRPr="00036A8A">
        <w:rPr>
          <w:rFonts w:asciiTheme="majorHAnsi" w:hAnsiTheme="majorHAnsi"/>
          <w:sz w:val="16"/>
          <w:szCs w:val="16"/>
        </w:rPr>
        <w:separator/>
      </w:r>
    </w:p>
    <w:p w14:paraId="72225F9C" w14:textId="77777777" w:rsidR="0000291F" w:rsidRPr="00036A8A" w:rsidRDefault="0000291F"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3B493F9C" w14:textId="77777777" w:rsidR="0000291F" w:rsidRPr="0093441A" w:rsidRDefault="0000291F"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4D9423C8" w14:textId="77777777" w:rsidR="003C665E" w:rsidRPr="00FC406F" w:rsidRDefault="003C665E" w:rsidP="006C634D">
      <w:pPr>
        <w:pStyle w:val="FootnoteText"/>
        <w:jc w:val="both"/>
        <w:rPr>
          <w:rFonts w:ascii="Cambria" w:hAnsi="Cambria"/>
          <w:color w:val="FF0000"/>
          <w:sz w:val="16"/>
          <w:szCs w:val="16"/>
        </w:rPr>
      </w:pPr>
      <w:r w:rsidRPr="00FC406F">
        <w:rPr>
          <w:rStyle w:val="FootnoteReference"/>
          <w:rFonts w:ascii="Cambria" w:hAnsi="Cambria"/>
          <w:color w:val="auto"/>
          <w:sz w:val="16"/>
          <w:szCs w:val="16"/>
        </w:rPr>
        <w:footnoteRef/>
      </w:r>
      <w:r w:rsidRPr="00FC406F">
        <w:rPr>
          <w:rFonts w:ascii="Cambria" w:hAnsi="Cambria"/>
          <w:color w:val="auto"/>
          <w:sz w:val="16"/>
          <w:szCs w:val="16"/>
        </w:rPr>
        <w:t xml:space="preserve"> IACHR. Report No. 179/18. Petition 1360-11. Admissibility. </w:t>
      </w:r>
      <w:r w:rsidRPr="0079400D">
        <w:rPr>
          <w:rFonts w:ascii="Cambria" w:hAnsi="Cambria"/>
          <w:color w:val="auto"/>
          <w:sz w:val="16"/>
          <w:szCs w:val="16"/>
          <w:lang w:val="es-US"/>
        </w:rPr>
        <w:t xml:space="preserve">Fabio Gadea Mantilla. Nicaragua, December 26, 2018. </w:t>
      </w:r>
      <w:r w:rsidRPr="00FC406F">
        <w:rPr>
          <w:rFonts w:ascii="Cambria" w:hAnsi="Cambria"/>
          <w:color w:val="auto"/>
          <w:sz w:val="16"/>
          <w:szCs w:val="16"/>
        </w:rPr>
        <w:t xml:space="preserve">In this decision, the Commission declared that the petition was admissible with respect to Articles 8, 23, 24, and 25 of the American Convention in connection with Articles 1.1 and 2 of the same instrument. </w:t>
      </w:r>
    </w:p>
  </w:footnote>
  <w:footnote w:id="3">
    <w:p w14:paraId="472D9EB3" w14:textId="77777777" w:rsidR="003C665E" w:rsidRPr="00FC406F" w:rsidRDefault="003C665E" w:rsidP="006C634D">
      <w:pPr>
        <w:jc w:val="both"/>
        <w:rPr>
          <w:rFonts w:ascii="Cambria" w:eastAsia="Times New Roman" w:hAnsi="Cambria"/>
          <w:sz w:val="16"/>
          <w:szCs w:val="16"/>
        </w:rPr>
      </w:pPr>
      <w:r w:rsidRPr="00FC406F">
        <w:rPr>
          <w:rStyle w:val="FootnoteReference"/>
          <w:rFonts w:ascii="Cambria" w:hAnsi="Cambria"/>
          <w:sz w:val="16"/>
          <w:szCs w:val="16"/>
        </w:rPr>
        <w:footnoteRef/>
      </w:r>
      <w:r w:rsidRPr="00FC406F">
        <w:rPr>
          <w:rFonts w:ascii="Cambria" w:hAnsi="Cambria"/>
          <w:sz w:val="16"/>
          <w:szCs w:val="16"/>
        </w:rPr>
        <w:t xml:space="preserve"> IACHR, Annual Report 2018, chapter IV. B Nicaragua. </w:t>
      </w:r>
      <w:r w:rsidRPr="00FC406F">
        <w:rPr>
          <w:rFonts w:ascii="Cambria" w:eastAsia="Times New Roman" w:hAnsi="Cambria"/>
          <w:sz w:val="16"/>
          <w:szCs w:val="16"/>
        </w:rPr>
        <w:t>General Human Rights Situation since April 2018. Concentration of power and undermining the rule of law, para. 27.</w:t>
      </w:r>
    </w:p>
  </w:footnote>
  <w:footnote w:id="4">
    <w:p w14:paraId="3C2E1A36" w14:textId="77777777" w:rsidR="003C665E" w:rsidRPr="00FC406F" w:rsidRDefault="003C665E" w:rsidP="006C634D">
      <w:pPr>
        <w:pStyle w:val="FootnoteText"/>
        <w:jc w:val="both"/>
        <w:rPr>
          <w:rFonts w:ascii="Cambria" w:hAnsi="Cambria"/>
          <w:sz w:val="16"/>
          <w:szCs w:val="16"/>
        </w:rPr>
      </w:pPr>
      <w:r w:rsidRPr="00FC406F">
        <w:rPr>
          <w:rStyle w:val="FootnoteReference"/>
          <w:rFonts w:ascii="Cambria" w:hAnsi="Cambria"/>
          <w:sz w:val="16"/>
          <w:szCs w:val="16"/>
        </w:rPr>
        <w:footnoteRef/>
      </w:r>
      <w:r w:rsidRPr="00FC406F">
        <w:rPr>
          <w:rFonts w:ascii="Cambria" w:hAnsi="Cambria"/>
          <w:sz w:val="16"/>
          <w:szCs w:val="16"/>
        </w:rPr>
        <w:t xml:space="preserve"> Interdisciplinary Group of Independent Experts of the Inter-American Commission on Human Rights, for Nicaragua (GIEI Nicaragua), Final Report 2018, p. 43.</w:t>
      </w:r>
    </w:p>
  </w:footnote>
  <w:footnote w:id="5">
    <w:p w14:paraId="4FB053A5" w14:textId="77777777" w:rsidR="003C665E" w:rsidRPr="00FC406F" w:rsidRDefault="003C665E" w:rsidP="006C634D">
      <w:pPr>
        <w:jc w:val="both"/>
        <w:rPr>
          <w:rFonts w:ascii="Cambria" w:eastAsia="Times New Roman" w:hAnsi="Cambria"/>
          <w:sz w:val="16"/>
          <w:szCs w:val="16"/>
        </w:rPr>
      </w:pPr>
      <w:r w:rsidRPr="00FC406F">
        <w:rPr>
          <w:rStyle w:val="FootnoteReference"/>
          <w:rFonts w:ascii="Cambria" w:hAnsi="Cambria"/>
          <w:sz w:val="16"/>
          <w:szCs w:val="16"/>
        </w:rPr>
        <w:footnoteRef/>
      </w:r>
      <w:r w:rsidRPr="00FC406F">
        <w:rPr>
          <w:rFonts w:ascii="Cambria" w:hAnsi="Cambria"/>
          <w:sz w:val="16"/>
          <w:szCs w:val="16"/>
        </w:rPr>
        <w:t xml:space="preserve"> Office of the United Nations High Commissioner for Human Rights (OHCHR), Human rights violations and abuses in the context of protests in Nicaragua, 18 April-18 August</w:t>
      </w:r>
      <w:r w:rsidRPr="00FC406F">
        <w:rPr>
          <w:rFonts w:ascii="Cambria" w:eastAsia="Times New Roman" w:hAnsi="Cambria"/>
          <w:sz w:val="16"/>
          <w:szCs w:val="16"/>
        </w:rPr>
        <w:t xml:space="preserve"> 2018, para. 8.</w:t>
      </w:r>
    </w:p>
  </w:footnote>
  <w:footnote w:id="6">
    <w:p w14:paraId="3A85CC77" w14:textId="77777777" w:rsidR="003C665E" w:rsidRPr="00FC406F" w:rsidRDefault="003C665E" w:rsidP="006C634D">
      <w:pPr>
        <w:jc w:val="both"/>
        <w:rPr>
          <w:rFonts w:ascii="Cambria" w:eastAsia="Times New Roman" w:hAnsi="Cambria"/>
          <w:sz w:val="16"/>
          <w:szCs w:val="16"/>
        </w:rPr>
      </w:pPr>
      <w:r w:rsidRPr="00FC406F">
        <w:rPr>
          <w:rStyle w:val="FootnoteReference"/>
          <w:rFonts w:ascii="Cambria" w:hAnsi="Cambria"/>
          <w:sz w:val="16"/>
          <w:szCs w:val="16"/>
        </w:rPr>
        <w:footnoteRef/>
      </w:r>
      <w:r w:rsidRPr="00FC406F">
        <w:rPr>
          <w:rFonts w:ascii="Cambria" w:hAnsi="Cambria"/>
          <w:sz w:val="16"/>
          <w:szCs w:val="16"/>
        </w:rPr>
        <w:t xml:space="preserve"> IACHR, Annual Report 2018, chapter IV. B Nicaragua. </w:t>
      </w:r>
      <w:r w:rsidRPr="00FC406F">
        <w:rPr>
          <w:rFonts w:ascii="Cambria" w:eastAsia="Times New Roman" w:hAnsi="Cambria"/>
          <w:sz w:val="16"/>
          <w:szCs w:val="16"/>
        </w:rPr>
        <w:t>General Human Rights Situation since April 2018. Concentration of power and undermining the rule of law, para. 99.</w:t>
      </w:r>
    </w:p>
  </w:footnote>
  <w:footnote w:id="7">
    <w:p w14:paraId="3A01BDCF" w14:textId="77777777" w:rsidR="003C665E" w:rsidRPr="00FC406F" w:rsidRDefault="003C665E" w:rsidP="006C634D">
      <w:pPr>
        <w:jc w:val="both"/>
        <w:rPr>
          <w:rFonts w:ascii="Cambria" w:eastAsia="Times New Roman" w:hAnsi="Cambria"/>
          <w:sz w:val="16"/>
          <w:szCs w:val="16"/>
        </w:rPr>
      </w:pPr>
      <w:r w:rsidRPr="00FC406F">
        <w:rPr>
          <w:rStyle w:val="FootnoteReference"/>
          <w:rFonts w:ascii="Cambria" w:hAnsi="Cambria"/>
          <w:sz w:val="16"/>
          <w:szCs w:val="16"/>
        </w:rPr>
        <w:footnoteRef/>
      </w:r>
      <w:r w:rsidRPr="00FC406F">
        <w:rPr>
          <w:rFonts w:ascii="Cambria" w:hAnsi="Cambria"/>
          <w:sz w:val="16"/>
          <w:szCs w:val="16"/>
        </w:rPr>
        <w:t xml:space="preserve"> IACHR, Annual Report 2018, chapter IV. B Nicaragua. </w:t>
      </w:r>
      <w:r w:rsidRPr="00FC406F">
        <w:rPr>
          <w:rFonts w:ascii="Cambria" w:eastAsia="Times New Roman" w:hAnsi="Cambria"/>
          <w:sz w:val="16"/>
          <w:szCs w:val="16"/>
        </w:rPr>
        <w:t>General Human Rights Situation since April 2018. Concentration of power and undermining the rule of law, para. 114.</w:t>
      </w:r>
    </w:p>
  </w:footnote>
  <w:footnote w:id="8">
    <w:p w14:paraId="6FDB7A19" w14:textId="77777777" w:rsidR="003C665E" w:rsidRPr="00FC406F" w:rsidRDefault="003C665E" w:rsidP="006C634D">
      <w:pPr>
        <w:pStyle w:val="FootnoteText"/>
        <w:jc w:val="both"/>
        <w:rPr>
          <w:rFonts w:ascii="Cambria" w:hAnsi="Cambria"/>
          <w:sz w:val="16"/>
          <w:szCs w:val="16"/>
        </w:rPr>
      </w:pPr>
      <w:r w:rsidRPr="00FC406F">
        <w:rPr>
          <w:rStyle w:val="FootnoteReference"/>
          <w:rFonts w:ascii="Cambria" w:hAnsi="Cambria"/>
          <w:sz w:val="16"/>
          <w:szCs w:val="16"/>
        </w:rPr>
        <w:footnoteRef/>
      </w:r>
      <w:r w:rsidRPr="00FC406F">
        <w:rPr>
          <w:rFonts w:ascii="Cambria" w:hAnsi="Cambria"/>
          <w:sz w:val="16"/>
          <w:szCs w:val="16"/>
        </w:rPr>
        <w:t xml:space="preserve"> IACHR, Annual Report of the Inter-American Commission on Human Rights 2011, OEA/Ser.L/V/II.Doc.69, December 30, 2011, para. 450.</w:t>
      </w:r>
    </w:p>
  </w:footnote>
  <w:footnote w:id="9">
    <w:p w14:paraId="51E8115C" w14:textId="77777777" w:rsidR="003C665E" w:rsidRPr="00FC406F" w:rsidRDefault="003C665E" w:rsidP="006C634D">
      <w:pPr>
        <w:pStyle w:val="FootnoteText"/>
        <w:jc w:val="both"/>
        <w:rPr>
          <w:rFonts w:ascii="Cambria" w:hAnsi="Cambria"/>
          <w:sz w:val="16"/>
          <w:szCs w:val="16"/>
        </w:rPr>
      </w:pPr>
      <w:r w:rsidRPr="00FC406F">
        <w:rPr>
          <w:rStyle w:val="FootnoteReference"/>
          <w:rFonts w:ascii="Cambria" w:hAnsi="Cambria"/>
          <w:sz w:val="16"/>
          <w:szCs w:val="16"/>
        </w:rPr>
        <w:footnoteRef/>
      </w:r>
      <w:r w:rsidRPr="00FC406F">
        <w:rPr>
          <w:rFonts w:ascii="Cambria" w:hAnsi="Cambria"/>
          <w:sz w:val="16"/>
          <w:szCs w:val="16"/>
        </w:rPr>
        <w:t xml:space="preserve"> Political Constitution of the Republic of Nicaragua of 1987, Articles 147, 173, and 178.</w:t>
      </w:r>
    </w:p>
  </w:footnote>
  <w:footnote w:id="10">
    <w:p w14:paraId="4EEECF10" w14:textId="77777777" w:rsidR="003C665E" w:rsidRPr="00FC406F" w:rsidRDefault="003C665E" w:rsidP="006C634D">
      <w:pPr>
        <w:pStyle w:val="FootnoteText"/>
        <w:jc w:val="both"/>
        <w:rPr>
          <w:rFonts w:ascii="Cambria" w:hAnsi="Cambria"/>
          <w:sz w:val="16"/>
          <w:szCs w:val="16"/>
        </w:rPr>
      </w:pPr>
      <w:r w:rsidRPr="00FC406F">
        <w:rPr>
          <w:rStyle w:val="FootnoteReference"/>
          <w:rFonts w:ascii="Cambria" w:hAnsi="Cambria"/>
          <w:sz w:val="16"/>
          <w:szCs w:val="16"/>
        </w:rPr>
        <w:footnoteRef/>
      </w:r>
      <w:r w:rsidRPr="00FC406F">
        <w:rPr>
          <w:rFonts w:ascii="Cambria" w:hAnsi="Cambria"/>
          <w:sz w:val="16"/>
          <w:szCs w:val="16"/>
        </w:rPr>
        <w:t xml:space="preserve"> Judgment No. 504 of the Constitutional Chamber of the Supreme Court of Justice, October 19, 2009.</w:t>
      </w:r>
    </w:p>
  </w:footnote>
  <w:footnote w:id="11">
    <w:p w14:paraId="3A8A6E15" w14:textId="77777777" w:rsidR="003C665E" w:rsidRPr="00FC406F" w:rsidRDefault="003C665E" w:rsidP="006C634D">
      <w:pPr>
        <w:pStyle w:val="FootnoteText"/>
        <w:jc w:val="both"/>
        <w:rPr>
          <w:rFonts w:ascii="Cambria" w:hAnsi="Cambria"/>
          <w:sz w:val="16"/>
          <w:szCs w:val="16"/>
        </w:rPr>
      </w:pPr>
      <w:r w:rsidRPr="00FC406F">
        <w:rPr>
          <w:rStyle w:val="FootnoteReference"/>
          <w:rFonts w:ascii="Cambria" w:hAnsi="Cambria"/>
          <w:sz w:val="16"/>
          <w:szCs w:val="16"/>
        </w:rPr>
        <w:footnoteRef/>
      </w:r>
      <w:r w:rsidRPr="00FC406F">
        <w:rPr>
          <w:rFonts w:ascii="Cambria" w:hAnsi="Cambria"/>
          <w:sz w:val="16"/>
          <w:szCs w:val="16"/>
        </w:rPr>
        <w:t xml:space="preserve"> Judgment No. 504 of the Constitutional Chamber of the Supreme Court of Justice, October 19, 2009.</w:t>
      </w:r>
    </w:p>
  </w:footnote>
  <w:footnote w:id="12">
    <w:p w14:paraId="6BADEA3A" w14:textId="77777777" w:rsidR="003C665E" w:rsidRPr="00FC406F" w:rsidRDefault="003C665E" w:rsidP="006C634D">
      <w:pPr>
        <w:pStyle w:val="FootnoteText"/>
        <w:jc w:val="both"/>
        <w:rPr>
          <w:rFonts w:ascii="Cambria" w:hAnsi="Cambria"/>
          <w:sz w:val="16"/>
          <w:szCs w:val="16"/>
        </w:rPr>
      </w:pPr>
      <w:r w:rsidRPr="00FC406F">
        <w:rPr>
          <w:rStyle w:val="FootnoteReference"/>
          <w:rFonts w:ascii="Cambria" w:hAnsi="Cambria"/>
          <w:sz w:val="16"/>
          <w:szCs w:val="16"/>
        </w:rPr>
        <w:footnoteRef/>
      </w:r>
      <w:r w:rsidRPr="00FC406F">
        <w:rPr>
          <w:rFonts w:ascii="Cambria" w:hAnsi="Cambria"/>
          <w:sz w:val="16"/>
          <w:szCs w:val="16"/>
        </w:rPr>
        <w:t xml:space="preserve"> Judgment No. 504 of the Constitutional Chamber of the Supreme Court of Justice, October 19, 2009.</w:t>
      </w:r>
    </w:p>
  </w:footnote>
  <w:footnote w:id="13">
    <w:p w14:paraId="09FFA1AB" w14:textId="77777777" w:rsidR="003C665E" w:rsidRPr="00FC406F" w:rsidRDefault="003C665E" w:rsidP="006C634D">
      <w:pPr>
        <w:pStyle w:val="FootnoteText"/>
        <w:jc w:val="both"/>
        <w:rPr>
          <w:rFonts w:ascii="Cambria" w:hAnsi="Cambria"/>
          <w:sz w:val="16"/>
          <w:szCs w:val="16"/>
        </w:rPr>
      </w:pPr>
      <w:r w:rsidRPr="00FC406F">
        <w:rPr>
          <w:rStyle w:val="FootnoteReference"/>
          <w:rFonts w:ascii="Cambria" w:hAnsi="Cambria"/>
          <w:sz w:val="16"/>
          <w:szCs w:val="16"/>
        </w:rPr>
        <w:footnoteRef/>
      </w:r>
      <w:r w:rsidRPr="00FC406F">
        <w:rPr>
          <w:rFonts w:ascii="Cambria" w:hAnsi="Cambria"/>
          <w:sz w:val="16"/>
          <w:szCs w:val="16"/>
        </w:rPr>
        <w:t xml:space="preserve"> Judgment No. 504 of the Constitutional Chamber of the Supreme Court of Justice, October 19, 2009. </w:t>
      </w:r>
    </w:p>
  </w:footnote>
  <w:footnote w:id="14">
    <w:p w14:paraId="2EE9D47F" w14:textId="77777777" w:rsidR="003C665E" w:rsidRPr="00FC406F" w:rsidRDefault="003C665E" w:rsidP="006C634D">
      <w:pPr>
        <w:pStyle w:val="FootnoteText"/>
        <w:jc w:val="both"/>
        <w:rPr>
          <w:rFonts w:ascii="Cambria" w:hAnsi="Cambria"/>
          <w:sz w:val="16"/>
          <w:szCs w:val="16"/>
        </w:rPr>
      </w:pPr>
      <w:r w:rsidRPr="00FC406F">
        <w:rPr>
          <w:rStyle w:val="FootnoteReference"/>
          <w:rFonts w:ascii="Cambria" w:hAnsi="Cambria"/>
          <w:sz w:val="16"/>
          <w:szCs w:val="16"/>
        </w:rPr>
        <w:footnoteRef/>
      </w:r>
      <w:r w:rsidRPr="00FC406F">
        <w:rPr>
          <w:rFonts w:ascii="Cambria" w:hAnsi="Cambria"/>
          <w:sz w:val="16"/>
          <w:szCs w:val="16"/>
        </w:rPr>
        <w:t xml:space="preserve"> </w:t>
      </w:r>
      <w:hyperlink r:id="rId1" w:history="1">
        <w:r w:rsidRPr="00FC406F">
          <w:rPr>
            <w:rStyle w:val="Hyperlink"/>
            <w:rFonts w:ascii="Cambria" w:hAnsi="Cambria"/>
            <w:sz w:val="16"/>
            <w:szCs w:val="16"/>
          </w:rPr>
          <w:t>Decreto Ejecutivo No. 3-2010</w:t>
        </w:r>
      </w:hyperlink>
      <w:r w:rsidRPr="00FC406F">
        <w:rPr>
          <w:rFonts w:ascii="Cambria" w:hAnsi="Cambria"/>
          <w:sz w:val="16"/>
          <w:szCs w:val="16"/>
        </w:rPr>
        <w:t xml:space="preserve">, Executive Decree No. 3-2010 adopted on January 9, 2010 by President Daniel Ortega Saavedra. </w:t>
      </w:r>
    </w:p>
  </w:footnote>
  <w:footnote w:id="15">
    <w:p w14:paraId="5B89C887" w14:textId="77777777" w:rsidR="003C665E" w:rsidRPr="00FC406F" w:rsidRDefault="003C665E" w:rsidP="006C634D">
      <w:pPr>
        <w:pStyle w:val="FootnoteText"/>
        <w:jc w:val="both"/>
        <w:rPr>
          <w:rFonts w:ascii="Cambria" w:hAnsi="Cambria"/>
          <w:sz w:val="16"/>
          <w:szCs w:val="16"/>
        </w:rPr>
      </w:pPr>
      <w:r w:rsidRPr="00FC406F">
        <w:rPr>
          <w:rStyle w:val="FootnoteReference"/>
          <w:rFonts w:ascii="Cambria" w:hAnsi="Cambria"/>
          <w:sz w:val="16"/>
          <w:szCs w:val="16"/>
        </w:rPr>
        <w:footnoteRef/>
      </w:r>
      <w:r w:rsidRPr="00FC406F">
        <w:rPr>
          <w:rFonts w:ascii="Cambria" w:hAnsi="Cambria"/>
          <w:sz w:val="16"/>
          <w:szCs w:val="16"/>
        </w:rPr>
        <w:t xml:space="preserve"> Judgment No. 6 of the Supreme Court of Justice of Nicaragua, September 30, 2010. </w:t>
      </w:r>
    </w:p>
  </w:footnote>
  <w:footnote w:id="16">
    <w:p w14:paraId="4FDECC51" w14:textId="77777777" w:rsidR="003C665E" w:rsidRPr="00FC406F" w:rsidRDefault="003C665E" w:rsidP="006C634D">
      <w:pPr>
        <w:pStyle w:val="FootnoteText"/>
        <w:jc w:val="both"/>
        <w:rPr>
          <w:rFonts w:ascii="Cambria" w:hAnsi="Cambria"/>
          <w:sz w:val="16"/>
          <w:szCs w:val="16"/>
        </w:rPr>
      </w:pPr>
      <w:r w:rsidRPr="00FC406F">
        <w:rPr>
          <w:rStyle w:val="FootnoteReference"/>
          <w:rFonts w:ascii="Cambria" w:hAnsi="Cambria"/>
          <w:sz w:val="16"/>
          <w:szCs w:val="16"/>
        </w:rPr>
        <w:footnoteRef/>
      </w:r>
      <w:r w:rsidRPr="00FC406F">
        <w:rPr>
          <w:rFonts w:ascii="Cambria" w:hAnsi="Cambria"/>
          <w:sz w:val="16"/>
          <w:szCs w:val="16"/>
        </w:rPr>
        <w:t xml:space="preserve"> See brief of May 23, 22019 from the state. </w:t>
      </w:r>
    </w:p>
  </w:footnote>
  <w:footnote w:id="17">
    <w:p w14:paraId="31512122" w14:textId="77777777" w:rsidR="003C665E" w:rsidRPr="00FC406F" w:rsidRDefault="003C665E" w:rsidP="006C634D">
      <w:pPr>
        <w:pStyle w:val="FootnoteText"/>
        <w:jc w:val="both"/>
        <w:rPr>
          <w:rFonts w:ascii="Cambria" w:hAnsi="Cambria"/>
          <w:sz w:val="16"/>
          <w:szCs w:val="16"/>
        </w:rPr>
      </w:pPr>
      <w:r w:rsidRPr="00FC406F">
        <w:rPr>
          <w:rStyle w:val="FootnoteReference"/>
          <w:rFonts w:ascii="Cambria" w:hAnsi="Cambria"/>
          <w:sz w:val="16"/>
          <w:szCs w:val="16"/>
        </w:rPr>
        <w:footnoteRef/>
      </w:r>
      <w:r w:rsidRPr="00FC406F">
        <w:rPr>
          <w:rFonts w:ascii="Cambria" w:hAnsi="Cambria"/>
          <w:sz w:val="16"/>
          <w:szCs w:val="16"/>
        </w:rPr>
        <w:t xml:space="preserve"> Agreement of the Supreme Electoral Council of October 28, 2010 to convene elections. Annex 1 to the brief of observations on the merits of February 24, 2020, from the state.</w:t>
      </w:r>
    </w:p>
  </w:footnote>
  <w:footnote w:id="18">
    <w:p w14:paraId="1070E9CD" w14:textId="77777777" w:rsidR="003C665E" w:rsidRPr="00FC406F" w:rsidRDefault="003C665E" w:rsidP="006C634D">
      <w:pPr>
        <w:pStyle w:val="FootnoteText"/>
        <w:jc w:val="both"/>
        <w:rPr>
          <w:rFonts w:ascii="Cambria" w:hAnsi="Cambria"/>
          <w:sz w:val="16"/>
          <w:szCs w:val="16"/>
        </w:rPr>
      </w:pPr>
      <w:r w:rsidRPr="00FC406F">
        <w:rPr>
          <w:rStyle w:val="FootnoteReference"/>
          <w:rFonts w:ascii="Cambria" w:hAnsi="Cambria"/>
          <w:sz w:val="16"/>
          <w:szCs w:val="16"/>
        </w:rPr>
        <w:footnoteRef/>
      </w:r>
      <w:r w:rsidR="007B75D6">
        <w:rPr>
          <w:rFonts w:ascii="Cambria" w:hAnsi="Cambria"/>
          <w:sz w:val="16"/>
          <w:szCs w:val="16"/>
        </w:rPr>
        <w:t xml:space="preserve"> Annex 1</w:t>
      </w:r>
      <w:r w:rsidRPr="00FC406F">
        <w:rPr>
          <w:rFonts w:ascii="Cambria" w:hAnsi="Cambria"/>
          <w:sz w:val="16"/>
          <w:szCs w:val="16"/>
        </w:rPr>
        <w:t>. CSE form to register candidates standing for president and vice-president of the Republic in the general elections of November 2011. Annex 2 to the brief submitted by the state on November 8, 2017.</w:t>
      </w:r>
    </w:p>
  </w:footnote>
  <w:footnote w:id="19">
    <w:p w14:paraId="56C605C8" w14:textId="77777777" w:rsidR="003C665E" w:rsidRPr="00FC406F" w:rsidRDefault="003C665E" w:rsidP="006C634D">
      <w:pPr>
        <w:pStyle w:val="FootnoteText"/>
        <w:jc w:val="both"/>
        <w:rPr>
          <w:rFonts w:ascii="Cambria" w:hAnsi="Cambria"/>
          <w:sz w:val="16"/>
          <w:szCs w:val="16"/>
        </w:rPr>
      </w:pPr>
      <w:r w:rsidRPr="00FC406F">
        <w:rPr>
          <w:rStyle w:val="FootnoteReference"/>
          <w:rFonts w:ascii="Cambria" w:hAnsi="Cambria"/>
          <w:sz w:val="16"/>
          <w:szCs w:val="16"/>
        </w:rPr>
        <w:footnoteRef/>
      </w:r>
      <w:r w:rsidRPr="00FC406F">
        <w:rPr>
          <w:rFonts w:ascii="Cambria" w:hAnsi="Cambria"/>
          <w:sz w:val="16"/>
          <w:szCs w:val="16"/>
        </w:rPr>
        <w:t xml:space="preserve"> Brief of observations on the merits submitted by the petitioner on July 14, 2019, p. 6.</w:t>
      </w:r>
    </w:p>
  </w:footnote>
  <w:footnote w:id="20">
    <w:p w14:paraId="05D8BF39" w14:textId="77777777" w:rsidR="003C665E" w:rsidRPr="00FC406F" w:rsidRDefault="003C665E" w:rsidP="006C634D">
      <w:pPr>
        <w:pStyle w:val="FootnoteText"/>
        <w:jc w:val="both"/>
        <w:rPr>
          <w:rFonts w:ascii="Cambria" w:hAnsi="Cambria"/>
          <w:sz w:val="16"/>
          <w:szCs w:val="16"/>
        </w:rPr>
      </w:pPr>
      <w:r w:rsidRPr="00FC406F">
        <w:rPr>
          <w:rStyle w:val="FootnoteReference"/>
          <w:rFonts w:ascii="Cambria" w:hAnsi="Cambria"/>
          <w:sz w:val="16"/>
          <w:szCs w:val="16"/>
        </w:rPr>
        <w:footnoteRef/>
      </w:r>
      <w:r w:rsidR="007B75D6">
        <w:rPr>
          <w:rFonts w:ascii="Cambria" w:hAnsi="Cambria"/>
          <w:sz w:val="16"/>
          <w:szCs w:val="16"/>
        </w:rPr>
        <w:t xml:space="preserve"> Annex 1</w:t>
      </w:r>
      <w:r w:rsidRPr="00FC406F">
        <w:rPr>
          <w:rFonts w:ascii="Cambria" w:hAnsi="Cambria"/>
          <w:sz w:val="16"/>
          <w:szCs w:val="16"/>
        </w:rPr>
        <w:t>. CSE form to register candidates standing for president and vice-president of the Republic in the general elections of November 2011. Annex 3 to the brief of November 8, 2017 submitted by the state re de 2011.</w:t>
      </w:r>
    </w:p>
  </w:footnote>
  <w:footnote w:id="21">
    <w:p w14:paraId="672CA0F5" w14:textId="77777777" w:rsidR="003C665E" w:rsidRPr="00FC406F" w:rsidRDefault="003C665E" w:rsidP="006C634D">
      <w:pPr>
        <w:pStyle w:val="FootnoteText"/>
        <w:jc w:val="both"/>
        <w:rPr>
          <w:rFonts w:ascii="Cambria" w:hAnsi="Cambria"/>
          <w:sz w:val="16"/>
          <w:szCs w:val="16"/>
        </w:rPr>
      </w:pPr>
      <w:r w:rsidRPr="00FC406F">
        <w:rPr>
          <w:rStyle w:val="FootnoteReference"/>
          <w:rFonts w:ascii="Cambria" w:hAnsi="Cambria"/>
          <w:sz w:val="16"/>
          <w:szCs w:val="16"/>
        </w:rPr>
        <w:footnoteRef/>
      </w:r>
      <w:r w:rsidRPr="00FC406F">
        <w:rPr>
          <w:rFonts w:ascii="Cambria" w:hAnsi="Cambria"/>
          <w:sz w:val="16"/>
          <w:szCs w:val="16"/>
        </w:rPr>
        <w:t xml:space="preserve"> Brief of observations on the merits submitted by the petitioner on July 14, 2019, p. 6</w:t>
      </w:r>
    </w:p>
  </w:footnote>
  <w:footnote w:id="22">
    <w:p w14:paraId="3627BA23" w14:textId="77777777" w:rsidR="003C665E" w:rsidRPr="00FC406F" w:rsidRDefault="003C665E" w:rsidP="006C634D">
      <w:pPr>
        <w:pStyle w:val="FootnoteText"/>
        <w:jc w:val="both"/>
        <w:rPr>
          <w:rFonts w:ascii="Cambria" w:hAnsi="Cambria"/>
          <w:sz w:val="16"/>
          <w:szCs w:val="16"/>
        </w:rPr>
      </w:pPr>
      <w:r w:rsidRPr="00FC406F">
        <w:rPr>
          <w:rStyle w:val="FootnoteReference"/>
          <w:rFonts w:ascii="Cambria" w:hAnsi="Cambria"/>
          <w:sz w:val="16"/>
          <w:szCs w:val="16"/>
        </w:rPr>
        <w:footnoteRef/>
      </w:r>
      <w:r w:rsidR="007B75D6">
        <w:rPr>
          <w:rFonts w:ascii="Cambria" w:hAnsi="Cambria"/>
          <w:sz w:val="16"/>
          <w:szCs w:val="16"/>
        </w:rPr>
        <w:t xml:space="preserve"> Annex 2</w:t>
      </w:r>
      <w:r w:rsidRPr="00FC406F">
        <w:rPr>
          <w:rFonts w:ascii="Cambria" w:hAnsi="Cambria"/>
          <w:sz w:val="16"/>
          <w:szCs w:val="16"/>
        </w:rPr>
        <w:t>. Resolution of the Supreme Electoral Council of Nicaragua, dated April 4, 2011. Annex 2 to the brief submitted by the petitioner on April 5, 2011.</w:t>
      </w:r>
    </w:p>
  </w:footnote>
  <w:footnote w:id="23">
    <w:p w14:paraId="2D1C901B" w14:textId="77777777" w:rsidR="003C665E" w:rsidRPr="00FC406F" w:rsidRDefault="003C665E" w:rsidP="006C634D">
      <w:pPr>
        <w:pStyle w:val="FootnoteText"/>
        <w:jc w:val="both"/>
        <w:rPr>
          <w:rFonts w:ascii="Cambria" w:hAnsi="Cambria"/>
          <w:sz w:val="16"/>
          <w:szCs w:val="16"/>
        </w:rPr>
      </w:pPr>
      <w:r w:rsidRPr="00FC406F">
        <w:rPr>
          <w:rStyle w:val="FootnoteReference"/>
          <w:rFonts w:ascii="Cambria" w:hAnsi="Cambria"/>
          <w:sz w:val="16"/>
          <w:szCs w:val="16"/>
        </w:rPr>
        <w:footnoteRef/>
      </w:r>
      <w:r w:rsidR="007B75D6">
        <w:rPr>
          <w:rFonts w:ascii="Cambria" w:hAnsi="Cambria"/>
          <w:sz w:val="16"/>
          <w:szCs w:val="16"/>
        </w:rPr>
        <w:t xml:space="preserve"> Annex 2</w:t>
      </w:r>
      <w:r w:rsidRPr="00FC406F">
        <w:rPr>
          <w:rFonts w:ascii="Cambria" w:hAnsi="Cambria"/>
          <w:sz w:val="16"/>
          <w:szCs w:val="16"/>
        </w:rPr>
        <w:t>. Resolution of the Supreme Electoral Council of Nicaragua of April 4, 2011. Annex 2 to the brief submitted by the petitioner on April 5, 2011.</w:t>
      </w:r>
    </w:p>
  </w:footnote>
  <w:footnote w:id="24">
    <w:p w14:paraId="3BD128E9" w14:textId="77777777" w:rsidR="003C665E" w:rsidRPr="00FC406F" w:rsidRDefault="003C665E" w:rsidP="006C634D">
      <w:pPr>
        <w:jc w:val="both"/>
        <w:rPr>
          <w:rFonts w:ascii="Cambria" w:hAnsi="Cambria"/>
          <w:sz w:val="16"/>
          <w:szCs w:val="16"/>
        </w:rPr>
      </w:pPr>
      <w:r w:rsidRPr="00FC406F">
        <w:rPr>
          <w:rStyle w:val="FootnoteReference"/>
          <w:rFonts w:ascii="Cambria" w:hAnsi="Cambria"/>
          <w:sz w:val="16"/>
          <w:szCs w:val="16"/>
        </w:rPr>
        <w:footnoteRef/>
      </w:r>
      <w:r w:rsidRPr="00FC406F">
        <w:rPr>
          <w:rFonts w:ascii="Cambria" w:hAnsi="Cambria"/>
          <w:sz w:val="16"/>
          <w:szCs w:val="16"/>
        </w:rPr>
        <w:t xml:space="preserve"> Brief of observations submitted by the petitioner on March 20, 2018.</w:t>
      </w:r>
    </w:p>
  </w:footnote>
  <w:footnote w:id="25">
    <w:p w14:paraId="621B48F6" w14:textId="77777777" w:rsidR="003C665E" w:rsidRPr="00FC406F" w:rsidRDefault="003C665E" w:rsidP="006C634D">
      <w:pPr>
        <w:pStyle w:val="FootnoteText"/>
        <w:jc w:val="both"/>
        <w:rPr>
          <w:rFonts w:ascii="Cambria" w:hAnsi="Cambria"/>
          <w:sz w:val="16"/>
          <w:szCs w:val="16"/>
        </w:rPr>
      </w:pPr>
      <w:r w:rsidRPr="00FC406F">
        <w:rPr>
          <w:rStyle w:val="FootnoteReference"/>
          <w:rFonts w:ascii="Cambria" w:hAnsi="Cambria"/>
          <w:sz w:val="16"/>
          <w:szCs w:val="16"/>
        </w:rPr>
        <w:footnoteRef/>
      </w:r>
      <w:r w:rsidR="007B75D6">
        <w:rPr>
          <w:rFonts w:ascii="Cambria" w:hAnsi="Cambria"/>
          <w:sz w:val="16"/>
          <w:szCs w:val="16"/>
        </w:rPr>
        <w:t xml:space="preserve"> Annex 3</w:t>
      </w:r>
      <w:r w:rsidRPr="00FC406F">
        <w:rPr>
          <w:rFonts w:ascii="Cambria" w:hAnsi="Cambria"/>
          <w:sz w:val="16"/>
          <w:szCs w:val="16"/>
        </w:rPr>
        <w:t>. Certification of the Supreme Electoral Council of April 5, 2011. Annex to the brief of observations submitted by the state on November 8, 2017.</w:t>
      </w:r>
    </w:p>
  </w:footnote>
  <w:footnote w:id="26">
    <w:p w14:paraId="4BCAE8CC" w14:textId="77777777" w:rsidR="003C665E" w:rsidRPr="00FC406F" w:rsidRDefault="003C665E" w:rsidP="006C634D">
      <w:pPr>
        <w:pStyle w:val="FootnoteText"/>
        <w:jc w:val="both"/>
        <w:rPr>
          <w:rFonts w:ascii="Cambria" w:hAnsi="Cambria"/>
          <w:sz w:val="16"/>
          <w:szCs w:val="16"/>
        </w:rPr>
      </w:pPr>
      <w:r w:rsidRPr="00FC406F">
        <w:rPr>
          <w:rStyle w:val="FootnoteReference"/>
          <w:rFonts w:ascii="Cambria" w:hAnsi="Cambria"/>
          <w:sz w:val="16"/>
          <w:szCs w:val="16"/>
        </w:rPr>
        <w:footnoteRef/>
      </w:r>
      <w:r w:rsidR="007B75D6">
        <w:rPr>
          <w:rFonts w:ascii="Cambria" w:hAnsi="Cambria"/>
          <w:sz w:val="16"/>
          <w:szCs w:val="16"/>
        </w:rPr>
        <w:t xml:space="preserve"> Annex 4</w:t>
      </w:r>
      <w:r w:rsidRPr="00FC406F">
        <w:rPr>
          <w:rFonts w:ascii="Cambria" w:hAnsi="Cambria"/>
          <w:sz w:val="16"/>
          <w:szCs w:val="16"/>
        </w:rPr>
        <w:t>. Certification of November 15, 2011. Annex to the brief of observations submitted by the state on November 7, 2017.</w:t>
      </w:r>
    </w:p>
  </w:footnote>
  <w:footnote w:id="27">
    <w:p w14:paraId="4251B55F" w14:textId="77777777" w:rsidR="003C665E" w:rsidRPr="00FC406F" w:rsidRDefault="003C665E" w:rsidP="006C634D">
      <w:pPr>
        <w:pStyle w:val="FootnoteText"/>
        <w:jc w:val="both"/>
        <w:rPr>
          <w:rFonts w:ascii="Cambria" w:hAnsi="Cambria" w:cs="Times New Roman"/>
          <w:sz w:val="16"/>
          <w:szCs w:val="16"/>
        </w:rPr>
      </w:pPr>
      <w:r w:rsidRPr="00FC406F">
        <w:rPr>
          <w:rStyle w:val="FootnoteReference"/>
          <w:rFonts w:ascii="Cambria" w:hAnsi="Cambria"/>
          <w:sz w:val="16"/>
          <w:szCs w:val="16"/>
        </w:rPr>
        <w:footnoteRef/>
      </w:r>
      <w:r w:rsidRPr="00FC406F">
        <w:rPr>
          <w:rFonts w:ascii="Cambria" w:hAnsi="Cambria" w:cs="Times New Roman"/>
          <w:sz w:val="16"/>
          <w:szCs w:val="16"/>
        </w:rPr>
        <w:t xml:space="preserve"> IACHR, Interdisciplinary Group of Independent Experts (GIEI). Nicaragua: Report on the Violence Events between April 18 and May 30, 2018. V. Background and context, pp. 44-45.</w:t>
      </w:r>
    </w:p>
  </w:footnote>
  <w:footnote w:id="28">
    <w:p w14:paraId="53A7E07E" w14:textId="77777777" w:rsidR="003C665E" w:rsidRPr="00FC406F" w:rsidRDefault="003C665E" w:rsidP="006C634D">
      <w:pPr>
        <w:pStyle w:val="FootnoteText"/>
        <w:jc w:val="both"/>
        <w:rPr>
          <w:rFonts w:ascii="Cambria" w:hAnsi="Cambria" w:cs="Times New Roman"/>
          <w:sz w:val="16"/>
          <w:szCs w:val="16"/>
        </w:rPr>
      </w:pPr>
      <w:r w:rsidRPr="00FC406F">
        <w:rPr>
          <w:rStyle w:val="FootnoteReference"/>
          <w:rFonts w:ascii="Cambria" w:hAnsi="Cambria"/>
          <w:sz w:val="16"/>
          <w:szCs w:val="16"/>
        </w:rPr>
        <w:footnoteRef/>
      </w:r>
      <w:r w:rsidRPr="00FC406F">
        <w:rPr>
          <w:rFonts w:ascii="Cambria" w:hAnsi="Cambria" w:cs="Times New Roman"/>
          <w:sz w:val="16"/>
          <w:szCs w:val="16"/>
        </w:rPr>
        <w:t xml:space="preserve"> European Union, Election Observation Mission Nicaragua 2011. Presidential, legislative and Parlacen elections. Preliminary Statement, Managua, 8 November 2011. A relatively calm election day after a process lacking neutrality and transparency. Main conclusions, p. 4.</w:t>
      </w:r>
    </w:p>
  </w:footnote>
  <w:footnote w:id="29">
    <w:p w14:paraId="6A5C1996" w14:textId="77777777" w:rsidR="003C665E" w:rsidRPr="00FC406F" w:rsidRDefault="003C665E" w:rsidP="006C634D">
      <w:pPr>
        <w:pStyle w:val="FootnoteText"/>
        <w:jc w:val="both"/>
        <w:rPr>
          <w:rFonts w:ascii="Cambria" w:hAnsi="Cambria" w:cs="Times New Roman"/>
          <w:sz w:val="16"/>
          <w:szCs w:val="16"/>
        </w:rPr>
      </w:pPr>
      <w:r w:rsidRPr="00FC406F">
        <w:rPr>
          <w:rStyle w:val="FootnoteReference"/>
          <w:rFonts w:ascii="Cambria" w:hAnsi="Cambria"/>
          <w:sz w:val="16"/>
          <w:szCs w:val="16"/>
        </w:rPr>
        <w:footnoteRef/>
      </w:r>
      <w:r w:rsidRPr="00FC406F">
        <w:rPr>
          <w:rFonts w:ascii="Cambria" w:hAnsi="Cambria" w:cs="Times New Roman"/>
          <w:sz w:val="16"/>
          <w:szCs w:val="16"/>
        </w:rPr>
        <w:t xml:space="preserve"> European Union, Election Observation Mission Nicaragua 2011. Presidential, legislative and Parlacen elections. Preliminary statement, Managua, 8 November 2011. A relatively calm election day after a process lacking neutrality and transparency. Election campaign, p. 6. </w:t>
      </w:r>
    </w:p>
  </w:footnote>
  <w:footnote w:id="30">
    <w:p w14:paraId="6A4E8B32" w14:textId="77777777" w:rsidR="003C665E" w:rsidRPr="00FC406F" w:rsidRDefault="003C665E" w:rsidP="006C634D">
      <w:pPr>
        <w:pStyle w:val="FootnoteText"/>
        <w:jc w:val="both"/>
        <w:rPr>
          <w:rFonts w:ascii="Cambria" w:hAnsi="Cambria"/>
          <w:sz w:val="16"/>
          <w:szCs w:val="16"/>
        </w:rPr>
      </w:pPr>
      <w:r w:rsidRPr="00FC406F">
        <w:rPr>
          <w:rStyle w:val="FootnoteReference"/>
          <w:rFonts w:ascii="Cambria" w:hAnsi="Cambria"/>
          <w:sz w:val="16"/>
          <w:szCs w:val="16"/>
        </w:rPr>
        <w:footnoteRef/>
      </w:r>
      <w:r w:rsidRPr="00FC406F">
        <w:rPr>
          <w:rFonts w:ascii="Cambria" w:hAnsi="Cambria"/>
          <w:sz w:val="16"/>
          <w:szCs w:val="16"/>
        </w:rPr>
        <w:t xml:space="preserve"> </w:t>
      </w:r>
      <w:r w:rsidRPr="00FC406F">
        <w:rPr>
          <w:rFonts w:ascii="Cambria" w:hAnsi="Cambria" w:cs="Times New Roman"/>
          <w:sz w:val="16"/>
          <w:szCs w:val="16"/>
        </w:rPr>
        <w:t>European Union, Election Observation Mission Nicaragua 2011. Presidential, legislative and Parlacen elections. Preliminary Statement, Managua, 8 November 2011. A relatively calm election day after a process lacking neutrality and transparency. Media, p. 7.</w:t>
      </w:r>
    </w:p>
  </w:footnote>
  <w:footnote w:id="31">
    <w:p w14:paraId="623EF918" w14:textId="77777777" w:rsidR="003C665E" w:rsidRPr="00FC406F" w:rsidRDefault="003C665E" w:rsidP="006C634D">
      <w:pPr>
        <w:pStyle w:val="FootnoteText"/>
        <w:jc w:val="both"/>
        <w:rPr>
          <w:rFonts w:ascii="Cambria" w:hAnsi="Cambria"/>
          <w:sz w:val="16"/>
          <w:szCs w:val="16"/>
        </w:rPr>
      </w:pPr>
      <w:r w:rsidRPr="00FC406F">
        <w:rPr>
          <w:rStyle w:val="FootnoteReference"/>
          <w:rFonts w:ascii="Cambria" w:hAnsi="Cambria"/>
          <w:sz w:val="16"/>
          <w:szCs w:val="16"/>
        </w:rPr>
        <w:footnoteRef/>
      </w:r>
      <w:r w:rsidRPr="00FC406F">
        <w:rPr>
          <w:rFonts w:ascii="Cambria" w:hAnsi="Cambria"/>
          <w:sz w:val="16"/>
          <w:szCs w:val="16"/>
        </w:rPr>
        <w:t xml:space="preserve"> The Carter Center, The November 2011 Elections in Nicaragua: A Study Mission Report, p. 4. </w:t>
      </w:r>
    </w:p>
  </w:footnote>
  <w:footnote w:id="32">
    <w:p w14:paraId="24E6F832" w14:textId="77777777" w:rsidR="003C665E" w:rsidRPr="00FC406F" w:rsidRDefault="003C665E" w:rsidP="006C634D">
      <w:pPr>
        <w:pStyle w:val="FootnoteText"/>
        <w:jc w:val="both"/>
        <w:rPr>
          <w:rFonts w:ascii="Cambria" w:hAnsi="Cambria"/>
          <w:sz w:val="16"/>
          <w:szCs w:val="16"/>
        </w:rPr>
      </w:pPr>
      <w:r w:rsidRPr="00FC406F">
        <w:rPr>
          <w:rStyle w:val="FootnoteReference"/>
          <w:rFonts w:ascii="Cambria" w:hAnsi="Cambria"/>
          <w:sz w:val="16"/>
          <w:szCs w:val="16"/>
        </w:rPr>
        <w:footnoteRef/>
      </w:r>
      <w:r w:rsidRPr="00FC406F">
        <w:rPr>
          <w:rFonts w:ascii="Cambria" w:hAnsi="Cambria"/>
          <w:sz w:val="16"/>
          <w:szCs w:val="16"/>
        </w:rPr>
        <w:t xml:space="preserve"> OAS, Electoral Accompaniment Mission Report, General Elections in the Republic of Nicaragua, November 6, 2011, p. 10.</w:t>
      </w:r>
    </w:p>
  </w:footnote>
  <w:footnote w:id="33">
    <w:p w14:paraId="4BCC4DE9" w14:textId="77777777" w:rsidR="003C665E" w:rsidRPr="00FC406F" w:rsidRDefault="003C665E" w:rsidP="006C634D">
      <w:pPr>
        <w:pStyle w:val="FootnoteText"/>
        <w:jc w:val="both"/>
        <w:rPr>
          <w:rFonts w:ascii="Cambria" w:hAnsi="Cambria"/>
          <w:sz w:val="16"/>
          <w:szCs w:val="16"/>
        </w:rPr>
      </w:pPr>
      <w:r w:rsidRPr="00FC406F">
        <w:rPr>
          <w:rStyle w:val="FootnoteReference"/>
          <w:rFonts w:ascii="Cambria" w:hAnsi="Cambria"/>
          <w:sz w:val="16"/>
          <w:szCs w:val="16"/>
        </w:rPr>
        <w:footnoteRef/>
      </w:r>
      <w:r w:rsidRPr="00FC406F">
        <w:rPr>
          <w:rFonts w:ascii="Cambria" w:hAnsi="Cambria"/>
          <w:sz w:val="16"/>
          <w:szCs w:val="16"/>
        </w:rPr>
        <w:t xml:space="preserve"> Article 23 of the American Convention provides that: 1. Every citizen shall enjoy the following rights and opportunities: a. to take part in the conduct of public affairs, directly or through freely chosen representatives; b. to vote and to be elected in genuine periodic elections, which shall be by universal and equal suffrage and by secret ballot that guarantees the free expression of the will of the voters; and c. to have access, under general conditions of equality, to the public service of his country. 2. The law may regulate the exercise of the rights and opportunities referred to in the preceding paragraph only on the basis of age, nationality, residence, language, education, civil and mental capacity, or sentencing by a competent court in criminal proceedings.</w:t>
      </w:r>
    </w:p>
  </w:footnote>
  <w:footnote w:id="34">
    <w:p w14:paraId="77D5C2E0" w14:textId="77777777" w:rsidR="003C665E" w:rsidRPr="00FC406F" w:rsidRDefault="003C665E" w:rsidP="006C634D">
      <w:pPr>
        <w:pStyle w:val="FootnoteText"/>
        <w:jc w:val="both"/>
        <w:rPr>
          <w:rFonts w:ascii="Cambria" w:hAnsi="Cambria"/>
          <w:sz w:val="16"/>
          <w:szCs w:val="16"/>
        </w:rPr>
      </w:pPr>
      <w:r w:rsidRPr="00FC406F">
        <w:rPr>
          <w:rStyle w:val="FootnoteReference"/>
          <w:rFonts w:ascii="Cambria" w:hAnsi="Cambria"/>
          <w:sz w:val="16"/>
          <w:szCs w:val="16"/>
        </w:rPr>
        <w:footnoteRef/>
      </w:r>
      <w:r w:rsidRPr="00FC406F">
        <w:rPr>
          <w:rFonts w:ascii="Cambria" w:hAnsi="Cambria"/>
          <w:sz w:val="16"/>
          <w:szCs w:val="16"/>
        </w:rPr>
        <w:t xml:space="preserve"> I/A Court H.R.</w:t>
      </w:r>
      <w:r w:rsidRPr="00FC406F">
        <w:rPr>
          <w:rStyle w:val="Strong"/>
          <w:rFonts w:ascii="Cambria" w:hAnsi="Cambria"/>
          <w:b w:val="0"/>
          <w:sz w:val="16"/>
          <w:szCs w:val="16"/>
          <w:shd w:val="clear" w:color="auto" w:fill="FFFFFF"/>
        </w:rPr>
        <w:t xml:space="preserve"> Case of López Lone et al. v. Honduras. Preliminary Objection, Merits, Reparations, and Costs. Judgment of October 5, 2015. Series C No. 302, para. 149.</w:t>
      </w:r>
    </w:p>
  </w:footnote>
  <w:footnote w:id="35">
    <w:p w14:paraId="5EA20668" w14:textId="77777777" w:rsidR="003C665E" w:rsidRPr="00FC406F" w:rsidRDefault="003C665E" w:rsidP="006C634D">
      <w:pPr>
        <w:pStyle w:val="FootnoteText"/>
        <w:jc w:val="both"/>
        <w:rPr>
          <w:rFonts w:ascii="Cambria" w:hAnsi="Cambria"/>
          <w:sz w:val="16"/>
          <w:szCs w:val="16"/>
        </w:rPr>
      </w:pPr>
      <w:r w:rsidRPr="00FC406F">
        <w:rPr>
          <w:rStyle w:val="FootnoteReference"/>
          <w:rFonts w:ascii="Cambria" w:hAnsi="Cambria"/>
          <w:sz w:val="16"/>
          <w:szCs w:val="16"/>
        </w:rPr>
        <w:footnoteRef/>
      </w:r>
      <w:r w:rsidRPr="00FC406F">
        <w:rPr>
          <w:rFonts w:ascii="Cambria" w:hAnsi="Cambria"/>
          <w:sz w:val="16"/>
          <w:szCs w:val="16"/>
        </w:rPr>
        <w:t xml:space="preserve"> Preamble, OAS Charter.</w:t>
      </w:r>
    </w:p>
  </w:footnote>
  <w:footnote w:id="36">
    <w:p w14:paraId="08DCA784" w14:textId="77777777" w:rsidR="003C665E" w:rsidRPr="00FC406F" w:rsidRDefault="003C665E" w:rsidP="006C634D">
      <w:pPr>
        <w:pStyle w:val="FootnoteText"/>
        <w:jc w:val="both"/>
        <w:rPr>
          <w:rFonts w:ascii="Cambria" w:hAnsi="Cambria"/>
          <w:sz w:val="16"/>
          <w:szCs w:val="16"/>
        </w:rPr>
      </w:pPr>
      <w:r w:rsidRPr="00FC406F">
        <w:rPr>
          <w:rStyle w:val="FootnoteReference"/>
          <w:rFonts w:ascii="Cambria" w:hAnsi="Cambria"/>
          <w:sz w:val="16"/>
          <w:szCs w:val="16"/>
        </w:rPr>
        <w:footnoteRef/>
      </w:r>
      <w:r w:rsidRPr="00FC406F">
        <w:rPr>
          <w:rFonts w:ascii="Cambria" w:hAnsi="Cambria"/>
          <w:sz w:val="16"/>
          <w:szCs w:val="16"/>
        </w:rPr>
        <w:t xml:space="preserve"> IACHR, Annual Report of the Inter-American Commission on Human Rights 1985-1986, OEA/Ser. L/ V/II, 68. Doc. 8, Rev. 1, September 26, 1986, and Report on the Right to Truth in the Americas, OEA/Ser.L/V/II. 152, August 13, 2014.</w:t>
      </w:r>
    </w:p>
  </w:footnote>
  <w:footnote w:id="37">
    <w:p w14:paraId="14131D5E" w14:textId="77777777" w:rsidR="003C665E" w:rsidRPr="00FC406F" w:rsidRDefault="003C665E" w:rsidP="006C634D">
      <w:pPr>
        <w:pStyle w:val="FootnoteText"/>
        <w:jc w:val="both"/>
        <w:rPr>
          <w:rFonts w:ascii="Cambria" w:hAnsi="Cambria"/>
          <w:sz w:val="16"/>
          <w:szCs w:val="16"/>
        </w:rPr>
      </w:pPr>
      <w:r w:rsidRPr="00FC406F">
        <w:rPr>
          <w:rStyle w:val="FootnoteReference"/>
          <w:rFonts w:ascii="Cambria" w:hAnsi="Cambria"/>
          <w:sz w:val="16"/>
          <w:szCs w:val="16"/>
        </w:rPr>
        <w:footnoteRef/>
      </w:r>
      <w:r w:rsidRPr="00FC406F">
        <w:rPr>
          <w:rFonts w:ascii="Cambria" w:hAnsi="Cambria"/>
          <w:sz w:val="16"/>
          <w:szCs w:val="16"/>
        </w:rPr>
        <w:t xml:space="preserve"> Inter-American Democratic Charter, Article 3. </w:t>
      </w:r>
    </w:p>
  </w:footnote>
  <w:footnote w:id="38">
    <w:p w14:paraId="3C5A4B48" w14:textId="77777777" w:rsidR="003C665E" w:rsidRPr="00FC406F" w:rsidRDefault="003C665E" w:rsidP="006C634D">
      <w:pPr>
        <w:pStyle w:val="FootnoteText"/>
        <w:jc w:val="both"/>
        <w:rPr>
          <w:rFonts w:ascii="Cambria" w:hAnsi="Cambria"/>
          <w:sz w:val="16"/>
          <w:szCs w:val="16"/>
        </w:rPr>
      </w:pPr>
      <w:r w:rsidRPr="00FC406F">
        <w:rPr>
          <w:rStyle w:val="FootnoteReference"/>
          <w:rFonts w:ascii="Cambria" w:hAnsi="Cambria"/>
          <w:sz w:val="16"/>
          <w:szCs w:val="16"/>
        </w:rPr>
        <w:footnoteRef/>
      </w:r>
      <w:r w:rsidRPr="00FC406F">
        <w:rPr>
          <w:rFonts w:ascii="Cambria" w:hAnsi="Cambria"/>
          <w:sz w:val="16"/>
          <w:szCs w:val="16"/>
        </w:rPr>
        <w:t xml:space="preserve"> IACHR, Report No. 92/09, Case 12.668, </w:t>
      </w:r>
      <w:r w:rsidR="00FC406F">
        <w:rPr>
          <w:rFonts w:ascii="Cambria" w:hAnsi="Cambria"/>
          <w:sz w:val="16"/>
          <w:szCs w:val="16"/>
        </w:rPr>
        <w:t>Merits</w:t>
      </w:r>
      <w:r w:rsidRPr="00FC406F">
        <w:rPr>
          <w:rFonts w:ascii="Cambria" w:hAnsi="Cambria"/>
          <w:sz w:val="16"/>
          <w:szCs w:val="16"/>
        </w:rPr>
        <w:t>, Leopoldo López Mendoza, Venezuela, August 8, 2009, para.</w:t>
      </w:r>
      <w:r w:rsidR="00FC406F">
        <w:rPr>
          <w:rFonts w:ascii="Cambria" w:hAnsi="Cambria"/>
          <w:sz w:val="16"/>
          <w:szCs w:val="16"/>
        </w:rPr>
        <w:t xml:space="preserve"> </w:t>
      </w:r>
      <w:r w:rsidRPr="00FC406F">
        <w:rPr>
          <w:rFonts w:ascii="Cambria" w:hAnsi="Cambria"/>
          <w:sz w:val="16"/>
          <w:szCs w:val="16"/>
        </w:rPr>
        <w:t>64.</w:t>
      </w:r>
    </w:p>
  </w:footnote>
  <w:footnote w:id="39">
    <w:p w14:paraId="6F06E278" w14:textId="77777777" w:rsidR="003C665E" w:rsidRPr="00FC406F" w:rsidRDefault="003C665E" w:rsidP="006C634D">
      <w:pPr>
        <w:pStyle w:val="FootnoteText"/>
        <w:jc w:val="both"/>
        <w:rPr>
          <w:rFonts w:ascii="Cambria" w:hAnsi="Cambria"/>
          <w:sz w:val="16"/>
          <w:szCs w:val="16"/>
        </w:rPr>
      </w:pPr>
      <w:r w:rsidRPr="00FC406F">
        <w:rPr>
          <w:rStyle w:val="FootnoteReference"/>
          <w:rFonts w:ascii="Cambria" w:hAnsi="Cambria"/>
          <w:sz w:val="16"/>
          <w:szCs w:val="16"/>
        </w:rPr>
        <w:footnoteRef/>
      </w:r>
      <w:r w:rsidRPr="00FC406F">
        <w:rPr>
          <w:rFonts w:ascii="Cambria" w:hAnsi="Cambria"/>
          <w:sz w:val="16"/>
          <w:szCs w:val="16"/>
        </w:rPr>
        <w:t xml:space="preserve"> I/A Court H.R. Case of Castañeda Gutman v. United Mexican States. Preliminary objections, merits, reparations and costs. Judgment of August 6, 2008. Series C no. 184, para. 145.</w:t>
      </w:r>
    </w:p>
  </w:footnote>
  <w:footnote w:id="40">
    <w:p w14:paraId="762B0336" w14:textId="77777777" w:rsidR="003C665E" w:rsidRPr="00FC406F" w:rsidRDefault="003C665E" w:rsidP="006C634D">
      <w:pPr>
        <w:pStyle w:val="FootnoteText"/>
        <w:jc w:val="both"/>
        <w:rPr>
          <w:rFonts w:ascii="Cambria" w:hAnsi="Cambria"/>
          <w:sz w:val="16"/>
          <w:szCs w:val="16"/>
        </w:rPr>
      </w:pPr>
      <w:r w:rsidRPr="00FC406F">
        <w:rPr>
          <w:rStyle w:val="FootnoteReference"/>
          <w:rFonts w:ascii="Cambria" w:hAnsi="Cambria"/>
          <w:sz w:val="16"/>
          <w:szCs w:val="16"/>
        </w:rPr>
        <w:footnoteRef/>
      </w:r>
      <w:r w:rsidRPr="00FC406F">
        <w:rPr>
          <w:rFonts w:ascii="Cambria" w:hAnsi="Cambria"/>
          <w:sz w:val="16"/>
          <w:szCs w:val="16"/>
        </w:rPr>
        <w:t xml:space="preserve"> Among others, see I/A Court H.R. Case of Yatama v. Nicaragua. Preliminary objections, merits, reparations and costs. Judgment of June 23, 2005. Series C No. 127, para. 206.</w:t>
      </w:r>
    </w:p>
  </w:footnote>
  <w:footnote w:id="41">
    <w:p w14:paraId="6B2724ED" w14:textId="77777777" w:rsidR="003C665E" w:rsidRPr="00FC406F" w:rsidRDefault="003C665E" w:rsidP="006C634D">
      <w:pPr>
        <w:pStyle w:val="FootnoteText"/>
        <w:jc w:val="both"/>
        <w:rPr>
          <w:rFonts w:ascii="Cambria" w:hAnsi="Cambria"/>
          <w:sz w:val="16"/>
          <w:szCs w:val="16"/>
        </w:rPr>
      </w:pPr>
      <w:r w:rsidRPr="00FC406F">
        <w:rPr>
          <w:rStyle w:val="FootnoteReference"/>
          <w:rFonts w:ascii="Cambria" w:hAnsi="Cambria"/>
          <w:sz w:val="16"/>
          <w:szCs w:val="16"/>
        </w:rPr>
        <w:footnoteRef/>
      </w:r>
      <w:r w:rsidRPr="00FC406F">
        <w:rPr>
          <w:rFonts w:ascii="Cambria" w:hAnsi="Cambria"/>
          <w:sz w:val="16"/>
          <w:szCs w:val="16"/>
        </w:rPr>
        <w:t xml:space="preserve"> I/A Court H.R. Case of Castañeda Gutman v. United Mexican States. Preliminary objections, merits, reparations and costs. Judgment of August 6, 2008. Series C No. 184, paras. 149-150. See also IACHR, Report on Cuba 1983, Chapter II, paras. 2 and 3.</w:t>
      </w:r>
    </w:p>
  </w:footnote>
  <w:footnote w:id="42">
    <w:p w14:paraId="57C0911B" w14:textId="77777777" w:rsidR="003C665E" w:rsidRPr="00FC406F" w:rsidRDefault="003C665E" w:rsidP="006C634D">
      <w:pPr>
        <w:pStyle w:val="FootnoteText"/>
        <w:jc w:val="both"/>
        <w:rPr>
          <w:rFonts w:ascii="Cambria" w:hAnsi="Cambria"/>
          <w:sz w:val="16"/>
          <w:szCs w:val="16"/>
        </w:rPr>
      </w:pPr>
      <w:r w:rsidRPr="00FC406F">
        <w:rPr>
          <w:rStyle w:val="FootnoteReference"/>
          <w:rFonts w:ascii="Cambria" w:hAnsi="Cambria"/>
          <w:sz w:val="16"/>
          <w:szCs w:val="16"/>
        </w:rPr>
        <w:footnoteRef/>
      </w:r>
      <w:r w:rsidRPr="00FC406F">
        <w:rPr>
          <w:rFonts w:ascii="Cambria" w:hAnsi="Cambria"/>
          <w:sz w:val="16"/>
          <w:szCs w:val="16"/>
        </w:rPr>
        <w:t xml:space="preserve"> IACHR, Resolution No. 01/90, Cases 9768, 9780, and 9820 (Mexico), September 29, 1990, paras. 43, 44, and 47. </w:t>
      </w:r>
    </w:p>
  </w:footnote>
  <w:footnote w:id="43">
    <w:p w14:paraId="118BA023" w14:textId="77777777" w:rsidR="003C665E" w:rsidRPr="00FC406F" w:rsidRDefault="003C665E" w:rsidP="006C634D">
      <w:pPr>
        <w:pStyle w:val="FootnoteText"/>
        <w:jc w:val="both"/>
        <w:rPr>
          <w:rFonts w:ascii="Cambria" w:hAnsi="Cambria"/>
          <w:sz w:val="16"/>
          <w:szCs w:val="16"/>
        </w:rPr>
      </w:pPr>
      <w:r w:rsidRPr="00FC406F">
        <w:rPr>
          <w:rStyle w:val="FootnoteReference"/>
          <w:rFonts w:ascii="Cambria" w:hAnsi="Cambria"/>
          <w:sz w:val="16"/>
          <w:szCs w:val="16"/>
        </w:rPr>
        <w:footnoteRef/>
      </w:r>
      <w:r w:rsidRPr="00FC406F">
        <w:rPr>
          <w:rFonts w:ascii="Cambria" w:hAnsi="Cambria"/>
          <w:sz w:val="16"/>
          <w:szCs w:val="16"/>
        </w:rPr>
        <w:t xml:space="preserve"> IACHR, Resolution No. 01/90, Cases 9768, 9780, and 9820 (Mexico), September 29, 1990, para. 48. </w:t>
      </w:r>
    </w:p>
  </w:footnote>
  <w:footnote w:id="44">
    <w:p w14:paraId="348B24B3" w14:textId="77777777" w:rsidR="003C665E" w:rsidRPr="00FC406F" w:rsidRDefault="003C665E" w:rsidP="006C634D">
      <w:pPr>
        <w:pStyle w:val="FootnoteText"/>
        <w:jc w:val="both"/>
        <w:rPr>
          <w:rFonts w:ascii="Cambria" w:hAnsi="Cambria"/>
          <w:sz w:val="16"/>
          <w:szCs w:val="16"/>
        </w:rPr>
      </w:pPr>
      <w:r w:rsidRPr="00FC406F">
        <w:rPr>
          <w:rStyle w:val="FootnoteReference"/>
          <w:rFonts w:ascii="Cambria" w:hAnsi="Cambria"/>
          <w:sz w:val="16"/>
          <w:szCs w:val="16"/>
        </w:rPr>
        <w:footnoteRef/>
      </w:r>
      <w:r w:rsidRPr="00FC406F">
        <w:rPr>
          <w:rFonts w:ascii="Cambria" w:hAnsi="Cambria"/>
          <w:sz w:val="16"/>
          <w:szCs w:val="16"/>
        </w:rPr>
        <w:t xml:space="preserve"> IACHR, Resolution No. 01/90 Cases 9768, 9780, and 9820 (Mexico), September 29, 1990, para. 48.  </w:t>
      </w:r>
    </w:p>
  </w:footnote>
  <w:footnote w:id="45">
    <w:p w14:paraId="590BB387" w14:textId="77777777" w:rsidR="003C665E" w:rsidRPr="00FC406F" w:rsidRDefault="003C665E" w:rsidP="006C634D">
      <w:pPr>
        <w:pStyle w:val="FootnoteText"/>
        <w:jc w:val="both"/>
        <w:rPr>
          <w:rFonts w:ascii="Cambria" w:hAnsi="Cambria"/>
          <w:sz w:val="16"/>
          <w:szCs w:val="16"/>
        </w:rPr>
      </w:pPr>
      <w:r w:rsidRPr="00FC406F">
        <w:rPr>
          <w:rStyle w:val="FootnoteReference"/>
          <w:rFonts w:ascii="Cambria" w:hAnsi="Cambria"/>
          <w:sz w:val="16"/>
          <w:szCs w:val="16"/>
        </w:rPr>
        <w:footnoteRef/>
      </w:r>
      <w:r w:rsidRPr="00FC406F">
        <w:rPr>
          <w:rFonts w:ascii="Cambria" w:hAnsi="Cambria"/>
          <w:sz w:val="16"/>
          <w:szCs w:val="16"/>
        </w:rPr>
        <w:t xml:space="preserve">IACHR, Resolution No. 01/90, Cases 9768, 9780, and 9820 (Mexico), September 29, 1990, para. 49. In this regard, see Annual Report of the Inter-American Commission on Human Rights 1990-1991, III. Human rights, political rights, and representative democracy in the inter-American system, OEA/Ser.L/V/II.79. rev.1 Doc. 12, February 22, 1991. See also Report 30/93, Case 10.804, José Efraín Ríos Montt, Guatemala, October 12, 1993. </w:t>
      </w:r>
    </w:p>
  </w:footnote>
  <w:footnote w:id="46">
    <w:p w14:paraId="30F32D57" w14:textId="77777777" w:rsidR="003C665E" w:rsidRPr="00FC406F" w:rsidRDefault="003C665E" w:rsidP="006C634D">
      <w:pPr>
        <w:pStyle w:val="FootnoteText"/>
        <w:jc w:val="both"/>
        <w:rPr>
          <w:rFonts w:ascii="Cambria" w:hAnsi="Cambria"/>
          <w:sz w:val="16"/>
          <w:szCs w:val="16"/>
        </w:rPr>
      </w:pPr>
      <w:r w:rsidRPr="00FC406F">
        <w:rPr>
          <w:rStyle w:val="FootnoteReference"/>
          <w:rFonts w:ascii="Cambria" w:hAnsi="Cambria"/>
          <w:sz w:val="16"/>
          <w:szCs w:val="16"/>
        </w:rPr>
        <w:footnoteRef/>
      </w:r>
      <w:r w:rsidRPr="00FC406F">
        <w:rPr>
          <w:rFonts w:ascii="Cambria" w:hAnsi="Cambria"/>
          <w:sz w:val="16"/>
          <w:szCs w:val="16"/>
        </w:rPr>
        <w:t xml:space="preserve"> I/A Court H.R. Case of Manuel Cepeda Vargas v. Colombia. Preliminary objections, merits, reparations and costs. Judgment of May 26, 2010. Series C no. 213, para. 173.</w:t>
      </w:r>
    </w:p>
  </w:footnote>
  <w:footnote w:id="47">
    <w:p w14:paraId="7C1F40A3" w14:textId="77777777" w:rsidR="003C665E" w:rsidRPr="00FC406F" w:rsidRDefault="003C665E" w:rsidP="006C634D">
      <w:pPr>
        <w:pStyle w:val="FootnoteText"/>
        <w:jc w:val="both"/>
        <w:rPr>
          <w:rFonts w:ascii="Cambria" w:hAnsi="Cambria"/>
          <w:sz w:val="16"/>
          <w:szCs w:val="16"/>
        </w:rPr>
      </w:pPr>
      <w:r w:rsidRPr="00FC406F">
        <w:rPr>
          <w:rStyle w:val="FootnoteReference"/>
          <w:rFonts w:ascii="Cambria" w:hAnsi="Cambria"/>
          <w:sz w:val="16"/>
          <w:szCs w:val="16"/>
        </w:rPr>
        <w:footnoteRef/>
      </w:r>
      <w:r w:rsidRPr="00FC406F">
        <w:rPr>
          <w:rFonts w:ascii="Cambria" w:hAnsi="Cambria"/>
          <w:sz w:val="16"/>
          <w:szCs w:val="16"/>
        </w:rPr>
        <w:t xml:space="preserve"> I/A Court H.R. Case of Yatama v. Nicaragua. Preliminary objections, merits, reparations and costs. Judgment of June 23, 2005. Series C No. 127, paras. 195 and 206. </w:t>
      </w:r>
    </w:p>
  </w:footnote>
  <w:footnote w:id="48">
    <w:p w14:paraId="55FFABD8" w14:textId="77777777" w:rsidR="003C665E" w:rsidRPr="00FC406F" w:rsidRDefault="003C665E" w:rsidP="006C634D">
      <w:pPr>
        <w:pStyle w:val="FootnoteText"/>
        <w:jc w:val="both"/>
        <w:rPr>
          <w:rFonts w:ascii="Cambria" w:hAnsi="Cambria"/>
          <w:sz w:val="16"/>
          <w:szCs w:val="16"/>
        </w:rPr>
      </w:pPr>
      <w:r w:rsidRPr="00FC406F">
        <w:rPr>
          <w:rStyle w:val="FootnoteReference"/>
          <w:rFonts w:ascii="Cambria" w:hAnsi="Cambria"/>
          <w:sz w:val="16"/>
          <w:szCs w:val="16"/>
        </w:rPr>
        <w:footnoteRef/>
      </w:r>
      <w:r w:rsidRPr="00FC406F">
        <w:rPr>
          <w:rFonts w:ascii="Cambria" w:hAnsi="Cambria"/>
          <w:sz w:val="16"/>
          <w:szCs w:val="16"/>
        </w:rPr>
        <w:t xml:space="preserve"> I/A Court H.R. Case of Castañeda Gutman v. United Mexican States. Preliminary objections, merits, reparations and costs. Judgment of August 6, 2008. Series C No. 184, para. 149.</w:t>
      </w:r>
    </w:p>
  </w:footnote>
  <w:footnote w:id="49">
    <w:p w14:paraId="4C705668" w14:textId="77777777" w:rsidR="003C665E" w:rsidRPr="00FC406F" w:rsidRDefault="003C665E" w:rsidP="006C634D">
      <w:pPr>
        <w:pStyle w:val="FootnoteText"/>
        <w:jc w:val="both"/>
        <w:rPr>
          <w:rFonts w:ascii="Cambria" w:hAnsi="Cambria"/>
          <w:sz w:val="16"/>
          <w:szCs w:val="16"/>
        </w:rPr>
      </w:pPr>
      <w:r w:rsidRPr="00FC406F">
        <w:rPr>
          <w:rStyle w:val="FootnoteReference"/>
          <w:rFonts w:ascii="Cambria" w:hAnsi="Cambria"/>
          <w:sz w:val="16"/>
          <w:szCs w:val="16"/>
        </w:rPr>
        <w:footnoteRef/>
      </w:r>
      <w:r w:rsidRPr="00FC406F">
        <w:rPr>
          <w:rFonts w:ascii="Cambria" w:hAnsi="Cambria"/>
          <w:sz w:val="16"/>
          <w:szCs w:val="16"/>
        </w:rPr>
        <w:t xml:space="preserve"> IACHR, Resolution No. 01/90, Cases 9768, 9780, and 9820 (Mexico), September 29, 1990.  Likewise, Annual Report of the Inter-American Commission on Human Rights 1990-1991, III. Human rights, political rights, and representative democracy in the inter-American system, OEA/Ser.L/V/II.79.rev.1 Doc. 12, February 22, 1991.</w:t>
      </w:r>
    </w:p>
  </w:footnote>
  <w:footnote w:id="50">
    <w:p w14:paraId="0CAFC4ED" w14:textId="77777777" w:rsidR="003C665E" w:rsidRPr="00FC406F" w:rsidRDefault="003C665E" w:rsidP="006C634D">
      <w:pPr>
        <w:pStyle w:val="FootnoteText"/>
        <w:jc w:val="both"/>
        <w:rPr>
          <w:rFonts w:ascii="Cambria" w:hAnsi="Cambria"/>
          <w:sz w:val="16"/>
          <w:szCs w:val="16"/>
        </w:rPr>
      </w:pPr>
      <w:r w:rsidRPr="00FC406F">
        <w:rPr>
          <w:rStyle w:val="FootnoteReference"/>
          <w:rFonts w:ascii="Cambria" w:hAnsi="Cambria"/>
          <w:sz w:val="16"/>
          <w:szCs w:val="16"/>
        </w:rPr>
        <w:footnoteRef/>
      </w:r>
      <w:r w:rsidRPr="00FC406F">
        <w:rPr>
          <w:rFonts w:ascii="Cambria" w:hAnsi="Cambria"/>
          <w:sz w:val="16"/>
          <w:szCs w:val="16"/>
        </w:rPr>
        <w:t xml:space="preserve"> IACHR, Resolution No. 01/90, Cases 9768, 9780 and 9820 (Mexico), September 29, 1990.  Likewise, Annual Report of the Inter-American Commission on Human Rights 1990-1991, III. Human rights, political rights, and representative democracy in the inter-American system, OEA/Ser.L/V/II.79.rev.1 Doc. 12, February 22, 1991.</w:t>
      </w:r>
    </w:p>
  </w:footnote>
  <w:footnote w:id="51">
    <w:p w14:paraId="4E227636" w14:textId="77777777" w:rsidR="003C665E" w:rsidRPr="00FC406F" w:rsidRDefault="003C665E" w:rsidP="006C634D">
      <w:pPr>
        <w:pStyle w:val="FootnoteText"/>
        <w:jc w:val="both"/>
        <w:rPr>
          <w:rFonts w:ascii="Cambria" w:hAnsi="Cambria"/>
          <w:sz w:val="16"/>
          <w:szCs w:val="16"/>
        </w:rPr>
      </w:pPr>
      <w:r w:rsidRPr="00FC406F">
        <w:rPr>
          <w:rStyle w:val="FootnoteReference"/>
          <w:rFonts w:ascii="Cambria" w:hAnsi="Cambria"/>
          <w:sz w:val="16"/>
          <w:szCs w:val="16"/>
        </w:rPr>
        <w:footnoteRef/>
      </w:r>
      <w:r w:rsidRPr="00FC406F">
        <w:rPr>
          <w:rFonts w:ascii="Cambria" w:hAnsi="Cambria"/>
          <w:sz w:val="16"/>
          <w:szCs w:val="16"/>
        </w:rPr>
        <w:t xml:space="preserve"> IACHR, Report 137/99, Case 11.863, Andrés Aylwin Azócar et al., Chile, December 27, 1999.</w:t>
      </w:r>
    </w:p>
  </w:footnote>
  <w:footnote w:id="52">
    <w:p w14:paraId="1B1DE5B6" w14:textId="77777777" w:rsidR="003C665E" w:rsidRPr="00FC406F" w:rsidRDefault="003C665E" w:rsidP="006C634D">
      <w:pPr>
        <w:pStyle w:val="FootnoteText"/>
        <w:jc w:val="both"/>
        <w:rPr>
          <w:rFonts w:ascii="Cambria" w:hAnsi="Cambria"/>
          <w:sz w:val="16"/>
          <w:szCs w:val="16"/>
        </w:rPr>
      </w:pPr>
      <w:r w:rsidRPr="00FC406F">
        <w:rPr>
          <w:rStyle w:val="FootnoteReference"/>
          <w:rFonts w:ascii="Cambria" w:hAnsi="Cambria"/>
          <w:sz w:val="16"/>
          <w:szCs w:val="16"/>
        </w:rPr>
        <w:footnoteRef/>
      </w:r>
      <w:r w:rsidRPr="00FC406F">
        <w:rPr>
          <w:rFonts w:ascii="Cambria" w:hAnsi="Cambria"/>
          <w:sz w:val="16"/>
          <w:szCs w:val="16"/>
        </w:rPr>
        <w:t xml:space="preserve"> European Court of Human Rights, Case of Gitonas and others v. Greece. Judgment of July 1, 1997.</w:t>
      </w:r>
    </w:p>
  </w:footnote>
  <w:footnote w:id="53">
    <w:p w14:paraId="650246C4" w14:textId="77777777" w:rsidR="003C665E" w:rsidRPr="00FC406F" w:rsidRDefault="003C665E" w:rsidP="006C634D">
      <w:pPr>
        <w:jc w:val="both"/>
        <w:rPr>
          <w:rFonts w:ascii="Cambria" w:eastAsia="Times New Roman" w:hAnsi="Cambria"/>
          <w:sz w:val="16"/>
          <w:szCs w:val="16"/>
        </w:rPr>
      </w:pPr>
      <w:r w:rsidRPr="00FC406F">
        <w:rPr>
          <w:rStyle w:val="FootnoteReference"/>
          <w:rFonts w:ascii="Cambria" w:hAnsi="Cambria"/>
          <w:sz w:val="16"/>
          <w:szCs w:val="16"/>
        </w:rPr>
        <w:footnoteRef/>
      </w:r>
      <w:r w:rsidRPr="00FC406F">
        <w:rPr>
          <w:rFonts w:ascii="Cambria" w:eastAsia="Times New Roman" w:hAnsi="Cambria"/>
          <w:sz w:val="16"/>
          <w:szCs w:val="16"/>
        </w:rPr>
        <w:t xml:space="preserve"> Federal Constitutional Court of Germany, </w:t>
      </w:r>
      <w:hyperlink r:id="rId2" w:history="1">
        <w:r w:rsidRPr="00FC406F">
          <w:rPr>
            <w:rStyle w:val="Hyperlink"/>
            <w:rFonts w:ascii="Cambria" w:eastAsia="Times New Roman" w:hAnsi="Cambria"/>
            <w:sz w:val="16"/>
            <w:szCs w:val="16"/>
          </w:rPr>
          <w:t xml:space="preserve">Judgment BVerfGE 44, 125, </w:t>
        </w:r>
        <w:r w:rsidRPr="00FC406F">
          <w:rPr>
            <w:rStyle w:val="Hyperlink"/>
            <w:rFonts w:ascii="Cambria" w:hAnsi="Cambria"/>
            <w:sz w:val="16"/>
            <w:szCs w:val="16"/>
          </w:rPr>
          <w:t>V-1</w:t>
        </w:r>
      </w:hyperlink>
      <w:r w:rsidRPr="00FC406F">
        <w:rPr>
          <w:rFonts w:ascii="Cambria" w:hAnsi="Cambria"/>
          <w:sz w:val="16"/>
          <w:szCs w:val="16"/>
        </w:rPr>
        <w:t>.</w:t>
      </w:r>
    </w:p>
  </w:footnote>
  <w:footnote w:id="54">
    <w:p w14:paraId="2361AA44" w14:textId="77777777" w:rsidR="003C665E" w:rsidRPr="00FC406F" w:rsidRDefault="003C665E" w:rsidP="006C634D">
      <w:pPr>
        <w:pStyle w:val="FootnoteText"/>
        <w:jc w:val="both"/>
        <w:rPr>
          <w:rFonts w:ascii="Cambria" w:hAnsi="Cambria"/>
          <w:sz w:val="16"/>
          <w:szCs w:val="16"/>
        </w:rPr>
      </w:pPr>
      <w:r w:rsidRPr="00FC406F">
        <w:rPr>
          <w:rStyle w:val="FootnoteReference"/>
          <w:rFonts w:ascii="Cambria" w:hAnsi="Cambria"/>
          <w:sz w:val="16"/>
          <w:szCs w:val="16"/>
        </w:rPr>
        <w:footnoteRef/>
      </w:r>
      <w:r w:rsidRPr="00FC406F">
        <w:rPr>
          <w:rFonts w:ascii="Cambria" w:hAnsi="Cambria"/>
          <w:sz w:val="16"/>
          <w:szCs w:val="16"/>
        </w:rPr>
        <w:t xml:space="preserve"> Constitutional Court, Appeal for Judgment of Amparo. Case File 2906-2011, August 8, 2011. </w:t>
      </w:r>
    </w:p>
  </w:footnote>
  <w:footnote w:id="55">
    <w:p w14:paraId="74CDBD1B" w14:textId="77777777" w:rsidR="003C665E" w:rsidRPr="00FC406F" w:rsidRDefault="003C665E" w:rsidP="006C634D">
      <w:pPr>
        <w:pStyle w:val="FootnoteText"/>
        <w:jc w:val="both"/>
        <w:rPr>
          <w:rFonts w:ascii="Cambria" w:hAnsi="Cambria"/>
          <w:sz w:val="16"/>
          <w:szCs w:val="16"/>
        </w:rPr>
      </w:pPr>
      <w:r w:rsidRPr="00FC406F">
        <w:rPr>
          <w:rStyle w:val="FootnoteReference"/>
          <w:rFonts w:ascii="Cambria" w:hAnsi="Cambria"/>
          <w:sz w:val="16"/>
          <w:szCs w:val="16"/>
        </w:rPr>
        <w:footnoteRef/>
      </w:r>
      <w:r w:rsidRPr="00FC406F">
        <w:rPr>
          <w:rFonts w:ascii="Cambria" w:hAnsi="Cambria"/>
          <w:sz w:val="16"/>
          <w:szCs w:val="16"/>
        </w:rPr>
        <w:t xml:space="preserve"> See European Commission for Democracy through law (Venice Commission), </w:t>
      </w:r>
      <w:hyperlink r:id="rId3" w:history="1">
        <w:r w:rsidRPr="00FC406F">
          <w:rPr>
            <w:rStyle w:val="Hyperlink"/>
            <w:rFonts w:ascii="Cambria" w:hAnsi="Cambria"/>
            <w:sz w:val="16"/>
            <w:szCs w:val="16"/>
          </w:rPr>
          <w:t>The Limitation of Consecutive Terms in Elected Office, Comparative Table</w:t>
        </w:r>
      </w:hyperlink>
      <w:r w:rsidRPr="00FC406F">
        <w:rPr>
          <w:rFonts w:ascii="Cambria" w:hAnsi="Cambria"/>
          <w:sz w:val="16"/>
          <w:szCs w:val="16"/>
        </w:rPr>
        <w:t>, 19 July 2012.</w:t>
      </w:r>
    </w:p>
  </w:footnote>
  <w:footnote w:id="56">
    <w:p w14:paraId="13DC9CD0" w14:textId="77777777" w:rsidR="003C665E" w:rsidRPr="00FC406F" w:rsidRDefault="003C665E" w:rsidP="006C634D">
      <w:pPr>
        <w:jc w:val="both"/>
        <w:rPr>
          <w:rFonts w:ascii="Cambria" w:eastAsia="Times New Roman" w:hAnsi="Cambria"/>
          <w:sz w:val="16"/>
          <w:szCs w:val="16"/>
        </w:rPr>
      </w:pPr>
      <w:r w:rsidRPr="00FC406F">
        <w:rPr>
          <w:rStyle w:val="FootnoteReference"/>
          <w:rFonts w:ascii="Cambria" w:hAnsi="Cambria"/>
          <w:sz w:val="16"/>
          <w:szCs w:val="16"/>
        </w:rPr>
        <w:footnoteRef/>
      </w:r>
      <w:r w:rsidRPr="00FC406F">
        <w:rPr>
          <w:rFonts w:ascii="Cambria" w:hAnsi="Cambria"/>
          <w:sz w:val="16"/>
          <w:szCs w:val="16"/>
        </w:rPr>
        <w:t xml:space="preserve"> </w:t>
      </w:r>
      <w:r w:rsidRPr="00FC406F">
        <w:rPr>
          <w:rFonts w:ascii="Cambria" w:eastAsia="Times New Roman" w:hAnsi="Cambria"/>
          <w:sz w:val="16"/>
          <w:szCs w:val="16"/>
        </w:rPr>
        <w:t>Study No. 908/2017, Strasbourg, March 20, 2018. Report on Term-Limits, Part I – Presidents. Adopted by the Venice Commission at its 114th plenary session (Venice, 16-17 March 2018), para. 99.</w:t>
      </w:r>
    </w:p>
  </w:footnote>
  <w:footnote w:id="57">
    <w:p w14:paraId="11788F89" w14:textId="77777777" w:rsidR="003C665E" w:rsidRPr="00FC406F" w:rsidRDefault="003C665E" w:rsidP="006C634D">
      <w:pPr>
        <w:pStyle w:val="FootnoteText"/>
        <w:jc w:val="both"/>
        <w:rPr>
          <w:rFonts w:ascii="Cambria" w:hAnsi="Cambria"/>
          <w:sz w:val="16"/>
          <w:szCs w:val="16"/>
        </w:rPr>
      </w:pPr>
      <w:r w:rsidRPr="00FC406F">
        <w:rPr>
          <w:rStyle w:val="FootnoteReference"/>
          <w:rFonts w:ascii="Cambria" w:hAnsi="Cambria"/>
          <w:sz w:val="16"/>
          <w:szCs w:val="16"/>
        </w:rPr>
        <w:footnoteRef/>
      </w:r>
      <w:r w:rsidRPr="00FC406F">
        <w:rPr>
          <w:rFonts w:ascii="Cambria" w:hAnsi="Cambria"/>
          <w:sz w:val="16"/>
          <w:szCs w:val="16"/>
        </w:rPr>
        <w:t xml:space="preserve"> Judgment of the Constitutional Court of Colombia C -141-2010 of February 26, 2010. </w:t>
      </w:r>
    </w:p>
  </w:footnote>
  <w:footnote w:id="58">
    <w:p w14:paraId="5927488B" w14:textId="77777777" w:rsidR="003C665E" w:rsidRPr="00FC406F" w:rsidRDefault="003C665E" w:rsidP="006C634D">
      <w:pPr>
        <w:pStyle w:val="FootnoteText"/>
        <w:jc w:val="both"/>
        <w:rPr>
          <w:rFonts w:ascii="Cambria" w:hAnsi="Cambria"/>
          <w:sz w:val="16"/>
          <w:szCs w:val="16"/>
        </w:rPr>
      </w:pPr>
      <w:r w:rsidRPr="00FC406F">
        <w:rPr>
          <w:rStyle w:val="FootnoteReference"/>
          <w:rFonts w:ascii="Cambria" w:hAnsi="Cambria"/>
          <w:sz w:val="16"/>
          <w:szCs w:val="16"/>
        </w:rPr>
        <w:footnoteRef/>
      </w:r>
      <w:r w:rsidRPr="00FC406F">
        <w:rPr>
          <w:rFonts w:ascii="Cambria" w:hAnsi="Cambria"/>
          <w:sz w:val="16"/>
          <w:szCs w:val="16"/>
        </w:rPr>
        <w:t xml:space="preserve"> Judgment of the Constitutional Court of Colombia C -230-2016 of May 11, 2016.</w:t>
      </w:r>
    </w:p>
  </w:footnote>
  <w:footnote w:id="59">
    <w:p w14:paraId="5316EB2A" w14:textId="77777777" w:rsidR="003C665E" w:rsidRPr="00FC406F" w:rsidRDefault="003C665E" w:rsidP="006C634D">
      <w:pPr>
        <w:pStyle w:val="FootnoteText"/>
        <w:jc w:val="both"/>
        <w:rPr>
          <w:rFonts w:ascii="Cambria" w:hAnsi="Cambria"/>
          <w:sz w:val="16"/>
          <w:szCs w:val="16"/>
        </w:rPr>
      </w:pPr>
      <w:r w:rsidRPr="00FC406F">
        <w:rPr>
          <w:rStyle w:val="FootnoteReference"/>
          <w:rFonts w:ascii="Cambria" w:hAnsi="Cambria"/>
          <w:sz w:val="16"/>
          <w:szCs w:val="16"/>
        </w:rPr>
        <w:footnoteRef/>
      </w:r>
      <w:r w:rsidRPr="00FC406F">
        <w:rPr>
          <w:rFonts w:ascii="Cambria" w:hAnsi="Cambria"/>
          <w:sz w:val="16"/>
          <w:szCs w:val="16"/>
        </w:rPr>
        <w:t xml:space="preserve"> Judgment of the Constitutional Court of Colombia C -230-2016 of May 11, 2016. Explanation of vote by Jorge Iván Palacio Palacio.</w:t>
      </w:r>
    </w:p>
  </w:footnote>
  <w:footnote w:id="60">
    <w:p w14:paraId="31488EF6" w14:textId="77777777" w:rsidR="003C665E" w:rsidRPr="00FC406F" w:rsidRDefault="003C665E" w:rsidP="006C634D">
      <w:pPr>
        <w:pStyle w:val="FootnoteText"/>
        <w:jc w:val="both"/>
        <w:rPr>
          <w:rFonts w:ascii="Cambria" w:hAnsi="Cambria"/>
          <w:sz w:val="16"/>
          <w:szCs w:val="16"/>
        </w:rPr>
      </w:pPr>
      <w:r w:rsidRPr="00FC406F">
        <w:rPr>
          <w:rStyle w:val="FootnoteReference"/>
          <w:rFonts w:ascii="Cambria" w:hAnsi="Cambria"/>
          <w:sz w:val="16"/>
          <w:szCs w:val="16"/>
        </w:rPr>
        <w:footnoteRef/>
      </w:r>
      <w:r w:rsidRPr="00FC406F">
        <w:rPr>
          <w:rFonts w:ascii="Cambria" w:hAnsi="Cambria"/>
          <w:sz w:val="16"/>
          <w:szCs w:val="16"/>
        </w:rPr>
        <w:t xml:space="preserve"> Judgment of the Constitutional Court of Peru, Case of the Law of Constitutional Reform on banning the reelection of mayors v. Congress of the Republic, October 4, 2018.</w:t>
      </w:r>
    </w:p>
  </w:footnote>
  <w:footnote w:id="61">
    <w:p w14:paraId="47A15200" w14:textId="77777777" w:rsidR="003C665E" w:rsidRPr="00FC406F" w:rsidRDefault="003C665E" w:rsidP="006C634D">
      <w:pPr>
        <w:pStyle w:val="FootnoteText"/>
        <w:jc w:val="both"/>
        <w:rPr>
          <w:rFonts w:ascii="Cambria" w:hAnsi="Cambria" w:cs="Times New Roman"/>
          <w:sz w:val="16"/>
          <w:szCs w:val="16"/>
        </w:rPr>
      </w:pPr>
      <w:r w:rsidRPr="00FC406F">
        <w:rPr>
          <w:rStyle w:val="FootnoteReference"/>
          <w:rFonts w:ascii="Cambria" w:hAnsi="Cambria"/>
          <w:sz w:val="16"/>
          <w:szCs w:val="16"/>
        </w:rPr>
        <w:footnoteRef/>
      </w:r>
      <w:r w:rsidRPr="00FC406F">
        <w:rPr>
          <w:rFonts w:ascii="Cambria" w:hAnsi="Cambria" w:cs="Times New Roman"/>
          <w:sz w:val="16"/>
          <w:szCs w:val="16"/>
        </w:rPr>
        <w:t xml:space="preserve"> </w:t>
      </w:r>
      <w:r w:rsidRPr="00FC406F">
        <w:rPr>
          <w:rFonts w:ascii="Cambria" w:hAnsi="Cambria"/>
          <w:sz w:val="16"/>
          <w:szCs w:val="16"/>
        </w:rPr>
        <w:t xml:space="preserve">Judgment of the Constitutional Court of Peru, Case of the Law of Constitutional Reform on banning the reelection of mayors v. Congress of the Republic, October 4, 2018, concurring vote of Judge Ledezma Narváez. </w:t>
      </w:r>
    </w:p>
  </w:footnote>
  <w:footnote w:id="62">
    <w:p w14:paraId="12D3B3A7" w14:textId="77777777" w:rsidR="003C665E" w:rsidRPr="00FC406F" w:rsidRDefault="003C665E" w:rsidP="006C634D">
      <w:pPr>
        <w:pStyle w:val="FootnoteText"/>
        <w:jc w:val="both"/>
        <w:rPr>
          <w:rFonts w:ascii="Cambria" w:hAnsi="Cambria"/>
          <w:sz w:val="16"/>
          <w:szCs w:val="16"/>
        </w:rPr>
      </w:pPr>
      <w:r w:rsidRPr="00FC406F">
        <w:rPr>
          <w:rStyle w:val="FootnoteReference"/>
          <w:rFonts w:ascii="Cambria" w:hAnsi="Cambria"/>
          <w:sz w:val="16"/>
          <w:szCs w:val="16"/>
        </w:rPr>
        <w:footnoteRef/>
      </w:r>
      <w:r w:rsidRPr="00FC406F">
        <w:rPr>
          <w:rFonts w:ascii="Cambria" w:hAnsi="Cambria"/>
          <w:sz w:val="16"/>
          <w:szCs w:val="16"/>
        </w:rPr>
        <w:t xml:space="preserve"> Ortiz Almonacid, Juan Carlos without filing an appeal for protection on constitutional grounds. Judgment of March 16, 1999. </w:t>
      </w:r>
    </w:p>
  </w:footnote>
  <w:footnote w:id="63">
    <w:p w14:paraId="5E9FC57D" w14:textId="77777777" w:rsidR="003C665E" w:rsidRPr="00FC406F" w:rsidRDefault="003C665E" w:rsidP="00524A6F">
      <w:pPr>
        <w:tabs>
          <w:tab w:val="left" w:pos="180"/>
          <w:tab w:val="left" w:pos="900"/>
          <w:tab w:val="left" w:pos="1080"/>
        </w:tabs>
        <w:jc w:val="both"/>
        <w:rPr>
          <w:rFonts w:ascii="Cambria" w:hAnsi="Cambria"/>
          <w:sz w:val="16"/>
          <w:szCs w:val="16"/>
        </w:rPr>
      </w:pPr>
      <w:r w:rsidRPr="00FC406F">
        <w:rPr>
          <w:rStyle w:val="FootnoteReference"/>
          <w:rFonts w:ascii="Cambria" w:hAnsi="Cambria"/>
          <w:sz w:val="16"/>
          <w:szCs w:val="16"/>
        </w:rPr>
        <w:footnoteRef/>
      </w:r>
      <w:r w:rsidRPr="00FC406F">
        <w:rPr>
          <w:rFonts w:ascii="Cambria" w:hAnsi="Cambria"/>
          <w:sz w:val="16"/>
          <w:szCs w:val="16"/>
        </w:rPr>
        <w:t xml:space="preserve"> European Court of Human Rights (ECHR), Case of Hirst v. The United Kingdom, Grand Chamber, October 6, 2005, para. 62; see also Article 3 of the Inter-American Democratic Charter; see also IACHR, Report on the situation of human rights in Peru, 2000.</w:t>
      </w:r>
    </w:p>
  </w:footnote>
  <w:footnote w:id="64">
    <w:p w14:paraId="3268329D" w14:textId="77777777" w:rsidR="003C665E" w:rsidRPr="00FC406F" w:rsidRDefault="003C665E" w:rsidP="006C634D">
      <w:pPr>
        <w:pStyle w:val="FootnoteText"/>
        <w:jc w:val="both"/>
        <w:rPr>
          <w:rFonts w:ascii="Cambria" w:hAnsi="Cambria"/>
          <w:sz w:val="16"/>
          <w:szCs w:val="16"/>
        </w:rPr>
      </w:pPr>
      <w:r w:rsidRPr="00FC406F">
        <w:rPr>
          <w:rStyle w:val="FootnoteReference"/>
          <w:rFonts w:ascii="Cambria" w:hAnsi="Cambria"/>
          <w:sz w:val="16"/>
          <w:szCs w:val="16"/>
        </w:rPr>
        <w:footnoteRef/>
      </w:r>
      <w:r w:rsidRPr="00FC406F">
        <w:rPr>
          <w:rFonts w:ascii="Cambria" w:hAnsi="Cambria"/>
          <w:sz w:val="16"/>
          <w:szCs w:val="16"/>
        </w:rPr>
        <w:t xml:space="preserve"> Article 25.1 of the American Convention provides that 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 </w:t>
      </w:r>
    </w:p>
  </w:footnote>
  <w:footnote w:id="65">
    <w:p w14:paraId="626A8195" w14:textId="77777777" w:rsidR="00102875" w:rsidRPr="00FC406F" w:rsidRDefault="00102875" w:rsidP="00102875">
      <w:pPr>
        <w:tabs>
          <w:tab w:val="left" w:pos="180"/>
          <w:tab w:val="left" w:pos="900"/>
          <w:tab w:val="left" w:pos="1080"/>
        </w:tabs>
        <w:jc w:val="both"/>
        <w:rPr>
          <w:rFonts w:asciiTheme="majorHAnsi" w:hAnsiTheme="majorHAnsi"/>
          <w:sz w:val="16"/>
          <w:szCs w:val="16"/>
        </w:rPr>
      </w:pPr>
      <w:r w:rsidRPr="00FC406F">
        <w:rPr>
          <w:rStyle w:val="FootnoteReference"/>
          <w:rFonts w:asciiTheme="majorHAnsi" w:hAnsiTheme="majorHAnsi"/>
          <w:sz w:val="16"/>
          <w:szCs w:val="16"/>
        </w:rPr>
        <w:footnoteRef/>
      </w:r>
      <w:r w:rsidRPr="00FC406F">
        <w:rPr>
          <w:rFonts w:asciiTheme="majorHAnsi" w:hAnsiTheme="majorHAnsi"/>
          <w:color w:val="000000"/>
          <w:sz w:val="16"/>
          <w:szCs w:val="16"/>
        </w:rPr>
        <w:t xml:space="preserve"> I/A Court H.R. </w:t>
      </w:r>
      <w:r w:rsidRPr="00FC406F">
        <w:rPr>
          <w:rFonts w:asciiTheme="majorHAnsi" w:hAnsiTheme="majorHAnsi"/>
          <w:bCs/>
          <w:color w:val="000000"/>
          <w:sz w:val="16"/>
          <w:szCs w:val="16"/>
        </w:rPr>
        <w:t xml:space="preserve">Case of the Dismissed Congressional Employees (Aguado Alfaro et al.). </w:t>
      </w:r>
      <w:r w:rsidRPr="00FC406F">
        <w:rPr>
          <w:rFonts w:asciiTheme="majorHAnsi" w:hAnsiTheme="majorHAnsi"/>
          <w:color w:val="000000"/>
          <w:sz w:val="16"/>
          <w:szCs w:val="16"/>
        </w:rPr>
        <w:t xml:space="preserve">Judgment on preliminary objections, merits, reparations, and costs. Judgment of November 24, 2006. Series C No. 158, para. 125; I/A Court H.R. Case of the </w:t>
      </w:r>
      <w:r w:rsidRPr="00FC406F">
        <w:rPr>
          <w:rFonts w:asciiTheme="majorHAnsi" w:hAnsiTheme="majorHAnsi"/>
          <w:bCs/>
          <w:color w:val="000000"/>
          <w:sz w:val="16"/>
          <w:szCs w:val="16"/>
        </w:rPr>
        <w:t>Yakye Axa Indigenous Community. Judgment of June</w:t>
      </w:r>
      <w:r w:rsidRPr="00FC406F">
        <w:rPr>
          <w:rFonts w:asciiTheme="majorHAnsi" w:hAnsiTheme="majorHAnsi"/>
          <w:color w:val="000000"/>
          <w:sz w:val="16"/>
          <w:szCs w:val="16"/>
        </w:rPr>
        <w:t xml:space="preserve"> 17, 2005. Series C No. 125</w:t>
      </w:r>
      <w:r w:rsidRPr="00FC406F">
        <w:rPr>
          <w:rFonts w:asciiTheme="majorHAnsi" w:hAnsiTheme="majorHAnsi"/>
          <w:sz w:val="16"/>
          <w:szCs w:val="16"/>
        </w:rPr>
        <w:t>, para.  61; I/A Court H.R.</w:t>
      </w:r>
      <w:r w:rsidRPr="00FC406F">
        <w:rPr>
          <w:rFonts w:asciiTheme="majorHAnsi" w:hAnsiTheme="majorHAnsi"/>
          <w:color w:val="000000"/>
          <w:sz w:val="16"/>
          <w:szCs w:val="16"/>
        </w:rPr>
        <w:t xml:space="preserve"> </w:t>
      </w:r>
      <w:r w:rsidRPr="00FC406F">
        <w:rPr>
          <w:rFonts w:asciiTheme="majorHAnsi" w:hAnsiTheme="majorHAnsi"/>
          <w:bCs/>
          <w:color w:val="000000"/>
          <w:sz w:val="16"/>
          <w:szCs w:val="16"/>
        </w:rPr>
        <w:t>Case of "Five Pensioners" v. Peru. Judgment of February</w:t>
      </w:r>
      <w:r w:rsidRPr="00FC406F">
        <w:rPr>
          <w:rFonts w:asciiTheme="majorHAnsi" w:hAnsiTheme="majorHAnsi"/>
          <w:color w:val="000000"/>
          <w:sz w:val="16"/>
          <w:szCs w:val="16"/>
        </w:rPr>
        <w:t xml:space="preserve"> 28, 2003. Series C No. 98</w:t>
      </w:r>
      <w:r w:rsidRPr="00FC406F">
        <w:rPr>
          <w:rFonts w:asciiTheme="majorHAnsi" w:hAnsiTheme="majorHAnsi"/>
          <w:sz w:val="16"/>
          <w:szCs w:val="16"/>
        </w:rPr>
        <w:t>, para. 136.</w:t>
      </w:r>
    </w:p>
  </w:footnote>
  <w:footnote w:id="66">
    <w:p w14:paraId="2AFA1516" w14:textId="77777777" w:rsidR="003C665E" w:rsidRPr="00FC406F" w:rsidRDefault="003C665E" w:rsidP="006C634D">
      <w:pPr>
        <w:jc w:val="both"/>
        <w:rPr>
          <w:rFonts w:ascii="Cambria" w:hAnsi="Cambria"/>
          <w:sz w:val="16"/>
          <w:szCs w:val="16"/>
        </w:rPr>
      </w:pPr>
      <w:r w:rsidRPr="00FC406F">
        <w:rPr>
          <w:rStyle w:val="FootnoteReference"/>
          <w:rFonts w:ascii="Cambria" w:hAnsi="Cambria"/>
          <w:sz w:val="16"/>
          <w:szCs w:val="16"/>
        </w:rPr>
        <w:footnoteRef/>
      </w:r>
      <w:r w:rsidRPr="00FC406F">
        <w:rPr>
          <w:rFonts w:ascii="Cambria" w:hAnsi="Cambria"/>
          <w:sz w:val="16"/>
          <w:szCs w:val="16"/>
        </w:rPr>
        <w:t xml:space="preserve"> Brief of observations of March 20, 2018 from the petitioner.</w:t>
      </w:r>
    </w:p>
  </w:footnote>
  <w:footnote w:id="67">
    <w:p w14:paraId="5707AC4E" w14:textId="77777777" w:rsidR="003C665E" w:rsidRPr="00FC406F" w:rsidRDefault="003C665E" w:rsidP="006C634D">
      <w:pPr>
        <w:pStyle w:val="FootnoteText"/>
        <w:jc w:val="both"/>
        <w:rPr>
          <w:rFonts w:ascii="Cambria" w:hAnsi="Cambria"/>
          <w:sz w:val="16"/>
          <w:szCs w:val="16"/>
        </w:rPr>
      </w:pPr>
      <w:r w:rsidRPr="00FC406F">
        <w:rPr>
          <w:rStyle w:val="FootnoteReference"/>
          <w:rFonts w:ascii="Cambria" w:hAnsi="Cambria"/>
          <w:sz w:val="16"/>
          <w:szCs w:val="16"/>
        </w:rPr>
        <w:footnoteRef/>
      </w:r>
      <w:r w:rsidRPr="00FC406F">
        <w:rPr>
          <w:rFonts w:ascii="Cambria" w:hAnsi="Cambria"/>
          <w:sz w:val="16"/>
          <w:szCs w:val="16"/>
        </w:rPr>
        <w:t xml:space="preserve"> I/A Court H.R. Case of Yatama v. Nicaragua. Preliminary objections, merits, reparations and costs. Judgment of June 23, 2005. Series C No. 127. </w:t>
      </w:r>
    </w:p>
  </w:footnote>
  <w:footnote w:id="68">
    <w:p w14:paraId="5C6A18D5" w14:textId="77777777" w:rsidR="003C665E" w:rsidRPr="00FC406F" w:rsidRDefault="003C665E" w:rsidP="006C634D">
      <w:pPr>
        <w:pStyle w:val="FootnoteText"/>
        <w:jc w:val="both"/>
        <w:rPr>
          <w:rFonts w:ascii="Cambria" w:hAnsi="Cambria"/>
          <w:sz w:val="16"/>
          <w:szCs w:val="16"/>
        </w:rPr>
      </w:pPr>
      <w:r w:rsidRPr="00FC406F">
        <w:rPr>
          <w:rStyle w:val="FootnoteReference"/>
          <w:rFonts w:ascii="Cambria" w:hAnsi="Cambria"/>
          <w:sz w:val="16"/>
          <w:szCs w:val="16"/>
        </w:rPr>
        <w:footnoteRef/>
      </w:r>
      <w:r w:rsidRPr="00FC406F">
        <w:rPr>
          <w:rFonts w:ascii="Cambria" w:hAnsi="Cambria"/>
          <w:sz w:val="16"/>
          <w:szCs w:val="16"/>
        </w:rPr>
        <w:t xml:space="preserve"> Order of the Inter-American Court of Human Rights, November 20, 2015. Case of Yatama v. Nicaragua. Monitoring Compliance with Judgment, p. 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F316" w14:textId="77777777" w:rsidR="003C665E" w:rsidRDefault="003C665E" w:rsidP="00C1470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01E7AFE" w14:textId="77777777" w:rsidR="003C665E" w:rsidRDefault="003C66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3AAA" w14:textId="77777777" w:rsidR="003C665E" w:rsidRDefault="003C665E" w:rsidP="002C1641">
    <w:pPr>
      <w:pStyle w:val="Header"/>
      <w:tabs>
        <w:tab w:val="clear" w:pos="4320"/>
        <w:tab w:val="clear" w:pos="8640"/>
      </w:tabs>
      <w:jc w:val="center"/>
      <w:rPr>
        <w:sz w:val="22"/>
        <w:szCs w:val="22"/>
      </w:rPr>
    </w:pPr>
    <w:r>
      <w:rPr>
        <w:noProof/>
        <w:sz w:val="22"/>
        <w:szCs w:val="22"/>
      </w:rPr>
      <w:drawing>
        <wp:inline distT="0" distB="0" distL="0" distR="0" wp14:anchorId="13F7A561" wp14:editId="1E903BF4">
          <wp:extent cx="2209800" cy="117396"/>
          <wp:effectExtent l="0" t="0" r="0" b="0"/>
          <wp:docPr id="10" name="Picture 10"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02C7435C" w14:textId="77777777" w:rsidR="003C665E" w:rsidRPr="00EC7D62" w:rsidRDefault="003D7A5F" w:rsidP="002C1641">
    <w:pPr>
      <w:pStyle w:val="Header"/>
      <w:tabs>
        <w:tab w:val="clear" w:pos="4320"/>
        <w:tab w:val="clear" w:pos="8640"/>
      </w:tabs>
      <w:jc w:val="center"/>
      <w:rPr>
        <w:sz w:val="22"/>
        <w:szCs w:val="22"/>
      </w:rPr>
    </w:pPr>
    <w:r>
      <w:rPr>
        <w:noProof/>
        <w:sz w:val="22"/>
        <w:szCs w:val="22"/>
        <w:bdr w:val="nil"/>
      </w:rPr>
      <w:pict w14:anchorId="1E58BE95">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830A72"/>
    <w:multiLevelType w:val="hybridMultilevel"/>
    <w:tmpl w:val="C2E2CE5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6104CFF"/>
    <w:multiLevelType w:val="hybridMultilevel"/>
    <w:tmpl w:val="1FCC5BC8"/>
    <w:lvl w:ilvl="0" w:tplc="B8CAB5CE">
      <w:start w:val="1"/>
      <w:numFmt w:val="bullet"/>
      <w:lvlText w:val="-"/>
      <w:lvlJc w:val="left"/>
      <w:pPr>
        <w:ind w:left="720" w:hanging="360"/>
      </w:pPr>
      <w:rPr>
        <w:rFonts w:ascii="Cambria" w:eastAsia="Arial Unicode MS"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2A0BA1"/>
    <w:multiLevelType w:val="hybridMultilevel"/>
    <w:tmpl w:val="35206CAC"/>
    <w:lvl w:ilvl="0" w:tplc="5D1A34E8">
      <w:start w:val="1"/>
      <w:numFmt w:val="upperRoman"/>
      <w:pStyle w:val="Heading1"/>
      <w:lvlText w:val="%1."/>
      <w:lvlJc w:val="left"/>
      <w:pPr>
        <w:ind w:left="720" w:hanging="72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C3360A6"/>
    <w:multiLevelType w:val="multilevel"/>
    <w:tmpl w:val="268040FA"/>
    <w:lvl w:ilvl="0">
      <w:start w:val="1"/>
      <w:numFmt w:val="decimal"/>
      <w:lvlText w:val="%1."/>
      <w:lvlJc w:val="left"/>
      <w:pPr>
        <w:ind w:left="720" w:hanging="360"/>
      </w:pPr>
      <w:rPr>
        <w:rFonts w:ascii="Cambria" w:hAnsi="Cambria" w:hint="default"/>
        <w:b/>
        <w:color w:val="auto"/>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D7D4B9D"/>
    <w:multiLevelType w:val="hybridMultilevel"/>
    <w:tmpl w:val="4A2CD874"/>
    <w:lvl w:ilvl="0" w:tplc="638C4658">
      <w:start w:val="1"/>
      <w:numFmt w:val="decimal"/>
      <w:lvlText w:val="%1."/>
      <w:lvlJc w:val="left"/>
      <w:pPr>
        <w:ind w:left="720" w:hanging="360"/>
      </w:pPr>
      <w:rPr>
        <w:rFonts w:ascii="Cambria" w:hAnsi="Cambria" w:hint="default"/>
        <w:b w:val="0"/>
        <w:i w:val="0"/>
        <w:color w:val="auto"/>
        <w:sz w:val="20"/>
        <w:szCs w:val="20"/>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FDF2ED9"/>
    <w:multiLevelType w:val="hybridMultilevel"/>
    <w:tmpl w:val="052CDC5E"/>
    <w:lvl w:ilvl="0" w:tplc="D92C12E8">
      <w:start w:val="1"/>
      <w:numFmt w:val="decimal"/>
      <w:lvlText w:val="%1."/>
      <w:lvlJc w:val="left"/>
      <w:pPr>
        <w:tabs>
          <w:tab w:val="num" w:pos="1860"/>
        </w:tabs>
        <w:ind w:left="186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019715A"/>
    <w:multiLevelType w:val="hybridMultilevel"/>
    <w:tmpl w:val="6EA8BEAC"/>
    <w:lvl w:ilvl="0" w:tplc="332A2DC8">
      <w:start w:val="1"/>
      <w:numFmt w:val="upp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7CC5AD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74A2040"/>
    <w:multiLevelType w:val="hybridMultilevel"/>
    <w:tmpl w:val="69F8CA12"/>
    <w:lvl w:ilvl="0" w:tplc="B8B8DB62">
      <w:start w:val="1"/>
      <w:numFmt w:val="upperLetter"/>
      <w:pStyle w:val="Heading2"/>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853765861">
    <w:abstractNumId w:val="3"/>
  </w:num>
  <w:num w:numId="2" w16cid:durableId="803352647">
    <w:abstractNumId w:val="4"/>
  </w:num>
  <w:num w:numId="3" w16cid:durableId="1818184118">
    <w:abstractNumId w:val="56"/>
  </w:num>
  <w:num w:numId="4" w16cid:durableId="291601437">
    <w:abstractNumId w:val="20"/>
  </w:num>
  <w:num w:numId="5" w16cid:durableId="277032598">
    <w:abstractNumId w:val="49"/>
  </w:num>
  <w:num w:numId="6" w16cid:durableId="1603955630">
    <w:abstractNumId w:val="27"/>
  </w:num>
  <w:num w:numId="7" w16cid:durableId="2136176172">
    <w:abstractNumId w:val="5"/>
  </w:num>
  <w:num w:numId="8" w16cid:durableId="1717973093">
    <w:abstractNumId w:val="16"/>
  </w:num>
  <w:num w:numId="9" w16cid:durableId="1629506360">
    <w:abstractNumId w:val="41"/>
  </w:num>
  <w:num w:numId="10" w16cid:durableId="763065421">
    <w:abstractNumId w:val="0"/>
  </w:num>
  <w:num w:numId="11" w16cid:durableId="1836722868">
    <w:abstractNumId w:val="36"/>
  </w:num>
  <w:num w:numId="12" w16cid:durableId="1230572959">
    <w:abstractNumId w:val="37"/>
  </w:num>
  <w:num w:numId="13" w16cid:durableId="1594127677">
    <w:abstractNumId w:val="42"/>
  </w:num>
  <w:num w:numId="14" w16cid:durableId="1436367077">
    <w:abstractNumId w:val="1"/>
  </w:num>
  <w:num w:numId="15" w16cid:durableId="723797365">
    <w:abstractNumId w:val="2"/>
  </w:num>
  <w:num w:numId="16" w16cid:durableId="274799674">
    <w:abstractNumId w:val="6"/>
  </w:num>
  <w:num w:numId="17" w16cid:durableId="1042946078">
    <w:abstractNumId w:val="7"/>
  </w:num>
  <w:num w:numId="18" w16cid:durableId="1650281185">
    <w:abstractNumId w:val="8"/>
  </w:num>
  <w:num w:numId="19" w16cid:durableId="456219490">
    <w:abstractNumId w:val="9"/>
  </w:num>
  <w:num w:numId="20" w16cid:durableId="1449079250">
    <w:abstractNumId w:val="10"/>
  </w:num>
  <w:num w:numId="21" w16cid:durableId="1838885238">
    <w:abstractNumId w:val="12"/>
  </w:num>
  <w:num w:numId="22" w16cid:durableId="1330906141">
    <w:abstractNumId w:val="13"/>
  </w:num>
  <w:num w:numId="23" w16cid:durableId="2049798487">
    <w:abstractNumId w:val="14"/>
  </w:num>
  <w:num w:numId="24" w16cid:durableId="622073850">
    <w:abstractNumId w:val="15"/>
  </w:num>
  <w:num w:numId="25" w16cid:durableId="172768953">
    <w:abstractNumId w:val="17"/>
  </w:num>
  <w:num w:numId="26" w16cid:durableId="2102218090">
    <w:abstractNumId w:val="18"/>
  </w:num>
  <w:num w:numId="27" w16cid:durableId="2028217899">
    <w:abstractNumId w:val="21"/>
  </w:num>
  <w:num w:numId="28" w16cid:durableId="204105132">
    <w:abstractNumId w:val="22"/>
  </w:num>
  <w:num w:numId="29" w16cid:durableId="1991324194">
    <w:abstractNumId w:val="23"/>
  </w:num>
  <w:num w:numId="30" w16cid:durableId="435517426">
    <w:abstractNumId w:val="26"/>
  </w:num>
  <w:num w:numId="31" w16cid:durableId="1268930375">
    <w:abstractNumId w:val="28"/>
  </w:num>
  <w:num w:numId="32" w16cid:durableId="683435060">
    <w:abstractNumId w:val="29"/>
  </w:num>
  <w:num w:numId="33" w16cid:durableId="1727756562">
    <w:abstractNumId w:val="30"/>
  </w:num>
  <w:num w:numId="34" w16cid:durableId="172191262">
    <w:abstractNumId w:val="31"/>
  </w:num>
  <w:num w:numId="35" w16cid:durableId="1948348790">
    <w:abstractNumId w:val="32"/>
  </w:num>
  <w:num w:numId="36" w16cid:durableId="1259755653">
    <w:abstractNumId w:val="33"/>
  </w:num>
  <w:num w:numId="37" w16cid:durableId="184057571">
    <w:abstractNumId w:val="34"/>
  </w:num>
  <w:num w:numId="38" w16cid:durableId="1281688584">
    <w:abstractNumId w:val="35"/>
  </w:num>
  <w:num w:numId="39" w16cid:durableId="172187510">
    <w:abstractNumId w:val="38"/>
  </w:num>
  <w:num w:numId="40" w16cid:durableId="1195577903">
    <w:abstractNumId w:val="39"/>
  </w:num>
  <w:num w:numId="41" w16cid:durableId="1487475046">
    <w:abstractNumId w:val="48"/>
  </w:num>
  <w:num w:numId="42" w16cid:durableId="2139562453">
    <w:abstractNumId w:val="51"/>
  </w:num>
  <w:num w:numId="43" w16cid:durableId="461189160">
    <w:abstractNumId w:val="52"/>
  </w:num>
  <w:num w:numId="44" w16cid:durableId="564416071">
    <w:abstractNumId w:val="53"/>
  </w:num>
  <w:num w:numId="45" w16cid:durableId="1808625620">
    <w:abstractNumId w:val="55"/>
  </w:num>
  <w:num w:numId="46" w16cid:durableId="258947103">
    <w:abstractNumId w:val="57"/>
  </w:num>
  <w:num w:numId="47" w16cid:durableId="632373132">
    <w:abstractNumId w:val="58"/>
  </w:num>
  <w:num w:numId="48" w16cid:durableId="366638054">
    <w:abstractNumId w:val="59"/>
  </w:num>
  <w:num w:numId="49" w16cid:durableId="921335793">
    <w:abstractNumId w:val="60"/>
  </w:num>
  <w:num w:numId="50" w16cid:durableId="1199124691">
    <w:abstractNumId w:val="61"/>
  </w:num>
  <w:num w:numId="51" w16cid:durableId="944386330">
    <w:abstractNumId w:val="19"/>
  </w:num>
  <w:num w:numId="52" w16cid:durableId="953026408">
    <w:abstractNumId w:val="40"/>
  </w:num>
  <w:num w:numId="53" w16cid:durableId="1543833038">
    <w:abstractNumId w:val="43"/>
  </w:num>
  <w:num w:numId="54" w16cid:durableId="933246607">
    <w:abstractNumId w:val="45"/>
  </w:num>
  <w:num w:numId="55" w16cid:durableId="2115206920">
    <w:abstractNumId w:val="50"/>
  </w:num>
  <w:num w:numId="56" w16cid:durableId="174196388">
    <w:abstractNumId w:val="25"/>
  </w:num>
  <w:num w:numId="57" w16cid:durableId="1936093278">
    <w:abstractNumId w:val="44"/>
  </w:num>
  <w:num w:numId="58" w16cid:durableId="363332698">
    <w:abstractNumId w:val="46"/>
  </w:num>
  <w:num w:numId="59" w16cid:durableId="745764896">
    <w:abstractNumId w:val="47"/>
    <w:lvlOverride w:ilvl="0">
      <w:startOverride w:val="1"/>
    </w:lvlOverride>
  </w:num>
  <w:num w:numId="60" w16cid:durableId="22099415">
    <w:abstractNumId w:val="54"/>
  </w:num>
  <w:num w:numId="61" w16cid:durableId="1943221104">
    <w:abstractNumId w:val="11"/>
  </w:num>
  <w:num w:numId="62" w16cid:durableId="1949003964">
    <w:abstractNumId w:val="2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6" w:nlCheck="1" w:checkStyle="0"/>
  <w:activeWritingStyle w:appName="MSWord" w:lang="es-VE" w:vendorID="64" w:dllVersion="6" w:nlCheck="1" w:checkStyle="1"/>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US"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AR" w:vendorID="64" w:dllVersion="6" w:nlCheck="1" w:checkStyle="1"/>
  <w:activeWritingStyle w:appName="MSWord" w:lang="es-EC" w:vendorID="64" w:dllVersion="6" w:nlCheck="1" w:checkStyle="1"/>
  <w:activeWritingStyle w:appName="MSWord" w:lang="es-CL" w:vendorID="64" w:dllVersion="6" w:nlCheck="1" w:checkStyle="1"/>
  <w:activeWritingStyle w:appName="MSWord" w:lang="fr-FR" w:vendorID="64" w:dllVersion="6" w:nlCheck="1" w:checkStyle="1"/>
  <w:defaultTabStop w:val="720"/>
  <w:hyphenationZone w:val="425"/>
  <w:characterSpacingControl w:val="doNotCompress"/>
  <w:hdrShapeDefaults>
    <o:shapedefaults v:ext="edit" spidmax="8194"/>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1132"/>
    <w:rsid w:val="00001B5B"/>
    <w:rsid w:val="00002328"/>
    <w:rsid w:val="0000291F"/>
    <w:rsid w:val="00004013"/>
    <w:rsid w:val="000050CC"/>
    <w:rsid w:val="00006DD7"/>
    <w:rsid w:val="00006E50"/>
    <w:rsid w:val="00006EDD"/>
    <w:rsid w:val="000070D7"/>
    <w:rsid w:val="00007690"/>
    <w:rsid w:val="00007B4D"/>
    <w:rsid w:val="00010600"/>
    <w:rsid w:val="0001065E"/>
    <w:rsid w:val="00010877"/>
    <w:rsid w:val="00010A7E"/>
    <w:rsid w:val="000111A8"/>
    <w:rsid w:val="00011E4C"/>
    <w:rsid w:val="00011EB8"/>
    <w:rsid w:val="00012267"/>
    <w:rsid w:val="00012470"/>
    <w:rsid w:val="00012683"/>
    <w:rsid w:val="00012ADD"/>
    <w:rsid w:val="00012E4F"/>
    <w:rsid w:val="00013BDD"/>
    <w:rsid w:val="00013F78"/>
    <w:rsid w:val="00014FBC"/>
    <w:rsid w:val="00015F42"/>
    <w:rsid w:val="00017552"/>
    <w:rsid w:val="0001788C"/>
    <w:rsid w:val="00021201"/>
    <w:rsid w:val="00021557"/>
    <w:rsid w:val="00022424"/>
    <w:rsid w:val="00022F55"/>
    <w:rsid w:val="0002357A"/>
    <w:rsid w:val="00024428"/>
    <w:rsid w:val="00024730"/>
    <w:rsid w:val="00024BB7"/>
    <w:rsid w:val="000265CB"/>
    <w:rsid w:val="0002681D"/>
    <w:rsid w:val="0003022F"/>
    <w:rsid w:val="00030834"/>
    <w:rsid w:val="00031189"/>
    <w:rsid w:val="00031A82"/>
    <w:rsid w:val="00031C34"/>
    <w:rsid w:val="0003262C"/>
    <w:rsid w:val="00032BDA"/>
    <w:rsid w:val="0003324D"/>
    <w:rsid w:val="000332F4"/>
    <w:rsid w:val="00035616"/>
    <w:rsid w:val="00036A8A"/>
    <w:rsid w:val="00036B00"/>
    <w:rsid w:val="00036E78"/>
    <w:rsid w:val="00037633"/>
    <w:rsid w:val="000378D5"/>
    <w:rsid w:val="00040A05"/>
    <w:rsid w:val="00040C3A"/>
    <w:rsid w:val="000414D2"/>
    <w:rsid w:val="000427EE"/>
    <w:rsid w:val="00042A17"/>
    <w:rsid w:val="0004390C"/>
    <w:rsid w:val="00045601"/>
    <w:rsid w:val="000459E0"/>
    <w:rsid w:val="0004681B"/>
    <w:rsid w:val="00046D40"/>
    <w:rsid w:val="0004761C"/>
    <w:rsid w:val="00047DA5"/>
    <w:rsid w:val="00047F35"/>
    <w:rsid w:val="000516F4"/>
    <w:rsid w:val="000517B2"/>
    <w:rsid w:val="00051EB4"/>
    <w:rsid w:val="000520FB"/>
    <w:rsid w:val="00052D20"/>
    <w:rsid w:val="00053172"/>
    <w:rsid w:val="00054E1B"/>
    <w:rsid w:val="000550C0"/>
    <w:rsid w:val="000564E1"/>
    <w:rsid w:val="00056C0E"/>
    <w:rsid w:val="000576AA"/>
    <w:rsid w:val="00057D4F"/>
    <w:rsid w:val="00057EDB"/>
    <w:rsid w:val="00060666"/>
    <w:rsid w:val="0006097A"/>
    <w:rsid w:val="0006100F"/>
    <w:rsid w:val="00062269"/>
    <w:rsid w:val="00062C0F"/>
    <w:rsid w:val="00062FEC"/>
    <w:rsid w:val="000630E1"/>
    <w:rsid w:val="000639C0"/>
    <w:rsid w:val="000645CE"/>
    <w:rsid w:val="000657E1"/>
    <w:rsid w:val="00065FBA"/>
    <w:rsid w:val="00066108"/>
    <w:rsid w:val="00066378"/>
    <w:rsid w:val="000679BC"/>
    <w:rsid w:val="00070B9D"/>
    <w:rsid w:val="00070F3A"/>
    <w:rsid w:val="0007127E"/>
    <w:rsid w:val="000716C5"/>
    <w:rsid w:val="00071A9D"/>
    <w:rsid w:val="00071E45"/>
    <w:rsid w:val="000728CA"/>
    <w:rsid w:val="00072B03"/>
    <w:rsid w:val="00074669"/>
    <w:rsid w:val="000756B4"/>
    <w:rsid w:val="00075E23"/>
    <w:rsid w:val="0007638D"/>
    <w:rsid w:val="000764E3"/>
    <w:rsid w:val="0007716F"/>
    <w:rsid w:val="00077A87"/>
    <w:rsid w:val="00080249"/>
    <w:rsid w:val="00080357"/>
    <w:rsid w:val="00081EC3"/>
    <w:rsid w:val="000823DA"/>
    <w:rsid w:val="00082CBB"/>
    <w:rsid w:val="000830D5"/>
    <w:rsid w:val="0008366A"/>
    <w:rsid w:val="00084A11"/>
    <w:rsid w:val="00084C5B"/>
    <w:rsid w:val="00085095"/>
    <w:rsid w:val="00085519"/>
    <w:rsid w:val="00085F60"/>
    <w:rsid w:val="00085F65"/>
    <w:rsid w:val="00086434"/>
    <w:rsid w:val="0008675E"/>
    <w:rsid w:val="00086BFA"/>
    <w:rsid w:val="0008733D"/>
    <w:rsid w:val="000901D7"/>
    <w:rsid w:val="000905D8"/>
    <w:rsid w:val="00090720"/>
    <w:rsid w:val="00090E48"/>
    <w:rsid w:val="00090E82"/>
    <w:rsid w:val="00091707"/>
    <w:rsid w:val="000922C5"/>
    <w:rsid w:val="00092817"/>
    <w:rsid w:val="000929D9"/>
    <w:rsid w:val="00092F32"/>
    <w:rsid w:val="00093055"/>
    <w:rsid w:val="0009344A"/>
    <w:rsid w:val="0009454E"/>
    <w:rsid w:val="00094AFA"/>
    <w:rsid w:val="00095575"/>
    <w:rsid w:val="0009575D"/>
    <w:rsid w:val="000973C5"/>
    <w:rsid w:val="000A03BE"/>
    <w:rsid w:val="000A0BA7"/>
    <w:rsid w:val="000A0EF3"/>
    <w:rsid w:val="000A16DB"/>
    <w:rsid w:val="000A1E84"/>
    <w:rsid w:val="000A2085"/>
    <w:rsid w:val="000A254B"/>
    <w:rsid w:val="000A25B1"/>
    <w:rsid w:val="000A3276"/>
    <w:rsid w:val="000A393C"/>
    <w:rsid w:val="000A3E84"/>
    <w:rsid w:val="000A4138"/>
    <w:rsid w:val="000A4DDD"/>
    <w:rsid w:val="000A5152"/>
    <w:rsid w:val="000A51D4"/>
    <w:rsid w:val="000A575F"/>
    <w:rsid w:val="000A584B"/>
    <w:rsid w:val="000A5B0F"/>
    <w:rsid w:val="000A62C0"/>
    <w:rsid w:val="000A650D"/>
    <w:rsid w:val="000A68B6"/>
    <w:rsid w:val="000A6C50"/>
    <w:rsid w:val="000A7A76"/>
    <w:rsid w:val="000A7DBA"/>
    <w:rsid w:val="000B040F"/>
    <w:rsid w:val="000B06AC"/>
    <w:rsid w:val="000B094A"/>
    <w:rsid w:val="000B0B80"/>
    <w:rsid w:val="000B10F9"/>
    <w:rsid w:val="000B25B8"/>
    <w:rsid w:val="000B25FC"/>
    <w:rsid w:val="000B276D"/>
    <w:rsid w:val="000B2EF7"/>
    <w:rsid w:val="000B38D1"/>
    <w:rsid w:val="000B39B4"/>
    <w:rsid w:val="000B418A"/>
    <w:rsid w:val="000B478D"/>
    <w:rsid w:val="000B4DAF"/>
    <w:rsid w:val="000B4EAA"/>
    <w:rsid w:val="000B50C3"/>
    <w:rsid w:val="000C0092"/>
    <w:rsid w:val="000C0149"/>
    <w:rsid w:val="000C04CF"/>
    <w:rsid w:val="000C1094"/>
    <w:rsid w:val="000C1B5A"/>
    <w:rsid w:val="000C1C2F"/>
    <w:rsid w:val="000C1E67"/>
    <w:rsid w:val="000C2C82"/>
    <w:rsid w:val="000C45C3"/>
    <w:rsid w:val="000C5219"/>
    <w:rsid w:val="000C556C"/>
    <w:rsid w:val="000C5DEE"/>
    <w:rsid w:val="000C6FFD"/>
    <w:rsid w:val="000C7F55"/>
    <w:rsid w:val="000D0A03"/>
    <w:rsid w:val="000D0BD2"/>
    <w:rsid w:val="000D10DB"/>
    <w:rsid w:val="000D1FC7"/>
    <w:rsid w:val="000D3921"/>
    <w:rsid w:val="000D3B27"/>
    <w:rsid w:val="000D43E0"/>
    <w:rsid w:val="000D5691"/>
    <w:rsid w:val="000D600D"/>
    <w:rsid w:val="000D6817"/>
    <w:rsid w:val="000D68F4"/>
    <w:rsid w:val="000D6EEF"/>
    <w:rsid w:val="000E0392"/>
    <w:rsid w:val="000E07F7"/>
    <w:rsid w:val="000E0F8F"/>
    <w:rsid w:val="000E1356"/>
    <w:rsid w:val="000E24D2"/>
    <w:rsid w:val="000E3937"/>
    <w:rsid w:val="000E44C7"/>
    <w:rsid w:val="000E56C3"/>
    <w:rsid w:val="000E5917"/>
    <w:rsid w:val="000E69B3"/>
    <w:rsid w:val="000E6A5E"/>
    <w:rsid w:val="000E6EDD"/>
    <w:rsid w:val="000E7140"/>
    <w:rsid w:val="000E7636"/>
    <w:rsid w:val="000E7ED0"/>
    <w:rsid w:val="000E7F69"/>
    <w:rsid w:val="000F0A25"/>
    <w:rsid w:val="000F0EEC"/>
    <w:rsid w:val="000F4547"/>
    <w:rsid w:val="000F4D36"/>
    <w:rsid w:val="000F5D64"/>
    <w:rsid w:val="000F7409"/>
    <w:rsid w:val="00100FB7"/>
    <w:rsid w:val="00101553"/>
    <w:rsid w:val="00101DDB"/>
    <w:rsid w:val="001024E3"/>
    <w:rsid w:val="001025B1"/>
    <w:rsid w:val="0010275F"/>
    <w:rsid w:val="00102875"/>
    <w:rsid w:val="001032AB"/>
    <w:rsid w:val="00103331"/>
    <w:rsid w:val="00103526"/>
    <w:rsid w:val="00103ABE"/>
    <w:rsid w:val="00104889"/>
    <w:rsid w:val="00104896"/>
    <w:rsid w:val="00104C50"/>
    <w:rsid w:val="00105599"/>
    <w:rsid w:val="0010592A"/>
    <w:rsid w:val="00105C96"/>
    <w:rsid w:val="0010625B"/>
    <w:rsid w:val="001063FA"/>
    <w:rsid w:val="00106990"/>
    <w:rsid w:val="00112617"/>
    <w:rsid w:val="001126EB"/>
    <w:rsid w:val="00113149"/>
    <w:rsid w:val="001131EC"/>
    <w:rsid w:val="00113ACF"/>
    <w:rsid w:val="00114527"/>
    <w:rsid w:val="00115009"/>
    <w:rsid w:val="00115CB1"/>
    <w:rsid w:val="00122DF4"/>
    <w:rsid w:val="00123ECD"/>
    <w:rsid w:val="00125D3B"/>
    <w:rsid w:val="0012610A"/>
    <w:rsid w:val="001267FB"/>
    <w:rsid w:val="00126859"/>
    <w:rsid w:val="00126E90"/>
    <w:rsid w:val="00126F3B"/>
    <w:rsid w:val="00127E05"/>
    <w:rsid w:val="00130A27"/>
    <w:rsid w:val="00130DE9"/>
    <w:rsid w:val="00131042"/>
    <w:rsid w:val="0013104F"/>
    <w:rsid w:val="0013178F"/>
    <w:rsid w:val="00131B01"/>
    <w:rsid w:val="00133465"/>
    <w:rsid w:val="0013403C"/>
    <w:rsid w:val="00134569"/>
    <w:rsid w:val="00134FF0"/>
    <w:rsid w:val="001357AD"/>
    <w:rsid w:val="001365B6"/>
    <w:rsid w:val="00136CB7"/>
    <w:rsid w:val="00137EBA"/>
    <w:rsid w:val="00140380"/>
    <w:rsid w:val="0014051C"/>
    <w:rsid w:val="00140921"/>
    <w:rsid w:val="00141DEA"/>
    <w:rsid w:val="00142AE8"/>
    <w:rsid w:val="00143E4B"/>
    <w:rsid w:val="00143EB9"/>
    <w:rsid w:val="0014445A"/>
    <w:rsid w:val="00145EDC"/>
    <w:rsid w:val="0014657F"/>
    <w:rsid w:val="00147723"/>
    <w:rsid w:val="00147DC5"/>
    <w:rsid w:val="001503E0"/>
    <w:rsid w:val="001508D1"/>
    <w:rsid w:val="00150DD0"/>
    <w:rsid w:val="00151AE2"/>
    <w:rsid w:val="00152085"/>
    <w:rsid w:val="00152829"/>
    <w:rsid w:val="00152944"/>
    <w:rsid w:val="0015335C"/>
    <w:rsid w:val="001538B8"/>
    <w:rsid w:val="00154179"/>
    <w:rsid w:val="0015497E"/>
    <w:rsid w:val="00154DBA"/>
    <w:rsid w:val="0015592F"/>
    <w:rsid w:val="00155EEE"/>
    <w:rsid w:val="00155F1D"/>
    <w:rsid w:val="00157341"/>
    <w:rsid w:val="001577B2"/>
    <w:rsid w:val="00157A9F"/>
    <w:rsid w:val="00157CE4"/>
    <w:rsid w:val="001600A4"/>
    <w:rsid w:val="001603B5"/>
    <w:rsid w:val="0016108B"/>
    <w:rsid w:val="00161150"/>
    <w:rsid w:val="00162AAD"/>
    <w:rsid w:val="00162CEF"/>
    <w:rsid w:val="0016356D"/>
    <w:rsid w:val="00163742"/>
    <w:rsid w:val="001638DF"/>
    <w:rsid w:val="0016440B"/>
    <w:rsid w:val="0016465A"/>
    <w:rsid w:val="0016499F"/>
    <w:rsid w:val="00166496"/>
    <w:rsid w:val="00166F26"/>
    <w:rsid w:val="00166F35"/>
    <w:rsid w:val="00167A34"/>
    <w:rsid w:val="00170067"/>
    <w:rsid w:val="00170952"/>
    <w:rsid w:val="00170976"/>
    <w:rsid w:val="001710D1"/>
    <w:rsid w:val="00171725"/>
    <w:rsid w:val="00171A33"/>
    <w:rsid w:val="0017269A"/>
    <w:rsid w:val="00172A98"/>
    <w:rsid w:val="001733D5"/>
    <w:rsid w:val="0017348C"/>
    <w:rsid w:val="001739DA"/>
    <w:rsid w:val="001739F5"/>
    <w:rsid w:val="001747B4"/>
    <w:rsid w:val="00174911"/>
    <w:rsid w:val="00174F72"/>
    <w:rsid w:val="00175827"/>
    <w:rsid w:val="0017642E"/>
    <w:rsid w:val="00180064"/>
    <w:rsid w:val="0018037F"/>
    <w:rsid w:val="001805B4"/>
    <w:rsid w:val="00180D3C"/>
    <w:rsid w:val="00180E3B"/>
    <w:rsid w:val="001819A8"/>
    <w:rsid w:val="00182F27"/>
    <w:rsid w:val="0018306D"/>
    <w:rsid w:val="00184083"/>
    <w:rsid w:val="00184C6F"/>
    <w:rsid w:val="001859D2"/>
    <w:rsid w:val="00187268"/>
    <w:rsid w:val="00190214"/>
    <w:rsid w:val="0019075E"/>
    <w:rsid w:val="00190F48"/>
    <w:rsid w:val="001917D9"/>
    <w:rsid w:val="00192FD4"/>
    <w:rsid w:val="0019332D"/>
    <w:rsid w:val="001937A5"/>
    <w:rsid w:val="00196280"/>
    <w:rsid w:val="001965CC"/>
    <w:rsid w:val="001970F2"/>
    <w:rsid w:val="0019748D"/>
    <w:rsid w:val="001A0782"/>
    <w:rsid w:val="001A0B42"/>
    <w:rsid w:val="001A1378"/>
    <w:rsid w:val="001A1B32"/>
    <w:rsid w:val="001A2434"/>
    <w:rsid w:val="001A39CF"/>
    <w:rsid w:val="001A4221"/>
    <w:rsid w:val="001A5F27"/>
    <w:rsid w:val="001A6423"/>
    <w:rsid w:val="001A64EB"/>
    <w:rsid w:val="001A7439"/>
    <w:rsid w:val="001A7870"/>
    <w:rsid w:val="001A7D5B"/>
    <w:rsid w:val="001A7EDC"/>
    <w:rsid w:val="001B17B9"/>
    <w:rsid w:val="001B3279"/>
    <w:rsid w:val="001B4593"/>
    <w:rsid w:val="001B4974"/>
    <w:rsid w:val="001B4E52"/>
    <w:rsid w:val="001B56BC"/>
    <w:rsid w:val="001B5F45"/>
    <w:rsid w:val="001B60FE"/>
    <w:rsid w:val="001B7BA1"/>
    <w:rsid w:val="001C04BF"/>
    <w:rsid w:val="001C0710"/>
    <w:rsid w:val="001C149C"/>
    <w:rsid w:val="001C1B41"/>
    <w:rsid w:val="001C2003"/>
    <w:rsid w:val="001C2173"/>
    <w:rsid w:val="001C217B"/>
    <w:rsid w:val="001C2F45"/>
    <w:rsid w:val="001C3032"/>
    <w:rsid w:val="001C38BC"/>
    <w:rsid w:val="001C3B2D"/>
    <w:rsid w:val="001C4006"/>
    <w:rsid w:val="001C48AF"/>
    <w:rsid w:val="001C4ADD"/>
    <w:rsid w:val="001C50DC"/>
    <w:rsid w:val="001C6025"/>
    <w:rsid w:val="001C68E7"/>
    <w:rsid w:val="001C6E0E"/>
    <w:rsid w:val="001C6F52"/>
    <w:rsid w:val="001C73FB"/>
    <w:rsid w:val="001D1343"/>
    <w:rsid w:val="001D1A17"/>
    <w:rsid w:val="001D1FC1"/>
    <w:rsid w:val="001D42A6"/>
    <w:rsid w:val="001D4D75"/>
    <w:rsid w:val="001D5921"/>
    <w:rsid w:val="001D59B1"/>
    <w:rsid w:val="001D652F"/>
    <w:rsid w:val="001D6BA1"/>
    <w:rsid w:val="001D6C92"/>
    <w:rsid w:val="001D75F2"/>
    <w:rsid w:val="001D7B45"/>
    <w:rsid w:val="001E0270"/>
    <w:rsid w:val="001E0808"/>
    <w:rsid w:val="001E1061"/>
    <w:rsid w:val="001E10CA"/>
    <w:rsid w:val="001E2867"/>
    <w:rsid w:val="001E3060"/>
    <w:rsid w:val="001E31D4"/>
    <w:rsid w:val="001E3F3E"/>
    <w:rsid w:val="001E477E"/>
    <w:rsid w:val="001E4D7D"/>
    <w:rsid w:val="001E53FB"/>
    <w:rsid w:val="001E5A1A"/>
    <w:rsid w:val="001E5F04"/>
    <w:rsid w:val="001E699E"/>
    <w:rsid w:val="001E6C37"/>
    <w:rsid w:val="001F094C"/>
    <w:rsid w:val="001F0B72"/>
    <w:rsid w:val="001F3B00"/>
    <w:rsid w:val="001F4A4B"/>
    <w:rsid w:val="001F4DB8"/>
    <w:rsid w:val="001F62D9"/>
    <w:rsid w:val="001F65E5"/>
    <w:rsid w:val="001F6E7F"/>
    <w:rsid w:val="00200D2E"/>
    <w:rsid w:val="002018AF"/>
    <w:rsid w:val="002027D1"/>
    <w:rsid w:val="00202A19"/>
    <w:rsid w:val="00203841"/>
    <w:rsid w:val="00204924"/>
    <w:rsid w:val="00204DFD"/>
    <w:rsid w:val="0020524A"/>
    <w:rsid w:val="002056C8"/>
    <w:rsid w:val="00206728"/>
    <w:rsid w:val="002067F4"/>
    <w:rsid w:val="00207544"/>
    <w:rsid w:val="0021055A"/>
    <w:rsid w:val="00210E0E"/>
    <w:rsid w:val="00211891"/>
    <w:rsid w:val="00211F3B"/>
    <w:rsid w:val="00213A2F"/>
    <w:rsid w:val="00214962"/>
    <w:rsid w:val="0021591D"/>
    <w:rsid w:val="00215CE2"/>
    <w:rsid w:val="00217D6A"/>
    <w:rsid w:val="0022169F"/>
    <w:rsid w:val="002218FD"/>
    <w:rsid w:val="00222050"/>
    <w:rsid w:val="00222647"/>
    <w:rsid w:val="002226AA"/>
    <w:rsid w:val="00223245"/>
    <w:rsid w:val="00223265"/>
    <w:rsid w:val="002237F3"/>
    <w:rsid w:val="00224E5F"/>
    <w:rsid w:val="00225375"/>
    <w:rsid w:val="002256AE"/>
    <w:rsid w:val="002277C3"/>
    <w:rsid w:val="0023061B"/>
    <w:rsid w:val="00230B8F"/>
    <w:rsid w:val="00231242"/>
    <w:rsid w:val="00231CD1"/>
    <w:rsid w:val="00232A3C"/>
    <w:rsid w:val="00233353"/>
    <w:rsid w:val="002351E7"/>
    <w:rsid w:val="002368C5"/>
    <w:rsid w:val="00236FA5"/>
    <w:rsid w:val="0024070A"/>
    <w:rsid w:val="00241B9E"/>
    <w:rsid w:val="0024247E"/>
    <w:rsid w:val="0024379B"/>
    <w:rsid w:val="00244E7D"/>
    <w:rsid w:val="00245446"/>
    <w:rsid w:val="00245452"/>
    <w:rsid w:val="00245F40"/>
    <w:rsid w:val="00246E7D"/>
    <w:rsid w:val="00246FF5"/>
    <w:rsid w:val="00247019"/>
    <w:rsid w:val="00247403"/>
    <w:rsid w:val="00247542"/>
    <w:rsid w:val="00247592"/>
    <w:rsid w:val="00247E0E"/>
    <w:rsid w:val="00250662"/>
    <w:rsid w:val="00250B61"/>
    <w:rsid w:val="00250C32"/>
    <w:rsid w:val="00250F0E"/>
    <w:rsid w:val="00250F42"/>
    <w:rsid w:val="0025100E"/>
    <w:rsid w:val="002520C0"/>
    <w:rsid w:val="00253F1B"/>
    <w:rsid w:val="00255140"/>
    <w:rsid w:val="002552DF"/>
    <w:rsid w:val="0025532E"/>
    <w:rsid w:val="00255475"/>
    <w:rsid w:val="00255759"/>
    <w:rsid w:val="00255D72"/>
    <w:rsid w:val="002560C3"/>
    <w:rsid w:val="00256813"/>
    <w:rsid w:val="00256D45"/>
    <w:rsid w:val="00257893"/>
    <w:rsid w:val="0026109F"/>
    <w:rsid w:val="0026154C"/>
    <w:rsid w:val="002626A2"/>
    <w:rsid w:val="002626F5"/>
    <w:rsid w:val="00262ECA"/>
    <w:rsid w:val="00263B2B"/>
    <w:rsid w:val="00264033"/>
    <w:rsid w:val="00264870"/>
    <w:rsid w:val="00264944"/>
    <w:rsid w:val="00266092"/>
    <w:rsid w:val="00266B61"/>
    <w:rsid w:val="0026712A"/>
    <w:rsid w:val="00267891"/>
    <w:rsid w:val="00267D64"/>
    <w:rsid w:val="00267EF0"/>
    <w:rsid w:val="0027004C"/>
    <w:rsid w:val="002701A7"/>
    <w:rsid w:val="002704DB"/>
    <w:rsid w:val="002704E0"/>
    <w:rsid w:val="002706E4"/>
    <w:rsid w:val="00270C7A"/>
    <w:rsid w:val="00271175"/>
    <w:rsid w:val="002715B3"/>
    <w:rsid w:val="00272596"/>
    <w:rsid w:val="00272854"/>
    <w:rsid w:val="00272A02"/>
    <w:rsid w:val="00272DEF"/>
    <w:rsid w:val="00272EDB"/>
    <w:rsid w:val="00272F7D"/>
    <w:rsid w:val="00273032"/>
    <w:rsid w:val="002730F6"/>
    <w:rsid w:val="00274F86"/>
    <w:rsid w:val="00275FC9"/>
    <w:rsid w:val="0027671E"/>
    <w:rsid w:val="00276C31"/>
    <w:rsid w:val="002772E3"/>
    <w:rsid w:val="002809AC"/>
    <w:rsid w:val="0028111A"/>
    <w:rsid w:val="00283909"/>
    <w:rsid w:val="0028392E"/>
    <w:rsid w:val="00284E86"/>
    <w:rsid w:val="002869C6"/>
    <w:rsid w:val="00287642"/>
    <w:rsid w:val="00290094"/>
    <w:rsid w:val="00291C7D"/>
    <w:rsid w:val="00292239"/>
    <w:rsid w:val="00292CEC"/>
    <w:rsid w:val="0029397E"/>
    <w:rsid w:val="00293AEB"/>
    <w:rsid w:val="00293B75"/>
    <w:rsid w:val="0029466E"/>
    <w:rsid w:val="00294727"/>
    <w:rsid w:val="00294B4A"/>
    <w:rsid w:val="00294FA9"/>
    <w:rsid w:val="002955D3"/>
    <w:rsid w:val="002957D7"/>
    <w:rsid w:val="00295C76"/>
    <w:rsid w:val="0029615A"/>
    <w:rsid w:val="002963E4"/>
    <w:rsid w:val="0029676D"/>
    <w:rsid w:val="002970DC"/>
    <w:rsid w:val="0029715B"/>
    <w:rsid w:val="00297288"/>
    <w:rsid w:val="0029754B"/>
    <w:rsid w:val="002A00C2"/>
    <w:rsid w:val="002A00EB"/>
    <w:rsid w:val="002A036F"/>
    <w:rsid w:val="002A05B1"/>
    <w:rsid w:val="002A0BCB"/>
    <w:rsid w:val="002A1564"/>
    <w:rsid w:val="002A1C6E"/>
    <w:rsid w:val="002A1D6A"/>
    <w:rsid w:val="002A1EF3"/>
    <w:rsid w:val="002A24D4"/>
    <w:rsid w:val="002A2593"/>
    <w:rsid w:val="002A2720"/>
    <w:rsid w:val="002A3CD5"/>
    <w:rsid w:val="002A5150"/>
    <w:rsid w:val="002A733A"/>
    <w:rsid w:val="002A7A01"/>
    <w:rsid w:val="002B008D"/>
    <w:rsid w:val="002B0BE7"/>
    <w:rsid w:val="002B0C15"/>
    <w:rsid w:val="002B0F9C"/>
    <w:rsid w:val="002B110C"/>
    <w:rsid w:val="002B1184"/>
    <w:rsid w:val="002B1D55"/>
    <w:rsid w:val="002B2AB5"/>
    <w:rsid w:val="002B30E6"/>
    <w:rsid w:val="002B3A2B"/>
    <w:rsid w:val="002B4417"/>
    <w:rsid w:val="002B484B"/>
    <w:rsid w:val="002B4B61"/>
    <w:rsid w:val="002B5F8A"/>
    <w:rsid w:val="002B6EDD"/>
    <w:rsid w:val="002C10D7"/>
    <w:rsid w:val="002C1641"/>
    <w:rsid w:val="002C1EB3"/>
    <w:rsid w:val="002C1F13"/>
    <w:rsid w:val="002C2792"/>
    <w:rsid w:val="002C31B7"/>
    <w:rsid w:val="002C3312"/>
    <w:rsid w:val="002C3671"/>
    <w:rsid w:val="002C3D66"/>
    <w:rsid w:val="002C4070"/>
    <w:rsid w:val="002C58D2"/>
    <w:rsid w:val="002C5A89"/>
    <w:rsid w:val="002C5BCE"/>
    <w:rsid w:val="002C5EC4"/>
    <w:rsid w:val="002C6C33"/>
    <w:rsid w:val="002C7910"/>
    <w:rsid w:val="002D033F"/>
    <w:rsid w:val="002D064D"/>
    <w:rsid w:val="002D12CF"/>
    <w:rsid w:val="002D1CFA"/>
    <w:rsid w:val="002D33B3"/>
    <w:rsid w:val="002D40D8"/>
    <w:rsid w:val="002D45C2"/>
    <w:rsid w:val="002D4CA0"/>
    <w:rsid w:val="002D628F"/>
    <w:rsid w:val="002D6E69"/>
    <w:rsid w:val="002D7548"/>
    <w:rsid w:val="002D7DC4"/>
    <w:rsid w:val="002D7EA2"/>
    <w:rsid w:val="002E03A4"/>
    <w:rsid w:val="002E10CD"/>
    <w:rsid w:val="002E10DC"/>
    <w:rsid w:val="002E15DF"/>
    <w:rsid w:val="002E16E8"/>
    <w:rsid w:val="002E187C"/>
    <w:rsid w:val="002E18E3"/>
    <w:rsid w:val="002E1CDE"/>
    <w:rsid w:val="002E349E"/>
    <w:rsid w:val="002E35D7"/>
    <w:rsid w:val="002E3921"/>
    <w:rsid w:val="002E3C15"/>
    <w:rsid w:val="002E432F"/>
    <w:rsid w:val="002E4F0A"/>
    <w:rsid w:val="002E61E7"/>
    <w:rsid w:val="002E620F"/>
    <w:rsid w:val="002E6267"/>
    <w:rsid w:val="002E6663"/>
    <w:rsid w:val="002E6B47"/>
    <w:rsid w:val="002E6E57"/>
    <w:rsid w:val="002E755E"/>
    <w:rsid w:val="002E78C1"/>
    <w:rsid w:val="002E7E79"/>
    <w:rsid w:val="002E7F41"/>
    <w:rsid w:val="002F097A"/>
    <w:rsid w:val="002F17C9"/>
    <w:rsid w:val="002F1B00"/>
    <w:rsid w:val="002F1B4A"/>
    <w:rsid w:val="002F2D41"/>
    <w:rsid w:val="002F2FCB"/>
    <w:rsid w:val="002F3202"/>
    <w:rsid w:val="002F3554"/>
    <w:rsid w:val="002F3598"/>
    <w:rsid w:val="002F35CB"/>
    <w:rsid w:val="002F3D27"/>
    <w:rsid w:val="002F414B"/>
    <w:rsid w:val="002F443F"/>
    <w:rsid w:val="002F503E"/>
    <w:rsid w:val="002F5686"/>
    <w:rsid w:val="002F5941"/>
    <w:rsid w:val="002F5E45"/>
    <w:rsid w:val="002F6201"/>
    <w:rsid w:val="002F63D9"/>
    <w:rsid w:val="002F6C1E"/>
    <w:rsid w:val="002F6ECD"/>
    <w:rsid w:val="002F7B0F"/>
    <w:rsid w:val="00301075"/>
    <w:rsid w:val="00301B3D"/>
    <w:rsid w:val="00301F71"/>
    <w:rsid w:val="00302733"/>
    <w:rsid w:val="0030337C"/>
    <w:rsid w:val="003035DD"/>
    <w:rsid w:val="00303B04"/>
    <w:rsid w:val="00304182"/>
    <w:rsid w:val="0030446B"/>
    <w:rsid w:val="00304EED"/>
    <w:rsid w:val="003058E3"/>
    <w:rsid w:val="0030600F"/>
    <w:rsid w:val="00306C30"/>
    <w:rsid w:val="00306D2A"/>
    <w:rsid w:val="00307577"/>
    <w:rsid w:val="00307C8D"/>
    <w:rsid w:val="00307DF7"/>
    <w:rsid w:val="003112C6"/>
    <w:rsid w:val="00311A4F"/>
    <w:rsid w:val="00311EA0"/>
    <w:rsid w:val="00313332"/>
    <w:rsid w:val="00314078"/>
    <w:rsid w:val="003144AF"/>
    <w:rsid w:val="00315905"/>
    <w:rsid w:val="00316026"/>
    <w:rsid w:val="00316559"/>
    <w:rsid w:val="0031724D"/>
    <w:rsid w:val="00317255"/>
    <w:rsid w:val="00317E8A"/>
    <w:rsid w:val="00317FC6"/>
    <w:rsid w:val="00320402"/>
    <w:rsid w:val="00320A64"/>
    <w:rsid w:val="00320D26"/>
    <w:rsid w:val="003215F2"/>
    <w:rsid w:val="003218DF"/>
    <w:rsid w:val="00321A96"/>
    <w:rsid w:val="00322398"/>
    <w:rsid w:val="00322450"/>
    <w:rsid w:val="003241CF"/>
    <w:rsid w:val="003245A7"/>
    <w:rsid w:val="003246B5"/>
    <w:rsid w:val="00324882"/>
    <w:rsid w:val="003249CF"/>
    <w:rsid w:val="003267B5"/>
    <w:rsid w:val="00327501"/>
    <w:rsid w:val="00330196"/>
    <w:rsid w:val="0033054B"/>
    <w:rsid w:val="00330E0E"/>
    <w:rsid w:val="003313D4"/>
    <w:rsid w:val="0033161A"/>
    <w:rsid w:val="00331687"/>
    <w:rsid w:val="0033169F"/>
    <w:rsid w:val="00331F29"/>
    <w:rsid w:val="00332152"/>
    <w:rsid w:val="00332A4D"/>
    <w:rsid w:val="003330D2"/>
    <w:rsid w:val="00333CD2"/>
    <w:rsid w:val="00333FDB"/>
    <w:rsid w:val="003343F1"/>
    <w:rsid w:val="00334B2B"/>
    <w:rsid w:val="00336085"/>
    <w:rsid w:val="00337546"/>
    <w:rsid w:val="003378E0"/>
    <w:rsid w:val="00337961"/>
    <w:rsid w:val="00337C43"/>
    <w:rsid w:val="003407E0"/>
    <w:rsid w:val="00340A95"/>
    <w:rsid w:val="00340B09"/>
    <w:rsid w:val="003410A6"/>
    <w:rsid w:val="003414AC"/>
    <w:rsid w:val="003414E6"/>
    <w:rsid w:val="00342070"/>
    <w:rsid w:val="003447BB"/>
    <w:rsid w:val="00344B38"/>
    <w:rsid w:val="0034569F"/>
    <w:rsid w:val="00346D16"/>
    <w:rsid w:val="00347742"/>
    <w:rsid w:val="00351655"/>
    <w:rsid w:val="003520F3"/>
    <w:rsid w:val="00352D44"/>
    <w:rsid w:val="0035485A"/>
    <w:rsid w:val="00355779"/>
    <w:rsid w:val="00356185"/>
    <w:rsid w:val="003567C7"/>
    <w:rsid w:val="00357206"/>
    <w:rsid w:val="00357961"/>
    <w:rsid w:val="00357C4D"/>
    <w:rsid w:val="00357D78"/>
    <w:rsid w:val="00360380"/>
    <w:rsid w:val="0036056F"/>
    <w:rsid w:val="0036137D"/>
    <w:rsid w:val="00361EB7"/>
    <w:rsid w:val="003628E5"/>
    <w:rsid w:val="00362FE0"/>
    <w:rsid w:val="0036346A"/>
    <w:rsid w:val="00363954"/>
    <w:rsid w:val="00365D52"/>
    <w:rsid w:val="00366182"/>
    <w:rsid w:val="00366DBE"/>
    <w:rsid w:val="00367444"/>
    <w:rsid w:val="003675B8"/>
    <w:rsid w:val="003676F1"/>
    <w:rsid w:val="0036775E"/>
    <w:rsid w:val="00367EDD"/>
    <w:rsid w:val="00370DD4"/>
    <w:rsid w:val="003712A0"/>
    <w:rsid w:val="003712A7"/>
    <w:rsid w:val="00371EFD"/>
    <w:rsid w:val="00372B13"/>
    <w:rsid w:val="00372F8E"/>
    <w:rsid w:val="00373790"/>
    <w:rsid w:val="003741EF"/>
    <w:rsid w:val="003745F9"/>
    <w:rsid w:val="00374940"/>
    <w:rsid w:val="003750C8"/>
    <w:rsid w:val="003759D2"/>
    <w:rsid w:val="00376244"/>
    <w:rsid w:val="00376462"/>
    <w:rsid w:val="00376CCB"/>
    <w:rsid w:val="00377AD8"/>
    <w:rsid w:val="00380645"/>
    <w:rsid w:val="00380A1D"/>
    <w:rsid w:val="00380B68"/>
    <w:rsid w:val="00380ECF"/>
    <w:rsid w:val="0038209A"/>
    <w:rsid w:val="00382598"/>
    <w:rsid w:val="00382BCA"/>
    <w:rsid w:val="00382CE7"/>
    <w:rsid w:val="003832D9"/>
    <w:rsid w:val="0038330F"/>
    <w:rsid w:val="00384072"/>
    <w:rsid w:val="0038421B"/>
    <w:rsid w:val="00384BAF"/>
    <w:rsid w:val="0038559B"/>
    <w:rsid w:val="00385B08"/>
    <w:rsid w:val="00386CF0"/>
    <w:rsid w:val="00386FEA"/>
    <w:rsid w:val="003902B2"/>
    <w:rsid w:val="0039061F"/>
    <w:rsid w:val="00390AFB"/>
    <w:rsid w:val="00390D19"/>
    <w:rsid w:val="00391CD8"/>
    <w:rsid w:val="00393C8E"/>
    <w:rsid w:val="00394608"/>
    <w:rsid w:val="0039471C"/>
    <w:rsid w:val="00394A5D"/>
    <w:rsid w:val="00396106"/>
    <w:rsid w:val="003964BF"/>
    <w:rsid w:val="003A187E"/>
    <w:rsid w:val="003A18F4"/>
    <w:rsid w:val="003A1AE3"/>
    <w:rsid w:val="003A27F4"/>
    <w:rsid w:val="003A2DC1"/>
    <w:rsid w:val="003A348D"/>
    <w:rsid w:val="003A3C43"/>
    <w:rsid w:val="003A430F"/>
    <w:rsid w:val="003A4790"/>
    <w:rsid w:val="003A485E"/>
    <w:rsid w:val="003A4B42"/>
    <w:rsid w:val="003A527A"/>
    <w:rsid w:val="003A54CE"/>
    <w:rsid w:val="003A5E9B"/>
    <w:rsid w:val="003A6019"/>
    <w:rsid w:val="003A632E"/>
    <w:rsid w:val="003A7118"/>
    <w:rsid w:val="003A71F1"/>
    <w:rsid w:val="003A7BFE"/>
    <w:rsid w:val="003B0701"/>
    <w:rsid w:val="003B18C6"/>
    <w:rsid w:val="003B1BD7"/>
    <w:rsid w:val="003B1D61"/>
    <w:rsid w:val="003B27EA"/>
    <w:rsid w:val="003B2C86"/>
    <w:rsid w:val="003B349D"/>
    <w:rsid w:val="003B3E94"/>
    <w:rsid w:val="003B5191"/>
    <w:rsid w:val="003B5C8C"/>
    <w:rsid w:val="003B63A0"/>
    <w:rsid w:val="003B640E"/>
    <w:rsid w:val="003B6423"/>
    <w:rsid w:val="003B66DC"/>
    <w:rsid w:val="003B6950"/>
    <w:rsid w:val="003B6B9C"/>
    <w:rsid w:val="003B73E3"/>
    <w:rsid w:val="003C107E"/>
    <w:rsid w:val="003C21BD"/>
    <w:rsid w:val="003C269F"/>
    <w:rsid w:val="003C32BC"/>
    <w:rsid w:val="003C3722"/>
    <w:rsid w:val="003C4BC0"/>
    <w:rsid w:val="003C4F69"/>
    <w:rsid w:val="003C54AD"/>
    <w:rsid w:val="003C6480"/>
    <w:rsid w:val="003C665E"/>
    <w:rsid w:val="003C67CE"/>
    <w:rsid w:val="003C7061"/>
    <w:rsid w:val="003D007D"/>
    <w:rsid w:val="003D0152"/>
    <w:rsid w:val="003D0C05"/>
    <w:rsid w:val="003D0D3E"/>
    <w:rsid w:val="003D1E49"/>
    <w:rsid w:val="003D2871"/>
    <w:rsid w:val="003D2C7F"/>
    <w:rsid w:val="003D3279"/>
    <w:rsid w:val="003D3435"/>
    <w:rsid w:val="003D3507"/>
    <w:rsid w:val="003D3CAC"/>
    <w:rsid w:val="003D3E1C"/>
    <w:rsid w:val="003D40A7"/>
    <w:rsid w:val="003D45DE"/>
    <w:rsid w:val="003D4A67"/>
    <w:rsid w:val="003D51A2"/>
    <w:rsid w:val="003D5A38"/>
    <w:rsid w:val="003D5C6C"/>
    <w:rsid w:val="003D5CD7"/>
    <w:rsid w:val="003D5F18"/>
    <w:rsid w:val="003D79BC"/>
    <w:rsid w:val="003D7A5F"/>
    <w:rsid w:val="003E06A3"/>
    <w:rsid w:val="003E0852"/>
    <w:rsid w:val="003E14B0"/>
    <w:rsid w:val="003E1FEC"/>
    <w:rsid w:val="003E2564"/>
    <w:rsid w:val="003E366F"/>
    <w:rsid w:val="003E4D93"/>
    <w:rsid w:val="003E4E8A"/>
    <w:rsid w:val="003E520F"/>
    <w:rsid w:val="003E60B8"/>
    <w:rsid w:val="003E65E7"/>
    <w:rsid w:val="003E68BB"/>
    <w:rsid w:val="003E6FB6"/>
    <w:rsid w:val="003E70A6"/>
    <w:rsid w:val="003E7291"/>
    <w:rsid w:val="003E7380"/>
    <w:rsid w:val="003E752C"/>
    <w:rsid w:val="003F0153"/>
    <w:rsid w:val="003F03FA"/>
    <w:rsid w:val="003F0B2B"/>
    <w:rsid w:val="003F0F0F"/>
    <w:rsid w:val="003F1230"/>
    <w:rsid w:val="003F1BBF"/>
    <w:rsid w:val="003F2D46"/>
    <w:rsid w:val="003F3C49"/>
    <w:rsid w:val="003F57C9"/>
    <w:rsid w:val="003F6707"/>
    <w:rsid w:val="003F7001"/>
    <w:rsid w:val="003F7161"/>
    <w:rsid w:val="00400C14"/>
    <w:rsid w:val="00400E6B"/>
    <w:rsid w:val="00400EA4"/>
    <w:rsid w:val="00400FF0"/>
    <w:rsid w:val="004010E9"/>
    <w:rsid w:val="0040128B"/>
    <w:rsid w:val="004022E4"/>
    <w:rsid w:val="00404333"/>
    <w:rsid w:val="00404A51"/>
    <w:rsid w:val="00404DCC"/>
    <w:rsid w:val="00404EFC"/>
    <w:rsid w:val="00404F22"/>
    <w:rsid w:val="00405991"/>
    <w:rsid w:val="00405F19"/>
    <w:rsid w:val="00406721"/>
    <w:rsid w:val="00406CB6"/>
    <w:rsid w:val="0040735D"/>
    <w:rsid w:val="0040759C"/>
    <w:rsid w:val="00407F3D"/>
    <w:rsid w:val="00410925"/>
    <w:rsid w:val="004122AE"/>
    <w:rsid w:val="00412AF2"/>
    <w:rsid w:val="00413779"/>
    <w:rsid w:val="00413B37"/>
    <w:rsid w:val="004142F6"/>
    <w:rsid w:val="00414A54"/>
    <w:rsid w:val="00414D3F"/>
    <w:rsid w:val="00415BAE"/>
    <w:rsid w:val="004165C2"/>
    <w:rsid w:val="00416BC5"/>
    <w:rsid w:val="00417263"/>
    <w:rsid w:val="00417356"/>
    <w:rsid w:val="0041797E"/>
    <w:rsid w:val="00420486"/>
    <w:rsid w:val="004204E5"/>
    <w:rsid w:val="00421966"/>
    <w:rsid w:val="00421D29"/>
    <w:rsid w:val="00422536"/>
    <w:rsid w:val="00423909"/>
    <w:rsid w:val="00423E69"/>
    <w:rsid w:val="004264FA"/>
    <w:rsid w:val="00426A93"/>
    <w:rsid w:val="00426DB7"/>
    <w:rsid w:val="00427406"/>
    <w:rsid w:val="0042749C"/>
    <w:rsid w:val="00427737"/>
    <w:rsid w:val="00432696"/>
    <w:rsid w:val="00432731"/>
    <w:rsid w:val="004332C3"/>
    <w:rsid w:val="004343C8"/>
    <w:rsid w:val="00436C66"/>
    <w:rsid w:val="004375C9"/>
    <w:rsid w:val="00440CD9"/>
    <w:rsid w:val="00440E90"/>
    <w:rsid w:val="004413C0"/>
    <w:rsid w:val="00441D48"/>
    <w:rsid w:val="00443C71"/>
    <w:rsid w:val="00444596"/>
    <w:rsid w:val="00445C74"/>
    <w:rsid w:val="0044650B"/>
    <w:rsid w:val="004467BD"/>
    <w:rsid w:val="00446F15"/>
    <w:rsid w:val="0044706E"/>
    <w:rsid w:val="00447468"/>
    <w:rsid w:val="00447B8F"/>
    <w:rsid w:val="00450A4A"/>
    <w:rsid w:val="00450D96"/>
    <w:rsid w:val="00453466"/>
    <w:rsid w:val="00454345"/>
    <w:rsid w:val="00454492"/>
    <w:rsid w:val="0045481D"/>
    <w:rsid w:val="00455165"/>
    <w:rsid w:val="0045524E"/>
    <w:rsid w:val="00456CCD"/>
    <w:rsid w:val="00456D70"/>
    <w:rsid w:val="00456FF9"/>
    <w:rsid w:val="00457228"/>
    <w:rsid w:val="00457B89"/>
    <w:rsid w:val="0046041C"/>
    <w:rsid w:val="004606C0"/>
    <w:rsid w:val="0046072C"/>
    <w:rsid w:val="00461E19"/>
    <w:rsid w:val="0046208F"/>
    <w:rsid w:val="00462248"/>
    <w:rsid w:val="004622F5"/>
    <w:rsid w:val="00462781"/>
    <w:rsid w:val="00462F9A"/>
    <w:rsid w:val="004642EF"/>
    <w:rsid w:val="0046488C"/>
    <w:rsid w:val="0046574C"/>
    <w:rsid w:val="00465D1B"/>
    <w:rsid w:val="004662B0"/>
    <w:rsid w:val="004666FB"/>
    <w:rsid w:val="00467542"/>
    <w:rsid w:val="00467B7E"/>
    <w:rsid w:val="00467CF1"/>
    <w:rsid w:val="0047006D"/>
    <w:rsid w:val="004715B7"/>
    <w:rsid w:val="00471BC8"/>
    <w:rsid w:val="00471ED1"/>
    <w:rsid w:val="00472B0E"/>
    <w:rsid w:val="004730AF"/>
    <w:rsid w:val="00473197"/>
    <w:rsid w:val="00475258"/>
    <w:rsid w:val="00476B10"/>
    <w:rsid w:val="00477BE3"/>
    <w:rsid w:val="00477D29"/>
    <w:rsid w:val="00480B24"/>
    <w:rsid w:val="004810B3"/>
    <w:rsid w:val="0048119E"/>
    <w:rsid w:val="004817BD"/>
    <w:rsid w:val="00481C1F"/>
    <w:rsid w:val="00482208"/>
    <w:rsid w:val="00482528"/>
    <w:rsid w:val="00482644"/>
    <w:rsid w:val="00483146"/>
    <w:rsid w:val="0048349F"/>
    <w:rsid w:val="00483697"/>
    <w:rsid w:val="00483974"/>
    <w:rsid w:val="00483D9E"/>
    <w:rsid w:val="00484B2F"/>
    <w:rsid w:val="00484EE6"/>
    <w:rsid w:val="00484F80"/>
    <w:rsid w:val="004850C2"/>
    <w:rsid w:val="00485722"/>
    <w:rsid w:val="00486A15"/>
    <w:rsid w:val="0048701C"/>
    <w:rsid w:val="004907E1"/>
    <w:rsid w:val="00490BE7"/>
    <w:rsid w:val="00490C98"/>
    <w:rsid w:val="0049419D"/>
    <w:rsid w:val="004949AA"/>
    <w:rsid w:val="00494BFF"/>
    <w:rsid w:val="00495029"/>
    <w:rsid w:val="00495396"/>
    <w:rsid w:val="00495CD7"/>
    <w:rsid w:val="004962B8"/>
    <w:rsid w:val="00496687"/>
    <w:rsid w:val="00496C69"/>
    <w:rsid w:val="00496DBC"/>
    <w:rsid w:val="0049749D"/>
    <w:rsid w:val="004977D3"/>
    <w:rsid w:val="00497D68"/>
    <w:rsid w:val="004A0977"/>
    <w:rsid w:val="004A1588"/>
    <w:rsid w:val="004A17A5"/>
    <w:rsid w:val="004A1B3A"/>
    <w:rsid w:val="004A1B66"/>
    <w:rsid w:val="004A1EEA"/>
    <w:rsid w:val="004A2B9D"/>
    <w:rsid w:val="004A37A5"/>
    <w:rsid w:val="004A3806"/>
    <w:rsid w:val="004A38DF"/>
    <w:rsid w:val="004A3DC4"/>
    <w:rsid w:val="004A423C"/>
    <w:rsid w:val="004A4400"/>
    <w:rsid w:val="004A47C3"/>
    <w:rsid w:val="004A4A3E"/>
    <w:rsid w:val="004A4DB0"/>
    <w:rsid w:val="004A514F"/>
    <w:rsid w:val="004A53E7"/>
    <w:rsid w:val="004A5A1D"/>
    <w:rsid w:val="004A6298"/>
    <w:rsid w:val="004B23FB"/>
    <w:rsid w:val="004B2762"/>
    <w:rsid w:val="004B2DE8"/>
    <w:rsid w:val="004B31F9"/>
    <w:rsid w:val="004B388C"/>
    <w:rsid w:val="004B40A9"/>
    <w:rsid w:val="004B45B7"/>
    <w:rsid w:val="004B4E6F"/>
    <w:rsid w:val="004B634D"/>
    <w:rsid w:val="004B7D4C"/>
    <w:rsid w:val="004B7EB6"/>
    <w:rsid w:val="004C02AD"/>
    <w:rsid w:val="004C0FE4"/>
    <w:rsid w:val="004C14B0"/>
    <w:rsid w:val="004C17B4"/>
    <w:rsid w:val="004C2235"/>
    <w:rsid w:val="004C427F"/>
    <w:rsid w:val="004C4B62"/>
    <w:rsid w:val="004C599D"/>
    <w:rsid w:val="004C5E0D"/>
    <w:rsid w:val="004C68B8"/>
    <w:rsid w:val="004C7257"/>
    <w:rsid w:val="004C758F"/>
    <w:rsid w:val="004C77DC"/>
    <w:rsid w:val="004C7EE2"/>
    <w:rsid w:val="004D0229"/>
    <w:rsid w:val="004D054E"/>
    <w:rsid w:val="004D15C2"/>
    <w:rsid w:val="004D37B1"/>
    <w:rsid w:val="004D46A5"/>
    <w:rsid w:val="004D4782"/>
    <w:rsid w:val="004D4A6A"/>
    <w:rsid w:val="004D4D1B"/>
    <w:rsid w:val="004D4E01"/>
    <w:rsid w:val="004D6025"/>
    <w:rsid w:val="004D61E8"/>
    <w:rsid w:val="004D655E"/>
    <w:rsid w:val="004D657F"/>
    <w:rsid w:val="004D6A97"/>
    <w:rsid w:val="004D72BC"/>
    <w:rsid w:val="004D78B4"/>
    <w:rsid w:val="004E13F5"/>
    <w:rsid w:val="004E1579"/>
    <w:rsid w:val="004E2452"/>
    <w:rsid w:val="004E2FE2"/>
    <w:rsid w:val="004E3A16"/>
    <w:rsid w:val="004E4761"/>
    <w:rsid w:val="004E4C6B"/>
    <w:rsid w:val="004E662D"/>
    <w:rsid w:val="004E6C9C"/>
    <w:rsid w:val="004F04A5"/>
    <w:rsid w:val="004F0842"/>
    <w:rsid w:val="004F15C4"/>
    <w:rsid w:val="004F16E8"/>
    <w:rsid w:val="004F173D"/>
    <w:rsid w:val="004F1DAD"/>
    <w:rsid w:val="004F2694"/>
    <w:rsid w:val="004F2FC4"/>
    <w:rsid w:val="004F37CA"/>
    <w:rsid w:val="004F3905"/>
    <w:rsid w:val="004F441A"/>
    <w:rsid w:val="004F4C1C"/>
    <w:rsid w:val="004F530D"/>
    <w:rsid w:val="004F5466"/>
    <w:rsid w:val="004F5EE6"/>
    <w:rsid w:val="004F6949"/>
    <w:rsid w:val="004F69EA"/>
    <w:rsid w:val="004F69ED"/>
    <w:rsid w:val="004F6D1E"/>
    <w:rsid w:val="004F7707"/>
    <w:rsid w:val="005008C7"/>
    <w:rsid w:val="00501399"/>
    <w:rsid w:val="00501D6B"/>
    <w:rsid w:val="00501DFB"/>
    <w:rsid w:val="00502E35"/>
    <w:rsid w:val="00503C4C"/>
    <w:rsid w:val="0050536C"/>
    <w:rsid w:val="00505B63"/>
    <w:rsid w:val="005066A4"/>
    <w:rsid w:val="005068B0"/>
    <w:rsid w:val="00507534"/>
    <w:rsid w:val="00507BC4"/>
    <w:rsid w:val="00510311"/>
    <w:rsid w:val="00510327"/>
    <w:rsid w:val="005128E4"/>
    <w:rsid w:val="00512A35"/>
    <w:rsid w:val="00513229"/>
    <w:rsid w:val="00513B84"/>
    <w:rsid w:val="005140FC"/>
    <w:rsid w:val="005142E0"/>
    <w:rsid w:val="005149A7"/>
    <w:rsid w:val="005152B7"/>
    <w:rsid w:val="00516035"/>
    <w:rsid w:val="00516BBE"/>
    <w:rsid w:val="00520369"/>
    <w:rsid w:val="00521653"/>
    <w:rsid w:val="00521895"/>
    <w:rsid w:val="00521909"/>
    <w:rsid w:val="005223AF"/>
    <w:rsid w:val="005234E7"/>
    <w:rsid w:val="00523977"/>
    <w:rsid w:val="00524268"/>
    <w:rsid w:val="00524748"/>
    <w:rsid w:val="00524A6F"/>
    <w:rsid w:val="00524EB4"/>
    <w:rsid w:val="00525278"/>
    <w:rsid w:val="00525560"/>
    <w:rsid w:val="00525787"/>
    <w:rsid w:val="00525C32"/>
    <w:rsid w:val="00525F05"/>
    <w:rsid w:val="00526204"/>
    <w:rsid w:val="005267AC"/>
    <w:rsid w:val="00526EF8"/>
    <w:rsid w:val="00527461"/>
    <w:rsid w:val="00527E0A"/>
    <w:rsid w:val="00530295"/>
    <w:rsid w:val="00530B2B"/>
    <w:rsid w:val="00531008"/>
    <w:rsid w:val="0053134C"/>
    <w:rsid w:val="00531517"/>
    <w:rsid w:val="0053187E"/>
    <w:rsid w:val="005325F6"/>
    <w:rsid w:val="005343C0"/>
    <w:rsid w:val="005346E1"/>
    <w:rsid w:val="00535135"/>
    <w:rsid w:val="0053562F"/>
    <w:rsid w:val="005357A6"/>
    <w:rsid w:val="0053592E"/>
    <w:rsid w:val="00535FF9"/>
    <w:rsid w:val="005366E5"/>
    <w:rsid w:val="005367D0"/>
    <w:rsid w:val="00536848"/>
    <w:rsid w:val="005369AE"/>
    <w:rsid w:val="00536B9E"/>
    <w:rsid w:val="005401F2"/>
    <w:rsid w:val="00540AEC"/>
    <w:rsid w:val="00541B01"/>
    <w:rsid w:val="005422EF"/>
    <w:rsid w:val="00542375"/>
    <w:rsid w:val="005430A6"/>
    <w:rsid w:val="00543705"/>
    <w:rsid w:val="005439C3"/>
    <w:rsid w:val="00544C49"/>
    <w:rsid w:val="0054561F"/>
    <w:rsid w:val="005456B2"/>
    <w:rsid w:val="005458F3"/>
    <w:rsid w:val="0054591A"/>
    <w:rsid w:val="00547EB7"/>
    <w:rsid w:val="00550141"/>
    <w:rsid w:val="00550FAA"/>
    <w:rsid w:val="005515DF"/>
    <w:rsid w:val="0055160C"/>
    <w:rsid w:val="005531BB"/>
    <w:rsid w:val="00553EC6"/>
    <w:rsid w:val="00554BAB"/>
    <w:rsid w:val="00555492"/>
    <w:rsid w:val="005557F2"/>
    <w:rsid w:val="00555A6E"/>
    <w:rsid w:val="00555C6B"/>
    <w:rsid w:val="00557C07"/>
    <w:rsid w:val="00560563"/>
    <w:rsid w:val="005627FD"/>
    <w:rsid w:val="00562E4A"/>
    <w:rsid w:val="00563167"/>
    <w:rsid w:val="00563314"/>
    <w:rsid w:val="005633E7"/>
    <w:rsid w:val="00563CDB"/>
    <w:rsid w:val="00563F04"/>
    <w:rsid w:val="0056432A"/>
    <w:rsid w:val="00565B4B"/>
    <w:rsid w:val="00566AEA"/>
    <w:rsid w:val="00570699"/>
    <w:rsid w:val="005706EF"/>
    <w:rsid w:val="00570AF2"/>
    <w:rsid w:val="00571247"/>
    <w:rsid w:val="005713C7"/>
    <w:rsid w:val="00572495"/>
    <w:rsid w:val="0057276F"/>
    <w:rsid w:val="0057402A"/>
    <w:rsid w:val="00574148"/>
    <w:rsid w:val="005744A4"/>
    <w:rsid w:val="00574D8E"/>
    <w:rsid w:val="0057516B"/>
    <w:rsid w:val="005755D5"/>
    <w:rsid w:val="005761DA"/>
    <w:rsid w:val="005764DD"/>
    <w:rsid w:val="00576832"/>
    <w:rsid w:val="005771D0"/>
    <w:rsid w:val="00577B42"/>
    <w:rsid w:val="0058022B"/>
    <w:rsid w:val="00581BED"/>
    <w:rsid w:val="005826EA"/>
    <w:rsid w:val="00582750"/>
    <w:rsid w:val="00582D0D"/>
    <w:rsid w:val="0058343A"/>
    <w:rsid w:val="00584C28"/>
    <w:rsid w:val="00584F43"/>
    <w:rsid w:val="00585DED"/>
    <w:rsid w:val="00587964"/>
    <w:rsid w:val="005902A3"/>
    <w:rsid w:val="0059066D"/>
    <w:rsid w:val="00590A3C"/>
    <w:rsid w:val="00590A78"/>
    <w:rsid w:val="00590BF3"/>
    <w:rsid w:val="00590C43"/>
    <w:rsid w:val="00590C5B"/>
    <w:rsid w:val="00590E8E"/>
    <w:rsid w:val="005910C0"/>
    <w:rsid w:val="005916E2"/>
    <w:rsid w:val="0059191A"/>
    <w:rsid w:val="00591B96"/>
    <w:rsid w:val="00591F60"/>
    <w:rsid w:val="005921FF"/>
    <w:rsid w:val="00592299"/>
    <w:rsid w:val="0059318E"/>
    <w:rsid w:val="005937E2"/>
    <w:rsid w:val="005946FF"/>
    <w:rsid w:val="00594CE1"/>
    <w:rsid w:val="00595766"/>
    <w:rsid w:val="00596514"/>
    <w:rsid w:val="0059670F"/>
    <w:rsid w:val="00596ABE"/>
    <w:rsid w:val="00596AD3"/>
    <w:rsid w:val="00596B97"/>
    <w:rsid w:val="00596F42"/>
    <w:rsid w:val="00597162"/>
    <w:rsid w:val="0059770B"/>
    <w:rsid w:val="00597C8A"/>
    <w:rsid w:val="005A0410"/>
    <w:rsid w:val="005A10C2"/>
    <w:rsid w:val="005A2E9B"/>
    <w:rsid w:val="005A37BB"/>
    <w:rsid w:val="005A482E"/>
    <w:rsid w:val="005A4B8E"/>
    <w:rsid w:val="005A6205"/>
    <w:rsid w:val="005A6A13"/>
    <w:rsid w:val="005A6D0E"/>
    <w:rsid w:val="005A6E50"/>
    <w:rsid w:val="005A6E68"/>
    <w:rsid w:val="005A734E"/>
    <w:rsid w:val="005B0001"/>
    <w:rsid w:val="005B0676"/>
    <w:rsid w:val="005B0C41"/>
    <w:rsid w:val="005B12C2"/>
    <w:rsid w:val="005B1DBA"/>
    <w:rsid w:val="005B222D"/>
    <w:rsid w:val="005B245E"/>
    <w:rsid w:val="005B28A7"/>
    <w:rsid w:val="005B3469"/>
    <w:rsid w:val="005B3609"/>
    <w:rsid w:val="005B3795"/>
    <w:rsid w:val="005B3A12"/>
    <w:rsid w:val="005B3DEC"/>
    <w:rsid w:val="005B3EF2"/>
    <w:rsid w:val="005B4302"/>
    <w:rsid w:val="005B52B0"/>
    <w:rsid w:val="005B65AF"/>
    <w:rsid w:val="005B67DE"/>
    <w:rsid w:val="005B6806"/>
    <w:rsid w:val="005B711D"/>
    <w:rsid w:val="005B7EDC"/>
    <w:rsid w:val="005C00F9"/>
    <w:rsid w:val="005C05FA"/>
    <w:rsid w:val="005C164F"/>
    <w:rsid w:val="005C1853"/>
    <w:rsid w:val="005C1A8D"/>
    <w:rsid w:val="005C1D8E"/>
    <w:rsid w:val="005C207A"/>
    <w:rsid w:val="005C23BD"/>
    <w:rsid w:val="005C2B10"/>
    <w:rsid w:val="005C2BA2"/>
    <w:rsid w:val="005C2C6B"/>
    <w:rsid w:val="005C2E02"/>
    <w:rsid w:val="005C3149"/>
    <w:rsid w:val="005C34BB"/>
    <w:rsid w:val="005C3944"/>
    <w:rsid w:val="005C3E22"/>
    <w:rsid w:val="005C4011"/>
    <w:rsid w:val="005C4225"/>
    <w:rsid w:val="005C456D"/>
    <w:rsid w:val="005C4AF4"/>
    <w:rsid w:val="005C5F93"/>
    <w:rsid w:val="005D0AC5"/>
    <w:rsid w:val="005D0FBF"/>
    <w:rsid w:val="005D1076"/>
    <w:rsid w:val="005D1128"/>
    <w:rsid w:val="005D12A9"/>
    <w:rsid w:val="005D1D34"/>
    <w:rsid w:val="005D2E13"/>
    <w:rsid w:val="005D489C"/>
    <w:rsid w:val="005D50AD"/>
    <w:rsid w:val="005D50ED"/>
    <w:rsid w:val="005D55A5"/>
    <w:rsid w:val="005D5A45"/>
    <w:rsid w:val="005D5C54"/>
    <w:rsid w:val="005D5DED"/>
    <w:rsid w:val="005D6891"/>
    <w:rsid w:val="005D6A03"/>
    <w:rsid w:val="005D6AC4"/>
    <w:rsid w:val="005D6B2C"/>
    <w:rsid w:val="005D7191"/>
    <w:rsid w:val="005D7280"/>
    <w:rsid w:val="005E04BC"/>
    <w:rsid w:val="005E04E1"/>
    <w:rsid w:val="005E09BC"/>
    <w:rsid w:val="005E1D4B"/>
    <w:rsid w:val="005E2BDE"/>
    <w:rsid w:val="005E38FE"/>
    <w:rsid w:val="005E4A95"/>
    <w:rsid w:val="005E4CF1"/>
    <w:rsid w:val="005E5196"/>
    <w:rsid w:val="005E5258"/>
    <w:rsid w:val="005E5419"/>
    <w:rsid w:val="005E6C0C"/>
    <w:rsid w:val="005E6EE3"/>
    <w:rsid w:val="005E74C5"/>
    <w:rsid w:val="005E7642"/>
    <w:rsid w:val="005F0F33"/>
    <w:rsid w:val="005F1C54"/>
    <w:rsid w:val="005F1F31"/>
    <w:rsid w:val="005F288A"/>
    <w:rsid w:val="005F2A0D"/>
    <w:rsid w:val="005F32A0"/>
    <w:rsid w:val="005F3F11"/>
    <w:rsid w:val="005F5456"/>
    <w:rsid w:val="005F55DC"/>
    <w:rsid w:val="005F57C1"/>
    <w:rsid w:val="005F7C35"/>
    <w:rsid w:val="0060040E"/>
    <w:rsid w:val="006005C1"/>
    <w:rsid w:val="00600A96"/>
    <w:rsid w:val="00600DEB"/>
    <w:rsid w:val="00600EE3"/>
    <w:rsid w:val="00602146"/>
    <w:rsid w:val="006021D4"/>
    <w:rsid w:val="0060270A"/>
    <w:rsid w:val="00602B9B"/>
    <w:rsid w:val="00603D6F"/>
    <w:rsid w:val="00604B83"/>
    <w:rsid w:val="006059FA"/>
    <w:rsid w:val="00606CB6"/>
    <w:rsid w:val="00607325"/>
    <w:rsid w:val="00607F83"/>
    <w:rsid w:val="006104FA"/>
    <w:rsid w:val="006112EF"/>
    <w:rsid w:val="00612B39"/>
    <w:rsid w:val="00613027"/>
    <w:rsid w:val="00613120"/>
    <w:rsid w:val="00613A08"/>
    <w:rsid w:val="0061412F"/>
    <w:rsid w:val="00614153"/>
    <w:rsid w:val="006146AC"/>
    <w:rsid w:val="00614AE8"/>
    <w:rsid w:val="00615073"/>
    <w:rsid w:val="0061546B"/>
    <w:rsid w:val="00615B67"/>
    <w:rsid w:val="00615F46"/>
    <w:rsid w:val="00616320"/>
    <w:rsid w:val="00616819"/>
    <w:rsid w:val="00617156"/>
    <w:rsid w:val="006176BF"/>
    <w:rsid w:val="00617842"/>
    <w:rsid w:val="006206FF"/>
    <w:rsid w:val="00620A30"/>
    <w:rsid w:val="00620A65"/>
    <w:rsid w:val="00620B75"/>
    <w:rsid w:val="0062217E"/>
    <w:rsid w:val="006225B7"/>
    <w:rsid w:val="00623324"/>
    <w:rsid w:val="006238CB"/>
    <w:rsid w:val="00623E59"/>
    <w:rsid w:val="00624716"/>
    <w:rsid w:val="006247DB"/>
    <w:rsid w:val="00624E66"/>
    <w:rsid w:val="006250EE"/>
    <w:rsid w:val="00625577"/>
    <w:rsid w:val="00625585"/>
    <w:rsid w:val="006260B6"/>
    <w:rsid w:val="00626360"/>
    <w:rsid w:val="006263C9"/>
    <w:rsid w:val="006263CE"/>
    <w:rsid w:val="00626A1D"/>
    <w:rsid w:val="00626FB3"/>
    <w:rsid w:val="006272AD"/>
    <w:rsid w:val="00627A51"/>
    <w:rsid w:val="00627C9F"/>
    <w:rsid w:val="006306B0"/>
    <w:rsid w:val="006307DF"/>
    <w:rsid w:val="00630A0E"/>
    <w:rsid w:val="00630B42"/>
    <w:rsid w:val="00630C75"/>
    <w:rsid w:val="00630F01"/>
    <w:rsid w:val="00630F7D"/>
    <w:rsid w:val="006311DA"/>
    <w:rsid w:val="006311E9"/>
    <w:rsid w:val="00631FE8"/>
    <w:rsid w:val="006322B9"/>
    <w:rsid w:val="00632354"/>
    <w:rsid w:val="00632429"/>
    <w:rsid w:val="0063262B"/>
    <w:rsid w:val="00632BF2"/>
    <w:rsid w:val="00633261"/>
    <w:rsid w:val="0063463A"/>
    <w:rsid w:val="006354CD"/>
    <w:rsid w:val="00636406"/>
    <w:rsid w:val="00636E0C"/>
    <w:rsid w:val="00636F4A"/>
    <w:rsid w:val="00637539"/>
    <w:rsid w:val="00637B7B"/>
    <w:rsid w:val="00637E84"/>
    <w:rsid w:val="00640173"/>
    <w:rsid w:val="00640F51"/>
    <w:rsid w:val="0064172A"/>
    <w:rsid w:val="006418C1"/>
    <w:rsid w:val="006420B7"/>
    <w:rsid w:val="00642810"/>
    <w:rsid w:val="00643F66"/>
    <w:rsid w:val="006458AD"/>
    <w:rsid w:val="00647033"/>
    <w:rsid w:val="0064712F"/>
    <w:rsid w:val="0064793C"/>
    <w:rsid w:val="006504D5"/>
    <w:rsid w:val="00650FA3"/>
    <w:rsid w:val="006516A4"/>
    <w:rsid w:val="006516FE"/>
    <w:rsid w:val="00651D1D"/>
    <w:rsid w:val="00652333"/>
    <w:rsid w:val="00653FB1"/>
    <w:rsid w:val="006549A4"/>
    <w:rsid w:val="00656085"/>
    <w:rsid w:val="00656FE7"/>
    <w:rsid w:val="0065765B"/>
    <w:rsid w:val="006605AC"/>
    <w:rsid w:val="006606D9"/>
    <w:rsid w:val="006609DD"/>
    <w:rsid w:val="00662F5D"/>
    <w:rsid w:val="006634C1"/>
    <w:rsid w:val="006635A6"/>
    <w:rsid w:val="00663FCB"/>
    <w:rsid w:val="00664C08"/>
    <w:rsid w:val="00664DDE"/>
    <w:rsid w:val="00666382"/>
    <w:rsid w:val="006663C5"/>
    <w:rsid w:val="00666536"/>
    <w:rsid w:val="0066666B"/>
    <w:rsid w:val="00666AEF"/>
    <w:rsid w:val="006702B2"/>
    <w:rsid w:val="006705A7"/>
    <w:rsid w:val="00670B3D"/>
    <w:rsid w:val="006716B8"/>
    <w:rsid w:val="0067329C"/>
    <w:rsid w:val="00674465"/>
    <w:rsid w:val="0067472A"/>
    <w:rsid w:val="00674C6A"/>
    <w:rsid w:val="00676ED0"/>
    <w:rsid w:val="00677938"/>
    <w:rsid w:val="00677DA7"/>
    <w:rsid w:val="0068009E"/>
    <w:rsid w:val="00680A71"/>
    <w:rsid w:val="00680AC6"/>
    <w:rsid w:val="00681ED3"/>
    <w:rsid w:val="00682CC9"/>
    <w:rsid w:val="00682D35"/>
    <w:rsid w:val="006831D4"/>
    <w:rsid w:val="00683305"/>
    <w:rsid w:val="00684434"/>
    <w:rsid w:val="006847BC"/>
    <w:rsid w:val="006849BF"/>
    <w:rsid w:val="00684EFB"/>
    <w:rsid w:val="00685184"/>
    <w:rsid w:val="0068579A"/>
    <w:rsid w:val="006865D7"/>
    <w:rsid w:val="00686D22"/>
    <w:rsid w:val="00687432"/>
    <w:rsid w:val="006874B7"/>
    <w:rsid w:val="00687725"/>
    <w:rsid w:val="006901ED"/>
    <w:rsid w:val="00691DE4"/>
    <w:rsid w:val="0069244C"/>
    <w:rsid w:val="00692652"/>
    <w:rsid w:val="00692996"/>
    <w:rsid w:val="00692A55"/>
    <w:rsid w:val="00694B37"/>
    <w:rsid w:val="006951BB"/>
    <w:rsid w:val="0069578C"/>
    <w:rsid w:val="00695EAA"/>
    <w:rsid w:val="006967C4"/>
    <w:rsid w:val="00696944"/>
    <w:rsid w:val="006972FB"/>
    <w:rsid w:val="00697429"/>
    <w:rsid w:val="00697B2C"/>
    <w:rsid w:val="006A0548"/>
    <w:rsid w:val="006A0F00"/>
    <w:rsid w:val="006A0F77"/>
    <w:rsid w:val="006A11FD"/>
    <w:rsid w:val="006A17D2"/>
    <w:rsid w:val="006A2490"/>
    <w:rsid w:val="006A3B33"/>
    <w:rsid w:val="006A3EE1"/>
    <w:rsid w:val="006A4B8C"/>
    <w:rsid w:val="006A508B"/>
    <w:rsid w:val="006A538E"/>
    <w:rsid w:val="006A58D1"/>
    <w:rsid w:val="006A6E1A"/>
    <w:rsid w:val="006A70B4"/>
    <w:rsid w:val="006A73E6"/>
    <w:rsid w:val="006A7408"/>
    <w:rsid w:val="006A7764"/>
    <w:rsid w:val="006B00DA"/>
    <w:rsid w:val="006B0169"/>
    <w:rsid w:val="006B05D1"/>
    <w:rsid w:val="006B130C"/>
    <w:rsid w:val="006B17B3"/>
    <w:rsid w:val="006B22C0"/>
    <w:rsid w:val="006B231D"/>
    <w:rsid w:val="006B248C"/>
    <w:rsid w:val="006B2623"/>
    <w:rsid w:val="006B265D"/>
    <w:rsid w:val="006B295E"/>
    <w:rsid w:val="006B2D5C"/>
    <w:rsid w:val="006B37DA"/>
    <w:rsid w:val="006B4324"/>
    <w:rsid w:val="006B4731"/>
    <w:rsid w:val="006B544B"/>
    <w:rsid w:val="006B5C2E"/>
    <w:rsid w:val="006B5FBA"/>
    <w:rsid w:val="006B6D64"/>
    <w:rsid w:val="006B6FFA"/>
    <w:rsid w:val="006C030E"/>
    <w:rsid w:val="006C0F5D"/>
    <w:rsid w:val="006C116A"/>
    <w:rsid w:val="006C11E8"/>
    <w:rsid w:val="006C1815"/>
    <w:rsid w:val="006C1C88"/>
    <w:rsid w:val="006C21CB"/>
    <w:rsid w:val="006C2346"/>
    <w:rsid w:val="006C2B38"/>
    <w:rsid w:val="006C3179"/>
    <w:rsid w:val="006C4233"/>
    <w:rsid w:val="006C448A"/>
    <w:rsid w:val="006C4596"/>
    <w:rsid w:val="006C4D48"/>
    <w:rsid w:val="006C4EB1"/>
    <w:rsid w:val="006C634D"/>
    <w:rsid w:val="006C6E31"/>
    <w:rsid w:val="006C73ED"/>
    <w:rsid w:val="006C7E62"/>
    <w:rsid w:val="006D0195"/>
    <w:rsid w:val="006D01E3"/>
    <w:rsid w:val="006D0424"/>
    <w:rsid w:val="006D1A3C"/>
    <w:rsid w:val="006D2C28"/>
    <w:rsid w:val="006D2CC2"/>
    <w:rsid w:val="006D2D13"/>
    <w:rsid w:val="006D48BB"/>
    <w:rsid w:val="006D52FC"/>
    <w:rsid w:val="006D564A"/>
    <w:rsid w:val="006D5D5D"/>
    <w:rsid w:val="006D6E36"/>
    <w:rsid w:val="006D7976"/>
    <w:rsid w:val="006E00AB"/>
    <w:rsid w:val="006E0166"/>
    <w:rsid w:val="006E0DF6"/>
    <w:rsid w:val="006E0F9B"/>
    <w:rsid w:val="006E0FB2"/>
    <w:rsid w:val="006E1163"/>
    <w:rsid w:val="006E1407"/>
    <w:rsid w:val="006E18B8"/>
    <w:rsid w:val="006E2E6B"/>
    <w:rsid w:val="006E30DB"/>
    <w:rsid w:val="006E35A0"/>
    <w:rsid w:val="006E37D3"/>
    <w:rsid w:val="006E4B61"/>
    <w:rsid w:val="006E4CCE"/>
    <w:rsid w:val="006E5C58"/>
    <w:rsid w:val="006E6048"/>
    <w:rsid w:val="006E67F6"/>
    <w:rsid w:val="006E6C78"/>
    <w:rsid w:val="006E6F1E"/>
    <w:rsid w:val="006E7B34"/>
    <w:rsid w:val="006E7EA4"/>
    <w:rsid w:val="006F157C"/>
    <w:rsid w:val="006F1601"/>
    <w:rsid w:val="006F1716"/>
    <w:rsid w:val="006F3476"/>
    <w:rsid w:val="006F3590"/>
    <w:rsid w:val="006F3597"/>
    <w:rsid w:val="006F374D"/>
    <w:rsid w:val="006F41F1"/>
    <w:rsid w:val="006F5723"/>
    <w:rsid w:val="006F672E"/>
    <w:rsid w:val="006F6DFD"/>
    <w:rsid w:val="006F6EE6"/>
    <w:rsid w:val="006F7488"/>
    <w:rsid w:val="0070045F"/>
    <w:rsid w:val="00700471"/>
    <w:rsid w:val="00700C65"/>
    <w:rsid w:val="00700E42"/>
    <w:rsid w:val="00701610"/>
    <w:rsid w:val="007016FE"/>
    <w:rsid w:val="00701B24"/>
    <w:rsid w:val="00702565"/>
    <w:rsid w:val="007025EB"/>
    <w:rsid w:val="0070267B"/>
    <w:rsid w:val="00702A7C"/>
    <w:rsid w:val="00702CC5"/>
    <w:rsid w:val="00702CD7"/>
    <w:rsid w:val="00702DE6"/>
    <w:rsid w:val="00702EA5"/>
    <w:rsid w:val="00703F16"/>
    <w:rsid w:val="00703F90"/>
    <w:rsid w:val="0070404E"/>
    <w:rsid w:val="00704098"/>
    <w:rsid w:val="0070456C"/>
    <w:rsid w:val="007047E2"/>
    <w:rsid w:val="00704B18"/>
    <w:rsid w:val="00705FAC"/>
    <w:rsid w:val="0070603C"/>
    <w:rsid w:val="00706591"/>
    <w:rsid w:val="00706698"/>
    <w:rsid w:val="00706D7E"/>
    <w:rsid w:val="00707486"/>
    <w:rsid w:val="00707A5C"/>
    <w:rsid w:val="00707BAF"/>
    <w:rsid w:val="00707E8E"/>
    <w:rsid w:val="00710376"/>
    <w:rsid w:val="00710ED5"/>
    <w:rsid w:val="00711137"/>
    <w:rsid w:val="007140C0"/>
    <w:rsid w:val="00715928"/>
    <w:rsid w:val="00716BEC"/>
    <w:rsid w:val="00716D62"/>
    <w:rsid w:val="0071792E"/>
    <w:rsid w:val="00717B70"/>
    <w:rsid w:val="0072003B"/>
    <w:rsid w:val="0072130B"/>
    <w:rsid w:val="00721597"/>
    <w:rsid w:val="00722293"/>
    <w:rsid w:val="0072335A"/>
    <w:rsid w:val="007237C3"/>
    <w:rsid w:val="0072472F"/>
    <w:rsid w:val="007247E2"/>
    <w:rsid w:val="007258C2"/>
    <w:rsid w:val="00727D80"/>
    <w:rsid w:val="00730731"/>
    <w:rsid w:val="00731457"/>
    <w:rsid w:val="00731DA0"/>
    <w:rsid w:val="00733573"/>
    <w:rsid w:val="00734D80"/>
    <w:rsid w:val="007359CB"/>
    <w:rsid w:val="00735B23"/>
    <w:rsid w:val="00737A15"/>
    <w:rsid w:val="007400D8"/>
    <w:rsid w:val="00741346"/>
    <w:rsid w:val="0074145C"/>
    <w:rsid w:val="00741D4C"/>
    <w:rsid w:val="0074296A"/>
    <w:rsid w:val="007433B0"/>
    <w:rsid w:val="007451C8"/>
    <w:rsid w:val="0074535C"/>
    <w:rsid w:val="0074572F"/>
    <w:rsid w:val="0074581C"/>
    <w:rsid w:val="00745899"/>
    <w:rsid w:val="00750078"/>
    <w:rsid w:val="00750568"/>
    <w:rsid w:val="00750BB6"/>
    <w:rsid w:val="00750E1A"/>
    <w:rsid w:val="00751379"/>
    <w:rsid w:val="0075164B"/>
    <w:rsid w:val="007538FC"/>
    <w:rsid w:val="00754A2A"/>
    <w:rsid w:val="00754E95"/>
    <w:rsid w:val="00755F05"/>
    <w:rsid w:val="007561AD"/>
    <w:rsid w:val="007570FA"/>
    <w:rsid w:val="00757F66"/>
    <w:rsid w:val="007607C4"/>
    <w:rsid w:val="007607EC"/>
    <w:rsid w:val="00761A58"/>
    <w:rsid w:val="00761BCF"/>
    <w:rsid w:val="00761BFA"/>
    <w:rsid w:val="00761FA1"/>
    <w:rsid w:val="00762A2F"/>
    <w:rsid w:val="00764470"/>
    <w:rsid w:val="0076495F"/>
    <w:rsid w:val="007649AF"/>
    <w:rsid w:val="00765584"/>
    <w:rsid w:val="00765CB7"/>
    <w:rsid w:val="0076643F"/>
    <w:rsid w:val="007676F5"/>
    <w:rsid w:val="00771045"/>
    <w:rsid w:val="0077118F"/>
    <w:rsid w:val="00771205"/>
    <w:rsid w:val="00773C5A"/>
    <w:rsid w:val="00774375"/>
    <w:rsid w:val="007744CC"/>
    <w:rsid w:val="00774C36"/>
    <w:rsid w:val="007769BE"/>
    <w:rsid w:val="007771C5"/>
    <w:rsid w:val="007776FF"/>
    <w:rsid w:val="0078069F"/>
    <w:rsid w:val="007809DA"/>
    <w:rsid w:val="00780BCB"/>
    <w:rsid w:val="00780ED7"/>
    <w:rsid w:val="00781C89"/>
    <w:rsid w:val="007820BB"/>
    <w:rsid w:val="00782E68"/>
    <w:rsid w:val="0078426B"/>
    <w:rsid w:val="00784600"/>
    <w:rsid w:val="00784DE5"/>
    <w:rsid w:val="00784FEC"/>
    <w:rsid w:val="00785522"/>
    <w:rsid w:val="007855C3"/>
    <w:rsid w:val="0078587E"/>
    <w:rsid w:val="0078595F"/>
    <w:rsid w:val="00785F8D"/>
    <w:rsid w:val="00786501"/>
    <w:rsid w:val="0078761D"/>
    <w:rsid w:val="00790499"/>
    <w:rsid w:val="00791124"/>
    <w:rsid w:val="007928DA"/>
    <w:rsid w:val="00792EA6"/>
    <w:rsid w:val="00793A12"/>
    <w:rsid w:val="0079400D"/>
    <w:rsid w:val="00794E14"/>
    <w:rsid w:val="00795940"/>
    <w:rsid w:val="00795B5E"/>
    <w:rsid w:val="00795E01"/>
    <w:rsid w:val="00796E7A"/>
    <w:rsid w:val="007977A5"/>
    <w:rsid w:val="007978FF"/>
    <w:rsid w:val="00797AE7"/>
    <w:rsid w:val="007A13D7"/>
    <w:rsid w:val="007A17C8"/>
    <w:rsid w:val="007A18EB"/>
    <w:rsid w:val="007A2423"/>
    <w:rsid w:val="007A281C"/>
    <w:rsid w:val="007A2BD9"/>
    <w:rsid w:val="007A2EC7"/>
    <w:rsid w:val="007A2F70"/>
    <w:rsid w:val="007A3293"/>
    <w:rsid w:val="007A3478"/>
    <w:rsid w:val="007A4240"/>
    <w:rsid w:val="007A4980"/>
    <w:rsid w:val="007A57A6"/>
    <w:rsid w:val="007A5893"/>
    <w:rsid w:val="007A609B"/>
    <w:rsid w:val="007A636F"/>
    <w:rsid w:val="007A6474"/>
    <w:rsid w:val="007A7F31"/>
    <w:rsid w:val="007B04BF"/>
    <w:rsid w:val="007B0DBB"/>
    <w:rsid w:val="007B186C"/>
    <w:rsid w:val="007B19A1"/>
    <w:rsid w:val="007B19FE"/>
    <w:rsid w:val="007B1B6A"/>
    <w:rsid w:val="007B2769"/>
    <w:rsid w:val="007B3C72"/>
    <w:rsid w:val="007B4102"/>
    <w:rsid w:val="007B430B"/>
    <w:rsid w:val="007B4826"/>
    <w:rsid w:val="007B4C00"/>
    <w:rsid w:val="007B5867"/>
    <w:rsid w:val="007B6279"/>
    <w:rsid w:val="007B6C22"/>
    <w:rsid w:val="007B6EC4"/>
    <w:rsid w:val="007B75D6"/>
    <w:rsid w:val="007B762A"/>
    <w:rsid w:val="007B7F93"/>
    <w:rsid w:val="007C10AC"/>
    <w:rsid w:val="007C16AB"/>
    <w:rsid w:val="007C1BDE"/>
    <w:rsid w:val="007C22DF"/>
    <w:rsid w:val="007C2B7D"/>
    <w:rsid w:val="007C3334"/>
    <w:rsid w:val="007C3481"/>
    <w:rsid w:val="007C3734"/>
    <w:rsid w:val="007C4F1C"/>
    <w:rsid w:val="007C50F6"/>
    <w:rsid w:val="007C52BB"/>
    <w:rsid w:val="007C5476"/>
    <w:rsid w:val="007C58E8"/>
    <w:rsid w:val="007C6630"/>
    <w:rsid w:val="007C7402"/>
    <w:rsid w:val="007C757E"/>
    <w:rsid w:val="007C769E"/>
    <w:rsid w:val="007C798F"/>
    <w:rsid w:val="007C79DA"/>
    <w:rsid w:val="007C7B95"/>
    <w:rsid w:val="007D0207"/>
    <w:rsid w:val="007D0309"/>
    <w:rsid w:val="007D06CB"/>
    <w:rsid w:val="007D278F"/>
    <w:rsid w:val="007D2B98"/>
    <w:rsid w:val="007D2EDF"/>
    <w:rsid w:val="007D2FEE"/>
    <w:rsid w:val="007D362A"/>
    <w:rsid w:val="007D3E9B"/>
    <w:rsid w:val="007D4C93"/>
    <w:rsid w:val="007D4FA5"/>
    <w:rsid w:val="007D69AC"/>
    <w:rsid w:val="007E08B0"/>
    <w:rsid w:val="007E13CE"/>
    <w:rsid w:val="007E1856"/>
    <w:rsid w:val="007E2C05"/>
    <w:rsid w:val="007E33C3"/>
    <w:rsid w:val="007E4199"/>
    <w:rsid w:val="007E42C4"/>
    <w:rsid w:val="007E5338"/>
    <w:rsid w:val="007E5CC7"/>
    <w:rsid w:val="007E5DF1"/>
    <w:rsid w:val="007E6DAC"/>
    <w:rsid w:val="007E715E"/>
    <w:rsid w:val="007E783F"/>
    <w:rsid w:val="007F05E6"/>
    <w:rsid w:val="007F074A"/>
    <w:rsid w:val="007F1641"/>
    <w:rsid w:val="007F210C"/>
    <w:rsid w:val="007F39A0"/>
    <w:rsid w:val="007F410D"/>
    <w:rsid w:val="007F42BF"/>
    <w:rsid w:val="007F4652"/>
    <w:rsid w:val="007F4A54"/>
    <w:rsid w:val="007F4B82"/>
    <w:rsid w:val="007F4F2C"/>
    <w:rsid w:val="007F4FE2"/>
    <w:rsid w:val="007F6BB0"/>
    <w:rsid w:val="00800983"/>
    <w:rsid w:val="008009AB"/>
    <w:rsid w:val="00800E57"/>
    <w:rsid w:val="008019D5"/>
    <w:rsid w:val="00801B96"/>
    <w:rsid w:val="00801C7F"/>
    <w:rsid w:val="00802A23"/>
    <w:rsid w:val="0080393B"/>
    <w:rsid w:val="00803F1C"/>
    <w:rsid w:val="00804ACB"/>
    <w:rsid w:val="0080600E"/>
    <w:rsid w:val="0080677A"/>
    <w:rsid w:val="008073A6"/>
    <w:rsid w:val="0081181A"/>
    <w:rsid w:val="00812C8D"/>
    <w:rsid w:val="00812EAF"/>
    <w:rsid w:val="0081365E"/>
    <w:rsid w:val="008150B2"/>
    <w:rsid w:val="00815937"/>
    <w:rsid w:val="00817612"/>
    <w:rsid w:val="00817884"/>
    <w:rsid w:val="00817967"/>
    <w:rsid w:val="00817D2F"/>
    <w:rsid w:val="00817DDF"/>
    <w:rsid w:val="00820145"/>
    <w:rsid w:val="008204AE"/>
    <w:rsid w:val="00820D73"/>
    <w:rsid w:val="008215C0"/>
    <w:rsid w:val="008218A2"/>
    <w:rsid w:val="00822EA8"/>
    <w:rsid w:val="00823A91"/>
    <w:rsid w:val="008242FD"/>
    <w:rsid w:val="008245AD"/>
    <w:rsid w:val="00825087"/>
    <w:rsid w:val="00825952"/>
    <w:rsid w:val="00825B7F"/>
    <w:rsid w:val="00827DB7"/>
    <w:rsid w:val="008304C3"/>
    <w:rsid w:val="00830E88"/>
    <w:rsid w:val="008315C5"/>
    <w:rsid w:val="008316A7"/>
    <w:rsid w:val="00835F5A"/>
    <w:rsid w:val="0083716D"/>
    <w:rsid w:val="008373B6"/>
    <w:rsid w:val="00837C45"/>
    <w:rsid w:val="00837EDD"/>
    <w:rsid w:val="0084043E"/>
    <w:rsid w:val="00840923"/>
    <w:rsid w:val="008414A3"/>
    <w:rsid w:val="008422DA"/>
    <w:rsid w:val="008426FE"/>
    <w:rsid w:val="0084302E"/>
    <w:rsid w:val="00843C1B"/>
    <w:rsid w:val="008456F3"/>
    <w:rsid w:val="00845C1A"/>
    <w:rsid w:val="00846865"/>
    <w:rsid w:val="00846B2C"/>
    <w:rsid w:val="00846D39"/>
    <w:rsid w:val="008472FB"/>
    <w:rsid w:val="008473B2"/>
    <w:rsid w:val="00847A8B"/>
    <w:rsid w:val="00847B26"/>
    <w:rsid w:val="008509CC"/>
    <w:rsid w:val="0085268D"/>
    <w:rsid w:val="0085323F"/>
    <w:rsid w:val="00853419"/>
    <w:rsid w:val="00853A23"/>
    <w:rsid w:val="00854FE3"/>
    <w:rsid w:val="00855876"/>
    <w:rsid w:val="008560E1"/>
    <w:rsid w:val="008573A3"/>
    <w:rsid w:val="00860233"/>
    <w:rsid w:val="00860A02"/>
    <w:rsid w:val="00860C50"/>
    <w:rsid w:val="00861437"/>
    <w:rsid w:val="0086147D"/>
    <w:rsid w:val="00861972"/>
    <w:rsid w:val="00861EC2"/>
    <w:rsid w:val="00861F6D"/>
    <w:rsid w:val="008628FD"/>
    <w:rsid w:val="00863E9F"/>
    <w:rsid w:val="00864785"/>
    <w:rsid w:val="00865279"/>
    <w:rsid w:val="00865368"/>
    <w:rsid w:val="00865C9B"/>
    <w:rsid w:val="0086628D"/>
    <w:rsid w:val="008665EC"/>
    <w:rsid w:val="00866D7E"/>
    <w:rsid w:val="008676D3"/>
    <w:rsid w:val="008678EF"/>
    <w:rsid w:val="00867DA3"/>
    <w:rsid w:val="0087014C"/>
    <w:rsid w:val="00871372"/>
    <w:rsid w:val="00871EBE"/>
    <w:rsid w:val="008741A2"/>
    <w:rsid w:val="00874BEE"/>
    <w:rsid w:val="00875ABB"/>
    <w:rsid w:val="00875EC6"/>
    <w:rsid w:val="00876085"/>
    <w:rsid w:val="00877E1B"/>
    <w:rsid w:val="008800AB"/>
    <w:rsid w:val="00880B21"/>
    <w:rsid w:val="00880F95"/>
    <w:rsid w:val="0088253F"/>
    <w:rsid w:val="00882952"/>
    <w:rsid w:val="00882C32"/>
    <w:rsid w:val="0088373B"/>
    <w:rsid w:val="00883E89"/>
    <w:rsid w:val="00883EA4"/>
    <w:rsid w:val="00884270"/>
    <w:rsid w:val="008869BA"/>
    <w:rsid w:val="00887B7D"/>
    <w:rsid w:val="008903D5"/>
    <w:rsid w:val="008913B4"/>
    <w:rsid w:val="0089156D"/>
    <w:rsid w:val="008917C2"/>
    <w:rsid w:val="00893A3F"/>
    <w:rsid w:val="00893E24"/>
    <w:rsid w:val="00893E44"/>
    <w:rsid w:val="008945B4"/>
    <w:rsid w:val="0089514B"/>
    <w:rsid w:val="008969D3"/>
    <w:rsid w:val="00896EC2"/>
    <w:rsid w:val="008971D8"/>
    <w:rsid w:val="00897A3D"/>
    <w:rsid w:val="00897E12"/>
    <w:rsid w:val="008A065A"/>
    <w:rsid w:val="008A1C4B"/>
    <w:rsid w:val="008A2C74"/>
    <w:rsid w:val="008A3434"/>
    <w:rsid w:val="008A36FA"/>
    <w:rsid w:val="008A4315"/>
    <w:rsid w:val="008A4FAC"/>
    <w:rsid w:val="008A5A80"/>
    <w:rsid w:val="008A5BF4"/>
    <w:rsid w:val="008A6043"/>
    <w:rsid w:val="008A6494"/>
    <w:rsid w:val="008A67CF"/>
    <w:rsid w:val="008A6DA2"/>
    <w:rsid w:val="008A7E83"/>
    <w:rsid w:val="008A7F97"/>
    <w:rsid w:val="008A7FC7"/>
    <w:rsid w:val="008B0E6D"/>
    <w:rsid w:val="008B0EE7"/>
    <w:rsid w:val="008B14CB"/>
    <w:rsid w:val="008B1CA7"/>
    <w:rsid w:val="008B1E00"/>
    <w:rsid w:val="008B24D5"/>
    <w:rsid w:val="008B25FC"/>
    <w:rsid w:val="008B2DA9"/>
    <w:rsid w:val="008B3466"/>
    <w:rsid w:val="008B44C5"/>
    <w:rsid w:val="008B5124"/>
    <w:rsid w:val="008B7B3C"/>
    <w:rsid w:val="008C00EE"/>
    <w:rsid w:val="008C067C"/>
    <w:rsid w:val="008C2789"/>
    <w:rsid w:val="008C2DF6"/>
    <w:rsid w:val="008C5978"/>
    <w:rsid w:val="008C606A"/>
    <w:rsid w:val="008C698C"/>
    <w:rsid w:val="008C6F82"/>
    <w:rsid w:val="008C6FC4"/>
    <w:rsid w:val="008C7564"/>
    <w:rsid w:val="008D02D4"/>
    <w:rsid w:val="008D0556"/>
    <w:rsid w:val="008D105F"/>
    <w:rsid w:val="008D1F09"/>
    <w:rsid w:val="008D2272"/>
    <w:rsid w:val="008D2A0C"/>
    <w:rsid w:val="008D2EA5"/>
    <w:rsid w:val="008D307A"/>
    <w:rsid w:val="008D33C9"/>
    <w:rsid w:val="008D3D6F"/>
    <w:rsid w:val="008D43BA"/>
    <w:rsid w:val="008D6249"/>
    <w:rsid w:val="008D7317"/>
    <w:rsid w:val="008D7DF4"/>
    <w:rsid w:val="008E0A77"/>
    <w:rsid w:val="008E0EF3"/>
    <w:rsid w:val="008E10AE"/>
    <w:rsid w:val="008E164D"/>
    <w:rsid w:val="008E33FB"/>
    <w:rsid w:val="008E3541"/>
    <w:rsid w:val="008E3759"/>
    <w:rsid w:val="008E3EE8"/>
    <w:rsid w:val="008E5266"/>
    <w:rsid w:val="008E53E4"/>
    <w:rsid w:val="008E5615"/>
    <w:rsid w:val="008E71E6"/>
    <w:rsid w:val="008F166D"/>
    <w:rsid w:val="008F298E"/>
    <w:rsid w:val="008F2A35"/>
    <w:rsid w:val="008F2A73"/>
    <w:rsid w:val="008F2E03"/>
    <w:rsid w:val="008F2E1C"/>
    <w:rsid w:val="008F3BF9"/>
    <w:rsid w:val="008F3C7F"/>
    <w:rsid w:val="008F3E4A"/>
    <w:rsid w:val="008F4101"/>
    <w:rsid w:val="008F4522"/>
    <w:rsid w:val="008F49E6"/>
    <w:rsid w:val="008F559D"/>
    <w:rsid w:val="008F5650"/>
    <w:rsid w:val="008F5FB6"/>
    <w:rsid w:val="008F7B4C"/>
    <w:rsid w:val="008F7F3F"/>
    <w:rsid w:val="00900D01"/>
    <w:rsid w:val="009021D6"/>
    <w:rsid w:val="00902D58"/>
    <w:rsid w:val="009041DC"/>
    <w:rsid w:val="009047EE"/>
    <w:rsid w:val="00904B4B"/>
    <w:rsid w:val="009062C5"/>
    <w:rsid w:val="0090668D"/>
    <w:rsid w:val="00907F8C"/>
    <w:rsid w:val="009104B4"/>
    <w:rsid w:val="009111FF"/>
    <w:rsid w:val="00912171"/>
    <w:rsid w:val="00912642"/>
    <w:rsid w:val="00913B6D"/>
    <w:rsid w:val="00915CDE"/>
    <w:rsid w:val="00915FDE"/>
    <w:rsid w:val="0091677E"/>
    <w:rsid w:val="0091728F"/>
    <w:rsid w:val="0091789D"/>
    <w:rsid w:val="00917F4B"/>
    <w:rsid w:val="00920A6E"/>
    <w:rsid w:val="00921023"/>
    <w:rsid w:val="009214A7"/>
    <w:rsid w:val="009214C8"/>
    <w:rsid w:val="00922A9F"/>
    <w:rsid w:val="00922B74"/>
    <w:rsid w:val="00922E4D"/>
    <w:rsid w:val="00923920"/>
    <w:rsid w:val="00923E54"/>
    <w:rsid w:val="00923EA6"/>
    <w:rsid w:val="00924F0A"/>
    <w:rsid w:val="00925FCD"/>
    <w:rsid w:val="00927B0B"/>
    <w:rsid w:val="009300A7"/>
    <w:rsid w:val="0093035E"/>
    <w:rsid w:val="00930ED0"/>
    <w:rsid w:val="009320F5"/>
    <w:rsid w:val="009322FE"/>
    <w:rsid w:val="00933621"/>
    <w:rsid w:val="0093441A"/>
    <w:rsid w:val="00934829"/>
    <w:rsid w:val="009356F2"/>
    <w:rsid w:val="00935735"/>
    <w:rsid w:val="009359E3"/>
    <w:rsid w:val="00935A29"/>
    <w:rsid w:val="00936C4F"/>
    <w:rsid w:val="00937EB8"/>
    <w:rsid w:val="009412E0"/>
    <w:rsid w:val="00941393"/>
    <w:rsid w:val="0094199B"/>
    <w:rsid w:val="009424BD"/>
    <w:rsid w:val="0094253B"/>
    <w:rsid w:val="00942AA6"/>
    <w:rsid w:val="00942BBC"/>
    <w:rsid w:val="009435DC"/>
    <w:rsid w:val="00945F51"/>
    <w:rsid w:val="00946729"/>
    <w:rsid w:val="0094702E"/>
    <w:rsid w:val="00947215"/>
    <w:rsid w:val="00947B86"/>
    <w:rsid w:val="00950D77"/>
    <w:rsid w:val="00951A16"/>
    <w:rsid w:val="00952CAA"/>
    <w:rsid w:val="00952DC4"/>
    <w:rsid w:val="009544AF"/>
    <w:rsid w:val="0095466D"/>
    <w:rsid w:val="00954BF7"/>
    <w:rsid w:val="00955093"/>
    <w:rsid w:val="009554F0"/>
    <w:rsid w:val="00955C06"/>
    <w:rsid w:val="00955CB9"/>
    <w:rsid w:val="00955DDB"/>
    <w:rsid w:val="00955EA3"/>
    <w:rsid w:val="0095641C"/>
    <w:rsid w:val="00956868"/>
    <w:rsid w:val="0095713F"/>
    <w:rsid w:val="009579D8"/>
    <w:rsid w:val="00957A32"/>
    <w:rsid w:val="00960523"/>
    <w:rsid w:val="00960555"/>
    <w:rsid w:val="00963233"/>
    <w:rsid w:val="009653A0"/>
    <w:rsid w:val="00965F42"/>
    <w:rsid w:val="009661DF"/>
    <w:rsid w:val="009668D9"/>
    <w:rsid w:val="009668E5"/>
    <w:rsid w:val="00966CC6"/>
    <w:rsid w:val="0096706E"/>
    <w:rsid w:val="00967987"/>
    <w:rsid w:val="00967ECF"/>
    <w:rsid w:val="00970813"/>
    <w:rsid w:val="00970FD7"/>
    <w:rsid w:val="009714F6"/>
    <w:rsid w:val="0097233E"/>
    <w:rsid w:val="009724C3"/>
    <w:rsid w:val="0097261D"/>
    <w:rsid w:val="00973675"/>
    <w:rsid w:val="00973798"/>
    <w:rsid w:val="00973E1D"/>
    <w:rsid w:val="009753D7"/>
    <w:rsid w:val="00976295"/>
    <w:rsid w:val="0097691D"/>
    <w:rsid w:val="00976E74"/>
    <w:rsid w:val="00980026"/>
    <w:rsid w:val="00981FBA"/>
    <w:rsid w:val="00982E24"/>
    <w:rsid w:val="00983AF6"/>
    <w:rsid w:val="00983D6A"/>
    <w:rsid w:val="009843A2"/>
    <w:rsid w:val="009856D7"/>
    <w:rsid w:val="009857B1"/>
    <w:rsid w:val="00985A4B"/>
    <w:rsid w:val="00985DFE"/>
    <w:rsid w:val="00986129"/>
    <w:rsid w:val="00986662"/>
    <w:rsid w:val="00986AEE"/>
    <w:rsid w:val="009879D3"/>
    <w:rsid w:val="00991D63"/>
    <w:rsid w:val="009937A7"/>
    <w:rsid w:val="00994ECF"/>
    <w:rsid w:val="0099538C"/>
    <w:rsid w:val="009967AF"/>
    <w:rsid w:val="0099714E"/>
    <w:rsid w:val="009978F5"/>
    <w:rsid w:val="00997B24"/>
    <w:rsid w:val="00997E99"/>
    <w:rsid w:val="009A01D8"/>
    <w:rsid w:val="009A03E7"/>
    <w:rsid w:val="009A0816"/>
    <w:rsid w:val="009A0B09"/>
    <w:rsid w:val="009A0F04"/>
    <w:rsid w:val="009A1A5D"/>
    <w:rsid w:val="009A1D2A"/>
    <w:rsid w:val="009A28FA"/>
    <w:rsid w:val="009A408D"/>
    <w:rsid w:val="009A6130"/>
    <w:rsid w:val="009A700D"/>
    <w:rsid w:val="009A7953"/>
    <w:rsid w:val="009B07BE"/>
    <w:rsid w:val="009B1206"/>
    <w:rsid w:val="009B1525"/>
    <w:rsid w:val="009B18E1"/>
    <w:rsid w:val="009B26C8"/>
    <w:rsid w:val="009B2F9E"/>
    <w:rsid w:val="009B351F"/>
    <w:rsid w:val="009B381B"/>
    <w:rsid w:val="009B4706"/>
    <w:rsid w:val="009B5129"/>
    <w:rsid w:val="009B541A"/>
    <w:rsid w:val="009B5D32"/>
    <w:rsid w:val="009B61B2"/>
    <w:rsid w:val="009B6619"/>
    <w:rsid w:val="009B6EF3"/>
    <w:rsid w:val="009B71D5"/>
    <w:rsid w:val="009B74A4"/>
    <w:rsid w:val="009C047F"/>
    <w:rsid w:val="009C14DA"/>
    <w:rsid w:val="009C1615"/>
    <w:rsid w:val="009C1691"/>
    <w:rsid w:val="009C1877"/>
    <w:rsid w:val="009C1D8B"/>
    <w:rsid w:val="009C2F75"/>
    <w:rsid w:val="009C2F9F"/>
    <w:rsid w:val="009C458A"/>
    <w:rsid w:val="009C4893"/>
    <w:rsid w:val="009C4D68"/>
    <w:rsid w:val="009C59D3"/>
    <w:rsid w:val="009C5DBC"/>
    <w:rsid w:val="009D0012"/>
    <w:rsid w:val="009D0946"/>
    <w:rsid w:val="009D0DEE"/>
    <w:rsid w:val="009D130D"/>
    <w:rsid w:val="009D15C7"/>
    <w:rsid w:val="009D16D3"/>
    <w:rsid w:val="009D173B"/>
    <w:rsid w:val="009D1C2C"/>
    <w:rsid w:val="009D2055"/>
    <w:rsid w:val="009D2342"/>
    <w:rsid w:val="009D241E"/>
    <w:rsid w:val="009D280B"/>
    <w:rsid w:val="009D3728"/>
    <w:rsid w:val="009D561E"/>
    <w:rsid w:val="009D6116"/>
    <w:rsid w:val="009D7611"/>
    <w:rsid w:val="009E075C"/>
    <w:rsid w:val="009E27A9"/>
    <w:rsid w:val="009E3488"/>
    <w:rsid w:val="009E374A"/>
    <w:rsid w:val="009E3A41"/>
    <w:rsid w:val="009E3ABD"/>
    <w:rsid w:val="009E3C23"/>
    <w:rsid w:val="009E3F7C"/>
    <w:rsid w:val="009E41B3"/>
    <w:rsid w:val="009E4906"/>
    <w:rsid w:val="009E53DE"/>
    <w:rsid w:val="009E6FD9"/>
    <w:rsid w:val="009E792E"/>
    <w:rsid w:val="009F0AED"/>
    <w:rsid w:val="009F114F"/>
    <w:rsid w:val="009F1ED5"/>
    <w:rsid w:val="009F229C"/>
    <w:rsid w:val="009F2349"/>
    <w:rsid w:val="009F24AF"/>
    <w:rsid w:val="009F24FF"/>
    <w:rsid w:val="009F297A"/>
    <w:rsid w:val="009F2CC4"/>
    <w:rsid w:val="009F493D"/>
    <w:rsid w:val="009F7113"/>
    <w:rsid w:val="009F76DF"/>
    <w:rsid w:val="009F76E5"/>
    <w:rsid w:val="009F7E41"/>
    <w:rsid w:val="00A01453"/>
    <w:rsid w:val="00A014DA"/>
    <w:rsid w:val="00A03222"/>
    <w:rsid w:val="00A03579"/>
    <w:rsid w:val="00A03B6C"/>
    <w:rsid w:val="00A03DA5"/>
    <w:rsid w:val="00A05601"/>
    <w:rsid w:val="00A057B8"/>
    <w:rsid w:val="00A05C64"/>
    <w:rsid w:val="00A0645D"/>
    <w:rsid w:val="00A06FEB"/>
    <w:rsid w:val="00A07134"/>
    <w:rsid w:val="00A10246"/>
    <w:rsid w:val="00A10403"/>
    <w:rsid w:val="00A10450"/>
    <w:rsid w:val="00A10C01"/>
    <w:rsid w:val="00A10CCC"/>
    <w:rsid w:val="00A1131F"/>
    <w:rsid w:val="00A12250"/>
    <w:rsid w:val="00A12773"/>
    <w:rsid w:val="00A13A94"/>
    <w:rsid w:val="00A14D37"/>
    <w:rsid w:val="00A15A9B"/>
    <w:rsid w:val="00A15C9A"/>
    <w:rsid w:val="00A163A4"/>
    <w:rsid w:val="00A1688B"/>
    <w:rsid w:val="00A16943"/>
    <w:rsid w:val="00A17625"/>
    <w:rsid w:val="00A17E82"/>
    <w:rsid w:val="00A2015A"/>
    <w:rsid w:val="00A2089E"/>
    <w:rsid w:val="00A20B65"/>
    <w:rsid w:val="00A20F5F"/>
    <w:rsid w:val="00A21930"/>
    <w:rsid w:val="00A21BFD"/>
    <w:rsid w:val="00A2232B"/>
    <w:rsid w:val="00A22B7B"/>
    <w:rsid w:val="00A23100"/>
    <w:rsid w:val="00A23924"/>
    <w:rsid w:val="00A23AFA"/>
    <w:rsid w:val="00A24331"/>
    <w:rsid w:val="00A2456A"/>
    <w:rsid w:val="00A249A8"/>
    <w:rsid w:val="00A255BD"/>
    <w:rsid w:val="00A269C8"/>
    <w:rsid w:val="00A26B17"/>
    <w:rsid w:val="00A27314"/>
    <w:rsid w:val="00A27C5A"/>
    <w:rsid w:val="00A3014C"/>
    <w:rsid w:val="00A31451"/>
    <w:rsid w:val="00A31CB0"/>
    <w:rsid w:val="00A321C2"/>
    <w:rsid w:val="00A3286C"/>
    <w:rsid w:val="00A32D38"/>
    <w:rsid w:val="00A33219"/>
    <w:rsid w:val="00A34273"/>
    <w:rsid w:val="00A36168"/>
    <w:rsid w:val="00A36E16"/>
    <w:rsid w:val="00A37DA9"/>
    <w:rsid w:val="00A40463"/>
    <w:rsid w:val="00A40C4A"/>
    <w:rsid w:val="00A40CED"/>
    <w:rsid w:val="00A42803"/>
    <w:rsid w:val="00A43458"/>
    <w:rsid w:val="00A438C4"/>
    <w:rsid w:val="00A438F6"/>
    <w:rsid w:val="00A43E87"/>
    <w:rsid w:val="00A444C4"/>
    <w:rsid w:val="00A445B3"/>
    <w:rsid w:val="00A447CD"/>
    <w:rsid w:val="00A46006"/>
    <w:rsid w:val="00A47174"/>
    <w:rsid w:val="00A473E3"/>
    <w:rsid w:val="00A47406"/>
    <w:rsid w:val="00A47D0B"/>
    <w:rsid w:val="00A500DA"/>
    <w:rsid w:val="00A50201"/>
    <w:rsid w:val="00A5028C"/>
    <w:rsid w:val="00A50CF2"/>
    <w:rsid w:val="00A51D32"/>
    <w:rsid w:val="00A52375"/>
    <w:rsid w:val="00A5251F"/>
    <w:rsid w:val="00A527E1"/>
    <w:rsid w:val="00A528D1"/>
    <w:rsid w:val="00A53D23"/>
    <w:rsid w:val="00A542D1"/>
    <w:rsid w:val="00A547A8"/>
    <w:rsid w:val="00A54E22"/>
    <w:rsid w:val="00A55776"/>
    <w:rsid w:val="00A60093"/>
    <w:rsid w:val="00A6269C"/>
    <w:rsid w:val="00A6287A"/>
    <w:rsid w:val="00A6386E"/>
    <w:rsid w:val="00A63958"/>
    <w:rsid w:val="00A63F52"/>
    <w:rsid w:val="00A642B6"/>
    <w:rsid w:val="00A647EB"/>
    <w:rsid w:val="00A649AE"/>
    <w:rsid w:val="00A64DA8"/>
    <w:rsid w:val="00A64EE8"/>
    <w:rsid w:val="00A64F5F"/>
    <w:rsid w:val="00A650D1"/>
    <w:rsid w:val="00A669C6"/>
    <w:rsid w:val="00A66BE5"/>
    <w:rsid w:val="00A67461"/>
    <w:rsid w:val="00A709DB"/>
    <w:rsid w:val="00A70FA6"/>
    <w:rsid w:val="00A71D99"/>
    <w:rsid w:val="00A734B2"/>
    <w:rsid w:val="00A73772"/>
    <w:rsid w:val="00A74A8D"/>
    <w:rsid w:val="00A74FA9"/>
    <w:rsid w:val="00A7605D"/>
    <w:rsid w:val="00A774E2"/>
    <w:rsid w:val="00A77E82"/>
    <w:rsid w:val="00A80079"/>
    <w:rsid w:val="00A80C1E"/>
    <w:rsid w:val="00A8162B"/>
    <w:rsid w:val="00A81D28"/>
    <w:rsid w:val="00A8335C"/>
    <w:rsid w:val="00A83588"/>
    <w:rsid w:val="00A845BE"/>
    <w:rsid w:val="00A84A45"/>
    <w:rsid w:val="00A84A53"/>
    <w:rsid w:val="00A84B01"/>
    <w:rsid w:val="00A84FE4"/>
    <w:rsid w:val="00A871CA"/>
    <w:rsid w:val="00A87FF5"/>
    <w:rsid w:val="00A91C87"/>
    <w:rsid w:val="00A91F89"/>
    <w:rsid w:val="00A92714"/>
    <w:rsid w:val="00A92DCA"/>
    <w:rsid w:val="00A947C6"/>
    <w:rsid w:val="00A94BBB"/>
    <w:rsid w:val="00A95F1A"/>
    <w:rsid w:val="00A9641B"/>
    <w:rsid w:val="00A96D18"/>
    <w:rsid w:val="00A97366"/>
    <w:rsid w:val="00A978E7"/>
    <w:rsid w:val="00A979CE"/>
    <w:rsid w:val="00A97B24"/>
    <w:rsid w:val="00A97CDE"/>
    <w:rsid w:val="00AA23D3"/>
    <w:rsid w:val="00AA33AF"/>
    <w:rsid w:val="00AA3C9F"/>
    <w:rsid w:val="00AA4746"/>
    <w:rsid w:val="00AA4DF0"/>
    <w:rsid w:val="00AA5C88"/>
    <w:rsid w:val="00AA792C"/>
    <w:rsid w:val="00AA7A2C"/>
    <w:rsid w:val="00AA7E8A"/>
    <w:rsid w:val="00AB0745"/>
    <w:rsid w:val="00AB097B"/>
    <w:rsid w:val="00AB2ECE"/>
    <w:rsid w:val="00AB3118"/>
    <w:rsid w:val="00AB3712"/>
    <w:rsid w:val="00AB55B8"/>
    <w:rsid w:val="00AB6166"/>
    <w:rsid w:val="00AB6D53"/>
    <w:rsid w:val="00AB6F62"/>
    <w:rsid w:val="00AB7EE1"/>
    <w:rsid w:val="00AC0531"/>
    <w:rsid w:val="00AC0F5B"/>
    <w:rsid w:val="00AC30C7"/>
    <w:rsid w:val="00AC313B"/>
    <w:rsid w:val="00AC388E"/>
    <w:rsid w:val="00AC4106"/>
    <w:rsid w:val="00AC4350"/>
    <w:rsid w:val="00AC4E50"/>
    <w:rsid w:val="00AC4F7C"/>
    <w:rsid w:val="00AC5085"/>
    <w:rsid w:val="00AC6AE6"/>
    <w:rsid w:val="00AC6D45"/>
    <w:rsid w:val="00AC740E"/>
    <w:rsid w:val="00AC7AC6"/>
    <w:rsid w:val="00AC7F4D"/>
    <w:rsid w:val="00AD08D1"/>
    <w:rsid w:val="00AD0D8F"/>
    <w:rsid w:val="00AD1E27"/>
    <w:rsid w:val="00AD29F5"/>
    <w:rsid w:val="00AD34D9"/>
    <w:rsid w:val="00AD37C1"/>
    <w:rsid w:val="00AD38E9"/>
    <w:rsid w:val="00AD4435"/>
    <w:rsid w:val="00AD452E"/>
    <w:rsid w:val="00AD4A7C"/>
    <w:rsid w:val="00AD4C43"/>
    <w:rsid w:val="00AD4CD7"/>
    <w:rsid w:val="00AD4E05"/>
    <w:rsid w:val="00AD539B"/>
    <w:rsid w:val="00AD54BE"/>
    <w:rsid w:val="00AD5EB5"/>
    <w:rsid w:val="00AD72AC"/>
    <w:rsid w:val="00AD7A33"/>
    <w:rsid w:val="00AE0DEC"/>
    <w:rsid w:val="00AE15A9"/>
    <w:rsid w:val="00AE1852"/>
    <w:rsid w:val="00AE1F0C"/>
    <w:rsid w:val="00AE490D"/>
    <w:rsid w:val="00AE4C05"/>
    <w:rsid w:val="00AE4C43"/>
    <w:rsid w:val="00AE5EDC"/>
    <w:rsid w:val="00AE6271"/>
    <w:rsid w:val="00AE66EC"/>
    <w:rsid w:val="00AE6AE5"/>
    <w:rsid w:val="00AE6F91"/>
    <w:rsid w:val="00AF010B"/>
    <w:rsid w:val="00AF0440"/>
    <w:rsid w:val="00AF14A6"/>
    <w:rsid w:val="00AF22CE"/>
    <w:rsid w:val="00AF2782"/>
    <w:rsid w:val="00AF3344"/>
    <w:rsid w:val="00AF5571"/>
    <w:rsid w:val="00AF5B3F"/>
    <w:rsid w:val="00AF7526"/>
    <w:rsid w:val="00AF79FA"/>
    <w:rsid w:val="00B00CBD"/>
    <w:rsid w:val="00B016BF"/>
    <w:rsid w:val="00B016EF"/>
    <w:rsid w:val="00B018F6"/>
    <w:rsid w:val="00B01D8D"/>
    <w:rsid w:val="00B0207D"/>
    <w:rsid w:val="00B02D9E"/>
    <w:rsid w:val="00B033E8"/>
    <w:rsid w:val="00B0667E"/>
    <w:rsid w:val="00B06BF4"/>
    <w:rsid w:val="00B07033"/>
    <w:rsid w:val="00B11C6F"/>
    <w:rsid w:val="00B11E55"/>
    <w:rsid w:val="00B124E6"/>
    <w:rsid w:val="00B12638"/>
    <w:rsid w:val="00B13ABA"/>
    <w:rsid w:val="00B141EA"/>
    <w:rsid w:val="00B14837"/>
    <w:rsid w:val="00B160A4"/>
    <w:rsid w:val="00B167E9"/>
    <w:rsid w:val="00B16FF4"/>
    <w:rsid w:val="00B1724A"/>
    <w:rsid w:val="00B207F5"/>
    <w:rsid w:val="00B20B83"/>
    <w:rsid w:val="00B21064"/>
    <w:rsid w:val="00B21BC5"/>
    <w:rsid w:val="00B22C40"/>
    <w:rsid w:val="00B237D8"/>
    <w:rsid w:val="00B23A86"/>
    <w:rsid w:val="00B24749"/>
    <w:rsid w:val="00B24A00"/>
    <w:rsid w:val="00B270C2"/>
    <w:rsid w:val="00B27127"/>
    <w:rsid w:val="00B2728E"/>
    <w:rsid w:val="00B301E8"/>
    <w:rsid w:val="00B30278"/>
    <w:rsid w:val="00B314DB"/>
    <w:rsid w:val="00B316A7"/>
    <w:rsid w:val="00B31EBE"/>
    <w:rsid w:val="00B3401D"/>
    <w:rsid w:val="00B34D82"/>
    <w:rsid w:val="00B34E2B"/>
    <w:rsid w:val="00B36400"/>
    <w:rsid w:val="00B367B1"/>
    <w:rsid w:val="00B36E37"/>
    <w:rsid w:val="00B3718B"/>
    <w:rsid w:val="00B37584"/>
    <w:rsid w:val="00B37C3B"/>
    <w:rsid w:val="00B41A5F"/>
    <w:rsid w:val="00B41AAC"/>
    <w:rsid w:val="00B424CD"/>
    <w:rsid w:val="00B42ABC"/>
    <w:rsid w:val="00B432D6"/>
    <w:rsid w:val="00B441B9"/>
    <w:rsid w:val="00B44448"/>
    <w:rsid w:val="00B44F4C"/>
    <w:rsid w:val="00B45BE7"/>
    <w:rsid w:val="00B45ECD"/>
    <w:rsid w:val="00B46033"/>
    <w:rsid w:val="00B46313"/>
    <w:rsid w:val="00B4632A"/>
    <w:rsid w:val="00B478B1"/>
    <w:rsid w:val="00B478C4"/>
    <w:rsid w:val="00B506F8"/>
    <w:rsid w:val="00B5149E"/>
    <w:rsid w:val="00B515A8"/>
    <w:rsid w:val="00B52BB8"/>
    <w:rsid w:val="00B540E8"/>
    <w:rsid w:val="00B54DF4"/>
    <w:rsid w:val="00B552E7"/>
    <w:rsid w:val="00B55402"/>
    <w:rsid w:val="00B55E95"/>
    <w:rsid w:val="00B55F23"/>
    <w:rsid w:val="00B5746F"/>
    <w:rsid w:val="00B574A0"/>
    <w:rsid w:val="00B574EE"/>
    <w:rsid w:val="00B575D6"/>
    <w:rsid w:val="00B57C17"/>
    <w:rsid w:val="00B57C7D"/>
    <w:rsid w:val="00B60E25"/>
    <w:rsid w:val="00B62894"/>
    <w:rsid w:val="00B62BC0"/>
    <w:rsid w:val="00B63572"/>
    <w:rsid w:val="00B63577"/>
    <w:rsid w:val="00B65974"/>
    <w:rsid w:val="00B66B51"/>
    <w:rsid w:val="00B67053"/>
    <w:rsid w:val="00B673F4"/>
    <w:rsid w:val="00B67B19"/>
    <w:rsid w:val="00B70462"/>
    <w:rsid w:val="00B72E00"/>
    <w:rsid w:val="00B72F71"/>
    <w:rsid w:val="00B74DAF"/>
    <w:rsid w:val="00B75D57"/>
    <w:rsid w:val="00B765F1"/>
    <w:rsid w:val="00B766A1"/>
    <w:rsid w:val="00B76BE8"/>
    <w:rsid w:val="00B777B0"/>
    <w:rsid w:val="00B77B09"/>
    <w:rsid w:val="00B801CB"/>
    <w:rsid w:val="00B84FC7"/>
    <w:rsid w:val="00B8596A"/>
    <w:rsid w:val="00B85B6B"/>
    <w:rsid w:val="00B8646F"/>
    <w:rsid w:val="00B86577"/>
    <w:rsid w:val="00B8664E"/>
    <w:rsid w:val="00B868A4"/>
    <w:rsid w:val="00B8786D"/>
    <w:rsid w:val="00B90178"/>
    <w:rsid w:val="00B90496"/>
    <w:rsid w:val="00B90C4D"/>
    <w:rsid w:val="00B920B7"/>
    <w:rsid w:val="00B926B1"/>
    <w:rsid w:val="00B92DC9"/>
    <w:rsid w:val="00B933E4"/>
    <w:rsid w:val="00B96FE9"/>
    <w:rsid w:val="00B9732D"/>
    <w:rsid w:val="00B97838"/>
    <w:rsid w:val="00BA0E3E"/>
    <w:rsid w:val="00BA11D2"/>
    <w:rsid w:val="00BA198F"/>
    <w:rsid w:val="00BA1D41"/>
    <w:rsid w:val="00BA276C"/>
    <w:rsid w:val="00BA2988"/>
    <w:rsid w:val="00BA3099"/>
    <w:rsid w:val="00BA3133"/>
    <w:rsid w:val="00BA31DF"/>
    <w:rsid w:val="00BA3DCF"/>
    <w:rsid w:val="00BA542F"/>
    <w:rsid w:val="00BA6FFA"/>
    <w:rsid w:val="00BA7984"/>
    <w:rsid w:val="00BA7BDC"/>
    <w:rsid w:val="00BA7C2A"/>
    <w:rsid w:val="00BB151F"/>
    <w:rsid w:val="00BB17B3"/>
    <w:rsid w:val="00BB285D"/>
    <w:rsid w:val="00BB2AFE"/>
    <w:rsid w:val="00BB3066"/>
    <w:rsid w:val="00BB306F"/>
    <w:rsid w:val="00BB3466"/>
    <w:rsid w:val="00BB356D"/>
    <w:rsid w:val="00BB36D4"/>
    <w:rsid w:val="00BB40F5"/>
    <w:rsid w:val="00BB521F"/>
    <w:rsid w:val="00BB53AD"/>
    <w:rsid w:val="00BB5A59"/>
    <w:rsid w:val="00BB645E"/>
    <w:rsid w:val="00BB6D82"/>
    <w:rsid w:val="00BB6D96"/>
    <w:rsid w:val="00BB7163"/>
    <w:rsid w:val="00BB76B9"/>
    <w:rsid w:val="00BB78FE"/>
    <w:rsid w:val="00BB7B0A"/>
    <w:rsid w:val="00BB7C52"/>
    <w:rsid w:val="00BC04F8"/>
    <w:rsid w:val="00BC2154"/>
    <w:rsid w:val="00BC243A"/>
    <w:rsid w:val="00BC309D"/>
    <w:rsid w:val="00BC35EB"/>
    <w:rsid w:val="00BC397C"/>
    <w:rsid w:val="00BC5766"/>
    <w:rsid w:val="00BC650E"/>
    <w:rsid w:val="00BC68ED"/>
    <w:rsid w:val="00BC6DA1"/>
    <w:rsid w:val="00BC6FB1"/>
    <w:rsid w:val="00BC73B5"/>
    <w:rsid w:val="00BD10AC"/>
    <w:rsid w:val="00BD232B"/>
    <w:rsid w:val="00BD2C5B"/>
    <w:rsid w:val="00BD3469"/>
    <w:rsid w:val="00BD393F"/>
    <w:rsid w:val="00BD3C37"/>
    <w:rsid w:val="00BD4B89"/>
    <w:rsid w:val="00BD5B66"/>
    <w:rsid w:val="00BD7F14"/>
    <w:rsid w:val="00BE0098"/>
    <w:rsid w:val="00BE014C"/>
    <w:rsid w:val="00BE10F2"/>
    <w:rsid w:val="00BE118B"/>
    <w:rsid w:val="00BE1438"/>
    <w:rsid w:val="00BE1B74"/>
    <w:rsid w:val="00BE201A"/>
    <w:rsid w:val="00BE34C6"/>
    <w:rsid w:val="00BE3560"/>
    <w:rsid w:val="00BE35D9"/>
    <w:rsid w:val="00BE36D7"/>
    <w:rsid w:val="00BE3967"/>
    <w:rsid w:val="00BE4872"/>
    <w:rsid w:val="00BE4C89"/>
    <w:rsid w:val="00BE4D39"/>
    <w:rsid w:val="00BE5AD0"/>
    <w:rsid w:val="00BE60A3"/>
    <w:rsid w:val="00BE6182"/>
    <w:rsid w:val="00BE66B0"/>
    <w:rsid w:val="00BE6B74"/>
    <w:rsid w:val="00BE7E23"/>
    <w:rsid w:val="00BF0063"/>
    <w:rsid w:val="00BF08CB"/>
    <w:rsid w:val="00BF1F10"/>
    <w:rsid w:val="00BF2523"/>
    <w:rsid w:val="00BF2939"/>
    <w:rsid w:val="00BF2EA8"/>
    <w:rsid w:val="00BF4600"/>
    <w:rsid w:val="00BF4865"/>
    <w:rsid w:val="00BF4871"/>
    <w:rsid w:val="00BF4AF7"/>
    <w:rsid w:val="00BF65BD"/>
    <w:rsid w:val="00BF7C42"/>
    <w:rsid w:val="00C0028D"/>
    <w:rsid w:val="00C01451"/>
    <w:rsid w:val="00C01882"/>
    <w:rsid w:val="00C02A78"/>
    <w:rsid w:val="00C03059"/>
    <w:rsid w:val="00C0391B"/>
    <w:rsid w:val="00C03A29"/>
    <w:rsid w:val="00C04473"/>
    <w:rsid w:val="00C0546D"/>
    <w:rsid w:val="00C05820"/>
    <w:rsid w:val="00C070BA"/>
    <w:rsid w:val="00C07884"/>
    <w:rsid w:val="00C101BC"/>
    <w:rsid w:val="00C10407"/>
    <w:rsid w:val="00C10EA4"/>
    <w:rsid w:val="00C1278E"/>
    <w:rsid w:val="00C144E7"/>
    <w:rsid w:val="00C14557"/>
    <w:rsid w:val="00C14701"/>
    <w:rsid w:val="00C14A51"/>
    <w:rsid w:val="00C14CE0"/>
    <w:rsid w:val="00C1525C"/>
    <w:rsid w:val="00C153DE"/>
    <w:rsid w:val="00C16D95"/>
    <w:rsid w:val="00C17BAA"/>
    <w:rsid w:val="00C2142B"/>
    <w:rsid w:val="00C21762"/>
    <w:rsid w:val="00C21EFD"/>
    <w:rsid w:val="00C224DF"/>
    <w:rsid w:val="00C22DD6"/>
    <w:rsid w:val="00C23964"/>
    <w:rsid w:val="00C23BA8"/>
    <w:rsid w:val="00C24049"/>
    <w:rsid w:val="00C24543"/>
    <w:rsid w:val="00C256A2"/>
    <w:rsid w:val="00C25808"/>
    <w:rsid w:val="00C26350"/>
    <w:rsid w:val="00C26A69"/>
    <w:rsid w:val="00C31770"/>
    <w:rsid w:val="00C3238A"/>
    <w:rsid w:val="00C32415"/>
    <w:rsid w:val="00C32A61"/>
    <w:rsid w:val="00C338B0"/>
    <w:rsid w:val="00C33EB0"/>
    <w:rsid w:val="00C340DC"/>
    <w:rsid w:val="00C344B0"/>
    <w:rsid w:val="00C3492D"/>
    <w:rsid w:val="00C34973"/>
    <w:rsid w:val="00C34F68"/>
    <w:rsid w:val="00C3629F"/>
    <w:rsid w:val="00C36D54"/>
    <w:rsid w:val="00C36E35"/>
    <w:rsid w:val="00C4068A"/>
    <w:rsid w:val="00C41AB9"/>
    <w:rsid w:val="00C4237D"/>
    <w:rsid w:val="00C423E4"/>
    <w:rsid w:val="00C432D8"/>
    <w:rsid w:val="00C43943"/>
    <w:rsid w:val="00C43FC7"/>
    <w:rsid w:val="00C443E8"/>
    <w:rsid w:val="00C44886"/>
    <w:rsid w:val="00C44ECB"/>
    <w:rsid w:val="00C45555"/>
    <w:rsid w:val="00C45976"/>
    <w:rsid w:val="00C45A93"/>
    <w:rsid w:val="00C4696E"/>
    <w:rsid w:val="00C46A80"/>
    <w:rsid w:val="00C4716E"/>
    <w:rsid w:val="00C47791"/>
    <w:rsid w:val="00C4793D"/>
    <w:rsid w:val="00C47E39"/>
    <w:rsid w:val="00C50434"/>
    <w:rsid w:val="00C506EB"/>
    <w:rsid w:val="00C50C1E"/>
    <w:rsid w:val="00C511F4"/>
    <w:rsid w:val="00C51C98"/>
    <w:rsid w:val="00C53F60"/>
    <w:rsid w:val="00C546AB"/>
    <w:rsid w:val="00C5474E"/>
    <w:rsid w:val="00C548FA"/>
    <w:rsid w:val="00C55378"/>
    <w:rsid w:val="00C55560"/>
    <w:rsid w:val="00C60644"/>
    <w:rsid w:val="00C6133F"/>
    <w:rsid w:val="00C61956"/>
    <w:rsid w:val="00C61997"/>
    <w:rsid w:val="00C62088"/>
    <w:rsid w:val="00C62393"/>
    <w:rsid w:val="00C62BF4"/>
    <w:rsid w:val="00C65998"/>
    <w:rsid w:val="00C65E5F"/>
    <w:rsid w:val="00C669C1"/>
    <w:rsid w:val="00C66B72"/>
    <w:rsid w:val="00C674CD"/>
    <w:rsid w:val="00C67F18"/>
    <w:rsid w:val="00C714BB"/>
    <w:rsid w:val="00C7275B"/>
    <w:rsid w:val="00C7281A"/>
    <w:rsid w:val="00C73738"/>
    <w:rsid w:val="00C7377E"/>
    <w:rsid w:val="00C73BAE"/>
    <w:rsid w:val="00C74AAA"/>
    <w:rsid w:val="00C74C37"/>
    <w:rsid w:val="00C7526E"/>
    <w:rsid w:val="00C75A4F"/>
    <w:rsid w:val="00C75E68"/>
    <w:rsid w:val="00C76135"/>
    <w:rsid w:val="00C768EA"/>
    <w:rsid w:val="00C77013"/>
    <w:rsid w:val="00C77F47"/>
    <w:rsid w:val="00C81339"/>
    <w:rsid w:val="00C81FBE"/>
    <w:rsid w:val="00C82B0B"/>
    <w:rsid w:val="00C83A33"/>
    <w:rsid w:val="00C83A40"/>
    <w:rsid w:val="00C84B0E"/>
    <w:rsid w:val="00C84E16"/>
    <w:rsid w:val="00C850FD"/>
    <w:rsid w:val="00C857A1"/>
    <w:rsid w:val="00C85897"/>
    <w:rsid w:val="00C85CF6"/>
    <w:rsid w:val="00C85DDE"/>
    <w:rsid w:val="00C86C06"/>
    <w:rsid w:val="00C8737F"/>
    <w:rsid w:val="00C9055F"/>
    <w:rsid w:val="00C91645"/>
    <w:rsid w:val="00C92CF7"/>
    <w:rsid w:val="00C936C3"/>
    <w:rsid w:val="00C949E2"/>
    <w:rsid w:val="00C94BF5"/>
    <w:rsid w:val="00C9567A"/>
    <w:rsid w:val="00C957E5"/>
    <w:rsid w:val="00C95BF6"/>
    <w:rsid w:val="00C9670F"/>
    <w:rsid w:val="00C96AF3"/>
    <w:rsid w:val="00C96BFF"/>
    <w:rsid w:val="00CA0730"/>
    <w:rsid w:val="00CA0E2F"/>
    <w:rsid w:val="00CA1D19"/>
    <w:rsid w:val="00CA249C"/>
    <w:rsid w:val="00CA28C5"/>
    <w:rsid w:val="00CA3B1D"/>
    <w:rsid w:val="00CA44E8"/>
    <w:rsid w:val="00CA53D1"/>
    <w:rsid w:val="00CA61E3"/>
    <w:rsid w:val="00CA65F1"/>
    <w:rsid w:val="00CA6E49"/>
    <w:rsid w:val="00CA6EE1"/>
    <w:rsid w:val="00CB08A1"/>
    <w:rsid w:val="00CB13BC"/>
    <w:rsid w:val="00CB17C1"/>
    <w:rsid w:val="00CB2422"/>
    <w:rsid w:val="00CB2660"/>
    <w:rsid w:val="00CB2A1A"/>
    <w:rsid w:val="00CB320F"/>
    <w:rsid w:val="00CB3418"/>
    <w:rsid w:val="00CB3738"/>
    <w:rsid w:val="00CB3827"/>
    <w:rsid w:val="00CB3A1A"/>
    <w:rsid w:val="00CB4965"/>
    <w:rsid w:val="00CB4C01"/>
    <w:rsid w:val="00CB56C0"/>
    <w:rsid w:val="00CB712B"/>
    <w:rsid w:val="00CB7A42"/>
    <w:rsid w:val="00CB7D6F"/>
    <w:rsid w:val="00CC0E8C"/>
    <w:rsid w:val="00CC25A6"/>
    <w:rsid w:val="00CC30E5"/>
    <w:rsid w:val="00CC44ED"/>
    <w:rsid w:val="00CC5639"/>
    <w:rsid w:val="00CC5E13"/>
    <w:rsid w:val="00CC5E90"/>
    <w:rsid w:val="00CC72FB"/>
    <w:rsid w:val="00CD046C"/>
    <w:rsid w:val="00CD0979"/>
    <w:rsid w:val="00CD36BA"/>
    <w:rsid w:val="00CD38C8"/>
    <w:rsid w:val="00CD403E"/>
    <w:rsid w:val="00CD6BCF"/>
    <w:rsid w:val="00CD7BBE"/>
    <w:rsid w:val="00CE0052"/>
    <w:rsid w:val="00CE1390"/>
    <w:rsid w:val="00CE1E71"/>
    <w:rsid w:val="00CE2A6C"/>
    <w:rsid w:val="00CE4868"/>
    <w:rsid w:val="00CE4999"/>
    <w:rsid w:val="00CE5199"/>
    <w:rsid w:val="00CE64F4"/>
    <w:rsid w:val="00CE66D5"/>
    <w:rsid w:val="00CF01D0"/>
    <w:rsid w:val="00CF07C3"/>
    <w:rsid w:val="00CF0A29"/>
    <w:rsid w:val="00CF0AD5"/>
    <w:rsid w:val="00CF12C1"/>
    <w:rsid w:val="00CF1E94"/>
    <w:rsid w:val="00CF1FF5"/>
    <w:rsid w:val="00CF273B"/>
    <w:rsid w:val="00CF2824"/>
    <w:rsid w:val="00CF3EBB"/>
    <w:rsid w:val="00CF4138"/>
    <w:rsid w:val="00CF439C"/>
    <w:rsid w:val="00CF5539"/>
    <w:rsid w:val="00CF63BF"/>
    <w:rsid w:val="00CF6754"/>
    <w:rsid w:val="00CF768E"/>
    <w:rsid w:val="00D002FC"/>
    <w:rsid w:val="00D01F78"/>
    <w:rsid w:val="00D01FAC"/>
    <w:rsid w:val="00D0228D"/>
    <w:rsid w:val="00D02E9F"/>
    <w:rsid w:val="00D03633"/>
    <w:rsid w:val="00D03C39"/>
    <w:rsid w:val="00D04137"/>
    <w:rsid w:val="00D04674"/>
    <w:rsid w:val="00D05066"/>
    <w:rsid w:val="00D065A9"/>
    <w:rsid w:val="00D06D0A"/>
    <w:rsid w:val="00D070D7"/>
    <w:rsid w:val="00D07439"/>
    <w:rsid w:val="00D0799B"/>
    <w:rsid w:val="00D07A1B"/>
    <w:rsid w:val="00D11349"/>
    <w:rsid w:val="00D1169D"/>
    <w:rsid w:val="00D11888"/>
    <w:rsid w:val="00D12883"/>
    <w:rsid w:val="00D12D6C"/>
    <w:rsid w:val="00D12F97"/>
    <w:rsid w:val="00D14582"/>
    <w:rsid w:val="00D14B21"/>
    <w:rsid w:val="00D1539E"/>
    <w:rsid w:val="00D15ABB"/>
    <w:rsid w:val="00D15E54"/>
    <w:rsid w:val="00D16299"/>
    <w:rsid w:val="00D162B0"/>
    <w:rsid w:val="00D16C41"/>
    <w:rsid w:val="00D16FDF"/>
    <w:rsid w:val="00D2095A"/>
    <w:rsid w:val="00D20D54"/>
    <w:rsid w:val="00D210F8"/>
    <w:rsid w:val="00D211D9"/>
    <w:rsid w:val="00D2131F"/>
    <w:rsid w:val="00D21D95"/>
    <w:rsid w:val="00D21DA2"/>
    <w:rsid w:val="00D2250C"/>
    <w:rsid w:val="00D22F94"/>
    <w:rsid w:val="00D2345D"/>
    <w:rsid w:val="00D23567"/>
    <w:rsid w:val="00D23785"/>
    <w:rsid w:val="00D23A91"/>
    <w:rsid w:val="00D24291"/>
    <w:rsid w:val="00D2456B"/>
    <w:rsid w:val="00D25889"/>
    <w:rsid w:val="00D25C75"/>
    <w:rsid w:val="00D25FCD"/>
    <w:rsid w:val="00D2632C"/>
    <w:rsid w:val="00D275B4"/>
    <w:rsid w:val="00D27FBF"/>
    <w:rsid w:val="00D31472"/>
    <w:rsid w:val="00D31A13"/>
    <w:rsid w:val="00D32BCF"/>
    <w:rsid w:val="00D32D94"/>
    <w:rsid w:val="00D3350E"/>
    <w:rsid w:val="00D340AA"/>
    <w:rsid w:val="00D34786"/>
    <w:rsid w:val="00D35609"/>
    <w:rsid w:val="00D36696"/>
    <w:rsid w:val="00D36A2C"/>
    <w:rsid w:val="00D37539"/>
    <w:rsid w:val="00D37557"/>
    <w:rsid w:val="00D4040F"/>
    <w:rsid w:val="00D40A1E"/>
    <w:rsid w:val="00D41308"/>
    <w:rsid w:val="00D42007"/>
    <w:rsid w:val="00D42A76"/>
    <w:rsid w:val="00D42BAB"/>
    <w:rsid w:val="00D43C78"/>
    <w:rsid w:val="00D43D02"/>
    <w:rsid w:val="00D44A80"/>
    <w:rsid w:val="00D44B04"/>
    <w:rsid w:val="00D44BDF"/>
    <w:rsid w:val="00D45150"/>
    <w:rsid w:val="00D45500"/>
    <w:rsid w:val="00D4662C"/>
    <w:rsid w:val="00D46CDC"/>
    <w:rsid w:val="00D47631"/>
    <w:rsid w:val="00D47E97"/>
    <w:rsid w:val="00D47F4D"/>
    <w:rsid w:val="00D5025B"/>
    <w:rsid w:val="00D50AFF"/>
    <w:rsid w:val="00D50CBE"/>
    <w:rsid w:val="00D512DC"/>
    <w:rsid w:val="00D523C3"/>
    <w:rsid w:val="00D52B5B"/>
    <w:rsid w:val="00D52C14"/>
    <w:rsid w:val="00D537DA"/>
    <w:rsid w:val="00D53960"/>
    <w:rsid w:val="00D53F3D"/>
    <w:rsid w:val="00D54FD9"/>
    <w:rsid w:val="00D558C4"/>
    <w:rsid w:val="00D55D01"/>
    <w:rsid w:val="00D568A0"/>
    <w:rsid w:val="00D57019"/>
    <w:rsid w:val="00D57833"/>
    <w:rsid w:val="00D6092C"/>
    <w:rsid w:val="00D60BBD"/>
    <w:rsid w:val="00D60D42"/>
    <w:rsid w:val="00D61163"/>
    <w:rsid w:val="00D6144B"/>
    <w:rsid w:val="00D62916"/>
    <w:rsid w:val="00D62BD0"/>
    <w:rsid w:val="00D62F66"/>
    <w:rsid w:val="00D62FB8"/>
    <w:rsid w:val="00D63033"/>
    <w:rsid w:val="00D63233"/>
    <w:rsid w:val="00D65E4F"/>
    <w:rsid w:val="00D6603B"/>
    <w:rsid w:val="00D66F60"/>
    <w:rsid w:val="00D671AD"/>
    <w:rsid w:val="00D671D3"/>
    <w:rsid w:val="00D677D5"/>
    <w:rsid w:val="00D70778"/>
    <w:rsid w:val="00D70D74"/>
    <w:rsid w:val="00D70EFB"/>
    <w:rsid w:val="00D712D3"/>
    <w:rsid w:val="00D71422"/>
    <w:rsid w:val="00D7145E"/>
    <w:rsid w:val="00D72789"/>
    <w:rsid w:val="00D72985"/>
    <w:rsid w:val="00D73376"/>
    <w:rsid w:val="00D73D78"/>
    <w:rsid w:val="00D73E27"/>
    <w:rsid w:val="00D74A1F"/>
    <w:rsid w:val="00D74B5B"/>
    <w:rsid w:val="00D74C93"/>
    <w:rsid w:val="00D74F68"/>
    <w:rsid w:val="00D7558D"/>
    <w:rsid w:val="00D7622A"/>
    <w:rsid w:val="00D76232"/>
    <w:rsid w:val="00D7649A"/>
    <w:rsid w:val="00D77A99"/>
    <w:rsid w:val="00D77B2C"/>
    <w:rsid w:val="00D77BCE"/>
    <w:rsid w:val="00D80440"/>
    <w:rsid w:val="00D80C85"/>
    <w:rsid w:val="00D811FF"/>
    <w:rsid w:val="00D81C90"/>
    <w:rsid w:val="00D81D92"/>
    <w:rsid w:val="00D826A0"/>
    <w:rsid w:val="00D82876"/>
    <w:rsid w:val="00D82EA8"/>
    <w:rsid w:val="00D838BE"/>
    <w:rsid w:val="00D83DD3"/>
    <w:rsid w:val="00D83FFE"/>
    <w:rsid w:val="00D84CC7"/>
    <w:rsid w:val="00D85802"/>
    <w:rsid w:val="00D86402"/>
    <w:rsid w:val="00D86569"/>
    <w:rsid w:val="00D865A2"/>
    <w:rsid w:val="00D87416"/>
    <w:rsid w:val="00D8763F"/>
    <w:rsid w:val="00D876BD"/>
    <w:rsid w:val="00D878CA"/>
    <w:rsid w:val="00D9040B"/>
    <w:rsid w:val="00D9087A"/>
    <w:rsid w:val="00D91047"/>
    <w:rsid w:val="00D912A6"/>
    <w:rsid w:val="00D915AB"/>
    <w:rsid w:val="00D91B1E"/>
    <w:rsid w:val="00D91D59"/>
    <w:rsid w:val="00D92374"/>
    <w:rsid w:val="00D93446"/>
    <w:rsid w:val="00D9382D"/>
    <w:rsid w:val="00D946AA"/>
    <w:rsid w:val="00D94D1C"/>
    <w:rsid w:val="00D94F44"/>
    <w:rsid w:val="00D9539C"/>
    <w:rsid w:val="00D95402"/>
    <w:rsid w:val="00D96245"/>
    <w:rsid w:val="00D978E5"/>
    <w:rsid w:val="00DA1520"/>
    <w:rsid w:val="00DA2A7C"/>
    <w:rsid w:val="00DA3005"/>
    <w:rsid w:val="00DA300A"/>
    <w:rsid w:val="00DA3889"/>
    <w:rsid w:val="00DA40CF"/>
    <w:rsid w:val="00DA4E4E"/>
    <w:rsid w:val="00DA5ECF"/>
    <w:rsid w:val="00DA6AB3"/>
    <w:rsid w:val="00DA7151"/>
    <w:rsid w:val="00DA77AA"/>
    <w:rsid w:val="00DA7982"/>
    <w:rsid w:val="00DA79D0"/>
    <w:rsid w:val="00DA7B5F"/>
    <w:rsid w:val="00DB18A8"/>
    <w:rsid w:val="00DB1D14"/>
    <w:rsid w:val="00DB3050"/>
    <w:rsid w:val="00DB30EC"/>
    <w:rsid w:val="00DB3374"/>
    <w:rsid w:val="00DB4A1E"/>
    <w:rsid w:val="00DB4D80"/>
    <w:rsid w:val="00DB5C3C"/>
    <w:rsid w:val="00DB6E40"/>
    <w:rsid w:val="00DC0021"/>
    <w:rsid w:val="00DC07A4"/>
    <w:rsid w:val="00DC1144"/>
    <w:rsid w:val="00DC174D"/>
    <w:rsid w:val="00DC1BAE"/>
    <w:rsid w:val="00DC2858"/>
    <w:rsid w:val="00DC28C0"/>
    <w:rsid w:val="00DC2FF2"/>
    <w:rsid w:val="00DC3121"/>
    <w:rsid w:val="00DC4839"/>
    <w:rsid w:val="00DC6453"/>
    <w:rsid w:val="00DC6D2C"/>
    <w:rsid w:val="00DC7597"/>
    <w:rsid w:val="00DC7693"/>
    <w:rsid w:val="00DC7846"/>
    <w:rsid w:val="00DD045E"/>
    <w:rsid w:val="00DD1E65"/>
    <w:rsid w:val="00DD2635"/>
    <w:rsid w:val="00DD2BE4"/>
    <w:rsid w:val="00DD2C54"/>
    <w:rsid w:val="00DD5501"/>
    <w:rsid w:val="00DD6D8F"/>
    <w:rsid w:val="00DD6DEF"/>
    <w:rsid w:val="00DD6F04"/>
    <w:rsid w:val="00DD759E"/>
    <w:rsid w:val="00DE0266"/>
    <w:rsid w:val="00DE0D7A"/>
    <w:rsid w:val="00DE16C3"/>
    <w:rsid w:val="00DE181C"/>
    <w:rsid w:val="00DE26A2"/>
    <w:rsid w:val="00DE3E14"/>
    <w:rsid w:val="00DE5AEE"/>
    <w:rsid w:val="00DE6249"/>
    <w:rsid w:val="00DE62F2"/>
    <w:rsid w:val="00DE735D"/>
    <w:rsid w:val="00DE7417"/>
    <w:rsid w:val="00DE783D"/>
    <w:rsid w:val="00DE7D2E"/>
    <w:rsid w:val="00DF194A"/>
    <w:rsid w:val="00DF1CDD"/>
    <w:rsid w:val="00DF1DF9"/>
    <w:rsid w:val="00DF2FDC"/>
    <w:rsid w:val="00DF3130"/>
    <w:rsid w:val="00DF3A3C"/>
    <w:rsid w:val="00DF42A0"/>
    <w:rsid w:val="00DF472F"/>
    <w:rsid w:val="00DF4BDE"/>
    <w:rsid w:val="00DF5077"/>
    <w:rsid w:val="00DF56EC"/>
    <w:rsid w:val="00DF7793"/>
    <w:rsid w:val="00E0059C"/>
    <w:rsid w:val="00E01798"/>
    <w:rsid w:val="00E0188A"/>
    <w:rsid w:val="00E01B40"/>
    <w:rsid w:val="00E02360"/>
    <w:rsid w:val="00E023DF"/>
    <w:rsid w:val="00E052B0"/>
    <w:rsid w:val="00E067A6"/>
    <w:rsid w:val="00E068B3"/>
    <w:rsid w:val="00E06DDE"/>
    <w:rsid w:val="00E0702F"/>
    <w:rsid w:val="00E07187"/>
    <w:rsid w:val="00E0734B"/>
    <w:rsid w:val="00E0740A"/>
    <w:rsid w:val="00E11392"/>
    <w:rsid w:val="00E114A7"/>
    <w:rsid w:val="00E13D70"/>
    <w:rsid w:val="00E1451D"/>
    <w:rsid w:val="00E15130"/>
    <w:rsid w:val="00E15217"/>
    <w:rsid w:val="00E1542D"/>
    <w:rsid w:val="00E1578C"/>
    <w:rsid w:val="00E15FBA"/>
    <w:rsid w:val="00E16F9D"/>
    <w:rsid w:val="00E17656"/>
    <w:rsid w:val="00E17683"/>
    <w:rsid w:val="00E2121C"/>
    <w:rsid w:val="00E22278"/>
    <w:rsid w:val="00E2284A"/>
    <w:rsid w:val="00E230FD"/>
    <w:rsid w:val="00E236F1"/>
    <w:rsid w:val="00E2398E"/>
    <w:rsid w:val="00E23A98"/>
    <w:rsid w:val="00E25A41"/>
    <w:rsid w:val="00E25BE4"/>
    <w:rsid w:val="00E2673A"/>
    <w:rsid w:val="00E26F97"/>
    <w:rsid w:val="00E26FCD"/>
    <w:rsid w:val="00E27AA4"/>
    <w:rsid w:val="00E30281"/>
    <w:rsid w:val="00E30994"/>
    <w:rsid w:val="00E314FA"/>
    <w:rsid w:val="00E3317B"/>
    <w:rsid w:val="00E337D9"/>
    <w:rsid w:val="00E3386F"/>
    <w:rsid w:val="00E33E64"/>
    <w:rsid w:val="00E3533B"/>
    <w:rsid w:val="00E3622A"/>
    <w:rsid w:val="00E364C4"/>
    <w:rsid w:val="00E37292"/>
    <w:rsid w:val="00E3757F"/>
    <w:rsid w:val="00E37980"/>
    <w:rsid w:val="00E41133"/>
    <w:rsid w:val="00E41E9F"/>
    <w:rsid w:val="00E41ED2"/>
    <w:rsid w:val="00E42994"/>
    <w:rsid w:val="00E42C74"/>
    <w:rsid w:val="00E43157"/>
    <w:rsid w:val="00E43212"/>
    <w:rsid w:val="00E4390D"/>
    <w:rsid w:val="00E43C54"/>
    <w:rsid w:val="00E43C96"/>
    <w:rsid w:val="00E44961"/>
    <w:rsid w:val="00E45D29"/>
    <w:rsid w:val="00E461F9"/>
    <w:rsid w:val="00E46307"/>
    <w:rsid w:val="00E4781D"/>
    <w:rsid w:val="00E50136"/>
    <w:rsid w:val="00E51067"/>
    <w:rsid w:val="00E533FF"/>
    <w:rsid w:val="00E53BD8"/>
    <w:rsid w:val="00E53DC6"/>
    <w:rsid w:val="00E53E5E"/>
    <w:rsid w:val="00E54100"/>
    <w:rsid w:val="00E54EF8"/>
    <w:rsid w:val="00E56125"/>
    <w:rsid w:val="00E5628F"/>
    <w:rsid w:val="00E56477"/>
    <w:rsid w:val="00E57833"/>
    <w:rsid w:val="00E57AC6"/>
    <w:rsid w:val="00E57B6B"/>
    <w:rsid w:val="00E57ECF"/>
    <w:rsid w:val="00E608CA"/>
    <w:rsid w:val="00E61067"/>
    <w:rsid w:val="00E61DC3"/>
    <w:rsid w:val="00E61FC3"/>
    <w:rsid w:val="00E62965"/>
    <w:rsid w:val="00E62BF1"/>
    <w:rsid w:val="00E6356C"/>
    <w:rsid w:val="00E6364D"/>
    <w:rsid w:val="00E63B98"/>
    <w:rsid w:val="00E64645"/>
    <w:rsid w:val="00E64863"/>
    <w:rsid w:val="00E648F3"/>
    <w:rsid w:val="00E64AF6"/>
    <w:rsid w:val="00E64E6F"/>
    <w:rsid w:val="00E654A2"/>
    <w:rsid w:val="00E65CB4"/>
    <w:rsid w:val="00E709B3"/>
    <w:rsid w:val="00E70B54"/>
    <w:rsid w:val="00E711AB"/>
    <w:rsid w:val="00E7126F"/>
    <w:rsid w:val="00E71410"/>
    <w:rsid w:val="00E71E57"/>
    <w:rsid w:val="00E71FD7"/>
    <w:rsid w:val="00E72E19"/>
    <w:rsid w:val="00E72FFF"/>
    <w:rsid w:val="00E7350C"/>
    <w:rsid w:val="00E74123"/>
    <w:rsid w:val="00E74177"/>
    <w:rsid w:val="00E753FA"/>
    <w:rsid w:val="00E75440"/>
    <w:rsid w:val="00E7676B"/>
    <w:rsid w:val="00E767BD"/>
    <w:rsid w:val="00E76C84"/>
    <w:rsid w:val="00E76CBC"/>
    <w:rsid w:val="00E7739E"/>
    <w:rsid w:val="00E774E4"/>
    <w:rsid w:val="00E807AA"/>
    <w:rsid w:val="00E80E83"/>
    <w:rsid w:val="00E81771"/>
    <w:rsid w:val="00E81A3E"/>
    <w:rsid w:val="00E82CCD"/>
    <w:rsid w:val="00E82F32"/>
    <w:rsid w:val="00E830CC"/>
    <w:rsid w:val="00E83848"/>
    <w:rsid w:val="00E855B5"/>
    <w:rsid w:val="00E8617F"/>
    <w:rsid w:val="00E86ABD"/>
    <w:rsid w:val="00E86E84"/>
    <w:rsid w:val="00E86EAF"/>
    <w:rsid w:val="00E87515"/>
    <w:rsid w:val="00E8789F"/>
    <w:rsid w:val="00E87AF8"/>
    <w:rsid w:val="00E87D23"/>
    <w:rsid w:val="00E908CF"/>
    <w:rsid w:val="00E91BE2"/>
    <w:rsid w:val="00E920D0"/>
    <w:rsid w:val="00E92215"/>
    <w:rsid w:val="00E92993"/>
    <w:rsid w:val="00E92E80"/>
    <w:rsid w:val="00E9316D"/>
    <w:rsid w:val="00E93BDB"/>
    <w:rsid w:val="00E93E6B"/>
    <w:rsid w:val="00E94203"/>
    <w:rsid w:val="00E94D19"/>
    <w:rsid w:val="00E94E3D"/>
    <w:rsid w:val="00E961D0"/>
    <w:rsid w:val="00E96942"/>
    <w:rsid w:val="00E978C5"/>
    <w:rsid w:val="00E97B71"/>
    <w:rsid w:val="00EA01E7"/>
    <w:rsid w:val="00EA077D"/>
    <w:rsid w:val="00EA1283"/>
    <w:rsid w:val="00EA1669"/>
    <w:rsid w:val="00EA26BA"/>
    <w:rsid w:val="00EA3371"/>
    <w:rsid w:val="00EA3933"/>
    <w:rsid w:val="00EA48EC"/>
    <w:rsid w:val="00EA4EB1"/>
    <w:rsid w:val="00EA4F82"/>
    <w:rsid w:val="00EA5A04"/>
    <w:rsid w:val="00EA5FE2"/>
    <w:rsid w:val="00EA603E"/>
    <w:rsid w:val="00EA6A6E"/>
    <w:rsid w:val="00EA70E0"/>
    <w:rsid w:val="00EA7E2A"/>
    <w:rsid w:val="00EA7F95"/>
    <w:rsid w:val="00EB01F4"/>
    <w:rsid w:val="00EB0252"/>
    <w:rsid w:val="00EB15FF"/>
    <w:rsid w:val="00EB18F6"/>
    <w:rsid w:val="00EB1D83"/>
    <w:rsid w:val="00EB24D7"/>
    <w:rsid w:val="00EB2ED9"/>
    <w:rsid w:val="00EB394F"/>
    <w:rsid w:val="00EB4080"/>
    <w:rsid w:val="00EB4249"/>
    <w:rsid w:val="00EB454D"/>
    <w:rsid w:val="00EB454F"/>
    <w:rsid w:val="00EB4B7E"/>
    <w:rsid w:val="00EB51DC"/>
    <w:rsid w:val="00EB51EA"/>
    <w:rsid w:val="00EB55C1"/>
    <w:rsid w:val="00EB6170"/>
    <w:rsid w:val="00EB62D9"/>
    <w:rsid w:val="00EB6B06"/>
    <w:rsid w:val="00EB7A72"/>
    <w:rsid w:val="00EB7F0A"/>
    <w:rsid w:val="00EC0BA4"/>
    <w:rsid w:val="00EC112E"/>
    <w:rsid w:val="00EC1180"/>
    <w:rsid w:val="00EC2052"/>
    <w:rsid w:val="00EC20C2"/>
    <w:rsid w:val="00EC2AAD"/>
    <w:rsid w:val="00EC31F9"/>
    <w:rsid w:val="00EC36F6"/>
    <w:rsid w:val="00EC437D"/>
    <w:rsid w:val="00EC45C1"/>
    <w:rsid w:val="00EC5123"/>
    <w:rsid w:val="00EC5570"/>
    <w:rsid w:val="00EC59D9"/>
    <w:rsid w:val="00EC68B2"/>
    <w:rsid w:val="00EC6931"/>
    <w:rsid w:val="00EC714E"/>
    <w:rsid w:val="00EC74EB"/>
    <w:rsid w:val="00EC7C31"/>
    <w:rsid w:val="00ED0268"/>
    <w:rsid w:val="00ED04F8"/>
    <w:rsid w:val="00ED0661"/>
    <w:rsid w:val="00ED0E31"/>
    <w:rsid w:val="00ED0F40"/>
    <w:rsid w:val="00ED1405"/>
    <w:rsid w:val="00ED147C"/>
    <w:rsid w:val="00ED18FD"/>
    <w:rsid w:val="00ED19E9"/>
    <w:rsid w:val="00ED2D1D"/>
    <w:rsid w:val="00ED3A8E"/>
    <w:rsid w:val="00ED3AB2"/>
    <w:rsid w:val="00ED52B0"/>
    <w:rsid w:val="00ED56AB"/>
    <w:rsid w:val="00ED5BE1"/>
    <w:rsid w:val="00EE04C1"/>
    <w:rsid w:val="00EE0BA9"/>
    <w:rsid w:val="00EE0D3E"/>
    <w:rsid w:val="00EE140F"/>
    <w:rsid w:val="00EE2931"/>
    <w:rsid w:val="00EE2BD2"/>
    <w:rsid w:val="00EE3522"/>
    <w:rsid w:val="00EE36D7"/>
    <w:rsid w:val="00EE39AD"/>
    <w:rsid w:val="00EE4E4B"/>
    <w:rsid w:val="00EE5C5E"/>
    <w:rsid w:val="00EE5D7E"/>
    <w:rsid w:val="00EE5E58"/>
    <w:rsid w:val="00EF04A0"/>
    <w:rsid w:val="00EF0CEF"/>
    <w:rsid w:val="00EF2493"/>
    <w:rsid w:val="00EF2BCD"/>
    <w:rsid w:val="00EF36AC"/>
    <w:rsid w:val="00EF4804"/>
    <w:rsid w:val="00EF49F0"/>
    <w:rsid w:val="00EF4C4E"/>
    <w:rsid w:val="00EF4EC3"/>
    <w:rsid w:val="00EF56CE"/>
    <w:rsid w:val="00EF5839"/>
    <w:rsid w:val="00EF5AA9"/>
    <w:rsid w:val="00EF619B"/>
    <w:rsid w:val="00EF620A"/>
    <w:rsid w:val="00EF6972"/>
    <w:rsid w:val="00EF7183"/>
    <w:rsid w:val="00EF7231"/>
    <w:rsid w:val="00EF78C3"/>
    <w:rsid w:val="00EF79F1"/>
    <w:rsid w:val="00F001CA"/>
    <w:rsid w:val="00F005EE"/>
    <w:rsid w:val="00F00B55"/>
    <w:rsid w:val="00F0235E"/>
    <w:rsid w:val="00F02586"/>
    <w:rsid w:val="00F04AFE"/>
    <w:rsid w:val="00F059CF"/>
    <w:rsid w:val="00F06961"/>
    <w:rsid w:val="00F1005F"/>
    <w:rsid w:val="00F10CE6"/>
    <w:rsid w:val="00F11242"/>
    <w:rsid w:val="00F1188B"/>
    <w:rsid w:val="00F1216B"/>
    <w:rsid w:val="00F1380F"/>
    <w:rsid w:val="00F1475B"/>
    <w:rsid w:val="00F14F0E"/>
    <w:rsid w:val="00F14F98"/>
    <w:rsid w:val="00F15799"/>
    <w:rsid w:val="00F15B6A"/>
    <w:rsid w:val="00F16AD4"/>
    <w:rsid w:val="00F16F8E"/>
    <w:rsid w:val="00F175ED"/>
    <w:rsid w:val="00F1763D"/>
    <w:rsid w:val="00F17799"/>
    <w:rsid w:val="00F17D5E"/>
    <w:rsid w:val="00F20236"/>
    <w:rsid w:val="00F2059E"/>
    <w:rsid w:val="00F20D2B"/>
    <w:rsid w:val="00F21553"/>
    <w:rsid w:val="00F21703"/>
    <w:rsid w:val="00F2328B"/>
    <w:rsid w:val="00F24C29"/>
    <w:rsid w:val="00F253CC"/>
    <w:rsid w:val="00F25C31"/>
    <w:rsid w:val="00F25CBB"/>
    <w:rsid w:val="00F267BE"/>
    <w:rsid w:val="00F267E4"/>
    <w:rsid w:val="00F26B0B"/>
    <w:rsid w:val="00F27458"/>
    <w:rsid w:val="00F277DB"/>
    <w:rsid w:val="00F27ACD"/>
    <w:rsid w:val="00F27CD8"/>
    <w:rsid w:val="00F27CFD"/>
    <w:rsid w:val="00F27F00"/>
    <w:rsid w:val="00F311E2"/>
    <w:rsid w:val="00F31814"/>
    <w:rsid w:val="00F32262"/>
    <w:rsid w:val="00F33037"/>
    <w:rsid w:val="00F33484"/>
    <w:rsid w:val="00F3379A"/>
    <w:rsid w:val="00F34265"/>
    <w:rsid w:val="00F345AF"/>
    <w:rsid w:val="00F35C2A"/>
    <w:rsid w:val="00F35E2A"/>
    <w:rsid w:val="00F36C33"/>
    <w:rsid w:val="00F36D40"/>
    <w:rsid w:val="00F36F27"/>
    <w:rsid w:val="00F37481"/>
    <w:rsid w:val="00F377BE"/>
    <w:rsid w:val="00F37F99"/>
    <w:rsid w:val="00F40B92"/>
    <w:rsid w:val="00F4139C"/>
    <w:rsid w:val="00F41A44"/>
    <w:rsid w:val="00F423E9"/>
    <w:rsid w:val="00F427E6"/>
    <w:rsid w:val="00F42B8E"/>
    <w:rsid w:val="00F434F9"/>
    <w:rsid w:val="00F438CD"/>
    <w:rsid w:val="00F43ECF"/>
    <w:rsid w:val="00F441B9"/>
    <w:rsid w:val="00F45EBF"/>
    <w:rsid w:val="00F46498"/>
    <w:rsid w:val="00F469D8"/>
    <w:rsid w:val="00F503B5"/>
    <w:rsid w:val="00F50844"/>
    <w:rsid w:val="00F50CCD"/>
    <w:rsid w:val="00F516D3"/>
    <w:rsid w:val="00F51F0D"/>
    <w:rsid w:val="00F53BBB"/>
    <w:rsid w:val="00F545AC"/>
    <w:rsid w:val="00F54873"/>
    <w:rsid w:val="00F548A6"/>
    <w:rsid w:val="00F5497B"/>
    <w:rsid w:val="00F54F56"/>
    <w:rsid w:val="00F55507"/>
    <w:rsid w:val="00F55F3B"/>
    <w:rsid w:val="00F566C6"/>
    <w:rsid w:val="00F5694D"/>
    <w:rsid w:val="00F56970"/>
    <w:rsid w:val="00F56A40"/>
    <w:rsid w:val="00F56BA5"/>
    <w:rsid w:val="00F56BE1"/>
    <w:rsid w:val="00F56D59"/>
    <w:rsid w:val="00F57538"/>
    <w:rsid w:val="00F57731"/>
    <w:rsid w:val="00F6022A"/>
    <w:rsid w:val="00F60E01"/>
    <w:rsid w:val="00F6108F"/>
    <w:rsid w:val="00F61379"/>
    <w:rsid w:val="00F6160F"/>
    <w:rsid w:val="00F61B4C"/>
    <w:rsid w:val="00F61BE4"/>
    <w:rsid w:val="00F6255A"/>
    <w:rsid w:val="00F629C7"/>
    <w:rsid w:val="00F62C42"/>
    <w:rsid w:val="00F637BF"/>
    <w:rsid w:val="00F644E6"/>
    <w:rsid w:val="00F652F0"/>
    <w:rsid w:val="00F6589A"/>
    <w:rsid w:val="00F666B5"/>
    <w:rsid w:val="00F66BDC"/>
    <w:rsid w:val="00F70342"/>
    <w:rsid w:val="00F71643"/>
    <w:rsid w:val="00F71982"/>
    <w:rsid w:val="00F71F53"/>
    <w:rsid w:val="00F725D1"/>
    <w:rsid w:val="00F72B58"/>
    <w:rsid w:val="00F737D9"/>
    <w:rsid w:val="00F7392C"/>
    <w:rsid w:val="00F744C2"/>
    <w:rsid w:val="00F746CA"/>
    <w:rsid w:val="00F74B0B"/>
    <w:rsid w:val="00F769C7"/>
    <w:rsid w:val="00F77176"/>
    <w:rsid w:val="00F7730A"/>
    <w:rsid w:val="00F7784C"/>
    <w:rsid w:val="00F77995"/>
    <w:rsid w:val="00F77BFA"/>
    <w:rsid w:val="00F77E6F"/>
    <w:rsid w:val="00F820EF"/>
    <w:rsid w:val="00F8244B"/>
    <w:rsid w:val="00F82683"/>
    <w:rsid w:val="00F83D11"/>
    <w:rsid w:val="00F849BF"/>
    <w:rsid w:val="00F857F6"/>
    <w:rsid w:val="00F86E36"/>
    <w:rsid w:val="00F86EE8"/>
    <w:rsid w:val="00F87A9A"/>
    <w:rsid w:val="00F902BF"/>
    <w:rsid w:val="00F91540"/>
    <w:rsid w:val="00F916A0"/>
    <w:rsid w:val="00F916AC"/>
    <w:rsid w:val="00F929C3"/>
    <w:rsid w:val="00F92CA1"/>
    <w:rsid w:val="00F93826"/>
    <w:rsid w:val="00F9513A"/>
    <w:rsid w:val="00F9653B"/>
    <w:rsid w:val="00F97B89"/>
    <w:rsid w:val="00F97D53"/>
    <w:rsid w:val="00FA01C8"/>
    <w:rsid w:val="00FA081A"/>
    <w:rsid w:val="00FA1759"/>
    <w:rsid w:val="00FA1ADA"/>
    <w:rsid w:val="00FA21FC"/>
    <w:rsid w:val="00FA2245"/>
    <w:rsid w:val="00FA248A"/>
    <w:rsid w:val="00FA2C02"/>
    <w:rsid w:val="00FA2C1D"/>
    <w:rsid w:val="00FA310E"/>
    <w:rsid w:val="00FA33B5"/>
    <w:rsid w:val="00FA359A"/>
    <w:rsid w:val="00FA3BDF"/>
    <w:rsid w:val="00FA5E83"/>
    <w:rsid w:val="00FA63CD"/>
    <w:rsid w:val="00FA73EB"/>
    <w:rsid w:val="00FA773D"/>
    <w:rsid w:val="00FA7982"/>
    <w:rsid w:val="00FA7CCD"/>
    <w:rsid w:val="00FB0135"/>
    <w:rsid w:val="00FB0E27"/>
    <w:rsid w:val="00FB0F94"/>
    <w:rsid w:val="00FB1A16"/>
    <w:rsid w:val="00FB1A3C"/>
    <w:rsid w:val="00FB2597"/>
    <w:rsid w:val="00FB3C92"/>
    <w:rsid w:val="00FB49E0"/>
    <w:rsid w:val="00FB4EE9"/>
    <w:rsid w:val="00FB62CF"/>
    <w:rsid w:val="00FB65FF"/>
    <w:rsid w:val="00FB74A8"/>
    <w:rsid w:val="00FC052E"/>
    <w:rsid w:val="00FC084F"/>
    <w:rsid w:val="00FC13F0"/>
    <w:rsid w:val="00FC1E3D"/>
    <w:rsid w:val="00FC2C52"/>
    <w:rsid w:val="00FC3262"/>
    <w:rsid w:val="00FC3283"/>
    <w:rsid w:val="00FC3E0A"/>
    <w:rsid w:val="00FC3EB4"/>
    <w:rsid w:val="00FC406F"/>
    <w:rsid w:val="00FC4AB2"/>
    <w:rsid w:val="00FC544A"/>
    <w:rsid w:val="00FC5458"/>
    <w:rsid w:val="00FC6C58"/>
    <w:rsid w:val="00FC70D7"/>
    <w:rsid w:val="00FC78B0"/>
    <w:rsid w:val="00FD1863"/>
    <w:rsid w:val="00FD1C8A"/>
    <w:rsid w:val="00FD1DD0"/>
    <w:rsid w:val="00FD279F"/>
    <w:rsid w:val="00FD3BD1"/>
    <w:rsid w:val="00FD3E3D"/>
    <w:rsid w:val="00FD5518"/>
    <w:rsid w:val="00FD56CC"/>
    <w:rsid w:val="00FD635E"/>
    <w:rsid w:val="00FD71F0"/>
    <w:rsid w:val="00FD746F"/>
    <w:rsid w:val="00FE09CA"/>
    <w:rsid w:val="00FE144F"/>
    <w:rsid w:val="00FE157F"/>
    <w:rsid w:val="00FE1EAD"/>
    <w:rsid w:val="00FE21AB"/>
    <w:rsid w:val="00FE25F4"/>
    <w:rsid w:val="00FE3A05"/>
    <w:rsid w:val="00FE3CEC"/>
    <w:rsid w:val="00FE40DE"/>
    <w:rsid w:val="00FE4DAB"/>
    <w:rsid w:val="00FE6A5A"/>
    <w:rsid w:val="00FE6B45"/>
    <w:rsid w:val="00FE6B58"/>
    <w:rsid w:val="00FE6EBC"/>
    <w:rsid w:val="00FE6F98"/>
    <w:rsid w:val="00FE769E"/>
    <w:rsid w:val="00FE7E36"/>
    <w:rsid w:val="00FF05BC"/>
    <w:rsid w:val="00FF0651"/>
    <w:rsid w:val="00FF19BA"/>
    <w:rsid w:val="00FF1B45"/>
    <w:rsid w:val="00FF1B5F"/>
    <w:rsid w:val="00FF1C0D"/>
    <w:rsid w:val="00FF1C1C"/>
    <w:rsid w:val="00FF379A"/>
    <w:rsid w:val="00FF3FB7"/>
    <w:rsid w:val="00FF4B22"/>
    <w:rsid w:val="00FF5724"/>
    <w:rsid w:val="00FF5851"/>
    <w:rsid w:val="00FF6C89"/>
    <w:rsid w:val="00FF7145"/>
    <w:rsid w:val="00FF7650"/>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6C1BF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F0CEF"/>
    <w:rPr>
      <w:sz w:val="24"/>
      <w:szCs w:val="24"/>
      <w:lang w:val="en-US" w:eastAsia="en-US"/>
    </w:rPr>
  </w:style>
  <w:style w:type="paragraph" w:styleId="Heading1">
    <w:name w:val="heading 1"/>
    <w:basedOn w:val="Normal"/>
    <w:next w:val="Normal"/>
    <w:link w:val="Heading1Char"/>
    <w:uiPriority w:val="9"/>
    <w:qFormat/>
    <w:rsid w:val="00B36400"/>
    <w:pPr>
      <w:numPr>
        <w:numId w:val="56"/>
      </w:numPr>
      <w:tabs>
        <w:tab w:val="left" w:pos="360"/>
      </w:tabs>
      <w:suppressAutoHyphens/>
      <w:ind w:right="1080"/>
      <w:jc w:val="both"/>
      <w:outlineLvl w:val="0"/>
    </w:pPr>
    <w:rPr>
      <w:rFonts w:asciiTheme="majorHAnsi" w:eastAsiaTheme="majorEastAsia" w:hAnsiTheme="majorHAnsi" w:cstheme="majorBidi"/>
      <w:b/>
      <w:bCs/>
      <w:sz w:val="20"/>
      <w:szCs w:val="28"/>
    </w:rPr>
  </w:style>
  <w:style w:type="paragraph" w:styleId="Heading2">
    <w:name w:val="heading 2"/>
    <w:basedOn w:val="Normal"/>
    <w:next w:val="Normal"/>
    <w:link w:val="Heading2Char"/>
    <w:unhideWhenUsed/>
    <w:qFormat/>
    <w:rsid w:val="00B36400"/>
    <w:pPr>
      <w:keepNext/>
      <w:numPr>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outlineLvl w:val="1"/>
    </w:pPr>
    <w:rPr>
      <w:rFonts w:asciiTheme="majorHAnsi" w:eastAsiaTheme="majorEastAsia" w:hAnsiTheme="majorHAnsi" w:cstheme="majorBidi"/>
      <w:b/>
      <w:bCs/>
      <w:sz w:val="20"/>
      <w:szCs w:val="26"/>
    </w:rPr>
  </w:style>
  <w:style w:type="paragraph" w:styleId="Heading3">
    <w:name w:val="heading 3"/>
    <w:basedOn w:val="Normal"/>
    <w:next w:val="Normal"/>
    <w:link w:val="Heading3Char"/>
    <w:unhideWhenUsed/>
    <w:qFormat/>
    <w:rsid w:val="009B541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B36400"/>
    <w:rPr>
      <w:rFonts w:asciiTheme="majorHAnsi" w:eastAsiaTheme="majorEastAsia" w:hAnsiTheme="majorHAnsi" w:cstheme="majorBidi"/>
      <w:b/>
      <w:bCs/>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D3350E"/>
    <w:pPr>
      <w:tabs>
        <w:tab w:val="left" w:pos="1440"/>
        <w:tab w:val="right" w:leader="dot" w:pos="9350"/>
      </w:tabs>
      <w:spacing w:after="100"/>
      <w:ind w:left="1440" w:hanging="360"/>
    </w:pPr>
    <w:rPr>
      <w:noProof/>
    </w:rPr>
  </w:style>
  <w:style w:type="paragraph" w:styleId="TOC1">
    <w:name w:val="toc 1"/>
    <w:basedOn w:val="Normal"/>
    <w:next w:val="Normal"/>
    <w:autoRedefine/>
    <w:uiPriority w:val="39"/>
    <w:unhideWhenUsed/>
    <w:rsid w:val="00232A3C"/>
    <w:pPr>
      <w:tabs>
        <w:tab w:val="left" w:pos="1440"/>
        <w:tab w:val="right" w:leader="dot" w:pos="9350"/>
      </w:tabs>
      <w:spacing w:after="100"/>
      <w:ind w:left="720"/>
    </w:pPr>
    <w:rPr>
      <w:rFonts w:asciiTheme="majorHAnsi" w:hAnsiTheme="majorHAnsi"/>
      <w:b/>
      <w:noProof/>
      <w:sz w:val="20"/>
      <w:szCs w:val="20"/>
      <w:lang w:val="es-ES_tradnl"/>
    </w:rPr>
  </w:style>
  <w:style w:type="paragraph" w:styleId="TOC3">
    <w:name w:val="toc 3"/>
    <w:basedOn w:val="Normal"/>
    <w:next w:val="Normal"/>
    <w:autoRedefine/>
    <w:uiPriority w:val="39"/>
    <w:unhideWhenUsed/>
    <w:rsid w:val="00864785"/>
    <w:pPr>
      <w:tabs>
        <w:tab w:val="left" w:pos="880"/>
        <w:tab w:val="left" w:pos="180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Ref,de nota al pie"/>
    <w:link w:val="FootnotesrefssChar1Char"/>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036A8A"/>
    <w:rPr>
      <w:rFonts w:ascii="Calibri" w:eastAsia="Calibri" w:hAnsi="Calibri" w:cs="Calibri"/>
      <w:color w:val="000000"/>
      <w:u w:color="000000"/>
      <w:lang w:val="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F45EB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F45EBF"/>
    <w:rPr>
      <w:rFonts w:ascii="Cambria" w:eastAsia="Cambria" w:hAnsi="Cambria" w:cs="Cambria"/>
      <w:color w:val="000000"/>
      <w:sz w:val="24"/>
      <w:szCs w:val="24"/>
      <w:u w:color="000000"/>
      <w:lang w:val="en-US"/>
    </w:rPr>
  </w:style>
  <w:style w:type="paragraph" w:customStyle="1" w:styleId="indent">
    <w:name w:val="indent"/>
    <w:basedOn w:val="Normal"/>
    <w:rsid w:val="00D8741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um">
    <w:name w:val="num"/>
    <w:basedOn w:val="DefaultParagraphFont"/>
    <w:rsid w:val="00D87416"/>
  </w:style>
  <w:style w:type="paragraph" w:styleId="NormalWeb">
    <w:name w:val="Normal (Web)"/>
    <w:basedOn w:val="Normal"/>
    <w:uiPriority w:val="99"/>
    <w:unhideWhenUsed/>
    <w:rsid w:val="0050753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tyle1Char">
    <w:name w:val="Style1 Char"/>
    <w:link w:val="Style1"/>
    <w:locked/>
    <w:rsid w:val="007D2FEE"/>
    <w:rPr>
      <w:rFonts w:ascii="Cambria" w:eastAsia="Times New Roman" w:hAnsi="Cambria"/>
      <w:b/>
      <w:bCs/>
      <w:bdr w:val="none" w:sz="0" w:space="0" w:color="auto" w:frame="1"/>
      <w:lang w:val="es-ES_tradnl" w:eastAsia="en-US"/>
    </w:rPr>
  </w:style>
  <w:style w:type="paragraph" w:customStyle="1" w:styleId="Style1">
    <w:name w:val="Style1"/>
    <w:basedOn w:val="Normal"/>
    <w:link w:val="Style1Char"/>
    <w:qFormat/>
    <w:rsid w:val="007D2FE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Cambria" w:eastAsia="Times New Roman" w:hAnsi="Cambria"/>
      <w:b/>
      <w:bCs/>
      <w:sz w:val="20"/>
      <w:szCs w:val="20"/>
      <w:bdr w:val="none" w:sz="0" w:space="0" w:color="auto" w:frame="1"/>
      <w:lang w:val="es-ES_tradnl"/>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9D15C7"/>
    <w:rPr>
      <w:rFonts w:ascii="Calibri" w:hAnsi="Calibri"/>
      <w:color w:val="000000"/>
      <w:u w:color="000000"/>
    </w:rPr>
  </w:style>
  <w:style w:type="paragraph" w:customStyle="1" w:styleId="Footnotes">
    <w:name w:val="Footnotes"/>
    <w:basedOn w:val="FootnoteText"/>
    <w:qFormat/>
    <w:rsid w:val="000332F4"/>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both"/>
    </w:pPr>
    <w:rPr>
      <w:rFonts w:ascii="Cambria" w:hAnsi="Cambria" w:cs="Times New Roman"/>
      <w:color w:val="auto"/>
      <w:sz w:val="18"/>
      <w:szCs w:val="18"/>
      <w:bdr w:val="none" w:sz="0" w:space="0" w:color="auto"/>
      <w:lang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1937A5"/>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Theme="minorHAnsi" w:eastAsiaTheme="minorEastAsia" w:hAnsiTheme="minorHAnsi" w:cstheme="minorBidi"/>
      <w:bdr w:val="none" w:sz="0" w:space="0" w:color="auto"/>
      <w:vertAlign w:val="superscript"/>
      <w:lang w:val="es-ES_tradnl" w:eastAsia="es-ES"/>
    </w:rPr>
  </w:style>
  <w:style w:type="character" w:customStyle="1" w:styleId="apple-converted-space">
    <w:name w:val="apple-converted-space"/>
    <w:rsid w:val="007607EC"/>
  </w:style>
  <w:style w:type="character" w:customStyle="1" w:styleId="apple-style-span">
    <w:name w:val="apple-style-span"/>
    <w:basedOn w:val="DefaultParagraphFont"/>
    <w:rsid w:val="00095575"/>
    <w:rPr>
      <w:rFonts w:cs="Times New Roman"/>
    </w:rPr>
  </w:style>
  <w:style w:type="character" w:customStyle="1" w:styleId="Heading2Char">
    <w:name w:val="Heading 2 Char"/>
    <w:basedOn w:val="DefaultParagraphFont"/>
    <w:link w:val="Heading2"/>
    <w:rsid w:val="00B36400"/>
    <w:rPr>
      <w:rFonts w:asciiTheme="majorHAnsi" w:eastAsiaTheme="majorEastAsia" w:hAnsiTheme="majorHAnsi" w:cstheme="majorBidi"/>
      <w:b/>
      <w:bCs/>
      <w:szCs w:val="26"/>
      <w:lang w:val="en-US" w:eastAsia="en-US"/>
    </w:rPr>
  </w:style>
  <w:style w:type="character" w:customStyle="1" w:styleId="Heading3Char">
    <w:name w:val="Heading 3 Char"/>
    <w:basedOn w:val="DefaultParagraphFont"/>
    <w:link w:val="Heading3"/>
    <w:rsid w:val="009B541A"/>
    <w:rPr>
      <w:rFonts w:asciiTheme="majorHAnsi" w:eastAsiaTheme="majorEastAsia" w:hAnsiTheme="majorHAnsi" w:cstheme="majorBidi"/>
      <w:b/>
      <w:bCs/>
      <w:color w:val="4F81BD" w:themeColor="accent1"/>
      <w:sz w:val="24"/>
      <w:szCs w:val="24"/>
      <w:lang w:val="en-US" w:eastAsia="en-US"/>
    </w:rPr>
  </w:style>
  <w:style w:type="paragraph" w:customStyle="1" w:styleId="Default">
    <w:name w:val="Default"/>
    <w:link w:val="DefaultChar"/>
    <w:rsid w:val="009B541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HAnsi"/>
      <w:color w:val="000000"/>
      <w:sz w:val="24"/>
      <w:szCs w:val="24"/>
      <w:bdr w:val="none" w:sz="0" w:space="0" w:color="auto"/>
      <w:lang w:val="en-GB" w:eastAsia="en-US"/>
    </w:rPr>
  </w:style>
  <w:style w:type="character" w:customStyle="1" w:styleId="sb8d990e2">
    <w:name w:val="sb8d990e2"/>
    <w:rsid w:val="00E43C54"/>
  </w:style>
  <w:style w:type="numbering" w:styleId="111111">
    <w:name w:val="Outline List 2"/>
    <w:basedOn w:val="NoList"/>
    <w:uiPriority w:val="99"/>
    <w:semiHidden/>
    <w:unhideWhenUsed/>
    <w:rsid w:val="00ED56AB"/>
    <w:pPr>
      <w:numPr>
        <w:numId w:val="55"/>
      </w:numPr>
    </w:pPr>
  </w:style>
  <w:style w:type="character" w:styleId="CommentReference">
    <w:name w:val="annotation reference"/>
    <w:basedOn w:val="DefaultParagraphFont"/>
    <w:uiPriority w:val="99"/>
    <w:semiHidden/>
    <w:unhideWhenUsed/>
    <w:rsid w:val="00EA6A6E"/>
    <w:rPr>
      <w:sz w:val="16"/>
      <w:szCs w:val="16"/>
    </w:rPr>
  </w:style>
  <w:style w:type="paragraph" w:styleId="CommentText">
    <w:name w:val="annotation text"/>
    <w:basedOn w:val="Normal"/>
    <w:link w:val="CommentTextChar"/>
    <w:uiPriority w:val="99"/>
    <w:semiHidden/>
    <w:unhideWhenUsed/>
    <w:rsid w:val="00EA6A6E"/>
    <w:rPr>
      <w:sz w:val="20"/>
      <w:szCs w:val="20"/>
    </w:rPr>
  </w:style>
  <w:style w:type="character" w:customStyle="1" w:styleId="CommentTextChar">
    <w:name w:val="Comment Text Char"/>
    <w:basedOn w:val="DefaultParagraphFont"/>
    <w:link w:val="CommentText"/>
    <w:uiPriority w:val="99"/>
    <w:semiHidden/>
    <w:rsid w:val="00EA6A6E"/>
    <w:rPr>
      <w:lang w:val="en-US" w:eastAsia="en-US"/>
    </w:rPr>
  </w:style>
  <w:style w:type="paragraph" w:styleId="CommentSubject">
    <w:name w:val="annotation subject"/>
    <w:basedOn w:val="CommentText"/>
    <w:next w:val="CommentText"/>
    <w:link w:val="CommentSubjectChar"/>
    <w:uiPriority w:val="99"/>
    <w:semiHidden/>
    <w:unhideWhenUsed/>
    <w:rsid w:val="00EA6A6E"/>
    <w:rPr>
      <w:b/>
      <w:bCs/>
    </w:rPr>
  </w:style>
  <w:style w:type="character" w:customStyle="1" w:styleId="CommentSubjectChar">
    <w:name w:val="Comment Subject Char"/>
    <w:basedOn w:val="CommentTextChar"/>
    <w:link w:val="CommentSubject"/>
    <w:uiPriority w:val="99"/>
    <w:semiHidden/>
    <w:rsid w:val="00EA6A6E"/>
    <w:rPr>
      <w:b/>
      <w:bCs/>
      <w:lang w:val="en-US" w:eastAsia="en-US"/>
    </w:rPr>
  </w:style>
  <w:style w:type="paragraph" w:styleId="Revision">
    <w:name w:val="Revision"/>
    <w:hidden/>
    <w:uiPriority w:val="99"/>
    <w:semiHidden/>
    <w:rsid w:val="006C181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Strong">
    <w:name w:val="Strong"/>
    <w:basedOn w:val="DefaultParagraphFont"/>
    <w:uiPriority w:val="22"/>
    <w:qFormat/>
    <w:rsid w:val="006A538E"/>
    <w:rPr>
      <w:b/>
      <w:bCs/>
    </w:rPr>
  </w:style>
  <w:style w:type="table" w:styleId="TableGrid">
    <w:name w:val="Table Grid"/>
    <w:basedOn w:val="TableNormal"/>
    <w:uiPriority w:val="59"/>
    <w:rsid w:val="00947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67053"/>
    <w:rPr>
      <w:color w:val="800080" w:themeColor="followedHyperlink"/>
      <w:u w:val="single"/>
    </w:rPr>
  </w:style>
  <w:style w:type="paragraph" w:customStyle="1" w:styleId="parrafos">
    <w:name w:val="parrafos"/>
    <w:basedOn w:val="Normal"/>
    <w:link w:val="parrafosChar"/>
    <w:qFormat/>
    <w:rsid w:val="00FB0135"/>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720" w:hanging="360"/>
      <w:jc w:val="both"/>
    </w:pPr>
    <w:rPr>
      <w:rFonts w:asciiTheme="majorHAnsi" w:hAnsiTheme="majorHAnsi"/>
      <w:color w:val="000000" w:themeColor="text1"/>
      <w:sz w:val="20"/>
      <w:szCs w:val="20"/>
    </w:rPr>
  </w:style>
  <w:style w:type="character" w:customStyle="1" w:styleId="parrafosChar">
    <w:name w:val="parrafos Char"/>
    <w:basedOn w:val="DefaultParagraphFont"/>
    <w:link w:val="parrafos"/>
    <w:rsid w:val="00FB0135"/>
    <w:rPr>
      <w:rFonts w:asciiTheme="majorHAnsi" w:hAnsiTheme="majorHAnsi"/>
      <w:color w:val="000000" w:themeColor="text1"/>
      <w:lang w:val="en-US" w:eastAsia="en-US"/>
    </w:rPr>
  </w:style>
  <w:style w:type="paragraph" w:styleId="BodyTextIndent2">
    <w:name w:val="Body Text Indent 2"/>
    <w:basedOn w:val="Normal"/>
    <w:link w:val="BodyTextIndent2Char"/>
    <w:uiPriority w:val="99"/>
    <w:semiHidden/>
    <w:unhideWhenUsed/>
    <w:rsid w:val="00B36400"/>
    <w:pPr>
      <w:spacing w:after="120" w:line="480" w:lineRule="auto"/>
      <w:ind w:left="360"/>
    </w:pPr>
  </w:style>
  <w:style w:type="character" w:customStyle="1" w:styleId="BodyTextIndent2Char">
    <w:name w:val="Body Text Indent 2 Char"/>
    <w:basedOn w:val="DefaultParagraphFont"/>
    <w:link w:val="BodyTextIndent2"/>
    <w:uiPriority w:val="99"/>
    <w:semiHidden/>
    <w:rsid w:val="00B36400"/>
    <w:rPr>
      <w:sz w:val="24"/>
      <w:szCs w:val="24"/>
      <w:lang w:val="en-US" w:eastAsia="en-US"/>
    </w:rPr>
  </w:style>
  <w:style w:type="paragraph" w:styleId="EndnoteText">
    <w:name w:val="endnote text"/>
    <w:basedOn w:val="Normal"/>
    <w:link w:val="EndnoteTextChar"/>
    <w:rsid w:val="00B3640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B36400"/>
    <w:rPr>
      <w:rFonts w:eastAsia="Times New Roman"/>
      <w:sz w:val="24"/>
      <w:szCs w:val="24"/>
      <w:bdr w:val="none" w:sz="0" w:space="0" w:color="auto"/>
      <w:lang w:val="en-US" w:eastAsia="en-US"/>
    </w:rPr>
  </w:style>
  <w:style w:type="character" w:customStyle="1" w:styleId="DefaultChar">
    <w:name w:val="Default Char"/>
    <w:link w:val="Default"/>
    <w:rsid w:val="00B36400"/>
    <w:rPr>
      <w:rFonts w:eastAsiaTheme="minorHAnsi"/>
      <w:color w:val="000000"/>
      <w:sz w:val="24"/>
      <w:szCs w:val="24"/>
      <w:bdr w:val="none" w:sz="0" w:space="0" w:color="auto"/>
      <w:lang w:val="en-GB" w:eastAsia="en-US"/>
    </w:rPr>
  </w:style>
  <w:style w:type="paragraph" w:styleId="NoSpacing">
    <w:name w:val="No Spacing"/>
    <w:uiPriority w:val="1"/>
    <w:qFormat/>
    <w:rsid w:val="00B36400"/>
    <w:rPr>
      <w:sz w:val="24"/>
      <w:szCs w:val="24"/>
      <w:lang w:val="en-US" w:eastAsia="en-US"/>
    </w:rPr>
  </w:style>
  <w:style w:type="paragraph" w:customStyle="1" w:styleId="citas">
    <w:name w:val="citas"/>
    <w:basedOn w:val="ListParagraph"/>
    <w:link w:val="citasChar"/>
    <w:qFormat/>
    <w:rsid w:val="00B36400"/>
    <w:pPr>
      <w:tabs>
        <w:tab w:val="left" w:pos="360"/>
      </w:tabs>
      <w:ind w:left="360" w:right="1080"/>
      <w:jc w:val="both"/>
    </w:pPr>
    <w:rPr>
      <w:sz w:val="18"/>
      <w:szCs w:val="18"/>
      <w:lang w:val="es-VE"/>
    </w:rPr>
  </w:style>
  <w:style w:type="character" w:customStyle="1" w:styleId="citasChar">
    <w:name w:val="citas Char"/>
    <w:basedOn w:val="DefaultParagraphFont"/>
    <w:link w:val="citas"/>
    <w:rsid w:val="00B36400"/>
    <w:rPr>
      <w:rFonts w:ascii="Cambria" w:eastAsia="Cambria" w:hAnsi="Cambria" w:cs="Cambria"/>
      <w:color w:val="000000"/>
      <w:sz w:val="18"/>
      <w:szCs w:val="18"/>
      <w:u w:color="000000"/>
      <w:lang w:val="es-VE"/>
    </w:rPr>
  </w:style>
  <w:style w:type="paragraph" w:styleId="BodyText3">
    <w:name w:val="Body Text 3"/>
    <w:basedOn w:val="Normal"/>
    <w:link w:val="BodyText3Char"/>
    <w:uiPriority w:val="99"/>
    <w:unhideWhenUsed/>
    <w:rsid w:val="00B36400"/>
    <w:pPr>
      <w:spacing w:after="120"/>
    </w:pPr>
    <w:rPr>
      <w:sz w:val="16"/>
      <w:szCs w:val="16"/>
    </w:rPr>
  </w:style>
  <w:style w:type="character" w:customStyle="1" w:styleId="BodyText3Char">
    <w:name w:val="Body Text 3 Char"/>
    <w:basedOn w:val="DefaultParagraphFont"/>
    <w:link w:val="BodyText3"/>
    <w:uiPriority w:val="99"/>
    <w:rsid w:val="00B36400"/>
    <w:rPr>
      <w:sz w:val="16"/>
      <w:szCs w:val="16"/>
      <w:lang w:val="en-US" w:eastAsia="en-US"/>
    </w:rPr>
  </w:style>
  <w:style w:type="paragraph" w:customStyle="1" w:styleId="JuPara">
    <w:name w:val="Ju_Para"/>
    <w:basedOn w:val="Normal"/>
    <w:link w:val="JuParaChar"/>
    <w:rsid w:val="00B3640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284"/>
      <w:jc w:val="both"/>
    </w:pPr>
    <w:rPr>
      <w:rFonts w:eastAsia="Times New Roman"/>
      <w:szCs w:val="20"/>
      <w:bdr w:val="none" w:sz="0" w:space="0" w:color="auto"/>
      <w:lang w:val="en-GB" w:eastAsia="fr-FR"/>
    </w:rPr>
  </w:style>
  <w:style w:type="character" w:customStyle="1" w:styleId="JuParaChar">
    <w:name w:val="Ju_Para Char"/>
    <w:basedOn w:val="DefaultParagraphFont"/>
    <w:link w:val="JuPara"/>
    <w:rsid w:val="00B36400"/>
    <w:rPr>
      <w:rFonts w:eastAsia="Times New Roman"/>
      <w:sz w:val="24"/>
      <w:bdr w:val="none" w:sz="0" w:space="0" w:color="auto"/>
      <w:lang w:val="en-GB" w:eastAsia="fr-FR"/>
    </w:rPr>
  </w:style>
  <w:style w:type="paragraph" w:customStyle="1" w:styleId="Refdenotaalpi">
    <w:name w:val="Ref. de nota al pi"/>
    <w:basedOn w:val="Normal"/>
    <w:uiPriority w:val="99"/>
    <w:rsid w:val="00B36400"/>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Theme="minorHAnsi" w:eastAsiaTheme="minorHAnsi" w:hAnsiTheme="minorHAnsi" w:cstheme="minorBidi"/>
      <w:sz w:val="22"/>
      <w:szCs w:val="22"/>
      <w:bdr w:val="none" w:sz="0" w:space="0" w:color="auto"/>
      <w:vertAlign w:val="superscript"/>
    </w:rPr>
  </w:style>
  <w:style w:type="paragraph" w:styleId="TOCHeading">
    <w:name w:val="TOC Heading"/>
    <w:basedOn w:val="Heading1"/>
    <w:next w:val="Normal"/>
    <w:uiPriority w:val="39"/>
    <w:unhideWhenUsed/>
    <w:qFormat/>
    <w:rsid w:val="00B36400"/>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outlineLvl w:val="9"/>
    </w:pPr>
    <w:rPr>
      <w:b w:val="0"/>
      <w:bCs w:val="0"/>
      <w:sz w:val="32"/>
      <w:szCs w:val="32"/>
      <w:u w:color="000000"/>
      <w:bdr w:val="none" w:sz="0" w:space="0" w:color="auto"/>
    </w:rPr>
  </w:style>
  <w:style w:type="character" w:customStyle="1" w:styleId="footnoteref">
    <w:name w:val="footnoteref"/>
    <w:basedOn w:val="DefaultParagraphFont"/>
    <w:rsid w:val="00DC1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7233">
      <w:bodyDiv w:val="1"/>
      <w:marLeft w:val="0"/>
      <w:marRight w:val="0"/>
      <w:marTop w:val="0"/>
      <w:marBottom w:val="0"/>
      <w:divBdr>
        <w:top w:val="none" w:sz="0" w:space="0" w:color="auto"/>
        <w:left w:val="none" w:sz="0" w:space="0" w:color="auto"/>
        <w:bottom w:val="none" w:sz="0" w:space="0" w:color="auto"/>
        <w:right w:val="none" w:sz="0" w:space="0" w:color="auto"/>
      </w:divBdr>
    </w:div>
    <w:div w:id="352271413">
      <w:bodyDiv w:val="1"/>
      <w:marLeft w:val="0"/>
      <w:marRight w:val="0"/>
      <w:marTop w:val="0"/>
      <w:marBottom w:val="0"/>
      <w:divBdr>
        <w:top w:val="none" w:sz="0" w:space="0" w:color="auto"/>
        <w:left w:val="none" w:sz="0" w:space="0" w:color="auto"/>
        <w:bottom w:val="none" w:sz="0" w:space="0" w:color="auto"/>
        <w:right w:val="none" w:sz="0" w:space="0" w:color="auto"/>
      </w:divBdr>
    </w:div>
    <w:div w:id="464859559">
      <w:bodyDiv w:val="1"/>
      <w:marLeft w:val="0"/>
      <w:marRight w:val="0"/>
      <w:marTop w:val="0"/>
      <w:marBottom w:val="0"/>
      <w:divBdr>
        <w:top w:val="none" w:sz="0" w:space="0" w:color="auto"/>
        <w:left w:val="none" w:sz="0" w:space="0" w:color="auto"/>
        <w:bottom w:val="none" w:sz="0" w:space="0" w:color="auto"/>
        <w:right w:val="none" w:sz="0" w:space="0" w:color="auto"/>
      </w:divBdr>
    </w:div>
    <w:div w:id="566841561">
      <w:bodyDiv w:val="1"/>
      <w:marLeft w:val="0"/>
      <w:marRight w:val="0"/>
      <w:marTop w:val="0"/>
      <w:marBottom w:val="0"/>
      <w:divBdr>
        <w:top w:val="none" w:sz="0" w:space="0" w:color="auto"/>
        <w:left w:val="none" w:sz="0" w:space="0" w:color="auto"/>
        <w:bottom w:val="none" w:sz="0" w:space="0" w:color="auto"/>
        <w:right w:val="none" w:sz="0" w:space="0" w:color="auto"/>
      </w:divBdr>
    </w:div>
    <w:div w:id="593631155">
      <w:bodyDiv w:val="1"/>
      <w:marLeft w:val="0"/>
      <w:marRight w:val="0"/>
      <w:marTop w:val="0"/>
      <w:marBottom w:val="0"/>
      <w:divBdr>
        <w:top w:val="none" w:sz="0" w:space="0" w:color="auto"/>
        <w:left w:val="none" w:sz="0" w:space="0" w:color="auto"/>
        <w:bottom w:val="none" w:sz="0" w:space="0" w:color="auto"/>
        <w:right w:val="none" w:sz="0" w:space="0" w:color="auto"/>
      </w:divBdr>
    </w:div>
    <w:div w:id="626014000">
      <w:bodyDiv w:val="1"/>
      <w:marLeft w:val="0"/>
      <w:marRight w:val="0"/>
      <w:marTop w:val="0"/>
      <w:marBottom w:val="0"/>
      <w:divBdr>
        <w:top w:val="none" w:sz="0" w:space="0" w:color="auto"/>
        <w:left w:val="none" w:sz="0" w:space="0" w:color="auto"/>
        <w:bottom w:val="none" w:sz="0" w:space="0" w:color="auto"/>
        <w:right w:val="none" w:sz="0" w:space="0" w:color="auto"/>
      </w:divBdr>
    </w:div>
    <w:div w:id="761800827">
      <w:bodyDiv w:val="1"/>
      <w:marLeft w:val="0"/>
      <w:marRight w:val="0"/>
      <w:marTop w:val="0"/>
      <w:marBottom w:val="0"/>
      <w:divBdr>
        <w:top w:val="none" w:sz="0" w:space="0" w:color="auto"/>
        <w:left w:val="none" w:sz="0" w:space="0" w:color="auto"/>
        <w:bottom w:val="none" w:sz="0" w:space="0" w:color="auto"/>
        <w:right w:val="none" w:sz="0" w:space="0" w:color="auto"/>
      </w:divBdr>
    </w:div>
    <w:div w:id="790439445">
      <w:bodyDiv w:val="1"/>
      <w:marLeft w:val="0"/>
      <w:marRight w:val="0"/>
      <w:marTop w:val="0"/>
      <w:marBottom w:val="0"/>
      <w:divBdr>
        <w:top w:val="none" w:sz="0" w:space="0" w:color="auto"/>
        <w:left w:val="none" w:sz="0" w:space="0" w:color="auto"/>
        <w:bottom w:val="none" w:sz="0" w:space="0" w:color="auto"/>
        <w:right w:val="none" w:sz="0" w:space="0" w:color="auto"/>
      </w:divBdr>
    </w:div>
    <w:div w:id="816412868">
      <w:bodyDiv w:val="1"/>
      <w:marLeft w:val="0"/>
      <w:marRight w:val="0"/>
      <w:marTop w:val="0"/>
      <w:marBottom w:val="0"/>
      <w:divBdr>
        <w:top w:val="none" w:sz="0" w:space="0" w:color="auto"/>
        <w:left w:val="none" w:sz="0" w:space="0" w:color="auto"/>
        <w:bottom w:val="none" w:sz="0" w:space="0" w:color="auto"/>
        <w:right w:val="none" w:sz="0" w:space="0" w:color="auto"/>
      </w:divBdr>
    </w:div>
    <w:div w:id="982924564">
      <w:bodyDiv w:val="1"/>
      <w:marLeft w:val="0"/>
      <w:marRight w:val="0"/>
      <w:marTop w:val="0"/>
      <w:marBottom w:val="0"/>
      <w:divBdr>
        <w:top w:val="none" w:sz="0" w:space="0" w:color="auto"/>
        <w:left w:val="none" w:sz="0" w:space="0" w:color="auto"/>
        <w:bottom w:val="none" w:sz="0" w:space="0" w:color="auto"/>
        <w:right w:val="none" w:sz="0" w:space="0" w:color="auto"/>
      </w:divBdr>
    </w:div>
    <w:div w:id="1002781278">
      <w:bodyDiv w:val="1"/>
      <w:marLeft w:val="0"/>
      <w:marRight w:val="0"/>
      <w:marTop w:val="0"/>
      <w:marBottom w:val="0"/>
      <w:divBdr>
        <w:top w:val="none" w:sz="0" w:space="0" w:color="auto"/>
        <w:left w:val="none" w:sz="0" w:space="0" w:color="auto"/>
        <w:bottom w:val="none" w:sz="0" w:space="0" w:color="auto"/>
        <w:right w:val="none" w:sz="0" w:space="0" w:color="auto"/>
      </w:divBdr>
    </w:div>
    <w:div w:id="1007027173">
      <w:bodyDiv w:val="1"/>
      <w:marLeft w:val="0"/>
      <w:marRight w:val="0"/>
      <w:marTop w:val="0"/>
      <w:marBottom w:val="0"/>
      <w:divBdr>
        <w:top w:val="none" w:sz="0" w:space="0" w:color="auto"/>
        <w:left w:val="none" w:sz="0" w:space="0" w:color="auto"/>
        <w:bottom w:val="none" w:sz="0" w:space="0" w:color="auto"/>
        <w:right w:val="none" w:sz="0" w:space="0" w:color="auto"/>
      </w:divBdr>
    </w:div>
    <w:div w:id="1017468732">
      <w:bodyDiv w:val="1"/>
      <w:marLeft w:val="0"/>
      <w:marRight w:val="0"/>
      <w:marTop w:val="0"/>
      <w:marBottom w:val="0"/>
      <w:divBdr>
        <w:top w:val="none" w:sz="0" w:space="0" w:color="auto"/>
        <w:left w:val="none" w:sz="0" w:space="0" w:color="auto"/>
        <w:bottom w:val="none" w:sz="0" w:space="0" w:color="auto"/>
        <w:right w:val="none" w:sz="0" w:space="0" w:color="auto"/>
      </w:divBdr>
    </w:div>
    <w:div w:id="1055667373">
      <w:bodyDiv w:val="1"/>
      <w:marLeft w:val="0"/>
      <w:marRight w:val="0"/>
      <w:marTop w:val="0"/>
      <w:marBottom w:val="0"/>
      <w:divBdr>
        <w:top w:val="none" w:sz="0" w:space="0" w:color="auto"/>
        <w:left w:val="none" w:sz="0" w:space="0" w:color="auto"/>
        <w:bottom w:val="none" w:sz="0" w:space="0" w:color="auto"/>
        <w:right w:val="none" w:sz="0" w:space="0" w:color="auto"/>
      </w:divBdr>
    </w:div>
    <w:div w:id="1131290396">
      <w:bodyDiv w:val="1"/>
      <w:marLeft w:val="0"/>
      <w:marRight w:val="0"/>
      <w:marTop w:val="0"/>
      <w:marBottom w:val="0"/>
      <w:divBdr>
        <w:top w:val="none" w:sz="0" w:space="0" w:color="auto"/>
        <w:left w:val="none" w:sz="0" w:space="0" w:color="auto"/>
        <w:bottom w:val="none" w:sz="0" w:space="0" w:color="auto"/>
        <w:right w:val="none" w:sz="0" w:space="0" w:color="auto"/>
      </w:divBdr>
    </w:div>
    <w:div w:id="1172794881">
      <w:bodyDiv w:val="1"/>
      <w:marLeft w:val="0"/>
      <w:marRight w:val="0"/>
      <w:marTop w:val="0"/>
      <w:marBottom w:val="0"/>
      <w:divBdr>
        <w:top w:val="none" w:sz="0" w:space="0" w:color="auto"/>
        <w:left w:val="none" w:sz="0" w:space="0" w:color="auto"/>
        <w:bottom w:val="none" w:sz="0" w:space="0" w:color="auto"/>
        <w:right w:val="none" w:sz="0" w:space="0" w:color="auto"/>
      </w:divBdr>
      <w:divsChild>
        <w:div w:id="1611014222">
          <w:marLeft w:val="0"/>
          <w:marRight w:val="0"/>
          <w:marTop w:val="0"/>
          <w:marBottom w:val="0"/>
          <w:divBdr>
            <w:top w:val="none" w:sz="0" w:space="0" w:color="auto"/>
            <w:left w:val="none" w:sz="0" w:space="0" w:color="auto"/>
            <w:bottom w:val="none" w:sz="0" w:space="0" w:color="auto"/>
            <w:right w:val="none" w:sz="0" w:space="0" w:color="auto"/>
          </w:divBdr>
        </w:div>
        <w:div w:id="1793983833">
          <w:marLeft w:val="0"/>
          <w:marRight w:val="0"/>
          <w:marTop w:val="0"/>
          <w:marBottom w:val="0"/>
          <w:divBdr>
            <w:top w:val="none" w:sz="0" w:space="0" w:color="auto"/>
            <w:left w:val="none" w:sz="0" w:space="0" w:color="auto"/>
            <w:bottom w:val="none" w:sz="0" w:space="0" w:color="auto"/>
            <w:right w:val="none" w:sz="0" w:space="0" w:color="auto"/>
          </w:divBdr>
        </w:div>
        <w:div w:id="806245953">
          <w:marLeft w:val="0"/>
          <w:marRight w:val="0"/>
          <w:marTop w:val="0"/>
          <w:marBottom w:val="0"/>
          <w:divBdr>
            <w:top w:val="none" w:sz="0" w:space="0" w:color="auto"/>
            <w:left w:val="none" w:sz="0" w:space="0" w:color="auto"/>
            <w:bottom w:val="none" w:sz="0" w:space="0" w:color="auto"/>
            <w:right w:val="none" w:sz="0" w:space="0" w:color="auto"/>
          </w:divBdr>
        </w:div>
        <w:div w:id="526989778">
          <w:marLeft w:val="0"/>
          <w:marRight w:val="0"/>
          <w:marTop w:val="0"/>
          <w:marBottom w:val="0"/>
          <w:divBdr>
            <w:top w:val="none" w:sz="0" w:space="0" w:color="auto"/>
            <w:left w:val="none" w:sz="0" w:space="0" w:color="auto"/>
            <w:bottom w:val="none" w:sz="0" w:space="0" w:color="auto"/>
            <w:right w:val="none" w:sz="0" w:space="0" w:color="auto"/>
          </w:divBdr>
        </w:div>
      </w:divsChild>
    </w:div>
    <w:div w:id="1174807074">
      <w:bodyDiv w:val="1"/>
      <w:marLeft w:val="0"/>
      <w:marRight w:val="0"/>
      <w:marTop w:val="0"/>
      <w:marBottom w:val="0"/>
      <w:divBdr>
        <w:top w:val="none" w:sz="0" w:space="0" w:color="auto"/>
        <w:left w:val="none" w:sz="0" w:space="0" w:color="auto"/>
        <w:bottom w:val="none" w:sz="0" w:space="0" w:color="auto"/>
        <w:right w:val="none" w:sz="0" w:space="0" w:color="auto"/>
      </w:divBdr>
    </w:div>
    <w:div w:id="1240137861">
      <w:bodyDiv w:val="1"/>
      <w:marLeft w:val="0"/>
      <w:marRight w:val="0"/>
      <w:marTop w:val="0"/>
      <w:marBottom w:val="0"/>
      <w:divBdr>
        <w:top w:val="none" w:sz="0" w:space="0" w:color="auto"/>
        <w:left w:val="none" w:sz="0" w:space="0" w:color="auto"/>
        <w:bottom w:val="none" w:sz="0" w:space="0" w:color="auto"/>
        <w:right w:val="none" w:sz="0" w:space="0" w:color="auto"/>
      </w:divBdr>
      <w:divsChild>
        <w:div w:id="1585185547">
          <w:marLeft w:val="0"/>
          <w:marRight w:val="0"/>
          <w:marTop w:val="0"/>
          <w:marBottom w:val="0"/>
          <w:divBdr>
            <w:top w:val="none" w:sz="0" w:space="0" w:color="auto"/>
            <w:left w:val="none" w:sz="0" w:space="0" w:color="auto"/>
            <w:bottom w:val="none" w:sz="0" w:space="0" w:color="auto"/>
            <w:right w:val="none" w:sz="0" w:space="0" w:color="auto"/>
          </w:divBdr>
          <w:divsChild>
            <w:div w:id="2088572715">
              <w:marLeft w:val="0"/>
              <w:marRight w:val="0"/>
              <w:marTop w:val="0"/>
              <w:marBottom w:val="0"/>
              <w:divBdr>
                <w:top w:val="single" w:sz="6" w:space="0" w:color="CCCCCC"/>
                <w:left w:val="single" w:sz="6" w:space="0" w:color="CCCCCC"/>
                <w:bottom w:val="single" w:sz="6" w:space="0" w:color="CCCCCC"/>
                <w:right w:val="single" w:sz="6" w:space="0" w:color="CCCCCC"/>
              </w:divBdr>
              <w:divsChild>
                <w:div w:id="1099329160">
                  <w:marLeft w:val="0"/>
                  <w:marRight w:val="0"/>
                  <w:marTop w:val="0"/>
                  <w:marBottom w:val="0"/>
                  <w:divBdr>
                    <w:top w:val="none" w:sz="0" w:space="0" w:color="auto"/>
                    <w:left w:val="none" w:sz="0" w:space="0" w:color="auto"/>
                    <w:bottom w:val="none" w:sz="0" w:space="0" w:color="auto"/>
                    <w:right w:val="none" w:sz="0" w:space="0" w:color="auto"/>
                  </w:divBdr>
                  <w:divsChild>
                    <w:div w:id="1194071810">
                      <w:marLeft w:val="0"/>
                      <w:marRight w:val="0"/>
                      <w:marTop w:val="0"/>
                      <w:marBottom w:val="0"/>
                      <w:divBdr>
                        <w:top w:val="none" w:sz="0" w:space="0" w:color="auto"/>
                        <w:left w:val="none" w:sz="0" w:space="0" w:color="auto"/>
                        <w:bottom w:val="none" w:sz="0" w:space="0" w:color="auto"/>
                        <w:right w:val="none" w:sz="0" w:space="0" w:color="auto"/>
                      </w:divBdr>
                      <w:divsChild>
                        <w:div w:id="1103498750">
                          <w:marLeft w:val="120"/>
                          <w:marRight w:val="120"/>
                          <w:marTop w:val="60"/>
                          <w:marBottom w:val="60"/>
                          <w:divBdr>
                            <w:top w:val="none" w:sz="0" w:space="0" w:color="auto"/>
                            <w:left w:val="none" w:sz="0" w:space="0" w:color="auto"/>
                            <w:bottom w:val="none" w:sz="0" w:space="0" w:color="auto"/>
                            <w:right w:val="none" w:sz="0" w:space="0" w:color="auto"/>
                          </w:divBdr>
                          <w:divsChild>
                            <w:div w:id="367722524">
                              <w:marLeft w:val="0"/>
                              <w:marRight w:val="0"/>
                              <w:marTop w:val="0"/>
                              <w:marBottom w:val="0"/>
                              <w:divBdr>
                                <w:top w:val="none" w:sz="0" w:space="0" w:color="auto"/>
                                <w:left w:val="none" w:sz="0" w:space="0" w:color="auto"/>
                                <w:bottom w:val="none" w:sz="0" w:space="0" w:color="auto"/>
                                <w:right w:val="none" w:sz="0" w:space="0" w:color="auto"/>
                              </w:divBdr>
                              <w:divsChild>
                                <w:div w:id="622005663">
                                  <w:marLeft w:val="0"/>
                                  <w:marRight w:val="0"/>
                                  <w:marTop w:val="0"/>
                                  <w:marBottom w:val="0"/>
                                  <w:divBdr>
                                    <w:top w:val="none" w:sz="0" w:space="0" w:color="auto"/>
                                    <w:left w:val="none" w:sz="0" w:space="0" w:color="auto"/>
                                    <w:bottom w:val="none" w:sz="0" w:space="0" w:color="auto"/>
                                    <w:right w:val="none" w:sz="0" w:space="0" w:color="auto"/>
                                  </w:divBdr>
                                  <w:divsChild>
                                    <w:div w:id="859204787">
                                      <w:marLeft w:val="0"/>
                                      <w:marRight w:val="0"/>
                                      <w:marTop w:val="0"/>
                                      <w:marBottom w:val="0"/>
                                      <w:divBdr>
                                        <w:top w:val="none" w:sz="0" w:space="0" w:color="auto"/>
                                        <w:left w:val="none" w:sz="0" w:space="0" w:color="auto"/>
                                        <w:bottom w:val="none" w:sz="0" w:space="0" w:color="auto"/>
                                        <w:right w:val="none" w:sz="0" w:space="0" w:color="auto"/>
                                      </w:divBdr>
                                      <w:divsChild>
                                        <w:div w:id="11076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1574359">
      <w:bodyDiv w:val="1"/>
      <w:marLeft w:val="0"/>
      <w:marRight w:val="0"/>
      <w:marTop w:val="0"/>
      <w:marBottom w:val="0"/>
      <w:divBdr>
        <w:top w:val="none" w:sz="0" w:space="0" w:color="auto"/>
        <w:left w:val="none" w:sz="0" w:space="0" w:color="auto"/>
        <w:bottom w:val="none" w:sz="0" w:space="0" w:color="auto"/>
        <w:right w:val="none" w:sz="0" w:space="0" w:color="auto"/>
      </w:divBdr>
    </w:div>
    <w:div w:id="1357653825">
      <w:bodyDiv w:val="1"/>
      <w:marLeft w:val="0"/>
      <w:marRight w:val="0"/>
      <w:marTop w:val="0"/>
      <w:marBottom w:val="0"/>
      <w:divBdr>
        <w:top w:val="none" w:sz="0" w:space="0" w:color="auto"/>
        <w:left w:val="none" w:sz="0" w:space="0" w:color="auto"/>
        <w:bottom w:val="none" w:sz="0" w:space="0" w:color="auto"/>
        <w:right w:val="none" w:sz="0" w:space="0" w:color="auto"/>
      </w:divBdr>
    </w:div>
    <w:div w:id="1629898747">
      <w:bodyDiv w:val="1"/>
      <w:marLeft w:val="0"/>
      <w:marRight w:val="0"/>
      <w:marTop w:val="0"/>
      <w:marBottom w:val="0"/>
      <w:divBdr>
        <w:top w:val="none" w:sz="0" w:space="0" w:color="auto"/>
        <w:left w:val="none" w:sz="0" w:space="0" w:color="auto"/>
        <w:bottom w:val="none" w:sz="0" w:space="0" w:color="auto"/>
        <w:right w:val="none" w:sz="0" w:space="0" w:color="auto"/>
      </w:divBdr>
    </w:div>
    <w:div w:id="1646351925">
      <w:bodyDiv w:val="1"/>
      <w:marLeft w:val="0"/>
      <w:marRight w:val="0"/>
      <w:marTop w:val="0"/>
      <w:marBottom w:val="0"/>
      <w:divBdr>
        <w:top w:val="none" w:sz="0" w:space="0" w:color="auto"/>
        <w:left w:val="none" w:sz="0" w:space="0" w:color="auto"/>
        <w:bottom w:val="none" w:sz="0" w:space="0" w:color="auto"/>
        <w:right w:val="none" w:sz="0" w:space="0" w:color="auto"/>
      </w:divBdr>
    </w:div>
    <w:div w:id="172598388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0003743">
      <w:bodyDiv w:val="1"/>
      <w:marLeft w:val="0"/>
      <w:marRight w:val="0"/>
      <w:marTop w:val="0"/>
      <w:marBottom w:val="0"/>
      <w:divBdr>
        <w:top w:val="none" w:sz="0" w:space="0" w:color="auto"/>
        <w:left w:val="none" w:sz="0" w:space="0" w:color="auto"/>
        <w:bottom w:val="none" w:sz="0" w:space="0" w:color="auto"/>
        <w:right w:val="none" w:sz="0" w:space="0" w:color="auto"/>
      </w:divBdr>
      <w:divsChild>
        <w:div w:id="767655073">
          <w:marLeft w:val="0"/>
          <w:marRight w:val="0"/>
          <w:marTop w:val="0"/>
          <w:marBottom w:val="0"/>
          <w:divBdr>
            <w:top w:val="none" w:sz="0" w:space="0" w:color="auto"/>
            <w:left w:val="none" w:sz="0" w:space="0" w:color="auto"/>
            <w:bottom w:val="none" w:sz="0" w:space="0" w:color="auto"/>
            <w:right w:val="none" w:sz="0" w:space="0" w:color="auto"/>
          </w:divBdr>
        </w:div>
        <w:div w:id="1626814703">
          <w:marLeft w:val="0"/>
          <w:marRight w:val="0"/>
          <w:marTop w:val="0"/>
          <w:marBottom w:val="0"/>
          <w:divBdr>
            <w:top w:val="none" w:sz="0" w:space="0" w:color="auto"/>
            <w:left w:val="none" w:sz="0" w:space="0" w:color="auto"/>
            <w:bottom w:val="none" w:sz="0" w:space="0" w:color="auto"/>
            <w:right w:val="none" w:sz="0" w:space="0" w:color="auto"/>
          </w:divBdr>
        </w:div>
        <w:div w:id="1134443401">
          <w:marLeft w:val="0"/>
          <w:marRight w:val="0"/>
          <w:marTop w:val="0"/>
          <w:marBottom w:val="0"/>
          <w:divBdr>
            <w:top w:val="none" w:sz="0" w:space="0" w:color="auto"/>
            <w:left w:val="none" w:sz="0" w:space="0" w:color="auto"/>
            <w:bottom w:val="none" w:sz="0" w:space="0" w:color="auto"/>
            <w:right w:val="none" w:sz="0" w:space="0" w:color="auto"/>
          </w:divBdr>
        </w:div>
        <w:div w:id="228153966">
          <w:marLeft w:val="0"/>
          <w:marRight w:val="0"/>
          <w:marTop w:val="0"/>
          <w:marBottom w:val="0"/>
          <w:divBdr>
            <w:top w:val="none" w:sz="0" w:space="0" w:color="auto"/>
            <w:left w:val="none" w:sz="0" w:space="0" w:color="auto"/>
            <w:bottom w:val="none" w:sz="0" w:space="0" w:color="auto"/>
            <w:right w:val="none" w:sz="0" w:space="0" w:color="auto"/>
          </w:divBdr>
        </w:div>
        <w:div w:id="1658072371">
          <w:marLeft w:val="0"/>
          <w:marRight w:val="0"/>
          <w:marTop w:val="0"/>
          <w:marBottom w:val="0"/>
          <w:divBdr>
            <w:top w:val="none" w:sz="0" w:space="0" w:color="auto"/>
            <w:left w:val="none" w:sz="0" w:space="0" w:color="auto"/>
            <w:bottom w:val="none" w:sz="0" w:space="0" w:color="auto"/>
            <w:right w:val="none" w:sz="0" w:space="0" w:color="auto"/>
          </w:divBdr>
        </w:div>
        <w:div w:id="627473343">
          <w:marLeft w:val="0"/>
          <w:marRight w:val="0"/>
          <w:marTop w:val="0"/>
          <w:marBottom w:val="0"/>
          <w:divBdr>
            <w:top w:val="none" w:sz="0" w:space="0" w:color="auto"/>
            <w:left w:val="none" w:sz="0" w:space="0" w:color="auto"/>
            <w:bottom w:val="none" w:sz="0" w:space="0" w:color="auto"/>
            <w:right w:val="none" w:sz="0" w:space="0" w:color="auto"/>
          </w:divBdr>
        </w:div>
      </w:divsChild>
    </w:div>
    <w:div w:id="1985960237">
      <w:bodyDiv w:val="1"/>
      <w:marLeft w:val="0"/>
      <w:marRight w:val="0"/>
      <w:marTop w:val="0"/>
      <w:marBottom w:val="0"/>
      <w:divBdr>
        <w:top w:val="none" w:sz="0" w:space="0" w:color="auto"/>
        <w:left w:val="none" w:sz="0" w:space="0" w:color="auto"/>
        <w:bottom w:val="none" w:sz="0" w:space="0" w:color="auto"/>
        <w:right w:val="none" w:sz="0" w:space="0" w:color="auto"/>
      </w:divBdr>
    </w:div>
    <w:div w:id="2075160282">
      <w:bodyDiv w:val="1"/>
      <w:marLeft w:val="0"/>
      <w:marRight w:val="0"/>
      <w:marTop w:val="0"/>
      <w:marBottom w:val="0"/>
      <w:divBdr>
        <w:top w:val="none" w:sz="0" w:space="0" w:color="auto"/>
        <w:left w:val="none" w:sz="0" w:space="0" w:color="auto"/>
        <w:bottom w:val="none" w:sz="0" w:space="0" w:color="auto"/>
        <w:right w:val="none" w:sz="0" w:space="0" w:color="auto"/>
      </w:divBdr>
    </w:div>
    <w:div w:id="2106148263">
      <w:bodyDiv w:val="1"/>
      <w:marLeft w:val="0"/>
      <w:marRight w:val="0"/>
      <w:marTop w:val="0"/>
      <w:marBottom w:val="0"/>
      <w:divBdr>
        <w:top w:val="none" w:sz="0" w:space="0" w:color="auto"/>
        <w:left w:val="none" w:sz="0" w:space="0" w:color="auto"/>
        <w:bottom w:val="none" w:sz="0" w:space="0" w:color="auto"/>
        <w:right w:val="none" w:sz="0" w:space="0" w:color="auto"/>
      </w:divBdr>
    </w:div>
    <w:div w:id="2110469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venice.coe.int/webforms/documents/?pdf=CDL-REF(2012)026-e" TargetMode="External"/><Relationship Id="rId2" Type="http://schemas.openxmlformats.org/officeDocument/2006/relationships/hyperlink" Target="https://www.servat.unibe.ch/dfr/bv044125.htm" TargetMode="External"/><Relationship Id="rId1" Type="http://schemas.openxmlformats.org/officeDocument/2006/relationships/hyperlink" Target="http://legislacion.asamblea.gob.ni/normaweb.nsf/3133c0d121ea3897062568a1005e0f89/86f56b6d771ea926062576c600543044?OpenDocu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3" ma:contentTypeDescription="Create a new document." ma:contentTypeScope="" ma:versionID="576f7d155c2f194fbc08dd29dd5bd01c">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74e2f7944343de88d9341c5d439af048"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2533D-C9E2-498D-9808-1895C60DB078}">
  <ds:schemaRefs>
    <ds:schemaRef ds:uri="http://schemas.microsoft.com/sharepoint/v3/contenttype/forms"/>
  </ds:schemaRefs>
</ds:datastoreItem>
</file>

<file path=customXml/itemProps2.xml><?xml version="1.0" encoding="utf-8"?>
<ds:datastoreItem xmlns:ds="http://schemas.openxmlformats.org/officeDocument/2006/customXml" ds:itemID="{7878357E-655A-4CE0-8D5E-1C57B1D3B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DAE846-BFF0-437B-8447-B9E2C45086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526189-F5CB-42E6-994B-11AB4FA39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15121</Words>
  <Characters>86196</Characters>
  <Application>Microsoft Office Word</Application>
  <DocSecurity>0</DocSecurity>
  <Lines>718</Lines>
  <Paragraphs>202</Paragraphs>
  <ScaleCrop>false</ScaleCrop>
  <Company/>
  <LinksUpToDate>false</LinksUpToDate>
  <CharactersWithSpaces>101115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2022-04-18T13:03:00Z</dcterms:created>
  <dcterms:modified xsi:type="dcterms:W3CDTF">2022-04-18T13:03:00Z</dcterms:modified>
</cp:coreProperties>
</file>