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8077178"/>
    <w:p w14:paraId="6A3552A1" w14:textId="77777777" w:rsidR="00F63978" w:rsidRPr="00511CD3" w:rsidRDefault="00D568AC" w:rsidP="001C1A12">
      <w:pPr>
        <w:jc w:val="both"/>
        <w:rPr>
          <w:rFonts w:asciiTheme="majorHAnsi" w:hAnsiTheme="majorHAnsi"/>
          <w:sz w:val="22"/>
          <w:szCs w:val="22"/>
        </w:rPr>
      </w:pPr>
      <w:r>
        <w:rPr>
          <w:noProof/>
        </w:rPr>
        <mc:AlternateContent>
          <mc:Choice Requires="wps">
            <w:drawing>
              <wp:anchor distT="0" distB="0" distL="114300" distR="114300" simplePos="0" relativeHeight="251668487" behindDoc="1" locked="0" layoutInCell="1" allowOverlap="1" wp14:anchorId="0041E9B5" wp14:editId="7BAF7754">
                <wp:simplePos x="0" y="0"/>
                <wp:positionH relativeFrom="column">
                  <wp:posOffset>-362585</wp:posOffset>
                </wp:positionH>
                <wp:positionV relativeFrom="paragraph">
                  <wp:posOffset>-276225</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EC6321" id="Rectangle 1" o:spid="_x0000_s1026" style="position:absolute;margin-left:-28.55pt;margin-top:-21.75pt;width:111pt;height:706.9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" fillcolor="#67ae3c" stroked="f" strokeweight="1pt"/>
            </w:pict>
          </mc:Fallback>
        </mc:AlternateContent>
      </w:r>
      <w:r>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1581C2A9" wp14:editId="2E1599E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BC6AA" w14:textId="77777777" w:rsidR="007F6759" w:rsidRDefault="007F6759" w:rsidP="00F63978">
                            <w:r>
                              <w:rPr>
                                <w:noProof/>
                              </w:rPr>
                              <w:drawing>
                                <wp:inline distT="0" distB="0" distL="0" distR="0" wp14:anchorId="6CEBF227" wp14:editId="32B5A586">
                                  <wp:extent cx="3409315" cy="804545"/>
                                  <wp:effectExtent l="0" t="0" r="63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1C2A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532BC6AA" w14:textId="77777777" w:rsidR="007F6759" w:rsidRDefault="007F6759" w:rsidP="00F63978">
                      <w:r>
                        <w:rPr>
                          <w:noProof/>
                        </w:rPr>
                        <w:drawing>
                          <wp:inline distT="0" distB="0" distL="0" distR="0" wp14:anchorId="6CEBF227" wp14:editId="32B5A586">
                            <wp:extent cx="3409315" cy="804545"/>
                            <wp:effectExtent l="0" t="0" r="63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r>
                        <w:tab/>
                        <w:t xml:space="preserve">                              </w:t>
                      </w:r>
                    </w:p>
                  </w:txbxContent>
                </v:textbox>
              </v:shape>
            </w:pict>
          </mc:Fallback>
        </mc:AlternateContent>
      </w:r>
    </w:p>
    <w:p w14:paraId="1AAFE167" w14:textId="77777777" w:rsidR="00F63978" w:rsidRPr="00511CD3" w:rsidRDefault="00F63978" w:rsidP="008429F6">
      <w:pPr>
        <w:tabs>
          <w:tab w:val="center" w:pos="5400"/>
        </w:tabs>
        <w:suppressAutoHyphens/>
        <w:jc w:val="both"/>
        <w:rPr>
          <w:rFonts w:asciiTheme="majorHAnsi" w:hAnsiTheme="majorHAnsi"/>
          <w:sz w:val="22"/>
          <w:szCs w:val="22"/>
        </w:rPr>
      </w:pPr>
    </w:p>
    <w:p w14:paraId="6866EA02" w14:textId="77777777" w:rsidR="00F63978" w:rsidRPr="00511CD3" w:rsidRDefault="00F63978" w:rsidP="008429F6">
      <w:pPr>
        <w:tabs>
          <w:tab w:val="center" w:pos="5400"/>
        </w:tabs>
        <w:suppressAutoHyphens/>
        <w:rPr>
          <w:rFonts w:asciiTheme="majorHAnsi" w:hAnsiTheme="majorHAnsi"/>
          <w:sz w:val="22"/>
          <w:szCs w:val="22"/>
        </w:rPr>
      </w:pPr>
    </w:p>
    <w:p w14:paraId="4F2C3467" w14:textId="77777777" w:rsidR="00F63978" w:rsidRPr="00511CD3" w:rsidRDefault="00F63978" w:rsidP="008429F6">
      <w:pPr>
        <w:tabs>
          <w:tab w:val="center" w:pos="5400"/>
        </w:tabs>
        <w:suppressAutoHyphens/>
        <w:rPr>
          <w:rFonts w:asciiTheme="majorHAnsi" w:hAnsiTheme="majorHAnsi"/>
          <w:sz w:val="22"/>
          <w:szCs w:val="22"/>
        </w:rPr>
      </w:pPr>
    </w:p>
    <w:p w14:paraId="6DE33FE9" w14:textId="77777777" w:rsidR="00F63978" w:rsidRPr="00511CD3" w:rsidRDefault="00F63978" w:rsidP="008429F6">
      <w:pPr>
        <w:tabs>
          <w:tab w:val="center" w:pos="5400"/>
        </w:tabs>
        <w:suppressAutoHyphens/>
        <w:rPr>
          <w:rFonts w:asciiTheme="majorHAnsi" w:hAnsiTheme="majorHAnsi"/>
          <w:sz w:val="22"/>
          <w:szCs w:val="22"/>
        </w:rPr>
      </w:pPr>
    </w:p>
    <w:p w14:paraId="4217CE72" w14:textId="77777777" w:rsidR="00F63978" w:rsidRPr="00511CD3" w:rsidRDefault="00F63978" w:rsidP="008429F6">
      <w:pPr>
        <w:tabs>
          <w:tab w:val="center" w:pos="5400"/>
        </w:tabs>
        <w:suppressAutoHyphens/>
        <w:rPr>
          <w:rFonts w:asciiTheme="majorHAnsi" w:hAnsiTheme="majorHAnsi"/>
          <w:sz w:val="22"/>
          <w:szCs w:val="22"/>
        </w:rPr>
      </w:pPr>
    </w:p>
    <w:p w14:paraId="2657CE8C" w14:textId="77777777" w:rsidR="00F63978" w:rsidRPr="00511CD3" w:rsidRDefault="00F63978" w:rsidP="008429F6">
      <w:pPr>
        <w:tabs>
          <w:tab w:val="center" w:pos="5400"/>
        </w:tabs>
        <w:suppressAutoHyphens/>
        <w:rPr>
          <w:rFonts w:asciiTheme="majorHAnsi" w:hAnsiTheme="majorHAnsi"/>
          <w:sz w:val="22"/>
          <w:szCs w:val="22"/>
        </w:rPr>
      </w:pPr>
    </w:p>
    <w:p w14:paraId="119B9040" w14:textId="77777777" w:rsidR="00F63978" w:rsidRPr="00511CD3" w:rsidRDefault="00F63978" w:rsidP="008429F6">
      <w:pPr>
        <w:tabs>
          <w:tab w:val="center" w:pos="5400"/>
        </w:tabs>
        <w:suppressAutoHyphens/>
        <w:jc w:val="center"/>
        <w:rPr>
          <w:rFonts w:asciiTheme="majorHAnsi" w:hAnsiTheme="majorHAnsi"/>
          <w:sz w:val="22"/>
          <w:szCs w:val="22"/>
        </w:rPr>
      </w:pPr>
    </w:p>
    <w:p w14:paraId="17F9B45B" w14:textId="77777777" w:rsidR="00F63978" w:rsidRPr="00511CD3" w:rsidRDefault="00F63978" w:rsidP="008429F6">
      <w:pPr>
        <w:tabs>
          <w:tab w:val="center" w:pos="5400"/>
        </w:tabs>
        <w:suppressAutoHyphens/>
        <w:jc w:val="center"/>
        <w:rPr>
          <w:rFonts w:asciiTheme="majorHAnsi" w:hAnsiTheme="majorHAnsi"/>
          <w:sz w:val="22"/>
          <w:szCs w:val="22"/>
        </w:rPr>
      </w:pPr>
    </w:p>
    <w:p w14:paraId="6188B703" w14:textId="77777777" w:rsidR="00F63978" w:rsidRPr="00511CD3" w:rsidRDefault="00F63978" w:rsidP="008429F6">
      <w:pPr>
        <w:tabs>
          <w:tab w:val="center" w:pos="5400"/>
        </w:tabs>
        <w:suppressAutoHyphens/>
        <w:jc w:val="center"/>
        <w:rPr>
          <w:rFonts w:asciiTheme="majorHAnsi" w:hAnsiTheme="majorHAnsi"/>
          <w:sz w:val="22"/>
          <w:szCs w:val="22"/>
        </w:rPr>
      </w:pPr>
    </w:p>
    <w:p w14:paraId="54E1D185" w14:textId="77777777" w:rsidR="00F63978" w:rsidRPr="00511CD3" w:rsidRDefault="00D568AC" w:rsidP="008429F6">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0DBDD17E" wp14:editId="461A8672">
                <wp:simplePos x="0" y="0"/>
                <wp:positionH relativeFrom="column">
                  <wp:posOffset>-360680</wp:posOffset>
                </wp:positionH>
                <wp:positionV relativeFrom="paragraph">
                  <wp:posOffset>116840</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6F5B8" w14:textId="77777777" w:rsidR="007F6759" w:rsidRPr="00B10F4D" w:rsidRDefault="007F6759" w:rsidP="00F63978">
                            <w:pPr>
                              <w:spacing w:line="276" w:lineRule="auto"/>
                              <w:jc w:val="right"/>
                              <w:rPr>
                                <w:rFonts w:ascii="Cambria" w:hAnsi="Cambria"/>
                                <w:color w:val="FFFFFF" w:themeColor="background1"/>
                                <w:sz w:val="22"/>
                              </w:rPr>
                            </w:pPr>
                            <w:r w:rsidRPr="00B10F4D">
                              <w:rPr>
                                <w:rFonts w:ascii="Cambria" w:hAnsi="Cambria"/>
                                <w:color w:val="FFFFFF" w:themeColor="background1"/>
                                <w:sz w:val="22"/>
                              </w:rPr>
                              <w:t>OEA/Ser.L/V/II.XX</w:t>
                            </w:r>
                          </w:p>
                          <w:p w14:paraId="314D466C" w14:textId="69A4FAB2" w:rsidR="007F6759" w:rsidRPr="00B10F4D" w:rsidRDefault="007F6759" w:rsidP="00F63978">
                            <w:pPr>
                              <w:spacing w:line="276" w:lineRule="auto"/>
                              <w:jc w:val="right"/>
                              <w:rPr>
                                <w:rFonts w:ascii="Cambria" w:hAnsi="Cambria"/>
                                <w:color w:val="FFFFFF" w:themeColor="background1"/>
                                <w:sz w:val="22"/>
                              </w:rPr>
                            </w:pPr>
                            <w:r w:rsidRPr="00B10F4D">
                              <w:rPr>
                                <w:rFonts w:ascii="Cambria" w:hAnsi="Cambria"/>
                                <w:color w:val="FFFFFF" w:themeColor="background1"/>
                                <w:sz w:val="22"/>
                              </w:rPr>
                              <w:t xml:space="preserve">Doc. </w:t>
                            </w:r>
                            <w:r w:rsidR="00A03E66">
                              <w:rPr>
                                <w:rFonts w:ascii="Cambria" w:hAnsi="Cambria"/>
                                <w:color w:val="FFFFFF" w:themeColor="background1"/>
                                <w:sz w:val="22"/>
                              </w:rPr>
                              <w:t>404</w:t>
                            </w:r>
                          </w:p>
                          <w:p w14:paraId="7C936802" w14:textId="774F4520" w:rsidR="007F6759" w:rsidRPr="00B10F4D" w:rsidRDefault="00A03E66" w:rsidP="00F63978">
                            <w:pPr>
                              <w:spacing w:line="276" w:lineRule="auto"/>
                              <w:jc w:val="right"/>
                              <w:rPr>
                                <w:rFonts w:ascii="Cambria" w:hAnsi="Cambria"/>
                                <w:color w:val="FFFFFF" w:themeColor="background1"/>
                                <w:sz w:val="22"/>
                              </w:rPr>
                            </w:pPr>
                            <w:r>
                              <w:rPr>
                                <w:rFonts w:ascii="Cambria" w:hAnsi="Cambria"/>
                                <w:color w:val="FFFFFF" w:themeColor="background1"/>
                                <w:sz w:val="22"/>
                              </w:rPr>
                              <w:t>December 21, 2021</w:t>
                            </w:r>
                          </w:p>
                          <w:p w14:paraId="3E0A1F92" w14:textId="77777777" w:rsidR="007F6759" w:rsidRPr="00B10F4D" w:rsidRDefault="007F6759" w:rsidP="00F63978">
                            <w:pPr>
                              <w:spacing w:line="276" w:lineRule="auto"/>
                              <w:jc w:val="right"/>
                              <w:rPr>
                                <w:rFonts w:ascii="Cambria" w:hAnsi="Cambria"/>
                                <w:color w:val="FFFFFF" w:themeColor="background1"/>
                                <w:sz w:val="22"/>
                              </w:rPr>
                            </w:pPr>
                            <w:r w:rsidRPr="00B10F4D">
                              <w:rPr>
                                <w:rFonts w:ascii="Cambria" w:hAnsi="Cambria"/>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D17E" id="Text Box 8" o:spid="_x0000_s1027" type="#_x0000_t202" style="position:absolute;left:0;text-align:left;margin-left:-28.4pt;margin-top:9.2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" filled="f" stroked="f" strokeweight=".5pt">
                <v:textbox>
                  <w:txbxContent>
                    <w:p w14:paraId="0446F5B8" w14:textId="77777777" w:rsidR="007F6759" w:rsidRPr="00B10F4D" w:rsidRDefault="007F6759" w:rsidP="00F63978">
                      <w:pPr>
                        <w:spacing w:line="276" w:lineRule="auto"/>
                        <w:jc w:val="right"/>
                        <w:rPr>
                          <w:rFonts w:ascii="Cambria" w:hAnsi="Cambria"/>
                          <w:color w:val="FFFFFF" w:themeColor="background1"/>
                          <w:sz w:val="22"/>
                        </w:rPr>
                      </w:pPr>
                      <w:r w:rsidRPr="00B10F4D">
                        <w:rPr>
                          <w:rFonts w:ascii="Cambria" w:hAnsi="Cambria"/>
                          <w:color w:val="FFFFFF" w:themeColor="background1"/>
                          <w:sz w:val="22"/>
                        </w:rPr>
                        <w:t>OEA/Ser.L/V/II.XX</w:t>
                      </w:r>
                    </w:p>
                    <w:p w14:paraId="314D466C" w14:textId="69A4FAB2" w:rsidR="007F6759" w:rsidRPr="00B10F4D" w:rsidRDefault="007F6759" w:rsidP="00F63978">
                      <w:pPr>
                        <w:spacing w:line="276" w:lineRule="auto"/>
                        <w:jc w:val="right"/>
                        <w:rPr>
                          <w:rFonts w:ascii="Cambria" w:hAnsi="Cambria"/>
                          <w:color w:val="FFFFFF" w:themeColor="background1"/>
                          <w:sz w:val="22"/>
                        </w:rPr>
                      </w:pPr>
                      <w:r w:rsidRPr="00B10F4D">
                        <w:rPr>
                          <w:rFonts w:ascii="Cambria" w:hAnsi="Cambria"/>
                          <w:color w:val="FFFFFF" w:themeColor="background1"/>
                          <w:sz w:val="22"/>
                        </w:rPr>
                        <w:t xml:space="preserve">Doc. </w:t>
                      </w:r>
                      <w:r w:rsidR="00A03E66">
                        <w:rPr>
                          <w:rFonts w:ascii="Cambria" w:hAnsi="Cambria"/>
                          <w:color w:val="FFFFFF" w:themeColor="background1"/>
                          <w:sz w:val="22"/>
                        </w:rPr>
                        <w:t>404</w:t>
                      </w:r>
                    </w:p>
                    <w:p w14:paraId="7C936802" w14:textId="774F4520" w:rsidR="007F6759" w:rsidRPr="00B10F4D" w:rsidRDefault="00A03E66" w:rsidP="00F63978">
                      <w:pPr>
                        <w:spacing w:line="276" w:lineRule="auto"/>
                        <w:jc w:val="right"/>
                        <w:rPr>
                          <w:rFonts w:ascii="Cambria" w:hAnsi="Cambria"/>
                          <w:color w:val="FFFFFF" w:themeColor="background1"/>
                          <w:sz w:val="22"/>
                        </w:rPr>
                      </w:pPr>
                      <w:r>
                        <w:rPr>
                          <w:rFonts w:ascii="Cambria" w:hAnsi="Cambria"/>
                          <w:color w:val="FFFFFF" w:themeColor="background1"/>
                          <w:sz w:val="22"/>
                        </w:rPr>
                        <w:t>December 21, 2021</w:t>
                      </w:r>
                    </w:p>
                    <w:p w14:paraId="3E0A1F92" w14:textId="77777777" w:rsidR="007F6759" w:rsidRPr="00B10F4D" w:rsidRDefault="007F6759" w:rsidP="00F63978">
                      <w:pPr>
                        <w:spacing w:line="276" w:lineRule="auto"/>
                        <w:jc w:val="right"/>
                        <w:rPr>
                          <w:rFonts w:ascii="Cambria" w:hAnsi="Cambria"/>
                          <w:color w:val="FFFFFF" w:themeColor="background1"/>
                          <w:sz w:val="22"/>
                        </w:rPr>
                      </w:pPr>
                      <w:r w:rsidRPr="00B10F4D">
                        <w:rPr>
                          <w:rFonts w:ascii="Cambria" w:hAnsi="Cambria"/>
                          <w:color w:val="FFFFFF" w:themeColor="background1"/>
                          <w:sz w:val="22"/>
                        </w:rPr>
                        <w:t>Original: Spanish</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02A49BAF" wp14:editId="7FF53AFF">
                <wp:simplePos x="0" y="0"/>
                <wp:positionH relativeFrom="column">
                  <wp:posOffset>1325245</wp:posOffset>
                </wp:positionH>
                <wp:positionV relativeFrom="paragraph">
                  <wp:posOffset>14605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64E15" w14:textId="7D9607CA" w:rsidR="007F6759" w:rsidRPr="002561FF" w:rsidRDefault="007F6759" w:rsidP="00F63978">
                            <w:pPr>
                              <w:spacing w:line="276" w:lineRule="auto"/>
                              <w:rPr>
                                <w:rFonts w:ascii="Cambria" w:hAnsi="Cambria" w:cs="Arial"/>
                                <w:b/>
                                <w:bCs/>
                                <w:color w:val="0D0D0D" w:themeColor="text1" w:themeTint="F2"/>
                                <w:sz w:val="36"/>
                                <w:szCs w:val="22"/>
                              </w:rPr>
                            </w:pPr>
                            <w:r w:rsidRPr="002561FF">
                              <w:rPr>
                                <w:rFonts w:ascii="Cambria" w:hAnsi="Cambria" w:cs="Arial"/>
                                <w:b/>
                                <w:bCs/>
                                <w:color w:val="0D0D0D" w:themeColor="text1" w:themeTint="F2"/>
                                <w:sz w:val="36"/>
                                <w:szCs w:val="22"/>
                              </w:rPr>
                              <w:t xml:space="preserve">REPORT </w:t>
                            </w:r>
                            <w:r w:rsidRPr="002561FF">
                              <w:rPr>
                                <w:rFonts w:ascii="Cambria" w:hAnsi="Cambria" w:cs="Arial"/>
                                <w:b/>
                                <w:bCs/>
                                <w:color w:val="0D0D0D" w:themeColor="text1" w:themeTint="F2"/>
                                <w:sz w:val="36"/>
                                <w:szCs w:val="40"/>
                              </w:rPr>
                              <w:t>No.</w:t>
                            </w:r>
                            <w:r w:rsidRPr="002561FF">
                              <w:rPr>
                                <w:rFonts w:ascii="Cambria" w:hAnsi="Cambria" w:cs="Arial"/>
                                <w:b/>
                                <w:bCs/>
                                <w:color w:val="0D0D0D" w:themeColor="text1" w:themeTint="F2"/>
                                <w:sz w:val="36"/>
                                <w:szCs w:val="22"/>
                              </w:rPr>
                              <w:t xml:space="preserve"> </w:t>
                            </w:r>
                            <w:r w:rsidR="002561FF">
                              <w:rPr>
                                <w:rFonts w:ascii="Cambria" w:hAnsi="Cambria" w:cs="Arial"/>
                                <w:b/>
                                <w:bCs/>
                                <w:color w:val="0D0D0D" w:themeColor="text1" w:themeTint="F2"/>
                                <w:sz w:val="36"/>
                                <w:szCs w:val="22"/>
                              </w:rPr>
                              <w:t>393</w:t>
                            </w:r>
                            <w:r w:rsidRPr="002561FF">
                              <w:rPr>
                                <w:rFonts w:ascii="Cambria" w:hAnsi="Cambria" w:cs="Arial"/>
                                <w:b/>
                                <w:bCs/>
                                <w:color w:val="0D0D0D" w:themeColor="text1" w:themeTint="F2"/>
                                <w:sz w:val="36"/>
                                <w:szCs w:val="22"/>
                              </w:rPr>
                              <w:t>/21</w:t>
                            </w:r>
                          </w:p>
                          <w:p w14:paraId="177E7AEF" w14:textId="77777777" w:rsidR="007F6759" w:rsidRPr="002561FF" w:rsidRDefault="007F6759" w:rsidP="00F63978">
                            <w:pPr>
                              <w:spacing w:line="276" w:lineRule="auto"/>
                              <w:rPr>
                                <w:rFonts w:ascii="Cambria" w:hAnsi="Cambria" w:cs="Arial"/>
                                <w:b/>
                                <w:color w:val="0D0D0D" w:themeColor="text1" w:themeTint="F2"/>
                                <w:sz w:val="36"/>
                                <w:szCs w:val="22"/>
                              </w:rPr>
                            </w:pPr>
                            <w:r w:rsidRPr="002561FF">
                              <w:rPr>
                                <w:rFonts w:ascii="Cambria" w:hAnsi="Cambria" w:cs="Arial"/>
                                <w:b/>
                                <w:color w:val="0D0D0D" w:themeColor="text1" w:themeTint="F2"/>
                                <w:sz w:val="36"/>
                                <w:szCs w:val="22"/>
                              </w:rPr>
                              <w:t>CASE 14.059</w:t>
                            </w:r>
                          </w:p>
                          <w:p w14:paraId="6A3EEDAD" w14:textId="77777777" w:rsidR="007F6759" w:rsidRPr="002561FF" w:rsidRDefault="007F6759" w:rsidP="00F63978">
                            <w:pPr>
                              <w:rPr>
                                <w:rFonts w:ascii="Cambria" w:hAnsi="Cambria" w:cs="Arial"/>
                                <w:szCs w:val="22"/>
                              </w:rPr>
                            </w:pPr>
                            <w:r w:rsidRPr="002561FF">
                              <w:rPr>
                                <w:rFonts w:ascii="Cambria" w:hAnsi="Cambria" w:cs="Arial"/>
                                <w:szCs w:val="22"/>
                              </w:rPr>
                              <w:t xml:space="preserve">ADMISSIBILITY AND MERITS REPORT </w:t>
                            </w:r>
                          </w:p>
                          <w:p w14:paraId="0B30F14C" w14:textId="77777777" w:rsidR="007F6759" w:rsidRPr="002561FF" w:rsidRDefault="007F6759" w:rsidP="00F63978">
                            <w:pPr>
                              <w:rPr>
                                <w:rFonts w:ascii="Cambria" w:hAnsi="Cambria" w:cs="Arial"/>
                                <w:color w:val="0D0D0D" w:themeColor="text1" w:themeTint="F2"/>
                                <w:szCs w:val="22"/>
                              </w:rPr>
                            </w:pPr>
                            <w:bookmarkStart w:id="1" w:name="_ftnref1"/>
                          </w:p>
                          <w:p w14:paraId="6FA5B637" w14:textId="77777777" w:rsidR="007F6759" w:rsidRPr="002561FF" w:rsidRDefault="007F6759" w:rsidP="00F63978">
                            <w:pPr>
                              <w:rPr>
                                <w:rFonts w:ascii="Cambria" w:hAnsi="Cambria" w:cs="Arial"/>
                                <w:color w:val="0D0D0D" w:themeColor="text1" w:themeTint="F2"/>
                                <w:szCs w:val="22"/>
                              </w:rPr>
                            </w:pPr>
                            <w:r w:rsidRPr="002561FF">
                              <w:rPr>
                                <w:rFonts w:ascii="Cambria" w:hAnsi="Cambria" w:cs="Arial"/>
                                <w:color w:val="0D0D0D" w:themeColor="text1" w:themeTint="F2"/>
                                <w:szCs w:val="22"/>
                              </w:rPr>
                              <w:t>“MARÍA” AND HER SON “MARIANO”</w:t>
                            </w:r>
                          </w:p>
                          <w:bookmarkEnd w:id="1"/>
                          <w:p w14:paraId="434C525E" w14:textId="77777777" w:rsidR="007F6759" w:rsidRPr="00F63978" w:rsidRDefault="007F6759" w:rsidP="00F63978">
                            <w:pPr>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ARGENTINA</w:t>
                            </w:r>
                          </w:p>
                          <w:p w14:paraId="6200B9B0" w14:textId="77777777" w:rsidR="007F6759" w:rsidRPr="00AE5488" w:rsidRDefault="007F6759" w:rsidP="00F63978">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49BAF" id="Text Box 5" o:spid="_x0000_s1028" type="#_x0000_t202" style="position:absolute;left:0;text-align:left;margin-left:104.35pt;margin-top:1.1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" filled="f" stroked="f" strokeweight=".5pt">
                <v:textbox>
                  <w:txbxContent>
                    <w:p w14:paraId="6BD64E15" w14:textId="7D9607CA" w:rsidR="007F6759" w:rsidRPr="002561FF" w:rsidRDefault="007F6759" w:rsidP="00F63978">
                      <w:pPr>
                        <w:spacing w:line="276" w:lineRule="auto"/>
                        <w:rPr>
                          <w:rFonts w:ascii="Cambria" w:hAnsi="Cambria" w:cs="Arial"/>
                          <w:b/>
                          <w:bCs/>
                          <w:color w:val="0D0D0D" w:themeColor="text1" w:themeTint="F2"/>
                          <w:sz w:val="36"/>
                          <w:szCs w:val="22"/>
                        </w:rPr>
                      </w:pPr>
                      <w:r w:rsidRPr="002561FF">
                        <w:rPr>
                          <w:rFonts w:ascii="Cambria" w:hAnsi="Cambria" w:cs="Arial"/>
                          <w:b/>
                          <w:bCs/>
                          <w:color w:val="0D0D0D" w:themeColor="text1" w:themeTint="F2"/>
                          <w:sz w:val="36"/>
                          <w:szCs w:val="22"/>
                        </w:rPr>
                        <w:t xml:space="preserve">REPORT </w:t>
                      </w:r>
                      <w:r w:rsidRPr="002561FF">
                        <w:rPr>
                          <w:rFonts w:ascii="Cambria" w:hAnsi="Cambria" w:cs="Arial"/>
                          <w:b/>
                          <w:bCs/>
                          <w:color w:val="0D0D0D" w:themeColor="text1" w:themeTint="F2"/>
                          <w:sz w:val="36"/>
                          <w:szCs w:val="40"/>
                        </w:rPr>
                        <w:t>No.</w:t>
                      </w:r>
                      <w:r w:rsidRPr="002561FF">
                        <w:rPr>
                          <w:rFonts w:ascii="Cambria" w:hAnsi="Cambria" w:cs="Arial"/>
                          <w:b/>
                          <w:bCs/>
                          <w:color w:val="0D0D0D" w:themeColor="text1" w:themeTint="F2"/>
                          <w:sz w:val="36"/>
                          <w:szCs w:val="22"/>
                        </w:rPr>
                        <w:t xml:space="preserve"> </w:t>
                      </w:r>
                      <w:r w:rsidR="002561FF">
                        <w:rPr>
                          <w:rFonts w:ascii="Cambria" w:hAnsi="Cambria" w:cs="Arial"/>
                          <w:b/>
                          <w:bCs/>
                          <w:color w:val="0D0D0D" w:themeColor="text1" w:themeTint="F2"/>
                          <w:sz w:val="36"/>
                          <w:szCs w:val="22"/>
                        </w:rPr>
                        <w:t>393</w:t>
                      </w:r>
                      <w:r w:rsidRPr="002561FF">
                        <w:rPr>
                          <w:rFonts w:ascii="Cambria" w:hAnsi="Cambria" w:cs="Arial"/>
                          <w:b/>
                          <w:bCs/>
                          <w:color w:val="0D0D0D" w:themeColor="text1" w:themeTint="F2"/>
                          <w:sz w:val="36"/>
                          <w:szCs w:val="22"/>
                        </w:rPr>
                        <w:t>/21</w:t>
                      </w:r>
                    </w:p>
                    <w:p w14:paraId="177E7AEF" w14:textId="77777777" w:rsidR="007F6759" w:rsidRPr="002561FF" w:rsidRDefault="007F6759" w:rsidP="00F63978">
                      <w:pPr>
                        <w:spacing w:line="276" w:lineRule="auto"/>
                        <w:rPr>
                          <w:rFonts w:ascii="Cambria" w:hAnsi="Cambria" w:cs="Arial"/>
                          <w:b/>
                          <w:color w:val="0D0D0D" w:themeColor="text1" w:themeTint="F2"/>
                          <w:sz w:val="36"/>
                          <w:szCs w:val="22"/>
                        </w:rPr>
                      </w:pPr>
                      <w:r w:rsidRPr="002561FF">
                        <w:rPr>
                          <w:rFonts w:ascii="Cambria" w:hAnsi="Cambria" w:cs="Arial"/>
                          <w:b/>
                          <w:color w:val="0D0D0D" w:themeColor="text1" w:themeTint="F2"/>
                          <w:sz w:val="36"/>
                          <w:szCs w:val="22"/>
                        </w:rPr>
                        <w:t>CASE 14.059</w:t>
                      </w:r>
                    </w:p>
                    <w:p w14:paraId="6A3EEDAD" w14:textId="77777777" w:rsidR="007F6759" w:rsidRPr="002561FF" w:rsidRDefault="007F6759" w:rsidP="00F63978">
                      <w:pPr>
                        <w:rPr>
                          <w:rFonts w:ascii="Cambria" w:hAnsi="Cambria" w:cs="Arial"/>
                          <w:szCs w:val="22"/>
                        </w:rPr>
                      </w:pPr>
                      <w:r w:rsidRPr="002561FF">
                        <w:rPr>
                          <w:rFonts w:ascii="Cambria" w:hAnsi="Cambria" w:cs="Arial"/>
                          <w:szCs w:val="22"/>
                        </w:rPr>
                        <w:t xml:space="preserve">ADMISSIBILITY AND MERITS REPORT </w:t>
                      </w:r>
                    </w:p>
                    <w:p w14:paraId="0B30F14C" w14:textId="77777777" w:rsidR="007F6759" w:rsidRPr="002561FF" w:rsidRDefault="007F6759" w:rsidP="00F63978">
                      <w:pPr>
                        <w:rPr>
                          <w:rFonts w:ascii="Cambria" w:hAnsi="Cambria" w:cs="Arial"/>
                          <w:color w:val="0D0D0D" w:themeColor="text1" w:themeTint="F2"/>
                          <w:szCs w:val="22"/>
                        </w:rPr>
                      </w:pPr>
                      <w:bookmarkStart w:id="2" w:name="_ftnref1"/>
                    </w:p>
                    <w:p w14:paraId="6FA5B637" w14:textId="77777777" w:rsidR="007F6759" w:rsidRPr="002561FF" w:rsidRDefault="007F6759" w:rsidP="00F63978">
                      <w:pPr>
                        <w:rPr>
                          <w:rFonts w:ascii="Cambria" w:hAnsi="Cambria" w:cs="Arial"/>
                          <w:color w:val="0D0D0D" w:themeColor="text1" w:themeTint="F2"/>
                          <w:szCs w:val="22"/>
                        </w:rPr>
                      </w:pPr>
                      <w:r w:rsidRPr="002561FF">
                        <w:rPr>
                          <w:rFonts w:ascii="Cambria" w:hAnsi="Cambria" w:cs="Arial"/>
                          <w:color w:val="0D0D0D" w:themeColor="text1" w:themeTint="F2"/>
                          <w:szCs w:val="22"/>
                        </w:rPr>
                        <w:t>“MARÍA” AND HER SON “MARIANO”</w:t>
                      </w:r>
                    </w:p>
                    <w:bookmarkEnd w:id="2"/>
                    <w:p w14:paraId="434C525E" w14:textId="77777777" w:rsidR="007F6759" w:rsidRPr="00F63978" w:rsidRDefault="007F6759" w:rsidP="00F63978">
                      <w:pPr>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ARGENTINA</w:t>
                      </w:r>
                    </w:p>
                    <w:p w14:paraId="6200B9B0" w14:textId="77777777" w:rsidR="007F6759" w:rsidRPr="00AE5488" w:rsidRDefault="007F6759" w:rsidP="00F63978">
                      <w:pPr>
                        <w:rPr>
                          <w:color w:val="0D0D0D" w:themeColor="text1" w:themeTint="F2"/>
                          <w:lang w:val="es-ES_tradnl"/>
                        </w:rPr>
                      </w:pPr>
                    </w:p>
                  </w:txbxContent>
                </v:textbox>
              </v:shape>
            </w:pict>
          </mc:Fallback>
        </mc:AlternateContent>
      </w:r>
    </w:p>
    <w:p w14:paraId="762FB693" w14:textId="77777777" w:rsidR="00F63978" w:rsidRPr="00511CD3" w:rsidRDefault="00F63978" w:rsidP="008429F6">
      <w:pPr>
        <w:tabs>
          <w:tab w:val="center" w:pos="5400"/>
        </w:tabs>
        <w:suppressAutoHyphens/>
        <w:jc w:val="center"/>
        <w:rPr>
          <w:rFonts w:asciiTheme="majorHAnsi" w:hAnsiTheme="majorHAnsi"/>
          <w:sz w:val="22"/>
          <w:szCs w:val="22"/>
        </w:rPr>
      </w:pPr>
    </w:p>
    <w:p w14:paraId="1F7C2EC0" w14:textId="77777777" w:rsidR="00F63978" w:rsidRPr="00511CD3" w:rsidRDefault="00F63978" w:rsidP="008429F6">
      <w:pPr>
        <w:tabs>
          <w:tab w:val="center" w:pos="5400"/>
        </w:tabs>
        <w:suppressAutoHyphens/>
        <w:jc w:val="center"/>
        <w:rPr>
          <w:rFonts w:asciiTheme="majorHAnsi" w:hAnsiTheme="majorHAnsi" w:cs="Arial"/>
          <w:sz w:val="22"/>
          <w:szCs w:val="22"/>
        </w:rPr>
      </w:pPr>
    </w:p>
    <w:p w14:paraId="7A1A2D46" w14:textId="77777777" w:rsidR="00F63978" w:rsidRPr="00511CD3" w:rsidRDefault="00F63978" w:rsidP="008429F6">
      <w:pPr>
        <w:tabs>
          <w:tab w:val="center" w:pos="5400"/>
        </w:tabs>
        <w:suppressAutoHyphens/>
        <w:jc w:val="center"/>
        <w:rPr>
          <w:rFonts w:asciiTheme="majorHAnsi" w:hAnsiTheme="majorHAnsi"/>
          <w:sz w:val="22"/>
          <w:szCs w:val="22"/>
        </w:rPr>
      </w:pPr>
    </w:p>
    <w:p w14:paraId="5947D91A" w14:textId="77777777" w:rsidR="00F63978" w:rsidRPr="00511CD3" w:rsidRDefault="00F63978" w:rsidP="008429F6">
      <w:pPr>
        <w:tabs>
          <w:tab w:val="center" w:pos="5400"/>
        </w:tabs>
        <w:suppressAutoHyphens/>
        <w:jc w:val="center"/>
        <w:rPr>
          <w:rFonts w:asciiTheme="majorHAnsi" w:hAnsiTheme="majorHAnsi"/>
          <w:sz w:val="22"/>
          <w:szCs w:val="22"/>
        </w:rPr>
      </w:pPr>
    </w:p>
    <w:p w14:paraId="3460B242" w14:textId="77777777" w:rsidR="00F63978" w:rsidRPr="00511CD3" w:rsidRDefault="00F63978" w:rsidP="008429F6">
      <w:pPr>
        <w:tabs>
          <w:tab w:val="center" w:pos="5400"/>
        </w:tabs>
        <w:suppressAutoHyphens/>
        <w:jc w:val="center"/>
        <w:rPr>
          <w:rFonts w:asciiTheme="majorHAnsi" w:hAnsiTheme="majorHAnsi"/>
          <w:sz w:val="22"/>
          <w:szCs w:val="22"/>
        </w:rPr>
      </w:pPr>
    </w:p>
    <w:p w14:paraId="7CA35275" w14:textId="77777777" w:rsidR="00F63978" w:rsidRPr="00511CD3" w:rsidRDefault="00F63978" w:rsidP="008429F6">
      <w:pPr>
        <w:tabs>
          <w:tab w:val="center" w:pos="5400"/>
        </w:tabs>
        <w:suppressAutoHyphens/>
        <w:jc w:val="center"/>
        <w:rPr>
          <w:rFonts w:asciiTheme="majorHAnsi" w:hAnsiTheme="majorHAnsi"/>
          <w:sz w:val="22"/>
          <w:szCs w:val="22"/>
        </w:rPr>
      </w:pPr>
    </w:p>
    <w:p w14:paraId="209F5375" w14:textId="77777777" w:rsidR="00F63978" w:rsidRPr="00511CD3" w:rsidRDefault="00F63978" w:rsidP="008429F6">
      <w:pPr>
        <w:tabs>
          <w:tab w:val="center" w:pos="5400"/>
        </w:tabs>
        <w:suppressAutoHyphens/>
        <w:jc w:val="center"/>
        <w:rPr>
          <w:rFonts w:asciiTheme="majorHAnsi" w:hAnsiTheme="majorHAnsi"/>
          <w:sz w:val="22"/>
          <w:szCs w:val="22"/>
        </w:rPr>
      </w:pPr>
    </w:p>
    <w:p w14:paraId="1B517A36" w14:textId="77777777" w:rsidR="00F63978" w:rsidRPr="00511CD3" w:rsidRDefault="00F63978" w:rsidP="008429F6">
      <w:pPr>
        <w:tabs>
          <w:tab w:val="center" w:pos="5400"/>
        </w:tabs>
        <w:suppressAutoHyphens/>
        <w:jc w:val="center"/>
        <w:rPr>
          <w:rFonts w:asciiTheme="majorHAnsi" w:hAnsiTheme="majorHAnsi"/>
          <w:sz w:val="22"/>
          <w:szCs w:val="22"/>
        </w:rPr>
      </w:pPr>
    </w:p>
    <w:p w14:paraId="1FCA20C4" w14:textId="77777777" w:rsidR="00F63978" w:rsidRPr="00511CD3" w:rsidRDefault="00F63978" w:rsidP="008429F6">
      <w:pPr>
        <w:tabs>
          <w:tab w:val="center" w:pos="5400"/>
        </w:tabs>
        <w:suppressAutoHyphens/>
        <w:jc w:val="center"/>
        <w:rPr>
          <w:rFonts w:asciiTheme="majorHAnsi" w:hAnsiTheme="majorHAnsi"/>
          <w:sz w:val="22"/>
          <w:szCs w:val="22"/>
        </w:rPr>
      </w:pPr>
    </w:p>
    <w:p w14:paraId="2857CD0E" w14:textId="77777777" w:rsidR="00F63978" w:rsidRPr="00511CD3" w:rsidRDefault="00F63978" w:rsidP="008429F6">
      <w:pPr>
        <w:tabs>
          <w:tab w:val="center" w:pos="5400"/>
        </w:tabs>
        <w:suppressAutoHyphens/>
        <w:jc w:val="center"/>
        <w:rPr>
          <w:rFonts w:asciiTheme="majorHAnsi" w:hAnsiTheme="majorHAnsi"/>
          <w:sz w:val="22"/>
          <w:szCs w:val="22"/>
        </w:rPr>
      </w:pPr>
    </w:p>
    <w:p w14:paraId="4B62615C" w14:textId="77777777" w:rsidR="00F63978" w:rsidRPr="00511CD3" w:rsidRDefault="00F63978" w:rsidP="008429F6">
      <w:pPr>
        <w:tabs>
          <w:tab w:val="center" w:pos="5400"/>
        </w:tabs>
        <w:suppressAutoHyphens/>
        <w:jc w:val="center"/>
        <w:rPr>
          <w:rFonts w:asciiTheme="majorHAnsi" w:hAnsiTheme="majorHAnsi"/>
          <w:sz w:val="22"/>
          <w:szCs w:val="22"/>
        </w:rPr>
      </w:pPr>
    </w:p>
    <w:p w14:paraId="183DE702" w14:textId="77777777" w:rsidR="00F63978" w:rsidRPr="00511CD3" w:rsidRDefault="00F63978" w:rsidP="008429F6">
      <w:pPr>
        <w:tabs>
          <w:tab w:val="center" w:pos="5400"/>
        </w:tabs>
        <w:suppressAutoHyphens/>
        <w:jc w:val="center"/>
        <w:rPr>
          <w:rFonts w:asciiTheme="majorHAnsi" w:hAnsiTheme="majorHAnsi"/>
          <w:sz w:val="22"/>
          <w:szCs w:val="22"/>
        </w:rPr>
      </w:pPr>
    </w:p>
    <w:p w14:paraId="19D3F060" w14:textId="77777777" w:rsidR="00F63978" w:rsidRPr="00511CD3" w:rsidRDefault="00F63978" w:rsidP="008429F6">
      <w:pPr>
        <w:tabs>
          <w:tab w:val="center" w:pos="5400"/>
        </w:tabs>
        <w:suppressAutoHyphens/>
        <w:jc w:val="center"/>
        <w:rPr>
          <w:rFonts w:asciiTheme="majorHAnsi" w:hAnsiTheme="majorHAnsi"/>
          <w:sz w:val="22"/>
          <w:szCs w:val="22"/>
        </w:rPr>
      </w:pPr>
    </w:p>
    <w:p w14:paraId="72B952A3" w14:textId="77777777" w:rsidR="00F63978" w:rsidRPr="00511CD3" w:rsidRDefault="00F63978" w:rsidP="008429F6">
      <w:pPr>
        <w:tabs>
          <w:tab w:val="center" w:pos="5400"/>
        </w:tabs>
        <w:suppressAutoHyphens/>
        <w:jc w:val="center"/>
        <w:rPr>
          <w:rFonts w:asciiTheme="majorHAnsi" w:hAnsiTheme="majorHAnsi"/>
          <w:sz w:val="18"/>
          <w:szCs w:val="22"/>
        </w:rPr>
      </w:pPr>
    </w:p>
    <w:p w14:paraId="4AA42728" w14:textId="77777777" w:rsidR="00F63978" w:rsidRPr="00511CD3" w:rsidRDefault="00F63978" w:rsidP="008429F6">
      <w:pPr>
        <w:tabs>
          <w:tab w:val="center" w:pos="5400"/>
        </w:tabs>
        <w:suppressAutoHyphens/>
        <w:jc w:val="center"/>
        <w:rPr>
          <w:rFonts w:asciiTheme="majorHAnsi" w:hAnsiTheme="majorHAnsi"/>
          <w:sz w:val="18"/>
          <w:szCs w:val="22"/>
        </w:rPr>
      </w:pPr>
    </w:p>
    <w:p w14:paraId="167F11C2" w14:textId="77777777" w:rsidR="00F63978" w:rsidRPr="00511CD3" w:rsidRDefault="00F63978" w:rsidP="008429F6">
      <w:pPr>
        <w:tabs>
          <w:tab w:val="center" w:pos="5400"/>
        </w:tabs>
        <w:suppressAutoHyphens/>
        <w:jc w:val="center"/>
        <w:rPr>
          <w:rFonts w:asciiTheme="majorHAnsi" w:hAnsiTheme="majorHAnsi"/>
          <w:sz w:val="18"/>
          <w:szCs w:val="22"/>
        </w:rPr>
      </w:pPr>
    </w:p>
    <w:p w14:paraId="23D90C5B" w14:textId="77777777" w:rsidR="00F63978" w:rsidRPr="00511CD3" w:rsidRDefault="00F63978" w:rsidP="008429F6">
      <w:pPr>
        <w:tabs>
          <w:tab w:val="center" w:pos="5400"/>
        </w:tabs>
        <w:suppressAutoHyphens/>
        <w:jc w:val="center"/>
        <w:rPr>
          <w:rFonts w:asciiTheme="majorHAnsi" w:hAnsiTheme="majorHAnsi"/>
          <w:sz w:val="18"/>
          <w:szCs w:val="22"/>
        </w:rPr>
      </w:pPr>
    </w:p>
    <w:p w14:paraId="58BBC078" w14:textId="77777777" w:rsidR="00F63978" w:rsidRPr="00511CD3" w:rsidRDefault="00F63978" w:rsidP="008429F6">
      <w:pPr>
        <w:tabs>
          <w:tab w:val="center" w:pos="5400"/>
        </w:tabs>
        <w:suppressAutoHyphens/>
        <w:jc w:val="center"/>
        <w:rPr>
          <w:rFonts w:asciiTheme="majorHAnsi" w:hAnsiTheme="majorHAnsi"/>
          <w:sz w:val="18"/>
          <w:szCs w:val="22"/>
        </w:rPr>
      </w:pPr>
    </w:p>
    <w:p w14:paraId="35D3AB63" w14:textId="77777777" w:rsidR="00F63978" w:rsidRPr="00511CD3" w:rsidRDefault="00F63978" w:rsidP="008429F6">
      <w:pPr>
        <w:tabs>
          <w:tab w:val="center" w:pos="5400"/>
        </w:tabs>
        <w:suppressAutoHyphens/>
        <w:jc w:val="center"/>
        <w:rPr>
          <w:rFonts w:asciiTheme="majorHAnsi" w:hAnsiTheme="majorHAnsi"/>
          <w:sz w:val="18"/>
          <w:szCs w:val="22"/>
        </w:rPr>
      </w:pPr>
    </w:p>
    <w:p w14:paraId="1462CF1B" w14:textId="77777777" w:rsidR="00F63978" w:rsidRPr="00511CD3" w:rsidRDefault="00F63978" w:rsidP="008429F6">
      <w:pPr>
        <w:tabs>
          <w:tab w:val="center" w:pos="5400"/>
        </w:tabs>
        <w:suppressAutoHyphens/>
        <w:jc w:val="center"/>
        <w:rPr>
          <w:rFonts w:asciiTheme="majorHAnsi" w:hAnsiTheme="majorHAnsi"/>
          <w:sz w:val="18"/>
          <w:szCs w:val="22"/>
        </w:rPr>
      </w:pPr>
    </w:p>
    <w:p w14:paraId="2DB005FE" w14:textId="77777777" w:rsidR="00F63978" w:rsidRPr="00511CD3" w:rsidRDefault="00F63978" w:rsidP="008429F6">
      <w:pPr>
        <w:tabs>
          <w:tab w:val="center" w:pos="5400"/>
        </w:tabs>
        <w:suppressAutoHyphens/>
        <w:jc w:val="center"/>
        <w:rPr>
          <w:rFonts w:asciiTheme="majorHAnsi" w:hAnsiTheme="majorHAnsi"/>
          <w:sz w:val="18"/>
          <w:szCs w:val="22"/>
        </w:rPr>
      </w:pPr>
    </w:p>
    <w:p w14:paraId="54E2AA2D" w14:textId="77777777" w:rsidR="00F63978" w:rsidRPr="00511CD3" w:rsidRDefault="00F63978" w:rsidP="008429F6">
      <w:pPr>
        <w:tabs>
          <w:tab w:val="center" w:pos="5400"/>
        </w:tabs>
        <w:suppressAutoHyphens/>
        <w:jc w:val="center"/>
        <w:rPr>
          <w:rFonts w:asciiTheme="majorHAnsi" w:hAnsiTheme="majorHAnsi"/>
          <w:sz w:val="18"/>
          <w:szCs w:val="22"/>
        </w:rPr>
      </w:pPr>
    </w:p>
    <w:p w14:paraId="16A77670" w14:textId="77777777" w:rsidR="00F63978" w:rsidRPr="00511CD3" w:rsidRDefault="00F63978" w:rsidP="008429F6">
      <w:pPr>
        <w:tabs>
          <w:tab w:val="center" w:pos="5400"/>
        </w:tabs>
        <w:suppressAutoHyphens/>
        <w:jc w:val="center"/>
        <w:rPr>
          <w:rFonts w:asciiTheme="majorHAnsi" w:hAnsiTheme="majorHAnsi"/>
          <w:sz w:val="18"/>
          <w:szCs w:val="22"/>
        </w:rPr>
      </w:pPr>
    </w:p>
    <w:p w14:paraId="3177645B" w14:textId="77777777" w:rsidR="00F63978" w:rsidRPr="00511CD3" w:rsidRDefault="00F63978" w:rsidP="008429F6">
      <w:pPr>
        <w:tabs>
          <w:tab w:val="center" w:pos="5400"/>
        </w:tabs>
        <w:suppressAutoHyphens/>
        <w:jc w:val="center"/>
        <w:rPr>
          <w:rFonts w:asciiTheme="majorHAnsi" w:hAnsiTheme="majorHAnsi"/>
          <w:sz w:val="18"/>
          <w:szCs w:val="22"/>
        </w:rPr>
      </w:pPr>
    </w:p>
    <w:p w14:paraId="4C51BD57" w14:textId="77777777" w:rsidR="00F63978" w:rsidRPr="00511CD3" w:rsidRDefault="00F63978" w:rsidP="008429F6">
      <w:pPr>
        <w:tabs>
          <w:tab w:val="center" w:pos="5400"/>
        </w:tabs>
        <w:suppressAutoHyphens/>
        <w:jc w:val="center"/>
        <w:rPr>
          <w:rFonts w:asciiTheme="majorHAnsi" w:hAnsiTheme="majorHAnsi"/>
          <w:sz w:val="18"/>
          <w:szCs w:val="22"/>
        </w:rPr>
      </w:pPr>
    </w:p>
    <w:p w14:paraId="76D99AFA" w14:textId="77777777" w:rsidR="00F63978" w:rsidRPr="00511CD3" w:rsidRDefault="00F63978" w:rsidP="008429F6">
      <w:pPr>
        <w:tabs>
          <w:tab w:val="center" w:pos="5400"/>
        </w:tabs>
        <w:suppressAutoHyphens/>
        <w:jc w:val="center"/>
        <w:rPr>
          <w:rFonts w:asciiTheme="majorHAnsi" w:hAnsiTheme="majorHAnsi"/>
          <w:sz w:val="18"/>
          <w:szCs w:val="22"/>
        </w:rPr>
      </w:pPr>
    </w:p>
    <w:p w14:paraId="151B6A00" w14:textId="77777777" w:rsidR="00F63978" w:rsidRPr="00511CD3" w:rsidRDefault="00F63978" w:rsidP="008429F6">
      <w:pPr>
        <w:tabs>
          <w:tab w:val="center" w:pos="5400"/>
        </w:tabs>
        <w:suppressAutoHyphens/>
        <w:jc w:val="center"/>
        <w:rPr>
          <w:rFonts w:asciiTheme="majorHAnsi" w:hAnsiTheme="majorHAnsi"/>
          <w:sz w:val="18"/>
          <w:szCs w:val="22"/>
        </w:rPr>
      </w:pPr>
    </w:p>
    <w:p w14:paraId="57BE3B2B" w14:textId="77777777" w:rsidR="00F63978" w:rsidRPr="00511CD3" w:rsidRDefault="00D568AC" w:rsidP="008429F6">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7DE55234" wp14:editId="618F98B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FB5F5" w14:textId="77777777" w:rsidR="007F6759" w:rsidRPr="00B10F4D" w:rsidRDefault="007F6759" w:rsidP="00F63978">
                            <w:pPr>
                              <w:tabs>
                                <w:tab w:val="center" w:pos="5400"/>
                              </w:tabs>
                              <w:suppressAutoHyphens/>
                              <w:spacing w:before="60"/>
                              <w:rPr>
                                <w:rFonts w:ascii="Cambria" w:hAnsi="Cambria" w:cs="Univers"/>
                                <w:color w:val="0D0D0D" w:themeColor="text1" w:themeTint="F2"/>
                                <w:sz w:val="18"/>
                                <w:szCs w:val="20"/>
                              </w:rPr>
                            </w:pPr>
                            <w:r w:rsidRPr="00B10F4D">
                              <w:rPr>
                                <w:rFonts w:ascii="Cambria" w:hAnsi="Cambria"/>
                                <w:color w:val="0D0D0D" w:themeColor="text1" w:themeTint="F2"/>
                                <w:sz w:val="18"/>
                                <w:szCs w:val="20"/>
                              </w:rPr>
                              <w:t>A</w:t>
                            </w:r>
                            <w:r>
                              <w:rPr>
                                <w:rFonts w:ascii="Cambria" w:hAnsi="Cambria"/>
                                <w:color w:val="0D0D0D" w:themeColor="text1" w:themeTint="F2"/>
                                <w:sz w:val="18"/>
                                <w:szCs w:val="20"/>
                              </w:rPr>
                              <w:t xml:space="preserve">pproved </w:t>
                            </w:r>
                            <w:r w:rsidRPr="00B10F4D">
                              <w:rPr>
                                <w:rFonts w:ascii="Cambria" w:hAnsi="Cambria"/>
                                <w:color w:val="0D0D0D" w:themeColor="text1" w:themeTint="F2"/>
                                <w:sz w:val="18"/>
                                <w:szCs w:val="20"/>
                              </w:rPr>
                              <w:t xml:space="preserve">by the Commission at its </w:t>
                            </w:r>
                            <w:r>
                              <w:rPr>
                                <w:rFonts w:ascii="Cambria" w:hAnsi="Cambria"/>
                                <w:color w:val="0D0D0D" w:themeColor="text1" w:themeTint="F2"/>
                                <w:sz w:val="18"/>
                                <w:szCs w:val="20"/>
                              </w:rPr>
                              <w:t xml:space="preserve">period of </w:t>
                            </w:r>
                            <w:r w:rsidRPr="00B10F4D">
                              <w:rPr>
                                <w:rFonts w:ascii="Cambria" w:hAnsi="Cambria"/>
                                <w:color w:val="0D0D0D" w:themeColor="text1" w:themeTint="F2"/>
                                <w:sz w:val="18"/>
                                <w:szCs w:val="20"/>
                              </w:rPr>
                              <w:t>ses</w:t>
                            </w:r>
                            <w:r>
                              <w:rPr>
                                <w:rFonts w:ascii="Cambria" w:hAnsi="Cambria"/>
                                <w:color w:val="0D0D0D" w:themeColor="text1" w:themeTint="F2"/>
                                <w:sz w:val="18"/>
                                <w:szCs w:val="20"/>
                              </w:rPr>
                              <w:t xml:space="preserve">sions </w:t>
                            </w:r>
                            <w:r w:rsidRPr="00B10F4D">
                              <w:rPr>
                                <w:rFonts w:ascii="Cambria" w:hAnsi="Cambria"/>
                                <w:color w:val="0D0D0D" w:themeColor="text1" w:themeTint="F2"/>
                                <w:sz w:val="18"/>
                                <w:szCs w:val="20"/>
                              </w:rPr>
                              <w:t>No. XX, held on Month day, 20xx</w:t>
                            </w:r>
                            <w:r w:rsidRPr="00B10F4D">
                              <w:rPr>
                                <w:rFonts w:ascii="Cambria" w:hAnsi="Cambria"/>
                                <w:color w:val="0D0D0D" w:themeColor="text1" w:themeTint="F2"/>
                                <w:sz w:val="18"/>
                                <w:szCs w:val="20"/>
                              </w:rPr>
                              <w:br/>
                            </w:r>
                            <w:r w:rsidRPr="00B10F4D">
                              <w:rPr>
                                <w:rFonts w:ascii="Cambria" w:hAnsi="Cambria" w:cs="Univers"/>
                                <w:color w:val="0D0D0D" w:themeColor="text1" w:themeTint="F2"/>
                                <w:sz w:val="18"/>
                                <w:szCs w:val="20"/>
                              </w:rPr>
                              <w:t>XX</w:t>
                            </w:r>
                            <w:r>
                              <w:rPr>
                                <w:rFonts w:ascii="Cambria" w:hAnsi="Cambria" w:cs="Univers"/>
                                <w:color w:val="0D0D0D" w:themeColor="text1" w:themeTint="F2"/>
                                <w:sz w:val="18"/>
                                <w:szCs w:val="20"/>
                              </w:rPr>
                              <w:t xml:space="preserve"> period of</w:t>
                            </w:r>
                            <w:r w:rsidRPr="00B10F4D">
                              <w:rPr>
                                <w:rFonts w:ascii="Cambria" w:hAnsi="Cambria" w:cs="Univers"/>
                                <w:color w:val="0D0D0D" w:themeColor="text1" w:themeTint="F2"/>
                                <w:sz w:val="18"/>
                                <w:szCs w:val="20"/>
                              </w:rPr>
                              <w:t xml:space="preserve"> </w:t>
                            </w:r>
                            <w:r>
                              <w:rPr>
                                <w:rFonts w:ascii="Cambria" w:hAnsi="Cambria" w:cs="Univers"/>
                                <w:color w:val="0D0D0D" w:themeColor="text1" w:themeTint="F2"/>
                                <w:sz w:val="18"/>
                                <w:szCs w:val="20"/>
                              </w:rPr>
                              <w:t>sessions</w:t>
                            </w:r>
                          </w:p>
                          <w:p w14:paraId="6BD444BA" w14:textId="77777777" w:rsidR="007F6759" w:rsidRPr="00B10F4D" w:rsidRDefault="007F6759" w:rsidP="00F63978">
                            <w:pPr>
                              <w:tabs>
                                <w:tab w:val="center" w:pos="5400"/>
                              </w:tabs>
                              <w:suppressAutoHyphens/>
                              <w:spacing w:before="60"/>
                              <w:rPr>
                                <w:rFonts w:asciiTheme="majorHAnsi" w:hAnsiTheme="majorHAnsi" w:cs="Univers"/>
                                <w:color w:val="0D0D0D" w:themeColor="text1" w:themeTint="F2"/>
                                <w:sz w:val="18"/>
                                <w:szCs w:val="20"/>
                              </w:rPr>
                            </w:pPr>
                          </w:p>
                          <w:p w14:paraId="495D93C6" w14:textId="77777777" w:rsidR="007F6759" w:rsidRPr="00B10F4D" w:rsidRDefault="007F6759" w:rsidP="00F63978">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55234"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4D5FB5F5" w14:textId="77777777" w:rsidR="007F6759" w:rsidRPr="00B10F4D" w:rsidRDefault="007F6759" w:rsidP="00F63978">
                      <w:pPr>
                        <w:tabs>
                          <w:tab w:val="center" w:pos="5400"/>
                        </w:tabs>
                        <w:suppressAutoHyphens/>
                        <w:spacing w:before="60"/>
                        <w:rPr>
                          <w:rFonts w:ascii="Cambria" w:hAnsi="Cambria" w:cs="Univers"/>
                          <w:color w:val="0D0D0D" w:themeColor="text1" w:themeTint="F2"/>
                          <w:sz w:val="18"/>
                          <w:szCs w:val="20"/>
                        </w:rPr>
                      </w:pPr>
                      <w:r w:rsidRPr="00B10F4D">
                        <w:rPr>
                          <w:rFonts w:ascii="Cambria" w:hAnsi="Cambria"/>
                          <w:color w:val="0D0D0D" w:themeColor="text1" w:themeTint="F2"/>
                          <w:sz w:val="18"/>
                          <w:szCs w:val="20"/>
                        </w:rPr>
                        <w:t>A</w:t>
                      </w:r>
                      <w:r>
                        <w:rPr>
                          <w:rFonts w:ascii="Cambria" w:hAnsi="Cambria"/>
                          <w:color w:val="0D0D0D" w:themeColor="text1" w:themeTint="F2"/>
                          <w:sz w:val="18"/>
                          <w:szCs w:val="20"/>
                        </w:rPr>
                        <w:t xml:space="preserve">pproved </w:t>
                      </w:r>
                      <w:r w:rsidRPr="00B10F4D">
                        <w:rPr>
                          <w:rFonts w:ascii="Cambria" w:hAnsi="Cambria"/>
                          <w:color w:val="0D0D0D" w:themeColor="text1" w:themeTint="F2"/>
                          <w:sz w:val="18"/>
                          <w:szCs w:val="20"/>
                        </w:rPr>
                        <w:t xml:space="preserve">by the Commission at its </w:t>
                      </w:r>
                      <w:r>
                        <w:rPr>
                          <w:rFonts w:ascii="Cambria" w:hAnsi="Cambria"/>
                          <w:color w:val="0D0D0D" w:themeColor="text1" w:themeTint="F2"/>
                          <w:sz w:val="18"/>
                          <w:szCs w:val="20"/>
                        </w:rPr>
                        <w:t xml:space="preserve">period of </w:t>
                      </w:r>
                      <w:r w:rsidRPr="00B10F4D">
                        <w:rPr>
                          <w:rFonts w:ascii="Cambria" w:hAnsi="Cambria"/>
                          <w:color w:val="0D0D0D" w:themeColor="text1" w:themeTint="F2"/>
                          <w:sz w:val="18"/>
                          <w:szCs w:val="20"/>
                        </w:rPr>
                        <w:t>ses</w:t>
                      </w:r>
                      <w:r>
                        <w:rPr>
                          <w:rFonts w:ascii="Cambria" w:hAnsi="Cambria"/>
                          <w:color w:val="0D0D0D" w:themeColor="text1" w:themeTint="F2"/>
                          <w:sz w:val="18"/>
                          <w:szCs w:val="20"/>
                        </w:rPr>
                        <w:t xml:space="preserve">sions </w:t>
                      </w:r>
                      <w:r w:rsidRPr="00B10F4D">
                        <w:rPr>
                          <w:rFonts w:ascii="Cambria" w:hAnsi="Cambria"/>
                          <w:color w:val="0D0D0D" w:themeColor="text1" w:themeTint="F2"/>
                          <w:sz w:val="18"/>
                          <w:szCs w:val="20"/>
                        </w:rPr>
                        <w:t>No. XX, held on Month day, 20xx</w:t>
                      </w:r>
                      <w:r w:rsidRPr="00B10F4D">
                        <w:rPr>
                          <w:rFonts w:ascii="Cambria" w:hAnsi="Cambria"/>
                          <w:color w:val="0D0D0D" w:themeColor="text1" w:themeTint="F2"/>
                          <w:sz w:val="18"/>
                          <w:szCs w:val="20"/>
                        </w:rPr>
                        <w:br/>
                      </w:r>
                      <w:r w:rsidRPr="00B10F4D">
                        <w:rPr>
                          <w:rFonts w:ascii="Cambria" w:hAnsi="Cambria" w:cs="Univers"/>
                          <w:color w:val="0D0D0D" w:themeColor="text1" w:themeTint="F2"/>
                          <w:sz w:val="18"/>
                          <w:szCs w:val="20"/>
                        </w:rPr>
                        <w:t>XX</w:t>
                      </w:r>
                      <w:r>
                        <w:rPr>
                          <w:rFonts w:ascii="Cambria" w:hAnsi="Cambria" w:cs="Univers"/>
                          <w:color w:val="0D0D0D" w:themeColor="text1" w:themeTint="F2"/>
                          <w:sz w:val="18"/>
                          <w:szCs w:val="20"/>
                        </w:rPr>
                        <w:t xml:space="preserve"> period of</w:t>
                      </w:r>
                      <w:r w:rsidRPr="00B10F4D">
                        <w:rPr>
                          <w:rFonts w:ascii="Cambria" w:hAnsi="Cambria" w:cs="Univers"/>
                          <w:color w:val="0D0D0D" w:themeColor="text1" w:themeTint="F2"/>
                          <w:sz w:val="18"/>
                          <w:szCs w:val="20"/>
                        </w:rPr>
                        <w:t xml:space="preserve"> </w:t>
                      </w:r>
                      <w:r>
                        <w:rPr>
                          <w:rFonts w:ascii="Cambria" w:hAnsi="Cambria" w:cs="Univers"/>
                          <w:color w:val="0D0D0D" w:themeColor="text1" w:themeTint="F2"/>
                          <w:sz w:val="18"/>
                          <w:szCs w:val="20"/>
                        </w:rPr>
                        <w:t>sessions</w:t>
                      </w:r>
                    </w:p>
                    <w:p w14:paraId="6BD444BA" w14:textId="77777777" w:rsidR="007F6759" w:rsidRPr="00B10F4D" w:rsidRDefault="007F6759" w:rsidP="00F63978">
                      <w:pPr>
                        <w:tabs>
                          <w:tab w:val="center" w:pos="5400"/>
                        </w:tabs>
                        <w:suppressAutoHyphens/>
                        <w:spacing w:before="60"/>
                        <w:rPr>
                          <w:rFonts w:asciiTheme="majorHAnsi" w:hAnsiTheme="majorHAnsi" w:cs="Univers"/>
                          <w:color w:val="0D0D0D" w:themeColor="text1" w:themeTint="F2"/>
                          <w:sz w:val="18"/>
                          <w:szCs w:val="20"/>
                        </w:rPr>
                      </w:pPr>
                    </w:p>
                    <w:p w14:paraId="495D93C6" w14:textId="77777777" w:rsidR="007F6759" w:rsidRPr="00B10F4D" w:rsidRDefault="007F6759" w:rsidP="00F63978">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37F0D12A" w14:textId="77777777" w:rsidR="00F63978" w:rsidRPr="00511CD3" w:rsidRDefault="00F63978" w:rsidP="008429F6">
      <w:pPr>
        <w:tabs>
          <w:tab w:val="center" w:pos="5400"/>
        </w:tabs>
        <w:suppressAutoHyphens/>
        <w:jc w:val="center"/>
        <w:rPr>
          <w:rFonts w:asciiTheme="majorHAnsi" w:hAnsiTheme="majorHAnsi"/>
          <w:sz w:val="18"/>
          <w:szCs w:val="22"/>
        </w:rPr>
      </w:pPr>
    </w:p>
    <w:p w14:paraId="2C950B5B" w14:textId="77777777" w:rsidR="00F63978" w:rsidRPr="00511CD3" w:rsidRDefault="00F63978" w:rsidP="008429F6">
      <w:pPr>
        <w:tabs>
          <w:tab w:val="center" w:pos="5400"/>
        </w:tabs>
        <w:suppressAutoHyphens/>
        <w:jc w:val="center"/>
        <w:rPr>
          <w:rFonts w:asciiTheme="majorHAnsi" w:hAnsiTheme="majorHAnsi"/>
          <w:sz w:val="18"/>
          <w:szCs w:val="22"/>
        </w:rPr>
      </w:pPr>
    </w:p>
    <w:p w14:paraId="6CE16664" w14:textId="77777777" w:rsidR="00F63978" w:rsidRPr="00511CD3" w:rsidRDefault="00F63978" w:rsidP="008429F6">
      <w:pPr>
        <w:tabs>
          <w:tab w:val="center" w:pos="5400"/>
        </w:tabs>
        <w:suppressAutoHyphens/>
        <w:jc w:val="center"/>
        <w:rPr>
          <w:rFonts w:asciiTheme="majorHAnsi" w:hAnsiTheme="majorHAnsi"/>
          <w:sz w:val="18"/>
          <w:szCs w:val="22"/>
        </w:rPr>
      </w:pPr>
    </w:p>
    <w:p w14:paraId="1E21FD58" w14:textId="77777777" w:rsidR="00F63978" w:rsidRPr="00511CD3" w:rsidRDefault="00F63978" w:rsidP="008429F6">
      <w:pPr>
        <w:tabs>
          <w:tab w:val="center" w:pos="5400"/>
        </w:tabs>
        <w:suppressAutoHyphens/>
        <w:jc w:val="center"/>
        <w:rPr>
          <w:rFonts w:asciiTheme="majorHAnsi" w:hAnsiTheme="majorHAnsi"/>
          <w:sz w:val="18"/>
          <w:szCs w:val="22"/>
        </w:rPr>
      </w:pPr>
    </w:p>
    <w:p w14:paraId="1900EBEB" w14:textId="77777777" w:rsidR="00F63978" w:rsidRPr="00511CD3" w:rsidRDefault="00D568AC" w:rsidP="008429F6">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5CE18542" wp14:editId="52C20F5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3A135" w14:textId="77777777" w:rsidR="007F6759" w:rsidRPr="00B10F4D" w:rsidRDefault="007F6759" w:rsidP="00F63978">
                            <w:pPr>
                              <w:spacing w:line="276" w:lineRule="auto"/>
                              <w:rPr>
                                <w:rFonts w:ascii="Cambria" w:hAnsi="Cambria"/>
                                <w:color w:val="595959" w:themeColor="text1" w:themeTint="A6"/>
                                <w:sz w:val="18"/>
                                <w:szCs w:val="18"/>
                              </w:rPr>
                            </w:pPr>
                            <w:r w:rsidRPr="00B10F4D">
                              <w:rPr>
                                <w:rFonts w:ascii="Cambria" w:hAnsi="Cambria"/>
                                <w:b/>
                                <w:color w:val="595959" w:themeColor="text1" w:themeTint="A6"/>
                                <w:sz w:val="18"/>
                                <w:szCs w:val="18"/>
                              </w:rPr>
                              <w:t>Cite as:</w:t>
                            </w:r>
                            <w:r w:rsidRPr="00B10F4D">
                              <w:rPr>
                                <w:rFonts w:ascii="Cambria" w:hAnsi="Cambria"/>
                                <w:color w:val="595959" w:themeColor="text1" w:themeTint="A6"/>
                                <w:sz w:val="18"/>
                                <w:szCs w:val="18"/>
                              </w:rPr>
                              <w:t xml:space="preserve"> IACHR. Report No. xx/xx. Case XX.XXX. Merits. Name. State. Month day, 20xx.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542"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2523A135" w14:textId="77777777" w:rsidR="007F6759" w:rsidRPr="00B10F4D" w:rsidRDefault="007F6759" w:rsidP="00F63978">
                      <w:pPr>
                        <w:spacing w:line="276" w:lineRule="auto"/>
                        <w:rPr>
                          <w:rFonts w:ascii="Cambria" w:hAnsi="Cambria"/>
                          <w:color w:val="595959" w:themeColor="text1" w:themeTint="A6"/>
                          <w:sz w:val="18"/>
                          <w:szCs w:val="18"/>
                        </w:rPr>
                      </w:pPr>
                      <w:r w:rsidRPr="00B10F4D">
                        <w:rPr>
                          <w:rFonts w:ascii="Cambria" w:hAnsi="Cambria"/>
                          <w:b/>
                          <w:color w:val="595959" w:themeColor="text1" w:themeTint="A6"/>
                          <w:sz w:val="18"/>
                          <w:szCs w:val="18"/>
                        </w:rPr>
                        <w:t>Cite as:</w:t>
                      </w:r>
                      <w:r w:rsidRPr="00B10F4D">
                        <w:rPr>
                          <w:rFonts w:ascii="Cambria" w:hAnsi="Cambria"/>
                          <w:color w:val="595959" w:themeColor="text1" w:themeTint="A6"/>
                          <w:sz w:val="18"/>
                          <w:szCs w:val="18"/>
                        </w:rPr>
                        <w:t xml:space="preserve"> IACHR. Report No. xx/xx. Case XX.XXX. Merits. Name. State. Month day, 20xx. </w:t>
                      </w:r>
                    </w:p>
                  </w:txbxContent>
                </v:textbox>
              </v:shape>
            </w:pict>
          </mc:Fallback>
        </mc:AlternateContent>
      </w:r>
    </w:p>
    <w:p w14:paraId="53674CC5" w14:textId="77777777" w:rsidR="00F63978" w:rsidRPr="00511CD3" w:rsidRDefault="00F63978" w:rsidP="008429F6">
      <w:pPr>
        <w:tabs>
          <w:tab w:val="center" w:pos="5400"/>
        </w:tabs>
        <w:suppressAutoHyphens/>
        <w:jc w:val="center"/>
        <w:rPr>
          <w:rFonts w:asciiTheme="majorHAnsi" w:hAnsiTheme="majorHAnsi"/>
          <w:sz w:val="18"/>
          <w:szCs w:val="22"/>
        </w:rPr>
      </w:pPr>
    </w:p>
    <w:p w14:paraId="3CF8F676" w14:textId="77777777" w:rsidR="007738A3" w:rsidRPr="00511CD3" w:rsidRDefault="007738A3" w:rsidP="008429F6">
      <w:pPr>
        <w:tabs>
          <w:tab w:val="center" w:pos="5400"/>
        </w:tabs>
        <w:suppressAutoHyphens/>
        <w:jc w:val="center"/>
        <w:rPr>
          <w:rFonts w:asciiTheme="majorHAnsi" w:hAnsiTheme="majorHAnsi"/>
          <w:b/>
          <w:sz w:val="20"/>
        </w:rPr>
      </w:pPr>
    </w:p>
    <w:p w14:paraId="3613DEFD" w14:textId="77777777" w:rsidR="00CA2271" w:rsidRPr="00511CD3" w:rsidRDefault="00CA2271" w:rsidP="008429F6">
      <w:pPr>
        <w:tabs>
          <w:tab w:val="center" w:pos="5400"/>
        </w:tabs>
        <w:suppressAutoHyphens/>
        <w:jc w:val="center"/>
        <w:rPr>
          <w:rFonts w:asciiTheme="majorHAnsi" w:hAnsiTheme="majorHAnsi"/>
          <w:b/>
          <w:sz w:val="20"/>
        </w:rPr>
      </w:pPr>
    </w:p>
    <w:p w14:paraId="335E6CBF" w14:textId="77777777" w:rsidR="00AC4914" w:rsidRDefault="00AC4914" w:rsidP="00CA2271">
      <w:pPr>
        <w:tabs>
          <w:tab w:val="center" w:pos="5400"/>
        </w:tabs>
        <w:suppressAutoHyphens/>
        <w:jc w:val="center"/>
        <w:rPr>
          <w:rFonts w:ascii="Cambria" w:hAnsi="Cambria"/>
          <w:b/>
          <w:sz w:val="20"/>
          <w:szCs w:val="20"/>
        </w:rPr>
      </w:pPr>
    </w:p>
    <w:p w14:paraId="487EB740" w14:textId="77777777" w:rsidR="00CA2271" w:rsidRPr="00511CD3" w:rsidRDefault="00D568AC" w:rsidP="00CA2271">
      <w:pPr>
        <w:tabs>
          <w:tab w:val="center" w:pos="5400"/>
        </w:tabs>
        <w:suppressAutoHyphens/>
        <w:jc w:val="center"/>
        <w:rPr>
          <w:rFonts w:ascii="Cambria" w:hAnsi="Cambria"/>
          <w:b/>
          <w:sz w:val="20"/>
          <w:szCs w:val="20"/>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79D358B0" wp14:editId="3BFE6135">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AED8D" w14:textId="77777777" w:rsidR="007F6759" w:rsidRPr="00D72DC6" w:rsidRDefault="007F6759" w:rsidP="00F63978">
                            <w:pPr>
                              <w:rPr>
                                <w:color w:val="FFFFFF" w:themeColor="background1"/>
                              </w:rPr>
                            </w:pPr>
                            <w:r>
                              <w:rPr>
                                <w:noProof/>
                                <w:color w:val="FFFFFF" w:themeColor="background1"/>
                              </w:rPr>
                              <w:drawing>
                                <wp:inline distT="0" distB="0" distL="0" distR="0" wp14:anchorId="7D9BDA1F" wp14:editId="5F0BCC4C">
                                  <wp:extent cx="1837690" cy="469265"/>
                                  <wp:effectExtent l="0" t="0" r="0" b="6985"/>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8B0"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1B3AED8D" w14:textId="77777777" w:rsidR="007F6759" w:rsidRPr="00D72DC6" w:rsidRDefault="007F6759" w:rsidP="00F63978">
                      <w:pPr>
                        <w:rPr>
                          <w:color w:val="FFFFFF" w:themeColor="background1"/>
                        </w:rPr>
                      </w:pPr>
                      <w:r>
                        <w:rPr>
                          <w:noProof/>
                          <w:color w:val="FFFFFF" w:themeColor="background1"/>
                        </w:rPr>
                        <w:drawing>
                          <wp:inline distT="0" distB="0" distL="0" distR="0" wp14:anchorId="7D9BDA1F" wp14:editId="5F0BCC4C">
                            <wp:extent cx="1837690" cy="469265"/>
                            <wp:effectExtent l="0" t="0" r="0" b="6985"/>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28E3FF1A" wp14:editId="4DBE61E9">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B997D" w14:textId="77777777" w:rsidR="007F6759" w:rsidRPr="004B7EB6" w:rsidRDefault="007F6759" w:rsidP="00F6397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3FF1A"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344B997D" w14:textId="77777777" w:rsidR="007F6759" w:rsidRPr="004B7EB6" w:rsidRDefault="007F6759" w:rsidP="00F6397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048E040" w14:textId="77777777" w:rsidR="00CA2271" w:rsidRPr="00511CD3" w:rsidRDefault="00CA2271" w:rsidP="00CA2271">
      <w:pPr>
        <w:tabs>
          <w:tab w:val="center" w:pos="5400"/>
        </w:tabs>
        <w:suppressAutoHyphens/>
        <w:jc w:val="center"/>
        <w:rPr>
          <w:rFonts w:ascii="Cambria" w:hAnsi="Cambria"/>
          <w:b/>
          <w:sz w:val="20"/>
          <w:szCs w:val="20"/>
        </w:rPr>
      </w:pPr>
    </w:p>
    <w:p w14:paraId="46CFD476" w14:textId="77777777" w:rsidR="00CA2271" w:rsidRPr="00511CD3" w:rsidRDefault="00CA2271" w:rsidP="00CA2271">
      <w:pPr>
        <w:tabs>
          <w:tab w:val="center" w:pos="5400"/>
        </w:tabs>
        <w:suppressAutoHyphens/>
        <w:jc w:val="center"/>
        <w:rPr>
          <w:rFonts w:ascii="Cambria" w:hAnsi="Cambria"/>
          <w:b/>
          <w:sz w:val="20"/>
          <w:szCs w:val="20"/>
        </w:rPr>
      </w:pPr>
    </w:p>
    <w:p w14:paraId="2E168B36" w14:textId="77777777" w:rsidR="00CA2271" w:rsidRPr="00511CD3" w:rsidRDefault="00CA2271" w:rsidP="00CA2271">
      <w:pPr>
        <w:tabs>
          <w:tab w:val="center" w:pos="5400"/>
        </w:tabs>
        <w:suppressAutoHyphens/>
        <w:jc w:val="center"/>
        <w:rPr>
          <w:rFonts w:ascii="Cambria" w:hAnsi="Cambria"/>
          <w:b/>
          <w:sz w:val="20"/>
          <w:szCs w:val="20"/>
        </w:rPr>
      </w:pPr>
    </w:p>
    <w:p w14:paraId="31E75003" w14:textId="77777777" w:rsidR="00CA2271" w:rsidRPr="00511CD3" w:rsidRDefault="00CA2271" w:rsidP="00CA2271">
      <w:pPr>
        <w:tabs>
          <w:tab w:val="center" w:pos="5400"/>
        </w:tabs>
        <w:suppressAutoHyphens/>
        <w:jc w:val="center"/>
        <w:rPr>
          <w:rFonts w:ascii="Cambria" w:hAnsi="Cambria"/>
          <w:b/>
          <w:sz w:val="20"/>
          <w:szCs w:val="20"/>
        </w:rPr>
      </w:pPr>
    </w:p>
    <w:p w14:paraId="11F5622D" w14:textId="77777777" w:rsidR="00F63978" w:rsidRPr="00511CD3" w:rsidRDefault="00B10F4D" w:rsidP="00CA2271">
      <w:pPr>
        <w:tabs>
          <w:tab w:val="center" w:pos="5400"/>
        </w:tabs>
        <w:suppressAutoHyphens/>
        <w:jc w:val="center"/>
        <w:rPr>
          <w:rFonts w:ascii="Cambria" w:hAnsi="Cambria"/>
          <w:b/>
          <w:sz w:val="20"/>
          <w:szCs w:val="20"/>
        </w:rPr>
      </w:pPr>
      <w:r w:rsidRPr="00511CD3">
        <w:rPr>
          <w:rFonts w:ascii="Cambria" w:hAnsi="Cambria"/>
          <w:b/>
          <w:sz w:val="20"/>
          <w:szCs w:val="20"/>
        </w:rPr>
        <w:lastRenderedPageBreak/>
        <w:t>CONTENTS</w:t>
      </w:r>
    </w:p>
    <w:p w14:paraId="0DC41F15" w14:textId="77777777" w:rsidR="00F63978" w:rsidRPr="00511CD3" w:rsidRDefault="00F63978" w:rsidP="008429F6">
      <w:pPr>
        <w:tabs>
          <w:tab w:val="center" w:pos="5400"/>
        </w:tabs>
        <w:suppressAutoHyphens/>
        <w:spacing w:line="276" w:lineRule="auto"/>
        <w:rPr>
          <w:rFonts w:asciiTheme="majorHAnsi" w:hAnsiTheme="majorHAnsi"/>
          <w:sz w:val="20"/>
          <w:szCs w:val="20"/>
        </w:rPr>
      </w:pPr>
    </w:p>
    <w:p w14:paraId="37E92E17" w14:textId="77777777" w:rsidR="00F63978" w:rsidRPr="00511CD3" w:rsidRDefault="00F63978" w:rsidP="008429F6">
      <w:pPr>
        <w:suppressAutoHyphens/>
        <w:rPr>
          <w:rFonts w:asciiTheme="majorHAnsi" w:hAnsiTheme="majorHAnsi"/>
          <w:b/>
          <w:sz w:val="20"/>
          <w:szCs w:val="20"/>
        </w:rPr>
      </w:pPr>
    </w:p>
    <w:p w14:paraId="0799EA72" w14:textId="77777777" w:rsidR="00F63978" w:rsidRPr="00511CD3" w:rsidRDefault="00792C6B" w:rsidP="008429F6">
      <w:pPr>
        <w:tabs>
          <w:tab w:val="left" w:pos="720"/>
          <w:tab w:val="left" w:pos="1440"/>
          <w:tab w:val="right" w:leader="dot" w:pos="9350"/>
        </w:tabs>
        <w:spacing w:after="100"/>
        <w:rPr>
          <w:rFonts w:asciiTheme="majorHAnsi" w:hAnsiTheme="majorHAnsi"/>
          <w:b/>
          <w:noProof/>
          <w:sz w:val="20"/>
          <w:szCs w:val="20"/>
        </w:rPr>
      </w:pPr>
      <w:r w:rsidRPr="00511CD3">
        <w:rPr>
          <w:rFonts w:asciiTheme="majorHAnsi" w:hAnsiTheme="majorHAnsi"/>
          <w:b/>
          <w:sz w:val="20"/>
          <w:szCs w:val="20"/>
        </w:rPr>
        <w:fldChar w:fldCharType="begin"/>
      </w:r>
      <w:r w:rsidR="00F63978" w:rsidRPr="00511CD3">
        <w:rPr>
          <w:rFonts w:asciiTheme="majorHAnsi" w:hAnsiTheme="majorHAnsi"/>
          <w:b/>
          <w:sz w:val="20"/>
          <w:szCs w:val="20"/>
        </w:rPr>
        <w:instrText xml:space="preserve"> TOC \o "1-7" \h \z \u </w:instrText>
      </w:r>
      <w:r w:rsidRPr="00511CD3">
        <w:rPr>
          <w:rFonts w:asciiTheme="majorHAnsi" w:hAnsiTheme="majorHAnsi"/>
          <w:b/>
          <w:sz w:val="20"/>
          <w:szCs w:val="20"/>
        </w:rPr>
        <w:fldChar w:fldCharType="separate"/>
      </w:r>
    </w:p>
    <w:p w14:paraId="36C3D2D5" w14:textId="77777777" w:rsidR="00F63978" w:rsidRPr="00511CD3" w:rsidRDefault="00F63978" w:rsidP="008429F6">
      <w:pPr>
        <w:tabs>
          <w:tab w:val="left" w:pos="720"/>
          <w:tab w:val="left" w:pos="1440"/>
          <w:tab w:val="right" w:leader="dot" w:pos="9350"/>
        </w:tabs>
        <w:spacing w:after="100"/>
        <w:rPr>
          <w:rFonts w:asciiTheme="majorHAnsi" w:hAnsiTheme="majorHAnsi"/>
          <w:b/>
          <w:noProof/>
          <w:sz w:val="20"/>
          <w:szCs w:val="20"/>
        </w:rPr>
      </w:pPr>
    </w:p>
    <w:p w14:paraId="117C10CB" w14:textId="77777777" w:rsidR="00F63978" w:rsidRPr="00511CD3" w:rsidRDefault="00792C6B" w:rsidP="008429F6">
      <w:pPr>
        <w:tabs>
          <w:tab w:val="center" w:pos="5400"/>
        </w:tabs>
        <w:suppressAutoHyphens/>
        <w:spacing w:line="276" w:lineRule="auto"/>
        <w:rPr>
          <w:rFonts w:asciiTheme="majorHAnsi" w:hAnsiTheme="majorHAnsi"/>
          <w:sz w:val="20"/>
          <w:szCs w:val="20"/>
        </w:rPr>
      </w:pPr>
      <w:r w:rsidRPr="00511CD3">
        <w:rPr>
          <w:rFonts w:asciiTheme="majorHAnsi" w:hAnsiTheme="majorHAnsi"/>
          <w:b/>
          <w:sz w:val="20"/>
          <w:szCs w:val="20"/>
        </w:rPr>
        <w:fldChar w:fldCharType="end"/>
      </w:r>
    </w:p>
    <w:p w14:paraId="5F9D064C" w14:textId="77777777" w:rsidR="00F63978" w:rsidRPr="00511CD3" w:rsidRDefault="00F63978" w:rsidP="008429F6">
      <w:pPr>
        <w:rPr>
          <w:rFonts w:ascii="Cambria" w:hAnsi="Cambria" w:cs="Calibri"/>
          <w:sz w:val="20"/>
          <w:szCs w:val="20"/>
        </w:rPr>
      </w:pPr>
      <w:r w:rsidRPr="00511CD3">
        <w:rPr>
          <w:rFonts w:ascii="Cambria" w:hAnsi="Cambria" w:cs="Calibri"/>
          <w:sz w:val="20"/>
          <w:szCs w:val="20"/>
        </w:rPr>
        <w:br w:type="page"/>
      </w:r>
    </w:p>
    <w:p w14:paraId="2607878C" w14:textId="77777777" w:rsidR="004449E8" w:rsidRPr="00511CD3" w:rsidRDefault="00865B77" w:rsidP="008429F6">
      <w:pPr>
        <w:pStyle w:val="Heading1"/>
        <w:ind w:left="0" w:firstLine="0"/>
      </w:pPr>
      <w:r w:rsidRPr="00511CD3">
        <w:lastRenderedPageBreak/>
        <w:t xml:space="preserve">INTRODUCTION </w:t>
      </w:r>
      <w:r w:rsidR="00B10F4D" w:rsidRPr="00511CD3">
        <w:t xml:space="preserve">AND PROCESSING </w:t>
      </w:r>
      <w:r w:rsidRPr="00511CD3">
        <w:t>OF THE CA</w:t>
      </w:r>
      <w:r w:rsidR="009B2024" w:rsidRPr="00511CD3">
        <w:t>S</w:t>
      </w:r>
      <w:r w:rsidRPr="00511CD3">
        <w:t>E</w:t>
      </w:r>
    </w:p>
    <w:p w14:paraId="09E7DBF5" w14:textId="77777777" w:rsidR="000306A6" w:rsidRPr="00511CD3" w:rsidRDefault="000306A6" w:rsidP="008429F6"/>
    <w:p w14:paraId="1EEDEE2B" w14:textId="77777777" w:rsidR="00DB0814" w:rsidRPr="00511CD3" w:rsidRDefault="00B10F4D" w:rsidP="008429F6">
      <w:pPr>
        <w:pStyle w:val="ListParagraph"/>
        <w:ind w:left="0" w:firstLine="0"/>
      </w:pPr>
      <w:r w:rsidRPr="00511CD3">
        <w:t>On January</w:t>
      </w:r>
      <w:r w:rsidR="000306A6" w:rsidRPr="00511CD3">
        <w:t xml:space="preserve"> </w:t>
      </w:r>
      <w:r w:rsidRPr="00511CD3">
        <w:t xml:space="preserve">11, </w:t>
      </w:r>
      <w:r w:rsidR="000306A6" w:rsidRPr="00511CD3">
        <w:t>2018</w:t>
      </w:r>
      <w:r w:rsidRPr="00511CD3">
        <w:t>, the</w:t>
      </w:r>
      <w:r w:rsidR="000306A6" w:rsidRPr="00511CD3">
        <w:t xml:space="preserve"> </w:t>
      </w:r>
      <w:r w:rsidRPr="00511CD3">
        <w:t>Inter-American Commission on Human Rights</w:t>
      </w:r>
      <w:r w:rsidR="000306A6" w:rsidRPr="00511CD3">
        <w:t xml:space="preserve"> (</w:t>
      </w:r>
      <w:r w:rsidRPr="00511CD3">
        <w:t>hereinafter</w:t>
      </w:r>
      <w:r w:rsidR="000306A6" w:rsidRPr="00511CD3">
        <w:t>, “</w:t>
      </w:r>
      <w:r w:rsidRPr="00511CD3">
        <w:t>the Inter-American Commission,”</w:t>
      </w:r>
      <w:r w:rsidR="000306A6" w:rsidRPr="00511CD3">
        <w:t xml:space="preserve"> “</w:t>
      </w:r>
      <w:r w:rsidRPr="00511CD3">
        <w:t xml:space="preserve">the Commission,” or </w:t>
      </w:r>
      <w:r w:rsidR="000306A6" w:rsidRPr="00511CD3">
        <w:t>“</w:t>
      </w:r>
      <w:r w:rsidRPr="00511CD3">
        <w:t>the IACHR</w:t>
      </w:r>
      <w:r w:rsidR="000306A6" w:rsidRPr="00511CD3">
        <w:t xml:space="preserve">”) </w:t>
      </w:r>
      <w:r w:rsidRPr="00511CD3">
        <w:t>received a petition signed by M</w:t>
      </w:r>
      <w:r w:rsidR="0037655F" w:rsidRPr="00511CD3">
        <w:t xml:space="preserve">s. </w:t>
      </w:r>
      <w:r w:rsidR="00CA23CC" w:rsidRPr="00511CD3">
        <w:t xml:space="preserve">Araceli Margarita </w:t>
      </w:r>
      <w:r w:rsidR="00DB0814" w:rsidRPr="00511CD3">
        <w:t>Díaz</w:t>
      </w:r>
      <w:r w:rsidR="00CA23CC" w:rsidRPr="00511CD3">
        <w:t xml:space="preserve">, </w:t>
      </w:r>
      <w:r w:rsidR="0037655F" w:rsidRPr="00511CD3">
        <w:t xml:space="preserve">Ms. </w:t>
      </w:r>
      <w:r w:rsidR="00CA23CC" w:rsidRPr="00511CD3">
        <w:t xml:space="preserve">Marta Nora Haubenreich, </w:t>
      </w:r>
      <w:r w:rsidR="0037655F" w:rsidRPr="00511CD3">
        <w:t xml:space="preserve">Ms. </w:t>
      </w:r>
      <w:r w:rsidR="008C4561" w:rsidRPr="00511CD3">
        <w:t>María</w:t>
      </w:r>
      <w:r w:rsidR="00CA23CC" w:rsidRPr="00511CD3">
        <w:t xml:space="preserve"> Claudia Torrens</w:t>
      </w:r>
      <w:r w:rsidRPr="00511CD3">
        <w:t xml:space="preserve">, and </w:t>
      </w:r>
      <w:r w:rsidR="0037655F" w:rsidRPr="00511CD3">
        <w:t xml:space="preserve">Ms. </w:t>
      </w:r>
      <w:r w:rsidR="00CA23CC" w:rsidRPr="00511CD3">
        <w:t xml:space="preserve">Carmen </w:t>
      </w:r>
      <w:r w:rsidR="00DB0814" w:rsidRPr="00511CD3">
        <w:t>María</w:t>
      </w:r>
      <w:r w:rsidR="00CA23CC" w:rsidRPr="00511CD3">
        <w:t xml:space="preserve"> Maid</w:t>
      </w:r>
      <w:r w:rsidR="00CB2127" w:rsidRPr="00511CD3">
        <w:t>á</w:t>
      </w:r>
      <w:r w:rsidR="00CA23CC" w:rsidRPr="00511CD3">
        <w:t>gan</w:t>
      </w:r>
      <w:r w:rsidRPr="00511CD3">
        <w:t>, in their capacit</w:t>
      </w:r>
      <w:r w:rsidR="007738A3" w:rsidRPr="00511CD3">
        <w:t>ies</w:t>
      </w:r>
      <w:r w:rsidRPr="00511CD3">
        <w:t xml:space="preserve"> as attorneys representing the chi</w:t>
      </w:r>
      <w:r w:rsidR="008B3DA5" w:rsidRPr="00511CD3">
        <w:t>ld</w:t>
      </w:r>
      <w:r w:rsidR="00CA23CC" w:rsidRPr="00511CD3">
        <w:t xml:space="preserve"> “</w:t>
      </w:r>
      <w:r w:rsidR="00DB0814" w:rsidRPr="00511CD3">
        <w:t>María</w:t>
      </w:r>
      <w:r w:rsidR="008B3DA5" w:rsidRPr="00511CD3">
        <w:t>.</w:t>
      </w:r>
      <w:r w:rsidR="00CA23CC" w:rsidRPr="00511CD3">
        <w:t>”</w:t>
      </w:r>
      <w:r w:rsidR="00CA23CC" w:rsidRPr="00511CD3">
        <w:rPr>
          <w:rStyle w:val="FootnoteReference"/>
        </w:rPr>
        <w:footnoteReference w:id="2"/>
      </w:r>
      <w:r w:rsidR="008B3DA5" w:rsidRPr="00511CD3">
        <w:t xml:space="preserve"> </w:t>
      </w:r>
      <w:r w:rsidR="00DB0814" w:rsidRPr="00511CD3">
        <w:t xml:space="preserve"> </w:t>
      </w:r>
      <w:r w:rsidR="008B3DA5" w:rsidRPr="00511CD3">
        <w:t xml:space="preserve"> In that </w:t>
      </w:r>
      <w:r w:rsidR="00865B77" w:rsidRPr="00511CD3">
        <w:t>submission</w:t>
      </w:r>
      <w:r w:rsidR="008B3DA5" w:rsidRPr="00511CD3">
        <w:t>, the petitioners denounced the Argentine State (hereinafter “</w:t>
      </w:r>
      <w:r w:rsidR="007E04DC" w:rsidRPr="00511CD3">
        <w:t>Argentina</w:t>
      </w:r>
      <w:r w:rsidR="008B3DA5" w:rsidRPr="00511CD3">
        <w:t>,</w:t>
      </w:r>
      <w:r w:rsidR="007E04DC" w:rsidRPr="00511CD3">
        <w:t>”</w:t>
      </w:r>
      <w:r w:rsidR="008B3DA5" w:rsidRPr="00511CD3">
        <w:t xml:space="preserve"> </w:t>
      </w:r>
      <w:r w:rsidR="007E04DC" w:rsidRPr="00511CD3">
        <w:t>“</w:t>
      </w:r>
      <w:r w:rsidR="008B3DA5" w:rsidRPr="00511CD3">
        <w:t>the Argentine Republic,</w:t>
      </w:r>
      <w:r w:rsidR="007E04DC" w:rsidRPr="00511CD3">
        <w:t>” o</w:t>
      </w:r>
      <w:r w:rsidR="008B3DA5" w:rsidRPr="00511CD3">
        <w:t>r</w:t>
      </w:r>
      <w:r w:rsidR="007E04DC" w:rsidRPr="00511CD3">
        <w:t xml:space="preserve"> “</w:t>
      </w:r>
      <w:r w:rsidR="008B3DA5" w:rsidRPr="00511CD3">
        <w:t>the Argentine State</w:t>
      </w:r>
      <w:r w:rsidR="007E04DC" w:rsidRPr="00511CD3">
        <w:t xml:space="preserve">”) </w:t>
      </w:r>
      <w:r w:rsidR="008B3DA5" w:rsidRPr="00511CD3">
        <w:t xml:space="preserve">for the violation of a </w:t>
      </w:r>
      <w:r w:rsidR="00865B77" w:rsidRPr="00511CD3">
        <w:t xml:space="preserve">number </w:t>
      </w:r>
      <w:r w:rsidR="008B3DA5" w:rsidRPr="00511CD3">
        <w:t xml:space="preserve">of rights </w:t>
      </w:r>
      <w:r w:rsidR="00865B77" w:rsidRPr="00511CD3">
        <w:t xml:space="preserve">set forth </w:t>
      </w:r>
      <w:r w:rsidR="008B3DA5" w:rsidRPr="00511CD3">
        <w:t>in the American Convention on Human Rights perpetrated in the context of the judicial</w:t>
      </w:r>
      <w:r w:rsidR="007738A3" w:rsidRPr="00511CD3">
        <w:t xml:space="preserve"> proceedings</w:t>
      </w:r>
      <w:r w:rsidR="008B3DA5" w:rsidRPr="00511CD3">
        <w:t xml:space="preserve"> </w:t>
      </w:r>
      <w:r w:rsidR="00865B77" w:rsidRPr="00511CD3">
        <w:t xml:space="preserve">for the declaration of </w:t>
      </w:r>
      <w:r w:rsidR="008B3DA5" w:rsidRPr="00511CD3">
        <w:t xml:space="preserve">the adoptability of </w:t>
      </w:r>
      <w:r w:rsidR="003636FE" w:rsidRPr="00511CD3">
        <w:t>“Mariano</w:t>
      </w:r>
      <w:r w:rsidR="008B3DA5" w:rsidRPr="00511CD3">
        <w:t>,” biological son of the party they represent.</w:t>
      </w:r>
    </w:p>
    <w:p w14:paraId="28D6A8E3" w14:textId="77777777" w:rsidR="00DB0814" w:rsidRPr="00511CD3" w:rsidRDefault="00DB0814" w:rsidP="008429F6">
      <w:pPr>
        <w:pStyle w:val="ListParagraph"/>
        <w:numPr>
          <w:ilvl w:val="0"/>
          <w:numId w:val="0"/>
        </w:numPr>
      </w:pPr>
    </w:p>
    <w:p w14:paraId="4E19C7F5" w14:textId="77777777" w:rsidR="0087353C" w:rsidRPr="00511CD3" w:rsidRDefault="008B3DA5" w:rsidP="008429F6">
      <w:pPr>
        <w:pStyle w:val="ListParagraph"/>
        <w:ind w:left="0" w:firstLine="0"/>
      </w:pPr>
      <w:r w:rsidRPr="00511CD3">
        <w:t xml:space="preserve">On </w:t>
      </w:r>
      <w:r w:rsidR="00B10F4D" w:rsidRPr="00511CD3">
        <w:t>May</w:t>
      </w:r>
      <w:r w:rsidR="00DD1F27" w:rsidRPr="00511CD3">
        <w:t xml:space="preserve"> </w:t>
      </w:r>
      <w:r w:rsidRPr="00511CD3">
        <w:t xml:space="preserve">14, </w:t>
      </w:r>
      <w:r w:rsidR="00DD1F27" w:rsidRPr="00511CD3">
        <w:t>2020</w:t>
      </w:r>
      <w:r w:rsidRPr="00511CD3">
        <w:t>,</w:t>
      </w:r>
      <w:r w:rsidR="00DD1F27" w:rsidRPr="00511CD3">
        <w:t xml:space="preserve"> </w:t>
      </w:r>
      <w:r w:rsidR="00B10F4D" w:rsidRPr="00511CD3">
        <w:t>the Commission</w:t>
      </w:r>
      <w:r w:rsidR="00DD1F27" w:rsidRPr="00511CD3">
        <w:t xml:space="preserve"> de</w:t>
      </w:r>
      <w:r w:rsidRPr="00511CD3">
        <w:t xml:space="preserve">cided to admit the petition for processing and, pursuant to Article </w:t>
      </w:r>
      <w:r w:rsidR="00DD1F27" w:rsidRPr="00511CD3">
        <w:t>30</w:t>
      </w:r>
      <w:r w:rsidRPr="00511CD3">
        <w:t>.</w:t>
      </w:r>
      <w:r w:rsidR="00DD1F27" w:rsidRPr="00511CD3">
        <w:t>3</w:t>
      </w:r>
      <w:r w:rsidRPr="00511CD3">
        <w:t xml:space="preserve"> of its Rule of Procedure, forwarded to the State a copy of the relevant parts for its observations</w:t>
      </w:r>
      <w:r w:rsidR="007738A3" w:rsidRPr="00511CD3">
        <w:t>,</w:t>
      </w:r>
      <w:r w:rsidRPr="00511CD3">
        <w:t xml:space="preserve"> for the period of three months.  By Note of </w:t>
      </w:r>
      <w:r w:rsidR="00B10F4D" w:rsidRPr="00511CD3">
        <w:t>August</w:t>
      </w:r>
      <w:r w:rsidR="00DD1F27" w:rsidRPr="00511CD3">
        <w:t xml:space="preserve"> </w:t>
      </w:r>
      <w:r w:rsidRPr="00511CD3">
        <w:t>19, 2</w:t>
      </w:r>
      <w:r w:rsidR="00DD1F27" w:rsidRPr="00511CD3">
        <w:t xml:space="preserve">020, </w:t>
      </w:r>
      <w:r w:rsidRPr="00511CD3">
        <w:t xml:space="preserve">the Argentine State indicated that it did not have </w:t>
      </w:r>
      <w:r w:rsidR="00DB0814" w:rsidRPr="00511CD3">
        <w:t>“obje</w:t>
      </w:r>
      <w:r w:rsidRPr="00511CD3">
        <w:t xml:space="preserve">ctions to the formal admissibility of the petition in the terms of Article </w:t>
      </w:r>
      <w:r w:rsidR="00DB0814" w:rsidRPr="00511CD3">
        <w:t xml:space="preserve">36” </w:t>
      </w:r>
      <w:r w:rsidRPr="00511CD3">
        <w:t xml:space="preserve">of the Commission’s Rules of Procedure, </w:t>
      </w:r>
      <w:r w:rsidR="00B10F4D" w:rsidRPr="00511CD3">
        <w:t xml:space="preserve">and </w:t>
      </w:r>
      <w:r w:rsidRPr="00511CD3">
        <w:t xml:space="preserve">requested that </w:t>
      </w:r>
      <w:r w:rsidR="00DB0814" w:rsidRPr="00511CD3">
        <w:t>“</w:t>
      </w:r>
      <w:r w:rsidRPr="00511CD3">
        <w:t xml:space="preserve">the processing of the petition continue in accordance with Article </w:t>
      </w:r>
      <w:r w:rsidR="00DB0814" w:rsidRPr="00511CD3">
        <w:t xml:space="preserve">37 </w:t>
      </w:r>
      <w:r w:rsidRPr="00511CD3">
        <w:t>of that instrument.</w:t>
      </w:r>
      <w:r w:rsidR="00DB0814" w:rsidRPr="00511CD3">
        <w:t>”</w:t>
      </w:r>
      <w:r w:rsidRPr="00511CD3">
        <w:t xml:space="preserve"> On </w:t>
      </w:r>
      <w:r w:rsidR="00B10F4D" w:rsidRPr="00511CD3">
        <w:t>September</w:t>
      </w:r>
      <w:r w:rsidR="0087353C" w:rsidRPr="00511CD3">
        <w:t xml:space="preserve"> </w:t>
      </w:r>
      <w:r w:rsidRPr="00511CD3">
        <w:t xml:space="preserve">2, </w:t>
      </w:r>
      <w:r w:rsidR="0087353C" w:rsidRPr="00511CD3">
        <w:t>2020</w:t>
      </w:r>
      <w:r w:rsidRPr="00511CD3">
        <w:t>,</w:t>
      </w:r>
      <w:r w:rsidR="0087353C" w:rsidRPr="00511CD3">
        <w:t xml:space="preserve"> </w:t>
      </w:r>
      <w:r w:rsidR="00B10F4D" w:rsidRPr="00511CD3">
        <w:t>the Commission</w:t>
      </w:r>
      <w:r w:rsidR="0087353C" w:rsidRPr="00511CD3">
        <w:t xml:space="preserve"> </w:t>
      </w:r>
      <w:r w:rsidR="00865B77" w:rsidRPr="00511CD3">
        <w:t xml:space="preserve">informed </w:t>
      </w:r>
      <w:r w:rsidRPr="00511CD3">
        <w:t xml:space="preserve">the parties </w:t>
      </w:r>
      <w:r w:rsidR="00865B77" w:rsidRPr="00511CD3">
        <w:t xml:space="preserve">of </w:t>
      </w:r>
      <w:r w:rsidRPr="00511CD3">
        <w:t xml:space="preserve">its decision to invoke Article </w:t>
      </w:r>
      <w:r w:rsidR="0087353C" w:rsidRPr="00511CD3">
        <w:t>36</w:t>
      </w:r>
      <w:r w:rsidRPr="00511CD3">
        <w:t>.</w:t>
      </w:r>
      <w:r w:rsidR="0087353C" w:rsidRPr="00511CD3">
        <w:t>3</w:t>
      </w:r>
      <w:r w:rsidRPr="00511CD3">
        <w:t xml:space="preserve"> of its Rules of Procedure and, therefore, deferred treatment of the admissibility of petition until the merits had been debated and </w:t>
      </w:r>
      <w:r w:rsidR="005D2531" w:rsidRPr="00511CD3">
        <w:t>a decision taken thereon</w:t>
      </w:r>
      <w:r w:rsidR="0087353C" w:rsidRPr="00511CD3">
        <w:t xml:space="preserve">. </w:t>
      </w:r>
    </w:p>
    <w:p w14:paraId="4E18E462" w14:textId="77777777" w:rsidR="0087353C" w:rsidRPr="00511CD3" w:rsidRDefault="0087353C" w:rsidP="008429F6">
      <w:pPr>
        <w:pStyle w:val="ListParagraph"/>
        <w:numPr>
          <w:ilvl w:val="0"/>
          <w:numId w:val="0"/>
        </w:numPr>
      </w:pPr>
    </w:p>
    <w:p w14:paraId="2BFE7066" w14:textId="77777777" w:rsidR="008C4561" w:rsidRPr="00511CD3" w:rsidRDefault="002E08A7" w:rsidP="008429F6">
      <w:pPr>
        <w:pStyle w:val="ListParagraph"/>
        <w:ind w:left="0" w:firstLine="0"/>
      </w:pPr>
      <w:r w:rsidRPr="00511CD3">
        <w:t xml:space="preserve">On </w:t>
      </w:r>
      <w:r w:rsidR="00B10F4D" w:rsidRPr="00511CD3">
        <w:t>September</w:t>
      </w:r>
      <w:r w:rsidR="0087353C" w:rsidRPr="00511CD3">
        <w:t xml:space="preserve"> </w:t>
      </w:r>
      <w:r w:rsidRPr="00511CD3">
        <w:t xml:space="preserve">22, </w:t>
      </w:r>
      <w:r w:rsidR="0087353C" w:rsidRPr="00511CD3">
        <w:t>2020</w:t>
      </w:r>
      <w:r w:rsidRPr="00511CD3">
        <w:t>,</w:t>
      </w:r>
      <w:r w:rsidR="0087353C" w:rsidRPr="00511CD3">
        <w:t xml:space="preserve"> </w:t>
      </w:r>
      <w:r w:rsidRPr="00511CD3">
        <w:t>the petitioner</w:t>
      </w:r>
      <w:r w:rsidR="005D2531" w:rsidRPr="00511CD3">
        <w:t>s</w:t>
      </w:r>
      <w:r w:rsidRPr="00511CD3">
        <w:t xml:space="preserve"> forwarded </w:t>
      </w:r>
      <w:r w:rsidR="005D2531" w:rsidRPr="00511CD3">
        <w:t xml:space="preserve">their </w:t>
      </w:r>
      <w:r w:rsidRPr="00511CD3">
        <w:t>document containing additional observations on the merits.  The State did the same by Not</w:t>
      </w:r>
      <w:r w:rsidR="009F5B25" w:rsidRPr="00511CD3">
        <w:t>e</w:t>
      </w:r>
      <w:r w:rsidRPr="00511CD3">
        <w:t xml:space="preserve"> of </w:t>
      </w:r>
      <w:r w:rsidR="00B10F4D" w:rsidRPr="00511CD3">
        <w:t>June</w:t>
      </w:r>
      <w:r w:rsidR="0087353C" w:rsidRPr="00511CD3">
        <w:t xml:space="preserve"> </w:t>
      </w:r>
      <w:r w:rsidRPr="00511CD3">
        <w:t>15,</w:t>
      </w:r>
      <w:r w:rsidR="0087353C" w:rsidRPr="00511CD3">
        <w:t xml:space="preserve"> 2021. </w:t>
      </w:r>
      <w:r w:rsidRPr="00511CD3">
        <w:t xml:space="preserve">On </w:t>
      </w:r>
      <w:r w:rsidR="00B10F4D" w:rsidRPr="00511CD3">
        <w:t>September</w:t>
      </w:r>
      <w:r w:rsidR="0087353C" w:rsidRPr="00511CD3">
        <w:t xml:space="preserve"> </w:t>
      </w:r>
      <w:r w:rsidRPr="00511CD3">
        <w:t xml:space="preserve">17, </w:t>
      </w:r>
      <w:r w:rsidR="0087353C" w:rsidRPr="00511CD3">
        <w:t>2021</w:t>
      </w:r>
      <w:r w:rsidRPr="00511CD3">
        <w:t>,</w:t>
      </w:r>
      <w:r w:rsidR="0087353C" w:rsidRPr="00511CD3">
        <w:t xml:space="preserve"> </w:t>
      </w:r>
      <w:r w:rsidR="00B10F4D" w:rsidRPr="00511CD3">
        <w:t>the Commission</w:t>
      </w:r>
      <w:r w:rsidR="0087353C" w:rsidRPr="00511CD3">
        <w:t xml:space="preserve"> </w:t>
      </w:r>
      <w:r w:rsidRPr="00511CD3">
        <w:t xml:space="preserve">reported to the parties that, considering the </w:t>
      </w:r>
      <w:r w:rsidR="009F5B25" w:rsidRPr="00511CD3">
        <w:t xml:space="preserve">relationship </w:t>
      </w:r>
      <w:r w:rsidRPr="00511CD3">
        <w:t>of the instant case</w:t>
      </w:r>
      <w:r w:rsidR="005D2531" w:rsidRPr="00511CD3">
        <w:t xml:space="preserve"> to</w:t>
      </w:r>
      <w:r w:rsidRPr="00511CD3">
        <w:t xml:space="preserve"> precautionary measure </w:t>
      </w:r>
      <w:r w:rsidR="00CB3B57" w:rsidRPr="00511CD3">
        <w:t xml:space="preserve">application </w:t>
      </w:r>
      <w:r w:rsidRPr="00511CD3">
        <w:t>file</w:t>
      </w:r>
      <w:r w:rsidR="00D13656" w:rsidRPr="00511CD3">
        <w:t xml:space="preserve"> MC 540-15, </w:t>
      </w:r>
      <w:r w:rsidRPr="00511CD3">
        <w:t xml:space="preserve">it would take into account the actions and documents included in </w:t>
      </w:r>
      <w:r w:rsidR="00865B77" w:rsidRPr="00511CD3">
        <w:t xml:space="preserve">that </w:t>
      </w:r>
      <w:r w:rsidRPr="00511CD3">
        <w:t xml:space="preserve">file for the analysis of the merits of the </w:t>
      </w:r>
      <w:r w:rsidR="009B2024" w:rsidRPr="00511CD3">
        <w:t>case</w:t>
      </w:r>
      <w:r w:rsidRPr="00511CD3">
        <w:t>.</w:t>
      </w:r>
    </w:p>
    <w:p w14:paraId="5B2AC900" w14:textId="77777777" w:rsidR="008C4561" w:rsidRPr="00511CD3" w:rsidRDefault="008C4561" w:rsidP="008429F6">
      <w:pPr>
        <w:pStyle w:val="ListParagraph"/>
        <w:numPr>
          <w:ilvl w:val="0"/>
          <w:numId w:val="0"/>
        </w:numPr>
      </w:pPr>
    </w:p>
    <w:p w14:paraId="136DFDF0" w14:textId="77777777" w:rsidR="008C4561" w:rsidRPr="00511CD3" w:rsidRDefault="009F5B25" w:rsidP="008429F6">
      <w:pPr>
        <w:pStyle w:val="ListParagraph"/>
        <w:ind w:left="0" w:firstLine="0"/>
      </w:pPr>
      <w:r w:rsidRPr="00511CD3">
        <w:t xml:space="preserve">On </w:t>
      </w:r>
      <w:r w:rsidR="00B10F4D" w:rsidRPr="00511CD3">
        <w:t>October</w:t>
      </w:r>
      <w:r w:rsidR="00D13656" w:rsidRPr="00511CD3">
        <w:t xml:space="preserve"> </w:t>
      </w:r>
      <w:r w:rsidRPr="00511CD3">
        <w:t xml:space="preserve">21, </w:t>
      </w:r>
      <w:r w:rsidR="00D13656" w:rsidRPr="00511CD3">
        <w:t>2021</w:t>
      </w:r>
      <w:r w:rsidR="001869B8" w:rsidRPr="00511CD3">
        <w:t xml:space="preserve">, </w:t>
      </w:r>
      <w:r w:rsidRPr="00511CD3">
        <w:t xml:space="preserve">in the context of its </w:t>
      </w:r>
      <w:r w:rsidR="00D13656" w:rsidRPr="00511CD3">
        <w:t>181</w:t>
      </w:r>
      <w:r w:rsidRPr="00511CD3">
        <w:rPr>
          <w:vertAlign w:val="superscript"/>
        </w:rPr>
        <w:t>st</w:t>
      </w:r>
      <w:r w:rsidRPr="00511CD3">
        <w:t xml:space="preserve"> period of sessions</w:t>
      </w:r>
      <w:r w:rsidR="00386662" w:rsidRPr="00511CD3">
        <w:t>,</w:t>
      </w:r>
      <w:r w:rsidR="00D13656" w:rsidRPr="00511CD3">
        <w:t xml:space="preserve"> </w:t>
      </w:r>
      <w:r w:rsidR="00B10F4D" w:rsidRPr="00511CD3">
        <w:t>the Commission</w:t>
      </w:r>
      <w:r w:rsidR="00D13656" w:rsidRPr="00511CD3">
        <w:t xml:space="preserve"> </w:t>
      </w:r>
      <w:r w:rsidRPr="00511CD3">
        <w:t xml:space="preserve">held a hearing to hear </w:t>
      </w:r>
      <w:r w:rsidR="00386662" w:rsidRPr="00511CD3">
        <w:t>“María</w:t>
      </w:r>
      <w:r w:rsidR="005D2531" w:rsidRPr="00511CD3">
        <w:t>’s</w:t>
      </w:r>
      <w:r w:rsidR="00386662" w:rsidRPr="00511CD3">
        <w:t>”</w:t>
      </w:r>
      <w:r w:rsidR="00B10F4D" w:rsidRPr="00511CD3">
        <w:t xml:space="preserve"> </w:t>
      </w:r>
      <w:r w:rsidR="005D2531" w:rsidRPr="00511CD3">
        <w:t xml:space="preserve">testimony </w:t>
      </w:r>
      <w:r w:rsidR="00B10F4D" w:rsidRPr="00511CD3">
        <w:t xml:space="preserve">and </w:t>
      </w:r>
      <w:r w:rsidRPr="00511CD3">
        <w:t xml:space="preserve">the </w:t>
      </w:r>
      <w:r w:rsidR="009B2024" w:rsidRPr="00511CD3">
        <w:t xml:space="preserve">petitioners’ </w:t>
      </w:r>
      <w:r w:rsidRPr="00511CD3">
        <w:t xml:space="preserve">allegations on the merits </w:t>
      </w:r>
      <w:r w:rsidR="00B10F4D" w:rsidRPr="00511CD3">
        <w:t xml:space="preserve">and </w:t>
      </w:r>
      <w:r w:rsidR="009B2024" w:rsidRPr="00511CD3">
        <w:t xml:space="preserve">those </w:t>
      </w:r>
      <w:r w:rsidRPr="00511CD3">
        <w:t>of the representatives of the Argentine State.  All information received was duly forwarded to the parties</w:t>
      </w:r>
      <w:r w:rsidR="008C4561" w:rsidRPr="00511CD3">
        <w:t xml:space="preserve">. </w:t>
      </w:r>
    </w:p>
    <w:p w14:paraId="7DB39A1B" w14:textId="77777777" w:rsidR="008C4561" w:rsidRPr="00511CD3" w:rsidRDefault="008C4561" w:rsidP="008429F6">
      <w:pPr>
        <w:pStyle w:val="ListParagraph"/>
        <w:numPr>
          <w:ilvl w:val="0"/>
          <w:numId w:val="0"/>
        </w:numPr>
      </w:pPr>
    </w:p>
    <w:p w14:paraId="6E2BE74E" w14:textId="77777777" w:rsidR="008C4561" w:rsidRPr="00511CD3" w:rsidRDefault="00A77ED1" w:rsidP="008429F6">
      <w:pPr>
        <w:pStyle w:val="Heading1"/>
        <w:ind w:left="0" w:firstLine="0"/>
      </w:pPr>
      <w:r w:rsidRPr="00511CD3">
        <w:t xml:space="preserve">  POSI</w:t>
      </w:r>
      <w:r w:rsidR="008B3DA5" w:rsidRPr="00511CD3">
        <w:t>TIONS OF THE PARTIES</w:t>
      </w:r>
      <w:r w:rsidR="008C4561" w:rsidRPr="00511CD3">
        <w:t xml:space="preserve"> </w:t>
      </w:r>
    </w:p>
    <w:p w14:paraId="255591F3" w14:textId="77777777" w:rsidR="002D555F" w:rsidRPr="00511CD3" w:rsidRDefault="002D555F" w:rsidP="008429F6">
      <w:pPr>
        <w:rPr>
          <w:sz w:val="20"/>
          <w:szCs w:val="20"/>
        </w:rPr>
      </w:pPr>
    </w:p>
    <w:p w14:paraId="5ECCDF6F" w14:textId="77777777" w:rsidR="0077715B" w:rsidRPr="00511CD3" w:rsidRDefault="008B3DA5" w:rsidP="008429F6">
      <w:pPr>
        <w:pStyle w:val="Heading2"/>
        <w:numPr>
          <w:ilvl w:val="0"/>
          <w:numId w:val="5"/>
        </w:numPr>
        <w:ind w:left="0" w:firstLine="0"/>
        <w:rPr>
          <w:lang w:val="en-US"/>
        </w:rPr>
      </w:pPr>
      <w:r w:rsidRPr="00511CD3">
        <w:rPr>
          <w:lang w:val="en-US"/>
        </w:rPr>
        <w:t>The petitioner</w:t>
      </w:r>
      <w:r w:rsidR="009B2024" w:rsidRPr="00511CD3">
        <w:rPr>
          <w:lang w:val="en-US"/>
        </w:rPr>
        <w:t>s</w:t>
      </w:r>
    </w:p>
    <w:p w14:paraId="74A47C17" w14:textId="77777777" w:rsidR="0077715B" w:rsidRPr="00511CD3" w:rsidRDefault="0077715B" w:rsidP="008429F6">
      <w:pPr>
        <w:rPr>
          <w:sz w:val="20"/>
          <w:szCs w:val="20"/>
        </w:rPr>
      </w:pPr>
    </w:p>
    <w:p w14:paraId="6539653B" w14:textId="77777777" w:rsidR="007E04DC" w:rsidRPr="00511CD3" w:rsidRDefault="002E08A7" w:rsidP="008429F6">
      <w:pPr>
        <w:pStyle w:val="ListParagraph"/>
        <w:ind w:left="0" w:firstLine="0"/>
      </w:pPr>
      <w:r w:rsidRPr="00511CD3">
        <w:t>The petitioners</w:t>
      </w:r>
      <w:r w:rsidR="000A5CFE" w:rsidRPr="00511CD3">
        <w:t xml:space="preserve"> </w:t>
      </w:r>
      <w:r w:rsidR="000451DD" w:rsidRPr="00511CD3">
        <w:t xml:space="preserve">first related that </w:t>
      </w:r>
      <w:r w:rsidR="005D2531" w:rsidRPr="00511CD3">
        <w:t xml:space="preserve">about late </w:t>
      </w:r>
      <w:r w:rsidR="00B10F4D" w:rsidRPr="00511CD3">
        <w:t>May</w:t>
      </w:r>
      <w:r w:rsidR="002A6710" w:rsidRPr="00511CD3">
        <w:t xml:space="preserve"> 2014, </w:t>
      </w:r>
      <w:r w:rsidR="000451DD" w:rsidRPr="00511CD3">
        <w:t xml:space="preserve">the child </w:t>
      </w:r>
      <w:r w:rsidR="0077715B" w:rsidRPr="00511CD3">
        <w:t>“</w:t>
      </w:r>
      <w:r w:rsidR="003F3AE0" w:rsidRPr="00511CD3">
        <w:t>María</w:t>
      </w:r>
      <w:r w:rsidR="000451DD" w:rsidRPr="00511CD3">
        <w:t>,</w:t>
      </w:r>
      <w:r w:rsidR="0077715B" w:rsidRPr="00511CD3">
        <w:t>”</w:t>
      </w:r>
      <w:r w:rsidR="002A6710" w:rsidRPr="00511CD3">
        <w:t xml:space="preserve"> 12 </w:t>
      </w:r>
      <w:r w:rsidR="000451DD" w:rsidRPr="00511CD3">
        <w:t>years of age, went with her mother to the Martín Maternity</w:t>
      </w:r>
      <w:r w:rsidR="009B2024" w:rsidRPr="00511CD3">
        <w:t xml:space="preserve"> Clinic of the</w:t>
      </w:r>
      <w:r w:rsidR="00EB6DD8" w:rsidRPr="00511CD3">
        <w:t xml:space="preserve"> </w:t>
      </w:r>
      <w:r w:rsidR="000451DD" w:rsidRPr="00511CD3">
        <w:t xml:space="preserve">Secretariat of Public Health, </w:t>
      </w:r>
      <w:r w:rsidR="000A5CFE" w:rsidRPr="00511CD3">
        <w:t>Rosario</w:t>
      </w:r>
      <w:r w:rsidR="000451DD" w:rsidRPr="00511CD3">
        <w:t xml:space="preserve"> Municipality</w:t>
      </w:r>
      <w:r w:rsidR="000A5CFE" w:rsidRPr="00511CD3">
        <w:t>, Santa Fe</w:t>
      </w:r>
      <w:r w:rsidR="000451DD" w:rsidRPr="00511CD3">
        <w:t xml:space="preserve"> Province</w:t>
      </w:r>
      <w:r w:rsidR="000A5CFE" w:rsidRPr="00511CD3">
        <w:t xml:space="preserve">, </w:t>
      </w:r>
      <w:r w:rsidR="000451DD" w:rsidRPr="00511CD3">
        <w:t>where she was diagnosed as pregnant.  According to t</w:t>
      </w:r>
      <w:r w:rsidRPr="00511CD3">
        <w:t>he petitioners</w:t>
      </w:r>
      <w:r w:rsidR="000A5CFE" w:rsidRPr="00511CD3">
        <w:t xml:space="preserve">, </w:t>
      </w:r>
      <w:r w:rsidR="00EB6DD8" w:rsidRPr="00511CD3">
        <w:t>when questioned by the clinic’s medical professionals, the child</w:t>
      </w:r>
      <w:r w:rsidR="000A5CFE" w:rsidRPr="00511CD3">
        <w:t xml:space="preserve"> “</w:t>
      </w:r>
      <w:r w:rsidR="005162AD" w:rsidRPr="00511CD3">
        <w:t>María</w:t>
      </w:r>
      <w:r w:rsidR="000A5CFE" w:rsidRPr="00511CD3">
        <w:t>”</w:t>
      </w:r>
      <w:r w:rsidR="00EB6DD8" w:rsidRPr="00511CD3">
        <w:t xml:space="preserve"> </w:t>
      </w:r>
      <w:r w:rsidR="009B2024" w:rsidRPr="00511CD3">
        <w:t xml:space="preserve">told </w:t>
      </w:r>
      <w:r w:rsidR="00EB6DD8" w:rsidRPr="00511CD3">
        <w:t>of “sex games</w:t>
      </w:r>
      <w:r w:rsidR="000A5CFE" w:rsidRPr="00511CD3">
        <w:t xml:space="preserve">” </w:t>
      </w:r>
      <w:r w:rsidR="00EB6DD8" w:rsidRPr="00511CD3">
        <w:t>with her half brother and a friend of his, both</w:t>
      </w:r>
      <w:r w:rsidR="000A5CFE" w:rsidRPr="00511CD3">
        <w:t xml:space="preserve"> </w:t>
      </w:r>
      <w:r w:rsidR="002A073C" w:rsidRPr="00511CD3">
        <w:t>“</w:t>
      </w:r>
      <w:r w:rsidR="00EB6DD8" w:rsidRPr="00511CD3">
        <w:t>minors.</w:t>
      </w:r>
      <w:r w:rsidR="002A073C" w:rsidRPr="00511CD3">
        <w:t>”</w:t>
      </w:r>
      <w:r w:rsidR="00EB6DD8" w:rsidRPr="00511CD3">
        <w:t xml:space="preserve">  They also related that the family situation of </w:t>
      </w:r>
      <w:r w:rsidR="00344DED" w:rsidRPr="00511CD3">
        <w:t>“</w:t>
      </w:r>
      <w:r w:rsidR="003F3AE0" w:rsidRPr="00511CD3">
        <w:t>María</w:t>
      </w:r>
      <w:r w:rsidR="00344DED" w:rsidRPr="00511CD3">
        <w:t>”</w:t>
      </w:r>
      <w:r w:rsidR="00B10F4D" w:rsidRPr="00511CD3">
        <w:t xml:space="preserve"> and </w:t>
      </w:r>
      <w:r w:rsidR="00EB6DD8" w:rsidRPr="00511CD3">
        <w:t>her mother was extremely vulnerable owing to the family violence they were suffering at the hands of the child’s father, who had been excluded from the home for that reason.</w:t>
      </w:r>
    </w:p>
    <w:p w14:paraId="65ED7168" w14:textId="77777777" w:rsidR="000A5CFE" w:rsidRPr="00511CD3" w:rsidRDefault="000A5CFE" w:rsidP="008429F6">
      <w:pPr>
        <w:pStyle w:val="ListParagraph"/>
        <w:numPr>
          <w:ilvl w:val="0"/>
          <w:numId w:val="0"/>
        </w:numPr>
      </w:pPr>
    </w:p>
    <w:p w14:paraId="61248EFA" w14:textId="77777777" w:rsidR="000A5CFE" w:rsidRPr="00511CD3" w:rsidRDefault="00EB6DD8" w:rsidP="008429F6">
      <w:pPr>
        <w:pStyle w:val="ListParagraph"/>
        <w:ind w:left="0" w:firstLine="0"/>
      </w:pPr>
      <w:r w:rsidRPr="00511CD3">
        <w:t>The</w:t>
      </w:r>
      <w:r w:rsidR="002E08A7" w:rsidRPr="00511CD3">
        <w:t xml:space="preserve"> petitioners</w:t>
      </w:r>
      <w:r w:rsidR="000A5CFE" w:rsidRPr="00511CD3">
        <w:t xml:space="preserve"> </w:t>
      </w:r>
      <w:r w:rsidRPr="00511CD3">
        <w:t>then indicated that the medical and social professionals of Martín Maternity Clinic</w:t>
      </w:r>
      <w:r w:rsidR="00344DED" w:rsidRPr="00511CD3">
        <w:t xml:space="preserve"> </w:t>
      </w:r>
      <w:r w:rsidR="005D2531" w:rsidRPr="00511CD3">
        <w:t xml:space="preserve">had </w:t>
      </w:r>
      <w:r w:rsidRPr="00511CD3">
        <w:t xml:space="preserve">made efforts </w:t>
      </w:r>
      <w:r w:rsidR="005D2531" w:rsidRPr="00511CD3">
        <w:t xml:space="preserve">with a view to </w:t>
      </w:r>
      <w:r w:rsidRPr="00511CD3">
        <w:t xml:space="preserve">putting up the unborn child for adoption and that, one month before the birth, these professionals </w:t>
      </w:r>
      <w:r w:rsidR="007738A3" w:rsidRPr="00511CD3">
        <w:t xml:space="preserve">had </w:t>
      </w:r>
      <w:r w:rsidRPr="00511CD3">
        <w:t xml:space="preserve">prepared a document addressed to the Provincial Department for the Promotion of the Rights of Children, Adolescents, and the Family, </w:t>
      </w:r>
      <w:r w:rsidR="00344DED" w:rsidRPr="00511CD3">
        <w:t>Santa Fe</w:t>
      </w:r>
      <w:r w:rsidRPr="00511CD3">
        <w:t xml:space="preserve"> Province, setting out the consent of </w:t>
      </w:r>
      <w:r w:rsidR="00344DED" w:rsidRPr="00511CD3">
        <w:t>“</w:t>
      </w:r>
      <w:r w:rsidR="004801CA" w:rsidRPr="00511CD3">
        <w:t>María</w:t>
      </w:r>
      <w:r w:rsidR="00344DED" w:rsidRPr="00511CD3">
        <w:t>”</w:t>
      </w:r>
      <w:r w:rsidR="00B10F4D" w:rsidRPr="00511CD3">
        <w:t xml:space="preserve"> and </w:t>
      </w:r>
      <w:r w:rsidRPr="00511CD3">
        <w:t xml:space="preserve">her mother to put “Maria’s” son </w:t>
      </w:r>
      <w:r w:rsidR="00344DED" w:rsidRPr="00511CD3">
        <w:t>“Mariano”</w:t>
      </w:r>
      <w:r w:rsidRPr="00511CD3">
        <w:t xml:space="preserve"> up for adoption</w:t>
      </w:r>
      <w:r w:rsidR="00344DED" w:rsidRPr="00511CD3">
        <w:t>.</w:t>
      </w:r>
      <w:r w:rsidR="002A073C" w:rsidRPr="00511CD3">
        <w:t xml:space="preserve"> </w:t>
      </w:r>
      <w:r w:rsidR="002E08A7" w:rsidRPr="00511CD3">
        <w:t>The petitioners</w:t>
      </w:r>
      <w:r w:rsidR="0057684E" w:rsidRPr="00511CD3">
        <w:t xml:space="preserve"> </w:t>
      </w:r>
      <w:r w:rsidR="00CB3B57" w:rsidRPr="00511CD3">
        <w:t>stated</w:t>
      </w:r>
      <w:r w:rsidRPr="00511CD3">
        <w:t xml:space="preserve"> that the document </w:t>
      </w:r>
      <w:r w:rsidR="008D16D8" w:rsidRPr="00511CD3">
        <w:t xml:space="preserve">had been </w:t>
      </w:r>
      <w:r w:rsidRPr="00511CD3">
        <w:t xml:space="preserve">signed by </w:t>
      </w:r>
      <w:r w:rsidR="003F3AE0" w:rsidRPr="00511CD3">
        <w:t>“</w:t>
      </w:r>
      <w:r w:rsidR="004801CA" w:rsidRPr="00511CD3">
        <w:t>María</w:t>
      </w:r>
      <w:r w:rsidR="00CB3B57" w:rsidRPr="00511CD3">
        <w:t>’s” mother</w:t>
      </w:r>
      <w:r w:rsidR="008D16D8" w:rsidRPr="00511CD3">
        <w:t>,</w:t>
      </w:r>
      <w:r w:rsidR="00CB3B57" w:rsidRPr="00511CD3">
        <w:t xml:space="preserve"> without legal assistance </w:t>
      </w:r>
      <w:r w:rsidR="00B10F4D" w:rsidRPr="00511CD3">
        <w:t xml:space="preserve">and </w:t>
      </w:r>
      <w:r w:rsidR="00CB3B57" w:rsidRPr="00511CD3">
        <w:t xml:space="preserve">without account taken of the </w:t>
      </w:r>
      <w:r w:rsidR="00B84FF9" w:rsidRPr="00511CD3">
        <w:t>intent o</w:t>
      </w:r>
      <w:r w:rsidR="00CB3B57" w:rsidRPr="00511CD3">
        <w:t>f other family members</w:t>
      </w:r>
      <w:r w:rsidR="00540394" w:rsidRPr="00511CD3">
        <w:t xml:space="preserve"> of </w:t>
      </w:r>
      <w:r w:rsidR="00540394" w:rsidRPr="00511CD3">
        <w:lastRenderedPageBreak/>
        <w:t>the child</w:t>
      </w:r>
      <w:r w:rsidR="00CB3B57" w:rsidRPr="00511CD3">
        <w:t>, such as her grandmother and great aunt, who indicated their willingness to take responsibility for the child “Mariano.”</w:t>
      </w:r>
      <w:r w:rsidR="009B2024" w:rsidRPr="00511CD3">
        <w:t xml:space="preserve"> </w:t>
      </w:r>
    </w:p>
    <w:p w14:paraId="528DF1BF" w14:textId="77777777" w:rsidR="00CB3B57" w:rsidRPr="00511CD3" w:rsidRDefault="00CB3B57" w:rsidP="008429F6">
      <w:pPr>
        <w:pStyle w:val="ListParagraph"/>
        <w:numPr>
          <w:ilvl w:val="0"/>
          <w:numId w:val="0"/>
        </w:numPr>
      </w:pPr>
    </w:p>
    <w:p w14:paraId="2A801FEE" w14:textId="77777777" w:rsidR="003F3AE0" w:rsidRPr="00511CD3" w:rsidRDefault="00F44C1F" w:rsidP="008429F6">
      <w:pPr>
        <w:pStyle w:val="ListParagraph"/>
        <w:ind w:left="0" w:firstLine="0"/>
      </w:pPr>
      <w:r w:rsidRPr="00511CD3">
        <w:t>Continuing</w:t>
      </w:r>
      <w:r w:rsidR="00540394" w:rsidRPr="00511CD3">
        <w:t xml:space="preserve"> the</w:t>
      </w:r>
      <w:r w:rsidR="006832B2" w:rsidRPr="00511CD3">
        <w:t>ir account</w:t>
      </w:r>
      <w:r w:rsidR="00540394" w:rsidRPr="00511CD3">
        <w:t>, t</w:t>
      </w:r>
      <w:r w:rsidR="002E08A7" w:rsidRPr="00511CD3">
        <w:t>he petitioners</w:t>
      </w:r>
      <w:r w:rsidR="003F3AE0" w:rsidRPr="00511CD3">
        <w:t xml:space="preserve"> </w:t>
      </w:r>
      <w:r w:rsidR="00540394" w:rsidRPr="00511CD3">
        <w:t>indicated that the</w:t>
      </w:r>
      <w:r w:rsidR="003F3AE0" w:rsidRPr="00511CD3">
        <w:t xml:space="preserve"> </w:t>
      </w:r>
      <w:r w:rsidR="00540394" w:rsidRPr="00511CD3">
        <w:t>Provincial Department for the Promotion of the Rights of Children, Adolescents, and the Family</w:t>
      </w:r>
      <w:r w:rsidR="003F3AE0" w:rsidRPr="00511CD3">
        <w:t xml:space="preserve"> </w:t>
      </w:r>
      <w:r w:rsidR="00540394" w:rsidRPr="00511CD3">
        <w:t xml:space="preserve">did not intervene in the case in any way, but that the Provincial Defender of Children and Adolescents, based on </w:t>
      </w:r>
      <w:r w:rsidR="00E82253" w:rsidRPr="00511CD3">
        <w:t xml:space="preserve">actions begun by </w:t>
      </w:r>
      <w:r w:rsidR="007F6759" w:rsidRPr="00511CD3">
        <w:t>who knows who</w:t>
      </w:r>
      <w:r w:rsidR="00540394" w:rsidRPr="00511CD3">
        <w:t xml:space="preserve">, brought </w:t>
      </w:r>
      <w:r w:rsidR="006832B2" w:rsidRPr="00511CD3">
        <w:t xml:space="preserve">an action </w:t>
      </w:r>
      <w:r w:rsidR="00E82253" w:rsidRPr="00511CD3">
        <w:t>in</w:t>
      </w:r>
      <w:r w:rsidR="006832B2" w:rsidRPr="00511CD3">
        <w:t xml:space="preserve"> </w:t>
      </w:r>
      <w:r w:rsidR="00540394" w:rsidRPr="00511CD3">
        <w:t>the courts</w:t>
      </w:r>
      <w:r w:rsidR="00B10F4D" w:rsidRPr="00511CD3">
        <w:t xml:space="preserve"> and</w:t>
      </w:r>
      <w:r w:rsidR="00540394" w:rsidRPr="00511CD3">
        <w:t>, on</w:t>
      </w:r>
      <w:r w:rsidR="003F3AE0" w:rsidRPr="00511CD3">
        <w:t xml:space="preserve"> </w:t>
      </w:r>
      <w:r w:rsidR="00B10F4D" w:rsidRPr="00511CD3">
        <w:t>August</w:t>
      </w:r>
      <w:r w:rsidR="003F3AE0" w:rsidRPr="00511CD3">
        <w:t xml:space="preserve"> </w:t>
      </w:r>
      <w:r w:rsidR="00540394" w:rsidRPr="00511CD3">
        <w:t xml:space="preserve">1, </w:t>
      </w:r>
      <w:r w:rsidR="003F3AE0" w:rsidRPr="00511CD3">
        <w:t>2014</w:t>
      </w:r>
      <w:r w:rsidR="000C1F14" w:rsidRPr="00511CD3">
        <w:t>,</w:t>
      </w:r>
      <w:r w:rsidR="003F3AE0" w:rsidRPr="00511CD3">
        <w:t xml:space="preserve"> </w:t>
      </w:r>
      <w:r w:rsidR="00540394" w:rsidRPr="00511CD3">
        <w:t xml:space="preserve">requested the duty family court to institute </w:t>
      </w:r>
      <w:r w:rsidR="006832B2" w:rsidRPr="00511CD3">
        <w:t>guardianship</w:t>
      </w:r>
      <w:r w:rsidR="00540394" w:rsidRPr="00511CD3">
        <w:t xml:space="preserve"> proceedings with the aim of putting up “Maria’s” unborn </w:t>
      </w:r>
      <w:r w:rsidR="006832B2" w:rsidRPr="00511CD3">
        <w:t>child</w:t>
      </w:r>
      <w:r w:rsidR="00540394" w:rsidRPr="00511CD3">
        <w:t xml:space="preserve"> up for adoption.  They </w:t>
      </w:r>
      <w:r w:rsidR="00E82253" w:rsidRPr="00511CD3">
        <w:t>maintain</w:t>
      </w:r>
      <w:r w:rsidR="00C1313F" w:rsidRPr="00511CD3">
        <w:t xml:space="preserve">ed </w:t>
      </w:r>
      <w:r w:rsidR="00540394" w:rsidRPr="00511CD3">
        <w:t xml:space="preserve">that the Office of the Defender attached to that request a </w:t>
      </w:r>
      <w:r w:rsidR="00EB6DD8" w:rsidRPr="00511CD3">
        <w:t>Martín Maternity Clinic</w:t>
      </w:r>
      <w:r w:rsidR="00B10F4D" w:rsidRPr="00511CD3">
        <w:t xml:space="preserve"> </w:t>
      </w:r>
      <w:r w:rsidR="00540394" w:rsidRPr="00511CD3">
        <w:t xml:space="preserve">report and the document signed by </w:t>
      </w:r>
      <w:r w:rsidR="000C1F14" w:rsidRPr="00511CD3">
        <w:t>“</w:t>
      </w:r>
      <w:r w:rsidR="00B1499A" w:rsidRPr="00511CD3">
        <w:t>María</w:t>
      </w:r>
      <w:r w:rsidR="000C1F14" w:rsidRPr="00511CD3">
        <w:t>”</w:t>
      </w:r>
      <w:r w:rsidR="00B10F4D" w:rsidRPr="00511CD3">
        <w:t xml:space="preserve"> and </w:t>
      </w:r>
      <w:r w:rsidR="00540394" w:rsidRPr="00511CD3">
        <w:t>her mother</w:t>
      </w:r>
      <w:r w:rsidR="000C1F14" w:rsidRPr="00511CD3">
        <w:t xml:space="preserve">. </w:t>
      </w:r>
      <w:r w:rsidR="006832B2" w:rsidRPr="00511CD3">
        <w:t xml:space="preserve"> </w:t>
      </w:r>
      <w:r w:rsidR="002E08A7" w:rsidRPr="00511CD3">
        <w:t>The petitioners</w:t>
      </w:r>
      <w:r w:rsidR="00B35471" w:rsidRPr="00511CD3">
        <w:t xml:space="preserve"> </w:t>
      </w:r>
      <w:r w:rsidR="00E82CF2" w:rsidRPr="00511CD3">
        <w:t xml:space="preserve">contended that the </w:t>
      </w:r>
      <w:r w:rsidR="00540394" w:rsidRPr="00511CD3">
        <w:t>Provincial Defender of Children and Adolescents</w:t>
      </w:r>
      <w:r w:rsidR="00B35471" w:rsidRPr="00511CD3">
        <w:t xml:space="preserve"> </w:t>
      </w:r>
      <w:r w:rsidR="00E82CF2" w:rsidRPr="00511CD3">
        <w:t>did not have the authority to i</w:t>
      </w:r>
      <w:r w:rsidR="006832B2" w:rsidRPr="00511CD3">
        <w:t>nstitute</w:t>
      </w:r>
      <w:r w:rsidR="00E82CF2" w:rsidRPr="00511CD3">
        <w:t xml:space="preserve"> </w:t>
      </w:r>
      <w:r w:rsidR="006832B2" w:rsidRPr="00511CD3">
        <w:t xml:space="preserve">the </w:t>
      </w:r>
      <w:r w:rsidR="00E82CF2" w:rsidRPr="00511CD3">
        <w:t xml:space="preserve">adoption proceedings.  That same </w:t>
      </w:r>
      <w:r w:rsidR="00B10F4D" w:rsidRPr="00511CD3">
        <w:t>August</w:t>
      </w:r>
      <w:r w:rsidR="00E82CF2" w:rsidRPr="00511CD3">
        <w:t xml:space="preserve"> 1</w:t>
      </w:r>
      <w:r w:rsidR="00E2018C" w:rsidRPr="00511CD3">
        <w:t xml:space="preserve">, </w:t>
      </w:r>
      <w:r w:rsidR="00E82CF2" w:rsidRPr="00511CD3">
        <w:t xml:space="preserve">they added, the Court sent a note to the Single Provincial Registry of Applicants </w:t>
      </w:r>
      <w:r w:rsidR="00846357" w:rsidRPr="00511CD3">
        <w:t>for Guardianship</w:t>
      </w:r>
      <w:r w:rsidR="00E82CF2" w:rsidRPr="00511CD3">
        <w:t xml:space="preserve"> with the Aim of Adoption (</w:t>
      </w:r>
      <w:r w:rsidR="000C1F14" w:rsidRPr="00511CD3">
        <w:rPr>
          <w:i/>
        </w:rPr>
        <w:t xml:space="preserve">Registro </w:t>
      </w:r>
      <w:r w:rsidR="00C5661D" w:rsidRPr="00511CD3">
        <w:rPr>
          <w:i/>
        </w:rPr>
        <w:t>Único Provincial</w:t>
      </w:r>
      <w:r w:rsidR="000C1F14" w:rsidRPr="00511CD3">
        <w:rPr>
          <w:i/>
          <w:lang w:eastAsia="es-AR"/>
        </w:rPr>
        <w:t xml:space="preserve"> de Aspirantes a Guarda con Fines Adoptivos</w:t>
      </w:r>
      <w:r w:rsidR="00E82CF2" w:rsidRPr="00511CD3">
        <w:rPr>
          <w:lang w:eastAsia="es-AR"/>
        </w:rPr>
        <w:t xml:space="preserve"> - </w:t>
      </w:r>
      <w:r w:rsidR="000C1F14" w:rsidRPr="00511CD3">
        <w:rPr>
          <w:lang w:eastAsia="es-AR"/>
        </w:rPr>
        <w:t>RUAGA)</w:t>
      </w:r>
      <w:r w:rsidR="00E82CF2" w:rsidRPr="00511CD3">
        <w:rPr>
          <w:lang w:eastAsia="es-AR"/>
        </w:rPr>
        <w:t xml:space="preserve">, requesting </w:t>
      </w:r>
      <w:r w:rsidR="00E2018C" w:rsidRPr="00511CD3">
        <w:rPr>
          <w:lang w:eastAsia="es-AR"/>
        </w:rPr>
        <w:t>“</w:t>
      </w:r>
      <w:r w:rsidR="00E82CF2" w:rsidRPr="00511CD3">
        <w:rPr>
          <w:lang w:eastAsia="es-AR"/>
        </w:rPr>
        <w:t>implement</w:t>
      </w:r>
      <w:r w:rsidR="006832B2" w:rsidRPr="00511CD3">
        <w:rPr>
          <w:lang w:eastAsia="es-AR"/>
        </w:rPr>
        <w:t xml:space="preserve">ation </w:t>
      </w:r>
      <w:r w:rsidR="00E82CF2" w:rsidRPr="00511CD3">
        <w:rPr>
          <w:lang w:eastAsia="es-AR"/>
        </w:rPr>
        <w:t xml:space="preserve">of the corresponding procedures for the designation of </w:t>
      </w:r>
      <w:r w:rsidR="00694501" w:rsidRPr="00511CD3">
        <w:rPr>
          <w:lang w:eastAsia="es-AR"/>
        </w:rPr>
        <w:t xml:space="preserve">the </w:t>
      </w:r>
      <w:r w:rsidR="00E82CF2" w:rsidRPr="00511CD3">
        <w:rPr>
          <w:lang w:eastAsia="es-AR"/>
        </w:rPr>
        <w:t>applicant families.”</w:t>
      </w:r>
    </w:p>
    <w:p w14:paraId="1055A463" w14:textId="77777777" w:rsidR="00E2018C" w:rsidRPr="00511CD3" w:rsidRDefault="00E2018C" w:rsidP="008429F6">
      <w:pPr>
        <w:pStyle w:val="ListParagraph"/>
        <w:numPr>
          <w:ilvl w:val="0"/>
          <w:numId w:val="0"/>
        </w:numPr>
      </w:pPr>
    </w:p>
    <w:p w14:paraId="409022E9" w14:textId="77777777" w:rsidR="00E2018C" w:rsidRPr="00511CD3" w:rsidRDefault="002E08A7" w:rsidP="008429F6">
      <w:pPr>
        <w:pStyle w:val="ListParagraph"/>
        <w:ind w:left="0" w:firstLine="0"/>
      </w:pPr>
      <w:r w:rsidRPr="00511CD3">
        <w:t>The petitioners</w:t>
      </w:r>
      <w:r w:rsidR="00E2018C" w:rsidRPr="00511CD3">
        <w:t xml:space="preserve"> </w:t>
      </w:r>
      <w:r w:rsidR="009521AC" w:rsidRPr="00511CD3">
        <w:t xml:space="preserve">also related that Mr. and Mrs. </w:t>
      </w:r>
      <w:r w:rsidR="004921C9" w:rsidRPr="00511CD3">
        <w:t>“</w:t>
      </w:r>
      <w:r w:rsidR="00EE55E9" w:rsidRPr="00511CD3">
        <w:t>L</w:t>
      </w:r>
      <w:r w:rsidR="004921C9" w:rsidRPr="00511CD3">
        <w:t>ó</w:t>
      </w:r>
      <w:r w:rsidR="00EE55E9" w:rsidRPr="00511CD3">
        <w:t>pez</w:t>
      </w:r>
      <w:r w:rsidR="009521AC" w:rsidRPr="00511CD3">
        <w:t>,</w:t>
      </w:r>
      <w:r w:rsidR="004921C9" w:rsidRPr="00511CD3">
        <w:t>”</w:t>
      </w:r>
      <w:r w:rsidR="00E2018C" w:rsidRPr="00511CD3">
        <w:t xml:space="preserve"> </w:t>
      </w:r>
      <w:r w:rsidR="00E82CF2" w:rsidRPr="00511CD3">
        <w:t xml:space="preserve">who were designated </w:t>
      </w:r>
      <w:r w:rsidR="009521AC" w:rsidRPr="00511CD3">
        <w:t xml:space="preserve">as </w:t>
      </w:r>
      <w:r w:rsidR="00E82CF2" w:rsidRPr="00511CD3">
        <w:t xml:space="preserve">applicants for </w:t>
      </w:r>
      <w:r w:rsidR="00C1313F" w:rsidRPr="00511CD3">
        <w:t xml:space="preserve">“Mariano’s” </w:t>
      </w:r>
      <w:r w:rsidR="00E82CF2" w:rsidRPr="00511CD3">
        <w:t>guardianship with the aim of adoption</w:t>
      </w:r>
      <w:r w:rsidR="00C1313F" w:rsidRPr="00511CD3">
        <w:t>,</w:t>
      </w:r>
      <w:r w:rsidR="00E82CF2" w:rsidRPr="00511CD3">
        <w:t xml:space="preserve"> met with </w:t>
      </w:r>
      <w:r w:rsidR="00E2018C" w:rsidRPr="00511CD3">
        <w:t>“</w:t>
      </w:r>
      <w:r w:rsidR="00B1499A" w:rsidRPr="00511CD3">
        <w:t>María</w:t>
      </w:r>
      <w:r w:rsidR="00E2018C" w:rsidRPr="00511CD3">
        <w:t>”</w:t>
      </w:r>
      <w:r w:rsidR="00E72002" w:rsidRPr="00511CD3">
        <w:t xml:space="preserve"> </w:t>
      </w:r>
      <w:r w:rsidR="00E82CF2" w:rsidRPr="00511CD3">
        <w:t xml:space="preserve">some days before the girl gave birth, </w:t>
      </w:r>
      <w:r w:rsidR="00C1313F" w:rsidRPr="00511CD3">
        <w:t xml:space="preserve">at </w:t>
      </w:r>
      <w:r w:rsidR="00F44C1F" w:rsidRPr="00511CD3">
        <w:t xml:space="preserve">the Office of the Defender, </w:t>
      </w:r>
      <w:r w:rsidR="00E82CF2" w:rsidRPr="00511CD3">
        <w:t>without the knowledge of the court</w:t>
      </w:r>
      <w:r w:rsidR="00E2018C" w:rsidRPr="00511CD3">
        <w:t xml:space="preserve">. </w:t>
      </w:r>
      <w:r w:rsidRPr="00511CD3">
        <w:t>The petitioners</w:t>
      </w:r>
      <w:r w:rsidR="00E2018C" w:rsidRPr="00511CD3">
        <w:t xml:space="preserve"> </w:t>
      </w:r>
      <w:r w:rsidR="00E82CF2" w:rsidRPr="00511CD3">
        <w:t xml:space="preserve">indicate that at the meeting, </w:t>
      </w:r>
      <w:r w:rsidR="00E2018C" w:rsidRPr="00511CD3">
        <w:t>“</w:t>
      </w:r>
      <w:r w:rsidR="00B1499A" w:rsidRPr="00511CD3">
        <w:t>María</w:t>
      </w:r>
      <w:r w:rsidR="00E2018C" w:rsidRPr="00511CD3">
        <w:t xml:space="preserve">” </w:t>
      </w:r>
      <w:r w:rsidR="00E82CF2" w:rsidRPr="00511CD3">
        <w:t xml:space="preserve">was accompanied only by a psychologist and that her mother </w:t>
      </w:r>
      <w:r w:rsidR="00663D51" w:rsidRPr="00511CD3">
        <w:t xml:space="preserve">had </w:t>
      </w:r>
      <w:r w:rsidR="00E82CF2" w:rsidRPr="00511CD3">
        <w:t>not</w:t>
      </w:r>
      <w:r w:rsidR="00663D51" w:rsidRPr="00511CD3">
        <w:t xml:space="preserve"> been</w:t>
      </w:r>
      <w:r w:rsidR="00E82CF2" w:rsidRPr="00511CD3">
        <w:t xml:space="preserve"> allowed </w:t>
      </w:r>
      <w:r w:rsidR="009521AC" w:rsidRPr="00511CD3">
        <w:t>in</w:t>
      </w:r>
      <w:r w:rsidR="00E82CF2" w:rsidRPr="00511CD3">
        <w:t>, a circumstance that was highly traumatic for the child</w:t>
      </w:r>
      <w:r w:rsidR="00E2018C" w:rsidRPr="00511CD3">
        <w:t xml:space="preserve">. </w:t>
      </w:r>
    </w:p>
    <w:p w14:paraId="74982047" w14:textId="77777777" w:rsidR="00E2018C" w:rsidRPr="00511CD3" w:rsidRDefault="00E2018C" w:rsidP="008429F6">
      <w:pPr>
        <w:pStyle w:val="ListParagraph"/>
        <w:numPr>
          <w:ilvl w:val="0"/>
          <w:numId w:val="0"/>
        </w:numPr>
      </w:pPr>
    </w:p>
    <w:p w14:paraId="0B1B499E" w14:textId="77777777" w:rsidR="00E2018C" w:rsidRPr="00511CD3" w:rsidRDefault="002E08A7" w:rsidP="008429F6">
      <w:pPr>
        <w:pStyle w:val="ListParagraph"/>
        <w:ind w:left="0" w:firstLine="0"/>
      </w:pPr>
      <w:r w:rsidRPr="00511CD3">
        <w:t>The petitioners</w:t>
      </w:r>
      <w:r w:rsidR="00E2018C" w:rsidRPr="00511CD3">
        <w:t xml:space="preserve"> </w:t>
      </w:r>
      <w:r w:rsidR="00E82CF2" w:rsidRPr="00511CD3">
        <w:t xml:space="preserve">also indicated that when the time came for </w:t>
      </w:r>
      <w:r w:rsidR="00E2018C" w:rsidRPr="00511CD3">
        <w:t>“</w:t>
      </w:r>
      <w:r w:rsidR="00080766" w:rsidRPr="00511CD3">
        <w:t>María</w:t>
      </w:r>
      <w:r w:rsidR="00E2018C" w:rsidRPr="00511CD3">
        <w:t xml:space="preserve">” </w:t>
      </w:r>
      <w:r w:rsidR="00E82CF2" w:rsidRPr="00511CD3">
        <w:t xml:space="preserve">to give birth to her son, </w:t>
      </w:r>
      <w:r w:rsidR="005A6531" w:rsidRPr="00511CD3">
        <w:t xml:space="preserve">Mr. and Mrs. </w:t>
      </w:r>
      <w:r w:rsidR="004921C9" w:rsidRPr="00511CD3">
        <w:t>“López”</w:t>
      </w:r>
      <w:r w:rsidR="00B212D4" w:rsidRPr="00511CD3">
        <w:t xml:space="preserve"> requested the court </w:t>
      </w:r>
      <w:r w:rsidR="00086ECE" w:rsidRPr="00511CD3">
        <w:t xml:space="preserve">that they be allowed to </w:t>
      </w:r>
      <w:r w:rsidR="00B212D4" w:rsidRPr="00511CD3">
        <w:t>remove the child from the clinic when he</w:t>
      </w:r>
      <w:r w:rsidR="00663D51" w:rsidRPr="00511CD3">
        <w:t xml:space="preserve"> had been</w:t>
      </w:r>
      <w:r w:rsidR="00B212D4" w:rsidRPr="00511CD3">
        <w:t xml:space="preserve"> released by the doctors.</w:t>
      </w:r>
      <w:r w:rsidR="00E2018C" w:rsidRPr="00511CD3">
        <w:t xml:space="preserve"> </w:t>
      </w:r>
      <w:r w:rsidR="005A6531" w:rsidRPr="00511CD3">
        <w:t xml:space="preserve"> </w:t>
      </w:r>
      <w:r w:rsidRPr="00511CD3">
        <w:t>The petitioners</w:t>
      </w:r>
      <w:r w:rsidR="00E2018C" w:rsidRPr="00511CD3">
        <w:t xml:space="preserve"> </w:t>
      </w:r>
      <w:r w:rsidR="00B212D4" w:rsidRPr="00511CD3">
        <w:t>emphasized that, in response to this request, the judge in charge of the case, without justifying her decision or giv</w:t>
      </w:r>
      <w:r w:rsidR="00086ECE" w:rsidRPr="00511CD3">
        <w:t>ing</w:t>
      </w:r>
      <w:r w:rsidR="00B212D4" w:rsidRPr="00511CD3">
        <w:t xml:space="preserve"> reasons why </w:t>
      </w:r>
      <w:r w:rsidR="005A6531" w:rsidRPr="00511CD3">
        <w:t xml:space="preserve">Mr. and Mrs. </w:t>
      </w:r>
      <w:r w:rsidR="004921C9" w:rsidRPr="00511CD3">
        <w:t>“López”</w:t>
      </w:r>
      <w:r w:rsidR="00B212D4" w:rsidRPr="00511CD3">
        <w:t xml:space="preserve"> had been selected, decided to give them the boy</w:t>
      </w:r>
      <w:r w:rsidR="00663D51" w:rsidRPr="00511CD3">
        <w:t xml:space="preserve">, merely indicating </w:t>
      </w:r>
      <w:r w:rsidR="00080766" w:rsidRPr="00511CD3">
        <w:t>“</w:t>
      </w:r>
      <w:r w:rsidR="005A6531" w:rsidRPr="00511CD3">
        <w:t xml:space="preserve">notify </w:t>
      </w:r>
      <w:r w:rsidR="0056022F" w:rsidRPr="00511CD3">
        <w:t>a</w:t>
      </w:r>
      <w:r w:rsidR="00663D51" w:rsidRPr="00511CD3">
        <w:t xml:space="preserve">s </w:t>
      </w:r>
      <w:r w:rsidR="0056022F" w:rsidRPr="00511CD3">
        <w:t>requested</w:t>
      </w:r>
      <w:r w:rsidR="00663D51" w:rsidRPr="00511CD3">
        <w:t>.”</w:t>
      </w:r>
    </w:p>
    <w:p w14:paraId="30E3F5C3" w14:textId="77777777" w:rsidR="00080766" w:rsidRPr="00511CD3" w:rsidRDefault="00080766" w:rsidP="008429F6">
      <w:pPr>
        <w:pStyle w:val="ListParagraph"/>
        <w:numPr>
          <w:ilvl w:val="0"/>
          <w:numId w:val="0"/>
        </w:numPr>
      </w:pPr>
    </w:p>
    <w:p w14:paraId="3457F8A1" w14:textId="77777777" w:rsidR="00080766" w:rsidRPr="00511CD3" w:rsidRDefault="002E08A7" w:rsidP="008429F6">
      <w:pPr>
        <w:pStyle w:val="ListParagraph"/>
        <w:ind w:left="0" w:firstLine="0"/>
      </w:pPr>
      <w:r w:rsidRPr="00511CD3">
        <w:t>The petitioners</w:t>
      </w:r>
      <w:r w:rsidR="00080766" w:rsidRPr="00511CD3">
        <w:t xml:space="preserve"> </w:t>
      </w:r>
      <w:r w:rsidR="00663D51" w:rsidRPr="00511CD3">
        <w:t xml:space="preserve">contend that </w:t>
      </w:r>
      <w:r w:rsidR="00086ECE" w:rsidRPr="00511CD3">
        <w:t xml:space="preserve">Mr. and Mrs. </w:t>
      </w:r>
      <w:r w:rsidR="004921C9" w:rsidRPr="00511CD3">
        <w:t>“Lopez”</w:t>
      </w:r>
      <w:r w:rsidR="00663D51" w:rsidRPr="00511CD3">
        <w:t xml:space="preserve"> asked the judge for preadoption </w:t>
      </w:r>
      <w:r w:rsidR="00E82253" w:rsidRPr="00511CD3">
        <w:t>guardianship</w:t>
      </w:r>
      <w:r w:rsidR="00663D51" w:rsidRPr="00511CD3">
        <w:t xml:space="preserve"> of </w:t>
      </w:r>
      <w:r w:rsidR="00080766" w:rsidRPr="00511CD3">
        <w:t>“Mariano</w:t>
      </w:r>
      <w:r w:rsidR="00663D51" w:rsidRPr="00511CD3">
        <w:t>,</w:t>
      </w:r>
      <w:r w:rsidR="00080766" w:rsidRPr="00511CD3">
        <w:t>”</w:t>
      </w:r>
      <w:r w:rsidR="00663D51" w:rsidRPr="00511CD3">
        <w:t xml:space="preserve"> despite the fact that </w:t>
      </w:r>
      <w:r w:rsidR="00E82253" w:rsidRPr="00511CD3">
        <w:t>provisional guardianshi</w:t>
      </w:r>
      <w:r w:rsidR="00663D51" w:rsidRPr="00511CD3">
        <w:t>p of the child had never been ordered by a court</w:t>
      </w:r>
      <w:r w:rsidR="00080766" w:rsidRPr="00511CD3">
        <w:t xml:space="preserve">. </w:t>
      </w:r>
      <w:r w:rsidR="0056022F" w:rsidRPr="00511CD3">
        <w:t xml:space="preserve"> In the context of th</w:t>
      </w:r>
      <w:r w:rsidR="00086ECE" w:rsidRPr="00511CD3">
        <w:t>ese proceedings</w:t>
      </w:r>
      <w:r w:rsidR="0056022F" w:rsidRPr="00511CD3">
        <w:t xml:space="preserve">, they </w:t>
      </w:r>
      <w:r w:rsidR="00086ECE" w:rsidRPr="00511CD3">
        <w:t xml:space="preserve">indicated, </w:t>
      </w:r>
      <w:r w:rsidR="0056022F" w:rsidRPr="00511CD3">
        <w:t xml:space="preserve">the judge </w:t>
      </w:r>
      <w:r w:rsidR="00086ECE" w:rsidRPr="00511CD3">
        <w:t xml:space="preserve">met </w:t>
      </w:r>
      <w:r w:rsidR="0056022F" w:rsidRPr="00511CD3">
        <w:t xml:space="preserve">personally with </w:t>
      </w:r>
      <w:r w:rsidR="00080766" w:rsidRPr="00511CD3">
        <w:t>“</w:t>
      </w:r>
      <w:r w:rsidR="00B1499A" w:rsidRPr="00511CD3">
        <w:t>María</w:t>
      </w:r>
      <w:r w:rsidR="00080766" w:rsidRPr="00511CD3">
        <w:t xml:space="preserve">” </w:t>
      </w:r>
      <w:r w:rsidR="0056022F" w:rsidRPr="00511CD3">
        <w:t xml:space="preserve">at a meeting held two months after it had been convened, without the participation of the Defender of Children who </w:t>
      </w:r>
      <w:r w:rsidR="00514B9B" w:rsidRPr="00511CD3">
        <w:t xml:space="preserve">should </w:t>
      </w:r>
      <w:r w:rsidR="0056022F" w:rsidRPr="00511CD3">
        <w:t xml:space="preserve">have assisted </w:t>
      </w:r>
      <w:r w:rsidR="00080766" w:rsidRPr="00511CD3">
        <w:t>“</w:t>
      </w:r>
      <w:r w:rsidR="00B1499A" w:rsidRPr="00511CD3">
        <w:t>María</w:t>
      </w:r>
      <w:r w:rsidR="00080766" w:rsidRPr="00511CD3">
        <w:t>”</w:t>
      </w:r>
      <w:r w:rsidR="00B10F4D" w:rsidRPr="00511CD3">
        <w:t xml:space="preserve"> and </w:t>
      </w:r>
      <w:r w:rsidR="0056022F" w:rsidRPr="00511CD3">
        <w:t xml:space="preserve">despite the existence of a forensic </w:t>
      </w:r>
      <w:r w:rsidR="00086ECE" w:rsidRPr="00511CD3">
        <w:t xml:space="preserve">physician’s </w:t>
      </w:r>
      <w:r w:rsidR="0056022F" w:rsidRPr="00511CD3">
        <w:t xml:space="preserve">opinion that concluded that </w:t>
      </w:r>
      <w:r w:rsidR="00B1499A" w:rsidRPr="00511CD3">
        <w:t>“</w:t>
      </w:r>
      <w:r w:rsidR="007E06FA" w:rsidRPr="00511CD3">
        <w:t>María</w:t>
      </w:r>
      <w:r w:rsidR="00B1499A" w:rsidRPr="00511CD3">
        <w:t xml:space="preserve">” </w:t>
      </w:r>
      <w:r w:rsidR="0056022F" w:rsidRPr="00511CD3">
        <w:t xml:space="preserve">was not </w:t>
      </w:r>
      <w:r w:rsidR="00B1499A" w:rsidRPr="00511CD3">
        <w:t>“</w:t>
      </w:r>
      <w:r w:rsidR="00086ECE" w:rsidRPr="00511CD3">
        <w:t xml:space="preserve">in a position </w:t>
      </w:r>
      <w:r w:rsidR="0056022F" w:rsidRPr="00511CD3">
        <w:t>to understand</w:t>
      </w:r>
      <w:r w:rsidR="00B1499A" w:rsidRPr="00511CD3">
        <w:t>”</w:t>
      </w:r>
      <w:r w:rsidR="00705134" w:rsidRPr="00511CD3">
        <w:t xml:space="preserve"> </w:t>
      </w:r>
      <w:r w:rsidR="0056022F" w:rsidRPr="00511CD3">
        <w:t>what</w:t>
      </w:r>
      <w:r w:rsidR="00086ECE" w:rsidRPr="00511CD3">
        <w:t xml:space="preserve"> had</w:t>
      </w:r>
      <w:r w:rsidR="0056022F" w:rsidRPr="00511CD3">
        <w:t xml:space="preserve"> happened at that interview.  </w:t>
      </w:r>
      <w:r w:rsidRPr="00511CD3">
        <w:t>The petitioners</w:t>
      </w:r>
      <w:r w:rsidR="0056022F" w:rsidRPr="00511CD3">
        <w:t xml:space="preserve"> indicate that </w:t>
      </w:r>
      <w:r w:rsidR="00B1499A" w:rsidRPr="00511CD3">
        <w:t>“</w:t>
      </w:r>
      <w:r w:rsidR="007E06FA" w:rsidRPr="00511CD3">
        <w:t>María</w:t>
      </w:r>
      <w:r w:rsidR="00B1499A" w:rsidRPr="00511CD3">
        <w:t xml:space="preserve">” </w:t>
      </w:r>
      <w:r w:rsidR="0056022F" w:rsidRPr="00511CD3">
        <w:t>indicated to the judge her wish to see her son again, but this was not recorded in the minutes of the meeting</w:t>
      </w:r>
      <w:r w:rsidR="00B1499A" w:rsidRPr="00511CD3">
        <w:t xml:space="preserve">. </w:t>
      </w:r>
    </w:p>
    <w:p w14:paraId="2DEA1A92" w14:textId="77777777" w:rsidR="00FC50BF" w:rsidRPr="00511CD3" w:rsidRDefault="00FC50BF" w:rsidP="008429F6">
      <w:pPr>
        <w:pStyle w:val="ListParagraph"/>
        <w:numPr>
          <w:ilvl w:val="0"/>
          <w:numId w:val="0"/>
        </w:numPr>
      </w:pPr>
    </w:p>
    <w:p w14:paraId="090A23F7" w14:textId="77777777" w:rsidR="00FC50BF" w:rsidRPr="00511CD3" w:rsidRDefault="002E08A7" w:rsidP="008429F6">
      <w:pPr>
        <w:pStyle w:val="ListParagraph"/>
        <w:ind w:left="0" w:firstLine="0"/>
      </w:pPr>
      <w:r w:rsidRPr="00511CD3">
        <w:t>The petitioners</w:t>
      </w:r>
      <w:r w:rsidR="00FC50BF" w:rsidRPr="00511CD3">
        <w:t xml:space="preserve"> </w:t>
      </w:r>
      <w:r w:rsidR="0056022F" w:rsidRPr="00511CD3">
        <w:t>then indicated that in</w:t>
      </w:r>
      <w:r w:rsidR="00FC50BF" w:rsidRPr="00511CD3">
        <w:t xml:space="preserve"> </w:t>
      </w:r>
      <w:r w:rsidR="00B10F4D" w:rsidRPr="00511CD3">
        <w:t>August</w:t>
      </w:r>
      <w:r w:rsidR="00FC50BF" w:rsidRPr="00511CD3">
        <w:t xml:space="preserve"> 2015</w:t>
      </w:r>
      <w:r w:rsidR="0056022F" w:rsidRPr="00511CD3">
        <w:t>,</w:t>
      </w:r>
      <w:r w:rsidR="00FC50BF" w:rsidRPr="00511CD3">
        <w:t xml:space="preserve"> “</w:t>
      </w:r>
      <w:r w:rsidR="007E06FA" w:rsidRPr="00511CD3">
        <w:t>María</w:t>
      </w:r>
      <w:r w:rsidR="00FC50BF" w:rsidRPr="00511CD3">
        <w:t>”</w:t>
      </w:r>
      <w:r w:rsidR="0056022F" w:rsidRPr="00511CD3">
        <w:t xml:space="preserve"> requested the court, through her attorneys, to restore ties with her son, who was </w:t>
      </w:r>
      <w:r w:rsidR="00086ECE" w:rsidRPr="00511CD3">
        <w:t xml:space="preserve">under the </w:t>
      </w:r>
      <w:r w:rsidR="00E82253" w:rsidRPr="00511CD3">
        <w:t>custodian</w:t>
      </w:r>
      <w:r w:rsidR="00086ECE" w:rsidRPr="00511CD3">
        <w:t xml:space="preserve">ship </w:t>
      </w:r>
      <w:r w:rsidR="0056022F" w:rsidRPr="00511CD3">
        <w:t xml:space="preserve">of </w:t>
      </w:r>
      <w:r w:rsidR="00086ECE" w:rsidRPr="00511CD3">
        <w:t xml:space="preserve">Mr. and Mrs. </w:t>
      </w:r>
      <w:r w:rsidR="004921C9" w:rsidRPr="00511CD3">
        <w:t>“Lopez</w:t>
      </w:r>
      <w:r w:rsidR="00086ECE" w:rsidRPr="00511CD3">
        <w:t>,</w:t>
      </w:r>
      <w:r w:rsidR="004921C9" w:rsidRPr="00511CD3">
        <w:t>”</w:t>
      </w:r>
      <w:r w:rsidR="00B10F4D" w:rsidRPr="00511CD3">
        <w:t xml:space="preserve"> and </w:t>
      </w:r>
      <w:r w:rsidR="0056022F" w:rsidRPr="00511CD3">
        <w:t xml:space="preserve">that a DNA analysis be ordered to </w:t>
      </w:r>
      <w:r w:rsidR="00F44C1F" w:rsidRPr="00511CD3">
        <w:t>ascertain</w:t>
      </w:r>
      <w:r w:rsidR="0056022F" w:rsidRPr="00511CD3">
        <w:t xml:space="preserve"> the identity of </w:t>
      </w:r>
      <w:r w:rsidR="00FC50BF" w:rsidRPr="00511CD3">
        <w:t>“Mariano</w:t>
      </w:r>
      <w:r w:rsidR="0056022F" w:rsidRPr="00511CD3">
        <w:t>’s</w:t>
      </w:r>
      <w:r w:rsidR="00FC50BF" w:rsidRPr="00511CD3">
        <w:t>”</w:t>
      </w:r>
      <w:r w:rsidR="0056022F" w:rsidRPr="00511CD3">
        <w:t xml:space="preserve"> biological father</w:t>
      </w:r>
      <w:r w:rsidR="00FC50BF" w:rsidRPr="00511CD3">
        <w:t xml:space="preserve">. </w:t>
      </w:r>
      <w:r w:rsidR="0056022F" w:rsidRPr="00511CD3">
        <w:t xml:space="preserve"> </w:t>
      </w:r>
      <w:r w:rsidRPr="00511CD3">
        <w:t>The petitioners</w:t>
      </w:r>
      <w:r w:rsidR="00FC50BF" w:rsidRPr="00511CD3">
        <w:t xml:space="preserve"> </w:t>
      </w:r>
      <w:r w:rsidR="0056022F" w:rsidRPr="00511CD3">
        <w:t xml:space="preserve">reported that in </w:t>
      </w:r>
      <w:r w:rsidR="00B10F4D" w:rsidRPr="00511CD3">
        <w:t>October</w:t>
      </w:r>
      <w:r w:rsidR="00FC50BF" w:rsidRPr="00511CD3">
        <w:t xml:space="preserve"> 2015, </w:t>
      </w:r>
      <w:r w:rsidR="0056022F" w:rsidRPr="00511CD3">
        <w:t xml:space="preserve">without having yet replied to </w:t>
      </w:r>
      <w:r w:rsidR="00FC50BF" w:rsidRPr="00511CD3">
        <w:t>“María</w:t>
      </w:r>
      <w:r w:rsidR="0056022F" w:rsidRPr="00511CD3">
        <w:t>’s</w:t>
      </w:r>
      <w:r w:rsidR="00FC50BF" w:rsidRPr="00511CD3">
        <w:t>”</w:t>
      </w:r>
      <w:r w:rsidR="0056022F" w:rsidRPr="00511CD3">
        <w:t xml:space="preserve"> request, the family court decided to order that the proceedings would address the declaration of </w:t>
      </w:r>
      <w:r w:rsidR="00FC50BF" w:rsidRPr="00511CD3">
        <w:t>“Mariano</w:t>
      </w:r>
      <w:r w:rsidR="0056022F" w:rsidRPr="00511CD3">
        <w:t>’s” adoptability</w:t>
      </w:r>
      <w:r w:rsidR="00086ECE" w:rsidRPr="00511CD3">
        <w:t xml:space="preserve"> status</w:t>
      </w:r>
      <w:r w:rsidR="0056022F" w:rsidRPr="00511CD3">
        <w:t>. This decision, they conten</w:t>
      </w:r>
      <w:r w:rsidR="00E35648" w:rsidRPr="00511CD3">
        <w:t>d</w:t>
      </w:r>
      <w:r w:rsidR="0056022F" w:rsidRPr="00511CD3">
        <w:t xml:space="preserve">, prevented </w:t>
      </w:r>
      <w:r w:rsidR="00FC50BF" w:rsidRPr="00511CD3">
        <w:t>“</w:t>
      </w:r>
      <w:r w:rsidR="007E06FA" w:rsidRPr="00511CD3">
        <w:t>María</w:t>
      </w:r>
      <w:r w:rsidR="00FC50BF" w:rsidRPr="00511CD3">
        <w:t xml:space="preserve">” </w:t>
      </w:r>
      <w:r w:rsidR="00E35648" w:rsidRPr="00511CD3">
        <w:t>from restoring ties with h</w:t>
      </w:r>
      <w:r w:rsidR="0056022F" w:rsidRPr="00511CD3">
        <w:t xml:space="preserve">er son, and denied </w:t>
      </w:r>
      <w:r w:rsidR="00016C74" w:rsidRPr="00511CD3">
        <w:t xml:space="preserve">“Mariano” </w:t>
      </w:r>
      <w:r w:rsidR="00E35648" w:rsidRPr="00511CD3">
        <w:t xml:space="preserve">his right to </w:t>
      </w:r>
      <w:r w:rsidR="00C1313F" w:rsidRPr="00511CD3">
        <w:t>develop</w:t>
      </w:r>
      <w:r w:rsidR="00086ECE" w:rsidRPr="00511CD3">
        <w:t xml:space="preserve"> </w:t>
      </w:r>
      <w:r w:rsidR="00E35648" w:rsidRPr="00511CD3">
        <w:t>his biography with his mother.</w:t>
      </w:r>
    </w:p>
    <w:p w14:paraId="651274CC" w14:textId="77777777" w:rsidR="00016C74" w:rsidRPr="00511CD3" w:rsidRDefault="00016C74" w:rsidP="008429F6">
      <w:pPr>
        <w:pStyle w:val="ListParagraph"/>
        <w:numPr>
          <w:ilvl w:val="0"/>
          <w:numId w:val="0"/>
        </w:numPr>
      </w:pPr>
    </w:p>
    <w:p w14:paraId="1017AD8C" w14:textId="77777777" w:rsidR="00016C74" w:rsidRPr="00511CD3" w:rsidRDefault="002E08A7" w:rsidP="008429F6">
      <w:pPr>
        <w:pStyle w:val="ListParagraph"/>
        <w:ind w:left="0" w:firstLine="0"/>
      </w:pPr>
      <w:r w:rsidRPr="00511CD3">
        <w:t>The petitioners</w:t>
      </w:r>
      <w:r w:rsidR="00016C74" w:rsidRPr="00511CD3">
        <w:t xml:space="preserve"> </w:t>
      </w:r>
      <w:r w:rsidR="00E35648" w:rsidRPr="00511CD3">
        <w:t xml:space="preserve">contend that Articles </w:t>
      </w:r>
      <w:r w:rsidR="00016C74" w:rsidRPr="00511CD3">
        <w:t>17</w:t>
      </w:r>
      <w:r w:rsidR="00B10F4D" w:rsidRPr="00511CD3">
        <w:t xml:space="preserve"> and </w:t>
      </w:r>
      <w:r w:rsidR="00016C74" w:rsidRPr="00511CD3">
        <w:t xml:space="preserve">19 </w:t>
      </w:r>
      <w:r w:rsidR="00E35648" w:rsidRPr="00511CD3">
        <w:t xml:space="preserve">of the American Convention, the Convention on the Rights of the Child, and the relevant </w:t>
      </w:r>
      <w:r w:rsidR="00C1313F" w:rsidRPr="00511CD3">
        <w:t>provisions</w:t>
      </w:r>
      <w:r w:rsidR="00E35648" w:rsidRPr="00511CD3">
        <w:t xml:space="preserve"> of the Argentine Civil Code discourage separating parents from their biological children against the will</w:t>
      </w:r>
      <w:r w:rsidR="00086ECE" w:rsidRPr="00511CD3">
        <w:t xml:space="preserve"> of the parents</w:t>
      </w:r>
      <w:r w:rsidR="00E35648" w:rsidRPr="00511CD3">
        <w:t xml:space="preserve">.  They also contend that the State </w:t>
      </w:r>
      <w:r w:rsidR="008D1162" w:rsidRPr="00511CD3">
        <w:t>failed to fulfill its responsibility to create the mechanisms necessary ensure that the child was kept with his biological family before deciding other types of family placement, such as adoption, and condemned the fact that the judges i</w:t>
      </w:r>
      <w:r w:rsidR="00E82253" w:rsidRPr="00511CD3">
        <w:t>n the case</w:t>
      </w:r>
      <w:r w:rsidR="008D1162" w:rsidRPr="00511CD3">
        <w:t xml:space="preserve"> were seeking to c</w:t>
      </w:r>
      <w:r w:rsidR="00086ECE" w:rsidRPr="00511CD3">
        <w:t>ement</w:t>
      </w:r>
      <w:r w:rsidR="008D1162" w:rsidRPr="00511CD3">
        <w:t xml:space="preserve"> a situation of fact, i.e., </w:t>
      </w:r>
      <w:r w:rsidR="007E06FA" w:rsidRPr="00511CD3">
        <w:t>“</w:t>
      </w:r>
      <w:r w:rsidR="00017ADB" w:rsidRPr="00511CD3">
        <w:t>María</w:t>
      </w:r>
      <w:r w:rsidR="008D1162" w:rsidRPr="00511CD3">
        <w:t>’s</w:t>
      </w:r>
      <w:r w:rsidR="007E06FA" w:rsidRPr="00511CD3">
        <w:t xml:space="preserve">” </w:t>
      </w:r>
      <w:r w:rsidR="008D1162" w:rsidRPr="00511CD3">
        <w:t>separation from her son</w:t>
      </w:r>
      <w:r w:rsidR="007E06FA" w:rsidRPr="00511CD3">
        <w:t xml:space="preserve">, </w:t>
      </w:r>
      <w:r w:rsidR="008D1162" w:rsidRPr="00511CD3">
        <w:t xml:space="preserve">ignoring the serious irregularities </w:t>
      </w:r>
      <w:r w:rsidR="00E82253" w:rsidRPr="00511CD3">
        <w:t>of</w:t>
      </w:r>
      <w:r w:rsidR="008D1162" w:rsidRPr="00511CD3">
        <w:t xml:space="preserve"> due process and the judicial protection set forth in Articles</w:t>
      </w:r>
      <w:r w:rsidR="007E06FA" w:rsidRPr="00511CD3">
        <w:t xml:space="preserve"> 8</w:t>
      </w:r>
      <w:r w:rsidR="00B10F4D" w:rsidRPr="00511CD3">
        <w:t xml:space="preserve"> and </w:t>
      </w:r>
      <w:r w:rsidR="007E06FA" w:rsidRPr="00511CD3">
        <w:t>25</w:t>
      </w:r>
      <w:r w:rsidR="00017ADB" w:rsidRPr="00511CD3">
        <w:t>.1</w:t>
      </w:r>
      <w:r w:rsidR="007E06FA" w:rsidRPr="00511CD3">
        <w:t xml:space="preserve"> </w:t>
      </w:r>
      <w:r w:rsidR="008D1162" w:rsidRPr="00511CD3">
        <w:t>of the American Convention.  In that regard, t</w:t>
      </w:r>
      <w:r w:rsidRPr="00511CD3">
        <w:t>he petitioners</w:t>
      </w:r>
      <w:r w:rsidR="007E06FA" w:rsidRPr="00511CD3">
        <w:t xml:space="preserve"> </w:t>
      </w:r>
      <w:r w:rsidR="008D1162" w:rsidRPr="00511CD3">
        <w:t>contended that</w:t>
      </w:r>
      <w:r w:rsidR="007E06FA" w:rsidRPr="00511CD3">
        <w:t xml:space="preserve"> “María” </w:t>
      </w:r>
      <w:r w:rsidR="008D1162" w:rsidRPr="00511CD3">
        <w:t>was at no time in a position to give her free and voluntary consent to</w:t>
      </w:r>
      <w:r w:rsidR="00086ECE" w:rsidRPr="00511CD3">
        <w:t xml:space="preserve"> give</w:t>
      </w:r>
      <w:r w:rsidR="008D1162" w:rsidRPr="00511CD3">
        <w:t xml:space="preserve"> her child up for adoption</w:t>
      </w:r>
      <w:r w:rsidR="007E06FA" w:rsidRPr="00511CD3">
        <w:t xml:space="preserve">. </w:t>
      </w:r>
    </w:p>
    <w:p w14:paraId="77699BDD" w14:textId="77777777" w:rsidR="007E06FA" w:rsidRPr="00511CD3" w:rsidRDefault="007E06FA" w:rsidP="008429F6">
      <w:pPr>
        <w:pStyle w:val="ListParagraph"/>
        <w:numPr>
          <w:ilvl w:val="0"/>
          <w:numId w:val="0"/>
        </w:numPr>
      </w:pPr>
    </w:p>
    <w:p w14:paraId="298D5C7B" w14:textId="77777777" w:rsidR="004801CA" w:rsidRPr="00511CD3" w:rsidRDefault="008D1162" w:rsidP="008429F6">
      <w:pPr>
        <w:pStyle w:val="ListParagraph"/>
        <w:ind w:left="0" w:firstLine="0"/>
      </w:pPr>
      <w:r w:rsidRPr="00511CD3">
        <w:t>In subsequent communications, t</w:t>
      </w:r>
      <w:r w:rsidR="002E08A7" w:rsidRPr="00511CD3">
        <w:t>he petitioners</w:t>
      </w:r>
      <w:r w:rsidR="004E7CB7" w:rsidRPr="00511CD3">
        <w:t xml:space="preserve"> </w:t>
      </w:r>
      <w:r w:rsidR="00D80CFF" w:rsidRPr="00511CD3">
        <w:t>pro</w:t>
      </w:r>
      <w:r w:rsidRPr="00511CD3">
        <w:t xml:space="preserve">vided updated information on the judicial proceedings </w:t>
      </w:r>
      <w:r w:rsidR="00611AC0" w:rsidRPr="00511CD3">
        <w:t xml:space="preserve">in which they </w:t>
      </w:r>
      <w:r w:rsidR="006B2F44" w:rsidRPr="00511CD3">
        <w:t xml:space="preserve">had taken </w:t>
      </w:r>
      <w:r w:rsidR="00611AC0" w:rsidRPr="00511CD3">
        <w:t xml:space="preserve">part in representation of </w:t>
      </w:r>
      <w:r w:rsidR="00D80CFF" w:rsidRPr="00511CD3">
        <w:t>“</w:t>
      </w:r>
      <w:r w:rsidR="00B64D53" w:rsidRPr="00511CD3">
        <w:t>María</w:t>
      </w:r>
      <w:r w:rsidR="00D80CFF" w:rsidRPr="00511CD3">
        <w:t>”</w:t>
      </w:r>
      <w:r w:rsidR="00B10F4D" w:rsidRPr="00511CD3">
        <w:t xml:space="preserve"> and </w:t>
      </w:r>
      <w:r w:rsidR="00611AC0" w:rsidRPr="00511CD3">
        <w:t xml:space="preserve">her mother, and made additional </w:t>
      </w:r>
      <w:r w:rsidR="00611AC0" w:rsidRPr="00511CD3">
        <w:lastRenderedPageBreak/>
        <w:t xml:space="preserve">allegations.  </w:t>
      </w:r>
      <w:r w:rsidR="002776DF" w:rsidRPr="00511CD3">
        <w:t xml:space="preserve">In </w:t>
      </w:r>
      <w:r w:rsidR="00F44C1F" w:rsidRPr="00511CD3">
        <w:t>that</w:t>
      </w:r>
      <w:r w:rsidR="002776DF" w:rsidRPr="00511CD3">
        <w:t xml:space="preserve"> regard, t</w:t>
      </w:r>
      <w:r w:rsidR="002E08A7" w:rsidRPr="00511CD3">
        <w:t>he petitioners</w:t>
      </w:r>
      <w:r w:rsidR="002776DF" w:rsidRPr="00511CD3">
        <w:t xml:space="preserve"> condemned the fact that </w:t>
      </w:r>
      <w:r w:rsidR="00201F87" w:rsidRPr="00511CD3">
        <w:t>“</w:t>
      </w:r>
      <w:r w:rsidR="008F123B" w:rsidRPr="00511CD3">
        <w:t>María</w:t>
      </w:r>
      <w:r w:rsidR="00201F87" w:rsidRPr="00511CD3">
        <w:t xml:space="preserve">” </w:t>
      </w:r>
      <w:r w:rsidR="002776DF" w:rsidRPr="00511CD3">
        <w:t xml:space="preserve">had not received legal assistance prior to the decision to </w:t>
      </w:r>
      <w:r w:rsidR="00F41C9F" w:rsidRPr="00511CD3">
        <w:t xml:space="preserve">give up </w:t>
      </w:r>
      <w:r w:rsidR="002776DF" w:rsidRPr="00511CD3">
        <w:t xml:space="preserve">her son </w:t>
      </w:r>
      <w:r w:rsidR="00F41C9F" w:rsidRPr="00511CD3">
        <w:t xml:space="preserve">for </w:t>
      </w:r>
      <w:r w:rsidR="002776DF" w:rsidRPr="00511CD3">
        <w:t>preadopti</w:t>
      </w:r>
      <w:r w:rsidR="00F41C9F" w:rsidRPr="00511CD3">
        <w:t>on guardianship</w:t>
      </w:r>
      <w:r w:rsidR="002776DF" w:rsidRPr="00511CD3">
        <w:t xml:space="preserve">, this constituting a violation of her right to </w:t>
      </w:r>
      <w:r w:rsidR="00F41C9F" w:rsidRPr="00511CD3">
        <w:t>a fair trial</w:t>
      </w:r>
      <w:r w:rsidR="002776DF" w:rsidRPr="00511CD3">
        <w:t>.  More broadly, t</w:t>
      </w:r>
      <w:r w:rsidR="002E08A7" w:rsidRPr="00511CD3">
        <w:t>he petitioners</w:t>
      </w:r>
      <w:r w:rsidR="00E42F06" w:rsidRPr="00511CD3">
        <w:t xml:space="preserve"> </w:t>
      </w:r>
      <w:r w:rsidR="002776DF" w:rsidRPr="00511CD3">
        <w:t xml:space="preserve">contended that the different state authorities who </w:t>
      </w:r>
      <w:r w:rsidR="00C1313F" w:rsidRPr="00511CD3">
        <w:t xml:space="preserve">had </w:t>
      </w:r>
      <w:r w:rsidR="002776DF" w:rsidRPr="00511CD3">
        <w:t xml:space="preserve">heard the case did not take any action to provide </w:t>
      </w:r>
      <w:r w:rsidR="00AB3582" w:rsidRPr="00511CD3">
        <w:t>“</w:t>
      </w:r>
      <w:r w:rsidR="0092038A" w:rsidRPr="00511CD3">
        <w:t>María</w:t>
      </w:r>
      <w:r w:rsidR="00AB3582" w:rsidRPr="00511CD3">
        <w:t xml:space="preserve">” </w:t>
      </w:r>
      <w:r w:rsidR="002776DF" w:rsidRPr="00511CD3">
        <w:t xml:space="preserve">with the tools required to take responsibility for her son, nor did they listen to the </w:t>
      </w:r>
      <w:r w:rsidR="00C1313F" w:rsidRPr="00511CD3">
        <w:t xml:space="preserve">extended </w:t>
      </w:r>
      <w:r w:rsidR="002776DF" w:rsidRPr="00511CD3">
        <w:t>biological family.  Instead, at all times they gave priority to putting the child up for adoption.</w:t>
      </w:r>
    </w:p>
    <w:p w14:paraId="2F21A371" w14:textId="77777777" w:rsidR="00111136" w:rsidRPr="00511CD3" w:rsidRDefault="00111136" w:rsidP="008429F6">
      <w:pPr>
        <w:pStyle w:val="ListParagraph"/>
        <w:numPr>
          <w:ilvl w:val="0"/>
          <w:numId w:val="0"/>
        </w:numPr>
      </w:pPr>
    </w:p>
    <w:p w14:paraId="3887E7D7" w14:textId="77777777" w:rsidR="00C87C77" w:rsidRPr="00511CD3" w:rsidRDefault="002E08A7" w:rsidP="008429F6">
      <w:pPr>
        <w:pStyle w:val="ListParagraph"/>
        <w:ind w:left="0" w:firstLine="0"/>
      </w:pPr>
      <w:r w:rsidRPr="00511CD3">
        <w:t>The petitioners</w:t>
      </w:r>
      <w:r w:rsidR="00111136" w:rsidRPr="00511CD3">
        <w:t xml:space="preserve"> </w:t>
      </w:r>
      <w:r w:rsidR="002776DF" w:rsidRPr="00511CD3">
        <w:t xml:space="preserve">also condemned the fact that </w:t>
      </w:r>
      <w:r w:rsidR="003236E6" w:rsidRPr="00511CD3">
        <w:t>the judge had met with “</w:t>
      </w:r>
      <w:r w:rsidR="00111136" w:rsidRPr="00511CD3">
        <w:t xml:space="preserve">María” </w:t>
      </w:r>
      <w:r w:rsidR="003236E6" w:rsidRPr="00511CD3">
        <w:t xml:space="preserve">in a hearing </w:t>
      </w:r>
      <w:r w:rsidR="002776DF" w:rsidRPr="00511CD3">
        <w:t xml:space="preserve">only six months after the birth of her son </w:t>
      </w:r>
      <w:r w:rsidR="00B10F4D" w:rsidRPr="00511CD3">
        <w:t xml:space="preserve">and </w:t>
      </w:r>
      <w:r w:rsidR="002776DF" w:rsidRPr="00511CD3">
        <w:t xml:space="preserve">that the court did not order any measure for the restoration of ties until nearly </w:t>
      </w:r>
      <w:r w:rsidR="00C1313F" w:rsidRPr="00511CD3">
        <w:t>one</w:t>
      </w:r>
      <w:r w:rsidR="002776DF" w:rsidRPr="00511CD3">
        <w:t xml:space="preserve"> year after </w:t>
      </w:r>
      <w:r w:rsidR="00F41C9F" w:rsidRPr="00511CD3">
        <w:t>the</w:t>
      </w:r>
      <w:r w:rsidR="002776DF" w:rsidRPr="00511CD3">
        <w:t xml:space="preserve"> birth.  They also indicated that the judge</w:t>
      </w:r>
      <w:r w:rsidR="00F41C9F" w:rsidRPr="00511CD3">
        <w:t xml:space="preserve"> had</w:t>
      </w:r>
      <w:r w:rsidR="002776DF" w:rsidRPr="00511CD3">
        <w:t xml:space="preserve"> conferred on “Mariano</w:t>
      </w:r>
      <w:r w:rsidR="00C1313F" w:rsidRPr="00511CD3">
        <w:t>’s</w:t>
      </w:r>
      <w:r w:rsidR="002776DF" w:rsidRPr="00511CD3">
        <w:t xml:space="preserve">” </w:t>
      </w:r>
      <w:r w:rsidR="00F41C9F" w:rsidRPr="00511CD3">
        <w:t>custodians</w:t>
      </w:r>
      <w:r w:rsidR="006B2F44" w:rsidRPr="00511CD3">
        <w:t xml:space="preserve"> </w:t>
      </w:r>
      <w:r w:rsidR="002776DF" w:rsidRPr="00511CD3">
        <w:t>the stat</w:t>
      </w:r>
      <w:r w:rsidR="006B2F44" w:rsidRPr="00511CD3">
        <w:t>us</w:t>
      </w:r>
      <w:r w:rsidR="002776DF" w:rsidRPr="00511CD3">
        <w:t xml:space="preserve"> of p</w:t>
      </w:r>
      <w:r w:rsidR="003236E6" w:rsidRPr="00511CD3">
        <w:t>a</w:t>
      </w:r>
      <w:r w:rsidR="002776DF" w:rsidRPr="00511CD3">
        <w:t>rty to the pro</w:t>
      </w:r>
      <w:r w:rsidR="003236E6" w:rsidRPr="00511CD3">
        <w:t>ceedings</w:t>
      </w:r>
      <w:r w:rsidR="002776DF" w:rsidRPr="00511CD3">
        <w:t xml:space="preserve">, in contravention to the provisions of Argentine civil law, </w:t>
      </w:r>
      <w:r w:rsidR="00B10F4D" w:rsidRPr="00511CD3">
        <w:t xml:space="preserve">and </w:t>
      </w:r>
      <w:r w:rsidR="002776DF" w:rsidRPr="00511CD3">
        <w:t xml:space="preserve">that the </w:t>
      </w:r>
      <w:r w:rsidR="00C1313F" w:rsidRPr="00511CD3">
        <w:t xml:space="preserve">[provisional] guardians </w:t>
      </w:r>
      <w:r w:rsidR="003236E6" w:rsidRPr="00511CD3">
        <w:t xml:space="preserve">had submitted for the case file a document </w:t>
      </w:r>
      <w:r w:rsidR="00F41C9F" w:rsidRPr="00511CD3">
        <w:t xml:space="preserve">addressed </w:t>
      </w:r>
      <w:r w:rsidR="003236E6" w:rsidRPr="00511CD3">
        <w:t xml:space="preserve">to </w:t>
      </w:r>
      <w:r w:rsidR="008A474D" w:rsidRPr="00511CD3">
        <w:t>“</w:t>
      </w:r>
      <w:r w:rsidR="008F48ED" w:rsidRPr="00511CD3">
        <w:t>María</w:t>
      </w:r>
      <w:r w:rsidR="008A474D" w:rsidRPr="00511CD3">
        <w:t>”</w:t>
      </w:r>
      <w:r w:rsidR="003F0D4C" w:rsidRPr="00511CD3">
        <w:t xml:space="preserve"> </w:t>
      </w:r>
      <w:r w:rsidR="00F41C9F" w:rsidRPr="00511CD3">
        <w:t>using aggressive language, w</w:t>
      </w:r>
      <w:r w:rsidR="003236E6" w:rsidRPr="00511CD3">
        <w:t xml:space="preserve">ithout </w:t>
      </w:r>
      <w:r w:rsidR="006B2F44" w:rsidRPr="00511CD3">
        <w:t xml:space="preserve">this having warranted intervention on the part of </w:t>
      </w:r>
      <w:r w:rsidR="003236E6" w:rsidRPr="00511CD3">
        <w:t xml:space="preserve">the judge or </w:t>
      </w:r>
      <w:r w:rsidR="006B2F44" w:rsidRPr="00511CD3">
        <w:t xml:space="preserve">the judge </w:t>
      </w:r>
      <w:r w:rsidR="00C1313F" w:rsidRPr="00511CD3">
        <w:t xml:space="preserve">bringing </w:t>
      </w:r>
      <w:r w:rsidR="003236E6" w:rsidRPr="00511CD3">
        <w:t>th</w:t>
      </w:r>
      <w:r w:rsidR="00C1313F" w:rsidRPr="00511CD3">
        <w:t>is</w:t>
      </w:r>
      <w:r w:rsidR="003236E6" w:rsidRPr="00511CD3">
        <w:t xml:space="preserve"> document</w:t>
      </w:r>
      <w:r w:rsidR="006B2F44" w:rsidRPr="00511CD3">
        <w:t xml:space="preserve"> to her attention</w:t>
      </w:r>
      <w:r w:rsidR="00CF1D65" w:rsidRPr="00511CD3">
        <w:t xml:space="preserve">. </w:t>
      </w:r>
    </w:p>
    <w:p w14:paraId="50D5E903" w14:textId="77777777" w:rsidR="00B35471" w:rsidRPr="00511CD3" w:rsidRDefault="00B35471" w:rsidP="008429F6">
      <w:pPr>
        <w:pStyle w:val="ListParagraph"/>
        <w:numPr>
          <w:ilvl w:val="0"/>
          <w:numId w:val="0"/>
        </w:numPr>
      </w:pPr>
    </w:p>
    <w:p w14:paraId="395903FD" w14:textId="77777777" w:rsidR="00B35471" w:rsidRPr="00511CD3" w:rsidRDefault="003236E6" w:rsidP="008429F6">
      <w:pPr>
        <w:pStyle w:val="ListParagraph"/>
        <w:ind w:left="0" w:firstLine="0"/>
      </w:pPr>
      <w:r w:rsidRPr="00511CD3">
        <w:t>Moreover</w:t>
      </w:r>
      <w:r w:rsidR="00B35471" w:rsidRPr="00511CD3">
        <w:t xml:space="preserve">, </w:t>
      </w:r>
      <w:r w:rsidRPr="00511CD3">
        <w:t>t</w:t>
      </w:r>
      <w:r w:rsidR="002E08A7" w:rsidRPr="00511CD3">
        <w:t>he petitioners</w:t>
      </w:r>
      <w:r w:rsidR="00B35471" w:rsidRPr="00511CD3">
        <w:t xml:space="preserve"> </w:t>
      </w:r>
      <w:r w:rsidRPr="00511CD3">
        <w:t xml:space="preserve">contended that the judges in the case took an unwarranted amount of time to decide the appeals and rule on issues raised, primarily those seeking to </w:t>
      </w:r>
      <w:r w:rsidR="00F41C9F" w:rsidRPr="00511CD3">
        <w:t>challenge</w:t>
      </w:r>
      <w:r w:rsidRPr="00511CD3">
        <w:t xml:space="preserve"> the decision to </w:t>
      </w:r>
      <w:r w:rsidR="006B2F44" w:rsidRPr="00511CD3">
        <w:t xml:space="preserve">order that </w:t>
      </w:r>
      <w:r w:rsidRPr="00511CD3">
        <w:t xml:space="preserve">the proceedings </w:t>
      </w:r>
      <w:r w:rsidR="006B2F44" w:rsidRPr="00511CD3">
        <w:t xml:space="preserve">would address the declaration of </w:t>
      </w:r>
      <w:r w:rsidRPr="00511CD3">
        <w:t>adoptability</w:t>
      </w:r>
      <w:r w:rsidR="006B2F44" w:rsidRPr="00511CD3">
        <w:t xml:space="preserve"> status</w:t>
      </w:r>
      <w:r w:rsidRPr="00511CD3">
        <w:t xml:space="preserve">, although </w:t>
      </w:r>
      <w:r w:rsidR="00B35471" w:rsidRPr="00511CD3">
        <w:t>“</w:t>
      </w:r>
      <w:r w:rsidR="00CA6631" w:rsidRPr="00511CD3">
        <w:t>María</w:t>
      </w:r>
      <w:r w:rsidR="00B35471" w:rsidRPr="00511CD3">
        <w:t xml:space="preserve">” </w:t>
      </w:r>
      <w:r w:rsidR="000417AD" w:rsidRPr="00511CD3">
        <w:t xml:space="preserve">had not given her consent to </w:t>
      </w:r>
      <w:r w:rsidR="006B2F44" w:rsidRPr="00511CD3">
        <w:t xml:space="preserve">give </w:t>
      </w:r>
      <w:r w:rsidR="000417AD" w:rsidRPr="00511CD3">
        <w:t>her child up for adoption.  In that regard, t</w:t>
      </w:r>
      <w:r w:rsidR="002E08A7" w:rsidRPr="00511CD3">
        <w:t>he petitioners</w:t>
      </w:r>
      <w:r w:rsidR="00C25F06" w:rsidRPr="00511CD3">
        <w:t xml:space="preserve"> </w:t>
      </w:r>
      <w:r w:rsidR="000417AD" w:rsidRPr="00511CD3">
        <w:t xml:space="preserve">contended that the decision </w:t>
      </w:r>
      <w:r w:rsidR="00F41C9F" w:rsidRPr="00511CD3">
        <w:t xml:space="preserve">for </w:t>
      </w:r>
      <w:r w:rsidR="00064750" w:rsidRPr="00511CD3">
        <w:t xml:space="preserve">the proceedings to </w:t>
      </w:r>
      <w:r w:rsidR="00F41C9F" w:rsidRPr="00511CD3">
        <w:t xml:space="preserve">address the </w:t>
      </w:r>
      <w:r w:rsidR="000417AD" w:rsidRPr="00511CD3">
        <w:t xml:space="preserve">declaration of </w:t>
      </w:r>
      <w:r w:rsidR="00C25F06" w:rsidRPr="00511CD3">
        <w:t>“Mariano</w:t>
      </w:r>
      <w:r w:rsidR="000417AD" w:rsidRPr="00511CD3">
        <w:t>’s</w:t>
      </w:r>
      <w:r w:rsidR="00C25F06" w:rsidRPr="00511CD3">
        <w:t xml:space="preserve">” </w:t>
      </w:r>
      <w:r w:rsidR="000417AD" w:rsidRPr="00511CD3">
        <w:t xml:space="preserve">adoptability </w:t>
      </w:r>
      <w:r w:rsidR="00F41C9F" w:rsidRPr="00511CD3">
        <w:t>i</w:t>
      </w:r>
      <w:r w:rsidR="000417AD" w:rsidRPr="00511CD3">
        <w:t xml:space="preserve">s an attempt to conceal the irregularities </w:t>
      </w:r>
      <w:r w:rsidR="00F41C9F" w:rsidRPr="00511CD3">
        <w:t>committed</w:t>
      </w:r>
      <w:r w:rsidR="00064750" w:rsidRPr="00511CD3">
        <w:t xml:space="preserve"> </w:t>
      </w:r>
      <w:r w:rsidR="000417AD" w:rsidRPr="00511CD3">
        <w:t>primarily during the first months</w:t>
      </w:r>
      <w:r w:rsidR="00F41C9F" w:rsidRPr="00511CD3">
        <w:t xml:space="preserve"> of the process.</w:t>
      </w:r>
    </w:p>
    <w:p w14:paraId="26FAC9F8" w14:textId="77777777" w:rsidR="00740CE5" w:rsidRPr="00511CD3" w:rsidRDefault="00740CE5" w:rsidP="008429F6">
      <w:pPr>
        <w:pStyle w:val="ListParagraph"/>
        <w:numPr>
          <w:ilvl w:val="0"/>
          <w:numId w:val="0"/>
        </w:numPr>
      </w:pPr>
    </w:p>
    <w:p w14:paraId="7E22E663" w14:textId="77777777" w:rsidR="00D60462" w:rsidRPr="00511CD3" w:rsidRDefault="000417AD" w:rsidP="008429F6">
      <w:pPr>
        <w:pStyle w:val="ListParagraph"/>
        <w:ind w:left="0" w:firstLine="0"/>
      </w:pPr>
      <w:r w:rsidRPr="00511CD3">
        <w:t>Regarding “María’s” ties with her son, th</w:t>
      </w:r>
      <w:r w:rsidR="002E08A7" w:rsidRPr="00511CD3">
        <w:t>e petitioners</w:t>
      </w:r>
      <w:r w:rsidR="00B35471" w:rsidRPr="00511CD3">
        <w:t xml:space="preserve"> </w:t>
      </w:r>
      <w:r w:rsidRPr="00511CD3">
        <w:t xml:space="preserve">contended that some of the initiatives taken by the court hearing the case, such as meetings held in the </w:t>
      </w:r>
      <w:r w:rsidR="000F3841" w:rsidRPr="00511CD3">
        <w:t xml:space="preserve">framework </w:t>
      </w:r>
      <w:r w:rsidRPr="00511CD3">
        <w:t xml:space="preserve">of the “point of family encounter” program of </w:t>
      </w:r>
      <w:r w:rsidR="00B35471" w:rsidRPr="00511CD3">
        <w:t>Rosario</w:t>
      </w:r>
      <w:r w:rsidR="00064750" w:rsidRPr="00511CD3">
        <w:t xml:space="preserve"> National University</w:t>
      </w:r>
      <w:r w:rsidRPr="00511CD3">
        <w:t xml:space="preserve">, </w:t>
      </w:r>
      <w:r w:rsidR="00975BDF" w:rsidRPr="00511CD3">
        <w:t xml:space="preserve">had </w:t>
      </w:r>
      <w:r w:rsidRPr="00511CD3">
        <w:t>not ha</w:t>
      </w:r>
      <w:r w:rsidR="00975BDF" w:rsidRPr="00511CD3">
        <w:t>d</w:t>
      </w:r>
      <w:r w:rsidRPr="00511CD3">
        <w:t xml:space="preserve"> positive outcomes and </w:t>
      </w:r>
      <w:r w:rsidR="009B7427" w:rsidRPr="00511CD3">
        <w:t xml:space="preserve">condemned </w:t>
      </w:r>
      <w:r w:rsidRPr="00511CD3">
        <w:t xml:space="preserve">the fact that the State institutions </w:t>
      </w:r>
      <w:r w:rsidR="000F3841" w:rsidRPr="00511CD3">
        <w:t xml:space="preserve">had not given </w:t>
      </w:r>
      <w:r w:rsidR="00C25F06" w:rsidRPr="00511CD3">
        <w:t>“</w:t>
      </w:r>
      <w:r w:rsidR="00CA6631" w:rsidRPr="00511CD3">
        <w:t>María</w:t>
      </w:r>
      <w:r w:rsidR="00C25F06" w:rsidRPr="00511CD3">
        <w:t xml:space="preserve">” </w:t>
      </w:r>
      <w:r w:rsidRPr="00511CD3">
        <w:t>facilities to enable her to attend the meetings</w:t>
      </w:r>
      <w:r w:rsidR="00975BDF" w:rsidRPr="00511CD3">
        <w:t>, given</w:t>
      </w:r>
      <w:r w:rsidRPr="00511CD3">
        <w:t xml:space="preserve"> her vulnerability, </w:t>
      </w:r>
      <w:r w:rsidR="000F3841" w:rsidRPr="00511CD3">
        <w:t xml:space="preserve">nor </w:t>
      </w:r>
      <w:r w:rsidRPr="00511CD3">
        <w:t xml:space="preserve">to enable the </w:t>
      </w:r>
      <w:r w:rsidR="009B7427" w:rsidRPr="00511CD3">
        <w:t>boy</w:t>
      </w:r>
      <w:r w:rsidRPr="00511CD3">
        <w:t xml:space="preserve"> to go to </w:t>
      </w:r>
      <w:r w:rsidR="00C25F06" w:rsidRPr="00511CD3">
        <w:t>“</w:t>
      </w:r>
      <w:r w:rsidR="00566712" w:rsidRPr="00511CD3">
        <w:t>María</w:t>
      </w:r>
      <w:r w:rsidRPr="00511CD3">
        <w:t>’s</w:t>
      </w:r>
      <w:r w:rsidR="00C25F06" w:rsidRPr="00511CD3">
        <w:t>”</w:t>
      </w:r>
      <w:r w:rsidRPr="00511CD3">
        <w:t xml:space="preserve"> house or to receive frequent visits from his grandmother or other biological family members</w:t>
      </w:r>
      <w:r w:rsidR="00C25F06" w:rsidRPr="00511CD3">
        <w:t>.</w:t>
      </w:r>
      <w:r w:rsidR="003419F1" w:rsidRPr="00511CD3">
        <w:t xml:space="preserve"> </w:t>
      </w:r>
      <w:r w:rsidR="00975BDF" w:rsidRPr="00511CD3">
        <w:t xml:space="preserve">  </w:t>
      </w:r>
      <w:r w:rsidR="002E08A7" w:rsidRPr="00511CD3">
        <w:t>The petitioners</w:t>
      </w:r>
      <w:r w:rsidR="00C25F06" w:rsidRPr="00511CD3">
        <w:t xml:space="preserve"> a</w:t>
      </w:r>
      <w:r w:rsidRPr="00511CD3">
        <w:t>dded that</w:t>
      </w:r>
      <w:r w:rsidR="000F3841" w:rsidRPr="00511CD3">
        <w:t xml:space="preserve"> since </w:t>
      </w:r>
      <w:r w:rsidR="00B10F4D" w:rsidRPr="00511CD3">
        <w:t>March</w:t>
      </w:r>
      <w:r w:rsidR="006D17E1" w:rsidRPr="00511CD3">
        <w:t xml:space="preserve"> 2020</w:t>
      </w:r>
      <w:r w:rsidR="000F3841" w:rsidRPr="00511CD3">
        <w:t xml:space="preserve">, as a result of the </w:t>
      </w:r>
      <w:r w:rsidR="00F44C1F" w:rsidRPr="00511CD3">
        <w:t>social</w:t>
      </w:r>
      <w:r w:rsidR="000F3841" w:rsidRPr="00511CD3">
        <w:t xml:space="preserve"> distancing measures ordered to address the </w:t>
      </w:r>
      <w:r w:rsidR="006D17E1" w:rsidRPr="00511CD3">
        <w:t>COVID-19</w:t>
      </w:r>
      <w:r w:rsidR="000F3841" w:rsidRPr="00511CD3">
        <w:t xml:space="preserve"> pandemic</w:t>
      </w:r>
      <w:r w:rsidR="006D17E1" w:rsidRPr="00511CD3">
        <w:t xml:space="preserve">, </w:t>
      </w:r>
      <w:r w:rsidR="003419F1" w:rsidRPr="00511CD3">
        <w:t>“</w:t>
      </w:r>
      <w:r w:rsidR="00566712" w:rsidRPr="00511CD3">
        <w:t>María</w:t>
      </w:r>
      <w:r w:rsidR="000F3841" w:rsidRPr="00511CD3">
        <w:t>’s</w:t>
      </w:r>
      <w:r w:rsidR="003419F1" w:rsidRPr="00511CD3">
        <w:t>”</w:t>
      </w:r>
      <w:r w:rsidR="000F3841" w:rsidRPr="00511CD3">
        <w:t xml:space="preserve"> meetings with her son had become more sporadic and had </w:t>
      </w:r>
      <w:r w:rsidR="00975BDF" w:rsidRPr="00511CD3">
        <w:t xml:space="preserve">had </w:t>
      </w:r>
      <w:r w:rsidR="000F3841" w:rsidRPr="00511CD3">
        <w:t>to take place through video calls.</w:t>
      </w:r>
    </w:p>
    <w:p w14:paraId="1BED661E" w14:textId="77777777" w:rsidR="00C25F06" w:rsidRPr="00511CD3" w:rsidRDefault="00C25F06" w:rsidP="008429F6">
      <w:pPr>
        <w:pStyle w:val="ListParagraph"/>
        <w:numPr>
          <w:ilvl w:val="0"/>
          <w:numId w:val="0"/>
        </w:numPr>
      </w:pPr>
    </w:p>
    <w:p w14:paraId="7D735401" w14:textId="77777777" w:rsidR="00C25F06" w:rsidRPr="00511CD3" w:rsidRDefault="000F3841" w:rsidP="008429F6">
      <w:pPr>
        <w:pStyle w:val="ListParagraph"/>
        <w:ind w:left="0" w:firstLine="0"/>
      </w:pPr>
      <w:r w:rsidRPr="00511CD3">
        <w:t>The petitioner alleges that for all these reasons</w:t>
      </w:r>
      <w:r w:rsidR="00C25F06" w:rsidRPr="00511CD3">
        <w:t xml:space="preserve">, </w:t>
      </w:r>
      <w:r w:rsidRPr="00511CD3">
        <w:t>the Argentine State has</w:t>
      </w:r>
      <w:r w:rsidR="007465AD" w:rsidRPr="00511CD3">
        <w:t xml:space="preserve"> incurred</w:t>
      </w:r>
      <w:r w:rsidRPr="00511CD3">
        <w:t xml:space="preserve"> international responsibility for the violation of the rights to </w:t>
      </w:r>
      <w:r w:rsidR="00975BDF" w:rsidRPr="00511CD3">
        <w:t>a fair trial</w:t>
      </w:r>
      <w:r w:rsidRPr="00511CD3">
        <w:t xml:space="preserve">, judicial protection, protection of the family, and the rights of the child, set forth in Articles </w:t>
      </w:r>
      <w:r w:rsidR="006660DB" w:rsidRPr="00511CD3">
        <w:t>8.1, 25, 17</w:t>
      </w:r>
      <w:r w:rsidRPr="00511CD3">
        <w:t>,</w:t>
      </w:r>
      <w:r w:rsidR="00B10F4D" w:rsidRPr="00511CD3">
        <w:t xml:space="preserve"> and </w:t>
      </w:r>
      <w:r w:rsidR="006660DB" w:rsidRPr="00511CD3">
        <w:t>19, res</w:t>
      </w:r>
      <w:r w:rsidRPr="00511CD3">
        <w:t>pectively, [of the American Convention]</w:t>
      </w:r>
      <w:r w:rsidR="006660DB" w:rsidRPr="00511CD3">
        <w:t xml:space="preserve">, </w:t>
      </w:r>
      <w:r w:rsidRPr="00511CD3">
        <w:t>to the detriment of</w:t>
      </w:r>
      <w:r w:rsidR="006660DB" w:rsidRPr="00511CD3">
        <w:t xml:space="preserve"> “María”</w:t>
      </w:r>
      <w:r w:rsidR="00B10F4D" w:rsidRPr="00511CD3">
        <w:t xml:space="preserve"> and </w:t>
      </w:r>
      <w:r w:rsidRPr="00511CD3">
        <w:t xml:space="preserve">her son </w:t>
      </w:r>
      <w:r w:rsidR="006660DB" w:rsidRPr="00511CD3">
        <w:t>“Mariano</w:t>
      </w:r>
      <w:r w:rsidRPr="00511CD3">
        <w:t>.</w:t>
      </w:r>
      <w:r w:rsidR="006660DB" w:rsidRPr="00511CD3">
        <w:t xml:space="preserve">” </w:t>
      </w:r>
    </w:p>
    <w:p w14:paraId="4C6A92AA" w14:textId="77777777" w:rsidR="00D60462" w:rsidRPr="00511CD3" w:rsidRDefault="00D60462" w:rsidP="008429F6">
      <w:pPr>
        <w:tabs>
          <w:tab w:val="left" w:pos="567"/>
        </w:tabs>
        <w:jc w:val="both"/>
        <w:rPr>
          <w:rFonts w:ascii="Cambria" w:hAnsi="Cambria"/>
          <w:sz w:val="20"/>
          <w:szCs w:val="20"/>
        </w:rPr>
      </w:pPr>
    </w:p>
    <w:p w14:paraId="2F89579B" w14:textId="77777777" w:rsidR="00D60462" w:rsidRPr="00511CD3" w:rsidRDefault="000F3841" w:rsidP="008429F6">
      <w:pPr>
        <w:pStyle w:val="Heading2"/>
        <w:numPr>
          <w:ilvl w:val="0"/>
          <w:numId w:val="5"/>
        </w:numPr>
        <w:ind w:left="0" w:firstLine="0"/>
        <w:rPr>
          <w:lang w:val="en-US"/>
        </w:rPr>
      </w:pPr>
      <w:r w:rsidRPr="00511CD3">
        <w:rPr>
          <w:lang w:val="en-US"/>
        </w:rPr>
        <w:t>The Argentine State</w:t>
      </w:r>
      <w:r w:rsidR="00D60462" w:rsidRPr="00511CD3">
        <w:rPr>
          <w:lang w:val="en-US"/>
        </w:rPr>
        <w:t xml:space="preserve"> </w:t>
      </w:r>
    </w:p>
    <w:p w14:paraId="42F2929A" w14:textId="77777777" w:rsidR="00D60462" w:rsidRPr="00511CD3" w:rsidRDefault="00D60462" w:rsidP="008429F6">
      <w:pPr>
        <w:pStyle w:val="ListParagraph"/>
        <w:numPr>
          <w:ilvl w:val="0"/>
          <w:numId w:val="0"/>
        </w:numPr>
      </w:pPr>
    </w:p>
    <w:p w14:paraId="6EEEE7BF" w14:textId="77777777" w:rsidR="004A556A" w:rsidRPr="00511CD3" w:rsidRDefault="00302C9A" w:rsidP="008429F6">
      <w:pPr>
        <w:pStyle w:val="ListParagraph"/>
        <w:ind w:left="0" w:firstLine="0"/>
      </w:pPr>
      <w:r w:rsidRPr="00511CD3">
        <w:t xml:space="preserve">In responding to the IACHR’s request for information in the context of the processing of precautionary measure </w:t>
      </w:r>
      <w:r w:rsidR="00622055" w:rsidRPr="00511CD3">
        <w:t xml:space="preserve">MC 540-15, </w:t>
      </w:r>
      <w:r w:rsidRPr="00511CD3">
        <w:t xml:space="preserve">the State indicated that the restoration of ties between </w:t>
      </w:r>
      <w:r w:rsidR="00622055" w:rsidRPr="00511CD3">
        <w:t>“</w:t>
      </w:r>
      <w:r w:rsidR="00FD4D53" w:rsidRPr="00511CD3">
        <w:t>María</w:t>
      </w:r>
      <w:r w:rsidR="00622055" w:rsidRPr="00511CD3">
        <w:t xml:space="preserve">” </w:t>
      </w:r>
      <w:r w:rsidRPr="00511CD3">
        <w:t xml:space="preserve">and her son </w:t>
      </w:r>
      <w:r w:rsidR="00B10F4D" w:rsidRPr="00511CD3">
        <w:t xml:space="preserve">and </w:t>
      </w:r>
      <w:r w:rsidRPr="00511CD3">
        <w:t>the establishment of a visiting schedule had been coordinated through the regular channels of</w:t>
      </w:r>
      <w:r w:rsidR="009B7427" w:rsidRPr="00511CD3">
        <w:t xml:space="preserve"> a</w:t>
      </w:r>
      <w:r w:rsidRPr="00511CD3">
        <w:t xml:space="preserve"> judicial </w:t>
      </w:r>
      <w:r w:rsidR="009B7427" w:rsidRPr="00511CD3">
        <w:t>action</w:t>
      </w:r>
      <w:r w:rsidRPr="00511CD3">
        <w:t xml:space="preserve"> under way, which thus far had not </w:t>
      </w:r>
      <w:r w:rsidR="00F44C1F" w:rsidRPr="00511CD3">
        <w:t>been</w:t>
      </w:r>
      <w:r w:rsidRPr="00511CD3">
        <w:t xml:space="preserve"> exhausted</w:t>
      </w:r>
      <w:r w:rsidR="00622055" w:rsidRPr="00511CD3">
        <w:t xml:space="preserve">. </w:t>
      </w:r>
    </w:p>
    <w:p w14:paraId="5E3D875E" w14:textId="77777777" w:rsidR="004A556A" w:rsidRPr="00511CD3" w:rsidRDefault="004A556A" w:rsidP="008429F6">
      <w:pPr>
        <w:pStyle w:val="ListParagraph"/>
        <w:numPr>
          <w:ilvl w:val="0"/>
          <w:numId w:val="0"/>
        </w:numPr>
      </w:pPr>
    </w:p>
    <w:p w14:paraId="797EFA16" w14:textId="77777777" w:rsidR="00271D55" w:rsidRPr="00511CD3" w:rsidRDefault="00C62A5D" w:rsidP="008429F6">
      <w:pPr>
        <w:pStyle w:val="ListParagraph"/>
        <w:ind w:left="0" w:firstLine="0"/>
      </w:pPr>
      <w:r w:rsidRPr="00511CD3">
        <w:t xml:space="preserve">Subsequently, in its document of additional observations on the merits, the State considered it appropriate not to make specific observations, awaiting the Commission’s analysis.  It took a similar position on the occasion of the hearing held during the IACHR’s </w:t>
      </w:r>
      <w:r w:rsidR="004A556A" w:rsidRPr="00511CD3">
        <w:t>181</w:t>
      </w:r>
      <w:r w:rsidRPr="00511CD3">
        <w:rPr>
          <w:vertAlign w:val="superscript"/>
        </w:rPr>
        <w:t>st</w:t>
      </w:r>
      <w:r w:rsidRPr="00511CD3">
        <w:t xml:space="preserve"> period of sessions</w:t>
      </w:r>
      <w:r w:rsidR="004A556A" w:rsidRPr="00511CD3">
        <w:t xml:space="preserve">. </w:t>
      </w:r>
      <w:r w:rsidRPr="00511CD3">
        <w:t>On that occasion, the representatives of the Argentine State also indicated the importance that the State attached to the right to identity.  They agreed with t</w:t>
      </w:r>
      <w:r w:rsidR="002E08A7" w:rsidRPr="00511CD3">
        <w:t>he petitioners</w:t>
      </w:r>
      <w:r w:rsidR="004A556A" w:rsidRPr="00511CD3">
        <w:t xml:space="preserve"> </w:t>
      </w:r>
      <w:r w:rsidRPr="00511CD3">
        <w:t xml:space="preserve">regarding the irregularities </w:t>
      </w:r>
      <w:r w:rsidR="00F44C1F" w:rsidRPr="00511CD3">
        <w:t>in</w:t>
      </w:r>
      <w:r w:rsidRPr="00511CD3">
        <w:t xml:space="preserve"> which </w:t>
      </w:r>
      <w:r w:rsidR="004A556A" w:rsidRPr="00511CD3">
        <w:t>“Mariano”</w:t>
      </w:r>
      <w:r w:rsidR="00B10F4D" w:rsidRPr="00511CD3">
        <w:t xml:space="preserve"> </w:t>
      </w:r>
      <w:r w:rsidR="00975BDF" w:rsidRPr="00511CD3">
        <w:t xml:space="preserve">had been </w:t>
      </w:r>
      <w:r w:rsidRPr="00511CD3">
        <w:t xml:space="preserve">given </w:t>
      </w:r>
      <w:r w:rsidR="0089606B" w:rsidRPr="00511CD3">
        <w:t>up</w:t>
      </w:r>
      <w:r w:rsidRPr="00511CD3">
        <w:t xml:space="preserve"> </w:t>
      </w:r>
      <w:r w:rsidR="00B10F4D" w:rsidRPr="00511CD3">
        <w:t xml:space="preserve">and </w:t>
      </w:r>
      <w:r w:rsidRPr="00511CD3">
        <w:t>in the judicial proc</w:t>
      </w:r>
      <w:r w:rsidR="00975BDF" w:rsidRPr="00511CD3">
        <w:t>eedings</w:t>
      </w:r>
      <w:r w:rsidRPr="00511CD3">
        <w:t xml:space="preserve">.  They discussed the </w:t>
      </w:r>
      <w:r w:rsidR="00975BDF" w:rsidRPr="00511CD3">
        <w:t>support</w:t>
      </w:r>
      <w:r w:rsidRPr="00511CD3">
        <w:t xml:space="preserve"> actions they ha</w:t>
      </w:r>
      <w:r w:rsidR="00975BDF" w:rsidRPr="00511CD3">
        <w:t>d</w:t>
      </w:r>
      <w:r w:rsidRPr="00511CD3">
        <w:t xml:space="preserve"> been </w:t>
      </w:r>
      <w:r w:rsidR="00975BDF" w:rsidRPr="00511CD3">
        <w:t xml:space="preserve">carrying out </w:t>
      </w:r>
      <w:r w:rsidRPr="00511CD3">
        <w:t xml:space="preserve">for </w:t>
      </w:r>
      <w:r w:rsidR="004A556A" w:rsidRPr="00511CD3">
        <w:t>“María</w:t>
      </w:r>
      <w:r w:rsidRPr="00511CD3">
        <w:t>,”</w:t>
      </w:r>
      <w:r w:rsidR="00B10F4D" w:rsidRPr="00511CD3">
        <w:t xml:space="preserve"> and </w:t>
      </w:r>
      <w:r w:rsidRPr="00511CD3">
        <w:t xml:space="preserve">urged </w:t>
      </w:r>
      <w:r w:rsidR="00B10F4D" w:rsidRPr="00511CD3">
        <w:t>the Commission</w:t>
      </w:r>
      <w:r w:rsidR="004A556A" w:rsidRPr="00511CD3">
        <w:t xml:space="preserve"> </w:t>
      </w:r>
      <w:r w:rsidRPr="00511CD3">
        <w:t>to issue a merits report as soon as possible.</w:t>
      </w:r>
      <w:r w:rsidR="004A556A" w:rsidRPr="00511CD3">
        <w:t xml:space="preserve"> </w:t>
      </w:r>
    </w:p>
    <w:p w14:paraId="174D0F23" w14:textId="77777777" w:rsidR="003364D9" w:rsidRPr="00511CD3" w:rsidRDefault="003364D9" w:rsidP="008429F6">
      <w:pPr>
        <w:tabs>
          <w:tab w:val="left" w:pos="567"/>
        </w:tabs>
        <w:jc w:val="both"/>
        <w:rPr>
          <w:rFonts w:ascii="Cambria" w:hAnsi="Cambria"/>
          <w:sz w:val="20"/>
          <w:szCs w:val="20"/>
        </w:rPr>
      </w:pPr>
    </w:p>
    <w:p w14:paraId="024A6FFC" w14:textId="77777777" w:rsidR="004A556A" w:rsidRPr="00511CD3" w:rsidRDefault="003364D9" w:rsidP="008429F6">
      <w:pPr>
        <w:pStyle w:val="Heading1"/>
        <w:ind w:left="0" w:firstLine="0"/>
      </w:pPr>
      <w:r w:rsidRPr="00511CD3">
        <w:t>ANAL</w:t>
      </w:r>
      <w:r w:rsidR="002E08A7" w:rsidRPr="00511CD3">
        <w:t>Y</w:t>
      </w:r>
      <w:r w:rsidRPr="00511CD3">
        <w:t xml:space="preserve">SIS </w:t>
      </w:r>
      <w:r w:rsidR="002E08A7" w:rsidRPr="00511CD3">
        <w:t>OF</w:t>
      </w:r>
      <w:r w:rsidRPr="00511CD3">
        <w:t xml:space="preserve"> </w:t>
      </w:r>
      <w:r w:rsidR="003F0D4C" w:rsidRPr="00511CD3">
        <w:t>COMPETENC</w:t>
      </w:r>
      <w:r w:rsidR="002E08A7" w:rsidRPr="00511CD3">
        <w:t>E AND</w:t>
      </w:r>
      <w:r w:rsidR="00B10F4D" w:rsidRPr="00511CD3">
        <w:t xml:space="preserve"> </w:t>
      </w:r>
      <w:r w:rsidRPr="00511CD3">
        <w:t>ADMIS</w:t>
      </w:r>
      <w:r w:rsidR="002E08A7" w:rsidRPr="00511CD3">
        <w:t>SIBILITY</w:t>
      </w:r>
      <w:r w:rsidRPr="00511CD3">
        <w:t xml:space="preserve"> </w:t>
      </w:r>
    </w:p>
    <w:p w14:paraId="7CB6C7D9" w14:textId="77777777" w:rsidR="004A556A" w:rsidRPr="00511CD3" w:rsidRDefault="004A556A" w:rsidP="008429F6"/>
    <w:p w14:paraId="0B1DBD9C" w14:textId="77777777" w:rsidR="003F0D4C" w:rsidRPr="00511CD3" w:rsidRDefault="003F0D4C" w:rsidP="008429F6">
      <w:pPr>
        <w:pStyle w:val="Heading2"/>
        <w:numPr>
          <w:ilvl w:val="0"/>
          <w:numId w:val="18"/>
        </w:numPr>
        <w:ind w:left="0" w:firstLine="0"/>
        <w:rPr>
          <w:lang w:val="en-US"/>
        </w:rPr>
      </w:pPr>
      <w:bookmarkStart w:id="3" w:name="_Toc26215773"/>
      <w:r w:rsidRPr="00511CD3">
        <w:rPr>
          <w:lang w:val="en-US"/>
        </w:rPr>
        <w:t>Competen</w:t>
      </w:r>
      <w:r w:rsidR="002E08A7" w:rsidRPr="00511CD3">
        <w:rPr>
          <w:lang w:val="en-US"/>
        </w:rPr>
        <w:t>ce, duplication of proceedings</w:t>
      </w:r>
      <w:r w:rsidR="00C62A5D" w:rsidRPr="00511CD3">
        <w:rPr>
          <w:lang w:val="en-US"/>
        </w:rPr>
        <w:t>,</w:t>
      </w:r>
      <w:r w:rsidR="002E08A7" w:rsidRPr="00511CD3">
        <w:rPr>
          <w:lang w:val="en-US"/>
        </w:rPr>
        <w:t xml:space="preserve"> and international </w:t>
      </w:r>
      <w:r w:rsidR="002E08A7" w:rsidRPr="00511CD3">
        <w:rPr>
          <w:i/>
          <w:lang w:val="en-US"/>
        </w:rPr>
        <w:t>res judicata</w:t>
      </w:r>
      <w:bookmarkEnd w:id="3"/>
      <w:r w:rsidRPr="00511CD3">
        <w:rPr>
          <w:lang w:val="en-US"/>
        </w:rPr>
        <w:t xml:space="preserve"> </w:t>
      </w:r>
    </w:p>
    <w:p w14:paraId="0EFFB1C3" w14:textId="77777777" w:rsidR="003F0D4C" w:rsidRPr="00511CD3" w:rsidRDefault="003F0D4C" w:rsidP="008429F6"/>
    <w:tbl>
      <w:tblPr>
        <w:tblW w:w="9446" w:type="dxa"/>
        <w:tblInd w:w="108" w:type="dxa"/>
        <w:tblLayout w:type="fixed"/>
        <w:tblLook w:val="0400" w:firstRow="0" w:lastRow="0" w:firstColumn="0" w:lastColumn="0" w:noHBand="0" w:noVBand="1"/>
      </w:tblPr>
      <w:tblGrid>
        <w:gridCol w:w="4723"/>
        <w:gridCol w:w="4723"/>
      </w:tblGrid>
      <w:tr w:rsidR="003F0D4C" w:rsidRPr="00511CD3" w14:paraId="25F3FE87" w14:textId="77777777" w:rsidTr="004449E8">
        <w:trPr>
          <w:trHeight w:val="280"/>
        </w:trPr>
        <w:tc>
          <w:tcPr>
            <w:tcW w:w="4723" w:type="dxa"/>
            <w:tcBorders>
              <w:top w:val="single" w:sz="8" w:space="0" w:color="000000"/>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02534023" w14:textId="77777777" w:rsidR="003F0D4C" w:rsidRPr="00511CD3" w:rsidRDefault="003F0D4C" w:rsidP="008429F6">
            <w:pPr>
              <w:jc w:val="center"/>
              <w:rPr>
                <w:rFonts w:ascii="Cambria" w:eastAsia="Cambria" w:hAnsi="Cambria" w:cs="Cambria"/>
                <w:i/>
                <w:color w:val="FFFFFF"/>
                <w:sz w:val="20"/>
                <w:szCs w:val="20"/>
              </w:rPr>
            </w:pPr>
            <w:r w:rsidRPr="00511CD3">
              <w:rPr>
                <w:rFonts w:ascii="Cambria" w:eastAsia="Cambria" w:hAnsi="Cambria" w:cs="Cambria"/>
                <w:color w:val="FFFFFF"/>
                <w:sz w:val="20"/>
                <w:szCs w:val="20"/>
              </w:rPr>
              <w:lastRenderedPageBreak/>
              <w:t>Competenc</w:t>
            </w:r>
            <w:r w:rsidR="008B3DA5" w:rsidRPr="00511CD3">
              <w:rPr>
                <w:rFonts w:ascii="Cambria" w:eastAsia="Cambria" w:hAnsi="Cambria" w:cs="Cambria"/>
                <w:color w:val="FFFFFF"/>
                <w:sz w:val="20"/>
                <w:szCs w:val="20"/>
              </w:rPr>
              <w:t>e</w:t>
            </w:r>
            <w:r w:rsidRPr="00511CD3">
              <w:rPr>
                <w:rFonts w:ascii="Cambria" w:eastAsia="Cambria" w:hAnsi="Cambria" w:cs="Cambria"/>
                <w:i/>
                <w:color w:val="FFFFFF"/>
                <w:sz w:val="20"/>
                <w:szCs w:val="20"/>
              </w:rPr>
              <w:t xml:space="preserve"> </w:t>
            </w:r>
            <w:r w:rsidR="002E08A7" w:rsidRPr="00511CD3">
              <w:rPr>
                <w:rFonts w:ascii="Cambria" w:eastAsia="Cambria" w:hAnsi="Cambria" w:cs="Cambria"/>
                <w:i/>
                <w:color w:val="FFFFFF"/>
                <w:sz w:val="20"/>
                <w:szCs w:val="20"/>
              </w:rPr>
              <w:t>r</w:t>
            </w:r>
            <w:r w:rsidRPr="00511CD3">
              <w:rPr>
                <w:rFonts w:ascii="Cambria" w:eastAsia="Cambria" w:hAnsi="Cambria" w:cs="Cambria"/>
                <w:i/>
                <w:color w:val="FFFFFF"/>
                <w:sz w:val="20"/>
                <w:szCs w:val="20"/>
              </w:rPr>
              <w:t>atione personae:</w:t>
            </w:r>
          </w:p>
        </w:tc>
        <w:tc>
          <w:tcPr>
            <w:tcW w:w="47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ED03E54" w14:textId="77777777" w:rsidR="003F0D4C" w:rsidRPr="00511CD3" w:rsidRDefault="008B3DA5" w:rsidP="008429F6">
            <w:pPr>
              <w:rPr>
                <w:rFonts w:ascii="Cambria" w:eastAsia="Cambria" w:hAnsi="Cambria" w:cs="Cambria"/>
                <w:sz w:val="20"/>
                <w:szCs w:val="20"/>
              </w:rPr>
            </w:pPr>
            <w:r w:rsidRPr="00511CD3">
              <w:rPr>
                <w:rFonts w:ascii="Cambria" w:eastAsia="Cambria" w:hAnsi="Cambria" w:cs="Cambria"/>
                <w:sz w:val="20"/>
                <w:szCs w:val="20"/>
              </w:rPr>
              <w:t>Yes</w:t>
            </w:r>
          </w:p>
        </w:tc>
      </w:tr>
      <w:tr w:rsidR="003F0D4C" w:rsidRPr="00511CD3" w14:paraId="235845EA" w14:textId="77777777" w:rsidTr="004449E8">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1C783BA4" w14:textId="77777777" w:rsidR="003F0D4C" w:rsidRPr="00511CD3" w:rsidRDefault="003F0D4C" w:rsidP="008429F6">
            <w:pPr>
              <w:jc w:val="center"/>
              <w:rPr>
                <w:rFonts w:ascii="Cambria" w:eastAsia="Cambria" w:hAnsi="Cambria" w:cs="Cambria"/>
                <w:color w:val="FFFFFF"/>
                <w:sz w:val="20"/>
                <w:szCs w:val="20"/>
              </w:rPr>
            </w:pPr>
            <w:r w:rsidRPr="00511CD3">
              <w:rPr>
                <w:rFonts w:ascii="Cambria" w:eastAsia="Cambria" w:hAnsi="Cambria" w:cs="Cambria"/>
                <w:color w:val="FFFFFF"/>
                <w:sz w:val="20"/>
                <w:szCs w:val="20"/>
              </w:rPr>
              <w:t>Competenc</w:t>
            </w:r>
            <w:r w:rsidR="008B3DA5" w:rsidRPr="00511CD3">
              <w:rPr>
                <w:rFonts w:ascii="Cambria" w:eastAsia="Cambria" w:hAnsi="Cambria" w:cs="Cambria"/>
                <w:color w:val="FFFFFF"/>
                <w:sz w:val="20"/>
                <w:szCs w:val="20"/>
              </w:rPr>
              <w:t>e</w:t>
            </w:r>
            <w:r w:rsidRPr="00511CD3">
              <w:rPr>
                <w:rFonts w:ascii="Cambria" w:eastAsia="Cambria" w:hAnsi="Cambria" w:cs="Cambria"/>
                <w:i/>
                <w:color w:val="FFFFFF"/>
                <w:sz w:val="20"/>
                <w:szCs w:val="20"/>
              </w:rPr>
              <w:t xml:space="preserve"> </w:t>
            </w:r>
            <w:r w:rsidR="002E08A7" w:rsidRPr="00511CD3">
              <w:rPr>
                <w:rFonts w:ascii="Cambria" w:eastAsia="Cambria" w:hAnsi="Cambria" w:cs="Cambria"/>
                <w:i/>
                <w:color w:val="FFFFFF"/>
                <w:sz w:val="20"/>
                <w:szCs w:val="20"/>
              </w:rPr>
              <w:t>r</w:t>
            </w:r>
            <w:r w:rsidRPr="00511CD3">
              <w:rPr>
                <w:rFonts w:ascii="Cambria" w:eastAsia="Cambria" w:hAnsi="Cambria" w:cs="Cambria"/>
                <w:i/>
                <w:color w:val="FFFFFF"/>
                <w:sz w:val="20"/>
                <w:szCs w:val="20"/>
              </w:rPr>
              <w:t>atione loci</w:t>
            </w:r>
            <w:r w:rsidRPr="00511CD3">
              <w:rPr>
                <w:rFonts w:ascii="Cambria" w:eastAsia="Cambria" w:hAnsi="Cambria" w:cs="Cambria"/>
                <w:color w:val="FFFFFF"/>
                <w:sz w:val="20"/>
                <w:szCs w:val="20"/>
              </w:rPr>
              <w:t>:</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94B7B4" w14:textId="77777777" w:rsidR="003F0D4C" w:rsidRPr="00511CD3" w:rsidRDefault="008B3DA5" w:rsidP="008429F6">
            <w:pPr>
              <w:rPr>
                <w:rFonts w:ascii="Cambria" w:eastAsia="Cambria" w:hAnsi="Cambria" w:cs="Cambria"/>
                <w:sz w:val="20"/>
                <w:szCs w:val="20"/>
              </w:rPr>
            </w:pPr>
            <w:r w:rsidRPr="00511CD3">
              <w:rPr>
                <w:rFonts w:ascii="Cambria" w:eastAsia="Cambria" w:hAnsi="Cambria" w:cs="Cambria"/>
                <w:sz w:val="20"/>
                <w:szCs w:val="20"/>
              </w:rPr>
              <w:t>Yes</w:t>
            </w:r>
          </w:p>
        </w:tc>
      </w:tr>
      <w:tr w:rsidR="003F0D4C" w:rsidRPr="00511CD3" w14:paraId="548F143F" w14:textId="77777777" w:rsidTr="004449E8">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0C7EED77" w14:textId="77777777" w:rsidR="003F0D4C" w:rsidRPr="00511CD3" w:rsidRDefault="003F0D4C" w:rsidP="008429F6">
            <w:pPr>
              <w:jc w:val="center"/>
              <w:rPr>
                <w:rFonts w:ascii="Cambria" w:eastAsia="Cambria" w:hAnsi="Cambria" w:cs="Cambria"/>
                <w:color w:val="FFFFFF"/>
                <w:sz w:val="20"/>
                <w:szCs w:val="20"/>
              </w:rPr>
            </w:pPr>
            <w:r w:rsidRPr="00511CD3">
              <w:rPr>
                <w:rFonts w:ascii="Cambria" w:eastAsia="Cambria" w:hAnsi="Cambria" w:cs="Cambria"/>
                <w:color w:val="FFFFFF"/>
                <w:sz w:val="20"/>
                <w:szCs w:val="20"/>
              </w:rPr>
              <w:t>Competenc</w:t>
            </w:r>
            <w:r w:rsidR="008B3DA5" w:rsidRPr="00511CD3">
              <w:rPr>
                <w:rFonts w:ascii="Cambria" w:eastAsia="Cambria" w:hAnsi="Cambria" w:cs="Cambria"/>
                <w:color w:val="FFFFFF"/>
                <w:sz w:val="20"/>
                <w:szCs w:val="20"/>
              </w:rPr>
              <w:t>e</w:t>
            </w:r>
            <w:r w:rsidRPr="00511CD3">
              <w:rPr>
                <w:rFonts w:ascii="Cambria" w:eastAsia="Cambria" w:hAnsi="Cambria" w:cs="Cambria"/>
                <w:i/>
                <w:color w:val="FFFFFF"/>
                <w:sz w:val="20"/>
                <w:szCs w:val="20"/>
              </w:rPr>
              <w:t xml:space="preserve"> </w:t>
            </w:r>
            <w:r w:rsidR="002E08A7" w:rsidRPr="00511CD3">
              <w:rPr>
                <w:rFonts w:ascii="Cambria" w:eastAsia="Cambria" w:hAnsi="Cambria" w:cs="Cambria"/>
                <w:i/>
                <w:color w:val="FFFFFF"/>
                <w:sz w:val="20"/>
                <w:szCs w:val="20"/>
              </w:rPr>
              <w:t>r</w:t>
            </w:r>
            <w:r w:rsidRPr="00511CD3">
              <w:rPr>
                <w:rFonts w:ascii="Cambria" w:eastAsia="Cambria" w:hAnsi="Cambria" w:cs="Cambria"/>
                <w:i/>
                <w:color w:val="FFFFFF"/>
                <w:sz w:val="20"/>
                <w:szCs w:val="20"/>
              </w:rPr>
              <w:t>atione temporis</w:t>
            </w:r>
            <w:r w:rsidRPr="00511CD3">
              <w:rPr>
                <w:rFonts w:ascii="Cambria" w:eastAsia="Cambria" w:hAnsi="Cambria" w:cs="Cambria"/>
                <w:color w:val="FFFFFF"/>
                <w:sz w:val="20"/>
                <w:szCs w:val="20"/>
              </w:rPr>
              <w:t>:</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689E55" w14:textId="77777777" w:rsidR="003F0D4C" w:rsidRPr="00511CD3" w:rsidRDefault="008B3DA5" w:rsidP="008429F6">
            <w:pPr>
              <w:rPr>
                <w:rFonts w:ascii="Cambria" w:eastAsia="Cambria" w:hAnsi="Cambria" w:cs="Cambria"/>
                <w:sz w:val="20"/>
                <w:szCs w:val="20"/>
              </w:rPr>
            </w:pPr>
            <w:r w:rsidRPr="00511CD3">
              <w:rPr>
                <w:rFonts w:ascii="Cambria" w:eastAsia="Cambria" w:hAnsi="Cambria" w:cs="Cambria"/>
                <w:sz w:val="20"/>
                <w:szCs w:val="20"/>
              </w:rPr>
              <w:t>Yes</w:t>
            </w:r>
          </w:p>
        </w:tc>
      </w:tr>
      <w:tr w:rsidR="003F0D4C" w:rsidRPr="00511CD3" w14:paraId="085322FD" w14:textId="77777777" w:rsidTr="004449E8">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100887FC" w14:textId="77777777" w:rsidR="003F0D4C" w:rsidRPr="00511CD3" w:rsidRDefault="003F0D4C" w:rsidP="008429F6">
            <w:pPr>
              <w:jc w:val="center"/>
              <w:rPr>
                <w:rFonts w:ascii="Cambria" w:eastAsia="Cambria" w:hAnsi="Cambria" w:cs="Cambria"/>
                <w:color w:val="FFFFFF"/>
                <w:sz w:val="20"/>
                <w:szCs w:val="20"/>
              </w:rPr>
            </w:pPr>
            <w:r w:rsidRPr="00511CD3">
              <w:rPr>
                <w:rFonts w:ascii="Cambria" w:eastAsia="Cambria" w:hAnsi="Cambria" w:cs="Cambria"/>
                <w:color w:val="FFFFFF"/>
                <w:sz w:val="20"/>
                <w:szCs w:val="20"/>
              </w:rPr>
              <w:t>Competenc</w:t>
            </w:r>
            <w:r w:rsidR="008B3DA5" w:rsidRPr="00511CD3">
              <w:rPr>
                <w:rFonts w:ascii="Cambria" w:eastAsia="Cambria" w:hAnsi="Cambria" w:cs="Cambria"/>
                <w:color w:val="FFFFFF"/>
                <w:sz w:val="20"/>
                <w:szCs w:val="20"/>
              </w:rPr>
              <w:t>e</w:t>
            </w:r>
            <w:r w:rsidRPr="00511CD3">
              <w:rPr>
                <w:rFonts w:ascii="Cambria" w:eastAsia="Cambria" w:hAnsi="Cambria" w:cs="Cambria"/>
                <w:i/>
                <w:color w:val="FFFFFF"/>
                <w:sz w:val="20"/>
                <w:szCs w:val="20"/>
              </w:rPr>
              <w:t xml:space="preserve"> </w:t>
            </w:r>
            <w:r w:rsidR="002E08A7" w:rsidRPr="00511CD3">
              <w:rPr>
                <w:rFonts w:ascii="Cambria" w:eastAsia="Cambria" w:hAnsi="Cambria" w:cs="Cambria"/>
                <w:i/>
                <w:color w:val="FFFFFF"/>
                <w:sz w:val="20"/>
                <w:szCs w:val="20"/>
              </w:rPr>
              <w:t>r</w:t>
            </w:r>
            <w:r w:rsidRPr="00511CD3">
              <w:rPr>
                <w:rFonts w:ascii="Cambria" w:eastAsia="Cambria" w:hAnsi="Cambria" w:cs="Cambria"/>
                <w:i/>
                <w:color w:val="FFFFFF"/>
                <w:sz w:val="20"/>
                <w:szCs w:val="20"/>
              </w:rPr>
              <w:t>atione materiae</w:t>
            </w:r>
            <w:r w:rsidRPr="00511CD3">
              <w:rPr>
                <w:rFonts w:ascii="Cambria" w:eastAsia="Cambria" w:hAnsi="Cambria" w:cs="Cambria"/>
                <w:color w:val="FFFFFF"/>
                <w:sz w:val="20"/>
                <w:szCs w:val="20"/>
              </w:rPr>
              <w:t>:</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25592E2" w14:textId="77777777" w:rsidR="003F0D4C" w:rsidRPr="00511CD3" w:rsidRDefault="008B3DA5" w:rsidP="008429F6">
            <w:pPr>
              <w:rPr>
                <w:rFonts w:ascii="Cambria" w:hAnsi="Cambria"/>
                <w:sz w:val="20"/>
                <w:szCs w:val="20"/>
              </w:rPr>
            </w:pPr>
            <w:r w:rsidRPr="00511CD3">
              <w:rPr>
                <w:rFonts w:ascii="Cambria" w:eastAsia="Cambria" w:hAnsi="Cambria" w:cs="Cambria"/>
                <w:sz w:val="20"/>
                <w:szCs w:val="20"/>
              </w:rPr>
              <w:t xml:space="preserve">Yes.  American Convention on Human Rights </w:t>
            </w:r>
            <w:r w:rsidR="003F0D4C" w:rsidRPr="00511CD3">
              <w:rPr>
                <w:rFonts w:ascii="Cambria" w:hAnsi="Cambria"/>
                <w:sz w:val="20"/>
                <w:szCs w:val="20"/>
              </w:rPr>
              <w:t>(</w:t>
            </w:r>
            <w:r w:rsidRPr="00511CD3">
              <w:rPr>
                <w:rFonts w:ascii="Cambria" w:hAnsi="Cambria"/>
                <w:sz w:val="20"/>
                <w:szCs w:val="20"/>
              </w:rPr>
              <w:t xml:space="preserve">instrument of ratification deposited on </w:t>
            </w:r>
            <w:r w:rsidR="00B10F4D" w:rsidRPr="00511CD3">
              <w:rPr>
                <w:rFonts w:ascii="Cambria" w:hAnsi="Cambria"/>
                <w:sz w:val="20"/>
                <w:szCs w:val="20"/>
              </w:rPr>
              <w:t>September</w:t>
            </w:r>
            <w:r w:rsidR="003F0D4C" w:rsidRPr="00511CD3">
              <w:rPr>
                <w:rFonts w:ascii="Cambria" w:hAnsi="Cambria"/>
                <w:sz w:val="20"/>
                <w:szCs w:val="20"/>
              </w:rPr>
              <w:t xml:space="preserve"> </w:t>
            </w:r>
            <w:r w:rsidRPr="00511CD3">
              <w:rPr>
                <w:rFonts w:ascii="Cambria" w:hAnsi="Cambria"/>
                <w:sz w:val="20"/>
                <w:szCs w:val="20"/>
              </w:rPr>
              <w:t xml:space="preserve">5, </w:t>
            </w:r>
            <w:r w:rsidR="003F0D4C" w:rsidRPr="00511CD3">
              <w:rPr>
                <w:rFonts w:ascii="Cambria" w:hAnsi="Cambria"/>
                <w:sz w:val="20"/>
                <w:szCs w:val="20"/>
              </w:rPr>
              <w:t>1984)</w:t>
            </w:r>
          </w:p>
          <w:p w14:paraId="17F0B4C2" w14:textId="77777777" w:rsidR="003F0D4C" w:rsidRPr="00511CD3" w:rsidRDefault="003F0D4C" w:rsidP="008429F6">
            <w:pPr>
              <w:jc w:val="both"/>
              <w:rPr>
                <w:rFonts w:ascii="Cambria" w:eastAsia="Cambria" w:hAnsi="Cambria" w:cs="Cambria"/>
                <w:sz w:val="20"/>
                <w:szCs w:val="20"/>
              </w:rPr>
            </w:pPr>
          </w:p>
        </w:tc>
      </w:tr>
      <w:tr w:rsidR="003F0D4C" w:rsidRPr="00511CD3" w14:paraId="122C7D96" w14:textId="77777777" w:rsidTr="004449E8">
        <w:trPr>
          <w:trHeight w:val="5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7871F356" w14:textId="77777777" w:rsidR="00540394" w:rsidRPr="00511CD3" w:rsidRDefault="003F0D4C" w:rsidP="008429F6">
            <w:pPr>
              <w:jc w:val="center"/>
              <w:rPr>
                <w:rFonts w:ascii="Cambria" w:eastAsia="Cambria" w:hAnsi="Cambria" w:cs="Cambria"/>
                <w:color w:val="FFFFFF"/>
                <w:sz w:val="20"/>
                <w:szCs w:val="20"/>
              </w:rPr>
            </w:pPr>
            <w:r w:rsidRPr="00511CD3">
              <w:rPr>
                <w:rFonts w:ascii="Cambria" w:eastAsia="Cambria" w:hAnsi="Cambria" w:cs="Cambria"/>
                <w:color w:val="FFFFFF"/>
                <w:sz w:val="20"/>
                <w:szCs w:val="20"/>
              </w:rPr>
              <w:t>Dup</w:t>
            </w:r>
            <w:r w:rsidR="008B3DA5" w:rsidRPr="00511CD3">
              <w:rPr>
                <w:rFonts w:ascii="Cambria" w:eastAsia="Cambria" w:hAnsi="Cambria" w:cs="Cambria"/>
                <w:color w:val="FFFFFF"/>
                <w:sz w:val="20"/>
                <w:szCs w:val="20"/>
              </w:rPr>
              <w:t>lication of proce</w:t>
            </w:r>
            <w:r w:rsidR="002E08A7" w:rsidRPr="00511CD3">
              <w:rPr>
                <w:rFonts w:ascii="Cambria" w:eastAsia="Cambria" w:hAnsi="Cambria" w:cs="Cambria"/>
                <w:color w:val="FFFFFF"/>
                <w:sz w:val="20"/>
                <w:szCs w:val="20"/>
              </w:rPr>
              <w:t xml:space="preserve">edings </w:t>
            </w:r>
            <w:r w:rsidR="008B3DA5" w:rsidRPr="00511CD3">
              <w:rPr>
                <w:rFonts w:ascii="Cambria" w:eastAsia="Cambria" w:hAnsi="Cambria" w:cs="Cambria"/>
                <w:color w:val="FFFFFF"/>
                <w:sz w:val="20"/>
                <w:szCs w:val="20"/>
              </w:rPr>
              <w:t xml:space="preserve">and </w:t>
            </w:r>
          </w:p>
          <w:p w14:paraId="4691299F" w14:textId="77777777" w:rsidR="003F0D4C" w:rsidRPr="00511CD3" w:rsidRDefault="008B3DA5" w:rsidP="008429F6">
            <w:pPr>
              <w:jc w:val="center"/>
              <w:rPr>
                <w:rFonts w:ascii="Cambria" w:eastAsia="Cambria" w:hAnsi="Cambria" w:cs="Cambria"/>
                <w:color w:val="FFFFFF"/>
                <w:sz w:val="20"/>
                <w:szCs w:val="20"/>
              </w:rPr>
            </w:pPr>
            <w:r w:rsidRPr="00511CD3">
              <w:rPr>
                <w:rFonts w:ascii="Cambria" w:eastAsia="Cambria" w:hAnsi="Cambria" w:cs="Cambria"/>
                <w:color w:val="FFFFFF"/>
                <w:sz w:val="20"/>
                <w:szCs w:val="20"/>
              </w:rPr>
              <w:t xml:space="preserve">international </w:t>
            </w:r>
            <w:r w:rsidRPr="00511CD3">
              <w:rPr>
                <w:rFonts w:ascii="Cambria" w:eastAsia="Cambria" w:hAnsi="Cambria" w:cs="Cambria"/>
                <w:i/>
                <w:color w:val="FFFFFF"/>
                <w:sz w:val="20"/>
                <w:szCs w:val="20"/>
              </w:rPr>
              <w:t>res judicata</w:t>
            </w:r>
            <w:r w:rsidR="003F0D4C" w:rsidRPr="00511CD3">
              <w:rPr>
                <w:rFonts w:ascii="Cambria" w:eastAsia="Cambria" w:hAnsi="Cambria" w:cs="Cambria"/>
                <w:i/>
                <w:color w:val="FFFFFF"/>
                <w:sz w:val="20"/>
                <w:szCs w:val="20"/>
              </w:rPr>
              <w:t>:</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F68A82" w14:textId="77777777" w:rsidR="003F0D4C" w:rsidRPr="00511CD3" w:rsidRDefault="003F0D4C" w:rsidP="008429F6">
            <w:pPr>
              <w:jc w:val="both"/>
              <w:rPr>
                <w:rFonts w:ascii="Cambria" w:eastAsia="Cambria" w:hAnsi="Cambria" w:cs="Cambria"/>
                <w:sz w:val="20"/>
                <w:szCs w:val="20"/>
              </w:rPr>
            </w:pPr>
            <w:r w:rsidRPr="00511CD3">
              <w:rPr>
                <w:rFonts w:ascii="Cambria" w:eastAsia="Cambria" w:hAnsi="Cambria" w:cs="Cambria"/>
                <w:sz w:val="20"/>
                <w:szCs w:val="20"/>
              </w:rPr>
              <w:t>No</w:t>
            </w:r>
          </w:p>
        </w:tc>
      </w:tr>
    </w:tbl>
    <w:p w14:paraId="4FDAAD98" w14:textId="77777777" w:rsidR="003F0D4C" w:rsidRPr="00511CD3" w:rsidRDefault="003F0D4C" w:rsidP="008429F6">
      <w:pPr>
        <w:spacing w:after="160" w:line="259" w:lineRule="auto"/>
        <w:jc w:val="both"/>
        <w:rPr>
          <w:rFonts w:ascii="Cambria" w:eastAsia="Calibri" w:hAnsi="Cambria"/>
          <w:sz w:val="20"/>
          <w:szCs w:val="20"/>
        </w:rPr>
      </w:pPr>
    </w:p>
    <w:p w14:paraId="134292B6" w14:textId="77777777" w:rsidR="003F0D4C" w:rsidRPr="00511CD3" w:rsidRDefault="002E08A7" w:rsidP="008429F6">
      <w:pPr>
        <w:pStyle w:val="Heading2"/>
        <w:numPr>
          <w:ilvl w:val="0"/>
          <w:numId w:val="18"/>
        </w:numPr>
        <w:ind w:left="0" w:firstLine="0"/>
        <w:rPr>
          <w:lang w:val="en-US"/>
        </w:rPr>
      </w:pPr>
      <w:bookmarkStart w:id="4" w:name="_Toc26215774"/>
      <w:r w:rsidRPr="00511CD3">
        <w:rPr>
          <w:lang w:val="en-US"/>
        </w:rPr>
        <w:t xml:space="preserve">Exhaustion of domestic remedies and </w:t>
      </w:r>
      <w:r w:rsidR="003F0D4C" w:rsidRPr="00511CD3">
        <w:rPr>
          <w:lang w:val="en-US"/>
        </w:rPr>
        <w:t>p</w:t>
      </w:r>
      <w:r w:rsidR="00846357" w:rsidRPr="00511CD3">
        <w:rPr>
          <w:lang w:val="en-US"/>
        </w:rPr>
        <w:t>eriod for filing</w:t>
      </w:r>
      <w:bookmarkEnd w:id="4"/>
    </w:p>
    <w:p w14:paraId="7C031892" w14:textId="77777777" w:rsidR="004A556A" w:rsidRPr="00511CD3" w:rsidRDefault="004A556A" w:rsidP="008429F6">
      <w:pPr>
        <w:pStyle w:val="ListParagraph"/>
        <w:numPr>
          <w:ilvl w:val="0"/>
          <w:numId w:val="0"/>
        </w:numPr>
      </w:pPr>
    </w:p>
    <w:p w14:paraId="1DD28BAF" w14:textId="77777777" w:rsidR="003F0D4C" w:rsidRPr="00511CD3" w:rsidRDefault="004A556A" w:rsidP="008429F6">
      <w:pPr>
        <w:pStyle w:val="ListParagraph"/>
        <w:ind w:left="0" w:firstLine="0"/>
      </w:pPr>
      <w:r w:rsidRPr="00511CD3">
        <w:t xml:space="preserve"> </w:t>
      </w:r>
      <w:r w:rsidR="009C5285" w:rsidRPr="00511CD3">
        <w:t>Firstly</w:t>
      </w:r>
      <w:r w:rsidRPr="00511CD3">
        <w:t xml:space="preserve">, </w:t>
      </w:r>
      <w:r w:rsidR="00B10F4D" w:rsidRPr="00511CD3">
        <w:t>the Commission</w:t>
      </w:r>
      <w:r w:rsidRPr="00511CD3">
        <w:t xml:space="preserve"> </w:t>
      </w:r>
      <w:r w:rsidR="009C5285" w:rsidRPr="00511CD3">
        <w:t>emphasized that the Argentine State</w:t>
      </w:r>
      <w:r w:rsidRPr="00511CD3">
        <w:t xml:space="preserve">, </w:t>
      </w:r>
      <w:r w:rsidR="009C5285" w:rsidRPr="00511CD3">
        <w:t>by communication of August</w:t>
      </w:r>
      <w:r w:rsidRPr="00511CD3">
        <w:t xml:space="preserve"> 19</w:t>
      </w:r>
      <w:r w:rsidR="009C5285" w:rsidRPr="00511CD3">
        <w:t>,</w:t>
      </w:r>
      <w:r w:rsidRPr="00511CD3">
        <w:t xml:space="preserve"> 2020</w:t>
      </w:r>
      <w:r w:rsidR="009C5285" w:rsidRPr="00511CD3">
        <w:t xml:space="preserve">, </w:t>
      </w:r>
      <w:r w:rsidR="00B10F4D" w:rsidRPr="00511CD3">
        <w:t xml:space="preserve">and </w:t>
      </w:r>
      <w:r w:rsidR="009C5285" w:rsidRPr="00511CD3">
        <w:t xml:space="preserve">on the occasion of forwarding </w:t>
      </w:r>
      <w:r w:rsidR="00975BDF" w:rsidRPr="00511CD3">
        <w:t>its</w:t>
      </w:r>
      <w:r w:rsidR="009C5285" w:rsidRPr="00511CD3">
        <w:t xml:space="preserve"> reply to the opening of the petition for processing, indicated that </w:t>
      </w:r>
      <w:r w:rsidRPr="00511CD3">
        <w:t>“</w:t>
      </w:r>
      <w:r w:rsidR="00975BDF" w:rsidRPr="00511CD3">
        <w:t xml:space="preserve">it has no </w:t>
      </w:r>
      <w:r w:rsidR="009C5285" w:rsidRPr="00511CD3">
        <w:t xml:space="preserve">objections to make regarding the petition’s formal admissibility in the terms </w:t>
      </w:r>
      <w:r w:rsidR="0089606B" w:rsidRPr="00511CD3">
        <w:t>contained</w:t>
      </w:r>
      <w:r w:rsidR="009C5285" w:rsidRPr="00511CD3">
        <w:t xml:space="preserve"> in the American Convention on Human Rights, it therefore corresponding to that distinguished Commission to move forward with </w:t>
      </w:r>
      <w:r w:rsidR="00975BDF" w:rsidRPr="00511CD3">
        <w:t>its</w:t>
      </w:r>
      <w:r w:rsidR="009C5285" w:rsidRPr="00511CD3">
        <w:t xml:space="preserve"> analysis of the legal merits of the substance of the matter.”</w:t>
      </w:r>
    </w:p>
    <w:p w14:paraId="314568C1" w14:textId="77777777" w:rsidR="00301E8F" w:rsidRPr="00511CD3" w:rsidRDefault="00301E8F" w:rsidP="008429F6">
      <w:pPr>
        <w:pStyle w:val="ListParagraph"/>
        <w:numPr>
          <w:ilvl w:val="0"/>
          <w:numId w:val="0"/>
        </w:numPr>
      </w:pPr>
    </w:p>
    <w:p w14:paraId="4ED08616" w14:textId="77777777" w:rsidR="00301E8F" w:rsidRPr="00511CD3" w:rsidRDefault="009C5285" w:rsidP="008429F6">
      <w:pPr>
        <w:pStyle w:val="ListParagraph"/>
        <w:ind w:left="0" w:firstLine="0"/>
      </w:pPr>
      <w:r w:rsidRPr="00511CD3">
        <w:t>On various occasions, t</w:t>
      </w:r>
      <w:r w:rsidR="00B10F4D" w:rsidRPr="00511CD3">
        <w:t>he Commission</w:t>
      </w:r>
      <w:r w:rsidR="00301E8F" w:rsidRPr="00511CD3">
        <w:t xml:space="preserve"> </w:t>
      </w:r>
      <w:r w:rsidRPr="00511CD3">
        <w:t xml:space="preserve">has held that, as </w:t>
      </w:r>
      <w:r w:rsidR="00B61B8B" w:rsidRPr="00511CD3">
        <w:t xml:space="preserve">may </w:t>
      </w:r>
      <w:r w:rsidRPr="00511CD3">
        <w:t xml:space="preserve">be inferred from the principles of international law, States may expressly or </w:t>
      </w:r>
      <w:r w:rsidR="00170FFA" w:rsidRPr="00511CD3">
        <w:t>tacitly</w:t>
      </w:r>
      <w:r w:rsidRPr="00511CD3">
        <w:t xml:space="preserve"> renounce the </w:t>
      </w:r>
      <w:r w:rsidR="000435AB" w:rsidRPr="00511CD3">
        <w:t>invocation of the</w:t>
      </w:r>
      <w:r w:rsidR="00170FFA" w:rsidRPr="00511CD3">
        <w:t xml:space="preserve"> lack of exhaustion of </w:t>
      </w:r>
      <w:r w:rsidR="000435AB" w:rsidRPr="00511CD3">
        <w:t>domestic remedies.</w:t>
      </w:r>
      <w:r w:rsidR="009837D9" w:rsidRPr="00511CD3">
        <w:rPr>
          <w:rStyle w:val="FootnoteReference"/>
          <w:rFonts w:eastAsia="Calibri"/>
        </w:rPr>
        <w:footnoteReference w:id="3"/>
      </w:r>
      <w:r w:rsidR="009837D9" w:rsidRPr="00511CD3">
        <w:t xml:space="preserve"> </w:t>
      </w:r>
      <w:r w:rsidR="00170FFA" w:rsidRPr="00511CD3">
        <w:t xml:space="preserve">Based on the </w:t>
      </w:r>
      <w:r w:rsidR="0089606B" w:rsidRPr="00511CD3">
        <w:t>language</w:t>
      </w:r>
      <w:r w:rsidR="00170FFA" w:rsidRPr="00511CD3">
        <w:t xml:space="preserve"> used in its document of additional observations on the merits and from the statements of the representatives at the public hearing held during the </w:t>
      </w:r>
      <w:r w:rsidR="009837D9" w:rsidRPr="00511CD3">
        <w:t>181</w:t>
      </w:r>
      <w:r w:rsidR="00170FFA" w:rsidRPr="00511CD3">
        <w:rPr>
          <w:vertAlign w:val="superscript"/>
        </w:rPr>
        <w:t>st</w:t>
      </w:r>
      <w:r w:rsidR="00170FFA" w:rsidRPr="00511CD3">
        <w:t xml:space="preserve"> period of sessions</w:t>
      </w:r>
      <w:r w:rsidR="009837D9" w:rsidRPr="00511CD3">
        <w:t xml:space="preserve">, </w:t>
      </w:r>
      <w:r w:rsidR="00B10F4D" w:rsidRPr="00511CD3">
        <w:t>the Commission</w:t>
      </w:r>
      <w:r w:rsidR="009837D9" w:rsidRPr="00511CD3">
        <w:t xml:space="preserve"> </w:t>
      </w:r>
      <w:r w:rsidR="00170FFA" w:rsidRPr="00511CD3">
        <w:t>understands that the Ar</w:t>
      </w:r>
      <w:r w:rsidRPr="00511CD3">
        <w:t>gentine State</w:t>
      </w:r>
      <w:r w:rsidR="009837D9" w:rsidRPr="00511CD3">
        <w:t xml:space="preserve"> </w:t>
      </w:r>
      <w:r w:rsidR="00750279" w:rsidRPr="00511CD3">
        <w:t>ha</w:t>
      </w:r>
      <w:r w:rsidR="00170FFA" w:rsidRPr="00511CD3">
        <w:t xml:space="preserve">s renounced its right to challenge the admissibility of the case, including the requirement of prior exhaustion of domestic remedies provided for in Article </w:t>
      </w:r>
      <w:r w:rsidR="009837D9" w:rsidRPr="00511CD3">
        <w:t xml:space="preserve">46.1.a </w:t>
      </w:r>
      <w:r w:rsidR="00170FFA" w:rsidRPr="00511CD3">
        <w:t xml:space="preserve">of the American Convention and the period for </w:t>
      </w:r>
      <w:r w:rsidR="00C35EF1" w:rsidRPr="00511CD3">
        <w:t>filing</w:t>
      </w:r>
      <w:r w:rsidR="00170FFA" w:rsidRPr="00511CD3">
        <w:t xml:space="preserve"> the petition established in Article </w:t>
      </w:r>
      <w:r w:rsidR="000C3B67" w:rsidRPr="00511CD3">
        <w:t>46.1.b</w:t>
      </w:r>
      <w:r w:rsidR="009837D9" w:rsidRPr="00511CD3">
        <w:t xml:space="preserve">. </w:t>
      </w:r>
    </w:p>
    <w:p w14:paraId="30B4C8E5" w14:textId="77777777" w:rsidR="003836A1" w:rsidRPr="00511CD3" w:rsidRDefault="003836A1" w:rsidP="008429F6">
      <w:pPr>
        <w:pStyle w:val="ListParagraph"/>
        <w:numPr>
          <w:ilvl w:val="0"/>
          <w:numId w:val="0"/>
        </w:numPr>
      </w:pPr>
    </w:p>
    <w:p w14:paraId="228BB6EF" w14:textId="77777777" w:rsidR="00961841" w:rsidRPr="00511CD3" w:rsidRDefault="00170FFA" w:rsidP="008429F6">
      <w:pPr>
        <w:pStyle w:val="ListParagraph"/>
        <w:ind w:left="0" w:firstLine="0"/>
      </w:pPr>
      <w:r w:rsidRPr="00511CD3">
        <w:t>Nonetheless</w:t>
      </w:r>
      <w:r w:rsidR="003836A1" w:rsidRPr="00511CD3">
        <w:t xml:space="preserve">, </w:t>
      </w:r>
      <w:r w:rsidR="00B10F4D" w:rsidRPr="00511CD3">
        <w:t>the Commission</w:t>
      </w:r>
      <w:r w:rsidR="003836A1" w:rsidRPr="00511CD3">
        <w:t xml:space="preserve"> consider</w:t>
      </w:r>
      <w:r w:rsidRPr="00511CD3">
        <w:t xml:space="preserve">s that in the instant case, domestic remedies have been exhausted since, given the decision to declare that the judicial proceedings would address the status of adoptability of the </w:t>
      </w:r>
      <w:r w:rsidR="00540394" w:rsidRPr="00511CD3">
        <w:t>child “Mariano</w:t>
      </w:r>
      <w:r w:rsidRPr="00511CD3">
        <w:t xml:space="preserve">,” </w:t>
      </w:r>
      <w:r w:rsidR="0089606B" w:rsidRPr="00511CD3">
        <w:t>taken</w:t>
      </w:r>
      <w:r w:rsidR="00C35EF1" w:rsidRPr="00511CD3">
        <w:t xml:space="preserve"> by </w:t>
      </w:r>
      <w:r w:rsidRPr="00511CD3">
        <w:t xml:space="preserve">Collegiate Family Court No. </w:t>
      </w:r>
      <w:r w:rsidR="003836A1" w:rsidRPr="00511CD3">
        <w:t xml:space="preserve">5 </w:t>
      </w:r>
      <w:r w:rsidRPr="00511CD3">
        <w:t xml:space="preserve">of </w:t>
      </w:r>
      <w:r w:rsidR="003836A1" w:rsidRPr="00511CD3">
        <w:t>Rosario</w:t>
      </w:r>
      <w:r w:rsidR="00C35EF1" w:rsidRPr="00511CD3">
        <w:t xml:space="preserve"> on October 1,</w:t>
      </w:r>
      <w:r w:rsidR="003836A1" w:rsidRPr="00511CD3">
        <w:rPr>
          <w:rStyle w:val="FootnoteReference"/>
          <w:rFonts w:eastAsia="Calibri"/>
        </w:rPr>
        <w:footnoteReference w:id="4"/>
      </w:r>
      <w:r w:rsidR="003836A1" w:rsidRPr="00511CD3">
        <w:t xml:space="preserve"> </w:t>
      </w:r>
      <w:r w:rsidRPr="00511CD3">
        <w:t>t</w:t>
      </w:r>
      <w:r w:rsidR="002E08A7" w:rsidRPr="00511CD3">
        <w:t>he petitioners</w:t>
      </w:r>
      <w:r w:rsidR="003836A1" w:rsidRPr="00511CD3">
        <w:t xml:space="preserve"> </w:t>
      </w:r>
      <w:r w:rsidR="00311F03" w:rsidRPr="00511CD3">
        <w:t xml:space="preserve">had </w:t>
      </w:r>
      <w:r w:rsidR="00A62538" w:rsidRPr="00511CD3">
        <w:t xml:space="preserve">availed themselves of all available remedies to challenge that decision. </w:t>
      </w:r>
      <w:r w:rsidR="00B61B8B" w:rsidRPr="00511CD3">
        <w:t xml:space="preserve"> </w:t>
      </w:r>
      <w:r w:rsidR="00A62538" w:rsidRPr="00511CD3">
        <w:t xml:space="preserve">In fact, the representatives of </w:t>
      </w:r>
      <w:r w:rsidR="00961841" w:rsidRPr="00511CD3">
        <w:t>“</w:t>
      </w:r>
      <w:r w:rsidR="00D82327" w:rsidRPr="00511CD3">
        <w:t>María</w:t>
      </w:r>
      <w:r w:rsidR="00961841" w:rsidRPr="00511CD3">
        <w:t>”</w:t>
      </w:r>
      <w:r w:rsidR="00B10F4D" w:rsidRPr="00511CD3">
        <w:t xml:space="preserve"> and </w:t>
      </w:r>
      <w:r w:rsidR="00A62538" w:rsidRPr="00511CD3">
        <w:t xml:space="preserve">her mother filed a </w:t>
      </w:r>
      <w:r w:rsidR="007E46DE" w:rsidRPr="00511CD3">
        <w:t>motion for revocation</w:t>
      </w:r>
      <w:r w:rsidR="00A62538" w:rsidRPr="00511CD3">
        <w:t>,</w:t>
      </w:r>
      <w:r w:rsidR="00961841" w:rsidRPr="00511CD3">
        <w:rPr>
          <w:rStyle w:val="FootnoteReference"/>
          <w:rFonts w:eastAsia="Calibri"/>
        </w:rPr>
        <w:footnoteReference w:id="5"/>
      </w:r>
      <w:r w:rsidR="00961841" w:rsidRPr="00511CD3">
        <w:t xml:space="preserve"> </w:t>
      </w:r>
      <w:r w:rsidR="00A62538" w:rsidRPr="00511CD3">
        <w:t xml:space="preserve">which was denied by </w:t>
      </w:r>
      <w:r w:rsidR="00F44C1F" w:rsidRPr="00511CD3">
        <w:t>resolution</w:t>
      </w:r>
      <w:r w:rsidR="00A62538" w:rsidRPr="00511CD3">
        <w:t xml:space="preserve"> of </w:t>
      </w:r>
      <w:r w:rsidR="00B10F4D" w:rsidRPr="00511CD3">
        <w:t>October</w:t>
      </w:r>
      <w:r w:rsidR="00961841" w:rsidRPr="00511CD3">
        <w:t xml:space="preserve"> </w:t>
      </w:r>
      <w:r w:rsidR="00A62538" w:rsidRPr="00511CD3">
        <w:t>24,</w:t>
      </w:r>
      <w:r w:rsidR="00961841" w:rsidRPr="00511CD3">
        <w:t xml:space="preserve"> 2016</w:t>
      </w:r>
      <w:r w:rsidR="00B61B8B" w:rsidRPr="00511CD3">
        <w:t>,</w:t>
      </w:r>
      <w:r w:rsidR="00961841" w:rsidRPr="00511CD3">
        <w:rPr>
          <w:rStyle w:val="FootnoteReference"/>
        </w:rPr>
        <w:footnoteReference w:id="6"/>
      </w:r>
      <w:r w:rsidR="00B10F4D" w:rsidRPr="00511CD3">
        <w:t xml:space="preserve"> and </w:t>
      </w:r>
      <w:r w:rsidR="00A62538" w:rsidRPr="00511CD3">
        <w:t xml:space="preserve">a </w:t>
      </w:r>
      <w:r w:rsidR="007E46DE" w:rsidRPr="00511CD3">
        <w:t>motion</w:t>
      </w:r>
      <w:r w:rsidR="00A62538" w:rsidRPr="00511CD3">
        <w:t xml:space="preserve"> for revocation </w:t>
      </w:r>
      <w:r w:rsidR="00B61B8B" w:rsidRPr="00511CD3">
        <w:t xml:space="preserve">before </w:t>
      </w:r>
      <w:r w:rsidR="00A62538" w:rsidRPr="00511CD3">
        <w:t>the plenary of the Court, w</w:t>
      </w:r>
      <w:r w:rsidR="00B61B8B" w:rsidRPr="00511CD3">
        <w:t xml:space="preserve">ith the same </w:t>
      </w:r>
      <w:r w:rsidR="00A62538" w:rsidRPr="00511CD3">
        <w:t>outcome.</w:t>
      </w:r>
      <w:r w:rsidR="00961841" w:rsidRPr="00511CD3">
        <w:rPr>
          <w:rStyle w:val="FootnoteReference"/>
        </w:rPr>
        <w:footnoteReference w:id="7"/>
      </w:r>
      <w:r w:rsidR="00A62538" w:rsidRPr="00511CD3">
        <w:t xml:space="preserve">  Lastly, the information in the file s</w:t>
      </w:r>
      <w:r w:rsidR="00312D12" w:rsidRPr="00511CD3">
        <w:t xml:space="preserve">hows </w:t>
      </w:r>
      <w:r w:rsidR="00A62538" w:rsidRPr="00511CD3">
        <w:t xml:space="preserve">that the </w:t>
      </w:r>
      <w:r w:rsidR="00B61B8B" w:rsidRPr="00511CD3">
        <w:t xml:space="preserve">special </w:t>
      </w:r>
      <w:r w:rsidR="00A62538" w:rsidRPr="00511CD3">
        <w:t xml:space="preserve">appeal lodged by the </w:t>
      </w:r>
      <w:r w:rsidR="002E08A7" w:rsidRPr="00511CD3">
        <w:t>petitioners</w:t>
      </w:r>
      <w:r w:rsidR="00961841" w:rsidRPr="00511CD3">
        <w:t xml:space="preserve"> </w:t>
      </w:r>
      <w:r w:rsidR="00A62538" w:rsidRPr="00511CD3">
        <w:t xml:space="preserve">was denied by the Single Instance Collegiate Family Court on </w:t>
      </w:r>
      <w:r w:rsidR="00B10F4D" w:rsidRPr="00511CD3">
        <w:t>April</w:t>
      </w:r>
      <w:r w:rsidR="00961841" w:rsidRPr="00511CD3">
        <w:t xml:space="preserve"> </w:t>
      </w:r>
      <w:r w:rsidR="00A62538" w:rsidRPr="00511CD3">
        <w:t xml:space="preserve">23, </w:t>
      </w:r>
      <w:r w:rsidR="00961841" w:rsidRPr="00511CD3">
        <w:t>2020</w:t>
      </w:r>
      <w:r w:rsidR="00A62538" w:rsidRPr="00511CD3">
        <w:t>.</w:t>
      </w:r>
      <w:r w:rsidR="00961841" w:rsidRPr="00511CD3">
        <w:rPr>
          <w:rStyle w:val="FootnoteReference"/>
        </w:rPr>
        <w:footnoteReference w:id="8"/>
      </w:r>
    </w:p>
    <w:p w14:paraId="64F5BC13" w14:textId="77777777" w:rsidR="00961841" w:rsidRPr="00511CD3" w:rsidRDefault="00961841" w:rsidP="008429F6">
      <w:pPr>
        <w:pStyle w:val="ListParagraph"/>
        <w:numPr>
          <w:ilvl w:val="0"/>
          <w:numId w:val="0"/>
        </w:numPr>
      </w:pPr>
    </w:p>
    <w:p w14:paraId="423D0928" w14:textId="77777777" w:rsidR="003836A1" w:rsidRPr="00511CD3" w:rsidRDefault="00A62538" w:rsidP="008429F6">
      <w:pPr>
        <w:pStyle w:val="ListParagraph"/>
        <w:ind w:left="0" w:firstLine="0"/>
        <w:rPr>
          <w:rFonts w:eastAsia="Calibri"/>
        </w:rPr>
      </w:pPr>
      <w:r w:rsidRPr="00511CD3">
        <w:t>Therefore,</w:t>
      </w:r>
      <w:r w:rsidR="00D82327" w:rsidRPr="00511CD3">
        <w:t xml:space="preserve"> </w:t>
      </w:r>
      <w:r w:rsidR="00B10F4D" w:rsidRPr="00511CD3">
        <w:t>the Commission</w:t>
      </w:r>
      <w:r w:rsidR="00D82327" w:rsidRPr="00511CD3">
        <w:t xml:space="preserve"> </w:t>
      </w:r>
      <w:r w:rsidRPr="00511CD3">
        <w:t xml:space="preserve">understands that the domestic remedies available to the petitioners have been exhausted to challenge the decision </w:t>
      </w:r>
      <w:r w:rsidR="007E46DE" w:rsidRPr="00511CD3">
        <w:t xml:space="preserve">for the </w:t>
      </w:r>
      <w:r w:rsidRPr="00511CD3">
        <w:t>proceed</w:t>
      </w:r>
      <w:r w:rsidR="007E46DE" w:rsidRPr="00511CD3">
        <w:t>ing</w:t>
      </w:r>
      <w:r w:rsidR="00511CD3">
        <w:t>s</w:t>
      </w:r>
      <w:r w:rsidR="007E46DE" w:rsidRPr="00511CD3">
        <w:t xml:space="preserve"> to address</w:t>
      </w:r>
      <w:r w:rsidRPr="00511CD3">
        <w:t xml:space="preserve"> the status of adoptability of </w:t>
      </w:r>
      <w:r w:rsidR="00540394" w:rsidRPr="00511CD3">
        <w:t>the child “Mariano</w:t>
      </w:r>
      <w:r w:rsidR="00312D12" w:rsidRPr="00511CD3">
        <w:t>,</w:t>
      </w:r>
      <w:r w:rsidR="00540394" w:rsidRPr="00511CD3">
        <w:t>”</w:t>
      </w:r>
      <w:r w:rsidR="00B10F4D" w:rsidRPr="00511CD3">
        <w:t xml:space="preserve"> and </w:t>
      </w:r>
      <w:r w:rsidRPr="00511CD3">
        <w:t xml:space="preserve">that therefore the requirements set forth in Articles </w:t>
      </w:r>
      <w:r w:rsidR="00D82327" w:rsidRPr="00511CD3">
        <w:t>46.1.a</w:t>
      </w:r>
      <w:r w:rsidR="00B10F4D" w:rsidRPr="00511CD3">
        <w:t xml:space="preserve"> and </w:t>
      </w:r>
      <w:r w:rsidR="00D82327" w:rsidRPr="00511CD3">
        <w:t>b</w:t>
      </w:r>
      <w:r w:rsidRPr="00511CD3">
        <w:t xml:space="preserve"> of the American Convention have been met.</w:t>
      </w:r>
    </w:p>
    <w:p w14:paraId="3A951EB8" w14:textId="77777777" w:rsidR="003F0D4C" w:rsidRPr="00511CD3" w:rsidRDefault="003F0D4C" w:rsidP="008429F6">
      <w:pPr>
        <w:pStyle w:val="ListParagraph"/>
        <w:numPr>
          <w:ilvl w:val="0"/>
          <w:numId w:val="0"/>
        </w:numPr>
      </w:pPr>
    </w:p>
    <w:p w14:paraId="05C854DC" w14:textId="77777777" w:rsidR="003F0D4C" w:rsidRPr="00511CD3" w:rsidRDefault="00A62538" w:rsidP="008429F6">
      <w:pPr>
        <w:pStyle w:val="Heading2"/>
        <w:numPr>
          <w:ilvl w:val="0"/>
          <w:numId w:val="18"/>
        </w:numPr>
        <w:ind w:left="0" w:firstLine="0"/>
        <w:jc w:val="both"/>
        <w:rPr>
          <w:lang w:val="en-US"/>
        </w:rPr>
      </w:pPr>
      <w:bookmarkStart w:id="5" w:name="_Toc26215775"/>
      <w:r w:rsidRPr="00511CD3">
        <w:rPr>
          <w:lang w:val="en-US"/>
        </w:rPr>
        <w:t>Colorable claim</w:t>
      </w:r>
      <w:bookmarkEnd w:id="5"/>
    </w:p>
    <w:p w14:paraId="716C317E" w14:textId="77777777" w:rsidR="00585D34" w:rsidRPr="00511CD3" w:rsidRDefault="00585D34" w:rsidP="008429F6">
      <w:pPr>
        <w:pStyle w:val="parrafos"/>
        <w:tabs>
          <w:tab w:val="clear" w:pos="360"/>
          <w:tab w:val="left" w:pos="567"/>
        </w:tabs>
        <w:rPr>
          <w:rFonts w:ascii="Cambria" w:hAnsi="Cambria"/>
          <w:lang w:val="en-US"/>
        </w:rPr>
      </w:pPr>
    </w:p>
    <w:p w14:paraId="5EB3AA1B" w14:textId="77777777" w:rsidR="005F5D07" w:rsidRPr="00511CD3" w:rsidRDefault="00A62538" w:rsidP="008429F6">
      <w:pPr>
        <w:pStyle w:val="NormalWeb"/>
        <w:numPr>
          <w:ilvl w:val="0"/>
          <w:numId w:val="2"/>
        </w:numPr>
        <w:tabs>
          <w:tab w:val="left" w:pos="567"/>
        </w:tabs>
        <w:spacing w:before="0" w:beforeAutospacing="0" w:after="0" w:afterAutospacing="0"/>
        <w:ind w:left="0" w:firstLine="0"/>
        <w:jc w:val="both"/>
        <w:rPr>
          <w:rFonts w:ascii="Cambria" w:eastAsia="Calibri" w:hAnsi="Cambria"/>
          <w:sz w:val="20"/>
          <w:szCs w:val="20"/>
          <w:bdr w:val="nil"/>
        </w:rPr>
      </w:pPr>
      <w:r w:rsidRPr="00511CD3">
        <w:rPr>
          <w:rFonts w:ascii="Cambria" w:eastAsia="Calibri" w:hAnsi="Cambria"/>
          <w:sz w:val="20"/>
          <w:szCs w:val="20"/>
          <w:bdr w:val="nil"/>
        </w:rPr>
        <w:t xml:space="preserve">Despite the lack of dispute among the parties regarding </w:t>
      </w:r>
      <w:r w:rsidR="00C35EF1" w:rsidRPr="00511CD3">
        <w:rPr>
          <w:rFonts w:ascii="Cambria" w:eastAsia="Calibri" w:hAnsi="Cambria"/>
          <w:sz w:val="20"/>
          <w:szCs w:val="20"/>
          <w:bdr w:val="nil"/>
        </w:rPr>
        <w:t xml:space="preserve">the </w:t>
      </w:r>
      <w:r w:rsidRPr="00511CD3">
        <w:rPr>
          <w:rFonts w:ascii="Cambria" w:eastAsia="Calibri" w:hAnsi="Cambria"/>
          <w:sz w:val="20"/>
          <w:szCs w:val="20"/>
          <w:bdr w:val="nil"/>
        </w:rPr>
        <w:t>fulfillment of the formal admissibility requirements</w:t>
      </w:r>
      <w:r w:rsidR="00753128" w:rsidRPr="00511CD3">
        <w:rPr>
          <w:rFonts w:ascii="Cambria" w:eastAsia="Calibri" w:hAnsi="Cambria"/>
          <w:sz w:val="20"/>
          <w:szCs w:val="20"/>
          <w:bdr w:val="nil"/>
        </w:rPr>
        <w:t xml:space="preserve">, </w:t>
      </w:r>
      <w:r w:rsidR="00B10F4D" w:rsidRPr="00511CD3">
        <w:rPr>
          <w:rFonts w:ascii="Cambria" w:eastAsia="Calibri" w:hAnsi="Cambria"/>
          <w:sz w:val="20"/>
          <w:szCs w:val="20"/>
          <w:bdr w:val="nil"/>
        </w:rPr>
        <w:t>the Commission</w:t>
      </w:r>
      <w:r w:rsidR="00750279" w:rsidRPr="00511CD3">
        <w:rPr>
          <w:rFonts w:ascii="Cambria" w:eastAsia="Calibri" w:hAnsi="Cambria"/>
          <w:sz w:val="20"/>
          <w:szCs w:val="20"/>
          <w:bdr w:val="nil"/>
        </w:rPr>
        <w:t xml:space="preserve"> </w:t>
      </w:r>
      <w:r w:rsidR="001C414E" w:rsidRPr="00511CD3">
        <w:rPr>
          <w:rFonts w:ascii="Cambria" w:eastAsia="Calibri" w:hAnsi="Cambria"/>
          <w:sz w:val="20"/>
          <w:szCs w:val="20"/>
          <w:bdr w:val="nil"/>
        </w:rPr>
        <w:t>considers</w:t>
      </w:r>
      <w:r w:rsidRPr="00511CD3">
        <w:rPr>
          <w:rFonts w:ascii="Cambria" w:eastAsia="Calibri" w:hAnsi="Cambria"/>
          <w:sz w:val="20"/>
          <w:szCs w:val="20"/>
          <w:bdr w:val="nil"/>
        </w:rPr>
        <w:t xml:space="preserve"> it necessary to clarify the scope of its intervention in the instant case.</w:t>
      </w:r>
    </w:p>
    <w:p w14:paraId="2D91A70D" w14:textId="77777777" w:rsidR="005F5D07" w:rsidRPr="00511CD3" w:rsidRDefault="005F5D07" w:rsidP="008429F6">
      <w:pPr>
        <w:pStyle w:val="NormalWeb"/>
        <w:tabs>
          <w:tab w:val="left" w:pos="567"/>
        </w:tabs>
        <w:spacing w:before="0" w:beforeAutospacing="0" w:after="0" w:afterAutospacing="0"/>
        <w:jc w:val="both"/>
        <w:rPr>
          <w:rFonts w:ascii="Cambria" w:eastAsia="Calibri" w:hAnsi="Cambria"/>
          <w:sz w:val="20"/>
          <w:szCs w:val="20"/>
          <w:bdr w:val="nil"/>
        </w:rPr>
      </w:pPr>
    </w:p>
    <w:p w14:paraId="47C25E03" w14:textId="77777777" w:rsidR="00211991" w:rsidRPr="00511CD3" w:rsidRDefault="002D0F77" w:rsidP="008429F6">
      <w:pPr>
        <w:pStyle w:val="NormalWeb"/>
        <w:numPr>
          <w:ilvl w:val="0"/>
          <w:numId w:val="2"/>
        </w:numPr>
        <w:tabs>
          <w:tab w:val="left" w:pos="567"/>
        </w:tabs>
        <w:spacing w:before="0" w:beforeAutospacing="0" w:after="0" w:afterAutospacing="0"/>
        <w:ind w:left="0" w:firstLine="0"/>
        <w:jc w:val="both"/>
        <w:rPr>
          <w:rFonts w:ascii="Cambria" w:eastAsia="Calibri" w:hAnsi="Cambria"/>
          <w:sz w:val="20"/>
          <w:szCs w:val="20"/>
          <w:bdr w:val="nil"/>
        </w:rPr>
      </w:pPr>
      <w:r w:rsidRPr="00511CD3">
        <w:rPr>
          <w:rFonts w:ascii="Cambria" w:eastAsia="Calibri" w:hAnsi="Cambria"/>
          <w:sz w:val="20"/>
          <w:szCs w:val="20"/>
          <w:bdr w:val="nil"/>
        </w:rPr>
        <w:t xml:space="preserve"> </w:t>
      </w:r>
      <w:r w:rsidR="00D43DCE" w:rsidRPr="00511CD3">
        <w:rPr>
          <w:rFonts w:ascii="Cambria" w:eastAsia="Calibri" w:hAnsi="Cambria"/>
          <w:sz w:val="20"/>
          <w:szCs w:val="20"/>
          <w:bdr w:val="nil"/>
        </w:rPr>
        <w:t xml:space="preserve">According to the preamble of </w:t>
      </w:r>
      <w:r w:rsidR="003E59A8" w:rsidRPr="00511CD3">
        <w:rPr>
          <w:rFonts w:ascii="Cambria" w:eastAsia="Calibri" w:hAnsi="Cambria"/>
          <w:sz w:val="20"/>
          <w:szCs w:val="20"/>
          <w:bdr w:val="nil"/>
        </w:rPr>
        <w:t>the American Convention</w:t>
      </w:r>
      <w:r w:rsidR="00632D7E" w:rsidRPr="00511CD3">
        <w:rPr>
          <w:rFonts w:ascii="Cambria" w:eastAsia="Calibri" w:hAnsi="Cambria"/>
          <w:sz w:val="20"/>
          <w:szCs w:val="20"/>
          <w:bdr w:val="nil"/>
        </w:rPr>
        <w:t xml:space="preserve">, </w:t>
      </w:r>
      <w:r w:rsidR="000B0C71" w:rsidRPr="00511CD3">
        <w:rPr>
          <w:rFonts w:ascii="Cambria" w:eastAsia="Calibri" w:hAnsi="Cambria"/>
          <w:sz w:val="20"/>
          <w:szCs w:val="20"/>
          <w:bdr w:val="nil"/>
        </w:rPr>
        <w:t>the protection that the organs of the inter-American system are called upon to provide for the essential rights of man reinforces or complements “</w:t>
      </w:r>
      <w:r w:rsidR="000B0C71" w:rsidRPr="00511CD3">
        <w:rPr>
          <w:sz w:val="20"/>
          <w:szCs w:val="20"/>
        </w:rPr>
        <w:t>the protection provided by the domestic law of the American states.”</w:t>
      </w:r>
      <w:r w:rsidR="000F7D26" w:rsidRPr="00511CD3">
        <w:rPr>
          <w:rFonts w:ascii="Cambria" w:eastAsia="Calibri" w:hAnsi="Cambria"/>
          <w:sz w:val="20"/>
          <w:szCs w:val="20"/>
          <w:bdr w:val="nil"/>
        </w:rPr>
        <w:t xml:space="preserve"> </w:t>
      </w:r>
      <w:r w:rsidR="00750279" w:rsidRPr="00511CD3">
        <w:rPr>
          <w:rFonts w:ascii="Cambria" w:eastAsia="Calibri" w:hAnsi="Cambria"/>
          <w:sz w:val="20"/>
          <w:szCs w:val="20"/>
          <w:bdr w:val="nil"/>
        </w:rPr>
        <w:t xml:space="preserve"> </w:t>
      </w:r>
      <w:r w:rsidR="00D43DCE" w:rsidRPr="00511CD3">
        <w:rPr>
          <w:rFonts w:ascii="Cambria" w:eastAsia="Calibri" w:hAnsi="Cambria"/>
          <w:sz w:val="20"/>
          <w:szCs w:val="20"/>
          <w:bdr w:val="nil"/>
        </w:rPr>
        <w:t xml:space="preserve">Specifically regarding the system of individual petitions containing denunciations or complaints of violations of the rights set forth in </w:t>
      </w:r>
      <w:r w:rsidR="003E59A8" w:rsidRPr="00511CD3">
        <w:rPr>
          <w:rFonts w:ascii="Cambria" w:eastAsia="Calibri" w:hAnsi="Cambria"/>
          <w:sz w:val="20"/>
          <w:szCs w:val="20"/>
          <w:bdr w:val="nil"/>
        </w:rPr>
        <w:t>the American Convention</w:t>
      </w:r>
      <w:r w:rsidR="0043104E" w:rsidRPr="00511CD3">
        <w:rPr>
          <w:rFonts w:ascii="Cambria" w:eastAsia="Calibri" w:hAnsi="Cambria"/>
          <w:sz w:val="20"/>
          <w:szCs w:val="20"/>
          <w:bdr w:val="nil"/>
        </w:rPr>
        <w:t xml:space="preserve">, </w:t>
      </w:r>
      <w:r w:rsidR="00D43DCE" w:rsidRPr="00511CD3">
        <w:rPr>
          <w:rFonts w:ascii="Cambria" w:eastAsia="Calibri" w:hAnsi="Cambria"/>
          <w:sz w:val="20"/>
          <w:szCs w:val="20"/>
          <w:bdr w:val="nil"/>
        </w:rPr>
        <w:t>the</w:t>
      </w:r>
      <w:r w:rsidR="0043104E" w:rsidRPr="00511CD3">
        <w:rPr>
          <w:rFonts w:ascii="Cambria" w:eastAsia="Calibri" w:hAnsi="Cambria"/>
          <w:sz w:val="20"/>
          <w:szCs w:val="20"/>
          <w:bdr w:val="nil"/>
        </w:rPr>
        <w:t xml:space="preserve"> </w:t>
      </w:r>
      <w:r w:rsidR="00B10F4D" w:rsidRPr="00511CD3">
        <w:rPr>
          <w:rFonts w:ascii="Cambria" w:eastAsia="Calibri" w:hAnsi="Cambria"/>
          <w:sz w:val="20"/>
          <w:szCs w:val="20"/>
          <w:bdr w:val="nil"/>
        </w:rPr>
        <w:t>IACHR</w:t>
      </w:r>
      <w:r w:rsidR="00AD07E7" w:rsidRPr="00511CD3">
        <w:rPr>
          <w:rFonts w:ascii="Cambria" w:eastAsia="Calibri" w:hAnsi="Cambria"/>
          <w:sz w:val="20"/>
          <w:szCs w:val="20"/>
          <w:bdr w:val="nil"/>
        </w:rPr>
        <w:t xml:space="preserve">, </w:t>
      </w:r>
      <w:r w:rsidR="006C67F6" w:rsidRPr="00511CD3">
        <w:rPr>
          <w:rFonts w:ascii="Cambria" w:eastAsia="Calibri" w:hAnsi="Cambria"/>
          <w:sz w:val="20"/>
          <w:szCs w:val="20"/>
          <w:bdr w:val="nil"/>
        </w:rPr>
        <w:t xml:space="preserve">in application of the principle of complementarity, on </w:t>
      </w:r>
      <w:r w:rsidR="00C35EF1" w:rsidRPr="00511CD3">
        <w:rPr>
          <w:rFonts w:ascii="Cambria" w:eastAsia="Calibri" w:hAnsi="Cambria"/>
          <w:sz w:val="20"/>
          <w:szCs w:val="20"/>
          <w:bdr w:val="nil"/>
        </w:rPr>
        <w:t xml:space="preserve">numerous </w:t>
      </w:r>
      <w:r w:rsidR="006C67F6" w:rsidRPr="00511CD3">
        <w:rPr>
          <w:rFonts w:ascii="Cambria" w:eastAsia="Calibri" w:hAnsi="Cambria"/>
          <w:sz w:val="20"/>
          <w:szCs w:val="20"/>
          <w:bdr w:val="nil"/>
        </w:rPr>
        <w:t>occasions has emphasized that its scope of action is confined to analyzing the observance of the obligations assumed by the States Parties to the Convention and, if it concludes that a State has incurred international responsibility, to issue relevant recommendations to guarantee reparation to those whose rights were impact</w:t>
      </w:r>
      <w:r w:rsidR="0096211A" w:rsidRPr="00511CD3">
        <w:rPr>
          <w:rFonts w:ascii="Cambria" w:eastAsia="Calibri" w:hAnsi="Cambria"/>
          <w:sz w:val="20"/>
          <w:szCs w:val="20"/>
          <w:bdr w:val="nil"/>
        </w:rPr>
        <w:t xml:space="preserve">ed, as well as </w:t>
      </w:r>
      <w:r w:rsidR="006C67F6" w:rsidRPr="00511CD3">
        <w:rPr>
          <w:rFonts w:ascii="Cambria" w:eastAsia="Calibri" w:hAnsi="Cambria"/>
          <w:sz w:val="20"/>
          <w:szCs w:val="20"/>
          <w:bdr w:val="nil"/>
        </w:rPr>
        <w:t>non-repetition of the events in the future.</w:t>
      </w:r>
      <w:r w:rsidR="00887DA9" w:rsidRPr="00511CD3">
        <w:rPr>
          <w:rStyle w:val="FootnoteReference"/>
          <w:rFonts w:ascii="Cambria" w:eastAsia="Calibri" w:hAnsi="Cambria"/>
          <w:sz w:val="20"/>
          <w:szCs w:val="20"/>
          <w:bdr w:val="nil"/>
        </w:rPr>
        <w:footnoteReference w:id="9"/>
      </w:r>
    </w:p>
    <w:p w14:paraId="069D6D17" w14:textId="77777777" w:rsidR="00211991" w:rsidRPr="00511CD3" w:rsidRDefault="00211991" w:rsidP="008429F6">
      <w:pPr>
        <w:pStyle w:val="NormalWeb"/>
        <w:tabs>
          <w:tab w:val="left" w:pos="567"/>
        </w:tabs>
        <w:spacing w:before="0" w:beforeAutospacing="0" w:after="0" w:afterAutospacing="0"/>
        <w:jc w:val="both"/>
        <w:rPr>
          <w:rFonts w:ascii="Cambria" w:eastAsia="Calibri" w:hAnsi="Cambria"/>
          <w:sz w:val="20"/>
          <w:szCs w:val="20"/>
          <w:bdr w:val="nil"/>
        </w:rPr>
      </w:pPr>
    </w:p>
    <w:p w14:paraId="606EB038" w14:textId="77777777" w:rsidR="00211991" w:rsidRPr="00511CD3" w:rsidRDefault="0096211A" w:rsidP="008429F6">
      <w:pPr>
        <w:pStyle w:val="NormalWeb"/>
        <w:numPr>
          <w:ilvl w:val="0"/>
          <w:numId w:val="2"/>
        </w:numPr>
        <w:tabs>
          <w:tab w:val="left" w:pos="567"/>
        </w:tabs>
        <w:spacing w:before="0" w:beforeAutospacing="0" w:after="0" w:afterAutospacing="0"/>
        <w:ind w:left="0" w:firstLine="0"/>
        <w:jc w:val="both"/>
        <w:rPr>
          <w:rFonts w:ascii="Cambria" w:eastAsia="Calibri" w:hAnsi="Cambria"/>
          <w:sz w:val="20"/>
          <w:szCs w:val="20"/>
          <w:bdr w:val="nil"/>
        </w:rPr>
      </w:pPr>
      <w:r w:rsidRPr="00511CD3">
        <w:rPr>
          <w:rFonts w:ascii="Cambria" w:eastAsia="Calibri" w:hAnsi="Cambria"/>
          <w:sz w:val="20"/>
          <w:szCs w:val="20"/>
          <w:bdr w:val="nil"/>
        </w:rPr>
        <w:t>In that regard, both</w:t>
      </w:r>
      <w:r w:rsidR="005F5D07" w:rsidRPr="00511CD3">
        <w:rPr>
          <w:rFonts w:ascii="Cambria" w:eastAsia="Calibri" w:hAnsi="Cambria"/>
          <w:sz w:val="20"/>
          <w:szCs w:val="20"/>
          <w:bdr w:val="nil"/>
        </w:rPr>
        <w:t xml:space="preserve"> </w:t>
      </w:r>
      <w:r w:rsidRPr="00511CD3">
        <w:rPr>
          <w:rFonts w:ascii="Cambria" w:eastAsia="Calibri" w:hAnsi="Cambria"/>
          <w:sz w:val="20"/>
          <w:szCs w:val="20"/>
          <w:bdr w:val="nil"/>
        </w:rPr>
        <w:t>the</w:t>
      </w:r>
      <w:r w:rsidR="005F5D07" w:rsidRPr="00511CD3">
        <w:rPr>
          <w:rFonts w:ascii="Cambria" w:eastAsia="Calibri" w:hAnsi="Cambria"/>
          <w:sz w:val="20"/>
          <w:szCs w:val="20"/>
          <w:bdr w:val="nil"/>
        </w:rPr>
        <w:t xml:space="preserve"> </w:t>
      </w:r>
      <w:r w:rsidR="00B10F4D" w:rsidRPr="00511CD3">
        <w:rPr>
          <w:rFonts w:ascii="Cambria" w:eastAsia="Calibri" w:hAnsi="Cambria"/>
          <w:sz w:val="20"/>
          <w:szCs w:val="20"/>
          <w:bdr w:val="nil"/>
        </w:rPr>
        <w:t>IACHR</w:t>
      </w:r>
      <w:r w:rsidR="005F5D07" w:rsidRPr="00511CD3">
        <w:rPr>
          <w:rFonts w:ascii="Cambria" w:eastAsia="Calibri" w:hAnsi="Cambria"/>
          <w:sz w:val="20"/>
          <w:szCs w:val="20"/>
          <w:bdr w:val="nil"/>
        </w:rPr>
        <w:t xml:space="preserve"> </w:t>
      </w:r>
      <w:r w:rsidRPr="00511CD3">
        <w:rPr>
          <w:rFonts w:ascii="Cambria" w:eastAsia="Calibri" w:hAnsi="Cambria"/>
          <w:sz w:val="20"/>
          <w:szCs w:val="20"/>
          <w:bdr w:val="nil"/>
        </w:rPr>
        <w:t xml:space="preserve">and the Inter-American Court have consistently held that the inter-American human rights system cannot review </w:t>
      </w:r>
      <w:r w:rsidR="009E526D" w:rsidRPr="00511CD3">
        <w:rPr>
          <w:rFonts w:ascii="Cambria" w:eastAsiaTheme="minorHAnsi" w:hAnsi="Cambria" w:cs="TimesNewRomanPSMT"/>
          <w:sz w:val="20"/>
          <w:szCs w:val="20"/>
        </w:rPr>
        <w:t>“</w:t>
      </w:r>
      <w:r w:rsidRPr="00511CD3">
        <w:rPr>
          <w:rFonts w:ascii="Cambria" w:hAnsi="Cambria"/>
          <w:color w:val="000000"/>
          <w:spacing w:val="-1"/>
          <w:sz w:val="20"/>
          <w:szCs w:val="20"/>
        </w:rPr>
        <w:t>decisions handed down by national courts acting within their authority and applying the appropriate legal guarantees, unless it is found that there has been a violation of some right protected by the Convention.</w:t>
      </w:r>
      <w:r w:rsidR="009E526D" w:rsidRPr="00511CD3">
        <w:rPr>
          <w:rFonts w:ascii="Cambria" w:eastAsiaTheme="minorHAnsi" w:hAnsi="Cambria" w:cs="TimesNewRomanPSMT"/>
          <w:sz w:val="20"/>
          <w:szCs w:val="20"/>
        </w:rPr>
        <w:t>”</w:t>
      </w:r>
      <w:r w:rsidR="009E526D" w:rsidRPr="00511CD3">
        <w:rPr>
          <w:rStyle w:val="FootnoteReference"/>
          <w:rFonts w:ascii="Cambria" w:eastAsiaTheme="minorHAnsi" w:hAnsi="Cambria" w:cs="TimesNewRomanPSMT"/>
          <w:sz w:val="20"/>
          <w:szCs w:val="20"/>
        </w:rPr>
        <w:footnoteReference w:id="10"/>
      </w:r>
    </w:p>
    <w:p w14:paraId="116B3C46" w14:textId="77777777" w:rsidR="00211991" w:rsidRPr="00511CD3" w:rsidRDefault="00211991" w:rsidP="008429F6">
      <w:pPr>
        <w:pStyle w:val="NormalWeb"/>
        <w:tabs>
          <w:tab w:val="left" w:pos="567"/>
        </w:tabs>
        <w:spacing w:before="0" w:beforeAutospacing="0" w:after="0" w:afterAutospacing="0"/>
        <w:jc w:val="both"/>
        <w:rPr>
          <w:rFonts w:ascii="Cambria" w:eastAsia="Calibri" w:hAnsi="Cambria"/>
          <w:sz w:val="20"/>
          <w:szCs w:val="20"/>
          <w:bdr w:val="nil"/>
        </w:rPr>
      </w:pPr>
    </w:p>
    <w:p w14:paraId="59F3FA6E" w14:textId="77777777" w:rsidR="009B30D5" w:rsidRPr="00511CD3" w:rsidRDefault="00F44C1F" w:rsidP="008429F6">
      <w:pPr>
        <w:pStyle w:val="NormalWeb"/>
        <w:numPr>
          <w:ilvl w:val="0"/>
          <w:numId w:val="2"/>
        </w:numPr>
        <w:tabs>
          <w:tab w:val="left" w:pos="567"/>
        </w:tabs>
        <w:spacing w:before="0" w:beforeAutospacing="0" w:after="0" w:afterAutospacing="0"/>
        <w:ind w:left="0" w:firstLine="0"/>
        <w:jc w:val="both"/>
        <w:rPr>
          <w:rFonts w:ascii="Cambria" w:eastAsiaTheme="minorHAnsi" w:hAnsi="Cambria" w:cs="TimesNewRomanPSMT"/>
          <w:sz w:val="20"/>
          <w:szCs w:val="20"/>
        </w:rPr>
      </w:pPr>
      <w:r w:rsidRPr="00511CD3">
        <w:rPr>
          <w:rFonts w:ascii="Cambria" w:eastAsiaTheme="minorHAnsi" w:hAnsi="Cambria" w:cs="TimesNewRomanPSMT"/>
          <w:sz w:val="20"/>
          <w:szCs w:val="20"/>
        </w:rPr>
        <w:t>Coincidentally</w:t>
      </w:r>
      <w:r w:rsidR="009B30D5" w:rsidRPr="00511CD3">
        <w:rPr>
          <w:rFonts w:ascii="Cambria" w:eastAsiaTheme="minorHAnsi" w:hAnsi="Cambria" w:cs="TimesNewRomanPSMT"/>
          <w:sz w:val="20"/>
          <w:szCs w:val="20"/>
        </w:rPr>
        <w:t xml:space="preserve">, the </w:t>
      </w:r>
      <w:r w:rsidR="00B10F4D" w:rsidRPr="00511CD3">
        <w:rPr>
          <w:rFonts w:ascii="Cambria" w:eastAsiaTheme="minorHAnsi" w:hAnsi="Cambria" w:cs="TimesNewRomanPSMT"/>
          <w:sz w:val="20"/>
          <w:szCs w:val="20"/>
        </w:rPr>
        <w:t>IACHR</w:t>
      </w:r>
      <w:r w:rsidR="00BC7A0B" w:rsidRPr="00511CD3">
        <w:rPr>
          <w:rFonts w:ascii="Cambria" w:eastAsiaTheme="minorHAnsi" w:hAnsi="Cambria" w:cs="TimesNewRomanPSMT"/>
          <w:sz w:val="20"/>
          <w:szCs w:val="20"/>
        </w:rPr>
        <w:t xml:space="preserve"> </w:t>
      </w:r>
      <w:r w:rsidR="009B30D5" w:rsidRPr="00511CD3">
        <w:rPr>
          <w:rFonts w:ascii="Cambria" w:eastAsiaTheme="minorHAnsi" w:hAnsi="Cambria" w:cs="TimesNewRomanPSMT"/>
          <w:sz w:val="20"/>
          <w:szCs w:val="20"/>
        </w:rPr>
        <w:t xml:space="preserve">has indicated that it </w:t>
      </w:r>
      <w:r w:rsidR="00BC7A0B" w:rsidRPr="00511CD3">
        <w:rPr>
          <w:rFonts w:ascii="Cambria" w:eastAsiaTheme="minorHAnsi" w:hAnsi="Cambria" w:cs="TimesNewRomanPSMT"/>
          <w:sz w:val="20"/>
          <w:szCs w:val="20"/>
        </w:rPr>
        <w:t>“</w:t>
      </w:r>
      <w:r w:rsidR="009B30D5" w:rsidRPr="00511CD3">
        <w:rPr>
          <w:rFonts w:ascii="Cambria" w:hAnsi="Cambria"/>
          <w:color w:val="000000"/>
          <w:sz w:val="20"/>
          <w:szCs w:val="20"/>
          <w:shd w:val="clear" w:color="auto" w:fill="FFFFFF"/>
        </w:rPr>
        <w:t>is competent to declare a petition admissible and rule on its merits when it portrays a claim that a domestic legal decision constitutes a disregard of the right to a fair trial, or if it appears to violate any other right guaranteed by the Convention. … The Commission's task is to ensure the observance of the obligations undertaken by the States parties to the Convention, but it cannot serve as an appellate court to examine alleged errors of internal law or fact that may have been committed by the domestic courts acting within their jurisdiction.”</w:t>
      </w:r>
      <w:r w:rsidR="009B30D5" w:rsidRPr="00511CD3">
        <w:rPr>
          <w:rStyle w:val="FootnoteReference"/>
          <w:rFonts w:ascii="Cambria" w:eastAsiaTheme="minorHAnsi" w:hAnsi="Cambria" w:cs="TimesNewRomanPSMT"/>
          <w:sz w:val="20"/>
          <w:szCs w:val="20"/>
        </w:rPr>
        <w:footnoteReference w:id="11"/>
      </w:r>
    </w:p>
    <w:p w14:paraId="7FDB4638" w14:textId="77777777" w:rsidR="00FA2943" w:rsidRPr="00511CD3" w:rsidRDefault="00FA2943" w:rsidP="008429F6">
      <w:pPr>
        <w:pStyle w:val="NormalWeb"/>
        <w:tabs>
          <w:tab w:val="left" w:pos="567"/>
        </w:tabs>
        <w:spacing w:before="0" w:beforeAutospacing="0" w:after="0" w:afterAutospacing="0"/>
        <w:jc w:val="both"/>
        <w:rPr>
          <w:rFonts w:ascii="Cambria" w:eastAsia="Calibri" w:hAnsi="Cambria"/>
          <w:sz w:val="20"/>
          <w:szCs w:val="20"/>
          <w:bdr w:val="nil"/>
        </w:rPr>
      </w:pPr>
    </w:p>
    <w:p w14:paraId="1A21C0A4" w14:textId="77777777" w:rsidR="004D1F96" w:rsidRPr="00511CD3" w:rsidRDefault="00B10F4D" w:rsidP="008429F6">
      <w:pPr>
        <w:pStyle w:val="parrafos"/>
        <w:numPr>
          <w:ilvl w:val="0"/>
          <w:numId w:val="2"/>
        </w:numPr>
        <w:tabs>
          <w:tab w:val="clear" w:pos="360"/>
          <w:tab w:val="left" w:pos="567"/>
        </w:tabs>
        <w:ind w:left="0" w:firstLine="0"/>
        <w:rPr>
          <w:rFonts w:ascii="Cambria" w:hAnsi="Cambria"/>
          <w:lang w:val="en-US"/>
        </w:rPr>
      </w:pPr>
      <w:r w:rsidRPr="00511CD3">
        <w:rPr>
          <w:rFonts w:ascii="Cambria" w:hAnsi="Cambria"/>
          <w:lang w:val="en-US"/>
        </w:rPr>
        <w:t>The Commission</w:t>
      </w:r>
      <w:r w:rsidR="004D1F96" w:rsidRPr="00511CD3">
        <w:rPr>
          <w:rFonts w:ascii="Cambria" w:hAnsi="Cambria"/>
          <w:lang w:val="en-US"/>
        </w:rPr>
        <w:t xml:space="preserve"> </w:t>
      </w:r>
      <w:r w:rsidR="009B30D5" w:rsidRPr="00511CD3">
        <w:rPr>
          <w:rFonts w:ascii="Cambria" w:hAnsi="Cambria"/>
          <w:lang w:val="en-US"/>
        </w:rPr>
        <w:t xml:space="preserve">points out that its intervention in the instant case is limited to analyzing the alleged international responsibility of the </w:t>
      </w:r>
      <w:r w:rsidR="009C5285" w:rsidRPr="00511CD3">
        <w:rPr>
          <w:rFonts w:ascii="Cambria" w:hAnsi="Cambria"/>
          <w:lang w:val="en-US"/>
        </w:rPr>
        <w:t>Argentine State</w:t>
      </w:r>
      <w:r w:rsidR="004D1F96" w:rsidRPr="00511CD3">
        <w:rPr>
          <w:rFonts w:ascii="Cambria" w:hAnsi="Cambria"/>
          <w:lang w:val="en-US"/>
        </w:rPr>
        <w:t xml:space="preserve"> </w:t>
      </w:r>
      <w:r w:rsidR="009B30D5" w:rsidRPr="00511CD3">
        <w:rPr>
          <w:rFonts w:ascii="Cambria" w:hAnsi="Cambria"/>
          <w:lang w:val="en-US"/>
        </w:rPr>
        <w:t xml:space="preserve">for the violation of rights recognized by </w:t>
      </w:r>
      <w:r w:rsidR="003E59A8" w:rsidRPr="00511CD3">
        <w:rPr>
          <w:rFonts w:ascii="Cambria" w:hAnsi="Cambria"/>
          <w:lang w:val="en-US"/>
        </w:rPr>
        <w:t>the American Convention</w:t>
      </w:r>
      <w:r w:rsidR="009A6D14" w:rsidRPr="00511CD3">
        <w:rPr>
          <w:rFonts w:ascii="Cambria" w:hAnsi="Cambria"/>
          <w:lang w:val="en-US"/>
        </w:rPr>
        <w:t>,</w:t>
      </w:r>
      <w:r w:rsidR="004D1F96" w:rsidRPr="00511CD3">
        <w:rPr>
          <w:rFonts w:ascii="Cambria" w:hAnsi="Cambria"/>
          <w:lang w:val="en-US"/>
        </w:rPr>
        <w:t xml:space="preserve"> </w:t>
      </w:r>
      <w:r w:rsidR="009B30D5" w:rsidRPr="00511CD3">
        <w:rPr>
          <w:rFonts w:ascii="Cambria" w:hAnsi="Cambria"/>
          <w:lang w:val="en-US"/>
        </w:rPr>
        <w:t>to the detriment of “</w:t>
      </w:r>
      <w:r w:rsidR="004D1F96" w:rsidRPr="00511CD3">
        <w:rPr>
          <w:rFonts w:ascii="Cambria" w:hAnsi="Cambria"/>
          <w:lang w:val="en-US"/>
        </w:rPr>
        <w:t>María”</w:t>
      </w:r>
      <w:r w:rsidRPr="00511CD3">
        <w:rPr>
          <w:rFonts w:ascii="Cambria" w:hAnsi="Cambria"/>
          <w:lang w:val="en-US"/>
        </w:rPr>
        <w:t xml:space="preserve"> and </w:t>
      </w:r>
      <w:r w:rsidR="009B30D5" w:rsidRPr="00511CD3">
        <w:rPr>
          <w:rFonts w:ascii="Cambria" w:hAnsi="Cambria"/>
          <w:lang w:val="en-US"/>
        </w:rPr>
        <w:t>her son</w:t>
      </w:r>
      <w:r w:rsidR="004D1F96" w:rsidRPr="00511CD3">
        <w:rPr>
          <w:rFonts w:ascii="Cambria" w:hAnsi="Cambria"/>
          <w:lang w:val="en-US"/>
        </w:rPr>
        <w:t xml:space="preserve">. </w:t>
      </w:r>
      <w:r w:rsidR="009A6D14" w:rsidRPr="00511CD3">
        <w:rPr>
          <w:rFonts w:ascii="Cambria" w:hAnsi="Cambria"/>
          <w:lang w:val="en-US"/>
        </w:rPr>
        <w:t xml:space="preserve"> </w:t>
      </w:r>
      <w:r w:rsidRPr="00511CD3">
        <w:rPr>
          <w:rFonts w:ascii="Cambria" w:hAnsi="Cambria"/>
          <w:lang w:val="en-US"/>
        </w:rPr>
        <w:t>The Commission</w:t>
      </w:r>
      <w:r w:rsidR="00CF4DB8" w:rsidRPr="00511CD3">
        <w:rPr>
          <w:rFonts w:ascii="Cambria" w:hAnsi="Cambria"/>
          <w:lang w:val="en-US"/>
        </w:rPr>
        <w:t xml:space="preserve"> </w:t>
      </w:r>
      <w:r w:rsidR="009B30D5" w:rsidRPr="00511CD3">
        <w:rPr>
          <w:rFonts w:ascii="Cambria" w:hAnsi="Cambria"/>
          <w:lang w:val="en-US"/>
        </w:rPr>
        <w:t>is persuaded that the nature of the facts of this case ma</w:t>
      </w:r>
      <w:r w:rsidR="00C05442" w:rsidRPr="00511CD3">
        <w:rPr>
          <w:rFonts w:ascii="Cambria" w:hAnsi="Cambria"/>
          <w:lang w:val="en-US"/>
        </w:rPr>
        <w:t>k</w:t>
      </w:r>
      <w:r w:rsidR="009B30D5" w:rsidRPr="00511CD3">
        <w:rPr>
          <w:rFonts w:ascii="Cambria" w:hAnsi="Cambria"/>
          <w:lang w:val="en-US"/>
        </w:rPr>
        <w:t xml:space="preserve">e it indispensable </w:t>
      </w:r>
      <w:r w:rsidR="00CE5FBF" w:rsidRPr="00511CD3">
        <w:rPr>
          <w:rFonts w:ascii="Cambria" w:hAnsi="Cambria"/>
          <w:lang w:val="en-US"/>
        </w:rPr>
        <w:t xml:space="preserve">in fulfilling </w:t>
      </w:r>
      <w:r w:rsidR="00C05442" w:rsidRPr="00511CD3">
        <w:rPr>
          <w:rFonts w:ascii="Cambria" w:hAnsi="Cambria"/>
          <w:lang w:val="en-US"/>
        </w:rPr>
        <w:t xml:space="preserve">its functions to </w:t>
      </w:r>
      <w:r w:rsidR="00786FE1" w:rsidRPr="00511CD3">
        <w:rPr>
          <w:rFonts w:ascii="Cambria" w:hAnsi="Cambria"/>
          <w:lang w:val="en-US"/>
        </w:rPr>
        <w:t xml:space="preserve">undertake </w:t>
      </w:r>
      <w:r w:rsidR="00C05442" w:rsidRPr="00511CD3">
        <w:rPr>
          <w:rFonts w:ascii="Cambria" w:hAnsi="Cambria"/>
          <w:lang w:val="en-US"/>
        </w:rPr>
        <w:t>an analysis of the administrative-judicial process</w:t>
      </w:r>
      <w:r w:rsidR="004D1F96" w:rsidRPr="00511CD3">
        <w:rPr>
          <w:rFonts w:ascii="Cambria" w:hAnsi="Cambria"/>
          <w:lang w:val="en-US"/>
        </w:rPr>
        <w:t xml:space="preserve"> </w:t>
      </w:r>
      <w:r w:rsidR="009B30D5" w:rsidRPr="00511CD3">
        <w:rPr>
          <w:rFonts w:ascii="Cambria" w:hAnsi="Cambria"/>
          <w:lang w:val="en-US"/>
        </w:rPr>
        <w:t xml:space="preserve">by which </w:t>
      </w:r>
      <w:r w:rsidR="00540394" w:rsidRPr="00511CD3">
        <w:rPr>
          <w:rFonts w:ascii="Cambria" w:hAnsi="Cambria"/>
          <w:lang w:val="en-US"/>
        </w:rPr>
        <w:t>the child “Mariano”</w:t>
      </w:r>
      <w:r w:rsidR="00CF4DB8" w:rsidRPr="00511CD3">
        <w:rPr>
          <w:rFonts w:ascii="Cambria" w:hAnsi="Cambria"/>
          <w:lang w:val="en-US"/>
        </w:rPr>
        <w:t xml:space="preserve"> </w:t>
      </w:r>
      <w:r w:rsidR="009B30D5" w:rsidRPr="00511CD3">
        <w:rPr>
          <w:rFonts w:ascii="Cambria" w:hAnsi="Cambria"/>
          <w:lang w:val="en-US"/>
        </w:rPr>
        <w:t xml:space="preserve">was ordered to be given to </w:t>
      </w:r>
      <w:r w:rsidR="00975BDF" w:rsidRPr="00511CD3">
        <w:rPr>
          <w:rFonts w:ascii="Cambria" w:hAnsi="Cambria"/>
          <w:lang w:val="en-US"/>
        </w:rPr>
        <w:t>Mr. and Mrs.</w:t>
      </w:r>
      <w:r w:rsidR="009A6D14" w:rsidRPr="00511CD3">
        <w:rPr>
          <w:rFonts w:ascii="Cambria" w:hAnsi="Cambria"/>
          <w:lang w:val="en-US"/>
        </w:rPr>
        <w:t xml:space="preserve"> </w:t>
      </w:r>
      <w:r w:rsidR="00975BDF" w:rsidRPr="00511CD3">
        <w:rPr>
          <w:rFonts w:ascii="Cambria" w:hAnsi="Cambria"/>
          <w:lang w:val="en-US"/>
        </w:rPr>
        <w:t>“López</w:t>
      </w:r>
      <w:r w:rsidR="009A6D14" w:rsidRPr="00511CD3">
        <w:rPr>
          <w:rFonts w:ascii="Cambria" w:hAnsi="Cambria"/>
          <w:lang w:val="en-US"/>
        </w:rPr>
        <w:t>,”</w:t>
      </w:r>
      <w:r w:rsidR="009B30D5" w:rsidRPr="00511CD3">
        <w:rPr>
          <w:rFonts w:ascii="Cambria" w:hAnsi="Cambria"/>
          <w:lang w:val="en-US"/>
        </w:rPr>
        <w:t xml:space="preserve"> </w:t>
      </w:r>
      <w:r w:rsidRPr="00511CD3">
        <w:rPr>
          <w:rFonts w:ascii="Cambria" w:hAnsi="Cambria"/>
          <w:lang w:val="en-US"/>
        </w:rPr>
        <w:t xml:space="preserve">and </w:t>
      </w:r>
      <w:r w:rsidR="009B30D5" w:rsidRPr="00511CD3">
        <w:rPr>
          <w:rFonts w:ascii="Cambria" w:hAnsi="Cambria"/>
          <w:lang w:val="en-US"/>
        </w:rPr>
        <w:t xml:space="preserve">in which, according to the most recent information available to </w:t>
      </w:r>
      <w:r w:rsidRPr="00511CD3">
        <w:rPr>
          <w:rFonts w:ascii="Cambria" w:hAnsi="Cambria"/>
          <w:lang w:val="en-US"/>
        </w:rPr>
        <w:t>the Commission</w:t>
      </w:r>
      <w:r w:rsidR="004D1F96" w:rsidRPr="00511CD3">
        <w:rPr>
          <w:rFonts w:ascii="Cambria" w:hAnsi="Cambria"/>
          <w:lang w:val="en-US"/>
        </w:rPr>
        <w:t xml:space="preserve">, </w:t>
      </w:r>
      <w:r w:rsidR="009B30D5" w:rsidRPr="00511CD3">
        <w:rPr>
          <w:rFonts w:ascii="Cambria" w:hAnsi="Cambria"/>
          <w:lang w:val="en-US"/>
        </w:rPr>
        <w:t>his possible guardianship and adoption is being discussed</w:t>
      </w:r>
      <w:r w:rsidR="00CF4DB8" w:rsidRPr="00511CD3">
        <w:rPr>
          <w:rFonts w:ascii="Cambria" w:hAnsi="Cambria"/>
          <w:lang w:val="en-US"/>
        </w:rPr>
        <w:t xml:space="preserve">. </w:t>
      </w:r>
      <w:r w:rsidR="004D1F96" w:rsidRPr="00511CD3">
        <w:rPr>
          <w:rFonts w:ascii="Cambria" w:hAnsi="Cambria"/>
          <w:lang w:val="en-US"/>
        </w:rPr>
        <w:t xml:space="preserve"> </w:t>
      </w:r>
    </w:p>
    <w:p w14:paraId="1BE81571" w14:textId="77777777" w:rsidR="004D1F96" w:rsidRPr="00511CD3" w:rsidRDefault="004D1F96" w:rsidP="008429F6">
      <w:pPr>
        <w:pStyle w:val="parrafos"/>
        <w:tabs>
          <w:tab w:val="clear" w:pos="360"/>
          <w:tab w:val="left" w:pos="567"/>
        </w:tabs>
        <w:rPr>
          <w:rFonts w:ascii="Cambria" w:hAnsi="Cambria"/>
          <w:lang w:val="en-US"/>
        </w:rPr>
      </w:pPr>
    </w:p>
    <w:p w14:paraId="318B5CEE" w14:textId="77777777" w:rsidR="005401DA" w:rsidRPr="00511CD3" w:rsidRDefault="00C35EF1" w:rsidP="008429F6">
      <w:pPr>
        <w:pStyle w:val="parrafos"/>
        <w:numPr>
          <w:ilvl w:val="0"/>
          <w:numId w:val="2"/>
        </w:numPr>
        <w:tabs>
          <w:tab w:val="clear" w:pos="360"/>
          <w:tab w:val="left" w:pos="567"/>
        </w:tabs>
        <w:ind w:left="0" w:firstLine="0"/>
        <w:rPr>
          <w:rFonts w:ascii="Cambria" w:hAnsi="Cambria"/>
          <w:lang w:val="en-US"/>
        </w:rPr>
      </w:pPr>
      <w:r w:rsidRPr="00511CD3">
        <w:rPr>
          <w:rFonts w:ascii="Cambria" w:hAnsi="Cambria"/>
          <w:lang w:val="en-US"/>
        </w:rPr>
        <w:t>That said</w:t>
      </w:r>
      <w:r w:rsidR="006E2828" w:rsidRPr="00511CD3">
        <w:rPr>
          <w:rFonts w:ascii="Cambria" w:hAnsi="Cambria"/>
          <w:lang w:val="en-US"/>
        </w:rPr>
        <w:t xml:space="preserve">, </w:t>
      </w:r>
      <w:r w:rsidR="00B10F4D" w:rsidRPr="00511CD3">
        <w:rPr>
          <w:rFonts w:ascii="Cambria" w:hAnsi="Cambria"/>
          <w:lang w:val="en-US"/>
        </w:rPr>
        <w:t>the Commission</w:t>
      </w:r>
      <w:r w:rsidR="00F9502B" w:rsidRPr="00511CD3">
        <w:rPr>
          <w:rFonts w:ascii="Cambria" w:hAnsi="Cambria"/>
          <w:lang w:val="en-US"/>
        </w:rPr>
        <w:t xml:space="preserve"> </w:t>
      </w:r>
      <w:r w:rsidR="003F2C6C" w:rsidRPr="00511CD3">
        <w:rPr>
          <w:rFonts w:ascii="Cambria" w:hAnsi="Cambria"/>
          <w:lang w:val="en-US"/>
        </w:rPr>
        <w:t xml:space="preserve">emphasizes that in a </w:t>
      </w:r>
      <w:r w:rsidR="00F44C1F" w:rsidRPr="00511CD3">
        <w:rPr>
          <w:rFonts w:ascii="Cambria" w:hAnsi="Cambria"/>
          <w:lang w:val="en-US"/>
        </w:rPr>
        <w:t>case</w:t>
      </w:r>
      <w:r w:rsidR="003F2C6C" w:rsidRPr="00511CD3">
        <w:rPr>
          <w:rFonts w:ascii="Cambria" w:hAnsi="Cambria"/>
          <w:lang w:val="en-US"/>
        </w:rPr>
        <w:t xml:space="preserve"> such as this, it is not within its jurisdiction to adjudicate rights or legal relationships </w:t>
      </w:r>
      <w:r w:rsidR="009A6D14" w:rsidRPr="00511CD3">
        <w:rPr>
          <w:rFonts w:ascii="Cambria" w:hAnsi="Cambria"/>
          <w:lang w:val="en-US"/>
        </w:rPr>
        <w:t xml:space="preserve">being litigated </w:t>
      </w:r>
      <w:r w:rsidR="003F2C6C" w:rsidRPr="00511CD3">
        <w:rPr>
          <w:rFonts w:ascii="Cambria" w:hAnsi="Cambria"/>
          <w:lang w:val="en-US"/>
        </w:rPr>
        <w:t xml:space="preserve">in </w:t>
      </w:r>
      <w:r w:rsidR="009A6D14" w:rsidRPr="00511CD3">
        <w:rPr>
          <w:rFonts w:ascii="Cambria" w:hAnsi="Cambria"/>
          <w:lang w:val="en-US"/>
        </w:rPr>
        <w:t>national</w:t>
      </w:r>
      <w:r w:rsidR="003F2C6C" w:rsidRPr="00511CD3">
        <w:rPr>
          <w:rFonts w:ascii="Cambria" w:hAnsi="Cambria"/>
          <w:lang w:val="en-US"/>
        </w:rPr>
        <w:t xml:space="preserve"> courts nor to resolve disputes at the domestic level regarding the status of adoptability of the </w:t>
      </w:r>
      <w:r w:rsidR="00540394" w:rsidRPr="00511CD3">
        <w:rPr>
          <w:rFonts w:ascii="Cambria" w:hAnsi="Cambria"/>
          <w:lang w:val="en-US"/>
        </w:rPr>
        <w:t>child “Mariano</w:t>
      </w:r>
      <w:r w:rsidR="003F2C6C" w:rsidRPr="00511CD3">
        <w:rPr>
          <w:rFonts w:ascii="Cambria" w:hAnsi="Cambria"/>
          <w:lang w:val="en-US"/>
        </w:rPr>
        <w:t>,”</w:t>
      </w:r>
      <w:r w:rsidR="00F9502B" w:rsidRPr="00511CD3">
        <w:rPr>
          <w:rFonts w:ascii="Cambria" w:hAnsi="Cambria"/>
          <w:lang w:val="en-US"/>
        </w:rPr>
        <w:t xml:space="preserve"> </w:t>
      </w:r>
      <w:r w:rsidR="003F2C6C" w:rsidRPr="00511CD3">
        <w:rPr>
          <w:rFonts w:ascii="Cambria" w:hAnsi="Cambria"/>
          <w:lang w:val="en-US"/>
        </w:rPr>
        <w:t xml:space="preserve">which, as of the date of approval of this report, remain unresolved.  This </w:t>
      </w:r>
      <w:r w:rsidR="009A6D14" w:rsidRPr="00511CD3">
        <w:rPr>
          <w:rFonts w:ascii="Cambria" w:hAnsi="Cambria"/>
          <w:lang w:val="en-US"/>
        </w:rPr>
        <w:t>opinion</w:t>
      </w:r>
      <w:r w:rsidR="003F2C6C" w:rsidRPr="00511CD3">
        <w:rPr>
          <w:rFonts w:ascii="Cambria" w:hAnsi="Cambria"/>
          <w:lang w:val="en-US"/>
        </w:rPr>
        <w:t xml:space="preserve"> reflects that adopted in Merits Report </w:t>
      </w:r>
      <w:r w:rsidR="00F9502B" w:rsidRPr="00511CD3">
        <w:rPr>
          <w:rFonts w:ascii="Cambria" w:hAnsi="Cambria"/>
          <w:lang w:val="en-US"/>
        </w:rPr>
        <w:t>No.</w:t>
      </w:r>
      <w:r w:rsidR="00496B81" w:rsidRPr="00511CD3">
        <w:rPr>
          <w:rFonts w:ascii="Cambria" w:hAnsi="Cambria"/>
          <w:lang w:val="en-US"/>
        </w:rPr>
        <w:t xml:space="preserve"> </w:t>
      </w:r>
      <w:r w:rsidR="00F9502B" w:rsidRPr="00511CD3">
        <w:rPr>
          <w:rFonts w:ascii="Cambria" w:hAnsi="Cambria"/>
          <w:lang w:val="en-US"/>
        </w:rPr>
        <w:t>83/10</w:t>
      </w:r>
      <w:r w:rsidR="003F2C6C" w:rsidRPr="00511CD3">
        <w:rPr>
          <w:rFonts w:ascii="Cambria" w:hAnsi="Cambria"/>
          <w:lang w:val="en-US"/>
        </w:rPr>
        <w:t xml:space="preserve">, in the case of </w:t>
      </w:r>
      <w:r w:rsidR="009A6D14" w:rsidRPr="00511CD3">
        <w:rPr>
          <w:rFonts w:ascii="Cambria" w:hAnsi="Cambria"/>
          <w:lang w:val="en-US"/>
        </w:rPr>
        <w:t xml:space="preserve">Milagros </w:t>
      </w:r>
      <w:r w:rsidR="00F9502B" w:rsidRPr="00511CD3">
        <w:rPr>
          <w:rFonts w:ascii="Cambria" w:hAnsi="Cambria"/>
          <w:lang w:val="en-US"/>
        </w:rPr>
        <w:t xml:space="preserve">Fornerón </w:t>
      </w:r>
      <w:r w:rsidR="003F2C6C" w:rsidRPr="00511CD3">
        <w:rPr>
          <w:rFonts w:ascii="Cambria" w:hAnsi="Cambria"/>
          <w:lang w:val="en-US"/>
        </w:rPr>
        <w:t xml:space="preserve">and Leonardo Aníbal Javier Fornerón </w:t>
      </w:r>
      <w:r w:rsidR="00F9502B" w:rsidRPr="00511CD3">
        <w:rPr>
          <w:rFonts w:ascii="Cambria" w:hAnsi="Cambria"/>
          <w:lang w:val="en-US"/>
        </w:rPr>
        <w:t>v. Argentina.</w:t>
      </w:r>
      <w:r w:rsidR="00B56033" w:rsidRPr="00511CD3">
        <w:rPr>
          <w:rFonts w:ascii="Cambria" w:hAnsi="Cambria"/>
          <w:lang w:val="en-US"/>
        </w:rPr>
        <w:t xml:space="preserve"> </w:t>
      </w:r>
      <w:r w:rsidR="003F2C6C" w:rsidRPr="00511CD3">
        <w:rPr>
          <w:rFonts w:ascii="Cambria" w:hAnsi="Cambria"/>
          <w:lang w:val="en-US"/>
        </w:rPr>
        <w:t xml:space="preserve">On that occasion, </w:t>
      </w:r>
      <w:r w:rsidR="00B10F4D" w:rsidRPr="00511CD3">
        <w:rPr>
          <w:rFonts w:ascii="Cambria" w:hAnsi="Cambria"/>
          <w:lang w:val="en-US"/>
        </w:rPr>
        <w:t>the Commission</w:t>
      </w:r>
      <w:r w:rsidR="00F9502B" w:rsidRPr="00511CD3">
        <w:rPr>
          <w:rFonts w:ascii="Cambria" w:hAnsi="Cambria"/>
          <w:lang w:val="en-US"/>
        </w:rPr>
        <w:t xml:space="preserve"> </w:t>
      </w:r>
      <w:r w:rsidR="003F2C6C" w:rsidRPr="00511CD3">
        <w:rPr>
          <w:rFonts w:ascii="Cambria" w:hAnsi="Cambria"/>
          <w:lang w:val="en-US"/>
        </w:rPr>
        <w:t xml:space="preserve">also clarified that the purpose </w:t>
      </w:r>
      <w:r w:rsidR="005401DA" w:rsidRPr="00511CD3">
        <w:rPr>
          <w:rFonts w:ascii="Cambria" w:hAnsi="Cambria"/>
          <w:lang w:val="en-US"/>
        </w:rPr>
        <w:t xml:space="preserve">of its opinion </w:t>
      </w:r>
      <w:r w:rsidR="00BF00A0" w:rsidRPr="00511CD3">
        <w:rPr>
          <w:rFonts w:ascii="Cambria" w:hAnsi="Cambria"/>
          <w:lang w:val="en-US"/>
        </w:rPr>
        <w:t>was not to determine</w:t>
      </w:r>
      <w:r w:rsidR="005401DA" w:rsidRPr="00511CD3">
        <w:rPr>
          <w:rFonts w:ascii="Cambria" w:hAnsi="Cambria"/>
          <w:lang w:val="en-US"/>
        </w:rPr>
        <w:t xml:space="preserve"> whether the guardianship and subsequent simple adoption of the child belonged to the alleged victim in the case or </w:t>
      </w:r>
      <w:r w:rsidR="009A6D14" w:rsidRPr="00511CD3">
        <w:rPr>
          <w:rFonts w:ascii="Cambria" w:hAnsi="Cambria"/>
          <w:lang w:val="en-US"/>
        </w:rPr>
        <w:t>the married couple with whom his</w:t>
      </w:r>
      <w:r w:rsidR="005401DA" w:rsidRPr="00511CD3">
        <w:rPr>
          <w:rFonts w:ascii="Cambria" w:hAnsi="Cambria"/>
          <w:lang w:val="en-US"/>
        </w:rPr>
        <w:t xml:space="preserve"> biological daughter lived, but rather to </w:t>
      </w:r>
      <w:r w:rsidR="00F44C1F" w:rsidRPr="00511CD3">
        <w:rPr>
          <w:rFonts w:ascii="Cambria" w:hAnsi="Cambria"/>
          <w:lang w:val="en-US"/>
        </w:rPr>
        <w:t>elucidate</w:t>
      </w:r>
      <w:r w:rsidR="005401DA" w:rsidRPr="00511CD3">
        <w:rPr>
          <w:rFonts w:ascii="Cambria" w:hAnsi="Cambria"/>
          <w:lang w:val="en-US"/>
        </w:rPr>
        <w:t xml:space="preserve"> whether in the proceedings, the courts respected the rights set forth in the American Convention.</w:t>
      </w:r>
      <w:r w:rsidR="005401DA" w:rsidRPr="00511CD3">
        <w:rPr>
          <w:rStyle w:val="FootnoteReference"/>
          <w:rFonts w:ascii="Cambria" w:hAnsi="Cambria"/>
          <w:lang w:val="en-US"/>
        </w:rPr>
        <w:footnoteReference w:id="12"/>
      </w:r>
    </w:p>
    <w:p w14:paraId="4A78D7DF" w14:textId="77777777" w:rsidR="00BD36ED" w:rsidRPr="00511CD3" w:rsidRDefault="00BD36ED" w:rsidP="008429F6">
      <w:pPr>
        <w:pStyle w:val="parrafos"/>
        <w:tabs>
          <w:tab w:val="clear" w:pos="360"/>
          <w:tab w:val="left" w:pos="567"/>
        </w:tabs>
        <w:rPr>
          <w:rFonts w:ascii="Cambria" w:hAnsi="Cambria"/>
          <w:lang w:val="en-US"/>
        </w:rPr>
      </w:pPr>
    </w:p>
    <w:p w14:paraId="18FE75CF" w14:textId="77777777" w:rsidR="005B3F25" w:rsidRPr="00511CD3" w:rsidRDefault="005401DA" w:rsidP="001F30EC">
      <w:pPr>
        <w:pStyle w:val="parrafos"/>
        <w:numPr>
          <w:ilvl w:val="0"/>
          <w:numId w:val="2"/>
        </w:numPr>
        <w:tabs>
          <w:tab w:val="clear" w:pos="360"/>
          <w:tab w:val="left" w:pos="567"/>
        </w:tabs>
        <w:ind w:left="0" w:firstLine="0"/>
        <w:rPr>
          <w:rFonts w:ascii="Cambria" w:hAnsi="Cambria"/>
          <w:lang w:val="en-US"/>
        </w:rPr>
      </w:pPr>
      <w:r w:rsidRPr="00511CD3">
        <w:rPr>
          <w:rFonts w:ascii="Cambria" w:hAnsi="Cambria"/>
          <w:lang w:val="en-US"/>
        </w:rPr>
        <w:t>Additionally, from a</w:t>
      </w:r>
      <w:r w:rsidR="00CF0721" w:rsidRPr="00511CD3">
        <w:rPr>
          <w:rFonts w:ascii="Cambria" w:hAnsi="Cambria"/>
          <w:lang w:val="en-US"/>
        </w:rPr>
        <w:t xml:space="preserve"> practica</w:t>
      </w:r>
      <w:r w:rsidRPr="00511CD3">
        <w:rPr>
          <w:rFonts w:ascii="Cambria" w:hAnsi="Cambria"/>
          <w:lang w:val="en-US"/>
        </w:rPr>
        <w:t xml:space="preserve">l </w:t>
      </w:r>
      <w:r w:rsidR="0030380F" w:rsidRPr="00511CD3">
        <w:rPr>
          <w:rFonts w:ascii="Cambria" w:hAnsi="Cambria"/>
          <w:lang w:val="en-US"/>
        </w:rPr>
        <w:t>standpoint</w:t>
      </w:r>
      <w:r w:rsidR="00810288" w:rsidRPr="00511CD3">
        <w:rPr>
          <w:rFonts w:ascii="Cambria" w:hAnsi="Cambria"/>
          <w:lang w:val="en-US"/>
        </w:rPr>
        <w:t xml:space="preserve">, </w:t>
      </w:r>
      <w:r w:rsidR="00B10F4D" w:rsidRPr="00511CD3">
        <w:rPr>
          <w:rFonts w:ascii="Cambria" w:hAnsi="Cambria"/>
          <w:lang w:val="en-US"/>
        </w:rPr>
        <w:t>the Commission</w:t>
      </w:r>
      <w:r w:rsidR="005B3F25" w:rsidRPr="00511CD3">
        <w:rPr>
          <w:rFonts w:ascii="Cambria" w:hAnsi="Cambria"/>
          <w:lang w:val="en-US"/>
        </w:rPr>
        <w:t xml:space="preserve"> </w:t>
      </w:r>
      <w:r w:rsidRPr="00511CD3">
        <w:rPr>
          <w:rFonts w:ascii="Cambria" w:hAnsi="Cambria"/>
          <w:lang w:val="en-US"/>
        </w:rPr>
        <w:t>understands that not it but the judicial authorities involved in the case</w:t>
      </w:r>
      <w:r w:rsidR="009A6D14" w:rsidRPr="00511CD3">
        <w:rPr>
          <w:rFonts w:ascii="Cambria" w:hAnsi="Cambria"/>
          <w:lang w:val="en-US"/>
        </w:rPr>
        <w:t xml:space="preserve"> </w:t>
      </w:r>
      <w:r w:rsidR="001F30EC" w:rsidRPr="00511CD3">
        <w:rPr>
          <w:rFonts w:ascii="Cambria" w:hAnsi="Cambria"/>
          <w:lang w:val="en-US"/>
        </w:rPr>
        <w:t xml:space="preserve">who </w:t>
      </w:r>
      <w:r w:rsidRPr="00511CD3">
        <w:rPr>
          <w:rFonts w:ascii="Cambria" w:hAnsi="Cambria"/>
          <w:lang w:val="en-US"/>
        </w:rPr>
        <w:t xml:space="preserve">have assistance and advice </w:t>
      </w:r>
      <w:r w:rsidR="006B0001" w:rsidRPr="00511CD3">
        <w:rPr>
          <w:rFonts w:ascii="Cambria" w:hAnsi="Cambria"/>
          <w:lang w:val="en-US"/>
        </w:rPr>
        <w:t>from t</w:t>
      </w:r>
      <w:r w:rsidRPr="00511CD3">
        <w:rPr>
          <w:rFonts w:ascii="Cambria" w:hAnsi="Cambria"/>
          <w:lang w:val="en-US"/>
        </w:rPr>
        <w:t>he professionals</w:t>
      </w:r>
      <w:r w:rsidR="006B0001" w:rsidRPr="00511CD3">
        <w:rPr>
          <w:rFonts w:ascii="Cambria" w:hAnsi="Cambria"/>
          <w:lang w:val="en-US"/>
        </w:rPr>
        <w:t xml:space="preserve"> required</w:t>
      </w:r>
      <w:r w:rsidR="001F30EC" w:rsidRPr="00511CD3">
        <w:rPr>
          <w:rFonts w:ascii="Cambria" w:hAnsi="Cambria"/>
          <w:lang w:val="en-US"/>
        </w:rPr>
        <w:t>—</w:t>
      </w:r>
      <w:r w:rsidRPr="00511CD3">
        <w:rPr>
          <w:rFonts w:ascii="Cambria" w:hAnsi="Cambria"/>
          <w:lang w:val="en-US"/>
        </w:rPr>
        <w:lastRenderedPageBreak/>
        <w:t>psychologists and social workers, among others</w:t>
      </w:r>
      <w:r w:rsidR="001F30EC" w:rsidRPr="00511CD3">
        <w:rPr>
          <w:rFonts w:ascii="Cambria" w:hAnsi="Cambria"/>
          <w:lang w:val="en-US"/>
        </w:rPr>
        <w:t>—</w:t>
      </w:r>
      <w:r w:rsidRPr="00511CD3">
        <w:rPr>
          <w:rFonts w:ascii="Cambria" w:hAnsi="Cambria"/>
          <w:lang w:val="en-US"/>
        </w:rPr>
        <w:t xml:space="preserve">to take informed and </w:t>
      </w:r>
      <w:r w:rsidR="001F30EC" w:rsidRPr="00511CD3">
        <w:rPr>
          <w:rFonts w:ascii="Cambria" w:hAnsi="Cambria"/>
          <w:lang w:val="en-US"/>
        </w:rPr>
        <w:t>s</w:t>
      </w:r>
      <w:r w:rsidRPr="00511CD3">
        <w:rPr>
          <w:rFonts w:ascii="Cambria" w:hAnsi="Cambria"/>
          <w:lang w:val="en-US"/>
        </w:rPr>
        <w:t>u</w:t>
      </w:r>
      <w:r w:rsidR="001F30EC" w:rsidRPr="00511CD3">
        <w:rPr>
          <w:rFonts w:ascii="Cambria" w:hAnsi="Cambria"/>
          <w:lang w:val="en-US"/>
        </w:rPr>
        <w:t>bstantiat</w:t>
      </w:r>
      <w:r w:rsidRPr="00511CD3">
        <w:rPr>
          <w:rFonts w:ascii="Cambria" w:hAnsi="Cambria"/>
          <w:lang w:val="en-US"/>
        </w:rPr>
        <w:t>ed deci</w:t>
      </w:r>
      <w:r w:rsidR="00F44C1F" w:rsidRPr="00511CD3">
        <w:rPr>
          <w:rFonts w:ascii="Cambria" w:hAnsi="Cambria"/>
          <w:lang w:val="en-US"/>
        </w:rPr>
        <w:t>si</w:t>
      </w:r>
      <w:r w:rsidRPr="00511CD3">
        <w:rPr>
          <w:rFonts w:ascii="Cambria" w:hAnsi="Cambria"/>
          <w:lang w:val="en-US"/>
        </w:rPr>
        <w:t>ons regarding t</w:t>
      </w:r>
      <w:r w:rsidR="009A6D14" w:rsidRPr="00511CD3">
        <w:rPr>
          <w:rFonts w:ascii="Cambria" w:hAnsi="Cambria"/>
          <w:lang w:val="en-US"/>
        </w:rPr>
        <w:t>he</w:t>
      </w:r>
      <w:r w:rsidRPr="00511CD3">
        <w:rPr>
          <w:rFonts w:ascii="Cambria" w:hAnsi="Cambria"/>
          <w:lang w:val="en-US"/>
        </w:rPr>
        <w:t xml:space="preserve"> disposition of the child aimed at ensuring, above any other consideration, his </w:t>
      </w:r>
      <w:r w:rsidR="009A6D14" w:rsidRPr="00511CD3">
        <w:rPr>
          <w:rFonts w:ascii="Cambria" w:hAnsi="Cambria"/>
          <w:lang w:val="en-US"/>
        </w:rPr>
        <w:t xml:space="preserve">or her best </w:t>
      </w:r>
      <w:r w:rsidRPr="00511CD3">
        <w:rPr>
          <w:rFonts w:ascii="Cambria" w:hAnsi="Cambria"/>
          <w:lang w:val="en-US"/>
        </w:rPr>
        <w:t>interest</w:t>
      </w:r>
      <w:r w:rsidR="0009630C" w:rsidRPr="00511CD3">
        <w:rPr>
          <w:rFonts w:ascii="Cambria" w:hAnsi="Cambria"/>
          <w:lang w:val="en-US"/>
        </w:rPr>
        <w:t>s</w:t>
      </w:r>
      <w:r w:rsidRPr="00511CD3">
        <w:rPr>
          <w:rFonts w:ascii="Cambria" w:hAnsi="Cambria"/>
          <w:lang w:val="en-US"/>
        </w:rPr>
        <w:t>, ultimate aim of any type of intervention by any national or supranational public authority</w:t>
      </w:r>
      <w:r w:rsidR="00EB14AF" w:rsidRPr="00511CD3">
        <w:rPr>
          <w:rFonts w:ascii="Cambria" w:hAnsi="Cambria"/>
          <w:lang w:val="en-US"/>
        </w:rPr>
        <w:t xml:space="preserve">. </w:t>
      </w:r>
    </w:p>
    <w:p w14:paraId="74FA39F9" w14:textId="77777777" w:rsidR="00BD36ED" w:rsidRPr="00511CD3" w:rsidRDefault="00BD36ED" w:rsidP="008429F6">
      <w:pPr>
        <w:pStyle w:val="parrafos"/>
        <w:tabs>
          <w:tab w:val="clear" w:pos="360"/>
          <w:tab w:val="left" w:pos="567"/>
        </w:tabs>
        <w:rPr>
          <w:rFonts w:ascii="Cambria" w:hAnsi="Cambria"/>
          <w:lang w:val="en-US"/>
        </w:rPr>
      </w:pPr>
    </w:p>
    <w:p w14:paraId="3E8EF301" w14:textId="77777777" w:rsidR="0078139C" w:rsidRPr="00511CD3" w:rsidRDefault="005401DA" w:rsidP="008429F6">
      <w:pPr>
        <w:pStyle w:val="parrafos"/>
        <w:numPr>
          <w:ilvl w:val="0"/>
          <w:numId w:val="2"/>
        </w:numPr>
        <w:tabs>
          <w:tab w:val="clear" w:pos="360"/>
          <w:tab w:val="left" w:pos="567"/>
        </w:tabs>
        <w:ind w:left="0" w:firstLine="0"/>
        <w:rPr>
          <w:rFonts w:ascii="Cambria" w:hAnsi="Cambria"/>
          <w:lang w:val="en-US"/>
        </w:rPr>
      </w:pPr>
      <w:r w:rsidRPr="00511CD3">
        <w:rPr>
          <w:rFonts w:ascii="Cambria" w:hAnsi="Cambria"/>
          <w:lang w:val="en-US"/>
        </w:rPr>
        <w:t>Therefore, the</w:t>
      </w:r>
      <w:r w:rsidR="0078139C" w:rsidRPr="00511CD3">
        <w:rPr>
          <w:rFonts w:ascii="Cambria" w:hAnsi="Cambria"/>
          <w:lang w:val="en-US"/>
        </w:rPr>
        <w:t xml:space="preserve"> </w:t>
      </w:r>
      <w:r w:rsidR="00B10F4D" w:rsidRPr="00511CD3">
        <w:rPr>
          <w:rFonts w:ascii="Cambria" w:hAnsi="Cambria"/>
          <w:lang w:val="en-US"/>
        </w:rPr>
        <w:t>IACHR</w:t>
      </w:r>
      <w:r w:rsidR="00C3440D" w:rsidRPr="00511CD3">
        <w:rPr>
          <w:rFonts w:ascii="Cambria" w:hAnsi="Cambria"/>
          <w:lang w:val="en-US"/>
        </w:rPr>
        <w:t xml:space="preserve"> </w:t>
      </w:r>
      <w:r w:rsidR="00B9394F" w:rsidRPr="00511CD3">
        <w:rPr>
          <w:rFonts w:ascii="Cambria" w:hAnsi="Cambria"/>
          <w:lang w:val="en-US"/>
        </w:rPr>
        <w:t>consider</w:t>
      </w:r>
      <w:r w:rsidRPr="00511CD3">
        <w:rPr>
          <w:rFonts w:ascii="Cambria" w:hAnsi="Cambria"/>
          <w:lang w:val="en-US"/>
        </w:rPr>
        <w:t>s that it is</w:t>
      </w:r>
      <w:r w:rsidR="0030380F" w:rsidRPr="00511CD3">
        <w:rPr>
          <w:rFonts w:ascii="Cambria" w:hAnsi="Cambria"/>
          <w:lang w:val="en-US"/>
        </w:rPr>
        <w:t xml:space="preserve"> not in a</w:t>
      </w:r>
      <w:r w:rsidR="009A6D14" w:rsidRPr="00511CD3">
        <w:rPr>
          <w:rFonts w:ascii="Cambria" w:hAnsi="Cambria"/>
          <w:lang w:val="en-US"/>
        </w:rPr>
        <w:t xml:space="preserve"> practical</w:t>
      </w:r>
      <w:r w:rsidR="0030380F" w:rsidRPr="00511CD3">
        <w:rPr>
          <w:rFonts w:ascii="Cambria" w:hAnsi="Cambria"/>
          <w:lang w:val="en-US"/>
        </w:rPr>
        <w:t xml:space="preserve"> condition</w:t>
      </w:r>
      <w:r w:rsidR="0078139C" w:rsidRPr="00511CD3">
        <w:rPr>
          <w:rFonts w:ascii="Cambria" w:hAnsi="Cambria"/>
          <w:lang w:val="en-US"/>
        </w:rPr>
        <w:t xml:space="preserve"> </w:t>
      </w:r>
      <w:r w:rsidR="0030380F" w:rsidRPr="00511CD3">
        <w:rPr>
          <w:rFonts w:ascii="Cambria" w:hAnsi="Cambria"/>
          <w:lang w:val="en-US"/>
        </w:rPr>
        <w:t xml:space="preserve">nor does it have jurisdiction to rule on the child’s filial ties in the terms of Article </w:t>
      </w:r>
      <w:r w:rsidR="008D02AF" w:rsidRPr="00511CD3">
        <w:rPr>
          <w:rFonts w:ascii="Cambria" w:hAnsi="Cambria"/>
          <w:lang w:val="en-US"/>
        </w:rPr>
        <w:t xml:space="preserve">558 </w:t>
      </w:r>
      <w:r w:rsidR="0030380F" w:rsidRPr="00511CD3">
        <w:rPr>
          <w:rFonts w:ascii="Cambria" w:hAnsi="Cambria"/>
          <w:lang w:val="en-US"/>
        </w:rPr>
        <w:t>of the Argentine Civil Code</w:t>
      </w:r>
      <w:r w:rsidR="0078139C" w:rsidRPr="00511CD3">
        <w:rPr>
          <w:rFonts w:ascii="Cambria" w:hAnsi="Cambria"/>
          <w:lang w:val="en-US"/>
        </w:rPr>
        <w:t>,</w:t>
      </w:r>
      <w:r w:rsidR="00B10F4D" w:rsidRPr="00511CD3">
        <w:rPr>
          <w:rFonts w:ascii="Cambria" w:hAnsi="Cambria"/>
          <w:lang w:val="en-US"/>
        </w:rPr>
        <w:t xml:space="preserve"> and</w:t>
      </w:r>
      <w:r w:rsidR="0030380F" w:rsidRPr="00511CD3">
        <w:rPr>
          <w:rFonts w:ascii="Cambria" w:hAnsi="Cambria"/>
          <w:lang w:val="en-US"/>
        </w:rPr>
        <w:t xml:space="preserve">, therefore, in this report, it will not opine as to how “Mariano’s” guardianship and adoption proceedings </w:t>
      </w:r>
      <w:r w:rsidR="00B10F4D" w:rsidRPr="00511CD3">
        <w:rPr>
          <w:rFonts w:ascii="Cambria" w:hAnsi="Cambria"/>
          <w:lang w:val="en-US"/>
        </w:rPr>
        <w:t xml:space="preserve"> </w:t>
      </w:r>
      <w:r w:rsidR="0030380F" w:rsidRPr="00511CD3">
        <w:rPr>
          <w:rFonts w:ascii="Cambria" w:hAnsi="Cambria"/>
          <w:lang w:val="en-US"/>
        </w:rPr>
        <w:t>should be resolved nor regarding the legal ties that the chil</w:t>
      </w:r>
      <w:r w:rsidR="000D0E3C" w:rsidRPr="00511CD3">
        <w:rPr>
          <w:rFonts w:ascii="Cambria" w:hAnsi="Cambria"/>
          <w:lang w:val="en-US"/>
        </w:rPr>
        <w:t>d</w:t>
      </w:r>
      <w:r w:rsidR="0030380F" w:rsidRPr="00511CD3">
        <w:rPr>
          <w:rFonts w:ascii="Cambria" w:hAnsi="Cambria"/>
          <w:lang w:val="en-US"/>
        </w:rPr>
        <w:t xml:space="preserve"> has or will have in the future with </w:t>
      </w:r>
      <w:r w:rsidR="00975BDF" w:rsidRPr="00511CD3">
        <w:rPr>
          <w:rFonts w:ascii="Cambria" w:hAnsi="Cambria"/>
          <w:lang w:val="en-US"/>
        </w:rPr>
        <w:t xml:space="preserve">Mr. and </w:t>
      </w:r>
      <w:r w:rsidR="009A6D14" w:rsidRPr="00511CD3">
        <w:rPr>
          <w:rFonts w:ascii="Cambria" w:hAnsi="Cambria"/>
          <w:lang w:val="en-US"/>
        </w:rPr>
        <w:t>Mrs. “López</w:t>
      </w:r>
      <w:r w:rsidR="0009630C" w:rsidRPr="00511CD3">
        <w:rPr>
          <w:rFonts w:ascii="Cambria" w:hAnsi="Cambria"/>
          <w:lang w:val="en-US"/>
        </w:rPr>
        <w:t>.</w:t>
      </w:r>
      <w:r w:rsidR="009A6D14" w:rsidRPr="00511CD3">
        <w:rPr>
          <w:rFonts w:ascii="Cambria" w:hAnsi="Cambria"/>
          <w:lang w:val="en-US"/>
        </w:rPr>
        <w:t>”</w:t>
      </w:r>
    </w:p>
    <w:p w14:paraId="0D0D366C" w14:textId="77777777" w:rsidR="0078139C" w:rsidRPr="00511CD3" w:rsidRDefault="0078139C" w:rsidP="008429F6">
      <w:pPr>
        <w:pStyle w:val="parrafos"/>
        <w:tabs>
          <w:tab w:val="clear" w:pos="360"/>
          <w:tab w:val="left" w:pos="567"/>
        </w:tabs>
        <w:rPr>
          <w:rFonts w:ascii="Cambria" w:hAnsi="Cambria"/>
          <w:lang w:val="en-US"/>
        </w:rPr>
      </w:pPr>
    </w:p>
    <w:p w14:paraId="4EED8488" w14:textId="77777777" w:rsidR="001E2CF2" w:rsidRPr="00511CD3" w:rsidRDefault="000D0E3C" w:rsidP="008429F6">
      <w:pPr>
        <w:pStyle w:val="parrafos"/>
        <w:numPr>
          <w:ilvl w:val="0"/>
          <w:numId w:val="2"/>
        </w:numPr>
        <w:tabs>
          <w:tab w:val="clear" w:pos="360"/>
          <w:tab w:val="left" w:pos="567"/>
        </w:tabs>
        <w:ind w:left="0" w:firstLine="0"/>
        <w:rPr>
          <w:rFonts w:ascii="Cambria" w:hAnsi="Cambria"/>
          <w:lang w:val="en-US"/>
        </w:rPr>
      </w:pPr>
      <w:r w:rsidRPr="00511CD3">
        <w:rPr>
          <w:rFonts w:ascii="Cambria" w:eastAsia="Calibri" w:hAnsi="Cambria"/>
          <w:lang w:val="en-US"/>
        </w:rPr>
        <w:t xml:space="preserve">For all these </w:t>
      </w:r>
      <w:r w:rsidR="00F44C1F" w:rsidRPr="00511CD3">
        <w:rPr>
          <w:rFonts w:ascii="Cambria" w:eastAsia="Calibri" w:hAnsi="Cambria"/>
          <w:lang w:val="en-US"/>
        </w:rPr>
        <w:t>reasons</w:t>
      </w:r>
      <w:r w:rsidRPr="00511CD3">
        <w:rPr>
          <w:rFonts w:ascii="Cambria" w:eastAsia="Calibri" w:hAnsi="Cambria"/>
          <w:lang w:val="en-US"/>
        </w:rPr>
        <w:t xml:space="preserve"> and in the terms of the scope of its intervention set out in the paragraphs </w:t>
      </w:r>
      <w:r w:rsidRPr="00511CD3">
        <w:rPr>
          <w:rFonts w:ascii="Cambria" w:eastAsia="Calibri" w:hAnsi="Cambria"/>
          <w:i/>
          <w:lang w:val="en-US"/>
        </w:rPr>
        <w:t>supra</w:t>
      </w:r>
      <w:r w:rsidR="003D4A21" w:rsidRPr="00511CD3">
        <w:rPr>
          <w:rFonts w:ascii="Cambria" w:eastAsia="Calibri" w:hAnsi="Cambria"/>
          <w:i/>
          <w:lang w:val="en-US"/>
        </w:rPr>
        <w:t>,</w:t>
      </w:r>
      <w:r w:rsidR="00585D34" w:rsidRPr="00511CD3">
        <w:rPr>
          <w:rFonts w:ascii="Cambria" w:eastAsia="Calibri" w:hAnsi="Cambria"/>
          <w:lang w:val="en-US"/>
        </w:rPr>
        <w:t xml:space="preserve"> </w:t>
      </w:r>
      <w:r w:rsidR="00B10F4D" w:rsidRPr="00511CD3">
        <w:rPr>
          <w:rFonts w:ascii="Cambria" w:eastAsia="Calibri" w:hAnsi="Cambria"/>
          <w:lang w:val="en-US"/>
        </w:rPr>
        <w:t>the Commission</w:t>
      </w:r>
      <w:r w:rsidR="001E2CF2" w:rsidRPr="00511CD3">
        <w:rPr>
          <w:rFonts w:ascii="Cambria" w:eastAsia="Calibri" w:hAnsi="Cambria"/>
          <w:lang w:val="en-US"/>
        </w:rPr>
        <w:t xml:space="preserve"> consider</w:t>
      </w:r>
      <w:r w:rsidRPr="00511CD3">
        <w:rPr>
          <w:rFonts w:ascii="Cambria" w:eastAsia="Calibri" w:hAnsi="Cambria"/>
          <w:lang w:val="en-US"/>
        </w:rPr>
        <w:t>s that, if proven, the facts set</w:t>
      </w:r>
      <w:r w:rsidR="001E2CF2" w:rsidRPr="00511CD3">
        <w:rPr>
          <w:rFonts w:ascii="Cambria" w:eastAsia="Calibri" w:hAnsi="Cambria"/>
          <w:lang w:val="en-US"/>
        </w:rPr>
        <w:t xml:space="preserve"> </w:t>
      </w:r>
      <w:r w:rsidRPr="00511CD3">
        <w:rPr>
          <w:rFonts w:ascii="Cambria" w:eastAsia="Calibri" w:hAnsi="Cambria"/>
          <w:lang w:val="en-US"/>
        </w:rPr>
        <w:t xml:space="preserve">out by the </w:t>
      </w:r>
      <w:r w:rsidR="002E08A7" w:rsidRPr="00511CD3">
        <w:rPr>
          <w:rFonts w:ascii="Cambria" w:eastAsia="Calibri" w:hAnsi="Cambria"/>
          <w:lang w:val="en-US"/>
        </w:rPr>
        <w:t>petitioner</w:t>
      </w:r>
      <w:r w:rsidRPr="00511CD3">
        <w:rPr>
          <w:rFonts w:ascii="Cambria" w:eastAsia="Calibri" w:hAnsi="Cambria"/>
          <w:lang w:val="en-US"/>
        </w:rPr>
        <w:t xml:space="preserve">s may constitute a violation of the rights set forth in Articles </w:t>
      </w:r>
      <w:r w:rsidR="001E2CF2" w:rsidRPr="00511CD3">
        <w:rPr>
          <w:rFonts w:ascii="Cambria" w:eastAsia="Calibri" w:hAnsi="Cambria"/>
          <w:lang w:val="en-US"/>
        </w:rPr>
        <w:t>8.1, 25,</w:t>
      </w:r>
      <w:r w:rsidR="00FF36FC" w:rsidRPr="00511CD3">
        <w:rPr>
          <w:rFonts w:ascii="Cambria" w:eastAsia="Calibri" w:hAnsi="Cambria"/>
          <w:lang w:val="en-US"/>
        </w:rPr>
        <w:t xml:space="preserve"> 11.2,</w:t>
      </w:r>
      <w:r w:rsidR="001E2CF2" w:rsidRPr="00511CD3">
        <w:rPr>
          <w:rFonts w:ascii="Cambria" w:eastAsia="Calibri" w:hAnsi="Cambria"/>
          <w:lang w:val="en-US"/>
        </w:rPr>
        <w:t xml:space="preserve"> 17</w:t>
      </w:r>
      <w:r w:rsidRPr="00511CD3">
        <w:rPr>
          <w:rFonts w:ascii="Cambria" w:eastAsia="Calibri" w:hAnsi="Cambria"/>
          <w:lang w:val="en-US"/>
        </w:rPr>
        <w:t>,</w:t>
      </w:r>
      <w:r w:rsidR="00B10F4D" w:rsidRPr="00511CD3">
        <w:rPr>
          <w:rFonts w:ascii="Cambria" w:eastAsia="Calibri" w:hAnsi="Cambria"/>
          <w:lang w:val="en-US"/>
        </w:rPr>
        <w:t xml:space="preserve"> and </w:t>
      </w:r>
      <w:r w:rsidR="001E2CF2" w:rsidRPr="00511CD3">
        <w:rPr>
          <w:rFonts w:ascii="Cambria" w:eastAsia="Calibri" w:hAnsi="Cambria"/>
          <w:lang w:val="en-US"/>
        </w:rPr>
        <w:t xml:space="preserve">19 </w:t>
      </w:r>
      <w:r w:rsidRPr="00511CD3">
        <w:rPr>
          <w:rFonts w:ascii="Cambria" w:eastAsia="Calibri" w:hAnsi="Cambria"/>
          <w:lang w:val="en-US"/>
        </w:rPr>
        <w:t xml:space="preserve">of </w:t>
      </w:r>
      <w:r w:rsidR="003E59A8" w:rsidRPr="00511CD3">
        <w:rPr>
          <w:rFonts w:ascii="Cambria" w:eastAsia="Calibri" w:hAnsi="Cambria"/>
          <w:lang w:val="en-US"/>
        </w:rPr>
        <w:t>the American Convention</w:t>
      </w:r>
      <w:r w:rsidR="0009630C" w:rsidRPr="00511CD3">
        <w:rPr>
          <w:rFonts w:ascii="Cambria" w:eastAsia="Calibri" w:hAnsi="Cambria"/>
          <w:lang w:val="en-US"/>
        </w:rPr>
        <w:t>,</w:t>
      </w:r>
      <w:r w:rsidR="001E2CF2" w:rsidRPr="00511CD3">
        <w:rPr>
          <w:rFonts w:ascii="Cambria" w:eastAsia="Calibri" w:hAnsi="Cambria"/>
          <w:lang w:val="en-US"/>
        </w:rPr>
        <w:t xml:space="preserve"> </w:t>
      </w:r>
      <w:r w:rsidRPr="00511CD3">
        <w:rPr>
          <w:rFonts w:ascii="Cambria" w:eastAsia="Calibri" w:hAnsi="Cambria"/>
          <w:lang w:val="en-US"/>
        </w:rPr>
        <w:t>read in conjunction with the</w:t>
      </w:r>
      <w:r w:rsidR="0009630C" w:rsidRPr="00511CD3">
        <w:rPr>
          <w:rFonts w:ascii="Cambria" w:eastAsia="Calibri" w:hAnsi="Cambria"/>
          <w:lang w:val="en-US"/>
        </w:rPr>
        <w:t xml:space="preserve"> obligations </w:t>
      </w:r>
      <w:r w:rsidRPr="00511CD3">
        <w:rPr>
          <w:rFonts w:ascii="Cambria" w:eastAsia="Calibri" w:hAnsi="Cambria"/>
          <w:lang w:val="en-US"/>
        </w:rPr>
        <w:t>set forth in Article</w:t>
      </w:r>
      <w:r w:rsidR="001E2CF2" w:rsidRPr="00511CD3">
        <w:rPr>
          <w:rFonts w:ascii="Cambria" w:eastAsia="Calibri" w:hAnsi="Cambria"/>
          <w:lang w:val="en-US"/>
        </w:rPr>
        <w:t>s 1.1</w:t>
      </w:r>
      <w:r w:rsidR="00B10F4D" w:rsidRPr="00511CD3">
        <w:rPr>
          <w:rFonts w:ascii="Cambria" w:eastAsia="Calibri" w:hAnsi="Cambria"/>
          <w:lang w:val="en-US"/>
        </w:rPr>
        <w:t xml:space="preserve"> and </w:t>
      </w:r>
      <w:r w:rsidR="001E2CF2" w:rsidRPr="00511CD3">
        <w:rPr>
          <w:rFonts w:ascii="Cambria" w:eastAsia="Calibri" w:hAnsi="Cambria"/>
          <w:lang w:val="en-US"/>
        </w:rPr>
        <w:t>2</w:t>
      </w:r>
      <w:r w:rsidR="00E4498D" w:rsidRPr="00511CD3">
        <w:rPr>
          <w:rFonts w:ascii="Cambria" w:eastAsia="Calibri" w:hAnsi="Cambria"/>
          <w:lang w:val="en-US"/>
        </w:rPr>
        <w:t xml:space="preserve"> </w:t>
      </w:r>
      <w:r w:rsidRPr="00511CD3">
        <w:rPr>
          <w:rFonts w:ascii="Cambria" w:eastAsia="Calibri" w:hAnsi="Cambria"/>
          <w:lang w:val="en-US"/>
        </w:rPr>
        <w:t xml:space="preserve">thereof, to the detriment of </w:t>
      </w:r>
      <w:r w:rsidR="00E4498D" w:rsidRPr="00511CD3">
        <w:rPr>
          <w:rFonts w:ascii="Cambria" w:eastAsia="Calibri" w:hAnsi="Cambria"/>
          <w:lang w:val="en-US"/>
        </w:rPr>
        <w:t>“</w:t>
      </w:r>
      <w:r w:rsidR="00D92F65" w:rsidRPr="00511CD3">
        <w:rPr>
          <w:rFonts w:ascii="Cambria" w:eastAsia="Calibri" w:hAnsi="Cambria"/>
          <w:lang w:val="en-US"/>
        </w:rPr>
        <w:t>María</w:t>
      </w:r>
      <w:r w:rsidR="00E4498D" w:rsidRPr="00511CD3">
        <w:rPr>
          <w:rFonts w:ascii="Cambria" w:eastAsia="Calibri" w:hAnsi="Cambria"/>
          <w:lang w:val="en-US"/>
        </w:rPr>
        <w:t>”</w:t>
      </w:r>
      <w:r w:rsidR="00B10F4D" w:rsidRPr="00511CD3">
        <w:rPr>
          <w:rFonts w:ascii="Cambria" w:eastAsia="Calibri" w:hAnsi="Cambria"/>
          <w:lang w:val="en-US"/>
        </w:rPr>
        <w:t xml:space="preserve"> and </w:t>
      </w:r>
      <w:r w:rsidRPr="00511CD3">
        <w:rPr>
          <w:rFonts w:ascii="Cambria" w:eastAsia="Calibri" w:hAnsi="Cambria"/>
          <w:lang w:val="en-US"/>
        </w:rPr>
        <w:t>her son</w:t>
      </w:r>
      <w:r w:rsidR="00E4498D" w:rsidRPr="00511CD3">
        <w:rPr>
          <w:rFonts w:ascii="Cambria" w:eastAsia="Calibri" w:hAnsi="Cambria"/>
          <w:lang w:val="en-US"/>
        </w:rPr>
        <w:t xml:space="preserve">. </w:t>
      </w:r>
    </w:p>
    <w:p w14:paraId="09023132" w14:textId="77777777" w:rsidR="00D60462" w:rsidRPr="00511CD3" w:rsidRDefault="00D60462" w:rsidP="008429F6">
      <w:pPr>
        <w:tabs>
          <w:tab w:val="left" w:pos="567"/>
        </w:tabs>
        <w:jc w:val="both"/>
        <w:rPr>
          <w:rFonts w:ascii="Cambria" w:hAnsi="Cambria"/>
          <w:b/>
          <w:sz w:val="20"/>
          <w:szCs w:val="20"/>
        </w:rPr>
      </w:pPr>
    </w:p>
    <w:p w14:paraId="34261232" w14:textId="77777777" w:rsidR="00D60462" w:rsidRPr="00511CD3" w:rsidRDefault="00540394" w:rsidP="001F30EC">
      <w:pPr>
        <w:pStyle w:val="Heading1"/>
        <w:ind w:left="540" w:firstLine="0"/>
      </w:pPr>
      <w:r w:rsidRPr="00511CD3">
        <w:t>FINDINGS OF FACT</w:t>
      </w:r>
      <w:r w:rsidR="00D60462" w:rsidRPr="00511CD3">
        <w:t xml:space="preserve"> </w:t>
      </w:r>
    </w:p>
    <w:p w14:paraId="3394E97F" w14:textId="77777777" w:rsidR="006B0364" w:rsidRPr="00511CD3" w:rsidRDefault="006B0364" w:rsidP="001F30EC">
      <w:pPr>
        <w:ind w:left="540"/>
        <w:rPr>
          <w:sz w:val="20"/>
          <w:szCs w:val="20"/>
        </w:rPr>
      </w:pPr>
    </w:p>
    <w:p w14:paraId="72CE851A" w14:textId="77777777" w:rsidR="00622055" w:rsidRPr="00511CD3" w:rsidRDefault="00540394" w:rsidP="001F30EC">
      <w:pPr>
        <w:pStyle w:val="Heading2"/>
        <w:numPr>
          <w:ilvl w:val="0"/>
          <w:numId w:val="22"/>
        </w:numPr>
        <w:ind w:left="1440" w:hanging="900"/>
        <w:jc w:val="both"/>
        <w:rPr>
          <w:lang w:val="en-US"/>
        </w:rPr>
      </w:pPr>
      <w:r w:rsidRPr="00511CD3">
        <w:rPr>
          <w:lang w:val="en-US"/>
        </w:rPr>
        <w:t xml:space="preserve">Events </w:t>
      </w:r>
      <w:r w:rsidR="00CE5FBF" w:rsidRPr="00511CD3">
        <w:rPr>
          <w:lang w:val="en-US"/>
        </w:rPr>
        <w:t xml:space="preserve">from “María’s” </w:t>
      </w:r>
      <w:r w:rsidRPr="00511CD3">
        <w:rPr>
          <w:lang w:val="en-US"/>
        </w:rPr>
        <w:t xml:space="preserve">diagnosis </w:t>
      </w:r>
      <w:r w:rsidR="00CE5FBF" w:rsidRPr="00511CD3">
        <w:rPr>
          <w:lang w:val="en-US"/>
        </w:rPr>
        <w:t xml:space="preserve">of pregnancy to </w:t>
      </w:r>
      <w:r w:rsidR="006B0364" w:rsidRPr="00511CD3">
        <w:rPr>
          <w:lang w:val="en-US"/>
        </w:rPr>
        <w:t>“Mariano</w:t>
      </w:r>
      <w:r w:rsidR="009C3F12" w:rsidRPr="00511CD3">
        <w:rPr>
          <w:lang w:val="en-US"/>
        </w:rPr>
        <w:t>’s</w:t>
      </w:r>
      <w:r w:rsidR="006B0364" w:rsidRPr="00511CD3">
        <w:rPr>
          <w:lang w:val="en-US"/>
        </w:rPr>
        <w:t>”</w:t>
      </w:r>
      <w:r w:rsidR="009C3F12" w:rsidRPr="00511CD3">
        <w:rPr>
          <w:lang w:val="en-US"/>
        </w:rPr>
        <w:t xml:space="preserve"> birth</w:t>
      </w:r>
    </w:p>
    <w:p w14:paraId="77D519B9" w14:textId="77777777" w:rsidR="006B0364" w:rsidRPr="00511CD3" w:rsidRDefault="006B0364" w:rsidP="008429F6">
      <w:pPr>
        <w:rPr>
          <w:rFonts w:ascii="Cambria" w:hAnsi="Cambria"/>
          <w:b/>
          <w:sz w:val="20"/>
          <w:szCs w:val="20"/>
        </w:rPr>
      </w:pPr>
    </w:p>
    <w:p w14:paraId="4548C1F9" w14:textId="77777777" w:rsidR="001F0100" w:rsidRPr="00511CD3" w:rsidRDefault="00AC2FC1" w:rsidP="008429F6">
      <w:pPr>
        <w:pStyle w:val="ListParagraph"/>
        <w:ind w:left="0" w:firstLine="0"/>
      </w:pPr>
      <w:r w:rsidRPr="00511CD3">
        <w:t xml:space="preserve">According to information </w:t>
      </w:r>
      <w:r w:rsidR="001F30EC" w:rsidRPr="00511CD3">
        <w:t xml:space="preserve">on </w:t>
      </w:r>
      <w:r w:rsidRPr="00511CD3">
        <w:t>the file, on May</w:t>
      </w:r>
      <w:r w:rsidR="001F0100" w:rsidRPr="00511CD3">
        <w:t xml:space="preserve"> 30</w:t>
      </w:r>
      <w:r w:rsidRPr="00511CD3">
        <w:t>,</w:t>
      </w:r>
      <w:r w:rsidR="001F0100" w:rsidRPr="00511CD3">
        <w:t xml:space="preserve"> </w:t>
      </w:r>
      <w:r w:rsidR="00656964" w:rsidRPr="00511CD3">
        <w:t>2014</w:t>
      </w:r>
      <w:r w:rsidRPr="00511CD3">
        <w:t xml:space="preserve">, </w:t>
      </w:r>
      <w:r w:rsidR="00340A84" w:rsidRPr="00511CD3">
        <w:t>“María</w:t>
      </w:r>
      <w:r w:rsidRPr="00511CD3">
        <w:t>,</w:t>
      </w:r>
      <w:r w:rsidR="00340A84" w:rsidRPr="00511CD3">
        <w:t xml:space="preserve">” </w:t>
      </w:r>
      <w:r w:rsidRPr="00511CD3">
        <w:t xml:space="preserve">accompanied by her mother, </w:t>
      </w:r>
      <w:r w:rsidR="0009630C" w:rsidRPr="00511CD3">
        <w:t xml:space="preserve">arrived at </w:t>
      </w:r>
      <w:r w:rsidRPr="00511CD3">
        <w:t xml:space="preserve">the </w:t>
      </w:r>
      <w:r w:rsidR="00BF00A0" w:rsidRPr="00511CD3">
        <w:t xml:space="preserve">guard desk of the </w:t>
      </w:r>
      <w:r w:rsidRPr="00511CD3">
        <w:t xml:space="preserve">obstetrics </w:t>
      </w:r>
      <w:r w:rsidR="00BF00A0" w:rsidRPr="00511CD3">
        <w:t xml:space="preserve">department </w:t>
      </w:r>
      <w:r w:rsidRPr="00511CD3">
        <w:t xml:space="preserve">of Martin Maternity Clinic, located in the city of </w:t>
      </w:r>
      <w:r w:rsidR="00340A84" w:rsidRPr="00511CD3">
        <w:t xml:space="preserve">Rosario, </w:t>
      </w:r>
      <w:r w:rsidR="00E121CE" w:rsidRPr="00511CD3">
        <w:t>Santa Fe</w:t>
      </w:r>
      <w:r w:rsidRPr="00511CD3">
        <w:t xml:space="preserve"> Province</w:t>
      </w:r>
      <w:r w:rsidR="00E121CE" w:rsidRPr="00511CD3">
        <w:t xml:space="preserve">. </w:t>
      </w:r>
      <w:r w:rsidR="0009630C" w:rsidRPr="00511CD3">
        <w:t xml:space="preserve"> </w:t>
      </w:r>
      <w:r w:rsidRPr="00511CD3">
        <w:t xml:space="preserve">After the relevant tests had been </w:t>
      </w:r>
      <w:r w:rsidR="0009630C" w:rsidRPr="00511CD3">
        <w:t>performed</w:t>
      </w:r>
      <w:r w:rsidRPr="00511CD3">
        <w:t xml:space="preserve">, the doctors confirmed that </w:t>
      </w:r>
      <w:r w:rsidR="004E0E32" w:rsidRPr="00511CD3">
        <w:t>“</w:t>
      </w:r>
      <w:r w:rsidR="00CB4206" w:rsidRPr="00511CD3">
        <w:t>María</w:t>
      </w:r>
      <w:r w:rsidR="004E0E32" w:rsidRPr="00511CD3">
        <w:t>”</w:t>
      </w:r>
      <w:r w:rsidR="00CB4206" w:rsidRPr="00511CD3">
        <w:t xml:space="preserve"> </w:t>
      </w:r>
      <w:r w:rsidRPr="00511CD3">
        <w:t>was 28 weeks pregnant</w:t>
      </w:r>
      <w:r w:rsidR="00CB4206" w:rsidRPr="00511CD3">
        <w:t xml:space="preserve">. </w:t>
      </w:r>
      <w:r w:rsidR="0009630C" w:rsidRPr="00511CD3">
        <w:t xml:space="preserve"> </w:t>
      </w:r>
      <w:r w:rsidR="009C3F12" w:rsidRPr="00511CD3">
        <w:t xml:space="preserve">As of the date of the child’s diagnosis, she was 13 </w:t>
      </w:r>
      <w:r w:rsidR="00F44C1F" w:rsidRPr="00511CD3">
        <w:t>years</w:t>
      </w:r>
      <w:r w:rsidR="009C3F12" w:rsidRPr="00511CD3">
        <w:t xml:space="preserve"> old.  The girl’s mother indicated that before going to</w:t>
      </w:r>
      <w:r w:rsidR="004B2B49" w:rsidRPr="00511CD3">
        <w:t xml:space="preserve"> </w:t>
      </w:r>
      <w:r w:rsidRPr="00511CD3">
        <w:t>Martin Maternity Clinic</w:t>
      </w:r>
      <w:r w:rsidR="009C3F12" w:rsidRPr="00511CD3">
        <w:t xml:space="preserve">, they had gone to Health Center No. </w:t>
      </w:r>
      <w:r w:rsidR="004B2B49" w:rsidRPr="00511CD3">
        <w:t>5</w:t>
      </w:r>
      <w:r w:rsidR="009C3F12" w:rsidRPr="00511CD3">
        <w:t xml:space="preserve">, in </w:t>
      </w:r>
      <w:r w:rsidR="004B2B49" w:rsidRPr="00511CD3">
        <w:t>Rosario</w:t>
      </w:r>
      <w:r w:rsidR="009C3F12" w:rsidRPr="00511CD3">
        <w:t>, since she noted that her daughter</w:t>
      </w:r>
      <w:r w:rsidR="00E732EE" w:rsidRPr="00511CD3">
        <w:t xml:space="preserve"> “</w:t>
      </w:r>
      <w:r w:rsidR="009C3F12" w:rsidRPr="00511CD3">
        <w:t>had a big belly.</w:t>
      </w:r>
      <w:r w:rsidR="00E732EE" w:rsidRPr="00511CD3">
        <w:t>”</w:t>
      </w:r>
      <w:r w:rsidR="009C3F12" w:rsidRPr="00511CD3">
        <w:t xml:space="preserve">  There, </w:t>
      </w:r>
      <w:r w:rsidR="0009630C" w:rsidRPr="00511CD3">
        <w:t xml:space="preserve">the </w:t>
      </w:r>
      <w:r w:rsidR="009C3F12" w:rsidRPr="00511CD3">
        <w:t xml:space="preserve">pediatrician </w:t>
      </w:r>
      <w:r w:rsidR="0009630C" w:rsidRPr="00511CD3">
        <w:t xml:space="preserve">to whom she was referred </w:t>
      </w:r>
      <w:r w:rsidR="00BF00A0" w:rsidRPr="00511CD3">
        <w:t xml:space="preserve">had </w:t>
      </w:r>
      <w:r w:rsidR="009C3F12" w:rsidRPr="00511CD3">
        <w:t>indicated that interruption of menstrual periods was common in girls of her daughter’s age.</w:t>
      </w:r>
      <w:r w:rsidR="004B2B49" w:rsidRPr="00511CD3">
        <w:rPr>
          <w:rStyle w:val="FootnoteReference"/>
        </w:rPr>
        <w:footnoteReference w:id="13"/>
      </w:r>
    </w:p>
    <w:p w14:paraId="1346395D" w14:textId="77777777" w:rsidR="00727C20" w:rsidRPr="00511CD3" w:rsidRDefault="00727C20" w:rsidP="008429F6">
      <w:pPr>
        <w:pStyle w:val="ListParagraph"/>
        <w:numPr>
          <w:ilvl w:val="0"/>
          <w:numId w:val="0"/>
        </w:numPr>
      </w:pPr>
    </w:p>
    <w:p w14:paraId="08135857" w14:textId="77777777" w:rsidR="00A12883" w:rsidRPr="00511CD3" w:rsidRDefault="008566DC" w:rsidP="008429F6">
      <w:pPr>
        <w:pStyle w:val="ListParagraph"/>
        <w:ind w:left="0" w:firstLine="0"/>
      </w:pPr>
      <w:r w:rsidRPr="00511CD3">
        <w:t xml:space="preserve">On </w:t>
      </w:r>
      <w:r w:rsidR="00B10F4D" w:rsidRPr="00511CD3">
        <w:t>July</w:t>
      </w:r>
      <w:r w:rsidR="001F3C5D" w:rsidRPr="00511CD3">
        <w:t xml:space="preserve"> </w:t>
      </w:r>
      <w:r w:rsidRPr="00511CD3">
        <w:t xml:space="preserve">2, </w:t>
      </w:r>
      <w:r w:rsidR="001F3C5D" w:rsidRPr="00511CD3">
        <w:t>2014</w:t>
      </w:r>
      <w:r w:rsidRPr="00511CD3">
        <w:t>, the Head of the Mental Health Service of</w:t>
      </w:r>
      <w:r w:rsidR="00616A2E" w:rsidRPr="00511CD3">
        <w:t xml:space="preserve"> </w:t>
      </w:r>
      <w:r w:rsidR="00AC2FC1" w:rsidRPr="00511CD3">
        <w:t>Martin Maternity Clinic</w:t>
      </w:r>
      <w:r w:rsidR="00B10F4D" w:rsidRPr="00511CD3">
        <w:t xml:space="preserve"> and </w:t>
      </w:r>
      <w:r w:rsidRPr="00511CD3">
        <w:t xml:space="preserve">a </w:t>
      </w:r>
      <w:r w:rsidR="00BE369A" w:rsidRPr="00511CD3">
        <w:t>so</w:t>
      </w:r>
      <w:r w:rsidR="000046D6" w:rsidRPr="00511CD3">
        <w:t>cial worker</w:t>
      </w:r>
      <w:r w:rsidRPr="00511CD3">
        <w:t xml:space="preserve"> of that hospital’s team signed a report addressed to the Department for the Protection of the Rights of Children, </w:t>
      </w:r>
      <w:bookmarkStart w:id="6" w:name="_Hlk85469311"/>
      <w:r w:rsidR="00F44C1F" w:rsidRPr="00511CD3">
        <w:t>Adolescents</w:t>
      </w:r>
      <w:r w:rsidRPr="00511CD3">
        <w:t>, and the Family, requestin</w:t>
      </w:r>
      <w:bookmarkEnd w:id="6"/>
      <w:r w:rsidRPr="00511CD3">
        <w:t xml:space="preserve">g its intervention.  </w:t>
      </w:r>
      <w:r w:rsidR="00BE369A" w:rsidRPr="00511CD3">
        <w:t xml:space="preserve">The report indicates that, </w:t>
      </w:r>
      <w:r w:rsidR="0009630C" w:rsidRPr="00511CD3">
        <w:t>in view of</w:t>
      </w:r>
      <w:r w:rsidR="00BE369A" w:rsidRPr="00511CD3">
        <w:t xml:space="preserve"> the medical diagnosis, work</w:t>
      </w:r>
      <w:r w:rsidR="001F30EC" w:rsidRPr="00511CD3">
        <w:t xml:space="preserve"> had begu</w:t>
      </w:r>
      <w:r w:rsidR="00BE369A" w:rsidRPr="00511CD3">
        <w:t xml:space="preserve">n in conjunction with the Mental </w:t>
      </w:r>
      <w:r w:rsidR="00B767AA" w:rsidRPr="00511CD3">
        <w:t>H</w:t>
      </w:r>
      <w:r w:rsidR="00BE369A" w:rsidRPr="00511CD3">
        <w:t>ealth and Social Work Services</w:t>
      </w:r>
      <w:r w:rsidR="00727C20" w:rsidRPr="00511CD3">
        <w:t xml:space="preserve"> </w:t>
      </w:r>
      <w:r w:rsidR="00515D04" w:rsidRPr="00511CD3">
        <w:t>“</w:t>
      </w:r>
      <w:r w:rsidR="00B767AA" w:rsidRPr="00511CD3">
        <w:t xml:space="preserve">directing efforts towards possibly knowing who the </w:t>
      </w:r>
      <w:r w:rsidR="0009630C" w:rsidRPr="00511CD3">
        <w:t xml:space="preserve">baby’s </w:t>
      </w:r>
      <w:r w:rsidR="00B767AA" w:rsidRPr="00511CD3">
        <w:t>father might be.</w:t>
      </w:r>
      <w:r w:rsidR="00F4493E" w:rsidRPr="00511CD3">
        <w:t>”</w:t>
      </w:r>
      <w:r w:rsidR="00B767AA" w:rsidRPr="00511CD3">
        <w:t xml:space="preserve">  The professionals also related that, following successive therapeutic encounters, they had concluded that María had become pregnant through sexual encounters with a family member</w:t>
      </w:r>
      <w:r w:rsidR="0009630C" w:rsidRPr="00511CD3">
        <w:t xml:space="preserve"> in which </w:t>
      </w:r>
      <w:r w:rsidR="00B767AA" w:rsidRPr="00511CD3">
        <w:t>a power relationship</w:t>
      </w:r>
      <w:r w:rsidR="0009630C" w:rsidRPr="00511CD3">
        <w:t xml:space="preserve"> had been imposed</w:t>
      </w:r>
      <w:r w:rsidR="00B767AA" w:rsidRPr="00511CD3">
        <w:t>.</w:t>
      </w:r>
      <w:r w:rsidR="00A32537" w:rsidRPr="00511CD3">
        <w:rPr>
          <w:rStyle w:val="FootnoteReference"/>
        </w:rPr>
        <w:footnoteReference w:id="14"/>
      </w:r>
    </w:p>
    <w:p w14:paraId="6930B3E1" w14:textId="77777777" w:rsidR="00A12883" w:rsidRPr="00511CD3" w:rsidRDefault="00A12883" w:rsidP="008429F6">
      <w:pPr>
        <w:pStyle w:val="ListParagraph"/>
        <w:numPr>
          <w:ilvl w:val="0"/>
          <w:numId w:val="0"/>
        </w:numPr>
      </w:pPr>
    </w:p>
    <w:p w14:paraId="0C71BA60" w14:textId="77777777" w:rsidR="002E46AA" w:rsidRPr="00511CD3" w:rsidRDefault="00B767AA" w:rsidP="008429F6">
      <w:pPr>
        <w:pStyle w:val="ListParagraph"/>
        <w:ind w:left="0" w:firstLine="0"/>
      </w:pPr>
      <w:r w:rsidRPr="00511CD3">
        <w:t xml:space="preserve">Lastly, the professionals involved asserted that </w:t>
      </w:r>
      <w:r w:rsidR="0001669B" w:rsidRPr="00511CD3">
        <w:t>“r</w:t>
      </w:r>
      <w:r w:rsidR="00E17343" w:rsidRPr="00511CD3">
        <w:t xml:space="preserve">egarding the unborn child, the Maternity Clinic’s treating team </w:t>
      </w:r>
      <w:r w:rsidR="00C231D9" w:rsidRPr="00511CD3">
        <w:t xml:space="preserve">continues to work </w:t>
      </w:r>
      <w:r w:rsidR="00E17343" w:rsidRPr="00511CD3">
        <w:t xml:space="preserve">with </w:t>
      </w:r>
      <w:r w:rsidR="00593F1F" w:rsidRPr="00511CD3">
        <w:t>[“</w:t>
      </w:r>
      <w:r w:rsidR="003836A1" w:rsidRPr="00511CD3">
        <w:t>María</w:t>
      </w:r>
      <w:r w:rsidR="00593F1F" w:rsidRPr="00511CD3">
        <w:t>”]</w:t>
      </w:r>
      <w:r w:rsidR="00E17343" w:rsidRPr="00511CD3">
        <w:t xml:space="preserve">, seeking to </w:t>
      </w:r>
      <w:r w:rsidR="00D25D40" w:rsidRPr="00511CD3">
        <w:t>a</w:t>
      </w:r>
      <w:r w:rsidR="00C231D9" w:rsidRPr="00511CD3">
        <w:t xml:space="preserve">pply </w:t>
      </w:r>
      <w:r w:rsidR="00D25D40" w:rsidRPr="00511CD3">
        <w:t xml:space="preserve">the understanding </w:t>
      </w:r>
      <w:r w:rsidR="00C231D9" w:rsidRPr="00511CD3">
        <w:t xml:space="preserve">that may be gleaned regarding </w:t>
      </w:r>
      <w:r w:rsidR="00E17343" w:rsidRPr="00511CD3">
        <w:t xml:space="preserve">the </w:t>
      </w:r>
      <w:r w:rsidR="001F30EC" w:rsidRPr="00511CD3">
        <w:t>matter</w:t>
      </w:r>
      <w:r w:rsidR="00B10F4D" w:rsidRPr="00511CD3">
        <w:t xml:space="preserve"> and </w:t>
      </w:r>
      <w:r w:rsidR="001F30EC" w:rsidRPr="00511CD3">
        <w:t>its</w:t>
      </w:r>
      <w:r w:rsidR="00C231D9" w:rsidRPr="00511CD3">
        <w:t xml:space="preserve"> </w:t>
      </w:r>
      <w:r w:rsidR="00E17343" w:rsidRPr="00511CD3">
        <w:t xml:space="preserve">subjective implications, with a view to respecting their decisions, since it appears that </w:t>
      </w:r>
      <w:r w:rsidR="00DC2BF9" w:rsidRPr="00511CD3">
        <w:t xml:space="preserve">different </w:t>
      </w:r>
      <w:r w:rsidR="00E17343" w:rsidRPr="00511CD3">
        <w:t xml:space="preserve">positions </w:t>
      </w:r>
      <w:r w:rsidR="00DC2BF9" w:rsidRPr="00511CD3">
        <w:t xml:space="preserve">are held </w:t>
      </w:r>
      <w:r w:rsidR="00511CD3" w:rsidRPr="00511CD3">
        <w:t>among</w:t>
      </w:r>
      <w:r w:rsidR="00DC2BF9" w:rsidRPr="00511CD3">
        <w:t xml:space="preserve"> both </w:t>
      </w:r>
      <w:r w:rsidR="00D25D40" w:rsidRPr="00511CD3">
        <w:t>the</w:t>
      </w:r>
      <w:r w:rsidR="00E17343" w:rsidRPr="00511CD3">
        <w:t xml:space="preserve"> child</w:t>
      </w:r>
      <w:r w:rsidR="00D25D40" w:rsidRPr="00511CD3">
        <w:t xml:space="preserve">, </w:t>
      </w:r>
      <w:r w:rsidR="00E17343" w:rsidRPr="00511CD3">
        <w:t>her mother</w:t>
      </w:r>
      <w:r w:rsidR="00D25D40" w:rsidRPr="00511CD3">
        <w:t>,</w:t>
      </w:r>
      <w:r w:rsidR="00E17343" w:rsidRPr="00511CD3">
        <w:t xml:space="preserve"> and </w:t>
      </w:r>
      <w:r w:rsidR="00D25D40" w:rsidRPr="00511CD3">
        <w:t xml:space="preserve">her </w:t>
      </w:r>
      <w:r w:rsidR="00E17343" w:rsidRPr="00511CD3">
        <w:t>maternal aunt regarding the care, responsibilities and/or possible guardianship of that baby.</w:t>
      </w:r>
      <w:r w:rsidR="0034093F" w:rsidRPr="00511CD3">
        <w:t>”</w:t>
      </w:r>
      <w:r w:rsidR="00A32537" w:rsidRPr="00511CD3">
        <w:rPr>
          <w:rStyle w:val="FootnoteReference"/>
        </w:rPr>
        <w:footnoteReference w:id="15"/>
      </w:r>
      <w:r w:rsidR="0034093F" w:rsidRPr="00511CD3">
        <w:t xml:space="preserve"> </w:t>
      </w:r>
    </w:p>
    <w:p w14:paraId="02079D1E" w14:textId="77777777" w:rsidR="00B23BA4" w:rsidRPr="00511CD3" w:rsidRDefault="00B23BA4" w:rsidP="008429F6">
      <w:pPr>
        <w:pStyle w:val="ListParagraph"/>
        <w:numPr>
          <w:ilvl w:val="0"/>
          <w:numId w:val="0"/>
        </w:numPr>
      </w:pPr>
    </w:p>
    <w:p w14:paraId="792329C3" w14:textId="77777777" w:rsidR="00B23BA4" w:rsidRPr="00511CD3" w:rsidRDefault="00E17343" w:rsidP="008429F6">
      <w:pPr>
        <w:pStyle w:val="ListParagraph"/>
        <w:ind w:left="0" w:firstLine="0"/>
      </w:pPr>
      <w:r w:rsidRPr="00511CD3">
        <w:t xml:space="preserve">On </w:t>
      </w:r>
      <w:r w:rsidR="00B10F4D" w:rsidRPr="00511CD3">
        <w:t>July</w:t>
      </w:r>
      <w:r w:rsidR="00B23BA4" w:rsidRPr="00511CD3">
        <w:t xml:space="preserve"> </w:t>
      </w:r>
      <w:r w:rsidRPr="00511CD3">
        <w:t xml:space="preserve">11, </w:t>
      </w:r>
      <w:r w:rsidR="00B23BA4" w:rsidRPr="00511CD3">
        <w:t>2014</w:t>
      </w:r>
      <w:r w:rsidRPr="00511CD3">
        <w:t xml:space="preserve">, the </w:t>
      </w:r>
      <w:r w:rsidR="00AC2FC1" w:rsidRPr="00511CD3">
        <w:t>Martin Maternity Clinic</w:t>
      </w:r>
      <w:r w:rsidR="00B23BA4" w:rsidRPr="00511CD3">
        <w:t xml:space="preserve"> </w:t>
      </w:r>
      <w:r w:rsidRPr="00511CD3">
        <w:t xml:space="preserve">professionals responsible for working with </w:t>
      </w:r>
      <w:r w:rsidR="00B23BA4" w:rsidRPr="00511CD3">
        <w:t>“</w:t>
      </w:r>
      <w:r w:rsidR="00A32537" w:rsidRPr="00511CD3">
        <w:t>María</w:t>
      </w:r>
      <w:r w:rsidR="00B23BA4" w:rsidRPr="00511CD3">
        <w:t xml:space="preserve">” </w:t>
      </w:r>
      <w:r w:rsidRPr="00511CD3">
        <w:t>sent a note to the Admissions Team of the Department for the Protection of the Rights of Children, Adolescen</w:t>
      </w:r>
      <w:r w:rsidR="0027716C" w:rsidRPr="00511CD3">
        <w:t>t</w:t>
      </w:r>
      <w:r w:rsidRPr="00511CD3">
        <w:t>s, and the Family</w:t>
      </w:r>
      <w:r w:rsidR="005C04DF" w:rsidRPr="00511CD3">
        <w:t xml:space="preserve"> </w:t>
      </w:r>
      <w:r w:rsidRPr="00511CD3">
        <w:t xml:space="preserve">in which they reported that </w:t>
      </w:r>
      <w:r w:rsidR="005C04DF" w:rsidRPr="00511CD3">
        <w:t>“</w:t>
      </w:r>
      <w:r w:rsidRPr="00511CD3">
        <w:t xml:space="preserve">based on the assistance being given by </w:t>
      </w:r>
      <w:r w:rsidR="00AC2FC1" w:rsidRPr="00511CD3">
        <w:t>Martin Maternity Clinic</w:t>
      </w:r>
      <w:r w:rsidR="005C04DF" w:rsidRPr="00511CD3">
        <w:t xml:space="preserve">, </w:t>
      </w:r>
      <w:r w:rsidRPr="00511CD3">
        <w:t>the child indicated her intent to give up the</w:t>
      </w:r>
      <w:r w:rsidR="00C231D9" w:rsidRPr="00511CD3">
        <w:t xml:space="preserve"> unborn child</w:t>
      </w:r>
      <w:r w:rsidRPr="00511CD3">
        <w:t xml:space="preserve"> for preadoption </w:t>
      </w:r>
      <w:r w:rsidR="00C231D9" w:rsidRPr="00511CD3">
        <w:t>guardianship</w:t>
      </w:r>
      <w:r w:rsidRPr="00511CD3">
        <w:t xml:space="preserve"> with the aim</w:t>
      </w:r>
      <w:r w:rsidR="0027716C" w:rsidRPr="00511CD3">
        <w:t xml:space="preserve"> </w:t>
      </w:r>
      <w:r w:rsidRPr="00511CD3">
        <w:t>of adoption</w:t>
      </w:r>
      <w:r w:rsidR="00D05776" w:rsidRPr="00511CD3">
        <w:t xml:space="preserve">. </w:t>
      </w:r>
      <w:r w:rsidR="0027716C" w:rsidRPr="00511CD3">
        <w:t>It should be noted that the [girl’s] mother agree</w:t>
      </w:r>
      <w:r w:rsidR="00C231D9" w:rsidRPr="00511CD3">
        <w:t>s</w:t>
      </w:r>
      <w:r w:rsidR="0027716C" w:rsidRPr="00511CD3">
        <w:t xml:space="preserve"> with her daughter’s statement</w:t>
      </w:r>
      <w:r w:rsidR="00DC2BF9" w:rsidRPr="00511CD3">
        <w:t>s</w:t>
      </w:r>
      <w:r w:rsidR="0027716C" w:rsidRPr="00511CD3">
        <w:t>.  Therefore, we request that a day and time for their interview be scheduled as soon as possible, so that their intent may be formally established.</w:t>
      </w:r>
      <w:r w:rsidR="00D05776" w:rsidRPr="00511CD3">
        <w:t xml:space="preserve">” </w:t>
      </w:r>
    </w:p>
    <w:p w14:paraId="550621F1" w14:textId="77777777" w:rsidR="002E46AA" w:rsidRPr="00511CD3" w:rsidRDefault="002E46AA" w:rsidP="008429F6">
      <w:pPr>
        <w:pStyle w:val="ListParagraph"/>
        <w:numPr>
          <w:ilvl w:val="0"/>
          <w:numId w:val="0"/>
        </w:numPr>
      </w:pPr>
    </w:p>
    <w:p w14:paraId="6750EDF2" w14:textId="77777777" w:rsidR="00D95B26" w:rsidRPr="00511CD3" w:rsidRDefault="00894C33" w:rsidP="008429F6">
      <w:pPr>
        <w:pStyle w:val="ListParagraph"/>
        <w:ind w:left="0" w:firstLine="0"/>
      </w:pPr>
      <w:r w:rsidRPr="00511CD3">
        <w:lastRenderedPageBreak/>
        <w:t xml:space="preserve"> </w:t>
      </w:r>
      <w:r w:rsidR="0027716C" w:rsidRPr="00511CD3">
        <w:t xml:space="preserve">On </w:t>
      </w:r>
      <w:r w:rsidR="00B10F4D" w:rsidRPr="00511CD3">
        <w:t>July</w:t>
      </w:r>
      <w:r w:rsidR="00A72850" w:rsidRPr="00511CD3">
        <w:t xml:space="preserve"> </w:t>
      </w:r>
      <w:r w:rsidR="0027716C" w:rsidRPr="00511CD3">
        <w:t>23, 2</w:t>
      </w:r>
      <w:r w:rsidR="00A72850" w:rsidRPr="00511CD3">
        <w:t>014,</w:t>
      </w:r>
      <w:r w:rsidR="0027716C" w:rsidRPr="00511CD3">
        <w:t xml:space="preserve"> </w:t>
      </w:r>
      <w:r w:rsidR="0070178E" w:rsidRPr="00511CD3">
        <w:t>“</w:t>
      </w:r>
      <w:r w:rsidR="006A192A" w:rsidRPr="00511CD3">
        <w:t>María</w:t>
      </w:r>
      <w:r w:rsidR="00C231D9" w:rsidRPr="00511CD3">
        <w:t>,</w:t>
      </w:r>
      <w:r w:rsidR="0070178E" w:rsidRPr="00511CD3">
        <w:t>”</w:t>
      </w:r>
      <w:r w:rsidR="00B303AA" w:rsidRPr="00511CD3">
        <w:t xml:space="preserve"> </w:t>
      </w:r>
      <w:r w:rsidR="000046D6" w:rsidRPr="00511CD3">
        <w:t xml:space="preserve">and her mother, signed a document addressed to the </w:t>
      </w:r>
      <w:r w:rsidR="00540394" w:rsidRPr="00511CD3">
        <w:t>Provincial Department for the Promotion of the Rights of Children, Adolescents, and the Family</w:t>
      </w:r>
      <w:r w:rsidR="006A566E" w:rsidRPr="00511CD3">
        <w:t xml:space="preserve"> </w:t>
      </w:r>
      <w:r w:rsidR="000046D6" w:rsidRPr="00511CD3">
        <w:t>of</w:t>
      </w:r>
      <w:r w:rsidR="006A566E" w:rsidRPr="00511CD3">
        <w:t xml:space="preserve"> Rosario</w:t>
      </w:r>
      <w:r w:rsidR="009D170D" w:rsidRPr="00511CD3">
        <w:t xml:space="preserve">. </w:t>
      </w:r>
      <w:r w:rsidR="001914F7" w:rsidRPr="00511CD3">
        <w:t xml:space="preserve"> That document</w:t>
      </w:r>
      <w:r w:rsidR="009D170D" w:rsidRPr="00511CD3">
        <w:t xml:space="preserve">, </w:t>
      </w:r>
      <w:r w:rsidR="001914F7" w:rsidRPr="00511CD3">
        <w:t xml:space="preserve">which was copied to the Office of the Provincial Defender of Children and Adolescents, Rosario branch, and to the Provincial Single Registry of Applicants for Guardianship </w:t>
      </w:r>
      <w:r w:rsidR="00EF650E" w:rsidRPr="00511CD3">
        <w:t xml:space="preserve">with the Aim of </w:t>
      </w:r>
      <w:r w:rsidR="001914F7" w:rsidRPr="00511CD3">
        <w:t>Adoption (RUAGA) of Rosario</w:t>
      </w:r>
      <w:r w:rsidR="009D170D" w:rsidRPr="00511CD3">
        <w:t xml:space="preserve">, </w:t>
      </w:r>
      <w:r w:rsidR="001F30EC" w:rsidRPr="00511CD3">
        <w:t>sets forth</w:t>
      </w:r>
      <w:r w:rsidR="001914F7" w:rsidRPr="00511CD3">
        <w:t xml:space="preserve"> that Ma</w:t>
      </w:r>
      <w:r w:rsidR="001B1563" w:rsidRPr="00511CD3">
        <w:t>ría</w:t>
      </w:r>
      <w:r w:rsidR="00076D6E" w:rsidRPr="00511CD3">
        <w:t xml:space="preserve"> </w:t>
      </w:r>
      <w:r w:rsidR="001914F7" w:rsidRPr="00511CD3">
        <w:t>agreed</w:t>
      </w:r>
      <w:r w:rsidR="00B94BD0" w:rsidRPr="00511CD3">
        <w:t xml:space="preserve"> “</w:t>
      </w:r>
      <w:r w:rsidR="001914F7" w:rsidRPr="00511CD3">
        <w:t>freely and voluntarily, with my mothe</w:t>
      </w:r>
      <w:r w:rsidR="00DC2BF9" w:rsidRPr="00511CD3">
        <w:t>r’s full agreement, to give up for</w:t>
      </w:r>
      <w:r w:rsidR="001914F7" w:rsidRPr="00511CD3">
        <w:t xml:space="preserve"> preadopti</w:t>
      </w:r>
      <w:r w:rsidR="00B26A21" w:rsidRPr="00511CD3">
        <w:t>on</w:t>
      </w:r>
      <w:r w:rsidR="001914F7" w:rsidRPr="00511CD3">
        <w:t xml:space="preserve"> </w:t>
      </w:r>
      <w:r w:rsidR="001F30EC" w:rsidRPr="00511CD3">
        <w:t xml:space="preserve">guardianship </w:t>
      </w:r>
      <w:r w:rsidR="001914F7" w:rsidRPr="00511CD3">
        <w:t xml:space="preserve">and subsequent adoption my unborn child, to suitable persons previously accredited for that purpose according to the Provincial Single Registry of Applicants for Guardianship </w:t>
      </w:r>
      <w:r w:rsidR="00EF650E" w:rsidRPr="00511CD3">
        <w:t xml:space="preserve">with the Aim of </w:t>
      </w:r>
      <w:r w:rsidR="001914F7" w:rsidRPr="00511CD3">
        <w:t>Adoption</w:t>
      </w:r>
      <w:r w:rsidR="001914F7" w:rsidRPr="00511CD3">
        <w:rPr>
          <w:sz w:val="16"/>
          <w:szCs w:val="16"/>
        </w:rPr>
        <w:t xml:space="preserve"> </w:t>
      </w:r>
      <w:r w:rsidR="001B1563" w:rsidRPr="00511CD3">
        <w:t>(RUAGA)</w:t>
      </w:r>
      <w:r w:rsidR="001914F7" w:rsidRPr="00511CD3">
        <w:t>.”</w:t>
      </w:r>
      <w:r w:rsidR="001B1563" w:rsidRPr="00511CD3">
        <w:t xml:space="preserve"> </w:t>
      </w:r>
      <w:r w:rsidR="001914F7" w:rsidRPr="00511CD3">
        <w:t xml:space="preserve"> The document signed by </w:t>
      </w:r>
      <w:r w:rsidR="00EB08B0" w:rsidRPr="00511CD3">
        <w:t>“</w:t>
      </w:r>
      <w:r w:rsidR="006A192A" w:rsidRPr="00511CD3">
        <w:t>María</w:t>
      </w:r>
      <w:r w:rsidR="00EB08B0" w:rsidRPr="00511CD3">
        <w:t>”</w:t>
      </w:r>
      <w:r w:rsidR="00A342F6" w:rsidRPr="00511CD3">
        <w:t xml:space="preserve"> </w:t>
      </w:r>
      <w:r w:rsidR="001914F7" w:rsidRPr="00511CD3">
        <w:t xml:space="preserve">also </w:t>
      </w:r>
      <w:r w:rsidR="001F30EC" w:rsidRPr="00511CD3">
        <w:t xml:space="preserve">sets forth </w:t>
      </w:r>
      <w:r w:rsidR="00A342F6" w:rsidRPr="00511CD3">
        <w:t>“</w:t>
      </w:r>
      <w:r w:rsidR="001914F7" w:rsidRPr="00511CD3">
        <w:t>that I decide freely and voluntarily and in accordance with my rights</w:t>
      </w:r>
      <w:r w:rsidR="006A192A" w:rsidRPr="00511CD3">
        <w:t>;</w:t>
      </w:r>
      <w:r w:rsidR="00B10F4D" w:rsidRPr="00511CD3">
        <w:t xml:space="preserve"> and</w:t>
      </w:r>
      <w:r w:rsidR="001914F7" w:rsidRPr="00511CD3">
        <w:t xml:space="preserve"> I firmly wish the</w:t>
      </w:r>
      <w:r w:rsidR="00EF650E" w:rsidRPr="00511CD3">
        <w:t xml:space="preserve"> duty judge to order the</w:t>
      </w:r>
      <w:r w:rsidR="001914F7" w:rsidRPr="00511CD3">
        <w:t xml:space="preserve"> guardianship and adoption of this baby, with authorization from </w:t>
      </w:r>
      <w:r w:rsidR="006A192A" w:rsidRPr="00511CD3">
        <w:t>RUAGA</w:t>
      </w:r>
      <w:r w:rsidR="001914F7" w:rsidRPr="00511CD3">
        <w:t>’s Director</w:t>
      </w:r>
      <w:r w:rsidR="006A192A" w:rsidRPr="00511CD3">
        <w:t>,</w:t>
      </w:r>
      <w:r w:rsidR="00B10F4D" w:rsidRPr="00511CD3">
        <w:t xml:space="preserve"> and </w:t>
      </w:r>
      <w:r w:rsidR="001914F7" w:rsidRPr="00511CD3">
        <w:t>without intervention and/or obst</w:t>
      </w:r>
      <w:r w:rsidR="00EF650E" w:rsidRPr="00511CD3">
        <w:t>ruction by</w:t>
      </w:r>
      <w:r w:rsidR="001914F7" w:rsidRPr="00511CD3">
        <w:t xml:space="preserve"> any other family member and/or interested party.</w:t>
      </w:r>
      <w:r w:rsidR="006A192A" w:rsidRPr="00511CD3">
        <w:t>”</w:t>
      </w:r>
      <w:r w:rsidR="006A192A" w:rsidRPr="00511CD3">
        <w:rPr>
          <w:rStyle w:val="FootnoteReference"/>
        </w:rPr>
        <w:footnoteReference w:id="16"/>
      </w:r>
    </w:p>
    <w:p w14:paraId="26C53D20" w14:textId="77777777" w:rsidR="00965D97" w:rsidRPr="00511CD3" w:rsidRDefault="00965D97" w:rsidP="008429F6">
      <w:pPr>
        <w:pStyle w:val="ListParagraph"/>
        <w:numPr>
          <w:ilvl w:val="0"/>
          <w:numId w:val="0"/>
        </w:numPr>
      </w:pPr>
    </w:p>
    <w:p w14:paraId="77C6B0CA" w14:textId="77777777" w:rsidR="001B1563" w:rsidRPr="00511CD3" w:rsidRDefault="0041646A" w:rsidP="008429F6">
      <w:pPr>
        <w:pStyle w:val="ListParagraph"/>
        <w:ind w:left="0" w:firstLine="0"/>
      </w:pPr>
      <w:r w:rsidRPr="00511CD3">
        <w:t xml:space="preserve">On </w:t>
      </w:r>
      <w:r w:rsidR="00B10F4D" w:rsidRPr="00511CD3">
        <w:t>August</w:t>
      </w:r>
      <w:r w:rsidR="00547541" w:rsidRPr="00511CD3">
        <w:t xml:space="preserve"> </w:t>
      </w:r>
      <w:r w:rsidRPr="00511CD3">
        <w:t xml:space="preserve">1, </w:t>
      </w:r>
      <w:r w:rsidR="00547541" w:rsidRPr="00511CD3">
        <w:t>2014</w:t>
      </w:r>
      <w:r w:rsidRPr="00511CD3">
        <w:t>, the judge of Collegiate Family Court No.</w:t>
      </w:r>
      <w:r w:rsidR="00547541" w:rsidRPr="00511CD3">
        <w:t xml:space="preserve"> 7 </w:t>
      </w:r>
      <w:r w:rsidR="00301C5D" w:rsidRPr="00511CD3">
        <w:t>re</w:t>
      </w:r>
      <w:r w:rsidRPr="00511CD3">
        <w:t>ceived a document signed by the</w:t>
      </w:r>
      <w:r w:rsidR="00547541" w:rsidRPr="00511CD3">
        <w:t xml:space="preserve"> </w:t>
      </w:r>
      <w:r w:rsidR="00540394" w:rsidRPr="00511CD3">
        <w:t>Provincial Defender of Children and Adolescents</w:t>
      </w:r>
      <w:r w:rsidR="00547541" w:rsidRPr="00511CD3">
        <w:t xml:space="preserve"> </w:t>
      </w:r>
      <w:r w:rsidRPr="00511CD3">
        <w:t xml:space="preserve">of the city of </w:t>
      </w:r>
      <w:r w:rsidR="00547541" w:rsidRPr="00511CD3">
        <w:t xml:space="preserve">Rosario. </w:t>
      </w:r>
      <w:r w:rsidRPr="00511CD3">
        <w:t xml:space="preserve"> In that communication, the Defender explained that actions had begun in that </w:t>
      </w:r>
      <w:r w:rsidR="007F6759" w:rsidRPr="00511CD3">
        <w:t>court</w:t>
      </w:r>
      <w:r w:rsidRPr="00511CD3">
        <w:t xml:space="preserve"> based on the report submitted by </w:t>
      </w:r>
      <w:r w:rsidR="00AC2FC1" w:rsidRPr="00511CD3">
        <w:t>Martin Maternity Clinic</w:t>
      </w:r>
      <w:r w:rsidR="00547541" w:rsidRPr="00511CD3">
        <w:t xml:space="preserve"> </w:t>
      </w:r>
      <w:r w:rsidR="001F30EC" w:rsidRPr="00511CD3">
        <w:t>set</w:t>
      </w:r>
      <w:r w:rsidR="00B26A21" w:rsidRPr="00511CD3">
        <w:t>ting</w:t>
      </w:r>
      <w:r w:rsidR="001F30EC" w:rsidRPr="00511CD3">
        <w:t xml:space="preserve"> forth</w:t>
      </w:r>
      <w:r w:rsidRPr="00511CD3">
        <w:t xml:space="preserve"> the intent of </w:t>
      </w:r>
      <w:r w:rsidR="00547541" w:rsidRPr="00511CD3">
        <w:t>“</w:t>
      </w:r>
      <w:r w:rsidR="00301C5D" w:rsidRPr="00511CD3">
        <w:t>María</w:t>
      </w:r>
      <w:r w:rsidR="00547541" w:rsidRPr="00511CD3">
        <w:t>”</w:t>
      </w:r>
      <w:r w:rsidR="00B10F4D" w:rsidRPr="00511CD3">
        <w:t xml:space="preserve"> and </w:t>
      </w:r>
      <w:r w:rsidRPr="00511CD3">
        <w:t>her mother to give the unborn child up for adoption, and</w:t>
      </w:r>
      <w:r w:rsidR="00547541" w:rsidRPr="00511CD3">
        <w:t>, “</w:t>
      </w:r>
      <w:r w:rsidRPr="00511CD3">
        <w:t xml:space="preserve">since </w:t>
      </w:r>
      <w:r w:rsidR="00BB24B6" w:rsidRPr="00511CD3">
        <w:t>the</w:t>
      </w:r>
      <w:r w:rsidRPr="00511CD3">
        <w:t xml:space="preserve"> birth </w:t>
      </w:r>
      <w:r w:rsidR="00DC2BF9" w:rsidRPr="00511CD3">
        <w:t>i</w:t>
      </w:r>
      <w:r w:rsidRPr="00511CD3">
        <w:t>s imminent,</w:t>
      </w:r>
      <w:r w:rsidR="00547541" w:rsidRPr="00511CD3">
        <w:t>”</w:t>
      </w:r>
      <w:r w:rsidRPr="00511CD3">
        <w:t xml:space="preserve"> requested</w:t>
      </w:r>
      <w:r w:rsidR="00301C5D" w:rsidRPr="00511CD3">
        <w:t xml:space="preserve"> “</w:t>
      </w:r>
      <w:r w:rsidRPr="00511CD3">
        <w:t>the start of the proce</w:t>
      </w:r>
      <w:r w:rsidR="00B26A21" w:rsidRPr="00511CD3">
        <w:t xml:space="preserve">edings </w:t>
      </w:r>
      <w:r w:rsidRPr="00511CD3">
        <w:t xml:space="preserve">of the </w:t>
      </w:r>
      <w:r w:rsidR="00DC2BF9" w:rsidRPr="00511CD3">
        <w:t xml:space="preserve">system for </w:t>
      </w:r>
      <w:r w:rsidRPr="00511CD3">
        <w:t>guardianship with the aim of adoption.</w:t>
      </w:r>
      <w:r w:rsidR="00301C5D" w:rsidRPr="00511CD3">
        <w:t>”</w:t>
      </w:r>
      <w:r w:rsidR="00301C5D" w:rsidRPr="00511CD3">
        <w:rPr>
          <w:rStyle w:val="FootnoteReference"/>
        </w:rPr>
        <w:footnoteReference w:id="17"/>
      </w:r>
      <w:r w:rsidRPr="00511CD3">
        <w:t xml:space="preserve">  That same </w:t>
      </w:r>
      <w:r w:rsidR="00B10F4D" w:rsidRPr="00511CD3">
        <w:t xml:space="preserve">August </w:t>
      </w:r>
      <w:r w:rsidRPr="00511CD3">
        <w:t>1, and based on that intervention, the judge decided to</w:t>
      </w:r>
      <w:r w:rsidR="00301C5D" w:rsidRPr="00511CD3">
        <w:t xml:space="preserve"> “</w:t>
      </w:r>
      <w:r w:rsidRPr="00511CD3">
        <w:t xml:space="preserve">deem the action instituted” and ordered </w:t>
      </w:r>
      <w:r w:rsidR="00B26A21" w:rsidRPr="00511CD3">
        <w:t xml:space="preserve">that </w:t>
      </w:r>
      <w:r w:rsidR="00301C5D" w:rsidRPr="00511CD3">
        <w:t xml:space="preserve">RUAGA </w:t>
      </w:r>
      <w:r w:rsidR="00B26A21" w:rsidRPr="00511CD3">
        <w:t xml:space="preserve">be notified for </w:t>
      </w:r>
      <w:r w:rsidR="00610F77" w:rsidRPr="00511CD3">
        <w:t xml:space="preserve">it </w:t>
      </w:r>
      <w:r w:rsidR="00B26A21" w:rsidRPr="00511CD3">
        <w:t xml:space="preserve">to </w:t>
      </w:r>
      <w:r w:rsidR="00F44C1F" w:rsidRPr="00511CD3">
        <w:t>forward</w:t>
      </w:r>
      <w:r w:rsidRPr="00511CD3">
        <w:t xml:space="preserve"> </w:t>
      </w:r>
      <w:r w:rsidR="00063FC6" w:rsidRPr="00511CD3">
        <w:t>a copy of three records from the list of possible adoptive parents.</w:t>
      </w:r>
      <w:r w:rsidR="003152BD" w:rsidRPr="00511CD3">
        <w:rPr>
          <w:rStyle w:val="FootnoteReference"/>
        </w:rPr>
        <w:footnoteReference w:id="18"/>
      </w:r>
      <w:r w:rsidR="00063FC6" w:rsidRPr="00511CD3">
        <w:t xml:space="preserve"> </w:t>
      </w:r>
      <w:r w:rsidR="003152BD" w:rsidRPr="00511CD3">
        <w:t xml:space="preserve">RUAGA </w:t>
      </w:r>
      <w:r w:rsidR="00063FC6" w:rsidRPr="00511CD3">
        <w:t xml:space="preserve">complied with this </w:t>
      </w:r>
      <w:r w:rsidR="00610F77" w:rsidRPr="00511CD3">
        <w:t xml:space="preserve">order </w:t>
      </w:r>
      <w:r w:rsidR="00063FC6" w:rsidRPr="00511CD3">
        <w:t xml:space="preserve">on </w:t>
      </w:r>
      <w:r w:rsidR="00B10F4D" w:rsidRPr="00511CD3">
        <w:t>August</w:t>
      </w:r>
      <w:r w:rsidR="003152BD" w:rsidRPr="00511CD3">
        <w:t xml:space="preserve"> </w:t>
      </w:r>
      <w:r w:rsidR="00063FC6" w:rsidRPr="00511CD3">
        <w:t xml:space="preserve">4, </w:t>
      </w:r>
      <w:r w:rsidR="003152BD" w:rsidRPr="00511CD3">
        <w:t xml:space="preserve">2014. </w:t>
      </w:r>
      <w:r w:rsidR="00610F77" w:rsidRPr="00511CD3">
        <w:t xml:space="preserve"> </w:t>
      </w:r>
      <w:r w:rsidR="00063FC6" w:rsidRPr="00511CD3">
        <w:t xml:space="preserve">The first of the three records sent was that of </w:t>
      </w:r>
      <w:r w:rsidR="00BB24B6" w:rsidRPr="00511CD3">
        <w:t>Mr. and Mrs. “López.”</w:t>
      </w:r>
    </w:p>
    <w:p w14:paraId="1C79301E" w14:textId="77777777" w:rsidR="00FC4121" w:rsidRPr="00511CD3" w:rsidRDefault="00FC4121" w:rsidP="008429F6">
      <w:pPr>
        <w:pStyle w:val="ListParagraph"/>
        <w:numPr>
          <w:ilvl w:val="0"/>
          <w:numId w:val="0"/>
        </w:numPr>
      </w:pPr>
    </w:p>
    <w:p w14:paraId="7037B6C1" w14:textId="77777777" w:rsidR="00FC4121" w:rsidRPr="00511CD3" w:rsidRDefault="00063FC6" w:rsidP="008429F6">
      <w:pPr>
        <w:pStyle w:val="ListParagraph"/>
        <w:ind w:left="0" w:firstLine="0"/>
      </w:pPr>
      <w:r w:rsidRPr="00511CD3">
        <w:t xml:space="preserve">On </w:t>
      </w:r>
      <w:r w:rsidR="00B10F4D" w:rsidRPr="00511CD3">
        <w:t>August</w:t>
      </w:r>
      <w:r w:rsidR="00FC4121" w:rsidRPr="00511CD3">
        <w:t xml:space="preserve"> </w:t>
      </w:r>
      <w:r w:rsidRPr="00511CD3">
        <w:t xml:space="preserve">8, </w:t>
      </w:r>
      <w:r w:rsidR="00FC4121" w:rsidRPr="00511CD3">
        <w:t>2014</w:t>
      </w:r>
      <w:r w:rsidRPr="00511CD3">
        <w:t xml:space="preserve">, the social worker of the Office of the Provincial Defender of Children </w:t>
      </w:r>
      <w:r w:rsidR="00B10F4D" w:rsidRPr="00511CD3">
        <w:t xml:space="preserve">and </w:t>
      </w:r>
      <w:r w:rsidR="00FC4121" w:rsidRPr="00511CD3">
        <w:t>Adolescents</w:t>
      </w:r>
      <w:r w:rsidRPr="00511CD3">
        <w:t>, together with a social worker of</w:t>
      </w:r>
      <w:r w:rsidR="00FC4121" w:rsidRPr="00511CD3">
        <w:t xml:space="preserve"> </w:t>
      </w:r>
      <w:r w:rsidR="00AC2FC1" w:rsidRPr="00511CD3">
        <w:t>Martin Maternity Clinic</w:t>
      </w:r>
      <w:r w:rsidRPr="00511CD3">
        <w:t xml:space="preserve">, went to </w:t>
      </w:r>
      <w:r w:rsidR="00FC4121" w:rsidRPr="00511CD3">
        <w:t>“</w:t>
      </w:r>
      <w:r w:rsidR="008C68B5" w:rsidRPr="00511CD3">
        <w:t>María</w:t>
      </w:r>
      <w:r w:rsidRPr="00511CD3">
        <w:t>’s” hom</w:t>
      </w:r>
      <w:r w:rsidR="005A663B" w:rsidRPr="00511CD3">
        <w:t>e</w:t>
      </w:r>
      <w:r w:rsidRPr="00511CD3">
        <w:t xml:space="preserve"> to interview her and her mother.  In the minutes of that meeting, the professional</w:t>
      </w:r>
      <w:r w:rsidR="00610F77" w:rsidRPr="00511CD3">
        <w:t xml:space="preserve">s </w:t>
      </w:r>
      <w:r w:rsidRPr="00511CD3">
        <w:t>involved record, among other matters, that some members of “María’s” family, specifically, her aunt and grandmother</w:t>
      </w:r>
      <w:r w:rsidR="00FC4121" w:rsidRPr="00511CD3">
        <w:t>, “ha</w:t>
      </w:r>
      <w:r w:rsidR="00610F77" w:rsidRPr="00511CD3">
        <w:t>ve</w:t>
      </w:r>
      <w:r w:rsidRPr="00511CD3">
        <w:t xml:space="preserve"> indicated that they wish to meet the baby and take photos, not agreeing to the adoption.</w:t>
      </w:r>
      <w:r w:rsidR="00FC4121" w:rsidRPr="00511CD3">
        <w:t>”</w:t>
      </w:r>
      <w:r w:rsidR="00FC4121" w:rsidRPr="00511CD3">
        <w:rPr>
          <w:rStyle w:val="FootnoteReference"/>
        </w:rPr>
        <w:footnoteReference w:id="19"/>
      </w:r>
    </w:p>
    <w:p w14:paraId="246AEB5F" w14:textId="77777777" w:rsidR="006A7A0D" w:rsidRPr="00511CD3" w:rsidRDefault="006A7A0D" w:rsidP="008429F6">
      <w:pPr>
        <w:pStyle w:val="ListParagraph"/>
        <w:numPr>
          <w:ilvl w:val="0"/>
          <w:numId w:val="0"/>
        </w:numPr>
      </w:pPr>
    </w:p>
    <w:p w14:paraId="34D46CA9" w14:textId="77777777" w:rsidR="00CE34FB" w:rsidRPr="00511CD3" w:rsidRDefault="005A663B" w:rsidP="008429F6">
      <w:pPr>
        <w:pStyle w:val="ListParagraph"/>
        <w:ind w:left="0" w:firstLine="0"/>
      </w:pPr>
      <w:r w:rsidRPr="00511CD3">
        <w:t xml:space="preserve">On </w:t>
      </w:r>
      <w:r w:rsidR="00B10F4D" w:rsidRPr="00511CD3">
        <w:t>August</w:t>
      </w:r>
      <w:r w:rsidR="006A7A0D" w:rsidRPr="00511CD3">
        <w:t xml:space="preserve"> </w:t>
      </w:r>
      <w:r w:rsidRPr="00511CD3">
        <w:t xml:space="preserve">19, </w:t>
      </w:r>
      <w:r w:rsidR="006A7A0D" w:rsidRPr="00511CD3">
        <w:t>2014</w:t>
      </w:r>
      <w:r w:rsidRPr="00511CD3">
        <w:t xml:space="preserve">, the judge in the case interviewed </w:t>
      </w:r>
      <w:r w:rsidR="00975BDF" w:rsidRPr="00511CD3">
        <w:t xml:space="preserve">Mr. and </w:t>
      </w:r>
      <w:r w:rsidR="009A6D14" w:rsidRPr="00511CD3">
        <w:t>Mrs. “López</w:t>
      </w:r>
      <w:r w:rsidR="00610F77" w:rsidRPr="00511CD3">
        <w:t>,</w:t>
      </w:r>
      <w:r w:rsidR="009A6D14" w:rsidRPr="00511CD3">
        <w:t>”</w:t>
      </w:r>
      <w:r w:rsidRPr="00511CD3">
        <w:t xml:space="preserve"> who affirmed that they</w:t>
      </w:r>
      <w:r w:rsidR="006A7A0D" w:rsidRPr="00511CD3">
        <w:t xml:space="preserve"> “</w:t>
      </w:r>
      <w:r w:rsidRPr="00511CD3">
        <w:t xml:space="preserve">wanted the child and had the means to provide him with </w:t>
      </w:r>
      <w:r w:rsidR="00610F77" w:rsidRPr="00511CD3">
        <w:t xml:space="preserve">adequate </w:t>
      </w:r>
      <w:r w:rsidRPr="00511CD3">
        <w:t>education and support.</w:t>
      </w:r>
      <w:r w:rsidR="006A7A0D" w:rsidRPr="00511CD3">
        <w:t>”</w:t>
      </w:r>
      <w:r w:rsidRPr="00511CD3">
        <w:t xml:space="preserve">  The judge reported at the hearing on the “provisional nature of the mother’s intent to give her child up for adoption.</w:t>
      </w:r>
      <w:r w:rsidR="006A7A0D" w:rsidRPr="00511CD3">
        <w:t>”</w:t>
      </w:r>
      <w:r w:rsidR="006A7A0D" w:rsidRPr="00511CD3">
        <w:rPr>
          <w:rStyle w:val="FootnoteReference"/>
        </w:rPr>
        <w:footnoteReference w:id="20"/>
      </w:r>
      <w:r w:rsidRPr="00511CD3">
        <w:t xml:space="preserve"> The next day, </w:t>
      </w:r>
      <w:r w:rsidR="00975BDF" w:rsidRPr="00511CD3">
        <w:t xml:space="preserve">Mr. and </w:t>
      </w:r>
      <w:r w:rsidR="009A6D14" w:rsidRPr="00511CD3">
        <w:t>Mrs. “López”</w:t>
      </w:r>
      <w:r w:rsidRPr="00511CD3">
        <w:t xml:space="preserve"> </w:t>
      </w:r>
      <w:r w:rsidR="00B10F4D" w:rsidRPr="00511CD3">
        <w:t xml:space="preserve">and </w:t>
      </w:r>
      <w:r w:rsidR="006A7A0D" w:rsidRPr="00511CD3">
        <w:t xml:space="preserve">“María” </w:t>
      </w:r>
      <w:r w:rsidRPr="00511CD3">
        <w:t xml:space="preserve">met at the Office of the Provincial Defender of Children and Adolescents, at </w:t>
      </w:r>
      <w:r w:rsidR="006A7A0D" w:rsidRPr="00511CD3">
        <w:t>“María</w:t>
      </w:r>
      <w:r w:rsidRPr="00511CD3">
        <w:t>’s</w:t>
      </w:r>
      <w:r w:rsidR="006A7A0D" w:rsidRPr="00511CD3">
        <w:t>”</w:t>
      </w:r>
      <w:r w:rsidRPr="00511CD3">
        <w:t xml:space="preserve"> request, with the support of psychologists of the comprehensive care area of </w:t>
      </w:r>
      <w:r w:rsidR="00F44C1F" w:rsidRPr="00511CD3">
        <w:t>that</w:t>
      </w:r>
      <w:r w:rsidRPr="00511CD3">
        <w:t xml:space="preserve"> Office.</w:t>
      </w:r>
      <w:r w:rsidR="0075385A" w:rsidRPr="00511CD3">
        <w:rPr>
          <w:rStyle w:val="FootnoteReference"/>
        </w:rPr>
        <w:footnoteReference w:id="21"/>
      </w:r>
    </w:p>
    <w:p w14:paraId="54595E5E" w14:textId="77777777" w:rsidR="00EA62E1" w:rsidRPr="00511CD3" w:rsidRDefault="00EA62E1" w:rsidP="00EA62E1">
      <w:pPr>
        <w:pStyle w:val="ListParagraph"/>
        <w:numPr>
          <w:ilvl w:val="0"/>
          <w:numId w:val="0"/>
        </w:numPr>
        <w:ind w:left="502"/>
      </w:pPr>
    </w:p>
    <w:p w14:paraId="0386273A" w14:textId="77777777" w:rsidR="007843A1" w:rsidRPr="00511CD3" w:rsidRDefault="000A1C5C" w:rsidP="00EA62E1">
      <w:pPr>
        <w:pStyle w:val="ListParagraph"/>
        <w:ind w:left="0" w:firstLine="0"/>
      </w:pPr>
      <w:r w:rsidRPr="00511CD3">
        <w:t xml:space="preserve">On </w:t>
      </w:r>
      <w:r w:rsidR="00B10F4D" w:rsidRPr="00511CD3">
        <w:t>August</w:t>
      </w:r>
      <w:r w:rsidR="00CE34FB" w:rsidRPr="00511CD3">
        <w:t xml:space="preserve"> </w:t>
      </w:r>
      <w:r w:rsidRPr="00511CD3">
        <w:t xml:space="preserve">22, the attorney for </w:t>
      </w:r>
      <w:r w:rsidR="00975BDF" w:rsidRPr="00511CD3">
        <w:t xml:space="preserve">Mr. and </w:t>
      </w:r>
      <w:r w:rsidR="009A6D14" w:rsidRPr="00511CD3">
        <w:t>Mrs. “López”</w:t>
      </w:r>
      <w:r w:rsidRPr="00511CD3">
        <w:t xml:space="preserve"> requested the judge,</w:t>
      </w:r>
      <w:r w:rsidR="00CE34FB" w:rsidRPr="00511CD3">
        <w:t xml:space="preserve"> “</w:t>
      </w:r>
      <w:r w:rsidRPr="00511CD3">
        <w:t>since the birth was imminent,</w:t>
      </w:r>
      <w:r w:rsidR="00CE34FB" w:rsidRPr="00511CD3">
        <w:t xml:space="preserve">” </w:t>
      </w:r>
      <w:r w:rsidRPr="00511CD3">
        <w:t xml:space="preserve">to authorize the parties she represented to </w:t>
      </w:r>
      <w:r w:rsidR="00CE34FB" w:rsidRPr="00511CD3">
        <w:t>“</w:t>
      </w:r>
      <w:r w:rsidRPr="00511CD3">
        <w:t>make immediate contact with the baby, assume his care and attention,</w:t>
      </w:r>
      <w:r w:rsidR="00CE34FB" w:rsidRPr="00511CD3">
        <w:t>”</w:t>
      </w:r>
      <w:r w:rsidR="00B10F4D" w:rsidRPr="00511CD3">
        <w:t xml:space="preserve"> and </w:t>
      </w:r>
      <w:r w:rsidRPr="00511CD3">
        <w:t xml:space="preserve">to remove him from </w:t>
      </w:r>
      <w:r w:rsidR="00AC2FC1" w:rsidRPr="00511CD3">
        <w:t>Martin Maternity Clinic</w:t>
      </w:r>
      <w:r w:rsidR="00CE34FB" w:rsidRPr="00511CD3">
        <w:t xml:space="preserve"> </w:t>
      </w:r>
      <w:r w:rsidR="00B26A21" w:rsidRPr="00511CD3">
        <w:t>once</w:t>
      </w:r>
      <w:r w:rsidRPr="00511CD3">
        <w:t xml:space="preserve"> the child </w:t>
      </w:r>
      <w:r w:rsidR="00B26A21" w:rsidRPr="00511CD3">
        <w:t xml:space="preserve">could </w:t>
      </w:r>
      <w:r w:rsidR="003960BA" w:rsidRPr="00511CD3">
        <w:t xml:space="preserve">be </w:t>
      </w:r>
      <w:r w:rsidRPr="00511CD3">
        <w:t>released by the doctors</w:t>
      </w:r>
      <w:r w:rsidR="00CE34FB" w:rsidRPr="00511CD3">
        <w:t xml:space="preserve"> “</w:t>
      </w:r>
      <w:r w:rsidRPr="00511CD3">
        <w:t xml:space="preserve">in the capacity </w:t>
      </w:r>
      <w:r w:rsidR="00CA5CEB" w:rsidRPr="00511CD3">
        <w:t>of</w:t>
      </w:r>
      <w:r w:rsidRPr="00511CD3">
        <w:t xml:space="preserve"> </w:t>
      </w:r>
      <w:r w:rsidR="00A423EE" w:rsidRPr="00511CD3">
        <w:t>custodians</w:t>
      </w:r>
      <w:r w:rsidRPr="00511CD3">
        <w:t xml:space="preserve"> until the guardians</w:t>
      </w:r>
      <w:r w:rsidR="00553264" w:rsidRPr="00511CD3">
        <w:t>hip with the aim of adoption has</w:t>
      </w:r>
      <w:r w:rsidRPr="00511CD3">
        <w:t xml:space="preserve"> been processed.</w:t>
      </w:r>
      <w:r w:rsidR="00CE34FB" w:rsidRPr="00511CD3">
        <w:t>”</w:t>
      </w:r>
      <w:r w:rsidR="00CE34FB" w:rsidRPr="00511CD3">
        <w:rPr>
          <w:rStyle w:val="FootnoteReference"/>
        </w:rPr>
        <w:footnoteReference w:id="22"/>
      </w:r>
      <w:r w:rsidRPr="00511CD3">
        <w:t xml:space="preserve">  That same </w:t>
      </w:r>
      <w:r w:rsidR="00B10F4D" w:rsidRPr="00511CD3">
        <w:lastRenderedPageBreak/>
        <w:t>August</w:t>
      </w:r>
      <w:r w:rsidRPr="00511CD3">
        <w:t xml:space="preserve"> 22, the Judge signed a document that reads</w:t>
      </w:r>
      <w:r w:rsidR="00CE34FB" w:rsidRPr="00511CD3">
        <w:t>:</w:t>
      </w:r>
      <w:r w:rsidR="00D51F80" w:rsidRPr="00511CD3">
        <w:t xml:space="preserve"> </w:t>
      </w:r>
      <w:r w:rsidR="00CE34FB" w:rsidRPr="00511CD3">
        <w:t>“</w:t>
      </w:r>
      <w:r w:rsidR="00553264" w:rsidRPr="00511CD3">
        <w:t>Deemed lodged</w:t>
      </w:r>
      <w:r w:rsidRPr="00511CD3">
        <w:t xml:space="preserve">, </w:t>
      </w:r>
      <w:r w:rsidR="00872AFC" w:rsidRPr="00511CD3">
        <w:t xml:space="preserve">transferred, </w:t>
      </w:r>
      <w:r w:rsidR="00CF0721" w:rsidRPr="00511CD3">
        <w:t xml:space="preserve">in the capacity </w:t>
      </w:r>
      <w:r w:rsidR="00872AFC" w:rsidRPr="00511CD3">
        <w:t xml:space="preserve">invoked </w:t>
      </w:r>
      <w:r w:rsidR="00CF0721" w:rsidRPr="00511CD3">
        <w:t xml:space="preserve">by virtue of the </w:t>
      </w:r>
      <w:r w:rsidR="00553264" w:rsidRPr="00511CD3">
        <w:t xml:space="preserve">attached </w:t>
      </w:r>
      <w:r w:rsidR="00CF0721" w:rsidRPr="00511CD3">
        <w:t xml:space="preserve">special </w:t>
      </w:r>
      <w:r w:rsidR="00553264" w:rsidRPr="00511CD3">
        <w:t xml:space="preserve">power of </w:t>
      </w:r>
      <w:r w:rsidR="00CF0721" w:rsidRPr="00511CD3">
        <w:t>a</w:t>
      </w:r>
      <w:r w:rsidR="00553264" w:rsidRPr="00511CD3">
        <w:t>ttorney</w:t>
      </w:r>
      <w:r w:rsidR="00CE34FB" w:rsidRPr="00511CD3">
        <w:t xml:space="preserve">. </w:t>
      </w:r>
      <w:r w:rsidR="0071736B" w:rsidRPr="00511CD3">
        <w:t xml:space="preserve">The </w:t>
      </w:r>
      <w:r w:rsidR="00CA5CEB" w:rsidRPr="00511CD3">
        <w:t>participat</w:t>
      </w:r>
      <w:r w:rsidR="00553264" w:rsidRPr="00511CD3">
        <w:t>ion</w:t>
      </w:r>
      <w:r w:rsidR="00CA5CEB" w:rsidRPr="00511CD3">
        <w:t xml:space="preserve"> corresponding to </w:t>
      </w:r>
      <w:r w:rsidR="00553264" w:rsidRPr="00511CD3">
        <w:t xml:space="preserve">them </w:t>
      </w:r>
      <w:r w:rsidR="00EA62E1" w:rsidRPr="00511CD3">
        <w:t>by law</w:t>
      </w:r>
      <w:r w:rsidR="0071736B" w:rsidRPr="00511CD3">
        <w:t xml:space="preserve"> is hereby granted</w:t>
      </w:r>
      <w:r w:rsidR="00CE34FB" w:rsidRPr="00511CD3">
        <w:t xml:space="preserve">. </w:t>
      </w:r>
      <w:r w:rsidR="00872AFC" w:rsidRPr="00511CD3">
        <w:t xml:space="preserve"> </w:t>
      </w:r>
      <w:r w:rsidR="0025761A" w:rsidRPr="00511CD3">
        <w:t>Take a</w:t>
      </w:r>
      <w:r w:rsidR="00872AFC" w:rsidRPr="00511CD3">
        <w:t xml:space="preserve">ccount </w:t>
      </w:r>
      <w:r w:rsidR="00CF0721" w:rsidRPr="00511CD3">
        <w:t>of the</w:t>
      </w:r>
      <w:r w:rsidR="00553264" w:rsidRPr="00511CD3">
        <w:t xml:space="preserve"> statements</w:t>
      </w:r>
      <w:r w:rsidR="00CE34FB" w:rsidRPr="00511CD3">
        <w:t xml:space="preserve">. </w:t>
      </w:r>
      <w:r w:rsidR="00553264" w:rsidRPr="00511CD3">
        <w:t xml:space="preserve">Notify </w:t>
      </w:r>
      <w:r w:rsidRPr="00511CD3">
        <w:t>as requested.</w:t>
      </w:r>
      <w:r w:rsidR="00CE34FB" w:rsidRPr="00511CD3">
        <w:t>”</w:t>
      </w:r>
      <w:r w:rsidR="00FC4121" w:rsidRPr="00511CD3">
        <w:rPr>
          <w:rStyle w:val="FootnoteReference"/>
        </w:rPr>
        <w:footnoteReference w:id="23"/>
      </w:r>
      <w:r w:rsidR="0025761A" w:rsidRPr="00511CD3">
        <w:t xml:space="preserve"> </w:t>
      </w:r>
    </w:p>
    <w:p w14:paraId="4C9B7ED6" w14:textId="77777777" w:rsidR="006B0364" w:rsidRPr="00511CD3" w:rsidRDefault="006B0364" w:rsidP="008429F6">
      <w:pPr>
        <w:pStyle w:val="ListParagraph"/>
        <w:numPr>
          <w:ilvl w:val="0"/>
          <w:numId w:val="0"/>
        </w:numPr>
      </w:pPr>
    </w:p>
    <w:p w14:paraId="045DBC60" w14:textId="77777777" w:rsidR="006B0364" w:rsidRPr="00511CD3" w:rsidRDefault="00A534EC" w:rsidP="00DC2BF9">
      <w:pPr>
        <w:pStyle w:val="Heading2"/>
        <w:numPr>
          <w:ilvl w:val="0"/>
          <w:numId w:val="22"/>
        </w:numPr>
        <w:ind w:left="900"/>
        <w:rPr>
          <w:lang w:val="en-US"/>
        </w:rPr>
      </w:pPr>
      <w:r w:rsidRPr="00511CD3">
        <w:rPr>
          <w:lang w:val="en-US"/>
        </w:rPr>
        <w:t xml:space="preserve">Events occurring after </w:t>
      </w:r>
      <w:r w:rsidR="006B0364" w:rsidRPr="00511CD3">
        <w:rPr>
          <w:lang w:val="en-US"/>
        </w:rPr>
        <w:t>“Mariano</w:t>
      </w:r>
      <w:r w:rsidRPr="00511CD3">
        <w:rPr>
          <w:lang w:val="en-US"/>
        </w:rPr>
        <w:t>’s</w:t>
      </w:r>
      <w:r w:rsidR="006B0364" w:rsidRPr="00511CD3">
        <w:rPr>
          <w:lang w:val="en-US"/>
        </w:rPr>
        <w:t>”</w:t>
      </w:r>
      <w:r w:rsidRPr="00511CD3">
        <w:rPr>
          <w:lang w:val="en-US"/>
        </w:rPr>
        <w:t xml:space="preserve"> birth until the issuing of precautionary measure 540-15</w:t>
      </w:r>
    </w:p>
    <w:p w14:paraId="1B10602E" w14:textId="77777777" w:rsidR="007843A1" w:rsidRPr="00511CD3" w:rsidRDefault="007843A1" w:rsidP="008429F6">
      <w:pPr>
        <w:pStyle w:val="ListParagraph"/>
        <w:numPr>
          <w:ilvl w:val="0"/>
          <w:numId w:val="0"/>
        </w:numPr>
      </w:pPr>
    </w:p>
    <w:p w14:paraId="5E468C1E" w14:textId="77777777" w:rsidR="007843A1" w:rsidRPr="00511CD3" w:rsidRDefault="000A1C5C" w:rsidP="008429F6">
      <w:pPr>
        <w:pStyle w:val="ListParagraph"/>
        <w:ind w:left="0" w:firstLine="0"/>
      </w:pPr>
      <w:r w:rsidRPr="00511CD3">
        <w:t xml:space="preserve">On </w:t>
      </w:r>
      <w:r w:rsidR="00B10F4D" w:rsidRPr="00511CD3">
        <w:t>August</w:t>
      </w:r>
      <w:r w:rsidR="00CE34FB" w:rsidRPr="00511CD3">
        <w:t xml:space="preserve"> </w:t>
      </w:r>
      <w:r w:rsidRPr="00511CD3">
        <w:t xml:space="preserve">23, </w:t>
      </w:r>
      <w:r w:rsidR="00CE34FB" w:rsidRPr="00511CD3">
        <w:t>2014</w:t>
      </w:r>
      <w:r w:rsidRPr="00511CD3">
        <w:t>, “Marian</w:t>
      </w:r>
      <w:r w:rsidR="00235E4B" w:rsidRPr="00511CD3">
        <w:t>o</w:t>
      </w:r>
      <w:r w:rsidRPr="00511CD3">
        <w:t xml:space="preserve">” was born.  In a document received </w:t>
      </w:r>
      <w:r w:rsidR="00733D74" w:rsidRPr="00511CD3">
        <w:t xml:space="preserve">on August 27 </w:t>
      </w:r>
      <w:r w:rsidRPr="00511CD3">
        <w:t>by Colleg</w:t>
      </w:r>
      <w:r w:rsidR="00235E4B" w:rsidRPr="00511CD3">
        <w:t>iat</w:t>
      </w:r>
      <w:r w:rsidRPr="00511CD3">
        <w:t xml:space="preserve">e Family Court No. 5 of </w:t>
      </w:r>
      <w:r w:rsidR="00CE34FB" w:rsidRPr="00511CD3">
        <w:t>Rosario</w:t>
      </w:r>
      <w:r w:rsidRPr="00511CD3">
        <w:t xml:space="preserve">, the attorney for </w:t>
      </w:r>
      <w:r w:rsidR="00733D74" w:rsidRPr="00511CD3">
        <w:t>Mr. and Mrs.</w:t>
      </w:r>
      <w:r w:rsidRPr="00511CD3">
        <w:t xml:space="preserve"> </w:t>
      </w:r>
      <w:r w:rsidR="00593F1F" w:rsidRPr="00511CD3">
        <w:t>“Lopez”</w:t>
      </w:r>
      <w:r w:rsidR="00CE34FB" w:rsidRPr="00511CD3">
        <w:t xml:space="preserve"> </w:t>
      </w:r>
      <w:r w:rsidR="00C12F1D" w:rsidRPr="00511CD3">
        <w:t>requested that the parties she rep</w:t>
      </w:r>
      <w:r w:rsidR="00A423EE" w:rsidRPr="00511CD3">
        <w:t xml:space="preserve">resented be granted </w:t>
      </w:r>
      <w:r w:rsidR="00DC2BF9" w:rsidRPr="00511CD3">
        <w:t>provisional guardianship</w:t>
      </w:r>
      <w:r w:rsidR="00C12F1D" w:rsidRPr="00511CD3">
        <w:t xml:space="preserve"> of the child </w:t>
      </w:r>
      <w:r w:rsidR="00CE34FB" w:rsidRPr="00511CD3">
        <w:t>“</w:t>
      </w:r>
      <w:r w:rsidR="00C12F1D" w:rsidRPr="00511CD3">
        <w:t>until guardianship with the aim of adoption is granted</w:t>
      </w:r>
      <w:r w:rsidR="00CE34FB" w:rsidRPr="00511CD3">
        <w:t>”</w:t>
      </w:r>
      <w:r w:rsidR="00B10F4D" w:rsidRPr="00511CD3">
        <w:t xml:space="preserve"> and </w:t>
      </w:r>
      <w:r w:rsidR="00C12F1D" w:rsidRPr="00511CD3">
        <w:t xml:space="preserve">that in due course “guardianship with the </w:t>
      </w:r>
      <w:r w:rsidR="00F44C1F" w:rsidRPr="00511CD3">
        <w:t>aim</w:t>
      </w:r>
      <w:r w:rsidR="00C12F1D" w:rsidRPr="00511CD3">
        <w:t xml:space="preserve"> of adoption of the minor child </w:t>
      </w:r>
      <w:r w:rsidR="00DC2BF9" w:rsidRPr="00511CD3">
        <w:t>is</w:t>
      </w:r>
      <w:r w:rsidR="00C12F1D" w:rsidRPr="00511CD3">
        <w:t xml:space="preserve"> granted.</w:t>
      </w:r>
      <w:r w:rsidR="00CE34FB" w:rsidRPr="00511CD3">
        <w:t>”</w:t>
      </w:r>
      <w:r w:rsidR="00FE4281" w:rsidRPr="00511CD3">
        <w:rPr>
          <w:rStyle w:val="FootnoteReference"/>
        </w:rPr>
        <w:footnoteReference w:id="24"/>
      </w:r>
      <w:r w:rsidR="00CE34FB" w:rsidRPr="00511CD3">
        <w:t xml:space="preserve"> </w:t>
      </w:r>
      <w:r w:rsidR="00C12F1D" w:rsidRPr="00511CD3">
        <w:t xml:space="preserve"> That same day, the judge ordered the Social Worker of the Court to prepare a wide-ranging environmental report at the home of the applicants for adoption</w:t>
      </w:r>
      <w:r w:rsidR="009D5CF2" w:rsidRPr="00511CD3">
        <w:t xml:space="preserve">, </w:t>
      </w:r>
      <w:r w:rsidR="00B10F4D" w:rsidRPr="00511CD3">
        <w:t xml:space="preserve">and </w:t>
      </w:r>
      <w:r w:rsidR="009D5CF2" w:rsidRPr="00511CD3">
        <w:t xml:space="preserve">ordered </w:t>
      </w:r>
      <w:r w:rsidR="00CE34FB" w:rsidRPr="00511CD3">
        <w:t>“María”</w:t>
      </w:r>
      <w:r w:rsidR="00B10F4D" w:rsidRPr="00511CD3">
        <w:t xml:space="preserve"> and </w:t>
      </w:r>
      <w:r w:rsidR="00C12F1D" w:rsidRPr="00511CD3">
        <w:t xml:space="preserve">her mother to come to the Forensic </w:t>
      </w:r>
      <w:r w:rsidR="009D5CF2" w:rsidRPr="00511CD3">
        <w:t xml:space="preserve">Physician’s </w:t>
      </w:r>
      <w:r w:rsidR="00C12F1D" w:rsidRPr="00511CD3">
        <w:t>Office</w:t>
      </w:r>
      <w:r w:rsidR="00CE34FB" w:rsidRPr="00511CD3">
        <w:t xml:space="preserve"> “</w:t>
      </w:r>
      <w:r w:rsidR="00235E4B" w:rsidRPr="00511CD3">
        <w:t xml:space="preserve">for </w:t>
      </w:r>
      <w:r w:rsidR="00C12F1D" w:rsidRPr="00511CD3">
        <w:t xml:space="preserve">one of its professionals to issue an opinion as to whether the mother was in a psychological and physical </w:t>
      </w:r>
      <w:r w:rsidR="00733D74" w:rsidRPr="00511CD3">
        <w:t>condition</w:t>
      </w:r>
      <w:r w:rsidR="00C12F1D" w:rsidRPr="00511CD3">
        <w:t xml:space="preserve"> to understand the scope and significance of the act of giving up a child for adoption.</w:t>
      </w:r>
      <w:r w:rsidR="00CE34FB" w:rsidRPr="00511CD3">
        <w:t>”</w:t>
      </w:r>
      <w:r w:rsidR="006827B7" w:rsidRPr="00511CD3">
        <w:rPr>
          <w:rStyle w:val="FootnoteReference"/>
        </w:rPr>
        <w:footnoteReference w:id="25"/>
      </w:r>
      <w:r w:rsidR="00C12F1D" w:rsidRPr="00511CD3">
        <w:t xml:space="preserve">  On </w:t>
      </w:r>
      <w:r w:rsidR="00B10F4D" w:rsidRPr="00511CD3">
        <w:t>October</w:t>
      </w:r>
      <w:r w:rsidR="00323166" w:rsidRPr="00511CD3">
        <w:t xml:space="preserve"> </w:t>
      </w:r>
      <w:r w:rsidR="00C12F1D" w:rsidRPr="00511CD3">
        <w:t xml:space="preserve">3, </w:t>
      </w:r>
      <w:r w:rsidR="00323166" w:rsidRPr="00511CD3">
        <w:t>2014</w:t>
      </w:r>
      <w:r w:rsidR="00C12F1D" w:rsidRPr="00511CD3">
        <w:t>, the Court’s Social Worker forwarded her report.</w:t>
      </w:r>
      <w:r w:rsidR="00FC4121" w:rsidRPr="00511CD3">
        <w:rPr>
          <w:rStyle w:val="FootnoteReference"/>
        </w:rPr>
        <w:footnoteReference w:id="26"/>
      </w:r>
    </w:p>
    <w:p w14:paraId="537A38B5" w14:textId="77777777" w:rsidR="007843A1" w:rsidRPr="00511CD3" w:rsidRDefault="007843A1" w:rsidP="008429F6">
      <w:pPr>
        <w:pStyle w:val="ListParagraph"/>
        <w:numPr>
          <w:ilvl w:val="0"/>
          <w:numId w:val="0"/>
        </w:numPr>
      </w:pPr>
    </w:p>
    <w:p w14:paraId="12DE617B" w14:textId="77777777" w:rsidR="007843A1" w:rsidRPr="00511CD3" w:rsidRDefault="00C12F1D" w:rsidP="008429F6">
      <w:pPr>
        <w:pStyle w:val="ListParagraph"/>
        <w:ind w:left="0" w:firstLine="0"/>
      </w:pPr>
      <w:r w:rsidRPr="00511CD3">
        <w:t xml:space="preserve">On </w:t>
      </w:r>
      <w:r w:rsidR="00B10F4D" w:rsidRPr="00511CD3">
        <w:t>December</w:t>
      </w:r>
      <w:r w:rsidR="007843A1" w:rsidRPr="00511CD3">
        <w:t xml:space="preserve"> </w:t>
      </w:r>
      <w:r w:rsidRPr="00511CD3">
        <w:t xml:space="preserve">15, </w:t>
      </w:r>
      <w:r w:rsidR="007843A1" w:rsidRPr="00511CD3">
        <w:t>2014</w:t>
      </w:r>
      <w:r w:rsidRPr="00511CD3">
        <w:t>, the Forensic Psychiatr</w:t>
      </w:r>
      <w:r w:rsidR="009D5CF2" w:rsidRPr="00511CD3">
        <w:t xml:space="preserve">ist </w:t>
      </w:r>
      <w:r w:rsidRPr="00511CD3">
        <w:t xml:space="preserve">examined </w:t>
      </w:r>
      <w:r w:rsidR="007843A1" w:rsidRPr="00511CD3">
        <w:t>“</w:t>
      </w:r>
      <w:r w:rsidR="00720904" w:rsidRPr="00511CD3">
        <w:t>María</w:t>
      </w:r>
      <w:r w:rsidR="007843A1" w:rsidRPr="00511CD3">
        <w:t>”</w:t>
      </w:r>
      <w:r w:rsidR="00B10F4D" w:rsidRPr="00511CD3">
        <w:t xml:space="preserve"> and </w:t>
      </w:r>
      <w:r w:rsidRPr="00511CD3">
        <w:t xml:space="preserve">her mother.  Regarding </w:t>
      </w:r>
      <w:r w:rsidR="007843A1" w:rsidRPr="00511CD3">
        <w:t>“</w:t>
      </w:r>
      <w:r w:rsidR="008C68B5" w:rsidRPr="00511CD3">
        <w:t>María</w:t>
      </w:r>
      <w:r w:rsidRPr="00511CD3">
        <w:t xml:space="preserve">,” the doctor indicated that she </w:t>
      </w:r>
      <w:r w:rsidR="007843A1" w:rsidRPr="00511CD3">
        <w:t>“</w:t>
      </w:r>
      <w:r w:rsidR="00235E4B" w:rsidRPr="00511CD3">
        <w:t>manifest</w:t>
      </w:r>
      <w:r w:rsidR="00DC2BF9" w:rsidRPr="00511CD3">
        <w:t>s</w:t>
      </w:r>
      <w:r w:rsidR="00235E4B" w:rsidRPr="00511CD3">
        <w:t xml:space="preserve"> a selective emotion</w:t>
      </w:r>
      <w:r w:rsidR="00E60CBD" w:rsidRPr="00511CD3">
        <w:t>al</w:t>
      </w:r>
      <w:r w:rsidR="00235E4B" w:rsidRPr="00511CD3">
        <w:t xml:space="preserve"> block </w:t>
      </w:r>
      <w:r w:rsidR="00E60CBD" w:rsidRPr="00511CD3">
        <w:t xml:space="preserve">regarding </w:t>
      </w:r>
      <w:r w:rsidR="00235E4B" w:rsidRPr="00511CD3">
        <w:t xml:space="preserve">the act in question.  </w:t>
      </w:r>
      <w:r w:rsidR="00E60CBD" w:rsidRPr="00511CD3">
        <w:t xml:space="preserve">Given </w:t>
      </w:r>
      <w:r w:rsidR="00235E4B" w:rsidRPr="00511CD3">
        <w:t xml:space="preserve">that and her </w:t>
      </w:r>
      <w:r w:rsidR="00E60CBD" w:rsidRPr="00511CD3">
        <w:t>young</w:t>
      </w:r>
      <w:r w:rsidR="00235E4B" w:rsidRPr="00511CD3">
        <w:t xml:space="preserve"> age, she is </w:t>
      </w:r>
      <w:r w:rsidR="00E60CBD" w:rsidRPr="00511CD3">
        <w:t xml:space="preserve">unable </w:t>
      </w:r>
      <w:r w:rsidR="00235E4B" w:rsidRPr="00511CD3">
        <w:t>to understand the scope of this act.</w:t>
      </w:r>
      <w:r w:rsidR="007843A1" w:rsidRPr="00511CD3">
        <w:t>”</w:t>
      </w:r>
      <w:r w:rsidR="00235E4B" w:rsidRPr="00511CD3">
        <w:t xml:space="preserve">  As to “María’s” mother, the professional held that </w:t>
      </w:r>
      <w:r w:rsidR="007843A1" w:rsidRPr="00511CD3">
        <w:t>“</w:t>
      </w:r>
      <w:r w:rsidR="00235E4B" w:rsidRPr="00511CD3">
        <w:t xml:space="preserve">she does not manifest sufficient mental pathology </w:t>
      </w:r>
      <w:r w:rsidR="00733D74" w:rsidRPr="00511CD3">
        <w:t xml:space="preserve">as to </w:t>
      </w:r>
      <w:r w:rsidR="00235E4B" w:rsidRPr="00511CD3">
        <w:t xml:space="preserve">prevent </w:t>
      </w:r>
      <w:r w:rsidR="00733D74" w:rsidRPr="00511CD3">
        <w:t>her from understanding the scopes</w:t>
      </w:r>
      <w:r w:rsidR="00235E4B" w:rsidRPr="00511CD3">
        <w:t xml:space="preserve"> of giving up her grandson for adoption.</w:t>
      </w:r>
      <w:r w:rsidR="007843A1" w:rsidRPr="00511CD3">
        <w:t>”</w:t>
      </w:r>
      <w:r w:rsidR="006B737C" w:rsidRPr="00511CD3">
        <w:rPr>
          <w:rStyle w:val="FootnoteReference"/>
        </w:rPr>
        <w:footnoteReference w:id="27"/>
      </w:r>
      <w:r w:rsidR="007843A1" w:rsidRPr="00511CD3">
        <w:t xml:space="preserve"> </w:t>
      </w:r>
    </w:p>
    <w:p w14:paraId="784E6A78" w14:textId="77777777" w:rsidR="00B24561" w:rsidRPr="00511CD3" w:rsidRDefault="00B24561" w:rsidP="008429F6">
      <w:pPr>
        <w:pStyle w:val="ListParagraph"/>
        <w:numPr>
          <w:ilvl w:val="0"/>
          <w:numId w:val="0"/>
        </w:numPr>
      </w:pPr>
    </w:p>
    <w:p w14:paraId="73578609" w14:textId="77777777" w:rsidR="00B24561" w:rsidRPr="00511CD3" w:rsidRDefault="00397837" w:rsidP="008429F6">
      <w:pPr>
        <w:pStyle w:val="ListParagraph"/>
        <w:ind w:left="0" w:firstLine="0"/>
      </w:pPr>
      <w:r w:rsidRPr="00511CD3">
        <w:t xml:space="preserve">On </w:t>
      </w:r>
      <w:r w:rsidR="00B10F4D" w:rsidRPr="00511CD3">
        <w:t>December</w:t>
      </w:r>
      <w:r w:rsidR="00B24561" w:rsidRPr="00511CD3">
        <w:t xml:space="preserve"> </w:t>
      </w:r>
      <w:r w:rsidRPr="00511CD3">
        <w:t>23,</w:t>
      </w:r>
      <w:r w:rsidR="00B24561" w:rsidRPr="00511CD3">
        <w:t xml:space="preserve"> 2014</w:t>
      </w:r>
      <w:r w:rsidRPr="00511CD3">
        <w:t xml:space="preserve">, the judge in the case convened a hearing for </w:t>
      </w:r>
      <w:r w:rsidR="00B10F4D" w:rsidRPr="00511CD3">
        <w:t>March</w:t>
      </w:r>
      <w:r w:rsidR="00B24561" w:rsidRPr="00511CD3">
        <w:t xml:space="preserve"> </w:t>
      </w:r>
      <w:r w:rsidRPr="00511CD3">
        <w:t>2,</w:t>
      </w:r>
      <w:r w:rsidR="00B24561" w:rsidRPr="00511CD3">
        <w:t xml:space="preserve"> 2015</w:t>
      </w:r>
      <w:r w:rsidRPr="00511CD3">
        <w:t>, so that the judge “could meet personally with the biological mother.</w:t>
      </w:r>
      <w:r w:rsidR="00B24561" w:rsidRPr="00511CD3">
        <w:t>”</w:t>
      </w:r>
      <w:r w:rsidRPr="00511CD3">
        <w:t xml:space="preserve">  On that date</w:t>
      </w:r>
      <w:r w:rsidR="00B92C18" w:rsidRPr="00511CD3">
        <w:t xml:space="preserve">, </w:t>
      </w:r>
      <w:r w:rsidR="00B24561" w:rsidRPr="00511CD3">
        <w:t>“</w:t>
      </w:r>
      <w:r w:rsidR="00993DCC" w:rsidRPr="00511CD3">
        <w:t>María</w:t>
      </w:r>
      <w:r w:rsidR="00B24561" w:rsidRPr="00511CD3">
        <w:t>”</w:t>
      </w:r>
      <w:r w:rsidR="00B10F4D" w:rsidRPr="00511CD3">
        <w:t xml:space="preserve"> and </w:t>
      </w:r>
      <w:r w:rsidRPr="00511CD3">
        <w:t xml:space="preserve">her mother went to the court’s premises </w:t>
      </w:r>
      <w:r w:rsidR="00B10F4D" w:rsidRPr="00511CD3">
        <w:t xml:space="preserve">and </w:t>
      </w:r>
      <w:r w:rsidRPr="00511CD3">
        <w:t>participated in a meeting with judicial officials, an attorney of the General Defender’s Office, and social work and psychiatric professionals of the Office of the Defender of Children and Adolescents</w:t>
      </w:r>
      <w:r w:rsidR="00B24561" w:rsidRPr="00511CD3">
        <w:t xml:space="preserve">. </w:t>
      </w:r>
      <w:r w:rsidRPr="00511CD3">
        <w:t xml:space="preserve">According to the </w:t>
      </w:r>
      <w:r w:rsidR="002E08A7" w:rsidRPr="00511CD3">
        <w:t>petitioners</w:t>
      </w:r>
      <w:r w:rsidR="00B83446" w:rsidRPr="00511CD3">
        <w:t xml:space="preserve">, </w:t>
      </w:r>
      <w:r w:rsidRPr="00511CD3">
        <w:t xml:space="preserve">on that occasion, </w:t>
      </w:r>
      <w:r w:rsidR="00993DCC" w:rsidRPr="00511CD3">
        <w:t xml:space="preserve">“María” </w:t>
      </w:r>
      <w:r w:rsidRPr="00511CD3">
        <w:t xml:space="preserve">indicated her wish to get her son back.  The minutes of the hearing </w:t>
      </w:r>
      <w:r w:rsidR="00DC2BF9" w:rsidRPr="00511CD3">
        <w:t>indicate</w:t>
      </w:r>
      <w:r w:rsidRPr="00511CD3">
        <w:t xml:space="preserve"> that </w:t>
      </w:r>
      <w:r w:rsidR="00993DCC" w:rsidRPr="00511CD3">
        <w:t>“</w:t>
      </w:r>
      <w:r w:rsidRPr="00511CD3">
        <w:t xml:space="preserve">given the confusion that has arisen </w:t>
      </w:r>
      <w:r w:rsidR="00733D74" w:rsidRPr="00511CD3">
        <w:t xml:space="preserve">with regard to </w:t>
      </w:r>
      <w:r w:rsidR="0096576B" w:rsidRPr="00511CD3">
        <w:t>“María’s”</w:t>
      </w:r>
      <w:r w:rsidRPr="00511CD3">
        <w:t xml:space="preserve"> wishes regarding her motherhood</w:t>
      </w:r>
      <w:r w:rsidR="00993DCC" w:rsidRPr="00511CD3">
        <w:t xml:space="preserve"> (…)</w:t>
      </w:r>
      <w:r w:rsidR="004807CF" w:rsidRPr="00511CD3">
        <w:t>,</w:t>
      </w:r>
      <w:r w:rsidR="00CE78AB" w:rsidRPr="00511CD3">
        <w:t xml:space="preserve"> </w:t>
      </w:r>
      <w:r w:rsidRPr="00511CD3">
        <w:t>in view of the urgency of the situation</w:t>
      </w:r>
      <w:r w:rsidR="00B10F4D" w:rsidRPr="00511CD3">
        <w:t xml:space="preserve"> and </w:t>
      </w:r>
      <w:r w:rsidRPr="00511CD3">
        <w:t xml:space="preserve">the risk to the </w:t>
      </w:r>
      <w:r w:rsidR="004807CF" w:rsidRPr="00511CD3">
        <w:t xml:space="preserve">girl’s </w:t>
      </w:r>
      <w:r w:rsidRPr="00511CD3">
        <w:t>psyche</w:t>
      </w:r>
      <w:r w:rsidR="00993DCC" w:rsidRPr="00511CD3">
        <w:t xml:space="preserve"> </w:t>
      </w:r>
      <w:r w:rsidR="003C0F43" w:rsidRPr="00511CD3">
        <w:t>[…]</w:t>
      </w:r>
      <w:r w:rsidR="00993DCC" w:rsidRPr="00511CD3">
        <w:t xml:space="preserve"> </w:t>
      </w:r>
      <w:r w:rsidR="00CE78AB" w:rsidRPr="00511CD3">
        <w:t xml:space="preserve">that it implies, </w:t>
      </w:r>
      <w:r w:rsidRPr="00511CD3">
        <w:t>all possible strategies should be coordinated for her due psychological care, with the consequent report of the professional involved.</w:t>
      </w:r>
      <w:r w:rsidR="00993DCC" w:rsidRPr="00511CD3">
        <w:t>”</w:t>
      </w:r>
      <w:r w:rsidR="00993DCC" w:rsidRPr="00511CD3">
        <w:rPr>
          <w:rStyle w:val="FootnoteReference"/>
        </w:rPr>
        <w:footnoteReference w:id="28"/>
      </w:r>
      <w:r w:rsidRPr="00511CD3">
        <w:t xml:space="preserve">  </w:t>
      </w:r>
      <w:r w:rsidR="00261A37" w:rsidRPr="00511CD3">
        <w:t xml:space="preserve">In subsequent </w:t>
      </w:r>
      <w:r w:rsidR="00CE78AB" w:rsidRPr="00511CD3">
        <w:t xml:space="preserve">briefs </w:t>
      </w:r>
      <w:r w:rsidR="00261A37" w:rsidRPr="00511CD3">
        <w:t xml:space="preserve">attached to the file, </w:t>
      </w:r>
      <w:r w:rsidR="00960A18" w:rsidRPr="00511CD3">
        <w:t>“</w:t>
      </w:r>
      <w:r w:rsidR="008C68B5" w:rsidRPr="00511CD3">
        <w:t>María</w:t>
      </w:r>
      <w:r w:rsidR="00CE78AB" w:rsidRPr="00511CD3">
        <w:t>’s</w:t>
      </w:r>
      <w:r w:rsidR="00960A18" w:rsidRPr="00511CD3">
        <w:t xml:space="preserve">” </w:t>
      </w:r>
      <w:r w:rsidR="00CE78AB" w:rsidRPr="00511CD3">
        <w:t xml:space="preserve">attorneys </w:t>
      </w:r>
      <w:r w:rsidR="001834B1" w:rsidRPr="00511CD3">
        <w:t>indicated</w:t>
      </w:r>
      <w:r w:rsidR="00261A37" w:rsidRPr="00511CD3">
        <w:t xml:space="preserve"> that on that occasion, the child had </w:t>
      </w:r>
      <w:r w:rsidR="00DC2BF9" w:rsidRPr="00511CD3">
        <w:t>had a ne</w:t>
      </w:r>
      <w:r w:rsidR="00261A37" w:rsidRPr="00511CD3">
        <w:t xml:space="preserve">rvous breakdown given the attitude of the professionals involved </w:t>
      </w:r>
      <w:r w:rsidR="001834B1" w:rsidRPr="00511CD3">
        <w:t xml:space="preserve">to try </w:t>
      </w:r>
      <w:r w:rsidR="00733D74" w:rsidRPr="00511CD3">
        <w:t xml:space="preserve">insistently </w:t>
      </w:r>
      <w:r w:rsidR="00261A37" w:rsidRPr="00511CD3">
        <w:t xml:space="preserve">to convince her to give her </w:t>
      </w:r>
      <w:r w:rsidR="00CA3A10" w:rsidRPr="00511CD3">
        <w:t>child</w:t>
      </w:r>
      <w:r w:rsidR="00261A37" w:rsidRPr="00511CD3">
        <w:t xml:space="preserve"> up for adoption.</w:t>
      </w:r>
      <w:r w:rsidR="00960A18" w:rsidRPr="00511CD3">
        <w:rPr>
          <w:rStyle w:val="FootnoteReference"/>
        </w:rPr>
        <w:footnoteReference w:id="29"/>
      </w:r>
    </w:p>
    <w:p w14:paraId="7FBDFEA0" w14:textId="77777777" w:rsidR="00B92C18" w:rsidRPr="00511CD3" w:rsidRDefault="00B92C18" w:rsidP="008429F6">
      <w:pPr>
        <w:pStyle w:val="ListParagraph"/>
        <w:numPr>
          <w:ilvl w:val="0"/>
          <w:numId w:val="0"/>
        </w:numPr>
      </w:pPr>
    </w:p>
    <w:p w14:paraId="36DE4DF7" w14:textId="77777777" w:rsidR="00B92C18" w:rsidRPr="00511CD3" w:rsidRDefault="001834B1" w:rsidP="008429F6">
      <w:pPr>
        <w:pStyle w:val="ListParagraph"/>
        <w:ind w:left="0" w:firstLine="0"/>
      </w:pPr>
      <w:r w:rsidRPr="00511CD3">
        <w:t>On</w:t>
      </w:r>
      <w:r w:rsidR="00B92C18" w:rsidRPr="00511CD3">
        <w:t xml:space="preserve"> </w:t>
      </w:r>
      <w:r w:rsidR="00B10F4D" w:rsidRPr="00511CD3">
        <w:t>March</w:t>
      </w:r>
      <w:r w:rsidR="00B92C18" w:rsidRPr="00511CD3">
        <w:t xml:space="preserve"> </w:t>
      </w:r>
      <w:r w:rsidRPr="00511CD3">
        <w:t xml:space="preserve">6, </w:t>
      </w:r>
      <w:r w:rsidR="00B92C18" w:rsidRPr="00511CD3">
        <w:t>2015</w:t>
      </w:r>
      <w:r w:rsidRPr="00511CD3">
        <w:t xml:space="preserve">, the judge in the case convened a hearing with </w:t>
      </w:r>
      <w:r w:rsidR="00975BDF" w:rsidRPr="00511CD3">
        <w:t xml:space="preserve">Mr. and </w:t>
      </w:r>
      <w:r w:rsidR="009A6D14" w:rsidRPr="00511CD3">
        <w:t>Mrs. “López”</w:t>
      </w:r>
      <w:r w:rsidRPr="00511CD3">
        <w:t xml:space="preserve"> for March 16, so that the judge could meet personally with the child’s </w:t>
      </w:r>
      <w:r w:rsidR="00CA3A10" w:rsidRPr="00511CD3">
        <w:t>applicant</w:t>
      </w:r>
      <w:r w:rsidRPr="00511CD3">
        <w:t xml:space="preserve"> adopti</w:t>
      </w:r>
      <w:r w:rsidR="00472DC1" w:rsidRPr="00511CD3">
        <w:t>ve parents</w:t>
      </w:r>
      <w:r w:rsidRPr="00511CD3">
        <w:t xml:space="preserve">.  In </w:t>
      </w:r>
      <w:r w:rsidR="00F44C1F" w:rsidRPr="00511CD3">
        <w:t>that</w:t>
      </w:r>
      <w:r w:rsidRPr="00511CD3">
        <w:t xml:space="preserve"> interview, </w:t>
      </w:r>
      <w:r w:rsidR="00975BDF" w:rsidRPr="00511CD3">
        <w:t xml:space="preserve">Mr. and </w:t>
      </w:r>
      <w:r w:rsidR="009A6D14" w:rsidRPr="00511CD3">
        <w:t>Mrs. “López”</w:t>
      </w:r>
      <w:r w:rsidRPr="00511CD3">
        <w:t xml:space="preserve"> reported to the judge </w:t>
      </w:r>
      <w:r w:rsidR="00472DC1" w:rsidRPr="00511CD3">
        <w:t xml:space="preserve">on </w:t>
      </w:r>
      <w:r w:rsidRPr="00511CD3">
        <w:t xml:space="preserve">the </w:t>
      </w:r>
      <w:r w:rsidR="00472DC1" w:rsidRPr="00511CD3">
        <w:t xml:space="preserve">child’s </w:t>
      </w:r>
      <w:r w:rsidRPr="00511CD3">
        <w:t xml:space="preserve">health status and his health insurance, on the decision to baptize him in a Catholic ceremony, of his attendance at day care center, and of the child’s adjustment to the extended </w:t>
      </w:r>
      <w:r w:rsidR="00593F1F" w:rsidRPr="00511CD3">
        <w:t>“López”</w:t>
      </w:r>
      <w:r w:rsidRPr="00511CD3">
        <w:t xml:space="preserve"> family.</w:t>
      </w:r>
      <w:r w:rsidR="00B92C18" w:rsidRPr="00511CD3">
        <w:rPr>
          <w:rStyle w:val="FootnoteReference"/>
        </w:rPr>
        <w:footnoteReference w:id="30"/>
      </w:r>
    </w:p>
    <w:p w14:paraId="0961D0BB" w14:textId="77777777" w:rsidR="00664C2E" w:rsidRPr="00511CD3" w:rsidRDefault="00664C2E" w:rsidP="008429F6">
      <w:pPr>
        <w:pStyle w:val="ListParagraph"/>
        <w:numPr>
          <w:ilvl w:val="0"/>
          <w:numId w:val="0"/>
        </w:numPr>
      </w:pPr>
    </w:p>
    <w:p w14:paraId="08913ACD" w14:textId="77777777" w:rsidR="00664C2E" w:rsidRPr="00511CD3" w:rsidRDefault="00472DC1" w:rsidP="00DC2BF9">
      <w:pPr>
        <w:pStyle w:val="ListParagraph"/>
        <w:ind w:left="0" w:firstLine="0"/>
      </w:pPr>
      <w:r w:rsidRPr="00511CD3">
        <w:t xml:space="preserve">On </w:t>
      </w:r>
      <w:r w:rsidR="00B10F4D" w:rsidRPr="00511CD3">
        <w:t>March</w:t>
      </w:r>
      <w:r w:rsidR="00664C2E" w:rsidRPr="00511CD3">
        <w:t xml:space="preserve"> </w:t>
      </w:r>
      <w:r w:rsidRPr="00511CD3">
        <w:t xml:space="preserve">16, </w:t>
      </w:r>
      <w:r w:rsidR="00664C2E" w:rsidRPr="00511CD3">
        <w:t>2015, “</w:t>
      </w:r>
      <w:r w:rsidR="00420968" w:rsidRPr="00511CD3">
        <w:t>María</w:t>
      </w:r>
      <w:r w:rsidRPr="00511CD3">
        <w:t>’s</w:t>
      </w:r>
      <w:r w:rsidR="00664C2E" w:rsidRPr="00511CD3">
        <w:t xml:space="preserve">” </w:t>
      </w:r>
      <w:r w:rsidRPr="00511CD3">
        <w:t xml:space="preserve">mother submitted to Collegiate Family Court No. </w:t>
      </w:r>
      <w:r w:rsidR="00664C2E" w:rsidRPr="00511CD3">
        <w:t xml:space="preserve">5 </w:t>
      </w:r>
      <w:r w:rsidRPr="00511CD3">
        <w:t>of</w:t>
      </w:r>
      <w:r w:rsidR="00664C2E" w:rsidRPr="00511CD3">
        <w:t xml:space="preserve"> Rosario </w:t>
      </w:r>
      <w:r w:rsidRPr="00511CD3">
        <w:t>a psychological report signed by Ms.</w:t>
      </w:r>
      <w:r w:rsidR="00664C2E" w:rsidRPr="00511CD3">
        <w:t xml:space="preserve"> Gloria Liñan</w:t>
      </w:r>
      <w:r w:rsidRPr="00511CD3">
        <w:t>.  In that report, the professional indicated that María’s mother had told her that the girl</w:t>
      </w:r>
      <w:r w:rsidR="00664C2E" w:rsidRPr="00511CD3">
        <w:t xml:space="preserve"> “</w:t>
      </w:r>
      <w:r w:rsidRPr="00511CD3">
        <w:t>crie</w:t>
      </w:r>
      <w:r w:rsidR="00DC2BF9" w:rsidRPr="00511CD3">
        <w:t>s</w:t>
      </w:r>
      <w:r w:rsidRPr="00511CD3">
        <w:t xml:space="preserve"> constantly because she want</w:t>
      </w:r>
      <w:r w:rsidR="00DC2BF9" w:rsidRPr="00511CD3">
        <w:t>s</w:t>
      </w:r>
      <w:r w:rsidRPr="00511CD3">
        <w:t xml:space="preserve"> to recover her child </w:t>
      </w:r>
      <w:r w:rsidR="00B10F4D" w:rsidRPr="00511CD3">
        <w:t xml:space="preserve">and </w:t>
      </w:r>
      <w:r w:rsidRPr="00511CD3">
        <w:t xml:space="preserve">that this situation worsened when the girl was </w:t>
      </w:r>
      <w:r w:rsidR="00890562" w:rsidRPr="00511CD3">
        <w:t>summon</w:t>
      </w:r>
      <w:r w:rsidR="00733D74" w:rsidRPr="00511CD3">
        <w:t>s</w:t>
      </w:r>
      <w:r w:rsidR="00890562" w:rsidRPr="00511CD3">
        <w:t>ed</w:t>
      </w:r>
      <w:r w:rsidRPr="00511CD3">
        <w:t xml:space="preserve"> by the court to sign an “adoption” of the boy (…), and that, in view of her refusal, the judge had ordered </w:t>
      </w:r>
      <w:r w:rsidR="00733D74" w:rsidRPr="00511CD3">
        <w:t xml:space="preserve">her to </w:t>
      </w:r>
      <w:r w:rsidRPr="00511CD3">
        <w:t>undergo psychological treatment so that she would take responsibility for her decisions.</w:t>
      </w:r>
      <w:r w:rsidR="00664C2E" w:rsidRPr="00511CD3">
        <w:t>”</w:t>
      </w:r>
      <w:r w:rsidRPr="00511CD3">
        <w:t xml:space="preserve"> The report also related the difficulties that María and her mother had </w:t>
      </w:r>
      <w:r w:rsidR="00CA3A10" w:rsidRPr="00511CD3">
        <w:t>had in acce</w:t>
      </w:r>
      <w:r w:rsidRPr="00511CD3">
        <w:t xml:space="preserve">ssing a mental health professional at the health center </w:t>
      </w:r>
      <w:r w:rsidR="00733D74" w:rsidRPr="00511CD3">
        <w:t>they were able to attend</w:t>
      </w:r>
      <w:r w:rsidRPr="00511CD3">
        <w:t xml:space="preserve"> because it was near their ho</w:t>
      </w:r>
      <w:r w:rsidR="00CA3A10" w:rsidRPr="00511CD3">
        <w:t>use</w:t>
      </w:r>
      <w:r w:rsidRPr="00511CD3">
        <w:t>.</w:t>
      </w:r>
      <w:r w:rsidR="00737E76" w:rsidRPr="00511CD3">
        <w:rPr>
          <w:rStyle w:val="FootnoteReference"/>
        </w:rPr>
        <w:footnoteReference w:id="31"/>
      </w:r>
    </w:p>
    <w:p w14:paraId="46898C09" w14:textId="77777777" w:rsidR="00420968" w:rsidRPr="00511CD3" w:rsidRDefault="00420968" w:rsidP="008429F6">
      <w:pPr>
        <w:pStyle w:val="ListParagraph"/>
        <w:numPr>
          <w:ilvl w:val="0"/>
          <w:numId w:val="0"/>
        </w:numPr>
      </w:pPr>
    </w:p>
    <w:p w14:paraId="25CE0CA3" w14:textId="77777777" w:rsidR="00DD481E" w:rsidRPr="00511CD3" w:rsidRDefault="00323FE8" w:rsidP="008429F6">
      <w:pPr>
        <w:pStyle w:val="ListParagraph"/>
        <w:ind w:left="0" w:firstLine="0"/>
      </w:pPr>
      <w:r w:rsidRPr="00511CD3">
        <w:t xml:space="preserve">Next in the file is report No. 391/15, of </w:t>
      </w:r>
      <w:r w:rsidR="00B10F4D" w:rsidRPr="00511CD3">
        <w:t>March</w:t>
      </w:r>
      <w:r w:rsidR="00B303AA" w:rsidRPr="00511CD3">
        <w:t xml:space="preserve"> </w:t>
      </w:r>
      <w:r w:rsidRPr="00511CD3">
        <w:t>19</w:t>
      </w:r>
      <w:r w:rsidR="000828E7" w:rsidRPr="00511CD3">
        <w:t>,</w:t>
      </w:r>
      <w:r w:rsidRPr="00511CD3">
        <w:t xml:space="preserve"> 2</w:t>
      </w:r>
      <w:r w:rsidR="00B303AA" w:rsidRPr="00511CD3">
        <w:t>015</w:t>
      </w:r>
      <w:r w:rsidRPr="00511CD3">
        <w:t xml:space="preserve">, signed by Civil Defender No. </w:t>
      </w:r>
      <w:r w:rsidR="00B303AA" w:rsidRPr="00511CD3">
        <w:t>1</w:t>
      </w:r>
      <w:r w:rsidRPr="00511CD3">
        <w:t>,</w:t>
      </w:r>
      <w:r w:rsidR="00B303AA" w:rsidRPr="00511CD3">
        <w:t xml:space="preserve"> </w:t>
      </w:r>
      <w:r w:rsidR="008C7420" w:rsidRPr="00511CD3">
        <w:t>Alejandra Verdondoni</w:t>
      </w:r>
      <w:r w:rsidRPr="00511CD3">
        <w:t>,</w:t>
      </w:r>
      <w:r w:rsidR="00B10F4D" w:rsidRPr="00511CD3">
        <w:t xml:space="preserve"> and </w:t>
      </w:r>
      <w:r w:rsidRPr="00511CD3">
        <w:t xml:space="preserve">addressed to the judge, </w:t>
      </w:r>
      <w:r w:rsidR="003A3BEF" w:rsidRPr="00511CD3">
        <w:t xml:space="preserve">which reads </w:t>
      </w:r>
      <w:r w:rsidRPr="00511CD3">
        <w:t>as follows</w:t>
      </w:r>
      <w:r w:rsidR="00E66509" w:rsidRPr="00511CD3">
        <w:t xml:space="preserve">: </w:t>
      </w:r>
      <w:r w:rsidR="00B303AA" w:rsidRPr="00511CD3">
        <w:t>“</w:t>
      </w:r>
      <w:r w:rsidRPr="00511CD3">
        <w:t xml:space="preserve">I </w:t>
      </w:r>
      <w:r w:rsidR="003A3BEF" w:rsidRPr="00511CD3">
        <w:t xml:space="preserve">hereby </w:t>
      </w:r>
      <w:r w:rsidRPr="00511CD3">
        <w:t xml:space="preserve">clarify that my participation in the proceedings </w:t>
      </w:r>
      <w:r w:rsidR="00E11042" w:rsidRPr="00511CD3">
        <w:t>is in</w:t>
      </w:r>
      <w:r w:rsidRPr="00511CD3">
        <w:t xml:space="preserve"> representation of </w:t>
      </w:r>
      <w:r w:rsidR="00BD3BCD" w:rsidRPr="00511CD3">
        <w:t>[María]</w:t>
      </w:r>
      <w:r w:rsidR="00B303AA" w:rsidRPr="00511CD3">
        <w:t xml:space="preserve">, </w:t>
      </w:r>
      <w:r w:rsidRPr="00511CD3">
        <w:t>who I summon for personal interview any hearing day at 11 [a.m.].</w:t>
      </w:r>
      <w:r w:rsidR="00B303AA" w:rsidRPr="00511CD3">
        <w:t>”</w:t>
      </w:r>
      <w:r w:rsidR="00DD481E" w:rsidRPr="00511CD3">
        <w:rPr>
          <w:rStyle w:val="FootnoteReference"/>
        </w:rPr>
        <w:footnoteReference w:id="32"/>
      </w:r>
      <w:r w:rsidRPr="00511CD3">
        <w:t xml:space="preserve">  Thereto attached in the file is a decision of the judge dated </w:t>
      </w:r>
      <w:r w:rsidR="00B10F4D" w:rsidRPr="00511CD3">
        <w:t>March</w:t>
      </w:r>
      <w:r w:rsidR="00DD481E" w:rsidRPr="00511CD3">
        <w:t xml:space="preserve"> </w:t>
      </w:r>
      <w:r w:rsidRPr="00511CD3">
        <w:t>20, 2</w:t>
      </w:r>
      <w:r w:rsidR="00DD481E" w:rsidRPr="00511CD3">
        <w:t>015</w:t>
      </w:r>
      <w:r w:rsidRPr="00511CD3">
        <w:t>, which reads</w:t>
      </w:r>
      <w:r w:rsidR="00DD481E" w:rsidRPr="00511CD3">
        <w:t>: “</w:t>
      </w:r>
      <w:r w:rsidR="003A3BEF" w:rsidRPr="00511CD3">
        <w:t xml:space="preserve">In view </w:t>
      </w:r>
      <w:r w:rsidRPr="00511CD3">
        <w:t>of the stat</w:t>
      </w:r>
      <w:r w:rsidR="000828E7" w:rsidRPr="00511CD3">
        <w:t>us</w:t>
      </w:r>
      <w:r w:rsidRPr="00511CD3">
        <w:t xml:space="preserve"> of the proceedings, </w:t>
      </w:r>
      <w:r w:rsidR="00733D74" w:rsidRPr="00511CD3">
        <w:t>the following order is issued</w:t>
      </w:r>
      <w:r w:rsidR="00DD481E" w:rsidRPr="00511CD3">
        <w:t>:</w:t>
      </w:r>
      <w:r w:rsidR="00CB33BE" w:rsidRPr="00511CD3">
        <w:t xml:space="preserve">  </w:t>
      </w:r>
      <w:r w:rsidR="00E11042" w:rsidRPr="00511CD3">
        <w:t xml:space="preserve">a proceeding ordering </w:t>
      </w:r>
      <w:r w:rsidR="0093734F" w:rsidRPr="00511CD3">
        <w:t>a response [</w:t>
      </w:r>
      <w:r w:rsidR="0093734F" w:rsidRPr="00511CD3">
        <w:rPr>
          <w:i/>
        </w:rPr>
        <w:t>vista</w:t>
      </w:r>
      <w:r w:rsidR="0093734F" w:rsidRPr="00511CD3">
        <w:t xml:space="preserve">] from </w:t>
      </w:r>
      <w:r w:rsidR="000828E7" w:rsidRPr="00511CD3">
        <w:t xml:space="preserve">the </w:t>
      </w:r>
      <w:r w:rsidR="003E0874" w:rsidRPr="00511CD3">
        <w:t xml:space="preserve">child’s </w:t>
      </w:r>
      <w:r w:rsidR="003A3BEF" w:rsidRPr="00511CD3">
        <w:t xml:space="preserve">authorized </w:t>
      </w:r>
      <w:r w:rsidR="003E0874" w:rsidRPr="00511CD3">
        <w:t>rep</w:t>
      </w:r>
      <w:r w:rsidR="000828E7" w:rsidRPr="00511CD3">
        <w:t xml:space="preserve">resentative </w:t>
      </w:r>
      <w:r w:rsidR="003A3BEF" w:rsidRPr="00511CD3">
        <w:t xml:space="preserve"> </w:t>
      </w:r>
      <w:r w:rsidR="00BD3BCD" w:rsidRPr="00511CD3">
        <w:t>[…]</w:t>
      </w:r>
      <w:r w:rsidR="00CB33BE" w:rsidRPr="00511CD3">
        <w:t>.</w:t>
      </w:r>
      <w:r w:rsidR="00DD481E" w:rsidRPr="00511CD3">
        <w:t>”</w:t>
      </w:r>
      <w:r w:rsidR="00DD481E" w:rsidRPr="00511CD3">
        <w:rPr>
          <w:rStyle w:val="FootnoteReference"/>
        </w:rPr>
        <w:footnoteReference w:id="33"/>
      </w:r>
      <w:r w:rsidR="00CB33BE" w:rsidRPr="00511CD3">
        <w:t xml:space="preserve"> </w:t>
      </w:r>
      <w:r w:rsidR="00DD481E" w:rsidRPr="00511CD3">
        <w:t xml:space="preserve"> </w:t>
      </w:r>
      <w:r w:rsidR="003A3BEF" w:rsidRPr="00511CD3">
        <w:t>This o</w:t>
      </w:r>
      <w:r w:rsidR="0093734F" w:rsidRPr="00511CD3">
        <w:t xml:space="preserve">rder </w:t>
      </w:r>
      <w:r w:rsidRPr="00511CD3">
        <w:t xml:space="preserve">was answered by </w:t>
      </w:r>
      <w:r w:rsidR="000828E7" w:rsidRPr="00511CD3">
        <w:t>G</w:t>
      </w:r>
      <w:r w:rsidRPr="00511CD3">
        <w:t xml:space="preserve">eneral Defender No. </w:t>
      </w:r>
      <w:r w:rsidR="00DD481E" w:rsidRPr="00511CD3">
        <w:t>5</w:t>
      </w:r>
      <w:r w:rsidRPr="00511CD3">
        <w:t xml:space="preserve">, who, in a note received by the court on </w:t>
      </w:r>
      <w:r w:rsidR="00B10F4D" w:rsidRPr="00511CD3">
        <w:t>April</w:t>
      </w:r>
      <w:r w:rsidR="00DD481E" w:rsidRPr="00511CD3">
        <w:t xml:space="preserve"> </w:t>
      </w:r>
      <w:r w:rsidRPr="00511CD3">
        <w:t>1,</w:t>
      </w:r>
      <w:r w:rsidR="00DD481E" w:rsidRPr="00511CD3">
        <w:t xml:space="preserve"> 2015</w:t>
      </w:r>
      <w:r w:rsidR="000828E7" w:rsidRPr="00511CD3">
        <w:t xml:space="preserve">, affirmed that </w:t>
      </w:r>
      <w:r w:rsidR="00DD481E" w:rsidRPr="00511CD3">
        <w:t>“</w:t>
      </w:r>
      <w:r w:rsidR="00E11042" w:rsidRPr="00511CD3">
        <w:t xml:space="preserve">I will hold the </w:t>
      </w:r>
      <w:r w:rsidR="00CB33BE" w:rsidRPr="00511CD3">
        <w:t xml:space="preserve">proceeding </w:t>
      </w:r>
      <w:r w:rsidR="00E11042" w:rsidRPr="00511CD3">
        <w:t>for which I am responsible</w:t>
      </w:r>
      <w:r w:rsidR="00DD481E" w:rsidRPr="00511CD3">
        <w:t xml:space="preserve"> </w:t>
      </w:r>
      <w:r w:rsidR="000828E7" w:rsidRPr="00511CD3">
        <w:t xml:space="preserve">once </w:t>
      </w:r>
      <w:r w:rsidR="00733D74" w:rsidRPr="00511CD3">
        <w:t>[“María’s”] r</w:t>
      </w:r>
      <w:r w:rsidR="000828E7" w:rsidRPr="00511CD3">
        <w:t>epresentative with jurisdiction</w:t>
      </w:r>
      <w:r w:rsidR="00DD481E" w:rsidRPr="00511CD3">
        <w:t>, Dr. Alejandra Verdondoni</w:t>
      </w:r>
      <w:r w:rsidR="000828E7" w:rsidRPr="00511CD3">
        <w:t>, has interviewed the minor.</w:t>
      </w:r>
      <w:r w:rsidR="00DD481E" w:rsidRPr="00511CD3">
        <w:t>”</w:t>
      </w:r>
      <w:r w:rsidR="00DD481E" w:rsidRPr="00511CD3">
        <w:rPr>
          <w:rStyle w:val="FootnoteReference"/>
        </w:rPr>
        <w:footnoteReference w:id="34"/>
      </w:r>
      <w:r w:rsidR="000828E7" w:rsidRPr="00511CD3">
        <w:t xml:space="preserve">  Therefore, that same </w:t>
      </w:r>
      <w:r w:rsidR="00B10F4D" w:rsidRPr="00511CD3">
        <w:t>April</w:t>
      </w:r>
      <w:r w:rsidR="00DD481E" w:rsidRPr="00511CD3">
        <w:t xml:space="preserve"> </w:t>
      </w:r>
      <w:r w:rsidR="000828E7" w:rsidRPr="00511CD3">
        <w:t>1, the judge ordered</w:t>
      </w:r>
      <w:r w:rsidR="00E11042" w:rsidRPr="00511CD3">
        <w:t xml:space="preserve"> “</w:t>
      </w:r>
      <w:r w:rsidR="00733D74" w:rsidRPr="00511CD3">
        <w:t xml:space="preserve">send </w:t>
      </w:r>
      <w:r w:rsidR="00E11042" w:rsidRPr="00511CD3">
        <w:t xml:space="preserve">the records to </w:t>
      </w:r>
      <w:r w:rsidR="00733D74" w:rsidRPr="00511CD3">
        <w:t xml:space="preserve">[“María’s”] </w:t>
      </w:r>
      <w:r w:rsidR="002F3BAC" w:rsidRPr="00511CD3">
        <w:t>representative</w:t>
      </w:r>
      <w:r w:rsidR="00DD481E" w:rsidRPr="00511CD3">
        <w:t>, Dr. Verdondoni</w:t>
      </w:r>
      <w:r w:rsidR="000828E7" w:rsidRPr="00511CD3">
        <w:t>, for said purposes.</w:t>
      </w:r>
      <w:r w:rsidR="00DD481E" w:rsidRPr="00511CD3">
        <w:t>”</w:t>
      </w:r>
      <w:r w:rsidR="0032132C" w:rsidRPr="00511CD3">
        <w:rPr>
          <w:rStyle w:val="FootnoteReference"/>
        </w:rPr>
        <w:footnoteReference w:id="35"/>
      </w:r>
    </w:p>
    <w:p w14:paraId="6CC79B1C" w14:textId="77777777" w:rsidR="00DD481E" w:rsidRPr="00511CD3" w:rsidRDefault="00DD481E" w:rsidP="008429F6">
      <w:pPr>
        <w:pStyle w:val="ListParagraph"/>
        <w:numPr>
          <w:ilvl w:val="0"/>
          <w:numId w:val="0"/>
        </w:numPr>
      </w:pPr>
    </w:p>
    <w:p w14:paraId="40966F77" w14:textId="77777777" w:rsidR="00D856B8" w:rsidRPr="00511CD3" w:rsidRDefault="00DD481E" w:rsidP="008429F6">
      <w:pPr>
        <w:pStyle w:val="ListParagraph"/>
        <w:ind w:left="0" w:firstLine="0"/>
      </w:pPr>
      <w:r w:rsidRPr="00511CD3">
        <w:t xml:space="preserve"> </w:t>
      </w:r>
      <w:r w:rsidR="0093734F" w:rsidRPr="00511CD3">
        <w:t xml:space="preserve">On </w:t>
      </w:r>
      <w:r w:rsidR="00B10F4D" w:rsidRPr="00511CD3">
        <w:t>April</w:t>
      </w:r>
      <w:r w:rsidR="0032132C" w:rsidRPr="00511CD3">
        <w:t xml:space="preserve"> </w:t>
      </w:r>
      <w:r w:rsidR="0093734F" w:rsidRPr="00511CD3">
        <w:t>6,</w:t>
      </w:r>
      <w:r w:rsidR="0032132C" w:rsidRPr="00511CD3">
        <w:t xml:space="preserve"> 2015</w:t>
      </w:r>
      <w:r w:rsidR="0093734F" w:rsidRPr="00511CD3">
        <w:t xml:space="preserve">, </w:t>
      </w:r>
      <w:r w:rsidR="0032132C" w:rsidRPr="00511CD3">
        <w:t>“María</w:t>
      </w:r>
      <w:r w:rsidR="0093734F" w:rsidRPr="00511CD3">
        <w:t>’s</w:t>
      </w:r>
      <w:r w:rsidR="0032132C" w:rsidRPr="00511CD3">
        <w:t>”</w:t>
      </w:r>
      <w:r w:rsidR="0093734F" w:rsidRPr="00511CD3">
        <w:t xml:space="preserve"> mother</w:t>
      </w:r>
      <w:r w:rsidR="0032132C" w:rsidRPr="00511CD3">
        <w:t>,</w:t>
      </w:r>
      <w:r w:rsidR="0093734F" w:rsidRPr="00511CD3">
        <w:t xml:space="preserve"> in exercise of her parental authority over her daughter</w:t>
      </w:r>
      <w:r w:rsidR="00B10F4D" w:rsidRPr="00511CD3">
        <w:t xml:space="preserve"> and </w:t>
      </w:r>
      <w:r w:rsidR="0093734F" w:rsidRPr="00511CD3">
        <w:t xml:space="preserve">with assistance from </w:t>
      </w:r>
      <w:r w:rsidR="0032132C" w:rsidRPr="00511CD3">
        <w:t xml:space="preserve">Dr. </w:t>
      </w:r>
      <w:r w:rsidR="003C4C9F" w:rsidRPr="00511CD3">
        <w:t>Maidágan</w:t>
      </w:r>
      <w:r w:rsidR="0093734F" w:rsidRPr="00511CD3">
        <w:t xml:space="preserve">, submitted a </w:t>
      </w:r>
      <w:r w:rsidR="00CB33BE" w:rsidRPr="00511CD3">
        <w:t>brief</w:t>
      </w:r>
      <w:r w:rsidR="0093734F" w:rsidRPr="00511CD3">
        <w:t xml:space="preserve"> for the file.  That document reads</w:t>
      </w:r>
      <w:r w:rsidR="0032132C" w:rsidRPr="00511CD3">
        <w:t>: “</w:t>
      </w:r>
      <w:r w:rsidR="002F3BAC" w:rsidRPr="00511CD3">
        <w:t>A</w:t>
      </w:r>
      <w:r w:rsidR="0093734F" w:rsidRPr="00511CD3">
        <w:t xml:space="preserve">s duly indicated by my daughter at the hearing held on March </w:t>
      </w:r>
      <w:r w:rsidR="0032132C" w:rsidRPr="00511CD3">
        <w:t xml:space="preserve">2, </w:t>
      </w:r>
      <w:r w:rsidR="002F3BAC" w:rsidRPr="00511CD3">
        <w:t xml:space="preserve">I hereby </w:t>
      </w:r>
      <w:r w:rsidR="0093734F" w:rsidRPr="00511CD3">
        <w:t xml:space="preserve">rescind the request we duly signed for my </w:t>
      </w:r>
      <w:r w:rsidR="00F44C1F" w:rsidRPr="00511CD3">
        <w:t>daughter’s</w:t>
      </w:r>
      <w:r w:rsidR="0093734F" w:rsidRPr="00511CD3">
        <w:t xml:space="preserve"> son </w:t>
      </w:r>
      <w:r w:rsidR="00574BA4" w:rsidRPr="00511CD3">
        <w:t>[…]</w:t>
      </w:r>
      <w:r w:rsidR="0032132C" w:rsidRPr="00511CD3">
        <w:t xml:space="preserve">, </w:t>
      </w:r>
      <w:r w:rsidR="0093734F" w:rsidRPr="00511CD3">
        <w:t xml:space="preserve">to be </w:t>
      </w:r>
      <w:r w:rsidR="00CB33BE" w:rsidRPr="00511CD3">
        <w:t>given</w:t>
      </w:r>
      <w:r w:rsidR="0093734F" w:rsidRPr="00511CD3">
        <w:t xml:space="preserve"> up for adoption, and, therefore, I request that the child be returned to his mother and to the undersigned.</w:t>
      </w:r>
      <w:r w:rsidR="0032132C" w:rsidRPr="00511CD3">
        <w:t>”</w:t>
      </w:r>
      <w:r w:rsidR="00D856B8" w:rsidRPr="00511CD3">
        <w:rPr>
          <w:rStyle w:val="FootnoteReference"/>
        </w:rPr>
        <w:footnoteReference w:id="36"/>
      </w:r>
      <w:r w:rsidR="0032132C" w:rsidRPr="00511CD3">
        <w:t xml:space="preserve"> </w:t>
      </w:r>
    </w:p>
    <w:p w14:paraId="663F1074" w14:textId="77777777" w:rsidR="00D856B8" w:rsidRPr="00511CD3" w:rsidRDefault="00D856B8" w:rsidP="008429F6">
      <w:pPr>
        <w:pStyle w:val="ListParagraph"/>
        <w:numPr>
          <w:ilvl w:val="0"/>
          <w:numId w:val="0"/>
        </w:numPr>
      </w:pPr>
    </w:p>
    <w:p w14:paraId="1C672562" w14:textId="77777777" w:rsidR="00DD481E" w:rsidRPr="00511CD3" w:rsidRDefault="0032132C" w:rsidP="008429F6">
      <w:pPr>
        <w:pStyle w:val="ListParagraph"/>
        <w:ind w:left="0" w:firstLine="0"/>
      </w:pPr>
      <w:r w:rsidRPr="00511CD3">
        <w:t>“María</w:t>
      </w:r>
      <w:r w:rsidR="0093734F" w:rsidRPr="00511CD3">
        <w:t>’s” mother also indicated in that document that</w:t>
      </w:r>
      <w:r w:rsidRPr="00511CD3">
        <w:t xml:space="preserve"> “</w:t>
      </w:r>
      <w:r w:rsidR="0093734F" w:rsidRPr="00511CD3">
        <w:t>from the moment we realized that</w:t>
      </w:r>
      <w:r w:rsidRPr="00511CD3">
        <w:t xml:space="preserve"> </w:t>
      </w:r>
      <w:r w:rsidR="00574BA4" w:rsidRPr="00511CD3">
        <w:t>[María]</w:t>
      </w:r>
      <w:r w:rsidRPr="00511CD3">
        <w:t xml:space="preserve"> </w:t>
      </w:r>
      <w:r w:rsidR="0093734F" w:rsidRPr="00511CD3">
        <w:t xml:space="preserve">was pregnant, all the health personnel and the Office of the Defender of Children, </w:t>
      </w:r>
      <w:r w:rsidR="002F3BAC" w:rsidRPr="00511CD3">
        <w:t xml:space="preserve">although I </w:t>
      </w:r>
      <w:r w:rsidR="0093734F" w:rsidRPr="00511CD3">
        <w:t xml:space="preserve">wish to make clear that I do not doubt their good intent, suggested that the best thing would be </w:t>
      </w:r>
      <w:r w:rsidR="003C4C9F" w:rsidRPr="00511CD3">
        <w:t xml:space="preserve">for the </w:t>
      </w:r>
      <w:r w:rsidR="0093734F" w:rsidRPr="00511CD3">
        <w:t xml:space="preserve">child </w:t>
      </w:r>
      <w:r w:rsidR="003C4C9F" w:rsidRPr="00511CD3">
        <w:t xml:space="preserve">to be given </w:t>
      </w:r>
      <w:r w:rsidR="0093734F" w:rsidRPr="00511CD3">
        <w:t xml:space="preserve">up for adoption owing to his </w:t>
      </w:r>
      <w:r w:rsidR="00B46A1A" w:rsidRPr="00511CD3">
        <w:t xml:space="preserve">alleged </w:t>
      </w:r>
      <w:r w:rsidR="0093734F" w:rsidRPr="00511CD3">
        <w:t xml:space="preserve">origin and the young age of </w:t>
      </w:r>
      <w:r w:rsidR="00574BA4" w:rsidRPr="00511CD3">
        <w:t>[María]</w:t>
      </w:r>
      <w:r w:rsidR="0093734F" w:rsidRPr="00511CD3">
        <w:t>, who also is a child.  The und</w:t>
      </w:r>
      <w:r w:rsidR="00CC6883" w:rsidRPr="00511CD3">
        <w:t xml:space="preserve">ersigned, </w:t>
      </w:r>
      <w:r w:rsidR="00B46A1A" w:rsidRPr="00511CD3">
        <w:t xml:space="preserve">allowing </w:t>
      </w:r>
      <w:r w:rsidR="00CC6883" w:rsidRPr="00511CD3">
        <w:t xml:space="preserve">herself </w:t>
      </w:r>
      <w:r w:rsidR="00B46A1A" w:rsidRPr="00511CD3">
        <w:t xml:space="preserve">to </w:t>
      </w:r>
      <w:r w:rsidR="00CC6883" w:rsidRPr="00511CD3">
        <w:t>be le</w:t>
      </w:r>
      <w:r w:rsidR="0093734F" w:rsidRPr="00511CD3">
        <w:t>d by those opinions</w:t>
      </w:r>
      <w:r w:rsidR="00CC6883" w:rsidRPr="00511CD3">
        <w:t xml:space="preserve">, </w:t>
      </w:r>
      <w:r w:rsidR="0093734F" w:rsidRPr="00511CD3">
        <w:t xml:space="preserve">did not </w:t>
      </w:r>
      <w:r w:rsidR="00B46A1A" w:rsidRPr="00511CD3">
        <w:t xml:space="preserve">make room for listening </w:t>
      </w:r>
      <w:r w:rsidR="0093734F" w:rsidRPr="00511CD3">
        <w:t xml:space="preserve">to </w:t>
      </w:r>
      <w:r w:rsidR="00574BA4" w:rsidRPr="00511CD3">
        <w:t>[María]</w:t>
      </w:r>
      <w:r w:rsidRPr="00511CD3">
        <w:t xml:space="preserve">, </w:t>
      </w:r>
      <w:r w:rsidR="0093734F" w:rsidRPr="00511CD3">
        <w:t xml:space="preserve">who, for example, </w:t>
      </w:r>
      <w:r w:rsidR="00B46A1A" w:rsidRPr="00511CD3">
        <w:t xml:space="preserve">stopped seeing </w:t>
      </w:r>
      <w:r w:rsidR="0093734F" w:rsidRPr="00511CD3">
        <w:t xml:space="preserve">the </w:t>
      </w:r>
      <w:r w:rsidR="00AC2FC1" w:rsidRPr="00511CD3">
        <w:t>Martin Maternity Clinic</w:t>
      </w:r>
      <w:r w:rsidR="0093734F" w:rsidRPr="00511CD3">
        <w:t xml:space="preserve"> psychologist</w:t>
      </w:r>
      <w:r w:rsidRPr="00511CD3">
        <w:t xml:space="preserve"> </w:t>
      </w:r>
      <w:r w:rsidR="0093734F" w:rsidRPr="00511CD3">
        <w:t xml:space="preserve">because she insisted </w:t>
      </w:r>
      <w:r w:rsidR="002F3BAC" w:rsidRPr="00511CD3">
        <w:t>solely</w:t>
      </w:r>
      <w:r w:rsidR="00CC6883" w:rsidRPr="00511CD3">
        <w:t xml:space="preserve"> that </w:t>
      </w:r>
      <w:r w:rsidR="0093734F" w:rsidRPr="00511CD3">
        <w:t xml:space="preserve">the best thing would be to give the child up for adoption, </w:t>
      </w:r>
      <w:r w:rsidR="007F1B5C" w:rsidRPr="00511CD3">
        <w:t>and did not listen</w:t>
      </w:r>
      <w:r w:rsidR="0093734F" w:rsidRPr="00511CD3">
        <w:t xml:space="preserve"> to </w:t>
      </w:r>
      <w:r w:rsidR="00574BA4" w:rsidRPr="00511CD3">
        <w:t>[María</w:t>
      </w:r>
      <w:r w:rsidR="00CC6883" w:rsidRPr="00511CD3">
        <w:t xml:space="preserve">’s] opinion.  Moreover, no one tried to maintain ties or provide assistance or support </w:t>
      </w:r>
      <w:r w:rsidR="00B67B54" w:rsidRPr="00511CD3">
        <w:t xml:space="preserve">to ensure that </w:t>
      </w:r>
      <w:r w:rsidR="00574BA4" w:rsidRPr="00511CD3">
        <w:t>[María]</w:t>
      </w:r>
      <w:r w:rsidRPr="00511CD3">
        <w:t xml:space="preserve">, </w:t>
      </w:r>
      <w:r w:rsidR="00CC6883" w:rsidRPr="00511CD3">
        <w:t xml:space="preserve">as </w:t>
      </w:r>
      <w:r w:rsidR="00B46A1A" w:rsidRPr="00511CD3">
        <w:t xml:space="preserve">was </w:t>
      </w:r>
      <w:r w:rsidR="00CC6883" w:rsidRPr="00511CD3">
        <w:t xml:space="preserve">always her wish, </w:t>
      </w:r>
      <w:r w:rsidR="00B67B54" w:rsidRPr="00511CD3">
        <w:t xml:space="preserve">could </w:t>
      </w:r>
      <w:r w:rsidR="00CC6883" w:rsidRPr="00511CD3">
        <w:t>take responsibility for her son.</w:t>
      </w:r>
      <w:r w:rsidRPr="00511CD3">
        <w:t>”</w:t>
      </w:r>
      <w:r w:rsidRPr="00511CD3">
        <w:rPr>
          <w:rStyle w:val="FootnoteReference"/>
        </w:rPr>
        <w:footnoteReference w:id="37"/>
      </w:r>
      <w:r w:rsidR="00CC6883" w:rsidRPr="00511CD3">
        <w:t xml:space="preserve">  Lastly, the document requests that a pro bono attorney be assigned </w:t>
      </w:r>
      <w:r w:rsidR="00F44C1F" w:rsidRPr="00511CD3">
        <w:t>to “Maria</w:t>
      </w:r>
      <w:r w:rsidR="00D856B8" w:rsidRPr="00511CD3">
        <w:t xml:space="preserve">” </w:t>
      </w:r>
      <w:r w:rsidR="00CC6883" w:rsidRPr="00511CD3">
        <w:t xml:space="preserve">to give her </w:t>
      </w:r>
      <w:r w:rsidR="002F3BAC" w:rsidRPr="00511CD3">
        <w:t>proper</w:t>
      </w:r>
      <w:r w:rsidR="00CC6883" w:rsidRPr="00511CD3">
        <w:t xml:space="preserve"> </w:t>
      </w:r>
      <w:r w:rsidR="00FD0D4F" w:rsidRPr="00511CD3">
        <w:t>counseling</w:t>
      </w:r>
      <w:r w:rsidR="00CC6883" w:rsidRPr="00511CD3">
        <w:t xml:space="preserve"> and guarantee her right to appear before the court.</w:t>
      </w:r>
      <w:r w:rsidR="00D856B8" w:rsidRPr="00511CD3">
        <w:rPr>
          <w:rStyle w:val="FootnoteReference"/>
        </w:rPr>
        <w:footnoteReference w:id="38"/>
      </w:r>
    </w:p>
    <w:p w14:paraId="3C11E204" w14:textId="77777777" w:rsidR="00834940" w:rsidRPr="00511CD3" w:rsidRDefault="00834940" w:rsidP="008429F6">
      <w:pPr>
        <w:pStyle w:val="ListParagraph"/>
        <w:numPr>
          <w:ilvl w:val="0"/>
          <w:numId w:val="0"/>
        </w:numPr>
      </w:pPr>
    </w:p>
    <w:p w14:paraId="15187CE3" w14:textId="77777777" w:rsidR="00834940" w:rsidRPr="00511CD3" w:rsidRDefault="006B4604" w:rsidP="008429F6">
      <w:pPr>
        <w:pStyle w:val="ListParagraph"/>
        <w:ind w:left="0" w:firstLine="0"/>
      </w:pPr>
      <w:r w:rsidRPr="00511CD3">
        <w:t xml:space="preserve">On </w:t>
      </w:r>
      <w:r w:rsidR="00B10F4D" w:rsidRPr="00511CD3">
        <w:t>April</w:t>
      </w:r>
      <w:r w:rsidR="00834940" w:rsidRPr="00511CD3">
        <w:t xml:space="preserve"> </w:t>
      </w:r>
      <w:r w:rsidRPr="00511CD3">
        <w:t xml:space="preserve">13, </w:t>
      </w:r>
      <w:r w:rsidR="00834940" w:rsidRPr="00511CD3">
        <w:t>2015</w:t>
      </w:r>
      <w:r w:rsidRPr="00511CD3">
        <w:t xml:space="preserve">, the court social worker prepared a report on the visit to </w:t>
      </w:r>
      <w:r w:rsidR="00834940" w:rsidRPr="00511CD3">
        <w:t>“</w:t>
      </w:r>
      <w:r w:rsidR="00FD4D53" w:rsidRPr="00511CD3">
        <w:t>María</w:t>
      </w:r>
      <w:r w:rsidRPr="00511CD3">
        <w:t>’s</w:t>
      </w:r>
      <w:r w:rsidR="00834940" w:rsidRPr="00511CD3">
        <w:t>”</w:t>
      </w:r>
      <w:r w:rsidRPr="00511CD3">
        <w:t xml:space="preserve"> house</w:t>
      </w:r>
      <w:r w:rsidR="00834940" w:rsidRPr="00511CD3">
        <w:t xml:space="preserve">. </w:t>
      </w:r>
      <w:r w:rsidRPr="00511CD3">
        <w:t xml:space="preserve"> That report included a description of the living conditions of </w:t>
      </w:r>
      <w:r w:rsidR="00834940" w:rsidRPr="00511CD3">
        <w:t>“María”</w:t>
      </w:r>
      <w:r w:rsidR="00B10F4D" w:rsidRPr="00511CD3">
        <w:t xml:space="preserve"> and </w:t>
      </w:r>
      <w:r w:rsidRPr="00511CD3">
        <w:t xml:space="preserve">her mother and the medical and psychological </w:t>
      </w:r>
      <w:r w:rsidRPr="00511CD3">
        <w:lastRenderedPageBreak/>
        <w:t>treatments they were receiving.  The social worker concluded that the child</w:t>
      </w:r>
      <w:r w:rsidR="00834940" w:rsidRPr="00511CD3">
        <w:t xml:space="preserve"> “</w:t>
      </w:r>
      <w:r w:rsidRPr="00511CD3">
        <w:t xml:space="preserve">is subjectively debilitated, </w:t>
      </w:r>
      <w:r w:rsidR="00D03730" w:rsidRPr="00511CD3">
        <w:t xml:space="preserve">which puts </w:t>
      </w:r>
      <w:r w:rsidRPr="00511CD3">
        <w:t xml:space="preserve">her in a situation of possible vulnerability.  Therefore, it is suggested that </w:t>
      </w:r>
      <w:r w:rsidR="00F44C1F" w:rsidRPr="00511CD3">
        <w:t>consideration</w:t>
      </w:r>
      <w:r w:rsidRPr="00511CD3">
        <w:t xml:space="preserve"> be given to the importance of continuing her therapeutic treatment, thereby achieving </w:t>
      </w:r>
      <w:r w:rsidR="00DF37B2" w:rsidRPr="00511CD3">
        <w:t>a</w:t>
      </w:r>
      <w:r w:rsidRPr="00511CD3">
        <w:t xml:space="preserve"> subjective strengthening that</w:t>
      </w:r>
      <w:r w:rsidR="00D03730" w:rsidRPr="00511CD3">
        <w:t xml:space="preserve"> would</w:t>
      </w:r>
      <w:r w:rsidRPr="00511CD3">
        <w:t xml:space="preserve"> enable her to develop analytical capacity and handle herself </w:t>
      </w:r>
      <w:r w:rsidR="0045315C" w:rsidRPr="00511CD3">
        <w:t>independentl</w:t>
      </w:r>
      <w:r w:rsidRPr="00511CD3">
        <w:t>y.</w:t>
      </w:r>
      <w:r w:rsidR="00834940" w:rsidRPr="00511CD3">
        <w:t>”</w:t>
      </w:r>
      <w:r w:rsidR="00914CA3" w:rsidRPr="00511CD3">
        <w:rPr>
          <w:rStyle w:val="FootnoteReference"/>
        </w:rPr>
        <w:footnoteReference w:id="39"/>
      </w:r>
      <w:r w:rsidR="00834940" w:rsidRPr="00511CD3">
        <w:t xml:space="preserve"> </w:t>
      </w:r>
    </w:p>
    <w:p w14:paraId="677BC43D" w14:textId="77777777" w:rsidR="0062046D" w:rsidRPr="00511CD3" w:rsidRDefault="0062046D" w:rsidP="008429F6">
      <w:pPr>
        <w:pStyle w:val="ListParagraph"/>
        <w:numPr>
          <w:ilvl w:val="0"/>
          <w:numId w:val="0"/>
        </w:numPr>
      </w:pPr>
    </w:p>
    <w:p w14:paraId="122445B5" w14:textId="77777777" w:rsidR="0062046D" w:rsidRPr="00511CD3" w:rsidRDefault="00CC55B3" w:rsidP="008429F6">
      <w:pPr>
        <w:pStyle w:val="ListParagraph"/>
        <w:ind w:left="0" w:firstLine="0"/>
      </w:pPr>
      <w:r w:rsidRPr="00511CD3">
        <w:t xml:space="preserve">On </w:t>
      </w:r>
      <w:r w:rsidR="00B10F4D" w:rsidRPr="00511CD3">
        <w:t>April</w:t>
      </w:r>
      <w:r w:rsidR="0062046D" w:rsidRPr="00511CD3">
        <w:t xml:space="preserve"> </w:t>
      </w:r>
      <w:r w:rsidRPr="00511CD3">
        <w:t>20, 2</w:t>
      </w:r>
      <w:r w:rsidR="0062046D" w:rsidRPr="00511CD3">
        <w:t>015</w:t>
      </w:r>
      <w:r w:rsidRPr="00511CD3">
        <w:t xml:space="preserve">, the interview between </w:t>
      </w:r>
      <w:r w:rsidR="0062046D" w:rsidRPr="00511CD3">
        <w:t>“</w:t>
      </w:r>
      <w:r w:rsidR="008C68B5" w:rsidRPr="00511CD3">
        <w:t>María</w:t>
      </w:r>
      <w:r w:rsidR="0062046D" w:rsidRPr="00511CD3">
        <w:t>”</w:t>
      </w:r>
      <w:r w:rsidR="00B10F4D" w:rsidRPr="00511CD3">
        <w:t xml:space="preserve"> </w:t>
      </w:r>
      <w:r w:rsidRPr="00511CD3">
        <w:t xml:space="preserve">and the Official Defender took place.  On that occasion, </w:t>
      </w:r>
      <w:r w:rsidR="0062046D" w:rsidRPr="00511CD3">
        <w:t>“</w:t>
      </w:r>
      <w:r w:rsidR="008C68B5" w:rsidRPr="00511CD3">
        <w:t>María</w:t>
      </w:r>
      <w:r w:rsidR="0062046D" w:rsidRPr="00511CD3">
        <w:t xml:space="preserve">” </w:t>
      </w:r>
      <w:r w:rsidRPr="00511CD3">
        <w:t xml:space="preserve">affirmed that </w:t>
      </w:r>
      <w:r w:rsidR="0062046D" w:rsidRPr="00511CD3">
        <w:t>“</w:t>
      </w:r>
      <w:r w:rsidRPr="00511CD3">
        <w:t>she never wanted to give up the baby and want</w:t>
      </w:r>
      <w:r w:rsidR="003C4C9F" w:rsidRPr="00511CD3">
        <w:t>s</w:t>
      </w:r>
      <w:r w:rsidRPr="00511CD3">
        <w:t xml:space="preserve"> to get him back, and that now that her mother underst</w:t>
      </w:r>
      <w:r w:rsidR="003C4C9F" w:rsidRPr="00511CD3">
        <w:t>ands</w:t>
      </w:r>
      <w:r w:rsidRPr="00511CD3">
        <w:t xml:space="preserve"> her, she support</w:t>
      </w:r>
      <w:r w:rsidR="003C4C9F" w:rsidRPr="00511CD3">
        <w:t>s</w:t>
      </w:r>
      <w:r w:rsidRPr="00511CD3">
        <w:t xml:space="preserve"> her in asking that they return him to her.</w:t>
      </w:r>
      <w:r w:rsidR="0062046D" w:rsidRPr="00511CD3">
        <w:t>”</w:t>
      </w:r>
      <w:r w:rsidRPr="00511CD3">
        <w:t xml:space="preserve">  Next, the Defender requested the judge in the case to ensure </w:t>
      </w:r>
      <w:r w:rsidR="0062046D" w:rsidRPr="00511CD3">
        <w:t>“</w:t>
      </w:r>
      <w:r w:rsidRPr="00511CD3">
        <w:t xml:space="preserve">intervention </w:t>
      </w:r>
      <w:r w:rsidR="000B061C" w:rsidRPr="00511CD3">
        <w:t>by</w:t>
      </w:r>
      <w:r w:rsidRPr="00511CD3">
        <w:t xml:space="preserve"> the Special </w:t>
      </w:r>
      <w:r w:rsidR="00F44C1F" w:rsidRPr="00511CD3">
        <w:t>Mental</w:t>
      </w:r>
      <w:r w:rsidRPr="00511CD3">
        <w:t xml:space="preserve"> Health Board prior to any proc</w:t>
      </w:r>
      <w:r w:rsidR="00D03730" w:rsidRPr="00511CD3">
        <w:t>eeding</w:t>
      </w:r>
      <w:r w:rsidRPr="00511CD3">
        <w:t>,</w:t>
      </w:r>
      <w:r w:rsidR="0062046D" w:rsidRPr="00511CD3">
        <w:t>”</w:t>
      </w:r>
      <w:r w:rsidR="00B10F4D" w:rsidRPr="00511CD3">
        <w:t xml:space="preserve"> and </w:t>
      </w:r>
      <w:r w:rsidR="0062046D" w:rsidRPr="00511CD3">
        <w:t>a</w:t>
      </w:r>
      <w:r w:rsidRPr="00511CD3">
        <w:t>dded that</w:t>
      </w:r>
      <w:r w:rsidR="0062046D" w:rsidRPr="00511CD3">
        <w:t xml:space="preserve"> “re</w:t>
      </w:r>
      <w:r w:rsidRPr="00511CD3">
        <w:t>garding the conduct of Mr. and M</w:t>
      </w:r>
      <w:r w:rsidR="0062046D" w:rsidRPr="00511CD3">
        <w:t>s</w:t>
      </w:r>
      <w:r w:rsidR="00593F1F" w:rsidRPr="00511CD3">
        <w:t>.</w:t>
      </w:r>
      <w:r w:rsidRPr="00511CD3">
        <w:t xml:space="preserve"> </w:t>
      </w:r>
      <w:r w:rsidR="00593F1F" w:rsidRPr="00511CD3">
        <w:t>[López]</w:t>
      </w:r>
      <w:r w:rsidRPr="00511CD3">
        <w:t xml:space="preserve">, they are to continue their role as </w:t>
      </w:r>
      <w:r w:rsidR="003F0634" w:rsidRPr="00511CD3">
        <w:t xml:space="preserve">the child’s </w:t>
      </w:r>
      <w:r w:rsidRPr="00511CD3">
        <w:t xml:space="preserve">guardians </w:t>
      </w:r>
      <w:r w:rsidR="00574BA4" w:rsidRPr="00511CD3">
        <w:t>[…]</w:t>
      </w:r>
      <w:r w:rsidR="0062046D" w:rsidRPr="00511CD3">
        <w:t xml:space="preserve">, </w:t>
      </w:r>
      <w:r w:rsidRPr="00511CD3">
        <w:t xml:space="preserve">any decision regarding that role and their presentation of themselves as </w:t>
      </w:r>
      <w:r w:rsidR="003F0634" w:rsidRPr="00511CD3">
        <w:t>“mommy and daddy”</w:t>
      </w:r>
      <w:r w:rsidRPr="00511CD3">
        <w:t xml:space="preserve"> being inadmissible</w:t>
      </w:r>
      <w:r w:rsidR="00026DE8" w:rsidRPr="00511CD3">
        <w:t>.</w:t>
      </w:r>
      <w:r w:rsidR="00B67B54" w:rsidRPr="00511CD3">
        <w:t>”</w:t>
      </w:r>
      <w:r w:rsidR="0062046D" w:rsidRPr="00511CD3">
        <w:rPr>
          <w:rStyle w:val="FootnoteReference"/>
        </w:rPr>
        <w:footnoteReference w:id="40"/>
      </w:r>
    </w:p>
    <w:p w14:paraId="1492F9AA" w14:textId="77777777" w:rsidR="00802248" w:rsidRPr="00511CD3" w:rsidRDefault="00802248" w:rsidP="008429F6">
      <w:pPr>
        <w:pStyle w:val="ListParagraph"/>
        <w:numPr>
          <w:ilvl w:val="0"/>
          <w:numId w:val="0"/>
        </w:numPr>
      </w:pPr>
    </w:p>
    <w:p w14:paraId="6580981E" w14:textId="77777777" w:rsidR="00F87B55" w:rsidRPr="00511CD3" w:rsidRDefault="003F0634" w:rsidP="008429F6">
      <w:pPr>
        <w:pStyle w:val="ListParagraph"/>
        <w:ind w:left="0" w:firstLine="0"/>
      </w:pPr>
      <w:r w:rsidRPr="00511CD3">
        <w:t xml:space="preserve">On </w:t>
      </w:r>
      <w:r w:rsidR="00B10F4D" w:rsidRPr="00511CD3">
        <w:t>August</w:t>
      </w:r>
      <w:r w:rsidR="00802248" w:rsidRPr="00511CD3">
        <w:t xml:space="preserve"> </w:t>
      </w:r>
      <w:r w:rsidRPr="00511CD3">
        <w:t>4,</w:t>
      </w:r>
      <w:r w:rsidR="00802248" w:rsidRPr="00511CD3">
        <w:t xml:space="preserve"> 2015</w:t>
      </w:r>
      <w:r w:rsidRPr="00511CD3">
        <w:t xml:space="preserve">, </w:t>
      </w:r>
      <w:r w:rsidR="00802248" w:rsidRPr="00511CD3">
        <w:t>“</w:t>
      </w:r>
      <w:r w:rsidR="008C68B5" w:rsidRPr="00511CD3">
        <w:t>María</w:t>
      </w:r>
      <w:r w:rsidRPr="00511CD3">
        <w:t>’s</w:t>
      </w:r>
      <w:r w:rsidR="00802248" w:rsidRPr="00511CD3">
        <w:t xml:space="preserve">” </w:t>
      </w:r>
      <w:r w:rsidRPr="00511CD3">
        <w:t>attorney submitted a</w:t>
      </w:r>
      <w:r w:rsidR="00B67B54" w:rsidRPr="00511CD3">
        <w:t xml:space="preserve"> brief</w:t>
      </w:r>
      <w:r w:rsidRPr="00511CD3">
        <w:t xml:space="preserve"> to the court advising </w:t>
      </w:r>
      <w:r w:rsidR="00F44C1F" w:rsidRPr="00511CD3">
        <w:t>of</w:t>
      </w:r>
      <w:r w:rsidRPr="00511CD3">
        <w:t xml:space="preserve"> “María’s” wish to contact her son and requested that </w:t>
      </w:r>
      <w:r w:rsidR="004D73A2" w:rsidRPr="00511CD3">
        <w:t>“</w:t>
      </w:r>
      <w:r w:rsidR="008C68B5" w:rsidRPr="00511CD3">
        <w:t>María</w:t>
      </w:r>
      <w:r w:rsidR="004D73A2" w:rsidRPr="00511CD3">
        <w:t xml:space="preserve">” </w:t>
      </w:r>
      <w:r w:rsidRPr="00511CD3">
        <w:t xml:space="preserve">be heard by the judge and that a test </w:t>
      </w:r>
      <w:r w:rsidR="00026DE8" w:rsidRPr="00511CD3">
        <w:t xml:space="preserve">of </w:t>
      </w:r>
      <w:r w:rsidR="0053090E" w:rsidRPr="00511CD3">
        <w:t>“</w:t>
      </w:r>
      <w:r w:rsidR="004D73A2" w:rsidRPr="00511CD3">
        <w:t>Mariano</w:t>
      </w:r>
      <w:r w:rsidR="00026DE8" w:rsidRPr="00511CD3">
        <w:t>’s</w:t>
      </w:r>
      <w:r w:rsidR="0053090E" w:rsidRPr="00511CD3">
        <w:t>”</w:t>
      </w:r>
      <w:r w:rsidR="00026DE8" w:rsidRPr="00511CD3">
        <w:t xml:space="preserve"> DNA be performed to determine the identity of his biological father.</w:t>
      </w:r>
      <w:r w:rsidR="0053090E" w:rsidRPr="00511CD3">
        <w:rPr>
          <w:rStyle w:val="FootnoteReference"/>
        </w:rPr>
        <w:footnoteReference w:id="41"/>
      </w:r>
      <w:r w:rsidR="00026DE8" w:rsidRPr="00511CD3">
        <w:t xml:space="preserve">  Subsequently, on </w:t>
      </w:r>
      <w:r w:rsidR="00B10F4D" w:rsidRPr="00511CD3">
        <w:t>September</w:t>
      </w:r>
      <w:r w:rsidR="00FD057D" w:rsidRPr="00511CD3">
        <w:t xml:space="preserve"> </w:t>
      </w:r>
      <w:r w:rsidR="00026DE8" w:rsidRPr="00511CD3">
        <w:t xml:space="preserve">11, </w:t>
      </w:r>
      <w:r w:rsidR="00FD057D" w:rsidRPr="00511CD3">
        <w:t xml:space="preserve">Dr. </w:t>
      </w:r>
      <w:r w:rsidR="003C4C9F" w:rsidRPr="00511CD3">
        <w:t>Maidágan</w:t>
      </w:r>
      <w:r w:rsidR="00FD057D" w:rsidRPr="00511CD3">
        <w:t xml:space="preserve">, </w:t>
      </w:r>
      <w:r w:rsidR="00026DE8" w:rsidRPr="00511CD3">
        <w:t xml:space="preserve">representing </w:t>
      </w:r>
      <w:r w:rsidR="00FD057D" w:rsidRPr="00511CD3">
        <w:t>“</w:t>
      </w:r>
      <w:r w:rsidR="008C68B5" w:rsidRPr="00511CD3">
        <w:t>María</w:t>
      </w:r>
      <w:r w:rsidR="00026DE8" w:rsidRPr="00511CD3">
        <w:t>’s</w:t>
      </w:r>
      <w:r w:rsidR="00FD057D" w:rsidRPr="00511CD3">
        <w:t>”</w:t>
      </w:r>
      <w:r w:rsidR="00026DE8" w:rsidRPr="00511CD3">
        <w:t xml:space="preserve"> mother, reiterated her request </w:t>
      </w:r>
      <w:r w:rsidR="00FD057D" w:rsidRPr="00511CD3">
        <w:t>“</w:t>
      </w:r>
      <w:r w:rsidR="00B67B54" w:rsidRPr="00511CD3">
        <w:t xml:space="preserve">for an order, </w:t>
      </w:r>
      <w:r w:rsidR="00026DE8" w:rsidRPr="00511CD3">
        <w:t>as an urgent and precautionary measure</w:t>
      </w:r>
      <w:r w:rsidR="00FD057D" w:rsidRPr="00511CD3">
        <w:t xml:space="preserve">, </w:t>
      </w:r>
      <w:r w:rsidR="00B67B54" w:rsidRPr="00511CD3">
        <w:t xml:space="preserve">for </w:t>
      </w:r>
      <w:r w:rsidR="00026DE8" w:rsidRPr="00511CD3">
        <w:t xml:space="preserve">a visit between </w:t>
      </w:r>
      <w:r w:rsidR="00574BA4" w:rsidRPr="00511CD3">
        <w:t>[María]</w:t>
      </w:r>
      <w:r w:rsidR="00FD057D" w:rsidRPr="00511CD3">
        <w:t xml:space="preserve"> </w:t>
      </w:r>
      <w:r w:rsidR="00026DE8" w:rsidRPr="00511CD3">
        <w:t>and</w:t>
      </w:r>
      <w:r w:rsidR="00FD057D" w:rsidRPr="00511CD3">
        <w:t xml:space="preserve"> </w:t>
      </w:r>
      <w:r w:rsidR="00574BA4" w:rsidRPr="00511CD3">
        <w:t>[</w:t>
      </w:r>
      <w:r w:rsidR="00593F1F" w:rsidRPr="00511CD3">
        <w:t>“Mariano”</w:t>
      </w:r>
      <w:r w:rsidR="00574BA4" w:rsidRPr="00511CD3">
        <w:t>]</w:t>
      </w:r>
      <w:r w:rsidR="00026DE8" w:rsidRPr="00511CD3">
        <w:t xml:space="preserve">, in an appropriate environment, without intervention by the state actors who acted previously, and with </w:t>
      </w:r>
      <w:r w:rsidR="003C4C9F" w:rsidRPr="00511CD3">
        <w:t>appropriate participation</w:t>
      </w:r>
      <w:r w:rsidR="00026DE8" w:rsidRPr="00511CD3">
        <w:t>.</w:t>
      </w:r>
      <w:r w:rsidR="00FD057D" w:rsidRPr="00511CD3">
        <w:t>”</w:t>
      </w:r>
      <w:r w:rsidR="00F87B55" w:rsidRPr="00511CD3">
        <w:rPr>
          <w:rStyle w:val="FootnoteReference"/>
        </w:rPr>
        <w:footnoteReference w:id="42"/>
      </w:r>
    </w:p>
    <w:p w14:paraId="11589AEE" w14:textId="77777777" w:rsidR="00F87B55" w:rsidRPr="00511CD3" w:rsidRDefault="00F87B55" w:rsidP="008429F6">
      <w:pPr>
        <w:pStyle w:val="ListParagraph"/>
        <w:numPr>
          <w:ilvl w:val="0"/>
          <w:numId w:val="0"/>
        </w:numPr>
      </w:pPr>
    </w:p>
    <w:p w14:paraId="0F3C62BF" w14:textId="77777777" w:rsidR="007E11C1" w:rsidRPr="00511CD3" w:rsidRDefault="00F87B55" w:rsidP="008429F6">
      <w:pPr>
        <w:pStyle w:val="ListParagraph"/>
        <w:ind w:left="0" w:firstLine="0"/>
      </w:pPr>
      <w:r w:rsidRPr="00511CD3">
        <w:t xml:space="preserve"> </w:t>
      </w:r>
      <w:r w:rsidR="00A022F7" w:rsidRPr="00511CD3">
        <w:t xml:space="preserve">On </w:t>
      </w:r>
      <w:r w:rsidR="00B10F4D" w:rsidRPr="00511CD3">
        <w:t>October</w:t>
      </w:r>
      <w:r w:rsidRPr="00511CD3">
        <w:t xml:space="preserve"> </w:t>
      </w:r>
      <w:r w:rsidR="00A022F7" w:rsidRPr="00511CD3">
        <w:t>1,</w:t>
      </w:r>
      <w:r w:rsidRPr="00511CD3">
        <w:t xml:space="preserve"> 2015</w:t>
      </w:r>
      <w:r w:rsidR="00A022F7" w:rsidRPr="00511CD3">
        <w:t>, the Judge of Collegiate Family Court No. 5 issued a resolution ordering</w:t>
      </w:r>
      <w:r w:rsidR="007E11C1" w:rsidRPr="00511CD3">
        <w:t>: “</w:t>
      </w:r>
      <w:r w:rsidR="00A022F7" w:rsidRPr="00511CD3">
        <w:t xml:space="preserve">that this resolution be </w:t>
      </w:r>
      <w:r w:rsidR="00DF37B2" w:rsidRPr="00511CD3">
        <w:t>aligned</w:t>
      </w:r>
      <w:r w:rsidR="00A022F7" w:rsidRPr="00511CD3">
        <w:t xml:space="preserve"> with the Civil and Commercial Code and, therefore, </w:t>
      </w:r>
      <w:r w:rsidR="00AC307C" w:rsidRPr="00511CD3">
        <w:t xml:space="preserve">that it be established </w:t>
      </w:r>
      <w:r w:rsidR="00A022F7" w:rsidRPr="00511CD3">
        <w:t xml:space="preserve">that this action </w:t>
      </w:r>
      <w:r w:rsidR="00DF37B2" w:rsidRPr="00511CD3">
        <w:t>will addres</w:t>
      </w:r>
      <w:r w:rsidR="00A022F7" w:rsidRPr="00511CD3">
        <w:t xml:space="preserve">s the </w:t>
      </w:r>
      <w:r w:rsidR="00AC307C" w:rsidRPr="00511CD3">
        <w:t xml:space="preserve">child’s </w:t>
      </w:r>
      <w:r w:rsidR="00A022F7" w:rsidRPr="00511CD3">
        <w:t xml:space="preserve">status of adoptability </w:t>
      </w:r>
      <w:r w:rsidR="00574BA4" w:rsidRPr="00511CD3">
        <w:t>[…]</w:t>
      </w:r>
      <w:r w:rsidR="007E11C1" w:rsidRPr="00511CD3">
        <w:t xml:space="preserve">”. </w:t>
      </w:r>
      <w:r w:rsidR="00A022F7" w:rsidRPr="00511CD3">
        <w:t xml:space="preserve"> She also informed </w:t>
      </w:r>
      <w:r w:rsidR="007E11C1" w:rsidRPr="00511CD3">
        <w:t>“</w:t>
      </w:r>
      <w:r w:rsidR="00393D5E" w:rsidRPr="00511CD3">
        <w:t>María</w:t>
      </w:r>
      <w:r w:rsidR="007E11C1" w:rsidRPr="00511CD3">
        <w:t>”</w:t>
      </w:r>
      <w:r w:rsidR="00B10F4D" w:rsidRPr="00511CD3">
        <w:t xml:space="preserve"> and </w:t>
      </w:r>
      <w:r w:rsidR="00A022F7" w:rsidRPr="00511CD3">
        <w:t>her mother tha</w:t>
      </w:r>
      <w:r w:rsidR="00AC307C" w:rsidRPr="00511CD3">
        <w:t>t</w:t>
      </w:r>
      <w:r w:rsidR="00A022F7" w:rsidRPr="00511CD3">
        <w:t xml:space="preserve"> they were participating in the process as parties, and Mr. and Mrs. </w:t>
      </w:r>
      <w:r w:rsidR="00593F1F" w:rsidRPr="00511CD3">
        <w:t xml:space="preserve">López </w:t>
      </w:r>
      <w:r w:rsidR="00A022F7" w:rsidRPr="00511CD3">
        <w:t>that they were participating in the action as interested third parties, and that they had to</w:t>
      </w:r>
      <w:r w:rsidR="007E11C1" w:rsidRPr="00511CD3">
        <w:t xml:space="preserve"> “</w:t>
      </w:r>
      <w:r w:rsidR="00F73B4B" w:rsidRPr="00511CD3">
        <w:t>retain</w:t>
      </w:r>
      <w:r w:rsidR="00A022F7" w:rsidRPr="00511CD3">
        <w:t xml:space="preserve"> the child’s name and surnames as they appeared in the registry </w:t>
      </w:r>
      <w:r w:rsidR="007E11C1" w:rsidRPr="00511CD3">
        <w:t>…”.</w:t>
      </w:r>
      <w:r w:rsidR="00E827A2" w:rsidRPr="00511CD3">
        <w:rPr>
          <w:rStyle w:val="FootnoteReference"/>
        </w:rPr>
        <w:footnoteReference w:id="43"/>
      </w:r>
      <w:r w:rsidR="007E11C1" w:rsidRPr="00511CD3">
        <w:t xml:space="preserve"> </w:t>
      </w:r>
    </w:p>
    <w:p w14:paraId="1AA4FB67" w14:textId="77777777" w:rsidR="007E11C1" w:rsidRPr="00511CD3" w:rsidRDefault="007E11C1" w:rsidP="008429F6">
      <w:pPr>
        <w:pStyle w:val="ListParagraph"/>
        <w:numPr>
          <w:ilvl w:val="0"/>
          <w:numId w:val="0"/>
        </w:numPr>
      </w:pPr>
    </w:p>
    <w:p w14:paraId="464D52DE" w14:textId="77777777" w:rsidR="00802248" w:rsidRPr="00511CD3" w:rsidRDefault="00A022F7" w:rsidP="008429F6">
      <w:pPr>
        <w:pStyle w:val="ListParagraph"/>
        <w:ind w:left="0" w:firstLine="0"/>
      </w:pPr>
      <w:r w:rsidRPr="00511CD3">
        <w:t>In that resolution, the judge indicated that</w:t>
      </w:r>
      <w:r w:rsidR="007E11C1" w:rsidRPr="00511CD3">
        <w:t xml:space="preserve"> “</w:t>
      </w:r>
      <w:r w:rsidR="00F73B4B" w:rsidRPr="00511CD3">
        <w:t xml:space="preserve">the copies added to </w:t>
      </w:r>
      <w:r w:rsidR="00F44C1F" w:rsidRPr="00511CD3">
        <w:t>the</w:t>
      </w:r>
      <w:r w:rsidR="00F73B4B" w:rsidRPr="00511CD3">
        <w:t xml:space="preserve"> file </w:t>
      </w:r>
      <w:r w:rsidR="00BB261C" w:rsidRPr="00511CD3">
        <w:rPr>
          <w:rFonts w:cs="Cambria"/>
          <w:color w:val="000000"/>
        </w:rPr>
        <w:t xml:space="preserve">[…] </w:t>
      </w:r>
      <w:r w:rsidR="00F73B4B" w:rsidRPr="00511CD3">
        <w:rPr>
          <w:rFonts w:cs="Cambria"/>
          <w:color w:val="000000"/>
        </w:rPr>
        <w:t xml:space="preserve">show without any doubt that prior to </w:t>
      </w:r>
      <w:r w:rsidR="00574BA4" w:rsidRPr="00511CD3">
        <w:t>[Mariano</w:t>
      </w:r>
      <w:r w:rsidR="00F73B4B" w:rsidRPr="00511CD3">
        <w:t>’s</w:t>
      </w:r>
      <w:r w:rsidR="00574BA4" w:rsidRPr="00511CD3">
        <w:t>]</w:t>
      </w:r>
      <w:r w:rsidR="00F73B4B" w:rsidRPr="00511CD3">
        <w:t xml:space="preserve"> birth</w:t>
      </w:r>
      <w:r w:rsidR="007E11C1" w:rsidRPr="00511CD3">
        <w:t xml:space="preserve">, </w:t>
      </w:r>
      <w:r w:rsidR="00F73B4B" w:rsidRPr="00511CD3">
        <w:t xml:space="preserve">both his mother </w:t>
      </w:r>
      <w:r w:rsidR="00574BA4" w:rsidRPr="00511CD3">
        <w:t>[María]</w:t>
      </w:r>
      <w:r w:rsidR="007E11C1" w:rsidRPr="00511CD3">
        <w:t xml:space="preserve"> </w:t>
      </w:r>
      <w:r w:rsidR="00F73B4B" w:rsidRPr="00511CD3">
        <w:t>and his grandmother</w:t>
      </w:r>
      <w:r w:rsidR="007E11C1" w:rsidRPr="00511CD3">
        <w:t xml:space="preserve"> </w:t>
      </w:r>
      <w:r w:rsidR="00BB261C" w:rsidRPr="00511CD3">
        <w:rPr>
          <w:rFonts w:cs="Cambria"/>
          <w:color w:val="000000"/>
        </w:rPr>
        <w:t xml:space="preserve">[…] </w:t>
      </w:r>
      <w:r w:rsidR="007E11C1" w:rsidRPr="00511CD3">
        <w:t>ha</w:t>
      </w:r>
      <w:r w:rsidR="00F73B4B" w:rsidRPr="00511CD3">
        <w:t>d indicated their firm decision to give the child up for adoption</w:t>
      </w:r>
      <w:r w:rsidR="007E11C1" w:rsidRPr="00511CD3">
        <w:t xml:space="preserve"> </w:t>
      </w:r>
      <w:r w:rsidR="00BB261C" w:rsidRPr="00511CD3">
        <w:rPr>
          <w:rFonts w:cs="Cambria"/>
          <w:color w:val="000000"/>
        </w:rPr>
        <w:t xml:space="preserve">[…] </w:t>
      </w:r>
      <w:r w:rsidR="00F73B4B" w:rsidRPr="00511CD3">
        <w:rPr>
          <w:rFonts w:cs="Cambria"/>
          <w:color w:val="000000"/>
        </w:rPr>
        <w:t xml:space="preserve">That is, in the days before </w:t>
      </w:r>
      <w:r w:rsidR="00605516" w:rsidRPr="00511CD3">
        <w:rPr>
          <w:rFonts w:cs="Cambria"/>
          <w:color w:val="000000"/>
        </w:rPr>
        <w:t>the</w:t>
      </w:r>
      <w:r w:rsidR="00F73B4B" w:rsidRPr="00511CD3">
        <w:rPr>
          <w:rFonts w:cs="Cambria"/>
          <w:color w:val="000000"/>
        </w:rPr>
        <w:t xml:space="preserve"> birth</w:t>
      </w:r>
      <w:r w:rsidR="00BB261C" w:rsidRPr="00511CD3">
        <w:rPr>
          <w:rFonts w:cs="Cambria"/>
          <w:color w:val="000000"/>
        </w:rPr>
        <w:t xml:space="preserve"> </w:t>
      </w:r>
      <w:r w:rsidR="00574BA4" w:rsidRPr="00511CD3">
        <w:rPr>
          <w:rFonts w:cs="Cambria"/>
          <w:color w:val="000000"/>
        </w:rPr>
        <w:t>[…]</w:t>
      </w:r>
      <w:r w:rsidR="00BB261C" w:rsidRPr="00511CD3">
        <w:rPr>
          <w:rFonts w:cs="Cambria"/>
          <w:color w:val="000000"/>
        </w:rPr>
        <w:t xml:space="preserve"> </w:t>
      </w:r>
      <w:r w:rsidR="00F73B4B" w:rsidRPr="00511CD3">
        <w:rPr>
          <w:rFonts w:cs="Cambria"/>
          <w:color w:val="000000"/>
        </w:rPr>
        <w:t xml:space="preserve">urgent steps </w:t>
      </w:r>
      <w:r w:rsidR="00C60CA4" w:rsidRPr="00511CD3">
        <w:rPr>
          <w:rFonts w:cs="Cambria"/>
          <w:color w:val="000000"/>
        </w:rPr>
        <w:t xml:space="preserve">had </w:t>
      </w:r>
      <w:r w:rsidR="00F73B4B" w:rsidRPr="00511CD3">
        <w:rPr>
          <w:rFonts w:cs="Cambria"/>
          <w:color w:val="000000"/>
        </w:rPr>
        <w:t xml:space="preserve">to be taken for the child to receive due support from the </w:t>
      </w:r>
      <w:r w:rsidR="003B5FBE" w:rsidRPr="00511CD3">
        <w:rPr>
          <w:rFonts w:cs="Cambria"/>
          <w:color w:val="000000"/>
        </w:rPr>
        <w:t xml:space="preserve">time </w:t>
      </w:r>
      <w:r w:rsidR="00F73B4B" w:rsidRPr="00511CD3">
        <w:rPr>
          <w:rFonts w:cs="Cambria"/>
          <w:color w:val="000000"/>
        </w:rPr>
        <w:t>of his birth.  This was required given</w:t>
      </w:r>
      <w:r w:rsidR="00605516" w:rsidRPr="00511CD3">
        <w:rPr>
          <w:rFonts w:cs="Cambria"/>
          <w:color w:val="000000"/>
        </w:rPr>
        <w:t xml:space="preserve"> </w:t>
      </w:r>
      <w:r w:rsidR="00DF37B2" w:rsidRPr="00511CD3">
        <w:rPr>
          <w:rFonts w:cs="Cambria"/>
          <w:color w:val="000000"/>
        </w:rPr>
        <w:t xml:space="preserve">the </w:t>
      </w:r>
      <w:r w:rsidR="00605516" w:rsidRPr="00511CD3">
        <w:rPr>
          <w:rFonts w:cs="Cambria"/>
          <w:color w:val="000000"/>
        </w:rPr>
        <w:t xml:space="preserve">context </w:t>
      </w:r>
      <w:r w:rsidR="00DF37B2" w:rsidRPr="00511CD3">
        <w:rPr>
          <w:rFonts w:cs="Cambria"/>
          <w:color w:val="000000"/>
        </w:rPr>
        <w:t>outlined</w:t>
      </w:r>
      <w:r w:rsidR="00605516" w:rsidRPr="00511CD3">
        <w:rPr>
          <w:rFonts w:cs="Cambria"/>
          <w:color w:val="000000"/>
        </w:rPr>
        <w:t xml:space="preserve"> </w:t>
      </w:r>
      <w:r w:rsidR="003E0874" w:rsidRPr="00511CD3">
        <w:rPr>
          <w:rFonts w:cs="Cambria"/>
          <w:color w:val="000000"/>
        </w:rPr>
        <w:t xml:space="preserve">by the family of </w:t>
      </w:r>
      <w:r w:rsidR="00574BA4" w:rsidRPr="00511CD3">
        <w:t>[María]</w:t>
      </w:r>
      <w:r w:rsidR="00B10F4D" w:rsidRPr="00511CD3">
        <w:rPr>
          <w:rFonts w:cs="Cambria"/>
          <w:color w:val="000000"/>
        </w:rPr>
        <w:t xml:space="preserve"> and </w:t>
      </w:r>
      <w:r w:rsidR="003B5FBE" w:rsidRPr="00511CD3">
        <w:rPr>
          <w:rFonts w:cs="Cambria"/>
          <w:color w:val="000000"/>
        </w:rPr>
        <w:t xml:space="preserve">by </w:t>
      </w:r>
      <w:r w:rsidR="003E0874" w:rsidRPr="00511CD3">
        <w:rPr>
          <w:rFonts w:cs="Cambria"/>
          <w:color w:val="000000"/>
        </w:rPr>
        <w:t>the girl herself.</w:t>
      </w:r>
      <w:r w:rsidR="00BB261C" w:rsidRPr="00511CD3">
        <w:rPr>
          <w:rFonts w:cs="Cambria"/>
          <w:color w:val="000000"/>
        </w:rPr>
        <w:t>”</w:t>
      </w:r>
      <w:r w:rsidR="003E0874" w:rsidRPr="00511CD3">
        <w:rPr>
          <w:rFonts w:cs="Cambria"/>
          <w:color w:val="000000"/>
        </w:rPr>
        <w:t xml:space="preserve">  Then the judge added that </w:t>
      </w:r>
      <w:r w:rsidR="00BB261C" w:rsidRPr="00511CD3">
        <w:rPr>
          <w:rFonts w:cs="Cambria"/>
          <w:color w:val="000000"/>
        </w:rPr>
        <w:t>“</w:t>
      </w:r>
      <w:r w:rsidR="003E0874" w:rsidRPr="00511CD3">
        <w:rPr>
          <w:rFonts w:cs="Cambria"/>
          <w:color w:val="000000"/>
        </w:rPr>
        <w:t>according to the above-described items o</w:t>
      </w:r>
      <w:r w:rsidR="00C60CA4" w:rsidRPr="00511CD3">
        <w:rPr>
          <w:rFonts w:cs="Cambria"/>
          <w:color w:val="000000"/>
        </w:rPr>
        <w:t>f</w:t>
      </w:r>
      <w:r w:rsidR="003E0874" w:rsidRPr="00511CD3">
        <w:rPr>
          <w:rFonts w:cs="Cambria"/>
          <w:color w:val="000000"/>
        </w:rPr>
        <w:t xml:space="preserve"> record, it must be </w:t>
      </w:r>
      <w:r w:rsidR="00C60CA4" w:rsidRPr="00511CD3">
        <w:rPr>
          <w:rFonts w:cs="Cambria"/>
          <w:color w:val="000000"/>
        </w:rPr>
        <w:t>pointed out th</w:t>
      </w:r>
      <w:r w:rsidR="003E0874" w:rsidRPr="00511CD3">
        <w:rPr>
          <w:rFonts w:cs="Cambria"/>
          <w:color w:val="000000"/>
        </w:rPr>
        <w:t xml:space="preserve">at neither </w:t>
      </w:r>
      <w:r w:rsidR="00574BA4" w:rsidRPr="00511CD3">
        <w:t>[María]</w:t>
      </w:r>
      <w:r w:rsidR="00BB261C" w:rsidRPr="00511CD3">
        <w:rPr>
          <w:rFonts w:cs="Cambria"/>
          <w:color w:val="000000"/>
        </w:rPr>
        <w:t xml:space="preserve"> </w:t>
      </w:r>
      <w:r w:rsidR="00A3111A" w:rsidRPr="00511CD3">
        <w:rPr>
          <w:rFonts w:cs="Cambria"/>
          <w:color w:val="000000"/>
        </w:rPr>
        <w:t>n</w:t>
      </w:r>
      <w:r w:rsidR="003E0874" w:rsidRPr="00511CD3">
        <w:rPr>
          <w:rFonts w:cs="Cambria"/>
          <w:color w:val="000000"/>
        </w:rPr>
        <w:t xml:space="preserve">or her mother participated in the proceedings in this case until </w:t>
      </w:r>
      <w:r w:rsidR="00B10F4D" w:rsidRPr="00511CD3">
        <w:rPr>
          <w:rFonts w:cs="Cambria"/>
          <w:color w:val="000000"/>
        </w:rPr>
        <w:t>December</w:t>
      </w:r>
      <w:r w:rsidR="00BB261C" w:rsidRPr="00511CD3">
        <w:rPr>
          <w:rFonts w:cs="Cambria"/>
          <w:color w:val="000000"/>
        </w:rPr>
        <w:t xml:space="preserve"> 2014</w:t>
      </w:r>
      <w:r w:rsidR="003E0874" w:rsidRPr="00511CD3">
        <w:rPr>
          <w:rFonts w:cs="Cambria"/>
          <w:color w:val="000000"/>
        </w:rPr>
        <w:t xml:space="preserve">, when they appeared </w:t>
      </w:r>
      <w:r w:rsidR="00DF37B2" w:rsidRPr="00511CD3">
        <w:rPr>
          <w:rFonts w:cs="Cambria"/>
          <w:color w:val="000000"/>
        </w:rPr>
        <w:t>at</w:t>
      </w:r>
      <w:r w:rsidR="003E0874" w:rsidRPr="00511CD3">
        <w:rPr>
          <w:rFonts w:cs="Cambria"/>
          <w:color w:val="000000"/>
        </w:rPr>
        <w:t xml:space="preserve"> the Forensic Physician’s Office, </w:t>
      </w:r>
      <w:r w:rsidR="00C60CA4" w:rsidRPr="00511CD3">
        <w:rPr>
          <w:rFonts w:cs="Cambria"/>
          <w:color w:val="000000"/>
        </w:rPr>
        <w:t xml:space="preserve">although </w:t>
      </w:r>
      <w:r w:rsidR="003E0874" w:rsidRPr="00511CD3">
        <w:rPr>
          <w:rFonts w:cs="Cambria"/>
          <w:color w:val="000000"/>
        </w:rPr>
        <w:t xml:space="preserve">they had previously been notified to do so in </w:t>
      </w:r>
      <w:r w:rsidR="00B10F4D" w:rsidRPr="00511CD3">
        <w:rPr>
          <w:rFonts w:cs="Cambria"/>
          <w:color w:val="000000"/>
        </w:rPr>
        <w:t>October</w:t>
      </w:r>
      <w:r w:rsidR="00BB261C" w:rsidRPr="00511CD3">
        <w:rPr>
          <w:rFonts w:cs="Cambria"/>
          <w:color w:val="000000"/>
        </w:rPr>
        <w:t xml:space="preserve"> 2014</w:t>
      </w:r>
      <w:r w:rsidR="003E0874" w:rsidRPr="00511CD3">
        <w:rPr>
          <w:rFonts w:cs="Cambria"/>
          <w:color w:val="000000"/>
        </w:rPr>
        <w:t>.</w:t>
      </w:r>
      <w:r w:rsidR="00BB261C" w:rsidRPr="00511CD3">
        <w:rPr>
          <w:rFonts w:cs="Cambria"/>
          <w:color w:val="000000"/>
        </w:rPr>
        <w:t>”</w:t>
      </w:r>
      <w:r w:rsidR="00BB261C" w:rsidRPr="00511CD3">
        <w:rPr>
          <w:rStyle w:val="FootnoteReference"/>
          <w:rFonts w:cs="Cambria"/>
          <w:color w:val="000000"/>
        </w:rPr>
        <w:footnoteReference w:id="44"/>
      </w:r>
    </w:p>
    <w:p w14:paraId="1F70EE2F" w14:textId="77777777" w:rsidR="000111FA" w:rsidRPr="00511CD3" w:rsidRDefault="000111FA" w:rsidP="008429F6">
      <w:pPr>
        <w:pStyle w:val="ListParagraph"/>
        <w:numPr>
          <w:ilvl w:val="0"/>
          <w:numId w:val="0"/>
        </w:numPr>
      </w:pPr>
    </w:p>
    <w:p w14:paraId="4A6E4B41" w14:textId="77777777" w:rsidR="000111FA" w:rsidRPr="00511CD3" w:rsidRDefault="003E0874" w:rsidP="008429F6">
      <w:pPr>
        <w:pStyle w:val="ListParagraph"/>
        <w:ind w:left="0" w:firstLine="0"/>
      </w:pPr>
      <w:r w:rsidRPr="00511CD3">
        <w:t xml:space="preserve">On </w:t>
      </w:r>
      <w:r w:rsidR="00B10F4D" w:rsidRPr="00511CD3">
        <w:t>October</w:t>
      </w:r>
      <w:r w:rsidR="000111FA" w:rsidRPr="00511CD3">
        <w:t xml:space="preserve"> </w:t>
      </w:r>
      <w:r w:rsidRPr="00511CD3">
        <w:t xml:space="preserve">23, </w:t>
      </w:r>
      <w:r w:rsidR="000111FA" w:rsidRPr="00511CD3">
        <w:t>2015</w:t>
      </w:r>
      <w:r w:rsidRPr="00511CD3">
        <w:t xml:space="preserve">, the attorney representing </w:t>
      </w:r>
      <w:r w:rsidR="000111FA" w:rsidRPr="00511CD3">
        <w:t>“</w:t>
      </w:r>
      <w:r w:rsidR="00AB4B43" w:rsidRPr="00511CD3">
        <w:t>María</w:t>
      </w:r>
      <w:r w:rsidRPr="00511CD3">
        <w:t>’s</w:t>
      </w:r>
      <w:r w:rsidR="000111FA" w:rsidRPr="00511CD3">
        <w:t>”</w:t>
      </w:r>
      <w:r w:rsidRPr="00511CD3">
        <w:t xml:space="preserve"> mother submitted a </w:t>
      </w:r>
      <w:r w:rsidR="00AC307C" w:rsidRPr="00511CD3">
        <w:t>brief</w:t>
      </w:r>
      <w:r w:rsidRPr="00511CD3">
        <w:t xml:space="preserve"> challeng</w:t>
      </w:r>
      <w:r w:rsidR="00AC307C" w:rsidRPr="00511CD3">
        <w:t>ing the jud</w:t>
      </w:r>
      <w:r w:rsidRPr="00511CD3">
        <w:t>ge in the case because she considered that she had c</w:t>
      </w:r>
      <w:r w:rsidR="00AC307C" w:rsidRPr="00511CD3">
        <w:t xml:space="preserve">arried out </w:t>
      </w:r>
      <w:r w:rsidRPr="00511CD3">
        <w:t xml:space="preserve">acts demonstrating prejudice because she had </w:t>
      </w:r>
      <w:r w:rsidR="000111FA" w:rsidRPr="00511CD3">
        <w:t>“</w:t>
      </w:r>
      <w:r w:rsidRPr="00511CD3">
        <w:t xml:space="preserve">disregarded [María’s] requests for contact with </w:t>
      </w:r>
      <w:r w:rsidR="00574BA4" w:rsidRPr="00511CD3">
        <w:t>[</w:t>
      </w:r>
      <w:r w:rsidR="00593F1F" w:rsidRPr="00511CD3">
        <w:t>“Mariano”</w:t>
      </w:r>
      <w:r w:rsidR="00574BA4" w:rsidRPr="00511CD3">
        <w:t>]</w:t>
      </w:r>
      <w:r w:rsidR="00A3111A" w:rsidRPr="00511CD3">
        <w:t xml:space="preserve"> and</w:t>
      </w:r>
      <w:r w:rsidR="000111FA" w:rsidRPr="00511CD3">
        <w:t xml:space="preserve"> prolong</w:t>
      </w:r>
      <w:r w:rsidRPr="00511CD3">
        <w:t>ed these proceedings with unwarranted proce</w:t>
      </w:r>
      <w:r w:rsidR="00AC307C" w:rsidRPr="00511CD3">
        <w:t>dures</w:t>
      </w:r>
      <w:r w:rsidRPr="00511CD3">
        <w:t>, when</w:t>
      </w:r>
      <w:r w:rsidR="00DF37B2" w:rsidRPr="00511CD3">
        <w:t xml:space="preserve"> she herself had</w:t>
      </w:r>
      <w:r w:rsidRPr="00511CD3">
        <w:t xml:space="preserve"> contended that </w:t>
      </w:r>
      <w:r w:rsidR="00A3111A" w:rsidRPr="00511CD3">
        <w:t>as time went on with another family,</w:t>
      </w:r>
      <w:r w:rsidR="000111FA" w:rsidRPr="00511CD3">
        <w:t xml:space="preserve"> </w:t>
      </w:r>
      <w:r w:rsidR="00A3111A" w:rsidRPr="00511CD3">
        <w:t>it made it difficult for [“Mariano”] to restore ties with the biological family.</w:t>
      </w:r>
      <w:r w:rsidR="000111FA" w:rsidRPr="00511CD3">
        <w:t>”</w:t>
      </w:r>
      <w:r w:rsidR="00A3111A" w:rsidRPr="00511CD3">
        <w:t xml:space="preserve">  The aim of the decision of </w:t>
      </w:r>
      <w:r w:rsidR="00B10F4D" w:rsidRPr="00511CD3">
        <w:t>October</w:t>
      </w:r>
      <w:r w:rsidR="00A3111A" w:rsidRPr="00511CD3">
        <w:t xml:space="preserve"> 1, she added was to </w:t>
      </w:r>
      <w:r w:rsidR="000111FA" w:rsidRPr="00511CD3">
        <w:t>“</w:t>
      </w:r>
      <w:r w:rsidR="00A3111A" w:rsidRPr="00511CD3">
        <w:t xml:space="preserve">prolong </w:t>
      </w:r>
      <w:r w:rsidR="00AC307C" w:rsidRPr="00511CD3">
        <w:t xml:space="preserve">a procedure, formally, </w:t>
      </w:r>
      <w:r w:rsidR="00A3111A" w:rsidRPr="00511CD3">
        <w:t>for a declaration of adoptability</w:t>
      </w:r>
      <w:r w:rsidR="00626370" w:rsidRPr="00511CD3">
        <w:t xml:space="preserve"> status</w:t>
      </w:r>
      <w:r w:rsidR="00AB4B43" w:rsidRPr="00511CD3">
        <w:t xml:space="preserve">, </w:t>
      </w:r>
      <w:r w:rsidR="00A3111A" w:rsidRPr="00511CD3">
        <w:t>intended to decide</w:t>
      </w:r>
      <w:r w:rsidR="00626370" w:rsidRPr="00511CD3">
        <w:t xml:space="preserve"> that he is adoptable</w:t>
      </w:r>
      <w:r w:rsidR="00A3111A" w:rsidRPr="00511CD3">
        <w:t xml:space="preserve">, to validate a plainly illegal </w:t>
      </w:r>
      <w:r w:rsidR="00626370" w:rsidRPr="00511CD3">
        <w:t xml:space="preserve">de facto </w:t>
      </w:r>
      <w:r w:rsidR="00A3111A" w:rsidRPr="00511CD3">
        <w:t xml:space="preserve">situation, since it is evident that the Adjudicant has decided </w:t>
      </w:r>
      <w:r w:rsidR="00A3111A" w:rsidRPr="00511CD3">
        <w:lastRenderedPageBreak/>
        <w:t xml:space="preserve">to give </w:t>
      </w:r>
      <w:r w:rsidR="00574BA4" w:rsidRPr="00511CD3">
        <w:t>[Mariano]</w:t>
      </w:r>
      <w:r w:rsidR="00AB4B43" w:rsidRPr="00511CD3">
        <w:t xml:space="preserve"> </w:t>
      </w:r>
      <w:r w:rsidR="00A3111A" w:rsidRPr="00511CD3">
        <w:t>up for adoption to his current guardians.</w:t>
      </w:r>
      <w:r w:rsidR="00AB4B43" w:rsidRPr="00511CD3">
        <w:t>”</w:t>
      </w:r>
      <w:r w:rsidR="00AB4B43" w:rsidRPr="00511CD3">
        <w:rPr>
          <w:rStyle w:val="FootnoteReference"/>
        </w:rPr>
        <w:footnoteReference w:id="45"/>
      </w:r>
      <w:r w:rsidR="00A3111A" w:rsidRPr="00511CD3">
        <w:t xml:space="preserve">  The challenge was rejected by the judge in the case by a resolution of </w:t>
      </w:r>
      <w:r w:rsidR="00B10F4D" w:rsidRPr="00511CD3">
        <w:t>November</w:t>
      </w:r>
      <w:r w:rsidR="00AB4B43" w:rsidRPr="00511CD3">
        <w:t xml:space="preserve"> </w:t>
      </w:r>
      <w:r w:rsidR="00A3111A" w:rsidRPr="00511CD3">
        <w:t>2,</w:t>
      </w:r>
      <w:r w:rsidR="00AB4B43" w:rsidRPr="00511CD3">
        <w:t xml:space="preserve"> 2015</w:t>
      </w:r>
      <w:r w:rsidR="00A3111A" w:rsidRPr="00511CD3">
        <w:t>.</w:t>
      </w:r>
      <w:r w:rsidR="00A71A15" w:rsidRPr="00511CD3">
        <w:rPr>
          <w:rStyle w:val="FootnoteReference"/>
        </w:rPr>
        <w:footnoteReference w:id="46"/>
      </w:r>
      <w:r w:rsidR="00A3111A" w:rsidRPr="00511CD3">
        <w:t xml:space="preserve">   On February </w:t>
      </w:r>
      <w:r w:rsidR="00F337D9" w:rsidRPr="00511CD3">
        <w:t>10</w:t>
      </w:r>
      <w:r w:rsidR="00A3111A" w:rsidRPr="00511CD3">
        <w:t xml:space="preserve">, </w:t>
      </w:r>
      <w:r w:rsidR="00F337D9" w:rsidRPr="00511CD3">
        <w:t>2016</w:t>
      </w:r>
      <w:r w:rsidR="00A3111A" w:rsidRPr="00511CD3">
        <w:t xml:space="preserve">, </w:t>
      </w:r>
      <w:r w:rsidR="00DF37B2" w:rsidRPr="00511CD3">
        <w:t xml:space="preserve">the plenary of </w:t>
      </w:r>
      <w:r w:rsidR="00A022F7" w:rsidRPr="00511CD3">
        <w:t>Collegiate Family Court No. 5</w:t>
      </w:r>
      <w:r w:rsidR="00A3111A" w:rsidRPr="00511CD3">
        <w:t xml:space="preserve"> decided to uphold the rejection of the challenge,</w:t>
      </w:r>
      <w:r w:rsidR="00F337D9" w:rsidRPr="00511CD3">
        <w:rPr>
          <w:rStyle w:val="FootnoteReference"/>
        </w:rPr>
        <w:footnoteReference w:id="47"/>
      </w:r>
      <w:r w:rsidR="00B10F4D" w:rsidRPr="00511CD3">
        <w:t xml:space="preserve"> and</w:t>
      </w:r>
      <w:r w:rsidR="00A3111A" w:rsidRPr="00511CD3">
        <w:t xml:space="preserve">, on </w:t>
      </w:r>
      <w:r w:rsidR="00B10F4D" w:rsidRPr="00511CD3">
        <w:t>May</w:t>
      </w:r>
      <w:r w:rsidR="00F337D9" w:rsidRPr="00511CD3">
        <w:t xml:space="preserve"> </w:t>
      </w:r>
      <w:r w:rsidR="00A3111A" w:rsidRPr="00511CD3">
        <w:t xml:space="preserve">2, </w:t>
      </w:r>
      <w:r w:rsidR="00F337D9" w:rsidRPr="00511CD3">
        <w:t>2016</w:t>
      </w:r>
      <w:r w:rsidR="00A3111A" w:rsidRPr="00511CD3">
        <w:t xml:space="preserve">, Chamber </w:t>
      </w:r>
      <w:r w:rsidR="00F337D9" w:rsidRPr="00511CD3">
        <w:t xml:space="preserve">II </w:t>
      </w:r>
      <w:r w:rsidR="00A3111A" w:rsidRPr="00511CD3">
        <w:t xml:space="preserve">of the Civil and Commercial Appeals Court of </w:t>
      </w:r>
      <w:r w:rsidR="00F337D9" w:rsidRPr="00511CD3">
        <w:t xml:space="preserve">Rosario </w:t>
      </w:r>
      <w:r w:rsidR="00A3111A" w:rsidRPr="00511CD3">
        <w:t xml:space="preserve">declared </w:t>
      </w:r>
      <w:r w:rsidR="00DF37B2" w:rsidRPr="00511CD3">
        <w:t xml:space="preserve">the challenge lodged </w:t>
      </w:r>
      <w:r w:rsidR="00F337D9" w:rsidRPr="00511CD3">
        <w:t>“</w:t>
      </w:r>
      <w:r w:rsidR="00A3111A" w:rsidRPr="00511CD3">
        <w:t>well denied</w:t>
      </w:r>
      <w:r w:rsidR="00F337D9" w:rsidRPr="00511CD3">
        <w:t xml:space="preserve">” </w:t>
      </w:r>
      <w:r w:rsidR="00A3111A" w:rsidRPr="00511CD3">
        <w:t xml:space="preserve">because it </w:t>
      </w:r>
      <w:r w:rsidR="00F337D9" w:rsidRPr="00511CD3">
        <w:t>“</w:t>
      </w:r>
      <w:r w:rsidR="00A3111A" w:rsidRPr="00511CD3">
        <w:t>was not based on a</w:t>
      </w:r>
      <w:r w:rsidR="00626370" w:rsidRPr="00511CD3">
        <w:t xml:space="preserve"> [sic]</w:t>
      </w:r>
      <w:r w:rsidR="00A3111A" w:rsidRPr="00511CD3">
        <w:t xml:space="preserve"> grounds </w:t>
      </w:r>
      <w:r w:rsidR="00A3111A" w:rsidRPr="00511CD3">
        <w:rPr>
          <w:rFonts w:cs="Cambria"/>
          <w:color w:val="000000"/>
        </w:rPr>
        <w:t>established in Article</w:t>
      </w:r>
      <w:r w:rsidR="00F337D9" w:rsidRPr="00511CD3">
        <w:rPr>
          <w:rFonts w:cs="Cambria"/>
          <w:color w:val="000000"/>
        </w:rPr>
        <w:t xml:space="preserve"> 10 </w:t>
      </w:r>
      <w:r w:rsidR="00A3111A" w:rsidRPr="00511CD3">
        <w:rPr>
          <w:rFonts w:cs="Cambria"/>
          <w:color w:val="000000"/>
        </w:rPr>
        <w:t xml:space="preserve">of the </w:t>
      </w:r>
      <w:r w:rsidR="0059109F" w:rsidRPr="00511CD3">
        <w:rPr>
          <w:rFonts w:cs="Cambria"/>
          <w:color w:val="000000"/>
        </w:rPr>
        <w:t xml:space="preserve">[Code of Civil and </w:t>
      </w:r>
      <w:r w:rsidR="00F44C1F" w:rsidRPr="00511CD3">
        <w:rPr>
          <w:rFonts w:cs="Cambria"/>
          <w:color w:val="000000"/>
        </w:rPr>
        <w:t>Commercial</w:t>
      </w:r>
      <w:r w:rsidR="0059109F" w:rsidRPr="00511CD3">
        <w:rPr>
          <w:rFonts w:cs="Cambria"/>
          <w:color w:val="000000"/>
        </w:rPr>
        <w:t xml:space="preserve"> Procedure]</w:t>
      </w:r>
      <w:r w:rsidR="00F337D9" w:rsidRPr="00511CD3">
        <w:rPr>
          <w:rFonts w:cs="Cambria"/>
          <w:color w:val="000000"/>
        </w:rPr>
        <w:t xml:space="preserve"> CPCC</w:t>
      </w:r>
      <w:r w:rsidR="00DF37B2" w:rsidRPr="00511CD3">
        <w:rPr>
          <w:rFonts w:cs="Cambria"/>
          <w:color w:val="000000"/>
        </w:rPr>
        <w:t>.</w:t>
      </w:r>
      <w:r w:rsidR="00F337D9" w:rsidRPr="00511CD3">
        <w:rPr>
          <w:rFonts w:cs="Cambria"/>
          <w:color w:val="000000"/>
        </w:rPr>
        <w:t>”</w:t>
      </w:r>
      <w:r w:rsidR="00F337D9" w:rsidRPr="00511CD3">
        <w:rPr>
          <w:rStyle w:val="FootnoteReference"/>
          <w:rFonts w:cs="Cambria"/>
          <w:color w:val="000000"/>
        </w:rPr>
        <w:footnoteReference w:id="48"/>
      </w:r>
      <w:r w:rsidR="0059109F" w:rsidRPr="00511CD3">
        <w:t xml:space="preserve"> </w:t>
      </w:r>
    </w:p>
    <w:p w14:paraId="0449CFB6" w14:textId="77777777" w:rsidR="00331FAC" w:rsidRPr="00511CD3" w:rsidRDefault="00331FAC" w:rsidP="008429F6">
      <w:pPr>
        <w:pStyle w:val="ListParagraph"/>
        <w:numPr>
          <w:ilvl w:val="0"/>
          <w:numId w:val="0"/>
        </w:numPr>
      </w:pPr>
    </w:p>
    <w:p w14:paraId="1EB23D74" w14:textId="77777777" w:rsidR="00331FAC" w:rsidRPr="00511CD3" w:rsidRDefault="003C1DFD" w:rsidP="008429F6">
      <w:pPr>
        <w:pStyle w:val="ListParagraph"/>
        <w:ind w:left="0" w:firstLine="0"/>
      </w:pPr>
      <w:r w:rsidRPr="00511CD3">
        <w:t xml:space="preserve">On </w:t>
      </w:r>
      <w:r w:rsidR="00B10F4D" w:rsidRPr="00511CD3">
        <w:t>December</w:t>
      </w:r>
      <w:r w:rsidR="00331FAC" w:rsidRPr="00511CD3">
        <w:t xml:space="preserve"> </w:t>
      </w:r>
      <w:r w:rsidRPr="00511CD3">
        <w:t xml:space="preserve">11, </w:t>
      </w:r>
      <w:r w:rsidR="00331FAC" w:rsidRPr="00511CD3">
        <w:t>2015</w:t>
      </w:r>
      <w:r w:rsidRPr="00511CD3">
        <w:t xml:space="preserve">, </w:t>
      </w:r>
      <w:r w:rsidR="00331FAC" w:rsidRPr="00511CD3">
        <w:t>“</w:t>
      </w:r>
      <w:r w:rsidR="00A9208D" w:rsidRPr="00511CD3">
        <w:t>María</w:t>
      </w:r>
      <w:r w:rsidRPr="00511CD3">
        <w:t>’s</w:t>
      </w:r>
      <w:r w:rsidR="00331FAC" w:rsidRPr="00511CD3">
        <w:t xml:space="preserve">” </w:t>
      </w:r>
      <w:r w:rsidRPr="00511CD3">
        <w:t xml:space="preserve">attorney filed a </w:t>
      </w:r>
      <w:r w:rsidR="00ED29B9" w:rsidRPr="00511CD3">
        <w:t xml:space="preserve">request for </w:t>
      </w:r>
      <w:r w:rsidRPr="00511CD3">
        <w:t xml:space="preserve">revocation </w:t>
      </w:r>
      <w:r w:rsidR="00ED29B9" w:rsidRPr="00511CD3">
        <w:t xml:space="preserve">of </w:t>
      </w:r>
      <w:r w:rsidRPr="00511CD3">
        <w:t>the</w:t>
      </w:r>
      <w:r w:rsidR="00ED29B9" w:rsidRPr="00511CD3">
        <w:t xml:space="preserve"> October 1</w:t>
      </w:r>
      <w:r w:rsidRPr="00511CD3">
        <w:t xml:space="preserve"> decision of the judge, and requested that, instead, </w:t>
      </w:r>
      <w:r w:rsidR="00331FAC" w:rsidRPr="00511CD3">
        <w:t xml:space="preserve">“Mariano” </w:t>
      </w:r>
      <w:r w:rsidRPr="00511CD3">
        <w:t>be ordered to be returned to his biological mother</w:t>
      </w:r>
      <w:r w:rsidR="00B10F4D" w:rsidRPr="00511CD3">
        <w:t xml:space="preserve"> and </w:t>
      </w:r>
      <w:r w:rsidRPr="00511CD3">
        <w:t xml:space="preserve">his </w:t>
      </w:r>
      <w:r w:rsidR="00626370" w:rsidRPr="00511CD3">
        <w:t xml:space="preserve">family of </w:t>
      </w:r>
      <w:r w:rsidRPr="00511CD3">
        <w:t xml:space="preserve">origin.  In that document, the attorney alleged that all proceedings were null since </w:t>
      </w:r>
      <w:r w:rsidR="00331FAC" w:rsidRPr="00511CD3">
        <w:t>“</w:t>
      </w:r>
      <w:r w:rsidR="00A9208D" w:rsidRPr="00511CD3">
        <w:t>María</w:t>
      </w:r>
      <w:r w:rsidR="00331FAC" w:rsidRPr="00511CD3">
        <w:t xml:space="preserve">” </w:t>
      </w:r>
      <w:r w:rsidRPr="00511CD3">
        <w:t>had never given her free and informed consent to give her son up for adoption.</w:t>
      </w:r>
      <w:r w:rsidR="0068325B" w:rsidRPr="00511CD3">
        <w:rPr>
          <w:rStyle w:val="FootnoteReference"/>
        </w:rPr>
        <w:footnoteReference w:id="49"/>
      </w:r>
    </w:p>
    <w:p w14:paraId="36EC57CB" w14:textId="77777777" w:rsidR="00A9208D" w:rsidRPr="00511CD3" w:rsidRDefault="00A9208D" w:rsidP="008429F6">
      <w:pPr>
        <w:pStyle w:val="ListParagraph"/>
        <w:numPr>
          <w:ilvl w:val="0"/>
          <w:numId w:val="0"/>
        </w:numPr>
      </w:pPr>
    </w:p>
    <w:p w14:paraId="23F0D99E" w14:textId="77777777" w:rsidR="00A9208D" w:rsidRPr="00511CD3" w:rsidRDefault="00E06886" w:rsidP="008429F6">
      <w:pPr>
        <w:pStyle w:val="ListParagraph"/>
        <w:ind w:left="0" w:firstLine="0"/>
      </w:pPr>
      <w:r w:rsidRPr="00511CD3">
        <w:t xml:space="preserve">The file also shows that on </w:t>
      </w:r>
      <w:r w:rsidR="00B10F4D" w:rsidRPr="00511CD3">
        <w:t>December</w:t>
      </w:r>
      <w:r w:rsidR="00A9208D" w:rsidRPr="00511CD3">
        <w:t xml:space="preserve"> </w:t>
      </w:r>
      <w:r w:rsidRPr="00511CD3">
        <w:t>16,</w:t>
      </w:r>
      <w:r w:rsidR="00A9208D" w:rsidRPr="00511CD3">
        <w:t xml:space="preserve"> 2015</w:t>
      </w:r>
      <w:r w:rsidRPr="00511CD3">
        <w:t>,</w:t>
      </w:r>
      <w:r w:rsidR="00A9208D" w:rsidRPr="00511CD3">
        <w:t xml:space="preserve"> </w:t>
      </w:r>
      <w:r w:rsidRPr="00511CD3">
        <w:t xml:space="preserve">the Special Mental Health Boards authority of the Ministry of Health of </w:t>
      </w:r>
      <w:r w:rsidR="00A9208D" w:rsidRPr="00511CD3">
        <w:t>Santa Fe</w:t>
      </w:r>
      <w:r w:rsidRPr="00511CD3">
        <w:t xml:space="preserve"> Province submitted a preliminary report and, on </w:t>
      </w:r>
      <w:r w:rsidR="00B10F4D" w:rsidRPr="00511CD3">
        <w:t>February</w:t>
      </w:r>
      <w:r w:rsidR="00A9208D" w:rsidRPr="00511CD3">
        <w:t xml:space="preserve"> </w:t>
      </w:r>
      <w:r w:rsidRPr="00511CD3">
        <w:t>1,</w:t>
      </w:r>
      <w:r w:rsidR="00A9208D" w:rsidRPr="00511CD3">
        <w:t xml:space="preserve"> 2016</w:t>
      </w:r>
      <w:r w:rsidRPr="00511CD3">
        <w:t>, its final report.  In both documents, Special Boards gave account of the interviews it had held with “</w:t>
      </w:r>
      <w:r w:rsidR="00F337D9" w:rsidRPr="00511CD3">
        <w:t>María</w:t>
      </w:r>
      <w:r w:rsidRPr="00511CD3">
        <w:t>,</w:t>
      </w:r>
      <w:r w:rsidR="00A9208D" w:rsidRPr="00511CD3">
        <w:t>”</w:t>
      </w:r>
      <w:r w:rsidRPr="00511CD3">
        <w:t xml:space="preserve"> her mother, and </w:t>
      </w:r>
      <w:r w:rsidR="00626370" w:rsidRPr="00511CD3">
        <w:t>their</w:t>
      </w:r>
      <w:r w:rsidRPr="00511CD3">
        <w:t xml:space="preserve"> therapist, and issued an opinion in favor of a meeting between</w:t>
      </w:r>
      <w:r w:rsidR="00A9208D" w:rsidRPr="00511CD3">
        <w:t xml:space="preserve"> “</w:t>
      </w:r>
      <w:r w:rsidR="00F337D9" w:rsidRPr="00511CD3">
        <w:t>María</w:t>
      </w:r>
      <w:r w:rsidR="00A9208D" w:rsidRPr="00511CD3">
        <w:t>”</w:t>
      </w:r>
      <w:r w:rsidR="00B10F4D" w:rsidRPr="00511CD3">
        <w:t xml:space="preserve"> and </w:t>
      </w:r>
      <w:r w:rsidRPr="00511CD3">
        <w:t>her son.</w:t>
      </w:r>
      <w:r w:rsidR="00A9208D" w:rsidRPr="00511CD3">
        <w:rPr>
          <w:rStyle w:val="FootnoteReference"/>
        </w:rPr>
        <w:footnoteReference w:id="50"/>
      </w:r>
    </w:p>
    <w:p w14:paraId="69D95830" w14:textId="77777777" w:rsidR="00FD4D53" w:rsidRPr="00511CD3" w:rsidRDefault="00FD4D53" w:rsidP="008429F6">
      <w:pPr>
        <w:pStyle w:val="ListParagraph"/>
        <w:numPr>
          <w:ilvl w:val="0"/>
          <w:numId w:val="0"/>
        </w:numPr>
      </w:pPr>
    </w:p>
    <w:p w14:paraId="521928D1" w14:textId="77777777" w:rsidR="00FD4D53" w:rsidRPr="00511CD3" w:rsidRDefault="003C4C9F" w:rsidP="008429F6">
      <w:pPr>
        <w:pStyle w:val="ListParagraph"/>
        <w:ind w:left="0" w:firstLine="0"/>
      </w:pPr>
      <w:r w:rsidRPr="00511CD3">
        <w:t>In addition</w:t>
      </w:r>
      <w:r w:rsidR="00531082" w:rsidRPr="00511CD3">
        <w:t>, on</w:t>
      </w:r>
      <w:r w:rsidR="000E375C" w:rsidRPr="00511CD3">
        <w:t xml:space="preserve"> </w:t>
      </w:r>
      <w:r w:rsidR="00B10F4D" w:rsidRPr="00511CD3">
        <w:t>February</w:t>
      </w:r>
      <w:r w:rsidR="000E375C" w:rsidRPr="00511CD3">
        <w:t xml:space="preserve"> </w:t>
      </w:r>
      <w:r w:rsidR="00531082" w:rsidRPr="00511CD3">
        <w:t>5,</w:t>
      </w:r>
      <w:r w:rsidR="000E375C" w:rsidRPr="00511CD3">
        <w:t xml:space="preserve"> 2016</w:t>
      </w:r>
      <w:r w:rsidR="00531082" w:rsidRPr="00511CD3">
        <w:t>, the attorneys for</w:t>
      </w:r>
      <w:r w:rsidR="000E375C" w:rsidRPr="00511CD3">
        <w:t xml:space="preserve"> “</w:t>
      </w:r>
      <w:r w:rsidR="007406BE" w:rsidRPr="00511CD3">
        <w:t>María</w:t>
      </w:r>
      <w:r w:rsidR="000E375C" w:rsidRPr="00511CD3">
        <w:t>”</w:t>
      </w:r>
      <w:r w:rsidR="00B10F4D" w:rsidRPr="00511CD3">
        <w:t xml:space="preserve"> and </w:t>
      </w:r>
      <w:r w:rsidR="00531082" w:rsidRPr="00511CD3">
        <w:t xml:space="preserve">her mother </w:t>
      </w:r>
      <w:r w:rsidR="00690D0B" w:rsidRPr="00511CD3">
        <w:t>filed an application</w:t>
      </w:r>
      <w:r w:rsidR="00531082" w:rsidRPr="00511CD3">
        <w:t xml:space="preserve"> for an innovative precautionary measure with the </w:t>
      </w:r>
      <w:r w:rsidR="00A022F7" w:rsidRPr="00511CD3">
        <w:t>Collegiate Family Court No. 5</w:t>
      </w:r>
      <w:r w:rsidR="003937B4" w:rsidRPr="00511CD3">
        <w:t xml:space="preserve"> for the </w:t>
      </w:r>
      <w:r w:rsidR="000E375C" w:rsidRPr="00511CD3">
        <w:t>“</w:t>
      </w:r>
      <w:r w:rsidR="00531082" w:rsidRPr="00511CD3">
        <w:t>establish</w:t>
      </w:r>
      <w:r w:rsidR="003937B4" w:rsidRPr="00511CD3">
        <w:t>ment of</w:t>
      </w:r>
      <w:r w:rsidR="00531082" w:rsidRPr="00511CD3">
        <w:t xml:space="preserve"> a visitation schedule as a matter of urgency</w:t>
      </w:r>
      <w:r w:rsidR="000E375C" w:rsidRPr="00511CD3">
        <w:t xml:space="preserve">” </w:t>
      </w:r>
      <w:r w:rsidR="00531082" w:rsidRPr="00511CD3">
        <w:t xml:space="preserve">so </w:t>
      </w:r>
      <w:r w:rsidR="00F44C1F" w:rsidRPr="00511CD3">
        <w:t>that</w:t>
      </w:r>
      <w:r w:rsidR="000E375C" w:rsidRPr="00511CD3">
        <w:t xml:space="preserve"> “</w:t>
      </w:r>
      <w:r w:rsidR="0068325B" w:rsidRPr="00511CD3">
        <w:t>María</w:t>
      </w:r>
      <w:r w:rsidR="000E375C" w:rsidRPr="00511CD3">
        <w:t xml:space="preserve">” </w:t>
      </w:r>
      <w:r w:rsidR="00531082" w:rsidRPr="00511CD3">
        <w:t>could get to know her son.</w:t>
      </w:r>
      <w:r w:rsidR="000E375C" w:rsidRPr="00511CD3">
        <w:rPr>
          <w:rStyle w:val="FootnoteReference"/>
        </w:rPr>
        <w:footnoteReference w:id="51"/>
      </w:r>
      <w:r w:rsidR="00531082" w:rsidRPr="00511CD3">
        <w:t xml:space="preserve">  To those ends, they proposed that the meetings be held at the Secretariat for Human Rights of </w:t>
      </w:r>
      <w:r w:rsidR="000E375C" w:rsidRPr="00511CD3">
        <w:t xml:space="preserve">Santa Fe </w:t>
      </w:r>
      <w:r w:rsidR="00531082" w:rsidRPr="00511CD3">
        <w:t xml:space="preserve">Province, with support </w:t>
      </w:r>
      <w:r w:rsidR="00690D0B" w:rsidRPr="00511CD3">
        <w:t>from</w:t>
      </w:r>
      <w:r w:rsidR="00531082" w:rsidRPr="00511CD3">
        <w:t xml:space="preserve"> an interdisciplinary group.  Having heard the official defenders and the attorney for </w:t>
      </w:r>
      <w:r w:rsidR="000D4189" w:rsidRPr="00511CD3">
        <w:t xml:space="preserve">Mr. and Mrs. </w:t>
      </w:r>
      <w:r w:rsidR="00593F1F" w:rsidRPr="00511CD3">
        <w:t>“López</w:t>
      </w:r>
      <w:r w:rsidR="000D4189" w:rsidRPr="00511CD3">
        <w:t xml:space="preserve">,” the parties, in a hearing before the judge held on </w:t>
      </w:r>
      <w:r w:rsidR="00B10F4D" w:rsidRPr="00511CD3">
        <w:t>April</w:t>
      </w:r>
      <w:r w:rsidR="00FD2101" w:rsidRPr="00511CD3">
        <w:t xml:space="preserve"> </w:t>
      </w:r>
      <w:r w:rsidR="000D4189" w:rsidRPr="00511CD3">
        <w:t>1,</w:t>
      </w:r>
      <w:r w:rsidR="00FD2101" w:rsidRPr="00511CD3">
        <w:t xml:space="preserve"> 2016</w:t>
      </w:r>
      <w:r w:rsidR="000D4189" w:rsidRPr="00511CD3">
        <w:t xml:space="preserve">, agreed </w:t>
      </w:r>
      <w:r w:rsidR="00F44C1F" w:rsidRPr="00511CD3">
        <w:t>that</w:t>
      </w:r>
      <w:r w:rsidR="000D4189" w:rsidRPr="00511CD3">
        <w:t xml:space="preserve"> </w:t>
      </w:r>
      <w:r w:rsidR="00FD2101" w:rsidRPr="00511CD3">
        <w:t>“</w:t>
      </w:r>
      <w:r w:rsidR="00960A18" w:rsidRPr="00511CD3">
        <w:t>María</w:t>
      </w:r>
      <w:r w:rsidR="000D4189" w:rsidRPr="00511CD3">
        <w:t>’s</w:t>
      </w:r>
      <w:r w:rsidR="00FD2101" w:rsidRPr="00511CD3">
        <w:t>”</w:t>
      </w:r>
      <w:r w:rsidR="000D4189" w:rsidRPr="00511CD3">
        <w:t xml:space="preserve"> meetings with her son </w:t>
      </w:r>
      <w:r w:rsidR="00690D0B" w:rsidRPr="00511CD3">
        <w:t xml:space="preserve">would </w:t>
      </w:r>
      <w:r w:rsidR="000D4189" w:rsidRPr="00511CD3">
        <w:t xml:space="preserve">take place in the presence of a psychologist, an educational psychologist, </w:t>
      </w:r>
      <w:r w:rsidR="00B10F4D" w:rsidRPr="00511CD3">
        <w:t xml:space="preserve">and </w:t>
      </w:r>
      <w:r w:rsidR="000D4189" w:rsidRPr="00511CD3">
        <w:t>a social worker designated by the court, one day a week</w:t>
      </w:r>
      <w:r w:rsidR="003937B4" w:rsidRPr="00511CD3">
        <w:t>,</w:t>
      </w:r>
      <w:r w:rsidR="000D4189" w:rsidRPr="00511CD3">
        <w:t xml:space="preserve"> for two </w:t>
      </w:r>
      <w:r w:rsidR="00F44C1F" w:rsidRPr="00511CD3">
        <w:t>hours</w:t>
      </w:r>
      <w:r w:rsidR="000D4189" w:rsidRPr="00511CD3">
        <w:t xml:space="preserve">, </w:t>
      </w:r>
      <w:r w:rsidRPr="00511CD3">
        <w:t>in</w:t>
      </w:r>
      <w:r w:rsidR="000D4189" w:rsidRPr="00511CD3">
        <w:t xml:space="preserve"> the court’s social work</w:t>
      </w:r>
      <w:r w:rsidR="003937B4" w:rsidRPr="00511CD3">
        <w:t xml:space="preserve"> room</w:t>
      </w:r>
      <w:r w:rsidR="000D4189" w:rsidRPr="00511CD3">
        <w:t>.</w:t>
      </w:r>
      <w:r w:rsidR="0068325B" w:rsidRPr="00511CD3">
        <w:rPr>
          <w:rStyle w:val="FootnoteReference"/>
        </w:rPr>
        <w:footnoteReference w:id="52"/>
      </w:r>
    </w:p>
    <w:p w14:paraId="2A3FABAD" w14:textId="77777777" w:rsidR="00D95B26" w:rsidRPr="00511CD3" w:rsidRDefault="00D95B26" w:rsidP="008429F6">
      <w:pPr>
        <w:pStyle w:val="ListParagraph"/>
        <w:numPr>
          <w:ilvl w:val="0"/>
          <w:numId w:val="0"/>
        </w:numPr>
      </w:pPr>
    </w:p>
    <w:p w14:paraId="67A9C5D7" w14:textId="77777777" w:rsidR="003364D9" w:rsidRPr="00511CD3" w:rsidRDefault="00E06886" w:rsidP="00690D0B">
      <w:pPr>
        <w:pStyle w:val="Heading2"/>
        <w:numPr>
          <w:ilvl w:val="0"/>
          <w:numId w:val="22"/>
        </w:numPr>
        <w:ind w:left="540" w:firstLine="360"/>
        <w:rPr>
          <w:lang w:val="en-US"/>
        </w:rPr>
      </w:pPr>
      <w:r w:rsidRPr="00511CD3">
        <w:rPr>
          <w:lang w:val="en-US"/>
        </w:rPr>
        <w:t xml:space="preserve">Events subsequent to the IACHR’s issuing of precautionary measure </w:t>
      </w:r>
      <w:r w:rsidR="00F337D9" w:rsidRPr="00511CD3">
        <w:rPr>
          <w:lang w:val="en-US"/>
        </w:rPr>
        <w:t xml:space="preserve">540-15 </w:t>
      </w:r>
    </w:p>
    <w:p w14:paraId="7717B992" w14:textId="77777777" w:rsidR="00F337D9" w:rsidRPr="00511CD3" w:rsidRDefault="00F337D9" w:rsidP="008429F6">
      <w:pPr>
        <w:jc w:val="both"/>
        <w:rPr>
          <w:rFonts w:ascii="Cambria" w:hAnsi="Cambria"/>
          <w:sz w:val="20"/>
          <w:szCs w:val="20"/>
        </w:rPr>
      </w:pPr>
    </w:p>
    <w:p w14:paraId="64370887" w14:textId="77777777" w:rsidR="00F1022F" w:rsidRPr="00511CD3" w:rsidRDefault="00094029" w:rsidP="00584DE7">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April</w:t>
      </w:r>
      <w:r w:rsidR="0067699D" w:rsidRPr="00511CD3">
        <w:rPr>
          <w:rFonts w:ascii="Cambria" w:hAnsi="Cambria"/>
          <w:sz w:val="20"/>
          <w:szCs w:val="20"/>
        </w:rPr>
        <w:t xml:space="preserve"> </w:t>
      </w:r>
      <w:r w:rsidRPr="00511CD3">
        <w:rPr>
          <w:rFonts w:ascii="Cambria" w:hAnsi="Cambria"/>
          <w:sz w:val="20"/>
          <w:szCs w:val="20"/>
        </w:rPr>
        <w:t xml:space="preserve">12, </w:t>
      </w:r>
      <w:r w:rsidR="0067699D" w:rsidRPr="00511CD3">
        <w:rPr>
          <w:rFonts w:ascii="Cambria" w:hAnsi="Cambria"/>
          <w:sz w:val="20"/>
          <w:szCs w:val="20"/>
        </w:rPr>
        <w:t>2016</w:t>
      </w:r>
      <w:r w:rsidRPr="00511CD3">
        <w:rPr>
          <w:rFonts w:ascii="Cambria" w:hAnsi="Cambria"/>
          <w:sz w:val="20"/>
          <w:szCs w:val="20"/>
        </w:rPr>
        <w:t>,</w:t>
      </w:r>
      <w:r w:rsidR="0067699D" w:rsidRPr="00511CD3">
        <w:rPr>
          <w:rFonts w:ascii="Cambria" w:hAnsi="Cambria"/>
          <w:sz w:val="20"/>
          <w:szCs w:val="20"/>
        </w:rPr>
        <w:t xml:space="preserve"> </w:t>
      </w:r>
      <w:r w:rsidR="00B10F4D" w:rsidRPr="00511CD3">
        <w:rPr>
          <w:rFonts w:ascii="Cambria" w:hAnsi="Cambria"/>
          <w:sz w:val="20"/>
          <w:szCs w:val="20"/>
        </w:rPr>
        <w:t>the Commission</w:t>
      </w:r>
      <w:r w:rsidR="0067699D" w:rsidRPr="00511CD3">
        <w:rPr>
          <w:rFonts w:ascii="Cambria" w:hAnsi="Cambria"/>
          <w:sz w:val="20"/>
          <w:szCs w:val="20"/>
        </w:rPr>
        <w:t xml:space="preserve"> </w:t>
      </w:r>
      <w:r w:rsidRPr="00511CD3">
        <w:rPr>
          <w:rFonts w:ascii="Cambria" w:hAnsi="Cambria"/>
          <w:sz w:val="20"/>
          <w:szCs w:val="20"/>
        </w:rPr>
        <w:t>issued a precautionary measures resolution in favor of</w:t>
      </w:r>
      <w:r w:rsidR="0067699D" w:rsidRPr="00511CD3">
        <w:rPr>
          <w:rFonts w:ascii="Cambria" w:hAnsi="Cambria"/>
          <w:sz w:val="20"/>
          <w:szCs w:val="20"/>
        </w:rPr>
        <w:t xml:space="preserve"> “</w:t>
      </w:r>
      <w:r w:rsidR="00F1022F" w:rsidRPr="00511CD3">
        <w:rPr>
          <w:rFonts w:ascii="Cambria" w:hAnsi="Cambria"/>
          <w:sz w:val="20"/>
          <w:szCs w:val="20"/>
        </w:rPr>
        <w:t>María</w:t>
      </w:r>
      <w:r w:rsidR="0067699D"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her son</w:t>
      </w:r>
      <w:r w:rsidR="0067699D" w:rsidRPr="00511CD3">
        <w:rPr>
          <w:rFonts w:ascii="Cambria" w:hAnsi="Cambria"/>
          <w:sz w:val="20"/>
          <w:szCs w:val="20"/>
        </w:rPr>
        <w:t xml:space="preserve"> “Mariano</w:t>
      </w:r>
      <w:r w:rsidRPr="00511CD3">
        <w:rPr>
          <w:rFonts w:ascii="Cambria" w:hAnsi="Cambria"/>
          <w:sz w:val="20"/>
          <w:szCs w:val="20"/>
        </w:rPr>
        <w:t>.</w:t>
      </w:r>
      <w:r w:rsidR="0067699D" w:rsidRPr="00511CD3">
        <w:rPr>
          <w:rFonts w:ascii="Cambria" w:hAnsi="Cambria"/>
          <w:sz w:val="20"/>
          <w:szCs w:val="20"/>
        </w:rPr>
        <w:t>”</w:t>
      </w:r>
      <w:r w:rsidRPr="00511CD3">
        <w:rPr>
          <w:rFonts w:ascii="Cambria" w:hAnsi="Cambria"/>
          <w:sz w:val="20"/>
          <w:szCs w:val="20"/>
        </w:rPr>
        <w:t xml:space="preserve">  In that resolution, the </w:t>
      </w:r>
      <w:r w:rsidR="00B10F4D" w:rsidRPr="00511CD3">
        <w:rPr>
          <w:rFonts w:ascii="Cambria" w:hAnsi="Cambria"/>
          <w:sz w:val="20"/>
          <w:szCs w:val="20"/>
        </w:rPr>
        <w:t>IACHR</w:t>
      </w:r>
      <w:r w:rsidR="00F1022F" w:rsidRPr="00511CD3">
        <w:rPr>
          <w:rFonts w:ascii="Cambria" w:hAnsi="Cambria"/>
          <w:sz w:val="20"/>
          <w:szCs w:val="20"/>
        </w:rPr>
        <w:t xml:space="preserve"> </w:t>
      </w:r>
      <w:r w:rsidRPr="00511CD3">
        <w:rPr>
          <w:rFonts w:ascii="Cambria" w:hAnsi="Cambria"/>
          <w:sz w:val="20"/>
          <w:szCs w:val="20"/>
        </w:rPr>
        <w:t>requested the Argentine State to: (</w:t>
      </w:r>
      <w:r w:rsidR="00F1022F" w:rsidRPr="00511CD3">
        <w:rPr>
          <w:rFonts w:ascii="Cambria" w:hAnsi="Cambria"/>
          <w:sz w:val="20"/>
          <w:szCs w:val="20"/>
        </w:rPr>
        <w:t>a)</w:t>
      </w:r>
      <w:r w:rsidR="00F1022F" w:rsidRPr="00511CD3">
        <w:rPr>
          <w:rFonts w:ascii="Cambria" w:hAnsi="Cambria" w:cs="Calibri"/>
          <w:sz w:val="20"/>
          <w:szCs w:val="20"/>
        </w:rPr>
        <w:t xml:space="preserve"> </w:t>
      </w:r>
      <w:r w:rsidR="001F4068" w:rsidRPr="00511CD3">
        <w:rPr>
          <w:rFonts w:ascii="Cambria" w:hAnsi="Cambria" w:cs="Calibri"/>
          <w:sz w:val="20"/>
          <w:szCs w:val="20"/>
        </w:rPr>
        <w:t>take the neces</w:t>
      </w:r>
      <w:r w:rsidR="00320751" w:rsidRPr="00511CD3">
        <w:rPr>
          <w:rFonts w:ascii="Cambria" w:hAnsi="Cambria" w:cs="Calibri"/>
          <w:sz w:val="20"/>
          <w:szCs w:val="20"/>
        </w:rPr>
        <w:t>sa</w:t>
      </w:r>
      <w:r w:rsidR="001F4068" w:rsidRPr="00511CD3">
        <w:rPr>
          <w:rFonts w:ascii="Cambria" w:hAnsi="Cambria" w:cs="Calibri"/>
          <w:sz w:val="20"/>
          <w:szCs w:val="20"/>
        </w:rPr>
        <w:t xml:space="preserve">ry, appropriate, and effective steps to protect the rights to personal </w:t>
      </w:r>
      <w:r w:rsidR="003C4C9F" w:rsidRPr="00511CD3">
        <w:rPr>
          <w:rFonts w:ascii="Cambria" w:hAnsi="Cambria" w:cs="Calibri"/>
          <w:sz w:val="20"/>
          <w:szCs w:val="20"/>
        </w:rPr>
        <w:t>integrity</w:t>
      </w:r>
      <w:r w:rsidR="001F4068" w:rsidRPr="00511CD3">
        <w:rPr>
          <w:rFonts w:ascii="Cambria" w:hAnsi="Cambria" w:cs="Calibri"/>
          <w:sz w:val="20"/>
          <w:szCs w:val="20"/>
        </w:rPr>
        <w:t xml:space="preserve">, and to protection of the family and </w:t>
      </w:r>
      <w:r w:rsidR="00BC443F" w:rsidRPr="00511CD3">
        <w:rPr>
          <w:rFonts w:ascii="Cambria" w:hAnsi="Cambria" w:cs="Calibri"/>
          <w:sz w:val="20"/>
          <w:szCs w:val="20"/>
        </w:rPr>
        <w:t xml:space="preserve">to </w:t>
      </w:r>
      <w:r w:rsidR="00320751" w:rsidRPr="00511CD3">
        <w:rPr>
          <w:rFonts w:ascii="Cambria" w:hAnsi="Cambria" w:cs="Calibri"/>
          <w:sz w:val="20"/>
          <w:szCs w:val="20"/>
        </w:rPr>
        <w:t>i</w:t>
      </w:r>
      <w:r w:rsidR="001F4068" w:rsidRPr="00511CD3">
        <w:rPr>
          <w:rFonts w:ascii="Cambria" w:hAnsi="Cambria" w:cs="Calibri"/>
          <w:sz w:val="20"/>
          <w:szCs w:val="20"/>
        </w:rPr>
        <w:t>denti</w:t>
      </w:r>
      <w:r w:rsidR="00320751" w:rsidRPr="00511CD3">
        <w:rPr>
          <w:rFonts w:ascii="Cambria" w:hAnsi="Cambria" w:cs="Calibri"/>
          <w:sz w:val="20"/>
          <w:szCs w:val="20"/>
        </w:rPr>
        <w:t>t</w:t>
      </w:r>
      <w:r w:rsidR="001F4068" w:rsidRPr="00511CD3">
        <w:rPr>
          <w:rFonts w:ascii="Cambria" w:hAnsi="Cambria" w:cs="Calibri"/>
          <w:sz w:val="20"/>
          <w:szCs w:val="20"/>
        </w:rPr>
        <w:t xml:space="preserve">y of the child </w:t>
      </w:r>
      <w:r w:rsidR="00F1022F" w:rsidRPr="00511CD3">
        <w:rPr>
          <w:rFonts w:ascii="Cambria" w:hAnsi="Cambria" w:cs="Calibri"/>
          <w:sz w:val="20"/>
          <w:szCs w:val="20"/>
        </w:rPr>
        <w:t>Mariano</w:t>
      </w:r>
      <w:r w:rsidR="00B10F4D" w:rsidRPr="00511CD3">
        <w:rPr>
          <w:rFonts w:ascii="Cambria" w:hAnsi="Cambria" w:cs="Calibri"/>
          <w:sz w:val="20"/>
          <w:szCs w:val="20"/>
        </w:rPr>
        <w:t xml:space="preserve"> and </w:t>
      </w:r>
      <w:r w:rsidR="001F4068" w:rsidRPr="00511CD3">
        <w:rPr>
          <w:rFonts w:ascii="Cambria" w:hAnsi="Cambria" w:cs="Calibri"/>
          <w:sz w:val="20"/>
          <w:szCs w:val="20"/>
        </w:rPr>
        <w:t>his biological mother.</w:t>
      </w:r>
      <w:r w:rsidR="00F1022F" w:rsidRPr="00511CD3">
        <w:rPr>
          <w:rFonts w:ascii="Cambria" w:hAnsi="Cambria" w:cs="Calibri"/>
          <w:sz w:val="20"/>
          <w:szCs w:val="20"/>
        </w:rPr>
        <w:t xml:space="preserve"> </w:t>
      </w:r>
      <w:r w:rsidR="001F4068" w:rsidRPr="00511CD3">
        <w:rPr>
          <w:rFonts w:ascii="Cambria" w:hAnsi="Cambria" w:cs="Calibri"/>
          <w:sz w:val="20"/>
          <w:szCs w:val="20"/>
        </w:rPr>
        <w:t xml:space="preserve"> I</w:t>
      </w:r>
      <w:r w:rsidR="00F1022F" w:rsidRPr="00511CD3">
        <w:rPr>
          <w:rFonts w:ascii="Cambria" w:hAnsi="Cambria" w:cs="Calibri"/>
          <w:sz w:val="20"/>
          <w:szCs w:val="20"/>
        </w:rPr>
        <w:t xml:space="preserve">n particular, </w:t>
      </w:r>
      <w:r w:rsidR="00584DE7" w:rsidRPr="00511CD3">
        <w:rPr>
          <w:rFonts w:ascii="Cambria" w:hAnsi="Cambria" w:cs="Calibri"/>
          <w:sz w:val="20"/>
          <w:szCs w:val="20"/>
        </w:rPr>
        <w:t xml:space="preserve">to </w:t>
      </w:r>
      <w:r w:rsidR="00320751" w:rsidRPr="00511CD3">
        <w:rPr>
          <w:rFonts w:ascii="Cambria" w:hAnsi="Cambria" w:cs="Calibri"/>
          <w:sz w:val="20"/>
          <w:szCs w:val="20"/>
        </w:rPr>
        <w:t xml:space="preserve">enable </w:t>
      </w:r>
      <w:r w:rsidR="001F4068" w:rsidRPr="00511CD3">
        <w:rPr>
          <w:rFonts w:ascii="Cambria" w:hAnsi="Cambria" w:cs="Calibri"/>
          <w:sz w:val="20"/>
          <w:szCs w:val="20"/>
        </w:rPr>
        <w:t xml:space="preserve">the child to maintain ties with his mother, with support </w:t>
      </w:r>
      <w:r w:rsidR="00BC443F" w:rsidRPr="00511CD3">
        <w:rPr>
          <w:rFonts w:ascii="Cambria" w:hAnsi="Cambria" w:cs="Calibri"/>
          <w:sz w:val="20"/>
          <w:szCs w:val="20"/>
        </w:rPr>
        <w:t xml:space="preserve">from </w:t>
      </w:r>
      <w:r w:rsidR="001F4068" w:rsidRPr="00511CD3">
        <w:rPr>
          <w:rFonts w:ascii="Cambria" w:hAnsi="Cambria" w:cs="Calibri"/>
          <w:sz w:val="20"/>
          <w:szCs w:val="20"/>
        </w:rPr>
        <w:t xml:space="preserve">appropriate professional personnel, who </w:t>
      </w:r>
      <w:r w:rsidR="00584DE7" w:rsidRPr="00511CD3">
        <w:rPr>
          <w:rFonts w:ascii="Cambria" w:hAnsi="Cambria" w:cs="Calibri"/>
          <w:sz w:val="20"/>
          <w:szCs w:val="20"/>
        </w:rPr>
        <w:t xml:space="preserve">are to </w:t>
      </w:r>
      <w:r w:rsidR="001F4068" w:rsidRPr="00511CD3">
        <w:rPr>
          <w:rFonts w:ascii="Cambria" w:hAnsi="Cambria" w:cs="Calibri"/>
          <w:sz w:val="20"/>
          <w:szCs w:val="20"/>
        </w:rPr>
        <w:t>monitor the special circumstances of the situation, in accordance with the applicable international standards in this area</w:t>
      </w:r>
      <w:r w:rsidR="00F1022F" w:rsidRPr="00511CD3">
        <w:rPr>
          <w:rFonts w:ascii="Cambria" w:hAnsi="Cambria" w:cs="Calibri"/>
          <w:sz w:val="20"/>
          <w:szCs w:val="20"/>
        </w:rPr>
        <w:t>;</w:t>
      </w:r>
      <w:r w:rsidR="00B10F4D" w:rsidRPr="00511CD3">
        <w:rPr>
          <w:rFonts w:ascii="Cambria" w:hAnsi="Cambria" w:cs="Calibri"/>
          <w:sz w:val="20"/>
          <w:szCs w:val="20"/>
        </w:rPr>
        <w:t xml:space="preserve"> and </w:t>
      </w:r>
      <w:r w:rsidR="001F4068" w:rsidRPr="00511CD3">
        <w:rPr>
          <w:rFonts w:ascii="Cambria" w:hAnsi="Cambria" w:cs="Calibri"/>
          <w:sz w:val="20"/>
          <w:szCs w:val="20"/>
        </w:rPr>
        <w:t>(b</w:t>
      </w:r>
      <w:r w:rsidR="00F1022F" w:rsidRPr="00511CD3">
        <w:rPr>
          <w:rFonts w:ascii="Cambria" w:hAnsi="Cambria" w:cs="Calibri"/>
          <w:sz w:val="20"/>
          <w:szCs w:val="20"/>
        </w:rPr>
        <w:t xml:space="preserve">) </w:t>
      </w:r>
      <w:r w:rsidR="001F4068" w:rsidRPr="00511CD3">
        <w:rPr>
          <w:rFonts w:ascii="Cambria" w:hAnsi="Cambria" w:cs="Calibri"/>
          <w:sz w:val="20"/>
          <w:szCs w:val="20"/>
        </w:rPr>
        <w:t xml:space="preserve">ensure that the rights of </w:t>
      </w:r>
      <w:r w:rsidR="00F1022F" w:rsidRPr="00511CD3">
        <w:rPr>
          <w:rFonts w:ascii="Cambria" w:hAnsi="Cambria" w:cs="Calibri"/>
          <w:sz w:val="20"/>
          <w:szCs w:val="20"/>
        </w:rPr>
        <w:t xml:space="preserve">María </w:t>
      </w:r>
      <w:r w:rsidR="001F4068" w:rsidRPr="00511CD3">
        <w:rPr>
          <w:rFonts w:ascii="Cambria" w:hAnsi="Cambria" w:cs="Calibri"/>
          <w:sz w:val="20"/>
          <w:szCs w:val="20"/>
        </w:rPr>
        <w:t xml:space="preserve">are duly represented and guaranteed in all decisions of the judicial </w:t>
      </w:r>
      <w:r w:rsidR="00320751" w:rsidRPr="00511CD3">
        <w:rPr>
          <w:rFonts w:ascii="Cambria" w:hAnsi="Cambria" w:cs="Calibri"/>
          <w:sz w:val="20"/>
          <w:szCs w:val="20"/>
        </w:rPr>
        <w:t>proceeding</w:t>
      </w:r>
      <w:r w:rsidR="001F4068" w:rsidRPr="00511CD3">
        <w:rPr>
          <w:rFonts w:ascii="Cambria" w:hAnsi="Cambria" w:cs="Calibri"/>
          <w:sz w:val="20"/>
          <w:szCs w:val="20"/>
        </w:rPr>
        <w:t xml:space="preserve">s </w:t>
      </w:r>
      <w:r w:rsidR="001F4068" w:rsidRPr="00511CD3">
        <w:rPr>
          <w:rFonts w:ascii="Cambria" w:hAnsi="Cambria" w:cs="Calibri"/>
          <w:sz w:val="20"/>
          <w:szCs w:val="20"/>
        </w:rPr>
        <w:lastRenderedPageBreak/>
        <w:t xml:space="preserve">now under way, including </w:t>
      </w:r>
      <w:r w:rsidR="00BC443F" w:rsidRPr="00511CD3">
        <w:rPr>
          <w:rFonts w:ascii="Cambria" w:hAnsi="Cambria" w:cs="Calibri"/>
          <w:sz w:val="20"/>
          <w:szCs w:val="20"/>
        </w:rPr>
        <w:t xml:space="preserve">her </w:t>
      </w:r>
      <w:r w:rsidR="001F4068" w:rsidRPr="00511CD3">
        <w:rPr>
          <w:rFonts w:ascii="Cambria" w:hAnsi="Cambria" w:cs="Calibri"/>
          <w:sz w:val="20"/>
          <w:szCs w:val="20"/>
        </w:rPr>
        <w:t xml:space="preserve">right to be informed and to participate in </w:t>
      </w:r>
      <w:r w:rsidR="003C4C9F" w:rsidRPr="00511CD3">
        <w:rPr>
          <w:rFonts w:ascii="Cambria" w:hAnsi="Cambria" w:cs="Calibri"/>
          <w:sz w:val="20"/>
          <w:szCs w:val="20"/>
        </w:rPr>
        <w:t>all</w:t>
      </w:r>
      <w:r w:rsidR="001F4068" w:rsidRPr="00511CD3">
        <w:rPr>
          <w:rFonts w:ascii="Cambria" w:hAnsi="Cambria" w:cs="Calibri"/>
          <w:sz w:val="20"/>
          <w:szCs w:val="20"/>
        </w:rPr>
        <w:t xml:space="preserve"> decisions that may </w:t>
      </w:r>
      <w:r w:rsidR="00BC443F" w:rsidRPr="00511CD3">
        <w:rPr>
          <w:rFonts w:ascii="Cambria" w:hAnsi="Cambria" w:cs="Calibri"/>
          <w:sz w:val="20"/>
          <w:szCs w:val="20"/>
        </w:rPr>
        <w:t>affect</w:t>
      </w:r>
      <w:r w:rsidR="001F4068" w:rsidRPr="00511CD3">
        <w:rPr>
          <w:rFonts w:ascii="Cambria" w:hAnsi="Cambria" w:cs="Calibri"/>
          <w:sz w:val="20"/>
          <w:szCs w:val="20"/>
        </w:rPr>
        <w:t xml:space="preserve"> her rights as a mother, </w:t>
      </w:r>
      <w:r w:rsidR="00BC443F" w:rsidRPr="00511CD3">
        <w:rPr>
          <w:rFonts w:ascii="Cambria" w:hAnsi="Cambria" w:cs="Calibri"/>
          <w:sz w:val="20"/>
          <w:szCs w:val="20"/>
        </w:rPr>
        <w:t xml:space="preserve">given </w:t>
      </w:r>
      <w:r w:rsidR="001F4068" w:rsidRPr="00511CD3">
        <w:rPr>
          <w:rFonts w:ascii="Cambria" w:hAnsi="Cambria" w:cs="Calibri"/>
          <w:sz w:val="20"/>
          <w:szCs w:val="20"/>
        </w:rPr>
        <w:t>her age and maturity, through the support of specialized technical personnel.</w:t>
      </w:r>
      <w:r w:rsidR="0068325B" w:rsidRPr="00511CD3">
        <w:rPr>
          <w:rStyle w:val="FootnoteReference"/>
          <w:rFonts w:ascii="Cambria" w:hAnsi="Cambria" w:cs="Calibri"/>
          <w:sz w:val="20"/>
          <w:szCs w:val="20"/>
        </w:rPr>
        <w:footnoteReference w:id="53"/>
      </w:r>
      <w:r w:rsidR="00F1022F" w:rsidRPr="00511CD3">
        <w:rPr>
          <w:rFonts w:ascii="Cambria" w:hAnsi="Cambria" w:cs="Calibri"/>
          <w:sz w:val="20"/>
          <w:szCs w:val="20"/>
        </w:rPr>
        <w:t xml:space="preserve"> </w:t>
      </w:r>
    </w:p>
    <w:p w14:paraId="2E4F11DD" w14:textId="77777777" w:rsidR="00960A18" w:rsidRPr="00511CD3" w:rsidRDefault="00960A18" w:rsidP="008429F6">
      <w:pPr>
        <w:pStyle w:val="NormalWeb"/>
        <w:tabs>
          <w:tab w:val="left" w:pos="567"/>
        </w:tabs>
        <w:spacing w:before="0" w:beforeAutospacing="0" w:after="0" w:afterAutospacing="0"/>
        <w:jc w:val="both"/>
        <w:rPr>
          <w:rFonts w:ascii="Cambria" w:hAnsi="Cambria"/>
          <w:sz w:val="20"/>
          <w:szCs w:val="20"/>
        </w:rPr>
      </w:pPr>
    </w:p>
    <w:p w14:paraId="2A6D1790" w14:textId="77777777" w:rsidR="00D10D56" w:rsidRPr="00511CD3" w:rsidRDefault="00320751"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Based on the</w:t>
      </w:r>
      <w:r w:rsidR="007055F8" w:rsidRPr="00511CD3">
        <w:rPr>
          <w:rFonts w:ascii="Cambria" w:hAnsi="Cambria"/>
          <w:sz w:val="20"/>
          <w:szCs w:val="20"/>
        </w:rPr>
        <w:t xml:space="preserve"> consensus</w:t>
      </w:r>
      <w:r w:rsidRPr="00511CD3">
        <w:rPr>
          <w:rFonts w:ascii="Cambria" w:hAnsi="Cambria"/>
          <w:sz w:val="20"/>
          <w:szCs w:val="20"/>
        </w:rPr>
        <w:t xml:space="preserve"> </w:t>
      </w:r>
      <w:r w:rsidR="007055F8" w:rsidRPr="00511CD3">
        <w:rPr>
          <w:rFonts w:ascii="Cambria" w:hAnsi="Cambria"/>
          <w:sz w:val="20"/>
          <w:szCs w:val="20"/>
        </w:rPr>
        <w:t xml:space="preserve">reached among </w:t>
      </w:r>
      <w:r w:rsidRPr="00511CD3">
        <w:rPr>
          <w:rFonts w:ascii="Cambria" w:hAnsi="Cambria"/>
          <w:sz w:val="20"/>
          <w:szCs w:val="20"/>
        </w:rPr>
        <w:t xml:space="preserve">the parties at the hearing of </w:t>
      </w:r>
      <w:r w:rsidR="00B10F4D" w:rsidRPr="00511CD3">
        <w:rPr>
          <w:rFonts w:ascii="Cambria" w:hAnsi="Cambria"/>
          <w:sz w:val="20"/>
          <w:szCs w:val="20"/>
        </w:rPr>
        <w:t>April</w:t>
      </w:r>
      <w:r w:rsidR="007D0AD2" w:rsidRPr="00511CD3">
        <w:rPr>
          <w:rFonts w:ascii="Cambria" w:hAnsi="Cambria"/>
          <w:sz w:val="20"/>
          <w:szCs w:val="20"/>
        </w:rPr>
        <w:t xml:space="preserve"> </w:t>
      </w:r>
      <w:r w:rsidRPr="00511CD3">
        <w:rPr>
          <w:rFonts w:ascii="Cambria" w:hAnsi="Cambria"/>
          <w:sz w:val="20"/>
          <w:szCs w:val="20"/>
        </w:rPr>
        <w:t xml:space="preserve">1, </w:t>
      </w:r>
      <w:r w:rsidR="007D0AD2" w:rsidRPr="00511CD3">
        <w:rPr>
          <w:rFonts w:ascii="Cambria" w:hAnsi="Cambria"/>
          <w:sz w:val="20"/>
          <w:szCs w:val="20"/>
        </w:rPr>
        <w:t>2016</w:t>
      </w:r>
      <w:r w:rsidRPr="00511CD3">
        <w:rPr>
          <w:rFonts w:ascii="Cambria" w:hAnsi="Cambria"/>
          <w:sz w:val="20"/>
          <w:szCs w:val="20"/>
        </w:rPr>
        <w:t>,</w:t>
      </w:r>
      <w:r w:rsidR="00E61644" w:rsidRPr="00511CD3">
        <w:rPr>
          <w:rFonts w:ascii="Cambria" w:hAnsi="Cambria"/>
          <w:sz w:val="20"/>
          <w:szCs w:val="20"/>
        </w:rPr>
        <w:t xml:space="preserve"> </w:t>
      </w:r>
      <w:r w:rsidR="00B10F4D" w:rsidRPr="00511CD3">
        <w:rPr>
          <w:rFonts w:ascii="Cambria" w:hAnsi="Cambria"/>
          <w:sz w:val="20"/>
          <w:szCs w:val="20"/>
        </w:rPr>
        <w:t xml:space="preserve">and </w:t>
      </w:r>
      <w:r w:rsidRPr="00511CD3">
        <w:rPr>
          <w:rFonts w:ascii="Cambria" w:hAnsi="Cambria"/>
          <w:sz w:val="20"/>
          <w:szCs w:val="20"/>
        </w:rPr>
        <w:t xml:space="preserve">as provided by the </w:t>
      </w:r>
      <w:r w:rsidR="00B10F4D" w:rsidRPr="00511CD3">
        <w:rPr>
          <w:rFonts w:ascii="Cambria" w:hAnsi="Cambria"/>
          <w:sz w:val="20"/>
          <w:szCs w:val="20"/>
        </w:rPr>
        <w:t>IACHR</w:t>
      </w:r>
      <w:r w:rsidR="007D0AD2" w:rsidRPr="00511CD3">
        <w:rPr>
          <w:rFonts w:ascii="Cambria" w:hAnsi="Cambria"/>
          <w:sz w:val="20"/>
          <w:szCs w:val="20"/>
        </w:rPr>
        <w:t xml:space="preserve"> </w:t>
      </w:r>
      <w:r w:rsidRPr="00511CD3">
        <w:rPr>
          <w:rFonts w:ascii="Cambria" w:hAnsi="Cambria"/>
          <w:sz w:val="20"/>
          <w:szCs w:val="20"/>
        </w:rPr>
        <w:t>in precautionary measure</w:t>
      </w:r>
      <w:r w:rsidR="007D0AD2" w:rsidRPr="00511CD3">
        <w:rPr>
          <w:rFonts w:ascii="Cambria" w:hAnsi="Cambria"/>
          <w:sz w:val="20"/>
          <w:szCs w:val="20"/>
        </w:rPr>
        <w:t xml:space="preserve"> 540-15, “</w:t>
      </w:r>
      <w:r w:rsidR="00D10D56" w:rsidRPr="00511CD3">
        <w:rPr>
          <w:rFonts w:ascii="Cambria" w:hAnsi="Cambria"/>
          <w:sz w:val="20"/>
          <w:szCs w:val="20"/>
        </w:rPr>
        <w:t>María</w:t>
      </w:r>
      <w:r w:rsidR="007D0AD2"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 xml:space="preserve">her son participated in three meetings.  </w:t>
      </w:r>
      <w:r w:rsidR="0068325B" w:rsidRPr="00511CD3">
        <w:rPr>
          <w:rFonts w:ascii="Cambria" w:hAnsi="Cambria"/>
          <w:sz w:val="20"/>
          <w:szCs w:val="20"/>
        </w:rPr>
        <w:t>“María</w:t>
      </w:r>
      <w:r w:rsidRPr="00511CD3">
        <w:rPr>
          <w:rFonts w:ascii="Cambria" w:hAnsi="Cambria"/>
          <w:sz w:val="20"/>
          <w:szCs w:val="20"/>
        </w:rPr>
        <w:t xml:space="preserve">’s” attorney contended in a </w:t>
      </w:r>
      <w:r w:rsidR="00584DE7" w:rsidRPr="00511CD3">
        <w:rPr>
          <w:rFonts w:ascii="Cambria" w:hAnsi="Cambria"/>
          <w:sz w:val="20"/>
          <w:szCs w:val="20"/>
        </w:rPr>
        <w:t>brief</w:t>
      </w:r>
      <w:r w:rsidRPr="00511CD3">
        <w:rPr>
          <w:rFonts w:ascii="Cambria" w:hAnsi="Cambria"/>
          <w:sz w:val="20"/>
          <w:szCs w:val="20"/>
        </w:rPr>
        <w:t xml:space="preserve"> received by the court on </w:t>
      </w:r>
      <w:r w:rsidR="00B10F4D" w:rsidRPr="00511CD3">
        <w:rPr>
          <w:rFonts w:ascii="Cambria" w:hAnsi="Cambria"/>
          <w:sz w:val="20"/>
          <w:szCs w:val="20"/>
        </w:rPr>
        <w:t>April</w:t>
      </w:r>
      <w:r w:rsidR="0068325B" w:rsidRPr="00511CD3">
        <w:rPr>
          <w:rFonts w:ascii="Cambria" w:hAnsi="Cambria"/>
          <w:sz w:val="20"/>
          <w:szCs w:val="20"/>
        </w:rPr>
        <w:t xml:space="preserve"> </w:t>
      </w:r>
      <w:r w:rsidRPr="00511CD3">
        <w:rPr>
          <w:rFonts w:ascii="Cambria" w:hAnsi="Cambria"/>
          <w:sz w:val="20"/>
          <w:szCs w:val="20"/>
        </w:rPr>
        <w:t>26, 2</w:t>
      </w:r>
      <w:r w:rsidR="0068325B" w:rsidRPr="00511CD3">
        <w:rPr>
          <w:rFonts w:ascii="Cambria" w:hAnsi="Cambria"/>
          <w:sz w:val="20"/>
          <w:szCs w:val="20"/>
        </w:rPr>
        <w:t>016</w:t>
      </w:r>
      <w:r w:rsidRPr="00511CD3">
        <w:rPr>
          <w:rFonts w:ascii="Cambria" w:hAnsi="Cambria"/>
          <w:sz w:val="20"/>
          <w:szCs w:val="20"/>
        </w:rPr>
        <w:t xml:space="preserve">, that the third meeting was negative for </w:t>
      </w:r>
      <w:r w:rsidR="0068325B" w:rsidRPr="00511CD3">
        <w:rPr>
          <w:rFonts w:ascii="Cambria" w:hAnsi="Cambria"/>
          <w:sz w:val="20"/>
          <w:szCs w:val="20"/>
        </w:rPr>
        <w:t xml:space="preserve">“María” </w:t>
      </w:r>
      <w:r w:rsidRPr="00511CD3">
        <w:rPr>
          <w:rFonts w:ascii="Cambria" w:hAnsi="Cambria"/>
          <w:sz w:val="20"/>
          <w:szCs w:val="20"/>
        </w:rPr>
        <w:t xml:space="preserve">owing to the hostile environment in which it took place and the presence at the venue of </w:t>
      </w:r>
      <w:r w:rsidR="0068325B" w:rsidRPr="00511CD3">
        <w:rPr>
          <w:rFonts w:ascii="Cambria" w:hAnsi="Cambria"/>
          <w:sz w:val="20"/>
          <w:szCs w:val="20"/>
        </w:rPr>
        <w:t>“Mariano</w:t>
      </w:r>
      <w:r w:rsidRPr="00511CD3">
        <w:rPr>
          <w:rFonts w:ascii="Cambria" w:hAnsi="Cambria"/>
          <w:sz w:val="20"/>
          <w:szCs w:val="20"/>
        </w:rPr>
        <w:t>’s</w:t>
      </w:r>
      <w:r w:rsidR="0068325B" w:rsidRPr="00511CD3">
        <w:rPr>
          <w:rFonts w:ascii="Cambria" w:hAnsi="Cambria"/>
          <w:sz w:val="20"/>
          <w:szCs w:val="20"/>
        </w:rPr>
        <w:t>”</w:t>
      </w:r>
      <w:r w:rsidRPr="00511CD3">
        <w:rPr>
          <w:rFonts w:ascii="Cambria" w:hAnsi="Cambria"/>
          <w:sz w:val="20"/>
          <w:szCs w:val="20"/>
        </w:rPr>
        <w:t xml:space="preserve"> </w:t>
      </w:r>
      <w:r w:rsidR="007055F8" w:rsidRPr="00511CD3">
        <w:rPr>
          <w:rFonts w:ascii="Cambria" w:hAnsi="Cambria"/>
          <w:sz w:val="20"/>
          <w:szCs w:val="20"/>
        </w:rPr>
        <w:t xml:space="preserve">[female] custodian </w:t>
      </w:r>
      <w:r w:rsidR="00B10F4D" w:rsidRPr="00511CD3">
        <w:rPr>
          <w:rFonts w:ascii="Cambria" w:hAnsi="Cambria"/>
          <w:sz w:val="20"/>
          <w:szCs w:val="20"/>
        </w:rPr>
        <w:t xml:space="preserve">and </w:t>
      </w:r>
      <w:r w:rsidRPr="00511CD3">
        <w:rPr>
          <w:rFonts w:ascii="Cambria" w:hAnsi="Cambria"/>
          <w:sz w:val="20"/>
          <w:szCs w:val="20"/>
        </w:rPr>
        <w:t xml:space="preserve">of a psychiatrist who had participated in the hearing of </w:t>
      </w:r>
      <w:r w:rsidR="00B10F4D" w:rsidRPr="00511CD3">
        <w:rPr>
          <w:rFonts w:ascii="Cambria" w:hAnsi="Cambria"/>
          <w:sz w:val="20"/>
          <w:szCs w:val="20"/>
        </w:rPr>
        <w:t>March</w:t>
      </w:r>
      <w:r w:rsidR="0068325B" w:rsidRPr="00511CD3">
        <w:rPr>
          <w:rFonts w:ascii="Cambria" w:hAnsi="Cambria"/>
          <w:sz w:val="20"/>
          <w:szCs w:val="20"/>
        </w:rPr>
        <w:t xml:space="preserve"> </w:t>
      </w:r>
      <w:r w:rsidRPr="00511CD3">
        <w:rPr>
          <w:rFonts w:ascii="Cambria" w:hAnsi="Cambria"/>
          <w:sz w:val="20"/>
          <w:szCs w:val="20"/>
        </w:rPr>
        <w:t xml:space="preserve">2, </w:t>
      </w:r>
      <w:r w:rsidR="0068325B" w:rsidRPr="00511CD3">
        <w:rPr>
          <w:rFonts w:ascii="Cambria" w:hAnsi="Cambria"/>
          <w:sz w:val="20"/>
          <w:szCs w:val="20"/>
        </w:rPr>
        <w:t>2015</w:t>
      </w:r>
      <w:r w:rsidRPr="00511CD3">
        <w:rPr>
          <w:rFonts w:ascii="Cambria" w:hAnsi="Cambria"/>
          <w:sz w:val="20"/>
          <w:szCs w:val="20"/>
        </w:rPr>
        <w:t>, at which</w:t>
      </w:r>
      <w:r w:rsidR="0068325B" w:rsidRPr="00511CD3">
        <w:rPr>
          <w:rFonts w:ascii="Cambria" w:hAnsi="Cambria"/>
          <w:sz w:val="20"/>
          <w:szCs w:val="20"/>
        </w:rPr>
        <w:t xml:space="preserve"> “María” </w:t>
      </w:r>
      <w:r w:rsidRPr="00511CD3">
        <w:rPr>
          <w:rFonts w:ascii="Cambria" w:hAnsi="Cambria"/>
          <w:sz w:val="20"/>
          <w:szCs w:val="20"/>
        </w:rPr>
        <w:t>had had a nervous breakdown.</w:t>
      </w:r>
      <w:r w:rsidR="0068325B" w:rsidRPr="00511CD3">
        <w:rPr>
          <w:rStyle w:val="FootnoteReference"/>
          <w:rFonts w:ascii="Cambria" w:hAnsi="Cambria"/>
          <w:sz w:val="20"/>
          <w:szCs w:val="20"/>
        </w:rPr>
        <w:footnoteReference w:id="54"/>
      </w:r>
    </w:p>
    <w:p w14:paraId="362DC5B5" w14:textId="77777777" w:rsidR="00D10D56" w:rsidRPr="00511CD3" w:rsidRDefault="00D10D56" w:rsidP="008429F6">
      <w:pPr>
        <w:tabs>
          <w:tab w:val="left" w:pos="567"/>
        </w:tabs>
        <w:rPr>
          <w:rFonts w:ascii="Cambria" w:hAnsi="Cambria"/>
          <w:sz w:val="20"/>
          <w:szCs w:val="20"/>
        </w:rPr>
      </w:pPr>
    </w:p>
    <w:p w14:paraId="150674CB" w14:textId="77777777" w:rsidR="00D10D56" w:rsidRPr="00511CD3" w:rsidRDefault="00CF7F5A"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The information on the file shows that </w:t>
      </w:r>
      <w:r w:rsidR="00D10D56" w:rsidRPr="00511CD3">
        <w:rPr>
          <w:rFonts w:ascii="Cambria" w:hAnsi="Cambria"/>
          <w:sz w:val="20"/>
          <w:szCs w:val="20"/>
        </w:rPr>
        <w:t>“María</w:t>
      </w:r>
      <w:r w:rsidRPr="00511CD3">
        <w:rPr>
          <w:rFonts w:ascii="Cambria" w:hAnsi="Cambria"/>
          <w:sz w:val="20"/>
          <w:szCs w:val="20"/>
        </w:rPr>
        <w:t>’s” meeting</w:t>
      </w:r>
      <w:r w:rsidR="00084E0B" w:rsidRPr="00511CD3">
        <w:rPr>
          <w:rFonts w:ascii="Cambria" w:hAnsi="Cambria"/>
          <w:sz w:val="20"/>
          <w:szCs w:val="20"/>
        </w:rPr>
        <w:t>s</w:t>
      </w:r>
      <w:r w:rsidRPr="00511CD3">
        <w:rPr>
          <w:rFonts w:ascii="Cambria" w:hAnsi="Cambria"/>
          <w:sz w:val="20"/>
          <w:szCs w:val="20"/>
        </w:rPr>
        <w:t xml:space="preserve"> with her son </w:t>
      </w:r>
      <w:r w:rsidR="00F44C1F" w:rsidRPr="00511CD3">
        <w:rPr>
          <w:rFonts w:ascii="Cambria" w:hAnsi="Cambria"/>
          <w:sz w:val="20"/>
          <w:szCs w:val="20"/>
        </w:rPr>
        <w:t>proceeded</w:t>
      </w:r>
      <w:r w:rsidRPr="00511CD3">
        <w:rPr>
          <w:rFonts w:ascii="Cambria" w:hAnsi="Cambria"/>
          <w:sz w:val="20"/>
          <w:szCs w:val="20"/>
        </w:rPr>
        <w:t xml:space="preserve"> at irregular interval</w:t>
      </w:r>
      <w:r w:rsidR="00D10D56" w:rsidRPr="00511CD3">
        <w:rPr>
          <w:rFonts w:ascii="Cambria" w:hAnsi="Cambria"/>
          <w:sz w:val="20"/>
          <w:szCs w:val="20"/>
        </w:rPr>
        <w:t>s</w:t>
      </w:r>
      <w:r w:rsidR="00B10F4D" w:rsidRPr="00511CD3">
        <w:rPr>
          <w:rFonts w:ascii="Cambria" w:hAnsi="Cambria"/>
          <w:sz w:val="20"/>
          <w:szCs w:val="20"/>
        </w:rPr>
        <w:t xml:space="preserve"> and </w:t>
      </w:r>
      <w:r w:rsidRPr="00511CD3">
        <w:rPr>
          <w:rFonts w:ascii="Cambria" w:hAnsi="Cambria"/>
          <w:sz w:val="20"/>
          <w:szCs w:val="20"/>
        </w:rPr>
        <w:t xml:space="preserve">that they were not without difficulties.  For example, in a document dated </w:t>
      </w:r>
      <w:r w:rsidR="00B10F4D" w:rsidRPr="00511CD3">
        <w:rPr>
          <w:rFonts w:ascii="Cambria" w:hAnsi="Cambria"/>
          <w:sz w:val="20"/>
          <w:szCs w:val="20"/>
        </w:rPr>
        <w:t>November</w:t>
      </w:r>
      <w:r w:rsidR="00D10D56" w:rsidRPr="00511CD3">
        <w:rPr>
          <w:rFonts w:ascii="Cambria" w:hAnsi="Cambria"/>
          <w:sz w:val="20"/>
          <w:szCs w:val="20"/>
        </w:rPr>
        <w:t xml:space="preserve"> </w:t>
      </w:r>
      <w:r w:rsidRPr="00511CD3">
        <w:rPr>
          <w:rFonts w:ascii="Cambria" w:hAnsi="Cambria"/>
          <w:sz w:val="20"/>
          <w:szCs w:val="20"/>
        </w:rPr>
        <w:t xml:space="preserve">14, </w:t>
      </w:r>
      <w:r w:rsidR="00D10D56" w:rsidRPr="00511CD3">
        <w:rPr>
          <w:rFonts w:ascii="Cambria" w:hAnsi="Cambria"/>
          <w:sz w:val="20"/>
          <w:szCs w:val="20"/>
        </w:rPr>
        <w:t xml:space="preserve">2016, </w:t>
      </w:r>
      <w:r w:rsidRPr="00511CD3">
        <w:rPr>
          <w:rFonts w:ascii="Cambria" w:hAnsi="Cambria"/>
          <w:sz w:val="20"/>
          <w:szCs w:val="20"/>
        </w:rPr>
        <w:t xml:space="preserve">Civil Defender No. </w:t>
      </w:r>
      <w:r w:rsidR="00D10D56" w:rsidRPr="00511CD3">
        <w:rPr>
          <w:rFonts w:ascii="Cambria" w:hAnsi="Cambria"/>
          <w:sz w:val="20"/>
          <w:szCs w:val="20"/>
        </w:rPr>
        <w:t xml:space="preserve">1 </w:t>
      </w:r>
      <w:r w:rsidRPr="00511CD3">
        <w:rPr>
          <w:rFonts w:ascii="Cambria" w:hAnsi="Cambria"/>
          <w:sz w:val="20"/>
          <w:szCs w:val="20"/>
        </w:rPr>
        <w:t xml:space="preserve">informed the court that </w:t>
      </w:r>
      <w:r w:rsidR="00D10D56" w:rsidRPr="00511CD3">
        <w:rPr>
          <w:rFonts w:ascii="Cambria" w:hAnsi="Cambria"/>
          <w:sz w:val="20"/>
          <w:szCs w:val="20"/>
        </w:rPr>
        <w:t>“</w:t>
      </w:r>
      <w:r w:rsidR="007406BE" w:rsidRPr="00511CD3">
        <w:rPr>
          <w:rFonts w:ascii="Cambria" w:hAnsi="Cambria"/>
          <w:sz w:val="20"/>
          <w:szCs w:val="20"/>
        </w:rPr>
        <w:t>María</w:t>
      </w:r>
      <w:r w:rsidR="00D10D56" w:rsidRPr="00511CD3">
        <w:rPr>
          <w:rFonts w:ascii="Cambria" w:hAnsi="Cambria"/>
          <w:sz w:val="20"/>
          <w:szCs w:val="20"/>
        </w:rPr>
        <w:t>”</w:t>
      </w:r>
      <w:r w:rsidRPr="00511CD3">
        <w:rPr>
          <w:rFonts w:ascii="Cambria" w:hAnsi="Cambria"/>
          <w:sz w:val="20"/>
          <w:szCs w:val="20"/>
        </w:rPr>
        <w:t xml:space="preserve"> had appeared </w:t>
      </w:r>
      <w:r w:rsidR="00084E0B" w:rsidRPr="00511CD3">
        <w:rPr>
          <w:rFonts w:ascii="Cambria" w:hAnsi="Cambria"/>
          <w:sz w:val="20"/>
          <w:szCs w:val="20"/>
        </w:rPr>
        <w:t xml:space="preserve">on an </w:t>
      </w:r>
      <w:r w:rsidRPr="00511CD3">
        <w:rPr>
          <w:rFonts w:ascii="Cambria" w:hAnsi="Cambria"/>
          <w:sz w:val="20"/>
          <w:szCs w:val="20"/>
        </w:rPr>
        <w:t xml:space="preserve">impromptu </w:t>
      </w:r>
      <w:r w:rsidR="00084E0B" w:rsidRPr="00511CD3">
        <w:rPr>
          <w:rFonts w:ascii="Cambria" w:hAnsi="Cambria"/>
          <w:sz w:val="20"/>
          <w:szCs w:val="20"/>
        </w:rPr>
        <w:t xml:space="preserve">basis </w:t>
      </w:r>
      <w:r w:rsidRPr="00511CD3">
        <w:rPr>
          <w:rFonts w:ascii="Cambria" w:hAnsi="Cambria"/>
          <w:sz w:val="20"/>
          <w:szCs w:val="20"/>
        </w:rPr>
        <w:t>at her office and told her that</w:t>
      </w:r>
      <w:r w:rsidR="00D10D56" w:rsidRPr="00511CD3">
        <w:rPr>
          <w:rFonts w:ascii="Cambria" w:hAnsi="Cambria"/>
          <w:sz w:val="20"/>
          <w:szCs w:val="20"/>
        </w:rPr>
        <w:t xml:space="preserve"> “</w:t>
      </w:r>
      <w:r w:rsidRPr="00511CD3">
        <w:rPr>
          <w:rFonts w:ascii="Cambria" w:hAnsi="Cambria"/>
          <w:sz w:val="20"/>
          <w:szCs w:val="20"/>
        </w:rPr>
        <w:t>I want you to ask her to let me see my son this week because I haven’t seen him for two weeks.  They don’t bring him on Wednesday</w:t>
      </w:r>
      <w:r w:rsidR="007406BE" w:rsidRPr="00511CD3">
        <w:rPr>
          <w:rFonts w:ascii="Cambria" w:hAnsi="Cambria"/>
          <w:sz w:val="20"/>
          <w:szCs w:val="20"/>
        </w:rPr>
        <w:t>s,</w:t>
      </w:r>
      <w:r w:rsidR="00B10F4D" w:rsidRPr="00511CD3">
        <w:rPr>
          <w:rFonts w:ascii="Cambria" w:hAnsi="Cambria"/>
          <w:sz w:val="20"/>
          <w:szCs w:val="20"/>
        </w:rPr>
        <w:t xml:space="preserve"> and </w:t>
      </w:r>
      <w:r w:rsidRPr="00511CD3">
        <w:rPr>
          <w:rFonts w:ascii="Cambria" w:hAnsi="Cambria"/>
          <w:sz w:val="20"/>
          <w:szCs w:val="20"/>
        </w:rPr>
        <w:t>they don’t let me know, the girls do not know why they don</w:t>
      </w:r>
      <w:r w:rsidR="00084E0B" w:rsidRPr="00511CD3">
        <w:rPr>
          <w:rFonts w:ascii="Cambria" w:hAnsi="Cambria"/>
          <w:sz w:val="20"/>
          <w:szCs w:val="20"/>
        </w:rPr>
        <w:t>’t</w:t>
      </w:r>
      <w:r w:rsidRPr="00511CD3">
        <w:rPr>
          <w:rFonts w:ascii="Cambria" w:hAnsi="Cambria"/>
          <w:sz w:val="20"/>
          <w:szCs w:val="20"/>
        </w:rPr>
        <w:t xml:space="preserve"> come.  I miss </w:t>
      </w:r>
      <w:r w:rsidR="00084E0B" w:rsidRPr="00511CD3">
        <w:rPr>
          <w:rFonts w:ascii="Cambria" w:hAnsi="Cambria"/>
          <w:sz w:val="20"/>
          <w:szCs w:val="20"/>
        </w:rPr>
        <w:t>school</w:t>
      </w:r>
      <w:r w:rsidRPr="00511CD3">
        <w:rPr>
          <w:rFonts w:ascii="Cambria" w:hAnsi="Cambria"/>
          <w:sz w:val="20"/>
          <w:szCs w:val="20"/>
        </w:rPr>
        <w:t xml:space="preserve">days but I always am there.  I would also like my mother to be </w:t>
      </w:r>
      <w:r w:rsidR="000308CC" w:rsidRPr="00511CD3">
        <w:rPr>
          <w:rFonts w:ascii="Cambria" w:hAnsi="Cambria"/>
          <w:sz w:val="20"/>
          <w:szCs w:val="20"/>
        </w:rPr>
        <w:t>a</w:t>
      </w:r>
      <w:r w:rsidRPr="00511CD3">
        <w:rPr>
          <w:rFonts w:ascii="Cambria" w:hAnsi="Cambria"/>
          <w:sz w:val="20"/>
          <w:szCs w:val="20"/>
        </w:rPr>
        <w:t>t these meetings, sometimes.</w:t>
      </w:r>
      <w:r w:rsidR="007406BE" w:rsidRPr="00511CD3">
        <w:rPr>
          <w:rFonts w:ascii="Cambria" w:hAnsi="Cambria"/>
          <w:sz w:val="20"/>
          <w:szCs w:val="20"/>
        </w:rPr>
        <w:t>”</w:t>
      </w:r>
      <w:r w:rsidR="007406BE" w:rsidRPr="00511CD3">
        <w:rPr>
          <w:rStyle w:val="FootnoteReference"/>
          <w:rFonts w:ascii="Cambria" w:hAnsi="Cambria"/>
          <w:sz w:val="20"/>
          <w:szCs w:val="20"/>
        </w:rPr>
        <w:footnoteReference w:id="55"/>
      </w:r>
    </w:p>
    <w:p w14:paraId="33BB4087" w14:textId="77777777" w:rsidR="0068325B" w:rsidRPr="00511CD3" w:rsidRDefault="0068325B" w:rsidP="008429F6">
      <w:pPr>
        <w:pStyle w:val="ListParagraph"/>
        <w:numPr>
          <w:ilvl w:val="0"/>
          <w:numId w:val="0"/>
        </w:numPr>
      </w:pPr>
    </w:p>
    <w:p w14:paraId="31A73809" w14:textId="77777777" w:rsidR="0037205C" w:rsidRPr="00511CD3" w:rsidRDefault="0068325B"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 </w:t>
      </w:r>
      <w:r w:rsidR="00084E0B" w:rsidRPr="00511CD3">
        <w:rPr>
          <w:rFonts w:ascii="Cambria" w:hAnsi="Cambria"/>
          <w:sz w:val="20"/>
          <w:szCs w:val="20"/>
        </w:rPr>
        <w:t>According to the existing information</w:t>
      </w:r>
      <w:r w:rsidR="007055F8" w:rsidRPr="00511CD3">
        <w:rPr>
          <w:rFonts w:ascii="Cambria" w:hAnsi="Cambria"/>
          <w:sz w:val="20"/>
          <w:szCs w:val="20"/>
        </w:rPr>
        <w:t>,</w:t>
      </w:r>
      <w:r w:rsidR="00084E0B" w:rsidRPr="00511CD3">
        <w:rPr>
          <w:rFonts w:ascii="Cambria" w:hAnsi="Cambria"/>
          <w:sz w:val="20"/>
          <w:szCs w:val="20"/>
        </w:rPr>
        <w:t xml:space="preserve"> on </w:t>
      </w:r>
      <w:r w:rsidR="00B10F4D" w:rsidRPr="00511CD3">
        <w:rPr>
          <w:rFonts w:ascii="Cambria" w:hAnsi="Cambria"/>
          <w:sz w:val="20"/>
          <w:szCs w:val="20"/>
        </w:rPr>
        <w:t>July</w:t>
      </w:r>
      <w:r w:rsidR="002D1686" w:rsidRPr="00511CD3">
        <w:rPr>
          <w:rFonts w:ascii="Cambria" w:hAnsi="Cambria"/>
          <w:sz w:val="20"/>
          <w:szCs w:val="20"/>
        </w:rPr>
        <w:t xml:space="preserve"> </w:t>
      </w:r>
      <w:r w:rsidR="00084E0B" w:rsidRPr="00511CD3">
        <w:rPr>
          <w:rFonts w:ascii="Cambria" w:hAnsi="Cambria"/>
          <w:sz w:val="20"/>
          <w:szCs w:val="20"/>
        </w:rPr>
        <w:t>4,</w:t>
      </w:r>
      <w:r w:rsidR="002D1686" w:rsidRPr="00511CD3">
        <w:rPr>
          <w:rFonts w:ascii="Cambria" w:hAnsi="Cambria"/>
          <w:sz w:val="20"/>
          <w:szCs w:val="20"/>
        </w:rPr>
        <w:t xml:space="preserve"> 2016</w:t>
      </w:r>
      <w:r w:rsidR="00084E0B" w:rsidRPr="00511CD3">
        <w:rPr>
          <w:rFonts w:ascii="Cambria" w:hAnsi="Cambria"/>
          <w:sz w:val="20"/>
          <w:szCs w:val="20"/>
        </w:rPr>
        <w:t>, the</w:t>
      </w:r>
      <w:r w:rsidR="000308CC" w:rsidRPr="00511CD3">
        <w:rPr>
          <w:rFonts w:ascii="Cambria" w:hAnsi="Cambria"/>
          <w:sz w:val="20"/>
          <w:szCs w:val="20"/>
        </w:rPr>
        <w:t xml:space="preserve"> </w:t>
      </w:r>
      <w:r w:rsidR="00BC443F" w:rsidRPr="00511CD3">
        <w:rPr>
          <w:rFonts w:ascii="Cambria" w:hAnsi="Cambria"/>
          <w:sz w:val="20"/>
          <w:szCs w:val="20"/>
        </w:rPr>
        <w:t>court-appointed legal advisor</w:t>
      </w:r>
      <w:r w:rsidR="00FB49C7" w:rsidRPr="00511CD3">
        <w:rPr>
          <w:rFonts w:ascii="Cambria" w:hAnsi="Cambria"/>
          <w:sz w:val="20"/>
          <w:szCs w:val="20"/>
        </w:rPr>
        <w:t xml:space="preserve"> of the</w:t>
      </w:r>
      <w:r w:rsidR="00084E0B" w:rsidRPr="00511CD3">
        <w:rPr>
          <w:rFonts w:ascii="Cambria" w:hAnsi="Cambria"/>
          <w:sz w:val="20"/>
          <w:szCs w:val="20"/>
        </w:rPr>
        <w:t xml:space="preserve"> child </w:t>
      </w:r>
      <w:r w:rsidR="00540394" w:rsidRPr="00511CD3">
        <w:rPr>
          <w:rFonts w:ascii="Cambria" w:hAnsi="Cambria"/>
          <w:sz w:val="20"/>
          <w:szCs w:val="20"/>
        </w:rPr>
        <w:t>“Mariano</w:t>
      </w:r>
      <w:r w:rsidR="00084E0B" w:rsidRPr="00511CD3">
        <w:rPr>
          <w:rFonts w:ascii="Cambria" w:hAnsi="Cambria"/>
          <w:sz w:val="20"/>
          <w:szCs w:val="20"/>
        </w:rPr>
        <w:t xml:space="preserve">,” in her first intervention in the file when answering the </w:t>
      </w:r>
      <w:r w:rsidR="00FB49C7" w:rsidRPr="00511CD3">
        <w:rPr>
          <w:rFonts w:ascii="Cambria" w:hAnsi="Cambria"/>
          <w:sz w:val="20"/>
          <w:szCs w:val="20"/>
        </w:rPr>
        <w:t>hearing</w:t>
      </w:r>
      <w:r w:rsidR="00BC443F" w:rsidRPr="00511CD3">
        <w:rPr>
          <w:rFonts w:ascii="Cambria" w:hAnsi="Cambria"/>
          <w:sz w:val="20"/>
          <w:szCs w:val="20"/>
        </w:rPr>
        <w:t xml:space="preserve"> request</w:t>
      </w:r>
      <w:r w:rsidR="00FB49C7" w:rsidRPr="00511CD3">
        <w:rPr>
          <w:rFonts w:ascii="Cambria" w:hAnsi="Cambria"/>
          <w:sz w:val="20"/>
          <w:szCs w:val="20"/>
        </w:rPr>
        <w:t xml:space="preserve"> [</w:t>
      </w:r>
      <w:r w:rsidR="002D1686" w:rsidRPr="00511CD3">
        <w:rPr>
          <w:rFonts w:ascii="Cambria" w:hAnsi="Cambria"/>
          <w:i/>
          <w:sz w:val="20"/>
          <w:szCs w:val="20"/>
        </w:rPr>
        <w:t>vista</w:t>
      </w:r>
      <w:r w:rsidR="00FB49C7" w:rsidRPr="00511CD3">
        <w:rPr>
          <w:rFonts w:ascii="Cambria" w:hAnsi="Cambria"/>
          <w:sz w:val="20"/>
          <w:szCs w:val="20"/>
        </w:rPr>
        <w:t>]</w:t>
      </w:r>
      <w:r w:rsidR="00084E0B" w:rsidRPr="00511CD3">
        <w:rPr>
          <w:rFonts w:ascii="Cambria" w:hAnsi="Cambria"/>
          <w:sz w:val="20"/>
          <w:szCs w:val="20"/>
        </w:rPr>
        <w:t xml:space="preserve"> </w:t>
      </w:r>
      <w:r w:rsidR="00FB49C7" w:rsidRPr="00511CD3">
        <w:rPr>
          <w:rFonts w:ascii="Cambria" w:hAnsi="Cambria"/>
          <w:sz w:val="20"/>
          <w:szCs w:val="20"/>
        </w:rPr>
        <w:t xml:space="preserve">ordered </w:t>
      </w:r>
      <w:r w:rsidR="00084E0B" w:rsidRPr="00511CD3">
        <w:rPr>
          <w:rFonts w:ascii="Cambria" w:hAnsi="Cambria"/>
          <w:sz w:val="20"/>
          <w:szCs w:val="20"/>
        </w:rPr>
        <w:t>by the court</w:t>
      </w:r>
      <w:r w:rsidR="00FB49C7" w:rsidRPr="00511CD3">
        <w:rPr>
          <w:rFonts w:ascii="Cambria" w:hAnsi="Cambria"/>
          <w:sz w:val="20"/>
          <w:szCs w:val="20"/>
        </w:rPr>
        <w:t>,</w:t>
      </w:r>
      <w:r w:rsidR="00084E0B" w:rsidRPr="00511CD3">
        <w:rPr>
          <w:rFonts w:ascii="Cambria" w:hAnsi="Cambria"/>
          <w:sz w:val="20"/>
          <w:szCs w:val="20"/>
        </w:rPr>
        <w:t xml:space="preserve"> </w:t>
      </w:r>
      <w:r w:rsidR="00BC443F" w:rsidRPr="00511CD3">
        <w:rPr>
          <w:rFonts w:ascii="Cambria" w:hAnsi="Cambria"/>
          <w:sz w:val="20"/>
          <w:szCs w:val="20"/>
        </w:rPr>
        <w:t xml:space="preserve">argued </w:t>
      </w:r>
      <w:r w:rsidR="00084E0B" w:rsidRPr="00511CD3">
        <w:rPr>
          <w:rFonts w:ascii="Cambria" w:hAnsi="Cambria"/>
          <w:sz w:val="20"/>
          <w:szCs w:val="20"/>
        </w:rPr>
        <w:t xml:space="preserve">that the judge’s decision of </w:t>
      </w:r>
      <w:r w:rsidR="00B10F4D" w:rsidRPr="00511CD3">
        <w:rPr>
          <w:rFonts w:ascii="Cambria" w:hAnsi="Cambria"/>
          <w:sz w:val="20"/>
          <w:szCs w:val="20"/>
        </w:rPr>
        <w:t>October</w:t>
      </w:r>
      <w:r w:rsidR="002D1686" w:rsidRPr="00511CD3">
        <w:rPr>
          <w:rFonts w:ascii="Cambria" w:hAnsi="Cambria"/>
          <w:sz w:val="20"/>
          <w:szCs w:val="20"/>
        </w:rPr>
        <w:t xml:space="preserve"> </w:t>
      </w:r>
      <w:r w:rsidR="00084E0B" w:rsidRPr="00511CD3">
        <w:rPr>
          <w:rFonts w:ascii="Cambria" w:hAnsi="Cambria"/>
          <w:sz w:val="20"/>
          <w:szCs w:val="20"/>
        </w:rPr>
        <w:t xml:space="preserve">1, </w:t>
      </w:r>
      <w:r w:rsidR="002D1686" w:rsidRPr="00511CD3">
        <w:rPr>
          <w:rFonts w:ascii="Cambria" w:hAnsi="Cambria"/>
          <w:sz w:val="20"/>
          <w:szCs w:val="20"/>
        </w:rPr>
        <w:t>2015</w:t>
      </w:r>
      <w:r w:rsidR="00084E0B" w:rsidRPr="00511CD3">
        <w:rPr>
          <w:rFonts w:ascii="Cambria" w:hAnsi="Cambria"/>
          <w:sz w:val="20"/>
          <w:szCs w:val="20"/>
        </w:rPr>
        <w:t xml:space="preserve">, to bring the </w:t>
      </w:r>
      <w:r w:rsidR="00FB49C7" w:rsidRPr="00511CD3">
        <w:rPr>
          <w:rFonts w:ascii="Cambria" w:hAnsi="Cambria"/>
          <w:sz w:val="20"/>
          <w:szCs w:val="20"/>
        </w:rPr>
        <w:t xml:space="preserve">resolution </w:t>
      </w:r>
      <w:r w:rsidR="00084E0B" w:rsidRPr="00511CD3">
        <w:rPr>
          <w:rFonts w:ascii="Cambria" w:hAnsi="Cambria"/>
          <w:sz w:val="20"/>
          <w:szCs w:val="20"/>
        </w:rPr>
        <w:t xml:space="preserve">into line with the provisions of the new Civil and Commercial Code did not </w:t>
      </w:r>
      <w:r w:rsidR="00BC443F" w:rsidRPr="00511CD3">
        <w:rPr>
          <w:rFonts w:ascii="Cambria" w:hAnsi="Cambria"/>
          <w:sz w:val="20"/>
          <w:szCs w:val="20"/>
        </w:rPr>
        <w:t xml:space="preserve">violate </w:t>
      </w:r>
      <w:r w:rsidR="00084E0B" w:rsidRPr="00511CD3">
        <w:rPr>
          <w:rFonts w:ascii="Cambria" w:hAnsi="Cambria"/>
          <w:sz w:val="20"/>
          <w:szCs w:val="20"/>
        </w:rPr>
        <w:t xml:space="preserve">the right of the parties to defense at trial </w:t>
      </w:r>
      <w:r w:rsidR="00B10F4D" w:rsidRPr="00511CD3">
        <w:rPr>
          <w:rFonts w:ascii="Cambria" w:hAnsi="Cambria"/>
          <w:sz w:val="20"/>
          <w:szCs w:val="20"/>
        </w:rPr>
        <w:t xml:space="preserve">and </w:t>
      </w:r>
      <w:r w:rsidR="00084E0B" w:rsidRPr="00511CD3">
        <w:rPr>
          <w:rFonts w:ascii="Cambria" w:hAnsi="Cambria"/>
          <w:sz w:val="20"/>
          <w:szCs w:val="20"/>
        </w:rPr>
        <w:t xml:space="preserve">gave her opinion that the revocation </w:t>
      </w:r>
      <w:r w:rsidR="00F44C1F" w:rsidRPr="00511CD3">
        <w:rPr>
          <w:rFonts w:ascii="Cambria" w:hAnsi="Cambria"/>
          <w:sz w:val="20"/>
          <w:szCs w:val="20"/>
        </w:rPr>
        <w:t>remedy</w:t>
      </w:r>
      <w:r w:rsidR="00084E0B" w:rsidRPr="00511CD3">
        <w:rPr>
          <w:rFonts w:ascii="Cambria" w:hAnsi="Cambria"/>
          <w:sz w:val="20"/>
          <w:szCs w:val="20"/>
        </w:rPr>
        <w:t xml:space="preserve"> lodged by </w:t>
      </w:r>
      <w:r w:rsidR="002D1686" w:rsidRPr="00511CD3">
        <w:rPr>
          <w:rFonts w:ascii="Cambria" w:hAnsi="Cambria"/>
          <w:sz w:val="20"/>
          <w:szCs w:val="20"/>
        </w:rPr>
        <w:t>“</w:t>
      </w:r>
      <w:r w:rsidR="008C68B5" w:rsidRPr="00511CD3">
        <w:rPr>
          <w:rFonts w:ascii="Cambria" w:hAnsi="Cambria"/>
          <w:sz w:val="20"/>
          <w:szCs w:val="20"/>
        </w:rPr>
        <w:t>María</w:t>
      </w:r>
      <w:r w:rsidR="00084E0B" w:rsidRPr="00511CD3">
        <w:rPr>
          <w:rFonts w:ascii="Cambria" w:hAnsi="Cambria"/>
          <w:sz w:val="20"/>
          <w:szCs w:val="20"/>
        </w:rPr>
        <w:t>'s” defenders should be rejected.</w:t>
      </w:r>
      <w:r w:rsidR="002D1686" w:rsidRPr="00511CD3">
        <w:rPr>
          <w:rStyle w:val="FootnoteReference"/>
          <w:rFonts w:ascii="Cambria" w:hAnsi="Cambria"/>
          <w:sz w:val="20"/>
          <w:szCs w:val="20"/>
        </w:rPr>
        <w:footnoteReference w:id="56"/>
      </w:r>
    </w:p>
    <w:p w14:paraId="771D8590" w14:textId="77777777" w:rsidR="002D1686" w:rsidRPr="00511CD3" w:rsidRDefault="002D1686" w:rsidP="008429F6">
      <w:pPr>
        <w:pStyle w:val="ListParagraph"/>
        <w:numPr>
          <w:ilvl w:val="0"/>
          <w:numId w:val="0"/>
        </w:numPr>
      </w:pPr>
    </w:p>
    <w:p w14:paraId="4299CC6A" w14:textId="77777777" w:rsidR="002D1686" w:rsidRPr="00511CD3" w:rsidRDefault="00084E0B"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October</w:t>
      </w:r>
      <w:r w:rsidR="004E4A87" w:rsidRPr="00511CD3">
        <w:rPr>
          <w:rFonts w:ascii="Cambria" w:hAnsi="Cambria"/>
          <w:sz w:val="20"/>
          <w:szCs w:val="20"/>
        </w:rPr>
        <w:t xml:space="preserve"> </w:t>
      </w:r>
      <w:r w:rsidRPr="00511CD3">
        <w:rPr>
          <w:rFonts w:ascii="Cambria" w:hAnsi="Cambria"/>
          <w:sz w:val="20"/>
          <w:szCs w:val="20"/>
        </w:rPr>
        <w:t xml:space="preserve">24, </w:t>
      </w:r>
      <w:r w:rsidR="004E4A87" w:rsidRPr="00511CD3">
        <w:rPr>
          <w:rFonts w:ascii="Cambria" w:hAnsi="Cambria"/>
          <w:sz w:val="20"/>
          <w:szCs w:val="20"/>
        </w:rPr>
        <w:t>2016</w:t>
      </w:r>
      <w:r w:rsidRPr="00511CD3">
        <w:rPr>
          <w:rFonts w:ascii="Cambria" w:hAnsi="Cambria"/>
          <w:sz w:val="20"/>
          <w:szCs w:val="20"/>
        </w:rPr>
        <w:t xml:space="preserve">, the judge in the case decided to reject the </w:t>
      </w:r>
      <w:r w:rsidR="007055F8" w:rsidRPr="00511CD3">
        <w:rPr>
          <w:rFonts w:ascii="Cambria" w:hAnsi="Cambria"/>
          <w:sz w:val="20"/>
          <w:szCs w:val="20"/>
        </w:rPr>
        <w:t xml:space="preserve">motion for </w:t>
      </w:r>
      <w:r w:rsidRPr="00511CD3">
        <w:rPr>
          <w:rFonts w:ascii="Cambria" w:hAnsi="Cambria"/>
          <w:sz w:val="20"/>
          <w:szCs w:val="20"/>
        </w:rPr>
        <w:t xml:space="preserve">revocation </w:t>
      </w:r>
      <w:r w:rsidR="007055F8" w:rsidRPr="00511CD3">
        <w:rPr>
          <w:rFonts w:ascii="Cambria" w:hAnsi="Cambria"/>
          <w:sz w:val="20"/>
          <w:szCs w:val="20"/>
        </w:rPr>
        <w:t xml:space="preserve">filed </w:t>
      </w:r>
      <w:r w:rsidRPr="00511CD3">
        <w:rPr>
          <w:rFonts w:ascii="Cambria" w:hAnsi="Cambria"/>
          <w:sz w:val="20"/>
          <w:szCs w:val="20"/>
        </w:rPr>
        <w:t xml:space="preserve">on </w:t>
      </w:r>
      <w:r w:rsidR="00B10F4D" w:rsidRPr="00511CD3">
        <w:rPr>
          <w:rFonts w:ascii="Cambria" w:hAnsi="Cambria"/>
          <w:sz w:val="20"/>
          <w:szCs w:val="20"/>
        </w:rPr>
        <w:t>December</w:t>
      </w:r>
      <w:r w:rsidRPr="00511CD3">
        <w:rPr>
          <w:rFonts w:ascii="Cambria" w:hAnsi="Cambria"/>
          <w:sz w:val="20"/>
          <w:szCs w:val="20"/>
        </w:rPr>
        <w:t xml:space="preserve"> 11, 20</w:t>
      </w:r>
      <w:r w:rsidR="004E4A87" w:rsidRPr="00511CD3">
        <w:rPr>
          <w:rFonts w:ascii="Cambria" w:hAnsi="Cambria"/>
          <w:sz w:val="20"/>
          <w:szCs w:val="20"/>
        </w:rPr>
        <w:t>15</w:t>
      </w:r>
      <w:r w:rsidRPr="00511CD3">
        <w:rPr>
          <w:rFonts w:ascii="Cambria" w:hAnsi="Cambria"/>
          <w:sz w:val="20"/>
          <w:szCs w:val="20"/>
        </w:rPr>
        <w:t xml:space="preserve">, by </w:t>
      </w:r>
      <w:r w:rsidR="004E4A87" w:rsidRPr="00511CD3">
        <w:rPr>
          <w:rFonts w:ascii="Cambria" w:hAnsi="Cambria"/>
          <w:sz w:val="20"/>
          <w:szCs w:val="20"/>
        </w:rPr>
        <w:t>“</w:t>
      </w:r>
      <w:r w:rsidR="00066F99" w:rsidRPr="00511CD3">
        <w:rPr>
          <w:rFonts w:ascii="Cambria" w:hAnsi="Cambria"/>
          <w:sz w:val="20"/>
          <w:szCs w:val="20"/>
        </w:rPr>
        <w:t>María</w:t>
      </w:r>
      <w:r w:rsidRPr="00511CD3">
        <w:rPr>
          <w:rFonts w:ascii="Cambria" w:hAnsi="Cambria"/>
          <w:sz w:val="20"/>
          <w:szCs w:val="20"/>
        </w:rPr>
        <w:t>’s</w:t>
      </w:r>
      <w:r w:rsidR="004E4A87" w:rsidRPr="00511CD3">
        <w:rPr>
          <w:rFonts w:ascii="Cambria" w:hAnsi="Cambria"/>
          <w:sz w:val="20"/>
          <w:szCs w:val="20"/>
        </w:rPr>
        <w:t>”</w:t>
      </w:r>
      <w:r w:rsidRPr="00511CD3">
        <w:rPr>
          <w:rFonts w:ascii="Cambria" w:hAnsi="Cambria"/>
          <w:sz w:val="20"/>
          <w:szCs w:val="20"/>
        </w:rPr>
        <w:t xml:space="preserve"> mother</w:t>
      </w:r>
      <w:r w:rsidR="004E4A87" w:rsidRPr="00511CD3">
        <w:rPr>
          <w:rFonts w:ascii="Cambria" w:hAnsi="Cambria"/>
          <w:sz w:val="20"/>
          <w:szCs w:val="20"/>
        </w:rPr>
        <w:t xml:space="preserve">. </w:t>
      </w:r>
      <w:r w:rsidRPr="00511CD3">
        <w:rPr>
          <w:rFonts w:ascii="Cambria" w:hAnsi="Cambria"/>
          <w:sz w:val="20"/>
          <w:szCs w:val="20"/>
        </w:rPr>
        <w:t xml:space="preserve"> In that </w:t>
      </w:r>
      <w:r w:rsidR="007055F8" w:rsidRPr="00511CD3">
        <w:rPr>
          <w:rFonts w:ascii="Cambria" w:hAnsi="Cambria"/>
          <w:sz w:val="20"/>
          <w:szCs w:val="20"/>
        </w:rPr>
        <w:t>resolution</w:t>
      </w:r>
      <w:r w:rsidRPr="00511CD3">
        <w:rPr>
          <w:rFonts w:ascii="Cambria" w:hAnsi="Cambria"/>
          <w:sz w:val="20"/>
          <w:szCs w:val="20"/>
        </w:rPr>
        <w:t>, in referring to fulfillment of the requirement of Article</w:t>
      </w:r>
      <w:r w:rsidR="00066F99" w:rsidRPr="00511CD3">
        <w:rPr>
          <w:rFonts w:ascii="Cambria" w:hAnsi="Cambria"/>
          <w:sz w:val="20"/>
          <w:szCs w:val="20"/>
        </w:rPr>
        <w:t xml:space="preserve"> 607</w:t>
      </w:r>
      <w:r w:rsidRPr="00511CD3">
        <w:rPr>
          <w:rFonts w:ascii="Cambria" w:hAnsi="Cambria"/>
          <w:sz w:val="20"/>
          <w:szCs w:val="20"/>
        </w:rPr>
        <w:t>.</w:t>
      </w:r>
      <w:r w:rsidR="00066F99" w:rsidRPr="00511CD3">
        <w:rPr>
          <w:rFonts w:ascii="Cambria" w:hAnsi="Cambria"/>
          <w:sz w:val="20"/>
          <w:szCs w:val="20"/>
        </w:rPr>
        <w:t xml:space="preserve">b </w:t>
      </w:r>
      <w:r w:rsidRPr="00511CD3">
        <w:rPr>
          <w:rFonts w:ascii="Cambria" w:hAnsi="Cambria"/>
          <w:sz w:val="20"/>
          <w:szCs w:val="20"/>
        </w:rPr>
        <w:t>of the Civil and Commercial Code for</w:t>
      </w:r>
      <w:r w:rsidR="005674DD" w:rsidRPr="00511CD3">
        <w:rPr>
          <w:rFonts w:ascii="Cambria" w:hAnsi="Cambria"/>
          <w:sz w:val="20"/>
          <w:szCs w:val="20"/>
        </w:rPr>
        <w:t xml:space="preserve"> a judicial declaration of adoptability status,</w:t>
      </w:r>
      <w:r w:rsidR="00066F99" w:rsidRPr="00511CD3">
        <w:rPr>
          <w:rStyle w:val="FootnoteReference"/>
          <w:rFonts w:ascii="Cambria" w:hAnsi="Cambria"/>
          <w:sz w:val="20"/>
          <w:szCs w:val="20"/>
        </w:rPr>
        <w:footnoteReference w:id="57"/>
      </w:r>
      <w:r w:rsidR="005674DD" w:rsidRPr="00511CD3">
        <w:rPr>
          <w:rFonts w:ascii="Cambria" w:hAnsi="Cambria"/>
          <w:sz w:val="20"/>
          <w:szCs w:val="20"/>
        </w:rPr>
        <w:t xml:space="preserve"> the judge asserted that </w:t>
      </w:r>
      <w:r w:rsidR="00066F99" w:rsidRPr="00511CD3">
        <w:rPr>
          <w:rFonts w:ascii="Cambria" w:hAnsi="Cambria"/>
          <w:sz w:val="20"/>
          <w:szCs w:val="20"/>
        </w:rPr>
        <w:t>“</w:t>
      </w:r>
      <w:r w:rsidR="005674DD" w:rsidRPr="00511CD3">
        <w:rPr>
          <w:rFonts w:ascii="Cambria" w:hAnsi="Cambria"/>
          <w:sz w:val="20"/>
          <w:szCs w:val="20"/>
        </w:rPr>
        <w:t xml:space="preserve">although a record of express consent </w:t>
      </w:r>
      <w:r w:rsidR="00B40488" w:rsidRPr="00511CD3">
        <w:rPr>
          <w:rFonts w:ascii="Cambria" w:hAnsi="Cambria"/>
          <w:sz w:val="20"/>
          <w:szCs w:val="20"/>
        </w:rPr>
        <w:t xml:space="preserve">with legal assistance </w:t>
      </w:r>
      <w:r w:rsidR="005674DD" w:rsidRPr="00511CD3">
        <w:rPr>
          <w:rFonts w:ascii="Cambria" w:hAnsi="Cambria"/>
          <w:sz w:val="20"/>
          <w:szCs w:val="20"/>
        </w:rPr>
        <w:t xml:space="preserve">signed by the adolescent [María] </w:t>
      </w:r>
      <w:r w:rsidR="007055F8" w:rsidRPr="00511CD3">
        <w:rPr>
          <w:rFonts w:ascii="Cambria" w:hAnsi="Cambria"/>
          <w:sz w:val="20"/>
          <w:szCs w:val="20"/>
        </w:rPr>
        <w:t>w</w:t>
      </w:r>
      <w:r w:rsidR="005674DD" w:rsidRPr="00511CD3">
        <w:rPr>
          <w:rFonts w:ascii="Cambria" w:hAnsi="Cambria"/>
          <w:sz w:val="20"/>
          <w:szCs w:val="20"/>
        </w:rPr>
        <w:t xml:space="preserve">as not added to the file subsequent to the birth of her son, </w:t>
      </w:r>
      <w:r w:rsidR="00B40488" w:rsidRPr="00511CD3">
        <w:rPr>
          <w:rFonts w:ascii="Cambria" w:hAnsi="Cambria"/>
          <w:sz w:val="20"/>
          <w:szCs w:val="20"/>
        </w:rPr>
        <w:t xml:space="preserve">various </w:t>
      </w:r>
      <w:r w:rsidR="005674DD" w:rsidRPr="00511CD3">
        <w:rPr>
          <w:rFonts w:ascii="Cambria" w:hAnsi="Cambria"/>
          <w:sz w:val="20"/>
          <w:szCs w:val="20"/>
        </w:rPr>
        <w:t xml:space="preserve">attitudes </w:t>
      </w:r>
      <w:r w:rsidR="00F44C1F" w:rsidRPr="00511CD3">
        <w:rPr>
          <w:rFonts w:ascii="Cambria" w:hAnsi="Cambria"/>
          <w:sz w:val="20"/>
          <w:szCs w:val="20"/>
        </w:rPr>
        <w:t xml:space="preserve">certainly exists </w:t>
      </w:r>
      <w:r w:rsidR="005674DD" w:rsidRPr="00511CD3">
        <w:rPr>
          <w:rFonts w:ascii="Cambria" w:hAnsi="Cambria"/>
          <w:sz w:val="20"/>
          <w:szCs w:val="20"/>
        </w:rPr>
        <w:t xml:space="preserve">that at least </w:t>
      </w:r>
      <w:r w:rsidR="00B40488" w:rsidRPr="00511CD3">
        <w:rPr>
          <w:rFonts w:ascii="Cambria" w:hAnsi="Cambria"/>
          <w:sz w:val="20"/>
          <w:szCs w:val="20"/>
        </w:rPr>
        <w:t xml:space="preserve">do not </w:t>
      </w:r>
      <w:r w:rsidR="00F44C1F" w:rsidRPr="00511CD3">
        <w:rPr>
          <w:rFonts w:ascii="Cambria" w:hAnsi="Cambria"/>
          <w:sz w:val="20"/>
          <w:szCs w:val="20"/>
        </w:rPr>
        <w:t xml:space="preserve">make evident </w:t>
      </w:r>
      <w:r w:rsidR="005674DD" w:rsidRPr="00511CD3">
        <w:rPr>
          <w:rFonts w:ascii="Cambria" w:hAnsi="Cambria"/>
          <w:sz w:val="20"/>
          <w:szCs w:val="20"/>
        </w:rPr>
        <w:t>an intent to do otherwise.</w:t>
      </w:r>
      <w:r w:rsidR="00066F99" w:rsidRPr="00511CD3">
        <w:rPr>
          <w:rFonts w:ascii="Cambria" w:hAnsi="Cambria"/>
          <w:sz w:val="20"/>
          <w:szCs w:val="20"/>
        </w:rPr>
        <w:t>”</w:t>
      </w:r>
      <w:r w:rsidR="00066F99" w:rsidRPr="00511CD3">
        <w:rPr>
          <w:rStyle w:val="FootnoteReference"/>
          <w:rFonts w:ascii="Cambria" w:hAnsi="Cambria"/>
          <w:sz w:val="20"/>
          <w:szCs w:val="20"/>
        </w:rPr>
        <w:footnoteReference w:id="58"/>
      </w:r>
      <w:r w:rsidR="005674DD" w:rsidRPr="00511CD3">
        <w:rPr>
          <w:rFonts w:ascii="Cambria" w:hAnsi="Cambria"/>
          <w:sz w:val="20"/>
          <w:szCs w:val="20"/>
        </w:rPr>
        <w:t xml:space="preserve">  </w:t>
      </w:r>
      <w:r w:rsidR="00D10D56" w:rsidRPr="00511CD3">
        <w:rPr>
          <w:rFonts w:ascii="Cambria" w:hAnsi="Cambria"/>
          <w:sz w:val="20"/>
          <w:szCs w:val="20"/>
        </w:rPr>
        <w:t>“María</w:t>
      </w:r>
      <w:r w:rsidR="005674DD" w:rsidRPr="00511CD3">
        <w:rPr>
          <w:rFonts w:ascii="Cambria" w:hAnsi="Cambria"/>
          <w:sz w:val="20"/>
          <w:szCs w:val="20"/>
        </w:rPr>
        <w:t>’s</w:t>
      </w:r>
      <w:r w:rsidR="00D10D56" w:rsidRPr="00511CD3">
        <w:rPr>
          <w:rFonts w:ascii="Cambria" w:hAnsi="Cambria"/>
          <w:sz w:val="20"/>
          <w:szCs w:val="20"/>
        </w:rPr>
        <w:t xml:space="preserve">” </w:t>
      </w:r>
      <w:r w:rsidR="005674DD" w:rsidRPr="00511CD3">
        <w:rPr>
          <w:rFonts w:ascii="Cambria" w:hAnsi="Cambria"/>
          <w:sz w:val="20"/>
          <w:szCs w:val="20"/>
        </w:rPr>
        <w:t>attorneys filed a</w:t>
      </w:r>
      <w:r w:rsidR="002816F3" w:rsidRPr="00511CD3">
        <w:rPr>
          <w:rFonts w:ascii="Cambria" w:hAnsi="Cambria"/>
          <w:sz w:val="20"/>
          <w:szCs w:val="20"/>
        </w:rPr>
        <w:t xml:space="preserve"> </w:t>
      </w:r>
      <w:r w:rsidR="007055F8" w:rsidRPr="00511CD3">
        <w:rPr>
          <w:rFonts w:ascii="Cambria" w:hAnsi="Cambria"/>
          <w:sz w:val="20"/>
          <w:szCs w:val="20"/>
        </w:rPr>
        <w:t>motion</w:t>
      </w:r>
      <w:r w:rsidR="002816F3" w:rsidRPr="00511CD3">
        <w:rPr>
          <w:rFonts w:ascii="Cambria" w:hAnsi="Cambria"/>
          <w:sz w:val="20"/>
          <w:szCs w:val="20"/>
        </w:rPr>
        <w:t xml:space="preserve"> for r</w:t>
      </w:r>
      <w:r w:rsidR="005674DD" w:rsidRPr="00511CD3">
        <w:rPr>
          <w:rFonts w:ascii="Cambria" w:hAnsi="Cambria"/>
          <w:sz w:val="20"/>
          <w:szCs w:val="20"/>
        </w:rPr>
        <w:t xml:space="preserve">evocation </w:t>
      </w:r>
      <w:r w:rsidR="002816F3" w:rsidRPr="00511CD3">
        <w:rPr>
          <w:rFonts w:ascii="Cambria" w:hAnsi="Cambria"/>
          <w:sz w:val="20"/>
          <w:szCs w:val="20"/>
        </w:rPr>
        <w:t xml:space="preserve">of </w:t>
      </w:r>
      <w:r w:rsidR="005674DD" w:rsidRPr="00511CD3">
        <w:rPr>
          <w:rFonts w:ascii="Cambria" w:hAnsi="Cambria"/>
          <w:sz w:val="20"/>
          <w:szCs w:val="20"/>
        </w:rPr>
        <w:t xml:space="preserve">this resolution with the </w:t>
      </w:r>
      <w:r w:rsidR="002F6406" w:rsidRPr="00511CD3">
        <w:rPr>
          <w:rFonts w:ascii="Cambria" w:hAnsi="Cambria"/>
          <w:sz w:val="20"/>
          <w:szCs w:val="20"/>
        </w:rPr>
        <w:t xml:space="preserve">plenary of the </w:t>
      </w:r>
      <w:r w:rsidR="005674DD" w:rsidRPr="00511CD3">
        <w:rPr>
          <w:rFonts w:ascii="Cambria" w:hAnsi="Cambria"/>
          <w:sz w:val="20"/>
          <w:szCs w:val="20"/>
        </w:rPr>
        <w:t xml:space="preserve">court on </w:t>
      </w:r>
      <w:r w:rsidR="00B10F4D" w:rsidRPr="00511CD3">
        <w:rPr>
          <w:rFonts w:ascii="Cambria" w:hAnsi="Cambria"/>
          <w:sz w:val="20"/>
          <w:szCs w:val="20"/>
        </w:rPr>
        <w:t>November</w:t>
      </w:r>
      <w:r w:rsidR="008B09E7" w:rsidRPr="00511CD3">
        <w:rPr>
          <w:rFonts w:ascii="Cambria" w:hAnsi="Cambria"/>
          <w:sz w:val="20"/>
          <w:szCs w:val="20"/>
        </w:rPr>
        <w:t xml:space="preserve"> </w:t>
      </w:r>
      <w:r w:rsidR="005674DD" w:rsidRPr="00511CD3">
        <w:rPr>
          <w:rFonts w:ascii="Cambria" w:hAnsi="Cambria"/>
          <w:sz w:val="20"/>
          <w:szCs w:val="20"/>
        </w:rPr>
        <w:t xml:space="preserve">2, </w:t>
      </w:r>
      <w:r w:rsidR="008B09E7" w:rsidRPr="00511CD3">
        <w:rPr>
          <w:rFonts w:ascii="Cambria" w:hAnsi="Cambria"/>
          <w:sz w:val="20"/>
          <w:szCs w:val="20"/>
        </w:rPr>
        <w:t>2016</w:t>
      </w:r>
      <w:r w:rsidR="005674DD" w:rsidRPr="00511CD3">
        <w:rPr>
          <w:rFonts w:ascii="Cambria" w:hAnsi="Cambria"/>
          <w:sz w:val="20"/>
          <w:szCs w:val="20"/>
        </w:rPr>
        <w:t>.</w:t>
      </w:r>
      <w:r w:rsidR="008B09E7" w:rsidRPr="00511CD3">
        <w:rPr>
          <w:rStyle w:val="FootnoteReference"/>
          <w:rFonts w:ascii="Cambria" w:hAnsi="Cambria"/>
          <w:sz w:val="20"/>
          <w:szCs w:val="20"/>
        </w:rPr>
        <w:footnoteReference w:id="59"/>
      </w:r>
    </w:p>
    <w:p w14:paraId="2143D5F4" w14:textId="77777777" w:rsidR="0037205C" w:rsidRPr="00511CD3" w:rsidRDefault="0037205C" w:rsidP="008429F6">
      <w:pPr>
        <w:pStyle w:val="ListParagraph"/>
        <w:numPr>
          <w:ilvl w:val="0"/>
          <w:numId w:val="0"/>
        </w:numPr>
      </w:pPr>
    </w:p>
    <w:p w14:paraId="4273A424" w14:textId="77777777" w:rsidR="00C56858" w:rsidRPr="00511CD3" w:rsidRDefault="00D568AC"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Pr>
          <w:rFonts w:ascii="Cambria" w:hAnsi="Cambria"/>
          <w:noProof/>
          <w:sz w:val="20"/>
          <w:szCs w:val="20"/>
        </w:rPr>
        <mc:AlternateContent>
          <mc:Choice Requires="wpi">
            <w:drawing>
              <wp:anchor distT="9000" distB="9000" distL="123300" distR="123300" simplePos="0" relativeHeight="251666439" behindDoc="0" locked="0" layoutInCell="1" allowOverlap="1" wp14:anchorId="1BBEFCD7" wp14:editId="08F68BBE">
                <wp:simplePos x="0" y="0"/>
                <wp:positionH relativeFrom="column">
                  <wp:posOffset>3313540</wp:posOffset>
                </wp:positionH>
                <wp:positionV relativeFrom="paragraph">
                  <wp:posOffset>506205</wp:posOffset>
                </wp:positionV>
                <wp:extent cx="0" cy="0"/>
                <wp:effectExtent l="38100" t="38100" r="25400" b="25400"/>
                <wp:wrapNone/>
                <wp:docPr id="21" name="Ink 21"/>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772669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260.9pt;margin-top:39.85pt;width:0;height:0;z-index:251666439;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">
                <v:imagedata r:id="rId11" o:title=""/>
                <o:lock v:ext="edit" aspectratio="f"/>
              </v:shape>
            </w:pict>
          </mc:Fallback>
        </mc:AlternateContent>
      </w:r>
      <w:r w:rsidR="002816F3" w:rsidRPr="00511CD3">
        <w:rPr>
          <w:rFonts w:ascii="Cambria" w:hAnsi="Cambria"/>
          <w:sz w:val="20"/>
          <w:szCs w:val="20"/>
        </w:rPr>
        <w:t>Before decid</w:t>
      </w:r>
      <w:r w:rsidR="00701DB4" w:rsidRPr="00511CD3">
        <w:rPr>
          <w:rFonts w:ascii="Cambria" w:hAnsi="Cambria"/>
          <w:sz w:val="20"/>
          <w:szCs w:val="20"/>
        </w:rPr>
        <w:t>ing</w:t>
      </w:r>
      <w:r w:rsidR="002816F3" w:rsidRPr="00511CD3">
        <w:rPr>
          <w:rFonts w:ascii="Cambria" w:hAnsi="Cambria"/>
          <w:sz w:val="20"/>
          <w:szCs w:val="20"/>
        </w:rPr>
        <w:t xml:space="preserve"> the </w:t>
      </w:r>
      <w:r w:rsidR="007055F8" w:rsidRPr="00511CD3">
        <w:rPr>
          <w:rFonts w:ascii="Cambria" w:hAnsi="Cambria"/>
          <w:sz w:val="20"/>
          <w:szCs w:val="20"/>
        </w:rPr>
        <w:t>motion</w:t>
      </w:r>
      <w:r w:rsidR="002816F3" w:rsidRPr="00511CD3">
        <w:rPr>
          <w:rFonts w:ascii="Cambria" w:hAnsi="Cambria"/>
          <w:sz w:val="20"/>
          <w:szCs w:val="20"/>
        </w:rPr>
        <w:t xml:space="preserve"> filed, the </w:t>
      </w:r>
      <w:r w:rsidR="002F6406" w:rsidRPr="00511CD3">
        <w:rPr>
          <w:rFonts w:ascii="Cambria" w:hAnsi="Cambria"/>
          <w:sz w:val="20"/>
          <w:szCs w:val="20"/>
        </w:rPr>
        <w:t xml:space="preserve">plenary of the </w:t>
      </w:r>
      <w:r w:rsidR="002816F3" w:rsidRPr="00511CD3">
        <w:rPr>
          <w:rFonts w:ascii="Cambria" w:hAnsi="Cambria"/>
          <w:sz w:val="20"/>
          <w:szCs w:val="20"/>
        </w:rPr>
        <w:t>court convened all those involved and their attorneys to a hearing, which was held on</w:t>
      </w:r>
      <w:r w:rsidR="00A840CC" w:rsidRPr="00511CD3">
        <w:rPr>
          <w:rFonts w:ascii="Cambria" w:hAnsi="Cambria"/>
          <w:sz w:val="20"/>
          <w:szCs w:val="20"/>
        </w:rPr>
        <w:t xml:space="preserve"> </w:t>
      </w:r>
      <w:r w:rsidR="00B10F4D" w:rsidRPr="00511CD3">
        <w:rPr>
          <w:rFonts w:ascii="Cambria" w:hAnsi="Cambria"/>
          <w:sz w:val="20"/>
          <w:szCs w:val="20"/>
        </w:rPr>
        <w:t>July</w:t>
      </w:r>
      <w:r w:rsidR="00A840CC" w:rsidRPr="00511CD3">
        <w:rPr>
          <w:rFonts w:ascii="Cambria" w:hAnsi="Cambria"/>
          <w:sz w:val="20"/>
          <w:szCs w:val="20"/>
        </w:rPr>
        <w:t xml:space="preserve"> </w:t>
      </w:r>
      <w:r w:rsidR="002816F3" w:rsidRPr="00511CD3">
        <w:rPr>
          <w:rFonts w:ascii="Cambria" w:hAnsi="Cambria"/>
          <w:sz w:val="20"/>
          <w:szCs w:val="20"/>
        </w:rPr>
        <w:t xml:space="preserve">28, </w:t>
      </w:r>
      <w:r w:rsidR="00A840CC" w:rsidRPr="00511CD3">
        <w:rPr>
          <w:rFonts w:ascii="Cambria" w:hAnsi="Cambria"/>
          <w:sz w:val="20"/>
          <w:szCs w:val="20"/>
        </w:rPr>
        <w:t>2017</w:t>
      </w:r>
      <w:r w:rsidR="009036E7" w:rsidRPr="00511CD3">
        <w:rPr>
          <w:rFonts w:ascii="Cambria" w:hAnsi="Cambria"/>
          <w:sz w:val="20"/>
          <w:szCs w:val="20"/>
        </w:rPr>
        <w:t xml:space="preserve">. </w:t>
      </w:r>
      <w:r w:rsidR="002816F3" w:rsidRPr="00511CD3">
        <w:rPr>
          <w:rFonts w:ascii="Cambria" w:hAnsi="Cambria"/>
          <w:sz w:val="20"/>
          <w:szCs w:val="20"/>
        </w:rPr>
        <w:t xml:space="preserve">According to the minutes of the hearing, the parties agreed to </w:t>
      </w:r>
      <w:r w:rsidR="002816F3" w:rsidRPr="00511CD3">
        <w:rPr>
          <w:rFonts w:ascii="Cambria" w:hAnsi="Cambria"/>
          <w:sz w:val="20"/>
          <w:szCs w:val="20"/>
        </w:rPr>
        <w:lastRenderedPageBreak/>
        <w:t xml:space="preserve">suspend the </w:t>
      </w:r>
      <w:r w:rsidR="002F6406" w:rsidRPr="00511CD3">
        <w:rPr>
          <w:rFonts w:ascii="Cambria" w:hAnsi="Cambria"/>
          <w:sz w:val="20"/>
          <w:szCs w:val="20"/>
        </w:rPr>
        <w:t>time</w:t>
      </w:r>
      <w:r w:rsidR="007055F8" w:rsidRPr="00511CD3">
        <w:rPr>
          <w:rFonts w:ascii="Cambria" w:hAnsi="Cambria"/>
          <w:sz w:val="20"/>
          <w:szCs w:val="20"/>
        </w:rPr>
        <w:t xml:space="preserve"> periods that were</w:t>
      </w:r>
      <w:r w:rsidR="002F6406" w:rsidRPr="00511CD3">
        <w:rPr>
          <w:rFonts w:ascii="Cambria" w:hAnsi="Cambria"/>
          <w:sz w:val="20"/>
          <w:szCs w:val="20"/>
        </w:rPr>
        <w:t xml:space="preserve"> running in the </w:t>
      </w:r>
      <w:r w:rsidR="007055F8" w:rsidRPr="00511CD3">
        <w:rPr>
          <w:rFonts w:ascii="Cambria" w:hAnsi="Cambria"/>
          <w:sz w:val="20"/>
          <w:szCs w:val="20"/>
        </w:rPr>
        <w:t>case</w:t>
      </w:r>
      <w:r w:rsidR="002816F3" w:rsidRPr="00511CD3">
        <w:rPr>
          <w:rFonts w:ascii="Cambria" w:hAnsi="Cambria"/>
          <w:sz w:val="20"/>
          <w:szCs w:val="20"/>
        </w:rPr>
        <w:t>, request intervention by the</w:t>
      </w:r>
      <w:r w:rsidR="000B7DF2" w:rsidRPr="00511CD3">
        <w:rPr>
          <w:rFonts w:ascii="Cambria" w:hAnsi="Cambria"/>
          <w:sz w:val="20"/>
          <w:szCs w:val="20"/>
        </w:rPr>
        <w:t xml:space="preserve"> “P</w:t>
      </w:r>
      <w:r w:rsidR="002816F3" w:rsidRPr="00511CD3">
        <w:rPr>
          <w:rFonts w:ascii="Cambria" w:hAnsi="Cambria"/>
          <w:sz w:val="20"/>
          <w:szCs w:val="20"/>
        </w:rPr>
        <w:t>oint of Family Encounter” program of the Mental Health area of the Secretariat for Social and Community Integration and Development of Rosario National University</w:t>
      </w:r>
      <w:r w:rsidR="000B7DF2" w:rsidRPr="00511CD3">
        <w:rPr>
          <w:rFonts w:ascii="Cambria" w:hAnsi="Cambria"/>
          <w:sz w:val="20"/>
          <w:szCs w:val="20"/>
        </w:rPr>
        <w:t xml:space="preserve">, </w:t>
      </w:r>
      <w:r w:rsidR="002816F3" w:rsidRPr="00511CD3">
        <w:rPr>
          <w:rFonts w:ascii="Cambria" w:hAnsi="Cambria"/>
          <w:sz w:val="20"/>
          <w:szCs w:val="20"/>
        </w:rPr>
        <w:t xml:space="preserve">maintain until then the existing system </w:t>
      </w:r>
      <w:r w:rsidR="00F87012" w:rsidRPr="00511CD3">
        <w:rPr>
          <w:rFonts w:ascii="Cambria" w:hAnsi="Cambria"/>
          <w:sz w:val="20"/>
          <w:szCs w:val="20"/>
        </w:rPr>
        <w:t xml:space="preserve">for </w:t>
      </w:r>
      <w:r w:rsidR="002816F3" w:rsidRPr="00511CD3">
        <w:rPr>
          <w:rFonts w:ascii="Cambria" w:hAnsi="Cambria"/>
          <w:sz w:val="20"/>
          <w:szCs w:val="20"/>
        </w:rPr>
        <w:t xml:space="preserve">communication, including participation by </w:t>
      </w:r>
      <w:r w:rsidR="00BF59BD" w:rsidRPr="00511CD3">
        <w:rPr>
          <w:rFonts w:ascii="Cambria" w:hAnsi="Cambria"/>
          <w:sz w:val="20"/>
          <w:szCs w:val="20"/>
        </w:rPr>
        <w:t>“</w:t>
      </w:r>
      <w:r w:rsidR="00830E47" w:rsidRPr="00511CD3">
        <w:rPr>
          <w:rFonts w:ascii="Cambria" w:hAnsi="Cambria"/>
          <w:sz w:val="20"/>
          <w:szCs w:val="20"/>
        </w:rPr>
        <w:t>María</w:t>
      </w:r>
      <w:r w:rsidR="002816F3" w:rsidRPr="00511CD3">
        <w:rPr>
          <w:rFonts w:ascii="Cambria" w:hAnsi="Cambria"/>
          <w:sz w:val="20"/>
          <w:szCs w:val="20"/>
        </w:rPr>
        <w:t>’s</w:t>
      </w:r>
      <w:r w:rsidR="00BF59BD" w:rsidRPr="00511CD3">
        <w:rPr>
          <w:rFonts w:ascii="Cambria" w:hAnsi="Cambria"/>
          <w:sz w:val="20"/>
          <w:szCs w:val="20"/>
        </w:rPr>
        <w:t>”</w:t>
      </w:r>
      <w:r w:rsidR="002816F3" w:rsidRPr="00511CD3">
        <w:rPr>
          <w:rFonts w:ascii="Cambria" w:hAnsi="Cambria"/>
          <w:sz w:val="20"/>
          <w:szCs w:val="20"/>
        </w:rPr>
        <w:t xml:space="preserve"> mother</w:t>
      </w:r>
      <w:r w:rsidR="000B7DF2" w:rsidRPr="00511CD3">
        <w:rPr>
          <w:rFonts w:ascii="Cambria" w:hAnsi="Cambria"/>
          <w:sz w:val="20"/>
          <w:szCs w:val="20"/>
        </w:rPr>
        <w:t>,</w:t>
      </w:r>
      <w:r w:rsidR="00B10F4D" w:rsidRPr="00511CD3">
        <w:rPr>
          <w:rFonts w:ascii="Cambria" w:hAnsi="Cambria"/>
          <w:sz w:val="20"/>
          <w:szCs w:val="20"/>
        </w:rPr>
        <w:t xml:space="preserve"> and </w:t>
      </w:r>
      <w:r w:rsidR="002816F3" w:rsidRPr="00511CD3">
        <w:rPr>
          <w:rFonts w:ascii="Cambria" w:hAnsi="Cambria"/>
          <w:sz w:val="20"/>
          <w:szCs w:val="20"/>
        </w:rPr>
        <w:t xml:space="preserve">authorize the court’s social worker to </w:t>
      </w:r>
      <w:r w:rsidR="00E43FDF" w:rsidRPr="00511CD3">
        <w:rPr>
          <w:rFonts w:ascii="Cambria" w:hAnsi="Cambria"/>
          <w:sz w:val="20"/>
          <w:szCs w:val="20"/>
        </w:rPr>
        <w:t>allow flexibility in contact</w:t>
      </w:r>
      <w:r w:rsidR="001316F6" w:rsidRPr="00511CD3">
        <w:rPr>
          <w:rFonts w:ascii="Cambria" w:hAnsi="Cambria"/>
          <w:sz w:val="20"/>
          <w:szCs w:val="20"/>
        </w:rPr>
        <w:t>s</w:t>
      </w:r>
      <w:r w:rsidR="00E43FDF" w:rsidRPr="00511CD3">
        <w:rPr>
          <w:rFonts w:ascii="Cambria" w:hAnsi="Cambria"/>
          <w:sz w:val="20"/>
          <w:szCs w:val="20"/>
        </w:rPr>
        <w:t xml:space="preserve"> “</w:t>
      </w:r>
      <w:r w:rsidR="007055F8" w:rsidRPr="00511CD3">
        <w:rPr>
          <w:rFonts w:ascii="Cambria" w:hAnsi="Cambria"/>
          <w:sz w:val="20"/>
          <w:szCs w:val="20"/>
        </w:rPr>
        <w:t>with regard to</w:t>
      </w:r>
      <w:r w:rsidR="00E43FDF" w:rsidRPr="00511CD3">
        <w:rPr>
          <w:rFonts w:ascii="Cambria" w:hAnsi="Cambria"/>
          <w:sz w:val="20"/>
          <w:szCs w:val="20"/>
        </w:rPr>
        <w:t xml:space="preserve"> meeting duration and site.</w:t>
      </w:r>
      <w:r w:rsidR="00BF59BD" w:rsidRPr="00511CD3">
        <w:rPr>
          <w:rFonts w:ascii="Cambria" w:hAnsi="Cambria"/>
          <w:sz w:val="20"/>
          <w:szCs w:val="20"/>
        </w:rPr>
        <w:t>”</w:t>
      </w:r>
      <w:r w:rsidR="00BF59BD" w:rsidRPr="00511CD3">
        <w:rPr>
          <w:rStyle w:val="FootnoteReference"/>
          <w:rFonts w:ascii="Cambria" w:hAnsi="Cambria"/>
          <w:sz w:val="20"/>
          <w:szCs w:val="20"/>
        </w:rPr>
        <w:footnoteReference w:id="60"/>
      </w:r>
      <w:r w:rsidR="00BF59BD" w:rsidRPr="00511CD3">
        <w:rPr>
          <w:rFonts w:ascii="Cambria" w:hAnsi="Cambria"/>
          <w:sz w:val="20"/>
          <w:szCs w:val="20"/>
        </w:rPr>
        <w:t xml:space="preserve">  </w:t>
      </w:r>
    </w:p>
    <w:p w14:paraId="696CE340" w14:textId="77777777" w:rsidR="00BF59BD" w:rsidRPr="00511CD3" w:rsidRDefault="00BF59BD" w:rsidP="008429F6">
      <w:pPr>
        <w:pStyle w:val="ListParagraph"/>
        <w:numPr>
          <w:ilvl w:val="0"/>
          <w:numId w:val="0"/>
        </w:numPr>
      </w:pPr>
    </w:p>
    <w:p w14:paraId="1156F6DA" w14:textId="77777777" w:rsidR="00BF59BD" w:rsidRPr="00511CD3" w:rsidRDefault="00E43FDF"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August</w:t>
      </w:r>
      <w:r w:rsidR="00BF59BD" w:rsidRPr="00511CD3">
        <w:rPr>
          <w:rFonts w:ascii="Cambria" w:hAnsi="Cambria"/>
          <w:sz w:val="20"/>
          <w:szCs w:val="20"/>
        </w:rPr>
        <w:t xml:space="preserve"> </w:t>
      </w:r>
      <w:r w:rsidRPr="00511CD3">
        <w:rPr>
          <w:rFonts w:ascii="Cambria" w:hAnsi="Cambria"/>
          <w:sz w:val="20"/>
          <w:szCs w:val="20"/>
        </w:rPr>
        <w:t xml:space="preserve">15, </w:t>
      </w:r>
      <w:r w:rsidR="00BF59BD" w:rsidRPr="00511CD3">
        <w:rPr>
          <w:rFonts w:ascii="Cambria" w:hAnsi="Cambria"/>
          <w:sz w:val="20"/>
          <w:szCs w:val="20"/>
        </w:rPr>
        <w:t>201</w:t>
      </w:r>
      <w:r w:rsidR="00830E47" w:rsidRPr="00511CD3">
        <w:rPr>
          <w:rFonts w:ascii="Cambria" w:hAnsi="Cambria"/>
          <w:sz w:val="20"/>
          <w:szCs w:val="20"/>
        </w:rPr>
        <w:t>7</w:t>
      </w:r>
      <w:r w:rsidRPr="00511CD3">
        <w:rPr>
          <w:rFonts w:ascii="Cambria" w:hAnsi="Cambria"/>
          <w:sz w:val="20"/>
          <w:szCs w:val="20"/>
        </w:rPr>
        <w:t>,</w:t>
      </w:r>
      <w:r w:rsidR="00BF59BD" w:rsidRPr="00511CD3">
        <w:rPr>
          <w:rFonts w:ascii="Cambria" w:hAnsi="Cambria"/>
          <w:sz w:val="20"/>
          <w:szCs w:val="20"/>
        </w:rPr>
        <w:t xml:space="preserve"> “</w:t>
      </w:r>
      <w:r w:rsidR="00830E47" w:rsidRPr="00511CD3">
        <w:rPr>
          <w:rFonts w:ascii="Cambria" w:hAnsi="Cambria"/>
          <w:sz w:val="20"/>
          <w:szCs w:val="20"/>
        </w:rPr>
        <w:t>María</w:t>
      </w:r>
      <w:r w:rsidR="00BF59BD" w:rsidRPr="00511CD3">
        <w:rPr>
          <w:rFonts w:ascii="Cambria" w:hAnsi="Cambria"/>
          <w:sz w:val="20"/>
          <w:szCs w:val="20"/>
        </w:rPr>
        <w:t xml:space="preserve">” </w:t>
      </w:r>
      <w:r w:rsidRPr="00511CD3">
        <w:rPr>
          <w:rFonts w:ascii="Cambria" w:hAnsi="Cambria"/>
          <w:sz w:val="20"/>
          <w:szCs w:val="20"/>
        </w:rPr>
        <w:t xml:space="preserve">submitted a </w:t>
      </w:r>
      <w:r w:rsidR="001316F6" w:rsidRPr="00511CD3">
        <w:rPr>
          <w:rFonts w:ascii="Cambria" w:hAnsi="Cambria"/>
          <w:sz w:val="20"/>
          <w:szCs w:val="20"/>
        </w:rPr>
        <w:t>brief</w:t>
      </w:r>
      <w:r w:rsidRPr="00511CD3">
        <w:rPr>
          <w:rFonts w:ascii="Cambria" w:hAnsi="Cambria"/>
          <w:sz w:val="20"/>
          <w:szCs w:val="20"/>
        </w:rPr>
        <w:t xml:space="preserve">, with </w:t>
      </w:r>
      <w:r w:rsidR="00701DB4" w:rsidRPr="00511CD3">
        <w:rPr>
          <w:rFonts w:ascii="Cambria" w:hAnsi="Cambria"/>
          <w:sz w:val="20"/>
          <w:szCs w:val="20"/>
        </w:rPr>
        <w:t>assistance f</w:t>
      </w:r>
      <w:r w:rsidRPr="00511CD3">
        <w:rPr>
          <w:rFonts w:ascii="Cambria" w:hAnsi="Cambria"/>
          <w:sz w:val="20"/>
          <w:szCs w:val="20"/>
        </w:rPr>
        <w:t xml:space="preserve">rom her attorney, requesting authorization from the judge for her son to </w:t>
      </w:r>
      <w:r w:rsidR="00F44C1F" w:rsidRPr="00511CD3">
        <w:rPr>
          <w:rFonts w:ascii="Cambria" w:hAnsi="Cambria"/>
          <w:sz w:val="20"/>
          <w:szCs w:val="20"/>
        </w:rPr>
        <w:t>come</w:t>
      </w:r>
      <w:r w:rsidRPr="00511CD3">
        <w:rPr>
          <w:rFonts w:ascii="Cambria" w:hAnsi="Cambria"/>
          <w:sz w:val="20"/>
          <w:szCs w:val="20"/>
        </w:rPr>
        <w:t xml:space="preserve"> to her house on </w:t>
      </w:r>
      <w:r w:rsidR="00B10F4D" w:rsidRPr="00511CD3">
        <w:rPr>
          <w:rFonts w:ascii="Cambria" w:hAnsi="Cambria"/>
          <w:sz w:val="20"/>
          <w:szCs w:val="20"/>
        </w:rPr>
        <w:t>August</w:t>
      </w:r>
      <w:r w:rsidR="00830E47" w:rsidRPr="00511CD3">
        <w:rPr>
          <w:rFonts w:ascii="Cambria" w:hAnsi="Cambria"/>
          <w:sz w:val="20"/>
          <w:szCs w:val="20"/>
        </w:rPr>
        <w:t xml:space="preserve"> </w:t>
      </w:r>
      <w:r w:rsidRPr="00511CD3">
        <w:rPr>
          <w:rFonts w:ascii="Cambria" w:hAnsi="Cambria"/>
          <w:sz w:val="20"/>
          <w:szCs w:val="20"/>
        </w:rPr>
        <w:t>23 to celebr</w:t>
      </w:r>
      <w:r w:rsidR="00B134A1" w:rsidRPr="00511CD3">
        <w:rPr>
          <w:rFonts w:ascii="Cambria" w:hAnsi="Cambria"/>
          <w:sz w:val="20"/>
          <w:szCs w:val="20"/>
        </w:rPr>
        <w:t>a</w:t>
      </w:r>
      <w:r w:rsidRPr="00511CD3">
        <w:rPr>
          <w:rFonts w:ascii="Cambria" w:hAnsi="Cambria"/>
          <w:sz w:val="20"/>
          <w:szCs w:val="20"/>
        </w:rPr>
        <w:t>te his third birthday, or, failing that, that she authorize h</w:t>
      </w:r>
      <w:r w:rsidR="001316F6" w:rsidRPr="00511CD3">
        <w:rPr>
          <w:rFonts w:ascii="Cambria" w:hAnsi="Cambria"/>
          <w:sz w:val="20"/>
          <w:szCs w:val="20"/>
        </w:rPr>
        <w:t>er</w:t>
      </w:r>
      <w:r w:rsidRPr="00511CD3">
        <w:rPr>
          <w:rFonts w:ascii="Cambria" w:hAnsi="Cambria"/>
          <w:sz w:val="20"/>
          <w:szCs w:val="20"/>
        </w:rPr>
        <w:t xml:space="preserve"> to participate in the birthday part</w:t>
      </w:r>
      <w:r w:rsidR="00B134A1" w:rsidRPr="00511CD3">
        <w:rPr>
          <w:rFonts w:ascii="Cambria" w:hAnsi="Cambria"/>
          <w:sz w:val="20"/>
          <w:szCs w:val="20"/>
        </w:rPr>
        <w:t>y</w:t>
      </w:r>
      <w:r w:rsidR="00701DB4" w:rsidRPr="00511CD3">
        <w:rPr>
          <w:rFonts w:ascii="Cambria" w:hAnsi="Cambria"/>
          <w:sz w:val="20"/>
          <w:szCs w:val="20"/>
        </w:rPr>
        <w:t xml:space="preserve"> that would be organized at</w:t>
      </w:r>
      <w:r w:rsidRPr="00511CD3">
        <w:rPr>
          <w:rFonts w:ascii="Cambria" w:hAnsi="Cambria"/>
          <w:sz w:val="20"/>
          <w:szCs w:val="20"/>
        </w:rPr>
        <w:t xml:space="preserve"> the child’s day care center.  </w:t>
      </w:r>
      <w:r w:rsidR="00830E47" w:rsidRPr="00511CD3">
        <w:rPr>
          <w:rFonts w:ascii="Cambria" w:hAnsi="Cambria"/>
          <w:sz w:val="20"/>
          <w:szCs w:val="20"/>
        </w:rPr>
        <w:t xml:space="preserve">“María” </w:t>
      </w:r>
      <w:r w:rsidRPr="00511CD3">
        <w:rPr>
          <w:rFonts w:ascii="Cambria" w:hAnsi="Cambria"/>
          <w:sz w:val="20"/>
          <w:szCs w:val="20"/>
        </w:rPr>
        <w:t>also informed the judge that, despite what had been agreed at the hearing of J</w:t>
      </w:r>
      <w:r w:rsidR="00B10F4D" w:rsidRPr="00511CD3">
        <w:rPr>
          <w:rFonts w:ascii="Cambria" w:hAnsi="Cambria"/>
          <w:sz w:val="20"/>
          <w:szCs w:val="20"/>
        </w:rPr>
        <w:t>uly</w:t>
      </w:r>
      <w:r w:rsidR="00830E47" w:rsidRPr="00511CD3">
        <w:rPr>
          <w:rFonts w:ascii="Cambria" w:hAnsi="Cambria"/>
          <w:sz w:val="20"/>
          <w:szCs w:val="20"/>
        </w:rPr>
        <w:t xml:space="preserve"> </w:t>
      </w:r>
      <w:r w:rsidRPr="00511CD3">
        <w:rPr>
          <w:rFonts w:ascii="Cambria" w:hAnsi="Cambria"/>
          <w:sz w:val="20"/>
          <w:szCs w:val="20"/>
        </w:rPr>
        <w:t xml:space="preserve">28, no progress had been made in allowing flexibility in the </w:t>
      </w:r>
      <w:r w:rsidR="00B134A1" w:rsidRPr="00511CD3">
        <w:rPr>
          <w:rFonts w:ascii="Cambria" w:hAnsi="Cambria"/>
          <w:sz w:val="20"/>
          <w:szCs w:val="20"/>
        </w:rPr>
        <w:t xml:space="preserve">agreed </w:t>
      </w:r>
      <w:r w:rsidRPr="00511CD3">
        <w:rPr>
          <w:rFonts w:ascii="Cambria" w:hAnsi="Cambria"/>
          <w:sz w:val="20"/>
          <w:szCs w:val="20"/>
        </w:rPr>
        <w:t>visitation schedule nor</w:t>
      </w:r>
      <w:r w:rsidR="00B134A1" w:rsidRPr="00511CD3">
        <w:rPr>
          <w:rFonts w:ascii="Cambria" w:hAnsi="Cambria"/>
          <w:sz w:val="20"/>
          <w:szCs w:val="20"/>
        </w:rPr>
        <w:t xml:space="preserve"> had</w:t>
      </w:r>
      <w:r w:rsidRPr="00511CD3">
        <w:rPr>
          <w:rFonts w:ascii="Cambria" w:hAnsi="Cambria"/>
          <w:sz w:val="20"/>
          <w:szCs w:val="20"/>
        </w:rPr>
        <w:t xml:space="preserve"> the social worker </w:t>
      </w:r>
      <w:r w:rsidR="00B134A1" w:rsidRPr="00511CD3">
        <w:rPr>
          <w:rFonts w:ascii="Cambria" w:hAnsi="Cambria"/>
          <w:sz w:val="20"/>
          <w:szCs w:val="20"/>
        </w:rPr>
        <w:t xml:space="preserve">begun </w:t>
      </w:r>
      <w:r w:rsidRPr="00511CD3">
        <w:rPr>
          <w:rFonts w:ascii="Cambria" w:hAnsi="Cambria"/>
          <w:sz w:val="20"/>
          <w:szCs w:val="20"/>
        </w:rPr>
        <w:t>to withdraw so that the meetings with her son would be more private.</w:t>
      </w:r>
      <w:r w:rsidR="00953750" w:rsidRPr="00511CD3">
        <w:rPr>
          <w:rStyle w:val="FootnoteReference"/>
          <w:rFonts w:ascii="Cambria" w:hAnsi="Cambria"/>
          <w:sz w:val="20"/>
          <w:szCs w:val="20"/>
        </w:rPr>
        <w:footnoteReference w:id="61"/>
      </w:r>
      <w:r w:rsidRPr="00511CD3">
        <w:rPr>
          <w:rFonts w:ascii="Cambria" w:hAnsi="Cambria"/>
          <w:sz w:val="20"/>
          <w:szCs w:val="20"/>
        </w:rPr>
        <w:t xml:space="preserve">  </w:t>
      </w:r>
      <w:r w:rsidR="00B134A1" w:rsidRPr="00511CD3">
        <w:rPr>
          <w:rFonts w:ascii="Cambria" w:hAnsi="Cambria"/>
          <w:sz w:val="20"/>
          <w:szCs w:val="20"/>
        </w:rPr>
        <w:t xml:space="preserve">The judge </w:t>
      </w:r>
      <w:r w:rsidR="00B2252C" w:rsidRPr="00511CD3">
        <w:rPr>
          <w:rFonts w:ascii="Cambria" w:hAnsi="Cambria"/>
          <w:sz w:val="20"/>
          <w:szCs w:val="20"/>
        </w:rPr>
        <w:t xml:space="preserve">gave notification of </w:t>
      </w:r>
      <w:r w:rsidR="00830E47" w:rsidRPr="00511CD3">
        <w:rPr>
          <w:rFonts w:ascii="Cambria" w:hAnsi="Cambria"/>
          <w:sz w:val="20"/>
          <w:szCs w:val="20"/>
        </w:rPr>
        <w:t>“María</w:t>
      </w:r>
      <w:r w:rsidR="00B134A1" w:rsidRPr="00511CD3">
        <w:rPr>
          <w:rFonts w:ascii="Cambria" w:hAnsi="Cambria"/>
          <w:sz w:val="20"/>
          <w:szCs w:val="20"/>
        </w:rPr>
        <w:t>’s</w:t>
      </w:r>
      <w:r w:rsidR="00830E47" w:rsidRPr="00511CD3">
        <w:rPr>
          <w:rFonts w:ascii="Cambria" w:hAnsi="Cambria"/>
          <w:sz w:val="20"/>
          <w:szCs w:val="20"/>
        </w:rPr>
        <w:t>”</w:t>
      </w:r>
      <w:r w:rsidR="00B134A1" w:rsidRPr="00511CD3">
        <w:rPr>
          <w:rFonts w:ascii="Cambria" w:hAnsi="Cambria"/>
          <w:sz w:val="20"/>
          <w:szCs w:val="20"/>
        </w:rPr>
        <w:t xml:space="preserve"> request to the attorneys for </w:t>
      </w:r>
      <w:r w:rsidR="00830E47" w:rsidRPr="00511CD3">
        <w:rPr>
          <w:rFonts w:ascii="Cambria" w:hAnsi="Cambria"/>
          <w:sz w:val="20"/>
          <w:szCs w:val="20"/>
        </w:rPr>
        <w:t>“Mariano</w:t>
      </w:r>
      <w:r w:rsidR="00B134A1" w:rsidRPr="00511CD3">
        <w:rPr>
          <w:rFonts w:ascii="Cambria" w:hAnsi="Cambria"/>
          <w:sz w:val="20"/>
          <w:szCs w:val="20"/>
        </w:rPr>
        <w:t>’s</w:t>
      </w:r>
      <w:r w:rsidR="00EC19A8" w:rsidRPr="00511CD3">
        <w:rPr>
          <w:rFonts w:ascii="Cambria" w:hAnsi="Cambria"/>
          <w:sz w:val="20"/>
          <w:szCs w:val="20"/>
        </w:rPr>
        <w:t xml:space="preserve">” </w:t>
      </w:r>
      <w:r w:rsidR="00A423EE" w:rsidRPr="00511CD3">
        <w:rPr>
          <w:rFonts w:ascii="Cambria" w:hAnsi="Cambria"/>
          <w:sz w:val="20"/>
          <w:szCs w:val="20"/>
        </w:rPr>
        <w:t>custodians</w:t>
      </w:r>
      <w:r w:rsidR="00B134A1" w:rsidRPr="00511CD3">
        <w:rPr>
          <w:rFonts w:ascii="Cambria" w:hAnsi="Cambria"/>
          <w:sz w:val="20"/>
          <w:szCs w:val="20"/>
        </w:rPr>
        <w:t>,</w:t>
      </w:r>
      <w:r w:rsidR="00953750" w:rsidRPr="00511CD3">
        <w:rPr>
          <w:rStyle w:val="FootnoteReference"/>
          <w:rFonts w:ascii="Cambria" w:hAnsi="Cambria"/>
          <w:sz w:val="20"/>
          <w:szCs w:val="20"/>
        </w:rPr>
        <w:footnoteReference w:id="62"/>
      </w:r>
      <w:r w:rsidR="00B134A1" w:rsidRPr="00511CD3">
        <w:rPr>
          <w:rFonts w:ascii="Cambria" w:hAnsi="Cambria"/>
          <w:sz w:val="20"/>
          <w:szCs w:val="20"/>
        </w:rPr>
        <w:t xml:space="preserve"> who did not agree that the child could go to his mother’s house on his birthday and proposed an alternate site,</w:t>
      </w:r>
      <w:r w:rsidR="00953750" w:rsidRPr="00511CD3">
        <w:rPr>
          <w:rStyle w:val="FootnoteReference"/>
          <w:rFonts w:ascii="Cambria" w:hAnsi="Cambria"/>
          <w:sz w:val="20"/>
          <w:szCs w:val="20"/>
        </w:rPr>
        <w:footnoteReference w:id="63"/>
      </w:r>
      <w:r w:rsidR="00B134A1" w:rsidRPr="00511CD3">
        <w:rPr>
          <w:rFonts w:ascii="Cambria" w:hAnsi="Cambria"/>
          <w:sz w:val="20"/>
          <w:szCs w:val="20"/>
        </w:rPr>
        <w:t xml:space="preserve"> </w:t>
      </w:r>
      <w:r w:rsidR="00B10F4D" w:rsidRPr="00511CD3">
        <w:rPr>
          <w:rFonts w:ascii="Cambria" w:hAnsi="Cambria"/>
          <w:sz w:val="20"/>
          <w:szCs w:val="20"/>
        </w:rPr>
        <w:t>a</w:t>
      </w:r>
      <w:r w:rsidR="00B134A1" w:rsidRPr="00511CD3">
        <w:rPr>
          <w:rFonts w:ascii="Cambria" w:hAnsi="Cambria"/>
          <w:sz w:val="20"/>
          <w:szCs w:val="20"/>
        </w:rPr>
        <w:t>lso</w:t>
      </w:r>
      <w:r w:rsidR="00B2252C" w:rsidRPr="00511CD3">
        <w:rPr>
          <w:rFonts w:ascii="Cambria" w:hAnsi="Cambria"/>
          <w:sz w:val="20"/>
          <w:szCs w:val="20"/>
        </w:rPr>
        <w:t xml:space="preserve"> notifying </w:t>
      </w:r>
      <w:r w:rsidR="00830E47" w:rsidRPr="00511CD3">
        <w:rPr>
          <w:rFonts w:ascii="Cambria" w:hAnsi="Cambria"/>
          <w:sz w:val="20"/>
          <w:szCs w:val="20"/>
        </w:rPr>
        <w:t>“Mariano</w:t>
      </w:r>
      <w:r w:rsidR="00B134A1" w:rsidRPr="00511CD3">
        <w:rPr>
          <w:rFonts w:ascii="Cambria" w:hAnsi="Cambria"/>
          <w:sz w:val="20"/>
          <w:szCs w:val="20"/>
        </w:rPr>
        <w:t>’s</w:t>
      </w:r>
      <w:r w:rsidR="00830E47" w:rsidRPr="00511CD3">
        <w:rPr>
          <w:rFonts w:ascii="Cambria" w:hAnsi="Cambria"/>
          <w:sz w:val="20"/>
          <w:szCs w:val="20"/>
        </w:rPr>
        <w:t>”</w:t>
      </w:r>
      <w:r w:rsidR="00B134A1" w:rsidRPr="00511CD3">
        <w:rPr>
          <w:rFonts w:ascii="Cambria" w:hAnsi="Cambria"/>
          <w:sz w:val="20"/>
          <w:szCs w:val="20"/>
        </w:rPr>
        <w:t xml:space="preserve"> </w:t>
      </w:r>
      <w:r w:rsidR="0096576B" w:rsidRPr="00511CD3">
        <w:rPr>
          <w:rFonts w:ascii="Cambria" w:hAnsi="Cambria"/>
          <w:sz w:val="20"/>
          <w:szCs w:val="20"/>
        </w:rPr>
        <w:t xml:space="preserve">court-appointed legal </w:t>
      </w:r>
      <w:r w:rsidR="00F87012" w:rsidRPr="00511CD3">
        <w:rPr>
          <w:rFonts w:ascii="Cambria" w:hAnsi="Cambria"/>
          <w:sz w:val="20"/>
          <w:szCs w:val="20"/>
        </w:rPr>
        <w:t xml:space="preserve">advisor </w:t>
      </w:r>
      <w:r w:rsidR="00B134A1" w:rsidRPr="00511CD3">
        <w:rPr>
          <w:rFonts w:ascii="Cambria" w:hAnsi="Cambria"/>
          <w:sz w:val="20"/>
          <w:szCs w:val="20"/>
        </w:rPr>
        <w:t xml:space="preserve">and Civil Defender No. </w:t>
      </w:r>
      <w:r w:rsidR="00830E47" w:rsidRPr="00511CD3">
        <w:rPr>
          <w:rFonts w:ascii="Cambria" w:hAnsi="Cambria"/>
          <w:sz w:val="20"/>
          <w:szCs w:val="20"/>
        </w:rPr>
        <w:t>5,</w:t>
      </w:r>
      <w:r w:rsidR="00B134A1" w:rsidRPr="00511CD3">
        <w:rPr>
          <w:rFonts w:ascii="Cambria" w:hAnsi="Cambria"/>
          <w:sz w:val="20"/>
          <w:szCs w:val="20"/>
        </w:rPr>
        <w:t xml:space="preserve"> who did not raise objections.</w:t>
      </w:r>
      <w:r w:rsidR="00830E47" w:rsidRPr="00511CD3">
        <w:rPr>
          <w:rStyle w:val="FootnoteReference"/>
          <w:rFonts w:ascii="Cambria" w:hAnsi="Cambria"/>
          <w:sz w:val="20"/>
          <w:szCs w:val="20"/>
        </w:rPr>
        <w:footnoteReference w:id="64"/>
      </w:r>
      <w:r w:rsidR="00B134A1" w:rsidRPr="00511CD3">
        <w:rPr>
          <w:rFonts w:ascii="Cambria" w:hAnsi="Cambria"/>
          <w:sz w:val="20"/>
          <w:szCs w:val="20"/>
        </w:rPr>
        <w:t xml:space="preserve">  On </w:t>
      </w:r>
      <w:r w:rsidR="00B10F4D" w:rsidRPr="00511CD3">
        <w:rPr>
          <w:rFonts w:ascii="Cambria" w:hAnsi="Cambria"/>
          <w:sz w:val="20"/>
          <w:szCs w:val="20"/>
        </w:rPr>
        <w:t>August</w:t>
      </w:r>
      <w:r w:rsidR="00830E47" w:rsidRPr="00511CD3">
        <w:rPr>
          <w:rFonts w:ascii="Cambria" w:hAnsi="Cambria"/>
          <w:sz w:val="20"/>
          <w:szCs w:val="20"/>
        </w:rPr>
        <w:t xml:space="preserve"> </w:t>
      </w:r>
      <w:r w:rsidR="00B134A1" w:rsidRPr="00511CD3">
        <w:rPr>
          <w:rFonts w:ascii="Cambria" w:hAnsi="Cambria"/>
          <w:sz w:val="20"/>
          <w:szCs w:val="20"/>
        </w:rPr>
        <w:t xml:space="preserve">24, </w:t>
      </w:r>
      <w:r w:rsidR="00830E47" w:rsidRPr="00511CD3">
        <w:rPr>
          <w:rFonts w:ascii="Cambria" w:hAnsi="Cambria"/>
          <w:sz w:val="20"/>
          <w:szCs w:val="20"/>
        </w:rPr>
        <w:t>2017</w:t>
      </w:r>
      <w:r w:rsidR="00B134A1" w:rsidRPr="00511CD3">
        <w:rPr>
          <w:rFonts w:ascii="Cambria" w:hAnsi="Cambria"/>
          <w:sz w:val="20"/>
          <w:szCs w:val="20"/>
        </w:rPr>
        <w:t>, the judge decided to admit the request.</w:t>
      </w:r>
      <w:r w:rsidR="0083146B" w:rsidRPr="00511CD3">
        <w:rPr>
          <w:rStyle w:val="FootnoteReference"/>
          <w:rFonts w:ascii="Cambria" w:hAnsi="Cambria"/>
          <w:sz w:val="20"/>
          <w:szCs w:val="20"/>
        </w:rPr>
        <w:footnoteReference w:id="65"/>
      </w:r>
    </w:p>
    <w:p w14:paraId="5048D28D" w14:textId="77777777" w:rsidR="00137DBC" w:rsidRPr="00511CD3" w:rsidRDefault="00137DBC" w:rsidP="008429F6">
      <w:pPr>
        <w:pStyle w:val="ListParagraph"/>
        <w:numPr>
          <w:ilvl w:val="0"/>
          <w:numId w:val="0"/>
        </w:numPr>
      </w:pPr>
    </w:p>
    <w:p w14:paraId="14C23E65" w14:textId="77777777" w:rsidR="00E50F79" w:rsidRPr="00511CD3" w:rsidRDefault="00B134A1"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September</w:t>
      </w:r>
      <w:r w:rsidR="00137DBC" w:rsidRPr="00511CD3">
        <w:rPr>
          <w:rFonts w:ascii="Cambria" w:hAnsi="Cambria"/>
          <w:sz w:val="20"/>
          <w:szCs w:val="20"/>
        </w:rPr>
        <w:t xml:space="preserve"> </w:t>
      </w:r>
      <w:r w:rsidRPr="00511CD3">
        <w:rPr>
          <w:rFonts w:ascii="Cambria" w:hAnsi="Cambria"/>
          <w:sz w:val="20"/>
          <w:szCs w:val="20"/>
        </w:rPr>
        <w:t xml:space="preserve">13, </w:t>
      </w:r>
      <w:r w:rsidR="00137DBC" w:rsidRPr="00511CD3">
        <w:rPr>
          <w:rFonts w:ascii="Cambria" w:hAnsi="Cambria"/>
          <w:sz w:val="20"/>
          <w:szCs w:val="20"/>
        </w:rPr>
        <w:t>2017</w:t>
      </w:r>
      <w:r w:rsidRPr="00511CD3">
        <w:rPr>
          <w:rFonts w:ascii="Cambria" w:hAnsi="Cambria"/>
          <w:sz w:val="20"/>
          <w:szCs w:val="20"/>
        </w:rPr>
        <w:t xml:space="preserve">, the meetings began between </w:t>
      </w:r>
      <w:r w:rsidR="00137DBC" w:rsidRPr="00511CD3">
        <w:rPr>
          <w:rFonts w:ascii="Cambria" w:hAnsi="Cambria"/>
          <w:sz w:val="20"/>
          <w:szCs w:val="20"/>
        </w:rPr>
        <w:t>“</w:t>
      </w:r>
      <w:r w:rsidR="009A00DD" w:rsidRPr="00511CD3">
        <w:rPr>
          <w:rFonts w:ascii="Cambria" w:hAnsi="Cambria"/>
          <w:sz w:val="20"/>
          <w:szCs w:val="20"/>
        </w:rPr>
        <w:t>María</w:t>
      </w:r>
      <w:r w:rsidR="00137DBC"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her son as part of the “Encounter Point” program.  According to the work plan presented by the program’s authorities, the goal at the first</w:t>
      </w:r>
      <w:r w:rsidR="0062698C" w:rsidRPr="00511CD3">
        <w:rPr>
          <w:rFonts w:ascii="Cambria" w:hAnsi="Cambria"/>
          <w:sz w:val="20"/>
          <w:szCs w:val="20"/>
        </w:rPr>
        <w:t>, two-month, s</w:t>
      </w:r>
      <w:r w:rsidRPr="00511CD3">
        <w:rPr>
          <w:rFonts w:ascii="Cambria" w:hAnsi="Cambria"/>
          <w:sz w:val="20"/>
          <w:szCs w:val="20"/>
        </w:rPr>
        <w:t xml:space="preserve">tage would be to </w:t>
      </w:r>
      <w:r w:rsidR="00137DBC" w:rsidRPr="00511CD3">
        <w:rPr>
          <w:rFonts w:ascii="Cambria" w:hAnsi="Cambria"/>
          <w:sz w:val="20"/>
          <w:szCs w:val="20"/>
        </w:rPr>
        <w:t>“</w:t>
      </w:r>
      <w:r w:rsidR="00213888" w:rsidRPr="00511CD3">
        <w:rPr>
          <w:rFonts w:ascii="Cambria" w:hAnsi="Cambria"/>
          <w:sz w:val="20"/>
          <w:szCs w:val="20"/>
        </w:rPr>
        <w:t>enable</w:t>
      </w:r>
      <w:r w:rsidRPr="00511CD3">
        <w:rPr>
          <w:rFonts w:ascii="Cambria" w:hAnsi="Cambria"/>
          <w:sz w:val="20"/>
          <w:szCs w:val="20"/>
        </w:rPr>
        <w:t>, mediate, and sustain</w:t>
      </w:r>
      <w:r w:rsidR="00137DBC" w:rsidRPr="00511CD3">
        <w:rPr>
          <w:rFonts w:ascii="Cambria" w:hAnsi="Cambria"/>
          <w:sz w:val="20"/>
          <w:szCs w:val="20"/>
        </w:rPr>
        <w:t xml:space="preserve">” </w:t>
      </w:r>
      <w:r w:rsidRPr="00511CD3">
        <w:rPr>
          <w:rFonts w:ascii="Cambria" w:hAnsi="Cambria"/>
          <w:sz w:val="20"/>
          <w:szCs w:val="20"/>
        </w:rPr>
        <w:t xml:space="preserve">contact between </w:t>
      </w:r>
      <w:r w:rsidR="00137DBC" w:rsidRPr="00511CD3">
        <w:rPr>
          <w:rFonts w:ascii="Cambria" w:hAnsi="Cambria"/>
          <w:sz w:val="20"/>
          <w:szCs w:val="20"/>
        </w:rPr>
        <w:t>“María”</w:t>
      </w:r>
      <w:r w:rsidR="00B10F4D" w:rsidRPr="00511CD3">
        <w:rPr>
          <w:rFonts w:ascii="Cambria" w:hAnsi="Cambria"/>
          <w:sz w:val="20"/>
          <w:szCs w:val="20"/>
        </w:rPr>
        <w:t xml:space="preserve"> and </w:t>
      </w:r>
      <w:r w:rsidRPr="00511CD3">
        <w:rPr>
          <w:rFonts w:ascii="Cambria" w:hAnsi="Cambria"/>
          <w:sz w:val="20"/>
          <w:szCs w:val="20"/>
        </w:rPr>
        <w:t>her son</w:t>
      </w:r>
      <w:r w:rsidR="00137DBC" w:rsidRPr="00511CD3">
        <w:rPr>
          <w:rFonts w:ascii="Cambria" w:hAnsi="Cambria"/>
          <w:sz w:val="20"/>
          <w:szCs w:val="20"/>
        </w:rPr>
        <w:t xml:space="preserve">. </w:t>
      </w:r>
      <w:r w:rsidRPr="00511CD3">
        <w:rPr>
          <w:rFonts w:ascii="Cambria" w:hAnsi="Cambria"/>
          <w:sz w:val="20"/>
          <w:szCs w:val="20"/>
        </w:rPr>
        <w:t xml:space="preserve">However, on February 1, </w:t>
      </w:r>
      <w:r w:rsidR="00137DBC" w:rsidRPr="00511CD3">
        <w:rPr>
          <w:rFonts w:ascii="Cambria" w:hAnsi="Cambria"/>
          <w:sz w:val="20"/>
          <w:szCs w:val="20"/>
        </w:rPr>
        <w:t>2018</w:t>
      </w:r>
      <w:r w:rsidRPr="00511CD3">
        <w:rPr>
          <w:rFonts w:ascii="Cambria" w:hAnsi="Cambria"/>
          <w:sz w:val="20"/>
          <w:szCs w:val="20"/>
        </w:rPr>
        <w:t>, the attorneys for</w:t>
      </w:r>
      <w:r w:rsidR="00137DBC" w:rsidRPr="00511CD3">
        <w:rPr>
          <w:rFonts w:ascii="Cambria" w:hAnsi="Cambria"/>
          <w:sz w:val="20"/>
          <w:szCs w:val="20"/>
        </w:rPr>
        <w:t xml:space="preserve"> “</w:t>
      </w:r>
      <w:r w:rsidR="009A00DD" w:rsidRPr="00511CD3">
        <w:rPr>
          <w:rFonts w:ascii="Cambria" w:hAnsi="Cambria"/>
          <w:sz w:val="20"/>
          <w:szCs w:val="20"/>
        </w:rPr>
        <w:t>María</w:t>
      </w:r>
      <w:r w:rsidR="00137DBC"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 xml:space="preserve">her mother submitted at court </w:t>
      </w:r>
      <w:r w:rsidR="0085612B" w:rsidRPr="00511CD3">
        <w:rPr>
          <w:rFonts w:ascii="Cambria" w:hAnsi="Cambria"/>
          <w:sz w:val="20"/>
          <w:szCs w:val="20"/>
        </w:rPr>
        <w:t xml:space="preserve">a document </w:t>
      </w:r>
      <w:r w:rsidRPr="00511CD3">
        <w:rPr>
          <w:rFonts w:ascii="Cambria" w:hAnsi="Cambria"/>
          <w:sz w:val="20"/>
          <w:szCs w:val="20"/>
        </w:rPr>
        <w:t xml:space="preserve">contending that </w:t>
      </w:r>
      <w:r w:rsidR="0062698C" w:rsidRPr="00511CD3">
        <w:rPr>
          <w:rFonts w:ascii="Cambria" w:hAnsi="Cambria"/>
          <w:sz w:val="20"/>
          <w:szCs w:val="20"/>
        </w:rPr>
        <w:t>in</w:t>
      </w:r>
      <w:r w:rsidRPr="00511CD3">
        <w:rPr>
          <w:rFonts w:ascii="Cambria" w:hAnsi="Cambria"/>
          <w:sz w:val="20"/>
          <w:szCs w:val="20"/>
        </w:rPr>
        <w:t xml:space="preserve"> </w:t>
      </w:r>
      <w:r w:rsidR="00B10F4D" w:rsidRPr="00511CD3">
        <w:rPr>
          <w:rFonts w:ascii="Cambria" w:hAnsi="Cambria"/>
          <w:sz w:val="20"/>
          <w:szCs w:val="20"/>
        </w:rPr>
        <w:t>January</w:t>
      </w:r>
      <w:r w:rsidRPr="00511CD3">
        <w:rPr>
          <w:rFonts w:ascii="Cambria" w:hAnsi="Cambria"/>
          <w:sz w:val="20"/>
          <w:szCs w:val="20"/>
        </w:rPr>
        <w:t xml:space="preserve">, the meetings between </w:t>
      </w:r>
      <w:r w:rsidR="006F2257" w:rsidRPr="00511CD3">
        <w:rPr>
          <w:rFonts w:ascii="Cambria" w:hAnsi="Cambria"/>
          <w:sz w:val="20"/>
          <w:szCs w:val="20"/>
        </w:rPr>
        <w:t>“</w:t>
      </w:r>
      <w:r w:rsidR="00650427" w:rsidRPr="00511CD3">
        <w:rPr>
          <w:rFonts w:ascii="Cambria" w:hAnsi="Cambria"/>
          <w:sz w:val="20"/>
          <w:szCs w:val="20"/>
        </w:rPr>
        <w:t>María</w:t>
      </w:r>
      <w:r w:rsidR="006F2257"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 xml:space="preserve">her son did not take place because </w:t>
      </w:r>
      <w:r w:rsidR="0062698C" w:rsidRPr="00511CD3">
        <w:rPr>
          <w:rFonts w:ascii="Cambria" w:hAnsi="Cambria"/>
          <w:sz w:val="20"/>
          <w:szCs w:val="20"/>
        </w:rPr>
        <w:t>the</w:t>
      </w:r>
      <w:r w:rsidRPr="00511CD3">
        <w:rPr>
          <w:rFonts w:ascii="Cambria" w:hAnsi="Cambria"/>
          <w:sz w:val="20"/>
          <w:szCs w:val="20"/>
        </w:rPr>
        <w:t xml:space="preserve"> Encounter Point professionals were on vacation </w:t>
      </w:r>
      <w:r w:rsidR="00B10F4D" w:rsidRPr="00511CD3">
        <w:rPr>
          <w:rFonts w:ascii="Cambria" w:hAnsi="Cambria"/>
          <w:sz w:val="20"/>
          <w:szCs w:val="20"/>
        </w:rPr>
        <w:t xml:space="preserve">and </w:t>
      </w:r>
      <w:r w:rsidRPr="00511CD3">
        <w:rPr>
          <w:rFonts w:ascii="Cambria" w:hAnsi="Cambria"/>
          <w:sz w:val="20"/>
          <w:szCs w:val="20"/>
        </w:rPr>
        <w:t>because the child left the jurisdiction with Mr. and Mrs.</w:t>
      </w:r>
      <w:r w:rsidR="006F2257" w:rsidRPr="00511CD3">
        <w:rPr>
          <w:rFonts w:ascii="Cambria" w:hAnsi="Cambria"/>
          <w:sz w:val="20"/>
          <w:szCs w:val="20"/>
        </w:rPr>
        <w:t xml:space="preserve"> </w:t>
      </w:r>
      <w:r w:rsidR="00F94016" w:rsidRPr="00511CD3">
        <w:rPr>
          <w:rFonts w:ascii="Cambria" w:hAnsi="Cambria"/>
          <w:sz w:val="20"/>
          <w:szCs w:val="20"/>
        </w:rPr>
        <w:t>“López</w:t>
      </w:r>
      <w:r w:rsidR="0062698C" w:rsidRPr="00511CD3">
        <w:rPr>
          <w:rFonts w:ascii="Cambria" w:hAnsi="Cambria"/>
          <w:sz w:val="20"/>
          <w:szCs w:val="20"/>
        </w:rPr>
        <w:t>,</w:t>
      </w:r>
      <w:r w:rsidRPr="00511CD3">
        <w:rPr>
          <w:rFonts w:ascii="Cambria" w:hAnsi="Cambria"/>
          <w:sz w:val="20"/>
          <w:szCs w:val="20"/>
        </w:rPr>
        <w:t xml:space="preserve">” also on vacation, without authorization.  They also requested renewal of the procedural </w:t>
      </w:r>
      <w:r w:rsidR="00F87012" w:rsidRPr="00511CD3">
        <w:rPr>
          <w:rFonts w:ascii="Cambria" w:hAnsi="Cambria"/>
          <w:sz w:val="20"/>
          <w:szCs w:val="20"/>
        </w:rPr>
        <w:t xml:space="preserve">time </w:t>
      </w:r>
      <w:r w:rsidR="0085612B" w:rsidRPr="00511CD3">
        <w:rPr>
          <w:rFonts w:ascii="Cambria" w:hAnsi="Cambria"/>
          <w:sz w:val="20"/>
          <w:szCs w:val="20"/>
        </w:rPr>
        <w:t>periods</w:t>
      </w:r>
      <w:r w:rsidR="00F87012" w:rsidRPr="00511CD3">
        <w:rPr>
          <w:rFonts w:ascii="Cambria" w:hAnsi="Cambria"/>
          <w:sz w:val="20"/>
          <w:szCs w:val="20"/>
        </w:rPr>
        <w:t xml:space="preserve"> </w:t>
      </w:r>
      <w:r w:rsidRPr="00511CD3">
        <w:rPr>
          <w:rFonts w:ascii="Cambria" w:hAnsi="Cambria"/>
          <w:sz w:val="20"/>
          <w:szCs w:val="20"/>
        </w:rPr>
        <w:t xml:space="preserve">suspended since the hearing of </w:t>
      </w:r>
      <w:r w:rsidR="00B10F4D" w:rsidRPr="00511CD3">
        <w:rPr>
          <w:rFonts w:ascii="Cambria" w:hAnsi="Cambria"/>
          <w:sz w:val="20"/>
          <w:szCs w:val="20"/>
        </w:rPr>
        <w:t>July</w:t>
      </w:r>
      <w:r w:rsidR="006F2257" w:rsidRPr="00511CD3">
        <w:rPr>
          <w:rFonts w:ascii="Cambria" w:hAnsi="Cambria"/>
          <w:sz w:val="20"/>
          <w:szCs w:val="20"/>
        </w:rPr>
        <w:t xml:space="preserve"> </w:t>
      </w:r>
      <w:r w:rsidRPr="00511CD3">
        <w:rPr>
          <w:rFonts w:ascii="Cambria" w:hAnsi="Cambria"/>
          <w:sz w:val="20"/>
          <w:szCs w:val="20"/>
        </w:rPr>
        <w:t>28, 2</w:t>
      </w:r>
      <w:r w:rsidR="006F2257" w:rsidRPr="00511CD3">
        <w:rPr>
          <w:rFonts w:ascii="Cambria" w:hAnsi="Cambria"/>
          <w:sz w:val="20"/>
          <w:szCs w:val="20"/>
        </w:rPr>
        <w:t>017</w:t>
      </w:r>
      <w:r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 xml:space="preserve">that the meetings be held at </w:t>
      </w:r>
      <w:r w:rsidR="006F2257" w:rsidRPr="00511CD3">
        <w:rPr>
          <w:rFonts w:ascii="Cambria" w:hAnsi="Cambria"/>
          <w:sz w:val="20"/>
          <w:szCs w:val="20"/>
        </w:rPr>
        <w:t>“María</w:t>
      </w:r>
      <w:r w:rsidRPr="00511CD3">
        <w:rPr>
          <w:rFonts w:ascii="Cambria" w:hAnsi="Cambria"/>
          <w:sz w:val="20"/>
          <w:szCs w:val="20"/>
        </w:rPr>
        <w:t>’s</w:t>
      </w:r>
      <w:r w:rsidR="006F2257" w:rsidRPr="00511CD3">
        <w:rPr>
          <w:rFonts w:ascii="Cambria" w:hAnsi="Cambria"/>
          <w:sz w:val="20"/>
          <w:szCs w:val="20"/>
        </w:rPr>
        <w:t>”</w:t>
      </w:r>
      <w:r w:rsidRPr="00511CD3">
        <w:rPr>
          <w:rFonts w:ascii="Cambria" w:hAnsi="Cambria"/>
          <w:sz w:val="20"/>
          <w:szCs w:val="20"/>
        </w:rPr>
        <w:t xml:space="preserve"> house, between her, her family,</w:t>
      </w:r>
      <w:r w:rsidR="00B10F4D" w:rsidRPr="00511CD3">
        <w:rPr>
          <w:rFonts w:ascii="Cambria" w:hAnsi="Cambria"/>
          <w:sz w:val="20"/>
          <w:szCs w:val="20"/>
        </w:rPr>
        <w:t xml:space="preserve"> and </w:t>
      </w:r>
      <w:r w:rsidR="00540394" w:rsidRPr="00511CD3">
        <w:rPr>
          <w:rFonts w:ascii="Cambria" w:hAnsi="Cambria"/>
          <w:sz w:val="20"/>
          <w:szCs w:val="20"/>
        </w:rPr>
        <w:t>the child “Mariano</w:t>
      </w:r>
      <w:r w:rsidRPr="00511CD3">
        <w:rPr>
          <w:rFonts w:ascii="Cambria" w:hAnsi="Cambria"/>
          <w:sz w:val="20"/>
          <w:szCs w:val="20"/>
        </w:rPr>
        <w:t>,</w:t>
      </w:r>
      <w:r w:rsidR="00540394" w:rsidRPr="00511CD3">
        <w:rPr>
          <w:rFonts w:ascii="Cambria" w:hAnsi="Cambria"/>
          <w:sz w:val="20"/>
          <w:szCs w:val="20"/>
        </w:rPr>
        <w:t>”</w:t>
      </w:r>
      <w:r w:rsidRPr="00511CD3">
        <w:rPr>
          <w:rFonts w:ascii="Cambria" w:hAnsi="Cambria"/>
          <w:sz w:val="20"/>
          <w:szCs w:val="20"/>
        </w:rPr>
        <w:t xml:space="preserve"> without participation or supervision by third parties.</w:t>
      </w:r>
      <w:r w:rsidR="006F2257" w:rsidRPr="00511CD3">
        <w:rPr>
          <w:rStyle w:val="FootnoteReference"/>
          <w:rFonts w:ascii="Cambria" w:hAnsi="Cambria"/>
          <w:sz w:val="20"/>
          <w:szCs w:val="20"/>
        </w:rPr>
        <w:footnoteReference w:id="66"/>
      </w:r>
    </w:p>
    <w:p w14:paraId="7AE073FE" w14:textId="77777777" w:rsidR="00E50F79" w:rsidRPr="00511CD3" w:rsidRDefault="00E50F79" w:rsidP="008429F6">
      <w:pPr>
        <w:pStyle w:val="ListParagraph"/>
        <w:numPr>
          <w:ilvl w:val="0"/>
          <w:numId w:val="0"/>
        </w:numPr>
      </w:pPr>
    </w:p>
    <w:p w14:paraId="0FCEC62C" w14:textId="77777777" w:rsidR="00C47C4B" w:rsidRPr="00511CD3" w:rsidRDefault="0062698C"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February</w:t>
      </w:r>
      <w:r w:rsidR="006F2257" w:rsidRPr="00511CD3">
        <w:rPr>
          <w:rFonts w:ascii="Cambria" w:hAnsi="Cambria"/>
          <w:sz w:val="20"/>
          <w:szCs w:val="20"/>
        </w:rPr>
        <w:t xml:space="preserve"> </w:t>
      </w:r>
      <w:r w:rsidRPr="00511CD3">
        <w:rPr>
          <w:rFonts w:ascii="Cambria" w:hAnsi="Cambria"/>
          <w:sz w:val="20"/>
          <w:szCs w:val="20"/>
        </w:rPr>
        <w:t>28, 2</w:t>
      </w:r>
      <w:r w:rsidR="006F2257" w:rsidRPr="00511CD3">
        <w:rPr>
          <w:rFonts w:ascii="Cambria" w:hAnsi="Cambria"/>
          <w:sz w:val="20"/>
          <w:szCs w:val="20"/>
        </w:rPr>
        <w:t>018</w:t>
      </w:r>
      <w:r w:rsidRPr="00511CD3">
        <w:rPr>
          <w:rFonts w:ascii="Cambria" w:hAnsi="Cambria"/>
          <w:sz w:val="20"/>
          <w:szCs w:val="20"/>
        </w:rPr>
        <w:t>, the “E</w:t>
      </w:r>
      <w:r w:rsidR="006F2257" w:rsidRPr="00511CD3">
        <w:rPr>
          <w:rFonts w:ascii="Cambria" w:hAnsi="Cambria"/>
          <w:sz w:val="20"/>
          <w:szCs w:val="20"/>
        </w:rPr>
        <w:t>n</w:t>
      </w:r>
      <w:r w:rsidRPr="00511CD3">
        <w:rPr>
          <w:rFonts w:ascii="Cambria" w:hAnsi="Cambria"/>
          <w:sz w:val="20"/>
          <w:szCs w:val="20"/>
        </w:rPr>
        <w:t>counter Point</w:t>
      </w:r>
      <w:r w:rsidR="006F2257" w:rsidRPr="00511CD3">
        <w:rPr>
          <w:rFonts w:ascii="Cambria" w:hAnsi="Cambria"/>
          <w:sz w:val="20"/>
          <w:szCs w:val="20"/>
        </w:rPr>
        <w:t xml:space="preserve">” </w:t>
      </w:r>
      <w:r w:rsidRPr="00511CD3">
        <w:rPr>
          <w:rFonts w:ascii="Cambria" w:hAnsi="Cambria"/>
          <w:sz w:val="20"/>
          <w:szCs w:val="20"/>
        </w:rPr>
        <w:t xml:space="preserve">program sent a report on </w:t>
      </w:r>
      <w:r w:rsidR="0085612B" w:rsidRPr="00511CD3">
        <w:rPr>
          <w:rFonts w:ascii="Cambria" w:hAnsi="Cambria"/>
          <w:sz w:val="20"/>
          <w:szCs w:val="20"/>
        </w:rPr>
        <w:t xml:space="preserve">what the taken place </w:t>
      </w:r>
      <w:r w:rsidRPr="00511CD3">
        <w:rPr>
          <w:rFonts w:ascii="Cambria" w:hAnsi="Cambria"/>
          <w:sz w:val="20"/>
          <w:szCs w:val="20"/>
        </w:rPr>
        <w:t>up to that time</w:t>
      </w:r>
      <w:r w:rsidR="00B10F4D" w:rsidRPr="00511CD3">
        <w:rPr>
          <w:rFonts w:ascii="Cambria" w:hAnsi="Cambria"/>
          <w:sz w:val="20"/>
          <w:szCs w:val="20"/>
        </w:rPr>
        <w:t xml:space="preserve"> and </w:t>
      </w:r>
      <w:r w:rsidRPr="00511CD3">
        <w:rPr>
          <w:rFonts w:ascii="Cambria" w:hAnsi="Cambria"/>
          <w:sz w:val="20"/>
          <w:szCs w:val="20"/>
        </w:rPr>
        <w:t xml:space="preserve">recommended that </w:t>
      </w:r>
      <w:r w:rsidR="00F87012" w:rsidRPr="00511CD3">
        <w:rPr>
          <w:rFonts w:ascii="Cambria" w:hAnsi="Cambria"/>
          <w:sz w:val="20"/>
          <w:szCs w:val="20"/>
        </w:rPr>
        <w:t xml:space="preserve">professionals continue to attend </w:t>
      </w:r>
      <w:r w:rsidRPr="00511CD3">
        <w:rPr>
          <w:rFonts w:ascii="Cambria" w:hAnsi="Cambria"/>
          <w:sz w:val="20"/>
          <w:szCs w:val="20"/>
        </w:rPr>
        <w:t xml:space="preserve">the meetings between </w:t>
      </w:r>
      <w:r w:rsidR="006F2257" w:rsidRPr="00511CD3">
        <w:rPr>
          <w:rFonts w:ascii="Cambria" w:hAnsi="Cambria"/>
          <w:sz w:val="20"/>
          <w:szCs w:val="20"/>
        </w:rPr>
        <w:t>“</w:t>
      </w:r>
      <w:r w:rsidR="00650427" w:rsidRPr="00511CD3">
        <w:rPr>
          <w:rFonts w:ascii="Cambria" w:hAnsi="Cambria"/>
          <w:sz w:val="20"/>
          <w:szCs w:val="20"/>
        </w:rPr>
        <w:t>María</w:t>
      </w:r>
      <w:r w:rsidR="006F2257"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her son.</w:t>
      </w:r>
      <w:r w:rsidR="006F2257" w:rsidRPr="00511CD3">
        <w:rPr>
          <w:rStyle w:val="FootnoteReference"/>
          <w:rFonts w:ascii="Cambria" w:hAnsi="Cambria"/>
          <w:sz w:val="20"/>
          <w:szCs w:val="20"/>
        </w:rPr>
        <w:footnoteReference w:id="67"/>
      </w:r>
      <w:r w:rsidRPr="00511CD3">
        <w:rPr>
          <w:rFonts w:ascii="Cambria" w:hAnsi="Cambria"/>
          <w:sz w:val="20"/>
          <w:szCs w:val="20"/>
        </w:rPr>
        <w:t xml:space="preserve">  On </w:t>
      </w:r>
      <w:r w:rsidR="00B10F4D" w:rsidRPr="00511CD3">
        <w:rPr>
          <w:rFonts w:ascii="Cambria" w:hAnsi="Cambria"/>
          <w:sz w:val="20"/>
          <w:szCs w:val="20"/>
        </w:rPr>
        <w:t>June</w:t>
      </w:r>
      <w:r w:rsidR="00650427" w:rsidRPr="00511CD3">
        <w:rPr>
          <w:rFonts w:ascii="Cambria" w:hAnsi="Cambria"/>
          <w:sz w:val="20"/>
          <w:szCs w:val="20"/>
        </w:rPr>
        <w:t xml:space="preserve"> </w:t>
      </w:r>
      <w:r w:rsidRPr="00511CD3">
        <w:rPr>
          <w:rFonts w:ascii="Cambria" w:hAnsi="Cambria"/>
          <w:sz w:val="20"/>
          <w:szCs w:val="20"/>
        </w:rPr>
        <w:t>26,</w:t>
      </w:r>
      <w:r w:rsidR="00650427" w:rsidRPr="00511CD3">
        <w:rPr>
          <w:rFonts w:ascii="Cambria" w:hAnsi="Cambria"/>
          <w:sz w:val="20"/>
          <w:szCs w:val="20"/>
        </w:rPr>
        <w:t xml:space="preserve"> 2018</w:t>
      </w:r>
      <w:r w:rsidRPr="00511CD3">
        <w:rPr>
          <w:rFonts w:ascii="Cambria" w:hAnsi="Cambria"/>
          <w:sz w:val="20"/>
          <w:szCs w:val="20"/>
        </w:rPr>
        <w:t>,</w:t>
      </w:r>
      <w:r w:rsidR="00650427" w:rsidRPr="00511CD3">
        <w:rPr>
          <w:rFonts w:ascii="Cambria" w:hAnsi="Cambria"/>
          <w:sz w:val="20"/>
          <w:szCs w:val="20"/>
        </w:rPr>
        <w:t xml:space="preserve"> “</w:t>
      </w:r>
      <w:r w:rsidR="004261B7" w:rsidRPr="00511CD3">
        <w:rPr>
          <w:rFonts w:ascii="Cambria" w:hAnsi="Cambria"/>
          <w:sz w:val="20"/>
          <w:szCs w:val="20"/>
        </w:rPr>
        <w:t>María</w:t>
      </w:r>
      <w:r w:rsidR="00650427"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 xml:space="preserve">her attorneys submitted a </w:t>
      </w:r>
      <w:r w:rsidR="0085612B" w:rsidRPr="00511CD3">
        <w:rPr>
          <w:rFonts w:ascii="Cambria" w:hAnsi="Cambria"/>
          <w:sz w:val="20"/>
          <w:szCs w:val="20"/>
        </w:rPr>
        <w:t>motion</w:t>
      </w:r>
      <w:r w:rsidRPr="00511CD3">
        <w:rPr>
          <w:rFonts w:ascii="Cambria" w:hAnsi="Cambria"/>
          <w:sz w:val="20"/>
          <w:szCs w:val="20"/>
        </w:rPr>
        <w:t xml:space="preserve"> requesting that “Encounter Point</w:t>
      </w:r>
      <w:r w:rsidR="00F87012" w:rsidRPr="00511CD3">
        <w:rPr>
          <w:rFonts w:ascii="Cambria" w:hAnsi="Cambria"/>
          <w:sz w:val="20"/>
          <w:szCs w:val="20"/>
        </w:rPr>
        <w:t>’s</w:t>
      </w:r>
      <w:r w:rsidRPr="00511CD3">
        <w:rPr>
          <w:rFonts w:ascii="Cambria" w:hAnsi="Cambria"/>
          <w:sz w:val="20"/>
          <w:szCs w:val="20"/>
        </w:rPr>
        <w:t>”</w:t>
      </w:r>
      <w:r w:rsidR="00F87012" w:rsidRPr="00511CD3">
        <w:rPr>
          <w:rFonts w:ascii="Cambria" w:hAnsi="Cambria"/>
          <w:sz w:val="20"/>
          <w:szCs w:val="20"/>
        </w:rPr>
        <w:t xml:space="preserve"> intervention</w:t>
      </w:r>
      <w:r w:rsidRPr="00511CD3">
        <w:rPr>
          <w:rFonts w:ascii="Cambria" w:hAnsi="Cambria"/>
          <w:sz w:val="20"/>
          <w:szCs w:val="20"/>
        </w:rPr>
        <w:t xml:space="preserve"> cease because the adolescent was uncomfortable with this work modality</w:t>
      </w:r>
      <w:r w:rsidR="00F87012" w:rsidRPr="00511CD3">
        <w:rPr>
          <w:rFonts w:ascii="Cambria" w:hAnsi="Cambria"/>
          <w:sz w:val="20"/>
          <w:szCs w:val="20"/>
        </w:rPr>
        <w:t>,</w:t>
      </w:r>
      <w:r w:rsidRPr="00511CD3">
        <w:rPr>
          <w:rFonts w:ascii="Cambria" w:hAnsi="Cambria"/>
          <w:sz w:val="20"/>
          <w:szCs w:val="20"/>
        </w:rPr>
        <w:t xml:space="preserve"> and requested that a contact schedule be established without interference by third parties.</w:t>
      </w:r>
      <w:r w:rsidR="008411EB" w:rsidRPr="00511CD3">
        <w:rPr>
          <w:rStyle w:val="FootnoteReference"/>
          <w:rFonts w:ascii="Cambria" w:hAnsi="Cambria"/>
          <w:sz w:val="20"/>
          <w:szCs w:val="20"/>
        </w:rPr>
        <w:footnoteReference w:id="68"/>
      </w:r>
      <w:r w:rsidRPr="00511CD3">
        <w:rPr>
          <w:rFonts w:ascii="Cambria" w:hAnsi="Cambria"/>
          <w:sz w:val="20"/>
          <w:szCs w:val="20"/>
        </w:rPr>
        <w:t xml:space="preserve">  </w:t>
      </w:r>
      <w:r w:rsidR="0085612B" w:rsidRPr="00511CD3">
        <w:rPr>
          <w:rFonts w:ascii="Cambria" w:hAnsi="Cambria"/>
          <w:sz w:val="20"/>
          <w:szCs w:val="20"/>
        </w:rPr>
        <w:t xml:space="preserve">On </w:t>
      </w:r>
      <w:r w:rsidR="00B10F4D" w:rsidRPr="00511CD3">
        <w:rPr>
          <w:rFonts w:ascii="Cambria" w:hAnsi="Cambria"/>
          <w:sz w:val="20"/>
          <w:szCs w:val="20"/>
        </w:rPr>
        <w:t>July</w:t>
      </w:r>
      <w:r w:rsidR="008411EB" w:rsidRPr="00511CD3">
        <w:rPr>
          <w:rFonts w:ascii="Cambria" w:hAnsi="Cambria"/>
          <w:sz w:val="20"/>
          <w:szCs w:val="20"/>
        </w:rPr>
        <w:t xml:space="preserve"> </w:t>
      </w:r>
      <w:r w:rsidRPr="00511CD3">
        <w:rPr>
          <w:rFonts w:ascii="Cambria" w:hAnsi="Cambria"/>
          <w:sz w:val="20"/>
          <w:szCs w:val="20"/>
        </w:rPr>
        <w:t xml:space="preserve">25, </w:t>
      </w:r>
      <w:r w:rsidR="008411EB" w:rsidRPr="00511CD3">
        <w:rPr>
          <w:rFonts w:ascii="Cambria" w:hAnsi="Cambria"/>
          <w:sz w:val="20"/>
          <w:szCs w:val="20"/>
        </w:rPr>
        <w:t>2018</w:t>
      </w:r>
      <w:r w:rsidRPr="00511CD3">
        <w:rPr>
          <w:rFonts w:ascii="Cambria" w:hAnsi="Cambria"/>
          <w:sz w:val="20"/>
          <w:szCs w:val="20"/>
        </w:rPr>
        <w:t xml:space="preserve">, the coordinator of the </w:t>
      </w:r>
      <w:r w:rsidRPr="00511CD3">
        <w:rPr>
          <w:rFonts w:ascii="Cambria" w:hAnsi="Cambria"/>
          <w:sz w:val="20"/>
          <w:szCs w:val="20"/>
        </w:rPr>
        <w:lastRenderedPageBreak/>
        <w:t xml:space="preserve">“Encounter Point” submitted a report relating </w:t>
      </w:r>
      <w:r w:rsidR="00F87012" w:rsidRPr="00511CD3">
        <w:rPr>
          <w:rFonts w:ascii="Cambria" w:hAnsi="Cambria"/>
          <w:sz w:val="20"/>
          <w:szCs w:val="20"/>
        </w:rPr>
        <w:t>the steps taken</w:t>
      </w:r>
      <w:r w:rsidRPr="00511CD3">
        <w:rPr>
          <w:rFonts w:ascii="Cambria" w:hAnsi="Cambria"/>
          <w:sz w:val="20"/>
          <w:szCs w:val="20"/>
        </w:rPr>
        <w:t xml:space="preserve"> </w:t>
      </w:r>
      <w:r w:rsidR="00B10F4D" w:rsidRPr="00511CD3">
        <w:rPr>
          <w:rFonts w:ascii="Cambria" w:hAnsi="Cambria"/>
          <w:sz w:val="20"/>
          <w:szCs w:val="20"/>
        </w:rPr>
        <w:t xml:space="preserve">and </w:t>
      </w:r>
      <w:r w:rsidRPr="00511CD3">
        <w:rPr>
          <w:rFonts w:ascii="Cambria" w:hAnsi="Cambria"/>
          <w:sz w:val="20"/>
          <w:szCs w:val="20"/>
        </w:rPr>
        <w:t>the difficulties encountered in the process of restoring ties.</w:t>
      </w:r>
      <w:r w:rsidR="000667C6" w:rsidRPr="00511CD3">
        <w:rPr>
          <w:rStyle w:val="FootnoteReference"/>
          <w:rFonts w:ascii="Cambria" w:hAnsi="Cambria"/>
          <w:sz w:val="20"/>
          <w:szCs w:val="20"/>
        </w:rPr>
        <w:footnoteReference w:id="69"/>
      </w:r>
    </w:p>
    <w:p w14:paraId="0A9532DF" w14:textId="77777777" w:rsidR="006F2257" w:rsidRPr="00511CD3" w:rsidRDefault="006F2257" w:rsidP="008429F6">
      <w:pPr>
        <w:pStyle w:val="ListParagraph"/>
        <w:numPr>
          <w:ilvl w:val="0"/>
          <w:numId w:val="0"/>
        </w:numPr>
      </w:pPr>
    </w:p>
    <w:p w14:paraId="18CD40EC" w14:textId="77777777" w:rsidR="006F2257" w:rsidRPr="00511CD3" w:rsidRDefault="0062698C"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June</w:t>
      </w:r>
      <w:r w:rsidR="006F2257" w:rsidRPr="00511CD3">
        <w:rPr>
          <w:rFonts w:ascii="Cambria" w:hAnsi="Cambria"/>
          <w:sz w:val="20"/>
          <w:szCs w:val="20"/>
        </w:rPr>
        <w:t xml:space="preserve"> </w:t>
      </w:r>
      <w:r w:rsidRPr="00511CD3">
        <w:rPr>
          <w:rFonts w:ascii="Cambria" w:hAnsi="Cambria"/>
          <w:sz w:val="20"/>
          <w:szCs w:val="20"/>
        </w:rPr>
        <w:t>4,</w:t>
      </w:r>
      <w:r w:rsidR="006F2257" w:rsidRPr="00511CD3">
        <w:rPr>
          <w:rFonts w:ascii="Cambria" w:hAnsi="Cambria"/>
          <w:sz w:val="20"/>
          <w:szCs w:val="20"/>
        </w:rPr>
        <w:t xml:space="preserve"> 2018</w:t>
      </w:r>
      <w:r w:rsidRPr="00511CD3">
        <w:rPr>
          <w:rFonts w:ascii="Cambria" w:hAnsi="Cambria"/>
          <w:sz w:val="20"/>
          <w:szCs w:val="20"/>
        </w:rPr>
        <w:t xml:space="preserve">, the defender in charge of the Office of Civil Defender No. </w:t>
      </w:r>
      <w:r w:rsidR="006F2257" w:rsidRPr="00511CD3">
        <w:rPr>
          <w:rFonts w:ascii="Cambria" w:hAnsi="Cambria"/>
          <w:sz w:val="20"/>
          <w:szCs w:val="20"/>
        </w:rPr>
        <w:t>1</w:t>
      </w:r>
      <w:r w:rsidRPr="00511CD3">
        <w:rPr>
          <w:rFonts w:ascii="Cambria" w:hAnsi="Cambria"/>
          <w:sz w:val="20"/>
          <w:szCs w:val="20"/>
        </w:rPr>
        <w:t xml:space="preserve"> submitted a document for the file reporting </w:t>
      </w:r>
      <w:r w:rsidR="00F44C1F" w:rsidRPr="00511CD3">
        <w:rPr>
          <w:rFonts w:ascii="Cambria" w:hAnsi="Cambria"/>
          <w:sz w:val="20"/>
          <w:szCs w:val="20"/>
        </w:rPr>
        <w:t>that</w:t>
      </w:r>
      <w:r w:rsidRPr="00511CD3">
        <w:rPr>
          <w:rFonts w:ascii="Cambria" w:hAnsi="Cambria"/>
          <w:sz w:val="20"/>
          <w:szCs w:val="20"/>
        </w:rPr>
        <w:t xml:space="preserve"> </w:t>
      </w:r>
      <w:r w:rsidR="006F2257" w:rsidRPr="00511CD3">
        <w:rPr>
          <w:rFonts w:ascii="Cambria" w:hAnsi="Cambria"/>
          <w:sz w:val="20"/>
          <w:szCs w:val="20"/>
        </w:rPr>
        <w:t>“</w:t>
      </w:r>
      <w:r w:rsidR="00650427" w:rsidRPr="00511CD3">
        <w:rPr>
          <w:rFonts w:ascii="Cambria" w:hAnsi="Cambria"/>
          <w:sz w:val="20"/>
          <w:szCs w:val="20"/>
        </w:rPr>
        <w:t>María</w:t>
      </w:r>
      <w:r w:rsidR="006F2257" w:rsidRPr="00511CD3">
        <w:rPr>
          <w:rFonts w:ascii="Cambria" w:hAnsi="Cambria"/>
          <w:sz w:val="20"/>
          <w:szCs w:val="20"/>
        </w:rPr>
        <w:t xml:space="preserve">” </w:t>
      </w:r>
      <w:r w:rsidRPr="00511CD3">
        <w:rPr>
          <w:rFonts w:ascii="Cambria" w:hAnsi="Cambria"/>
          <w:sz w:val="20"/>
          <w:szCs w:val="20"/>
        </w:rPr>
        <w:t xml:space="preserve">had come to her office and told her that the actions by the Encounter Point professionals were not having the results </w:t>
      </w:r>
      <w:r w:rsidR="001C2E15" w:rsidRPr="00511CD3">
        <w:rPr>
          <w:rFonts w:ascii="Cambria" w:hAnsi="Cambria"/>
          <w:sz w:val="20"/>
          <w:szCs w:val="20"/>
        </w:rPr>
        <w:t xml:space="preserve">anticipated </w:t>
      </w:r>
      <w:r w:rsidR="00B10F4D" w:rsidRPr="00511CD3">
        <w:rPr>
          <w:rFonts w:ascii="Cambria" w:hAnsi="Cambria"/>
          <w:sz w:val="20"/>
          <w:szCs w:val="20"/>
        </w:rPr>
        <w:t xml:space="preserve">and </w:t>
      </w:r>
      <w:r w:rsidRPr="00511CD3">
        <w:rPr>
          <w:rFonts w:ascii="Cambria" w:hAnsi="Cambria"/>
          <w:sz w:val="20"/>
          <w:szCs w:val="20"/>
        </w:rPr>
        <w:t xml:space="preserve">that the relationship </w:t>
      </w:r>
      <w:r w:rsidR="006C2679" w:rsidRPr="00511CD3">
        <w:rPr>
          <w:rFonts w:ascii="Cambria" w:hAnsi="Cambria"/>
          <w:sz w:val="20"/>
          <w:szCs w:val="20"/>
        </w:rPr>
        <w:t>with</w:t>
      </w:r>
      <w:r w:rsidR="00F44C1F" w:rsidRPr="00511CD3">
        <w:rPr>
          <w:rFonts w:ascii="Cambria" w:hAnsi="Cambria"/>
          <w:sz w:val="20"/>
          <w:szCs w:val="20"/>
        </w:rPr>
        <w:t xml:space="preserve"> </w:t>
      </w:r>
      <w:r w:rsidR="006F2257" w:rsidRPr="00511CD3">
        <w:rPr>
          <w:rFonts w:ascii="Cambria" w:hAnsi="Cambria"/>
          <w:sz w:val="20"/>
          <w:szCs w:val="20"/>
        </w:rPr>
        <w:t>”Mariano</w:t>
      </w:r>
      <w:r w:rsidRPr="00511CD3">
        <w:rPr>
          <w:rFonts w:ascii="Cambria" w:hAnsi="Cambria"/>
          <w:sz w:val="20"/>
          <w:szCs w:val="20"/>
        </w:rPr>
        <w:t>’s</w:t>
      </w:r>
      <w:r w:rsidR="006F2257" w:rsidRPr="00511CD3">
        <w:rPr>
          <w:rFonts w:ascii="Cambria" w:hAnsi="Cambria"/>
          <w:sz w:val="20"/>
          <w:szCs w:val="20"/>
        </w:rPr>
        <w:t>”</w:t>
      </w:r>
      <w:r w:rsidRPr="00511CD3">
        <w:rPr>
          <w:rFonts w:ascii="Cambria" w:hAnsi="Cambria"/>
          <w:sz w:val="20"/>
          <w:szCs w:val="20"/>
        </w:rPr>
        <w:t xml:space="preserve"> </w:t>
      </w:r>
      <w:r w:rsidR="00F87012" w:rsidRPr="00511CD3">
        <w:rPr>
          <w:rFonts w:ascii="Cambria" w:hAnsi="Cambria"/>
          <w:sz w:val="20"/>
          <w:szCs w:val="20"/>
        </w:rPr>
        <w:t xml:space="preserve">custodians </w:t>
      </w:r>
      <w:r w:rsidRPr="00511CD3">
        <w:rPr>
          <w:rFonts w:ascii="Cambria" w:hAnsi="Cambria"/>
          <w:sz w:val="20"/>
          <w:szCs w:val="20"/>
        </w:rPr>
        <w:t>had not improved</w:t>
      </w:r>
      <w:r w:rsidR="006F2257" w:rsidRPr="00511CD3">
        <w:rPr>
          <w:rFonts w:ascii="Cambria" w:hAnsi="Cambria"/>
          <w:sz w:val="20"/>
          <w:szCs w:val="20"/>
        </w:rPr>
        <w:t>, “</w:t>
      </w:r>
      <w:r w:rsidRPr="00511CD3">
        <w:rPr>
          <w:rFonts w:ascii="Cambria" w:hAnsi="Cambria"/>
          <w:sz w:val="20"/>
          <w:szCs w:val="20"/>
        </w:rPr>
        <w:t>they continuing to have an attitude that did not facilitate</w:t>
      </w:r>
      <w:r w:rsidR="004467F1" w:rsidRPr="00511CD3">
        <w:rPr>
          <w:rFonts w:ascii="Cambria" w:hAnsi="Cambria"/>
          <w:sz w:val="20"/>
          <w:szCs w:val="20"/>
        </w:rPr>
        <w:t xml:space="preserve"> inclusivity.</w:t>
      </w:r>
      <w:r w:rsidR="006F2257" w:rsidRPr="00511CD3">
        <w:rPr>
          <w:rFonts w:ascii="Cambria" w:hAnsi="Cambria"/>
          <w:sz w:val="20"/>
          <w:szCs w:val="20"/>
        </w:rPr>
        <w:t>”</w:t>
      </w:r>
      <w:r w:rsidR="004467F1" w:rsidRPr="00511CD3">
        <w:rPr>
          <w:rFonts w:ascii="Cambria" w:hAnsi="Cambria"/>
          <w:sz w:val="20"/>
          <w:szCs w:val="20"/>
        </w:rPr>
        <w:t xml:space="preserve">  Therefore, the defender maintained that the suspended procedural periods should be renewed </w:t>
      </w:r>
      <w:r w:rsidR="00B10F4D" w:rsidRPr="00511CD3">
        <w:rPr>
          <w:rFonts w:ascii="Cambria" w:hAnsi="Cambria"/>
          <w:sz w:val="20"/>
          <w:szCs w:val="20"/>
        </w:rPr>
        <w:t xml:space="preserve">and </w:t>
      </w:r>
      <w:r w:rsidR="00650427" w:rsidRPr="00511CD3">
        <w:rPr>
          <w:rFonts w:ascii="Cambria" w:hAnsi="Cambria"/>
          <w:sz w:val="20"/>
          <w:szCs w:val="20"/>
        </w:rPr>
        <w:t>“</w:t>
      </w:r>
      <w:r w:rsidR="00F24F89" w:rsidRPr="00511CD3">
        <w:rPr>
          <w:rFonts w:ascii="Cambria" w:hAnsi="Cambria"/>
          <w:sz w:val="20"/>
          <w:szCs w:val="20"/>
        </w:rPr>
        <w:t>a decision taken as to whether to return to boy to his biological mother or his adoption.  Prolonging the process</w:t>
      </w:r>
      <w:r w:rsidR="001D40AA" w:rsidRPr="00511CD3">
        <w:rPr>
          <w:rFonts w:ascii="Cambria" w:hAnsi="Cambria"/>
          <w:sz w:val="20"/>
          <w:szCs w:val="20"/>
        </w:rPr>
        <w:t xml:space="preserve"> </w:t>
      </w:r>
      <w:r w:rsidR="001D40AA" w:rsidRPr="00511CD3">
        <w:rPr>
          <w:rFonts w:ascii="Cambria" w:hAnsi="Cambria"/>
          <w:i/>
          <w:iCs/>
          <w:sz w:val="20"/>
          <w:szCs w:val="20"/>
        </w:rPr>
        <w:t>sine die</w:t>
      </w:r>
      <w:r w:rsidR="001D40AA" w:rsidRPr="00511CD3">
        <w:rPr>
          <w:rFonts w:ascii="Cambria" w:hAnsi="Cambria"/>
          <w:sz w:val="20"/>
          <w:szCs w:val="20"/>
        </w:rPr>
        <w:t xml:space="preserve"> </w:t>
      </w:r>
      <w:r w:rsidR="001C2E15" w:rsidRPr="00511CD3">
        <w:rPr>
          <w:rFonts w:ascii="Cambria" w:hAnsi="Cambria"/>
          <w:sz w:val="20"/>
          <w:szCs w:val="20"/>
        </w:rPr>
        <w:t>i</w:t>
      </w:r>
      <w:r w:rsidR="00F24F89" w:rsidRPr="00511CD3">
        <w:rPr>
          <w:rFonts w:ascii="Cambria" w:hAnsi="Cambria"/>
          <w:sz w:val="20"/>
          <w:szCs w:val="20"/>
        </w:rPr>
        <w:t>s detrimental to all parties, essentially the boy without family and emotional identity</w:t>
      </w:r>
      <w:r w:rsidR="00647F9A" w:rsidRPr="00511CD3">
        <w:rPr>
          <w:rFonts w:ascii="Cambria" w:hAnsi="Cambria"/>
          <w:sz w:val="20"/>
          <w:szCs w:val="20"/>
        </w:rPr>
        <w:t>.</w:t>
      </w:r>
      <w:r w:rsidR="00650427" w:rsidRPr="00511CD3">
        <w:rPr>
          <w:rFonts w:ascii="Cambria" w:hAnsi="Cambria"/>
          <w:sz w:val="20"/>
          <w:szCs w:val="20"/>
        </w:rPr>
        <w:t>”</w:t>
      </w:r>
      <w:r w:rsidR="00F24F89" w:rsidRPr="00511CD3">
        <w:rPr>
          <w:rFonts w:ascii="Cambria" w:hAnsi="Cambria"/>
          <w:sz w:val="20"/>
          <w:szCs w:val="20"/>
        </w:rPr>
        <w:t xml:space="preserve"> She also contended that </w:t>
      </w:r>
      <w:r w:rsidR="00650427" w:rsidRPr="00511CD3">
        <w:rPr>
          <w:rFonts w:ascii="Cambria" w:hAnsi="Cambria"/>
          <w:sz w:val="20"/>
          <w:szCs w:val="20"/>
        </w:rPr>
        <w:t>“</w:t>
      </w:r>
      <w:r w:rsidR="00F24F89" w:rsidRPr="00511CD3">
        <w:rPr>
          <w:rFonts w:ascii="Cambria" w:hAnsi="Cambria"/>
          <w:sz w:val="20"/>
          <w:szCs w:val="20"/>
        </w:rPr>
        <w:t>since the biological mother did not express her intent to give him up for adoption, the child [Mariano</w:t>
      </w:r>
      <w:r w:rsidR="00647F9A" w:rsidRPr="00511CD3">
        <w:rPr>
          <w:rFonts w:ascii="Cambria" w:hAnsi="Cambria"/>
          <w:sz w:val="20"/>
          <w:szCs w:val="20"/>
        </w:rPr>
        <w:t>] s</w:t>
      </w:r>
      <w:r w:rsidR="00F24F89" w:rsidRPr="00511CD3">
        <w:rPr>
          <w:rFonts w:ascii="Cambria" w:hAnsi="Cambria"/>
          <w:sz w:val="20"/>
          <w:szCs w:val="20"/>
        </w:rPr>
        <w:t>hould be returned to his mother</w:t>
      </w:r>
      <w:r w:rsidR="00650427" w:rsidRPr="00511CD3">
        <w:rPr>
          <w:rFonts w:ascii="Cambria" w:hAnsi="Cambria"/>
          <w:sz w:val="20"/>
          <w:szCs w:val="20"/>
        </w:rPr>
        <w:t xml:space="preserve"> </w:t>
      </w:r>
      <w:r w:rsidR="00D91B64" w:rsidRPr="00511CD3">
        <w:rPr>
          <w:rFonts w:ascii="Cambria" w:hAnsi="Cambria"/>
          <w:sz w:val="20"/>
          <w:szCs w:val="20"/>
        </w:rPr>
        <w:t>[María]</w:t>
      </w:r>
      <w:r w:rsidR="00F24F89" w:rsidRPr="00511CD3">
        <w:rPr>
          <w:rFonts w:ascii="Cambria" w:hAnsi="Cambria"/>
          <w:sz w:val="20"/>
          <w:szCs w:val="20"/>
        </w:rPr>
        <w:t>.</w:t>
      </w:r>
      <w:r w:rsidR="00650427" w:rsidRPr="00511CD3">
        <w:rPr>
          <w:rFonts w:ascii="Cambria" w:hAnsi="Cambria"/>
          <w:sz w:val="20"/>
          <w:szCs w:val="20"/>
        </w:rPr>
        <w:t>”</w:t>
      </w:r>
      <w:r w:rsidR="00650427" w:rsidRPr="00511CD3">
        <w:rPr>
          <w:rStyle w:val="FootnoteReference"/>
          <w:rFonts w:ascii="Cambria" w:hAnsi="Cambria"/>
          <w:sz w:val="20"/>
          <w:szCs w:val="20"/>
        </w:rPr>
        <w:footnoteReference w:id="70"/>
      </w:r>
      <w:r w:rsidR="00650427" w:rsidRPr="00511CD3">
        <w:rPr>
          <w:rFonts w:ascii="Cambria" w:hAnsi="Cambria"/>
          <w:sz w:val="20"/>
          <w:szCs w:val="20"/>
        </w:rPr>
        <w:t xml:space="preserve"> </w:t>
      </w:r>
    </w:p>
    <w:p w14:paraId="15406226" w14:textId="77777777" w:rsidR="00F12B10" w:rsidRPr="00511CD3" w:rsidRDefault="00F12B10" w:rsidP="008429F6">
      <w:pPr>
        <w:pStyle w:val="ListParagraph"/>
        <w:numPr>
          <w:ilvl w:val="0"/>
          <w:numId w:val="0"/>
        </w:numPr>
      </w:pPr>
    </w:p>
    <w:p w14:paraId="6201F90F" w14:textId="77777777" w:rsidR="00F12B10" w:rsidRPr="00511CD3" w:rsidRDefault="0004625D" w:rsidP="008323E8">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September</w:t>
      </w:r>
      <w:r w:rsidR="00F12B10" w:rsidRPr="00511CD3">
        <w:rPr>
          <w:rFonts w:ascii="Cambria" w:hAnsi="Cambria"/>
          <w:sz w:val="20"/>
          <w:szCs w:val="20"/>
        </w:rPr>
        <w:t xml:space="preserve"> </w:t>
      </w:r>
      <w:r w:rsidRPr="00511CD3">
        <w:rPr>
          <w:rFonts w:ascii="Cambria" w:hAnsi="Cambria"/>
          <w:sz w:val="20"/>
          <w:szCs w:val="20"/>
        </w:rPr>
        <w:t xml:space="preserve">12, </w:t>
      </w:r>
      <w:r w:rsidR="00F12B10" w:rsidRPr="00511CD3">
        <w:rPr>
          <w:rFonts w:ascii="Cambria" w:hAnsi="Cambria"/>
          <w:sz w:val="20"/>
          <w:szCs w:val="20"/>
        </w:rPr>
        <w:t>2018</w:t>
      </w:r>
      <w:r w:rsidRPr="00511CD3">
        <w:rPr>
          <w:rFonts w:ascii="Cambria" w:hAnsi="Cambria"/>
          <w:sz w:val="20"/>
          <w:szCs w:val="20"/>
        </w:rPr>
        <w:t>,</w:t>
      </w:r>
      <w:r w:rsidR="00F12B10" w:rsidRPr="00511CD3">
        <w:rPr>
          <w:rFonts w:ascii="Cambria" w:hAnsi="Cambria"/>
          <w:sz w:val="20"/>
          <w:szCs w:val="20"/>
        </w:rPr>
        <w:t xml:space="preserve"> “María” </w:t>
      </w:r>
      <w:r w:rsidRPr="00511CD3">
        <w:rPr>
          <w:rFonts w:ascii="Cambria" w:hAnsi="Cambria"/>
          <w:sz w:val="20"/>
          <w:szCs w:val="20"/>
        </w:rPr>
        <w:t>and her attorneys requested the judge in the case to re</w:t>
      </w:r>
      <w:r w:rsidR="008323E8" w:rsidRPr="00511CD3">
        <w:rPr>
          <w:rFonts w:ascii="Cambria" w:hAnsi="Cambria"/>
          <w:sz w:val="20"/>
          <w:szCs w:val="20"/>
        </w:rPr>
        <w:t>sume</w:t>
      </w:r>
      <w:r w:rsidRPr="00511CD3">
        <w:rPr>
          <w:rFonts w:ascii="Cambria" w:hAnsi="Cambria"/>
          <w:sz w:val="20"/>
          <w:szCs w:val="20"/>
        </w:rPr>
        <w:t xml:space="preserve"> the process of restoring ties with her son </w:t>
      </w:r>
      <w:r w:rsidR="00E27635" w:rsidRPr="00511CD3">
        <w:rPr>
          <w:rFonts w:ascii="Cambria" w:hAnsi="Cambria"/>
          <w:sz w:val="20"/>
          <w:szCs w:val="20"/>
        </w:rPr>
        <w:t>because</w:t>
      </w:r>
      <w:r w:rsidRPr="00511CD3">
        <w:rPr>
          <w:rFonts w:ascii="Cambria" w:hAnsi="Cambria"/>
          <w:sz w:val="20"/>
          <w:szCs w:val="20"/>
        </w:rPr>
        <w:t xml:space="preserve">, they </w:t>
      </w:r>
      <w:r w:rsidR="008323E8" w:rsidRPr="00511CD3">
        <w:rPr>
          <w:rFonts w:ascii="Cambria" w:hAnsi="Cambria"/>
          <w:sz w:val="20"/>
          <w:szCs w:val="20"/>
        </w:rPr>
        <w:t>maintained</w:t>
      </w:r>
      <w:r w:rsidRPr="00511CD3">
        <w:rPr>
          <w:rFonts w:ascii="Cambria" w:hAnsi="Cambria"/>
          <w:sz w:val="20"/>
          <w:szCs w:val="20"/>
        </w:rPr>
        <w:t xml:space="preserve">, since the end of </w:t>
      </w:r>
      <w:r w:rsidR="00F12B10" w:rsidRPr="00511CD3">
        <w:rPr>
          <w:rFonts w:ascii="Cambria" w:hAnsi="Cambria"/>
          <w:sz w:val="20"/>
          <w:szCs w:val="20"/>
        </w:rPr>
        <w:t>“</w:t>
      </w:r>
      <w:r w:rsidRPr="00511CD3">
        <w:rPr>
          <w:rFonts w:ascii="Cambria" w:hAnsi="Cambria"/>
          <w:sz w:val="20"/>
          <w:szCs w:val="20"/>
        </w:rPr>
        <w:t>Encounter Point” program</w:t>
      </w:r>
      <w:r w:rsidR="008323E8" w:rsidRPr="00511CD3">
        <w:rPr>
          <w:rFonts w:ascii="Cambria" w:hAnsi="Cambria"/>
          <w:sz w:val="20"/>
          <w:szCs w:val="20"/>
        </w:rPr>
        <w:t>’s intervention</w:t>
      </w:r>
      <w:r w:rsidRPr="00511CD3">
        <w:rPr>
          <w:rFonts w:ascii="Cambria" w:hAnsi="Cambria"/>
          <w:sz w:val="20"/>
          <w:szCs w:val="20"/>
        </w:rPr>
        <w:t xml:space="preserve">, i.e., </w:t>
      </w:r>
      <w:r w:rsidR="00B10F4D" w:rsidRPr="00511CD3">
        <w:rPr>
          <w:rFonts w:ascii="Cambria" w:hAnsi="Cambria"/>
          <w:sz w:val="20"/>
          <w:szCs w:val="20"/>
        </w:rPr>
        <w:t>July</w:t>
      </w:r>
      <w:r w:rsidR="00F12B10" w:rsidRPr="00511CD3">
        <w:rPr>
          <w:rFonts w:ascii="Cambria" w:hAnsi="Cambria"/>
          <w:sz w:val="20"/>
          <w:szCs w:val="20"/>
        </w:rPr>
        <w:t xml:space="preserve"> </w:t>
      </w:r>
      <w:r w:rsidRPr="00511CD3">
        <w:rPr>
          <w:rFonts w:ascii="Cambria" w:hAnsi="Cambria"/>
          <w:sz w:val="20"/>
          <w:szCs w:val="20"/>
        </w:rPr>
        <w:t>13 of th</w:t>
      </w:r>
      <w:r w:rsidR="007C2775" w:rsidRPr="00511CD3">
        <w:rPr>
          <w:rFonts w:ascii="Cambria" w:hAnsi="Cambria"/>
          <w:sz w:val="20"/>
          <w:szCs w:val="20"/>
        </w:rPr>
        <w:t>a</w:t>
      </w:r>
      <w:r w:rsidRPr="00511CD3">
        <w:rPr>
          <w:rFonts w:ascii="Cambria" w:hAnsi="Cambria"/>
          <w:sz w:val="20"/>
          <w:szCs w:val="20"/>
        </w:rPr>
        <w:t xml:space="preserve">t year, </w:t>
      </w:r>
      <w:r w:rsidR="002D6AF3" w:rsidRPr="00511CD3">
        <w:rPr>
          <w:rFonts w:ascii="Cambria" w:hAnsi="Cambria"/>
          <w:sz w:val="20"/>
          <w:szCs w:val="20"/>
        </w:rPr>
        <w:t xml:space="preserve">“María” </w:t>
      </w:r>
      <w:r w:rsidRPr="00511CD3">
        <w:rPr>
          <w:rFonts w:ascii="Cambria" w:hAnsi="Cambria"/>
          <w:sz w:val="20"/>
          <w:szCs w:val="20"/>
        </w:rPr>
        <w:t xml:space="preserve">had not had any contact with </w:t>
      </w:r>
      <w:r w:rsidR="00F12B10" w:rsidRPr="00511CD3">
        <w:rPr>
          <w:rFonts w:ascii="Cambria" w:hAnsi="Cambria"/>
          <w:sz w:val="20"/>
          <w:szCs w:val="20"/>
        </w:rPr>
        <w:t>“Mariano</w:t>
      </w:r>
      <w:r w:rsidRPr="00511CD3">
        <w:rPr>
          <w:rFonts w:ascii="Cambria" w:hAnsi="Cambria"/>
          <w:sz w:val="20"/>
          <w:szCs w:val="20"/>
        </w:rPr>
        <w:t>.”</w:t>
      </w:r>
      <w:r w:rsidR="00191FE0" w:rsidRPr="00511CD3">
        <w:rPr>
          <w:rStyle w:val="FootnoteReference"/>
          <w:rFonts w:ascii="Cambria" w:hAnsi="Cambria"/>
          <w:sz w:val="20"/>
          <w:szCs w:val="20"/>
        </w:rPr>
        <w:footnoteReference w:id="71"/>
      </w:r>
      <w:r w:rsidRPr="00511CD3">
        <w:rPr>
          <w:rFonts w:ascii="Cambria" w:hAnsi="Cambria"/>
          <w:sz w:val="20"/>
          <w:szCs w:val="20"/>
        </w:rPr>
        <w:t xml:space="preserve">  According to information </w:t>
      </w:r>
      <w:r w:rsidR="00E27635" w:rsidRPr="00511CD3">
        <w:rPr>
          <w:rFonts w:ascii="Cambria" w:hAnsi="Cambria"/>
          <w:sz w:val="20"/>
          <w:szCs w:val="20"/>
        </w:rPr>
        <w:t xml:space="preserve">on </w:t>
      </w:r>
      <w:r w:rsidRPr="00511CD3">
        <w:rPr>
          <w:rFonts w:ascii="Cambria" w:hAnsi="Cambria"/>
          <w:sz w:val="20"/>
          <w:szCs w:val="20"/>
        </w:rPr>
        <w:t>file, on</w:t>
      </w:r>
      <w:r w:rsidR="00D20FF1" w:rsidRPr="00511CD3">
        <w:rPr>
          <w:rFonts w:ascii="Cambria" w:hAnsi="Cambria"/>
          <w:sz w:val="20"/>
          <w:szCs w:val="20"/>
        </w:rPr>
        <w:t xml:space="preserve"> </w:t>
      </w:r>
      <w:r w:rsidR="00B10F4D" w:rsidRPr="00511CD3">
        <w:rPr>
          <w:rFonts w:ascii="Cambria" w:hAnsi="Cambria"/>
          <w:sz w:val="20"/>
          <w:szCs w:val="20"/>
        </w:rPr>
        <w:t>October</w:t>
      </w:r>
      <w:r w:rsidR="00D20FF1" w:rsidRPr="00511CD3">
        <w:rPr>
          <w:rFonts w:ascii="Cambria" w:hAnsi="Cambria"/>
          <w:sz w:val="20"/>
          <w:szCs w:val="20"/>
        </w:rPr>
        <w:t xml:space="preserve"> </w:t>
      </w:r>
      <w:r w:rsidRPr="00511CD3">
        <w:rPr>
          <w:rFonts w:ascii="Cambria" w:hAnsi="Cambria"/>
          <w:sz w:val="20"/>
          <w:szCs w:val="20"/>
        </w:rPr>
        <w:t xml:space="preserve">25, </w:t>
      </w:r>
      <w:r w:rsidR="00D20FF1" w:rsidRPr="00511CD3">
        <w:rPr>
          <w:rFonts w:ascii="Cambria" w:hAnsi="Cambria"/>
          <w:sz w:val="20"/>
          <w:szCs w:val="20"/>
        </w:rPr>
        <w:t>2018</w:t>
      </w:r>
      <w:r w:rsidRPr="00511CD3">
        <w:rPr>
          <w:rFonts w:ascii="Cambria" w:hAnsi="Cambria"/>
          <w:sz w:val="20"/>
          <w:szCs w:val="20"/>
        </w:rPr>
        <w:t xml:space="preserve">, the judge ordered a new provisional schedule for contact at the court’s premises, for two hours per week, with supervision by two </w:t>
      </w:r>
      <w:r w:rsidR="00F44C1F" w:rsidRPr="00511CD3">
        <w:rPr>
          <w:rFonts w:ascii="Cambria" w:hAnsi="Cambria"/>
          <w:sz w:val="20"/>
          <w:szCs w:val="20"/>
        </w:rPr>
        <w:t>social</w:t>
      </w:r>
      <w:r w:rsidRPr="00511CD3">
        <w:rPr>
          <w:rFonts w:ascii="Cambria" w:hAnsi="Cambria"/>
          <w:sz w:val="20"/>
          <w:szCs w:val="20"/>
        </w:rPr>
        <w:t xml:space="preserve"> workers.  The meetings began again as of November </w:t>
      </w:r>
      <w:r w:rsidR="005C5574" w:rsidRPr="00511CD3">
        <w:rPr>
          <w:rFonts w:ascii="Cambria" w:hAnsi="Cambria"/>
          <w:sz w:val="20"/>
          <w:szCs w:val="20"/>
        </w:rPr>
        <w:t>7</w:t>
      </w:r>
      <w:r w:rsidRPr="00511CD3">
        <w:rPr>
          <w:rFonts w:ascii="Cambria" w:hAnsi="Cambria"/>
          <w:sz w:val="20"/>
          <w:szCs w:val="20"/>
        </w:rPr>
        <w:t>,</w:t>
      </w:r>
      <w:r w:rsidR="005C5574" w:rsidRPr="00511CD3">
        <w:rPr>
          <w:rFonts w:ascii="Cambria" w:hAnsi="Cambria"/>
          <w:sz w:val="20"/>
          <w:szCs w:val="20"/>
        </w:rPr>
        <w:t xml:space="preserve"> 2018</w:t>
      </w:r>
      <w:r w:rsidRPr="00511CD3">
        <w:rPr>
          <w:rFonts w:ascii="Cambria" w:hAnsi="Cambria"/>
          <w:sz w:val="20"/>
          <w:szCs w:val="20"/>
        </w:rPr>
        <w:t>.  This provision</w:t>
      </w:r>
      <w:r w:rsidR="006C2679" w:rsidRPr="00511CD3">
        <w:rPr>
          <w:rFonts w:ascii="Cambria" w:hAnsi="Cambria"/>
          <w:sz w:val="20"/>
          <w:szCs w:val="20"/>
        </w:rPr>
        <w:t>al</w:t>
      </w:r>
      <w:r w:rsidRPr="00511CD3">
        <w:rPr>
          <w:rFonts w:ascii="Cambria" w:hAnsi="Cambria"/>
          <w:sz w:val="20"/>
          <w:szCs w:val="20"/>
        </w:rPr>
        <w:t xml:space="preserve"> </w:t>
      </w:r>
      <w:r w:rsidR="008323E8" w:rsidRPr="00511CD3">
        <w:rPr>
          <w:rFonts w:ascii="Cambria" w:hAnsi="Cambria"/>
          <w:sz w:val="20"/>
          <w:szCs w:val="20"/>
        </w:rPr>
        <w:t xml:space="preserve">visitation </w:t>
      </w:r>
      <w:r w:rsidRPr="00511CD3">
        <w:rPr>
          <w:rFonts w:ascii="Cambria" w:hAnsi="Cambria"/>
          <w:sz w:val="20"/>
          <w:szCs w:val="20"/>
        </w:rPr>
        <w:t>schedule was extended on three occasions</w:t>
      </w:r>
      <w:r w:rsidR="00B2272F" w:rsidRPr="00511CD3">
        <w:rPr>
          <w:rFonts w:ascii="Cambria" w:hAnsi="Cambria"/>
          <w:sz w:val="20"/>
          <w:szCs w:val="20"/>
        </w:rPr>
        <w:t xml:space="preserve"> in 2019</w:t>
      </w:r>
      <w:r w:rsidRPr="00511CD3">
        <w:rPr>
          <w:rFonts w:ascii="Cambria" w:hAnsi="Cambria"/>
          <w:sz w:val="20"/>
          <w:szCs w:val="20"/>
        </w:rPr>
        <w:t>.</w:t>
      </w:r>
      <w:r w:rsidR="00FC207D" w:rsidRPr="00511CD3">
        <w:rPr>
          <w:rStyle w:val="FootnoteReference"/>
          <w:rFonts w:ascii="Cambria" w:hAnsi="Cambria"/>
          <w:sz w:val="20"/>
          <w:szCs w:val="20"/>
        </w:rPr>
        <w:footnoteReference w:id="72"/>
      </w:r>
      <w:r w:rsidRPr="00511CD3">
        <w:rPr>
          <w:rFonts w:ascii="Cambria" w:hAnsi="Cambria"/>
          <w:sz w:val="20"/>
          <w:szCs w:val="20"/>
        </w:rPr>
        <w:t xml:space="preserve">  According to the reports of the court’s social workers, the meetings continued with some regularity until </w:t>
      </w:r>
      <w:r w:rsidR="00B10F4D" w:rsidRPr="00511CD3">
        <w:rPr>
          <w:rFonts w:ascii="Cambria" w:hAnsi="Cambria"/>
          <w:sz w:val="20"/>
          <w:szCs w:val="20"/>
        </w:rPr>
        <w:t>February</w:t>
      </w:r>
      <w:r w:rsidR="00C82E97" w:rsidRPr="00511CD3">
        <w:rPr>
          <w:rFonts w:ascii="Cambria" w:hAnsi="Cambria"/>
          <w:sz w:val="20"/>
          <w:szCs w:val="20"/>
        </w:rPr>
        <w:t xml:space="preserve"> 2020</w:t>
      </w:r>
      <w:r w:rsidRPr="00511CD3">
        <w:t>.</w:t>
      </w:r>
      <w:r w:rsidR="00271D55" w:rsidRPr="00511CD3">
        <w:rPr>
          <w:rStyle w:val="FootnoteReference"/>
          <w:rFonts w:ascii="Cambria" w:hAnsi="Cambria"/>
          <w:sz w:val="20"/>
          <w:szCs w:val="20"/>
        </w:rPr>
        <w:footnoteReference w:id="73"/>
      </w:r>
      <w:r w:rsidR="00271D55" w:rsidRPr="00511CD3">
        <w:t xml:space="preserve"> </w:t>
      </w:r>
    </w:p>
    <w:p w14:paraId="00BCA991" w14:textId="77777777" w:rsidR="0068325B" w:rsidRPr="00511CD3" w:rsidRDefault="0068325B" w:rsidP="008429F6">
      <w:pPr>
        <w:rPr>
          <w:rFonts w:ascii="Cambria" w:hAnsi="Cambria"/>
          <w:sz w:val="20"/>
          <w:szCs w:val="20"/>
        </w:rPr>
      </w:pPr>
    </w:p>
    <w:p w14:paraId="60C1CF7A" w14:textId="77777777" w:rsidR="00D47C71" w:rsidRPr="00511CD3" w:rsidRDefault="009517DF"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December</w:t>
      </w:r>
      <w:r w:rsidR="00A6662B" w:rsidRPr="00511CD3">
        <w:rPr>
          <w:rFonts w:ascii="Cambria" w:hAnsi="Cambria"/>
          <w:sz w:val="20"/>
          <w:szCs w:val="20"/>
        </w:rPr>
        <w:t xml:space="preserve"> </w:t>
      </w:r>
      <w:r w:rsidRPr="00511CD3">
        <w:rPr>
          <w:rFonts w:ascii="Cambria" w:hAnsi="Cambria"/>
          <w:sz w:val="20"/>
          <w:szCs w:val="20"/>
        </w:rPr>
        <w:t xml:space="preserve">7, </w:t>
      </w:r>
      <w:r w:rsidR="00A6662B" w:rsidRPr="00511CD3">
        <w:rPr>
          <w:rFonts w:ascii="Cambria" w:hAnsi="Cambria"/>
          <w:sz w:val="20"/>
          <w:szCs w:val="20"/>
        </w:rPr>
        <w:t>2018</w:t>
      </w:r>
      <w:r w:rsidRPr="00511CD3">
        <w:rPr>
          <w:rFonts w:ascii="Cambria" w:hAnsi="Cambria"/>
          <w:sz w:val="20"/>
          <w:szCs w:val="20"/>
        </w:rPr>
        <w:t xml:space="preserve">, </w:t>
      </w:r>
      <w:r w:rsidR="00A6662B" w:rsidRPr="00511CD3">
        <w:rPr>
          <w:rFonts w:ascii="Cambria" w:hAnsi="Cambria"/>
          <w:sz w:val="20"/>
          <w:szCs w:val="20"/>
        </w:rPr>
        <w:t>“</w:t>
      </w:r>
      <w:r w:rsidR="00940446" w:rsidRPr="00511CD3">
        <w:rPr>
          <w:rFonts w:ascii="Cambria" w:hAnsi="Cambria"/>
          <w:sz w:val="20"/>
          <w:szCs w:val="20"/>
        </w:rPr>
        <w:t>María</w:t>
      </w:r>
      <w:r w:rsidRPr="00511CD3">
        <w:rPr>
          <w:rFonts w:ascii="Cambria" w:hAnsi="Cambria"/>
          <w:sz w:val="20"/>
          <w:szCs w:val="20"/>
        </w:rPr>
        <w:t>’s</w:t>
      </w:r>
      <w:r w:rsidR="00A6662B" w:rsidRPr="00511CD3">
        <w:rPr>
          <w:rFonts w:ascii="Cambria" w:hAnsi="Cambria"/>
          <w:sz w:val="20"/>
          <w:szCs w:val="20"/>
        </w:rPr>
        <w:t xml:space="preserve">” </w:t>
      </w:r>
      <w:r w:rsidRPr="00511CD3">
        <w:rPr>
          <w:rFonts w:ascii="Cambria" w:hAnsi="Cambria"/>
          <w:sz w:val="20"/>
          <w:szCs w:val="20"/>
        </w:rPr>
        <w:t xml:space="preserve">attorneys submitted a </w:t>
      </w:r>
      <w:r w:rsidR="002D6AF3" w:rsidRPr="00511CD3">
        <w:rPr>
          <w:rFonts w:ascii="Cambria" w:hAnsi="Cambria"/>
          <w:sz w:val="20"/>
          <w:szCs w:val="20"/>
        </w:rPr>
        <w:t>motion</w:t>
      </w:r>
      <w:r w:rsidRPr="00511CD3">
        <w:rPr>
          <w:rFonts w:ascii="Cambria" w:hAnsi="Cambria"/>
          <w:sz w:val="20"/>
          <w:szCs w:val="20"/>
        </w:rPr>
        <w:t xml:space="preserve"> to the</w:t>
      </w:r>
      <w:r w:rsidR="00E27635" w:rsidRPr="00511CD3">
        <w:rPr>
          <w:rFonts w:ascii="Cambria" w:hAnsi="Cambria"/>
          <w:sz w:val="20"/>
          <w:szCs w:val="20"/>
        </w:rPr>
        <w:t xml:space="preserve"> plenary of the</w:t>
      </w:r>
      <w:r w:rsidRPr="00511CD3">
        <w:rPr>
          <w:rFonts w:ascii="Cambria" w:hAnsi="Cambria"/>
          <w:sz w:val="20"/>
          <w:szCs w:val="20"/>
        </w:rPr>
        <w:t xml:space="preserve"> court requesting resolution of the</w:t>
      </w:r>
      <w:r w:rsidR="002D6AF3" w:rsidRPr="00511CD3">
        <w:rPr>
          <w:rFonts w:ascii="Cambria" w:hAnsi="Cambria"/>
          <w:sz w:val="20"/>
          <w:szCs w:val="20"/>
        </w:rPr>
        <w:t xml:space="preserve"> motion for</w:t>
      </w:r>
      <w:r w:rsidRPr="00511CD3">
        <w:rPr>
          <w:rFonts w:ascii="Cambria" w:hAnsi="Cambria"/>
          <w:sz w:val="20"/>
          <w:szCs w:val="20"/>
        </w:rPr>
        <w:t xml:space="preserve"> revocation </w:t>
      </w:r>
      <w:r w:rsidR="00A66955" w:rsidRPr="00511CD3">
        <w:rPr>
          <w:rFonts w:ascii="Cambria" w:hAnsi="Cambria"/>
          <w:sz w:val="20"/>
          <w:szCs w:val="20"/>
        </w:rPr>
        <w:t xml:space="preserve">filed </w:t>
      </w:r>
      <w:r w:rsidRPr="00511CD3">
        <w:rPr>
          <w:rFonts w:ascii="Cambria" w:hAnsi="Cambria"/>
          <w:sz w:val="20"/>
          <w:szCs w:val="20"/>
        </w:rPr>
        <w:t xml:space="preserve">on November </w:t>
      </w:r>
      <w:r w:rsidR="00A6662B" w:rsidRPr="00511CD3">
        <w:rPr>
          <w:rFonts w:ascii="Cambria" w:hAnsi="Cambria"/>
          <w:sz w:val="20"/>
          <w:szCs w:val="20"/>
        </w:rPr>
        <w:t>2</w:t>
      </w:r>
      <w:r w:rsidRPr="00511CD3">
        <w:rPr>
          <w:rFonts w:ascii="Cambria" w:hAnsi="Cambria"/>
          <w:sz w:val="20"/>
          <w:szCs w:val="20"/>
        </w:rPr>
        <w:t>,</w:t>
      </w:r>
      <w:r w:rsidR="00A6662B" w:rsidRPr="00511CD3">
        <w:rPr>
          <w:rFonts w:ascii="Cambria" w:hAnsi="Cambria"/>
          <w:sz w:val="20"/>
          <w:szCs w:val="20"/>
        </w:rPr>
        <w:t xml:space="preserve"> 2016</w:t>
      </w:r>
      <w:r w:rsidR="00522292" w:rsidRPr="00511CD3">
        <w:rPr>
          <w:rFonts w:ascii="Cambria" w:hAnsi="Cambria"/>
          <w:sz w:val="20"/>
          <w:szCs w:val="20"/>
        </w:rPr>
        <w:t xml:space="preserve">. </w:t>
      </w:r>
      <w:r w:rsidRPr="00511CD3">
        <w:rPr>
          <w:rFonts w:ascii="Cambria" w:hAnsi="Cambria"/>
          <w:sz w:val="20"/>
          <w:szCs w:val="20"/>
        </w:rPr>
        <w:t xml:space="preserve"> On </w:t>
      </w:r>
      <w:r w:rsidR="00B10F4D" w:rsidRPr="00511CD3">
        <w:rPr>
          <w:rFonts w:ascii="Cambria" w:hAnsi="Cambria"/>
          <w:sz w:val="20"/>
          <w:szCs w:val="20"/>
        </w:rPr>
        <w:t>April</w:t>
      </w:r>
      <w:r w:rsidR="00A6662B" w:rsidRPr="00511CD3">
        <w:rPr>
          <w:rFonts w:ascii="Cambria" w:hAnsi="Cambria"/>
          <w:sz w:val="20"/>
          <w:szCs w:val="20"/>
        </w:rPr>
        <w:t xml:space="preserve"> </w:t>
      </w:r>
      <w:r w:rsidRPr="00511CD3">
        <w:rPr>
          <w:rFonts w:ascii="Cambria" w:hAnsi="Cambria"/>
          <w:sz w:val="20"/>
          <w:szCs w:val="20"/>
        </w:rPr>
        <w:t xml:space="preserve">23, </w:t>
      </w:r>
      <w:r w:rsidR="00A6662B" w:rsidRPr="00511CD3">
        <w:rPr>
          <w:rFonts w:ascii="Cambria" w:hAnsi="Cambria"/>
          <w:sz w:val="20"/>
          <w:szCs w:val="20"/>
        </w:rPr>
        <w:t>2019</w:t>
      </w:r>
      <w:r w:rsidRPr="00511CD3">
        <w:rPr>
          <w:rFonts w:ascii="Cambria" w:hAnsi="Cambria"/>
          <w:sz w:val="20"/>
          <w:szCs w:val="20"/>
        </w:rPr>
        <w:t>¸</w:t>
      </w:r>
      <w:r w:rsidR="00A6662B" w:rsidRPr="00511CD3">
        <w:rPr>
          <w:rFonts w:ascii="Cambria" w:hAnsi="Cambria"/>
          <w:sz w:val="20"/>
          <w:szCs w:val="20"/>
        </w:rPr>
        <w:t xml:space="preserve"> </w:t>
      </w:r>
      <w:r w:rsidR="00E27635" w:rsidRPr="00511CD3">
        <w:rPr>
          <w:rFonts w:ascii="Cambria" w:hAnsi="Cambria"/>
          <w:sz w:val="20"/>
          <w:szCs w:val="20"/>
        </w:rPr>
        <w:t xml:space="preserve">the plenary of </w:t>
      </w:r>
      <w:r w:rsidR="00A66955" w:rsidRPr="00511CD3">
        <w:rPr>
          <w:rFonts w:ascii="Cambria" w:hAnsi="Cambria"/>
          <w:sz w:val="20"/>
          <w:szCs w:val="20"/>
        </w:rPr>
        <w:t>Collegiate Family Court No. 5</w:t>
      </w:r>
      <w:r w:rsidR="00A6662B" w:rsidRPr="00511CD3">
        <w:rPr>
          <w:rFonts w:ascii="Cambria" w:hAnsi="Cambria"/>
          <w:sz w:val="20"/>
          <w:szCs w:val="20"/>
        </w:rPr>
        <w:t xml:space="preserve"> </w:t>
      </w:r>
      <w:r w:rsidR="00A66955" w:rsidRPr="00511CD3">
        <w:rPr>
          <w:rFonts w:ascii="Cambria" w:hAnsi="Cambria"/>
          <w:sz w:val="20"/>
          <w:szCs w:val="20"/>
        </w:rPr>
        <w:t xml:space="preserve">of </w:t>
      </w:r>
      <w:r w:rsidR="00A6662B" w:rsidRPr="00511CD3">
        <w:rPr>
          <w:rFonts w:ascii="Cambria" w:hAnsi="Cambria"/>
          <w:sz w:val="20"/>
          <w:szCs w:val="20"/>
        </w:rPr>
        <w:t xml:space="preserve">Rosario </w:t>
      </w:r>
      <w:r w:rsidR="00A66955" w:rsidRPr="00511CD3">
        <w:rPr>
          <w:rFonts w:ascii="Cambria" w:hAnsi="Cambria"/>
          <w:sz w:val="20"/>
          <w:szCs w:val="20"/>
        </w:rPr>
        <w:t xml:space="preserve">rejected that request.  </w:t>
      </w:r>
      <w:r w:rsidR="00123071" w:rsidRPr="00511CD3">
        <w:rPr>
          <w:rFonts w:ascii="Cambria" w:hAnsi="Cambria"/>
          <w:sz w:val="20"/>
          <w:szCs w:val="20"/>
        </w:rPr>
        <w:t xml:space="preserve">Against this </w:t>
      </w:r>
      <w:r w:rsidR="00A66955" w:rsidRPr="00511CD3">
        <w:rPr>
          <w:rFonts w:ascii="Cambria" w:hAnsi="Cambria"/>
          <w:sz w:val="20"/>
          <w:szCs w:val="20"/>
        </w:rPr>
        <w:t xml:space="preserve">decision, </w:t>
      </w:r>
      <w:r w:rsidR="00A007FE" w:rsidRPr="00511CD3">
        <w:rPr>
          <w:rFonts w:ascii="Cambria" w:hAnsi="Cambria"/>
          <w:sz w:val="20"/>
          <w:szCs w:val="20"/>
        </w:rPr>
        <w:t>Dr. Maid</w:t>
      </w:r>
      <w:r w:rsidR="00173F98" w:rsidRPr="00511CD3">
        <w:rPr>
          <w:rFonts w:ascii="Cambria" w:hAnsi="Cambria"/>
          <w:sz w:val="20"/>
          <w:szCs w:val="20"/>
        </w:rPr>
        <w:t>á</w:t>
      </w:r>
      <w:r w:rsidR="00A007FE" w:rsidRPr="00511CD3">
        <w:rPr>
          <w:rFonts w:ascii="Cambria" w:hAnsi="Cambria"/>
          <w:sz w:val="20"/>
          <w:szCs w:val="20"/>
        </w:rPr>
        <w:t xml:space="preserve">gan </w:t>
      </w:r>
      <w:r w:rsidR="00A66955" w:rsidRPr="00511CD3">
        <w:rPr>
          <w:rFonts w:ascii="Cambria" w:hAnsi="Cambria"/>
          <w:sz w:val="20"/>
          <w:szCs w:val="20"/>
        </w:rPr>
        <w:t xml:space="preserve">filed a special appeal, which was rejected on </w:t>
      </w:r>
      <w:r w:rsidR="00B10F4D" w:rsidRPr="00511CD3">
        <w:rPr>
          <w:rFonts w:ascii="Cambria" w:hAnsi="Cambria"/>
          <w:sz w:val="20"/>
          <w:szCs w:val="20"/>
        </w:rPr>
        <w:t>April</w:t>
      </w:r>
      <w:r w:rsidR="00354D6A" w:rsidRPr="00511CD3">
        <w:rPr>
          <w:rFonts w:ascii="Cambria" w:hAnsi="Cambria"/>
          <w:sz w:val="20"/>
          <w:szCs w:val="20"/>
        </w:rPr>
        <w:t xml:space="preserve"> </w:t>
      </w:r>
      <w:r w:rsidR="00A66955" w:rsidRPr="00511CD3">
        <w:rPr>
          <w:rFonts w:ascii="Cambria" w:hAnsi="Cambria"/>
          <w:sz w:val="20"/>
          <w:szCs w:val="20"/>
        </w:rPr>
        <w:t xml:space="preserve">23, </w:t>
      </w:r>
      <w:r w:rsidR="00354D6A" w:rsidRPr="00511CD3">
        <w:rPr>
          <w:rFonts w:ascii="Cambria" w:hAnsi="Cambria"/>
          <w:sz w:val="20"/>
          <w:szCs w:val="20"/>
        </w:rPr>
        <w:t>2020</w:t>
      </w:r>
      <w:r w:rsidR="00A66955" w:rsidRPr="00511CD3">
        <w:rPr>
          <w:rFonts w:ascii="Cambria" w:hAnsi="Cambria"/>
          <w:sz w:val="20"/>
          <w:szCs w:val="20"/>
        </w:rPr>
        <w:t>.</w:t>
      </w:r>
      <w:r w:rsidR="00354D6A" w:rsidRPr="00511CD3">
        <w:rPr>
          <w:rStyle w:val="FootnoteReference"/>
          <w:rFonts w:ascii="Cambria" w:hAnsi="Cambria"/>
          <w:sz w:val="20"/>
          <w:szCs w:val="20"/>
        </w:rPr>
        <w:footnoteReference w:id="74"/>
      </w:r>
      <w:r w:rsidR="00A66955" w:rsidRPr="00511CD3">
        <w:rPr>
          <w:rFonts w:ascii="Cambria" w:hAnsi="Cambria"/>
          <w:sz w:val="20"/>
          <w:szCs w:val="20"/>
        </w:rPr>
        <w:t xml:space="preserve">  In that decision, the court argued that </w:t>
      </w:r>
      <w:r w:rsidR="003E1BD4" w:rsidRPr="00511CD3">
        <w:rPr>
          <w:rFonts w:ascii="Cambria" w:hAnsi="Cambria"/>
          <w:sz w:val="20"/>
          <w:szCs w:val="20"/>
        </w:rPr>
        <w:t>there had been no deviation from the</w:t>
      </w:r>
      <w:r w:rsidR="005C4B87" w:rsidRPr="00511CD3">
        <w:rPr>
          <w:rFonts w:ascii="Cambria" w:hAnsi="Cambria"/>
          <w:sz w:val="20"/>
          <w:szCs w:val="20"/>
        </w:rPr>
        <w:t xml:space="preserve"> </w:t>
      </w:r>
      <w:r w:rsidR="00A66955" w:rsidRPr="00511CD3">
        <w:rPr>
          <w:rFonts w:ascii="Cambria" w:hAnsi="Cambria"/>
          <w:sz w:val="20"/>
          <w:szCs w:val="20"/>
        </w:rPr>
        <w:t xml:space="preserve">formal procedural requirements </w:t>
      </w:r>
      <w:r w:rsidR="002E4BEA" w:rsidRPr="00511CD3">
        <w:rPr>
          <w:rFonts w:ascii="Cambria" w:hAnsi="Cambria"/>
          <w:sz w:val="20"/>
          <w:szCs w:val="20"/>
        </w:rPr>
        <w:t xml:space="preserve">in processing and resolving </w:t>
      </w:r>
      <w:r w:rsidR="00A66955" w:rsidRPr="00511CD3">
        <w:rPr>
          <w:rFonts w:ascii="Cambria" w:hAnsi="Cambria"/>
          <w:sz w:val="20"/>
          <w:szCs w:val="20"/>
        </w:rPr>
        <w:t xml:space="preserve">the </w:t>
      </w:r>
      <w:r w:rsidR="00EB5090" w:rsidRPr="00511CD3">
        <w:rPr>
          <w:rFonts w:ascii="Cambria" w:hAnsi="Cambria"/>
          <w:sz w:val="20"/>
          <w:szCs w:val="20"/>
        </w:rPr>
        <w:t>dispute</w:t>
      </w:r>
      <w:r w:rsidR="00A66955" w:rsidRPr="00511CD3">
        <w:rPr>
          <w:rFonts w:ascii="Cambria" w:hAnsi="Cambria"/>
          <w:sz w:val="20"/>
          <w:szCs w:val="20"/>
        </w:rPr>
        <w:t>.</w:t>
      </w:r>
    </w:p>
    <w:p w14:paraId="0641772F" w14:textId="77777777" w:rsidR="00B11A78" w:rsidRPr="00511CD3" w:rsidRDefault="00B11A78" w:rsidP="008429F6">
      <w:pPr>
        <w:pStyle w:val="ListParagraph"/>
        <w:numPr>
          <w:ilvl w:val="0"/>
          <w:numId w:val="0"/>
        </w:numPr>
      </w:pPr>
    </w:p>
    <w:p w14:paraId="1885E852" w14:textId="77777777" w:rsidR="00B11A78" w:rsidRPr="00511CD3" w:rsidRDefault="00A66955" w:rsidP="008429F6">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511CD3">
        <w:rPr>
          <w:rFonts w:ascii="Cambria" w:hAnsi="Cambria"/>
          <w:sz w:val="20"/>
          <w:szCs w:val="20"/>
        </w:rPr>
        <w:t xml:space="preserve">On </w:t>
      </w:r>
      <w:r w:rsidR="00B10F4D" w:rsidRPr="00511CD3">
        <w:rPr>
          <w:rFonts w:ascii="Cambria" w:hAnsi="Cambria"/>
          <w:sz w:val="20"/>
          <w:szCs w:val="20"/>
        </w:rPr>
        <w:t>February</w:t>
      </w:r>
      <w:r w:rsidR="001A751E" w:rsidRPr="00511CD3">
        <w:rPr>
          <w:rFonts w:ascii="Cambria" w:hAnsi="Cambria"/>
          <w:sz w:val="20"/>
          <w:szCs w:val="20"/>
        </w:rPr>
        <w:t xml:space="preserve"> </w:t>
      </w:r>
      <w:r w:rsidRPr="00511CD3">
        <w:rPr>
          <w:rFonts w:ascii="Cambria" w:hAnsi="Cambria"/>
          <w:sz w:val="20"/>
          <w:szCs w:val="20"/>
        </w:rPr>
        <w:t xml:space="preserve">17, </w:t>
      </w:r>
      <w:r w:rsidR="001A751E" w:rsidRPr="00511CD3">
        <w:rPr>
          <w:rFonts w:ascii="Cambria" w:hAnsi="Cambria"/>
          <w:sz w:val="20"/>
          <w:szCs w:val="20"/>
        </w:rPr>
        <w:t>2020</w:t>
      </w:r>
      <w:r w:rsidRPr="00511CD3">
        <w:rPr>
          <w:rFonts w:ascii="Cambria" w:hAnsi="Cambria"/>
          <w:sz w:val="20"/>
          <w:szCs w:val="20"/>
        </w:rPr>
        <w:t>,</w:t>
      </w:r>
      <w:r w:rsidR="001A751E" w:rsidRPr="00511CD3">
        <w:rPr>
          <w:rFonts w:ascii="Cambria" w:hAnsi="Cambria"/>
          <w:sz w:val="20"/>
          <w:szCs w:val="20"/>
        </w:rPr>
        <w:t xml:space="preserve"> </w:t>
      </w:r>
      <w:r w:rsidRPr="00511CD3">
        <w:rPr>
          <w:rFonts w:ascii="Cambria" w:hAnsi="Cambria"/>
          <w:sz w:val="20"/>
          <w:szCs w:val="20"/>
        </w:rPr>
        <w:t>Collegiate Family Court No. 5</w:t>
      </w:r>
      <w:r w:rsidR="001A751E" w:rsidRPr="00511CD3">
        <w:rPr>
          <w:rFonts w:ascii="Cambria" w:hAnsi="Cambria"/>
          <w:sz w:val="20"/>
          <w:szCs w:val="20"/>
        </w:rPr>
        <w:t xml:space="preserve"> </w:t>
      </w:r>
      <w:r w:rsidRPr="00511CD3">
        <w:rPr>
          <w:rFonts w:ascii="Cambria" w:hAnsi="Cambria"/>
          <w:sz w:val="20"/>
          <w:szCs w:val="20"/>
        </w:rPr>
        <w:t xml:space="preserve">held a hearing with </w:t>
      </w:r>
      <w:r w:rsidR="001A751E" w:rsidRPr="00511CD3">
        <w:rPr>
          <w:rFonts w:ascii="Cambria" w:hAnsi="Cambria"/>
          <w:sz w:val="20"/>
          <w:szCs w:val="20"/>
        </w:rPr>
        <w:t>“María</w:t>
      </w:r>
      <w:r w:rsidRPr="00511CD3">
        <w:rPr>
          <w:rFonts w:ascii="Cambria" w:hAnsi="Cambria"/>
          <w:sz w:val="20"/>
          <w:szCs w:val="20"/>
        </w:rPr>
        <w:t>,” Mr. and Mrs.</w:t>
      </w:r>
      <w:r w:rsidR="001A751E" w:rsidRPr="00511CD3">
        <w:rPr>
          <w:rFonts w:ascii="Cambria" w:hAnsi="Cambria"/>
          <w:sz w:val="20"/>
          <w:szCs w:val="20"/>
        </w:rPr>
        <w:t xml:space="preserve"> </w:t>
      </w:r>
      <w:r w:rsidR="00990FCC" w:rsidRPr="00511CD3">
        <w:rPr>
          <w:rFonts w:ascii="Cambria" w:hAnsi="Cambria"/>
          <w:sz w:val="20"/>
          <w:szCs w:val="20"/>
        </w:rPr>
        <w:t>“López</w:t>
      </w:r>
      <w:r w:rsidRPr="00511CD3">
        <w:rPr>
          <w:rFonts w:ascii="Cambria" w:hAnsi="Cambria"/>
          <w:sz w:val="20"/>
          <w:szCs w:val="20"/>
        </w:rPr>
        <w:t>,”</w:t>
      </w:r>
      <w:r w:rsidR="00990FCC" w:rsidRPr="00511CD3">
        <w:rPr>
          <w:rFonts w:ascii="Cambria" w:hAnsi="Cambria"/>
          <w:sz w:val="20"/>
          <w:szCs w:val="20"/>
        </w:rPr>
        <w:t xml:space="preserve"> </w:t>
      </w:r>
      <w:r w:rsidRPr="00511CD3">
        <w:rPr>
          <w:rFonts w:ascii="Cambria" w:hAnsi="Cambria"/>
          <w:sz w:val="20"/>
          <w:szCs w:val="20"/>
        </w:rPr>
        <w:t xml:space="preserve">their respective attorneys, </w:t>
      </w:r>
      <w:r w:rsidR="001A751E" w:rsidRPr="00511CD3">
        <w:rPr>
          <w:rFonts w:ascii="Cambria" w:hAnsi="Cambria"/>
          <w:sz w:val="20"/>
          <w:szCs w:val="20"/>
        </w:rPr>
        <w:t>“Mariano</w:t>
      </w:r>
      <w:r w:rsidRPr="00511CD3">
        <w:rPr>
          <w:rFonts w:ascii="Cambria" w:hAnsi="Cambria"/>
          <w:sz w:val="20"/>
          <w:szCs w:val="20"/>
        </w:rPr>
        <w:t>’s</w:t>
      </w:r>
      <w:r w:rsidR="001A751E" w:rsidRPr="00511CD3">
        <w:rPr>
          <w:rFonts w:ascii="Cambria" w:hAnsi="Cambria"/>
          <w:sz w:val="20"/>
          <w:szCs w:val="20"/>
        </w:rPr>
        <w:t>”</w:t>
      </w:r>
      <w:r w:rsidRPr="00511CD3">
        <w:rPr>
          <w:rFonts w:ascii="Cambria" w:hAnsi="Cambria"/>
          <w:sz w:val="20"/>
          <w:szCs w:val="20"/>
        </w:rPr>
        <w:t xml:space="preserve"> </w:t>
      </w:r>
      <w:r w:rsidR="0096576B" w:rsidRPr="00511CD3">
        <w:rPr>
          <w:rFonts w:ascii="Cambria" w:hAnsi="Cambria"/>
          <w:sz w:val="20"/>
          <w:szCs w:val="20"/>
        </w:rPr>
        <w:t>court-appointed legal</w:t>
      </w:r>
      <w:r w:rsidR="00123071" w:rsidRPr="00511CD3">
        <w:rPr>
          <w:rFonts w:ascii="Cambria" w:hAnsi="Cambria"/>
          <w:sz w:val="20"/>
          <w:szCs w:val="20"/>
        </w:rPr>
        <w:t xml:space="preserve"> advisor</w:t>
      </w:r>
      <w:r w:rsidRPr="00511CD3">
        <w:rPr>
          <w:rFonts w:ascii="Cambria" w:hAnsi="Cambria"/>
          <w:sz w:val="20"/>
          <w:szCs w:val="20"/>
        </w:rPr>
        <w:t xml:space="preserve">, and the team of social workers and educational psychologists who had been participating until </w:t>
      </w:r>
      <w:r w:rsidR="00123071" w:rsidRPr="00511CD3">
        <w:rPr>
          <w:rFonts w:ascii="Cambria" w:hAnsi="Cambria"/>
          <w:sz w:val="20"/>
          <w:szCs w:val="20"/>
        </w:rPr>
        <w:t xml:space="preserve">then </w:t>
      </w:r>
      <w:r w:rsidRPr="00511CD3">
        <w:rPr>
          <w:rFonts w:ascii="Cambria" w:hAnsi="Cambria"/>
          <w:sz w:val="20"/>
          <w:szCs w:val="20"/>
        </w:rPr>
        <w:t xml:space="preserve">in the supervised meetings between </w:t>
      </w:r>
      <w:r w:rsidR="001A751E" w:rsidRPr="00511CD3">
        <w:rPr>
          <w:rFonts w:ascii="Cambria" w:hAnsi="Cambria"/>
          <w:sz w:val="20"/>
          <w:szCs w:val="20"/>
        </w:rPr>
        <w:t>“</w:t>
      </w:r>
      <w:r w:rsidR="009A00DD" w:rsidRPr="00511CD3">
        <w:rPr>
          <w:rFonts w:ascii="Cambria" w:hAnsi="Cambria"/>
          <w:sz w:val="20"/>
          <w:szCs w:val="20"/>
        </w:rPr>
        <w:t>María</w:t>
      </w:r>
      <w:r w:rsidR="001A751E" w:rsidRPr="00511CD3">
        <w:rPr>
          <w:rFonts w:ascii="Cambria" w:hAnsi="Cambria"/>
          <w:sz w:val="20"/>
          <w:szCs w:val="20"/>
        </w:rPr>
        <w:t>”</w:t>
      </w:r>
      <w:r w:rsidR="00B10F4D" w:rsidRPr="00511CD3">
        <w:rPr>
          <w:rFonts w:ascii="Cambria" w:hAnsi="Cambria"/>
          <w:sz w:val="20"/>
          <w:szCs w:val="20"/>
        </w:rPr>
        <w:t xml:space="preserve"> and </w:t>
      </w:r>
      <w:r w:rsidRPr="00511CD3">
        <w:rPr>
          <w:rFonts w:ascii="Cambria" w:hAnsi="Cambria"/>
          <w:sz w:val="20"/>
          <w:szCs w:val="20"/>
        </w:rPr>
        <w:t xml:space="preserve">her son at the court’s premises.  At the </w:t>
      </w:r>
      <w:r w:rsidR="002D6AF3" w:rsidRPr="00511CD3">
        <w:rPr>
          <w:rFonts w:ascii="Cambria" w:hAnsi="Cambria"/>
          <w:sz w:val="20"/>
          <w:szCs w:val="20"/>
        </w:rPr>
        <w:t xml:space="preserve">court’s </w:t>
      </w:r>
      <w:r w:rsidRPr="00511CD3">
        <w:rPr>
          <w:rFonts w:ascii="Cambria" w:hAnsi="Cambria"/>
          <w:sz w:val="20"/>
          <w:szCs w:val="20"/>
        </w:rPr>
        <w:t xml:space="preserve">proposal, a new schedule for restoration of ties between </w:t>
      </w:r>
      <w:r w:rsidR="001A751E" w:rsidRPr="00511CD3">
        <w:rPr>
          <w:rFonts w:ascii="Cambria" w:hAnsi="Cambria"/>
          <w:sz w:val="20"/>
          <w:szCs w:val="20"/>
        </w:rPr>
        <w:t>“María”</w:t>
      </w:r>
      <w:r w:rsidR="00B10F4D" w:rsidRPr="00511CD3">
        <w:rPr>
          <w:rFonts w:ascii="Cambria" w:hAnsi="Cambria"/>
          <w:sz w:val="20"/>
          <w:szCs w:val="20"/>
        </w:rPr>
        <w:t xml:space="preserve"> and </w:t>
      </w:r>
      <w:r w:rsidR="001A751E" w:rsidRPr="00511CD3">
        <w:rPr>
          <w:rFonts w:ascii="Cambria" w:hAnsi="Cambria"/>
          <w:sz w:val="20"/>
          <w:szCs w:val="20"/>
        </w:rPr>
        <w:t xml:space="preserve">“Mariano” </w:t>
      </w:r>
      <w:r w:rsidRPr="00511CD3">
        <w:rPr>
          <w:rFonts w:ascii="Cambria" w:hAnsi="Cambria"/>
          <w:sz w:val="20"/>
          <w:szCs w:val="20"/>
        </w:rPr>
        <w:t>was agreed by which “</w:t>
      </w:r>
      <w:r w:rsidR="001A751E" w:rsidRPr="00511CD3">
        <w:rPr>
          <w:rFonts w:ascii="Cambria" w:hAnsi="Cambria"/>
          <w:sz w:val="20"/>
          <w:szCs w:val="20"/>
        </w:rPr>
        <w:t xml:space="preserve">María” </w:t>
      </w:r>
      <w:r w:rsidRPr="00511CD3">
        <w:rPr>
          <w:rFonts w:ascii="Cambria" w:hAnsi="Cambria"/>
          <w:sz w:val="20"/>
          <w:szCs w:val="20"/>
        </w:rPr>
        <w:t xml:space="preserve">would go to the </w:t>
      </w:r>
      <w:r w:rsidR="00990FCC" w:rsidRPr="00511CD3">
        <w:rPr>
          <w:rFonts w:ascii="Cambria" w:hAnsi="Cambria"/>
          <w:sz w:val="20"/>
          <w:szCs w:val="20"/>
        </w:rPr>
        <w:t>“López</w:t>
      </w:r>
      <w:r w:rsidRPr="00511CD3">
        <w:rPr>
          <w:rFonts w:ascii="Cambria" w:hAnsi="Cambria"/>
          <w:sz w:val="20"/>
          <w:szCs w:val="20"/>
        </w:rPr>
        <w:t xml:space="preserve">’” home twice a week to have lunch with her son and then take him to school.  Those involved also agreed that </w:t>
      </w:r>
      <w:r w:rsidR="001A751E" w:rsidRPr="00511CD3">
        <w:rPr>
          <w:rFonts w:ascii="Cambria" w:hAnsi="Cambria"/>
          <w:sz w:val="20"/>
          <w:szCs w:val="20"/>
        </w:rPr>
        <w:t>“</w:t>
      </w:r>
      <w:r w:rsidR="00740CE5" w:rsidRPr="00511CD3">
        <w:rPr>
          <w:rFonts w:ascii="Cambria" w:hAnsi="Cambria"/>
          <w:sz w:val="20"/>
          <w:szCs w:val="20"/>
        </w:rPr>
        <w:t>María</w:t>
      </w:r>
      <w:r w:rsidR="001A751E" w:rsidRPr="00511CD3">
        <w:rPr>
          <w:rFonts w:ascii="Cambria" w:hAnsi="Cambria"/>
          <w:sz w:val="20"/>
          <w:szCs w:val="20"/>
        </w:rPr>
        <w:t xml:space="preserve">” </w:t>
      </w:r>
      <w:r w:rsidRPr="00511CD3">
        <w:rPr>
          <w:rFonts w:ascii="Cambria" w:hAnsi="Cambria"/>
          <w:sz w:val="20"/>
          <w:szCs w:val="20"/>
        </w:rPr>
        <w:t xml:space="preserve">would participate </w:t>
      </w:r>
      <w:r w:rsidR="00123071" w:rsidRPr="00511CD3">
        <w:rPr>
          <w:rFonts w:ascii="Cambria" w:hAnsi="Cambria"/>
          <w:sz w:val="20"/>
          <w:szCs w:val="20"/>
        </w:rPr>
        <w:t xml:space="preserve">in </w:t>
      </w:r>
      <w:r w:rsidR="001A751E" w:rsidRPr="00511CD3">
        <w:rPr>
          <w:rFonts w:ascii="Cambria" w:hAnsi="Cambria"/>
          <w:sz w:val="20"/>
          <w:szCs w:val="20"/>
        </w:rPr>
        <w:t>“Mariano</w:t>
      </w:r>
      <w:r w:rsidRPr="00511CD3">
        <w:rPr>
          <w:rFonts w:ascii="Cambria" w:hAnsi="Cambria"/>
          <w:sz w:val="20"/>
          <w:szCs w:val="20"/>
        </w:rPr>
        <w:t>’s” first day of school and</w:t>
      </w:r>
      <w:r w:rsidR="00123071" w:rsidRPr="00511CD3">
        <w:rPr>
          <w:rFonts w:ascii="Cambria" w:hAnsi="Cambria"/>
          <w:sz w:val="20"/>
          <w:szCs w:val="20"/>
        </w:rPr>
        <w:t xml:space="preserve"> in</w:t>
      </w:r>
      <w:r w:rsidRPr="00511CD3">
        <w:rPr>
          <w:rFonts w:ascii="Cambria" w:hAnsi="Cambria"/>
          <w:sz w:val="20"/>
          <w:szCs w:val="20"/>
        </w:rPr>
        <w:t xml:space="preserve"> other scholastic acts.  </w:t>
      </w:r>
      <w:r w:rsidR="001A751E" w:rsidRPr="00511CD3">
        <w:rPr>
          <w:rFonts w:ascii="Cambria" w:hAnsi="Cambria"/>
          <w:sz w:val="20"/>
          <w:szCs w:val="20"/>
        </w:rPr>
        <w:t>“María”</w:t>
      </w:r>
      <w:r w:rsidR="00B10F4D" w:rsidRPr="00511CD3">
        <w:rPr>
          <w:rFonts w:ascii="Cambria" w:hAnsi="Cambria"/>
          <w:sz w:val="20"/>
          <w:szCs w:val="20"/>
        </w:rPr>
        <w:t xml:space="preserve"> and </w:t>
      </w:r>
      <w:r w:rsidRPr="00511CD3">
        <w:rPr>
          <w:rFonts w:ascii="Cambria" w:hAnsi="Cambria"/>
          <w:sz w:val="20"/>
          <w:szCs w:val="20"/>
        </w:rPr>
        <w:t xml:space="preserve">Mr. and Mrs. </w:t>
      </w:r>
      <w:r w:rsidR="00990FCC" w:rsidRPr="00511CD3">
        <w:rPr>
          <w:rFonts w:ascii="Cambria" w:hAnsi="Cambria"/>
          <w:sz w:val="20"/>
          <w:szCs w:val="20"/>
        </w:rPr>
        <w:t xml:space="preserve">“López” </w:t>
      </w:r>
      <w:r w:rsidRPr="00511CD3">
        <w:rPr>
          <w:rFonts w:ascii="Cambria" w:hAnsi="Cambria"/>
          <w:sz w:val="20"/>
          <w:szCs w:val="20"/>
        </w:rPr>
        <w:t xml:space="preserve">also agreed </w:t>
      </w:r>
      <w:r w:rsidR="00F24F89" w:rsidRPr="00511CD3">
        <w:rPr>
          <w:rFonts w:ascii="Cambria" w:hAnsi="Cambria"/>
          <w:sz w:val="20"/>
          <w:szCs w:val="20"/>
        </w:rPr>
        <w:t xml:space="preserve">to use a professional to help them harmonize the </w:t>
      </w:r>
      <w:r w:rsidR="00EB5090" w:rsidRPr="00511CD3">
        <w:rPr>
          <w:rFonts w:ascii="Cambria" w:hAnsi="Cambria"/>
          <w:sz w:val="20"/>
          <w:szCs w:val="20"/>
        </w:rPr>
        <w:t>account</w:t>
      </w:r>
      <w:r w:rsidR="00123071" w:rsidRPr="00511CD3">
        <w:rPr>
          <w:rFonts w:ascii="Cambria" w:hAnsi="Cambria"/>
          <w:sz w:val="20"/>
          <w:szCs w:val="20"/>
        </w:rPr>
        <w:t xml:space="preserve"> </w:t>
      </w:r>
      <w:r w:rsidR="00F24F89" w:rsidRPr="00511CD3">
        <w:rPr>
          <w:rFonts w:ascii="Cambria" w:hAnsi="Cambria"/>
          <w:sz w:val="20"/>
          <w:szCs w:val="20"/>
        </w:rPr>
        <w:t xml:space="preserve">and how they would tell </w:t>
      </w:r>
      <w:r w:rsidR="00740CE5" w:rsidRPr="00511CD3">
        <w:rPr>
          <w:rFonts w:ascii="Cambria" w:hAnsi="Cambria"/>
          <w:sz w:val="20"/>
          <w:szCs w:val="20"/>
        </w:rPr>
        <w:t xml:space="preserve">“Mariano” </w:t>
      </w:r>
      <w:r w:rsidR="002D6AF3" w:rsidRPr="00511CD3">
        <w:rPr>
          <w:rFonts w:ascii="Cambria" w:hAnsi="Cambria"/>
          <w:sz w:val="20"/>
          <w:szCs w:val="20"/>
        </w:rPr>
        <w:t>of</w:t>
      </w:r>
      <w:r w:rsidR="00F24F89" w:rsidRPr="00511CD3">
        <w:rPr>
          <w:rFonts w:ascii="Cambria" w:hAnsi="Cambria"/>
          <w:sz w:val="20"/>
          <w:szCs w:val="20"/>
        </w:rPr>
        <w:t xml:space="preserve"> his biological reality and origins.</w:t>
      </w:r>
      <w:r w:rsidR="00740CE5" w:rsidRPr="00511CD3">
        <w:rPr>
          <w:rStyle w:val="FootnoteReference"/>
          <w:rFonts w:ascii="Cambria" w:hAnsi="Cambria"/>
          <w:sz w:val="20"/>
          <w:szCs w:val="20"/>
        </w:rPr>
        <w:footnoteReference w:id="75"/>
      </w:r>
      <w:r w:rsidR="00F24F89" w:rsidRPr="00511CD3">
        <w:rPr>
          <w:rFonts w:ascii="Cambria" w:hAnsi="Cambria"/>
          <w:sz w:val="20"/>
          <w:szCs w:val="20"/>
        </w:rPr>
        <w:t xml:space="preserve">  According to the </w:t>
      </w:r>
      <w:r w:rsidR="002E08A7" w:rsidRPr="00511CD3">
        <w:rPr>
          <w:rFonts w:ascii="Cambria" w:hAnsi="Cambria"/>
          <w:sz w:val="20"/>
          <w:szCs w:val="20"/>
        </w:rPr>
        <w:t>petitioners</w:t>
      </w:r>
      <w:r w:rsidR="00020216" w:rsidRPr="00511CD3">
        <w:rPr>
          <w:rFonts w:ascii="Cambria" w:hAnsi="Cambria"/>
          <w:sz w:val="20"/>
          <w:szCs w:val="20"/>
        </w:rPr>
        <w:t xml:space="preserve"> </w:t>
      </w:r>
      <w:r w:rsidR="00F24F89" w:rsidRPr="00511CD3">
        <w:rPr>
          <w:rFonts w:ascii="Cambria" w:hAnsi="Cambria"/>
          <w:sz w:val="20"/>
          <w:szCs w:val="20"/>
        </w:rPr>
        <w:t xml:space="preserve">at the hearing held in the context of the </w:t>
      </w:r>
      <w:r w:rsidR="002A4038" w:rsidRPr="00511CD3">
        <w:rPr>
          <w:rFonts w:ascii="Cambria" w:hAnsi="Cambria"/>
          <w:sz w:val="20"/>
          <w:szCs w:val="20"/>
        </w:rPr>
        <w:t>181</w:t>
      </w:r>
      <w:r w:rsidR="00F24F89" w:rsidRPr="00511CD3">
        <w:rPr>
          <w:rFonts w:ascii="Cambria" w:hAnsi="Cambria"/>
          <w:sz w:val="20"/>
          <w:szCs w:val="20"/>
          <w:vertAlign w:val="superscript"/>
        </w:rPr>
        <w:t>st</w:t>
      </w:r>
      <w:r w:rsidR="00F24F89" w:rsidRPr="00511CD3">
        <w:rPr>
          <w:rFonts w:ascii="Cambria" w:hAnsi="Cambria"/>
          <w:sz w:val="20"/>
          <w:szCs w:val="20"/>
        </w:rPr>
        <w:t xml:space="preserve"> period of sessions, the new </w:t>
      </w:r>
      <w:r w:rsidR="00F44C1F" w:rsidRPr="00511CD3">
        <w:rPr>
          <w:rFonts w:ascii="Cambria" w:hAnsi="Cambria"/>
          <w:sz w:val="20"/>
          <w:szCs w:val="20"/>
        </w:rPr>
        <w:t>schedule</w:t>
      </w:r>
      <w:r w:rsidR="00F24F89" w:rsidRPr="00511CD3">
        <w:rPr>
          <w:rFonts w:ascii="Cambria" w:hAnsi="Cambria"/>
          <w:sz w:val="20"/>
          <w:szCs w:val="20"/>
        </w:rPr>
        <w:t xml:space="preserve"> </w:t>
      </w:r>
      <w:r w:rsidR="00EB5090" w:rsidRPr="00511CD3">
        <w:rPr>
          <w:rFonts w:ascii="Cambria" w:hAnsi="Cambria"/>
          <w:sz w:val="20"/>
          <w:szCs w:val="20"/>
        </w:rPr>
        <w:t xml:space="preserve">for contact </w:t>
      </w:r>
      <w:r w:rsidR="00F24F89" w:rsidRPr="00511CD3">
        <w:rPr>
          <w:rFonts w:ascii="Cambria" w:hAnsi="Cambria"/>
          <w:sz w:val="20"/>
          <w:szCs w:val="20"/>
        </w:rPr>
        <w:t xml:space="preserve">was discontinued owing to the social isolation ordered in response to the </w:t>
      </w:r>
      <w:r w:rsidR="001A6DDF" w:rsidRPr="00511CD3">
        <w:rPr>
          <w:rFonts w:ascii="Cambria" w:hAnsi="Cambria"/>
          <w:sz w:val="20"/>
          <w:szCs w:val="20"/>
        </w:rPr>
        <w:t>COVID-19</w:t>
      </w:r>
      <w:r w:rsidR="00B10F4D" w:rsidRPr="00511CD3">
        <w:rPr>
          <w:rFonts w:ascii="Cambria" w:hAnsi="Cambria"/>
          <w:sz w:val="20"/>
          <w:szCs w:val="20"/>
        </w:rPr>
        <w:t xml:space="preserve"> </w:t>
      </w:r>
      <w:r w:rsidR="00F24F89" w:rsidRPr="00511CD3">
        <w:rPr>
          <w:rFonts w:ascii="Cambria" w:hAnsi="Cambria"/>
          <w:sz w:val="20"/>
          <w:szCs w:val="20"/>
        </w:rPr>
        <w:t>pandemic and has only been resumed in part in recent months.</w:t>
      </w:r>
      <w:r w:rsidR="001A6DDF" w:rsidRPr="00511CD3">
        <w:rPr>
          <w:rFonts w:ascii="Cambria" w:hAnsi="Cambria"/>
          <w:sz w:val="20"/>
          <w:szCs w:val="20"/>
        </w:rPr>
        <w:t xml:space="preserve"> </w:t>
      </w:r>
    </w:p>
    <w:p w14:paraId="642E45A3" w14:textId="77777777" w:rsidR="00DF33E8" w:rsidRPr="00511CD3" w:rsidRDefault="00DF33E8" w:rsidP="008429F6">
      <w:pPr>
        <w:pStyle w:val="NormalWeb"/>
        <w:tabs>
          <w:tab w:val="left" w:pos="567"/>
        </w:tabs>
        <w:spacing w:before="0" w:beforeAutospacing="0" w:after="0" w:afterAutospacing="0"/>
        <w:jc w:val="both"/>
        <w:rPr>
          <w:rFonts w:ascii="Cambria" w:hAnsi="Cambria"/>
          <w:sz w:val="20"/>
          <w:szCs w:val="20"/>
        </w:rPr>
      </w:pPr>
    </w:p>
    <w:p w14:paraId="5E3272BA" w14:textId="77777777" w:rsidR="00DF33E8" w:rsidRPr="00511CD3" w:rsidRDefault="00340B92" w:rsidP="008429F6">
      <w:pPr>
        <w:pStyle w:val="Heading1"/>
        <w:ind w:left="0" w:firstLine="0"/>
      </w:pPr>
      <w:r w:rsidRPr="00511CD3">
        <w:t xml:space="preserve"> LEGAL </w:t>
      </w:r>
      <w:r w:rsidR="0004625D" w:rsidRPr="00511CD3">
        <w:t xml:space="preserve">ANALYSIS </w:t>
      </w:r>
    </w:p>
    <w:p w14:paraId="506834B8" w14:textId="77777777" w:rsidR="00DF33E8" w:rsidRPr="00511CD3" w:rsidRDefault="00DF33E8" w:rsidP="008429F6">
      <w:pPr>
        <w:rPr>
          <w:sz w:val="20"/>
          <w:szCs w:val="20"/>
        </w:rPr>
      </w:pPr>
    </w:p>
    <w:p w14:paraId="48BB46F1" w14:textId="77777777" w:rsidR="00DF33E8" w:rsidRPr="00511CD3" w:rsidRDefault="00647F9A" w:rsidP="006C2679">
      <w:pPr>
        <w:pStyle w:val="Heading2"/>
        <w:numPr>
          <w:ilvl w:val="0"/>
          <w:numId w:val="26"/>
        </w:numPr>
        <w:ind w:left="1440" w:hanging="720"/>
        <w:jc w:val="both"/>
        <w:rPr>
          <w:lang w:val="en-US"/>
        </w:rPr>
      </w:pPr>
      <w:r w:rsidRPr="00511CD3">
        <w:rPr>
          <w:lang w:val="en-US"/>
        </w:rPr>
        <w:t>Right</w:t>
      </w:r>
      <w:r w:rsidR="001E3203" w:rsidRPr="00511CD3">
        <w:rPr>
          <w:lang w:val="en-US"/>
        </w:rPr>
        <w:t>s</w:t>
      </w:r>
      <w:r w:rsidRPr="00511CD3">
        <w:rPr>
          <w:lang w:val="en-US"/>
        </w:rPr>
        <w:t xml:space="preserve"> to a fair trial, judicial protection, special protection for children and adolescents, protection of the family in relation to the</w:t>
      </w:r>
      <w:r w:rsidR="00F25F9E" w:rsidRPr="00511CD3">
        <w:rPr>
          <w:lang w:val="en-US"/>
        </w:rPr>
        <w:t xml:space="preserve"> obligation to respect rights, and to </w:t>
      </w:r>
      <w:r w:rsidRPr="00511CD3">
        <w:rPr>
          <w:lang w:val="en-US"/>
        </w:rPr>
        <w:t>equal</w:t>
      </w:r>
      <w:r w:rsidR="00F25F9E" w:rsidRPr="00511CD3">
        <w:rPr>
          <w:lang w:val="en-US"/>
        </w:rPr>
        <w:t xml:space="preserve"> protection</w:t>
      </w:r>
      <w:r w:rsidRPr="00511CD3">
        <w:rPr>
          <w:lang w:val="en-US"/>
        </w:rPr>
        <w:t xml:space="preserve">, and the </w:t>
      </w:r>
      <w:r w:rsidR="00123071" w:rsidRPr="00511CD3">
        <w:rPr>
          <w:lang w:val="en-US"/>
        </w:rPr>
        <w:t xml:space="preserve">obligation </w:t>
      </w:r>
      <w:r w:rsidRPr="00511CD3">
        <w:rPr>
          <w:lang w:val="en-US"/>
        </w:rPr>
        <w:t>to adopt domestic legal provisions</w:t>
      </w:r>
      <w:r w:rsidR="00416B60" w:rsidRPr="00511CD3">
        <w:rPr>
          <w:lang w:val="en-US"/>
        </w:rPr>
        <w:t xml:space="preserve"> </w:t>
      </w:r>
      <w:r w:rsidR="00DF33E8" w:rsidRPr="00511CD3">
        <w:rPr>
          <w:lang w:val="en-US"/>
        </w:rPr>
        <w:t>(</w:t>
      </w:r>
      <w:r w:rsidRPr="00511CD3">
        <w:rPr>
          <w:lang w:val="en-US"/>
        </w:rPr>
        <w:t xml:space="preserve">Articles </w:t>
      </w:r>
      <w:r w:rsidR="0031028E" w:rsidRPr="00511CD3">
        <w:rPr>
          <w:lang w:val="en-US"/>
        </w:rPr>
        <w:t>8</w:t>
      </w:r>
      <w:r w:rsidR="00987693" w:rsidRPr="00511CD3">
        <w:rPr>
          <w:lang w:val="en-US"/>
        </w:rPr>
        <w:t>.1</w:t>
      </w:r>
      <w:r w:rsidR="0031028E" w:rsidRPr="00511CD3">
        <w:rPr>
          <w:lang w:val="en-US"/>
        </w:rPr>
        <w:t>,</w:t>
      </w:r>
      <w:r w:rsidR="000E3AAA" w:rsidRPr="00511CD3">
        <w:rPr>
          <w:lang w:val="en-US"/>
        </w:rPr>
        <w:t xml:space="preserve"> </w:t>
      </w:r>
      <w:r w:rsidR="0031028E" w:rsidRPr="00511CD3">
        <w:rPr>
          <w:lang w:val="en-US"/>
        </w:rPr>
        <w:t>25</w:t>
      </w:r>
      <w:r w:rsidR="00E72467" w:rsidRPr="00511CD3">
        <w:rPr>
          <w:lang w:val="en-US"/>
        </w:rPr>
        <w:t xml:space="preserve">, </w:t>
      </w:r>
      <w:r w:rsidR="00124BF0" w:rsidRPr="00511CD3">
        <w:rPr>
          <w:lang w:val="en-US"/>
        </w:rPr>
        <w:t>19</w:t>
      </w:r>
      <w:r w:rsidR="000E3AAA" w:rsidRPr="00511CD3">
        <w:rPr>
          <w:lang w:val="en-US"/>
        </w:rPr>
        <w:t xml:space="preserve">, 24 </w:t>
      </w:r>
      <w:r w:rsidR="00B10F4D" w:rsidRPr="00511CD3">
        <w:rPr>
          <w:lang w:val="en-US"/>
        </w:rPr>
        <w:t xml:space="preserve"> and </w:t>
      </w:r>
      <w:r w:rsidR="0031028E" w:rsidRPr="00511CD3">
        <w:rPr>
          <w:lang w:val="en-US"/>
        </w:rPr>
        <w:t>1</w:t>
      </w:r>
      <w:r w:rsidR="00987693" w:rsidRPr="00511CD3">
        <w:rPr>
          <w:lang w:val="en-US"/>
        </w:rPr>
        <w:t>7</w:t>
      </w:r>
      <w:r w:rsidR="0031028E" w:rsidRPr="00511CD3">
        <w:rPr>
          <w:lang w:val="en-US"/>
        </w:rPr>
        <w:t xml:space="preserve"> </w:t>
      </w:r>
      <w:r w:rsidRPr="00511CD3">
        <w:rPr>
          <w:lang w:val="en-US"/>
        </w:rPr>
        <w:t xml:space="preserve">of the </w:t>
      </w:r>
      <w:r w:rsidR="003E59A8" w:rsidRPr="00511CD3">
        <w:rPr>
          <w:lang w:val="en-US"/>
        </w:rPr>
        <w:t>American Convention</w:t>
      </w:r>
      <w:r w:rsidR="00272670" w:rsidRPr="00511CD3">
        <w:rPr>
          <w:lang w:val="en-US"/>
        </w:rPr>
        <w:t>,</w:t>
      </w:r>
      <w:r w:rsidR="00987693" w:rsidRPr="00511CD3">
        <w:rPr>
          <w:lang w:val="en-US"/>
        </w:rPr>
        <w:t xml:space="preserve"> </w:t>
      </w:r>
      <w:r w:rsidRPr="00511CD3">
        <w:rPr>
          <w:lang w:val="en-US"/>
        </w:rPr>
        <w:t xml:space="preserve">read in conjunction with Articles </w:t>
      </w:r>
      <w:r w:rsidR="00E72467" w:rsidRPr="00511CD3">
        <w:rPr>
          <w:lang w:val="en-US"/>
        </w:rPr>
        <w:t>1.1</w:t>
      </w:r>
      <w:r w:rsidR="00B10F4D" w:rsidRPr="00511CD3">
        <w:rPr>
          <w:lang w:val="en-US"/>
        </w:rPr>
        <w:t xml:space="preserve"> and </w:t>
      </w:r>
      <w:r w:rsidR="00E72467" w:rsidRPr="00511CD3">
        <w:rPr>
          <w:lang w:val="en-US"/>
        </w:rPr>
        <w:t xml:space="preserve">2 </w:t>
      </w:r>
      <w:r w:rsidRPr="00511CD3">
        <w:rPr>
          <w:lang w:val="en-US"/>
        </w:rPr>
        <w:t>of that instrument</w:t>
      </w:r>
      <w:r w:rsidR="00E72467" w:rsidRPr="00511CD3">
        <w:rPr>
          <w:lang w:val="en-US"/>
        </w:rPr>
        <w:t>)</w:t>
      </w:r>
      <w:r w:rsidR="00D60206" w:rsidRPr="00511CD3">
        <w:rPr>
          <w:lang w:val="en-US"/>
        </w:rPr>
        <w:t xml:space="preserve">, </w:t>
      </w:r>
      <w:r w:rsidRPr="00511CD3">
        <w:rPr>
          <w:lang w:val="en-US"/>
        </w:rPr>
        <w:t xml:space="preserve">the right of women to a life free from violence (Article </w:t>
      </w:r>
      <w:r w:rsidR="00D60206" w:rsidRPr="00511CD3">
        <w:rPr>
          <w:lang w:val="en-US"/>
        </w:rPr>
        <w:t xml:space="preserve">7 </w:t>
      </w:r>
      <w:r w:rsidRPr="00511CD3">
        <w:rPr>
          <w:lang w:val="en-US"/>
        </w:rPr>
        <w:t xml:space="preserve">of the Convention of </w:t>
      </w:r>
      <w:r w:rsidR="00D60206" w:rsidRPr="00511CD3">
        <w:rPr>
          <w:lang w:val="en-US"/>
        </w:rPr>
        <w:t xml:space="preserve">Belem </w:t>
      </w:r>
      <w:r w:rsidRPr="00511CD3">
        <w:rPr>
          <w:lang w:val="en-US"/>
        </w:rPr>
        <w:t>d</w:t>
      </w:r>
      <w:r w:rsidR="00D60206" w:rsidRPr="00511CD3">
        <w:rPr>
          <w:lang w:val="en-US"/>
        </w:rPr>
        <w:t>o Pará).</w:t>
      </w:r>
    </w:p>
    <w:p w14:paraId="539D6C0F" w14:textId="77777777" w:rsidR="00DF33E8" w:rsidRPr="00511CD3" w:rsidRDefault="00DF33E8" w:rsidP="006C2679">
      <w:pPr>
        <w:ind w:left="2160" w:hanging="720"/>
        <w:jc w:val="both"/>
      </w:pPr>
    </w:p>
    <w:p w14:paraId="5947537D" w14:textId="77777777" w:rsidR="00E94CAD" w:rsidRDefault="00647F9A" w:rsidP="00D568AC">
      <w:pPr>
        <w:pStyle w:val="Heading3"/>
        <w:numPr>
          <w:ilvl w:val="1"/>
          <w:numId w:val="26"/>
        </w:numPr>
        <w:jc w:val="both"/>
        <w:rPr>
          <w:rFonts w:ascii="Cambria" w:hAnsi="Cambria"/>
          <w:b/>
          <w:sz w:val="20"/>
          <w:szCs w:val="20"/>
        </w:rPr>
      </w:pPr>
      <w:r w:rsidRPr="00D568AC">
        <w:rPr>
          <w:rFonts w:ascii="Cambria" w:hAnsi="Cambria"/>
          <w:b/>
          <w:sz w:val="20"/>
          <w:szCs w:val="20"/>
        </w:rPr>
        <w:t xml:space="preserve">General standards on the obligation </w:t>
      </w:r>
      <w:r w:rsidR="002D6AF3" w:rsidRPr="00D568AC">
        <w:rPr>
          <w:rFonts w:ascii="Cambria" w:hAnsi="Cambria"/>
          <w:b/>
          <w:sz w:val="20"/>
          <w:szCs w:val="20"/>
        </w:rPr>
        <w:t xml:space="preserve">to provide </w:t>
      </w:r>
      <w:r w:rsidRPr="00D568AC">
        <w:rPr>
          <w:rFonts w:ascii="Cambria" w:hAnsi="Cambria"/>
          <w:b/>
          <w:sz w:val="20"/>
          <w:szCs w:val="20"/>
        </w:rPr>
        <w:t xml:space="preserve">special protection </w:t>
      </w:r>
      <w:r w:rsidR="002D6AF3" w:rsidRPr="00D568AC">
        <w:rPr>
          <w:rFonts w:ascii="Cambria" w:hAnsi="Cambria"/>
          <w:b/>
          <w:sz w:val="20"/>
          <w:szCs w:val="20"/>
        </w:rPr>
        <w:t>to</w:t>
      </w:r>
      <w:r w:rsidRPr="00D568AC">
        <w:rPr>
          <w:rFonts w:ascii="Cambria" w:hAnsi="Cambria"/>
          <w:b/>
          <w:sz w:val="20"/>
          <w:szCs w:val="20"/>
        </w:rPr>
        <w:t xml:space="preserve"> children and adolescents, the rights of children to family, and prevention of renuncia</w:t>
      </w:r>
      <w:r w:rsidR="006C2679" w:rsidRPr="00D568AC">
        <w:rPr>
          <w:rFonts w:ascii="Cambria" w:hAnsi="Cambria"/>
          <w:b/>
          <w:sz w:val="20"/>
          <w:szCs w:val="20"/>
        </w:rPr>
        <w:t>tion of parental guardianship</w:t>
      </w:r>
    </w:p>
    <w:p w14:paraId="205ACCA9" w14:textId="77777777" w:rsidR="00D568AC" w:rsidRPr="00D568AC" w:rsidRDefault="00D568AC" w:rsidP="00D568AC">
      <w:pPr>
        <w:rPr>
          <w:sz w:val="20"/>
          <w:szCs w:val="20"/>
        </w:rPr>
      </w:pPr>
    </w:p>
    <w:p w14:paraId="566A3899" w14:textId="77777777" w:rsidR="00D568AC" w:rsidRPr="00511CD3" w:rsidRDefault="00D568AC" w:rsidP="00D568AC">
      <w:pPr>
        <w:pStyle w:val="ListParagraph"/>
        <w:ind w:left="0" w:firstLine="0"/>
      </w:pPr>
      <w:r w:rsidRPr="00511CD3">
        <w:t xml:space="preserve">The IACHR and the Inter-American Court of Human Rights (hereinafter the “Inter-American Court,” “the Court,” or the “IA Court HR”) have consistently referred in their decisions to the </w:t>
      </w:r>
      <w:r w:rsidRPr="00D568AC">
        <w:rPr>
          <w:rFonts w:cs="Calibri-Italic"/>
          <w:i/>
          <w:iCs/>
        </w:rPr>
        <w:t xml:space="preserve">corpus juris </w:t>
      </w:r>
      <w:r w:rsidRPr="00D568AC">
        <w:rPr>
          <w:rFonts w:cs="Calibri-Italic"/>
          <w:iCs/>
        </w:rPr>
        <w:t>regarding the human rights of children and adolescents, understanding it to be the body of fundamental norms related to guaranteeing the human rights of children and</w:t>
      </w:r>
      <w:r w:rsidRPr="00511CD3">
        <w:t xml:space="preserve"> adolescents. </w:t>
      </w:r>
    </w:p>
    <w:p w14:paraId="440A312E" w14:textId="77777777" w:rsidR="00D568AC" w:rsidRPr="00511CD3" w:rsidRDefault="00D568AC" w:rsidP="00D568AC">
      <w:pPr>
        <w:pStyle w:val="ListParagraph"/>
        <w:numPr>
          <w:ilvl w:val="0"/>
          <w:numId w:val="0"/>
        </w:numPr>
      </w:pPr>
    </w:p>
    <w:p w14:paraId="560D8541" w14:textId="77777777" w:rsidR="00D568AC" w:rsidRPr="00511CD3" w:rsidRDefault="00D568AC" w:rsidP="00D568AC">
      <w:pPr>
        <w:pStyle w:val="ListParagraph"/>
        <w:ind w:left="0" w:firstLine="0"/>
      </w:pPr>
      <w:r w:rsidRPr="00511CD3">
        <w:t xml:space="preserve">Derived from that international </w:t>
      </w:r>
      <w:r w:rsidRPr="00511CD3">
        <w:rPr>
          <w:i/>
          <w:iCs/>
        </w:rPr>
        <w:t>corpus juris</w:t>
      </w:r>
      <w:r w:rsidRPr="00511CD3">
        <w:t>, and, in particular, Article 19 of the American Convention, is the State’s obligation to provide special protection to children and adolescents.  In fact, the IA Court HR has held that Article 19 of the Convention should be understood as an additional and complementary right that the treaty establishes for children, who, owing to their level of development, require special protection.</w:t>
      </w:r>
      <w:r w:rsidRPr="00511CD3">
        <w:rPr>
          <w:rStyle w:val="FootnoteReference"/>
          <w:rFonts w:eastAsiaTheme="minorHAnsi"/>
        </w:rPr>
        <w:footnoteReference w:id="76"/>
      </w:r>
      <w:r w:rsidRPr="00511CD3">
        <w:t xml:space="preserve">  This special protection that is to be given to children under international human rights law is based on their condition as developing persons and is justified in regards to their differences from adult persons, in terms of possibilities for, and challenges in, realizing the effective exercise … of their rights.</w:t>
      </w:r>
      <w:r w:rsidRPr="00511CD3">
        <w:rPr>
          <w:rStyle w:val="FootnoteReference"/>
          <w:rFonts w:eastAsiaTheme="minorHAnsi"/>
        </w:rPr>
        <w:footnoteReference w:id="77"/>
      </w:r>
      <w:r w:rsidRPr="00511CD3">
        <w:t xml:space="preserve">  </w:t>
      </w:r>
    </w:p>
    <w:p w14:paraId="5FBDFCC2" w14:textId="77777777" w:rsidR="00D568AC" w:rsidRPr="00511CD3" w:rsidRDefault="00D568AC" w:rsidP="00D568AC">
      <w:pPr>
        <w:pStyle w:val="ListParagraph"/>
        <w:numPr>
          <w:ilvl w:val="0"/>
          <w:numId w:val="0"/>
        </w:numPr>
        <w:ind w:firstLine="142"/>
      </w:pPr>
    </w:p>
    <w:p w14:paraId="169678C5" w14:textId="77777777" w:rsidR="00D568AC" w:rsidRPr="00511CD3" w:rsidRDefault="00D568AC" w:rsidP="00D568AC">
      <w:pPr>
        <w:pStyle w:val="ListParagraph"/>
        <w:ind w:left="0" w:firstLine="0"/>
        <w:rPr>
          <w:rFonts w:eastAsiaTheme="minorHAnsi"/>
        </w:rPr>
      </w:pPr>
      <w:r w:rsidRPr="00511CD3">
        <w:rPr>
          <w:rFonts w:eastAsiaTheme="minorHAnsi"/>
        </w:rPr>
        <w:t>The Commission has noted that i</w:t>
      </w:r>
      <w:r w:rsidRPr="00511CD3">
        <w:t>t is because of this special situation in which children find themselves with regard to the exercise of their rights, that international human rights law places the States in a position of reinforced guarantors.  It is also important to note that in examining the scope and content of the duty of special protection, it must be taken into consideration that the condition of dependency of children evolves naturally over time in accordance with their growth, maturity level, and gradually increasing personal autonomy.  Consequently, those duties and responsibilities must be consistent with the children’s level of development and their gradually evolving autonomy.</w:t>
      </w:r>
      <w:r w:rsidRPr="00511CD3">
        <w:rPr>
          <w:rStyle w:val="FootnoteReference"/>
          <w:rFonts w:eastAsiaTheme="minorHAnsi"/>
        </w:rPr>
        <w:t xml:space="preserve"> </w:t>
      </w:r>
      <w:r w:rsidRPr="00511CD3">
        <w:rPr>
          <w:rStyle w:val="FootnoteReference"/>
          <w:rFonts w:eastAsiaTheme="minorHAnsi"/>
        </w:rPr>
        <w:footnoteReference w:id="78"/>
      </w:r>
      <w:r w:rsidRPr="00511CD3">
        <w:rPr>
          <w:rFonts w:eastAsiaTheme="minorHAnsi"/>
        </w:rPr>
        <w:t xml:space="preserve">  </w:t>
      </w:r>
    </w:p>
    <w:p w14:paraId="25A3CC53" w14:textId="77777777" w:rsidR="00D568AC" w:rsidRPr="00511CD3" w:rsidRDefault="00D568AC" w:rsidP="00D568AC">
      <w:pPr>
        <w:pStyle w:val="ListParagraph"/>
        <w:numPr>
          <w:ilvl w:val="0"/>
          <w:numId w:val="0"/>
        </w:numPr>
        <w:ind w:firstLine="142"/>
      </w:pPr>
    </w:p>
    <w:p w14:paraId="17E24CD1" w14:textId="77777777" w:rsidR="00D568AC" w:rsidRPr="00511CD3" w:rsidRDefault="00D568AC" w:rsidP="00D568AC">
      <w:pPr>
        <w:pStyle w:val="ListParagraph"/>
        <w:ind w:left="0" w:firstLine="0"/>
        <w:rPr>
          <w:rFonts w:eastAsiaTheme="minorHAnsi"/>
        </w:rPr>
      </w:pPr>
      <w:r w:rsidRPr="00511CD3">
        <w:rPr>
          <w:rFonts w:eastAsiaTheme="minorHAnsi"/>
        </w:rPr>
        <w:t xml:space="preserve">The IA Court HR has held that </w:t>
      </w:r>
      <w:r w:rsidRPr="00511CD3">
        <w:t>among the domestic legislative measures that the member states must adopt to meet the obligations under Article 19 of the Convention are, on the one hand, obligations of a general nature that are directed at children as a whole and are designed to promote and ensure the effective enjoyment of all their human rights; and, on the other, those of a specific nature directed at specific groups of children, established according to the particular vulnerable circumstances in which they find themselves …</w:t>
      </w:r>
      <w:r w:rsidRPr="00511CD3">
        <w:rPr>
          <w:rStyle w:val="FootnoteReference"/>
          <w:rFonts w:eastAsiaTheme="minorHAnsi"/>
        </w:rPr>
        <w:t xml:space="preserve"> </w:t>
      </w:r>
      <w:r w:rsidRPr="00511CD3">
        <w:rPr>
          <w:rStyle w:val="FootnoteReference"/>
          <w:rFonts w:eastAsiaTheme="minorHAnsi"/>
        </w:rPr>
        <w:footnoteReference w:id="79"/>
      </w:r>
      <w:r w:rsidRPr="00511CD3">
        <w:rPr>
          <w:rFonts w:eastAsiaTheme="minorHAnsi"/>
          <w:vertAlign w:val="superscript"/>
        </w:rPr>
        <w:t>.</w:t>
      </w:r>
      <w:r w:rsidRPr="00511CD3">
        <w:rPr>
          <w:rFonts w:eastAsiaTheme="minorHAnsi"/>
        </w:rPr>
        <w:t>.</w:t>
      </w:r>
    </w:p>
    <w:p w14:paraId="5FA9BE66" w14:textId="77777777" w:rsidR="00D568AC" w:rsidRPr="00511CD3" w:rsidRDefault="00D568AC" w:rsidP="00D568AC">
      <w:pPr>
        <w:pStyle w:val="ListParagraph"/>
        <w:numPr>
          <w:ilvl w:val="0"/>
          <w:numId w:val="0"/>
        </w:numPr>
        <w:ind w:firstLine="142"/>
      </w:pPr>
    </w:p>
    <w:p w14:paraId="0DFA2C0B" w14:textId="77777777" w:rsidR="00D568AC" w:rsidRPr="00511CD3" w:rsidRDefault="00D568AC" w:rsidP="00D568AC">
      <w:pPr>
        <w:pStyle w:val="ListParagraph"/>
        <w:ind w:left="0" w:firstLine="0"/>
      </w:pPr>
      <w:r w:rsidRPr="00511CD3">
        <w:t>With regard to the right of the child to family life, whose primary normative source is Article 17.1 of the American Convention, the Commission has repeatedly underscored the preeminence that international human rights law confers on the family as an interpersonal bond and natural environment for the personal integral development of the human person.</w:t>
      </w:r>
      <w:r w:rsidRPr="00511CD3">
        <w:rPr>
          <w:rStyle w:val="FootnoteReference"/>
          <w:rFonts w:eastAsiaTheme="minorHAnsi"/>
        </w:rPr>
        <w:footnoteReference w:id="80"/>
      </w:r>
      <w:r w:rsidRPr="00511CD3">
        <w:t xml:space="preserve"> Therefore, there is a close relationship between the right to protection of the family and the rights of the child, especially their right to self-realization and to the exercise of all inherent rights of the human person. </w:t>
      </w:r>
    </w:p>
    <w:p w14:paraId="5178656E" w14:textId="77777777" w:rsidR="00D568AC" w:rsidRPr="00511CD3" w:rsidRDefault="00D568AC" w:rsidP="00D568AC">
      <w:pPr>
        <w:tabs>
          <w:tab w:val="left" w:pos="567"/>
        </w:tabs>
        <w:autoSpaceDE w:val="0"/>
        <w:autoSpaceDN w:val="0"/>
        <w:adjustRightInd w:val="0"/>
        <w:ind w:firstLine="142"/>
        <w:rPr>
          <w:rFonts w:ascii="Calibri" w:eastAsiaTheme="minorHAnsi" w:hAnsi="Calibri" w:cs="Calibri"/>
          <w:sz w:val="20"/>
          <w:szCs w:val="20"/>
        </w:rPr>
      </w:pPr>
    </w:p>
    <w:p w14:paraId="12D81916" w14:textId="77777777" w:rsidR="00D568AC" w:rsidRPr="00511CD3" w:rsidRDefault="00D568AC" w:rsidP="00D568AC">
      <w:pPr>
        <w:pStyle w:val="ListParagraph"/>
        <w:ind w:left="0" w:firstLine="0"/>
      </w:pPr>
      <w:r w:rsidRPr="00511CD3">
        <w:t>In that regard, in accordance with international human rights law, the family is the central sphere for the protection of children and adolescents, and, for children, it is an essential right to live with their families.  This interrelationship between the right to family and the right of children to special protection is explicitly recognized in Articles 15</w:t>
      </w:r>
      <w:r w:rsidRPr="00511CD3">
        <w:rPr>
          <w:rStyle w:val="FootnoteReference"/>
        </w:rPr>
        <w:footnoteReference w:id="81"/>
      </w:r>
      <w:r w:rsidRPr="00511CD3">
        <w:t xml:space="preserve"> and 16</w:t>
      </w:r>
      <w:r w:rsidRPr="00511CD3">
        <w:rPr>
          <w:rStyle w:val="FootnoteReference"/>
        </w:rPr>
        <w:footnoteReference w:id="82"/>
      </w:r>
      <w:r w:rsidRPr="00511CD3">
        <w:t xml:space="preserve"> of the Additional Protocol to the American Convention on Human Rights in the Area of Economic, Social and Cultural Rights “Protocol of San Salvador,” and in the Convention on the Rights of the Child, whose preamble establishes that “</w:t>
      </w:r>
      <w:r w:rsidRPr="00511CD3">
        <w:rPr>
          <w:color w:val="000000"/>
          <w:shd w:val="clear" w:color="auto" w:fill="FFFFFF"/>
        </w:rPr>
        <w:t>the family, as the fundamental group of society and the natural environment for the growth and well-being of all its members and particularly children, should be afforded the necessary protection and assistance so that it can fully assume its responsibilities within the community …”, among other instruments.</w:t>
      </w:r>
      <w:r w:rsidRPr="00511CD3">
        <w:t xml:space="preserve"> </w:t>
      </w:r>
    </w:p>
    <w:p w14:paraId="07471898" w14:textId="77777777" w:rsidR="00D568AC" w:rsidRPr="00511CD3" w:rsidRDefault="00D568AC" w:rsidP="00D568AC">
      <w:pPr>
        <w:pStyle w:val="NormalWeb"/>
        <w:tabs>
          <w:tab w:val="left" w:pos="567"/>
        </w:tabs>
        <w:spacing w:before="0" w:beforeAutospacing="0" w:after="0" w:afterAutospacing="0"/>
        <w:ind w:firstLine="142"/>
        <w:jc w:val="both"/>
        <w:rPr>
          <w:rFonts w:ascii="Cambria" w:hAnsi="Cambria"/>
          <w:sz w:val="20"/>
          <w:szCs w:val="20"/>
        </w:rPr>
      </w:pPr>
    </w:p>
    <w:p w14:paraId="4D872A27" w14:textId="77777777" w:rsidR="00D568AC" w:rsidRPr="00511CD3" w:rsidRDefault="00D568AC" w:rsidP="00D568AC">
      <w:pPr>
        <w:pStyle w:val="ListParagraph"/>
        <w:ind w:left="0" w:firstLine="0"/>
      </w:pPr>
      <w:r w:rsidRPr="00511CD3">
        <w:t>With regard to the concept of “family” itself, the IA Court HR has held that “it should not be confined exclusively to marriage or to a univocal and immutable concept of family,” but rather “must be understood in a broad sense that encompasses all persons linked by close kinship”</w:t>
      </w:r>
      <w:r w:rsidRPr="00511CD3">
        <w:rPr>
          <w:rStyle w:val="FootnoteReference"/>
        </w:rPr>
        <w:footnoteReference w:id="83"/>
      </w:r>
      <w:r w:rsidRPr="00511CD3">
        <w:t xml:space="preserve"> and rejected a limited, stereotyped concept of family which has no basis in the Convention since there is not specific model of family (the “traditional family”).</w:t>
      </w:r>
      <w:r w:rsidRPr="00511CD3">
        <w:rPr>
          <w:rStyle w:val="FootnoteReference"/>
        </w:rPr>
        <w:footnoteReference w:id="84"/>
      </w:r>
      <w:r w:rsidRPr="00511CD3">
        <w:t xml:space="preserve"> </w:t>
      </w:r>
    </w:p>
    <w:p w14:paraId="5568F714" w14:textId="77777777" w:rsidR="00D568AC" w:rsidRPr="00511CD3" w:rsidRDefault="00D568AC" w:rsidP="00D568AC">
      <w:pPr>
        <w:pStyle w:val="NormalWeb"/>
        <w:tabs>
          <w:tab w:val="left" w:pos="567"/>
        </w:tabs>
        <w:spacing w:before="0" w:beforeAutospacing="0" w:after="0" w:afterAutospacing="0"/>
        <w:ind w:firstLine="142"/>
        <w:jc w:val="both"/>
        <w:rPr>
          <w:rFonts w:ascii="Cambria" w:hAnsi="Cambria"/>
          <w:sz w:val="20"/>
          <w:szCs w:val="20"/>
        </w:rPr>
      </w:pPr>
    </w:p>
    <w:p w14:paraId="36DB9D19" w14:textId="77777777" w:rsidR="00D568AC" w:rsidRPr="00511CD3" w:rsidRDefault="00D568AC" w:rsidP="00D568AC">
      <w:pPr>
        <w:pStyle w:val="ListParagraph"/>
        <w:ind w:left="0" w:firstLine="0"/>
      </w:pPr>
      <w:r w:rsidRPr="00511CD3">
        <w:t>The organs of the inter-American human rights system have identified as a duty of the State to offer and execute measures for, in the broadest sense, the development and strengthening of the familial nucleus.</w:t>
      </w:r>
      <w:r w:rsidRPr="00511CD3">
        <w:rPr>
          <w:rStyle w:val="FootnoteReference"/>
        </w:rPr>
        <w:t xml:space="preserve"> </w:t>
      </w:r>
      <w:r w:rsidRPr="00511CD3">
        <w:rPr>
          <w:rStyle w:val="FootnoteReference"/>
        </w:rPr>
        <w:footnoteReference w:id="85"/>
      </w:r>
      <w:r w:rsidRPr="00511CD3">
        <w:t xml:space="preserve">  Although the primarily responsibility for the well-being of children and the enjoyment of their rights lies with their biological parents and with members of their families of origin, the State has the obligation to render appropriate support and assistance to parents and families in the performance of their child-rearing responsibilities.</w:t>
      </w:r>
      <w:r w:rsidRPr="00511CD3">
        <w:rPr>
          <w:rStyle w:val="FootnoteReference"/>
        </w:rPr>
        <w:t xml:space="preserve"> </w:t>
      </w:r>
      <w:r w:rsidRPr="00511CD3">
        <w:rPr>
          <w:rStyle w:val="FootnoteReference"/>
        </w:rPr>
        <w:footnoteReference w:id="86"/>
      </w:r>
      <w:r w:rsidRPr="00511CD3">
        <w:t xml:space="preserve">  </w:t>
      </w:r>
    </w:p>
    <w:p w14:paraId="222691F7" w14:textId="77777777" w:rsidR="00D568AC" w:rsidRPr="00511CD3" w:rsidRDefault="00D568AC" w:rsidP="00D568AC">
      <w:pPr>
        <w:pStyle w:val="NormalWeb"/>
        <w:tabs>
          <w:tab w:val="left" w:pos="567"/>
        </w:tabs>
        <w:spacing w:before="0" w:beforeAutospacing="0" w:after="0" w:afterAutospacing="0"/>
        <w:ind w:firstLine="142"/>
        <w:jc w:val="both"/>
        <w:rPr>
          <w:rFonts w:ascii="Cambria" w:hAnsi="Cambria"/>
          <w:sz w:val="20"/>
          <w:szCs w:val="20"/>
        </w:rPr>
      </w:pPr>
    </w:p>
    <w:p w14:paraId="3CBA67F4" w14:textId="77777777" w:rsidR="00D568AC" w:rsidRPr="00511CD3" w:rsidRDefault="00D568AC" w:rsidP="00D568AC">
      <w:pPr>
        <w:pStyle w:val="ListParagraph"/>
        <w:ind w:left="0" w:firstLine="0"/>
      </w:pPr>
      <w:r w:rsidRPr="00511CD3">
        <w:t>The norms and standards of international human rights law, and, in particular, Articles 17 and 19.1 of the American Convention recognize the right to children to live with their families, primarily their biological families and to be cared for and brought up by their biological parents in the family setting.</w:t>
      </w:r>
      <w:r w:rsidRPr="00511CD3">
        <w:rPr>
          <w:rStyle w:val="FootnoteReference"/>
        </w:rPr>
        <w:footnoteReference w:id="87"/>
      </w:r>
      <w:r w:rsidRPr="00511CD3">
        <w:t xml:space="preserve"> This is reinforced </w:t>
      </w:r>
      <w:r w:rsidRPr="00511CD3">
        <w:lastRenderedPageBreak/>
        <w:t xml:space="preserve">by the considerations to be made in light of the right to identity and the right to a name, set forth in Article 18 of the American Convention. </w:t>
      </w:r>
    </w:p>
    <w:p w14:paraId="5632D075" w14:textId="77777777" w:rsidR="00D568AC" w:rsidRPr="00511CD3" w:rsidRDefault="00D568AC" w:rsidP="00D568AC">
      <w:pPr>
        <w:pStyle w:val="NormalWeb"/>
        <w:tabs>
          <w:tab w:val="left" w:pos="567"/>
        </w:tabs>
        <w:spacing w:before="0" w:beforeAutospacing="0" w:after="0" w:afterAutospacing="0"/>
        <w:ind w:firstLine="142"/>
        <w:jc w:val="both"/>
        <w:rPr>
          <w:rFonts w:ascii="Cambria" w:hAnsi="Cambria"/>
          <w:sz w:val="20"/>
          <w:szCs w:val="20"/>
        </w:rPr>
      </w:pPr>
    </w:p>
    <w:p w14:paraId="76740A04" w14:textId="77777777" w:rsidR="00D568AC" w:rsidRPr="00511CD3" w:rsidRDefault="00D568AC" w:rsidP="00D568AC">
      <w:pPr>
        <w:pStyle w:val="ListParagraph"/>
        <w:ind w:left="0" w:firstLine="0"/>
      </w:pPr>
      <w:r w:rsidRPr="00511CD3">
        <w:t xml:space="preserve">In that regard, the IA Court HR has held that the right to identity “can be conceptualized, in general, as a series of attribute and characteristics that allow the individualization of the person in society […] Personal identity is closely related to the person in his or her specific individuality and private life, both supported by a historical and biological experience, and also by the way in which the said individual relates to others, by developing social and family ties. This is why, although identity is not a right that is exclusive to children, it has special importance during childhood.” Specifically, the IA Court HR held, in the case of </w:t>
      </w:r>
      <w:r w:rsidRPr="00511CD3">
        <w:rPr>
          <w:rFonts w:eastAsiaTheme="minorHAnsi"/>
          <w:i/>
          <w:iCs/>
        </w:rPr>
        <w:t xml:space="preserve">Fornerón and Daughter v. Argentina, </w:t>
      </w:r>
      <w:r w:rsidRPr="00511CD3">
        <w:rPr>
          <w:rFonts w:eastAsiaTheme="minorHAnsi"/>
          <w:iCs/>
        </w:rPr>
        <w:t>that “[t]</w:t>
      </w:r>
      <w:r w:rsidRPr="00511CD3">
        <w:t>he family relationships and the biological aspects of the history of an individual, particularly a child, constitute a fundamental element of his or her identity, so that any act or omission of the State that has an effect on the said components can constitute a violation of the right to identity.”</w:t>
      </w:r>
      <w:r w:rsidRPr="00511CD3">
        <w:rPr>
          <w:rStyle w:val="FootnoteReference"/>
          <w:rFonts w:eastAsiaTheme="minorHAnsi"/>
        </w:rPr>
        <w:t xml:space="preserve"> </w:t>
      </w:r>
      <w:r w:rsidRPr="00511CD3">
        <w:rPr>
          <w:rStyle w:val="FootnoteReference"/>
          <w:rFonts w:eastAsiaTheme="minorHAnsi"/>
        </w:rPr>
        <w:footnoteReference w:id="88"/>
      </w:r>
    </w:p>
    <w:p w14:paraId="5CB142C6" w14:textId="77777777" w:rsidR="00D568AC" w:rsidRPr="00511CD3" w:rsidRDefault="00D568AC" w:rsidP="00D568AC">
      <w:pPr>
        <w:pStyle w:val="NormalWeb"/>
        <w:tabs>
          <w:tab w:val="left" w:pos="567"/>
        </w:tabs>
        <w:spacing w:before="0" w:beforeAutospacing="0" w:after="0" w:afterAutospacing="0"/>
        <w:ind w:firstLine="142"/>
        <w:jc w:val="both"/>
        <w:rPr>
          <w:rFonts w:ascii="Cambria" w:hAnsi="Cambria"/>
          <w:sz w:val="20"/>
          <w:szCs w:val="20"/>
        </w:rPr>
      </w:pPr>
    </w:p>
    <w:p w14:paraId="175B8192" w14:textId="77777777" w:rsidR="00D568AC" w:rsidRPr="00511CD3" w:rsidRDefault="00D568AC" w:rsidP="00D568AC">
      <w:pPr>
        <w:pStyle w:val="ListParagraph"/>
        <w:ind w:left="0" w:firstLine="0"/>
      </w:pPr>
      <w:r w:rsidRPr="00511CD3">
        <w:rPr>
          <w:rFonts w:eastAsiaTheme="minorHAnsi"/>
        </w:rPr>
        <w:t>Therefore, both the Commission and the IA Court HR have held that, based on the State’s obligations derived from Articles 17.1 and 19 of the American Convention, children have the right to develop their identity together with their biological family, and have emphasized that the protection measures that the State should offer them are aimed at strengthening the family as the primary element for their protection and care.</w:t>
      </w:r>
      <w:r w:rsidRPr="00511CD3">
        <w:rPr>
          <w:rStyle w:val="FootnoteReference"/>
          <w:rFonts w:eastAsiaTheme="minorHAnsi"/>
        </w:rPr>
        <w:footnoteReference w:id="89"/>
      </w:r>
      <w:r w:rsidRPr="00511CD3">
        <w:rPr>
          <w:rFonts w:eastAsiaTheme="minorHAnsi"/>
        </w:rPr>
        <w:t xml:space="preserve">  In that regard, the IA Court HR has held that</w:t>
      </w:r>
      <w:r w:rsidRPr="00511CD3">
        <w:t xml:space="preserve"> “the child must remain in his or her household, unless there are determining reasons, based on the child’s best interests, to decide to separate him or her from the family. In any case, separation must be exceptional and, preferably, temporary.”</w:t>
      </w:r>
      <w:r w:rsidRPr="00511CD3">
        <w:rPr>
          <w:rStyle w:val="FootnoteReference"/>
        </w:rPr>
        <w:footnoteReference w:id="90"/>
      </w:r>
      <w:r w:rsidRPr="00511CD3">
        <w:t xml:space="preserve"> </w:t>
      </w:r>
    </w:p>
    <w:p w14:paraId="2C867723" w14:textId="77777777" w:rsidR="00D568AC" w:rsidRPr="00511CD3" w:rsidRDefault="00D568AC" w:rsidP="00D568AC">
      <w:pPr>
        <w:pStyle w:val="ListParagraph"/>
        <w:numPr>
          <w:ilvl w:val="0"/>
          <w:numId w:val="0"/>
        </w:numPr>
        <w:ind w:firstLine="142"/>
      </w:pPr>
    </w:p>
    <w:p w14:paraId="3D953CED" w14:textId="77777777" w:rsidR="00D568AC" w:rsidRPr="00511CD3" w:rsidRDefault="00D568AC" w:rsidP="00D568AC">
      <w:pPr>
        <w:pStyle w:val="ListParagraph"/>
        <w:ind w:left="0" w:firstLine="0"/>
      </w:pPr>
      <w:r w:rsidRPr="00511CD3">
        <w:t>Among the family support and protection measures identified by the IACHR, warranting warrant special attention in the light of the instant case are those based on the fundamental principle of the guardianship of a child by his biological parents.  As provided in Articles 17.1 and 19 of the Convention, the State has the duty to take any appropriate and necessary steps to guarantee that parents or, as the case may be, the extended family, are provided with appropriate counseling and professional support and, especially, access to relevant information on family support services and programs, in addition to legal assistance regarding the legal effects of the relinquishment custody and care of their child.</w:t>
      </w:r>
      <w:r w:rsidRPr="00511CD3">
        <w:rPr>
          <w:rStyle w:val="FootnoteReference"/>
        </w:rPr>
        <w:t xml:space="preserve"> </w:t>
      </w:r>
      <w:r w:rsidRPr="00511CD3">
        <w:rPr>
          <w:rStyle w:val="FootnoteReference"/>
        </w:rPr>
        <w:footnoteReference w:id="91"/>
      </w:r>
      <w:r w:rsidRPr="00511CD3">
        <w:t xml:space="preserve">  </w:t>
      </w:r>
    </w:p>
    <w:p w14:paraId="214F2751" w14:textId="77777777" w:rsidR="00D568AC" w:rsidRPr="00511CD3" w:rsidRDefault="00D568AC" w:rsidP="00D568AC">
      <w:pPr>
        <w:pStyle w:val="ListParagraph"/>
        <w:numPr>
          <w:ilvl w:val="0"/>
          <w:numId w:val="0"/>
        </w:numPr>
        <w:ind w:firstLine="142"/>
      </w:pPr>
    </w:p>
    <w:p w14:paraId="74A41262" w14:textId="77777777" w:rsidR="00D568AC" w:rsidRPr="00511CD3" w:rsidRDefault="00D568AC" w:rsidP="00D568AC">
      <w:pPr>
        <w:pStyle w:val="ListParagraph"/>
        <w:ind w:left="0" w:firstLine="0"/>
      </w:pPr>
      <w:r w:rsidRPr="00511CD3">
        <w:t>Regarding specific steps to be taken, these will depend on the particular circumstances facing the family and the child, and could consist of, among others: i) support, guidance and follow up of the family by experts in family support; ii) direct material assistance or other type of assistance, allocations or benefits for the family to strengthen their standard of living and the enjoyment of the rights of the child; and iii) access to programs, social services or other type of suitable assistance to strengthen the capacity of the family to provide for the protection, care and upbringing of the child without separating her or him from the family.</w:t>
      </w:r>
      <w:r w:rsidRPr="00511CD3">
        <w:rPr>
          <w:rStyle w:val="FootnoteReference"/>
        </w:rPr>
        <w:footnoteReference w:id="92"/>
      </w:r>
    </w:p>
    <w:p w14:paraId="55623023" w14:textId="77777777" w:rsidR="00D568AC" w:rsidRPr="00511CD3" w:rsidRDefault="00D568AC" w:rsidP="00D568AC">
      <w:pPr>
        <w:pStyle w:val="ListParagraph"/>
        <w:numPr>
          <w:ilvl w:val="0"/>
          <w:numId w:val="0"/>
        </w:numPr>
        <w:ind w:firstLine="142"/>
      </w:pPr>
    </w:p>
    <w:p w14:paraId="32DD9658" w14:textId="77777777" w:rsidR="00D568AC" w:rsidRPr="00511CD3" w:rsidRDefault="00D568AC" w:rsidP="00D568AC">
      <w:pPr>
        <w:pStyle w:val="ListParagraph"/>
        <w:ind w:left="0" w:firstLine="0"/>
      </w:pPr>
      <w:r w:rsidRPr="00511CD3">
        <w:t>Special measures for the protection and care of biological ties are still more important when the parents are, as in the instant case, also children or adolescents. In that regard, the IACHR has held that “[w]hen the parents are adolescents under 18 years of age and have expressed their willingness to temporary or permanent relinquish their parental responsibilities, the State’s obligation of special protection also applies to them, given that, as individuals under the age of 18, they are themselves beneficiaries of this protection under the provisions of Article 19 of the Convention”</w:t>
      </w:r>
      <w:r w:rsidRPr="00511CD3">
        <w:rPr>
          <w:rStyle w:val="FootnoteReference"/>
        </w:rPr>
        <w:footnoteReference w:id="93"/>
      </w:r>
      <w:r w:rsidRPr="00511CD3">
        <w:t xml:space="preserve"> and VII of the American Declaration on the  Rights and Duties of Man.  Therefore, the aim of programs and interventions implemented by the State in such cases must be to provide advice and support future parents, especially adolescent parents, to build their capacities to carry out </w:t>
      </w:r>
      <w:r w:rsidRPr="00511CD3">
        <w:lastRenderedPageBreak/>
        <w:t>parental functions in conditions of dignity and prevent them from relinquishing custody of their children or consent to adoption due to the conditions or vulnerability or discrimination that they face.</w:t>
      </w:r>
      <w:r w:rsidRPr="00511CD3">
        <w:rPr>
          <w:rStyle w:val="FootnoteReference"/>
        </w:rPr>
        <w:t xml:space="preserve"> </w:t>
      </w:r>
      <w:r w:rsidRPr="00511CD3">
        <w:rPr>
          <w:rStyle w:val="FootnoteReference"/>
        </w:rPr>
        <w:footnoteReference w:id="94"/>
      </w:r>
      <w:r w:rsidRPr="00511CD3">
        <w:rPr>
          <w:sz w:val="18"/>
          <w:szCs w:val="18"/>
        </w:rPr>
        <w:t xml:space="preserve"> </w:t>
      </w:r>
    </w:p>
    <w:p w14:paraId="79DD6975" w14:textId="77777777" w:rsidR="00D568AC" w:rsidRPr="00511CD3" w:rsidRDefault="00D568AC" w:rsidP="00D568AC">
      <w:pPr>
        <w:tabs>
          <w:tab w:val="left" w:pos="567"/>
        </w:tabs>
        <w:ind w:firstLine="142"/>
        <w:rPr>
          <w:rFonts w:ascii="Cambria" w:hAnsi="Cambria"/>
          <w:sz w:val="20"/>
          <w:szCs w:val="20"/>
        </w:rPr>
      </w:pPr>
    </w:p>
    <w:p w14:paraId="3E23B640" w14:textId="77777777" w:rsidR="00D568AC" w:rsidRPr="00511CD3" w:rsidRDefault="00D568AC" w:rsidP="00D568AC">
      <w:pPr>
        <w:pStyle w:val="ListParagraph"/>
        <w:ind w:left="0" w:firstLine="0"/>
      </w:pPr>
      <w:r w:rsidRPr="00511CD3">
        <w:t>In the case of mono-parent families, the IA Court HR and the Commission have held that the State has a duty to take every reasonable step, taking into consideration the specific context, to try to locate the other parent or the extended family in order to determine whether there is a willingness on their part to maintain the parent-child tie, before proceeding with temporary or permanent decisions regarding the care of the child by a family other than his/her biological family.</w:t>
      </w:r>
      <w:r w:rsidRPr="00511CD3">
        <w:rPr>
          <w:rStyle w:val="FootnoteReference"/>
        </w:rPr>
        <w:t xml:space="preserve"> </w:t>
      </w:r>
      <w:r w:rsidRPr="00511CD3">
        <w:rPr>
          <w:rStyle w:val="FootnoteReference"/>
        </w:rPr>
        <w:footnoteReference w:id="95"/>
      </w:r>
      <w:r w:rsidRPr="00511CD3">
        <w:t xml:space="preserve"> </w:t>
      </w:r>
    </w:p>
    <w:p w14:paraId="7B137BC1" w14:textId="77777777" w:rsidR="00D568AC" w:rsidRPr="00511CD3" w:rsidRDefault="00D568AC" w:rsidP="00D568AC">
      <w:pPr>
        <w:pStyle w:val="ListParagraph"/>
        <w:numPr>
          <w:ilvl w:val="0"/>
          <w:numId w:val="0"/>
        </w:numPr>
        <w:ind w:firstLine="142"/>
      </w:pPr>
    </w:p>
    <w:p w14:paraId="357F9865" w14:textId="77777777" w:rsidR="00D568AC" w:rsidRPr="00511CD3" w:rsidRDefault="00D568AC" w:rsidP="00D568AC">
      <w:pPr>
        <w:pStyle w:val="ListParagraph"/>
        <w:ind w:left="0" w:firstLine="0"/>
      </w:pPr>
      <w:r w:rsidRPr="00511CD3">
        <w:t>Likewise, the Guidelines for the Alternative Care of Children, adopted by UN General Assembly resolution 64/142, indicate that “When a public or private agency or facility is approached by a parent or legal guardian wishing to relinquish a child permanently, the State should ensure that the family receives counselling and social support to encourage and enable them to continue to care for the child. If this fails, a social worker or other appropriate professional assessment should be undertaken to determine whether there are other family members who wish to take permanent responsibility for the child, and whether such arrangements would be in the best interests of the child.”</w:t>
      </w:r>
      <w:r w:rsidRPr="00511CD3">
        <w:rPr>
          <w:rStyle w:val="FootnoteReference"/>
        </w:rPr>
        <w:t xml:space="preserve"> </w:t>
      </w:r>
      <w:r w:rsidRPr="00511CD3">
        <w:rPr>
          <w:rStyle w:val="FootnoteReference"/>
        </w:rPr>
        <w:footnoteReference w:id="96"/>
      </w:r>
      <w:r w:rsidRPr="00511CD3">
        <w:t xml:space="preserve"> </w:t>
      </w:r>
    </w:p>
    <w:p w14:paraId="7B062923" w14:textId="77777777" w:rsidR="00D568AC" w:rsidRPr="00511CD3" w:rsidRDefault="00D568AC" w:rsidP="00D568AC">
      <w:pPr>
        <w:pStyle w:val="ListParagraph"/>
        <w:numPr>
          <w:ilvl w:val="0"/>
          <w:numId w:val="0"/>
        </w:numPr>
        <w:ind w:firstLine="142"/>
      </w:pPr>
    </w:p>
    <w:p w14:paraId="36652ABD" w14:textId="77777777" w:rsidR="00D568AC" w:rsidRPr="00511CD3" w:rsidRDefault="00D568AC" w:rsidP="00D568AC">
      <w:pPr>
        <w:pStyle w:val="ListParagraph"/>
        <w:ind w:left="0" w:firstLine="0"/>
      </w:pPr>
      <w:r w:rsidRPr="00511CD3">
        <w:t>In the same vein, the Commission has emphasized that the care and custody of the child within his extended family is consistent with the right to family and the identity of that child, and facilitates her/his future return to family life with her/his biological parents, which is the objective of the temporary special protective measures.</w:t>
      </w:r>
      <w:r w:rsidRPr="00511CD3">
        <w:rPr>
          <w:rStyle w:val="FootnoteReference"/>
        </w:rPr>
        <w:footnoteReference w:id="97"/>
      </w:r>
      <w:r w:rsidRPr="00511CD3">
        <w:t xml:space="preserve">  </w:t>
      </w:r>
    </w:p>
    <w:p w14:paraId="6225546C" w14:textId="77777777" w:rsidR="00D568AC" w:rsidRPr="00511CD3" w:rsidRDefault="00D568AC" w:rsidP="00D568AC">
      <w:pPr>
        <w:pStyle w:val="NormalWeb"/>
        <w:tabs>
          <w:tab w:val="left" w:pos="567"/>
        </w:tabs>
        <w:spacing w:before="0" w:beforeAutospacing="0" w:after="0" w:afterAutospacing="0"/>
        <w:ind w:firstLine="142"/>
        <w:jc w:val="both"/>
        <w:rPr>
          <w:rFonts w:ascii="Cambria" w:hAnsi="Cambria"/>
          <w:sz w:val="20"/>
          <w:szCs w:val="20"/>
        </w:rPr>
      </w:pPr>
    </w:p>
    <w:p w14:paraId="4D24A32D" w14:textId="77777777" w:rsidR="00D568AC" w:rsidRPr="00511CD3" w:rsidRDefault="00D568AC" w:rsidP="00D568AC">
      <w:pPr>
        <w:pStyle w:val="ListParagraph"/>
        <w:ind w:left="0" w:firstLine="0"/>
      </w:pPr>
      <w:r w:rsidRPr="00511CD3">
        <w:t>Lastly, regarding the requirements that are to be met when relinquishing the guardianship of a child, the Commission emphasizes that special protection measures that entail the separation of a child from his or her biological family are only admissible when they are necessary, exceptional, lawful, and temporary or provisional.</w:t>
      </w:r>
      <w:r w:rsidRPr="00511CD3">
        <w:rPr>
          <w:rStyle w:val="FootnoteReference"/>
          <w:rFonts w:eastAsiaTheme="minorHAnsi"/>
        </w:rPr>
        <w:footnoteReference w:id="98"/>
      </w:r>
      <w:r w:rsidRPr="00511CD3">
        <w:t xml:space="preserve">  </w:t>
      </w:r>
    </w:p>
    <w:p w14:paraId="1194DD6D" w14:textId="77777777" w:rsidR="00D568AC" w:rsidRPr="00511CD3" w:rsidRDefault="00D568AC" w:rsidP="00D568AC">
      <w:pPr>
        <w:pStyle w:val="ListParagraph"/>
        <w:numPr>
          <w:ilvl w:val="0"/>
          <w:numId w:val="0"/>
        </w:numPr>
        <w:ind w:firstLine="142"/>
      </w:pPr>
    </w:p>
    <w:p w14:paraId="16FF5D8A" w14:textId="77777777" w:rsidR="00D568AC" w:rsidRPr="00511CD3" w:rsidRDefault="00D568AC" w:rsidP="00D568AC">
      <w:pPr>
        <w:pStyle w:val="ListParagraph"/>
        <w:ind w:left="0" w:firstLine="0"/>
      </w:pPr>
      <w:r w:rsidRPr="00511CD3">
        <w:t>Regarding the principles of exceptionality and temporal determination, the Commission has held that international human rights law establishes exceptionality and temporal determination in the adoption and implementation of protection measures that involve separating a child from his or her parents, taking into account the right to a family and the right to privacy free of arbitrary interference.</w:t>
      </w:r>
      <w:r w:rsidRPr="00511CD3">
        <w:rPr>
          <w:rStyle w:val="FootnoteReference"/>
        </w:rPr>
        <w:footnoteReference w:id="99"/>
      </w:r>
      <w:r w:rsidRPr="00511CD3">
        <w:t xml:space="preserve"> Therefore, prior to separating a child from his parents, the State should ensure that all possible effort have been made to support and assist the family in providing adequate care and protection, and in raising the child.  This means adopting positive and service-based measures aimed at ensuring effective protection of the family and the rights of the child.</w:t>
      </w:r>
      <w:r w:rsidRPr="00511CD3">
        <w:rPr>
          <w:rStyle w:val="FootnoteReference"/>
        </w:rPr>
        <w:footnoteReference w:id="100"/>
      </w:r>
      <w:r w:rsidRPr="00511CD3">
        <w:t xml:space="preserve"> Additionally, considering the temporary nature of protection measures, they should be reviewed periodically to determine whether they continue to be necessary and appropriate.</w:t>
      </w:r>
    </w:p>
    <w:p w14:paraId="5DB440C9" w14:textId="77777777" w:rsidR="00D568AC" w:rsidRPr="00511CD3" w:rsidRDefault="00D568AC" w:rsidP="00D568AC">
      <w:pPr>
        <w:pStyle w:val="NormalWeb"/>
        <w:tabs>
          <w:tab w:val="left" w:pos="567"/>
        </w:tabs>
        <w:spacing w:before="0" w:beforeAutospacing="0" w:after="0" w:afterAutospacing="0"/>
        <w:ind w:firstLine="142"/>
        <w:jc w:val="both"/>
        <w:rPr>
          <w:rFonts w:ascii="Cambria" w:hAnsi="Cambria"/>
          <w:sz w:val="20"/>
          <w:szCs w:val="20"/>
        </w:rPr>
      </w:pPr>
    </w:p>
    <w:p w14:paraId="67264E10" w14:textId="77777777" w:rsidR="00D568AC" w:rsidRPr="00511CD3" w:rsidRDefault="00D568AC" w:rsidP="00D568AC">
      <w:pPr>
        <w:pStyle w:val="ListParagraph"/>
        <w:ind w:left="0" w:firstLine="0"/>
      </w:pPr>
      <w:r w:rsidRPr="00511CD3">
        <w:t xml:space="preserve">In the same vein, the Guidelines for the Alternative Care of Children, adopted by UN General Assembly resolution 64/142, indicate that “[r]emoval of a child from the care of the family should be seen as a measure of last resort and should, whenever possible, be temporary and for the shortest possible duration. Removal </w:t>
      </w:r>
      <w:r w:rsidRPr="00511CD3">
        <w:lastRenderedPageBreak/>
        <w:t>decisions should be regularly reviewed and the child’s return to parental care, once the original causes of removal have been resolved or have disappeared, should be in the best interests of the child.”</w:t>
      </w:r>
      <w:r w:rsidRPr="00511CD3">
        <w:rPr>
          <w:rStyle w:val="FootnoteReference"/>
        </w:rPr>
        <w:footnoteReference w:id="101"/>
      </w:r>
      <w:r w:rsidRPr="00511CD3">
        <w:t xml:space="preserve"> </w:t>
      </w:r>
    </w:p>
    <w:p w14:paraId="438D9CFF" w14:textId="77777777" w:rsidR="00D568AC" w:rsidRPr="00511CD3" w:rsidRDefault="00D568AC" w:rsidP="00D568AC">
      <w:pPr>
        <w:pStyle w:val="NormalWeb"/>
        <w:tabs>
          <w:tab w:val="left" w:pos="567"/>
        </w:tabs>
        <w:spacing w:before="0" w:beforeAutospacing="0" w:after="0" w:afterAutospacing="0"/>
        <w:ind w:firstLine="142"/>
        <w:jc w:val="both"/>
        <w:rPr>
          <w:rFonts w:ascii="Cambria" w:hAnsi="Cambria"/>
          <w:sz w:val="20"/>
          <w:szCs w:val="20"/>
        </w:rPr>
      </w:pPr>
    </w:p>
    <w:p w14:paraId="2ACCACAB" w14:textId="77777777" w:rsidR="00D568AC" w:rsidRDefault="00D568AC" w:rsidP="00D568AC">
      <w:pPr>
        <w:pStyle w:val="ListParagraph"/>
        <w:ind w:left="0" w:firstLine="0"/>
      </w:pPr>
      <w:r w:rsidRPr="00511CD3">
        <w:t>Moreover, in keeping with the principle of necessity, any protection measure adopted should be essential to protect the child and guarantee his or her well-being when this has not been possible within his family environment.  The IACHR has held that “The elements of necessity and appropriateness of the protection measure must be timely justified and documented in the decision made. Such a decision should be based on the respective technical assessments conducted by teams of professional experts.”</w:t>
      </w:r>
      <w:r w:rsidRPr="00511CD3">
        <w:rPr>
          <w:rStyle w:val="FootnoteReference"/>
        </w:rPr>
        <w:footnoteReference w:id="102"/>
      </w:r>
      <w:r w:rsidRPr="00511CD3">
        <w:t xml:space="preserve"> </w:t>
      </w:r>
    </w:p>
    <w:p w14:paraId="0908E149" w14:textId="77777777" w:rsidR="00D568AC" w:rsidRPr="00511CD3" w:rsidRDefault="00D568AC" w:rsidP="00D568AC">
      <w:pPr>
        <w:pStyle w:val="ListParagraph"/>
        <w:numPr>
          <w:ilvl w:val="0"/>
          <w:numId w:val="0"/>
        </w:numPr>
        <w:ind w:firstLine="142"/>
      </w:pPr>
    </w:p>
    <w:p w14:paraId="34B753BC" w14:textId="77777777" w:rsidR="00D568AC" w:rsidRPr="00A06BA3" w:rsidRDefault="00D568AC" w:rsidP="00D568AC">
      <w:pPr>
        <w:pStyle w:val="ListParagraph"/>
        <w:ind w:left="0" w:firstLine="0"/>
      </w:pPr>
      <w:r w:rsidRPr="00A06BA3">
        <w:rPr>
          <w:rFonts w:eastAsiaTheme="minorHAnsi"/>
        </w:rPr>
        <w:t>Lastly, with regard to the principle of legality and legitimacy, for satisfactory fulfillment of Article 11.2 of the Convention and V of the American Declaration regarding the prohibition of arbitrary or abusive interference in private life, the confluence of circumstances justifying the adoption of alternative care measures that imply the separation of a child from his or her biological family should be analyzed by the competent authority in accordance with the law and the applicable procedures, strictly respecting the guarantees of due process. This decision must also be subject to periodic judicial review, and must be directed at restoring family ties, taking into account the child’s best interest.</w:t>
      </w:r>
      <w:r w:rsidRPr="00511CD3">
        <w:rPr>
          <w:rStyle w:val="FootnoteReference"/>
          <w:rFonts w:eastAsiaTheme="minorHAnsi"/>
        </w:rPr>
        <w:footnoteReference w:id="103"/>
      </w:r>
      <w:r w:rsidRPr="00A06BA3">
        <w:rPr>
          <w:rFonts w:eastAsiaTheme="minorHAnsi"/>
        </w:rPr>
        <w:t xml:space="preserve"> </w:t>
      </w:r>
    </w:p>
    <w:p w14:paraId="78141F32" w14:textId="77777777" w:rsidR="00D568AC" w:rsidRPr="00A06BA3" w:rsidRDefault="00D568AC" w:rsidP="00D568AC">
      <w:pPr>
        <w:pStyle w:val="ListParagraph"/>
        <w:numPr>
          <w:ilvl w:val="0"/>
          <w:numId w:val="0"/>
        </w:numPr>
        <w:ind w:firstLine="142"/>
        <w:rPr>
          <w:rFonts w:eastAsiaTheme="minorHAnsi"/>
        </w:rPr>
      </w:pPr>
      <w:r w:rsidRPr="00A06BA3">
        <w:rPr>
          <w:rFonts w:eastAsiaTheme="minorHAnsi"/>
        </w:rPr>
        <w:t xml:space="preserve"> </w:t>
      </w:r>
    </w:p>
    <w:p w14:paraId="36FDC171" w14:textId="77777777" w:rsidR="00D568AC" w:rsidRPr="00511CD3" w:rsidRDefault="00D568AC" w:rsidP="00D568AC">
      <w:pPr>
        <w:pStyle w:val="ListParagraph"/>
        <w:ind w:left="0" w:firstLine="0"/>
      </w:pPr>
      <w:r w:rsidRPr="00511CD3">
        <w:rPr>
          <w:rFonts w:eastAsiaTheme="minorHAnsi"/>
        </w:rPr>
        <w:t>In conclusion, States have the following obligations that derive from a joint analysis of Articles 11.2, 17.1, and 19 of the American Convention: (i) the positive obligation to adopt measures to protect the family that enable the effective exercise of parental rights and responsibilities, thus preventing situations in which children are unprotected and ties are broken with their biological families; (ii) the obligation to design and implement special measures of protection of a temporary nature to adequately meet the child’s needs for protection when the biological family, despite having received appropriate support, cannot effectively meet its obligations to provide care or when remaining in the family setting may be contrary to the child’s best interests; and (iii) the duty to guarantee alternative care measures that are duly justified by law, temporary in nature, and directed at restoring rights, reestablishing family ties, and reintegrating into a family environment as soon as possible, based on the best interests of the child, and must be subject to judicial review.</w:t>
      </w:r>
      <w:r w:rsidRPr="00511CD3">
        <w:rPr>
          <w:rStyle w:val="FootnoteReference"/>
          <w:rFonts w:eastAsiaTheme="minorHAnsi"/>
        </w:rPr>
        <w:footnoteReference w:id="104"/>
      </w:r>
      <w:r w:rsidRPr="00511CD3">
        <w:rPr>
          <w:rFonts w:eastAsiaTheme="minorHAnsi"/>
        </w:rPr>
        <w:t xml:space="preserve"> </w:t>
      </w:r>
    </w:p>
    <w:p w14:paraId="3FF2E4B1" w14:textId="77777777" w:rsidR="00D568AC" w:rsidRPr="00D568AC" w:rsidRDefault="00D568AC" w:rsidP="00D568AC"/>
    <w:p w14:paraId="643C2F91" w14:textId="77777777" w:rsidR="00D568AC" w:rsidRPr="00D568AC" w:rsidRDefault="00D568AC" w:rsidP="00D568AC">
      <w:pPr>
        <w:pStyle w:val="ListParagraph"/>
        <w:numPr>
          <w:ilvl w:val="1"/>
          <w:numId w:val="26"/>
        </w:numPr>
        <w:tabs>
          <w:tab w:val="left" w:pos="1440"/>
        </w:tabs>
        <w:ind w:left="851" w:firstLine="0"/>
        <w:rPr>
          <w:rFonts w:cs="Times New Roman"/>
          <w:b/>
          <w:bdr w:val="none" w:sz="0" w:space="0" w:color="auto"/>
        </w:rPr>
      </w:pPr>
      <w:r w:rsidRPr="00D568AC">
        <w:rPr>
          <w:b/>
          <w:bdr w:val="none" w:sz="0" w:space="0" w:color="auto"/>
        </w:rPr>
        <w:t>General standards on the rights to a fair trial and to judicial protection of children and adolescents in the context of the issuing of special protection measures and during guardianship and adoption processes</w:t>
      </w:r>
    </w:p>
    <w:p w14:paraId="73F9C2A3" w14:textId="77777777" w:rsidR="004439FC" w:rsidRPr="00D568AC" w:rsidRDefault="00E77841" w:rsidP="00D568AC">
      <w:pPr>
        <w:tabs>
          <w:tab w:val="left" w:pos="1440"/>
        </w:tabs>
        <w:ind w:left="1440" w:hanging="720"/>
        <w:rPr>
          <w:rFonts w:ascii="Cambria" w:hAnsi="Cambria"/>
          <w:b/>
          <w:sz w:val="20"/>
          <w:szCs w:val="20"/>
        </w:rPr>
      </w:pPr>
      <w:r w:rsidRPr="00D568AC">
        <w:rPr>
          <w:rFonts w:ascii="Cambria" w:hAnsi="Cambria"/>
          <w:b/>
          <w:sz w:val="20"/>
          <w:szCs w:val="20"/>
        </w:rPr>
        <w:t xml:space="preserve"> </w:t>
      </w:r>
    </w:p>
    <w:p w14:paraId="4FACD5CF" w14:textId="77777777" w:rsidR="00E47792" w:rsidRPr="00511CD3" w:rsidRDefault="00E47792" w:rsidP="008429F6">
      <w:pPr>
        <w:pStyle w:val="ListParagraph"/>
        <w:numPr>
          <w:ilvl w:val="0"/>
          <w:numId w:val="0"/>
        </w:numPr>
        <w:rPr>
          <w:bdr w:val="none" w:sz="0" w:space="0" w:color="auto"/>
        </w:rPr>
      </w:pPr>
    </w:p>
    <w:p w14:paraId="349343EF" w14:textId="77777777" w:rsidR="00A06BA3" w:rsidRPr="00D568AC" w:rsidRDefault="00B10F4D" w:rsidP="00D568AC">
      <w:pPr>
        <w:pStyle w:val="ListParagraph"/>
        <w:ind w:left="0" w:firstLine="0"/>
        <w:rPr>
          <w:bdr w:val="none" w:sz="0" w:space="0" w:color="auto"/>
        </w:rPr>
      </w:pPr>
      <w:r w:rsidRPr="00D568AC">
        <w:rPr>
          <w:bdr w:val="none" w:sz="0" w:space="0" w:color="auto"/>
        </w:rPr>
        <w:t>The Commission</w:t>
      </w:r>
      <w:r w:rsidR="0022451B" w:rsidRPr="00D568AC">
        <w:rPr>
          <w:bdr w:val="none" w:sz="0" w:space="0" w:color="auto"/>
        </w:rPr>
        <w:t xml:space="preserve"> h</w:t>
      </w:r>
      <w:r w:rsidR="00A55E50" w:rsidRPr="00D568AC">
        <w:rPr>
          <w:bdr w:val="none" w:sz="0" w:space="0" w:color="auto"/>
        </w:rPr>
        <w:t>as held that decisions taken regarding temporary separation of children from their parents must be the result of a proceeding in which, as prescribed by the American Convention, all guarantees applicable to infringement of rights are respected</w:t>
      </w:r>
      <w:r w:rsidR="005A27F6" w:rsidRPr="00D568AC">
        <w:rPr>
          <w:bdr w:val="none" w:sz="0" w:space="0" w:color="auto"/>
        </w:rPr>
        <w:t xml:space="preserve">. </w:t>
      </w:r>
      <w:r w:rsidR="00A55E50" w:rsidRPr="00D568AC">
        <w:rPr>
          <w:bdr w:val="none" w:sz="0" w:space="0" w:color="auto"/>
        </w:rPr>
        <w:t xml:space="preserve"> Additionally, those proceedings in which children and adolescents participate, or that discuss one of their rights, must be governed by the guarantees established in Articles </w:t>
      </w:r>
      <w:r w:rsidR="005A27F6" w:rsidRPr="00D568AC">
        <w:rPr>
          <w:bdr w:val="none" w:sz="0" w:space="0" w:color="auto"/>
        </w:rPr>
        <w:t>8</w:t>
      </w:r>
      <w:r w:rsidRPr="00D568AC">
        <w:rPr>
          <w:bdr w:val="none" w:sz="0" w:space="0" w:color="auto"/>
        </w:rPr>
        <w:t xml:space="preserve"> and </w:t>
      </w:r>
      <w:r w:rsidR="005A27F6" w:rsidRPr="00D568AC">
        <w:rPr>
          <w:bdr w:val="none" w:sz="0" w:space="0" w:color="auto"/>
        </w:rPr>
        <w:t xml:space="preserve">25 </w:t>
      </w:r>
      <w:r w:rsidR="00A55E50" w:rsidRPr="00D568AC">
        <w:rPr>
          <w:bdr w:val="none" w:sz="0" w:space="0" w:color="auto"/>
        </w:rPr>
        <w:t xml:space="preserve">of the Convention and must be related to the </w:t>
      </w:r>
      <w:r w:rsidR="005A27F6" w:rsidRPr="00D568AC">
        <w:rPr>
          <w:i/>
          <w:bdr w:val="none" w:sz="0" w:space="0" w:color="auto"/>
        </w:rPr>
        <w:t>corpus iuris</w:t>
      </w:r>
      <w:r w:rsidR="005A27F6" w:rsidRPr="00D568AC">
        <w:rPr>
          <w:bdr w:val="none" w:sz="0" w:space="0" w:color="auto"/>
        </w:rPr>
        <w:t xml:space="preserve"> </w:t>
      </w:r>
      <w:r w:rsidR="00A55E50" w:rsidRPr="00D568AC">
        <w:rPr>
          <w:bdr w:val="none" w:sz="0" w:space="0" w:color="auto"/>
        </w:rPr>
        <w:t xml:space="preserve">on the rights of the child and to Article </w:t>
      </w:r>
      <w:r w:rsidR="005A27F6" w:rsidRPr="00D568AC">
        <w:rPr>
          <w:bdr w:val="none" w:sz="0" w:space="0" w:color="auto"/>
        </w:rPr>
        <w:t xml:space="preserve">19 </w:t>
      </w:r>
      <w:r w:rsidR="00A55E50" w:rsidRPr="00D568AC">
        <w:rPr>
          <w:bdr w:val="none" w:sz="0" w:space="0" w:color="auto"/>
        </w:rPr>
        <w:t>of the Convention.</w:t>
      </w:r>
      <w:r w:rsidR="00334C6D" w:rsidRPr="00511CD3">
        <w:rPr>
          <w:rStyle w:val="FootnoteReference"/>
          <w:rFonts w:eastAsia="Times New Roman"/>
          <w:bCs/>
          <w:bdr w:val="none" w:sz="0" w:space="0" w:color="auto"/>
        </w:rPr>
        <w:footnoteReference w:id="105"/>
      </w:r>
      <w:r w:rsidR="00EC5B2A" w:rsidRPr="00D568AC">
        <w:rPr>
          <w:bdr w:val="none" w:sz="0" w:space="0" w:color="auto"/>
        </w:rPr>
        <w:t xml:space="preserve"> </w:t>
      </w:r>
    </w:p>
    <w:p w14:paraId="10A20A95" w14:textId="77777777" w:rsidR="00A06BA3" w:rsidRDefault="00A06BA3" w:rsidP="00A06BA3">
      <w:pPr>
        <w:pStyle w:val="ListParagraph"/>
        <w:numPr>
          <w:ilvl w:val="0"/>
          <w:numId w:val="0"/>
        </w:numPr>
        <w:rPr>
          <w:bdr w:val="none" w:sz="0" w:space="0" w:color="auto"/>
        </w:rPr>
      </w:pPr>
    </w:p>
    <w:p w14:paraId="337CB90A" w14:textId="77777777" w:rsidR="00173C3C" w:rsidRPr="00A06BA3" w:rsidRDefault="00B84FF9" w:rsidP="00D568AC">
      <w:pPr>
        <w:pStyle w:val="ListParagraph"/>
        <w:ind w:left="0" w:firstLine="0"/>
        <w:rPr>
          <w:bdr w:val="none" w:sz="0" w:space="0" w:color="auto"/>
        </w:rPr>
      </w:pPr>
      <w:r w:rsidRPr="00A06BA3">
        <w:rPr>
          <w:bdr w:val="none" w:sz="0" w:space="0" w:color="auto"/>
        </w:rPr>
        <w:t xml:space="preserve">The </w:t>
      </w:r>
      <w:r w:rsidR="00B10F4D" w:rsidRPr="00A06BA3">
        <w:rPr>
          <w:bdr w:val="none" w:sz="0" w:space="0" w:color="auto"/>
        </w:rPr>
        <w:t>IACHR</w:t>
      </w:r>
      <w:r w:rsidR="00173C3C" w:rsidRPr="00A06BA3">
        <w:rPr>
          <w:bdr w:val="none" w:sz="0" w:space="0" w:color="auto"/>
        </w:rPr>
        <w:t xml:space="preserve"> </w:t>
      </w:r>
      <w:r w:rsidRPr="00A06BA3">
        <w:rPr>
          <w:bdr w:val="none" w:sz="0" w:space="0" w:color="auto"/>
        </w:rPr>
        <w:t>has also emphasized decisions taken regarding the protection, guardianship, and care of children must be justified and that such justification must be objective, suitable, sufficient, and based on the child’s best interests</w:t>
      </w:r>
      <w:r w:rsidR="00173C3C" w:rsidRPr="00A06BA3">
        <w:rPr>
          <w:bdr w:val="none" w:sz="0" w:space="0" w:color="auto"/>
        </w:rPr>
        <w:t xml:space="preserve">. </w:t>
      </w:r>
      <w:r w:rsidRPr="00A06BA3">
        <w:rPr>
          <w:bdr w:val="none" w:sz="0" w:space="0" w:color="auto"/>
        </w:rPr>
        <w:t xml:space="preserve"> In the same vein, the IA Court HR has also held that “[a]any ac</w:t>
      </w:r>
      <w:r w:rsidRPr="00511CD3">
        <w:t xml:space="preserve">tion that affects [the child] must be perfectly justified according to the law, it must be reasonable and relevant in substantive and formal </w:t>
      </w:r>
      <w:r w:rsidRPr="00511CD3">
        <w:lastRenderedPageBreak/>
        <w:t xml:space="preserve">terms, it must address the best interests of the child and abide by procedures and guarantees that at all times enable verification of its suitability and legitimacy.” </w:t>
      </w:r>
      <w:r w:rsidRPr="00511CD3">
        <w:rPr>
          <w:rStyle w:val="FootnoteReference"/>
        </w:rPr>
        <w:footnoteReference w:id="106"/>
      </w:r>
      <w:r w:rsidR="005A27F6" w:rsidRPr="00A06BA3">
        <w:rPr>
          <w:sz w:val="18"/>
          <w:szCs w:val="18"/>
        </w:rPr>
        <w:t xml:space="preserve"> </w:t>
      </w:r>
    </w:p>
    <w:p w14:paraId="52D39657" w14:textId="77777777" w:rsidR="00334C6D" w:rsidRPr="00511CD3" w:rsidRDefault="00334C6D" w:rsidP="008429F6">
      <w:pPr>
        <w:pStyle w:val="ListParagraph"/>
        <w:numPr>
          <w:ilvl w:val="0"/>
          <w:numId w:val="0"/>
        </w:numPr>
        <w:rPr>
          <w:bdr w:val="none" w:sz="0" w:space="0" w:color="auto"/>
        </w:rPr>
      </w:pPr>
    </w:p>
    <w:p w14:paraId="1A3B5C0D" w14:textId="77777777" w:rsidR="00B239C0" w:rsidRDefault="00B84FF9" w:rsidP="00D568AC">
      <w:pPr>
        <w:pStyle w:val="ListParagraph"/>
        <w:ind w:left="0" w:firstLine="0"/>
      </w:pPr>
      <w:r w:rsidRPr="00511CD3">
        <w:rPr>
          <w:bdr w:val="none" w:sz="0" w:space="0" w:color="auto"/>
        </w:rPr>
        <w:t xml:space="preserve">Regarding the reasonableness of the </w:t>
      </w:r>
      <w:r w:rsidR="00EC2EBC" w:rsidRPr="00511CD3">
        <w:rPr>
          <w:bdr w:val="none" w:sz="0" w:space="0" w:color="auto"/>
        </w:rPr>
        <w:t>time</w:t>
      </w:r>
      <w:r w:rsidR="00A06BA3">
        <w:rPr>
          <w:bdr w:val="none" w:sz="0" w:space="0" w:color="auto"/>
        </w:rPr>
        <w:t xml:space="preserve"> taken</w:t>
      </w:r>
      <w:r w:rsidRPr="00511CD3">
        <w:rPr>
          <w:bdr w:val="none" w:sz="0" w:space="0" w:color="auto"/>
        </w:rPr>
        <w:t xml:space="preserve">, integral aspect of the right to a fair trial under Article </w:t>
      </w:r>
      <w:r w:rsidR="00334C6D" w:rsidRPr="00511CD3">
        <w:rPr>
          <w:bdr w:val="none" w:sz="0" w:space="0" w:color="auto"/>
        </w:rPr>
        <w:t xml:space="preserve">8 </w:t>
      </w:r>
      <w:r w:rsidRPr="00511CD3">
        <w:rPr>
          <w:bdr w:val="none" w:sz="0" w:space="0" w:color="auto"/>
        </w:rPr>
        <w:t xml:space="preserve">of the Convention, the IA Court HR has held that proceedings </w:t>
      </w:r>
      <w:r w:rsidR="00EC2EBC" w:rsidRPr="00511CD3">
        <w:rPr>
          <w:bdr w:val="none" w:sz="0" w:space="0" w:color="auto"/>
        </w:rPr>
        <w:t xml:space="preserve">concerning </w:t>
      </w:r>
      <w:r w:rsidRPr="00511CD3">
        <w:rPr>
          <w:bdr w:val="none" w:sz="0" w:space="0" w:color="auto"/>
        </w:rPr>
        <w:t xml:space="preserve">the adoption, guardianship and custody of boys and girls must be handled by the judicial </w:t>
      </w:r>
      <w:r w:rsidR="00F44C1F" w:rsidRPr="00511CD3">
        <w:rPr>
          <w:bdr w:val="none" w:sz="0" w:space="0" w:color="auto"/>
        </w:rPr>
        <w:t>authorities</w:t>
      </w:r>
      <w:r w:rsidRPr="00511CD3">
        <w:rPr>
          <w:bdr w:val="none" w:sz="0" w:space="0" w:color="auto"/>
        </w:rPr>
        <w:t xml:space="preserve"> with celerity, taking into account the duty of the special protection they must be afforded.  The IA Court HR </w:t>
      </w:r>
      <w:r w:rsidRPr="00511CD3">
        <w:t>has</w:t>
      </w:r>
      <w:r w:rsidR="004655F4" w:rsidRPr="00511CD3">
        <w:t xml:space="preserve"> also</w:t>
      </w:r>
      <w:r w:rsidRPr="00511CD3">
        <w:t xml:space="preserve"> </w:t>
      </w:r>
      <w:r w:rsidR="00EC2EBC" w:rsidRPr="00511CD3">
        <w:t>“</w:t>
      </w:r>
      <w:r w:rsidRPr="00511CD3">
        <w:t>paid special attention to the effects that time has on the rights of the child and his or her parents, to establish that authorities have a reinforced duty to deal with the proceedings with exceptional diligence, which translates into the promotion of the proceeding by State initiative, as well as the obligation to accelerate the proceeding.</w:t>
      </w:r>
      <w:r w:rsidR="00EC2EBC" w:rsidRPr="00511CD3">
        <w:t>”</w:t>
      </w:r>
      <w:r w:rsidRPr="00511CD3">
        <w:rPr>
          <w:rStyle w:val="FootnoteReference"/>
        </w:rPr>
        <w:footnoteReference w:id="107"/>
      </w:r>
      <w:r w:rsidRPr="00511CD3">
        <w:t xml:space="preserve">  </w:t>
      </w:r>
    </w:p>
    <w:p w14:paraId="72472D65" w14:textId="77777777" w:rsidR="00A06BA3" w:rsidRPr="00511CD3" w:rsidRDefault="00A06BA3" w:rsidP="00A06BA3">
      <w:pPr>
        <w:pStyle w:val="ListParagraph"/>
        <w:numPr>
          <w:ilvl w:val="0"/>
          <w:numId w:val="0"/>
        </w:numPr>
        <w:ind w:left="502"/>
      </w:pPr>
    </w:p>
    <w:p w14:paraId="2FA57141" w14:textId="77777777" w:rsidR="009E5A14" w:rsidRPr="00511CD3" w:rsidRDefault="009E5A14" w:rsidP="00D568AC">
      <w:pPr>
        <w:pStyle w:val="ListParagraph"/>
        <w:ind w:left="0" w:firstLine="0"/>
      </w:pPr>
      <w:r w:rsidRPr="00511CD3">
        <w:t xml:space="preserve">It should be noted in this connection that both the case of </w:t>
      </w:r>
      <w:r w:rsidR="00572E07" w:rsidRPr="00511CD3">
        <w:t>“</w:t>
      </w:r>
      <w:r w:rsidR="00A603B6" w:rsidRPr="00511CD3">
        <w:t>Fornerón</w:t>
      </w:r>
      <w:r w:rsidR="00572E07" w:rsidRPr="00511CD3">
        <w:t xml:space="preserve">” </w:t>
      </w:r>
      <w:r w:rsidRPr="00511CD3">
        <w:t xml:space="preserve">and in the Matter of </w:t>
      </w:r>
      <w:r w:rsidR="00572E07" w:rsidRPr="00511CD3">
        <w:t>L.M</w:t>
      </w:r>
      <w:r w:rsidR="00EC2EBC" w:rsidRPr="00511CD3">
        <w:t>., P</w:t>
      </w:r>
      <w:r w:rsidRPr="00511CD3">
        <w:t xml:space="preserve">rovisional measures </w:t>
      </w:r>
      <w:r w:rsidR="00EC2EBC" w:rsidRPr="00511CD3">
        <w:t xml:space="preserve">M </w:t>
      </w:r>
      <w:r w:rsidR="0002664E" w:rsidRPr="00511CD3">
        <w:t>with</w:t>
      </w:r>
      <w:r w:rsidRPr="00511CD3">
        <w:t xml:space="preserve"> </w:t>
      </w:r>
      <w:r w:rsidR="00EC2EBC" w:rsidRPr="00511CD3">
        <w:t>Re</w:t>
      </w:r>
      <w:r w:rsidRPr="00511CD3">
        <w:t xml:space="preserve">gard to </w:t>
      </w:r>
      <w:r w:rsidR="00572E07" w:rsidRPr="00511CD3">
        <w:t xml:space="preserve">Paraguay, </w:t>
      </w:r>
      <w:r w:rsidRPr="00511CD3">
        <w:t xml:space="preserve">the IA Court HR emphasized that </w:t>
      </w:r>
      <w:r w:rsidR="00572E07" w:rsidRPr="00511CD3">
        <w:t>“</w:t>
      </w:r>
      <w:r w:rsidRPr="00511CD3">
        <w:t>owing to the importance of the interests in question,” such as, in this case, the right to personal integrity, the right to identity, and the right to protection of the family, “the administrative and judicial proceedings that concern the protection of the human rights of children, particularly those judicial proceedings concerning the adoption, guardianship and custody of children in early infancy, must be dealt with by the authorities with exceptional diligence and speed” a</w:t>
      </w:r>
      <w:r w:rsidR="00B10F4D" w:rsidRPr="00511CD3">
        <w:t xml:space="preserve">nd </w:t>
      </w:r>
      <w:r w:rsidRPr="00511CD3">
        <w:t>added that</w:t>
      </w:r>
      <w:r w:rsidR="00B239C0" w:rsidRPr="00511CD3">
        <w:t xml:space="preserve"> “</w:t>
      </w:r>
      <w:r w:rsidRPr="00511CD3">
        <w:t xml:space="preserve">the simple passage of time may constitute a factor that encourages the creation of ties with the foster family or the family that has the child. </w:t>
      </w:r>
      <w:r w:rsidR="005F3D7B" w:rsidRPr="00511CD3">
        <w:t xml:space="preserve">  </w:t>
      </w:r>
      <w:r w:rsidRPr="00511CD3">
        <w:t>Consequently, the greater the delay in the proceedings, irrespective of any decision on the determination of the child’s rights, could determine the irreversible or irreparable nature of the de facto situation and make any decision in this regard null and prejudicial for the interests of the child and, if applicable, of the biological parents, whatever the corresponding decision taken.”</w:t>
      </w:r>
      <w:r w:rsidRPr="00511CD3">
        <w:rPr>
          <w:rStyle w:val="FootnoteReference"/>
        </w:rPr>
        <w:footnoteReference w:id="108"/>
      </w:r>
      <w:r w:rsidR="005F3D7B" w:rsidRPr="00511CD3">
        <w:t xml:space="preserve">  </w:t>
      </w:r>
    </w:p>
    <w:p w14:paraId="78F6A44D" w14:textId="77777777" w:rsidR="00A716F3" w:rsidRPr="00511CD3" w:rsidRDefault="00A716F3" w:rsidP="008429F6">
      <w:pPr>
        <w:pStyle w:val="ListParagraph"/>
        <w:numPr>
          <w:ilvl w:val="0"/>
          <w:numId w:val="0"/>
        </w:numPr>
        <w:rPr>
          <w:bdr w:val="none" w:sz="0" w:space="0" w:color="auto"/>
        </w:rPr>
      </w:pPr>
    </w:p>
    <w:p w14:paraId="290A0813" w14:textId="77777777" w:rsidR="00CB6F2A" w:rsidRPr="00511CD3" w:rsidRDefault="009E5A14" w:rsidP="00D568AC">
      <w:pPr>
        <w:pStyle w:val="ListParagraph"/>
        <w:ind w:left="0" w:firstLine="0"/>
        <w:rPr>
          <w:rFonts w:eastAsia="Times New Roman"/>
          <w:bdr w:val="none" w:sz="0" w:space="0" w:color="auto"/>
        </w:rPr>
      </w:pPr>
      <w:r w:rsidRPr="00511CD3">
        <w:rPr>
          <w:bdr w:val="none" w:sz="0" w:space="0" w:color="auto"/>
        </w:rPr>
        <w:t>Moreover, with regard to the right of the child to be heard, the</w:t>
      </w:r>
      <w:r w:rsidR="00533922" w:rsidRPr="00511CD3">
        <w:rPr>
          <w:bdr w:val="none" w:sz="0" w:space="0" w:color="auto"/>
        </w:rPr>
        <w:t xml:space="preserve"> </w:t>
      </w:r>
      <w:r w:rsidR="00B10F4D" w:rsidRPr="00511CD3">
        <w:rPr>
          <w:bdr w:val="none" w:sz="0" w:space="0" w:color="auto"/>
        </w:rPr>
        <w:t xml:space="preserve">IACHR and </w:t>
      </w:r>
      <w:r w:rsidRPr="00511CD3">
        <w:rPr>
          <w:bdr w:val="none" w:sz="0" w:space="0" w:color="auto"/>
        </w:rPr>
        <w:t>the IA Court HR</w:t>
      </w:r>
      <w:r w:rsidR="00533922" w:rsidRPr="00511CD3">
        <w:rPr>
          <w:bdr w:val="none" w:sz="0" w:space="0" w:color="auto"/>
        </w:rPr>
        <w:t xml:space="preserve"> ha</w:t>
      </w:r>
      <w:r w:rsidR="00CB6F2A" w:rsidRPr="00511CD3">
        <w:rPr>
          <w:bdr w:val="none" w:sz="0" w:space="0" w:color="auto"/>
        </w:rPr>
        <w:t>ve</w:t>
      </w:r>
      <w:r w:rsidR="00533922" w:rsidRPr="00511CD3">
        <w:rPr>
          <w:bdr w:val="none" w:sz="0" w:space="0" w:color="auto"/>
        </w:rPr>
        <w:t xml:space="preserve"> </w:t>
      </w:r>
      <w:r w:rsidRPr="00511CD3">
        <w:rPr>
          <w:bdr w:val="none" w:sz="0" w:space="0" w:color="auto"/>
        </w:rPr>
        <w:t xml:space="preserve">noted that Article </w:t>
      </w:r>
      <w:r w:rsidR="00533922" w:rsidRPr="00511CD3">
        <w:rPr>
          <w:bdr w:val="none" w:sz="0" w:space="0" w:color="auto"/>
        </w:rPr>
        <w:t xml:space="preserve">8.1 </w:t>
      </w:r>
      <w:r w:rsidRPr="00511CD3">
        <w:rPr>
          <w:bdr w:val="none" w:sz="0" w:space="0" w:color="auto"/>
        </w:rPr>
        <w:t>of the Convention sets forth the right</w:t>
      </w:r>
      <w:r w:rsidR="005F3D7B" w:rsidRPr="00511CD3">
        <w:rPr>
          <w:bdr w:val="none" w:sz="0" w:space="0" w:color="auto"/>
        </w:rPr>
        <w:t xml:space="preserve"> of every person, including children</w:t>
      </w:r>
      <w:r w:rsidR="00533922" w:rsidRPr="00511CD3">
        <w:rPr>
          <w:bdr w:val="none" w:sz="0" w:space="0" w:color="auto"/>
        </w:rPr>
        <w:t xml:space="preserve">, </w:t>
      </w:r>
      <w:r w:rsidR="005F3D7B" w:rsidRPr="00511CD3">
        <w:rPr>
          <w:bdr w:val="none" w:sz="0" w:space="0" w:color="auto"/>
        </w:rPr>
        <w:t>to be heard in proceedings affecting their rights, and have also held that</w:t>
      </w:r>
      <w:r w:rsidR="00533922" w:rsidRPr="00511CD3">
        <w:rPr>
          <w:bdr w:val="none" w:sz="0" w:space="0" w:color="auto"/>
        </w:rPr>
        <w:t xml:space="preserve"> “</w:t>
      </w:r>
      <w:r w:rsidR="00CB6F2A" w:rsidRPr="00511CD3">
        <w:rPr>
          <w:bdr w:val="none" w:sz="0" w:space="0" w:color="auto"/>
        </w:rPr>
        <w:t xml:space="preserve">[t]this </w:t>
      </w:r>
      <w:r w:rsidR="00375013" w:rsidRPr="00511CD3">
        <w:t>right must be interpreted in light of Article 12 of the Convention on the Rights of the Child, which contains appropriate stipulations on the child’s right to be heard, for the purpose of facilitating the child’s intervention according to his age and maturity and ensuring that it does not harm his genuine interest.”</w:t>
      </w:r>
      <w:r w:rsidR="00375013" w:rsidRPr="00511CD3">
        <w:rPr>
          <w:rStyle w:val="FootnoteReference"/>
        </w:rPr>
        <w:footnoteReference w:id="109"/>
      </w:r>
      <w:r w:rsidR="00375013" w:rsidRPr="00511CD3">
        <w:t xml:space="preserve">  The right of the child to be heard, therefore, implies that all due measures are to be taken in the context of the proceedings to facilitate their appropriate participation, that is, to have the effective possibility of presenting their views so that they have influence in the context of decisions taken.</w:t>
      </w:r>
      <w:r w:rsidR="00375013" w:rsidRPr="00511CD3">
        <w:rPr>
          <w:rStyle w:val="FootnoteReference"/>
        </w:rPr>
        <w:t xml:space="preserve"> </w:t>
      </w:r>
      <w:r w:rsidR="00375013" w:rsidRPr="00511CD3">
        <w:rPr>
          <w:rStyle w:val="FootnoteReference"/>
        </w:rPr>
        <w:footnoteReference w:id="110"/>
      </w:r>
      <w:r w:rsidR="005F3D7B" w:rsidRPr="00511CD3">
        <w:t xml:space="preserve">  </w:t>
      </w:r>
    </w:p>
    <w:p w14:paraId="00E47C2D" w14:textId="77777777" w:rsidR="004152E1" w:rsidRPr="00511CD3" w:rsidRDefault="004152E1" w:rsidP="008429F6">
      <w:pPr>
        <w:pStyle w:val="ListParagraph"/>
        <w:numPr>
          <w:ilvl w:val="0"/>
          <w:numId w:val="0"/>
        </w:numPr>
        <w:rPr>
          <w:bdr w:val="none" w:sz="0" w:space="0" w:color="auto"/>
        </w:rPr>
      </w:pPr>
    </w:p>
    <w:p w14:paraId="587C7176" w14:textId="77777777" w:rsidR="004152E1" w:rsidRPr="00511CD3" w:rsidRDefault="00375013" w:rsidP="00D568AC">
      <w:pPr>
        <w:pStyle w:val="ListParagraph"/>
        <w:ind w:left="0" w:firstLine="0"/>
        <w:rPr>
          <w:rFonts w:eastAsia="Times New Roman"/>
          <w:bdr w:val="none" w:sz="0" w:space="0" w:color="auto"/>
        </w:rPr>
      </w:pPr>
      <w:r w:rsidRPr="00511CD3">
        <w:rPr>
          <w:bdr w:val="none" w:sz="0" w:space="0" w:color="auto"/>
        </w:rPr>
        <w:t>Similarly</w:t>
      </w:r>
      <w:r w:rsidR="004152E1" w:rsidRPr="00511CD3">
        <w:rPr>
          <w:bdr w:val="none" w:sz="0" w:space="0" w:color="auto"/>
        </w:rPr>
        <w:t xml:space="preserve">, </w:t>
      </w:r>
      <w:r w:rsidR="00AC1D4E" w:rsidRPr="00511CD3">
        <w:rPr>
          <w:bdr w:val="none" w:sz="0" w:space="0" w:color="auto"/>
        </w:rPr>
        <w:t>the Committee on the Rights of the Child</w:t>
      </w:r>
      <w:r w:rsidRPr="00511CD3">
        <w:rPr>
          <w:bdr w:val="none" w:sz="0" w:space="0" w:color="auto"/>
        </w:rPr>
        <w:t xml:space="preserve"> has emphasized that</w:t>
      </w:r>
      <w:r w:rsidR="004152E1" w:rsidRPr="00511CD3">
        <w:rPr>
          <w:bdr w:val="none" w:sz="0" w:space="0" w:color="auto"/>
        </w:rPr>
        <w:t xml:space="preserve">, </w:t>
      </w:r>
      <w:r w:rsidRPr="00511CD3">
        <w:rPr>
          <w:bdr w:val="none" w:sz="0" w:space="0" w:color="auto"/>
        </w:rPr>
        <w:t xml:space="preserve">in light of Article </w:t>
      </w:r>
      <w:r w:rsidR="004152E1" w:rsidRPr="00511CD3">
        <w:rPr>
          <w:bdr w:val="none" w:sz="0" w:space="0" w:color="auto"/>
        </w:rPr>
        <w:t xml:space="preserve">12 </w:t>
      </w:r>
      <w:r w:rsidRPr="00511CD3">
        <w:rPr>
          <w:bdr w:val="none" w:sz="0" w:space="0" w:color="auto"/>
        </w:rPr>
        <w:t>of the Convention on the Rights of the Child,</w:t>
      </w:r>
      <w:r w:rsidR="007A36B8" w:rsidRPr="00511CD3">
        <w:rPr>
          <w:rStyle w:val="FootnoteReference"/>
          <w:bCs/>
          <w:bdr w:val="none" w:sz="0" w:space="0" w:color="auto"/>
        </w:rPr>
        <w:footnoteReference w:id="111"/>
      </w:r>
      <w:r w:rsidRPr="00511CD3">
        <w:rPr>
          <w:bdr w:val="none" w:sz="0" w:space="0" w:color="auto"/>
        </w:rPr>
        <w:t xml:space="preserve"> States Parties have an obligation to take all necessary steps to ensure </w:t>
      </w:r>
      <w:r w:rsidRPr="00511CD3">
        <w:rPr>
          <w:bdr w:val="none" w:sz="0" w:space="0" w:color="auto"/>
        </w:rPr>
        <w:lastRenderedPageBreak/>
        <w:t xml:space="preserve">that mechanisms are in place, in the context of any judicial and administrative proceedings, to hear </w:t>
      </w:r>
      <w:r w:rsidR="00542FBF" w:rsidRPr="00511CD3">
        <w:rPr>
          <w:bdr w:val="none" w:sz="0" w:space="0" w:color="auto"/>
        </w:rPr>
        <w:t>in a timely and appropriate manner, the views of the child on matters affecting the child that are the subject of analysis and decision in the context of said proceedings.</w:t>
      </w:r>
      <w:r w:rsidR="004152E1" w:rsidRPr="00511CD3">
        <w:rPr>
          <w:rStyle w:val="FootnoteReference"/>
        </w:rPr>
        <w:footnoteReference w:id="112"/>
      </w:r>
      <w:r w:rsidR="004152E1" w:rsidRPr="00511CD3">
        <w:t xml:space="preserve"> </w:t>
      </w:r>
    </w:p>
    <w:p w14:paraId="39198EAA" w14:textId="77777777" w:rsidR="004152E1" w:rsidRPr="00511CD3" w:rsidRDefault="004152E1" w:rsidP="008429F6">
      <w:pPr>
        <w:pStyle w:val="ListParagraph"/>
        <w:numPr>
          <w:ilvl w:val="0"/>
          <w:numId w:val="0"/>
        </w:numPr>
        <w:rPr>
          <w:bdr w:val="none" w:sz="0" w:space="0" w:color="auto"/>
        </w:rPr>
      </w:pPr>
    </w:p>
    <w:p w14:paraId="2482EA0C" w14:textId="77777777" w:rsidR="00E201DA" w:rsidRPr="00511CD3" w:rsidRDefault="00685BB0" w:rsidP="00D568AC">
      <w:pPr>
        <w:pStyle w:val="ListParagraph"/>
        <w:ind w:left="0" w:firstLine="0"/>
        <w:rPr>
          <w:rFonts w:eastAsia="Times New Roman"/>
          <w:bdr w:val="none" w:sz="0" w:space="0" w:color="auto"/>
        </w:rPr>
      </w:pPr>
      <w:r w:rsidRPr="00511CD3">
        <w:rPr>
          <w:bdr w:val="none" w:sz="0" w:space="0" w:color="auto"/>
        </w:rPr>
        <w:t xml:space="preserve">The IACHR has also emphasized that the State must ensure that the child receives all information and </w:t>
      </w:r>
      <w:r w:rsidR="006B0001" w:rsidRPr="00511CD3">
        <w:rPr>
          <w:bdr w:val="none" w:sz="0" w:space="0" w:color="auto"/>
        </w:rPr>
        <w:t>counseling</w:t>
      </w:r>
      <w:r w:rsidRPr="00511CD3">
        <w:rPr>
          <w:bdr w:val="none" w:sz="0" w:space="0" w:color="auto"/>
        </w:rPr>
        <w:t xml:space="preserve"> necessary to take a decision that promotes his or her best interest.  Therefore, the State must </w:t>
      </w:r>
      <w:r w:rsidR="00A251B0" w:rsidRPr="00511CD3">
        <w:rPr>
          <w:bdr w:val="none" w:sz="0" w:space="0" w:color="auto"/>
        </w:rPr>
        <w:t>encourage the child to form a view freely, without undue influence or pressure, and to provide an environment in which the child fee</w:t>
      </w:r>
      <w:r w:rsidR="00D020A0" w:rsidRPr="00511CD3">
        <w:rPr>
          <w:bdr w:val="none" w:sz="0" w:space="0" w:color="auto"/>
        </w:rPr>
        <w:t>l</w:t>
      </w:r>
      <w:r w:rsidR="00A251B0" w:rsidRPr="00511CD3">
        <w:rPr>
          <w:bdr w:val="none" w:sz="0" w:space="0" w:color="auto"/>
        </w:rPr>
        <w:t>s respect</w:t>
      </w:r>
      <w:r w:rsidR="00D020A0" w:rsidRPr="00511CD3">
        <w:rPr>
          <w:bdr w:val="none" w:sz="0" w:space="0" w:color="auto"/>
        </w:rPr>
        <w:t>ed</w:t>
      </w:r>
      <w:r w:rsidR="00A251B0" w:rsidRPr="00511CD3">
        <w:rPr>
          <w:bdr w:val="none" w:sz="0" w:space="0" w:color="auto"/>
        </w:rPr>
        <w:t xml:space="preserve"> and secure, creating conditions for the child to exercise his or her right to be heard.  This means that the child must be informed of the terms of the matters under consideration</w:t>
      </w:r>
      <w:r w:rsidR="004152E1" w:rsidRPr="00511CD3">
        <w:t xml:space="preserve">, </w:t>
      </w:r>
      <w:r w:rsidR="00A251B0" w:rsidRPr="00511CD3">
        <w:t>the options and possible decisions that may be taken, and their consequences.</w:t>
      </w:r>
      <w:r w:rsidR="004152E1" w:rsidRPr="00511CD3">
        <w:rPr>
          <w:rStyle w:val="FootnoteReference"/>
        </w:rPr>
        <w:footnoteReference w:id="113"/>
      </w:r>
      <w:r w:rsidR="00A251B0" w:rsidRPr="00511CD3">
        <w:t xml:space="preserve">  </w:t>
      </w:r>
    </w:p>
    <w:p w14:paraId="4D59A37A" w14:textId="77777777" w:rsidR="00E201DA" w:rsidRPr="00511CD3" w:rsidRDefault="00E201DA" w:rsidP="008429F6">
      <w:pPr>
        <w:pStyle w:val="ListParagraph"/>
        <w:numPr>
          <w:ilvl w:val="0"/>
          <w:numId w:val="0"/>
        </w:numPr>
        <w:rPr>
          <w:bdr w:val="none" w:sz="0" w:space="0" w:color="auto"/>
        </w:rPr>
      </w:pPr>
    </w:p>
    <w:p w14:paraId="02E1665A" w14:textId="77777777" w:rsidR="0064706D" w:rsidRPr="00511CD3" w:rsidRDefault="00A251B0" w:rsidP="00D568AC">
      <w:pPr>
        <w:pStyle w:val="ListParagraph"/>
        <w:ind w:left="0" w:firstLine="0"/>
        <w:rPr>
          <w:bdr w:val="none" w:sz="0" w:space="0" w:color="auto"/>
        </w:rPr>
      </w:pPr>
      <w:r w:rsidRPr="00511CD3">
        <w:rPr>
          <w:bdr w:val="none" w:sz="0" w:space="0" w:color="auto"/>
        </w:rPr>
        <w:t xml:space="preserve">Lastly, </w:t>
      </w:r>
      <w:r w:rsidR="00B10F4D" w:rsidRPr="00511CD3">
        <w:rPr>
          <w:bdr w:val="none" w:sz="0" w:space="0" w:color="auto"/>
        </w:rPr>
        <w:t>the Commission</w:t>
      </w:r>
      <w:r w:rsidR="008C6F68" w:rsidRPr="00511CD3">
        <w:rPr>
          <w:bdr w:val="none" w:sz="0" w:space="0" w:color="auto"/>
        </w:rPr>
        <w:t xml:space="preserve"> </w:t>
      </w:r>
      <w:r w:rsidRPr="00511CD3">
        <w:rPr>
          <w:bdr w:val="none" w:sz="0" w:space="0" w:color="auto"/>
        </w:rPr>
        <w:t xml:space="preserve">notes that </w:t>
      </w:r>
      <w:r w:rsidR="00AC1D4E" w:rsidRPr="00511CD3">
        <w:rPr>
          <w:bdr w:val="none" w:sz="0" w:space="0" w:color="auto"/>
        </w:rPr>
        <w:t>the Committee on the Rights of the Child</w:t>
      </w:r>
      <w:r w:rsidR="007A36B8" w:rsidRPr="00511CD3">
        <w:rPr>
          <w:bdr w:val="none" w:sz="0" w:space="0" w:color="auto"/>
        </w:rPr>
        <w:t xml:space="preserve"> ha</w:t>
      </w:r>
      <w:r w:rsidRPr="00511CD3">
        <w:rPr>
          <w:bdr w:val="none" w:sz="0" w:space="0" w:color="auto"/>
        </w:rPr>
        <w:t>s held that that Article 12 of the Convention on the Rights of the Child establishes not only the right of the child to express his or her views freely in all matters affecting the child, but also the consequent right for those views to be given due weight in accordance with the age and matur</w:t>
      </w:r>
      <w:r w:rsidR="004419EA" w:rsidRPr="00511CD3">
        <w:rPr>
          <w:bdr w:val="none" w:sz="0" w:space="0" w:color="auto"/>
        </w:rPr>
        <w:t>ity</w:t>
      </w:r>
      <w:r w:rsidRPr="00511CD3">
        <w:rPr>
          <w:bdr w:val="none" w:sz="0" w:space="0" w:color="auto"/>
        </w:rPr>
        <w:t xml:space="preserve"> of the child.  If the child is capable of forming his or her own view in a reasonable and independent manner, the decision maker must consider the views of the child as a </w:t>
      </w:r>
      <w:r w:rsidR="00F44C1F" w:rsidRPr="00511CD3">
        <w:rPr>
          <w:bdr w:val="none" w:sz="0" w:space="0" w:color="auto"/>
        </w:rPr>
        <w:t>significant</w:t>
      </w:r>
      <w:r w:rsidRPr="00511CD3">
        <w:rPr>
          <w:bdr w:val="none" w:sz="0" w:space="0" w:color="auto"/>
        </w:rPr>
        <w:t xml:space="preserve"> factor in the settlement of the issue.</w:t>
      </w:r>
      <w:r w:rsidR="007A36B8" w:rsidRPr="00511CD3">
        <w:rPr>
          <w:rStyle w:val="FootnoteReference"/>
        </w:rPr>
        <w:footnoteReference w:id="114"/>
      </w:r>
      <w:r w:rsidR="004419EA" w:rsidRPr="00511CD3">
        <w:rPr>
          <w:bdr w:val="none" w:sz="0" w:space="0" w:color="auto"/>
        </w:rPr>
        <w:t xml:space="preserve">  </w:t>
      </w:r>
    </w:p>
    <w:p w14:paraId="1C2034CF" w14:textId="77777777" w:rsidR="0064706D" w:rsidRPr="00511CD3" w:rsidRDefault="0064706D" w:rsidP="008429F6">
      <w:pPr>
        <w:pStyle w:val="ListParagraph"/>
        <w:numPr>
          <w:ilvl w:val="0"/>
          <w:numId w:val="0"/>
        </w:numPr>
        <w:rPr>
          <w:bdr w:val="none" w:sz="0" w:space="0" w:color="auto"/>
        </w:rPr>
      </w:pPr>
    </w:p>
    <w:p w14:paraId="1A969FD4" w14:textId="77777777" w:rsidR="0064706D" w:rsidRPr="00511CD3" w:rsidRDefault="00402E94" w:rsidP="00D568AC">
      <w:pPr>
        <w:pStyle w:val="ListParagraph"/>
        <w:ind w:left="0" w:firstLine="0"/>
        <w:rPr>
          <w:rFonts w:eastAsia="Times New Roman"/>
          <w:bdr w:val="none" w:sz="0" w:space="0" w:color="auto"/>
        </w:rPr>
      </w:pPr>
      <w:r w:rsidRPr="00511CD3">
        <w:rPr>
          <w:bdr w:val="none" w:sz="0" w:space="0" w:color="auto"/>
        </w:rPr>
        <w:t xml:space="preserve">Lastly, regarding the right of children and adolescents to legal </w:t>
      </w:r>
      <w:r w:rsidR="00F44C1F" w:rsidRPr="00511CD3">
        <w:rPr>
          <w:bdr w:val="none" w:sz="0" w:space="0" w:color="auto"/>
        </w:rPr>
        <w:t>representation</w:t>
      </w:r>
      <w:r w:rsidR="00EC4BD7" w:rsidRPr="00511CD3">
        <w:rPr>
          <w:bdr w:val="none" w:sz="0" w:space="0" w:color="auto"/>
        </w:rPr>
        <w:t xml:space="preserve"> and legal assistance</w:t>
      </w:r>
      <w:r w:rsidR="004A14A4" w:rsidRPr="00511CD3">
        <w:rPr>
          <w:bdr w:val="none" w:sz="0" w:space="0" w:color="auto"/>
        </w:rPr>
        <w:t xml:space="preserve">, </w:t>
      </w:r>
      <w:r w:rsidR="00B10F4D" w:rsidRPr="00511CD3">
        <w:rPr>
          <w:bdr w:val="none" w:sz="0" w:space="0" w:color="auto"/>
        </w:rPr>
        <w:t>the Commission</w:t>
      </w:r>
      <w:r w:rsidR="00B1027B" w:rsidRPr="00511CD3">
        <w:rPr>
          <w:bdr w:val="none" w:sz="0" w:space="0" w:color="auto"/>
        </w:rPr>
        <w:t xml:space="preserve"> underscores the</w:t>
      </w:r>
      <w:r w:rsidR="00A77ED1" w:rsidRPr="00511CD3">
        <w:rPr>
          <w:bdr w:val="none" w:sz="0" w:space="0" w:color="auto"/>
        </w:rPr>
        <w:t>ir</w:t>
      </w:r>
      <w:r w:rsidR="00B1027B" w:rsidRPr="00511CD3">
        <w:rPr>
          <w:bdr w:val="none" w:sz="0" w:space="0" w:color="auto"/>
        </w:rPr>
        <w:t xml:space="preserve"> need for access to specialized legal advice of quality.</w:t>
      </w:r>
      <w:r w:rsidR="0064706D" w:rsidRPr="00511CD3">
        <w:rPr>
          <w:bdr w:val="none" w:sz="0" w:space="0" w:color="auto"/>
        </w:rPr>
        <w:t xml:space="preserve"> </w:t>
      </w:r>
      <w:r w:rsidR="00B10F4D" w:rsidRPr="00511CD3">
        <w:t>The Commission</w:t>
      </w:r>
      <w:r w:rsidR="0064706D" w:rsidRPr="00511CD3">
        <w:t xml:space="preserve"> </w:t>
      </w:r>
      <w:r w:rsidR="00B1027B" w:rsidRPr="00511CD3">
        <w:t xml:space="preserve">understands that whether legal assistance is ordered often determines whether an individual has access to and real participation in procedural actions.  The limitations </w:t>
      </w:r>
      <w:r w:rsidR="00A77ED1" w:rsidRPr="00511CD3">
        <w:t>faced by</w:t>
      </w:r>
      <w:r w:rsidR="00B1027B" w:rsidRPr="00511CD3">
        <w:t xml:space="preserve"> some individuals in accessing legal </w:t>
      </w:r>
      <w:r w:rsidR="00F44C1F" w:rsidRPr="00511CD3">
        <w:t>advice</w:t>
      </w:r>
      <w:r w:rsidR="00B1027B" w:rsidRPr="00511CD3">
        <w:t xml:space="preserve"> and legal defense of quality</w:t>
      </w:r>
      <w:r w:rsidR="00A77ED1" w:rsidRPr="00511CD3">
        <w:t xml:space="preserve"> owing to </w:t>
      </w:r>
      <w:r w:rsidR="00B1027B" w:rsidRPr="00511CD3">
        <w:t xml:space="preserve">their socioeconomic or personal conditions </w:t>
      </w:r>
      <w:r w:rsidR="00A77ED1" w:rsidRPr="00511CD3">
        <w:t>constitute</w:t>
      </w:r>
      <w:r w:rsidR="00B1027B" w:rsidRPr="00511CD3">
        <w:t>s, in practice, an obstacle to access to justice and to the right to judicial protection on</w:t>
      </w:r>
      <w:r w:rsidR="00742EB2" w:rsidRPr="00511CD3">
        <w:t xml:space="preserve"> equal</w:t>
      </w:r>
      <w:r w:rsidR="00A97EF3" w:rsidRPr="00511CD3">
        <w:t xml:space="preserve"> terms</w:t>
      </w:r>
      <w:r w:rsidR="00742EB2" w:rsidRPr="00511CD3">
        <w:t xml:space="preserve"> </w:t>
      </w:r>
      <w:r w:rsidR="00B1027B" w:rsidRPr="00511CD3">
        <w:t>and, therefore, to defense</w:t>
      </w:r>
      <w:r w:rsidR="0064706D" w:rsidRPr="00511CD3">
        <w:t>.</w:t>
      </w:r>
    </w:p>
    <w:p w14:paraId="1F7E3C18" w14:textId="77777777" w:rsidR="0064706D" w:rsidRPr="00511CD3" w:rsidRDefault="0064706D" w:rsidP="008429F6">
      <w:pPr>
        <w:pStyle w:val="ListParagraph"/>
        <w:numPr>
          <w:ilvl w:val="0"/>
          <w:numId w:val="0"/>
        </w:numPr>
        <w:rPr>
          <w:bdr w:val="none" w:sz="0" w:space="0" w:color="auto"/>
        </w:rPr>
      </w:pPr>
    </w:p>
    <w:p w14:paraId="48D42169" w14:textId="77777777" w:rsidR="0002694C" w:rsidRPr="00511CD3" w:rsidRDefault="00685BB0" w:rsidP="00D568AC">
      <w:pPr>
        <w:pStyle w:val="ListParagraph"/>
        <w:ind w:left="0" w:firstLine="0"/>
        <w:rPr>
          <w:b/>
        </w:rPr>
      </w:pPr>
      <w:r w:rsidRPr="00511CD3">
        <w:rPr>
          <w:bdr w:val="none" w:sz="0" w:space="0" w:color="auto"/>
        </w:rPr>
        <w:t>In the same vein</w:t>
      </w:r>
      <w:r w:rsidR="0064706D" w:rsidRPr="00511CD3">
        <w:rPr>
          <w:bdr w:val="none" w:sz="0" w:space="0" w:color="auto"/>
        </w:rPr>
        <w:t xml:space="preserve">, </w:t>
      </w:r>
      <w:r w:rsidR="00B10F4D" w:rsidRPr="00511CD3">
        <w:rPr>
          <w:bdr w:val="none" w:sz="0" w:space="0" w:color="auto"/>
        </w:rPr>
        <w:t>the Commission</w:t>
      </w:r>
      <w:r w:rsidR="0064706D" w:rsidRPr="00511CD3">
        <w:rPr>
          <w:bdr w:val="none" w:sz="0" w:space="0" w:color="auto"/>
        </w:rPr>
        <w:t xml:space="preserve"> ha</w:t>
      </w:r>
      <w:r w:rsidRPr="00511CD3">
        <w:rPr>
          <w:bdr w:val="none" w:sz="0" w:space="0" w:color="auto"/>
        </w:rPr>
        <w:t>s noted that</w:t>
      </w:r>
      <w:r w:rsidR="0002694C" w:rsidRPr="00511CD3">
        <w:rPr>
          <w:bdr w:val="none" w:sz="0" w:space="0" w:color="auto"/>
        </w:rPr>
        <w:t xml:space="preserve"> many of the</w:t>
      </w:r>
      <w:r w:rsidRPr="00511CD3">
        <w:rPr>
          <w:bdr w:val="none" w:sz="0" w:space="0" w:color="auto"/>
        </w:rPr>
        <w:t xml:space="preserve"> families involved in proceedings </w:t>
      </w:r>
      <w:r w:rsidR="0002694C" w:rsidRPr="00511CD3">
        <w:rPr>
          <w:bdr w:val="none" w:sz="0" w:space="0" w:color="auto"/>
        </w:rPr>
        <w:t xml:space="preserve">regarding custody and </w:t>
      </w:r>
      <w:r w:rsidRPr="00511CD3">
        <w:rPr>
          <w:bdr w:val="none" w:sz="0" w:space="0" w:color="auto"/>
        </w:rPr>
        <w:t>care of the child</w:t>
      </w:r>
      <w:r w:rsidR="0002694C" w:rsidRPr="00511CD3">
        <w:rPr>
          <w:bdr w:val="none" w:sz="0" w:space="0" w:color="auto"/>
        </w:rPr>
        <w:t xml:space="preserve"> for protection reasons </w:t>
      </w:r>
      <w:r w:rsidRPr="00511CD3">
        <w:t xml:space="preserve">are </w:t>
      </w:r>
      <w:r w:rsidR="0002694C" w:rsidRPr="00511CD3">
        <w:t xml:space="preserve">composed of especially vulnerable people who have difficulties in the </w:t>
      </w:r>
      <w:r w:rsidRPr="00511CD3">
        <w:t xml:space="preserve">exercise of their </w:t>
      </w:r>
      <w:r w:rsidR="0002694C" w:rsidRPr="00511CD3">
        <w:t xml:space="preserve">full </w:t>
      </w:r>
      <w:r w:rsidRPr="00511CD3">
        <w:t>rights.</w:t>
      </w:r>
      <w:r w:rsidR="0064706D" w:rsidRPr="00511CD3">
        <w:rPr>
          <w:rStyle w:val="FootnoteReference"/>
        </w:rPr>
        <w:footnoteReference w:id="115"/>
      </w:r>
      <w:r w:rsidR="0064706D" w:rsidRPr="00511CD3">
        <w:t xml:space="preserve"> </w:t>
      </w:r>
      <w:r w:rsidR="006B0292" w:rsidRPr="00511CD3">
        <w:t xml:space="preserve"> In these cases, both the IACHR and the IA Court HR have recognized the consequent obligation for the State to take all those measures necessary to guarantee </w:t>
      </w:r>
      <w:r w:rsidR="003034EF" w:rsidRPr="00511CD3">
        <w:t xml:space="preserve">everyone </w:t>
      </w:r>
      <w:r w:rsidR="006B0292" w:rsidRPr="00511CD3">
        <w:t>effective access to justice and the right to judicial protection on equal terms</w:t>
      </w:r>
      <w:r w:rsidR="009A1890" w:rsidRPr="00511CD3">
        <w:t xml:space="preserve">, </w:t>
      </w:r>
      <w:r w:rsidR="006B0292" w:rsidRPr="00511CD3">
        <w:t xml:space="preserve">and </w:t>
      </w:r>
      <w:r w:rsidR="009A1890" w:rsidRPr="00511CD3">
        <w:t xml:space="preserve">has </w:t>
      </w:r>
      <w:r w:rsidR="006B0292" w:rsidRPr="00511CD3">
        <w:t xml:space="preserve">indicated that </w:t>
      </w:r>
      <w:r w:rsidR="003034EF" w:rsidRPr="00511CD3">
        <w:t xml:space="preserve">there are </w:t>
      </w:r>
      <w:r w:rsidR="009A1890" w:rsidRPr="00511CD3">
        <w:t xml:space="preserve">vulnerable </w:t>
      </w:r>
      <w:r w:rsidR="003034EF" w:rsidRPr="00511CD3">
        <w:t xml:space="preserve">persons who require special measures to guarantee the possibility of an effective defense of their rights </w:t>
      </w:r>
      <w:r w:rsidR="0002664E" w:rsidRPr="00511CD3">
        <w:t>before</w:t>
      </w:r>
      <w:r w:rsidR="003034EF" w:rsidRPr="00511CD3">
        <w:t xml:space="preserve"> administrative and judicial authorities.</w:t>
      </w:r>
      <w:r w:rsidR="009A1890" w:rsidRPr="00511CD3">
        <w:rPr>
          <w:rStyle w:val="FootnoteReference"/>
        </w:rPr>
        <w:t xml:space="preserve"> </w:t>
      </w:r>
      <w:r w:rsidR="009A1890" w:rsidRPr="00511CD3">
        <w:rPr>
          <w:rStyle w:val="FootnoteReference"/>
        </w:rPr>
        <w:footnoteReference w:id="116"/>
      </w:r>
    </w:p>
    <w:p w14:paraId="0D1297EF" w14:textId="77777777" w:rsidR="00664AD0" w:rsidRPr="00511CD3" w:rsidRDefault="00664AD0" w:rsidP="008429F6">
      <w:pPr>
        <w:pStyle w:val="ListParagraph"/>
        <w:numPr>
          <w:ilvl w:val="0"/>
          <w:numId w:val="0"/>
        </w:numPr>
        <w:tabs>
          <w:tab w:val="left" w:pos="1440"/>
        </w:tabs>
        <w:rPr>
          <w:b/>
          <w:bdr w:val="none" w:sz="0" w:space="0" w:color="auto"/>
        </w:rPr>
      </w:pPr>
    </w:p>
    <w:p w14:paraId="1D5B56B0" w14:textId="77777777" w:rsidR="00AA7E1A" w:rsidRPr="00511CD3" w:rsidRDefault="006B0292" w:rsidP="00A97EF3">
      <w:pPr>
        <w:tabs>
          <w:tab w:val="left" w:pos="1440"/>
        </w:tabs>
        <w:ind w:left="1440" w:hanging="720"/>
        <w:rPr>
          <w:rFonts w:ascii="Cambria" w:hAnsi="Cambria"/>
          <w:b/>
          <w:sz w:val="20"/>
          <w:szCs w:val="20"/>
        </w:rPr>
      </w:pPr>
      <w:r w:rsidRPr="00511CD3">
        <w:rPr>
          <w:rFonts w:ascii="Cambria" w:hAnsi="Cambria"/>
          <w:b/>
          <w:sz w:val="20"/>
          <w:szCs w:val="20"/>
        </w:rPr>
        <w:t>3</w:t>
      </w:r>
      <w:r w:rsidRPr="00511CD3">
        <w:rPr>
          <w:b/>
        </w:rPr>
        <w:t>.</w:t>
      </w:r>
      <w:r w:rsidRPr="00511CD3">
        <w:rPr>
          <w:b/>
        </w:rPr>
        <w:tab/>
      </w:r>
      <w:r w:rsidR="00685BB0" w:rsidRPr="00511CD3">
        <w:rPr>
          <w:rFonts w:ascii="Cambria" w:hAnsi="Cambria"/>
          <w:b/>
          <w:sz w:val="20"/>
          <w:szCs w:val="20"/>
        </w:rPr>
        <w:t>General standards on the prevention of violence and discrimination against pregnant girls and adolescents and child and adolescent mothers</w:t>
      </w:r>
    </w:p>
    <w:p w14:paraId="54194D84" w14:textId="77777777" w:rsidR="00AA7E1A" w:rsidRPr="00511CD3" w:rsidRDefault="00AA7E1A" w:rsidP="008429F6">
      <w:pPr>
        <w:rPr>
          <w:sz w:val="20"/>
          <w:szCs w:val="20"/>
        </w:rPr>
      </w:pPr>
    </w:p>
    <w:p w14:paraId="69BFA7E7" w14:textId="77777777" w:rsidR="000319EB" w:rsidRPr="00511CD3" w:rsidRDefault="00854549" w:rsidP="00D568AC">
      <w:pPr>
        <w:pStyle w:val="ListParagraph"/>
        <w:ind w:left="0" w:firstLine="0"/>
      </w:pPr>
      <w:r w:rsidRPr="00511CD3">
        <w:rPr>
          <w:lang w:eastAsia="es-MX"/>
        </w:rPr>
        <w:t xml:space="preserve">Article </w:t>
      </w:r>
      <w:r w:rsidR="000319EB" w:rsidRPr="00511CD3">
        <w:rPr>
          <w:lang w:eastAsia="es-MX"/>
        </w:rPr>
        <w:t xml:space="preserve">24 </w:t>
      </w:r>
      <w:r w:rsidRPr="00511CD3">
        <w:rPr>
          <w:lang w:eastAsia="es-MX"/>
        </w:rPr>
        <w:t>of</w:t>
      </w:r>
      <w:r w:rsidR="000319EB" w:rsidRPr="00511CD3">
        <w:rPr>
          <w:lang w:eastAsia="es-MX"/>
        </w:rPr>
        <w:t xml:space="preserve"> </w:t>
      </w:r>
      <w:r w:rsidR="003E59A8" w:rsidRPr="00511CD3">
        <w:rPr>
          <w:lang w:eastAsia="es-MX"/>
        </w:rPr>
        <w:t>the American Convention</w:t>
      </w:r>
      <w:r w:rsidR="000319EB" w:rsidRPr="00511CD3">
        <w:rPr>
          <w:lang w:eastAsia="es-MX"/>
        </w:rPr>
        <w:t xml:space="preserve"> </w:t>
      </w:r>
      <w:r w:rsidRPr="00511CD3">
        <w:rPr>
          <w:lang w:eastAsia="es-MX"/>
        </w:rPr>
        <w:t xml:space="preserve">prohibits legislative and de facto discrimination, not only with regard to the rights </w:t>
      </w:r>
      <w:r w:rsidR="00742EB2" w:rsidRPr="00511CD3">
        <w:rPr>
          <w:lang w:eastAsia="es-MX"/>
        </w:rPr>
        <w:t>embodied</w:t>
      </w:r>
      <w:r w:rsidRPr="00511CD3">
        <w:rPr>
          <w:lang w:eastAsia="es-MX"/>
        </w:rPr>
        <w:t xml:space="preserve"> therein, but also with regard to all laws the State</w:t>
      </w:r>
      <w:r w:rsidR="00742EB2" w:rsidRPr="00511CD3">
        <w:rPr>
          <w:lang w:eastAsia="es-MX"/>
        </w:rPr>
        <w:t xml:space="preserve"> adopts</w:t>
      </w:r>
      <w:r w:rsidRPr="00511CD3">
        <w:rPr>
          <w:lang w:eastAsia="es-MX"/>
        </w:rPr>
        <w:t xml:space="preserve"> and </w:t>
      </w:r>
      <w:r w:rsidR="00742EB2" w:rsidRPr="00511CD3">
        <w:rPr>
          <w:lang w:eastAsia="es-MX"/>
        </w:rPr>
        <w:t>to their application. In other words, this</w:t>
      </w:r>
      <w:r w:rsidRPr="00511CD3">
        <w:rPr>
          <w:lang w:eastAsia="es-MX"/>
        </w:rPr>
        <w:t xml:space="preserve"> </w:t>
      </w:r>
      <w:r w:rsidR="00742EB2" w:rsidRPr="00511CD3">
        <w:rPr>
          <w:lang w:eastAsia="es-MX"/>
        </w:rPr>
        <w:t xml:space="preserve">Article does not merely reiterate </w:t>
      </w:r>
      <w:r w:rsidRPr="00511CD3">
        <w:rPr>
          <w:lang w:eastAsia="es-MX"/>
        </w:rPr>
        <w:t xml:space="preserve">the provisions of Article </w:t>
      </w:r>
      <w:r w:rsidR="000319EB" w:rsidRPr="00511CD3">
        <w:rPr>
          <w:lang w:eastAsia="es-MX"/>
        </w:rPr>
        <w:t>1.</w:t>
      </w:r>
      <w:r w:rsidRPr="00511CD3">
        <w:rPr>
          <w:lang w:eastAsia="es-MX"/>
        </w:rPr>
        <w:t xml:space="preserve">1 of the Convention </w:t>
      </w:r>
      <w:r w:rsidR="00742EB2" w:rsidRPr="00511CD3">
        <w:rPr>
          <w:lang w:eastAsia="es-MX"/>
        </w:rPr>
        <w:t>concerning t</w:t>
      </w:r>
      <w:r w:rsidRPr="00511CD3">
        <w:rPr>
          <w:lang w:eastAsia="es-MX"/>
        </w:rPr>
        <w:t>he obligation of States to respect</w:t>
      </w:r>
      <w:r w:rsidR="00B10F4D" w:rsidRPr="00511CD3">
        <w:rPr>
          <w:lang w:eastAsia="es-MX"/>
        </w:rPr>
        <w:t xml:space="preserve"> and </w:t>
      </w:r>
      <w:r w:rsidRPr="00511CD3">
        <w:rPr>
          <w:lang w:eastAsia="es-MX"/>
        </w:rPr>
        <w:t xml:space="preserve">guarantee, without discrimination, the rights recognized </w:t>
      </w:r>
      <w:r w:rsidR="00742EB2" w:rsidRPr="00511CD3">
        <w:rPr>
          <w:lang w:eastAsia="es-MX"/>
        </w:rPr>
        <w:t>there</w:t>
      </w:r>
      <w:r w:rsidRPr="00511CD3">
        <w:rPr>
          <w:lang w:eastAsia="es-MX"/>
        </w:rPr>
        <w:t>in, but</w:t>
      </w:r>
      <w:r w:rsidR="00742EB2" w:rsidRPr="00511CD3">
        <w:rPr>
          <w:lang w:eastAsia="es-MX"/>
        </w:rPr>
        <w:t xml:space="preserve">, in </w:t>
      </w:r>
      <w:r w:rsidR="00742EB2" w:rsidRPr="00511CD3">
        <w:rPr>
          <w:lang w:eastAsia="es-MX"/>
        </w:rPr>
        <w:lastRenderedPageBreak/>
        <w:t>addition, establishes</w:t>
      </w:r>
      <w:r w:rsidRPr="00511CD3">
        <w:rPr>
          <w:lang w:eastAsia="es-MX"/>
        </w:rPr>
        <w:t xml:space="preserve"> a right that also </w:t>
      </w:r>
      <w:r w:rsidR="00742EB2" w:rsidRPr="00511CD3">
        <w:rPr>
          <w:lang w:eastAsia="es-MX"/>
        </w:rPr>
        <w:t>entails</w:t>
      </w:r>
      <w:r w:rsidRPr="00511CD3">
        <w:rPr>
          <w:lang w:eastAsia="es-MX"/>
        </w:rPr>
        <w:t xml:space="preserve"> obligations </w:t>
      </w:r>
      <w:r w:rsidR="00742EB2" w:rsidRPr="00511CD3">
        <w:rPr>
          <w:lang w:eastAsia="es-MX"/>
        </w:rPr>
        <w:t>for</w:t>
      </w:r>
      <w:r w:rsidRPr="00511CD3">
        <w:rPr>
          <w:lang w:eastAsia="es-MX"/>
        </w:rPr>
        <w:t xml:space="preserve"> the State to respect and </w:t>
      </w:r>
      <w:r w:rsidR="00126F42" w:rsidRPr="00511CD3">
        <w:rPr>
          <w:lang w:eastAsia="es-MX"/>
        </w:rPr>
        <w:t>ensure</w:t>
      </w:r>
      <w:r w:rsidRPr="00511CD3">
        <w:rPr>
          <w:lang w:eastAsia="es-MX"/>
        </w:rPr>
        <w:t xml:space="preserve"> the principle of equality and non-discrimination in </w:t>
      </w:r>
      <w:r w:rsidR="00126F42" w:rsidRPr="00511CD3">
        <w:rPr>
          <w:lang w:eastAsia="es-MX"/>
        </w:rPr>
        <w:t xml:space="preserve">the </w:t>
      </w:r>
      <w:r w:rsidRPr="00511CD3">
        <w:rPr>
          <w:lang w:eastAsia="es-MX"/>
        </w:rPr>
        <w:t xml:space="preserve">safeguard other rights </w:t>
      </w:r>
      <w:r w:rsidR="00B10F4D" w:rsidRPr="00511CD3">
        <w:rPr>
          <w:lang w:eastAsia="es-MX"/>
        </w:rPr>
        <w:t xml:space="preserve">and </w:t>
      </w:r>
      <w:r w:rsidRPr="00511CD3">
        <w:rPr>
          <w:lang w:eastAsia="es-MX"/>
        </w:rPr>
        <w:t>in all domestic l</w:t>
      </w:r>
      <w:r w:rsidR="00126F42" w:rsidRPr="00511CD3">
        <w:rPr>
          <w:lang w:eastAsia="es-MX"/>
        </w:rPr>
        <w:t>aws</w:t>
      </w:r>
      <w:r w:rsidRPr="00511CD3">
        <w:rPr>
          <w:lang w:eastAsia="es-MX"/>
        </w:rPr>
        <w:t xml:space="preserve"> that it adopts.</w:t>
      </w:r>
      <w:r w:rsidR="000319EB" w:rsidRPr="00511CD3">
        <w:rPr>
          <w:rFonts w:eastAsia="Batang"/>
          <w:vertAlign w:val="superscript"/>
          <w:lang w:eastAsia="es-MX"/>
        </w:rPr>
        <w:footnoteReference w:id="117"/>
      </w:r>
      <w:r w:rsidR="00126F42" w:rsidRPr="00511CD3">
        <w:rPr>
          <w:lang w:eastAsia="es-MX"/>
        </w:rPr>
        <w:t xml:space="preserve">  </w:t>
      </w:r>
    </w:p>
    <w:p w14:paraId="789938C8" w14:textId="77777777" w:rsidR="003626B1" w:rsidRPr="00511CD3" w:rsidRDefault="003626B1" w:rsidP="008429F6">
      <w:pPr>
        <w:pStyle w:val="ListParagraph"/>
        <w:numPr>
          <w:ilvl w:val="0"/>
          <w:numId w:val="0"/>
        </w:numPr>
      </w:pPr>
    </w:p>
    <w:p w14:paraId="29245821" w14:textId="77777777" w:rsidR="003626B1" w:rsidRPr="00511CD3" w:rsidRDefault="00B10F4D" w:rsidP="00D568AC">
      <w:pPr>
        <w:pStyle w:val="ListParagraph"/>
        <w:ind w:left="0" w:firstLine="0"/>
      </w:pPr>
      <w:r w:rsidRPr="00511CD3">
        <w:t xml:space="preserve">The Commission and </w:t>
      </w:r>
      <w:r w:rsidR="004419EA" w:rsidRPr="00511CD3">
        <w:t xml:space="preserve">the Court </w:t>
      </w:r>
      <w:r w:rsidR="003626B1" w:rsidRPr="00511CD3">
        <w:t>ha</w:t>
      </w:r>
      <w:r w:rsidR="005E448A" w:rsidRPr="00511CD3">
        <w:t xml:space="preserve">ve affirmed that the principle of equality and non-discrimination constitutes a central and </w:t>
      </w:r>
      <w:r w:rsidR="003626B1" w:rsidRPr="00511CD3">
        <w:rPr>
          <w:rFonts w:eastAsia="Calibri"/>
          <w:lang w:eastAsia="es-MX"/>
        </w:rPr>
        <w:t xml:space="preserve">fundamental </w:t>
      </w:r>
      <w:r w:rsidR="005E448A" w:rsidRPr="00511CD3">
        <w:rPr>
          <w:rFonts w:eastAsia="Calibri"/>
          <w:lang w:eastAsia="es-MX"/>
        </w:rPr>
        <w:t xml:space="preserve">pillar of the inter-American human rights system.  The </w:t>
      </w:r>
      <w:r w:rsidR="00126F42" w:rsidRPr="00511CD3">
        <w:rPr>
          <w:rFonts w:eastAsia="Calibri"/>
          <w:lang w:eastAsia="es-MX"/>
        </w:rPr>
        <w:t xml:space="preserve">concept </w:t>
      </w:r>
      <w:r w:rsidR="005E448A" w:rsidRPr="00511CD3">
        <w:rPr>
          <w:rFonts w:eastAsia="Calibri"/>
          <w:lang w:eastAsia="es-MX"/>
        </w:rPr>
        <w:t>of equality derives directly from the natural unity of humankind and is inseparable from the essential dignity of the human person</w:t>
      </w:r>
      <w:r w:rsidR="003626B1" w:rsidRPr="00511CD3">
        <w:t xml:space="preserve">, </w:t>
      </w:r>
      <w:r w:rsidR="00A97EF3" w:rsidRPr="00511CD3">
        <w:t>against which are</w:t>
      </w:r>
      <w:r w:rsidR="005E448A" w:rsidRPr="00511CD3">
        <w:t xml:space="preserve"> </w:t>
      </w:r>
      <w:r w:rsidR="003626B1" w:rsidRPr="00511CD3">
        <w:t xml:space="preserve">incompatible </w:t>
      </w:r>
      <w:r w:rsidR="005E448A" w:rsidRPr="00511CD3">
        <w:t xml:space="preserve">all situations which, in considering superior a specific group, lead to giving it preference, or, the inverse, in considering it inferior, lead to treating it with </w:t>
      </w:r>
      <w:r w:rsidR="00F44C1F" w:rsidRPr="00511CD3">
        <w:t>hostility</w:t>
      </w:r>
      <w:r w:rsidR="005E448A" w:rsidRPr="00511CD3">
        <w:t xml:space="preserve"> or discriminating against</w:t>
      </w:r>
      <w:r w:rsidR="00126F42" w:rsidRPr="00511CD3">
        <w:t xml:space="preserve"> it</w:t>
      </w:r>
      <w:r w:rsidR="00A97EF3" w:rsidRPr="00511CD3">
        <w:t xml:space="preserve"> in any way</w:t>
      </w:r>
      <w:r w:rsidR="00126F42" w:rsidRPr="00511CD3">
        <w:t>,</w:t>
      </w:r>
      <w:r w:rsidR="005E448A" w:rsidRPr="00511CD3">
        <w:t xml:space="preserve"> in the enjoyment of rights that are in fact recognized for those not viewed as in that situation.  </w:t>
      </w:r>
      <w:r w:rsidR="00126F42" w:rsidRPr="00511CD3">
        <w:t>T</w:t>
      </w:r>
      <w:r w:rsidR="005E448A" w:rsidRPr="00511CD3">
        <w:t xml:space="preserve">he Court </w:t>
      </w:r>
      <w:r w:rsidR="00126F42" w:rsidRPr="00511CD3">
        <w:t xml:space="preserve">in its case law </w:t>
      </w:r>
      <w:r w:rsidR="00A97EF3" w:rsidRPr="00511CD3">
        <w:t xml:space="preserve">has held </w:t>
      </w:r>
      <w:r w:rsidR="005E448A" w:rsidRPr="00511CD3">
        <w:t xml:space="preserve">that, at the current stage of development of international law, the fundamental principle of equality and non-discrimination has entered into the domain of </w:t>
      </w:r>
      <w:r w:rsidR="003626B1" w:rsidRPr="00511CD3">
        <w:rPr>
          <w:i/>
        </w:rPr>
        <w:t>jus cogens</w:t>
      </w:r>
      <w:r w:rsidR="003626B1" w:rsidRPr="00511CD3">
        <w:t xml:space="preserve">. </w:t>
      </w:r>
      <w:r w:rsidR="005E448A" w:rsidRPr="00511CD3">
        <w:t>This principle, on which rests the national and international public legal framework</w:t>
      </w:r>
      <w:r w:rsidR="003626B1" w:rsidRPr="00511CD3">
        <w:t xml:space="preserve">, </w:t>
      </w:r>
      <w:r w:rsidR="000F7243" w:rsidRPr="00511CD3">
        <w:t>permeates the entire legal system.</w:t>
      </w:r>
      <w:r w:rsidR="003626B1" w:rsidRPr="00511CD3">
        <w:rPr>
          <w:rStyle w:val="FootnoteReference"/>
        </w:rPr>
        <w:footnoteReference w:id="118"/>
      </w:r>
      <w:r w:rsidR="00126F42" w:rsidRPr="00511CD3">
        <w:t xml:space="preserve"> </w:t>
      </w:r>
    </w:p>
    <w:p w14:paraId="7255AD0C" w14:textId="77777777" w:rsidR="003626B1" w:rsidRPr="00511CD3" w:rsidRDefault="003626B1" w:rsidP="008429F6">
      <w:pPr>
        <w:pStyle w:val="ListParagraph"/>
        <w:numPr>
          <w:ilvl w:val="0"/>
          <w:numId w:val="0"/>
        </w:numPr>
      </w:pPr>
    </w:p>
    <w:p w14:paraId="5BDC9500" w14:textId="77777777" w:rsidR="000319EB" w:rsidRPr="00511CD3" w:rsidRDefault="00C52E06" w:rsidP="00D568AC">
      <w:pPr>
        <w:pStyle w:val="ListParagraph"/>
        <w:ind w:left="0" w:firstLine="0"/>
      </w:pPr>
      <w:r w:rsidRPr="00511CD3">
        <w:rPr>
          <w:lang w:eastAsia="es-MX"/>
        </w:rPr>
        <w:t>At the inter-American level, in its preamble, the Convention of</w:t>
      </w:r>
      <w:r w:rsidR="000319EB" w:rsidRPr="00511CD3">
        <w:rPr>
          <w:lang w:eastAsia="es-MX"/>
        </w:rPr>
        <w:t xml:space="preserve"> Belém do Pará </w:t>
      </w:r>
      <w:r w:rsidRPr="00511CD3">
        <w:rPr>
          <w:lang w:eastAsia="es-MX"/>
        </w:rPr>
        <w:t>indicates that violence against women</w:t>
      </w:r>
      <w:r w:rsidR="00920CE7" w:rsidRPr="00511CD3">
        <w:rPr>
          <w:lang w:eastAsia="es-MX"/>
        </w:rPr>
        <w:t xml:space="preserve"> is</w:t>
      </w:r>
      <w:r w:rsidR="00E056CE" w:rsidRPr="00511CD3">
        <w:rPr>
          <w:lang w:eastAsia="es-MX"/>
        </w:rPr>
        <w:t xml:space="preserve"> a</w:t>
      </w:r>
      <w:r w:rsidR="00920CE7" w:rsidRPr="00511CD3">
        <w:rPr>
          <w:lang w:eastAsia="es-MX"/>
        </w:rPr>
        <w:t xml:space="preserve"> “</w:t>
      </w:r>
      <w:r w:rsidR="00920CE7" w:rsidRPr="00511CD3">
        <w:t>manifestation of the historically unequal power relations between women and men</w:t>
      </w:r>
      <w:r w:rsidR="000319EB" w:rsidRPr="00511CD3">
        <w:rPr>
          <w:lang w:eastAsia="es-MX"/>
        </w:rPr>
        <w:t>”</w:t>
      </w:r>
      <w:r w:rsidR="00920CE7" w:rsidRPr="00511CD3">
        <w:rPr>
          <w:lang w:eastAsia="es-MX"/>
        </w:rPr>
        <w:t xml:space="preserve"> and</w:t>
      </w:r>
      <w:r w:rsidR="00B10F4D" w:rsidRPr="00511CD3">
        <w:rPr>
          <w:vertAlign w:val="superscript"/>
          <w:lang w:eastAsia="es-MX"/>
        </w:rPr>
        <w:t xml:space="preserve"> </w:t>
      </w:r>
      <w:r w:rsidR="000319EB" w:rsidRPr="00511CD3">
        <w:rPr>
          <w:lang w:eastAsia="es-MX"/>
        </w:rPr>
        <w:t>a</w:t>
      </w:r>
      <w:r w:rsidR="00920CE7" w:rsidRPr="00511CD3">
        <w:rPr>
          <w:lang w:eastAsia="es-MX"/>
        </w:rPr>
        <w:t>lso recognizes that the right of every wom</w:t>
      </w:r>
      <w:r w:rsidR="006235CD" w:rsidRPr="00511CD3">
        <w:rPr>
          <w:lang w:eastAsia="es-MX"/>
        </w:rPr>
        <w:t>a</w:t>
      </w:r>
      <w:r w:rsidR="00920CE7" w:rsidRPr="00511CD3">
        <w:rPr>
          <w:lang w:eastAsia="es-MX"/>
        </w:rPr>
        <w:t xml:space="preserve">n to a life free </w:t>
      </w:r>
      <w:r w:rsidR="006235CD" w:rsidRPr="00511CD3">
        <w:rPr>
          <w:lang w:eastAsia="es-MX"/>
        </w:rPr>
        <w:t xml:space="preserve">from </w:t>
      </w:r>
      <w:r w:rsidR="00920CE7" w:rsidRPr="00511CD3">
        <w:rPr>
          <w:lang w:eastAsia="es-MX"/>
        </w:rPr>
        <w:t>violence includes the right to be free from all forms of discrimination.</w:t>
      </w:r>
      <w:r w:rsidR="00E056CE" w:rsidRPr="00511CD3">
        <w:rPr>
          <w:lang w:eastAsia="es-MX"/>
        </w:rPr>
        <w:t>”</w:t>
      </w:r>
      <w:r w:rsidR="000319EB" w:rsidRPr="00511CD3">
        <w:rPr>
          <w:vertAlign w:val="superscript"/>
          <w:lang w:eastAsia="es-MX"/>
        </w:rPr>
        <w:footnoteReference w:id="119"/>
      </w:r>
      <w:r w:rsidR="00920CE7" w:rsidRPr="00511CD3">
        <w:rPr>
          <w:lang w:eastAsia="es-MX"/>
        </w:rPr>
        <w:t xml:space="preserve">  From a general standpoint, the Convention </w:t>
      </w:r>
      <w:r w:rsidR="00E056CE" w:rsidRPr="00511CD3">
        <w:rPr>
          <w:lang w:eastAsia="es-MX"/>
        </w:rPr>
        <w:t>on the Elimination</w:t>
      </w:r>
      <w:r w:rsidR="00C7567C" w:rsidRPr="00511CD3">
        <w:rPr>
          <w:lang w:eastAsia="es-MX"/>
        </w:rPr>
        <w:t xml:space="preserve"> o</w:t>
      </w:r>
      <w:r w:rsidR="00E056CE" w:rsidRPr="00511CD3">
        <w:rPr>
          <w:lang w:eastAsia="es-MX"/>
        </w:rPr>
        <w:t>f All Forms of Discrimination against Women (hereinafter</w:t>
      </w:r>
      <w:r w:rsidR="000319EB" w:rsidRPr="00511CD3">
        <w:rPr>
          <w:lang w:eastAsia="es-MX"/>
        </w:rPr>
        <w:t>, “CEDAW</w:t>
      </w:r>
      <w:r w:rsidR="00E056CE" w:rsidRPr="00511CD3">
        <w:rPr>
          <w:lang w:eastAsia="es-MX"/>
        </w:rPr>
        <w:t>”</w:t>
      </w:r>
      <w:r w:rsidR="000319EB" w:rsidRPr="00511CD3">
        <w:rPr>
          <w:lang w:eastAsia="es-MX"/>
        </w:rPr>
        <w:t>) define</w:t>
      </w:r>
      <w:r w:rsidR="00E056CE" w:rsidRPr="00511CD3">
        <w:rPr>
          <w:lang w:eastAsia="es-MX"/>
        </w:rPr>
        <w:t xml:space="preserve">s discrimination against women as </w:t>
      </w:r>
      <w:r w:rsidR="000319EB" w:rsidRPr="00511CD3">
        <w:rPr>
          <w:lang w:eastAsia="es-MX"/>
        </w:rPr>
        <w:t>“</w:t>
      </w:r>
      <w:r w:rsidR="00E056CE" w:rsidRPr="00511CD3">
        <w:rPr>
          <w:rFonts w:cs="Arial"/>
          <w:color w:val="000000"/>
          <w:shd w:val="clear" w:color="auto" w:fill="FFFFFF"/>
        </w:rPr>
        <w:t>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r w:rsidR="00E056CE" w:rsidRPr="00511CD3">
        <w:rPr>
          <w:vertAlign w:val="superscript"/>
          <w:lang w:eastAsia="es-MX"/>
        </w:rPr>
        <w:footnoteReference w:id="120"/>
      </w:r>
      <w:r w:rsidR="00E056CE" w:rsidRPr="00511CD3">
        <w:t xml:space="preserve"> In that regard, the Committee</w:t>
      </w:r>
      <w:r w:rsidR="00C7567C" w:rsidRPr="00511CD3">
        <w:t xml:space="preserve"> </w:t>
      </w:r>
      <w:r w:rsidR="00C7567C" w:rsidRPr="00511CD3">
        <w:rPr>
          <w:lang w:eastAsia="es-MX"/>
        </w:rPr>
        <w:t>on the Elimination of All Forms of Discrimination against Women (hereinafter, “the</w:t>
      </w:r>
      <w:r w:rsidR="00BB3D38" w:rsidRPr="00511CD3">
        <w:rPr>
          <w:lang w:eastAsia="es-MX"/>
        </w:rPr>
        <w:t xml:space="preserve"> CEDAW Commi</w:t>
      </w:r>
      <w:r w:rsidR="00C7567C" w:rsidRPr="00511CD3">
        <w:rPr>
          <w:lang w:eastAsia="es-MX"/>
        </w:rPr>
        <w:t>ttee</w:t>
      </w:r>
      <w:r w:rsidR="000319EB" w:rsidRPr="00511CD3">
        <w:rPr>
          <w:lang w:eastAsia="es-MX"/>
        </w:rPr>
        <w:t>”) ha</w:t>
      </w:r>
      <w:r w:rsidR="00BB3D38" w:rsidRPr="00511CD3">
        <w:rPr>
          <w:lang w:eastAsia="es-MX"/>
        </w:rPr>
        <w:t xml:space="preserve">s </w:t>
      </w:r>
      <w:r w:rsidR="002C27C5" w:rsidRPr="00511CD3">
        <w:rPr>
          <w:lang w:eastAsia="es-MX"/>
        </w:rPr>
        <w:t>indicated</w:t>
      </w:r>
      <w:r w:rsidR="00126F42" w:rsidRPr="00511CD3">
        <w:rPr>
          <w:lang w:eastAsia="es-MX"/>
        </w:rPr>
        <w:t xml:space="preserve"> </w:t>
      </w:r>
      <w:r w:rsidR="00BB3D38" w:rsidRPr="00511CD3">
        <w:rPr>
          <w:lang w:eastAsia="es-MX"/>
        </w:rPr>
        <w:t xml:space="preserve">that </w:t>
      </w:r>
      <w:r w:rsidR="0095309B" w:rsidRPr="00511CD3">
        <w:rPr>
          <w:lang w:eastAsia="es-MX"/>
        </w:rPr>
        <w:t>the definition of discrimination against women</w:t>
      </w:r>
      <w:r w:rsidR="000319EB" w:rsidRPr="00511CD3">
        <w:rPr>
          <w:lang w:eastAsia="es-MX"/>
        </w:rPr>
        <w:t xml:space="preserve"> “inclu</w:t>
      </w:r>
      <w:r w:rsidR="0095309B" w:rsidRPr="00511CD3">
        <w:rPr>
          <w:lang w:eastAsia="es-MX"/>
        </w:rPr>
        <w:t xml:space="preserve">des gender-based violence, </w:t>
      </w:r>
      <w:r w:rsidR="00F44C1F" w:rsidRPr="00511CD3">
        <w:rPr>
          <w:lang w:eastAsia="es-MX"/>
        </w:rPr>
        <w:t>that</w:t>
      </w:r>
      <w:r w:rsidR="0095309B" w:rsidRPr="00511CD3">
        <w:rPr>
          <w:lang w:eastAsia="es-MX"/>
        </w:rPr>
        <w:t xml:space="preserve"> is, violence that is directed </w:t>
      </w:r>
      <w:r w:rsidR="00F44C1F" w:rsidRPr="00511CD3">
        <w:rPr>
          <w:lang w:eastAsia="es-MX"/>
        </w:rPr>
        <w:t>against</w:t>
      </w:r>
      <w:r w:rsidR="0095309B" w:rsidRPr="00511CD3">
        <w:rPr>
          <w:lang w:eastAsia="es-MX"/>
        </w:rPr>
        <w:t xml:space="preserve"> a woman </w:t>
      </w:r>
      <w:r w:rsidR="000319EB" w:rsidRPr="00511CD3">
        <w:rPr>
          <w:lang w:eastAsia="es-MX"/>
        </w:rPr>
        <w:t xml:space="preserve">[i] </w:t>
      </w:r>
      <w:r w:rsidR="0095309B" w:rsidRPr="00511CD3">
        <w:rPr>
          <w:lang w:eastAsia="es-MX"/>
        </w:rPr>
        <w:t xml:space="preserve">because she is a woman or </w:t>
      </w:r>
      <w:r w:rsidR="000319EB" w:rsidRPr="00511CD3">
        <w:rPr>
          <w:lang w:eastAsia="es-MX"/>
        </w:rPr>
        <w:t xml:space="preserve">[ii] </w:t>
      </w:r>
      <w:r w:rsidR="0095309B" w:rsidRPr="00511CD3">
        <w:rPr>
          <w:lang w:eastAsia="es-MX"/>
        </w:rPr>
        <w:t>that affects women disproportionately.</w:t>
      </w:r>
      <w:r w:rsidR="000319EB" w:rsidRPr="00511CD3">
        <w:rPr>
          <w:lang w:eastAsia="es-MX"/>
        </w:rPr>
        <w:t xml:space="preserve">” </w:t>
      </w:r>
      <w:r w:rsidR="0095309B" w:rsidRPr="00511CD3">
        <w:rPr>
          <w:lang w:eastAsia="es-MX"/>
        </w:rPr>
        <w:t>It has also indicated that “g</w:t>
      </w:r>
      <w:r w:rsidR="0095309B" w:rsidRPr="00511CD3">
        <w:t>ender-based violence is a form of discrimination that seriously inhibits women’s ability to enjoy rights and freedoms on a basis of equality with men.</w:t>
      </w:r>
      <w:r w:rsidR="000319EB" w:rsidRPr="00511CD3">
        <w:rPr>
          <w:lang w:eastAsia="es-MX"/>
        </w:rPr>
        <w:t>”</w:t>
      </w:r>
      <w:r w:rsidR="000319EB" w:rsidRPr="00511CD3">
        <w:rPr>
          <w:vertAlign w:val="superscript"/>
          <w:lang w:eastAsia="es-MX"/>
        </w:rPr>
        <w:footnoteReference w:id="121"/>
      </w:r>
      <w:r w:rsidR="00BD7E3D" w:rsidRPr="00511CD3">
        <w:rPr>
          <w:lang w:eastAsia="es-MX"/>
        </w:rPr>
        <w:t xml:space="preserve"> </w:t>
      </w:r>
    </w:p>
    <w:p w14:paraId="384D13B7" w14:textId="77777777" w:rsidR="000319EB" w:rsidRPr="00511CD3" w:rsidRDefault="000319EB" w:rsidP="008429F6">
      <w:pPr>
        <w:pStyle w:val="ListParagraph"/>
        <w:numPr>
          <w:ilvl w:val="0"/>
          <w:numId w:val="0"/>
        </w:numPr>
      </w:pPr>
    </w:p>
    <w:p w14:paraId="7FFA30D6" w14:textId="77777777" w:rsidR="00BE13CC" w:rsidRPr="00511CD3" w:rsidRDefault="0095309B" w:rsidP="00D568AC">
      <w:pPr>
        <w:pStyle w:val="ListParagraph"/>
        <w:ind w:left="0" w:firstLine="0"/>
      </w:pPr>
      <w:r w:rsidRPr="00511CD3">
        <w:t>At the inter-American leve</w:t>
      </w:r>
      <w:r w:rsidR="006D125A" w:rsidRPr="00511CD3">
        <w:t>l</w:t>
      </w:r>
      <w:r w:rsidRPr="00511CD3">
        <w:t xml:space="preserve">, the Convention of </w:t>
      </w:r>
      <w:r w:rsidR="00BE13CC" w:rsidRPr="00511CD3">
        <w:t xml:space="preserve">Belém </w:t>
      </w:r>
      <w:r w:rsidRPr="00511CD3">
        <w:t>d</w:t>
      </w:r>
      <w:r w:rsidR="00BE13CC" w:rsidRPr="00511CD3">
        <w:t>o Pará</w:t>
      </w:r>
      <w:r w:rsidRPr="00511CD3">
        <w:t xml:space="preserve"> establishes the right of women to a life free from violence.  Article</w:t>
      </w:r>
      <w:r w:rsidR="00BE13CC" w:rsidRPr="00511CD3">
        <w:t xml:space="preserve"> 7 </w:t>
      </w:r>
      <w:r w:rsidRPr="00511CD3">
        <w:t>of that Convention indicates that it is a duty of the States to take s</w:t>
      </w:r>
      <w:r w:rsidR="003F1FF1" w:rsidRPr="00511CD3">
        <w:t xml:space="preserve">teps to prevent, punish and eradicate violence against women through the adoption of a </w:t>
      </w:r>
      <w:r w:rsidR="00BD7E3D" w:rsidRPr="00511CD3">
        <w:t>number</w:t>
      </w:r>
      <w:r w:rsidR="003F1FF1" w:rsidRPr="00511CD3">
        <w:t xml:space="preserve"> of measures and public policies that include preventing that violence.  These obligations strengthen and complement the obligations of the States under </w:t>
      </w:r>
      <w:r w:rsidR="003E59A8" w:rsidRPr="00511CD3">
        <w:t>the American Convention</w:t>
      </w:r>
      <w:r w:rsidR="00BE13CC" w:rsidRPr="00511CD3">
        <w:t xml:space="preserve">. </w:t>
      </w:r>
      <w:r w:rsidR="00BD7E3D" w:rsidRPr="00511CD3">
        <w:t xml:space="preserve"> </w:t>
      </w:r>
    </w:p>
    <w:p w14:paraId="3C308E62" w14:textId="77777777" w:rsidR="00BE13CC" w:rsidRPr="00511CD3" w:rsidRDefault="00BE13CC" w:rsidP="008429F6">
      <w:pPr>
        <w:tabs>
          <w:tab w:val="left" w:pos="360"/>
          <w:tab w:val="left" w:pos="1440"/>
        </w:tabs>
        <w:jc w:val="both"/>
        <w:rPr>
          <w:rFonts w:ascii="Cambria" w:eastAsia="Cambria" w:hAnsi="Cambria" w:cs="Cambria"/>
          <w:sz w:val="20"/>
          <w:szCs w:val="20"/>
        </w:rPr>
      </w:pPr>
    </w:p>
    <w:p w14:paraId="2DD31D32" w14:textId="77777777" w:rsidR="00BE13CC" w:rsidRPr="00511CD3" w:rsidRDefault="003F1FF1" w:rsidP="00D568AC">
      <w:pPr>
        <w:pStyle w:val="ListParagraph"/>
        <w:ind w:left="0" w:firstLine="0"/>
      </w:pPr>
      <w:r w:rsidRPr="00511CD3">
        <w:t xml:space="preserve">The </w:t>
      </w:r>
      <w:r w:rsidR="00F44C1F" w:rsidRPr="00511CD3">
        <w:t>Convention</w:t>
      </w:r>
      <w:r w:rsidRPr="00511CD3">
        <w:t xml:space="preserve"> </w:t>
      </w:r>
      <w:r w:rsidR="006D125A" w:rsidRPr="00511CD3">
        <w:t>o</w:t>
      </w:r>
      <w:r w:rsidRPr="00511CD3">
        <w:t xml:space="preserve">f Belém do Pará establishes parameters for the identification of when an act constitutes violence and, in it Article 1, establishes that </w:t>
      </w:r>
      <w:r w:rsidR="00BE13CC" w:rsidRPr="00511CD3">
        <w:t>“</w:t>
      </w:r>
      <w:r w:rsidRPr="00511CD3">
        <w:t>violence against women shall be understood as any act or conduct, based on gender, which causes death or physical, sexual or psychological harm or suffering to women, whether in the public or the private sphere.</w:t>
      </w:r>
      <w:r w:rsidR="00BE13CC" w:rsidRPr="00511CD3">
        <w:t>”</w:t>
      </w:r>
      <w:r w:rsidRPr="00511CD3">
        <w:t xml:space="preserve">  Derived from the aforesaid obligation is an obligation of the States to</w:t>
      </w:r>
      <w:r w:rsidR="00BE13CC" w:rsidRPr="00511CD3">
        <w:t xml:space="preserve"> “</w:t>
      </w:r>
      <w:r w:rsidRPr="00511CD3">
        <w:t>refrain from engaging in any act or practice of violence against women and to ensure that their authorities, officials, personnel, agents, and institutions act in conformity with this obligation.</w:t>
      </w:r>
      <w:r w:rsidR="00BE13CC" w:rsidRPr="00511CD3">
        <w:t>”</w:t>
      </w:r>
      <w:r w:rsidR="00BE13CC" w:rsidRPr="00511CD3">
        <w:rPr>
          <w:vertAlign w:val="superscript"/>
        </w:rPr>
        <w:footnoteReference w:id="122"/>
      </w:r>
      <w:r w:rsidRPr="00511CD3">
        <w:t xml:space="preserve">  </w:t>
      </w:r>
      <w:r w:rsidR="00BD7E3D" w:rsidRPr="00511CD3">
        <w:t xml:space="preserve">To ensure </w:t>
      </w:r>
      <w:r w:rsidRPr="00511CD3">
        <w:t>this protection, it is not sufficient for States to refrain from violating rights; rather, it is imperative that they adopt positive measures, determined in function of the specific needs for protection of the subjects of law.</w:t>
      </w:r>
      <w:r w:rsidR="00BE13CC" w:rsidRPr="00511CD3">
        <w:rPr>
          <w:vertAlign w:val="superscript"/>
        </w:rPr>
        <w:footnoteReference w:id="123"/>
      </w:r>
    </w:p>
    <w:p w14:paraId="1713C79B" w14:textId="77777777" w:rsidR="002C27C5" w:rsidRPr="00511CD3" w:rsidRDefault="002C27C5" w:rsidP="008429F6">
      <w:pPr>
        <w:tabs>
          <w:tab w:val="left" w:pos="360"/>
          <w:tab w:val="left" w:pos="1440"/>
        </w:tabs>
        <w:jc w:val="both"/>
        <w:rPr>
          <w:rFonts w:ascii="Cambria" w:eastAsia="Cambria" w:hAnsi="Cambria" w:cs="Cambria"/>
          <w:sz w:val="20"/>
          <w:szCs w:val="20"/>
        </w:rPr>
      </w:pPr>
    </w:p>
    <w:p w14:paraId="6CDD40E0" w14:textId="77777777" w:rsidR="000F4E40" w:rsidRPr="00511CD3" w:rsidRDefault="00B10F4D" w:rsidP="00D568AC">
      <w:pPr>
        <w:pStyle w:val="ListParagraph"/>
        <w:ind w:left="0" w:firstLine="0"/>
      </w:pPr>
      <w:r w:rsidRPr="00511CD3">
        <w:t>The Commission</w:t>
      </w:r>
      <w:r w:rsidR="00AA7E1A" w:rsidRPr="00511CD3">
        <w:t xml:space="preserve"> </w:t>
      </w:r>
      <w:r w:rsidR="00AD6D07" w:rsidRPr="00511CD3">
        <w:t xml:space="preserve">has also </w:t>
      </w:r>
      <w:r w:rsidR="00BD7E3D" w:rsidRPr="00511CD3">
        <w:t>asserted</w:t>
      </w:r>
      <w:r w:rsidR="00AD6D07" w:rsidRPr="00511CD3">
        <w:t xml:space="preserve"> that women</w:t>
      </w:r>
      <w:r w:rsidR="00AA7E1A" w:rsidRPr="00511CD3">
        <w:t xml:space="preserve"> </w:t>
      </w:r>
      <w:r w:rsidR="00AD6D07" w:rsidRPr="00511CD3">
        <w:t>continue to face serious challenges when it comes to having their fundamental rights fully respected and protected</w:t>
      </w:r>
      <w:r w:rsidR="00AA7E1A" w:rsidRPr="00511CD3">
        <w:t xml:space="preserve">, </w:t>
      </w:r>
      <w:r w:rsidR="00AD6D07" w:rsidRPr="00511CD3">
        <w:t xml:space="preserve">in a context of violence and structural, endemic discrimination against them.  Specifically, it has pointed out that high rates </w:t>
      </w:r>
      <w:r w:rsidR="00F44C1F" w:rsidRPr="00511CD3">
        <w:t>reports</w:t>
      </w:r>
      <w:r w:rsidR="00AD6D07" w:rsidRPr="00511CD3">
        <w:t xml:space="preserve"> of gender-based killings, disappearances, harassment and sexual violence, among other forms of violence, and the persistence of serious obstacles, still keep women from gaining timely access, without discrimination, to justice.  The IACHR also notes that the overlapping of various layers of discrimination </w:t>
      </w:r>
      <w:r w:rsidR="00AA7E1A" w:rsidRPr="00511CD3">
        <w:t>- intersec</w:t>
      </w:r>
      <w:r w:rsidR="00AD6D07" w:rsidRPr="00511CD3">
        <w:t>tionality</w:t>
      </w:r>
      <w:r w:rsidR="00AA7E1A" w:rsidRPr="00511CD3">
        <w:t xml:space="preserve"> </w:t>
      </w:r>
      <w:r w:rsidR="00AD6D07" w:rsidRPr="00511CD3">
        <w:t>–</w:t>
      </w:r>
      <w:r w:rsidR="00AA7E1A" w:rsidRPr="00511CD3">
        <w:t xml:space="preserve"> </w:t>
      </w:r>
      <w:r w:rsidR="00AD6D07" w:rsidRPr="00511CD3">
        <w:t>leads to a form of deepened discrimination which manifests itself in substantively different experiences from one women to another.</w:t>
      </w:r>
      <w:r w:rsidR="00AA7E1A" w:rsidRPr="00511CD3">
        <w:rPr>
          <w:rStyle w:val="FootnoteReference"/>
        </w:rPr>
        <w:footnoteReference w:id="124"/>
      </w:r>
      <w:r w:rsidR="00F14DC8" w:rsidRPr="00511CD3">
        <w:t xml:space="preserve"> </w:t>
      </w:r>
    </w:p>
    <w:p w14:paraId="7F0EBAB8" w14:textId="77777777" w:rsidR="000F4E40" w:rsidRPr="00511CD3" w:rsidRDefault="000F4E40" w:rsidP="008429F6">
      <w:pPr>
        <w:pStyle w:val="ListParagraph"/>
        <w:numPr>
          <w:ilvl w:val="0"/>
          <w:numId w:val="0"/>
        </w:numPr>
      </w:pPr>
    </w:p>
    <w:p w14:paraId="731E3407" w14:textId="77777777" w:rsidR="0055478B" w:rsidRDefault="00AD6D07" w:rsidP="00D568AC">
      <w:pPr>
        <w:pStyle w:val="ListParagraph"/>
        <w:ind w:left="0" w:firstLine="0"/>
      </w:pPr>
      <w:r w:rsidRPr="00511CD3">
        <w:t xml:space="preserve">In the specific case of the situation of girls </w:t>
      </w:r>
      <w:r w:rsidR="007D4B80" w:rsidRPr="00511CD3">
        <w:t xml:space="preserve">and </w:t>
      </w:r>
      <w:r w:rsidRPr="00511CD3">
        <w:t>adolescents</w:t>
      </w:r>
      <w:r w:rsidR="00AA7E1A" w:rsidRPr="00511CD3">
        <w:t xml:space="preserve">, </w:t>
      </w:r>
      <w:r w:rsidR="00B10F4D" w:rsidRPr="00511CD3">
        <w:t>the Commission</w:t>
      </w:r>
      <w:r w:rsidR="00AA7E1A" w:rsidRPr="00511CD3">
        <w:t xml:space="preserve"> ha</w:t>
      </w:r>
      <w:r w:rsidRPr="00511CD3">
        <w:t>s indicate</w:t>
      </w:r>
      <w:r w:rsidR="003318E0" w:rsidRPr="00511CD3">
        <w:t>d that they are women in a special situation of vulnerability because of their age and their stage of life</w:t>
      </w:r>
      <w:r w:rsidR="00AA7E1A" w:rsidRPr="00511CD3">
        <w:t>.</w:t>
      </w:r>
      <w:r w:rsidR="000F4E40" w:rsidRPr="00511CD3">
        <w:t xml:space="preserve"> </w:t>
      </w:r>
      <w:r w:rsidR="003318E0" w:rsidRPr="00511CD3">
        <w:t xml:space="preserve">In </w:t>
      </w:r>
      <w:r w:rsidR="007D4B80" w:rsidRPr="00511CD3">
        <w:t>t</w:t>
      </w:r>
      <w:r w:rsidR="003318E0" w:rsidRPr="00511CD3">
        <w:t>erms of legal protection, adolescents are entitled to the same rights and protection recognized for all per</w:t>
      </w:r>
      <w:r w:rsidR="007D4B80" w:rsidRPr="00511CD3">
        <w:t>s</w:t>
      </w:r>
      <w:r w:rsidR="003318E0" w:rsidRPr="00511CD3">
        <w:t>ons under 18 years of age</w:t>
      </w:r>
      <w:r w:rsidR="000F4E40" w:rsidRPr="00511CD3">
        <w:t xml:space="preserve">. </w:t>
      </w:r>
      <w:r w:rsidR="003318E0" w:rsidRPr="00511CD3">
        <w:t>This age group warrants special protection in order to identify its potential needs of protection</w:t>
      </w:r>
      <w:r w:rsidR="000F4E40" w:rsidRPr="00511CD3">
        <w:t xml:space="preserve">; </w:t>
      </w:r>
      <w:r w:rsidR="003318E0" w:rsidRPr="00511CD3">
        <w:t>the specific risk factors faced at this stage in life, in addition to adequately taking into account the principle of progressive autonomy of adolescents in exercising their rights.</w:t>
      </w:r>
      <w:r w:rsidR="000F4E40" w:rsidRPr="00511CD3">
        <w:rPr>
          <w:rStyle w:val="FootnoteReference"/>
        </w:rPr>
        <w:footnoteReference w:id="125"/>
      </w:r>
      <w:r w:rsidR="00F14DC8" w:rsidRPr="00511CD3">
        <w:t xml:space="preserve">  </w:t>
      </w:r>
    </w:p>
    <w:p w14:paraId="68BEF53D" w14:textId="77777777" w:rsidR="00065E74" w:rsidRPr="00511CD3" w:rsidRDefault="00065E74" w:rsidP="00065E74">
      <w:pPr>
        <w:pStyle w:val="ListParagraph"/>
        <w:numPr>
          <w:ilvl w:val="0"/>
          <w:numId w:val="0"/>
        </w:numPr>
        <w:ind w:left="502"/>
      </w:pPr>
    </w:p>
    <w:p w14:paraId="00D31961" w14:textId="77777777" w:rsidR="007D4B80" w:rsidRDefault="00B91C60" w:rsidP="00D568AC">
      <w:pPr>
        <w:pStyle w:val="ListParagraph"/>
        <w:ind w:left="0" w:firstLine="0"/>
      </w:pPr>
      <w:r w:rsidRPr="00511CD3">
        <w:t>Regarding the scope of this duty of special protection of girls</w:t>
      </w:r>
      <w:r w:rsidR="007D4B80" w:rsidRPr="00511CD3">
        <w:t xml:space="preserve"> [this term including female adolescents]</w:t>
      </w:r>
      <w:r w:rsidR="0055478B" w:rsidRPr="00511CD3">
        <w:t xml:space="preserve">, </w:t>
      </w:r>
      <w:r w:rsidR="00B10F4D" w:rsidRPr="00511CD3">
        <w:t>the Commission</w:t>
      </w:r>
      <w:r w:rsidR="0055478B" w:rsidRPr="00511CD3">
        <w:t xml:space="preserve"> </w:t>
      </w:r>
      <w:r w:rsidRPr="00511CD3">
        <w:t>note</w:t>
      </w:r>
      <w:r w:rsidR="007D4B80" w:rsidRPr="00511CD3">
        <w:t>s</w:t>
      </w:r>
      <w:r w:rsidRPr="00511CD3">
        <w:t xml:space="preserve"> that it must be taken into consideration that the condition of dependence of this group evolves over times in accordance with their growth, maturity level and increasing personal autonomy.  This results in a corresponding change in the content of the duties and responsibilities of the family</w:t>
      </w:r>
      <w:r w:rsidR="0055478B" w:rsidRPr="00511CD3">
        <w:t xml:space="preserve">, </w:t>
      </w:r>
      <w:r w:rsidRPr="00511CD3">
        <w:t>community, and State toward children.  Consequently, those duties and responsibilities must be consistent with the children’s level of development and their gradually evolving ability to take decisions independently about themselves and the exercise of their rights</w:t>
      </w:r>
      <w:r w:rsidR="00BE13CC" w:rsidRPr="00511CD3">
        <w:t>.</w:t>
      </w:r>
      <w:r w:rsidR="006D125A" w:rsidRPr="00511CD3">
        <w:t xml:space="preserve"> </w:t>
      </w:r>
    </w:p>
    <w:p w14:paraId="3D814726" w14:textId="77777777" w:rsidR="00DE4F53" w:rsidRDefault="00DE4F53" w:rsidP="00DE4F53">
      <w:pPr>
        <w:pStyle w:val="ListParagraph"/>
        <w:numPr>
          <w:ilvl w:val="0"/>
          <w:numId w:val="0"/>
        </w:numPr>
        <w:ind w:left="502"/>
      </w:pPr>
    </w:p>
    <w:p w14:paraId="23935D64" w14:textId="77777777" w:rsidR="00446251" w:rsidRDefault="00BE6880" w:rsidP="00D568AC">
      <w:pPr>
        <w:pStyle w:val="ListParagraph"/>
        <w:ind w:left="0" w:firstLine="0"/>
      </w:pPr>
      <w:r w:rsidRPr="00511CD3">
        <w:t xml:space="preserve">Additionally, the IA Court HR has understood that pregnancy may constitute a condition of special vulnerability and that the confluence and intersection of factors of discrimination, such as because they are women, because they </w:t>
      </w:r>
      <w:r w:rsidR="00F675BA" w:rsidRPr="00511CD3">
        <w:t>a</w:t>
      </w:r>
      <w:r w:rsidRPr="00511CD3">
        <w:t>re girls, and because they are pregnant increases the comparative disadvantages of women and girls in the exercise of their rights and, i</w:t>
      </w:r>
      <w:r w:rsidR="005666C9" w:rsidRPr="00511CD3">
        <w:t xml:space="preserve">n particular, </w:t>
      </w:r>
      <w:r w:rsidR="00F675BA" w:rsidRPr="00511CD3">
        <w:t>in accessing justice.</w:t>
      </w:r>
      <w:r w:rsidR="005666C9" w:rsidRPr="00511CD3">
        <w:rPr>
          <w:rStyle w:val="FootnoteReference"/>
        </w:rPr>
        <w:footnoteReference w:id="126"/>
      </w:r>
      <w:r w:rsidR="00E83923" w:rsidRPr="00511CD3">
        <w:t xml:space="preserve">  </w:t>
      </w:r>
    </w:p>
    <w:p w14:paraId="67728970" w14:textId="77777777" w:rsidR="00DE4F53" w:rsidRPr="00511CD3" w:rsidRDefault="00DE4F53" w:rsidP="008429F6">
      <w:pPr>
        <w:pStyle w:val="ListParagraph"/>
        <w:numPr>
          <w:ilvl w:val="0"/>
          <w:numId w:val="0"/>
        </w:numPr>
      </w:pPr>
    </w:p>
    <w:p w14:paraId="300F6BCC" w14:textId="77777777" w:rsidR="000F0772" w:rsidRPr="00511CD3" w:rsidRDefault="00C87F11" w:rsidP="00D568AC">
      <w:pPr>
        <w:pStyle w:val="ListParagraph"/>
        <w:ind w:left="0" w:firstLine="0"/>
      </w:pPr>
      <w:r w:rsidRPr="00511CD3">
        <w:t xml:space="preserve">Specifically regarding </w:t>
      </w:r>
      <w:r w:rsidR="00CF0721" w:rsidRPr="00511CD3">
        <w:t xml:space="preserve">girls who have </w:t>
      </w:r>
      <w:r w:rsidR="00446251" w:rsidRPr="00511CD3">
        <w:t>“</w:t>
      </w:r>
      <w:r w:rsidRPr="00511CD3">
        <w:t>early pregnancies and pregnancies resulting from sexual violence,</w:t>
      </w:r>
      <w:r w:rsidR="00446251" w:rsidRPr="00511CD3">
        <w:t>”</w:t>
      </w:r>
      <w:r w:rsidRPr="00511CD3">
        <w:t xml:space="preserve"> </w:t>
      </w:r>
      <w:r w:rsidR="00B10F4D" w:rsidRPr="00511CD3">
        <w:t>the Commission</w:t>
      </w:r>
      <w:r w:rsidR="00446251" w:rsidRPr="00511CD3">
        <w:t xml:space="preserve"> ha</w:t>
      </w:r>
      <w:r w:rsidRPr="00511CD3">
        <w:t>s received information on situations of discrimination</w:t>
      </w:r>
      <w:r w:rsidR="00CF0721" w:rsidRPr="00511CD3">
        <w:t xml:space="preserve"> and </w:t>
      </w:r>
      <w:r w:rsidR="00446251" w:rsidRPr="00511CD3">
        <w:t xml:space="preserve">stigma </w:t>
      </w:r>
      <w:r w:rsidRPr="00511CD3">
        <w:t>in the region against pregnant girls and adolescents by their communities and even their families</w:t>
      </w:r>
      <w:r w:rsidR="00446251" w:rsidRPr="00511CD3">
        <w:t xml:space="preserve">. </w:t>
      </w:r>
      <w:r w:rsidRPr="00511CD3">
        <w:t xml:space="preserve">The </w:t>
      </w:r>
      <w:r w:rsidR="00B10F4D" w:rsidRPr="00511CD3">
        <w:t>IACHR</w:t>
      </w:r>
      <w:r w:rsidR="00446251" w:rsidRPr="00511CD3">
        <w:t xml:space="preserve"> </w:t>
      </w:r>
      <w:r w:rsidRPr="00511CD3">
        <w:t>has noted that such girls and adolescents suffer different forms of violence as a result of unwanted pregnancies or simply because of being pregnant.</w:t>
      </w:r>
      <w:r w:rsidR="00446251" w:rsidRPr="00511CD3">
        <w:rPr>
          <w:vertAlign w:val="superscript"/>
        </w:rPr>
        <w:footnoteReference w:id="127"/>
      </w:r>
      <w:r w:rsidRPr="00511CD3">
        <w:t xml:space="preserve">   In that regard, the</w:t>
      </w:r>
      <w:r w:rsidR="00833B7E" w:rsidRPr="00511CD3">
        <w:t xml:space="preserve"> </w:t>
      </w:r>
      <w:r w:rsidR="00B10F4D" w:rsidRPr="00511CD3">
        <w:t>IACHR</w:t>
      </w:r>
      <w:r w:rsidR="00833B7E" w:rsidRPr="00511CD3">
        <w:t xml:space="preserve"> ha</w:t>
      </w:r>
      <w:r w:rsidRPr="00511CD3">
        <w:t xml:space="preserve">s called on States to take steps to reduce </w:t>
      </w:r>
      <w:r w:rsidR="00833B7E" w:rsidRPr="00511CD3">
        <w:t xml:space="preserve"> </w:t>
      </w:r>
      <w:r w:rsidRPr="00511CD3">
        <w:t xml:space="preserve">the high rates of such pregnancies, including educational measures, particularly sex and reproductive education, </w:t>
      </w:r>
      <w:r w:rsidR="001D49AC" w:rsidRPr="00511CD3">
        <w:t xml:space="preserve">and </w:t>
      </w:r>
      <w:r w:rsidR="00833B7E" w:rsidRPr="00511CD3">
        <w:t>“[</w:t>
      </w:r>
      <w:r w:rsidR="001D49AC" w:rsidRPr="00511CD3">
        <w:t>i</w:t>
      </w:r>
      <w:r w:rsidR="00833B7E" w:rsidRPr="00511CD3">
        <w:t xml:space="preserve">]n </w:t>
      </w:r>
      <w:r w:rsidR="001D49AC" w:rsidRPr="00511CD3">
        <w:t>cases where sexual violence has resulted in a forced pregnancy in girls and adolescents, the</w:t>
      </w:r>
      <w:r w:rsidR="00833B7E" w:rsidRPr="00511CD3">
        <w:t xml:space="preserve"> </w:t>
      </w:r>
      <w:r w:rsidR="00B10F4D" w:rsidRPr="00511CD3">
        <w:t>IACHR</w:t>
      </w:r>
      <w:r w:rsidR="00833B7E" w:rsidRPr="00511CD3">
        <w:t xml:space="preserve"> [ha</w:t>
      </w:r>
      <w:r w:rsidR="001D49AC" w:rsidRPr="00511CD3">
        <w:t>s</w:t>
      </w:r>
      <w:r w:rsidR="00833B7E" w:rsidRPr="00511CD3">
        <w:t xml:space="preserve">] </w:t>
      </w:r>
      <w:r w:rsidR="001D49AC" w:rsidRPr="00511CD3">
        <w:t>emphasize</w:t>
      </w:r>
      <w:r w:rsidR="00833B7E" w:rsidRPr="00511CD3">
        <w:t xml:space="preserve">[d] </w:t>
      </w:r>
      <w:r w:rsidR="001D49AC" w:rsidRPr="00511CD3">
        <w:t xml:space="preserve">the importance of adopting appropriate protocols to guarantee legal, timely and free access to emergency contraceptive measures and truthful, sufficient and impartial information to access the legal termination of pregnancy, especially when </w:t>
      </w:r>
      <w:r w:rsidR="00CF0721" w:rsidRPr="00511CD3">
        <w:t>it</w:t>
      </w:r>
      <w:r w:rsidR="001D49AC" w:rsidRPr="00511CD3">
        <w:t xml:space="preserve"> comes to young girls.</w:t>
      </w:r>
      <w:r w:rsidR="00833B7E" w:rsidRPr="00511CD3">
        <w:t>”</w:t>
      </w:r>
      <w:r w:rsidR="00833B7E" w:rsidRPr="00511CD3">
        <w:rPr>
          <w:rStyle w:val="FootnoteReference"/>
        </w:rPr>
        <w:footnoteReference w:id="128"/>
      </w:r>
      <w:r w:rsidR="001D49AC" w:rsidRPr="00511CD3">
        <w:t xml:space="preserve">  Moreover</w:t>
      </w:r>
      <w:r w:rsidR="00833B7E" w:rsidRPr="00511CD3">
        <w:t xml:space="preserve">, </w:t>
      </w:r>
      <w:r w:rsidR="001D49AC" w:rsidRPr="00511CD3">
        <w:t>in the case of pregnant girls and adolescents, the</w:t>
      </w:r>
      <w:r w:rsidR="00833B7E" w:rsidRPr="00511CD3">
        <w:t xml:space="preserve"> </w:t>
      </w:r>
      <w:r w:rsidR="00B10F4D" w:rsidRPr="00511CD3">
        <w:t>IACHR</w:t>
      </w:r>
      <w:r w:rsidR="00833B7E" w:rsidRPr="00511CD3">
        <w:t xml:space="preserve"> ha</w:t>
      </w:r>
      <w:r w:rsidR="001D49AC" w:rsidRPr="00511CD3">
        <w:t xml:space="preserve">s </w:t>
      </w:r>
      <w:r w:rsidR="00CF0721" w:rsidRPr="00511CD3">
        <w:t>emphasized</w:t>
      </w:r>
      <w:r w:rsidR="001D49AC" w:rsidRPr="00511CD3">
        <w:t xml:space="preserve"> the importance, when adopting special protection measure</w:t>
      </w:r>
      <w:r w:rsidR="001D2118" w:rsidRPr="00511CD3">
        <w:t>s</w:t>
      </w:r>
      <w:r w:rsidR="001D49AC" w:rsidRPr="00511CD3">
        <w:t xml:space="preserve"> for a pregnant girl or adolescent, of</w:t>
      </w:r>
      <w:r w:rsidR="000F0772" w:rsidRPr="00511CD3">
        <w:t xml:space="preserve"> </w:t>
      </w:r>
      <w:r w:rsidR="001D49AC" w:rsidRPr="00511CD3">
        <w:t xml:space="preserve">States </w:t>
      </w:r>
      <w:r w:rsidR="00CA23FE" w:rsidRPr="00511CD3">
        <w:t>acting</w:t>
      </w:r>
      <w:r w:rsidR="001D49AC" w:rsidRPr="00511CD3">
        <w:t xml:space="preserve"> </w:t>
      </w:r>
      <w:r w:rsidR="00CA23FE" w:rsidRPr="00511CD3">
        <w:t>“</w:t>
      </w:r>
      <w:r w:rsidR="001D49AC" w:rsidRPr="00511CD3">
        <w:t>at the very least, under the presumption that any pregnancy in a girl under the legal age of consent is the result of sexual assault.</w:t>
      </w:r>
      <w:r w:rsidR="000F0772" w:rsidRPr="00511CD3">
        <w:t>”</w:t>
      </w:r>
      <w:r w:rsidR="000F0772" w:rsidRPr="00511CD3">
        <w:rPr>
          <w:rStyle w:val="FootnoteReference"/>
        </w:rPr>
        <w:t xml:space="preserve"> </w:t>
      </w:r>
      <w:r w:rsidR="000F0772" w:rsidRPr="00511CD3">
        <w:rPr>
          <w:rStyle w:val="FootnoteReference"/>
        </w:rPr>
        <w:footnoteReference w:id="129"/>
      </w:r>
      <w:r w:rsidR="001D49AC" w:rsidRPr="00511CD3">
        <w:rPr>
          <w:rStyle w:val="FootnoteReference"/>
        </w:rPr>
        <w:t xml:space="preserve"> </w:t>
      </w:r>
      <w:r w:rsidR="001D49AC" w:rsidRPr="00511CD3">
        <w:t xml:space="preserve"> This implies the need for a comprehensive </w:t>
      </w:r>
      <w:r w:rsidR="001D49AC" w:rsidRPr="00511CD3">
        <w:lastRenderedPageBreak/>
        <w:t>approach that, in addition to the justice and physical and mental health processes</w:t>
      </w:r>
      <w:r w:rsidR="000F0772" w:rsidRPr="00511CD3">
        <w:t xml:space="preserve">, </w:t>
      </w:r>
      <w:r w:rsidR="001D49AC" w:rsidRPr="00511CD3">
        <w:t>reduces obstacles that may entail discrimination in the exercise of other rights, such as education.</w:t>
      </w:r>
      <w:r w:rsidR="000F0772" w:rsidRPr="00511CD3">
        <w:rPr>
          <w:rStyle w:val="FootnoteReference"/>
        </w:rPr>
        <w:footnoteReference w:id="130"/>
      </w:r>
      <w:r w:rsidR="001D2118" w:rsidRPr="00511CD3">
        <w:t xml:space="preserve"> </w:t>
      </w:r>
    </w:p>
    <w:p w14:paraId="5AA75058" w14:textId="77777777" w:rsidR="00AA7E1A" w:rsidRPr="00511CD3" w:rsidRDefault="00AA7E1A" w:rsidP="008429F6">
      <w:pPr>
        <w:pStyle w:val="ListParagraph"/>
        <w:numPr>
          <w:ilvl w:val="0"/>
          <w:numId w:val="0"/>
        </w:numPr>
      </w:pPr>
    </w:p>
    <w:p w14:paraId="5FC214A3" w14:textId="77777777" w:rsidR="00B82C9F" w:rsidRPr="00511CD3" w:rsidRDefault="00C33F7D" w:rsidP="008429F6">
      <w:pPr>
        <w:pStyle w:val="ListParagraph"/>
        <w:numPr>
          <w:ilvl w:val="0"/>
          <w:numId w:val="0"/>
        </w:numPr>
        <w:rPr>
          <w:b/>
        </w:rPr>
      </w:pPr>
      <w:r w:rsidRPr="00511CD3">
        <w:tab/>
      </w:r>
      <w:r w:rsidRPr="00511CD3">
        <w:tab/>
      </w:r>
      <w:r w:rsidRPr="00511CD3">
        <w:rPr>
          <w:b/>
        </w:rPr>
        <w:tab/>
        <w:t xml:space="preserve">4.  Analysis of the </w:t>
      </w:r>
      <w:r w:rsidR="00E47792" w:rsidRPr="00511CD3">
        <w:rPr>
          <w:b/>
        </w:rPr>
        <w:t>cas</w:t>
      </w:r>
      <w:r w:rsidRPr="00511CD3">
        <w:rPr>
          <w:b/>
        </w:rPr>
        <w:t>e</w:t>
      </w:r>
      <w:r w:rsidR="00E47792" w:rsidRPr="00511CD3">
        <w:rPr>
          <w:b/>
        </w:rPr>
        <w:t xml:space="preserve"> </w:t>
      </w:r>
    </w:p>
    <w:p w14:paraId="339E94CC" w14:textId="77777777" w:rsidR="00365747" w:rsidRPr="00511CD3" w:rsidRDefault="00365747" w:rsidP="008429F6">
      <w:pPr>
        <w:pStyle w:val="ListParagraph"/>
        <w:numPr>
          <w:ilvl w:val="0"/>
          <w:numId w:val="0"/>
        </w:numPr>
      </w:pPr>
    </w:p>
    <w:p w14:paraId="65BF18F2" w14:textId="77777777" w:rsidR="00FA715A" w:rsidRPr="00511CD3" w:rsidRDefault="00B10F4D" w:rsidP="00D568AC">
      <w:pPr>
        <w:pStyle w:val="ListParagraph"/>
        <w:ind w:left="0" w:firstLine="0"/>
        <w:rPr>
          <w:iCs/>
        </w:rPr>
      </w:pPr>
      <w:r w:rsidRPr="00511CD3">
        <w:t>The Commission</w:t>
      </w:r>
      <w:r w:rsidR="00365747" w:rsidRPr="00511CD3">
        <w:t xml:space="preserve"> </w:t>
      </w:r>
      <w:r w:rsidR="00071E0A" w:rsidRPr="00511CD3">
        <w:t xml:space="preserve">emphasizes that, as indicated </w:t>
      </w:r>
      <w:r w:rsidR="00502886" w:rsidRPr="00511CD3">
        <w:rPr>
          <w:i/>
          <w:iCs/>
        </w:rPr>
        <w:t>supra</w:t>
      </w:r>
      <w:r w:rsidR="00365747" w:rsidRPr="00511CD3">
        <w:t xml:space="preserve">, </w:t>
      </w:r>
      <w:r w:rsidR="00071E0A" w:rsidRPr="00511CD3">
        <w:t>the right</w:t>
      </w:r>
      <w:r w:rsidR="007F6759" w:rsidRPr="00511CD3">
        <w:t>s</w:t>
      </w:r>
      <w:r w:rsidR="00071E0A" w:rsidRPr="00511CD3">
        <w:t xml:space="preserve"> to protection of the family, family life, personal integrity, and to identity give rise to a number of state obligations that translate as the right of children to remain </w:t>
      </w:r>
      <w:r w:rsidR="008E32BB" w:rsidRPr="00511CD3">
        <w:t>with their biological parents.  Where the State interferes with this relationship</w:t>
      </w:r>
      <w:r w:rsidR="00502886" w:rsidRPr="00511CD3">
        <w:t xml:space="preserve">, </w:t>
      </w:r>
      <w:r w:rsidR="008E32BB" w:rsidRPr="00511CD3">
        <w:t>it would have to provide compelling reasons relating to best interest for separating a child from his or her biological family, such measures being of a temporary and exceptional nature</w:t>
      </w:r>
      <w:r w:rsidR="00365747" w:rsidRPr="00511CD3">
        <w:t xml:space="preserve">. </w:t>
      </w:r>
    </w:p>
    <w:p w14:paraId="6F2CD6A6" w14:textId="77777777" w:rsidR="00FA715A" w:rsidRPr="00511CD3" w:rsidRDefault="00FA715A" w:rsidP="008429F6">
      <w:pPr>
        <w:pStyle w:val="ListParagraph"/>
        <w:numPr>
          <w:ilvl w:val="0"/>
          <w:numId w:val="0"/>
        </w:numPr>
      </w:pPr>
    </w:p>
    <w:p w14:paraId="26339D3C" w14:textId="77777777" w:rsidR="00FA715A" w:rsidRPr="00511CD3" w:rsidRDefault="008E32BB" w:rsidP="00D568AC">
      <w:pPr>
        <w:pStyle w:val="ListParagraph"/>
        <w:ind w:left="0" w:firstLine="0"/>
        <w:rPr>
          <w:iCs/>
        </w:rPr>
      </w:pPr>
      <w:r w:rsidRPr="00511CD3">
        <w:t>The aforesaid obligation implies first that the State must take steps to ensure that the child remains not only with his</w:t>
      </w:r>
      <w:r w:rsidR="007F6759" w:rsidRPr="00511CD3">
        <w:t>/her</w:t>
      </w:r>
      <w:r w:rsidRPr="00511CD3">
        <w:t xml:space="preserve"> biological parents, but also his</w:t>
      </w:r>
      <w:r w:rsidR="007F6759" w:rsidRPr="00511CD3">
        <w:t>/her</w:t>
      </w:r>
      <w:r w:rsidRPr="00511CD3">
        <w:t xml:space="preserve"> extended biological family</w:t>
      </w:r>
      <w:r w:rsidR="00365747" w:rsidRPr="00511CD3">
        <w:t>.</w:t>
      </w:r>
      <w:r w:rsidR="00502886" w:rsidRPr="00511CD3">
        <w:t xml:space="preserve"> </w:t>
      </w:r>
      <w:r w:rsidRPr="00511CD3">
        <w:t xml:space="preserve">Even in cases of participation in </w:t>
      </w:r>
      <w:r w:rsidR="007F6759" w:rsidRPr="00511CD3">
        <w:t xml:space="preserve">proceedings where expressions of consent to </w:t>
      </w:r>
      <w:r w:rsidRPr="00511CD3">
        <w:t xml:space="preserve">adoption </w:t>
      </w:r>
      <w:r w:rsidR="007F6759" w:rsidRPr="00511CD3">
        <w:t>have been given</w:t>
      </w:r>
      <w:r w:rsidRPr="00511CD3">
        <w:t xml:space="preserve">, protection of the family and the child’s best </w:t>
      </w:r>
      <w:r w:rsidR="00CF0721" w:rsidRPr="00511CD3">
        <w:t>interest</w:t>
      </w:r>
      <w:r w:rsidRPr="00511CD3">
        <w:t xml:space="preserve"> require the State to exhaust all possibilities of keeping the child with his or her biological family and, where consent </w:t>
      </w:r>
      <w:r w:rsidR="007F6759" w:rsidRPr="00511CD3">
        <w:t xml:space="preserve">to </w:t>
      </w:r>
      <w:r w:rsidRPr="00511CD3">
        <w:t>the adoption</w:t>
      </w:r>
      <w:r w:rsidR="007F6759" w:rsidRPr="00511CD3">
        <w:t xml:space="preserve"> has been given</w:t>
      </w:r>
      <w:r w:rsidRPr="00511CD3">
        <w:t>, to ensure that that decision is taken freely and in the child’s best interest</w:t>
      </w:r>
      <w:r w:rsidR="00502886" w:rsidRPr="00511CD3">
        <w:t xml:space="preserve">. </w:t>
      </w:r>
      <w:r w:rsidR="00FA715A" w:rsidRPr="00511CD3">
        <w:t xml:space="preserve"> </w:t>
      </w:r>
    </w:p>
    <w:p w14:paraId="2523D540" w14:textId="77777777" w:rsidR="00FA715A" w:rsidRPr="00511CD3" w:rsidRDefault="00FA715A" w:rsidP="008429F6">
      <w:pPr>
        <w:pStyle w:val="ListParagraph"/>
        <w:numPr>
          <w:ilvl w:val="0"/>
          <w:numId w:val="0"/>
        </w:numPr>
      </w:pPr>
    </w:p>
    <w:p w14:paraId="6AB8B28B" w14:textId="77777777" w:rsidR="00FA715A" w:rsidRPr="00511CD3" w:rsidRDefault="00B10F4D" w:rsidP="00D568AC">
      <w:pPr>
        <w:pStyle w:val="ListParagraph"/>
        <w:ind w:left="0" w:firstLine="0"/>
        <w:rPr>
          <w:iCs/>
        </w:rPr>
      </w:pPr>
      <w:r w:rsidRPr="00511CD3">
        <w:t>The Commission</w:t>
      </w:r>
      <w:r w:rsidR="00FA715A" w:rsidRPr="00511CD3">
        <w:t xml:space="preserve"> </w:t>
      </w:r>
      <w:r w:rsidR="008E32BB" w:rsidRPr="00511CD3">
        <w:t xml:space="preserve">notes that, in general terms, these obligations are reflected in Article </w:t>
      </w:r>
      <w:r w:rsidR="007D57D1" w:rsidRPr="00511CD3">
        <w:t>595</w:t>
      </w:r>
      <w:r w:rsidR="00FA715A" w:rsidRPr="00511CD3">
        <w:t xml:space="preserve"> </w:t>
      </w:r>
      <w:r w:rsidR="008E32BB" w:rsidRPr="00511CD3">
        <w:t xml:space="preserve">of the Civil and Commercial Code of the Argentine </w:t>
      </w:r>
      <w:r w:rsidR="001D2118" w:rsidRPr="00511CD3">
        <w:t>N</w:t>
      </w:r>
      <w:r w:rsidR="008E32BB" w:rsidRPr="00511CD3">
        <w:t xml:space="preserve">ation, in force since August 1, </w:t>
      </w:r>
      <w:r w:rsidR="00D65505" w:rsidRPr="00511CD3">
        <w:t>2015</w:t>
      </w:r>
      <w:r w:rsidR="008E32BB" w:rsidRPr="00511CD3">
        <w:t xml:space="preserve">, which establishes that adoption processes are governed by the principles of respect for the child’s best </w:t>
      </w:r>
      <w:r w:rsidR="00CF0721" w:rsidRPr="00511CD3">
        <w:t>interest</w:t>
      </w:r>
      <w:r w:rsidR="008E32BB" w:rsidRPr="00511CD3">
        <w:t xml:space="preserve"> and his or</w:t>
      </w:r>
      <w:r w:rsidR="001D2118" w:rsidRPr="00511CD3">
        <w:t xml:space="preserve"> her</w:t>
      </w:r>
      <w:r w:rsidR="008E32BB" w:rsidRPr="00511CD3">
        <w:t xml:space="preserve"> right to identity, </w:t>
      </w:r>
      <w:r w:rsidR="001D2118" w:rsidRPr="00511CD3">
        <w:t>through</w:t>
      </w:r>
      <w:r w:rsidR="008E32BB" w:rsidRPr="00511CD3">
        <w:t xml:space="preserve"> the exhaustion of all possibilities of remaining in the</w:t>
      </w:r>
      <w:r w:rsidR="001D2118" w:rsidRPr="00511CD3">
        <w:t xml:space="preserve"> family of</w:t>
      </w:r>
      <w:r w:rsidR="008E32BB" w:rsidRPr="00511CD3">
        <w:t xml:space="preserve"> origin or extended family, and the right of the child or adolescent to be heard.  Additionally, under Article </w:t>
      </w:r>
      <w:r w:rsidR="007D57D1" w:rsidRPr="00511CD3">
        <w:t xml:space="preserve">607 </w:t>
      </w:r>
      <w:r w:rsidR="008E32BB" w:rsidRPr="00511CD3">
        <w:t xml:space="preserve">of that </w:t>
      </w:r>
      <w:r w:rsidR="00CF0721" w:rsidRPr="00511CD3">
        <w:t>text</w:t>
      </w:r>
      <w:r w:rsidR="008E32BB" w:rsidRPr="00511CD3">
        <w:t xml:space="preserve">, the judicial declaration of the status of adoptability may not be </w:t>
      </w:r>
      <w:r w:rsidR="00CF0721" w:rsidRPr="00511CD3">
        <w:t>issued</w:t>
      </w:r>
      <w:r w:rsidR="008E32BB" w:rsidRPr="00511CD3">
        <w:t xml:space="preserve"> if a family member or</w:t>
      </w:r>
      <w:r w:rsidR="001D2118" w:rsidRPr="00511CD3">
        <w:t xml:space="preserve"> </w:t>
      </w:r>
      <w:r w:rsidR="007F6759" w:rsidRPr="00511CD3">
        <w:t xml:space="preserve">the </w:t>
      </w:r>
      <w:r w:rsidR="001D2118" w:rsidRPr="00511CD3">
        <w:t>individual</w:t>
      </w:r>
      <w:r w:rsidR="00E22D96" w:rsidRPr="00511CD3">
        <w:t xml:space="preserve"> with </w:t>
      </w:r>
      <w:r w:rsidR="007F6759" w:rsidRPr="00511CD3">
        <w:t xml:space="preserve">the closest </w:t>
      </w:r>
      <w:r w:rsidR="00E22D96" w:rsidRPr="00511CD3">
        <w:t>emotional bond with  the child or adolescent offers to assume hi</w:t>
      </w:r>
      <w:r w:rsidR="00CF0721" w:rsidRPr="00511CD3">
        <w:t>s</w:t>
      </w:r>
      <w:r w:rsidR="00E22D96" w:rsidRPr="00511CD3">
        <w:t xml:space="preserve"> or her guardianship or support </w:t>
      </w:r>
      <w:r w:rsidRPr="00511CD3">
        <w:t xml:space="preserve">and </w:t>
      </w:r>
      <w:r w:rsidR="00E22D96" w:rsidRPr="00511CD3">
        <w:t>that reque</w:t>
      </w:r>
      <w:r w:rsidR="00CF0721" w:rsidRPr="00511CD3">
        <w:t>s</w:t>
      </w:r>
      <w:r w:rsidR="00E22D96" w:rsidRPr="00511CD3">
        <w:t>t is considered appropriate to his or her interest.</w:t>
      </w:r>
    </w:p>
    <w:p w14:paraId="4AA66479" w14:textId="77777777" w:rsidR="00365747" w:rsidRPr="00511CD3" w:rsidRDefault="00365747" w:rsidP="008429F6">
      <w:pPr>
        <w:pStyle w:val="ListParagraph"/>
        <w:numPr>
          <w:ilvl w:val="0"/>
          <w:numId w:val="0"/>
        </w:numPr>
      </w:pPr>
    </w:p>
    <w:p w14:paraId="6C6957F6" w14:textId="77777777" w:rsidR="00732C65" w:rsidRPr="00511CD3" w:rsidRDefault="00016067" w:rsidP="00D568AC">
      <w:pPr>
        <w:pStyle w:val="ListParagraph"/>
        <w:ind w:left="0" w:firstLine="0"/>
      </w:pPr>
      <w:r w:rsidRPr="00511CD3">
        <w:t>Below, t</w:t>
      </w:r>
      <w:r w:rsidR="00B10F4D" w:rsidRPr="00511CD3">
        <w:t>he Commission</w:t>
      </w:r>
      <w:r w:rsidR="00661828" w:rsidRPr="00511CD3">
        <w:t xml:space="preserve"> </w:t>
      </w:r>
      <w:r w:rsidR="002847CC" w:rsidRPr="00511CD3">
        <w:t>will issue its view as to whether the State has fulfilled its duties to protect the above-mentioned rights.  To that end</w:t>
      </w:r>
      <w:r w:rsidR="00661828" w:rsidRPr="00511CD3">
        <w:t xml:space="preserve">, </w:t>
      </w:r>
      <w:r w:rsidR="00B10F4D" w:rsidRPr="00511CD3">
        <w:t>the Commission</w:t>
      </w:r>
      <w:r w:rsidR="00F168A3" w:rsidRPr="00511CD3">
        <w:t xml:space="preserve"> </w:t>
      </w:r>
      <w:r w:rsidR="002847CC" w:rsidRPr="00511CD3">
        <w:t xml:space="preserve">will analyze the State’s action at the following times:  (i) </w:t>
      </w:r>
      <w:r w:rsidR="00F168A3" w:rsidRPr="00511CD3">
        <w:t>“María</w:t>
      </w:r>
      <w:r w:rsidR="002847CC" w:rsidRPr="00511CD3">
        <w:t>’s decision</w:t>
      </w:r>
      <w:r w:rsidR="00F168A3" w:rsidRPr="00511CD3">
        <w:t xml:space="preserve"> </w:t>
      </w:r>
      <w:r w:rsidR="002847CC" w:rsidRPr="00511CD3">
        <w:t xml:space="preserve">to give her </w:t>
      </w:r>
      <w:r w:rsidR="00CA23FE" w:rsidRPr="00511CD3">
        <w:t>child</w:t>
      </w:r>
      <w:r w:rsidR="002847CC" w:rsidRPr="00511CD3">
        <w:t xml:space="preserve"> up for adoption</w:t>
      </w:r>
      <w:r w:rsidR="000B316F" w:rsidRPr="00511CD3">
        <w:t>”</w:t>
      </w:r>
      <w:r w:rsidR="00F168A3" w:rsidRPr="00511CD3">
        <w:t xml:space="preserve">; </w:t>
      </w:r>
      <w:r w:rsidR="002847CC" w:rsidRPr="00511CD3">
        <w:t>(ii) the start of the proceedings to give “Mariano” up for adoption</w:t>
      </w:r>
      <w:r w:rsidR="00F168A3" w:rsidRPr="00511CD3">
        <w:t xml:space="preserve">; </w:t>
      </w:r>
      <w:r w:rsidR="002847CC" w:rsidRPr="00511CD3">
        <w:t>(</w:t>
      </w:r>
      <w:r w:rsidR="00F168A3" w:rsidRPr="00511CD3">
        <w:t xml:space="preserve">iii) </w:t>
      </w:r>
      <w:r w:rsidR="002847CC" w:rsidRPr="00511CD3">
        <w:t xml:space="preserve">the </w:t>
      </w:r>
      <w:r w:rsidR="008C7CED" w:rsidRPr="00511CD3">
        <w:t xml:space="preserve">report issued by the </w:t>
      </w:r>
      <w:r w:rsidR="00CF0721" w:rsidRPr="00511CD3">
        <w:t>Forensic</w:t>
      </w:r>
      <w:r w:rsidR="002847CC" w:rsidRPr="00511CD3">
        <w:t xml:space="preserve"> Physician’s office</w:t>
      </w:r>
      <w:r w:rsidR="00732C65" w:rsidRPr="00511CD3">
        <w:t xml:space="preserve">; </w:t>
      </w:r>
      <w:r w:rsidR="002847CC" w:rsidRPr="00511CD3">
        <w:t>(</w:t>
      </w:r>
      <w:r w:rsidR="00732C65" w:rsidRPr="00511CD3">
        <w:t xml:space="preserve">iv) </w:t>
      </w:r>
      <w:r w:rsidR="002847CC" w:rsidRPr="00511CD3">
        <w:t xml:space="preserve">interview of March 2, </w:t>
      </w:r>
      <w:r w:rsidR="00732C65" w:rsidRPr="00511CD3">
        <w:t xml:space="preserve">2015; </w:t>
      </w:r>
      <w:r w:rsidR="002847CC" w:rsidRPr="00511CD3">
        <w:t>(</w:t>
      </w:r>
      <w:r w:rsidR="00732C65" w:rsidRPr="00511CD3">
        <w:t xml:space="preserve">iv) </w:t>
      </w:r>
      <w:r w:rsidRPr="00511CD3">
        <w:t>regaining contact and restoring emotional bonds</w:t>
      </w:r>
      <w:r w:rsidR="00732C65" w:rsidRPr="00511CD3">
        <w:t xml:space="preserve">; </w:t>
      </w:r>
      <w:r w:rsidRPr="00511CD3">
        <w:t>and (</w:t>
      </w:r>
      <w:r w:rsidR="00732C65" w:rsidRPr="00511CD3">
        <w:t xml:space="preserve">v) </w:t>
      </w:r>
      <w:r w:rsidRPr="00511CD3">
        <w:t xml:space="preserve">lack of resolution of the question of the status of adoptability of </w:t>
      </w:r>
      <w:r w:rsidR="00540394" w:rsidRPr="00511CD3">
        <w:t>the child “Mariano</w:t>
      </w:r>
      <w:r w:rsidRPr="00511CD3">
        <w:t xml:space="preserve">.”  Lastly, </w:t>
      </w:r>
      <w:r w:rsidR="00B10F4D" w:rsidRPr="00511CD3">
        <w:t>the Commission</w:t>
      </w:r>
      <w:r w:rsidR="009E5201" w:rsidRPr="00511CD3">
        <w:t xml:space="preserve"> </w:t>
      </w:r>
      <w:r w:rsidRPr="00511CD3">
        <w:t>will offer its conclusion</w:t>
      </w:r>
      <w:r w:rsidR="00CA23FE" w:rsidRPr="00511CD3">
        <w:t>s</w:t>
      </w:r>
      <w:r w:rsidR="009E5201" w:rsidRPr="00511CD3">
        <w:t>.</w:t>
      </w:r>
    </w:p>
    <w:p w14:paraId="206068B0" w14:textId="77777777" w:rsidR="00E47792" w:rsidRPr="00511CD3" w:rsidRDefault="00E47792" w:rsidP="008429F6">
      <w:pPr>
        <w:rPr>
          <w:b/>
        </w:rPr>
      </w:pPr>
    </w:p>
    <w:p w14:paraId="2D9CE634" w14:textId="77777777" w:rsidR="003205E9" w:rsidRPr="00511CD3" w:rsidRDefault="00E5767E" w:rsidP="008C7CED">
      <w:pPr>
        <w:ind w:left="720"/>
        <w:jc w:val="both"/>
        <w:rPr>
          <w:rFonts w:ascii="Cambria" w:hAnsi="Cambria"/>
          <w:b/>
          <w:iCs/>
          <w:sz w:val="20"/>
          <w:szCs w:val="20"/>
        </w:rPr>
      </w:pPr>
      <w:r w:rsidRPr="00511CD3">
        <w:rPr>
          <w:rFonts w:ascii="Cambria" w:hAnsi="Cambria"/>
          <w:b/>
          <w:iCs/>
          <w:sz w:val="20"/>
          <w:szCs w:val="20"/>
        </w:rPr>
        <w:t xml:space="preserve">- </w:t>
      </w:r>
      <w:r w:rsidR="00016067" w:rsidRPr="00511CD3">
        <w:rPr>
          <w:rFonts w:ascii="Cambria" w:hAnsi="Cambria"/>
          <w:b/>
          <w:iCs/>
          <w:sz w:val="20"/>
          <w:szCs w:val="20"/>
        </w:rPr>
        <w:t>T</w:t>
      </w:r>
      <w:r w:rsidR="008E32BB" w:rsidRPr="00511CD3">
        <w:rPr>
          <w:rFonts w:ascii="Cambria" w:hAnsi="Cambria"/>
          <w:b/>
          <w:iCs/>
          <w:sz w:val="20"/>
          <w:szCs w:val="20"/>
        </w:rPr>
        <w:t xml:space="preserve">he </w:t>
      </w:r>
      <w:r w:rsidR="00016067" w:rsidRPr="00511CD3">
        <w:rPr>
          <w:rFonts w:ascii="Cambria" w:hAnsi="Cambria"/>
          <w:b/>
          <w:iCs/>
          <w:sz w:val="20"/>
          <w:szCs w:val="20"/>
        </w:rPr>
        <w:t xml:space="preserve">State’s </w:t>
      </w:r>
      <w:r w:rsidR="008E32BB" w:rsidRPr="00511CD3">
        <w:rPr>
          <w:rFonts w:ascii="Cambria" w:hAnsi="Cambria"/>
          <w:b/>
          <w:iCs/>
          <w:sz w:val="20"/>
          <w:szCs w:val="20"/>
        </w:rPr>
        <w:t xml:space="preserve">action regarding </w:t>
      </w:r>
      <w:r w:rsidRPr="00511CD3">
        <w:rPr>
          <w:rFonts w:ascii="Cambria" w:hAnsi="Cambria"/>
          <w:b/>
          <w:iCs/>
          <w:sz w:val="20"/>
          <w:szCs w:val="20"/>
        </w:rPr>
        <w:t>“María</w:t>
      </w:r>
      <w:r w:rsidR="00CA23FE" w:rsidRPr="00511CD3">
        <w:rPr>
          <w:rFonts w:ascii="Cambria" w:hAnsi="Cambria"/>
          <w:b/>
          <w:iCs/>
          <w:sz w:val="20"/>
          <w:szCs w:val="20"/>
        </w:rPr>
        <w:t>’s</w:t>
      </w:r>
      <w:r w:rsidRPr="00511CD3">
        <w:rPr>
          <w:rFonts w:ascii="Cambria" w:hAnsi="Cambria"/>
          <w:b/>
          <w:iCs/>
          <w:sz w:val="20"/>
          <w:szCs w:val="20"/>
        </w:rPr>
        <w:t>”</w:t>
      </w:r>
      <w:r w:rsidR="00CA23FE" w:rsidRPr="00511CD3">
        <w:rPr>
          <w:rFonts w:ascii="Cambria" w:hAnsi="Cambria"/>
          <w:b/>
          <w:iCs/>
          <w:sz w:val="20"/>
          <w:szCs w:val="20"/>
        </w:rPr>
        <w:t xml:space="preserve"> decision</w:t>
      </w:r>
      <w:r w:rsidRPr="00511CD3">
        <w:rPr>
          <w:rFonts w:ascii="Cambria" w:hAnsi="Cambria"/>
          <w:b/>
          <w:iCs/>
          <w:sz w:val="20"/>
          <w:szCs w:val="20"/>
        </w:rPr>
        <w:t xml:space="preserve"> </w:t>
      </w:r>
      <w:r w:rsidR="008E32BB" w:rsidRPr="00511CD3">
        <w:rPr>
          <w:rFonts w:ascii="Cambria" w:hAnsi="Cambria"/>
          <w:b/>
          <w:iCs/>
          <w:sz w:val="20"/>
          <w:szCs w:val="20"/>
        </w:rPr>
        <w:t>to give her</w:t>
      </w:r>
      <w:r w:rsidR="008C7CED" w:rsidRPr="00511CD3">
        <w:rPr>
          <w:rFonts w:ascii="Cambria" w:hAnsi="Cambria"/>
          <w:b/>
          <w:iCs/>
          <w:sz w:val="20"/>
          <w:szCs w:val="20"/>
        </w:rPr>
        <w:t xml:space="preserve"> child</w:t>
      </w:r>
      <w:r w:rsidR="008E32BB" w:rsidRPr="00511CD3">
        <w:rPr>
          <w:rFonts w:ascii="Cambria" w:hAnsi="Cambria"/>
          <w:b/>
          <w:iCs/>
          <w:sz w:val="20"/>
          <w:szCs w:val="20"/>
        </w:rPr>
        <w:t xml:space="preserve"> up for adoption</w:t>
      </w:r>
    </w:p>
    <w:p w14:paraId="7738308E" w14:textId="77777777" w:rsidR="00E00FF1" w:rsidRPr="00511CD3" w:rsidRDefault="00E00FF1" w:rsidP="008429F6">
      <w:pPr>
        <w:jc w:val="both"/>
        <w:rPr>
          <w:rFonts w:ascii="Cambria" w:hAnsi="Cambria"/>
          <w:b/>
          <w:iCs/>
          <w:sz w:val="20"/>
          <w:szCs w:val="20"/>
        </w:rPr>
      </w:pPr>
    </w:p>
    <w:p w14:paraId="41ABA55B" w14:textId="77777777" w:rsidR="00E732EE" w:rsidRPr="00511CD3" w:rsidRDefault="00B10F4D" w:rsidP="00D568AC">
      <w:pPr>
        <w:pStyle w:val="ListParagraph"/>
        <w:ind w:left="0" w:firstLine="0"/>
      </w:pPr>
      <w:r w:rsidRPr="00511CD3">
        <w:t>The Commission</w:t>
      </w:r>
      <w:r w:rsidR="008C7CED" w:rsidRPr="00511CD3">
        <w:t xml:space="preserve"> notes</w:t>
      </w:r>
      <w:r w:rsidR="00016067" w:rsidRPr="00511CD3">
        <w:t>, first, that “María’ was diagnosed as pregnant at the</w:t>
      </w:r>
      <w:r w:rsidR="00E57E3D" w:rsidRPr="00511CD3">
        <w:t xml:space="preserve"> </w:t>
      </w:r>
      <w:r w:rsidR="00AC2FC1" w:rsidRPr="00511CD3">
        <w:t>Martin Maternity Clinic</w:t>
      </w:r>
      <w:r w:rsidR="00E57E3D" w:rsidRPr="00511CD3">
        <w:t xml:space="preserve"> </w:t>
      </w:r>
      <w:r w:rsidR="00016067" w:rsidRPr="00511CD3">
        <w:t xml:space="preserve">on May 30, </w:t>
      </w:r>
      <w:r w:rsidR="009A5873" w:rsidRPr="00511CD3">
        <w:t>2014</w:t>
      </w:r>
      <w:r w:rsidR="00016067" w:rsidRPr="00511CD3">
        <w:t xml:space="preserve">, when the child was already in </w:t>
      </w:r>
      <w:r w:rsidR="00A00AC4" w:rsidRPr="00511CD3">
        <w:t xml:space="preserve">her </w:t>
      </w:r>
      <w:r w:rsidR="00016067" w:rsidRPr="00511CD3">
        <w:t>28</w:t>
      </w:r>
      <w:r w:rsidR="00016067" w:rsidRPr="00511CD3">
        <w:rPr>
          <w:vertAlign w:val="superscript"/>
        </w:rPr>
        <w:t>th</w:t>
      </w:r>
      <w:r w:rsidR="00016067" w:rsidRPr="00511CD3">
        <w:t xml:space="preserve"> week of pregnancy.  In that regard, “María’s” mother has indicated that before going to </w:t>
      </w:r>
      <w:r w:rsidR="00AC2FC1" w:rsidRPr="00511CD3">
        <w:t>Martin Maternity Clinic</w:t>
      </w:r>
      <w:r w:rsidR="00016067" w:rsidRPr="00511CD3">
        <w:t>, they ha</w:t>
      </w:r>
      <w:r w:rsidR="00EA7654" w:rsidRPr="00511CD3">
        <w:t>d</w:t>
      </w:r>
      <w:r w:rsidR="00016067" w:rsidRPr="00511CD3">
        <w:t xml:space="preserve"> gone to Health Center No. </w:t>
      </w:r>
      <w:r w:rsidR="001E07DA" w:rsidRPr="00511CD3">
        <w:t>5</w:t>
      </w:r>
      <w:r w:rsidR="00A00AC4" w:rsidRPr="00511CD3">
        <w:t>, because</w:t>
      </w:r>
      <w:r w:rsidR="00016067" w:rsidRPr="00511CD3">
        <w:t xml:space="preserve"> she noted that the girl “had a big belly</w:t>
      </w:r>
      <w:r w:rsidR="00EA7654" w:rsidRPr="00511CD3">
        <w:t>,</w:t>
      </w:r>
      <w:r w:rsidR="00016067" w:rsidRPr="00511CD3">
        <w:t xml:space="preserve">” and added that the pediatrician who had seen </w:t>
      </w:r>
      <w:r w:rsidR="00A00AC4" w:rsidRPr="00511CD3">
        <w:t>them</w:t>
      </w:r>
      <w:r w:rsidR="00016067" w:rsidRPr="00511CD3">
        <w:t xml:space="preserve"> only explained that interruption of m</w:t>
      </w:r>
      <w:r w:rsidR="00A00AC4" w:rsidRPr="00511CD3">
        <w:t xml:space="preserve">enstrual periods was common at her daughter’s </w:t>
      </w:r>
      <w:r w:rsidR="00016067" w:rsidRPr="00511CD3">
        <w:t xml:space="preserve">young age, and that no comprehensive analysis had been </w:t>
      </w:r>
      <w:r w:rsidR="00CA23FE" w:rsidRPr="00511CD3">
        <w:t xml:space="preserve">carried out </w:t>
      </w:r>
      <w:r w:rsidR="00016067" w:rsidRPr="00511CD3">
        <w:t xml:space="preserve">on that occasion that would </w:t>
      </w:r>
      <w:r w:rsidR="00EA7654" w:rsidRPr="00511CD3">
        <w:t xml:space="preserve">have enabled a </w:t>
      </w:r>
      <w:r w:rsidR="00016067" w:rsidRPr="00511CD3">
        <w:t xml:space="preserve">diagnosis </w:t>
      </w:r>
      <w:r w:rsidR="00EA7654" w:rsidRPr="00511CD3">
        <w:t>to be reached</w:t>
      </w:r>
      <w:r w:rsidR="00016067" w:rsidRPr="00511CD3">
        <w:t xml:space="preserve">.  When it had been confirmed that “María” </w:t>
      </w:r>
      <w:r w:rsidR="00EA7654" w:rsidRPr="00511CD3">
        <w:t>w</w:t>
      </w:r>
      <w:r w:rsidR="00016067" w:rsidRPr="00511CD3">
        <w:t>as pregnan</w:t>
      </w:r>
      <w:r w:rsidR="00EA7654" w:rsidRPr="00511CD3">
        <w:t>t</w:t>
      </w:r>
      <w:r w:rsidR="00016067" w:rsidRPr="00511CD3">
        <w:t>,</w:t>
      </w:r>
      <w:r w:rsidR="00C503BA" w:rsidRPr="00511CD3">
        <w:t>”</w:t>
      </w:r>
      <w:r w:rsidR="00016067" w:rsidRPr="00511CD3">
        <w:t xml:space="preserve"> a group of </w:t>
      </w:r>
      <w:r w:rsidR="00EA7654" w:rsidRPr="00511CD3">
        <w:t xml:space="preserve">Martin Maternity Clinic </w:t>
      </w:r>
      <w:r w:rsidR="00016067" w:rsidRPr="00511CD3">
        <w:t xml:space="preserve">social work and mental health professionals began to study the case.  It was in the context and ambit of </w:t>
      </w:r>
      <w:r w:rsidR="00AC2FC1" w:rsidRPr="00511CD3">
        <w:t>Martin Maternity Clinic</w:t>
      </w:r>
      <w:r w:rsidR="00016067" w:rsidRPr="00511CD3">
        <w:t xml:space="preserve">’s intervention that “María” and her </w:t>
      </w:r>
      <w:r w:rsidR="00CF0721" w:rsidRPr="00511CD3">
        <w:t xml:space="preserve">mother </w:t>
      </w:r>
      <w:r w:rsidR="00016067" w:rsidRPr="00511CD3">
        <w:t xml:space="preserve">first expressed, in a document signed on July </w:t>
      </w:r>
      <w:r w:rsidR="00AB2C85" w:rsidRPr="00511CD3">
        <w:t>23</w:t>
      </w:r>
      <w:r w:rsidR="00016067" w:rsidRPr="00511CD3">
        <w:t>,</w:t>
      </w:r>
      <w:r w:rsidR="00AB2C85" w:rsidRPr="00511CD3">
        <w:t xml:space="preserve"> 2014, </w:t>
      </w:r>
      <w:r w:rsidR="00016067" w:rsidRPr="00511CD3">
        <w:t>their intent to give the unborn child up for adoption.</w:t>
      </w:r>
    </w:p>
    <w:p w14:paraId="70F371F1" w14:textId="77777777" w:rsidR="00505CCD" w:rsidRPr="00511CD3" w:rsidRDefault="00505CCD" w:rsidP="008429F6">
      <w:pPr>
        <w:pStyle w:val="ListParagraph"/>
        <w:numPr>
          <w:ilvl w:val="0"/>
          <w:numId w:val="0"/>
        </w:numPr>
      </w:pPr>
    </w:p>
    <w:p w14:paraId="46671B3E" w14:textId="77777777" w:rsidR="00505CCD" w:rsidRPr="00511CD3" w:rsidRDefault="00B10F4D" w:rsidP="00D568AC">
      <w:pPr>
        <w:pStyle w:val="ListParagraph"/>
        <w:ind w:left="0" w:firstLine="0"/>
      </w:pPr>
      <w:r w:rsidRPr="00511CD3">
        <w:t>The Commission</w:t>
      </w:r>
      <w:r w:rsidR="00505CCD" w:rsidRPr="00511CD3">
        <w:t xml:space="preserve"> </w:t>
      </w:r>
      <w:r w:rsidR="00016067" w:rsidRPr="00511CD3">
        <w:t xml:space="preserve">notes that the State has not demonstrated that the public officials who intervened or were called </w:t>
      </w:r>
      <w:r w:rsidR="00EA7654" w:rsidRPr="00511CD3">
        <w:t xml:space="preserve">upon </w:t>
      </w:r>
      <w:r w:rsidR="00016067" w:rsidRPr="00511CD3">
        <w:t xml:space="preserve">to intervene during “Mariano’s” gestation took steps to </w:t>
      </w:r>
      <w:r w:rsidR="00A00AC4" w:rsidRPr="00511CD3">
        <w:t>counsel</w:t>
      </w:r>
      <w:r w:rsidR="00016067" w:rsidRPr="00511CD3">
        <w:t xml:space="preserve"> </w:t>
      </w:r>
      <w:r w:rsidR="00EA7654" w:rsidRPr="00511CD3">
        <w:t xml:space="preserve">either </w:t>
      </w:r>
      <w:r w:rsidR="00505CCD" w:rsidRPr="00511CD3">
        <w:t xml:space="preserve">María </w:t>
      </w:r>
      <w:r w:rsidR="00EA7654" w:rsidRPr="00511CD3">
        <w:t>or</w:t>
      </w:r>
      <w:r w:rsidR="00016067" w:rsidRPr="00511CD3">
        <w:t xml:space="preserve"> her mother regarding t</w:t>
      </w:r>
      <w:r w:rsidR="00EA7654" w:rsidRPr="00511CD3">
        <w:t>he</w:t>
      </w:r>
      <w:r w:rsidR="00016067" w:rsidRPr="00511CD3">
        <w:t xml:space="preserve"> decision to give the child up for adoption.  Nor </w:t>
      </w:r>
      <w:r w:rsidR="00A00AC4" w:rsidRPr="00511CD3">
        <w:t>does the record show</w:t>
      </w:r>
      <w:r w:rsidR="00016067" w:rsidRPr="00511CD3">
        <w:t xml:space="preserve"> </w:t>
      </w:r>
      <w:r w:rsidR="00EA7654" w:rsidRPr="00511CD3">
        <w:t xml:space="preserve">that </w:t>
      </w:r>
      <w:r w:rsidR="008E31AE" w:rsidRPr="00511CD3">
        <w:t xml:space="preserve">she was given </w:t>
      </w:r>
      <w:r w:rsidR="00016067" w:rsidRPr="00511CD3">
        <w:t xml:space="preserve">psychological, legal, or any other type of support with regard to that decision, or even information on assistance programs or additional steps that could be taken in </w:t>
      </w:r>
      <w:r w:rsidR="00EA7654" w:rsidRPr="00511CD3">
        <w:t xml:space="preserve">her case, </w:t>
      </w:r>
      <w:r w:rsidR="008E31AE" w:rsidRPr="00511CD3">
        <w:t xml:space="preserve">including </w:t>
      </w:r>
      <w:r w:rsidR="00EA7654" w:rsidRPr="00511CD3">
        <w:t xml:space="preserve">the possibility that </w:t>
      </w:r>
      <w:r w:rsidR="00CF75CE" w:rsidRPr="00511CD3">
        <w:t>“Mariano”</w:t>
      </w:r>
      <w:r w:rsidR="00505CCD" w:rsidRPr="00511CD3">
        <w:t xml:space="preserve"> </w:t>
      </w:r>
      <w:r w:rsidR="00EA7654" w:rsidRPr="00511CD3">
        <w:t xml:space="preserve">could be </w:t>
      </w:r>
      <w:r w:rsidR="00EA7654" w:rsidRPr="00511CD3">
        <w:lastRenderedPageBreak/>
        <w:t>cared for by his extended family. Regarding this point</w:t>
      </w:r>
      <w:r w:rsidR="00505CCD" w:rsidRPr="00511CD3">
        <w:rPr>
          <w:iCs/>
        </w:rPr>
        <w:t xml:space="preserve">, </w:t>
      </w:r>
      <w:r w:rsidRPr="00511CD3">
        <w:rPr>
          <w:iCs/>
        </w:rPr>
        <w:t>the Commission</w:t>
      </w:r>
      <w:r w:rsidR="00505CCD" w:rsidRPr="00511CD3">
        <w:rPr>
          <w:iCs/>
        </w:rPr>
        <w:t xml:space="preserve"> </w:t>
      </w:r>
      <w:r w:rsidR="00EA7654" w:rsidRPr="00511CD3">
        <w:rPr>
          <w:iCs/>
        </w:rPr>
        <w:t xml:space="preserve">notes that, </w:t>
      </w:r>
      <w:r w:rsidR="007F6759" w:rsidRPr="00511CD3">
        <w:rPr>
          <w:iCs/>
        </w:rPr>
        <w:t xml:space="preserve">in </w:t>
      </w:r>
      <w:r w:rsidR="00EA7654" w:rsidRPr="00511CD3">
        <w:rPr>
          <w:iCs/>
        </w:rPr>
        <w:t xml:space="preserve">the report of July </w:t>
      </w:r>
      <w:r w:rsidR="00505CCD" w:rsidRPr="00511CD3">
        <w:rPr>
          <w:iCs/>
        </w:rPr>
        <w:t>2</w:t>
      </w:r>
      <w:r w:rsidR="00EA7654" w:rsidRPr="00511CD3">
        <w:rPr>
          <w:iCs/>
        </w:rPr>
        <w:t>,</w:t>
      </w:r>
      <w:r w:rsidR="00505CCD" w:rsidRPr="00511CD3">
        <w:rPr>
          <w:iCs/>
        </w:rPr>
        <w:t xml:space="preserve"> 2014</w:t>
      </w:r>
      <w:r w:rsidR="00EA7654" w:rsidRPr="00511CD3">
        <w:rPr>
          <w:iCs/>
        </w:rPr>
        <w:t xml:space="preserve">, signed by the </w:t>
      </w:r>
      <w:r w:rsidR="00AC2FC1" w:rsidRPr="00511CD3">
        <w:rPr>
          <w:iCs/>
        </w:rPr>
        <w:t>Martin Maternity Clinic</w:t>
      </w:r>
      <w:r w:rsidRPr="00511CD3">
        <w:rPr>
          <w:iCs/>
        </w:rPr>
        <w:t xml:space="preserve"> </w:t>
      </w:r>
      <w:r w:rsidR="00EA7654" w:rsidRPr="00511CD3">
        <w:rPr>
          <w:iCs/>
        </w:rPr>
        <w:t>professionals and addressed to the</w:t>
      </w:r>
      <w:r w:rsidR="00505CCD" w:rsidRPr="00511CD3">
        <w:rPr>
          <w:iCs/>
        </w:rPr>
        <w:t xml:space="preserve"> </w:t>
      </w:r>
      <w:r w:rsidR="00E17343" w:rsidRPr="00511CD3">
        <w:rPr>
          <w:iCs/>
        </w:rPr>
        <w:t>Department for the Protection of the Rights of Children, Adolescen</w:t>
      </w:r>
      <w:r w:rsidR="00EA7654" w:rsidRPr="00511CD3">
        <w:rPr>
          <w:iCs/>
        </w:rPr>
        <w:t>t</w:t>
      </w:r>
      <w:r w:rsidR="00E17343" w:rsidRPr="00511CD3">
        <w:rPr>
          <w:iCs/>
        </w:rPr>
        <w:t>s, and the Family</w:t>
      </w:r>
      <w:r w:rsidR="00EA7654" w:rsidRPr="00511CD3">
        <w:rPr>
          <w:iCs/>
        </w:rPr>
        <w:t xml:space="preserve">, the different positions within “María’s” family were duly placed on record, specifically those of the mother and the girl’s aunt, regarding possibly </w:t>
      </w:r>
      <w:r w:rsidR="00342C9B" w:rsidRPr="00511CD3">
        <w:rPr>
          <w:iCs/>
        </w:rPr>
        <w:t xml:space="preserve">relinquishing guardianship of </w:t>
      </w:r>
      <w:r w:rsidR="00EA7654" w:rsidRPr="00511CD3">
        <w:rPr>
          <w:iCs/>
        </w:rPr>
        <w:t>the child after his birth.</w:t>
      </w:r>
    </w:p>
    <w:p w14:paraId="7C8CFA8D" w14:textId="77777777" w:rsidR="00505CCD" w:rsidRPr="00511CD3" w:rsidRDefault="00505CCD" w:rsidP="008429F6">
      <w:pPr>
        <w:pStyle w:val="ListParagraph"/>
        <w:numPr>
          <w:ilvl w:val="0"/>
          <w:numId w:val="0"/>
        </w:numPr>
      </w:pPr>
    </w:p>
    <w:p w14:paraId="4774FC0B" w14:textId="77777777" w:rsidR="00505CCD" w:rsidRPr="00511CD3" w:rsidRDefault="00505CCD" w:rsidP="00D568AC">
      <w:pPr>
        <w:pStyle w:val="ListParagraph"/>
        <w:ind w:left="0" w:firstLine="0"/>
        <w:rPr>
          <w:iCs/>
        </w:rPr>
      </w:pPr>
      <w:r w:rsidRPr="00511CD3">
        <w:t xml:space="preserve"> </w:t>
      </w:r>
      <w:r w:rsidR="00EA7654" w:rsidRPr="00511CD3">
        <w:t>For</w:t>
      </w:r>
      <w:r w:rsidRPr="00511CD3">
        <w:t xml:space="preserve"> </w:t>
      </w:r>
      <w:r w:rsidR="00B10F4D" w:rsidRPr="00511CD3">
        <w:t>the Commission</w:t>
      </w:r>
      <w:r w:rsidR="00EA7654" w:rsidRPr="00511CD3">
        <w:t>, this type of guidance and support w</w:t>
      </w:r>
      <w:r w:rsidR="008E31AE" w:rsidRPr="00511CD3">
        <w:t xml:space="preserve">as </w:t>
      </w:r>
      <w:r w:rsidR="00EA7654" w:rsidRPr="00511CD3">
        <w:t xml:space="preserve">essential if </w:t>
      </w:r>
      <w:r w:rsidRPr="00511CD3">
        <w:t>“María”</w:t>
      </w:r>
      <w:r w:rsidR="00B10F4D" w:rsidRPr="00511CD3">
        <w:t xml:space="preserve"> and </w:t>
      </w:r>
      <w:r w:rsidR="00EA7654" w:rsidRPr="00511CD3">
        <w:t xml:space="preserve">her mother were </w:t>
      </w:r>
      <w:r w:rsidR="00A43F10" w:rsidRPr="00511CD3">
        <w:t xml:space="preserve">to </w:t>
      </w:r>
      <w:r w:rsidR="00EA7654" w:rsidRPr="00511CD3">
        <w:t xml:space="preserve">give </w:t>
      </w:r>
      <w:r w:rsidR="00A43F10" w:rsidRPr="00511CD3">
        <w:t>prior</w:t>
      </w:r>
      <w:r w:rsidR="00EA7654" w:rsidRPr="00511CD3">
        <w:t>, free, and informed consent to adoption</w:t>
      </w:r>
      <w:r w:rsidRPr="00511CD3">
        <w:t xml:space="preserve">, </w:t>
      </w:r>
      <w:r w:rsidR="00EA7654" w:rsidRPr="00511CD3">
        <w:t xml:space="preserve">especially if consideration is </w:t>
      </w:r>
      <w:r w:rsidR="007F6759" w:rsidRPr="00511CD3">
        <w:t>given to</w:t>
      </w:r>
      <w:r w:rsidR="00EA7654" w:rsidRPr="00511CD3">
        <w:t xml:space="preserve"> “María’s” condition as a victim of abuse and sexual violence within her own family and her emotional situation as a pregnant child</w:t>
      </w:r>
      <w:r w:rsidRPr="00511CD3">
        <w:t>.</w:t>
      </w:r>
      <w:r w:rsidRPr="00511CD3">
        <w:rPr>
          <w:iCs/>
        </w:rPr>
        <w:t xml:space="preserve"> </w:t>
      </w:r>
      <w:r w:rsidR="00EA7654" w:rsidRPr="00511CD3">
        <w:rPr>
          <w:iCs/>
        </w:rPr>
        <w:t xml:space="preserve"> Additionally, t</w:t>
      </w:r>
      <w:r w:rsidR="00B10F4D" w:rsidRPr="00511CD3">
        <w:t>he Commission</w:t>
      </w:r>
      <w:r w:rsidRPr="00511CD3">
        <w:t xml:space="preserve"> </w:t>
      </w:r>
      <w:r w:rsidR="00EA7654" w:rsidRPr="00511CD3">
        <w:t xml:space="preserve">cannot fail to point out that it is </w:t>
      </w:r>
      <w:r w:rsidR="00CF75CE" w:rsidRPr="00511CD3">
        <w:t>implausible</w:t>
      </w:r>
      <w:r w:rsidR="005E208E" w:rsidRPr="00511CD3">
        <w:t xml:space="preserve"> that</w:t>
      </w:r>
      <w:r w:rsidRPr="00511CD3">
        <w:t xml:space="preserve">, </w:t>
      </w:r>
      <w:r w:rsidR="00A43F10" w:rsidRPr="00511CD3">
        <w:t>given the language used, the note of July</w:t>
      </w:r>
      <w:r w:rsidR="005E208E" w:rsidRPr="00511CD3">
        <w:t xml:space="preserve"> 23, which was used as the grounds</w:t>
      </w:r>
      <w:r w:rsidR="00A43F10" w:rsidRPr="00511CD3">
        <w:t xml:space="preserve"> for instituting the process of giving up</w:t>
      </w:r>
      <w:r w:rsidR="005E208E" w:rsidRPr="00511CD3">
        <w:t xml:space="preserve"> the child after birth</w:t>
      </w:r>
      <w:r w:rsidR="00A43F10" w:rsidRPr="00511CD3">
        <w:t>, was written by the girl or her mother, a circumstance that adds to the doubts regarding the existence of valid and informed consent</w:t>
      </w:r>
      <w:r w:rsidRPr="00511CD3">
        <w:t>.</w:t>
      </w:r>
    </w:p>
    <w:p w14:paraId="6DF5FF8B" w14:textId="77777777" w:rsidR="003138A4" w:rsidRPr="00511CD3" w:rsidRDefault="003138A4" w:rsidP="008429F6">
      <w:pPr>
        <w:rPr>
          <w:rFonts w:ascii="Cambria" w:hAnsi="Cambria"/>
          <w:iCs/>
          <w:sz w:val="20"/>
          <w:szCs w:val="20"/>
        </w:rPr>
      </w:pPr>
    </w:p>
    <w:p w14:paraId="115977A0" w14:textId="77777777" w:rsidR="003138A4" w:rsidRPr="00511CD3" w:rsidRDefault="00B10F4D" w:rsidP="00D568AC">
      <w:pPr>
        <w:pStyle w:val="ListParagraph"/>
        <w:ind w:left="0" w:firstLine="0"/>
        <w:rPr>
          <w:iCs/>
        </w:rPr>
      </w:pPr>
      <w:r w:rsidRPr="00511CD3">
        <w:t>The Commission</w:t>
      </w:r>
      <w:r w:rsidR="003138A4" w:rsidRPr="00511CD3">
        <w:t xml:space="preserve"> </w:t>
      </w:r>
      <w:r w:rsidR="00A43F10" w:rsidRPr="00511CD3">
        <w:t xml:space="preserve">notes that </w:t>
      </w:r>
      <w:r w:rsidR="00E35021" w:rsidRPr="00511CD3">
        <w:t xml:space="preserve">the file does not </w:t>
      </w:r>
      <w:r w:rsidR="00F46CC3" w:rsidRPr="00511CD3">
        <w:t xml:space="preserve">provide </w:t>
      </w:r>
      <w:r w:rsidR="00E35021" w:rsidRPr="00511CD3">
        <w:t xml:space="preserve">due justification </w:t>
      </w:r>
      <w:r w:rsidR="00F46CC3" w:rsidRPr="00511CD3">
        <w:t xml:space="preserve">for </w:t>
      </w:r>
      <w:r w:rsidR="005E208E" w:rsidRPr="00511CD3">
        <w:t>the reason</w:t>
      </w:r>
      <w:r w:rsidR="00E35021" w:rsidRPr="00511CD3">
        <w:t xml:space="preserve"> why the </w:t>
      </w:r>
      <w:r w:rsidR="00AC2FC1" w:rsidRPr="00511CD3">
        <w:t>Martin Maternity Clinic</w:t>
      </w:r>
      <w:r w:rsidRPr="00511CD3">
        <w:t xml:space="preserve"> and </w:t>
      </w:r>
      <w:r w:rsidR="00E35021" w:rsidRPr="00511CD3">
        <w:t xml:space="preserve">Office of the Defender of Children and Adolescents professionals did not take into account the position of </w:t>
      </w:r>
      <w:r w:rsidR="003138A4" w:rsidRPr="00511CD3">
        <w:t>“María</w:t>
      </w:r>
      <w:r w:rsidR="00E35021" w:rsidRPr="00511CD3">
        <w:t>’s</w:t>
      </w:r>
      <w:r w:rsidR="003138A4" w:rsidRPr="00511CD3">
        <w:t>”</w:t>
      </w:r>
      <w:r w:rsidR="00E35021" w:rsidRPr="00511CD3">
        <w:t xml:space="preserve"> extended family</w:t>
      </w:r>
      <w:r w:rsidR="003138A4" w:rsidRPr="00511CD3">
        <w:t xml:space="preserve">, </w:t>
      </w:r>
      <w:r w:rsidR="00E35021" w:rsidRPr="00511CD3">
        <w:t>specifically of her aunt and grandmother, who expressed their interest in taking responsibility for the yet-to-be-born child</w:t>
      </w:r>
      <w:r w:rsidR="003138A4" w:rsidRPr="00511CD3">
        <w:t xml:space="preserve">. </w:t>
      </w:r>
      <w:r w:rsidRPr="00511CD3">
        <w:t>The Commission</w:t>
      </w:r>
      <w:r w:rsidR="00E35021" w:rsidRPr="00511CD3">
        <w:t xml:space="preserve"> emphasizes that both institutions were aware of this intent various weeks before the birth.  Specifically,</w:t>
      </w:r>
      <w:r w:rsidR="00C45585" w:rsidRPr="00511CD3">
        <w:t xml:space="preserve"> </w:t>
      </w:r>
      <w:r w:rsidR="00AC2FC1" w:rsidRPr="00511CD3">
        <w:t>Martin Maternity Clinic</w:t>
      </w:r>
      <w:r w:rsidR="003138A4" w:rsidRPr="00511CD3">
        <w:t xml:space="preserve"> </w:t>
      </w:r>
      <w:r w:rsidR="00D61D72" w:rsidRPr="00511CD3">
        <w:t xml:space="preserve">was aware of the interest of </w:t>
      </w:r>
      <w:r w:rsidR="00C45585" w:rsidRPr="00511CD3">
        <w:t>“María</w:t>
      </w:r>
      <w:r w:rsidR="00D61D72" w:rsidRPr="00511CD3">
        <w:t xml:space="preserve">’s” aunt and grandmother </w:t>
      </w:r>
      <w:r w:rsidR="005E208E" w:rsidRPr="00511CD3">
        <w:t xml:space="preserve">at least </w:t>
      </w:r>
      <w:r w:rsidR="00D61D72" w:rsidRPr="00511CD3">
        <w:t xml:space="preserve">as of the note they signed on </w:t>
      </w:r>
      <w:r w:rsidRPr="00511CD3">
        <w:t xml:space="preserve">July </w:t>
      </w:r>
      <w:r w:rsidR="00D61D72" w:rsidRPr="00511CD3">
        <w:t>2, and the Office of the Defender as of the visit they made to “María’s” house on</w:t>
      </w:r>
      <w:r w:rsidR="003138A4" w:rsidRPr="00511CD3">
        <w:t xml:space="preserve"> </w:t>
      </w:r>
      <w:r w:rsidRPr="00511CD3">
        <w:t>August</w:t>
      </w:r>
      <w:r w:rsidR="00D61D72" w:rsidRPr="00511CD3">
        <w:t xml:space="preserve"> 8. However, both institutions </w:t>
      </w:r>
      <w:r w:rsidR="009532A8" w:rsidRPr="00511CD3">
        <w:t>continue</w:t>
      </w:r>
      <w:r w:rsidR="005E208E" w:rsidRPr="00511CD3">
        <w:t>d</w:t>
      </w:r>
      <w:r w:rsidR="009532A8" w:rsidRPr="00511CD3">
        <w:t xml:space="preserve"> to promote at the administrative and </w:t>
      </w:r>
      <w:r w:rsidR="00C45585" w:rsidRPr="00511CD3">
        <w:t xml:space="preserve">judicial </w:t>
      </w:r>
      <w:r w:rsidR="009532A8" w:rsidRPr="00511CD3">
        <w:t xml:space="preserve">levels the </w:t>
      </w:r>
      <w:r w:rsidR="0028749F" w:rsidRPr="00511CD3">
        <w:t xml:space="preserve">proceedings for </w:t>
      </w:r>
      <w:r w:rsidR="009532A8" w:rsidRPr="00511CD3">
        <w:t>giving the</w:t>
      </w:r>
      <w:r w:rsidR="00540394" w:rsidRPr="00511CD3">
        <w:t xml:space="preserve"> child “Mariano”</w:t>
      </w:r>
      <w:r w:rsidR="00C45585" w:rsidRPr="00511CD3">
        <w:t xml:space="preserve"> </w:t>
      </w:r>
      <w:r w:rsidR="009532A8" w:rsidRPr="00511CD3">
        <w:t xml:space="preserve">up for </w:t>
      </w:r>
      <w:r w:rsidR="005E208E" w:rsidRPr="00511CD3">
        <w:t xml:space="preserve">guardianship </w:t>
      </w:r>
      <w:r w:rsidR="009532A8" w:rsidRPr="00511CD3">
        <w:t>and adoption</w:t>
      </w:r>
      <w:r w:rsidR="0028749F" w:rsidRPr="00511CD3">
        <w:t>,</w:t>
      </w:r>
      <w:r w:rsidR="009532A8" w:rsidRPr="00511CD3">
        <w:t xml:space="preserve"> without explaining </w:t>
      </w:r>
      <w:r w:rsidR="00CF0721" w:rsidRPr="00511CD3">
        <w:t>the</w:t>
      </w:r>
      <w:r w:rsidR="009532A8" w:rsidRPr="00511CD3">
        <w:t xml:space="preserve"> reasons why it would have been against the child’s best interest to </w:t>
      </w:r>
      <w:r w:rsidR="005E208E" w:rsidRPr="00511CD3">
        <w:t xml:space="preserve">give </w:t>
      </w:r>
      <w:r w:rsidR="009532A8" w:rsidRPr="00511CD3">
        <w:t xml:space="preserve">the guardianship </w:t>
      </w:r>
      <w:r w:rsidR="005E208E" w:rsidRPr="00511CD3">
        <w:t xml:space="preserve">of the child to </w:t>
      </w:r>
      <w:r w:rsidR="009532A8" w:rsidRPr="00511CD3">
        <w:t>his great aunt or great grandmother</w:t>
      </w:r>
      <w:r w:rsidR="00C45585" w:rsidRPr="00511CD3">
        <w:t xml:space="preserve">. </w:t>
      </w:r>
    </w:p>
    <w:p w14:paraId="304EFFFB" w14:textId="77777777" w:rsidR="00F506C9" w:rsidRPr="00511CD3" w:rsidRDefault="00F506C9" w:rsidP="008429F6"/>
    <w:p w14:paraId="61BF0544" w14:textId="77777777" w:rsidR="00E12CAF" w:rsidRPr="00511CD3" w:rsidRDefault="009532A8" w:rsidP="00D568AC">
      <w:pPr>
        <w:pStyle w:val="ListParagraph"/>
        <w:ind w:left="0" w:firstLine="0"/>
        <w:rPr>
          <w:iCs/>
        </w:rPr>
      </w:pPr>
      <w:r w:rsidRPr="00511CD3">
        <w:t xml:space="preserve">This lack of assistance is graver still if account is taken of the extreme vulnerability of both </w:t>
      </w:r>
      <w:r w:rsidR="00E12CAF" w:rsidRPr="00511CD3">
        <w:t>“</w:t>
      </w:r>
      <w:r w:rsidR="00F506C9" w:rsidRPr="00511CD3">
        <w:t>María</w:t>
      </w:r>
      <w:r w:rsidR="00E12CAF" w:rsidRPr="00511CD3">
        <w:t xml:space="preserve">” </w:t>
      </w:r>
      <w:r w:rsidRPr="00511CD3">
        <w:t xml:space="preserve">and her mother, consisting of a precarious economic situation, a delicate family situation resulting from the exclusion from the home of the child’s father </w:t>
      </w:r>
      <w:r w:rsidR="005E208E" w:rsidRPr="00511CD3">
        <w:t xml:space="preserve">as a result of </w:t>
      </w:r>
      <w:r w:rsidRPr="00511CD3">
        <w:t xml:space="preserve">repeated reports of intra-family violence, the circumstances in which the child became pregnant, and the structural obstacles </w:t>
      </w:r>
      <w:r w:rsidR="00D568AC">
        <w:t>faced</w:t>
      </w:r>
      <w:r w:rsidRPr="00511CD3">
        <w:t xml:space="preserve"> by</w:t>
      </w:r>
      <w:r w:rsidR="00D568AC">
        <w:t xml:space="preserve"> poor</w:t>
      </w:r>
      <w:r w:rsidRPr="00511CD3">
        <w:t xml:space="preserve"> women, adolescents, and girls when asserting their rights</w:t>
      </w:r>
      <w:r w:rsidR="00F506C9" w:rsidRPr="00511CD3">
        <w:t xml:space="preserve">. </w:t>
      </w:r>
    </w:p>
    <w:p w14:paraId="7839EDAC" w14:textId="77777777" w:rsidR="00E5767E" w:rsidRPr="00511CD3" w:rsidRDefault="00E5767E" w:rsidP="008429F6">
      <w:pPr>
        <w:rPr>
          <w:rFonts w:ascii="Cambria" w:hAnsi="Cambria"/>
          <w:sz w:val="20"/>
          <w:szCs w:val="20"/>
        </w:rPr>
      </w:pPr>
    </w:p>
    <w:p w14:paraId="615FD5DF" w14:textId="77777777" w:rsidR="00E5767E" w:rsidRPr="00511CD3" w:rsidRDefault="00E5767E" w:rsidP="005E208E">
      <w:pPr>
        <w:ind w:left="720"/>
        <w:jc w:val="both"/>
        <w:rPr>
          <w:rFonts w:ascii="Cambria" w:hAnsi="Cambria"/>
          <w:b/>
          <w:iCs/>
          <w:sz w:val="20"/>
          <w:szCs w:val="20"/>
        </w:rPr>
      </w:pPr>
      <w:r w:rsidRPr="00511CD3">
        <w:rPr>
          <w:rFonts w:ascii="Cambria" w:hAnsi="Cambria"/>
          <w:b/>
          <w:iCs/>
          <w:sz w:val="20"/>
          <w:szCs w:val="20"/>
        </w:rPr>
        <w:t xml:space="preserve">- </w:t>
      </w:r>
      <w:r w:rsidR="00A43F10" w:rsidRPr="00511CD3">
        <w:rPr>
          <w:rFonts w:ascii="Cambria" w:hAnsi="Cambria"/>
          <w:b/>
          <w:iCs/>
          <w:sz w:val="20"/>
          <w:szCs w:val="20"/>
        </w:rPr>
        <w:t>The State’s action regarding the adoption process</w:t>
      </w:r>
    </w:p>
    <w:p w14:paraId="349CA58D" w14:textId="77777777" w:rsidR="00E5767E" w:rsidRPr="00511CD3" w:rsidRDefault="00E5767E" w:rsidP="008429F6">
      <w:pPr>
        <w:rPr>
          <w:rFonts w:ascii="Cambria" w:hAnsi="Cambria"/>
          <w:sz w:val="20"/>
          <w:szCs w:val="20"/>
        </w:rPr>
      </w:pPr>
    </w:p>
    <w:p w14:paraId="7887EE62" w14:textId="77777777" w:rsidR="00C84FBD" w:rsidRPr="00511CD3" w:rsidRDefault="00B10F4D" w:rsidP="00D568AC">
      <w:pPr>
        <w:pStyle w:val="ListParagraph"/>
        <w:ind w:left="0" w:firstLine="0"/>
      </w:pPr>
      <w:r w:rsidRPr="00511CD3">
        <w:t>The Commission</w:t>
      </w:r>
      <w:r w:rsidR="00C84FBD" w:rsidRPr="00511CD3">
        <w:t xml:space="preserve"> </w:t>
      </w:r>
      <w:r w:rsidR="009532A8" w:rsidRPr="00511CD3">
        <w:t xml:space="preserve">notes that judicial authorities did not </w:t>
      </w:r>
      <w:r w:rsidR="00CF0721" w:rsidRPr="00511CD3">
        <w:t>intervene</w:t>
      </w:r>
      <w:r w:rsidR="009532A8" w:rsidRPr="00511CD3">
        <w:t xml:space="preserve"> in the case until August</w:t>
      </w:r>
      <w:r w:rsidR="00C84FBD" w:rsidRPr="00511CD3">
        <w:t xml:space="preserve"> 1</w:t>
      </w:r>
      <w:r w:rsidR="009532A8" w:rsidRPr="00511CD3">
        <w:t>,</w:t>
      </w:r>
      <w:r w:rsidR="00C84FBD" w:rsidRPr="00511CD3">
        <w:t xml:space="preserve"> 2014</w:t>
      </w:r>
      <w:r w:rsidR="009532A8" w:rsidRPr="00511CD3">
        <w:t xml:space="preserve">, and only based on the document submitted to the courts by the </w:t>
      </w:r>
      <w:r w:rsidR="00CF0721" w:rsidRPr="00511CD3">
        <w:t>Defender</w:t>
      </w:r>
      <w:r w:rsidR="009532A8" w:rsidRPr="00511CD3">
        <w:t xml:space="preserve"> of Children and Adolescents.  In light of the standards set out in the paragraphs above </w:t>
      </w:r>
      <w:r w:rsidRPr="00511CD3">
        <w:rPr>
          <w:color w:val="000000" w:themeColor="text1"/>
        </w:rPr>
        <w:t xml:space="preserve">and </w:t>
      </w:r>
      <w:r w:rsidR="009532A8" w:rsidRPr="00511CD3">
        <w:rPr>
          <w:color w:val="000000" w:themeColor="text1"/>
        </w:rPr>
        <w:t xml:space="preserve">the applicable national </w:t>
      </w:r>
      <w:r w:rsidRPr="00511CD3">
        <w:rPr>
          <w:color w:val="000000" w:themeColor="text1"/>
        </w:rPr>
        <w:t xml:space="preserve">and </w:t>
      </w:r>
      <w:r w:rsidR="005C4B87" w:rsidRPr="00511CD3">
        <w:rPr>
          <w:color w:val="000000" w:themeColor="text1"/>
        </w:rPr>
        <w:t xml:space="preserve">provincial </w:t>
      </w:r>
      <w:r w:rsidR="009532A8" w:rsidRPr="00511CD3">
        <w:rPr>
          <w:color w:val="000000" w:themeColor="text1"/>
        </w:rPr>
        <w:t xml:space="preserve">legislation, especially the provisions of the Civil and Commercial Code, National Law </w:t>
      </w:r>
      <w:r w:rsidR="005C4B87" w:rsidRPr="00511CD3">
        <w:rPr>
          <w:color w:val="000000" w:themeColor="text1"/>
        </w:rPr>
        <w:t>24.779</w:t>
      </w:r>
      <w:r w:rsidR="009532A8" w:rsidRPr="00511CD3">
        <w:rPr>
          <w:color w:val="000000" w:themeColor="text1"/>
        </w:rPr>
        <w:t>,</w:t>
      </w:r>
      <w:r w:rsidRPr="00511CD3">
        <w:rPr>
          <w:color w:val="000000" w:themeColor="text1"/>
        </w:rPr>
        <w:t xml:space="preserve"> and </w:t>
      </w:r>
      <w:r w:rsidR="009532A8" w:rsidRPr="00511CD3">
        <w:rPr>
          <w:color w:val="000000" w:themeColor="text1"/>
        </w:rPr>
        <w:t xml:space="preserve">Articles </w:t>
      </w:r>
      <w:r w:rsidR="005C4B87" w:rsidRPr="00511CD3">
        <w:rPr>
          <w:color w:val="000000" w:themeColor="text1"/>
        </w:rPr>
        <w:t>41</w:t>
      </w:r>
      <w:r w:rsidRPr="00511CD3">
        <w:rPr>
          <w:color w:val="000000" w:themeColor="text1"/>
        </w:rPr>
        <w:t xml:space="preserve"> and </w:t>
      </w:r>
      <w:r w:rsidR="005C4B87" w:rsidRPr="00511CD3">
        <w:rPr>
          <w:color w:val="000000" w:themeColor="text1"/>
        </w:rPr>
        <w:t xml:space="preserve">45 </w:t>
      </w:r>
      <w:r w:rsidR="009532A8" w:rsidRPr="00511CD3">
        <w:rPr>
          <w:color w:val="000000" w:themeColor="text1"/>
        </w:rPr>
        <w:t>of Provincial Law</w:t>
      </w:r>
      <w:r w:rsidR="005C4B87" w:rsidRPr="00511CD3">
        <w:rPr>
          <w:color w:val="000000" w:themeColor="text1"/>
        </w:rPr>
        <w:t xml:space="preserve"> 12.967, </w:t>
      </w:r>
      <w:r w:rsidRPr="00511CD3">
        <w:rPr>
          <w:color w:val="000000" w:themeColor="text1"/>
        </w:rPr>
        <w:t>the Commission</w:t>
      </w:r>
      <w:r w:rsidR="00275482" w:rsidRPr="00511CD3">
        <w:rPr>
          <w:color w:val="000000" w:themeColor="text1"/>
        </w:rPr>
        <w:t xml:space="preserve"> </w:t>
      </w:r>
      <w:r w:rsidR="009532A8" w:rsidRPr="00511CD3">
        <w:rPr>
          <w:color w:val="000000" w:themeColor="text1"/>
        </w:rPr>
        <w:t>agrees with the</w:t>
      </w:r>
      <w:r w:rsidR="002E08A7" w:rsidRPr="00511CD3">
        <w:rPr>
          <w:color w:val="000000" w:themeColor="text1"/>
        </w:rPr>
        <w:t xml:space="preserve"> petitioners</w:t>
      </w:r>
      <w:r w:rsidR="009532A8" w:rsidRPr="00511CD3">
        <w:rPr>
          <w:color w:val="000000" w:themeColor="text1"/>
        </w:rPr>
        <w:t xml:space="preserve">’ position regarding the lack of standing on the part of the Defender to bring a guardianship and adoption action </w:t>
      </w:r>
      <w:r w:rsidRPr="00511CD3">
        <w:rPr>
          <w:color w:val="000000" w:themeColor="text1"/>
        </w:rPr>
        <w:t xml:space="preserve">and </w:t>
      </w:r>
      <w:r w:rsidR="009532A8" w:rsidRPr="00511CD3">
        <w:rPr>
          <w:color w:val="000000" w:themeColor="text1"/>
        </w:rPr>
        <w:t xml:space="preserve">adds that, except in extreme cases, giving up </w:t>
      </w:r>
      <w:r w:rsidR="00970929" w:rsidRPr="00511CD3">
        <w:rPr>
          <w:color w:val="000000" w:themeColor="text1"/>
        </w:rPr>
        <w:t xml:space="preserve">the guardianship of </w:t>
      </w:r>
      <w:r w:rsidR="009532A8" w:rsidRPr="00511CD3">
        <w:rPr>
          <w:color w:val="000000" w:themeColor="text1"/>
        </w:rPr>
        <w:t xml:space="preserve">a child for </w:t>
      </w:r>
      <w:r w:rsidR="00970929" w:rsidRPr="00511CD3">
        <w:rPr>
          <w:color w:val="000000" w:themeColor="text1"/>
        </w:rPr>
        <w:t xml:space="preserve">his/her </w:t>
      </w:r>
      <w:r w:rsidR="009532A8" w:rsidRPr="00511CD3">
        <w:rPr>
          <w:color w:val="000000" w:themeColor="text1"/>
        </w:rPr>
        <w:t>subsequent adoption is an extremely personal act in the minds of its biological parents, who must express their intent unequivocally and unconditionally</w:t>
      </w:r>
      <w:r w:rsidR="00E12CAF" w:rsidRPr="00511CD3">
        <w:t xml:space="preserve">. </w:t>
      </w:r>
    </w:p>
    <w:p w14:paraId="11D10F7A" w14:textId="77777777" w:rsidR="00F506C9" w:rsidRPr="00511CD3" w:rsidRDefault="00F506C9" w:rsidP="008429F6">
      <w:pPr>
        <w:pStyle w:val="ListParagraph"/>
        <w:numPr>
          <w:ilvl w:val="0"/>
          <w:numId w:val="0"/>
        </w:numPr>
      </w:pPr>
    </w:p>
    <w:p w14:paraId="1C4B8820" w14:textId="77777777" w:rsidR="00E5767E" w:rsidRPr="00511CD3" w:rsidRDefault="009532A8" w:rsidP="00D568AC">
      <w:pPr>
        <w:pStyle w:val="ListParagraph"/>
        <w:ind w:left="0" w:firstLine="0"/>
      </w:pPr>
      <w:r w:rsidRPr="00511CD3">
        <w:t>As indicated above, the State and, in</w:t>
      </w:r>
      <w:r w:rsidR="00E5767E" w:rsidRPr="00511CD3">
        <w:t xml:space="preserve"> particular, </w:t>
      </w:r>
      <w:r w:rsidRPr="00511CD3">
        <w:t xml:space="preserve">the judicial authorities who </w:t>
      </w:r>
      <w:r w:rsidR="00664DC0" w:rsidRPr="00511CD3">
        <w:t>adjudicate</w:t>
      </w:r>
      <w:r w:rsidR="00970929" w:rsidRPr="00511CD3">
        <w:t xml:space="preserve"> proceedings for </w:t>
      </w:r>
      <w:r w:rsidR="00664DC0" w:rsidRPr="00511CD3">
        <w:t xml:space="preserve">guardianship and custody </w:t>
      </w:r>
      <w:r w:rsidR="00970929" w:rsidRPr="00511CD3">
        <w:t xml:space="preserve">of a child </w:t>
      </w:r>
      <w:r w:rsidR="00664DC0" w:rsidRPr="00511CD3">
        <w:t>must take the necessary steps to keep them with their biological families</w:t>
      </w:r>
      <w:r w:rsidR="00E5767E" w:rsidRPr="00511CD3">
        <w:t xml:space="preserve">, </w:t>
      </w:r>
      <w:r w:rsidR="00970929" w:rsidRPr="00511CD3">
        <w:t>and may</w:t>
      </w:r>
      <w:r w:rsidR="00664DC0" w:rsidRPr="00511CD3">
        <w:t xml:space="preserve"> only separate them for reasons of their best interest.  This obligation is</w:t>
      </w:r>
      <w:r w:rsidR="009558B4" w:rsidRPr="00511CD3">
        <w:t xml:space="preserve"> </w:t>
      </w:r>
      <w:r w:rsidR="00664DC0" w:rsidRPr="00511CD3">
        <w:t>especially marked, in a case such as this, where the best interest of the mother must also be borne in mind</w:t>
      </w:r>
      <w:r w:rsidR="009558B4" w:rsidRPr="00511CD3">
        <w:t xml:space="preserve">, </w:t>
      </w:r>
      <w:r w:rsidR="00664DC0" w:rsidRPr="00511CD3">
        <w:t>who was a child at the time of the events</w:t>
      </w:r>
      <w:r w:rsidR="009558B4" w:rsidRPr="00511CD3">
        <w:t>.</w:t>
      </w:r>
    </w:p>
    <w:p w14:paraId="18B1EE12" w14:textId="77777777" w:rsidR="00E5767E" w:rsidRPr="00511CD3" w:rsidRDefault="00E5767E" w:rsidP="008429F6">
      <w:pPr>
        <w:pStyle w:val="ListParagraph"/>
        <w:numPr>
          <w:ilvl w:val="0"/>
          <w:numId w:val="0"/>
        </w:numPr>
      </w:pPr>
    </w:p>
    <w:p w14:paraId="7D06F616" w14:textId="77777777" w:rsidR="00F506C9" w:rsidRPr="00511CD3" w:rsidRDefault="00664DC0" w:rsidP="00D568AC">
      <w:pPr>
        <w:pStyle w:val="ListParagraph"/>
        <w:ind w:left="0" w:firstLine="0"/>
      </w:pPr>
      <w:r w:rsidRPr="00511CD3">
        <w:t>Nonetheless</w:t>
      </w:r>
      <w:r w:rsidR="00F506C9" w:rsidRPr="00511CD3">
        <w:t xml:space="preserve">, </w:t>
      </w:r>
      <w:r w:rsidR="00B10F4D" w:rsidRPr="00511CD3">
        <w:t>the Commission</w:t>
      </w:r>
      <w:r w:rsidR="00F506C9" w:rsidRPr="00511CD3">
        <w:t xml:space="preserve"> ha</w:t>
      </w:r>
      <w:r w:rsidRPr="00511CD3">
        <w:t xml:space="preserve">s noted that the judge in the case opened the </w:t>
      </w:r>
      <w:r w:rsidR="00A423EE" w:rsidRPr="00511CD3">
        <w:t>custodianship</w:t>
      </w:r>
      <w:r w:rsidRPr="00511CD3">
        <w:t xml:space="preserve"> and adoption file and wrote to </w:t>
      </w:r>
      <w:r w:rsidR="00F506C9" w:rsidRPr="00511CD3">
        <w:t xml:space="preserve">RUAGA </w:t>
      </w:r>
      <w:r w:rsidRPr="00511CD3">
        <w:t>to select a candidate married couple.</w:t>
      </w:r>
      <w:r w:rsidR="00F506C9" w:rsidRPr="00511CD3">
        <w:t xml:space="preserve"> </w:t>
      </w:r>
      <w:r w:rsidR="00B10F4D" w:rsidRPr="00511CD3">
        <w:t>The Commission</w:t>
      </w:r>
      <w:r w:rsidR="00F506C9" w:rsidRPr="00511CD3">
        <w:t xml:space="preserve"> </w:t>
      </w:r>
      <w:r w:rsidRPr="00511CD3">
        <w:t xml:space="preserve">underscores that the judges involved did not guarantee the right of </w:t>
      </w:r>
      <w:r w:rsidR="00F506C9" w:rsidRPr="00511CD3">
        <w:t>“María”</w:t>
      </w:r>
      <w:r w:rsidR="00B10F4D" w:rsidRPr="00511CD3">
        <w:t xml:space="preserve"> and </w:t>
      </w:r>
      <w:r w:rsidRPr="00511CD3">
        <w:t xml:space="preserve">her mother to obtain assistance and legal representation from the time they were called upon to intervene.  They did not give </w:t>
      </w:r>
      <w:r w:rsidR="0028749F" w:rsidRPr="00511CD3">
        <w:t xml:space="preserve">notification of </w:t>
      </w:r>
      <w:r w:rsidRPr="00511CD3">
        <w:t xml:space="preserve">the actions </w:t>
      </w:r>
      <w:r w:rsidR="007F6759" w:rsidRPr="00511CD3">
        <w:t>to</w:t>
      </w:r>
      <w:r w:rsidRPr="00511CD3">
        <w:t xml:space="preserve"> the duty Official Defender </w:t>
      </w:r>
      <w:r w:rsidR="00B10F4D" w:rsidRPr="00511CD3">
        <w:t xml:space="preserve">and </w:t>
      </w:r>
      <w:r w:rsidRPr="00511CD3">
        <w:t xml:space="preserve">failed to carry out actions to </w:t>
      </w:r>
      <w:r w:rsidR="00CF0721" w:rsidRPr="00511CD3">
        <w:t>exhaust</w:t>
      </w:r>
      <w:r w:rsidRPr="00511CD3">
        <w:t xml:space="preserve"> the possibilities that the yet-to-be-born child could be cared for, at least in the first months of his life, by his own mother, or even by members of </w:t>
      </w:r>
      <w:r w:rsidR="00970929" w:rsidRPr="00511CD3">
        <w:t>his</w:t>
      </w:r>
      <w:r w:rsidRPr="00511CD3">
        <w:t xml:space="preserve"> extended biological family.</w:t>
      </w:r>
    </w:p>
    <w:p w14:paraId="0F1BAA1F" w14:textId="77777777" w:rsidR="00050C17" w:rsidRPr="00511CD3" w:rsidRDefault="00050C17" w:rsidP="008429F6">
      <w:pPr>
        <w:pStyle w:val="ListParagraph"/>
        <w:numPr>
          <w:ilvl w:val="0"/>
          <w:numId w:val="0"/>
        </w:numPr>
      </w:pPr>
    </w:p>
    <w:p w14:paraId="335A321E" w14:textId="77777777" w:rsidR="00050C17" w:rsidRPr="00511CD3" w:rsidRDefault="00664DC0" w:rsidP="00D568AC">
      <w:pPr>
        <w:pStyle w:val="ListParagraph"/>
        <w:ind w:left="0" w:firstLine="0"/>
      </w:pPr>
      <w:r w:rsidRPr="00511CD3">
        <w:t xml:space="preserve">Continuing chronologically with the analysis of the events, the </w:t>
      </w:r>
      <w:r w:rsidR="00B10F4D" w:rsidRPr="00511CD3">
        <w:t>IACHR</w:t>
      </w:r>
      <w:r w:rsidR="006E04E0" w:rsidRPr="00511CD3">
        <w:t xml:space="preserve"> </w:t>
      </w:r>
      <w:r w:rsidRPr="00511CD3">
        <w:t xml:space="preserve">notes that the first file </w:t>
      </w:r>
      <w:r w:rsidR="006C7C8C" w:rsidRPr="00511CD3">
        <w:t xml:space="preserve">that </w:t>
      </w:r>
      <w:r w:rsidR="006E04E0" w:rsidRPr="00511CD3">
        <w:t xml:space="preserve">RUAGA </w:t>
      </w:r>
      <w:r w:rsidR="006C7C8C" w:rsidRPr="00511CD3">
        <w:t xml:space="preserve">sent </w:t>
      </w:r>
      <w:r w:rsidRPr="00511CD3">
        <w:t xml:space="preserve">to the court, by communication of </w:t>
      </w:r>
      <w:r w:rsidR="00B10F4D" w:rsidRPr="00511CD3">
        <w:t>August</w:t>
      </w:r>
      <w:r w:rsidR="006E04E0" w:rsidRPr="00511CD3">
        <w:t xml:space="preserve"> </w:t>
      </w:r>
      <w:r w:rsidRPr="00511CD3">
        <w:t>4,</w:t>
      </w:r>
      <w:r w:rsidR="006E04E0" w:rsidRPr="00511CD3">
        <w:t xml:space="preserve"> 2014, </w:t>
      </w:r>
      <w:r w:rsidRPr="00511CD3">
        <w:t xml:space="preserve">was that of Mr. and Mrs. </w:t>
      </w:r>
      <w:r w:rsidR="00FC666C" w:rsidRPr="00511CD3">
        <w:t>“López</w:t>
      </w:r>
      <w:r w:rsidRPr="00511CD3">
        <w:t>.”</w:t>
      </w:r>
      <w:r w:rsidR="006E04E0" w:rsidRPr="00511CD3">
        <w:t xml:space="preserve"> </w:t>
      </w:r>
      <w:r w:rsidRPr="00511CD3">
        <w:t xml:space="preserve"> The file also shows that on </w:t>
      </w:r>
      <w:r w:rsidR="00B10F4D" w:rsidRPr="00511CD3">
        <w:t>August</w:t>
      </w:r>
      <w:r w:rsidRPr="00511CD3">
        <w:t xml:space="preserve"> 22</w:t>
      </w:r>
      <w:r w:rsidR="002037D1" w:rsidRPr="00511CD3">
        <w:t xml:space="preserve">, </w:t>
      </w:r>
      <w:r w:rsidRPr="00511CD3">
        <w:t>that is</w:t>
      </w:r>
      <w:r w:rsidR="007F6759" w:rsidRPr="00511CD3">
        <w:t>,</w:t>
      </w:r>
      <w:r w:rsidRPr="00511CD3">
        <w:t xml:space="preserve"> one day before </w:t>
      </w:r>
      <w:r w:rsidR="002037D1" w:rsidRPr="00511CD3">
        <w:t>“Mariano</w:t>
      </w:r>
      <w:r w:rsidRPr="00511CD3">
        <w:t>’s</w:t>
      </w:r>
      <w:r w:rsidR="002037D1" w:rsidRPr="00511CD3">
        <w:t>”</w:t>
      </w:r>
      <w:r w:rsidRPr="00511CD3">
        <w:t xml:space="preserve"> birth</w:t>
      </w:r>
      <w:r w:rsidR="002037D1" w:rsidRPr="00511CD3">
        <w:t xml:space="preserve">, </w:t>
      </w:r>
      <w:r w:rsidR="00171706" w:rsidRPr="00511CD3">
        <w:t>the attorneys for Mr. and Mrs.</w:t>
      </w:r>
      <w:r w:rsidR="002037D1" w:rsidRPr="00511CD3">
        <w:t xml:space="preserve"> </w:t>
      </w:r>
      <w:r w:rsidR="00FC666C" w:rsidRPr="00511CD3">
        <w:t xml:space="preserve">“López” </w:t>
      </w:r>
      <w:r w:rsidR="00171706" w:rsidRPr="00511CD3">
        <w:t xml:space="preserve">submitted a document requesting the judge to authorize the couple to </w:t>
      </w:r>
      <w:r w:rsidR="00970929" w:rsidRPr="00511CD3">
        <w:t>be admitted to</w:t>
      </w:r>
      <w:r w:rsidR="00171706" w:rsidRPr="00511CD3">
        <w:t xml:space="preserve"> the maternity ward, make contact with the child, and remove him from the hospital </w:t>
      </w:r>
      <w:r w:rsidR="007F6759" w:rsidRPr="00511CD3">
        <w:t xml:space="preserve">in the capacity of </w:t>
      </w:r>
      <w:r w:rsidR="0028749F" w:rsidRPr="00511CD3">
        <w:t>custodians</w:t>
      </w:r>
      <w:r w:rsidR="00171706" w:rsidRPr="00511CD3">
        <w:t xml:space="preserve">.  That same day, the judge admitted the request in the terms requested </w:t>
      </w:r>
      <w:r w:rsidR="002037D1" w:rsidRPr="00511CD3">
        <w:t>(</w:t>
      </w:r>
      <w:r w:rsidR="00171706" w:rsidRPr="00511CD3">
        <w:t>see</w:t>
      </w:r>
      <w:r w:rsidR="002037D1" w:rsidRPr="00511CD3">
        <w:t xml:space="preserve"> </w:t>
      </w:r>
      <w:r w:rsidR="002037D1" w:rsidRPr="00511CD3">
        <w:rPr>
          <w:i/>
        </w:rPr>
        <w:t xml:space="preserve">supra </w:t>
      </w:r>
      <w:r w:rsidR="002037D1" w:rsidRPr="00511CD3">
        <w:t>par</w:t>
      </w:r>
      <w:r w:rsidR="00171706" w:rsidRPr="00511CD3">
        <w:t>.</w:t>
      </w:r>
      <w:r w:rsidR="002037D1" w:rsidRPr="00511CD3">
        <w:t xml:space="preserve"> 41)</w:t>
      </w:r>
      <w:r w:rsidR="009558B4" w:rsidRPr="00511CD3">
        <w:t xml:space="preserve">. </w:t>
      </w:r>
    </w:p>
    <w:p w14:paraId="26416DFC" w14:textId="77777777" w:rsidR="002037D1" w:rsidRPr="00511CD3" w:rsidRDefault="002037D1" w:rsidP="008429F6">
      <w:pPr>
        <w:pStyle w:val="ListParagraph"/>
        <w:numPr>
          <w:ilvl w:val="0"/>
          <w:numId w:val="0"/>
        </w:numPr>
      </w:pPr>
    </w:p>
    <w:p w14:paraId="37252228" w14:textId="77777777" w:rsidR="00D118DD" w:rsidRPr="00511CD3" w:rsidRDefault="00171706" w:rsidP="00D568AC">
      <w:pPr>
        <w:pStyle w:val="ListParagraph"/>
        <w:ind w:left="0" w:firstLine="0"/>
      </w:pPr>
      <w:r w:rsidRPr="00511CD3">
        <w:t>Regarding these events</w:t>
      </w:r>
      <w:r w:rsidR="002037D1" w:rsidRPr="00511CD3">
        <w:t xml:space="preserve">, </w:t>
      </w:r>
      <w:r w:rsidR="00B10F4D" w:rsidRPr="00511CD3">
        <w:t>the Commission</w:t>
      </w:r>
      <w:r w:rsidR="002037D1" w:rsidRPr="00511CD3">
        <w:t xml:space="preserve"> </w:t>
      </w:r>
      <w:r w:rsidRPr="00511CD3">
        <w:t xml:space="preserve">notes first, that the decision taken by the judge in the case on August </w:t>
      </w:r>
      <w:r w:rsidR="00D118DD" w:rsidRPr="00511CD3">
        <w:t>22</w:t>
      </w:r>
      <w:r w:rsidRPr="00511CD3">
        <w:t xml:space="preserve">, </w:t>
      </w:r>
      <w:r w:rsidR="00D118DD" w:rsidRPr="00511CD3">
        <w:t>2014</w:t>
      </w:r>
      <w:r w:rsidRPr="00511CD3">
        <w:t xml:space="preserve">, lacks the most basic justification.  In fact, the file shows that such a transcendentally important decision for the rights and life of </w:t>
      </w:r>
      <w:r w:rsidR="00D118DD" w:rsidRPr="00511CD3">
        <w:t>“María”</w:t>
      </w:r>
      <w:r w:rsidR="00B10F4D" w:rsidRPr="00511CD3">
        <w:t xml:space="preserve"> and </w:t>
      </w:r>
      <w:r w:rsidRPr="00511CD3">
        <w:t>her son was taken through the signature of a decree similar in form and drafting to a mere procedural decree of no more than three lines</w:t>
      </w:r>
      <w:r w:rsidR="00D118DD" w:rsidRPr="00511CD3">
        <w:t xml:space="preserve">. </w:t>
      </w:r>
      <w:r w:rsidRPr="00511CD3">
        <w:t xml:space="preserve"> As is evident, the judge not only did not evaluate </w:t>
      </w:r>
      <w:r w:rsidR="00D118DD" w:rsidRPr="00511CD3">
        <w:t>“</w:t>
      </w:r>
      <w:r w:rsidR="000D6B60" w:rsidRPr="00511CD3">
        <w:t>María</w:t>
      </w:r>
      <w:r w:rsidRPr="00511CD3">
        <w:t>’s</w:t>
      </w:r>
      <w:r w:rsidR="00D118DD" w:rsidRPr="00511CD3">
        <w:t>”</w:t>
      </w:r>
      <w:r w:rsidRPr="00511CD3">
        <w:t xml:space="preserve"> legal capacity to express her intent </w:t>
      </w:r>
      <w:r w:rsidR="007F6759" w:rsidRPr="00511CD3">
        <w:t>or</w:t>
      </w:r>
      <w:r w:rsidR="0028749F" w:rsidRPr="00511CD3">
        <w:t xml:space="preserve"> </w:t>
      </w:r>
      <w:r w:rsidRPr="00511CD3">
        <w:t xml:space="preserve">the legality of the proceedings until that time, but also did not explain the reasons why it was in the child’s best interest to give him to Mr. and Mrs. </w:t>
      </w:r>
      <w:r w:rsidR="00FC666C" w:rsidRPr="00511CD3">
        <w:t>“López</w:t>
      </w:r>
      <w:r w:rsidRPr="00511CD3">
        <w:t xml:space="preserve">.”  Neither did the judicial authority </w:t>
      </w:r>
      <w:r w:rsidR="00644602" w:rsidRPr="00511CD3">
        <w:t xml:space="preserve">order </w:t>
      </w:r>
      <w:r w:rsidR="00464172" w:rsidRPr="00511CD3">
        <w:t xml:space="preserve">the measure </w:t>
      </w:r>
      <w:r w:rsidR="00644602" w:rsidRPr="00511CD3">
        <w:t xml:space="preserve">to be </w:t>
      </w:r>
      <w:r w:rsidR="00464172" w:rsidRPr="00511CD3">
        <w:t>temporary or exceptional</w:t>
      </w:r>
      <w:r w:rsidR="009558B4" w:rsidRPr="00511CD3">
        <w:t>.</w:t>
      </w:r>
    </w:p>
    <w:p w14:paraId="269C288E" w14:textId="77777777" w:rsidR="008F51DE" w:rsidRPr="00511CD3" w:rsidRDefault="008F51DE" w:rsidP="008429F6">
      <w:pPr>
        <w:pStyle w:val="ListParagraph"/>
        <w:numPr>
          <w:ilvl w:val="0"/>
          <w:numId w:val="0"/>
        </w:numPr>
      </w:pPr>
    </w:p>
    <w:p w14:paraId="4FCCA920" w14:textId="77777777" w:rsidR="000D6B60" w:rsidRPr="00511CD3" w:rsidRDefault="00464172" w:rsidP="00D568AC">
      <w:pPr>
        <w:pStyle w:val="ListParagraph"/>
        <w:ind w:left="0" w:firstLine="0"/>
      </w:pPr>
      <w:r w:rsidRPr="00511CD3">
        <w:t>Similarly</w:t>
      </w:r>
      <w:r w:rsidR="008F51DE" w:rsidRPr="00511CD3">
        <w:t xml:space="preserve">, </w:t>
      </w:r>
      <w:r w:rsidR="00B10F4D" w:rsidRPr="00511CD3">
        <w:t>the Commission</w:t>
      </w:r>
      <w:r w:rsidR="008F51DE" w:rsidRPr="00511CD3">
        <w:t xml:space="preserve"> </w:t>
      </w:r>
      <w:r w:rsidRPr="00511CD3">
        <w:t xml:space="preserve">notes that the </w:t>
      </w:r>
      <w:r w:rsidR="00583ED3" w:rsidRPr="00511CD3">
        <w:t xml:space="preserve">complexity and seriousness of the matter that the judge in the case was being called upon to decide warranted an in-depth analysis and profound development of how the rights at stake were to be balanced.  The problem existing as of August </w:t>
      </w:r>
      <w:r w:rsidR="008F51DE" w:rsidRPr="00511CD3">
        <w:t>22</w:t>
      </w:r>
      <w:r w:rsidR="00583ED3" w:rsidRPr="00511CD3">
        <w:t>,</w:t>
      </w:r>
      <w:r w:rsidR="008F51DE" w:rsidRPr="00511CD3">
        <w:t xml:space="preserve"> 2014</w:t>
      </w:r>
      <w:r w:rsidR="00583ED3" w:rsidRPr="00511CD3">
        <w:t>, was not simpl</w:t>
      </w:r>
      <w:r w:rsidR="006C7C8C" w:rsidRPr="00511CD3">
        <w:t>e</w:t>
      </w:r>
      <w:r w:rsidR="00583ED3" w:rsidRPr="00511CD3">
        <w:t xml:space="preserve"> to resolve.  On the one hand, the articles of the Civil Code in force at the time of the events did not expressly </w:t>
      </w:r>
      <w:r w:rsidR="006C7C8C" w:rsidRPr="00511CD3">
        <w:t xml:space="preserve">define </w:t>
      </w:r>
      <w:r w:rsidR="00583ED3" w:rsidRPr="00511CD3">
        <w:t xml:space="preserve">the concept of </w:t>
      </w:r>
      <w:r w:rsidR="007F6759" w:rsidRPr="00511CD3">
        <w:t xml:space="preserve">provisional guardianship </w:t>
      </w:r>
      <w:r w:rsidR="0028749F" w:rsidRPr="00511CD3">
        <w:t>invoke</w:t>
      </w:r>
      <w:r w:rsidR="00583ED3" w:rsidRPr="00511CD3">
        <w:t xml:space="preserve">d by the attorneys </w:t>
      </w:r>
      <w:r w:rsidR="0028749F" w:rsidRPr="00511CD3">
        <w:t>for</w:t>
      </w:r>
      <w:r w:rsidR="00583ED3" w:rsidRPr="00511CD3">
        <w:t xml:space="preserve"> Mr. and Mrs. </w:t>
      </w:r>
      <w:r w:rsidR="0076735F" w:rsidRPr="00511CD3">
        <w:t>“</w:t>
      </w:r>
      <w:r w:rsidR="00AA7E1A" w:rsidRPr="00511CD3">
        <w:t>López</w:t>
      </w:r>
      <w:r w:rsidR="006C7C8C" w:rsidRPr="00511CD3">
        <w:t>,</w:t>
      </w:r>
      <w:r w:rsidR="0076735F" w:rsidRPr="00511CD3">
        <w:t>”</w:t>
      </w:r>
      <w:r w:rsidR="00B10F4D" w:rsidRPr="00511CD3">
        <w:t xml:space="preserve"> and </w:t>
      </w:r>
      <w:r w:rsidR="00583ED3" w:rsidRPr="00511CD3">
        <w:t xml:space="preserve">Article </w:t>
      </w:r>
      <w:r w:rsidR="008F51DE" w:rsidRPr="00511CD3">
        <w:t>317</w:t>
      </w:r>
      <w:r w:rsidR="00583ED3" w:rsidRPr="00511CD3">
        <w:t>.a thereof provided that consent for preadoption guardianship had to be given by one or both of the child’</w:t>
      </w:r>
      <w:r w:rsidR="008F51DE" w:rsidRPr="00511CD3">
        <w:t xml:space="preserve">s </w:t>
      </w:r>
      <w:r w:rsidR="00583ED3" w:rsidRPr="00511CD3">
        <w:t xml:space="preserve">biological parents at a hearing convened by the judge </w:t>
      </w:r>
      <w:r w:rsidR="00C471FF" w:rsidRPr="00511CD3">
        <w:t xml:space="preserve">within </w:t>
      </w:r>
      <w:r w:rsidR="00583ED3" w:rsidRPr="00511CD3">
        <w:t>60 days</w:t>
      </w:r>
      <w:r w:rsidR="006C7C8C" w:rsidRPr="00511CD3">
        <w:t xml:space="preserve"> </w:t>
      </w:r>
      <w:r w:rsidR="00C471FF" w:rsidRPr="00511CD3">
        <w:t>of</w:t>
      </w:r>
      <w:r w:rsidR="006C7C8C" w:rsidRPr="00511CD3">
        <w:t xml:space="preserve"> the </w:t>
      </w:r>
      <w:r w:rsidR="00583ED3" w:rsidRPr="00511CD3">
        <w:t>birth</w:t>
      </w:r>
      <w:r w:rsidR="006C7C8C" w:rsidRPr="00511CD3">
        <w:t xml:space="preserve">, </w:t>
      </w:r>
      <w:r w:rsidR="00583ED3" w:rsidRPr="00511CD3">
        <w:t>not</w:t>
      </w:r>
      <w:r w:rsidR="00C471FF" w:rsidRPr="00511CD3">
        <w:t xml:space="preserve"> prior to </w:t>
      </w:r>
      <w:r w:rsidR="00583ED3" w:rsidRPr="00511CD3">
        <w:t>it.  Moreover, according to the information then available in the file</w:t>
      </w:r>
      <w:r w:rsidR="000D6B60" w:rsidRPr="00511CD3">
        <w:t>, “</w:t>
      </w:r>
      <w:r w:rsidR="0099633B" w:rsidRPr="00511CD3">
        <w:t>María</w:t>
      </w:r>
      <w:r w:rsidR="000D6B60" w:rsidRPr="00511CD3">
        <w:t xml:space="preserve">” </w:t>
      </w:r>
      <w:r w:rsidR="00583ED3" w:rsidRPr="00511CD3">
        <w:t>was a vulnerable child coping with a pregnancy</w:t>
      </w:r>
      <w:r w:rsidR="00F14B4D">
        <w:t xml:space="preserve">. </w:t>
      </w:r>
    </w:p>
    <w:p w14:paraId="79810CC9" w14:textId="77777777" w:rsidR="000D6B60" w:rsidRPr="00511CD3" w:rsidRDefault="000D6B60" w:rsidP="008429F6">
      <w:pPr>
        <w:pStyle w:val="ListParagraph"/>
        <w:numPr>
          <w:ilvl w:val="0"/>
          <w:numId w:val="0"/>
        </w:numPr>
      </w:pPr>
    </w:p>
    <w:p w14:paraId="66D464E4" w14:textId="77777777" w:rsidR="00D118DD" w:rsidRPr="00511CD3" w:rsidRDefault="00B10F4D" w:rsidP="00D568AC">
      <w:pPr>
        <w:pStyle w:val="ListParagraph"/>
        <w:ind w:left="0" w:firstLine="0"/>
      </w:pPr>
      <w:r w:rsidRPr="00511CD3">
        <w:t>The Commission</w:t>
      </w:r>
      <w:r w:rsidR="000D6B60" w:rsidRPr="00511CD3">
        <w:t xml:space="preserve"> ha</w:t>
      </w:r>
      <w:r w:rsidR="00583ED3" w:rsidRPr="00511CD3">
        <w:t xml:space="preserve">s noted that similar cases were handled by other Argentine courts in a manner consistent with the guarantees of due process </w:t>
      </w:r>
      <w:r w:rsidRPr="00511CD3">
        <w:t xml:space="preserve">and </w:t>
      </w:r>
      <w:r w:rsidR="00583ED3" w:rsidRPr="00511CD3">
        <w:t xml:space="preserve">the duty to give </w:t>
      </w:r>
      <w:r w:rsidR="006C7C8C" w:rsidRPr="00511CD3">
        <w:t>reasons</w:t>
      </w:r>
      <w:r w:rsidR="00583ED3" w:rsidRPr="00511CD3">
        <w:t xml:space="preserve"> for judicial decisions.  For example, in the case of </w:t>
      </w:r>
      <w:r w:rsidR="000D6B60" w:rsidRPr="00511CD3">
        <w:t>"N. M. R. S/ SITUACION DE N.N.A</w:t>
      </w:r>
      <w:r w:rsidR="00583ED3" w:rsidRPr="00511CD3">
        <w:t>.,</w:t>
      </w:r>
      <w:r w:rsidR="000D6B60" w:rsidRPr="00511CD3">
        <w:t>"</w:t>
      </w:r>
      <w:r w:rsidR="00A0081E" w:rsidRPr="00511CD3">
        <w:rPr>
          <w:rStyle w:val="FootnoteReference"/>
        </w:rPr>
        <w:footnoteReference w:id="131"/>
      </w:r>
      <w:r w:rsidR="000D6B60" w:rsidRPr="00511CD3">
        <w:t xml:space="preserve"> </w:t>
      </w:r>
      <w:r w:rsidR="00583ED3" w:rsidRPr="00511CD3">
        <w:t xml:space="preserve">issued by the Family Court of </w:t>
      </w:r>
      <w:r w:rsidR="000D6B60" w:rsidRPr="00511CD3">
        <w:t xml:space="preserve">Paso de los Libres, Corrientes, </w:t>
      </w:r>
      <w:r w:rsidR="00583ED3" w:rsidRPr="00511CD3">
        <w:t>the judge in the case first became personally acquainted with the pregnant adolescent and liste</w:t>
      </w:r>
      <w:r w:rsidR="006C7C8C" w:rsidRPr="00511CD3">
        <w:t>ne</w:t>
      </w:r>
      <w:r w:rsidR="00583ED3" w:rsidRPr="00511CD3">
        <w:t>d to her position</w:t>
      </w:r>
      <w:r w:rsidR="00A0081E" w:rsidRPr="00511CD3">
        <w:t xml:space="preserve">; </w:t>
      </w:r>
      <w:r w:rsidR="00583ED3" w:rsidRPr="00511CD3">
        <w:t xml:space="preserve">also guaranteed participation by the Office of the </w:t>
      </w:r>
      <w:r w:rsidR="0002664E" w:rsidRPr="00511CD3">
        <w:t>Counselor</w:t>
      </w:r>
      <w:r w:rsidR="00C71E87" w:rsidRPr="00511CD3">
        <w:t xml:space="preserve"> </w:t>
      </w:r>
      <w:r w:rsidR="00583ED3" w:rsidRPr="00511CD3">
        <w:t xml:space="preserve">for Minors, and, lastly, in her judgment </w:t>
      </w:r>
      <w:r w:rsidR="00C71E87" w:rsidRPr="00511CD3">
        <w:t xml:space="preserve">provided </w:t>
      </w:r>
      <w:r w:rsidR="0099168A" w:rsidRPr="00511CD3">
        <w:t xml:space="preserve">in-depth </w:t>
      </w:r>
      <w:r w:rsidR="00C71E87" w:rsidRPr="00511CD3">
        <w:t xml:space="preserve">the </w:t>
      </w:r>
      <w:r w:rsidR="0099168A" w:rsidRPr="00511CD3">
        <w:t>legal reasons why it was appropriate</w:t>
      </w:r>
      <w:r w:rsidR="00C71E87" w:rsidRPr="00511CD3">
        <w:t xml:space="preserve"> to depart from </w:t>
      </w:r>
      <w:r w:rsidR="0099168A" w:rsidRPr="00511CD3">
        <w:t>the leg</w:t>
      </w:r>
      <w:r w:rsidR="00C71E87" w:rsidRPr="00511CD3">
        <w:t>al requirement of a minimum period</w:t>
      </w:r>
      <w:r w:rsidR="0099168A" w:rsidRPr="00511CD3">
        <w:t xml:space="preserve"> to deem valid the consent of an adolescent mother to give up </w:t>
      </w:r>
      <w:r w:rsidR="00C71E87" w:rsidRPr="00511CD3">
        <w:t xml:space="preserve">for guardianship </w:t>
      </w:r>
      <w:r w:rsidR="0099168A" w:rsidRPr="00511CD3">
        <w:t>her yet-to-be-born child.  That judgment also clarified, precisely and unambiguously</w:t>
      </w:r>
      <w:r w:rsidR="00A0081E" w:rsidRPr="00511CD3">
        <w:t xml:space="preserve">, </w:t>
      </w:r>
      <w:r w:rsidR="0099168A" w:rsidRPr="00511CD3">
        <w:t xml:space="preserve">that the measure for provisional personal care immediately after the birth given to the married couple selected was conditional upon confirmation of the child’s mother </w:t>
      </w:r>
      <w:r w:rsidR="00C71E87" w:rsidRPr="00511CD3">
        <w:t xml:space="preserve">consent at the time </w:t>
      </w:r>
      <w:r w:rsidR="0099168A" w:rsidRPr="00511CD3">
        <w:t xml:space="preserve">established by the Civil Code </w:t>
      </w:r>
      <w:r w:rsidR="0028749F" w:rsidRPr="00511CD3">
        <w:t xml:space="preserve">for awarding </w:t>
      </w:r>
      <w:r w:rsidR="0099168A" w:rsidRPr="00511CD3">
        <w:t>preadoption guardianship</w:t>
      </w:r>
      <w:r w:rsidR="00A0081E" w:rsidRPr="00511CD3">
        <w:t xml:space="preserve">. </w:t>
      </w:r>
    </w:p>
    <w:p w14:paraId="7D2F71FD" w14:textId="77777777" w:rsidR="000A4D09" w:rsidRPr="00511CD3" w:rsidRDefault="000A4D09" w:rsidP="008429F6">
      <w:pPr>
        <w:pStyle w:val="ListParagraph"/>
        <w:numPr>
          <w:ilvl w:val="0"/>
          <w:numId w:val="0"/>
        </w:numPr>
      </w:pPr>
    </w:p>
    <w:p w14:paraId="2034FE15" w14:textId="77777777" w:rsidR="00D118DD" w:rsidRPr="00511CD3" w:rsidRDefault="0099168A" w:rsidP="00D568AC">
      <w:pPr>
        <w:pStyle w:val="ListParagraph"/>
        <w:ind w:left="0" w:firstLine="0"/>
      </w:pPr>
      <w:r w:rsidRPr="00511CD3">
        <w:t>Lastly</w:t>
      </w:r>
      <w:r w:rsidR="0099633B" w:rsidRPr="00511CD3">
        <w:t xml:space="preserve">, </w:t>
      </w:r>
      <w:r w:rsidR="00B10F4D" w:rsidRPr="00511CD3">
        <w:t>the Commission</w:t>
      </w:r>
      <w:r w:rsidR="001E6E31" w:rsidRPr="00511CD3">
        <w:t xml:space="preserve"> </w:t>
      </w:r>
      <w:r w:rsidRPr="00511CD3">
        <w:t>notes the lack of participation by “María” and her mother in the judicial proce</w:t>
      </w:r>
      <w:r w:rsidR="007F6759" w:rsidRPr="00511CD3">
        <w:t>edings</w:t>
      </w:r>
      <w:r w:rsidRPr="00511CD3">
        <w:t xml:space="preserve">.  According to the </w:t>
      </w:r>
      <w:r w:rsidR="00C71E87" w:rsidRPr="00511CD3">
        <w:t>records o</w:t>
      </w:r>
      <w:r w:rsidRPr="00511CD3">
        <w:t xml:space="preserve">n the file, no judicial official contacted the girl in the more than three weeks between when the Office of the Defender brought the action and </w:t>
      </w:r>
      <w:r w:rsidR="00965997" w:rsidRPr="00511CD3">
        <w:t>“Mariano</w:t>
      </w:r>
      <w:r w:rsidRPr="00511CD3">
        <w:t>’s” birth</w:t>
      </w:r>
      <w:r w:rsidR="00965997" w:rsidRPr="00511CD3">
        <w:t xml:space="preserve">. </w:t>
      </w:r>
      <w:r w:rsidR="00985981" w:rsidRPr="00511CD3">
        <w:t xml:space="preserve">The girl’s only participation in the proceedings shown on the file until the time of the birth was the document of July </w:t>
      </w:r>
      <w:r w:rsidR="00965997" w:rsidRPr="00511CD3">
        <w:t>23</w:t>
      </w:r>
      <w:r w:rsidR="00985981" w:rsidRPr="00511CD3">
        <w:t>,</w:t>
      </w:r>
      <w:r w:rsidR="00965997" w:rsidRPr="00511CD3">
        <w:t xml:space="preserve"> 2014</w:t>
      </w:r>
      <w:r w:rsidR="00985981" w:rsidRPr="00511CD3">
        <w:t>,</w:t>
      </w:r>
      <w:r w:rsidR="00965997" w:rsidRPr="00511CD3">
        <w:t xml:space="preserve"> </w:t>
      </w:r>
      <w:r w:rsidR="00985981" w:rsidRPr="00511CD3">
        <w:t>in which</w:t>
      </w:r>
      <w:r w:rsidR="000A4D09" w:rsidRPr="00511CD3">
        <w:t xml:space="preserve">, </w:t>
      </w:r>
      <w:r w:rsidR="00985981" w:rsidRPr="00511CD3">
        <w:t>in a note she clearly had not written</w:t>
      </w:r>
      <w:r w:rsidR="000A4D09" w:rsidRPr="00511CD3">
        <w:t xml:space="preserve">, </w:t>
      </w:r>
      <w:r w:rsidR="00985981" w:rsidRPr="00511CD3">
        <w:t>she expressed her intent to give the child up for adoption</w:t>
      </w:r>
      <w:r w:rsidR="000A4D09" w:rsidRPr="00511CD3">
        <w:t>. Ad</w:t>
      </w:r>
      <w:r w:rsidR="009A147A" w:rsidRPr="00511CD3">
        <w:t>di</w:t>
      </w:r>
      <w:r w:rsidR="00CF0721" w:rsidRPr="00511CD3">
        <w:t>ti</w:t>
      </w:r>
      <w:r w:rsidR="009A147A" w:rsidRPr="00511CD3">
        <w:t xml:space="preserve">onally, as indicated above, the decision to give the child to Mr. and Mrs. </w:t>
      </w:r>
      <w:r w:rsidR="00AA7E1A" w:rsidRPr="00511CD3">
        <w:t>“López</w:t>
      </w:r>
      <w:r w:rsidR="0076735F" w:rsidRPr="00511CD3">
        <w:t>”</w:t>
      </w:r>
      <w:r w:rsidR="009A147A" w:rsidRPr="00511CD3">
        <w:t xml:space="preserve"> was taken </w:t>
      </w:r>
      <w:r w:rsidR="00965997" w:rsidRPr="00511CD3">
        <w:rPr>
          <w:i/>
        </w:rPr>
        <w:t>inaudita parte</w:t>
      </w:r>
      <w:r w:rsidR="00B10F4D" w:rsidRPr="00511CD3">
        <w:t xml:space="preserve"> and </w:t>
      </w:r>
      <w:r w:rsidR="00C71E87" w:rsidRPr="00511CD3">
        <w:t>María’s only meeting with the couple</w:t>
      </w:r>
      <w:r w:rsidR="009A147A" w:rsidRPr="00511CD3">
        <w:t xml:space="preserve"> before the birth was at the Office of the Defender, at “</w:t>
      </w:r>
      <w:r w:rsidR="000A4D09" w:rsidRPr="00511CD3">
        <w:t>María</w:t>
      </w:r>
      <w:r w:rsidR="009A147A" w:rsidRPr="00511CD3">
        <w:t>’s</w:t>
      </w:r>
      <w:r w:rsidR="000A4D09" w:rsidRPr="00511CD3">
        <w:t>”</w:t>
      </w:r>
      <w:r w:rsidR="009A147A" w:rsidRPr="00511CD3">
        <w:t xml:space="preserve"> request</w:t>
      </w:r>
      <w:r w:rsidR="000A4D09" w:rsidRPr="00511CD3">
        <w:t xml:space="preserve">. </w:t>
      </w:r>
    </w:p>
    <w:p w14:paraId="2C04392E" w14:textId="77777777" w:rsidR="009558B4" w:rsidRPr="00511CD3" w:rsidRDefault="009558B4" w:rsidP="008429F6">
      <w:pPr>
        <w:pStyle w:val="ListParagraph"/>
        <w:numPr>
          <w:ilvl w:val="0"/>
          <w:numId w:val="0"/>
        </w:numPr>
      </w:pPr>
    </w:p>
    <w:p w14:paraId="3912737A" w14:textId="77777777" w:rsidR="009558B4" w:rsidRPr="00511CD3" w:rsidRDefault="009A147A" w:rsidP="00D568AC">
      <w:pPr>
        <w:pStyle w:val="ListParagraph"/>
        <w:ind w:left="0" w:firstLine="0"/>
      </w:pPr>
      <w:r w:rsidRPr="00511CD3">
        <w:t>In that regard</w:t>
      </w:r>
      <w:r w:rsidR="009558B4" w:rsidRPr="00511CD3">
        <w:t xml:space="preserve">, </w:t>
      </w:r>
      <w:r w:rsidR="00B10F4D" w:rsidRPr="00511CD3">
        <w:t>the Commission</w:t>
      </w:r>
      <w:r w:rsidR="009558B4" w:rsidRPr="00511CD3">
        <w:t xml:space="preserve"> </w:t>
      </w:r>
      <w:r w:rsidRPr="00511CD3">
        <w:t xml:space="preserve">notes that both the judicial decisions to initiate the declaration of adoptability and the separation of </w:t>
      </w:r>
      <w:r w:rsidR="00282E69" w:rsidRPr="00511CD3">
        <w:t>“</w:t>
      </w:r>
      <w:r w:rsidR="00B406E1" w:rsidRPr="00511CD3">
        <w:t>Mariano</w:t>
      </w:r>
      <w:r w:rsidR="00282E69" w:rsidRPr="00511CD3">
        <w:t>”</w:t>
      </w:r>
      <w:r w:rsidR="00B406E1" w:rsidRPr="00511CD3">
        <w:t xml:space="preserve"> </w:t>
      </w:r>
      <w:r w:rsidRPr="00511CD3">
        <w:t>from his mother were actions incompatible with the obligatio</w:t>
      </w:r>
      <w:r w:rsidR="00C471FF" w:rsidRPr="00511CD3">
        <w:t>ns of the State to guarantee their</w:t>
      </w:r>
      <w:r w:rsidRPr="00511CD3">
        <w:t xml:space="preserve"> rights </w:t>
      </w:r>
      <w:r w:rsidR="00C471FF" w:rsidRPr="00511CD3">
        <w:t xml:space="preserve">as </w:t>
      </w:r>
      <w:r w:rsidR="007F6759" w:rsidRPr="00511CD3">
        <w:t xml:space="preserve">they have been </w:t>
      </w:r>
      <w:r w:rsidR="00C471FF" w:rsidRPr="00511CD3">
        <w:t>described</w:t>
      </w:r>
      <w:r w:rsidRPr="00511CD3">
        <w:t xml:space="preserve"> in the paragraphs above</w:t>
      </w:r>
      <w:r w:rsidR="00B406E1" w:rsidRPr="00511CD3">
        <w:t>.</w:t>
      </w:r>
      <w:r w:rsidR="00C71E87" w:rsidRPr="00511CD3">
        <w:t xml:space="preserve"> </w:t>
      </w:r>
    </w:p>
    <w:p w14:paraId="13E4DA07" w14:textId="77777777" w:rsidR="00122796" w:rsidRPr="00511CD3" w:rsidRDefault="00122796" w:rsidP="008429F6">
      <w:pPr>
        <w:jc w:val="both"/>
        <w:rPr>
          <w:rFonts w:ascii="Cambria" w:hAnsi="Cambria"/>
          <w:b/>
          <w:iCs/>
          <w:sz w:val="20"/>
          <w:szCs w:val="20"/>
        </w:rPr>
      </w:pPr>
    </w:p>
    <w:p w14:paraId="4D8CF5B1" w14:textId="77777777" w:rsidR="00122796" w:rsidRPr="00511CD3" w:rsidRDefault="007F3CD4" w:rsidP="00C71E87">
      <w:pPr>
        <w:pStyle w:val="ListParagraph"/>
        <w:numPr>
          <w:ilvl w:val="0"/>
          <w:numId w:val="0"/>
        </w:numPr>
        <w:ind w:left="567"/>
        <w:rPr>
          <w:b/>
        </w:rPr>
      </w:pPr>
      <w:r w:rsidRPr="00511CD3">
        <w:rPr>
          <w:b/>
        </w:rPr>
        <w:t>-</w:t>
      </w:r>
      <w:r w:rsidRPr="00511CD3">
        <w:rPr>
          <w:b/>
        </w:rPr>
        <w:tab/>
      </w:r>
      <w:r w:rsidR="00A43F10" w:rsidRPr="00511CD3">
        <w:rPr>
          <w:b/>
        </w:rPr>
        <w:t>The Forensic Physician’s Office</w:t>
      </w:r>
      <w:r w:rsidR="007E2B60" w:rsidRPr="00511CD3">
        <w:rPr>
          <w:b/>
        </w:rPr>
        <w:t xml:space="preserve"> report</w:t>
      </w:r>
    </w:p>
    <w:p w14:paraId="33BA5527" w14:textId="77777777" w:rsidR="00042A0C" w:rsidRPr="00511CD3" w:rsidRDefault="00042A0C" w:rsidP="008429F6">
      <w:pPr>
        <w:jc w:val="both"/>
        <w:rPr>
          <w:rFonts w:ascii="Cambria" w:eastAsia="Arial Unicode MS" w:hAnsi="Cambria"/>
          <w:iCs/>
          <w:sz w:val="20"/>
          <w:szCs w:val="20"/>
          <w:bdr w:val="nil"/>
        </w:rPr>
      </w:pPr>
    </w:p>
    <w:p w14:paraId="0E618872" w14:textId="77777777" w:rsidR="005A3574" w:rsidRPr="00511CD3" w:rsidRDefault="00F03F14" w:rsidP="00D568AC">
      <w:pPr>
        <w:pStyle w:val="ListParagraph"/>
        <w:ind w:left="0" w:firstLine="0"/>
      </w:pPr>
      <w:r w:rsidRPr="00511CD3">
        <w:lastRenderedPageBreak/>
        <w:t xml:space="preserve">After </w:t>
      </w:r>
      <w:r w:rsidR="0002107B" w:rsidRPr="00511CD3">
        <w:t>“Mariano</w:t>
      </w:r>
      <w:r w:rsidRPr="00511CD3">
        <w:t>’s” birth and h</w:t>
      </w:r>
      <w:r w:rsidR="00C471FF" w:rsidRPr="00511CD3">
        <w:t xml:space="preserve">is care </w:t>
      </w:r>
      <w:r w:rsidRPr="00511CD3">
        <w:t xml:space="preserve">had been </w:t>
      </w:r>
      <w:r w:rsidR="00C471FF" w:rsidRPr="00511CD3">
        <w:t xml:space="preserve">assigned </w:t>
      </w:r>
      <w:r w:rsidRPr="00511CD3">
        <w:t>given to Mr. and Mrs.</w:t>
      </w:r>
      <w:r w:rsidR="000B1D5B" w:rsidRPr="00511CD3">
        <w:t xml:space="preserve"> </w:t>
      </w:r>
      <w:r w:rsidR="00282E69" w:rsidRPr="00511CD3">
        <w:t>“López</w:t>
      </w:r>
      <w:r w:rsidRPr="00511CD3">
        <w:t>,</w:t>
      </w:r>
      <w:r w:rsidR="00282E69" w:rsidRPr="00511CD3">
        <w:t>”</w:t>
      </w:r>
      <w:r w:rsidRPr="00511CD3">
        <w:t xml:space="preserve"> </w:t>
      </w:r>
      <w:r w:rsidR="00DF67A3" w:rsidRPr="00511CD3">
        <w:t>the file shows</w:t>
      </w:r>
      <w:r w:rsidR="00C471FF" w:rsidRPr="00511CD3">
        <w:t xml:space="preserve"> </w:t>
      </w:r>
      <w:r w:rsidRPr="00511CD3">
        <w:t>that the judge ordered, on</w:t>
      </w:r>
      <w:r w:rsidR="000B1D5B" w:rsidRPr="00511CD3">
        <w:t xml:space="preserve"> </w:t>
      </w:r>
      <w:r w:rsidR="00B10F4D" w:rsidRPr="00511CD3">
        <w:t>August</w:t>
      </w:r>
      <w:r w:rsidR="000B1D5B" w:rsidRPr="00511CD3">
        <w:t xml:space="preserve"> </w:t>
      </w:r>
      <w:r w:rsidRPr="00511CD3">
        <w:t>27,</w:t>
      </w:r>
      <w:r w:rsidR="000B1D5B" w:rsidRPr="00511CD3">
        <w:t xml:space="preserve"> 2014, “María”</w:t>
      </w:r>
      <w:r w:rsidR="00B10F4D" w:rsidRPr="00511CD3">
        <w:t xml:space="preserve"> and </w:t>
      </w:r>
      <w:r w:rsidRPr="00511CD3">
        <w:t xml:space="preserve">her mother to appear at the office of the Forensic Physician for examination by a doctor to determine whether they were able to understand the legal significance of giving a child up for guardianship with the aim of adoption. This step took place on December </w:t>
      </w:r>
      <w:r w:rsidR="000B1D5B" w:rsidRPr="00511CD3">
        <w:t>15</w:t>
      </w:r>
      <w:r w:rsidRPr="00511CD3">
        <w:t xml:space="preserve">, </w:t>
      </w:r>
      <w:r w:rsidR="000B1D5B" w:rsidRPr="00511CD3">
        <w:t>2014</w:t>
      </w:r>
      <w:r w:rsidRPr="00511CD3">
        <w:t xml:space="preserve">, and resulted in a report establishing that </w:t>
      </w:r>
      <w:r w:rsidR="000B1D5B" w:rsidRPr="00511CD3">
        <w:t>“</w:t>
      </w:r>
      <w:r w:rsidR="005A3574" w:rsidRPr="00511CD3">
        <w:t>María</w:t>
      </w:r>
      <w:r w:rsidR="000B1D5B" w:rsidRPr="00511CD3">
        <w:t xml:space="preserve">” </w:t>
      </w:r>
      <w:r w:rsidRPr="00511CD3">
        <w:t>manifested a selective emotional block which, in addition to her young age, prevented her from understanding the scope of the act of giv</w:t>
      </w:r>
      <w:r w:rsidR="00DF67A3" w:rsidRPr="00511CD3">
        <w:t xml:space="preserve">ing </w:t>
      </w:r>
      <w:r w:rsidRPr="00511CD3">
        <w:t>up her child.</w:t>
      </w:r>
    </w:p>
    <w:p w14:paraId="4EBC37A2" w14:textId="77777777" w:rsidR="005A3574" w:rsidRPr="00511CD3" w:rsidRDefault="005A3574" w:rsidP="008429F6">
      <w:pPr>
        <w:pStyle w:val="ListParagraph"/>
        <w:numPr>
          <w:ilvl w:val="0"/>
          <w:numId w:val="0"/>
        </w:numPr>
      </w:pPr>
    </w:p>
    <w:p w14:paraId="25AF20DD" w14:textId="77777777" w:rsidR="005A3574" w:rsidRPr="00511CD3" w:rsidRDefault="000B1D5B" w:rsidP="00D568AC">
      <w:pPr>
        <w:pStyle w:val="ListParagraph"/>
        <w:ind w:left="0" w:firstLine="0"/>
      </w:pPr>
      <w:r w:rsidRPr="00511CD3">
        <w:t>Re</w:t>
      </w:r>
      <w:r w:rsidR="00F03F14" w:rsidRPr="00511CD3">
        <w:t>garding these procedural</w:t>
      </w:r>
      <w:r w:rsidR="00C471FF" w:rsidRPr="00511CD3">
        <w:t xml:space="preserve"> acts</w:t>
      </w:r>
      <w:r w:rsidRPr="00511CD3">
        <w:t xml:space="preserve">, </w:t>
      </w:r>
      <w:r w:rsidR="00B10F4D" w:rsidRPr="00511CD3">
        <w:t>the Commission</w:t>
      </w:r>
      <w:r w:rsidRPr="00511CD3">
        <w:t xml:space="preserve"> consider</w:t>
      </w:r>
      <w:r w:rsidR="00F03F14" w:rsidRPr="00511CD3">
        <w:t>s it timely to underscore two aspects</w:t>
      </w:r>
      <w:r w:rsidRPr="00511CD3">
        <w:t xml:space="preserve">. </w:t>
      </w:r>
      <w:r w:rsidR="00F03F14" w:rsidRPr="00511CD3">
        <w:t>First, until that time, neither</w:t>
      </w:r>
      <w:r w:rsidRPr="00511CD3">
        <w:t xml:space="preserve"> “</w:t>
      </w:r>
      <w:r w:rsidR="005A3574" w:rsidRPr="00511CD3">
        <w:t>María</w:t>
      </w:r>
      <w:r w:rsidRPr="00511CD3">
        <w:t>” n</w:t>
      </w:r>
      <w:r w:rsidR="00F03F14" w:rsidRPr="00511CD3">
        <w:t xml:space="preserve">or her mother </w:t>
      </w:r>
      <w:r w:rsidR="007F6759" w:rsidRPr="00511CD3">
        <w:t xml:space="preserve">had </w:t>
      </w:r>
      <w:r w:rsidR="00F03F14" w:rsidRPr="00511CD3">
        <w:t>had legal assistance or assistance from the official defender</w:t>
      </w:r>
      <w:r w:rsidR="00490F45" w:rsidRPr="00511CD3">
        <w:t xml:space="preserve"> </w:t>
      </w:r>
      <w:r w:rsidR="007F6759" w:rsidRPr="00511CD3">
        <w:t xml:space="preserve">assisgned to </w:t>
      </w:r>
      <w:r w:rsidR="00490F45" w:rsidRPr="00511CD3">
        <w:t>them</w:t>
      </w:r>
      <w:r w:rsidR="002B4C80" w:rsidRPr="00511CD3">
        <w:t xml:space="preserve">. </w:t>
      </w:r>
      <w:r w:rsidR="00F03F14" w:rsidRPr="00511CD3">
        <w:t xml:space="preserve">In fact, it was only at the hearing of March 2, </w:t>
      </w:r>
      <w:r w:rsidR="00A603B6" w:rsidRPr="00511CD3">
        <w:t xml:space="preserve">2015 </w:t>
      </w:r>
      <w:r w:rsidR="00F03F14" w:rsidRPr="00511CD3">
        <w:t>–</w:t>
      </w:r>
      <w:r w:rsidR="002B4C80" w:rsidRPr="00511CD3">
        <w:t xml:space="preserve"> conv</w:t>
      </w:r>
      <w:r w:rsidR="00F03F14" w:rsidRPr="00511CD3">
        <w:t xml:space="preserve">ened based on </w:t>
      </w:r>
      <w:r w:rsidR="00CF0721" w:rsidRPr="00511CD3">
        <w:t>the</w:t>
      </w:r>
      <w:r w:rsidR="00F03F14" w:rsidRPr="00511CD3">
        <w:t xml:space="preserve"> forensic physician’s report,</w:t>
      </w:r>
      <w:r w:rsidR="00B10F4D" w:rsidRPr="00511CD3">
        <w:t xml:space="preserve"> </w:t>
      </w:r>
      <w:r w:rsidR="00F03F14" w:rsidRPr="00511CD3">
        <w:t xml:space="preserve">to which the </w:t>
      </w:r>
      <w:r w:rsidR="00B10F4D" w:rsidRPr="00511CD3">
        <w:t>Commission</w:t>
      </w:r>
      <w:r w:rsidR="002B4C80" w:rsidRPr="00511CD3">
        <w:t xml:space="preserve"> </w:t>
      </w:r>
      <w:r w:rsidR="00F03F14" w:rsidRPr="00511CD3">
        <w:t>will refer in paragraphs below</w:t>
      </w:r>
      <w:r w:rsidR="002B4C80" w:rsidRPr="00511CD3">
        <w:t xml:space="preserve"> –</w:t>
      </w:r>
      <w:r w:rsidR="005A3574" w:rsidRPr="00511CD3">
        <w:t xml:space="preserve"> </w:t>
      </w:r>
      <w:r w:rsidR="00F03F14" w:rsidRPr="00511CD3">
        <w:t>that for the first time in the case</w:t>
      </w:r>
      <w:r w:rsidR="00C06068" w:rsidRPr="00511CD3">
        <w:t xml:space="preserve"> appeared </w:t>
      </w:r>
      <w:r w:rsidR="00F03F14" w:rsidRPr="00511CD3">
        <w:t>attorney of the General Defender</w:t>
      </w:r>
      <w:r w:rsidR="00A655DD" w:rsidRPr="00511CD3">
        <w:t>’s Office</w:t>
      </w:r>
      <w:r w:rsidR="002B4C80" w:rsidRPr="00511CD3">
        <w:t xml:space="preserve">. </w:t>
      </w:r>
      <w:r w:rsidR="00F03F14" w:rsidRPr="00511CD3">
        <w:t xml:space="preserve"> The</w:t>
      </w:r>
      <w:r w:rsidR="005A3574" w:rsidRPr="00511CD3">
        <w:t xml:space="preserve"> </w:t>
      </w:r>
      <w:r w:rsidR="00B10F4D" w:rsidRPr="00511CD3">
        <w:t>IACHR</w:t>
      </w:r>
      <w:r w:rsidR="005A3574" w:rsidRPr="00511CD3">
        <w:t xml:space="preserve"> </w:t>
      </w:r>
      <w:r w:rsidR="00F03F14" w:rsidRPr="00511CD3">
        <w:t xml:space="preserve">also </w:t>
      </w:r>
      <w:r w:rsidR="00C471FF" w:rsidRPr="00511CD3">
        <w:t xml:space="preserve">points out </w:t>
      </w:r>
      <w:r w:rsidR="00F03F14" w:rsidRPr="00511CD3">
        <w:t xml:space="preserve">that it was not until April </w:t>
      </w:r>
      <w:r w:rsidR="002B4C80" w:rsidRPr="00511CD3">
        <w:t>20</w:t>
      </w:r>
      <w:r w:rsidR="00F03F14" w:rsidRPr="00511CD3">
        <w:t>,</w:t>
      </w:r>
      <w:r w:rsidR="002B4C80" w:rsidRPr="00511CD3">
        <w:t xml:space="preserve"> 2015</w:t>
      </w:r>
      <w:r w:rsidR="00F03F14" w:rsidRPr="00511CD3">
        <w:t xml:space="preserve">, that </w:t>
      </w:r>
      <w:r w:rsidR="002B4C80" w:rsidRPr="00511CD3">
        <w:t>“</w:t>
      </w:r>
      <w:r w:rsidR="00416165" w:rsidRPr="00511CD3">
        <w:t>María</w:t>
      </w:r>
      <w:r w:rsidR="002B4C80" w:rsidRPr="00511CD3">
        <w:t xml:space="preserve">” </w:t>
      </w:r>
      <w:r w:rsidR="00F03F14" w:rsidRPr="00511CD3">
        <w:t xml:space="preserve">was able, for the first time, to attend an interview with her official defender, on which occasion she reaffirmed her statement at the hearing of March </w:t>
      </w:r>
      <w:r w:rsidR="002B4C80" w:rsidRPr="00511CD3">
        <w:t xml:space="preserve">2 </w:t>
      </w:r>
      <w:r w:rsidR="00F03F14" w:rsidRPr="00511CD3">
        <w:t xml:space="preserve">that she did not </w:t>
      </w:r>
      <w:r w:rsidR="00CF0721" w:rsidRPr="00511CD3">
        <w:t>wish</w:t>
      </w:r>
      <w:r w:rsidR="00F03F14" w:rsidRPr="00511CD3">
        <w:t xml:space="preserve"> to give up her </w:t>
      </w:r>
      <w:r w:rsidR="00A655DD" w:rsidRPr="00511CD3">
        <w:t>child</w:t>
      </w:r>
      <w:r w:rsidR="00F03F14" w:rsidRPr="00511CD3">
        <w:t xml:space="preserve"> for adoption</w:t>
      </w:r>
      <w:r w:rsidR="002B4C80" w:rsidRPr="00511CD3">
        <w:t xml:space="preserve">. </w:t>
      </w:r>
    </w:p>
    <w:p w14:paraId="4A8C7E0C" w14:textId="77777777" w:rsidR="005A3574" w:rsidRPr="00511CD3" w:rsidRDefault="005A3574" w:rsidP="008429F6">
      <w:pPr>
        <w:pStyle w:val="ListParagraph"/>
        <w:numPr>
          <w:ilvl w:val="0"/>
          <w:numId w:val="0"/>
        </w:numPr>
      </w:pPr>
    </w:p>
    <w:p w14:paraId="0ACC824E" w14:textId="77777777" w:rsidR="00416165" w:rsidRPr="00511CD3" w:rsidRDefault="00F03F14" w:rsidP="00D568AC">
      <w:pPr>
        <w:pStyle w:val="ListParagraph"/>
        <w:ind w:left="0" w:firstLine="0"/>
      </w:pPr>
      <w:r w:rsidRPr="00511CD3">
        <w:t>Secondly</w:t>
      </w:r>
      <w:r w:rsidR="005A3574" w:rsidRPr="00511CD3">
        <w:t xml:space="preserve">, </w:t>
      </w:r>
      <w:r w:rsidR="00B10F4D" w:rsidRPr="00511CD3">
        <w:t>the Commission</w:t>
      </w:r>
      <w:r w:rsidR="005A3574" w:rsidRPr="00511CD3">
        <w:t xml:space="preserve"> </w:t>
      </w:r>
      <w:r w:rsidR="00011420" w:rsidRPr="00511CD3">
        <w:t>not</w:t>
      </w:r>
      <w:r w:rsidRPr="00511CD3">
        <w:t xml:space="preserve">es the considerable delay in the forensic physician’s examination, which took place nearly four months after the judge’s order of August </w:t>
      </w:r>
      <w:r w:rsidR="008A7CDC" w:rsidRPr="00511CD3">
        <w:t>27</w:t>
      </w:r>
      <w:r w:rsidRPr="00511CD3">
        <w:t>,</w:t>
      </w:r>
      <w:r w:rsidR="008A7CDC" w:rsidRPr="00511CD3">
        <w:t xml:space="preserve"> 2014.</w:t>
      </w:r>
      <w:r w:rsidR="00416165" w:rsidRPr="00511CD3">
        <w:t xml:space="preserve"> </w:t>
      </w:r>
      <w:r w:rsidRPr="00511CD3">
        <w:t xml:space="preserve"> Similarly, another three months went by between the receipt of the forensic physician’s report and the next procedural step of importance, that is, the hearing of March </w:t>
      </w:r>
      <w:r w:rsidR="00416165" w:rsidRPr="00511CD3">
        <w:t>2</w:t>
      </w:r>
      <w:r w:rsidRPr="00511CD3">
        <w:t>,</w:t>
      </w:r>
      <w:r w:rsidR="00416165" w:rsidRPr="00511CD3">
        <w:t xml:space="preserve"> 20</w:t>
      </w:r>
      <w:r w:rsidR="00E30AB2" w:rsidRPr="00511CD3">
        <w:t xml:space="preserve">15, </w:t>
      </w:r>
      <w:r w:rsidRPr="00511CD3">
        <w:t>during which not only was “María</w:t>
      </w:r>
      <w:r w:rsidR="00E30AB2" w:rsidRPr="00511CD3">
        <w:t>”</w:t>
      </w:r>
      <w:r w:rsidRPr="00511CD3">
        <w:t xml:space="preserve"> not heard by the judicial authorities in charge of the case, but also nothing was done regarding the undeniable circumstance of the lack of </w:t>
      </w:r>
      <w:r w:rsidR="00CF0721" w:rsidRPr="00511CD3">
        <w:t>mother’s</w:t>
      </w:r>
      <w:r w:rsidRPr="00511CD3">
        <w:t xml:space="preserve"> consent to continue the adoption proc</w:t>
      </w:r>
      <w:r w:rsidR="00C06068" w:rsidRPr="00511CD3">
        <w:t xml:space="preserve">eedings </w:t>
      </w:r>
      <w:r w:rsidR="00B10F4D" w:rsidRPr="00511CD3">
        <w:t xml:space="preserve">and </w:t>
      </w:r>
      <w:r w:rsidRPr="00511CD3">
        <w:t>regarding the fact that the baby</w:t>
      </w:r>
      <w:r w:rsidR="00E30AB2" w:rsidRPr="00511CD3">
        <w:t xml:space="preserve"> “Mariano” </w:t>
      </w:r>
      <w:r w:rsidRPr="00511CD3">
        <w:t xml:space="preserve">was with a family </w:t>
      </w:r>
      <w:r w:rsidR="00517091" w:rsidRPr="00511CD3">
        <w:t xml:space="preserve">that was not </w:t>
      </w:r>
      <w:r w:rsidRPr="00511CD3">
        <w:t>his biological family</w:t>
      </w:r>
      <w:r w:rsidR="00E30AB2" w:rsidRPr="00511CD3">
        <w:t xml:space="preserve">, </w:t>
      </w:r>
      <w:r w:rsidRPr="00511CD3">
        <w:t xml:space="preserve">which had moved </w:t>
      </w:r>
      <w:r w:rsidR="00517091" w:rsidRPr="00511CD3">
        <w:t>ahead</w:t>
      </w:r>
      <w:r w:rsidRPr="00511CD3">
        <w:t xml:space="preserve"> with decisions </w:t>
      </w:r>
      <w:r w:rsidR="00517091" w:rsidRPr="00511CD3">
        <w:t>central to</w:t>
      </w:r>
      <w:r w:rsidRPr="00511CD3">
        <w:t xml:space="preserve"> his biography, such as </w:t>
      </w:r>
      <w:r w:rsidR="00517091" w:rsidRPr="00511CD3">
        <w:t xml:space="preserve">his </w:t>
      </w:r>
      <w:r w:rsidRPr="00511CD3">
        <w:t>baptism in a Catholic ceremony and his registration in a day care center</w:t>
      </w:r>
      <w:r w:rsidR="00E30AB2" w:rsidRPr="00511CD3">
        <w:t xml:space="preserve">. </w:t>
      </w:r>
    </w:p>
    <w:p w14:paraId="62AFAC0C" w14:textId="77777777" w:rsidR="00416165" w:rsidRPr="00511CD3" w:rsidRDefault="00416165" w:rsidP="008429F6">
      <w:pPr>
        <w:pStyle w:val="ListParagraph"/>
        <w:numPr>
          <w:ilvl w:val="0"/>
          <w:numId w:val="0"/>
        </w:numPr>
      </w:pPr>
    </w:p>
    <w:p w14:paraId="08682DAB" w14:textId="77777777" w:rsidR="00416165" w:rsidRPr="00511CD3" w:rsidRDefault="008A7CDC" w:rsidP="00D568AC">
      <w:pPr>
        <w:pStyle w:val="ListParagraph"/>
        <w:ind w:left="0" w:firstLine="0"/>
      </w:pPr>
      <w:r w:rsidRPr="00511CD3">
        <w:t xml:space="preserve"> </w:t>
      </w:r>
      <w:r w:rsidR="00B10F4D" w:rsidRPr="00511CD3">
        <w:t>The Commission</w:t>
      </w:r>
      <w:r w:rsidR="00416165" w:rsidRPr="00511CD3">
        <w:t xml:space="preserve"> t</w:t>
      </w:r>
      <w:r w:rsidR="00595EEF" w:rsidRPr="00511CD3">
        <w:t>akes not</w:t>
      </w:r>
      <w:r w:rsidR="00517091" w:rsidRPr="00511CD3">
        <w:t>e</w:t>
      </w:r>
      <w:r w:rsidR="00595EEF" w:rsidRPr="00511CD3">
        <w:t xml:space="preserve"> of some judicial resolutions, primarily that of </w:t>
      </w:r>
      <w:r w:rsidR="00B10F4D" w:rsidRPr="00511CD3">
        <w:t>October</w:t>
      </w:r>
      <w:r w:rsidR="00416165" w:rsidRPr="00511CD3">
        <w:t xml:space="preserve"> </w:t>
      </w:r>
      <w:r w:rsidR="00595EEF" w:rsidRPr="00511CD3">
        <w:t>1,</w:t>
      </w:r>
      <w:r w:rsidR="00416165" w:rsidRPr="00511CD3">
        <w:t xml:space="preserve"> 2015, </w:t>
      </w:r>
      <w:r w:rsidR="00595EEF" w:rsidRPr="00511CD3">
        <w:t>that seek to explain the delay in the examination of “María’s” behavior, w</w:t>
      </w:r>
      <w:r w:rsidR="00517091" w:rsidRPr="00511CD3">
        <w:t xml:space="preserve">ho only went to </w:t>
      </w:r>
      <w:r w:rsidR="00CF0721" w:rsidRPr="00511CD3">
        <w:t>Forensic</w:t>
      </w:r>
      <w:r w:rsidR="00595EEF" w:rsidRPr="00511CD3">
        <w:t xml:space="preserve"> Physician</w:t>
      </w:r>
      <w:r w:rsidR="00517091" w:rsidRPr="00511CD3">
        <w:t xml:space="preserve">’s office </w:t>
      </w:r>
      <w:r w:rsidR="00595EEF" w:rsidRPr="00511CD3">
        <w:t xml:space="preserve">on December </w:t>
      </w:r>
      <w:r w:rsidR="00416165" w:rsidRPr="00511CD3">
        <w:t>15</w:t>
      </w:r>
      <w:r w:rsidR="00595EEF" w:rsidRPr="00511CD3">
        <w:t xml:space="preserve">, </w:t>
      </w:r>
      <w:r w:rsidR="00416165" w:rsidRPr="00511CD3">
        <w:t>2015</w:t>
      </w:r>
      <w:r w:rsidR="00595EEF" w:rsidRPr="00511CD3">
        <w:t xml:space="preserve">, when she had </w:t>
      </w:r>
      <w:r w:rsidR="00517091" w:rsidRPr="00511CD3">
        <w:t>been summonsed to appea</w:t>
      </w:r>
      <w:r w:rsidR="00595EEF" w:rsidRPr="00511CD3">
        <w:t>r</w:t>
      </w:r>
      <w:r w:rsidR="00517091" w:rsidRPr="00511CD3">
        <w:t xml:space="preserve"> on</w:t>
      </w:r>
      <w:r w:rsidR="00595EEF" w:rsidRPr="00511CD3">
        <w:t xml:space="preserve"> November 4 of that</w:t>
      </w:r>
      <w:r w:rsidR="00416165" w:rsidRPr="00511CD3">
        <w:t xml:space="preserve"> </w:t>
      </w:r>
      <w:r w:rsidR="00517091" w:rsidRPr="00511CD3">
        <w:t xml:space="preserve">year </w:t>
      </w:r>
      <w:r w:rsidR="00416165" w:rsidRPr="00511CD3">
        <w:t>(</w:t>
      </w:r>
      <w:r w:rsidR="00595EEF" w:rsidRPr="00511CD3">
        <w:t xml:space="preserve">see above, par. </w:t>
      </w:r>
      <w:r w:rsidR="00416165" w:rsidRPr="00511CD3">
        <w:t xml:space="preserve">54). </w:t>
      </w:r>
      <w:r w:rsidR="003B5FBE" w:rsidRPr="00511CD3">
        <w:t>In that regard, the</w:t>
      </w:r>
      <w:r w:rsidRPr="00511CD3">
        <w:t xml:space="preserve"> </w:t>
      </w:r>
      <w:r w:rsidR="00B10F4D" w:rsidRPr="00511CD3">
        <w:t>IACHR</w:t>
      </w:r>
      <w:r w:rsidRPr="00511CD3">
        <w:t xml:space="preserve"> ha</w:t>
      </w:r>
      <w:r w:rsidR="003B5FBE" w:rsidRPr="00511CD3">
        <w:t xml:space="preserve">s noted from the file that the notification to </w:t>
      </w:r>
      <w:r w:rsidRPr="00511CD3">
        <w:t>“</w:t>
      </w:r>
      <w:r w:rsidR="00416165" w:rsidRPr="00511CD3">
        <w:t>María</w:t>
      </w:r>
      <w:r w:rsidRPr="00511CD3">
        <w:t>”</w:t>
      </w:r>
      <w:r w:rsidR="00B10F4D" w:rsidRPr="00511CD3">
        <w:t xml:space="preserve"> and </w:t>
      </w:r>
      <w:r w:rsidR="003B5FBE" w:rsidRPr="00511CD3">
        <w:t xml:space="preserve">her mother to attend this </w:t>
      </w:r>
      <w:r w:rsidR="00A655DD" w:rsidRPr="00511CD3">
        <w:t xml:space="preserve">highly important </w:t>
      </w:r>
      <w:r w:rsidR="003B5FBE" w:rsidRPr="00511CD3">
        <w:t xml:space="preserve">procedural step was served by judicial writ, whose text it might reasonably be inferred was not easy to understand for a 12-year-old child and her mother, </w:t>
      </w:r>
      <w:r w:rsidR="00CF0721" w:rsidRPr="00511CD3">
        <w:t>especially</w:t>
      </w:r>
      <w:r w:rsidR="003B5FBE" w:rsidRPr="00511CD3">
        <w:t xml:space="preserve"> if account is taken of their socioeconomic circumstances, their level of formal education, and their lack of legal assistance</w:t>
      </w:r>
      <w:r w:rsidRPr="00511CD3">
        <w:t>.</w:t>
      </w:r>
      <w:r w:rsidR="00416165" w:rsidRPr="00511CD3">
        <w:t xml:space="preserve"> </w:t>
      </w:r>
      <w:r w:rsidR="003B5FBE" w:rsidRPr="00511CD3">
        <w:t xml:space="preserve"> In addition, if one looks closely at the writ, it shows that it does not give full details of the physical address </w:t>
      </w:r>
      <w:r w:rsidR="00517091" w:rsidRPr="00511CD3">
        <w:t>where</w:t>
      </w:r>
      <w:r w:rsidR="003B5FBE" w:rsidRPr="00511CD3">
        <w:t xml:space="preserve"> “María” and her mother were to appear.  It just reads “third floor of Courts,” and</w:t>
      </w:r>
      <w:r w:rsidR="00E30AB2" w:rsidRPr="00511CD3">
        <w:t xml:space="preserve"> “</w:t>
      </w:r>
      <w:r w:rsidR="00122796" w:rsidRPr="00511CD3">
        <w:t>María</w:t>
      </w:r>
      <w:r w:rsidR="00E30AB2" w:rsidRPr="00511CD3">
        <w:t xml:space="preserve">” </w:t>
      </w:r>
      <w:r w:rsidR="003B5FBE" w:rsidRPr="00511CD3">
        <w:t xml:space="preserve">had never </w:t>
      </w:r>
      <w:r w:rsidR="00A655DD" w:rsidRPr="00511CD3">
        <w:t>been</w:t>
      </w:r>
      <w:r w:rsidR="003B5FBE" w:rsidRPr="00511CD3">
        <w:t xml:space="preserve"> there before.  Lastly, the file shows that the notifying official, not finding anyone at home, attached the writ to the door</w:t>
      </w:r>
      <w:r w:rsidRPr="00511CD3">
        <w:t xml:space="preserve"> “</w:t>
      </w:r>
      <w:r w:rsidR="00416165" w:rsidRPr="00511CD3">
        <w:t>María</w:t>
      </w:r>
      <w:r w:rsidR="003B5FBE" w:rsidRPr="00511CD3">
        <w:t>’s</w:t>
      </w:r>
      <w:r w:rsidRPr="00511CD3">
        <w:t>”</w:t>
      </w:r>
      <w:r w:rsidR="003B5FBE" w:rsidRPr="00511CD3">
        <w:t xml:space="preserve"> mother’s house</w:t>
      </w:r>
      <w:r w:rsidR="00E30AB2" w:rsidRPr="00511CD3">
        <w:t xml:space="preserve">, </w:t>
      </w:r>
      <w:r w:rsidR="003B5FBE" w:rsidRPr="00511CD3">
        <w:t>which makes it possible to suppose that neither the child nor her mother had an opportunity to ask what the paper was about that they were being given</w:t>
      </w:r>
      <w:r w:rsidRPr="00511CD3">
        <w:t xml:space="preserve">. </w:t>
      </w:r>
    </w:p>
    <w:p w14:paraId="1FAC9C6A" w14:textId="77777777" w:rsidR="00D31827" w:rsidRPr="00511CD3" w:rsidRDefault="00D31827" w:rsidP="008429F6">
      <w:pPr>
        <w:pStyle w:val="ListParagraph"/>
        <w:numPr>
          <w:ilvl w:val="0"/>
          <w:numId w:val="0"/>
        </w:numPr>
      </w:pPr>
    </w:p>
    <w:p w14:paraId="3BF95730" w14:textId="77777777" w:rsidR="007C5214" w:rsidRPr="00511CD3" w:rsidRDefault="00E60CBD" w:rsidP="00D568AC">
      <w:pPr>
        <w:pStyle w:val="ListParagraph"/>
        <w:ind w:left="0" w:firstLine="0"/>
      </w:pPr>
      <w:r w:rsidRPr="00511CD3">
        <w:t xml:space="preserve">All these elements lead </w:t>
      </w:r>
      <w:r w:rsidR="00B10F4D" w:rsidRPr="00511CD3">
        <w:t>the Commission</w:t>
      </w:r>
      <w:r w:rsidR="00416165" w:rsidRPr="00511CD3">
        <w:t xml:space="preserve"> </w:t>
      </w:r>
      <w:r w:rsidRPr="00511CD3">
        <w:t xml:space="preserve">to conclude that the judicial authorities in the case </w:t>
      </w:r>
      <w:r w:rsidR="00517091" w:rsidRPr="00511CD3">
        <w:t xml:space="preserve">did </w:t>
      </w:r>
      <w:r w:rsidRPr="00511CD3">
        <w:t xml:space="preserve">not </w:t>
      </w:r>
      <w:r w:rsidR="00517091" w:rsidRPr="00511CD3">
        <w:t xml:space="preserve">take the </w:t>
      </w:r>
      <w:r w:rsidRPr="00511CD3">
        <w:t xml:space="preserve">proactive </w:t>
      </w:r>
      <w:r w:rsidR="00517091" w:rsidRPr="00511CD3">
        <w:t xml:space="preserve">position that </w:t>
      </w:r>
      <w:r w:rsidRPr="00511CD3">
        <w:t>the case required.</w:t>
      </w:r>
      <w:r w:rsidR="002016AA" w:rsidRPr="00511CD3">
        <w:t xml:space="preserve">  A</w:t>
      </w:r>
      <w:r w:rsidRPr="00511CD3">
        <w:t xml:space="preserve">dditionally, the standard of </w:t>
      </w:r>
      <w:r w:rsidR="002016AA" w:rsidRPr="00511CD3">
        <w:t xml:space="preserve">greatest possible </w:t>
      </w:r>
      <w:r w:rsidR="0002664E" w:rsidRPr="00511CD3">
        <w:t>celerity</w:t>
      </w:r>
      <w:r w:rsidR="000003C2" w:rsidRPr="00511CD3">
        <w:t xml:space="preserve"> required</w:t>
      </w:r>
      <w:r w:rsidRPr="00511CD3">
        <w:t>, among other things</w:t>
      </w:r>
      <w:r w:rsidR="002B6873" w:rsidRPr="00511CD3">
        <w:t xml:space="preserve">, </w:t>
      </w:r>
      <w:r w:rsidR="000003C2" w:rsidRPr="00511CD3">
        <w:t xml:space="preserve">that </w:t>
      </w:r>
      <w:r w:rsidRPr="00511CD3">
        <w:t xml:space="preserve">the earliest possible time </w:t>
      </w:r>
      <w:r w:rsidR="000003C2" w:rsidRPr="00511CD3">
        <w:t xml:space="preserve">be set </w:t>
      </w:r>
      <w:r w:rsidRPr="00511CD3">
        <w:t xml:space="preserve">for </w:t>
      </w:r>
      <w:r w:rsidR="002016AA" w:rsidRPr="00511CD3">
        <w:t xml:space="preserve">“María’s” </w:t>
      </w:r>
      <w:r w:rsidRPr="00511CD3">
        <w:t>forensic medical analysis</w:t>
      </w:r>
      <w:r w:rsidR="002016AA" w:rsidRPr="00511CD3">
        <w:t>,</w:t>
      </w:r>
      <w:r w:rsidRPr="00511CD3">
        <w:t xml:space="preserve"> which </w:t>
      </w:r>
      <w:r w:rsidR="000003C2" w:rsidRPr="00511CD3">
        <w:t xml:space="preserve">ultimately </w:t>
      </w:r>
      <w:r w:rsidRPr="00511CD3">
        <w:t xml:space="preserve">took place five months after the birth of the </w:t>
      </w:r>
      <w:r w:rsidR="00540394" w:rsidRPr="00511CD3">
        <w:t>child “Mariano</w:t>
      </w:r>
      <w:r w:rsidRPr="00511CD3">
        <w:t>.”</w:t>
      </w:r>
      <w:r w:rsidR="00E30AB2" w:rsidRPr="00511CD3">
        <w:t xml:space="preserve"> </w:t>
      </w:r>
    </w:p>
    <w:p w14:paraId="6792AD9E" w14:textId="77777777" w:rsidR="007C5214" w:rsidRPr="00511CD3" w:rsidRDefault="007C5214" w:rsidP="008429F6">
      <w:pPr>
        <w:pStyle w:val="ListParagraph"/>
        <w:numPr>
          <w:ilvl w:val="0"/>
          <w:numId w:val="0"/>
        </w:numPr>
      </w:pPr>
    </w:p>
    <w:p w14:paraId="011B76CC" w14:textId="77777777" w:rsidR="007C5214" w:rsidRPr="00511CD3" w:rsidRDefault="00E60CBD" w:rsidP="00D568AC">
      <w:pPr>
        <w:pStyle w:val="ListParagraph"/>
        <w:ind w:left="0" w:firstLine="0"/>
      </w:pPr>
      <w:r w:rsidRPr="00511CD3">
        <w:t>In any event</w:t>
      </w:r>
      <w:r w:rsidR="007C5214" w:rsidRPr="00511CD3">
        <w:t xml:space="preserve">, </w:t>
      </w:r>
      <w:r w:rsidR="00B10F4D" w:rsidRPr="00511CD3">
        <w:t>the Commission</w:t>
      </w:r>
      <w:r w:rsidR="007C5214" w:rsidRPr="00511CD3">
        <w:t xml:space="preserve"> </w:t>
      </w:r>
      <w:r w:rsidRPr="00511CD3">
        <w:t>note</w:t>
      </w:r>
      <w:r w:rsidR="000003C2" w:rsidRPr="00511CD3">
        <w:t>s</w:t>
      </w:r>
      <w:r w:rsidRPr="00511CD3">
        <w:t xml:space="preserve"> with concern that although the report issued based on the procedural step of </w:t>
      </w:r>
      <w:r w:rsidR="00B10F4D" w:rsidRPr="00511CD3">
        <w:t>December</w:t>
      </w:r>
      <w:r w:rsidR="007C5214" w:rsidRPr="00511CD3">
        <w:t xml:space="preserve"> </w:t>
      </w:r>
      <w:r w:rsidRPr="00511CD3">
        <w:t xml:space="preserve">15, </w:t>
      </w:r>
      <w:r w:rsidR="007C5214" w:rsidRPr="00511CD3">
        <w:t>20</w:t>
      </w:r>
      <w:r w:rsidR="008C6225" w:rsidRPr="00511CD3">
        <w:t>1</w:t>
      </w:r>
      <w:r w:rsidR="007C5214" w:rsidRPr="00511CD3">
        <w:t>4</w:t>
      </w:r>
      <w:r w:rsidRPr="00511CD3">
        <w:t xml:space="preserve">, showed that </w:t>
      </w:r>
      <w:r w:rsidR="007C5214" w:rsidRPr="00511CD3">
        <w:t xml:space="preserve">María </w:t>
      </w:r>
      <w:r w:rsidRPr="00511CD3">
        <w:t xml:space="preserve">was unable to understand </w:t>
      </w:r>
      <w:r w:rsidR="000003C2" w:rsidRPr="00511CD3">
        <w:t xml:space="preserve">the scope of </w:t>
      </w:r>
      <w:r w:rsidRPr="00511CD3">
        <w:t>the act of giving up her child, th</w:t>
      </w:r>
      <w:r w:rsidR="000003C2" w:rsidRPr="00511CD3">
        <w:t>is</w:t>
      </w:r>
      <w:r w:rsidRPr="00511CD3">
        <w:t xml:space="preserve"> had no influence on the </w:t>
      </w:r>
      <w:r w:rsidR="00CF0721" w:rsidRPr="00511CD3">
        <w:t>juridical</w:t>
      </w:r>
      <w:r w:rsidRPr="00511CD3">
        <w:t xml:space="preserve"> authority</w:t>
      </w:r>
      <w:r w:rsidR="000003C2" w:rsidRPr="00511CD3">
        <w:t>’s consideration</w:t>
      </w:r>
      <w:r w:rsidRPr="00511CD3">
        <w:t xml:space="preserve"> that</w:t>
      </w:r>
      <w:r w:rsidR="000003C2" w:rsidRPr="00511CD3">
        <w:t xml:space="preserve"> there had been no</w:t>
      </w:r>
      <w:r w:rsidRPr="00511CD3">
        <w:t xml:space="preserve"> free and informed decision regarding the adoption of the child</w:t>
      </w:r>
      <w:r w:rsidR="007C5214" w:rsidRPr="00511CD3">
        <w:t xml:space="preserve">, </w:t>
      </w:r>
      <w:r w:rsidR="000003C2" w:rsidRPr="00511CD3">
        <w:t>so that the judge</w:t>
      </w:r>
      <w:r w:rsidRPr="00511CD3">
        <w:t xml:space="preserve"> would take the family protection measures required by restoring the child to his </w:t>
      </w:r>
      <w:r w:rsidR="000003C2" w:rsidRPr="00511CD3">
        <w:t xml:space="preserve">immediate </w:t>
      </w:r>
      <w:r w:rsidRPr="00511CD3">
        <w:t>family, or</w:t>
      </w:r>
      <w:r w:rsidR="000003C2" w:rsidRPr="00511CD3">
        <w:t>,</w:t>
      </w:r>
      <w:r w:rsidRPr="00511CD3">
        <w:t xml:space="preserve"> instead</w:t>
      </w:r>
      <w:r w:rsidR="000003C2" w:rsidRPr="00511CD3">
        <w:t>,</w:t>
      </w:r>
      <w:r w:rsidRPr="00511CD3">
        <w:t xml:space="preserve"> </w:t>
      </w:r>
      <w:r w:rsidR="000003C2" w:rsidRPr="00511CD3">
        <w:t>j</w:t>
      </w:r>
      <w:r w:rsidRPr="00511CD3">
        <w:t xml:space="preserve">ustify in depth the compelling reasons why it was in the child’s best interest to keep him with the </w:t>
      </w:r>
      <w:r w:rsidR="008C6225" w:rsidRPr="00511CD3">
        <w:t>“Lopez”</w:t>
      </w:r>
      <w:r w:rsidRPr="00511CD3">
        <w:t xml:space="preserve"> family</w:t>
      </w:r>
      <w:r w:rsidR="007C5214" w:rsidRPr="00511CD3">
        <w:t xml:space="preserve">. </w:t>
      </w:r>
      <w:r w:rsidRPr="00511CD3">
        <w:t xml:space="preserve"> As will be explained below, the judicial actions were not effective in protecting the rights of either of </w:t>
      </w:r>
      <w:r w:rsidR="007C5214" w:rsidRPr="00511CD3">
        <w:t xml:space="preserve">María </w:t>
      </w:r>
      <w:r w:rsidRPr="00511CD3">
        <w:t>or her son</w:t>
      </w:r>
      <w:r w:rsidR="007C5214" w:rsidRPr="00511CD3">
        <w:t>,</w:t>
      </w:r>
      <w:r w:rsidR="00B10F4D" w:rsidRPr="00511CD3">
        <w:t xml:space="preserve"> and </w:t>
      </w:r>
      <w:r w:rsidRPr="00511CD3">
        <w:t xml:space="preserve">ultimately delayed the judicial process by generating a situation of lack of legal certainty and of greater </w:t>
      </w:r>
      <w:r w:rsidR="000003C2" w:rsidRPr="00511CD3">
        <w:t xml:space="preserve">estrangement </w:t>
      </w:r>
      <w:r w:rsidRPr="00511CD3">
        <w:t>of th</w:t>
      </w:r>
      <w:r w:rsidR="00540394" w:rsidRPr="00511CD3">
        <w:t>e child “Mariano”</w:t>
      </w:r>
      <w:r w:rsidR="007C5214" w:rsidRPr="00511CD3">
        <w:t xml:space="preserve"> </w:t>
      </w:r>
      <w:r w:rsidRPr="00511CD3">
        <w:t>from his biological mother.</w:t>
      </w:r>
    </w:p>
    <w:p w14:paraId="15A90EE8" w14:textId="77777777" w:rsidR="005A3574" w:rsidRPr="00511CD3" w:rsidRDefault="005A3574" w:rsidP="008429F6">
      <w:pPr>
        <w:pStyle w:val="ListParagraph"/>
        <w:numPr>
          <w:ilvl w:val="0"/>
          <w:numId w:val="0"/>
        </w:numPr>
      </w:pPr>
    </w:p>
    <w:p w14:paraId="11ADA6DD" w14:textId="77777777" w:rsidR="005A3574" w:rsidRPr="00511CD3" w:rsidRDefault="007F3CD4" w:rsidP="000003C2">
      <w:pPr>
        <w:pStyle w:val="ListParagraph"/>
        <w:numPr>
          <w:ilvl w:val="0"/>
          <w:numId w:val="0"/>
        </w:numPr>
        <w:ind w:left="567"/>
      </w:pPr>
      <w:r w:rsidRPr="00511CD3">
        <w:t>-</w:t>
      </w:r>
      <w:r w:rsidRPr="00511CD3">
        <w:rPr>
          <w:b/>
        </w:rPr>
        <w:tab/>
      </w:r>
      <w:r w:rsidR="00A43F10" w:rsidRPr="00511CD3">
        <w:rPr>
          <w:b/>
        </w:rPr>
        <w:t xml:space="preserve">The interview of March </w:t>
      </w:r>
      <w:r w:rsidR="00D14681" w:rsidRPr="00511CD3">
        <w:rPr>
          <w:b/>
        </w:rPr>
        <w:t>2</w:t>
      </w:r>
      <w:r w:rsidR="00A43F10" w:rsidRPr="00511CD3">
        <w:rPr>
          <w:b/>
        </w:rPr>
        <w:t>,</w:t>
      </w:r>
      <w:r w:rsidR="00122796" w:rsidRPr="00511CD3">
        <w:rPr>
          <w:b/>
        </w:rPr>
        <w:t xml:space="preserve"> 2015</w:t>
      </w:r>
      <w:r w:rsidR="00122796" w:rsidRPr="00511CD3">
        <w:t xml:space="preserve"> </w:t>
      </w:r>
    </w:p>
    <w:p w14:paraId="4DE71D53" w14:textId="77777777" w:rsidR="00122796" w:rsidRPr="00511CD3" w:rsidRDefault="00122796" w:rsidP="008429F6">
      <w:pPr>
        <w:tabs>
          <w:tab w:val="left" w:pos="567"/>
        </w:tabs>
        <w:jc w:val="both"/>
        <w:rPr>
          <w:rFonts w:ascii="Cambria" w:hAnsi="Cambria"/>
          <w:sz w:val="20"/>
          <w:szCs w:val="20"/>
        </w:rPr>
      </w:pPr>
    </w:p>
    <w:p w14:paraId="365CE1B7" w14:textId="77777777" w:rsidR="00D14681" w:rsidRPr="00511CD3" w:rsidRDefault="00E60CBD" w:rsidP="00D568AC">
      <w:pPr>
        <w:pStyle w:val="ListParagraph"/>
        <w:ind w:left="0" w:firstLine="0"/>
      </w:pPr>
      <w:r w:rsidRPr="00511CD3">
        <w:lastRenderedPageBreak/>
        <w:t xml:space="preserve">When the conclusions of the expert who interviewed </w:t>
      </w:r>
      <w:r w:rsidR="00D14681" w:rsidRPr="00511CD3">
        <w:t>“</w:t>
      </w:r>
      <w:r w:rsidR="00106FF1" w:rsidRPr="00511CD3">
        <w:t>María</w:t>
      </w:r>
      <w:r w:rsidR="00D14681" w:rsidRPr="00511CD3">
        <w:t>”</w:t>
      </w:r>
      <w:r w:rsidR="00B10F4D" w:rsidRPr="00511CD3">
        <w:t xml:space="preserve"> and </w:t>
      </w:r>
      <w:r w:rsidRPr="00511CD3">
        <w:t>her mother had been received, the judge in the case decided, on December</w:t>
      </w:r>
      <w:r w:rsidR="00D14681" w:rsidRPr="00511CD3">
        <w:t xml:space="preserve"> 23</w:t>
      </w:r>
      <w:r w:rsidRPr="00511CD3">
        <w:t>,</w:t>
      </w:r>
      <w:r w:rsidR="00D14681" w:rsidRPr="00511CD3">
        <w:t xml:space="preserve"> 2014, </w:t>
      </w:r>
      <w:r w:rsidRPr="00511CD3">
        <w:t>to become personally acquainted with the girl</w:t>
      </w:r>
      <w:r w:rsidR="000003C2" w:rsidRPr="00511CD3">
        <w:t>,</w:t>
      </w:r>
      <w:r w:rsidRPr="00511CD3">
        <w:t xml:space="preserve"> </w:t>
      </w:r>
      <w:r w:rsidR="00B10F4D" w:rsidRPr="00511CD3">
        <w:t xml:space="preserve">and </w:t>
      </w:r>
      <w:r w:rsidRPr="00511CD3">
        <w:t xml:space="preserve">convened a hearing that was held on </w:t>
      </w:r>
      <w:r w:rsidR="00B10F4D" w:rsidRPr="00511CD3">
        <w:t>March</w:t>
      </w:r>
      <w:r w:rsidR="006556A5" w:rsidRPr="00511CD3">
        <w:t xml:space="preserve"> </w:t>
      </w:r>
      <w:r w:rsidRPr="00511CD3">
        <w:t>2,</w:t>
      </w:r>
      <w:r w:rsidR="006556A5" w:rsidRPr="00511CD3">
        <w:t xml:space="preserve"> 2015. </w:t>
      </w:r>
      <w:r w:rsidRPr="00511CD3">
        <w:t xml:space="preserve"> Participating in that meeting were the judge</w:t>
      </w:r>
      <w:r w:rsidR="00D14681" w:rsidRPr="00511CD3">
        <w:t>, ”</w:t>
      </w:r>
      <w:r w:rsidR="00106FF1" w:rsidRPr="00511CD3">
        <w:t>María</w:t>
      </w:r>
      <w:r w:rsidRPr="00511CD3">
        <w:t>,” her mother, and different judicial officials and court psychology and social work specialists</w:t>
      </w:r>
      <w:r w:rsidR="00D14681" w:rsidRPr="00511CD3">
        <w:t xml:space="preserve">. </w:t>
      </w:r>
      <w:r w:rsidRPr="00511CD3">
        <w:t xml:space="preserve">Until that time, neither </w:t>
      </w:r>
      <w:r w:rsidR="00D14681" w:rsidRPr="00511CD3">
        <w:t>“</w:t>
      </w:r>
      <w:r w:rsidR="00106FF1" w:rsidRPr="00511CD3">
        <w:t>María</w:t>
      </w:r>
      <w:r w:rsidR="00D14681" w:rsidRPr="00511CD3">
        <w:t xml:space="preserve">” </w:t>
      </w:r>
      <w:r w:rsidRPr="00511CD3">
        <w:t>nor her mother had</w:t>
      </w:r>
      <w:r w:rsidR="000003C2" w:rsidRPr="00511CD3">
        <w:t xml:space="preserve"> had</w:t>
      </w:r>
      <w:r w:rsidRPr="00511CD3">
        <w:t xml:space="preserve"> legal assistance and </w:t>
      </w:r>
      <w:r w:rsidR="002016AA" w:rsidRPr="00511CD3">
        <w:t xml:space="preserve">only </w:t>
      </w:r>
      <w:r w:rsidRPr="00511CD3">
        <w:t>the attorney of the General Defender</w:t>
      </w:r>
      <w:r w:rsidR="000003C2" w:rsidRPr="00511CD3">
        <w:t>’s Office</w:t>
      </w:r>
      <w:r w:rsidR="00147CED" w:rsidRPr="00511CD3">
        <w:t xml:space="preserve"> appeared for them</w:t>
      </w:r>
      <w:r w:rsidRPr="00511CD3">
        <w:t>.  This lack of effective legal representation constituted a structural element of the case,</w:t>
      </w:r>
      <w:r w:rsidR="00B10F4D" w:rsidRPr="00511CD3">
        <w:t xml:space="preserve"> and the Commission</w:t>
      </w:r>
      <w:r w:rsidR="00106FF1" w:rsidRPr="00511CD3">
        <w:t xml:space="preserve"> </w:t>
      </w:r>
      <w:r w:rsidRPr="00511CD3">
        <w:t>understands that this lasted until t</w:t>
      </w:r>
      <w:r w:rsidR="002E08A7" w:rsidRPr="00511CD3">
        <w:t>he petitioners</w:t>
      </w:r>
      <w:r w:rsidR="00106FF1" w:rsidRPr="00511CD3">
        <w:t xml:space="preserve"> </w:t>
      </w:r>
      <w:r w:rsidRPr="00511CD3">
        <w:t xml:space="preserve">in this case assumed the legal representation of the girl and her mother in </w:t>
      </w:r>
      <w:r w:rsidR="00B10F4D" w:rsidRPr="00511CD3">
        <w:t>April</w:t>
      </w:r>
      <w:r w:rsidR="00106FF1" w:rsidRPr="00511CD3">
        <w:t xml:space="preserve"> 2015. </w:t>
      </w:r>
    </w:p>
    <w:p w14:paraId="244C027F" w14:textId="77777777" w:rsidR="00D14681" w:rsidRPr="00511CD3" w:rsidRDefault="00D14681" w:rsidP="008429F6">
      <w:pPr>
        <w:pStyle w:val="ListParagraph"/>
        <w:numPr>
          <w:ilvl w:val="0"/>
          <w:numId w:val="0"/>
        </w:numPr>
      </w:pPr>
    </w:p>
    <w:p w14:paraId="130893E3" w14:textId="77777777" w:rsidR="00106FF1" w:rsidRPr="00511CD3" w:rsidRDefault="00C02618" w:rsidP="00D568AC">
      <w:pPr>
        <w:pStyle w:val="ListParagraph"/>
        <w:ind w:left="0" w:firstLine="0"/>
      </w:pPr>
      <w:r w:rsidRPr="00511CD3">
        <w:t xml:space="preserve">Regarding this meeting, the </w:t>
      </w:r>
      <w:r w:rsidR="00B10F4D" w:rsidRPr="00511CD3">
        <w:t>IACHR</w:t>
      </w:r>
      <w:r w:rsidR="00D14681" w:rsidRPr="00511CD3">
        <w:t xml:space="preserve"> </w:t>
      </w:r>
      <w:r w:rsidRPr="00511CD3">
        <w:t xml:space="preserve">must once again </w:t>
      </w:r>
      <w:r w:rsidR="002016AA" w:rsidRPr="00511CD3">
        <w:t xml:space="preserve">poimt </w:t>
      </w:r>
      <w:r w:rsidRPr="00511CD3">
        <w:t xml:space="preserve">to the lengthy time between the decision to convene the hearing until it </w:t>
      </w:r>
      <w:r w:rsidR="002016AA" w:rsidRPr="00511CD3">
        <w:t>was held</w:t>
      </w:r>
      <w:r w:rsidR="00D14681" w:rsidRPr="00511CD3">
        <w:t xml:space="preserve">. </w:t>
      </w:r>
      <w:r w:rsidR="00B10F4D" w:rsidRPr="00511CD3">
        <w:t>The Commission</w:t>
      </w:r>
      <w:r w:rsidR="00D14681" w:rsidRPr="00511CD3">
        <w:t xml:space="preserve"> </w:t>
      </w:r>
      <w:r w:rsidRPr="00511CD3">
        <w:t>find</w:t>
      </w:r>
      <w:r w:rsidR="00147CED" w:rsidRPr="00511CD3">
        <w:t>s no</w:t>
      </w:r>
      <w:r w:rsidRPr="00511CD3">
        <w:t xml:space="preserve"> reasonable explanation</w:t>
      </w:r>
      <w:r w:rsidR="0070125F" w:rsidRPr="00511CD3">
        <w:t xml:space="preserve"> </w:t>
      </w:r>
      <w:r w:rsidRPr="00511CD3">
        <w:t>–</w:t>
      </w:r>
      <w:r w:rsidR="0070125F" w:rsidRPr="00511CD3">
        <w:t xml:space="preserve"> </w:t>
      </w:r>
      <w:r w:rsidR="00D14681" w:rsidRPr="00511CD3">
        <w:t>n</w:t>
      </w:r>
      <w:r w:rsidRPr="00511CD3">
        <w:t>or was one provided by th</w:t>
      </w:r>
      <w:r w:rsidR="009C5285" w:rsidRPr="00511CD3">
        <w:t>e Argentine State</w:t>
      </w:r>
      <w:r w:rsidR="00D14681" w:rsidRPr="00511CD3">
        <w:t xml:space="preserve"> </w:t>
      </w:r>
      <w:r w:rsidRPr="00511CD3">
        <w:t>throughout the processing of this petition –</w:t>
      </w:r>
      <w:r w:rsidR="0070125F" w:rsidRPr="00511CD3">
        <w:t xml:space="preserve"> </w:t>
      </w:r>
      <w:r w:rsidRPr="00511CD3">
        <w:t>why such an important meeting for the case</w:t>
      </w:r>
      <w:r w:rsidR="00D14681" w:rsidRPr="00511CD3">
        <w:t xml:space="preserve">, </w:t>
      </w:r>
      <w:r w:rsidRPr="00511CD3">
        <w:t xml:space="preserve">which supposedly was going to be the first </w:t>
      </w:r>
      <w:r w:rsidR="00CF0721" w:rsidRPr="00511CD3">
        <w:t>time</w:t>
      </w:r>
      <w:r w:rsidR="002016AA" w:rsidRPr="00511CD3">
        <w:t xml:space="preserve"> when</w:t>
      </w:r>
      <w:r w:rsidRPr="00511CD3">
        <w:t xml:space="preserve"> </w:t>
      </w:r>
      <w:r w:rsidR="00D14681" w:rsidRPr="00511CD3">
        <w:t>“</w:t>
      </w:r>
      <w:r w:rsidR="00106FF1" w:rsidRPr="00511CD3">
        <w:t>María</w:t>
      </w:r>
      <w:r w:rsidR="00D14681" w:rsidRPr="00511CD3">
        <w:t xml:space="preserve">” </w:t>
      </w:r>
      <w:r w:rsidRPr="00511CD3">
        <w:t>was going to be able to exercise her right to be heard by the judge in the case</w:t>
      </w:r>
      <w:r w:rsidR="00D14681" w:rsidRPr="00511CD3">
        <w:t xml:space="preserve"> </w:t>
      </w:r>
      <w:r w:rsidRPr="00511CD3">
        <w:t xml:space="preserve">in the proceedings for guardianship and adoption of her </w:t>
      </w:r>
      <w:r w:rsidR="002016AA" w:rsidRPr="00511CD3">
        <w:t>child,</w:t>
      </w:r>
      <w:r w:rsidRPr="00511CD3">
        <w:t xml:space="preserve"> took place more than two months after it was convened.</w:t>
      </w:r>
      <w:r w:rsidR="00D14681" w:rsidRPr="00511CD3">
        <w:t xml:space="preserve"> </w:t>
      </w:r>
    </w:p>
    <w:p w14:paraId="4B1E2576" w14:textId="77777777" w:rsidR="0070125F" w:rsidRPr="00511CD3" w:rsidRDefault="0070125F" w:rsidP="008429F6">
      <w:pPr>
        <w:pStyle w:val="ListParagraph"/>
        <w:numPr>
          <w:ilvl w:val="0"/>
          <w:numId w:val="0"/>
        </w:numPr>
      </w:pPr>
    </w:p>
    <w:p w14:paraId="5E8FE9F8" w14:textId="77777777" w:rsidR="006556A5" w:rsidRPr="00511CD3" w:rsidRDefault="00417AAE" w:rsidP="00D568AC">
      <w:pPr>
        <w:pStyle w:val="ListParagraph"/>
        <w:ind w:left="0" w:firstLine="0"/>
      </w:pPr>
      <w:r w:rsidRPr="00511CD3">
        <w:t>R</w:t>
      </w:r>
      <w:r w:rsidR="00C02618" w:rsidRPr="00511CD3">
        <w:t xml:space="preserve">egarding the </w:t>
      </w:r>
      <w:r w:rsidR="005B2A4F" w:rsidRPr="00511CD3">
        <w:t>proceeding</w:t>
      </w:r>
      <w:r w:rsidR="002016AA" w:rsidRPr="00511CD3">
        <w:t>s</w:t>
      </w:r>
      <w:r w:rsidR="00C02618" w:rsidRPr="00511CD3">
        <w:t xml:space="preserve"> of the meeting itself</w:t>
      </w:r>
      <w:r w:rsidRPr="00511CD3">
        <w:t xml:space="preserve">, </w:t>
      </w:r>
      <w:r w:rsidR="00B10F4D" w:rsidRPr="00511CD3">
        <w:t>the Commission</w:t>
      </w:r>
      <w:r w:rsidR="00106FF1" w:rsidRPr="00511CD3">
        <w:t xml:space="preserve"> </w:t>
      </w:r>
      <w:r w:rsidR="00C02618" w:rsidRPr="00511CD3">
        <w:t xml:space="preserve">notes, first, that </w:t>
      </w:r>
      <w:r w:rsidR="00306091" w:rsidRPr="00511CD3">
        <w:t>its</w:t>
      </w:r>
      <w:r w:rsidR="00C02618" w:rsidRPr="00511CD3">
        <w:t xml:space="preserve"> minutes show that </w:t>
      </w:r>
      <w:r w:rsidR="00106FF1" w:rsidRPr="00511CD3">
        <w:t>“</w:t>
      </w:r>
      <w:r w:rsidR="00C02618" w:rsidRPr="00511CD3">
        <w:t>given the co</w:t>
      </w:r>
      <w:r w:rsidR="0096576B" w:rsidRPr="00511CD3">
        <w:t xml:space="preserve">nfusion </w:t>
      </w:r>
      <w:r w:rsidR="002016AA" w:rsidRPr="00511CD3">
        <w:t xml:space="preserve">with </w:t>
      </w:r>
      <w:r w:rsidR="0096576B" w:rsidRPr="00511CD3">
        <w:t>regard</w:t>
      </w:r>
      <w:r w:rsidR="002016AA" w:rsidRPr="00511CD3">
        <w:t xml:space="preserve"> to</w:t>
      </w:r>
      <w:r w:rsidR="0096576B" w:rsidRPr="00511CD3">
        <w:t xml:space="preserve"> “María’s”</w:t>
      </w:r>
      <w:r w:rsidR="00C02618" w:rsidRPr="00511CD3">
        <w:t xml:space="preserve"> wishes regarding </w:t>
      </w:r>
      <w:r w:rsidR="00306091" w:rsidRPr="00511CD3">
        <w:t xml:space="preserve">her </w:t>
      </w:r>
      <w:r w:rsidR="00C02618" w:rsidRPr="00511CD3">
        <w:t xml:space="preserve">motherhood, </w:t>
      </w:r>
      <w:r w:rsidR="00106FF1" w:rsidRPr="00511CD3">
        <w:t>Dr. Bianciotti sug</w:t>
      </w:r>
      <w:r w:rsidR="00C02618" w:rsidRPr="00511CD3">
        <w:t xml:space="preserve">gests that she could immediately be seen by a professional psychologist to </w:t>
      </w:r>
      <w:r w:rsidR="00CF0721" w:rsidRPr="00511CD3">
        <w:t>address</w:t>
      </w:r>
      <w:r w:rsidR="00C02618" w:rsidRPr="00511CD3">
        <w:t xml:space="preserve"> the psychological </w:t>
      </w:r>
      <w:r w:rsidR="00106FF1" w:rsidRPr="00511CD3">
        <w:t xml:space="preserve">trauma </w:t>
      </w:r>
      <w:r w:rsidR="00C02618" w:rsidRPr="00511CD3">
        <w:t>she has suffered.</w:t>
      </w:r>
      <w:r w:rsidR="00106FF1" w:rsidRPr="00511CD3">
        <w:t>”</w:t>
      </w:r>
      <w:r w:rsidR="00C02618" w:rsidRPr="00511CD3">
        <w:t xml:space="preserve">  First</w:t>
      </w:r>
      <w:r w:rsidR="00DC62F4" w:rsidRPr="00511CD3">
        <w:t xml:space="preserve">, </w:t>
      </w:r>
      <w:r w:rsidR="00C02618" w:rsidRPr="00511CD3">
        <w:t>the</w:t>
      </w:r>
      <w:r w:rsidRPr="00511CD3">
        <w:t xml:space="preserve"> </w:t>
      </w:r>
      <w:r w:rsidR="00B10F4D" w:rsidRPr="00511CD3">
        <w:t>IACHR</w:t>
      </w:r>
      <w:r w:rsidRPr="00511CD3">
        <w:t xml:space="preserve"> </w:t>
      </w:r>
      <w:r w:rsidR="00C02618" w:rsidRPr="00511CD3">
        <w:t xml:space="preserve">cannot fail to note that the aforesaid minutes not only do not </w:t>
      </w:r>
      <w:r w:rsidR="00493544" w:rsidRPr="00511CD3">
        <w:t>transcrib</w:t>
      </w:r>
      <w:r w:rsidR="00C02618" w:rsidRPr="00511CD3">
        <w:t>e verbatim “María’s” wish or position</w:t>
      </w:r>
      <w:r w:rsidR="00DC62F4" w:rsidRPr="00511CD3">
        <w:t xml:space="preserve"> </w:t>
      </w:r>
      <w:r w:rsidR="00C02618" w:rsidRPr="00511CD3">
        <w:t>–</w:t>
      </w:r>
      <w:r w:rsidR="00DC62F4" w:rsidRPr="00511CD3">
        <w:t xml:space="preserve"> </w:t>
      </w:r>
      <w:r w:rsidR="00C02618" w:rsidRPr="00511CD3">
        <w:t xml:space="preserve">which </w:t>
      </w:r>
      <w:r w:rsidR="00147CED" w:rsidRPr="00511CD3">
        <w:t>is</w:t>
      </w:r>
      <w:r w:rsidR="00306091" w:rsidRPr="00511CD3">
        <w:t xml:space="preserve"> a</w:t>
      </w:r>
      <w:r w:rsidR="00C02618" w:rsidRPr="00511CD3">
        <w:t xml:space="preserve"> best practice </w:t>
      </w:r>
      <w:r w:rsidR="00306091" w:rsidRPr="00511CD3">
        <w:t xml:space="preserve">so as </w:t>
      </w:r>
      <w:r w:rsidR="00C02618" w:rsidRPr="00511CD3">
        <w:t xml:space="preserve">duly </w:t>
      </w:r>
      <w:r w:rsidR="00493544" w:rsidRPr="00511CD3">
        <w:t xml:space="preserve">to </w:t>
      </w:r>
      <w:r w:rsidR="00C02618" w:rsidRPr="00511CD3">
        <w:t xml:space="preserve">record the words of children in areas </w:t>
      </w:r>
      <w:r w:rsidR="00493544" w:rsidRPr="00511CD3">
        <w:t xml:space="preserve">such as this </w:t>
      </w:r>
      <w:r w:rsidR="00C02618" w:rsidRPr="00511CD3">
        <w:t>–</w:t>
      </w:r>
      <w:r w:rsidR="00DC62F4" w:rsidRPr="00511CD3">
        <w:t xml:space="preserve"> </w:t>
      </w:r>
      <w:r w:rsidR="00C02618" w:rsidRPr="00511CD3">
        <w:t xml:space="preserve">but </w:t>
      </w:r>
      <w:r w:rsidR="00306091" w:rsidRPr="00511CD3">
        <w:t>also m</w:t>
      </w:r>
      <w:r w:rsidR="00C02618" w:rsidRPr="00511CD3">
        <w:t xml:space="preserve">ake </w:t>
      </w:r>
      <w:r w:rsidR="00306091" w:rsidRPr="00511CD3">
        <w:t xml:space="preserve">an </w:t>
      </w:r>
      <w:r w:rsidR="00493544" w:rsidRPr="00511CD3">
        <w:t xml:space="preserve">ex officio </w:t>
      </w:r>
      <w:r w:rsidR="00306091" w:rsidRPr="00511CD3">
        <w:t>assessment of the confusion allegedly generated among the officials</w:t>
      </w:r>
      <w:r w:rsidR="005B2A4F" w:rsidRPr="00511CD3">
        <w:t xml:space="preserve"> present regarding </w:t>
      </w:r>
      <w:r w:rsidR="00306091" w:rsidRPr="00511CD3">
        <w:t>the expression of this wish</w:t>
      </w:r>
      <w:r w:rsidRPr="00511CD3">
        <w:t xml:space="preserve">. </w:t>
      </w:r>
    </w:p>
    <w:p w14:paraId="520FC195" w14:textId="77777777" w:rsidR="006556A5" w:rsidRPr="00511CD3" w:rsidRDefault="006556A5" w:rsidP="008429F6">
      <w:pPr>
        <w:pStyle w:val="ListParagraph"/>
        <w:numPr>
          <w:ilvl w:val="0"/>
          <w:numId w:val="0"/>
        </w:numPr>
      </w:pPr>
    </w:p>
    <w:p w14:paraId="41825FF3" w14:textId="77777777" w:rsidR="00106FF1" w:rsidRPr="00511CD3" w:rsidRDefault="00B10F4D" w:rsidP="00D568AC">
      <w:pPr>
        <w:pStyle w:val="ListParagraph"/>
        <w:ind w:left="0" w:firstLine="0"/>
      </w:pPr>
      <w:r w:rsidRPr="00511CD3">
        <w:t>The Commission</w:t>
      </w:r>
      <w:r w:rsidR="00417AAE" w:rsidRPr="00511CD3">
        <w:t xml:space="preserve"> </w:t>
      </w:r>
      <w:r w:rsidR="00E700F6" w:rsidRPr="00511CD3">
        <w:t xml:space="preserve">also notes that on the occasion of listening to </w:t>
      </w:r>
      <w:r w:rsidR="00417AAE" w:rsidRPr="00511CD3">
        <w:t xml:space="preserve">“María” </w:t>
      </w:r>
      <w:r w:rsidR="00E700F6" w:rsidRPr="00511CD3">
        <w:t xml:space="preserve">at the hearing held during the </w:t>
      </w:r>
      <w:r w:rsidR="00417AAE" w:rsidRPr="00511CD3">
        <w:t>181</w:t>
      </w:r>
      <w:r w:rsidR="005B2A4F" w:rsidRPr="00511CD3">
        <w:rPr>
          <w:vertAlign w:val="superscript"/>
        </w:rPr>
        <w:t>st</w:t>
      </w:r>
      <w:r w:rsidR="005B2A4F" w:rsidRPr="00511CD3">
        <w:t xml:space="preserve"> </w:t>
      </w:r>
      <w:r w:rsidR="00147CED" w:rsidRPr="00511CD3">
        <w:t xml:space="preserve">period of </w:t>
      </w:r>
      <w:r w:rsidR="00E700F6" w:rsidRPr="00511CD3">
        <w:t>session</w:t>
      </w:r>
      <w:r w:rsidR="00147CED" w:rsidRPr="00511CD3">
        <w:t>s</w:t>
      </w:r>
      <w:r w:rsidR="00E700F6" w:rsidRPr="00511CD3">
        <w:t>, the now young wom</w:t>
      </w:r>
      <w:r w:rsidR="00493544" w:rsidRPr="00511CD3">
        <w:t>a</w:t>
      </w:r>
      <w:r w:rsidR="00E700F6" w:rsidRPr="00511CD3">
        <w:t xml:space="preserve">n </w:t>
      </w:r>
      <w:r w:rsidR="00417AAE" w:rsidRPr="00511CD3">
        <w:t>“</w:t>
      </w:r>
      <w:r w:rsidR="000C0D85" w:rsidRPr="00511CD3">
        <w:t>María</w:t>
      </w:r>
      <w:r w:rsidR="00417AAE" w:rsidRPr="00511CD3">
        <w:t>” r</w:t>
      </w:r>
      <w:r w:rsidR="00E700F6" w:rsidRPr="00511CD3">
        <w:t>ecalled with great pain and anguish what had happened that day and indicated that she</w:t>
      </w:r>
      <w:r w:rsidR="00417AAE" w:rsidRPr="00511CD3">
        <w:t xml:space="preserve">, </w:t>
      </w:r>
      <w:r w:rsidR="00E700F6" w:rsidRPr="00511CD3">
        <w:t xml:space="preserve">despite her young age, had </w:t>
      </w:r>
      <w:r w:rsidR="00147CED" w:rsidRPr="00511CD3">
        <w:t xml:space="preserve">already </w:t>
      </w:r>
      <w:r w:rsidR="00E700F6" w:rsidRPr="00511CD3">
        <w:t xml:space="preserve">at that time </w:t>
      </w:r>
      <w:r w:rsidR="008C1CA6" w:rsidRPr="00511CD3">
        <w:t>expressed</w:t>
      </w:r>
      <w:r w:rsidR="00E700F6" w:rsidRPr="00511CD3">
        <w:t xml:space="preserve"> her wish not to go ahead with the adoption of her </w:t>
      </w:r>
      <w:r w:rsidR="00493544" w:rsidRPr="00511CD3">
        <w:t>child.</w:t>
      </w:r>
      <w:r w:rsidR="00E700F6" w:rsidRPr="00511CD3">
        <w:t xml:space="preserve">  For all these reasons, the</w:t>
      </w:r>
      <w:r w:rsidR="00417AAE" w:rsidRPr="00511CD3">
        <w:t xml:space="preserve"> </w:t>
      </w:r>
      <w:r w:rsidRPr="00511CD3">
        <w:t>IACHR</w:t>
      </w:r>
      <w:r w:rsidR="00417AAE" w:rsidRPr="00511CD3">
        <w:t xml:space="preserve"> </w:t>
      </w:r>
      <w:r w:rsidR="00E700F6" w:rsidRPr="00511CD3">
        <w:t>finds it incomprehensible in light of the standards outline</w:t>
      </w:r>
      <w:r w:rsidR="005B2A4F" w:rsidRPr="00511CD3">
        <w:t>d</w:t>
      </w:r>
      <w:r w:rsidR="00E700F6" w:rsidRPr="00511CD3">
        <w:t xml:space="preserve"> that the only decision taken by the judicial authorities was to order th</w:t>
      </w:r>
      <w:r w:rsidR="00493544" w:rsidRPr="00511CD3">
        <w:t xml:space="preserve">e </w:t>
      </w:r>
      <w:r w:rsidR="00E700F6" w:rsidRPr="00511CD3">
        <w:t xml:space="preserve">the girl </w:t>
      </w:r>
      <w:r w:rsidR="00493544" w:rsidRPr="00511CD3">
        <w:t xml:space="preserve">to </w:t>
      </w:r>
      <w:r w:rsidR="00E700F6" w:rsidRPr="00511CD3">
        <w:t>go for psychological treatment and that</w:t>
      </w:r>
      <w:r w:rsidR="008C1CA6" w:rsidRPr="00511CD3">
        <w:t xml:space="preserve"> the conditions to try to undo “Mariano’s” guardianship and adoption process have not yet begun, giv</w:t>
      </w:r>
      <w:r w:rsidR="005B2A4F" w:rsidRPr="00511CD3">
        <w:t>en</w:t>
      </w:r>
      <w:r w:rsidR="008C1CA6" w:rsidRPr="00511CD3">
        <w:t xml:space="preserve"> the intent </w:t>
      </w:r>
      <w:r w:rsidR="001F62F9" w:rsidRPr="00511CD3">
        <w:t xml:space="preserve">that </w:t>
      </w:r>
      <w:r w:rsidR="008C1CA6" w:rsidRPr="00511CD3">
        <w:t>“María” has expressed</w:t>
      </w:r>
      <w:r w:rsidR="00DC62F4" w:rsidRPr="00511CD3">
        <w:t xml:space="preserve">.  </w:t>
      </w:r>
    </w:p>
    <w:p w14:paraId="41A7B98E" w14:textId="77777777" w:rsidR="00106FF1" w:rsidRPr="00511CD3" w:rsidRDefault="00106FF1" w:rsidP="008429F6">
      <w:pPr>
        <w:pStyle w:val="ListParagraph"/>
        <w:numPr>
          <w:ilvl w:val="0"/>
          <w:numId w:val="0"/>
        </w:numPr>
      </w:pPr>
    </w:p>
    <w:p w14:paraId="5A8652FA" w14:textId="77777777" w:rsidR="0009304F" w:rsidRPr="00511CD3" w:rsidRDefault="007F3CD4" w:rsidP="005B2A4F">
      <w:pPr>
        <w:pStyle w:val="ListParagraph"/>
        <w:numPr>
          <w:ilvl w:val="0"/>
          <w:numId w:val="0"/>
        </w:numPr>
        <w:ind w:left="567"/>
      </w:pPr>
      <w:r w:rsidRPr="00511CD3">
        <w:t>-</w:t>
      </w:r>
      <w:r w:rsidRPr="00511CD3">
        <w:tab/>
      </w:r>
      <w:r w:rsidR="008C1CA6" w:rsidRPr="00511CD3">
        <w:rPr>
          <w:b/>
        </w:rPr>
        <w:t xml:space="preserve">Restoring </w:t>
      </w:r>
      <w:r w:rsidR="00A43F10" w:rsidRPr="00511CD3">
        <w:rPr>
          <w:b/>
        </w:rPr>
        <w:t xml:space="preserve">contact and emotional </w:t>
      </w:r>
      <w:r w:rsidR="00F4261A" w:rsidRPr="00511CD3">
        <w:rPr>
          <w:b/>
        </w:rPr>
        <w:t>tie</w:t>
      </w:r>
      <w:r w:rsidR="005B2A4F" w:rsidRPr="00511CD3">
        <w:rPr>
          <w:b/>
        </w:rPr>
        <w:t>s</w:t>
      </w:r>
      <w:r w:rsidR="00A43F10" w:rsidRPr="00511CD3">
        <w:rPr>
          <w:b/>
        </w:rPr>
        <w:t xml:space="preserve"> between </w:t>
      </w:r>
      <w:r w:rsidR="00DC62F4" w:rsidRPr="00511CD3">
        <w:rPr>
          <w:b/>
        </w:rPr>
        <w:t>“</w:t>
      </w:r>
      <w:r w:rsidR="00164602" w:rsidRPr="00511CD3">
        <w:rPr>
          <w:b/>
        </w:rPr>
        <w:t>María</w:t>
      </w:r>
      <w:r w:rsidR="00DC62F4" w:rsidRPr="00511CD3">
        <w:rPr>
          <w:b/>
        </w:rPr>
        <w:t>”</w:t>
      </w:r>
      <w:r w:rsidR="00B10F4D" w:rsidRPr="00511CD3">
        <w:rPr>
          <w:b/>
        </w:rPr>
        <w:t xml:space="preserve"> and </w:t>
      </w:r>
      <w:r w:rsidR="00DC62F4" w:rsidRPr="00511CD3">
        <w:rPr>
          <w:b/>
        </w:rPr>
        <w:t>“Mariano”</w:t>
      </w:r>
      <w:r w:rsidR="00DC62F4" w:rsidRPr="00511CD3">
        <w:t xml:space="preserve"> </w:t>
      </w:r>
    </w:p>
    <w:p w14:paraId="6E2A2B37" w14:textId="77777777" w:rsidR="00465BCC" w:rsidRPr="00511CD3" w:rsidRDefault="00465BCC" w:rsidP="008429F6">
      <w:pPr>
        <w:pStyle w:val="ListParagraph"/>
        <w:numPr>
          <w:ilvl w:val="0"/>
          <w:numId w:val="0"/>
        </w:numPr>
      </w:pPr>
    </w:p>
    <w:p w14:paraId="62C8DA7C" w14:textId="77777777" w:rsidR="006827B7" w:rsidRPr="00511CD3" w:rsidRDefault="00B10F4D" w:rsidP="00D568AC">
      <w:pPr>
        <w:pStyle w:val="ListParagraph"/>
        <w:ind w:left="0" w:firstLine="0"/>
      </w:pPr>
      <w:r w:rsidRPr="00511CD3">
        <w:t>The Commission</w:t>
      </w:r>
      <w:r w:rsidR="008C1CA6" w:rsidRPr="00511CD3">
        <w:t xml:space="preserve"> has noted that “María’s” first formal request made through her attorneys to institute a system for restoration of ties with her son was presented to the judge in the case on August </w:t>
      </w:r>
      <w:r w:rsidR="00431D1E" w:rsidRPr="00511CD3">
        <w:t>4</w:t>
      </w:r>
      <w:r w:rsidR="008C1CA6" w:rsidRPr="00511CD3">
        <w:t>,</w:t>
      </w:r>
      <w:r w:rsidR="00431D1E" w:rsidRPr="00511CD3">
        <w:t xml:space="preserve"> 2015. </w:t>
      </w:r>
      <w:r w:rsidR="008C1CA6" w:rsidRPr="00511CD3">
        <w:t xml:space="preserve"> The file shows that this request, together with others made by the attorneys for “María” and her mother in the latter half of </w:t>
      </w:r>
      <w:r w:rsidR="00431D1E" w:rsidRPr="00511CD3">
        <w:t>2015</w:t>
      </w:r>
      <w:r w:rsidR="001F62F9" w:rsidRPr="00511CD3">
        <w:t>,</w:t>
      </w:r>
      <w:r w:rsidR="00431D1E" w:rsidRPr="00511CD3">
        <w:t xml:space="preserve"> </w:t>
      </w:r>
      <w:r w:rsidR="00365EC8" w:rsidRPr="00511CD3">
        <w:t>w</w:t>
      </w:r>
      <w:r w:rsidR="001F62F9" w:rsidRPr="00511CD3">
        <w:t>as</w:t>
      </w:r>
      <w:r w:rsidR="00365EC8" w:rsidRPr="00511CD3">
        <w:t xml:space="preserve"> not answered by the family court</w:t>
      </w:r>
      <w:r w:rsidR="00431D1E" w:rsidRPr="00511CD3">
        <w:t xml:space="preserve">. </w:t>
      </w:r>
      <w:r w:rsidRPr="00511CD3">
        <w:t>The Commission</w:t>
      </w:r>
      <w:r w:rsidR="00431D1E" w:rsidRPr="00511CD3">
        <w:t xml:space="preserve"> not</w:t>
      </w:r>
      <w:r w:rsidR="00365EC8" w:rsidRPr="00511CD3">
        <w:t xml:space="preserve">es that during these months, the judicial process, </w:t>
      </w:r>
      <w:r w:rsidR="001F62F9" w:rsidRPr="00511CD3">
        <w:t xml:space="preserve">insofar as it concerned </w:t>
      </w:r>
      <w:r w:rsidR="00365EC8" w:rsidRPr="00511CD3">
        <w:t xml:space="preserve">the facilitation of contact between </w:t>
      </w:r>
      <w:r w:rsidR="00B40ADA" w:rsidRPr="00511CD3">
        <w:t>María</w:t>
      </w:r>
      <w:r w:rsidRPr="00511CD3">
        <w:t xml:space="preserve"> and</w:t>
      </w:r>
      <w:r w:rsidR="00365EC8" w:rsidRPr="00511CD3">
        <w:t xml:space="preserve"> her son, was </w:t>
      </w:r>
      <w:r w:rsidR="001F62F9" w:rsidRPr="00511CD3">
        <w:t xml:space="preserve">at a </w:t>
      </w:r>
      <w:r w:rsidR="00365EC8" w:rsidRPr="00511CD3">
        <w:t xml:space="preserve">virtual </w:t>
      </w:r>
      <w:r w:rsidR="001F62F9" w:rsidRPr="00511CD3">
        <w:t xml:space="preserve">standstill, </w:t>
      </w:r>
      <w:r w:rsidR="00365EC8" w:rsidRPr="00511CD3">
        <w:t xml:space="preserve">and only in </w:t>
      </w:r>
      <w:r w:rsidRPr="00511CD3">
        <w:t>February</w:t>
      </w:r>
      <w:r w:rsidR="00431D1E" w:rsidRPr="00511CD3">
        <w:t xml:space="preserve"> 2016</w:t>
      </w:r>
      <w:r w:rsidR="001F62F9" w:rsidRPr="00511CD3">
        <w:t>,</w:t>
      </w:r>
      <w:r w:rsidR="00431D1E" w:rsidRPr="00511CD3">
        <w:t xml:space="preserve"> </w:t>
      </w:r>
      <w:r w:rsidR="00365EC8" w:rsidRPr="00511CD3">
        <w:t xml:space="preserve">did the Special Mental Health Boards </w:t>
      </w:r>
      <w:r w:rsidR="001F62F9" w:rsidRPr="00511CD3">
        <w:t>authori</w:t>
      </w:r>
      <w:r w:rsidR="00365EC8" w:rsidRPr="00511CD3">
        <w:t xml:space="preserve">ty of the Ministry of Health of </w:t>
      </w:r>
      <w:r w:rsidR="00B40ADA" w:rsidRPr="00511CD3">
        <w:t xml:space="preserve">Santa Fe </w:t>
      </w:r>
      <w:r w:rsidR="00CF0721" w:rsidRPr="00511CD3">
        <w:t>Province</w:t>
      </w:r>
      <w:r w:rsidR="00365EC8" w:rsidRPr="00511CD3">
        <w:t xml:space="preserve"> present a report advising that a</w:t>
      </w:r>
      <w:r w:rsidR="001F62F9" w:rsidRPr="00511CD3">
        <w:t xml:space="preserve"> system for </w:t>
      </w:r>
      <w:r w:rsidR="008A6A82" w:rsidRPr="00511CD3">
        <w:t xml:space="preserve">restoration of ties </w:t>
      </w:r>
      <w:r w:rsidR="00365EC8" w:rsidRPr="00511CD3">
        <w:t>and contact be established</w:t>
      </w:r>
      <w:r w:rsidR="00B40ADA" w:rsidRPr="00511CD3">
        <w:t xml:space="preserve">. </w:t>
      </w:r>
    </w:p>
    <w:p w14:paraId="4E72AA7A" w14:textId="77777777" w:rsidR="00B40ADA" w:rsidRPr="00511CD3" w:rsidRDefault="00B40ADA" w:rsidP="008429F6">
      <w:pPr>
        <w:pStyle w:val="ListParagraph"/>
        <w:numPr>
          <w:ilvl w:val="0"/>
          <w:numId w:val="0"/>
        </w:numPr>
      </w:pPr>
    </w:p>
    <w:p w14:paraId="2002E596" w14:textId="77777777" w:rsidR="00B40ADA" w:rsidRPr="00511CD3" w:rsidRDefault="00B10F4D" w:rsidP="00D568AC">
      <w:pPr>
        <w:pStyle w:val="ListParagraph"/>
        <w:ind w:left="0" w:firstLine="0"/>
      </w:pPr>
      <w:r w:rsidRPr="00511CD3">
        <w:t>The Commission</w:t>
      </w:r>
      <w:r w:rsidR="00365EC8" w:rsidRPr="00511CD3">
        <w:t xml:space="preserve"> has also noted that, despite a positive report from the Special Boards, the family court continued for months without taking a decision in this regard.  That is why “María’s” attorneys felt a need to file for an innovative precautionary measure </w:t>
      </w:r>
      <w:r w:rsidRPr="00511CD3">
        <w:t xml:space="preserve">and </w:t>
      </w:r>
      <w:r w:rsidR="00365EC8" w:rsidRPr="00511CD3">
        <w:t xml:space="preserve">to </w:t>
      </w:r>
      <w:r w:rsidR="00764171" w:rsidRPr="00511CD3">
        <w:t>file</w:t>
      </w:r>
      <w:r w:rsidR="00365EC8" w:rsidRPr="00511CD3">
        <w:t xml:space="preserve"> an applicat</w:t>
      </w:r>
      <w:r w:rsidR="00764171" w:rsidRPr="00511CD3">
        <w:t>ion for precautionary measure with</w:t>
      </w:r>
      <w:r w:rsidR="00365EC8" w:rsidRPr="00511CD3">
        <w:t xml:space="preserve"> this Commission</w:t>
      </w:r>
      <w:r w:rsidR="00B40ADA" w:rsidRPr="00511CD3">
        <w:t xml:space="preserve">. </w:t>
      </w:r>
      <w:r w:rsidR="00365EC8" w:rsidRPr="00511CD3">
        <w:t xml:space="preserve">Only in </w:t>
      </w:r>
      <w:r w:rsidRPr="00511CD3">
        <w:t>April</w:t>
      </w:r>
      <w:r w:rsidR="00B40ADA" w:rsidRPr="00511CD3">
        <w:t xml:space="preserve"> 2016</w:t>
      </w:r>
      <w:r w:rsidR="003308DE" w:rsidRPr="00511CD3">
        <w:t xml:space="preserve">, </w:t>
      </w:r>
      <w:r w:rsidR="00365EC8" w:rsidRPr="00511CD3">
        <w:t>did the judge in the case, after convening a</w:t>
      </w:r>
      <w:r w:rsidR="00F24DE8" w:rsidRPr="00511CD3">
        <w:t xml:space="preserve"> </w:t>
      </w:r>
      <w:r w:rsidR="00365EC8" w:rsidRPr="00511CD3">
        <w:t xml:space="preserve">meeting </w:t>
      </w:r>
      <w:r w:rsidR="00F24DE8" w:rsidRPr="00511CD3">
        <w:t>among</w:t>
      </w:r>
      <w:r w:rsidR="00365EC8" w:rsidRPr="00511CD3">
        <w:t xml:space="preserve"> all those involved in the case, </w:t>
      </w:r>
      <w:r w:rsidR="00147CED" w:rsidRPr="00511CD3">
        <w:t xml:space="preserve">order </w:t>
      </w:r>
      <w:r w:rsidR="00365EC8" w:rsidRPr="00511CD3">
        <w:t xml:space="preserve">the establishment of a visitation schedule </w:t>
      </w:r>
      <w:r w:rsidR="00F24DE8" w:rsidRPr="00511CD3">
        <w:t>of</w:t>
      </w:r>
      <w:r w:rsidR="00365EC8" w:rsidRPr="00511CD3">
        <w:t xml:space="preserve"> two hours per week </w:t>
      </w:r>
      <w:r w:rsidR="00F24DE8" w:rsidRPr="00511CD3">
        <w:t>at the</w:t>
      </w:r>
      <w:r w:rsidR="005E0F11" w:rsidRPr="00511CD3">
        <w:t xml:space="preserve"> court’s</w:t>
      </w:r>
      <w:r w:rsidR="00F24DE8" w:rsidRPr="00511CD3">
        <w:t xml:space="preserve"> premises, with the presence of court professionals.</w:t>
      </w:r>
      <w:r w:rsidR="00B40ADA" w:rsidRPr="00511CD3">
        <w:t xml:space="preserve"> </w:t>
      </w:r>
      <w:r w:rsidRPr="00511CD3">
        <w:t>The Commission</w:t>
      </w:r>
      <w:r w:rsidR="00785F84" w:rsidRPr="00511CD3">
        <w:t xml:space="preserve"> </w:t>
      </w:r>
      <w:r w:rsidR="005E0F11" w:rsidRPr="00511CD3">
        <w:t>notes, therefore, that over eight months went by between “María’s” first request to meet and bond with her son and the judge’s</w:t>
      </w:r>
      <w:r w:rsidR="00764171" w:rsidRPr="00511CD3">
        <w:t xml:space="preserve"> authorization</w:t>
      </w:r>
      <w:r w:rsidR="005E0F11" w:rsidRPr="00511CD3">
        <w:t xml:space="preserve">, period of time in which </w:t>
      </w:r>
      <w:r w:rsidR="00540394" w:rsidRPr="00511CD3">
        <w:t>the child “Mariano”</w:t>
      </w:r>
      <w:r w:rsidR="00785F84" w:rsidRPr="00511CD3">
        <w:t xml:space="preserve"> </w:t>
      </w:r>
      <w:r w:rsidR="005E0F11" w:rsidRPr="00511CD3">
        <w:t xml:space="preserve">continued his development and </w:t>
      </w:r>
      <w:r w:rsidR="00147CED" w:rsidRPr="00511CD3">
        <w:t xml:space="preserve">continued to build </w:t>
      </w:r>
      <w:r w:rsidR="005E0F11" w:rsidRPr="00511CD3">
        <w:t xml:space="preserve">his emotional life, his biography, </w:t>
      </w:r>
      <w:r w:rsidRPr="00511CD3">
        <w:t xml:space="preserve">and </w:t>
      </w:r>
      <w:r w:rsidR="005E0F11" w:rsidRPr="00511CD3">
        <w:t>his social ties completed distanced from his biological family</w:t>
      </w:r>
      <w:r w:rsidR="00785F84" w:rsidRPr="00511CD3">
        <w:t xml:space="preserve">. </w:t>
      </w:r>
    </w:p>
    <w:p w14:paraId="2A2E681C" w14:textId="77777777" w:rsidR="00785F84" w:rsidRPr="00511CD3" w:rsidRDefault="00785F84" w:rsidP="008429F6">
      <w:pPr>
        <w:pStyle w:val="ListParagraph"/>
        <w:numPr>
          <w:ilvl w:val="0"/>
          <w:numId w:val="0"/>
        </w:numPr>
      </w:pPr>
    </w:p>
    <w:p w14:paraId="515CD1FD" w14:textId="77777777" w:rsidR="001345FC" w:rsidRPr="00511CD3" w:rsidRDefault="005E0F11" w:rsidP="00D568AC">
      <w:pPr>
        <w:pStyle w:val="ListParagraph"/>
        <w:ind w:left="0" w:firstLine="0"/>
      </w:pPr>
      <w:r w:rsidRPr="00511CD3">
        <w:t>Despite the order to begin the aforesaid visitation schedule</w:t>
      </w:r>
      <w:r w:rsidR="00785F84" w:rsidRPr="00511CD3">
        <w:t xml:space="preserve">, </w:t>
      </w:r>
      <w:r w:rsidR="00B10F4D" w:rsidRPr="00511CD3">
        <w:t>the Commission</w:t>
      </w:r>
      <w:r w:rsidR="00785F84" w:rsidRPr="00511CD3">
        <w:t xml:space="preserve"> </w:t>
      </w:r>
      <w:r w:rsidRPr="00511CD3">
        <w:t>understands that i</w:t>
      </w:r>
      <w:r w:rsidR="00497C41">
        <w:t xml:space="preserve">the </w:t>
      </w:r>
      <w:r w:rsidRPr="00511CD3">
        <w:t xml:space="preserve">practical </w:t>
      </w:r>
      <w:r w:rsidR="00CF0721" w:rsidRPr="00511CD3">
        <w:t>implementation</w:t>
      </w:r>
      <w:r w:rsidRPr="00511CD3">
        <w:t xml:space="preserve"> </w:t>
      </w:r>
      <w:r w:rsidR="00497C41">
        <w:t>of this</w:t>
      </w:r>
      <w:r w:rsidRPr="00511CD3">
        <w:t xml:space="preserve"> first stage was not without obstacles.  First, the circumstance that in the first meetings between </w:t>
      </w:r>
      <w:r w:rsidR="001345FC" w:rsidRPr="00511CD3">
        <w:t>“María”</w:t>
      </w:r>
      <w:r w:rsidR="00B10F4D" w:rsidRPr="00511CD3">
        <w:t xml:space="preserve"> and </w:t>
      </w:r>
      <w:r w:rsidRPr="00511CD3">
        <w:t xml:space="preserve">her son, </w:t>
      </w:r>
      <w:r w:rsidR="00764171" w:rsidRPr="00511CD3">
        <w:t xml:space="preserve">an order had been issued for </w:t>
      </w:r>
      <w:r w:rsidR="0002664E" w:rsidRPr="00511CD3">
        <w:t>participation</w:t>
      </w:r>
      <w:r w:rsidRPr="00511CD3">
        <w:t xml:space="preserve"> by some of the psychologists </w:t>
      </w:r>
      <w:r w:rsidRPr="00511CD3">
        <w:lastRenderedPageBreak/>
        <w:t xml:space="preserve">and social workers who had participated in the by-then questioned hearing of March 2, 2005, at which </w:t>
      </w:r>
      <w:r w:rsidR="001345FC" w:rsidRPr="00511CD3">
        <w:t xml:space="preserve">“María” </w:t>
      </w:r>
      <w:r w:rsidRPr="00511CD3">
        <w:t xml:space="preserve">had had a nervous breakdown did not generate in the girl sufficient confidence that those meetings would have </w:t>
      </w:r>
      <w:r w:rsidR="00764171" w:rsidRPr="00511CD3">
        <w:t xml:space="preserve">a </w:t>
      </w:r>
      <w:r w:rsidRPr="00511CD3">
        <w:t>minimum prospect of success.</w:t>
      </w:r>
    </w:p>
    <w:p w14:paraId="70F0AC40" w14:textId="77777777" w:rsidR="001345FC" w:rsidRPr="00511CD3" w:rsidRDefault="001345FC" w:rsidP="008429F6">
      <w:pPr>
        <w:pStyle w:val="ListParagraph"/>
        <w:numPr>
          <w:ilvl w:val="0"/>
          <w:numId w:val="0"/>
        </w:numPr>
      </w:pPr>
    </w:p>
    <w:p w14:paraId="5C0D0F2E" w14:textId="77777777" w:rsidR="00785F84" w:rsidRPr="00511CD3" w:rsidRDefault="001345FC" w:rsidP="00D568AC">
      <w:pPr>
        <w:pStyle w:val="ListParagraph"/>
        <w:ind w:left="0" w:firstLine="0"/>
      </w:pPr>
      <w:r w:rsidRPr="00511CD3">
        <w:t xml:space="preserve"> </w:t>
      </w:r>
      <w:r w:rsidR="00034EE4" w:rsidRPr="00511CD3">
        <w:t>Secondly</w:t>
      </w:r>
      <w:r w:rsidRPr="00511CD3">
        <w:t xml:space="preserve">, </w:t>
      </w:r>
      <w:r w:rsidR="00B10F4D" w:rsidRPr="00511CD3">
        <w:t>the Commission</w:t>
      </w:r>
      <w:r w:rsidRPr="00511CD3">
        <w:t xml:space="preserve"> </w:t>
      </w:r>
      <w:r w:rsidR="00034EE4" w:rsidRPr="00511CD3">
        <w:t>notes that neither the girl’s mother nor the extended family had an opportunity to participate in these meetings</w:t>
      </w:r>
      <w:r w:rsidRPr="00511CD3">
        <w:t xml:space="preserve">. </w:t>
      </w:r>
      <w:r w:rsidR="00B10F4D" w:rsidRPr="00511CD3">
        <w:t>The Commission</w:t>
      </w:r>
      <w:r w:rsidRPr="00511CD3">
        <w:t xml:space="preserve"> t</w:t>
      </w:r>
      <w:r w:rsidR="00034EE4" w:rsidRPr="00511CD3">
        <w:t xml:space="preserve">akes note of the reports signed by the psychologists in the case, attached in the file, that explain the importance of concentrating on strengthening the bond between </w:t>
      </w:r>
      <w:r w:rsidR="001D5FE0" w:rsidRPr="00511CD3">
        <w:t>“María”</w:t>
      </w:r>
      <w:r w:rsidR="00B10F4D" w:rsidRPr="00511CD3">
        <w:t xml:space="preserve"> and </w:t>
      </w:r>
      <w:r w:rsidR="00034EE4" w:rsidRPr="00511CD3">
        <w:t>her son before including third parties in the visitation schedule. However</w:t>
      </w:r>
      <w:r w:rsidR="001D5FE0" w:rsidRPr="00511CD3">
        <w:t xml:space="preserve">, </w:t>
      </w:r>
      <w:r w:rsidR="00B10F4D" w:rsidRPr="00511CD3">
        <w:t>the Commission</w:t>
      </w:r>
      <w:r w:rsidR="001D5FE0" w:rsidRPr="00511CD3">
        <w:t xml:space="preserve"> </w:t>
      </w:r>
      <w:r w:rsidR="00034EE4" w:rsidRPr="00511CD3">
        <w:t xml:space="preserve">understands that that objective does not necessarily exclude the right of </w:t>
      </w:r>
      <w:r w:rsidR="001D5FE0" w:rsidRPr="00511CD3">
        <w:t>“Mariano</w:t>
      </w:r>
      <w:r w:rsidR="00034EE4" w:rsidRPr="00511CD3">
        <w:t>’s</w:t>
      </w:r>
      <w:r w:rsidR="001D5FE0" w:rsidRPr="00511CD3">
        <w:t>”</w:t>
      </w:r>
      <w:r w:rsidR="00034EE4" w:rsidRPr="00511CD3">
        <w:t xml:space="preserve"> grandmother to, at least, meet her grandson</w:t>
      </w:r>
      <w:r w:rsidR="001D5FE0" w:rsidRPr="00511CD3">
        <w:t xml:space="preserve">. </w:t>
      </w:r>
      <w:r w:rsidR="00034EE4" w:rsidRPr="00511CD3">
        <w:t xml:space="preserve"> Despite the documents signed by the attorney for “Mariano’s” grandmother</w:t>
      </w:r>
      <w:r w:rsidR="00F7473D" w:rsidRPr="00511CD3">
        <w:t xml:space="preserve">, </w:t>
      </w:r>
      <w:r w:rsidR="001D5FE0" w:rsidRPr="00511CD3">
        <w:t>“María</w:t>
      </w:r>
      <w:r w:rsidR="008A6A82" w:rsidRPr="00511CD3">
        <w:t>’s</w:t>
      </w:r>
      <w:r w:rsidR="001D5FE0" w:rsidRPr="00511CD3">
        <w:t xml:space="preserve">” </w:t>
      </w:r>
      <w:r w:rsidR="00764171" w:rsidRPr="00511CD3">
        <w:t>mother</w:t>
      </w:r>
      <w:r w:rsidR="00F7473D" w:rsidRPr="00511CD3">
        <w:t>,</w:t>
      </w:r>
      <w:r w:rsidR="00764171" w:rsidRPr="00511CD3">
        <w:t xml:space="preserve"> </w:t>
      </w:r>
      <w:r w:rsidR="00034EE4" w:rsidRPr="00511CD3">
        <w:t xml:space="preserve">requesting that the party she represents be gradually incorporated into the visits, the file </w:t>
      </w:r>
      <w:r w:rsidR="00764171" w:rsidRPr="00511CD3">
        <w:t xml:space="preserve">does not </w:t>
      </w:r>
      <w:r w:rsidR="00CF0721" w:rsidRPr="00511CD3">
        <w:t>show</w:t>
      </w:r>
      <w:r w:rsidR="00034EE4" w:rsidRPr="00511CD3">
        <w:t xml:space="preserve"> that the professionals in the case had at least planned a strategy for intervention that </w:t>
      </w:r>
      <w:r w:rsidR="00764171" w:rsidRPr="00511CD3">
        <w:t xml:space="preserve">would </w:t>
      </w:r>
      <w:r w:rsidR="00034EE4" w:rsidRPr="00511CD3">
        <w:t xml:space="preserve">enable an emotional bond between </w:t>
      </w:r>
      <w:r w:rsidR="001D5FE0" w:rsidRPr="00511CD3">
        <w:t>“Mariano”</w:t>
      </w:r>
      <w:r w:rsidR="00B10F4D" w:rsidRPr="00511CD3">
        <w:t xml:space="preserve"> and </w:t>
      </w:r>
      <w:r w:rsidR="00034EE4" w:rsidRPr="00511CD3">
        <w:t>his grandmother to be established.</w:t>
      </w:r>
    </w:p>
    <w:p w14:paraId="7C0C4255" w14:textId="77777777" w:rsidR="001D5FE0" w:rsidRPr="00511CD3" w:rsidRDefault="001D5FE0" w:rsidP="008429F6">
      <w:pPr>
        <w:pStyle w:val="ListParagraph"/>
        <w:numPr>
          <w:ilvl w:val="0"/>
          <w:numId w:val="0"/>
        </w:numPr>
      </w:pPr>
    </w:p>
    <w:p w14:paraId="7D59A2EC" w14:textId="77777777" w:rsidR="001D5FE0" w:rsidRPr="00511CD3" w:rsidRDefault="00034EE4" w:rsidP="00D568AC">
      <w:pPr>
        <w:pStyle w:val="ListParagraph"/>
        <w:ind w:left="0" w:firstLine="0"/>
      </w:pPr>
      <w:r w:rsidRPr="00511CD3">
        <w:t>T</w:t>
      </w:r>
      <w:r w:rsidR="00B10F4D" w:rsidRPr="00511CD3">
        <w:t>he Commission</w:t>
      </w:r>
      <w:r w:rsidR="001D5FE0" w:rsidRPr="00511CD3">
        <w:t xml:space="preserve"> </w:t>
      </w:r>
      <w:r w:rsidRPr="00511CD3">
        <w:t xml:space="preserve">also emphasizes that, according to the </w:t>
      </w:r>
      <w:r w:rsidR="002E08A7" w:rsidRPr="00511CD3">
        <w:t>petitioners</w:t>
      </w:r>
      <w:r w:rsidR="00B10F4D" w:rsidRPr="00511CD3">
        <w:t xml:space="preserve"> and </w:t>
      </w:r>
      <w:r w:rsidR="001D5FE0" w:rsidRPr="00511CD3">
        <w:t>“</w:t>
      </w:r>
      <w:r w:rsidR="00466DC6" w:rsidRPr="00511CD3">
        <w:t>María</w:t>
      </w:r>
      <w:r w:rsidR="001D5FE0" w:rsidRPr="00511CD3">
        <w:t>”</w:t>
      </w:r>
      <w:r w:rsidRPr="00511CD3">
        <w:t xml:space="preserve"> herself</w:t>
      </w:r>
      <w:r w:rsidR="001D5FE0" w:rsidRPr="00511CD3">
        <w:t xml:space="preserve">, </w:t>
      </w:r>
      <w:r w:rsidRPr="00511CD3">
        <w:t xml:space="preserve">the State did not take any action or provide any </w:t>
      </w:r>
      <w:r w:rsidR="00764171" w:rsidRPr="00511CD3">
        <w:t xml:space="preserve">practical </w:t>
      </w:r>
      <w:r w:rsidRPr="00511CD3">
        <w:t xml:space="preserve">assistance to facilitate the adolescent’s presence at the meetings.  According to the standards indicated in the preceding chapter, it is incumbent upon the State to take any support steps </w:t>
      </w:r>
      <w:r w:rsidR="00F7473D" w:rsidRPr="00511CD3">
        <w:t xml:space="preserve">essential to </w:t>
      </w:r>
      <w:r w:rsidRPr="00511CD3">
        <w:t>promot</w:t>
      </w:r>
      <w:r w:rsidR="00F7473D" w:rsidRPr="00511CD3">
        <w:t xml:space="preserve">ing </w:t>
      </w:r>
      <w:r w:rsidRPr="00511CD3">
        <w:t>and ensur</w:t>
      </w:r>
      <w:r w:rsidR="00F7473D" w:rsidRPr="00511CD3">
        <w:t xml:space="preserve">ing </w:t>
      </w:r>
      <w:r w:rsidRPr="00511CD3">
        <w:t>family development and filial bonds</w:t>
      </w:r>
      <w:r w:rsidR="001D5FE0" w:rsidRPr="00511CD3">
        <w:t xml:space="preserve">. </w:t>
      </w:r>
      <w:r w:rsidR="00B10F4D" w:rsidRPr="00511CD3">
        <w:t>The Commission</w:t>
      </w:r>
      <w:r w:rsidRPr="00511CD3">
        <w:t xml:space="preserve"> understands that in this case</w:t>
      </w:r>
      <w:r w:rsidR="001D5FE0" w:rsidRPr="00511CD3">
        <w:t xml:space="preserve">, </w:t>
      </w:r>
      <w:r w:rsidR="003B3E1A" w:rsidRPr="00511CD3">
        <w:t xml:space="preserve">because </w:t>
      </w:r>
      <w:r w:rsidR="001D5FE0" w:rsidRPr="00511CD3">
        <w:t>“</w:t>
      </w:r>
      <w:r w:rsidR="00466DC6" w:rsidRPr="00511CD3">
        <w:t>María</w:t>
      </w:r>
      <w:r w:rsidR="003B3E1A" w:rsidRPr="00511CD3">
        <w:t>,”</w:t>
      </w:r>
      <w:r w:rsidR="001D5FE0" w:rsidRPr="00511CD3">
        <w:t xml:space="preserve"> </w:t>
      </w:r>
      <w:r w:rsidR="003B3E1A" w:rsidRPr="00511CD3">
        <w:t>was a</w:t>
      </w:r>
      <w:r w:rsidRPr="00511CD3">
        <w:t xml:space="preserve"> low-income mother and adolescent, the State should have taken any steps required to provide </w:t>
      </w:r>
      <w:r w:rsidR="003B3E1A" w:rsidRPr="00511CD3">
        <w:t xml:space="preserve">the adolescent with </w:t>
      </w:r>
      <w:r w:rsidR="00764171" w:rsidRPr="00511CD3">
        <w:t>practical facilities</w:t>
      </w:r>
      <w:r w:rsidR="003B3E1A" w:rsidRPr="00511CD3">
        <w:t xml:space="preserve"> to ensure her presence at the meetings</w:t>
      </w:r>
      <w:r w:rsidR="00466DC6" w:rsidRPr="00511CD3">
        <w:t xml:space="preserve">. </w:t>
      </w:r>
    </w:p>
    <w:p w14:paraId="72CC353D" w14:textId="77777777" w:rsidR="00904A4C" w:rsidRPr="00511CD3" w:rsidRDefault="00904A4C" w:rsidP="008429F6">
      <w:pPr>
        <w:pStyle w:val="ListParagraph"/>
        <w:numPr>
          <w:ilvl w:val="0"/>
          <w:numId w:val="0"/>
        </w:numPr>
      </w:pPr>
    </w:p>
    <w:p w14:paraId="1F234898" w14:textId="77777777" w:rsidR="00904A4C" w:rsidRPr="00511CD3" w:rsidRDefault="003B3E1A" w:rsidP="00D568AC">
      <w:pPr>
        <w:pStyle w:val="ListParagraph"/>
        <w:ind w:left="0" w:firstLine="0"/>
      </w:pPr>
      <w:r w:rsidRPr="00511CD3">
        <w:t xml:space="preserve">Moreover, </w:t>
      </w:r>
      <w:r w:rsidR="00F7473D" w:rsidRPr="00511CD3">
        <w:t xml:space="preserve">the </w:t>
      </w:r>
      <w:r w:rsidRPr="00511CD3">
        <w:t xml:space="preserve">study of the file makes evident a lack of flexibility to modify the system for contact when </w:t>
      </w:r>
      <w:r w:rsidR="00904A4C" w:rsidRPr="00511CD3">
        <w:t xml:space="preserve">“María” </w:t>
      </w:r>
      <w:r w:rsidRPr="00511CD3">
        <w:t>indicated her opposition to the modality that was being used.  This is clear from an analysis of what happened at the end of the stage when the meetings were under the supervision of the Family Encounter Point Program of Rosario National University</w:t>
      </w:r>
      <w:r w:rsidR="00904A4C" w:rsidRPr="00511CD3">
        <w:t xml:space="preserve">, </w:t>
      </w:r>
      <w:r w:rsidRPr="00511CD3">
        <w:t xml:space="preserve">which took place between </w:t>
      </w:r>
      <w:r w:rsidR="00B10F4D" w:rsidRPr="00511CD3">
        <w:t>September</w:t>
      </w:r>
      <w:r w:rsidR="00904A4C" w:rsidRPr="00511CD3">
        <w:t xml:space="preserve"> 2017 </w:t>
      </w:r>
      <w:r w:rsidRPr="00511CD3">
        <w:t xml:space="preserve">and </w:t>
      </w:r>
      <w:r w:rsidR="00B10F4D" w:rsidRPr="00511CD3">
        <w:t>July</w:t>
      </w:r>
      <w:r w:rsidR="00904A4C" w:rsidRPr="00511CD3">
        <w:t xml:space="preserve"> 2018. </w:t>
      </w:r>
      <w:r w:rsidRPr="00511CD3">
        <w:t xml:space="preserve"> In fact, after </w:t>
      </w:r>
      <w:r w:rsidR="00904A4C" w:rsidRPr="00511CD3">
        <w:t xml:space="preserve">“María” </w:t>
      </w:r>
      <w:r w:rsidRPr="00511CD3">
        <w:t xml:space="preserve">personally told the Official Defender in </w:t>
      </w:r>
      <w:r w:rsidR="00B10F4D" w:rsidRPr="00511CD3">
        <w:t>July</w:t>
      </w:r>
      <w:r w:rsidR="00904A4C" w:rsidRPr="00511CD3">
        <w:t xml:space="preserve"> 2018 </w:t>
      </w:r>
      <w:r w:rsidRPr="00511CD3">
        <w:t xml:space="preserve">her reasons why she no longer wanted to attend the program’s </w:t>
      </w:r>
      <w:r w:rsidR="00F7473D" w:rsidRPr="00511CD3">
        <w:t>offices</w:t>
      </w:r>
      <w:r w:rsidRPr="00511CD3">
        <w:t xml:space="preserve">, the contacts between her and her son only began again in </w:t>
      </w:r>
      <w:r w:rsidR="00B10F4D" w:rsidRPr="00511CD3">
        <w:t>November</w:t>
      </w:r>
      <w:r w:rsidR="00904A4C" w:rsidRPr="00511CD3">
        <w:t xml:space="preserve"> 2018, </w:t>
      </w:r>
      <w:r w:rsidRPr="00511CD3">
        <w:t xml:space="preserve">after </w:t>
      </w:r>
      <w:r w:rsidR="008A6A82" w:rsidRPr="00511CD3">
        <w:t>various</w:t>
      </w:r>
      <w:r w:rsidRPr="00511CD3">
        <w:t xml:space="preserve"> documents had been submitted by her attorneys.</w:t>
      </w:r>
    </w:p>
    <w:p w14:paraId="27A4A432" w14:textId="77777777" w:rsidR="00A53E1A" w:rsidRPr="00511CD3" w:rsidRDefault="00A53E1A" w:rsidP="008429F6">
      <w:pPr>
        <w:tabs>
          <w:tab w:val="left" w:pos="567"/>
        </w:tabs>
        <w:rPr>
          <w:rFonts w:ascii="Cambria" w:hAnsi="Cambria"/>
          <w:sz w:val="20"/>
          <w:szCs w:val="20"/>
        </w:rPr>
      </w:pPr>
    </w:p>
    <w:p w14:paraId="723BD5BF" w14:textId="77777777" w:rsidR="00904A4C" w:rsidRPr="00511CD3" w:rsidRDefault="00655140" w:rsidP="00D568AC">
      <w:pPr>
        <w:pStyle w:val="ListParagraph"/>
        <w:ind w:left="0" w:firstLine="0"/>
      </w:pPr>
      <w:r w:rsidRPr="00511CD3">
        <w:t xml:space="preserve">The file also shows the manifest incapacity of the judicial authorities responsible for conducting the proceedings to reply in time and form to </w:t>
      </w:r>
      <w:r w:rsidR="00A53E1A" w:rsidRPr="00511CD3">
        <w:t>“María</w:t>
      </w:r>
      <w:r w:rsidRPr="00511CD3">
        <w:t>’s</w:t>
      </w:r>
      <w:r w:rsidR="00A53E1A" w:rsidRPr="00511CD3">
        <w:t xml:space="preserve">” </w:t>
      </w:r>
      <w:r w:rsidRPr="00511CD3">
        <w:t>basic requests regarding the development of a close tie with her son</w:t>
      </w:r>
      <w:r w:rsidR="00A53E1A" w:rsidRPr="00511CD3">
        <w:t xml:space="preserve">. </w:t>
      </w:r>
      <w:r w:rsidR="008A6A82" w:rsidRPr="00511CD3">
        <w:t xml:space="preserve"> </w:t>
      </w:r>
      <w:r w:rsidRPr="00511CD3">
        <w:t xml:space="preserve">A notable example is </w:t>
      </w:r>
      <w:r w:rsidR="00A53E1A" w:rsidRPr="00511CD3">
        <w:t>“María</w:t>
      </w:r>
      <w:r w:rsidRPr="00511CD3">
        <w:t>’s</w:t>
      </w:r>
      <w:r w:rsidR="00A53E1A" w:rsidRPr="00511CD3">
        <w:t>”</w:t>
      </w:r>
      <w:r w:rsidRPr="00511CD3">
        <w:t xml:space="preserve"> request to </w:t>
      </w:r>
      <w:r w:rsidR="008A6A82" w:rsidRPr="00511CD3">
        <w:t xml:space="preserve">meet with </w:t>
      </w:r>
      <w:r w:rsidR="00A53E1A" w:rsidRPr="00511CD3">
        <w:t xml:space="preserve">“Mariano” </w:t>
      </w:r>
      <w:r w:rsidRPr="00511CD3">
        <w:t xml:space="preserve">at her house </w:t>
      </w:r>
      <w:r w:rsidR="008A6A82" w:rsidRPr="00511CD3">
        <w:t xml:space="preserve">to hold </w:t>
      </w:r>
      <w:r w:rsidRPr="00511CD3">
        <w:t>a birthday party on the child’s third birthday</w:t>
      </w:r>
      <w:r w:rsidR="00A53E1A" w:rsidRPr="00511CD3">
        <w:t xml:space="preserve">. </w:t>
      </w:r>
    </w:p>
    <w:p w14:paraId="7C83FA71" w14:textId="77777777" w:rsidR="00904A4C" w:rsidRPr="00511CD3" w:rsidRDefault="00904A4C" w:rsidP="008429F6">
      <w:pPr>
        <w:pStyle w:val="ListParagraph"/>
        <w:numPr>
          <w:ilvl w:val="0"/>
          <w:numId w:val="0"/>
        </w:numPr>
      </w:pPr>
    </w:p>
    <w:p w14:paraId="6E2BBD34" w14:textId="77777777" w:rsidR="00904A4C" w:rsidRPr="00511CD3" w:rsidRDefault="00B10F4D" w:rsidP="00D568AC">
      <w:pPr>
        <w:pStyle w:val="ListParagraph"/>
        <w:ind w:left="0" w:firstLine="0"/>
      </w:pPr>
      <w:r w:rsidRPr="00511CD3">
        <w:t>The Commission</w:t>
      </w:r>
      <w:r w:rsidR="00904A4C" w:rsidRPr="00511CD3">
        <w:t xml:space="preserve"> </w:t>
      </w:r>
      <w:r w:rsidR="00655140" w:rsidRPr="00511CD3">
        <w:t xml:space="preserve">notes that this request </w:t>
      </w:r>
      <w:r w:rsidR="00DB0582" w:rsidRPr="00511CD3">
        <w:t xml:space="preserve">was </w:t>
      </w:r>
      <w:r w:rsidR="00687C8D" w:rsidRPr="00511CD3">
        <w:t xml:space="preserve">only </w:t>
      </w:r>
      <w:r w:rsidR="00DB0582" w:rsidRPr="00511CD3">
        <w:t xml:space="preserve">decided </w:t>
      </w:r>
      <w:r w:rsidR="00687C8D" w:rsidRPr="00511CD3">
        <w:t>favorabl</w:t>
      </w:r>
      <w:r w:rsidR="00DB0582" w:rsidRPr="00511CD3">
        <w:t xml:space="preserve">y by </w:t>
      </w:r>
      <w:r w:rsidR="00687C8D" w:rsidRPr="00511CD3">
        <w:t xml:space="preserve">the judge in the case on August </w:t>
      </w:r>
      <w:r w:rsidR="00904A4C" w:rsidRPr="00511CD3">
        <w:t>24</w:t>
      </w:r>
      <w:r w:rsidR="00687C8D" w:rsidRPr="00511CD3">
        <w:t xml:space="preserve">, </w:t>
      </w:r>
      <w:r w:rsidR="00904A4C" w:rsidRPr="00511CD3">
        <w:t xml:space="preserve">2017, </w:t>
      </w:r>
      <w:r w:rsidR="00687C8D" w:rsidRPr="00511CD3">
        <w:t xml:space="preserve">that is, one day after the child’s birthday, and after having </w:t>
      </w:r>
      <w:r w:rsidR="00DB0582" w:rsidRPr="00511CD3">
        <w:t xml:space="preserve">notified </w:t>
      </w:r>
      <w:r w:rsidR="00687C8D" w:rsidRPr="00511CD3">
        <w:t xml:space="preserve">all those involved, whether or not parties </w:t>
      </w:r>
      <w:r w:rsidR="008A6A82" w:rsidRPr="00511CD3">
        <w:t>to</w:t>
      </w:r>
      <w:r w:rsidR="00687C8D" w:rsidRPr="00511CD3">
        <w:t xml:space="preserve"> the proceedings.  The</w:t>
      </w:r>
      <w:r w:rsidR="00904A4C" w:rsidRPr="00511CD3">
        <w:t xml:space="preserve"> </w:t>
      </w:r>
      <w:r w:rsidRPr="00511CD3">
        <w:t>IACHR</w:t>
      </w:r>
      <w:r w:rsidR="00904A4C" w:rsidRPr="00511CD3">
        <w:t xml:space="preserve"> </w:t>
      </w:r>
      <w:r w:rsidR="00687C8D" w:rsidRPr="00511CD3">
        <w:t xml:space="preserve">noted that some of the officials called </w:t>
      </w:r>
      <w:r w:rsidR="008A6A82" w:rsidRPr="00511CD3">
        <w:t>upon</w:t>
      </w:r>
      <w:r w:rsidR="00F7473D" w:rsidRPr="00511CD3">
        <w:t xml:space="preserve"> t</w:t>
      </w:r>
      <w:r w:rsidR="00687C8D" w:rsidRPr="00511CD3">
        <w:t xml:space="preserve">o give their opinion, such as </w:t>
      </w:r>
      <w:r w:rsidR="00904A4C" w:rsidRPr="00511CD3">
        <w:t>“Mariano</w:t>
      </w:r>
      <w:r w:rsidR="00687C8D" w:rsidRPr="00511CD3">
        <w:t>’s</w:t>
      </w:r>
      <w:r w:rsidR="00904A4C" w:rsidRPr="00511CD3">
        <w:t>”</w:t>
      </w:r>
      <w:r w:rsidR="00687C8D" w:rsidRPr="00511CD3">
        <w:t xml:space="preserve"> </w:t>
      </w:r>
      <w:r w:rsidR="0096576B" w:rsidRPr="00511CD3">
        <w:t xml:space="preserve">court-appointed legal </w:t>
      </w:r>
      <w:r w:rsidR="008A6A82" w:rsidRPr="00511CD3">
        <w:t>advisor</w:t>
      </w:r>
      <w:r w:rsidRPr="00511CD3">
        <w:t xml:space="preserve"> and </w:t>
      </w:r>
      <w:r w:rsidR="00687C8D" w:rsidRPr="00511CD3">
        <w:t xml:space="preserve">the Official Defender in charge of the Office of Civil Defender No. </w:t>
      </w:r>
      <w:r w:rsidR="00904A4C" w:rsidRPr="00511CD3">
        <w:t>5</w:t>
      </w:r>
      <w:r w:rsidR="00687C8D" w:rsidRPr="00511CD3">
        <w:t xml:space="preserve">, took over a week to submit a simple document indicating that they had no objection to the holding of the event.  </w:t>
      </w:r>
      <w:r w:rsidR="00E06830" w:rsidRPr="00511CD3">
        <w:t xml:space="preserve">The IACHR emphasizes that the resolution of August 24, 2017, authorizing the meeting between “María” and her son, the judge in the case, given the objective fact of deciding the request one day after “Mariano’s” birthday, asserted that “it not mattering the date or day of the week on which the party is ultimately held, to order the [Mariano] go to the home of [María], accompanied by Mr. and </w:t>
      </w:r>
      <w:r w:rsidR="00687C8D" w:rsidRPr="00511CD3">
        <w:t xml:space="preserve">Mrs. </w:t>
      </w:r>
      <w:r w:rsidR="00904A4C" w:rsidRPr="00511CD3">
        <w:t>“López</w:t>
      </w:r>
      <w:r w:rsidR="00687C8D" w:rsidRPr="00511CD3">
        <w:t>.”</w:t>
      </w:r>
      <w:r w:rsidR="00904A4C" w:rsidRPr="00511CD3">
        <w:t xml:space="preserve"> </w:t>
      </w:r>
    </w:p>
    <w:p w14:paraId="1F067359" w14:textId="77777777" w:rsidR="00904A4C" w:rsidRPr="00511CD3" w:rsidRDefault="00904A4C" w:rsidP="008429F6">
      <w:pPr>
        <w:pStyle w:val="ListParagraph"/>
        <w:numPr>
          <w:ilvl w:val="0"/>
          <w:numId w:val="0"/>
        </w:numPr>
      </w:pPr>
    </w:p>
    <w:p w14:paraId="5583CFC2" w14:textId="77777777" w:rsidR="003308DE" w:rsidRPr="00511CD3" w:rsidRDefault="00B10F4D" w:rsidP="00D568AC">
      <w:pPr>
        <w:pStyle w:val="ListParagraph"/>
        <w:ind w:left="0" w:firstLine="0"/>
      </w:pPr>
      <w:r w:rsidRPr="00511CD3">
        <w:t>The Commission</w:t>
      </w:r>
      <w:r w:rsidR="00D150F3" w:rsidRPr="00511CD3">
        <w:t xml:space="preserve"> </w:t>
      </w:r>
      <w:r w:rsidR="00687C8D" w:rsidRPr="00511CD3">
        <w:t xml:space="preserve">emphasizes that an event such as this had relevant symbolic </w:t>
      </w:r>
      <w:r w:rsidR="00CF0721" w:rsidRPr="00511CD3">
        <w:t>significance</w:t>
      </w:r>
      <w:r w:rsidR="00687C8D" w:rsidRPr="00511CD3">
        <w:t xml:space="preserve"> for </w:t>
      </w:r>
      <w:r w:rsidR="00D150F3" w:rsidRPr="00511CD3">
        <w:t>“María”</w:t>
      </w:r>
      <w:r w:rsidRPr="00511CD3">
        <w:t xml:space="preserve"> and </w:t>
      </w:r>
      <w:r w:rsidR="00687C8D" w:rsidRPr="00511CD3">
        <w:t xml:space="preserve">her </w:t>
      </w:r>
      <w:r w:rsidR="00751EDC" w:rsidRPr="00511CD3">
        <w:t xml:space="preserve">son </w:t>
      </w:r>
      <w:r w:rsidRPr="00511CD3">
        <w:t xml:space="preserve">and </w:t>
      </w:r>
      <w:r w:rsidR="00687C8D" w:rsidRPr="00511CD3">
        <w:t>that, in</w:t>
      </w:r>
      <w:r w:rsidR="00904A4C" w:rsidRPr="00511CD3">
        <w:t xml:space="preserve"> general, </w:t>
      </w:r>
      <w:r w:rsidR="00687C8D" w:rsidRPr="00511CD3">
        <w:t xml:space="preserve">the marking of such birthdays has </w:t>
      </w:r>
      <w:r w:rsidR="00CF0721" w:rsidRPr="00511CD3">
        <w:t>indispensible</w:t>
      </w:r>
      <w:r w:rsidR="00687C8D" w:rsidRPr="00511CD3">
        <w:t xml:space="preserve"> relevance for the creation and maintenance of family ties</w:t>
      </w:r>
      <w:r w:rsidR="00D150F3" w:rsidRPr="00511CD3">
        <w:t xml:space="preserve">. </w:t>
      </w:r>
      <w:r w:rsidRPr="00511CD3">
        <w:t>The Commission</w:t>
      </w:r>
      <w:r w:rsidR="00904A4C" w:rsidRPr="00511CD3">
        <w:t xml:space="preserve"> </w:t>
      </w:r>
      <w:r w:rsidR="00687C8D" w:rsidRPr="00511CD3">
        <w:t xml:space="preserve">understands that if, in extreme circumstances such as those in this case, contact between a mother and her son on his third birthday depends on the consent or authorization of state officials, the minimum that the State must </w:t>
      </w:r>
      <w:r w:rsidR="001C7974" w:rsidRPr="00511CD3">
        <w:t>guarantee</w:t>
      </w:r>
      <w:r w:rsidR="00687C8D" w:rsidRPr="00511CD3">
        <w:t xml:space="preserve"> is that those officials </w:t>
      </w:r>
      <w:r w:rsidR="00B86DF1" w:rsidRPr="00511CD3">
        <w:t>reply</w:t>
      </w:r>
      <w:r w:rsidR="008A6A82" w:rsidRPr="00511CD3">
        <w:t xml:space="preserve"> to the request </w:t>
      </w:r>
      <w:r w:rsidR="00B86DF1" w:rsidRPr="00511CD3">
        <w:t>in a timely manner</w:t>
      </w:r>
      <w:r w:rsidR="00D150F3" w:rsidRPr="00511CD3">
        <w:t>.</w:t>
      </w:r>
    </w:p>
    <w:p w14:paraId="3CC628AF" w14:textId="77777777" w:rsidR="003308DE" w:rsidRPr="00511CD3" w:rsidRDefault="003308DE" w:rsidP="008429F6">
      <w:pPr>
        <w:pStyle w:val="ListParagraph"/>
        <w:numPr>
          <w:ilvl w:val="0"/>
          <w:numId w:val="0"/>
        </w:numPr>
      </w:pPr>
    </w:p>
    <w:p w14:paraId="191387EF" w14:textId="77777777" w:rsidR="003A09F0" w:rsidRPr="00511CD3" w:rsidRDefault="00B86DF1" w:rsidP="00D568AC">
      <w:pPr>
        <w:pStyle w:val="ListParagraph"/>
        <w:ind w:left="0" w:firstLine="0"/>
      </w:pPr>
      <w:r w:rsidRPr="00511CD3">
        <w:t>Lastly</w:t>
      </w:r>
      <w:r w:rsidR="00A53E1A" w:rsidRPr="00511CD3">
        <w:t xml:space="preserve">, </w:t>
      </w:r>
      <w:r w:rsidR="00B10F4D" w:rsidRPr="00511CD3">
        <w:t>the Commission</w:t>
      </w:r>
      <w:r w:rsidR="00A53E1A" w:rsidRPr="00511CD3">
        <w:t xml:space="preserve"> </w:t>
      </w:r>
      <w:r w:rsidRPr="00511CD3">
        <w:t xml:space="preserve">has noted that since </w:t>
      </w:r>
      <w:r w:rsidR="00B10F4D" w:rsidRPr="00511CD3">
        <w:t>November</w:t>
      </w:r>
      <w:r w:rsidR="00A53E1A" w:rsidRPr="00511CD3">
        <w:t xml:space="preserve"> 2018</w:t>
      </w:r>
      <w:r w:rsidRPr="00511CD3">
        <w:t xml:space="preserve">, the meetings between </w:t>
      </w:r>
      <w:r w:rsidR="00A53E1A" w:rsidRPr="00511CD3">
        <w:t>“</w:t>
      </w:r>
      <w:r w:rsidR="00972844" w:rsidRPr="00511CD3">
        <w:t>María</w:t>
      </w:r>
      <w:r w:rsidR="00A53E1A" w:rsidRPr="00511CD3">
        <w:t>”</w:t>
      </w:r>
      <w:r w:rsidR="00B10F4D" w:rsidRPr="00511CD3">
        <w:t xml:space="preserve"> and </w:t>
      </w:r>
      <w:r w:rsidRPr="00511CD3">
        <w:t xml:space="preserve">her son have </w:t>
      </w:r>
      <w:r w:rsidR="00E06830" w:rsidRPr="00511CD3">
        <w:t xml:space="preserve">maintained </w:t>
      </w:r>
      <w:r w:rsidRPr="00511CD3">
        <w:t>some regularity and that they have begun to establish a close relationship.  However,</w:t>
      </w:r>
      <w:r w:rsidR="00A53E1A" w:rsidRPr="00511CD3">
        <w:t xml:space="preserve"> </w:t>
      </w:r>
      <w:r w:rsidR="00B10F4D" w:rsidRPr="00511CD3">
        <w:t>the Commission</w:t>
      </w:r>
      <w:r w:rsidR="00A53E1A" w:rsidRPr="00511CD3">
        <w:t xml:space="preserve"> ha</w:t>
      </w:r>
      <w:r w:rsidRPr="00511CD3">
        <w:t xml:space="preserve">s heard from </w:t>
      </w:r>
      <w:r w:rsidR="00A53E1A" w:rsidRPr="00511CD3">
        <w:t>“</w:t>
      </w:r>
      <w:r w:rsidR="00972844" w:rsidRPr="00511CD3">
        <w:t>María</w:t>
      </w:r>
      <w:r w:rsidR="00A53E1A" w:rsidRPr="00511CD3">
        <w:t>”</w:t>
      </w:r>
      <w:r w:rsidR="00904A4C" w:rsidRPr="00511CD3">
        <w:t xml:space="preserve"> </w:t>
      </w:r>
      <w:r w:rsidRPr="00511CD3">
        <w:t xml:space="preserve">herself the practical obstacles that often arise at the time of </w:t>
      </w:r>
      <w:r w:rsidR="008A6A82" w:rsidRPr="00511CD3">
        <w:t xml:space="preserve">participating </w:t>
      </w:r>
      <w:r w:rsidRPr="00511CD3">
        <w:lastRenderedPageBreak/>
        <w:t xml:space="preserve">in activities with her son, which were exacerbated during the social distancing period ordered as a result of the </w:t>
      </w:r>
      <w:r w:rsidR="00A53E1A" w:rsidRPr="00511CD3">
        <w:t>COVID-19</w:t>
      </w:r>
      <w:r w:rsidRPr="00511CD3">
        <w:t xml:space="preserve"> pandemic</w:t>
      </w:r>
      <w:r w:rsidR="00D150F3" w:rsidRPr="00511CD3">
        <w:t xml:space="preserve">, </w:t>
      </w:r>
      <w:r w:rsidRPr="00511CD3">
        <w:t>and she was not informed of alternate measures that could have assisted effectively in overcoming such difficulties.</w:t>
      </w:r>
    </w:p>
    <w:p w14:paraId="1D52A4CF" w14:textId="77777777" w:rsidR="003A09F0" w:rsidRPr="00511CD3" w:rsidRDefault="003A09F0" w:rsidP="008429F6">
      <w:pPr>
        <w:tabs>
          <w:tab w:val="left" w:pos="567"/>
        </w:tabs>
        <w:jc w:val="both"/>
        <w:rPr>
          <w:rFonts w:ascii="Cambria" w:hAnsi="Cambria"/>
          <w:sz w:val="20"/>
          <w:szCs w:val="20"/>
        </w:rPr>
      </w:pPr>
    </w:p>
    <w:p w14:paraId="06894988" w14:textId="77777777" w:rsidR="0006561F" w:rsidRPr="00511CD3" w:rsidRDefault="007F3CD4" w:rsidP="008429F6">
      <w:pPr>
        <w:pStyle w:val="ListParagraph"/>
        <w:numPr>
          <w:ilvl w:val="0"/>
          <w:numId w:val="0"/>
        </w:numPr>
        <w:rPr>
          <w:b/>
        </w:rPr>
      </w:pPr>
      <w:r w:rsidRPr="00511CD3">
        <w:tab/>
      </w:r>
      <w:r w:rsidRPr="00511CD3">
        <w:rPr>
          <w:b/>
        </w:rPr>
        <w:t>-</w:t>
      </w:r>
      <w:r w:rsidRPr="00511CD3">
        <w:rPr>
          <w:b/>
        </w:rPr>
        <w:tab/>
      </w:r>
      <w:r w:rsidR="00A43F10" w:rsidRPr="00511CD3">
        <w:rPr>
          <w:b/>
        </w:rPr>
        <w:t xml:space="preserve">Lack of resolution of the issue of the status of adoptability of </w:t>
      </w:r>
      <w:r w:rsidR="00540394" w:rsidRPr="00511CD3">
        <w:rPr>
          <w:b/>
        </w:rPr>
        <w:t>the child “Mariano”</w:t>
      </w:r>
    </w:p>
    <w:p w14:paraId="5BD69FF3" w14:textId="77777777" w:rsidR="003A09F0" w:rsidRPr="00511CD3" w:rsidRDefault="003A09F0" w:rsidP="008429F6">
      <w:pPr>
        <w:pStyle w:val="ListParagraph"/>
        <w:numPr>
          <w:ilvl w:val="0"/>
          <w:numId w:val="0"/>
        </w:numPr>
      </w:pPr>
    </w:p>
    <w:p w14:paraId="53C31A4C" w14:textId="77777777" w:rsidR="003A09F0" w:rsidRPr="00511CD3" w:rsidRDefault="00B86DF1" w:rsidP="00D568AC">
      <w:pPr>
        <w:pStyle w:val="ListParagraph"/>
        <w:ind w:left="0" w:firstLine="0"/>
      </w:pPr>
      <w:r w:rsidRPr="00511CD3">
        <w:t>Based on the information available</w:t>
      </w:r>
      <w:r w:rsidR="003A09F0" w:rsidRPr="00511CD3">
        <w:t xml:space="preserve">, </w:t>
      </w:r>
      <w:r w:rsidR="00B10F4D" w:rsidRPr="00511CD3">
        <w:t>the Commission</w:t>
      </w:r>
      <w:r w:rsidR="003A09F0" w:rsidRPr="00511CD3">
        <w:t xml:space="preserve"> </w:t>
      </w:r>
      <w:r w:rsidRPr="00511CD3">
        <w:t xml:space="preserve">understands that, as of the date of approval of this report, the family court </w:t>
      </w:r>
      <w:r w:rsidR="0018305F" w:rsidRPr="00511CD3">
        <w:t>in</w:t>
      </w:r>
      <w:r w:rsidRPr="00511CD3">
        <w:t xml:space="preserve"> this case has not yet taken a substantive decision</w:t>
      </w:r>
      <w:r w:rsidR="008A6A82" w:rsidRPr="00511CD3">
        <w:t xml:space="preserve"> </w:t>
      </w:r>
      <w:r w:rsidR="00E06830" w:rsidRPr="00511CD3">
        <w:t xml:space="preserve">who the parents of </w:t>
      </w:r>
      <w:r w:rsidR="00540394" w:rsidRPr="00511CD3">
        <w:t>the child “Mariano”</w:t>
      </w:r>
      <w:r w:rsidR="00E06830" w:rsidRPr="00511CD3">
        <w:t xml:space="preserve"> are to be,</w:t>
      </w:r>
      <w:r w:rsidR="003A09F0" w:rsidRPr="00511CD3">
        <w:t xml:space="preserve"> </w:t>
      </w:r>
      <w:r w:rsidRPr="00511CD3">
        <w:t>in the terms stipulated by the Civil and Commercial Code of the Argentine Nation</w:t>
      </w:r>
      <w:r w:rsidR="003A09F0" w:rsidRPr="00511CD3">
        <w:t>.</w:t>
      </w:r>
    </w:p>
    <w:p w14:paraId="7ED4BA76" w14:textId="77777777" w:rsidR="003A09F0" w:rsidRPr="00511CD3" w:rsidRDefault="003A09F0" w:rsidP="008429F6">
      <w:pPr>
        <w:pStyle w:val="ListParagraph"/>
        <w:numPr>
          <w:ilvl w:val="0"/>
          <w:numId w:val="0"/>
        </w:numPr>
      </w:pPr>
    </w:p>
    <w:p w14:paraId="42022D70" w14:textId="77777777" w:rsidR="003A09F0" w:rsidRPr="00511CD3" w:rsidRDefault="00B10F4D" w:rsidP="00D568AC">
      <w:pPr>
        <w:pStyle w:val="ListParagraph"/>
        <w:ind w:left="0" w:firstLine="0"/>
      </w:pPr>
      <w:r w:rsidRPr="00511CD3">
        <w:t>The Commission</w:t>
      </w:r>
      <w:r w:rsidR="003A09F0" w:rsidRPr="00511CD3">
        <w:t xml:space="preserve"> </w:t>
      </w:r>
      <w:r w:rsidR="00B86DF1" w:rsidRPr="00511CD3">
        <w:t>notes that</w:t>
      </w:r>
      <w:r w:rsidR="001D49E4" w:rsidRPr="00511CD3">
        <w:t xml:space="preserve"> the status of the proceedings </w:t>
      </w:r>
      <w:r w:rsidR="00AC7F83" w:rsidRPr="00511CD3">
        <w:t>make</w:t>
      </w:r>
      <w:r w:rsidR="00E06830" w:rsidRPr="00511CD3">
        <w:t>s</w:t>
      </w:r>
      <w:r w:rsidR="00AC7F83" w:rsidRPr="00511CD3">
        <w:t xml:space="preserve"> evident</w:t>
      </w:r>
      <w:r w:rsidR="001D49E4" w:rsidRPr="00511CD3">
        <w:t xml:space="preserve"> that the last substantive decision </w:t>
      </w:r>
      <w:r w:rsidR="00AC7F83" w:rsidRPr="00511CD3">
        <w:t xml:space="preserve">constituting true </w:t>
      </w:r>
      <w:r w:rsidR="001D49E4" w:rsidRPr="00511CD3">
        <w:t xml:space="preserve">progress with a view to </w:t>
      </w:r>
      <w:r w:rsidR="001C7974" w:rsidRPr="00511CD3">
        <w:t xml:space="preserve">concluding </w:t>
      </w:r>
      <w:r w:rsidR="001D49E4" w:rsidRPr="00511CD3">
        <w:t>the proce</w:t>
      </w:r>
      <w:r w:rsidR="001C7974" w:rsidRPr="00511CD3">
        <w:t>edings</w:t>
      </w:r>
      <w:r w:rsidR="001D49E4" w:rsidRPr="00511CD3">
        <w:t xml:space="preserve"> is the resolution of </w:t>
      </w:r>
      <w:r w:rsidRPr="00511CD3">
        <w:t>October</w:t>
      </w:r>
      <w:r w:rsidR="003A09F0" w:rsidRPr="00511CD3">
        <w:t xml:space="preserve"> </w:t>
      </w:r>
      <w:r w:rsidR="001D49E4" w:rsidRPr="00511CD3">
        <w:t>1,</w:t>
      </w:r>
      <w:r w:rsidR="003A09F0" w:rsidRPr="00511CD3">
        <w:t xml:space="preserve"> 2015</w:t>
      </w:r>
      <w:r w:rsidR="001D49E4" w:rsidRPr="00511CD3">
        <w:t xml:space="preserve">, by which the judge ordered that the proceedings should address the adoptability </w:t>
      </w:r>
      <w:r w:rsidR="008A6A82" w:rsidRPr="00511CD3">
        <w:t xml:space="preserve">status </w:t>
      </w:r>
      <w:r w:rsidR="001D49E4" w:rsidRPr="00511CD3">
        <w:t xml:space="preserve">of </w:t>
      </w:r>
      <w:r w:rsidR="00540394" w:rsidRPr="00511CD3">
        <w:t>the child “Mariano</w:t>
      </w:r>
      <w:r w:rsidR="001D49E4" w:rsidRPr="00511CD3">
        <w:t>.”</w:t>
      </w:r>
      <w:r w:rsidR="003A09F0" w:rsidRPr="00511CD3">
        <w:t xml:space="preserve"> </w:t>
      </w:r>
      <w:r w:rsidR="001D49E4" w:rsidRPr="00511CD3">
        <w:t>In fact</w:t>
      </w:r>
      <w:r w:rsidR="003A09F0" w:rsidRPr="00511CD3">
        <w:t>,</w:t>
      </w:r>
      <w:r w:rsidRPr="00511CD3">
        <w:t xml:space="preserve"> </w:t>
      </w:r>
      <w:r w:rsidR="00E25B64" w:rsidRPr="00511CD3">
        <w:t xml:space="preserve">to be noted from observation of </w:t>
      </w:r>
      <w:r w:rsidR="001D49E4" w:rsidRPr="00511CD3">
        <w:t xml:space="preserve">the proceedings as </w:t>
      </w:r>
      <w:r w:rsidR="001C7974" w:rsidRPr="00511CD3">
        <w:t>governe</w:t>
      </w:r>
      <w:r w:rsidR="001D49E4" w:rsidRPr="00511CD3">
        <w:t>d by the Civil and Commercial Code</w:t>
      </w:r>
      <w:r w:rsidR="003A09F0" w:rsidRPr="00511CD3">
        <w:t xml:space="preserve">, </w:t>
      </w:r>
      <w:r w:rsidR="00E25B64" w:rsidRPr="00511CD3">
        <w:t xml:space="preserve">is the fact </w:t>
      </w:r>
      <w:r w:rsidR="001D49E4" w:rsidRPr="00511CD3">
        <w:t>that</w:t>
      </w:r>
      <w:r w:rsidR="00E25B64" w:rsidRPr="00511CD3">
        <w:t>,</w:t>
      </w:r>
      <w:r w:rsidR="001D49E4" w:rsidRPr="00511CD3">
        <w:t xml:space="preserve"> thus far, the court has not declared the</w:t>
      </w:r>
      <w:r w:rsidR="00E25B64" w:rsidRPr="00511CD3">
        <w:t xml:space="preserve"> </w:t>
      </w:r>
      <w:r w:rsidR="001C7974" w:rsidRPr="00511CD3">
        <w:t xml:space="preserve">child’s </w:t>
      </w:r>
      <w:r w:rsidR="001D49E4" w:rsidRPr="00511CD3">
        <w:t xml:space="preserve">adoptability </w:t>
      </w:r>
      <w:r w:rsidR="001C7974" w:rsidRPr="00511CD3">
        <w:t>status itself</w:t>
      </w:r>
      <w:r w:rsidR="003A09F0" w:rsidRPr="00511CD3">
        <w:t xml:space="preserve">, </w:t>
      </w:r>
      <w:r w:rsidR="00E06830" w:rsidRPr="00511CD3">
        <w:t xml:space="preserve">pursuant to </w:t>
      </w:r>
      <w:r w:rsidR="001D49E4" w:rsidRPr="00511CD3">
        <w:t xml:space="preserve">Article </w:t>
      </w:r>
      <w:r w:rsidR="003A09F0" w:rsidRPr="00511CD3">
        <w:t xml:space="preserve">609 </w:t>
      </w:r>
      <w:r w:rsidR="001D49E4" w:rsidRPr="00511CD3">
        <w:t xml:space="preserve">of the Civil and Commercial Code, and, logically, neither has it ordered the guardianship with the aim of adoption of the child, </w:t>
      </w:r>
      <w:r w:rsidR="00E25B64" w:rsidRPr="00511CD3">
        <w:t>governed by</w:t>
      </w:r>
      <w:r w:rsidR="001D49E4" w:rsidRPr="00511CD3">
        <w:t xml:space="preserve"> Article </w:t>
      </w:r>
      <w:r w:rsidR="003A09F0" w:rsidRPr="00511CD3">
        <w:t xml:space="preserve">614 </w:t>
      </w:r>
      <w:r w:rsidR="001D49E4" w:rsidRPr="00511CD3">
        <w:t xml:space="preserve">of the Civil and Commercial Code, nor </w:t>
      </w:r>
      <w:r w:rsidR="00E25B64" w:rsidRPr="00511CD3">
        <w:t>still</w:t>
      </w:r>
      <w:r w:rsidR="001D49E4" w:rsidRPr="00511CD3">
        <w:t xml:space="preserve"> less has it ordered the start of the </w:t>
      </w:r>
      <w:r w:rsidR="001C7974" w:rsidRPr="00511CD3">
        <w:t xml:space="preserve">court proceedings </w:t>
      </w:r>
      <w:r w:rsidR="00E41296" w:rsidRPr="00511CD3">
        <w:t xml:space="preserve">for adoption </w:t>
      </w:r>
      <w:r w:rsidR="001D49E4" w:rsidRPr="00511CD3">
        <w:t xml:space="preserve">governed by Articles </w:t>
      </w:r>
      <w:r w:rsidR="003A09F0" w:rsidRPr="00511CD3">
        <w:t xml:space="preserve">615 </w:t>
      </w:r>
      <w:r w:rsidR="001D49E4" w:rsidRPr="00511CD3">
        <w:t xml:space="preserve">to </w:t>
      </w:r>
      <w:r w:rsidR="003A09F0" w:rsidRPr="00511CD3">
        <w:t xml:space="preserve">618 </w:t>
      </w:r>
      <w:r w:rsidR="001D49E4" w:rsidRPr="00511CD3">
        <w:t xml:space="preserve">of the same legal text.  Therefore, </w:t>
      </w:r>
      <w:r w:rsidRPr="00511CD3">
        <w:t>the Commission</w:t>
      </w:r>
      <w:r w:rsidR="003A09F0" w:rsidRPr="00511CD3">
        <w:t xml:space="preserve"> consider</w:t>
      </w:r>
      <w:r w:rsidR="001D49E4" w:rsidRPr="00511CD3">
        <w:t>s that, thus far, the legal situation of th</w:t>
      </w:r>
      <w:r w:rsidR="00540394" w:rsidRPr="00511CD3">
        <w:t>e child “Mariano”</w:t>
      </w:r>
      <w:r w:rsidR="003A09F0" w:rsidRPr="00511CD3">
        <w:t xml:space="preserve"> </w:t>
      </w:r>
      <w:r w:rsidR="001D49E4" w:rsidRPr="00511CD3">
        <w:t>under the care of Mr. and Mrs.</w:t>
      </w:r>
      <w:r w:rsidR="003A09F0" w:rsidRPr="00511CD3">
        <w:t xml:space="preserve"> </w:t>
      </w:r>
      <w:r w:rsidR="00F94016" w:rsidRPr="00511CD3">
        <w:t>“López”</w:t>
      </w:r>
      <w:r w:rsidR="003A09F0" w:rsidRPr="00511CD3">
        <w:t xml:space="preserve"> </w:t>
      </w:r>
      <w:r w:rsidR="00E06830" w:rsidRPr="00511CD3">
        <w:t xml:space="preserve">seems </w:t>
      </w:r>
      <w:r w:rsidR="001D49E4" w:rsidRPr="00511CD3">
        <w:t xml:space="preserve">to be </w:t>
      </w:r>
      <w:r w:rsidR="00E25B64" w:rsidRPr="00511CD3">
        <w:t xml:space="preserve">a </w:t>
      </w:r>
      <w:r w:rsidR="001D49E4" w:rsidRPr="00511CD3">
        <w:t>de facto guardianship with judicial acquiescence</w:t>
      </w:r>
      <w:r w:rsidR="00E25B64" w:rsidRPr="00511CD3">
        <w:t>,</w:t>
      </w:r>
      <w:r w:rsidR="001D49E4" w:rsidRPr="00511CD3">
        <w:t xml:space="preserve"> given the inactivity of the judicial bodies involved.</w:t>
      </w:r>
    </w:p>
    <w:p w14:paraId="6896032B" w14:textId="77777777" w:rsidR="003A09F0" w:rsidRPr="00511CD3" w:rsidRDefault="003A09F0" w:rsidP="008429F6">
      <w:pPr>
        <w:pStyle w:val="ListParagraph"/>
        <w:numPr>
          <w:ilvl w:val="0"/>
          <w:numId w:val="0"/>
        </w:numPr>
      </w:pPr>
    </w:p>
    <w:p w14:paraId="5E046E86" w14:textId="77777777" w:rsidR="003A09F0" w:rsidRPr="00511CD3" w:rsidRDefault="00E25B64" w:rsidP="00D568AC">
      <w:pPr>
        <w:pStyle w:val="ListParagraph"/>
        <w:ind w:left="0" w:firstLine="0"/>
      </w:pPr>
      <w:r w:rsidRPr="00511CD3">
        <w:t xml:space="preserve">With this overview in mind, the </w:t>
      </w:r>
      <w:r w:rsidR="00B10F4D" w:rsidRPr="00511CD3">
        <w:t>IACHR</w:t>
      </w:r>
      <w:r w:rsidR="003A09F0" w:rsidRPr="00511CD3">
        <w:t xml:space="preserve"> </w:t>
      </w:r>
      <w:r w:rsidRPr="00511CD3">
        <w:t xml:space="preserve">understands that a delay of over seven years in completing an adoption process and resolving </w:t>
      </w:r>
      <w:r w:rsidR="001C7974" w:rsidRPr="00511CD3">
        <w:t xml:space="preserve">who a </w:t>
      </w:r>
      <w:r w:rsidRPr="00511CD3">
        <w:t>child’s p</w:t>
      </w:r>
      <w:r w:rsidR="00B25791" w:rsidRPr="00511CD3">
        <w:t>a</w:t>
      </w:r>
      <w:r w:rsidRPr="00511CD3">
        <w:t>rent</w:t>
      </w:r>
      <w:r w:rsidR="001C7974" w:rsidRPr="00511CD3">
        <w:t>s are to be</w:t>
      </w:r>
      <w:r w:rsidRPr="00511CD3">
        <w:t xml:space="preserve"> </w:t>
      </w:r>
      <w:r w:rsidR="00B25791" w:rsidRPr="00511CD3">
        <w:t>e</w:t>
      </w:r>
      <w:r w:rsidRPr="00511CD3">
        <w:t>xceeds any parameter of reason</w:t>
      </w:r>
      <w:r w:rsidR="00E06830" w:rsidRPr="00511CD3">
        <w:t>ableness</w:t>
      </w:r>
      <w:r w:rsidR="003A09F0" w:rsidRPr="00511CD3">
        <w:t xml:space="preserve">. </w:t>
      </w:r>
      <w:r w:rsidR="00B10F4D" w:rsidRPr="00511CD3">
        <w:t>The Commission</w:t>
      </w:r>
      <w:r w:rsidR="003A09F0" w:rsidRPr="00511CD3">
        <w:t xml:space="preserve"> </w:t>
      </w:r>
      <w:r w:rsidRPr="00511CD3">
        <w:t xml:space="preserve">is aware that the procedural </w:t>
      </w:r>
      <w:r w:rsidR="00E41296" w:rsidRPr="00511CD3">
        <w:t xml:space="preserve">time limits </w:t>
      </w:r>
      <w:r w:rsidRPr="00511CD3">
        <w:t>were suspend</w:t>
      </w:r>
      <w:r w:rsidR="00B25791" w:rsidRPr="00511CD3">
        <w:t>ed</w:t>
      </w:r>
      <w:r w:rsidRPr="00511CD3">
        <w:t xml:space="preserve"> in the latter half of </w:t>
      </w:r>
      <w:r w:rsidR="003A09F0" w:rsidRPr="00511CD3">
        <w:t xml:space="preserve">2017, </w:t>
      </w:r>
      <w:r w:rsidRPr="00511CD3">
        <w:t xml:space="preserve">while the parties </w:t>
      </w:r>
      <w:r w:rsidR="00B25791" w:rsidRPr="00511CD3">
        <w:t xml:space="preserve">were </w:t>
      </w:r>
      <w:r w:rsidRPr="00511CD3">
        <w:t>explor</w:t>
      </w:r>
      <w:r w:rsidR="00B25791" w:rsidRPr="00511CD3">
        <w:t>ing</w:t>
      </w:r>
      <w:r w:rsidRPr="00511CD3">
        <w:t xml:space="preserve"> the possibility of a </w:t>
      </w:r>
      <w:r w:rsidR="00B25791" w:rsidRPr="00511CD3">
        <w:t xml:space="preserve">schedule for restoration of ties under the </w:t>
      </w:r>
      <w:r w:rsidR="003A09F0" w:rsidRPr="00511CD3">
        <w:t>“</w:t>
      </w:r>
      <w:r w:rsidR="00B25791" w:rsidRPr="00511CD3">
        <w:t>Family Encounter Point</w:t>
      </w:r>
      <w:r w:rsidR="003A09F0" w:rsidRPr="00511CD3">
        <w:t>”</w:t>
      </w:r>
      <w:r w:rsidR="00B25791" w:rsidRPr="00511CD3">
        <w:t xml:space="preserve"> program</w:t>
      </w:r>
      <w:r w:rsidR="003A09F0" w:rsidRPr="00511CD3">
        <w:t>.</w:t>
      </w:r>
      <w:r w:rsidR="00B25791" w:rsidRPr="00511CD3">
        <w:t xml:space="preserve"> </w:t>
      </w:r>
      <w:r w:rsidR="003A09F0" w:rsidRPr="00511CD3">
        <w:t xml:space="preserve"> </w:t>
      </w:r>
      <w:r w:rsidR="00B25791" w:rsidRPr="00511CD3">
        <w:t>However, even discounting this period of time</w:t>
      </w:r>
      <w:r w:rsidR="003A09F0" w:rsidRPr="00511CD3">
        <w:t xml:space="preserve">, </w:t>
      </w:r>
      <w:r w:rsidR="00B10F4D" w:rsidRPr="00511CD3">
        <w:t>the Commission</w:t>
      </w:r>
      <w:r w:rsidR="003A09F0" w:rsidRPr="00511CD3">
        <w:t xml:space="preserve"> </w:t>
      </w:r>
      <w:r w:rsidR="00B25791" w:rsidRPr="00511CD3">
        <w:t>does not find reasons to consider that the delay may reasonably be explained</w:t>
      </w:r>
      <w:r w:rsidR="003A09F0" w:rsidRPr="00511CD3">
        <w:t xml:space="preserve">, </w:t>
      </w:r>
      <w:r w:rsidR="00B25791" w:rsidRPr="00511CD3">
        <w:t xml:space="preserve">especially if account is taken of the provisions of the IA Court HR in the cases of </w:t>
      </w:r>
      <w:r w:rsidR="003A09F0" w:rsidRPr="00511CD3">
        <w:t>Fornerón</w:t>
      </w:r>
      <w:r w:rsidR="00B10F4D" w:rsidRPr="00511CD3">
        <w:t xml:space="preserve"> and </w:t>
      </w:r>
      <w:r w:rsidR="00B25791" w:rsidRPr="00511CD3">
        <w:t xml:space="preserve">L.M, which established the duty of the State to act with </w:t>
      </w:r>
      <w:r w:rsidR="00223CC3" w:rsidRPr="00511CD3">
        <w:t xml:space="preserve">exceptional </w:t>
      </w:r>
      <w:r w:rsidR="00B25791" w:rsidRPr="00511CD3">
        <w:t xml:space="preserve">diligence and </w:t>
      </w:r>
      <w:r w:rsidR="00E41296" w:rsidRPr="00511CD3">
        <w:t>celerity</w:t>
      </w:r>
      <w:r w:rsidR="00B25791" w:rsidRPr="00511CD3">
        <w:t xml:space="preserve"> in resolving proceedings for the guardianship, custody, and adoption of children</w:t>
      </w:r>
      <w:r w:rsidR="003A09F0" w:rsidRPr="00511CD3">
        <w:t xml:space="preserve">. </w:t>
      </w:r>
    </w:p>
    <w:p w14:paraId="6B10E5B7" w14:textId="77777777" w:rsidR="003A09F0" w:rsidRPr="00511CD3" w:rsidRDefault="003A09F0" w:rsidP="008429F6">
      <w:pPr>
        <w:jc w:val="both"/>
        <w:rPr>
          <w:rFonts w:ascii="Cambria" w:hAnsi="Cambria"/>
          <w:iCs/>
          <w:sz w:val="20"/>
          <w:szCs w:val="20"/>
        </w:rPr>
      </w:pPr>
    </w:p>
    <w:p w14:paraId="024991EC" w14:textId="77777777" w:rsidR="00372C68" w:rsidRPr="00511CD3" w:rsidRDefault="00B10F4D" w:rsidP="00D568AC">
      <w:pPr>
        <w:pStyle w:val="ListParagraph"/>
        <w:ind w:left="0" w:firstLine="0"/>
      </w:pPr>
      <w:r w:rsidRPr="00511CD3">
        <w:t>The Commission</w:t>
      </w:r>
      <w:r w:rsidR="003A09F0" w:rsidRPr="00511CD3">
        <w:t xml:space="preserve"> </w:t>
      </w:r>
      <w:r w:rsidR="00223CC3" w:rsidRPr="00511CD3">
        <w:t xml:space="preserve">cannot fail to point out </w:t>
      </w:r>
      <w:r w:rsidR="00CF0721" w:rsidRPr="00511CD3">
        <w:t>that</w:t>
      </w:r>
      <w:r w:rsidR="00223CC3" w:rsidRPr="00511CD3">
        <w:t xml:space="preserve"> this delay in taking a definitive decision in the proceedings has led to a serious lack of legal certainty regarding the child</w:t>
      </w:r>
      <w:r w:rsidR="003A09F0" w:rsidRPr="00511CD3">
        <w:t xml:space="preserve"> “Mariano</w:t>
      </w:r>
      <w:r w:rsidR="00223CC3" w:rsidRPr="00511CD3">
        <w:t xml:space="preserve">,” who is in </w:t>
      </w:r>
      <w:r w:rsidR="003A09F0" w:rsidRPr="00511CD3">
        <w:t xml:space="preserve">limbo </w:t>
      </w:r>
      <w:r w:rsidR="00223CC3" w:rsidRPr="00511CD3">
        <w:t xml:space="preserve">regarding </w:t>
      </w:r>
      <w:r w:rsidR="00F34A98" w:rsidRPr="00511CD3">
        <w:t>who his parents are to be</w:t>
      </w:r>
      <w:r w:rsidR="003A09F0" w:rsidRPr="00511CD3">
        <w:t xml:space="preserve">. </w:t>
      </w:r>
      <w:r w:rsidR="00223CC3" w:rsidRPr="00511CD3">
        <w:t xml:space="preserve">On the one hand, the child is under the care of Mr. and Mrs. </w:t>
      </w:r>
      <w:r w:rsidR="008D0AFA" w:rsidRPr="00511CD3">
        <w:t>“López</w:t>
      </w:r>
      <w:r w:rsidR="00223CC3" w:rsidRPr="00511CD3">
        <w:t>,”</w:t>
      </w:r>
      <w:r w:rsidR="003A09F0" w:rsidRPr="00511CD3">
        <w:t xml:space="preserve"> </w:t>
      </w:r>
      <w:r w:rsidR="00223CC3" w:rsidRPr="00511CD3">
        <w:t xml:space="preserve">who have taken highly important decisions for his life </w:t>
      </w:r>
      <w:r w:rsidRPr="00511CD3">
        <w:t xml:space="preserve">and </w:t>
      </w:r>
      <w:r w:rsidR="00223CC3" w:rsidRPr="00511CD3">
        <w:t>–</w:t>
      </w:r>
      <w:r w:rsidR="003A09F0" w:rsidRPr="00511CD3">
        <w:t xml:space="preserve"> </w:t>
      </w:r>
      <w:r w:rsidR="00223CC3" w:rsidRPr="00511CD3">
        <w:t>as the file shows</w:t>
      </w:r>
      <w:r w:rsidR="003A09F0" w:rsidRPr="00511CD3">
        <w:t xml:space="preserve"> </w:t>
      </w:r>
      <w:r w:rsidR="00223CC3" w:rsidRPr="00511CD3">
        <w:t>–</w:t>
      </w:r>
      <w:r w:rsidR="003A09F0" w:rsidRPr="00511CD3">
        <w:t xml:space="preserve"> </w:t>
      </w:r>
      <w:r w:rsidR="00223CC3" w:rsidRPr="00511CD3">
        <w:t>have given him throughout these years practical and emotional care</w:t>
      </w:r>
      <w:r w:rsidRPr="00511CD3">
        <w:t xml:space="preserve"> and </w:t>
      </w:r>
      <w:r w:rsidR="00223CC3" w:rsidRPr="00511CD3">
        <w:t>are not responsible for the irregularities in the process indicated throughout this report nor for the existing unreasonable delay.  However, on the other, from the standpoint of mother-son legal relations</w:t>
      </w:r>
      <w:r w:rsidR="003A09F0" w:rsidRPr="00511CD3">
        <w:t xml:space="preserve">, “María” </w:t>
      </w:r>
      <w:r w:rsidR="00223CC3" w:rsidRPr="00511CD3">
        <w:t>has not renounced her parental responsibility nor given her consent, there being reiterated action</w:t>
      </w:r>
      <w:r w:rsidR="00E41296" w:rsidRPr="00511CD3">
        <w:t>s</w:t>
      </w:r>
      <w:r w:rsidR="00223CC3" w:rsidRPr="00511CD3">
        <w:t xml:space="preserve"> by the State that </w:t>
      </w:r>
      <w:r w:rsidR="00E41296" w:rsidRPr="00511CD3">
        <w:t>are</w:t>
      </w:r>
      <w:r w:rsidR="00223CC3" w:rsidRPr="00511CD3">
        <w:t xml:space="preserve"> </w:t>
      </w:r>
      <w:r w:rsidR="00372C68" w:rsidRPr="00511CD3">
        <w:t xml:space="preserve">incompatible </w:t>
      </w:r>
      <w:r w:rsidR="00223CC3" w:rsidRPr="00511CD3">
        <w:t>with its international obligations, as has been discussed throughout this report</w:t>
      </w:r>
      <w:r w:rsidR="00372C68" w:rsidRPr="00511CD3">
        <w:t>.</w:t>
      </w:r>
    </w:p>
    <w:p w14:paraId="5B6FC8B3" w14:textId="77777777" w:rsidR="003A09F0" w:rsidRPr="00511CD3" w:rsidRDefault="003A09F0" w:rsidP="008429F6">
      <w:pPr>
        <w:pStyle w:val="ListParagraph"/>
        <w:numPr>
          <w:ilvl w:val="0"/>
          <w:numId w:val="0"/>
        </w:numPr>
      </w:pPr>
    </w:p>
    <w:p w14:paraId="6A735D2F" w14:textId="77777777" w:rsidR="0006561F" w:rsidRPr="00511CD3" w:rsidRDefault="007F3CD4" w:rsidP="008429F6">
      <w:pPr>
        <w:pStyle w:val="ListParagraph"/>
        <w:numPr>
          <w:ilvl w:val="0"/>
          <w:numId w:val="0"/>
        </w:numPr>
        <w:rPr>
          <w:b/>
        </w:rPr>
      </w:pPr>
      <w:r w:rsidRPr="00511CD3">
        <w:tab/>
      </w:r>
      <w:r w:rsidRPr="00511CD3">
        <w:rPr>
          <w:b/>
        </w:rPr>
        <w:t>-</w:t>
      </w:r>
      <w:r w:rsidRPr="00511CD3">
        <w:rPr>
          <w:b/>
        </w:rPr>
        <w:tab/>
      </w:r>
      <w:r w:rsidR="0006561F" w:rsidRPr="00511CD3">
        <w:rPr>
          <w:b/>
        </w:rPr>
        <w:t>Conclusi</w:t>
      </w:r>
      <w:r w:rsidRPr="00511CD3">
        <w:rPr>
          <w:b/>
        </w:rPr>
        <w:t>o</w:t>
      </w:r>
      <w:r w:rsidR="0006561F" w:rsidRPr="00511CD3">
        <w:rPr>
          <w:b/>
        </w:rPr>
        <w:t>n</w:t>
      </w:r>
    </w:p>
    <w:p w14:paraId="66CAC2F7" w14:textId="77777777" w:rsidR="0006561F" w:rsidRPr="00511CD3" w:rsidRDefault="0006561F" w:rsidP="008429F6">
      <w:pPr>
        <w:pStyle w:val="ListParagraph"/>
        <w:numPr>
          <w:ilvl w:val="0"/>
          <w:numId w:val="0"/>
        </w:numPr>
      </w:pPr>
    </w:p>
    <w:p w14:paraId="0BA67758" w14:textId="77777777" w:rsidR="009B721B" w:rsidRPr="00511CD3" w:rsidRDefault="00FB1F38" w:rsidP="00D568AC">
      <w:pPr>
        <w:pStyle w:val="ListParagraph"/>
        <w:ind w:left="0" w:firstLine="0"/>
      </w:pPr>
      <w:r w:rsidRPr="00511CD3">
        <w:t>Having made a comprehensive analysis of the State’s conduct in the instant case</w:t>
      </w:r>
      <w:r w:rsidR="0006561F" w:rsidRPr="00511CD3">
        <w:t xml:space="preserve">, </w:t>
      </w:r>
      <w:r w:rsidR="00B10F4D" w:rsidRPr="00511CD3">
        <w:t>the Commission</w:t>
      </w:r>
      <w:r w:rsidR="0006561F" w:rsidRPr="00511CD3">
        <w:t xml:space="preserve"> conclu</w:t>
      </w:r>
      <w:r w:rsidRPr="00511CD3">
        <w:t xml:space="preserve">des that </w:t>
      </w:r>
      <w:r w:rsidR="009C5285" w:rsidRPr="00511CD3">
        <w:t>the Argentine State</w:t>
      </w:r>
      <w:r w:rsidR="008D0AFA" w:rsidRPr="00511CD3">
        <w:t xml:space="preserve"> </w:t>
      </w:r>
      <w:r w:rsidRPr="00511CD3">
        <w:t xml:space="preserve">is responsible for a number of actions and omissions that translate as negligent action regarding the protection of the rights of </w:t>
      </w:r>
      <w:r w:rsidR="0006561F" w:rsidRPr="00511CD3">
        <w:t>“María”</w:t>
      </w:r>
      <w:r w:rsidR="00B10F4D" w:rsidRPr="00511CD3">
        <w:t xml:space="preserve"> and </w:t>
      </w:r>
      <w:r w:rsidR="0006561F" w:rsidRPr="00511CD3">
        <w:t>“Mariano</w:t>
      </w:r>
      <w:r w:rsidRPr="00511CD3">
        <w:t>.”</w:t>
      </w:r>
      <w:r w:rsidR="008D0AFA" w:rsidRPr="00511CD3">
        <w:t xml:space="preserve"> </w:t>
      </w:r>
      <w:r w:rsidRPr="00511CD3">
        <w:t>These actions are also incompatible with the</w:t>
      </w:r>
      <w:r w:rsidR="00F34A98" w:rsidRPr="00511CD3">
        <w:t xml:space="preserve"> dignity of the adolescent, woma</w:t>
      </w:r>
      <w:r w:rsidRPr="00511CD3">
        <w:t>n, and</w:t>
      </w:r>
      <w:r w:rsidR="00F34A98" w:rsidRPr="00511CD3">
        <w:t xml:space="preserve"> mother</w:t>
      </w:r>
      <w:r w:rsidRPr="00511CD3">
        <w:t xml:space="preserve"> </w:t>
      </w:r>
      <w:r w:rsidR="009B721B" w:rsidRPr="00511CD3">
        <w:t>“María</w:t>
      </w:r>
      <w:r w:rsidR="00F34A98" w:rsidRPr="00511CD3">
        <w:t>,</w:t>
      </w:r>
      <w:r w:rsidR="009B721B" w:rsidRPr="00511CD3">
        <w:t>”</w:t>
      </w:r>
      <w:r w:rsidR="00F34A98" w:rsidRPr="00511CD3">
        <w:t xml:space="preserve"> </w:t>
      </w:r>
      <w:r w:rsidR="00B10F4D" w:rsidRPr="00511CD3">
        <w:t xml:space="preserve">and </w:t>
      </w:r>
      <w:r w:rsidRPr="00511CD3">
        <w:t xml:space="preserve">have caused profound and irreparable harm to the inalienable right of “María” </w:t>
      </w:r>
      <w:r w:rsidR="00EE2709" w:rsidRPr="00511CD3">
        <w:t>an</w:t>
      </w:r>
      <w:r w:rsidRPr="00511CD3">
        <w:t>d her son to develop an emotional bon</w:t>
      </w:r>
      <w:r w:rsidR="00EE2709" w:rsidRPr="00511CD3">
        <w:t>d</w:t>
      </w:r>
      <w:r w:rsidR="00E06830" w:rsidRPr="00511CD3">
        <w:t xml:space="preserve">, </w:t>
      </w:r>
      <w:r w:rsidRPr="00511CD3">
        <w:t>bond that the State itself was called up</w:t>
      </w:r>
      <w:r w:rsidR="00F34A98" w:rsidRPr="00511CD3">
        <w:t>on</w:t>
      </w:r>
      <w:r w:rsidRPr="00511CD3">
        <w:t xml:space="preserve"> to guarantee</w:t>
      </w:r>
      <w:r w:rsidR="009B721B" w:rsidRPr="00511CD3">
        <w:t xml:space="preserve">.  </w:t>
      </w:r>
    </w:p>
    <w:p w14:paraId="0C3D16E1" w14:textId="77777777" w:rsidR="009B721B" w:rsidRPr="00511CD3" w:rsidRDefault="009B721B" w:rsidP="008429F6">
      <w:pPr>
        <w:pStyle w:val="ListParagraph"/>
        <w:numPr>
          <w:ilvl w:val="0"/>
          <w:numId w:val="0"/>
        </w:numPr>
      </w:pPr>
    </w:p>
    <w:p w14:paraId="1EA37A26" w14:textId="77777777" w:rsidR="003215B6" w:rsidRPr="00511CD3" w:rsidRDefault="00B10F4D" w:rsidP="00D568AC">
      <w:pPr>
        <w:pStyle w:val="ListParagraph"/>
        <w:ind w:left="0" w:firstLine="0"/>
      </w:pPr>
      <w:r w:rsidRPr="00511CD3">
        <w:t>The Commission</w:t>
      </w:r>
      <w:r w:rsidR="009B721B" w:rsidRPr="00511CD3">
        <w:t xml:space="preserve"> </w:t>
      </w:r>
      <w:r w:rsidR="00FB1F38" w:rsidRPr="00511CD3">
        <w:t>emphasizes that, since the very start of the process, a</w:t>
      </w:r>
      <w:r w:rsidRPr="00511CD3">
        <w:t xml:space="preserve">nd </w:t>
      </w:r>
      <w:r w:rsidR="00F34A98" w:rsidRPr="00511CD3">
        <w:t>during the unreasonably long time</w:t>
      </w:r>
      <w:r w:rsidR="00FB1F38" w:rsidRPr="00511CD3">
        <w:t xml:space="preserve"> it has lasted, different State act</w:t>
      </w:r>
      <w:r w:rsidR="00F34A98" w:rsidRPr="00511CD3">
        <w:t xml:space="preserve">ors </w:t>
      </w:r>
      <w:r w:rsidR="00E41296" w:rsidRPr="00511CD3">
        <w:t xml:space="preserve">have </w:t>
      </w:r>
      <w:r w:rsidR="00F34A98" w:rsidRPr="00511CD3">
        <w:t>failed to fulfill their obligation</w:t>
      </w:r>
      <w:r w:rsidR="00FB1F38" w:rsidRPr="00511CD3">
        <w:t xml:space="preserve"> to guarantee the right to </w:t>
      </w:r>
      <w:r w:rsidR="00EE2709" w:rsidRPr="00511CD3">
        <w:t>a fa</w:t>
      </w:r>
      <w:r w:rsidR="00FB1F38" w:rsidRPr="00511CD3">
        <w:t>mily of the alleged victims and “Mariano</w:t>
      </w:r>
      <w:r w:rsidR="00E06830" w:rsidRPr="00511CD3">
        <w:t xml:space="preserve">’s” right </w:t>
      </w:r>
      <w:r w:rsidR="00FB1F38" w:rsidRPr="00511CD3">
        <w:t>to identity</w:t>
      </w:r>
      <w:r w:rsidR="009B721B" w:rsidRPr="00511CD3">
        <w:t>.</w:t>
      </w:r>
      <w:r w:rsidR="00E819B8" w:rsidRPr="00511CD3">
        <w:t xml:space="preserve"> </w:t>
      </w:r>
      <w:r w:rsidR="00FB1F38" w:rsidRPr="00511CD3">
        <w:t xml:space="preserve"> In </w:t>
      </w:r>
      <w:r w:rsidR="001375F3" w:rsidRPr="00511CD3">
        <w:t>particular,</w:t>
      </w:r>
      <w:r w:rsidR="003215B6" w:rsidRPr="00511CD3">
        <w:t xml:space="preserve"> </w:t>
      </w:r>
      <w:r w:rsidR="00195E24" w:rsidRPr="00511CD3">
        <w:t xml:space="preserve">the file does not show that the State provided any type of </w:t>
      </w:r>
      <w:r w:rsidR="00F34A98" w:rsidRPr="00511CD3">
        <w:t xml:space="preserve">counselling </w:t>
      </w:r>
      <w:r w:rsidR="00195E24" w:rsidRPr="00511CD3">
        <w:t>or support to ensure that</w:t>
      </w:r>
      <w:r w:rsidR="00E06830" w:rsidRPr="00511CD3">
        <w:t xml:space="preserve"> the decision that</w:t>
      </w:r>
      <w:r w:rsidR="00195E24" w:rsidRPr="00511CD3">
        <w:t xml:space="preserve"> </w:t>
      </w:r>
      <w:r w:rsidR="009B721B" w:rsidRPr="00511CD3">
        <w:t>María</w:t>
      </w:r>
      <w:r w:rsidRPr="00511CD3">
        <w:t xml:space="preserve"> and </w:t>
      </w:r>
      <w:r w:rsidR="00195E24" w:rsidRPr="00511CD3">
        <w:t xml:space="preserve">her mother were </w:t>
      </w:r>
      <w:r w:rsidR="00E06830" w:rsidRPr="00511CD3">
        <w:t xml:space="preserve">called upon to make regarding giving the unborn child up for adoption was </w:t>
      </w:r>
      <w:r w:rsidR="00195E24" w:rsidRPr="00511CD3">
        <w:t>a free and informed decision</w:t>
      </w:r>
      <w:r w:rsidR="003215B6" w:rsidRPr="00511CD3">
        <w:t xml:space="preserve">.  </w:t>
      </w:r>
      <w:r w:rsidR="00195E24" w:rsidRPr="00511CD3">
        <w:t xml:space="preserve">Neither did the State </w:t>
      </w:r>
      <w:r w:rsidR="00195E24" w:rsidRPr="00511CD3">
        <w:lastRenderedPageBreak/>
        <w:t xml:space="preserve">take account of the existence of other members of “Mariano’s” extended biological </w:t>
      </w:r>
      <w:r w:rsidR="00CF0721" w:rsidRPr="00511CD3">
        <w:t>family</w:t>
      </w:r>
      <w:r w:rsidR="00195E24" w:rsidRPr="00511CD3">
        <w:t>, who are said to have indicated their willingness to take responsibility for the child</w:t>
      </w:r>
      <w:r w:rsidR="003215B6" w:rsidRPr="00511CD3">
        <w:t xml:space="preserve">. </w:t>
      </w:r>
      <w:r w:rsidR="00195E24" w:rsidRPr="00511CD3">
        <w:t xml:space="preserve"> Subsequently</w:t>
      </w:r>
      <w:r w:rsidR="003215B6" w:rsidRPr="00511CD3">
        <w:t>,</w:t>
      </w:r>
      <w:r w:rsidRPr="00511CD3">
        <w:t xml:space="preserve"> </w:t>
      </w:r>
      <w:r w:rsidR="00195E24" w:rsidRPr="00511CD3">
        <w:t xml:space="preserve">although </w:t>
      </w:r>
      <w:r w:rsidR="003215B6" w:rsidRPr="00511CD3">
        <w:t>“</w:t>
      </w:r>
      <w:r w:rsidR="00AA7E1A" w:rsidRPr="00511CD3">
        <w:t>María</w:t>
      </w:r>
      <w:r w:rsidR="003215B6" w:rsidRPr="00511CD3">
        <w:t xml:space="preserve">” </w:t>
      </w:r>
      <w:r w:rsidR="00195E24" w:rsidRPr="00511CD3">
        <w:t>clearly expressed her opposition to giving up her son for adoption, the state authorities have not acted with diligence and speed in resolving the judicial proc</w:t>
      </w:r>
      <w:r w:rsidR="00710DEC" w:rsidRPr="00511CD3">
        <w:t>eedings</w:t>
      </w:r>
      <w:r w:rsidR="003215B6" w:rsidRPr="00511CD3">
        <w:t xml:space="preserve">. </w:t>
      </w:r>
    </w:p>
    <w:p w14:paraId="0091D76E" w14:textId="77777777" w:rsidR="00F77150" w:rsidRPr="00511CD3" w:rsidRDefault="00F77150" w:rsidP="008429F6">
      <w:pPr>
        <w:pStyle w:val="ListParagraph"/>
        <w:numPr>
          <w:ilvl w:val="0"/>
          <w:numId w:val="0"/>
        </w:numPr>
      </w:pPr>
    </w:p>
    <w:p w14:paraId="76023F58" w14:textId="77777777" w:rsidR="00E00FB4" w:rsidRPr="00511CD3" w:rsidRDefault="00F34A98" w:rsidP="00D568AC">
      <w:pPr>
        <w:pStyle w:val="ListParagraph"/>
        <w:ind w:left="0" w:firstLine="0"/>
      </w:pPr>
      <w:r w:rsidRPr="00511CD3">
        <w:t>Moreover</w:t>
      </w:r>
      <w:r w:rsidR="00751EDC" w:rsidRPr="00511CD3">
        <w:t>, the State has fail</w:t>
      </w:r>
      <w:r w:rsidR="005B2662" w:rsidRPr="00511CD3">
        <w:t>e</w:t>
      </w:r>
      <w:r w:rsidR="00751EDC" w:rsidRPr="00511CD3">
        <w:t xml:space="preserve">d to take timely steps to </w:t>
      </w:r>
      <w:r w:rsidR="005B2662" w:rsidRPr="00511CD3">
        <w:t xml:space="preserve">facilitate </w:t>
      </w:r>
      <w:r w:rsidR="00751EDC" w:rsidRPr="00511CD3">
        <w:t xml:space="preserve">the relationship between </w:t>
      </w:r>
      <w:r w:rsidR="001375F3" w:rsidRPr="00511CD3">
        <w:t>“</w:t>
      </w:r>
      <w:r w:rsidR="00972246" w:rsidRPr="00511CD3">
        <w:t>María</w:t>
      </w:r>
      <w:r w:rsidR="001375F3" w:rsidRPr="00511CD3">
        <w:t xml:space="preserve">” </w:t>
      </w:r>
      <w:r w:rsidR="00751EDC" w:rsidRPr="00511CD3">
        <w:t>and her son, which</w:t>
      </w:r>
      <w:r w:rsidR="001375F3" w:rsidRPr="00511CD3">
        <w:t xml:space="preserve">, </w:t>
      </w:r>
      <w:r w:rsidR="00B10F4D" w:rsidRPr="00511CD3">
        <w:t>the Commission</w:t>
      </w:r>
      <w:r w:rsidR="001375F3" w:rsidRPr="00511CD3">
        <w:t xml:space="preserve"> </w:t>
      </w:r>
      <w:r w:rsidR="00751EDC" w:rsidRPr="00511CD3">
        <w:t>notes, was seriously impacted precisely because of the delays by the authorities in conduct</w:t>
      </w:r>
      <w:r w:rsidR="005B2662" w:rsidRPr="00511CD3">
        <w:t>ing</w:t>
      </w:r>
      <w:r w:rsidR="00751EDC" w:rsidRPr="00511CD3">
        <w:t xml:space="preserve"> the judicial proceedings.  </w:t>
      </w:r>
      <w:r w:rsidR="000C05DD" w:rsidRPr="00511CD3">
        <w:t>On</w:t>
      </w:r>
      <w:r w:rsidR="00751EDC" w:rsidRPr="00511CD3">
        <w:t xml:space="preserve"> the contrary, despite the effort made by </w:t>
      </w:r>
      <w:r w:rsidR="00E00FB4" w:rsidRPr="00511CD3">
        <w:t>“María”</w:t>
      </w:r>
      <w:r w:rsidR="00B10F4D" w:rsidRPr="00511CD3">
        <w:t xml:space="preserve"> and </w:t>
      </w:r>
      <w:r w:rsidR="00751EDC" w:rsidRPr="00511CD3">
        <w:t xml:space="preserve">her mother to restore </w:t>
      </w:r>
      <w:r w:rsidR="000C05DD" w:rsidRPr="00511CD3">
        <w:t>ties</w:t>
      </w:r>
      <w:r w:rsidR="00751EDC" w:rsidRPr="00511CD3">
        <w:t xml:space="preserve"> with </w:t>
      </w:r>
      <w:r w:rsidR="00343F37">
        <w:t xml:space="preserve">their </w:t>
      </w:r>
      <w:r w:rsidR="00751EDC" w:rsidRPr="00511CD3">
        <w:t>son and grandson, the State has on occasion mounted obstacles, without giv</w:t>
      </w:r>
      <w:r w:rsidRPr="00511CD3">
        <w:t>ing a valid reason, both disallowing h</w:t>
      </w:r>
      <w:r w:rsidR="00751EDC" w:rsidRPr="00511CD3">
        <w:t xml:space="preserve">is relationship with his grandmother and frustrating </w:t>
      </w:r>
      <w:r w:rsidR="00972246" w:rsidRPr="00511CD3">
        <w:t>“María</w:t>
      </w:r>
      <w:r w:rsidR="00751EDC" w:rsidRPr="00511CD3">
        <w:t>’s” expectation to participate in her son’s birthday.</w:t>
      </w:r>
      <w:r w:rsidR="006C6F17" w:rsidRPr="00511CD3">
        <w:t xml:space="preserve"> </w:t>
      </w:r>
    </w:p>
    <w:p w14:paraId="4F450F80" w14:textId="77777777" w:rsidR="001375F3" w:rsidRPr="00511CD3" w:rsidRDefault="001375F3" w:rsidP="008429F6">
      <w:pPr>
        <w:pStyle w:val="ListParagraph"/>
        <w:numPr>
          <w:ilvl w:val="0"/>
          <w:numId w:val="0"/>
        </w:numPr>
      </w:pPr>
    </w:p>
    <w:p w14:paraId="27708289" w14:textId="77777777" w:rsidR="00AB5D67" w:rsidRPr="00511CD3" w:rsidRDefault="005B2662" w:rsidP="00D568AC">
      <w:pPr>
        <w:pStyle w:val="ListParagraph"/>
        <w:ind w:left="0" w:firstLine="0"/>
      </w:pPr>
      <w:r w:rsidRPr="00511CD3">
        <w:t xml:space="preserve">Lastly, a comprehensive analysis of the facts of the instant case leads </w:t>
      </w:r>
      <w:r w:rsidR="00B10F4D" w:rsidRPr="00511CD3">
        <w:t>the Commission</w:t>
      </w:r>
      <w:r w:rsidR="00972246" w:rsidRPr="00511CD3">
        <w:t xml:space="preserve"> </w:t>
      </w:r>
      <w:r w:rsidRPr="00511CD3">
        <w:t xml:space="preserve">to conclude that </w:t>
      </w:r>
      <w:r w:rsidR="00972246" w:rsidRPr="00511CD3">
        <w:t xml:space="preserve">“María” </w:t>
      </w:r>
      <w:r w:rsidRPr="00511CD3">
        <w:t>manifested a number of risk factors that made her especially vulnerable, such as:  that she was a girl;  she became pregnant at 12 years of age as the result of a sexual relationship involving a situation of power that</w:t>
      </w:r>
      <w:r w:rsidR="00E973F9" w:rsidRPr="00511CD3">
        <w:t xml:space="preserve"> translated as</w:t>
      </w:r>
      <w:r w:rsidRPr="00511CD3">
        <w:t xml:space="preserve"> sexual violence;</w:t>
      </w:r>
      <w:r w:rsidR="00343F37">
        <w:t xml:space="preserve"> that</w:t>
      </w:r>
      <w:r w:rsidRPr="00511CD3">
        <w:t xml:space="preserve"> her family was poor, and the background of intra-family violence that led to the exclusion of her father from the home.  Because of the confluence of these factors, </w:t>
      </w:r>
      <w:r w:rsidR="009C5285" w:rsidRPr="00511CD3">
        <w:t>the Argentine State</w:t>
      </w:r>
      <w:r w:rsidR="00972246" w:rsidRPr="00511CD3">
        <w:t xml:space="preserve"> </w:t>
      </w:r>
      <w:r w:rsidRPr="00511CD3">
        <w:t xml:space="preserve">had an obligation to act with strict or </w:t>
      </w:r>
      <w:r w:rsidR="00E973F9" w:rsidRPr="00511CD3">
        <w:t>heighten</w:t>
      </w:r>
      <w:r w:rsidRPr="00511CD3">
        <w:t xml:space="preserve">ed diligence to guarantee </w:t>
      </w:r>
      <w:r w:rsidR="00972246" w:rsidRPr="00511CD3">
        <w:t>“</w:t>
      </w:r>
      <w:r w:rsidR="007E148A" w:rsidRPr="00511CD3">
        <w:t>María</w:t>
      </w:r>
      <w:r w:rsidRPr="00511CD3">
        <w:t>’s</w:t>
      </w:r>
      <w:r w:rsidR="00972246" w:rsidRPr="00511CD3">
        <w:t>”</w:t>
      </w:r>
      <w:r w:rsidRPr="00511CD3">
        <w:t xml:space="preserve"> rights</w:t>
      </w:r>
      <w:r w:rsidR="009213B2" w:rsidRPr="00511CD3">
        <w:t>.</w:t>
      </w:r>
      <w:r w:rsidR="00972246" w:rsidRPr="00511CD3">
        <w:t xml:space="preserve"> </w:t>
      </w:r>
      <w:r w:rsidR="009213B2" w:rsidRPr="00511CD3">
        <w:t xml:space="preserve"> </w:t>
      </w:r>
      <w:r w:rsidRPr="00511CD3">
        <w:t xml:space="preserve">The file does not show that the State acted in </w:t>
      </w:r>
      <w:r w:rsidR="00E973F9" w:rsidRPr="00511CD3">
        <w:t>keeping</w:t>
      </w:r>
      <w:r w:rsidR="00343F37">
        <w:t xml:space="preserve"> with these obligations by</w:t>
      </w:r>
      <w:r w:rsidRPr="00511CD3">
        <w:t xml:space="preserve"> taking an integral approach to </w:t>
      </w:r>
      <w:r w:rsidR="009213B2" w:rsidRPr="00511CD3">
        <w:t>“María</w:t>
      </w:r>
      <w:r w:rsidRPr="00511CD3">
        <w:t xml:space="preserve">’s” situation.  Fulfillment of these obligations, as described </w:t>
      </w:r>
      <w:r w:rsidR="00AB5D67" w:rsidRPr="00511CD3">
        <w:rPr>
          <w:i/>
        </w:rPr>
        <w:t xml:space="preserve">supra, </w:t>
      </w:r>
      <w:r w:rsidR="007B1FE1" w:rsidRPr="00511CD3">
        <w:t>meant</w:t>
      </w:r>
      <w:r w:rsidRPr="00511CD3">
        <w:t xml:space="preserve"> </w:t>
      </w:r>
      <w:r w:rsidR="00E973F9" w:rsidRPr="00511CD3">
        <w:t>start</w:t>
      </w:r>
      <w:r w:rsidRPr="00511CD3">
        <w:t xml:space="preserve">ing by acting </w:t>
      </w:r>
      <w:r w:rsidR="007B1FE1" w:rsidRPr="00511CD3">
        <w:t xml:space="preserve">based on </w:t>
      </w:r>
      <w:r w:rsidRPr="00511CD3">
        <w:t xml:space="preserve">the </w:t>
      </w:r>
      <w:r w:rsidR="00E973F9" w:rsidRPr="00511CD3">
        <w:t>assu</w:t>
      </w:r>
      <w:r w:rsidRPr="00511CD3">
        <w:t>mption that she was a victim</w:t>
      </w:r>
      <w:r w:rsidR="00343F37">
        <w:t xml:space="preserve"> of rape,</w:t>
      </w:r>
      <w:r w:rsidRPr="00511CD3">
        <w:t xml:space="preserve"> and, therefore, taking a number of steps for psychological and me</w:t>
      </w:r>
      <w:r w:rsidR="007B1FE1" w:rsidRPr="00511CD3">
        <w:t xml:space="preserve">ntal health care and legal assistance while guaranteeing her well-being, facilitating the decision-making processes, and respecting and guaranteeing her decision to have a family with </w:t>
      </w:r>
      <w:r w:rsidR="003C6901" w:rsidRPr="00511CD3">
        <w:t>“Mariano</w:t>
      </w:r>
      <w:r w:rsidR="007B1FE1" w:rsidRPr="00511CD3">
        <w:t>.”</w:t>
      </w:r>
    </w:p>
    <w:p w14:paraId="224C7DDD" w14:textId="77777777" w:rsidR="00AB5D67" w:rsidRPr="00511CD3" w:rsidRDefault="00AB5D67" w:rsidP="008429F6">
      <w:pPr>
        <w:pStyle w:val="ListParagraph"/>
        <w:numPr>
          <w:ilvl w:val="0"/>
          <w:numId w:val="0"/>
        </w:numPr>
      </w:pPr>
    </w:p>
    <w:p w14:paraId="6B8554AF" w14:textId="77777777" w:rsidR="00AB5D67" w:rsidRPr="00511CD3" w:rsidRDefault="009213B2" w:rsidP="00D568AC">
      <w:pPr>
        <w:pStyle w:val="ListParagraph"/>
        <w:ind w:left="0" w:firstLine="0"/>
      </w:pPr>
      <w:r w:rsidRPr="00511CD3">
        <w:t xml:space="preserve"> </w:t>
      </w:r>
      <w:r w:rsidR="00B10F4D" w:rsidRPr="00511CD3">
        <w:t>The Commission</w:t>
      </w:r>
      <w:r w:rsidRPr="00511CD3">
        <w:t xml:space="preserve"> </w:t>
      </w:r>
      <w:r w:rsidR="007B1FE1" w:rsidRPr="00511CD3">
        <w:t xml:space="preserve">notes with concern that the numerous omissions and delays </w:t>
      </w:r>
      <w:r w:rsidR="00C12C33" w:rsidRPr="00511CD3">
        <w:t xml:space="preserve">on the part of </w:t>
      </w:r>
      <w:r w:rsidR="009C5285" w:rsidRPr="00511CD3">
        <w:t>the Argentine State</w:t>
      </w:r>
      <w:r w:rsidR="003C6901" w:rsidRPr="00511CD3">
        <w:t xml:space="preserve"> </w:t>
      </w:r>
      <w:r w:rsidR="007B1FE1" w:rsidRPr="00511CD3">
        <w:t>have not guaranteed that account be taken of “</w:t>
      </w:r>
      <w:r w:rsidRPr="00511CD3">
        <w:t>María</w:t>
      </w:r>
      <w:r w:rsidR="007B1FE1" w:rsidRPr="00511CD3">
        <w:t xml:space="preserve">’s” </w:t>
      </w:r>
      <w:r w:rsidR="00C12C33" w:rsidRPr="00511CD3">
        <w:t>wishes</w:t>
      </w:r>
      <w:r w:rsidR="007B1FE1" w:rsidRPr="00511CD3">
        <w:t xml:space="preserve"> nor have they respected her decisions</w:t>
      </w:r>
      <w:r w:rsidR="003C6901" w:rsidRPr="00511CD3">
        <w:t xml:space="preserve">, </w:t>
      </w:r>
      <w:r w:rsidR="007B1FE1" w:rsidRPr="00511CD3">
        <w:t xml:space="preserve">not even now that </w:t>
      </w:r>
      <w:r w:rsidR="00C12C33" w:rsidRPr="00511CD3">
        <w:t>s</w:t>
      </w:r>
      <w:r w:rsidR="007B1FE1" w:rsidRPr="00511CD3">
        <w:t>he is of legal age</w:t>
      </w:r>
      <w:r w:rsidR="003C6901" w:rsidRPr="00511CD3">
        <w:t xml:space="preserve">. </w:t>
      </w:r>
      <w:r w:rsidR="007B1FE1" w:rsidRPr="00511CD3">
        <w:t>All this reinforces a deep-rooted stereotype that denies the capacity of girls and adolescents, especially those living in poverty</w:t>
      </w:r>
      <w:r w:rsidR="003A256E" w:rsidRPr="00511CD3">
        <w:t>,</w:t>
      </w:r>
      <w:r w:rsidR="007E148A" w:rsidRPr="00511CD3">
        <w:t xml:space="preserve"> </w:t>
      </w:r>
      <w:r w:rsidR="007B1FE1" w:rsidRPr="00511CD3">
        <w:t xml:space="preserve">to express and take decisions regarding their own fate, including regarding the possibility </w:t>
      </w:r>
      <w:r w:rsidR="00343F37">
        <w:t xml:space="preserve">of </w:t>
      </w:r>
      <w:r w:rsidR="007B1FE1" w:rsidRPr="00511CD3">
        <w:t xml:space="preserve">and capacities to have </w:t>
      </w:r>
      <w:r w:rsidR="00C12C33" w:rsidRPr="00511CD3">
        <w:t>children</w:t>
      </w:r>
      <w:r w:rsidR="007B1FE1" w:rsidRPr="00511CD3">
        <w:t xml:space="preserve"> and form a family</w:t>
      </w:r>
      <w:r w:rsidR="00864C0C" w:rsidRPr="00511CD3">
        <w:t>, consider</w:t>
      </w:r>
      <w:r w:rsidR="007B1FE1" w:rsidRPr="00511CD3">
        <w:t xml:space="preserve">ing that such decisions </w:t>
      </w:r>
      <w:r w:rsidR="00C12C33" w:rsidRPr="00511CD3">
        <w:t>can</w:t>
      </w:r>
      <w:r w:rsidR="007B1FE1" w:rsidRPr="00511CD3">
        <w:t xml:space="preserve"> be forced upon them or imposed by adults. This, in the </w:t>
      </w:r>
      <w:r w:rsidR="00CF0721" w:rsidRPr="00511CD3">
        <w:t>absence of</w:t>
      </w:r>
      <w:r w:rsidR="007B1FE1" w:rsidRPr="00511CD3">
        <w:t xml:space="preserve"> the supports and </w:t>
      </w:r>
      <w:r w:rsidR="00CF0721" w:rsidRPr="00511CD3">
        <w:t>care</w:t>
      </w:r>
      <w:r w:rsidR="007B1FE1" w:rsidRPr="00511CD3">
        <w:t xml:space="preserve"> required to facilitate such decision-making processes, in </w:t>
      </w:r>
      <w:r w:rsidR="00C12C33" w:rsidRPr="00511CD3">
        <w:t>keeping</w:t>
      </w:r>
      <w:r w:rsidR="007B1FE1" w:rsidRPr="00511CD3">
        <w:t xml:space="preserve"> with their own development and maturity, safeguarding their best interest.  This ineffective action on the part of the authorities, which in turn </w:t>
      </w:r>
      <w:r w:rsidR="00CF0721" w:rsidRPr="00511CD3">
        <w:t>sends</w:t>
      </w:r>
      <w:r w:rsidR="007B1FE1" w:rsidRPr="00511CD3">
        <w:t xml:space="preserve"> a message of mistrust in the justice system, </w:t>
      </w:r>
      <w:r w:rsidR="00C12C33" w:rsidRPr="00511CD3">
        <w:t>precipitat</w:t>
      </w:r>
      <w:r w:rsidR="007B1FE1" w:rsidRPr="00511CD3">
        <w:t>es as a form of discrimination in access</w:t>
      </w:r>
      <w:r w:rsidR="00C12C33" w:rsidRPr="00511CD3">
        <w:t xml:space="preserve"> to</w:t>
      </w:r>
      <w:r w:rsidR="007B1FE1" w:rsidRPr="00511CD3">
        <w:t xml:space="preserve"> justice for women such as “María.”</w:t>
      </w:r>
    </w:p>
    <w:p w14:paraId="750EAFC3" w14:textId="77777777" w:rsidR="00E00FB4" w:rsidRPr="00511CD3" w:rsidRDefault="00E00FB4" w:rsidP="008429F6">
      <w:pPr>
        <w:jc w:val="both"/>
        <w:rPr>
          <w:rFonts w:ascii="Cambria" w:hAnsi="Cambria"/>
          <w:iCs/>
          <w:sz w:val="20"/>
          <w:szCs w:val="20"/>
        </w:rPr>
      </w:pPr>
    </w:p>
    <w:p w14:paraId="4F79C526" w14:textId="77777777" w:rsidR="00FC608D" w:rsidRPr="00511CD3" w:rsidRDefault="007B1FE1" w:rsidP="00D568AC">
      <w:pPr>
        <w:pStyle w:val="ListParagraph"/>
        <w:ind w:left="0" w:firstLine="0"/>
      </w:pPr>
      <w:r w:rsidRPr="00511CD3">
        <w:t>Therefore</w:t>
      </w:r>
      <w:r w:rsidR="006E7633" w:rsidRPr="00511CD3">
        <w:t xml:space="preserve">, </w:t>
      </w:r>
      <w:r w:rsidR="00B10F4D" w:rsidRPr="00511CD3">
        <w:t>the Commission</w:t>
      </w:r>
      <w:r w:rsidR="00E14BDE" w:rsidRPr="00511CD3">
        <w:t xml:space="preserve"> </w:t>
      </w:r>
      <w:r w:rsidRPr="00511CD3">
        <w:t xml:space="preserve">understands that the State has not protected the right to a family of </w:t>
      </w:r>
      <w:r w:rsidR="004E680B" w:rsidRPr="00511CD3">
        <w:t>“María</w:t>
      </w:r>
      <w:r w:rsidRPr="00511CD3">
        <w:t xml:space="preserve">,” her mother, and </w:t>
      </w:r>
      <w:r w:rsidR="004E680B" w:rsidRPr="00511CD3">
        <w:t>“Mariano</w:t>
      </w:r>
      <w:r w:rsidRPr="00511CD3">
        <w:t>,” nor has it fulfilled its special obligations deriv</w:t>
      </w:r>
      <w:r w:rsidR="00C12C33" w:rsidRPr="00511CD3">
        <w:t>ed</w:t>
      </w:r>
      <w:r w:rsidRPr="00511CD3">
        <w:t xml:space="preserve"> from the </w:t>
      </w:r>
      <w:r w:rsidR="003A16C0" w:rsidRPr="00511CD3">
        <w:t xml:space="preserve">rights of </w:t>
      </w:r>
      <w:r w:rsidR="00C12C33" w:rsidRPr="00511CD3">
        <w:t xml:space="preserve">child and adolescent </w:t>
      </w:r>
      <w:r w:rsidR="003A16C0" w:rsidRPr="00511CD3">
        <w:t xml:space="preserve">victims.  This has </w:t>
      </w:r>
      <w:r w:rsidR="00343F37">
        <w:t>caused</w:t>
      </w:r>
      <w:r w:rsidR="003A16C0" w:rsidRPr="00511CD3">
        <w:t xml:space="preserve"> sever</w:t>
      </w:r>
      <w:r w:rsidR="00C12C33" w:rsidRPr="00511CD3">
        <w:t>e</w:t>
      </w:r>
      <w:r w:rsidR="003A16C0" w:rsidRPr="00511CD3">
        <w:t xml:space="preserve"> suffering and anguish, which has affected their personal well-being and, beyond that, has affected “Mariano’s” right to identity, also arbitrarily interfering in the victims’ right to family life</w:t>
      </w:r>
      <w:r w:rsidR="00343F37">
        <w:t>,</w:t>
      </w:r>
      <w:r w:rsidR="003A16C0" w:rsidRPr="00511CD3">
        <w:t xml:space="preserve"> given the passage of time</w:t>
      </w:r>
      <w:r w:rsidR="00165731" w:rsidRPr="00511CD3">
        <w:t>,</w:t>
      </w:r>
      <w:r w:rsidR="003A16C0" w:rsidRPr="00511CD3">
        <w:t xml:space="preserve"> which realistically has impacted the ties between </w:t>
      </w:r>
      <w:r w:rsidR="00935113" w:rsidRPr="00511CD3">
        <w:t>“Mariano”</w:t>
      </w:r>
      <w:r w:rsidR="00B10F4D" w:rsidRPr="00511CD3">
        <w:t xml:space="preserve"> and </w:t>
      </w:r>
      <w:r w:rsidR="003A16C0" w:rsidRPr="00511CD3">
        <w:t>his biological family, taking account of the fact that he child is no longer in early childhood.</w:t>
      </w:r>
    </w:p>
    <w:p w14:paraId="0D8D1FA5" w14:textId="77777777" w:rsidR="00FC608D" w:rsidRPr="00511CD3" w:rsidRDefault="00FC608D" w:rsidP="008429F6">
      <w:pPr>
        <w:pStyle w:val="ListParagraph"/>
        <w:numPr>
          <w:ilvl w:val="0"/>
          <w:numId w:val="0"/>
        </w:numPr>
      </w:pPr>
    </w:p>
    <w:p w14:paraId="7A03B270" w14:textId="77777777" w:rsidR="00FC608D" w:rsidRPr="00511CD3" w:rsidRDefault="00B10F4D" w:rsidP="00D568AC">
      <w:pPr>
        <w:pStyle w:val="ListParagraph"/>
        <w:ind w:left="0" w:firstLine="0"/>
      </w:pPr>
      <w:r w:rsidRPr="00511CD3">
        <w:t>The Commission</w:t>
      </w:r>
      <w:r w:rsidR="00E14BDE" w:rsidRPr="00511CD3">
        <w:t xml:space="preserve"> </w:t>
      </w:r>
      <w:r w:rsidR="003A16C0" w:rsidRPr="00511CD3">
        <w:t xml:space="preserve">therefore understands that the </w:t>
      </w:r>
      <w:r w:rsidR="00165731" w:rsidRPr="00511CD3">
        <w:t>S</w:t>
      </w:r>
      <w:r w:rsidR="003A16C0" w:rsidRPr="00511CD3">
        <w:t>tate actions and omissions outlined in the preceding paragraphs violate the rights to a fair trial, equal</w:t>
      </w:r>
      <w:r w:rsidR="00165731" w:rsidRPr="00511CD3">
        <w:t xml:space="preserve"> protection</w:t>
      </w:r>
      <w:r w:rsidR="003A16C0" w:rsidRPr="00511CD3">
        <w:t xml:space="preserve">, judicial protection, protection of the family, and humane treatment, and not to be the object of arbitrary or abusive interference with his or her family life, set forth, respectively, in Articles </w:t>
      </w:r>
      <w:r w:rsidR="00FC608D" w:rsidRPr="00511CD3">
        <w:t>8.1,</w:t>
      </w:r>
      <w:r w:rsidR="003A256E" w:rsidRPr="00511CD3">
        <w:t xml:space="preserve"> </w:t>
      </w:r>
      <w:r w:rsidR="00FC608D" w:rsidRPr="00511CD3">
        <w:t>25, 17, 5</w:t>
      </w:r>
      <w:r w:rsidR="003A16C0" w:rsidRPr="00511CD3">
        <w:t>,</w:t>
      </w:r>
      <w:r w:rsidRPr="00511CD3">
        <w:t xml:space="preserve"> and </w:t>
      </w:r>
      <w:r w:rsidR="00FC608D" w:rsidRPr="00511CD3">
        <w:t xml:space="preserve">11.2 </w:t>
      </w:r>
      <w:r w:rsidR="003A16C0" w:rsidRPr="00511CD3">
        <w:t>of</w:t>
      </w:r>
      <w:r w:rsidR="00FC608D" w:rsidRPr="00511CD3">
        <w:t xml:space="preserve"> </w:t>
      </w:r>
      <w:r w:rsidR="003E59A8" w:rsidRPr="00511CD3">
        <w:t>the American Convention</w:t>
      </w:r>
      <w:r w:rsidR="003A16C0" w:rsidRPr="00511CD3">
        <w:t xml:space="preserve"> on Human </w:t>
      </w:r>
      <w:r w:rsidR="00CF0721" w:rsidRPr="00511CD3">
        <w:t>Rights</w:t>
      </w:r>
      <w:r w:rsidR="003A16C0" w:rsidRPr="00511CD3">
        <w:t xml:space="preserve">, read in conjunction with its Articles </w:t>
      </w:r>
      <w:r w:rsidR="00FC608D" w:rsidRPr="00511CD3">
        <w:t>19 (</w:t>
      </w:r>
      <w:r w:rsidR="003A16C0" w:rsidRPr="00511CD3">
        <w:t>rights of the child</w:t>
      </w:r>
      <w:r w:rsidR="00FC608D" w:rsidRPr="00511CD3">
        <w:t>)</w:t>
      </w:r>
      <w:r w:rsidR="003A16C0" w:rsidRPr="00511CD3">
        <w:t xml:space="preserve"> and</w:t>
      </w:r>
      <w:r w:rsidR="00FC608D" w:rsidRPr="00511CD3">
        <w:t xml:space="preserve"> 1.1 (obliga</w:t>
      </w:r>
      <w:r w:rsidR="003A16C0" w:rsidRPr="00511CD3">
        <w:t>tion to respect rights</w:t>
      </w:r>
      <w:r w:rsidR="00FC608D" w:rsidRPr="00511CD3">
        <w:t>).</w:t>
      </w:r>
      <w:r w:rsidR="0040154B" w:rsidRPr="00511CD3">
        <w:t xml:space="preserve"> </w:t>
      </w:r>
      <w:r w:rsidR="003A16C0" w:rsidRPr="00511CD3">
        <w:t xml:space="preserve"> The</w:t>
      </w:r>
      <w:r w:rsidRPr="00511CD3">
        <w:t xml:space="preserve"> Commission</w:t>
      </w:r>
      <w:r w:rsidR="0040154B" w:rsidRPr="00511CD3">
        <w:t xml:space="preserve"> </w:t>
      </w:r>
      <w:r w:rsidR="003A16C0" w:rsidRPr="00511CD3">
        <w:t xml:space="preserve">also </w:t>
      </w:r>
      <w:r w:rsidR="0040154B" w:rsidRPr="00511CD3">
        <w:t>consider</w:t>
      </w:r>
      <w:r w:rsidR="003A16C0" w:rsidRPr="00511CD3">
        <w:t xml:space="preserve">s that the State violated Article </w:t>
      </w:r>
      <w:r w:rsidR="0040154B" w:rsidRPr="00511CD3">
        <w:t xml:space="preserve">24 </w:t>
      </w:r>
      <w:r w:rsidR="003A16C0" w:rsidRPr="00511CD3">
        <w:t>of</w:t>
      </w:r>
      <w:r w:rsidR="0040154B" w:rsidRPr="00511CD3">
        <w:t xml:space="preserve"> </w:t>
      </w:r>
      <w:r w:rsidR="003E59A8" w:rsidRPr="00511CD3">
        <w:t>the American Convention</w:t>
      </w:r>
      <w:r w:rsidRPr="00511CD3">
        <w:t xml:space="preserve"> and</w:t>
      </w:r>
      <w:r w:rsidR="003A16C0" w:rsidRPr="00511CD3">
        <w:t xml:space="preserve"> Article </w:t>
      </w:r>
      <w:r w:rsidR="0040154B" w:rsidRPr="00511CD3">
        <w:t xml:space="preserve">7 </w:t>
      </w:r>
      <w:r w:rsidR="003A16C0" w:rsidRPr="00511CD3">
        <w:t>of the Convention of Belém do</w:t>
      </w:r>
      <w:r w:rsidR="0040154B" w:rsidRPr="00511CD3">
        <w:t xml:space="preserve"> Pará.</w:t>
      </w:r>
    </w:p>
    <w:p w14:paraId="7AE1670C" w14:textId="77777777" w:rsidR="008C5C93" w:rsidRPr="00511CD3" w:rsidRDefault="008C5C93" w:rsidP="008429F6">
      <w:pPr>
        <w:jc w:val="both"/>
        <w:rPr>
          <w:iCs/>
        </w:rPr>
      </w:pPr>
    </w:p>
    <w:p w14:paraId="343B3B02" w14:textId="77777777" w:rsidR="008C5C93" w:rsidRPr="00511CD3" w:rsidRDefault="008C5C93" w:rsidP="008429F6">
      <w:pPr>
        <w:pStyle w:val="Heading1"/>
        <w:ind w:left="0" w:firstLine="0"/>
      </w:pPr>
      <w:r w:rsidRPr="00511CD3">
        <w:t>CONCLUSION</w:t>
      </w:r>
      <w:r w:rsidR="00611AC0" w:rsidRPr="00511CD3">
        <w:t>S AND</w:t>
      </w:r>
      <w:r w:rsidR="00B10F4D" w:rsidRPr="00511CD3">
        <w:t xml:space="preserve"> </w:t>
      </w:r>
      <w:r w:rsidRPr="00511CD3">
        <w:t>RECOM</w:t>
      </w:r>
      <w:r w:rsidR="00611AC0" w:rsidRPr="00511CD3">
        <w:t>MENDATIONS</w:t>
      </w:r>
    </w:p>
    <w:p w14:paraId="5F539B1C" w14:textId="77777777" w:rsidR="008C5C93" w:rsidRPr="00511CD3" w:rsidRDefault="008C5C93" w:rsidP="008429F6">
      <w:pPr>
        <w:jc w:val="both"/>
        <w:rPr>
          <w:rFonts w:ascii="Cambria" w:hAnsi="Cambria"/>
          <w:sz w:val="20"/>
          <w:szCs w:val="20"/>
        </w:rPr>
      </w:pPr>
    </w:p>
    <w:p w14:paraId="257263C8" w14:textId="77777777" w:rsidR="008C5C93" w:rsidRPr="00511CD3" w:rsidRDefault="00751EDC" w:rsidP="00D568AC">
      <w:pPr>
        <w:pStyle w:val="ListParagraph"/>
        <w:ind w:left="0" w:firstLine="0"/>
      </w:pPr>
      <w:r w:rsidRPr="00511CD3">
        <w:t xml:space="preserve">By virtue of </w:t>
      </w:r>
      <w:r w:rsidR="008429F6" w:rsidRPr="00511CD3">
        <w:t>what has been expressed</w:t>
      </w:r>
      <w:r w:rsidR="008C5C93" w:rsidRPr="00511CD3">
        <w:t xml:space="preserve"> </w:t>
      </w:r>
      <w:r w:rsidRPr="00511CD3">
        <w:t>throughout this report</w:t>
      </w:r>
      <w:r w:rsidR="008C5C93" w:rsidRPr="00511CD3">
        <w:t xml:space="preserve">, </w:t>
      </w:r>
      <w:r w:rsidR="00B10F4D" w:rsidRPr="00511CD3">
        <w:t>the Commission</w:t>
      </w:r>
      <w:r w:rsidR="008C5C93" w:rsidRPr="00511CD3">
        <w:t xml:space="preserve"> conclu</w:t>
      </w:r>
      <w:r w:rsidRPr="00511CD3">
        <w:t>des that</w:t>
      </w:r>
      <w:r w:rsidR="008C5C93" w:rsidRPr="00511CD3">
        <w:t xml:space="preserve"> </w:t>
      </w:r>
      <w:r w:rsidR="009C5285" w:rsidRPr="00511CD3">
        <w:t>the Argentine State</w:t>
      </w:r>
      <w:r w:rsidR="008C5C93" w:rsidRPr="00511CD3">
        <w:t xml:space="preserve"> </w:t>
      </w:r>
      <w:r w:rsidRPr="00511CD3">
        <w:t xml:space="preserve">has </w:t>
      </w:r>
      <w:r w:rsidR="007465AD" w:rsidRPr="00511CD3">
        <w:t xml:space="preserve">incurred </w:t>
      </w:r>
      <w:r w:rsidRPr="00511CD3">
        <w:t xml:space="preserve">international responsibility for the violation of the rights to </w:t>
      </w:r>
      <w:r w:rsidR="00B55338" w:rsidRPr="00511CD3">
        <w:t xml:space="preserve">human treatment, a fair trial, family life, protection of the family, equal protection, and judicial protection, respectively set forth in </w:t>
      </w:r>
      <w:r w:rsidR="00B55338" w:rsidRPr="00511CD3">
        <w:lastRenderedPageBreak/>
        <w:t xml:space="preserve">Articles </w:t>
      </w:r>
      <w:r w:rsidR="00415395" w:rsidRPr="00511CD3">
        <w:t xml:space="preserve">5, </w:t>
      </w:r>
      <w:r w:rsidR="00FC608D" w:rsidRPr="00511CD3">
        <w:t xml:space="preserve"> </w:t>
      </w:r>
      <w:r w:rsidR="008C5C93" w:rsidRPr="00511CD3">
        <w:t>8.1, 17, 11</w:t>
      </w:r>
      <w:r w:rsidR="00415395" w:rsidRPr="00511CD3">
        <w:t>, 24</w:t>
      </w:r>
      <w:r w:rsidR="00B55338" w:rsidRPr="00511CD3">
        <w:t>,</w:t>
      </w:r>
      <w:r w:rsidR="00B10F4D" w:rsidRPr="00511CD3">
        <w:t xml:space="preserve"> and </w:t>
      </w:r>
      <w:r w:rsidR="00415395" w:rsidRPr="00511CD3">
        <w:t xml:space="preserve">25 </w:t>
      </w:r>
      <w:r w:rsidR="00B55338" w:rsidRPr="00511CD3">
        <w:t xml:space="preserve">of </w:t>
      </w:r>
      <w:r w:rsidR="003E59A8" w:rsidRPr="00511CD3">
        <w:t>the American Convention</w:t>
      </w:r>
      <w:r w:rsidR="00F603F5" w:rsidRPr="00511CD3">
        <w:t xml:space="preserve"> </w:t>
      </w:r>
      <w:r w:rsidR="00B55338" w:rsidRPr="00511CD3">
        <w:t xml:space="preserve">on Human Rights, read in conjunction with its Articles </w:t>
      </w:r>
      <w:r w:rsidR="008C5C93" w:rsidRPr="00511CD3">
        <w:t>19 (</w:t>
      </w:r>
      <w:r w:rsidR="00B55338" w:rsidRPr="00511CD3">
        <w:t>rights of the child)</w:t>
      </w:r>
      <w:r w:rsidR="00B10F4D" w:rsidRPr="00511CD3">
        <w:t xml:space="preserve"> and </w:t>
      </w:r>
      <w:r w:rsidR="008C5C93" w:rsidRPr="00511CD3">
        <w:t>1.1 (obliga</w:t>
      </w:r>
      <w:r w:rsidR="00B55338" w:rsidRPr="00511CD3">
        <w:t xml:space="preserve">tion respect rights) to the detriment of </w:t>
      </w:r>
      <w:r w:rsidR="008C5C93" w:rsidRPr="00511CD3">
        <w:t>“</w:t>
      </w:r>
      <w:r w:rsidR="00B47252" w:rsidRPr="00511CD3">
        <w:t>María</w:t>
      </w:r>
      <w:r w:rsidR="00B55338" w:rsidRPr="00511CD3">
        <w:t>.”  The</w:t>
      </w:r>
      <w:r w:rsidR="00415395" w:rsidRPr="00511CD3">
        <w:t xml:space="preserve"> </w:t>
      </w:r>
      <w:r w:rsidR="00B10F4D" w:rsidRPr="00511CD3">
        <w:t>IACHR</w:t>
      </w:r>
      <w:r w:rsidR="00415395" w:rsidRPr="00511CD3">
        <w:t xml:space="preserve"> </w:t>
      </w:r>
      <w:r w:rsidR="00B55338" w:rsidRPr="00511CD3">
        <w:t xml:space="preserve">also concludes that the </w:t>
      </w:r>
      <w:r w:rsidR="009A258A" w:rsidRPr="00511CD3">
        <w:t xml:space="preserve">State violated “María’s” right to a life free from violence, established in Article </w:t>
      </w:r>
      <w:r w:rsidR="00415395" w:rsidRPr="00511CD3">
        <w:t xml:space="preserve">7 </w:t>
      </w:r>
      <w:r w:rsidR="009A258A" w:rsidRPr="00511CD3">
        <w:t xml:space="preserve">of the Convention of </w:t>
      </w:r>
      <w:r w:rsidR="00415395" w:rsidRPr="00511CD3">
        <w:t xml:space="preserve">Belem </w:t>
      </w:r>
      <w:r w:rsidR="009A258A" w:rsidRPr="00511CD3">
        <w:t>d</w:t>
      </w:r>
      <w:r w:rsidR="00415395" w:rsidRPr="00511CD3">
        <w:t>o Pará.</w:t>
      </w:r>
    </w:p>
    <w:p w14:paraId="306AA4A2" w14:textId="77777777" w:rsidR="00F603F5" w:rsidRPr="00511CD3" w:rsidRDefault="00F603F5" w:rsidP="008429F6">
      <w:pPr>
        <w:pStyle w:val="ListParagraph"/>
        <w:numPr>
          <w:ilvl w:val="0"/>
          <w:numId w:val="0"/>
        </w:numPr>
      </w:pPr>
    </w:p>
    <w:p w14:paraId="063A9E71" w14:textId="77777777" w:rsidR="00F603F5" w:rsidRPr="00511CD3" w:rsidRDefault="00751EDC" w:rsidP="00D568AC">
      <w:pPr>
        <w:pStyle w:val="ListParagraph"/>
        <w:ind w:left="0" w:firstLine="0"/>
      </w:pPr>
      <w:r w:rsidRPr="00511CD3">
        <w:t>Th</w:t>
      </w:r>
      <w:r w:rsidR="009A258A" w:rsidRPr="00511CD3">
        <w:t>e</w:t>
      </w:r>
      <w:r w:rsidRPr="00511CD3">
        <w:t xml:space="preserve"> State is responsible for the violation of the rights to a fair trial, judicial protection, protection of the family, and not to suffer arbitrary or abus</w:t>
      </w:r>
      <w:r w:rsidR="003A16C0" w:rsidRPr="00511CD3">
        <w:t>iv</w:t>
      </w:r>
      <w:r w:rsidRPr="00511CD3">
        <w:t xml:space="preserve">e interference in family life, set forth in Articles </w:t>
      </w:r>
      <w:r w:rsidR="00F603F5" w:rsidRPr="00511CD3">
        <w:t>8.1, 25, 17</w:t>
      </w:r>
      <w:r w:rsidRPr="00511CD3">
        <w:t>,</w:t>
      </w:r>
      <w:r w:rsidR="00B10F4D" w:rsidRPr="00511CD3">
        <w:t xml:space="preserve"> and </w:t>
      </w:r>
      <w:r w:rsidR="00F603F5" w:rsidRPr="00511CD3">
        <w:t xml:space="preserve">11.2 </w:t>
      </w:r>
      <w:r w:rsidRPr="00511CD3">
        <w:t xml:space="preserve">of </w:t>
      </w:r>
      <w:r w:rsidR="003E59A8" w:rsidRPr="00511CD3">
        <w:t>the American Convention</w:t>
      </w:r>
      <w:r w:rsidR="00F603F5" w:rsidRPr="00511CD3">
        <w:t xml:space="preserve"> </w:t>
      </w:r>
      <w:r w:rsidRPr="00511CD3">
        <w:t xml:space="preserve">on Human Rights, respectively, read in conjunction with Article </w:t>
      </w:r>
      <w:r w:rsidR="008B2EF3" w:rsidRPr="00511CD3">
        <w:t>1.1</w:t>
      </w:r>
      <w:r w:rsidR="00F603F5" w:rsidRPr="00511CD3">
        <w:t xml:space="preserve"> </w:t>
      </w:r>
      <w:r w:rsidRPr="00511CD3">
        <w:t xml:space="preserve">of that text, to the detriment of </w:t>
      </w:r>
      <w:r w:rsidR="00F603F5" w:rsidRPr="00511CD3">
        <w:t>“</w:t>
      </w:r>
      <w:r w:rsidR="00B47252" w:rsidRPr="00511CD3">
        <w:t>María</w:t>
      </w:r>
      <w:r w:rsidRPr="00511CD3">
        <w:t>’s” mother.</w:t>
      </w:r>
    </w:p>
    <w:p w14:paraId="11DD0263" w14:textId="77777777" w:rsidR="00F603F5" w:rsidRPr="00511CD3" w:rsidRDefault="00F603F5" w:rsidP="008429F6">
      <w:pPr>
        <w:pStyle w:val="ListParagraph"/>
        <w:numPr>
          <w:ilvl w:val="0"/>
          <w:numId w:val="0"/>
        </w:numPr>
      </w:pPr>
    </w:p>
    <w:p w14:paraId="66B13F51" w14:textId="77777777" w:rsidR="00F603F5" w:rsidRPr="00511CD3" w:rsidRDefault="00751EDC" w:rsidP="00D568AC">
      <w:pPr>
        <w:pStyle w:val="ListParagraph"/>
        <w:ind w:left="0" w:firstLine="0"/>
      </w:pPr>
      <w:r w:rsidRPr="00511CD3">
        <w:t xml:space="preserve">Lastly, </w:t>
      </w:r>
      <w:r w:rsidR="00B10F4D" w:rsidRPr="00511CD3">
        <w:t>the Commission</w:t>
      </w:r>
      <w:r w:rsidR="00F603F5" w:rsidRPr="00511CD3">
        <w:t xml:space="preserve"> conclu</w:t>
      </w:r>
      <w:r w:rsidRPr="00511CD3">
        <w:t>des that</w:t>
      </w:r>
      <w:r w:rsidR="00F603F5" w:rsidRPr="00511CD3">
        <w:t xml:space="preserve"> </w:t>
      </w:r>
      <w:r w:rsidR="009C5285" w:rsidRPr="00511CD3">
        <w:t>the Argentine State</w:t>
      </w:r>
      <w:r w:rsidR="00F603F5" w:rsidRPr="00511CD3">
        <w:t xml:space="preserve"> </w:t>
      </w:r>
      <w:r w:rsidRPr="00511CD3">
        <w:t xml:space="preserve">is responsible for the violation of the rights to a fair trial, to judicial protection, </w:t>
      </w:r>
      <w:r w:rsidR="00B10F4D" w:rsidRPr="00511CD3">
        <w:t xml:space="preserve">and </w:t>
      </w:r>
      <w:r w:rsidRPr="00511CD3">
        <w:t xml:space="preserve">to protection of the family, set forth in Articles </w:t>
      </w:r>
      <w:r w:rsidR="00F603F5" w:rsidRPr="00511CD3">
        <w:t>8.1, 25</w:t>
      </w:r>
      <w:r w:rsidRPr="00511CD3">
        <w:t>,</w:t>
      </w:r>
      <w:r w:rsidR="00B10F4D" w:rsidRPr="00511CD3">
        <w:t xml:space="preserve"> and </w:t>
      </w:r>
      <w:r w:rsidR="00F603F5" w:rsidRPr="00511CD3">
        <w:t xml:space="preserve">17 </w:t>
      </w:r>
      <w:r w:rsidRPr="00511CD3">
        <w:t>of</w:t>
      </w:r>
      <w:r w:rsidR="00F603F5" w:rsidRPr="00511CD3">
        <w:t xml:space="preserve"> </w:t>
      </w:r>
      <w:r w:rsidR="003E59A8" w:rsidRPr="00511CD3">
        <w:t>the American Convention</w:t>
      </w:r>
      <w:r w:rsidR="00005744" w:rsidRPr="00511CD3">
        <w:t xml:space="preserve"> </w:t>
      </w:r>
      <w:r w:rsidRPr="00511CD3">
        <w:t xml:space="preserve">on Human Rights, read in conjunction with its Articles </w:t>
      </w:r>
      <w:r w:rsidR="00F603F5" w:rsidRPr="00511CD3">
        <w:t>19 (</w:t>
      </w:r>
      <w:r w:rsidRPr="00511CD3">
        <w:t>rights of the child)</w:t>
      </w:r>
      <w:r w:rsidR="00B10F4D" w:rsidRPr="00511CD3">
        <w:t xml:space="preserve"> and </w:t>
      </w:r>
      <w:r w:rsidR="00F603F5" w:rsidRPr="00511CD3">
        <w:t>1.1</w:t>
      </w:r>
      <w:r w:rsidR="00C74998" w:rsidRPr="00511CD3">
        <w:t xml:space="preserve"> </w:t>
      </w:r>
      <w:r w:rsidR="00F603F5" w:rsidRPr="00511CD3">
        <w:t>(obliga</w:t>
      </w:r>
      <w:r w:rsidRPr="00511CD3">
        <w:t>tion to respect rights</w:t>
      </w:r>
      <w:r w:rsidR="00F603F5" w:rsidRPr="00511CD3">
        <w:t>)</w:t>
      </w:r>
      <w:r w:rsidRPr="00511CD3">
        <w:t>, to the detriment of the</w:t>
      </w:r>
      <w:r w:rsidR="00540394" w:rsidRPr="00511CD3">
        <w:t xml:space="preserve"> child “Mariano</w:t>
      </w:r>
      <w:r w:rsidRPr="00511CD3">
        <w:t>.”</w:t>
      </w:r>
      <w:r w:rsidR="008B2EF3" w:rsidRPr="00511CD3">
        <w:t xml:space="preserve"> </w:t>
      </w:r>
    </w:p>
    <w:p w14:paraId="38D6FED6" w14:textId="77777777" w:rsidR="00F603F5" w:rsidRPr="00511CD3" w:rsidRDefault="00F603F5" w:rsidP="008429F6">
      <w:pPr>
        <w:pStyle w:val="ListParagraph"/>
        <w:numPr>
          <w:ilvl w:val="0"/>
          <w:numId w:val="0"/>
        </w:numPr>
      </w:pPr>
    </w:p>
    <w:p w14:paraId="2AFB2D9D" w14:textId="77777777" w:rsidR="00F603F5" w:rsidRPr="00511CD3" w:rsidRDefault="00A43F10" w:rsidP="00D568AC">
      <w:pPr>
        <w:pStyle w:val="ListParagraph"/>
        <w:ind w:left="0" w:firstLine="0"/>
      </w:pPr>
      <w:r w:rsidRPr="00511CD3">
        <w:t>Based on the analysis and conclusions in the instant report</w:t>
      </w:r>
      <w:r w:rsidR="00F603F5" w:rsidRPr="00511CD3">
        <w:t>:</w:t>
      </w:r>
    </w:p>
    <w:p w14:paraId="011199A9" w14:textId="77777777" w:rsidR="00F603F5" w:rsidRPr="00511CD3" w:rsidRDefault="00F603F5" w:rsidP="008429F6">
      <w:pPr>
        <w:widowControl w:val="0"/>
        <w:tabs>
          <w:tab w:val="left" w:pos="567"/>
        </w:tabs>
        <w:jc w:val="both"/>
        <w:rPr>
          <w:rFonts w:ascii="Cambria" w:hAnsi="Cambria" w:cs="Cambria"/>
          <w:sz w:val="20"/>
          <w:szCs w:val="20"/>
        </w:rPr>
      </w:pPr>
    </w:p>
    <w:p w14:paraId="1B408FA9" w14:textId="77777777" w:rsidR="00F603F5" w:rsidRPr="00511CD3" w:rsidRDefault="00611AC0" w:rsidP="008429F6">
      <w:pPr>
        <w:widowControl w:val="0"/>
        <w:tabs>
          <w:tab w:val="left" w:pos="2240"/>
        </w:tabs>
        <w:spacing w:before="1"/>
        <w:jc w:val="both"/>
        <w:rPr>
          <w:rFonts w:ascii="Cambria" w:hAnsi="Cambria" w:cs="Cambria"/>
          <w:b/>
          <w:sz w:val="20"/>
          <w:szCs w:val="20"/>
        </w:rPr>
      </w:pPr>
      <w:r w:rsidRPr="00511CD3">
        <w:rPr>
          <w:rFonts w:ascii="Cambria" w:hAnsi="Cambria" w:cs="Cambria"/>
          <w:b/>
          <w:sz w:val="20"/>
          <w:szCs w:val="20"/>
        </w:rPr>
        <w:t>THE</w:t>
      </w:r>
      <w:r w:rsidR="00F603F5" w:rsidRPr="00511CD3">
        <w:rPr>
          <w:rFonts w:ascii="Cambria" w:hAnsi="Cambria" w:cs="Cambria"/>
          <w:b/>
          <w:sz w:val="20"/>
          <w:szCs w:val="20"/>
        </w:rPr>
        <w:t xml:space="preserve"> </w:t>
      </w:r>
      <w:r w:rsidR="00B10F4D" w:rsidRPr="00511CD3">
        <w:rPr>
          <w:rFonts w:ascii="Cambria" w:hAnsi="Cambria" w:cs="Cambria"/>
          <w:b/>
          <w:sz w:val="20"/>
          <w:szCs w:val="20"/>
        </w:rPr>
        <w:t>INTER-AMERICAN COMMISSION ON HUMAN RIGHTS</w:t>
      </w:r>
      <w:r w:rsidRPr="00511CD3">
        <w:rPr>
          <w:rFonts w:ascii="Cambria" w:hAnsi="Cambria" w:cs="Cambria"/>
          <w:b/>
          <w:sz w:val="20"/>
          <w:szCs w:val="20"/>
        </w:rPr>
        <w:t xml:space="preserve"> RECOMMENDS THAT THE ARGENTINE REPUBLIC:</w:t>
      </w:r>
    </w:p>
    <w:p w14:paraId="16D400C5" w14:textId="77777777" w:rsidR="008B2EF3" w:rsidRPr="00511CD3" w:rsidRDefault="008B2EF3" w:rsidP="008429F6">
      <w:pPr>
        <w:widowControl w:val="0"/>
        <w:tabs>
          <w:tab w:val="left" w:pos="2240"/>
        </w:tabs>
        <w:spacing w:before="1"/>
        <w:jc w:val="both"/>
        <w:rPr>
          <w:rFonts w:ascii="Cambria" w:hAnsi="Cambria" w:cs="Cambria"/>
          <w:b/>
          <w:sz w:val="20"/>
          <w:szCs w:val="20"/>
        </w:rPr>
      </w:pPr>
    </w:p>
    <w:p w14:paraId="5E2E3149" w14:textId="77777777" w:rsidR="00F603F5" w:rsidRPr="00511CD3" w:rsidRDefault="007F3CD4" w:rsidP="008429F6">
      <w:pPr>
        <w:pStyle w:val="ListParagraph"/>
        <w:numPr>
          <w:ilvl w:val="0"/>
          <w:numId w:val="0"/>
        </w:numPr>
      </w:pPr>
      <w:r w:rsidRPr="00511CD3">
        <w:t>1.</w:t>
      </w:r>
      <w:r w:rsidRPr="00511CD3">
        <w:tab/>
      </w:r>
      <w:r w:rsidR="008429F6" w:rsidRPr="00511CD3">
        <w:t xml:space="preserve">Take all steps necessary to provide comprehensive reparation for the human rights violations suffered by </w:t>
      </w:r>
      <w:r w:rsidR="00F603F5" w:rsidRPr="00511CD3">
        <w:t>“</w:t>
      </w:r>
      <w:r w:rsidR="00AC4293" w:rsidRPr="00511CD3">
        <w:t>María</w:t>
      </w:r>
      <w:r w:rsidR="00B64947" w:rsidRPr="00511CD3">
        <w:t>,”</w:t>
      </w:r>
      <w:r w:rsidR="008429F6" w:rsidRPr="00511CD3">
        <w:t xml:space="preserve"> her mo</w:t>
      </w:r>
      <w:r w:rsidR="00B64947" w:rsidRPr="00511CD3">
        <w:t>ther, and</w:t>
      </w:r>
      <w:r w:rsidR="008429F6" w:rsidRPr="00511CD3">
        <w:t xml:space="preserve"> </w:t>
      </w:r>
      <w:r w:rsidR="00540394" w:rsidRPr="00511CD3">
        <w:t>the child “Mariano</w:t>
      </w:r>
      <w:r w:rsidR="008429F6" w:rsidRPr="00511CD3">
        <w:t>,” with the appropriate assistance and taking into consideration the child’s best interest</w:t>
      </w:r>
      <w:r w:rsidR="004C35A0">
        <w:t xml:space="preserve"> following an insersectional and gender approach. </w:t>
      </w:r>
    </w:p>
    <w:p w14:paraId="2D25AA0E" w14:textId="77777777" w:rsidR="00AC4293" w:rsidRPr="00511CD3" w:rsidRDefault="00AC4293" w:rsidP="008429F6">
      <w:pPr>
        <w:pStyle w:val="ListParagraph"/>
        <w:numPr>
          <w:ilvl w:val="0"/>
          <w:numId w:val="0"/>
        </w:numPr>
      </w:pPr>
    </w:p>
    <w:p w14:paraId="18F9A5DE" w14:textId="77777777" w:rsidR="00F603F5" w:rsidRPr="00511CD3" w:rsidRDefault="007F3CD4" w:rsidP="008429F6">
      <w:pPr>
        <w:pStyle w:val="ListParagraph"/>
        <w:numPr>
          <w:ilvl w:val="0"/>
          <w:numId w:val="0"/>
        </w:numPr>
      </w:pPr>
      <w:r w:rsidRPr="00511CD3">
        <w:t>2.</w:t>
      </w:r>
      <w:r w:rsidRPr="00511CD3">
        <w:tab/>
      </w:r>
      <w:r w:rsidR="008429F6" w:rsidRPr="00511CD3">
        <w:t xml:space="preserve">Take all necessary, appropriate, and effective steps to ensure the establishment and maintenance of </w:t>
      </w:r>
      <w:r w:rsidR="003B00ED" w:rsidRPr="00511CD3">
        <w:t xml:space="preserve">a bond </w:t>
      </w:r>
      <w:r w:rsidR="008429F6" w:rsidRPr="00511CD3">
        <w:t xml:space="preserve">between </w:t>
      </w:r>
      <w:r w:rsidR="00540394" w:rsidRPr="00511CD3">
        <w:t>the child “Mariano”</w:t>
      </w:r>
      <w:r w:rsidR="00AC4293" w:rsidRPr="00511CD3">
        <w:t xml:space="preserve"> </w:t>
      </w:r>
      <w:r w:rsidR="008429F6" w:rsidRPr="00511CD3">
        <w:t xml:space="preserve">and his mother </w:t>
      </w:r>
      <w:r w:rsidR="00AC4293" w:rsidRPr="00511CD3">
        <w:t>“María</w:t>
      </w:r>
      <w:r w:rsidR="008429F6" w:rsidRPr="00511CD3">
        <w:t>,” removing all obstacles that may exist, both legal and practical, that are preventing the child and mother from building and strengthening that bond</w:t>
      </w:r>
      <w:r w:rsidR="00AC4293" w:rsidRPr="00511CD3">
        <w:t xml:space="preserve">. </w:t>
      </w:r>
      <w:r w:rsidR="00F603F5" w:rsidRPr="00511CD3">
        <w:t xml:space="preserve"> </w:t>
      </w:r>
    </w:p>
    <w:p w14:paraId="3C5CF3C4" w14:textId="77777777" w:rsidR="00AC4293" w:rsidRPr="00511CD3" w:rsidRDefault="00AC4293" w:rsidP="008429F6">
      <w:pPr>
        <w:jc w:val="both"/>
        <w:rPr>
          <w:rFonts w:ascii="Cambria" w:hAnsi="Cambria"/>
          <w:sz w:val="20"/>
          <w:szCs w:val="20"/>
        </w:rPr>
      </w:pPr>
    </w:p>
    <w:p w14:paraId="55006FEE" w14:textId="77777777" w:rsidR="00F603F5" w:rsidRPr="00511CD3" w:rsidRDefault="007F3CD4" w:rsidP="008429F6">
      <w:pPr>
        <w:pStyle w:val="ListParagraph"/>
        <w:numPr>
          <w:ilvl w:val="0"/>
          <w:numId w:val="0"/>
        </w:numPr>
      </w:pPr>
      <w:r w:rsidRPr="00511CD3">
        <w:t>3.</w:t>
      </w:r>
      <w:r w:rsidRPr="00511CD3">
        <w:tab/>
      </w:r>
      <w:r w:rsidR="00B64947" w:rsidRPr="00511CD3">
        <w:t>Adopt</w:t>
      </w:r>
      <w:r w:rsidR="008429F6" w:rsidRPr="00511CD3">
        <w:t xml:space="preserve"> in the most expeditious way possible a definitive </w:t>
      </w:r>
      <w:r w:rsidR="00A06BA3">
        <w:t>re</w:t>
      </w:r>
      <w:r w:rsidR="008429F6" w:rsidRPr="00511CD3">
        <w:t xml:space="preserve">solution </w:t>
      </w:r>
      <w:r w:rsidR="00A06BA3">
        <w:t>of</w:t>
      </w:r>
      <w:r w:rsidR="008429F6" w:rsidRPr="00511CD3">
        <w:t xml:space="preserve"> the judicial proceedings in which is being debated the adoptability status of t</w:t>
      </w:r>
      <w:r w:rsidR="00540394" w:rsidRPr="00511CD3">
        <w:t>he child “Mariano</w:t>
      </w:r>
      <w:r w:rsidR="008429F6" w:rsidRPr="00511CD3">
        <w:t>,</w:t>
      </w:r>
      <w:r w:rsidR="00540394" w:rsidRPr="00511CD3">
        <w:t>”</w:t>
      </w:r>
      <w:r w:rsidR="00AC4293" w:rsidRPr="00511CD3">
        <w:t xml:space="preserve"> </w:t>
      </w:r>
      <w:r w:rsidR="008429F6" w:rsidRPr="00511CD3">
        <w:t xml:space="preserve">respecting </w:t>
      </w:r>
      <w:r w:rsidR="00AC4293" w:rsidRPr="00511CD3">
        <w:t>“</w:t>
      </w:r>
      <w:r w:rsidR="0053594C" w:rsidRPr="00511CD3">
        <w:t>María</w:t>
      </w:r>
      <w:r w:rsidR="008429F6" w:rsidRPr="00511CD3">
        <w:t xml:space="preserve">’s” right to a fair trial and to judicial protection, </w:t>
      </w:r>
      <w:r w:rsidR="00E64D65">
        <w:t xml:space="preserve">securing an inter-sectional and gender approach to the matter, </w:t>
      </w:r>
      <w:r w:rsidR="008429F6" w:rsidRPr="00511CD3">
        <w:t>and at all times bearing in mind the best interest</w:t>
      </w:r>
      <w:r w:rsidR="003B00ED" w:rsidRPr="00511CD3">
        <w:t>s</w:t>
      </w:r>
      <w:r w:rsidR="008429F6" w:rsidRPr="00511CD3">
        <w:t xml:space="preserve"> of the </w:t>
      </w:r>
      <w:r w:rsidR="00540394" w:rsidRPr="00511CD3">
        <w:t>child “Mariano”</w:t>
      </w:r>
      <w:r w:rsidR="00B10F4D" w:rsidRPr="00511CD3">
        <w:t xml:space="preserve"> and </w:t>
      </w:r>
      <w:r w:rsidR="008429F6" w:rsidRPr="00511CD3">
        <w:t>the inter-American standards in this area</w:t>
      </w:r>
      <w:r w:rsidR="00AC4293" w:rsidRPr="00511CD3">
        <w:t xml:space="preserve">. </w:t>
      </w:r>
    </w:p>
    <w:p w14:paraId="0CD2F37A" w14:textId="77777777" w:rsidR="00AC4293" w:rsidRPr="00511CD3" w:rsidRDefault="00AC4293" w:rsidP="008429F6">
      <w:pPr>
        <w:pStyle w:val="ListParagraph"/>
        <w:numPr>
          <w:ilvl w:val="0"/>
          <w:numId w:val="0"/>
        </w:numPr>
      </w:pPr>
    </w:p>
    <w:p w14:paraId="13D34605" w14:textId="77777777" w:rsidR="00AC4293" w:rsidRPr="00511CD3" w:rsidRDefault="007F3CD4" w:rsidP="008429F6">
      <w:pPr>
        <w:pStyle w:val="ListParagraph"/>
        <w:numPr>
          <w:ilvl w:val="0"/>
          <w:numId w:val="0"/>
        </w:numPr>
      </w:pPr>
      <w:r w:rsidRPr="00511CD3">
        <w:t>4.</w:t>
      </w:r>
      <w:r w:rsidRPr="00511CD3">
        <w:tab/>
      </w:r>
      <w:r w:rsidR="00C95747" w:rsidRPr="00511CD3">
        <w:t xml:space="preserve">Substantiate the corresponding actions with the aim of investigating the </w:t>
      </w:r>
      <w:r w:rsidR="00B64947" w:rsidRPr="00511CD3">
        <w:t xml:space="preserve">possible </w:t>
      </w:r>
      <w:r w:rsidR="00C95747" w:rsidRPr="00511CD3">
        <w:t xml:space="preserve">administrative or disciplinary responsibility of those judicial or administrative officials involved in the proceedings who, by action or omission in </w:t>
      </w:r>
      <w:r w:rsidR="00A06BA3">
        <w:t xml:space="preserve">failing to </w:t>
      </w:r>
      <w:r w:rsidR="00C95747" w:rsidRPr="00511CD3">
        <w:t>fulfill the duties of their posts, perpetrated the violations described in the instant report</w:t>
      </w:r>
      <w:r w:rsidR="0053594C" w:rsidRPr="00511CD3">
        <w:t xml:space="preserve">. </w:t>
      </w:r>
    </w:p>
    <w:p w14:paraId="2B31F839" w14:textId="77777777" w:rsidR="0053594C" w:rsidRPr="00511CD3" w:rsidRDefault="0053594C" w:rsidP="008429F6">
      <w:pPr>
        <w:pStyle w:val="ListParagraph"/>
        <w:numPr>
          <w:ilvl w:val="0"/>
          <w:numId w:val="0"/>
        </w:numPr>
      </w:pPr>
    </w:p>
    <w:p w14:paraId="370C6458" w14:textId="77777777" w:rsidR="0053594C" w:rsidRPr="00511CD3" w:rsidRDefault="007F3CD4" w:rsidP="008429F6">
      <w:pPr>
        <w:pStyle w:val="ListParagraph"/>
        <w:numPr>
          <w:ilvl w:val="0"/>
          <w:numId w:val="0"/>
        </w:numPr>
      </w:pPr>
      <w:r w:rsidRPr="00511CD3">
        <w:t>5.</w:t>
      </w:r>
      <w:r w:rsidRPr="00511CD3">
        <w:tab/>
      </w:r>
      <w:r w:rsidR="0053594C" w:rsidRPr="00511CD3">
        <w:t>G</w:t>
      </w:r>
      <w:r w:rsidR="00C95747" w:rsidRPr="00511CD3">
        <w:t xml:space="preserve">uarantee, through the preparation of action protocols, </w:t>
      </w:r>
      <w:r w:rsidR="00CF0721" w:rsidRPr="00511CD3">
        <w:t>courses, and</w:t>
      </w:r>
      <w:r w:rsidR="00C95747" w:rsidRPr="00511CD3">
        <w:t xml:space="preserve"> other appropriate measures</w:t>
      </w:r>
      <w:r w:rsidR="0053594C" w:rsidRPr="00511CD3">
        <w:t xml:space="preserve">, </w:t>
      </w:r>
      <w:r w:rsidR="00C95747" w:rsidRPr="00511CD3">
        <w:t>the right of all girls and adolescents to receive pro bono legal assistance and the multidisciplinary supports required prior to giving their consent to giv</w:t>
      </w:r>
      <w:r w:rsidR="003B00ED" w:rsidRPr="00511CD3">
        <w:t>ing</w:t>
      </w:r>
      <w:r w:rsidR="00C95747" w:rsidRPr="00511CD3">
        <w:t xml:space="preserve"> their children up for preadoption guardianship, both during the gestation period and after the birth</w:t>
      </w:r>
      <w:r w:rsidR="0053594C" w:rsidRPr="00511CD3">
        <w:t>.</w:t>
      </w:r>
    </w:p>
    <w:p w14:paraId="7172624D" w14:textId="77777777" w:rsidR="0053594C" w:rsidRPr="00511CD3" w:rsidRDefault="0053594C" w:rsidP="008429F6">
      <w:pPr>
        <w:pStyle w:val="ListParagraph"/>
        <w:numPr>
          <w:ilvl w:val="0"/>
          <w:numId w:val="0"/>
        </w:numPr>
      </w:pPr>
    </w:p>
    <w:p w14:paraId="4C32181C" w14:textId="77777777" w:rsidR="000E3AAA" w:rsidRPr="00511CD3" w:rsidRDefault="007F3CD4" w:rsidP="008429F6">
      <w:pPr>
        <w:pStyle w:val="ListParagraph"/>
        <w:numPr>
          <w:ilvl w:val="0"/>
          <w:numId w:val="0"/>
        </w:numPr>
      </w:pPr>
      <w:r w:rsidRPr="00511CD3">
        <w:t>6.</w:t>
      </w:r>
      <w:r w:rsidRPr="00511CD3">
        <w:tab/>
      </w:r>
      <w:r w:rsidR="007E369D" w:rsidRPr="00511CD3">
        <w:t>Adopt</w:t>
      </w:r>
      <w:r w:rsidR="00A44C94" w:rsidRPr="00511CD3">
        <w:t xml:space="preserve"> public policies </w:t>
      </w:r>
      <w:r w:rsidR="00E64D65">
        <w:t xml:space="preserve">with gender prespective </w:t>
      </w:r>
      <w:r w:rsidR="00A44C94" w:rsidRPr="00511CD3">
        <w:t>to address specific</w:t>
      </w:r>
      <w:r w:rsidR="002064E7" w:rsidRPr="00511CD3">
        <w:t>ally</w:t>
      </w:r>
      <w:r w:rsidR="00A44C94" w:rsidRPr="00511CD3">
        <w:t xml:space="preserve"> and comprehensive</w:t>
      </w:r>
      <w:r w:rsidR="002064E7" w:rsidRPr="00511CD3">
        <w:t xml:space="preserve">ly </w:t>
      </w:r>
      <w:r w:rsidR="00A44C94" w:rsidRPr="00511CD3">
        <w:t>the problem of pregnant girls and adolescents in order to end the discrimination and violence to which they are subjected.  In that regard, actions that</w:t>
      </w:r>
      <w:r w:rsidR="000E3AAA" w:rsidRPr="00511CD3">
        <w:t xml:space="preserve"> </w:t>
      </w:r>
      <w:r w:rsidR="00B10F4D" w:rsidRPr="00511CD3">
        <w:t>the Commission</w:t>
      </w:r>
      <w:r w:rsidR="000E3AAA" w:rsidRPr="00511CD3">
        <w:t xml:space="preserve"> consider</w:t>
      </w:r>
      <w:r w:rsidR="00A44C94" w:rsidRPr="00511CD3">
        <w:t xml:space="preserve">s that the State should carry out </w:t>
      </w:r>
      <w:r w:rsidR="002064E7" w:rsidRPr="00511CD3">
        <w:t xml:space="preserve">include a diagnostic assessment of the specific </w:t>
      </w:r>
      <w:r w:rsidR="00A06BA3">
        <w:t xml:space="preserve">reasons for </w:t>
      </w:r>
      <w:r w:rsidR="002064E7" w:rsidRPr="00511CD3">
        <w:t xml:space="preserve">and consequences </w:t>
      </w:r>
      <w:r w:rsidR="00A06BA3">
        <w:t xml:space="preserve">of their lack of access to </w:t>
      </w:r>
      <w:r w:rsidR="002064E7" w:rsidRPr="00511CD3">
        <w:t xml:space="preserve">justice, </w:t>
      </w:r>
      <w:r w:rsidR="001E2E7E" w:rsidRPr="00511CD3">
        <w:t xml:space="preserve">especially teenage mothers, </w:t>
      </w:r>
      <w:r w:rsidR="00A06BA3">
        <w:t>in connection with</w:t>
      </w:r>
      <w:r w:rsidR="001E2E7E" w:rsidRPr="00511CD3">
        <w:t xml:space="preserve"> proceedings for guardianship and custody, with a view to designing and implementing appropriate measures for defending and guaranteeing their rights.</w:t>
      </w:r>
    </w:p>
    <w:p w14:paraId="38D3D8FE" w14:textId="77777777" w:rsidR="009B6BF2" w:rsidRPr="00511CD3" w:rsidRDefault="009B6BF2" w:rsidP="008429F6">
      <w:pPr>
        <w:pStyle w:val="ListParagraph"/>
        <w:numPr>
          <w:ilvl w:val="0"/>
          <w:numId w:val="0"/>
        </w:numPr>
      </w:pPr>
    </w:p>
    <w:p w14:paraId="3238548D" w14:textId="77777777" w:rsidR="00B92C18" w:rsidRPr="00511CD3" w:rsidRDefault="007F3CD4" w:rsidP="008429F6">
      <w:pPr>
        <w:pStyle w:val="ListParagraph"/>
        <w:numPr>
          <w:ilvl w:val="0"/>
          <w:numId w:val="0"/>
        </w:numPr>
      </w:pPr>
      <w:r w:rsidRPr="00511CD3">
        <w:t>7.</w:t>
      </w:r>
      <w:r w:rsidRPr="00511CD3">
        <w:tab/>
      </w:r>
      <w:r w:rsidR="0040154B" w:rsidRPr="00511CD3">
        <w:t>D</w:t>
      </w:r>
      <w:r w:rsidR="001E2E7E" w:rsidRPr="00511CD3">
        <w:t xml:space="preserve">esign and implement training programs and </w:t>
      </w:r>
      <w:r w:rsidR="0040154B" w:rsidRPr="00511CD3">
        <w:t>protocol</w:t>
      </w:r>
      <w:r w:rsidR="001E2E7E" w:rsidRPr="00511CD3">
        <w:t>s for justice authorities who participate in proceedings for the guardianship and custody of children of adolescent mothers in the areas of gender awareness and the rights of women and, especially, girls and adolescents</w:t>
      </w:r>
      <w:r w:rsidR="003B00ED" w:rsidRPr="00511CD3">
        <w:t>,</w:t>
      </w:r>
      <w:r w:rsidR="001E2E7E" w:rsidRPr="00511CD3">
        <w:t xml:space="preserve"> to a life free from violence </w:t>
      </w:r>
      <w:r w:rsidR="00B10F4D" w:rsidRPr="00511CD3">
        <w:t xml:space="preserve">and </w:t>
      </w:r>
      <w:r w:rsidR="0040154B" w:rsidRPr="00511CD3">
        <w:t>discrimina</w:t>
      </w:r>
      <w:r w:rsidR="001E2E7E" w:rsidRPr="00511CD3">
        <w:t>tion</w:t>
      </w:r>
      <w:r w:rsidR="0040154B" w:rsidRPr="00511CD3">
        <w:t>.</w:t>
      </w:r>
    </w:p>
    <w:bookmarkEnd w:id="0"/>
    <w:p w14:paraId="36107B9E" w14:textId="77777777" w:rsidR="00FD057D" w:rsidRPr="00511CD3" w:rsidRDefault="00FD057D" w:rsidP="008429F6">
      <w:pPr>
        <w:jc w:val="both"/>
        <w:rPr>
          <w:rFonts w:ascii="Cambria" w:hAnsi="Cambria"/>
          <w:sz w:val="20"/>
          <w:szCs w:val="20"/>
        </w:rPr>
      </w:pPr>
    </w:p>
    <w:p w14:paraId="3163206F" w14:textId="77777777" w:rsidR="009C5478" w:rsidRPr="00511CD3" w:rsidRDefault="009C5478" w:rsidP="008429F6">
      <w:pPr>
        <w:jc w:val="both"/>
        <w:rPr>
          <w:rFonts w:ascii="Cambria" w:hAnsi="Cambria"/>
          <w:sz w:val="20"/>
          <w:szCs w:val="20"/>
        </w:rPr>
      </w:pPr>
    </w:p>
    <w:p w14:paraId="42E01977" w14:textId="77777777" w:rsidR="009C5478" w:rsidRPr="00511CD3" w:rsidRDefault="009C5478" w:rsidP="008429F6">
      <w:pPr>
        <w:jc w:val="both"/>
        <w:rPr>
          <w:rFonts w:ascii="Cambria" w:hAnsi="Cambria"/>
          <w:sz w:val="20"/>
          <w:szCs w:val="20"/>
        </w:rPr>
      </w:pPr>
    </w:p>
    <w:p w14:paraId="2A3DCD96" w14:textId="77777777" w:rsidR="00611AC0" w:rsidRPr="00511CD3" w:rsidRDefault="00611AC0" w:rsidP="008429F6">
      <w:pPr>
        <w:jc w:val="both"/>
        <w:rPr>
          <w:rFonts w:ascii="Cambria" w:hAnsi="Cambria"/>
          <w:sz w:val="20"/>
          <w:szCs w:val="20"/>
        </w:rPr>
      </w:pPr>
    </w:p>
    <w:p w14:paraId="2004C7CA" w14:textId="77777777" w:rsidR="00611AC0" w:rsidRPr="00511CD3" w:rsidRDefault="00611AC0" w:rsidP="008429F6">
      <w:pPr>
        <w:jc w:val="both"/>
        <w:rPr>
          <w:rFonts w:ascii="Cambria" w:hAnsi="Cambria"/>
          <w:sz w:val="18"/>
          <w:szCs w:val="18"/>
        </w:rPr>
      </w:pPr>
      <w:r w:rsidRPr="00511CD3">
        <w:rPr>
          <w:rFonts w:ascii="Cambria" w:hAnsi="Cambria"/>
          <w:sz w:val="18"/>
          <w:szCs w:val="18"/>
        </w:rPr>
        <w:t>CIDH07353E02</w:t>
      </w:r>
    </w:p>
    <w:p w14:paraId="7271511E" w14:textId="77777777" w:rsidR="00B46A1A" w:rsidRPr="00511CD3" w:rsidRDefault="00B46A1A">
      <w:pPr>
        <w:jc w:val="both"/>
        <w:rPr>
          <w:rFonts w:ascii="Cambria" w:hAnsi="Cambria"/>
          <w:sz w:val="18"/>
          <w:szCs w:val="18"/>
        </w:rPr>
      </w:pPr>
    </w:p>
    <w:sectPr w:rsidR="00B46A1A" w:rsidRPr="00511CD3" w:rsidSect="005C1FF6">
      <w:headerReference w:type="even" r:id="rId12"/>
      <w:headerReference w:type="default" r:id="rId13"/>
      <w:footerReference w:type="default" r:id="rId14"/>
      <w:headerReference w:type="first" r:id="rId15"/>
      <w:footerReference w:type="first" r:id="rId16"/>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196F" w14:textId="77777777" w:rsidR="00551FBA" w:rsidRDefault="00551FBA">
      <w:r>
        <w:separator/>
      </w:r>
    </w:p>
  </w:endnote>
  <w:endnote w:type="continuationSeparator" w:id="0">
    <w:p w14:paraId="31B8CC0E" w14:textId="77777777" w:rsidR="00551FBA" w:rsidRDefault="00551FBA">
      <w:r>
        <w:continuationSeparator/>
      </w:r>
    </w:p>
  </w:endnote>
  <w:endnote w:type="continuationNotice" w:id="1">
    <w:p w14:paraId="553E4042" w14:textId="77777777" w:rsidR="00551FBA" w:rsidRDefault="00551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0D1FF05" w14:textId="77777777" w:rsidR="007F6759" w:rsidRPr="00934A2C" w:rsidRDefault="00792C6B">
        <w:pPr>
          <w:pStyle w:val="Footer"/>
          <w:jc w:val="center"/>
          <w:rPr>
            <w:sz w:val="16"/>
            <w:szCs w:val="22"/>
          </w:rPr>
        </w:pPr>
        <w:r w:rsidRPr="00934A2C">
          <w:rPr>
            <w:sz w:val="16"/>
            <w:szCs w:val="22"/>
          </w:rPr>
          <w:fldChar w:fldCharType="begin"/>
        </w:r>
        <w:r w:rsidR="007F6759" w:rsidRPr="00934A2C">
          <w:rPr>
            <w:sz w:val="16"/>
            <w:szCs w:val="22"/>
          </w:rPr>
          <w:instrText xml:space="preserve"> PAGE   \* MERGEFORMAT </w:instrText>
        </w:r>
        <w:r w:rsidRPr="00934A2C">
          <w:rPr>
            <w:sz w:val="16"/>
            <w:szCs w:val="22"/>
          </w:rPr>
          <w:fldChar w:fldCharType="separate"/>
        </w:r>
        <w:r w:rsidR="00E40BE6">
          <w:rPr>
            <w:noProof/>
            <w:sz w:val="16"/>
            <w:szCs w:val="22"/>
          </w:rPr>
          <w:t>5</w:t>
        </w:r>
        <w:r w:rsidRPr="00934A2C">
          <w:rPr>
            <w:noProof/>
            <w:sz w:val="16"/>
            <w:szCs w:val="22"/>
          </w:rPr>
          <w:fldChar w:fldCharType="end"/>
        </w:r>
      </w:p>
    </w:sdtContent>
  </w:sdt>
  <w:p w14:paraId="63310EF3" w14:textId="77777777" w:rsidR="007F6759" w:rsidRDefault="007F6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7980" w14:textId="77777777" w:rsidR="007F6759" w:rsidRPr="00934A2C" w:rsidRDefault="007F6759">
    <w:pPr>
      <w:pStyle w:val="Footer"/>
      <w:jc w:val="center"/>
      <w:rPr>
        <w:sz w:val="16"/>
        <w:szCs w:val="22"/>
      </w:rPr>
    </w:pPr>
  </w:p>
  <w:p w14:paraId="7C0CE6A2" w14:textId="77777777" w:rsidR="007F6759" w:rsidRDefault="007F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C37A" w14:textId="77777777" w:rsidR="00551FBA" w:rsidRDefault="00551FBA">
      <w:r>
        <w:separator/>
      </w:r>
    </w:p>
  </w:footnote>
  <w:footnote w:type="continuationSeparator" w:id="0">
    <w:p w14:paraId="43BF7E30" w14:textId="77777777" w:rsidR="00551FBA" w:rsidRDefault="00551FBA">
      <w:r>
        <w:continuationSeparator/>
      </w:r>
    </w:p>
  </w:footnote>
  <w:footnote w:type="continuationNotice" w:id="1">
    <w:p w14:paraId="01020435" w14:textId="77777777" w:rsidR="00551FBA" w:rsidRDefault="00551FBA"/>
  </w:footnote>
  <w:footnote w:id="2">
    <w:p w14:paraId="13C75908" w14:textId="77777777" w:rsidR="007F6759" w:rsidRPr="0002664E" w:rsidRDefault="007F6759" w:rsidP="003836A1">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The Commission decided</w:t>
      </w:r>
      <w:r>
        <w:rPr>
          <w:rFonts w:ascii="Cambria" w:hAnsi="Cambria"/>
          <w:sz w:val="16"/>
          <w:szCs w:val="16"/>
        </w:rPr>
        <w:t xml:space="preserve"> that</w:t>
      </w:r>
      <w:r w:rsidRPr="0002664E">
        <w:rPr>
          <w:rFonts w:ascii="Cambria" w:hAnsi="Cambria"/>
          <w:sz w:val="16"/>
          <w:szCs w:val="16"/>
        </w:rPr>
        <w:t>, given the nature of the case and as provided in Article 28.2 of the IACHR Rules of Procedure, the identity of the alleged victims, their family members, and third parties involved</w:t>
      </w:r>
      <w:r>
        <w:rPr>
          <w:rFonts w:ascii="Cambria" w:hAnsi="Cambria"/>
          <w:sz w:val="16"/>
          <w:szCs w:val="16"/>
        </w:rPr>
        <w:t xml:space="preserve"> would</w:t>
      </w:r>
      <w:r w:rsidRPr="0002664E">
        <w:rPr>
          <w:rFonts w:ascii="Cambria" w:hAnsi="Cambria"/>
          <w:sz w:val="16"/>
          <w:szCs w:val="16"/>
        </w:rPr>
        <w:t xml:space="preserve"> b</w:t>
      </w:r>
      <w:r>
        <w:rPr>
          <w:rFonts w:ascii="Cambria" w:hAnsi="Cambria"/>
          <w:sz w:val="16"/>
          <w:szCs w:val="16"/>
        </w:rPr>
        <w:t>e</w:t>
      </w:r>
      <w:r w:rsidRPr="0002664E">
        <w:rPr>
          <w:rFonts w:ascii="Cambria" w:hAnsi="Cambria"/>
          <w:sz w:val="16"/>
          <w:szCs w:val="16"/>
        </w:rPr>
        <w:t xml:space="preserve"> kept confidential throughout this report. The aim of this course of action is to guarantee the privacy of the petitioners and prevent the publicity of the IACHR’s decision from </w:t>
      </w:r>
      <w:r>
        <w:rPr>
          <w:rFonts w:ascii="Cambria" w:hAnsi="Cambria"/>
          <w:sz w:val="16"/>
          <w:szCs w:val="16"/>
        </w:rPr>
        <w:t>leading to</w:t>
      </w:r>
      <w:r w:rsidRPr="0002664E">
        <w:rPr>
          <w:rFonts w:ascii="Cambria" w:hAnsi="Cambria"/>
          <w:sz w:val="16"/>
          <w:szCs w:val="16"/>
        </w:rPr>
        <w:t xml:space="preserve"> the revictimization of the children and adolescents who are the subjects of the instant case. The persons in question are fully identified in the documents forwarded to the Argentine State. </w:t>
      </w:r>
    </w:p>
  </w:footnote>
  <w:footnote w:id="3">
    <w:p w14:paraId="61AF5575" w14:textId="77777777" w:rsidR="007F6759" w:rsidRPr="0002664E" w:rsidRDefault="007F6759" w:rsidP="00961841">
      <w:pPr>
        <w:jc w:val="both"/>
        <w:rPr>
          <w:rFonts w:ascii="Cambria" w:eastAsia="Arial Unicode MS" w:hAnsi="Cambria"/>
          <w:sz w:val="16"/>
          <w:szCs w:val="16"/>
          <w:bdr w:val="nil"/>
        </w:rPr>
      </w:pPr>
      <w:r w:rsidRPr="0002664E">
        <w:rPr>
          <w:rStyle w:val="FootnoteReference"/>
          <w:rFonts w:ascii="Cambria" w:eastAsia="Arial Unicode MS" w:hAnsi="Cambria"/>
          <w:sz w:val="16"/>
          <w:szCs w:val="16"/>
          <w:bdr w:val="nil"/>
        </w:rPr>
        <w:footnoteRef/>
      </w:r>
      <w:r w:rsidRPr="0002664E">
        <w:rPr>
          <w:rStyle w:val="FootnoteReference"/>
          <w:rFonts w:ascii="Cambria" w:eastAsia="Arial Unicode MS" w:hAnsi="Cambria"/>
          <w:sz w:val="16"/>
          <w:szCs w:val="16"/>
          <w:bdr w:val="nil"/>
        </w:rPr>
        <w:t xml:space="preserve"> </w:t>
      </w:r>
      <w:r w:rsidRPr="0002664E">
        <w:rPr>
          <w:rFonts w:ascii="Cambria" w:hAnsi="Cambria"/>
          <w:sz w:val="16"/>
          <w:szCs w:val="16"/>
        </w:rPr>
        <w:t>IACHR</w:t>
      </w:r>
      <w:r w:rsidRPr="0002664E">
        <w:rPr>
          <w:rFonts w:ascii="Cambria" w:eastAsia="Arial Unicode MS" w:hAnsi="Cambria"/>
          <w:sz w:val="16"/>
          <w:szCs w:val="16"/>
          <w:bdr w:val="nil"/>
        </w:rPr>
        <w:t xml:space="preserve">, Report No. 171/10, Petition 578-03. Admissibility. </w:t>
      </w:r>
      <w:r w:rsidRPr="00D568AC">
        <w:rPr>
          <w:rFonts w:ascii="Cambria" w:eastAsia="Arial Unicode MS" w:hAnsi="Cambria"/>
          <w:sz w:val="16"/>
          <w:szCs w:val="16"/>
          <w:bdr w:val="nil"/>
          <w:lang w:val="fr-CH"/>
        </w:rPr>
        <w:t xml:space="preserve">Miguel Ángel Millar Silva et al. Chile. November 2, 2010, par. 28. IACHR, Report No. 69/05, Petition 960/03, Admissibility, Iván Eladio Torres, Argentina, October 13, 2005, par. 42; IA Court HR, Ximenes López v. Brazil. </w:t>
      </w:r>
      <w:r w:rsidRPr="0002664E">
        <w:rPr>
          <w:rFonts w:ascii="Cambria" w:eastAsia="Arial Unicode MS" w:hAnsi="Cambria"/>
          <w:sz w:val="16"/>
          <w:szCs w:val="16"/>
          <w:bdr w:val="nil"/>
        </w:rPr>
        <w:t>Preliminary Objections. Judgment of November 30, 2005.  Series C No. 139, par. 5</w:t>
      </w:r>
    </w:p>
  </w:footnote>
  <w:footnote w:id="4">
    <w:p w14:paraId="1E6E4345" w14:textId="77777777" w:rsidR="007F6759" w:rsidRPr="0002664E" w:rsidRDefault="007F6759" w:rsidP="00961841">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Resolution of October 1, 2015, signed by Sabina M. Sansarricq, Judge of Collegiate Family Court No. 5. ANNEX to the State’s communication of June 9, 2016, in the framework of precautionary measure file MC 540-15.</w:t>
      </w:r>
    </w:p>
  </w:footnote>
  <w:footnote w:id="5">
    <w:p w14:paraId="071778C6" w14:textId="77777777" w:rsidR="007F6759" w:rsidRPr="0002664E" w:rsidRDefault="007F6759" w:rsidP="00961841">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786FE1">
        <w:rPr>
          <w:rFonts w:ascii="Cambria" w:hAnsi="Cambria"/>
          <w:sz w:val="16"/>
          <w:szCs w:val="16"/>
        </w:rPr>
        <w:t>Motion</w:t>
      </w:r>
      <w:r w:rsidRPr="0002664E">
        <w:rPr>
          <w:rFonts w:ascii="Cambria" w:hAnsi="Cambria"/>
          <w:sz w:val="16"/>
          <w:szCs w:val="16"/>
        </w:rPr>
        <w:t xml:space="preserve"> signed by Dr. Verónica Jotinsky and by “María” titled “Revocation request. </w:t>
      </w:r>
      <w:r>
        <w:rPr>
          <w:rFonts w:ascii="Cambria" w:hAnsi="Cambria"/>
          <w:sz w:val="16"/>
          <w:szCs w:val="16"/>
        </w:rPr>
        <w:t>Alternative motion.  Re</w:t>
      </w:r>
      <w:r w:rsidRPr="0002664E">
        <w:rPr>
          <w:rFonts w:ascii="Cambria" w:hAnsi="Cambria"/>
          <w:sz w:val="16"/>
          <w:szCs w:val="16"/>
        </w:rPr>
        <w:t>vocation request to the plenary of the court” received by the Collegiate Family Court No. 5 on December 11, 2015. ANNEX to the State’s communication of June 9, 2016, in the framework of precautionary measure file MC 540-15.</w:t>
      </w:r>
    </w:p>
  </w:footnote>
  <w:footnote w:id="6">
    <w:p w14:paraId="2A80FB14" w14:textId="77777777" w:rsidR="007F6759" w:rsidRPr="0002664E" w:rsidRDefault="007F6759" w:rsidP="00961841">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Resolution of October 24, 2016, signed by Sabina Sansarricq, Judge of Collegiate Family Court No. 5. ANNEX to the petitioners’ communication of July 7, 2016, in the framework of precautionary measure file MC 540-15.</w:t>
      </w:r>
    </w:p>
  </w:footnote>
  <w:footnote w:id="7">
    <w:p w14:paraId="312CFC1E" w14:textId="77777777" w:rsidR="007F6759" w:rsidRPr="0002664E" w:rsidRDefault="007F6759" w:rsidP="00961841">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Pr>
          <w:rFonts w:ascii="Cambria" w:hAnsi="Cambria"/>
          <w:sz w:val="16"/>
          <w:szCs w:val="16"/>
        </w:rPr>
        <w:t>Motion</w:t>
      </w:r>
      <w:r w:rsidRPr="0002664E">
        <w:rPr>
          <w:rFonts w:ascii="Cambria" w:hAnsi="Cambria"/>
          <w:sz w:val="16"/>
          <w:szCs w:val="16"/>
        </w:rPr>
        <w:t xml:space="preserve"> signed by “María” with legal assistance from Drs. Marta N. Haubenreich, María Claudia Torrens, and Araceli M. Díaz titled “Request to the plenary of the Court for revocation of Resolution No. 2968, of 24/10/16 and of Resolution No. 2609, of 01/10/15. ANNEX to the petitioners’ communication of July 7, 2016, in the framework of precautionary measure file MC 540-15.</w:t>
      </w:r>
    </w:p>
  </w:footnote>
  <w:footnote w:id="8">
    <w:p w14:paraId="25D0DA2D" w14:textId="77777777" w:rsidR="007F6759" w:rsidRPr="0002664E" w:rsidRDefault="007F6759" w:rsidP="00961841">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Resolution of April 23, 2020, issued by the Collegiate Family Court of Sole Instance. ANNEX to the Argentine State’s communication of August 19, 2020.</w:t>
      </w:r>
    </w:p>
  </w:footnote>
  <w:footnote w:id="9">
    <w:p w14:paraId="584EAA91" w14:textId="77777777" w:rsidR="007F6759" w:rsidRPr="00A03E66" w:rsidRDefault="007F6759" w:rsidP="00A27C7A">
      <w:pPr>
        <w:pStyle w:val="FootnoteText"/>
        <w:jc w:val="both"/>
        <w:rPr>
          <w:rFonts w:ascii="Cambria" w:hAnsi="Cambria"/>
          <w:sz w:val="16"/>
          <w:szCs w:val="16"/>
          <w:lang w:val="es-US"/>
        </w:rPr>
      </w:pPr>
      <w:r w:rsidRPr="0002664E">
        <w:rPr>
          <w:rStyle w:val="FootnoteReference"/>
          <w:rFonts w:ascii="Cambria" w:hAnsi="Cambria"/>
          <w:sz w:val="16"/>
          <w:szCs w:val="16"/>
        </w:rPr>
        <w:footnoteRef/>
      </w:r>
      <w:r w:rsidRPr="0002664E">
        <w:rPr>
          <w:rFonts w:ascii="Cambria" w:hAnsi="Cambria"/>
          <w:sz w:val="16"/>
          <w:szCs w:val="16"/>
        </w:rPr>
        <w:t xml:space="preserve"> IACHR, Report No. 86/06, Petition 499-04. </w:t>
      </w:r>
      <w:r w:rsidRPr="00D568AC">
        <w:rPr>
          <w:rFonts w:ascii="Cambria" w:hAnsi="Cambria"/>
          <w:sz w:val="16"/>
          <w:szCs w:val="16"/>
          <w:lang w:val="fr-CH"/>
        </w:rPr>
        <w:t xml:space="preserve">Admissibility. Marino López et al. </w:t>
      </w:r>
      <w:r w:rsidRPr="0002664E">
        <w:rPr>
          <w:rFonts w:ascii="Cambria" w:hAnsi="Cambria"/>
          <w:sz w:val="16"/>
          <w:szCs w:val="16"/>
        </w:rPr>
        <w:t xml:space="preserve">(Operation Genesis). </w:t>
      </w:r>
      <w:r w:rsidRPr="00A03E66">
        <w:rPr>
          <w:rFonts w:ascii="Cambria" w:hAnsi="Cambria"/>
          <w:sz w:val="16"/>
          <w:szCs w:val="16"/>
          <w:lang w:val="es-US"/>
        </w:rPr>
        <w:t>Colombia. October 2, 2006, par. 57.</w:t>
      </w:r>
    </w:p>
  </w:footnote>
  <w:footnote w:id="10">
    <w:p w14:paraId="5CF25BAF" w14:textId="77777777" w:rsidR="007F6759" w:rsidRPr="0002664E" w:rsidRDefault="007F6759" w:rsidP="00A27C7A">
      <w:pPr>
        <w:pStyle w:val="FootnoteText"/>
        <w:jc w:val="both"/>
        <w:rPr>
          <w:rFonts w:ascii="Cambria" w:hAnsi="Cambria"/>
          <w:sz w:val="16"/>
          <w:szCs w:val="16"/>
        </w:rPr>
      </w:pPr>
      <w:r w:rsidRPr="0002664E">
        <w:rPr>
          <w:rStyle w:val="FootnoteReference"/>
          <w:rFonts w:ascii="Cambria" w:hAnsi="Cambria"/>
          <w:sz w:val="16"/>
          <w:szCs w:val="16"/>
        </w:rPr>
        <w:footnoteRef/>
      </w:r>
      <w:r w:rsidRPr="00A03E66">
        <w:rPr>
          <w:rFonts w:ascii="Cambria" w:hAnsi="Cambria"/>
          <w:sz w:val="16"/>
          <w:szCs w:val="16"/>
          <w:lang w:val="es-US"/>
        </w:rPr>
        <w:t xml:space="preserve"> </w:t>
      </w:r>
      <w:r w:rsidRPr="00A03E66">
        <w:rPr>
          <w:rFonts w:ascii="Cambria" w:eastAsiaTheme="minorHAnsi" w:hAnsi="Cambria" w:cs="TimesNewRomanPSMT"/>
          <w:sz w:val="16"/>
          <w:szCs w:val="16"/>
          <w:lang w:val="es-US"/>
        </w:rPr>
        <w:t xml:space="preserve">IACHR. Report No. 8/98. Case 11.671. </w:t>
      </w:r>
      <w:r w:rsidRPr="00A03E66">
        <w:rPr>
          <w:rFonts w:ascii="Cambria" w:eastAsiaTheme="minorHAnsi" w:hAnsi="Cambria" w:cs="TimesNewRomanPS-ItalicMT"/>
          <w:sz w:val="16"/>
          <w:szCs w:val="16"/>
          <w:lang w:val="es-US"/>
        </w:rPr>
        <w:t>Carlos García Saccone</w:t>
      </w:r>
      <w:r w:rsidRPr="00A03E66">
        <w:rPr>
          <w:rFonts w:ascii="Cambria" w:eastAsiaTheme="minorHAnsi" w:hAnsi="Cambria" w:cs="TimesNewRomanPSMT"/>
          <w:sz w:val="16"/>
          <w:szCs w:val="16"/>
          <w:lang w:val="es-US"/>
        </w:rPr>
        <w:t xml:space="preserve">. </w:t>
      </w:r>
      <w:r w:rsidRPr="0002664E">
        <w:rPr>
          <w:rFonts w:ascii="Cambria" w:eastAsiaTheme="minorHAnsi" w:hAnsi="Cambria" w:cs="TimesNewRomanPSMT"/>
          <w:sz w:val="16"/>
          <w:szCs w:val="16"/>
        </w:rPr>
        <w:t xml:space="preserve">Argentina. March 2, 1998, par. 53. See also </w:t>
      </w:r>
      <w:r w:rsidRPr="0002664E">
        <w:rPr>
          <w:rFonts w:ascii="Cambria" w:hAnsi="Cambria"/>
          <w:sz w:val="16"/>
          <w:szCs w:val="16"/>
        </w:rPr>
        <w:t>IA Court HR. Case of González Medina and Family v. Dominican Republic. Preliminary objections, merits, reparations and costs. Judgment of February 27, 2012. Series C No. 240.</w:t>
      </w:r>
    </w:p>
  </w:footnote>
  <w:footnote w:id="11">
    <w:p w14:paraId="58B42EB3" w14:textId="77777777" w:rsidR="007F6759" w:rsidRPr="0002664E" w:rsidRDefault="007F6759" w:rsidP="009B30D5">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TimesNewRomanPSMT"/>
          <w:sz w:val="16"/>
          <w:szCs w:val="16"/>
        </w:rPr>
        <w:t xml:space="preserve">IACHR. Report No. 39/96. Case 11.673. </w:t>
      </w:r>
      <w:r w:rsidRPr="0002664E">
        <w:rPr>
          <w:rFonts w:ascii="Cambria" w:eastAsiaTheme="minorHAnsi" w:hAnsi="Cambria" w:cs="TimesNewRomanPS-ItalicMT"/>
          <w:sz w:val="16"/>
          <w:szCs w:val="16"/>
        </w:rPr>
        <w:t>Santiago Marzioni</w:t>
      </w:r>
      <w:r w:rsidRPr="0002664E">
        <w:rPr>
          <w:rFonts w:ascii="Cambria" w:eastAsiaTheme="minorHAnsi" w:hAnsi="Cambria" w:cs="TimesNewRomanPSMT"/>
          <w:sz w:val="16"/>
          <w:szCs w:val="16"/>
        </w:rPr>
        <w:t>. Argentina. October 15, 1996, par. 51.</w:t>
      </w:r>
    </w:p>
  </w:footnote>
  <w:footnote w:id="12">
    <w:p w14:paraId="137078F9" w14:textId="77777777" w:rsidR="007F6759" w:rsidRPr="0002664E" w:rsidRDefault="007F6759" w:rsidP="005401DA">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IACHR. Report No. 83/10. Case 12.584. Merits.  Milagros Fornerón and Leonardo Aníbal Javier Fornerón. Argentina. July 13, 2010, par. 65.</w:t>
      </w:r>
      <w:r w:rsidRPr="0002664E">
        <w:rPr>
          <w:rFonts w:ascii="Cambria" w:hAnsi="Cambria"/>
        </w:rPr>
        <w:t xml:space="preserve">  </w:t>
      </w:r>
    </w:p>
  </w:footnote>
  <w:footnote w:id="13">
    <w:p w14:paraId="5CDDAA2B" w14:textId="77777777" w:rsidR="007F6759" w:rsidRPr="0002664E" w:rsidRDefault="007F6759" w:rsidP="00CC0ECB">
      <w:pPr>
        <w:jc w:val="both"/>
        <w:rPr>
          <w:rFonts w:ascii="Cambria" w:hAnsi="Cambria"/>
          <w:sz w:val="16"/>
          <w:szCs w:val="16"/>
        </w:rPr>
      </w:pPr>
      <w:r w:rsidRPr="0002664E">
        <w:rPr>
          <w:rStyle w:val="FootnoteReference"/>
          <w:rFonts w:ascii="Cambria" w:hAnsi="Cambria"/>
          <w:sz w:val="16"/>
          <w:szCs w:val="16"/>
        </w:rPr>
        <w:footnoteRef/>
      </w:r>
      <w:r w:rsidRPr="0002664E">
        <w:rPr>
          <w:rFonts w:ascii="Cambria" w:eastAsia="Arial Unicode MS" w:hAnsi="Cambria"/>
          <w:sz w:val="16"/>
          <w:szCs w:val="16"/>
          <w:bdr w:val="nil"/>
        </w:rPr>
        <w:t xml:space="preserve"> </w:t>
      </w:r>
      <w:r w:rsidRPr="0002664E">
        <w:rPr>
          <w:rFonts w:ascii="Cambria" w:eastAsia="Arial Unicode MS" w:hAnsi="Cambria"/>
          <w:b/>
          <w:bCs/>
          <w:sz w:val="16"/>
          <w:szCs w:val="16"/>
          <w:highlight w:val="yellow"/>
          <w:bdr w:val="nil"/>
        </w:rPr>
        <w:t>ANNEX XX.</w:t>
      </w:r>
      <w:r w:rsidRPr="0002664E">
        <w:rPr>
          <w:rFonts w:ascii="Cambria" w:eastAsia="Arial Unicode MS" w:hAnsi="Cambria"/>
          <w:sz w:val="16"/>
          <w:szCs w:val="16"/>
          <w:bdr w:val="nil"/>
        </w:rPr>
        <w:t xml:space="preserve"> Report signed by the Head of the Mental Health Service of Martin Maternity Clinic and a social worker, dated July 2, 2014. ANNEX to the State’s communication of February 22, 2016, in the framework of precautionary measure file MC 540-15. </w:t>
      </w:r>
    </w:p>
  </w:footnote>
  <w:footnote w:id="14">
    <w:p w14:paraId="3ED618ED" w14:textId="77777777" w:rsidR="007F6759" w:rsidRPr="0002664E" w:rsidRDefault="007F6759" w:rsidP="00CC0ECB">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Report signed by the Head of the Mental Health Service of Martin Maternity Clinic and a social worker, dated July 2, 2014. ANNEX to the State’s communication of February 22, 2016, in the framework of precautionary measure file MC 540-15.</w:t>
      </w:r>
    </w:p>
  </w:footnote>
  <w:footnote w:id="15">
    <w:p w14:paraId="368705C1" w14:textId="77777777" w:rsidR="007F6759" w:rsidRPr="0002664E" w:rsidRDefault="007F6759" w:rsidP="00CC0ECB">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Report signed by the Head of the Mental Health Service of Martin Maternity Clinic and social worker, dated July 2, 2014. ANNEX to the State’s communication of February 22, 2016, in the framework of precautionary measure file MC 540-15.</w:t>
      </w:r>
    </w:p>
  </w:footnote>
  <w:footnote w:id="16">
    <w:p w14:paraId="74F485CA" w14:textId="77777777" w:rsidR="007F6759" w:rsidRPr="0002664E" w:rsidRDefault="007F6759" w:rsidP="008C759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Document signed by “María” and her mother, dated July 23, 2014, addressed to the Director of the Provincial Department for the Promotion of the Rights of Children, Adolescents, and the Family, with a copy to the Office of the Provincial Defender of Children and Adolescents, Rosario branch, and to the Provincial Single Registry of Applicants for Guardianship with the Aim of Adoption (RUAGA) of Rosario. ANNEX to the State’s communication of February 22, 2016, in the framework of precautionary measure file MC 540-15.</w:t>
      </w:r>
    </w:p>
  </w:footnote>
  <w:footnote w:id="17">
    <w:p w14:paraId="63BD9DED" w14:textId="77777777" w:rsidR="007F6759" w:rsidRPr="0002664E" w:rsidRDefault="007F6759" w:rsidP="008C759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Document titled “Notify.  Urgent request,” signed by Analia Colombo, Provincial Defender of Children and Adolescents of Santa Fe, addressed to the duty Judge of Collegiate Family Court No. 7, Dr. Gabriela Topino. ANNEX to the State’s communication of June 9, 2016, in the framework of precautionary measure file MC 540-15. </w:t>
      </w:r>
    </w:p>
  </w:footnote>
  <w:footnote w:id="18">
    <w:p w14:paraId="7C607D90" w14:textId="77777777" w:rsidR="007F6759" w:rsidRPr="0002664E" w:rsidRDefault="007F6759" w:rsidP="008C759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Resolution issued by the duty Judge of Collegiate Family Court No. 7, Dr. Gabriela Topino on August 1, 2014. ANNEX to the State’s communication of June 9, 2016, in the framework of precautionary measure file MC 540-15.</w:t>
      </w:r>
    </w:p>
  </w:footnote>
  <w:footnote w:id="19">
    <w:p w14:paraId="1CBDEFCE" w14:textId="77777777" w:rsidR="007F6759" w:rsidRPr="0002664E" w:rsidRDefault="007F6759" w:rsidP="00667580">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Report of August 8, 2014, signed by Ms. Fernanda Facchiano, Social Worker of Office of the Provincial Defender of Children and Adolescents of Santa Fe. ANNEX to the petitioners’ communication of October 21, 2019, in the framework of precautionary measure file MC 540-15.</w:t>
      </w:r>
    </w:p>
  </w:footnote>
  <w:footnote w:id="20">
    <w:p w14:paraId="3DA57A4B" w14:textId="77777777" w:rsidR="007F6759" w:rsidRPr="0002664E" w:rsidRDefault="007F6759" w:rsidP="00667580">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Minutes of the interview, signed by the judge of Collegiate Family Court No. 5, Sabina M. Sansarricq, dated August 19, 2014.  ANNEX to the State’s communication of June 9, 2016, in the framework of precautionary measure file MC 540-15.</w:t>
      </w:r>
    </w:p>
  </w:footnote>
  <w:footnote w:id="21">
    <w:p w14:paraId="10515B87" w14:textId="77777777" w:rsidR="007F6759" w:rsidRPr="0002664E" w:rsidRDefault="007F6759" w:rsidP="00667580">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Minutes of the interview between “María” and Mr. and Mrs. “López,” which took place on August 20, 2014, at the premises of the Office of the Provincial Defender of Children and Adolescents of Santa Fe.  ANNEX to the State’s communication of June 9, 2016, in the framework of precautionary measure file MC 540-15.</w:t>
      </w:r>
    </w:p>
  </w:footnote>
  <w:footnote w:id="22">
    <w:p w14:paraId="1C30FA13" w14:textId="77777777" w:rsidR="007F6759" w:rsidRPr="0002664E" w:rsidRDefault="007F6759" w:rsidP="00776556">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Document titled “Appears. Establishes identity. Notify,” signed by the attorney of Mr. and Mrs. “López,” received by Collegiate Family Court No. 5, on August 22, 2014. ANNEX to the State’s communication of June 9, 2016, in the framework of precautionary measure file MC 540-15.</w:t>
      </w:r>
    </w:p>
  </w:footnote>
  <w:footnote w:id="23">
    <w:p w14:paraId="1DF66EF1" w14:textId="77777777" w:rsidR="007F6759" w:rsidRPr="0002664E" w:rsidRDefault="007F6759" w:rsidP="00AA7246">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Resolution of August 22, 2014, signed by Sabina M. Sansarricq, judge of Collegiate Family Court No. 5, and by Ma. Adelaida Etchevers, secretary. ANNEX to the State’s communication of June 9, 2016, in the framework of precautionary measure file MC 540-15.</w:t>
      </w:r>
    </w:p>
  </w:footnote>
  <w:footnote w:id="24">
    <w:p w14:paraId="120AC455" w14:textId="77777777" w:rsidR="007F6759" w:rsidRPr="0002664E" w:rsidRDefault="007F6759" w:rsidP="00737E76">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Document titled “</w:t>
      </w:r>
      <w:r>
        <w:rPr>
          <w:rFonts w:ascii="Cambria" w:hAnsi="Cambria"/>
          <w:sz w:val="16"/>
          <w:szCs w:val="16"/>
        </w:rPr>
        <w:t>R</w:t>
      </w:r>
      <w:r w:rsidRPr="0002664E">
        <w:rPr>
          <w:rFonts w:ascii="Cambria" w:hAnsi="Cambria"/>
          <w:sz w:val="16"/>
          <w:szCs w:val="16"/>
        </w:rPr>
        <w:t>equests preadoption guardianship,” signed by the attorney for Mr. and Mrs. “López,” received by Collegiate Family Court No. 5, on August 27, 2014. ANNEX to the State’s communication of June 9, 2016, in the framework of precautionary measure file MC 540-15.</w:t>
      </w:r>
    </w:p>
  </w:footnote>
  <w:footnote w:id="25">
    <w:p w14:paraId="421AADDF" w14:textId="77777777" w:rsidR="007F6759" w:rsidRPr="0002664E" w:rsidRDefault="007F6759" w:rsidP="00737E76">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Resolution of August 27, 2014 signed by Sabina M. Sansarricq, judge of Collegiate Family Court No. 5, and by Ma. Adelaida Etchevers, secretary. ANNEX to the State’s communication of June 9, 2016, in the framework of precautionary measure file MC 540-15</w:t>
      </w:r>
    </w:p>
  </w:footnote>
  <w:footnote w:id="26">
    <w:p w14:paraId="148D184F" w14:textId="77777777" w:rsidR="007F6759" w:rsidRPr="0002664E" w:rsidRDefault="007F6759" w:rsidP="00737E76">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Report signed by Ms. Gabriela Pastorutti, Social Worker of Collegiate Family Court No. 5, dated October 2, 2014. ANNEX to the State’s communication of June 9, 2016, in the framework of precautionary measure file MC 540-15.</w:t>
      </w:r>
    </w:p>
  </w:footnote>
  <w:footnote w:id="27">
    <w:p w14:paraId="03EA4F71" w14:textId="77777777" w:rsidR="007F6759" w:rsidRPr="0002664E" w:rsidRDefault="007F6759" w:rsidP="00737E76">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Psychiatric Examination Report, signed by Dr. Carlos Alberto Elías, dated December 15, 2014. ANNEX to the State’s communication of June 9, 2016, in the framework of precautionary measure file MC 540-15. </w:t>
      </w:r>
    </w:p>
  </w:footnote>
  <w:footnote w:id="28">
    <w:p w14:paraId="4EF65321" w14:textId="77777777" w:rsidR="007F6759" w:rsidRPr="0002664E" w:rsidRDefault="007F6759" w:rsidP="00737E76">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Minutes of the hearing of March 2, 2015, signed by, among others, Sabina M. Sansarricq, judge of Collegiate Family Court No. 5. ANNEX to the State’s communication of June 9, 2016, in the framework of precautionary measure file MC 540-15. </w:t>
      </w:r>
    </w:p>
  </w:footnote>
  <w:footnote w:id="29">
    <w:p w14:paraId="5ADFF1DA" w14:textId="77777777" w:rsidR="007F6759" w:rsidRPr="0002664E" w:rsidRDefault="007F6759" w:rsidP="00737E76">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Document titled “Declares.  Requests.  Attaches,” signed by “María” and her attorney Dr. Verónica Jotinsky, received by Collegiate Family Court No. 5 on April 26, 2016. ANNEX to the State’s communication of June 9, 2016, in the framework of precautionary measure file MC 540-15. </w:t>
      </w:r>
    </w:p>
  </w:footnote>
  <w:footnote w:id="30">
    <w:p w14:paraId="5C4E225E" w14:textId="77777777" w:rsidR="007F6759" w:rsidRPr="0002664E" w:rsidRDefault="007F6759" w:rsidP="00737E76">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Minutes of the hearing of March 16, 2015, signed by, among others, Sabina M. Sansarricq, judge of Collegiate Family Court No. 5. ANNEX to the State’s communication of June 9, 2016, in the framework of precautionary measure file MC 540-15.</w:t>
      </w:r>
    </w:p>
  </w:footnote>
  <w:footnote w:id="31">
    <w:p w14:paraId="3C8958C0" w14:textId="77777777" w:rsidR="007F6759" w:rsidRPr="0002664E" w:rsidRDefault="007F6759" w:rsidP="00A12E0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Psychological report, signed by Ms. Gloria Liñan, dated March 10, 2015. ANNEX to the State’s communication of June 9, 2016, in the framework of precautionary measure file MC 540-15.</w:t>
      </w:r>
    </w:p>
  </w:footnote>
  <w:footnote w:id="32">
    <w:p w14:paraId="7C1E871A" w14:textId="77777777" w:rsidR="007F6759" w:rsidRPr="0002664E" w:rsidRDefault="007F6759" w:rsidP="00A12E0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 xml:space="preserve">Document signed by Civil Defender No. 1, Alejandra Verdondoni, received by Collegiate Family Court No. 5 on March 19, 2015. </w:t>
      </w:r>
    </w:p>
  </w:footnote>
  <w:footnote w:id="33">
    <w:p w14:paraId="3A31E9FB" w14:textId="77777777" w:rsidR="007F6759" w:rsidRPr="0002664E" w:rsidRDefault="007F6759" w:rsidP="00A12E0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Decree of March 20, 2015, signed by Sabina M. Sansarricq, judge of Collegiate Family Court No. 5. ANNEX to the State’s communication of June 9, 2016, in the framework of precautionary measure file MC 540-15.</w:t>
      </w:r>
    </w:p>
  </w:footnote>
  <w:footnote w:id="34">
    <w:p w14:paraId="27EA0DA3" w14:textId="77777777" w:rsidR="007F6759" w:rsidRPr="0002664E" w:rsidRDefault="007F6759" w:rsidP="00A12E0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Document signed by Civil Defender No. 5, María Silvia Beduino, received by Collegiate Family Court No. 5 on April</w:t>
      </w:r>
      <w:r>
        <w:rPr>
          <w:rFonts w:ascii="Cambria" w:hAnsi="Cambria"/>
          <w:sz w:val="16"/>
          <w:szCs w:val="16"/>
        </w:rPr>
        <w:t xml:space="preserve"> 1</w:t>
      </w:r>
      <w:r w:rsidRPr="0002664E">
        <w:rPr>
          <w:rFonts w:ascii="Cambria" w:hAnsi="Cambria"/>
          <w:sz w:val="16"/>
          <w:szCs w:val="16"/>
        </w:rPr>
        <w:t>, 2015.</w:t>
      </w:r>
    </w:p>
  </w:footnote>
  <w:footnote w:id="35">
    <w:p w14:paraId="5919FCAE" w14:textId="77777777" w:rsidR="007F6759" w:rsidRPr="0002664E" w:rsidRDefault="007F6759" w:rsidP="0053090E">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Decree of April 1, 2015, signed by Sabina M. Sansarricq, judge of Collegiate Family Court No. 5. ANNEX to the State’s communication of June 9, 2016, in the framework of precautionary measure file MC 540-15.</w:t>
      </w:r>
    </w:p>
  </w:footnote>
  <w:footnote w:id="36">
    <w:p w14:paraId="54FF9094" w14:textId="77777777" w:rsidR="007F6759" w:rsidRPr="0002664E" w:rsidRDefault="007F6759" w:rsidP="0053090E">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 xml:space="preserve">Document titled “Declares.  Rescinds.  Requests designation of attorney,” signed by Dr. Carmen María </w:t>
      </w:r>
      <w:r>
        <w:rPr>
          <w:rFonts w:ascii="Cambria" w:hAnsi="Cambria"/>
          <w:sz w:val="16"/>
          <w:szCs w:val="16"/>
        </w:rPr>
        <w:t>Maidágan</w:t>
      </w:r>
      <w:r w:rsidRPr="0002664E">
        <w:rPr>
          <w:rFonts w:ascii="Cambria" w:hAnsi="Cambria"/>
          <w:sz w:val="16"/>
          <w:szCs w:val="16"/>
        </w:rPr>
        <w:t xml:space="preserve"> and “María’s” mother, received by Collegiate Family Court No. 5 on April 6, 2015. ANNEX to the State’s communication of June 9, 2016, in the framework of precautionary measure file MC 540-15.</w:t>
      </w:r>
    </w:p>
  </w:footnote>
  <w:footnote w:id="37">
    <w:p w14:paraId="6B5A50C9" w14:textId="77777777" w:rsidR="007F6759" w:rsidRPr="0002664E" w:rsidRDefault="007F6759" w:rsidP="0053090E">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 xml:space="preserve">Document titled “Declares.  Rescinds.  Requests designation of attorney,” signed by Dr. Carmen María </w:t>
      </w:r>
      <w:r>
        <w:rPr>
          <w:rFonts w:ascii="Cambria" w:hAnsi="Cambria"/>
          <w:sz w:val="16"/>
          <w:szCs w:val="16"/>
        </w:rPr>
        <w:t>Maidágan</w:t>
      </w:r>
      <w:r w:rsidRPr="0002664E">
        <w:rPr>
          <w:rFonts w:ascii="Cambria" w:hAnsi="Cambria"/>
          <w:sz w:val="16"/>
          <w:szCs w:val="16"/>
        </w:rPr>
        <w:t xml:space="preserve"> and “María’s” mother, received by Collegiate Family Court No. 5 on April 6, 2015. ANNEX to the State’s communication of June 9, 2016, in the framework of precautionary measure file MC 540-15.</w:t>
      </w:r>
    </w:p>
  </w:footnote>
  <w:footnote w:id="38">
    <w:p w14:paraId="02DA12C1" w14:textId="77777777" w:rsidR="007F6759" w:rsidRPr="0002664E" w:rsidRDefault="007F6759" w:rsidP="0053090E">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b/>
          <w:bCs/>
          <w:sz w:val="16"/>
          <w:szCs w:val="16"/>
        </w:rPr>
        <w:t xml:space="preserve"> </w:t>
      </w:r>
      <w:r w:rsidRPr="0002664E">
        <w:rPr>
          <w:rFonts w:ascii="Cambria" w:hAnsi="Cambria"/>
          <w:sz w:val="16"/>
          <w:szCs w:val="16"/>
        </w:rPr>
        <w:t xml:space="preserve">Document titled “Declares.  Rescinds.  Requests designation of attorney,” signed by Dr. Carmen María </w:t>
      </w:r>
      <w:r>
        <w:rPr>
          <w:rFonts w:ascii="Cambria" w:hAnsi="Cambria"/>
          <w:sz w:val="16"/>
          <w:szCs w:val="16"/>
        </w:rPr>
        <w:t>Maidágan</w:t>
      </w:r>
      <w:r w:rsidRPr="0002664E">
        <w:rPr>
          <w:rFonts w:ascii="Cambria" w:hAnsi="Cambria"/>
          <w:sz w:val="16"/>
          <w:szCs w:val="16"/>
        </w:rPr>
        <w:t xml:space="preserve"> and “María’s” mother, received by Collegiate Family Court No. 5 on April 6, 2015. ANNEX to the State’s communication of June 9, 2016, in the framework of precautionary measure file MC 540-15.</w:t>
      </w:r>
    </w:p>
  </w:footnote>
  <w:footnote w:id="39">
    <w:p w14:paraId="030E209A" w14:textId="77777777" w:rsidR="007F6759" w:rsidRPr="0002664E" w:rsidRDefault="007F6759" w:rsidP="0053090E">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sz w:val="16"/>
          <w:szCs w:val="16"/>
        </w:rPr>
        <w:t xml:space="preserve"> Report signed by Ms. Marcela Colmegna, Social Worker of Collegiate Family Court No. 5, dated April 13, 2015. ANNEX to the State’s communication of June 9, 2016, in the framework of precautionary measure file MC 540-15.</w:t>
      </w:r>
    </w:p>
  </w:footnote>
  <w:footnote w:id="40">
    <w:p w14:paraId="5005670C" w14:textId="77777777" w:rsidR="007F6759" w:rsidRPr="0002664E" w:rsidRDefault="007F6759" w:rsidP="00A71A15">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Document signed by Dr. Alejandra Verdondoni, Defender in this case, of Office of the Civil Defender No. 1, of April 20, 2015. ANNEX to the State’s communication of June 9, 2016, in the framework of precautionary measure file MC 540-15.</w:t>
      </w:r>
    </w:p>
  </w:footnote>
  <w:footnote w:id="41">
    <w:p w14:paraId="7A4F238C" w14:textId="77777777" w:rsidR="007F6759" w:rsidRPr="0002664E" w:rsidRDefault="007F6759" w:rsidP="00460DA2">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 xml:space="preserve">Document signed by Dr. Verónica Jotinsky and “María,” titled “Declare.  Request.  </w:t>
      </w:r>
      <w:r>
        <w:rPr>
          <w:rFonts w:ascii="Cambria" w:hAnsi="Cambria"/>
          <w:sz w:val="16"/>
          <w:szCs w:val="16"/>
        </w:rPr>
        <w:t>Attach</w:t>
      </w:r>
      <w:r w:rsidRPr="0002664E">
        <w:rPr>
          <w:rFonts w:ascii="Cambria" w:hAnsi="Cambria"/>
          <w:sz w:val="16"/>
          <w:szCs w:val="16"/>
        </w:rPr>
        <w:t>,” received by Collegiate Family Court No. 5 on August 4, 2015. ANNEX to the State’s communication of June 9, 2016, in the framework of precautionary measure file MC 540-15.</w:t>
      </w:r>
    </w:p>
  </w:footnote>
  <w:footnote w:id="42">
    <w:p w14:paraId="4913B582" w14:textId="77777777" w:rsidR="007F6759" w:rsidRPr="0002664E" w:rsidRDefault="007F6759" w:rsidP="00460DA2">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 xml:space="preserve">Document signed by Dr. Carmen </w:t>
      </w:r>
      <w:r>
        <w:rPr>
          <w:rFonts w:ascii="Cambria" w:hAnsi="Cambria"/>
          <w:sz w:val="16"/>
          <w:szCs w:val="16"/>
        </w:rPr>
        <w:t>Maidágan</w:t>
      </w:r>
      <w:r w:rsidRPr="0002664E">
        <w:rPr>
          <w:rFonts w:ascii="Cambria" w:hAnsi="Cambria"/>
          <w:sz w:val="16"/>
          <w:szCs w:val="16"/>
        </w:rPr>
        <w:t xml:space="preserve"> and by “María’s” mother, titled “</w:t>
      </w:r>
      <w:r>
        <w:rPr>
          <w:rFonts w:ascii="Cambria" w:hAnsi="Cambria"/>
          <w:sz w:val="16"/>
          <w:szCs w:val="16"/>
        </w:rPr>
        <w:t>So provi</w:t>
      </w:r>
      <w:r w:rsidRPr="0002664E">
        <w:rPr>
          <w:rFonts w:ascii="Cambria" w:hAnsi="Cambria"/>
          <w:sz w:val="16"/>
          <w:szCs w:val="16"/>
        </w:rPr>
        <w:t xml:space="preserve">ded.  </w:t>
      </w:r>
      <w:r>
        <w:rPr>
          <w:rFonts w:ascii="Cambria" w:hAnsi="Cambria"/>
          <w:sz w:val="16"/>
          <w:szCs w:val="16"/>
        </w:rPr>
        <w:t>Reserve r</w:t>
      </w:r>
      <w:r w:rsidRPr="0002664E">
        <w:rPr>
          <w:rFonts w:ascii="Cambria" w:hAnsi="Cambria"/>
          <w:sz w:val="16"/>
          <w:szCs w:val="16"/>
        </w:rPr>
        <w:t>ight,” received by Collegiate Family Court No. 5 on September 11, 2015. ANNEX to the State’s communication of June 9, 2016, in the framework of precautionary measure file MC 540-15.</w:t>
      </w:r>
    </w:p>
  </w:footnote>
  <w:footnote w:id="43">
    <w:p w14:paraId="14271B9D" w14:textId="77777777" w:rsidR="007F6759" w:rsidRPr="0002664E" w:rsidRDefault="007F6759" w:rsidP="00460DA2">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Resolution of October 1, 2015, signed by Sabina M. Sansarricq, judge of Collegiate Family Court No. 5. ANNEX to the State’s communication of June 9, 2016, in the framework of precautionary measure file MC 540-15.</w:t>
      </w:r>
    </w:p>
  </w:footnote>
  <w:footnote w:id="44">
    <w:p w14:paraId="3B5B1247" w14:textId="77777777" w:rsidR="007F6759" w:rsidRPr="0002664E" w:rsidRDefault="007F6759" w:rsidP="00460DA2">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Resolution of October 1, 2015, signed by Sabina M. Sansarricq, judge of Collegiate Family Court No. 5. ANNEX to the State’s communication of June 9, 2016, in the framework of precautionary measure file MC 540-15.</w:t>
      </w:r>
    </w:p>
  </w:footnote>
  <w:footnote w:id="45">
    <w:p w14:paraId="2FD90922" w14:textId="77777777" w:rsidR="007F6759" w:rsidRPr="0002664E" w:rsidRDefault="007F6759" w:rsidP="00460DA2">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 xml:space="preserve">Brief signed by Dr. Carmen Maidágan and “María’s” mother, titled “Revocation request.  Challenges,” received by Collegiate Family Court No. 5 on October 23. 2015. </w:t>
      </w:r>
    </w:p>
  </w:footnote>
  <w:footnote w:id="46">
    <w:p w14:paraId="344020F0" w14:textId="77777777" w:rsidR="007F6759" w:rsidRPr="0002664E" w:rsidRDefault="007F6759" w:rsidP="00460DA2">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Resolution of November 2, 2015, signed by Sabina M. Sansarricq, judge of Collegiate Family Court No. 5. ANNEX to the State’s communication of June 9, 2016, in the framework of precautionary measure file MC 540-15.</w:t>
      </w:r>
    </w:p>
  </w:footnote>
  <w:footnote w:id="47">
    <w:p w14:paraId="1B3C6AE3" w14:textId="77777777" w:rsidR="007F6759" w:rsidRPr="0002664E" w:rsidRDefault="007F6759" w:rsidP="006028BF">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Resolution of the</w:t>
      </w:r>
      <w:r>
        <w:rPr>
          <w:rFonts w:ascii="Cambria" w:hAnsi="Cambria"/>
          <w:sz w:val="16"/>
          <w:szCs w:val="16"/>
        </w:rPr>
        <w:t xml:space="preserve"> plenary of the Collegiate Family Court No. 5</w:t>
      </w:r>
      <w:r w:rsidRPr="0002664E">
        <w:rPr>
          <w:rFonts w:ascii="Cambria" w:hAnsi="Cambria"/>
          <w:sz w:val="16"/>
          <w:szCs w:val="16"/>
        </w:rPr>
        <w:t>, of February 10, 2016.  ANNEX to the State’s communication of June 9, 2016, in the framework of precautionary measure file MC 540-15.</w:t>
      </w:r>
    </w:p>
  </w:footnote>
  <w:footnote w:id="48">
    <w:p w14:paraId="77DD35D1" w14:textId="77777777" w:rsidR="007F6759" w:rsidRPr="0002664E" w:rsidRDefault="007F6759" w:rsidP="006028BF">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Resolution of Chamber II of the Civil and Appeals Court of Rosario, of May 2, 2016.  ANNEX to the State’s communication of June 9, 2016, in the framework of precautionary measure file MC 540-15.</w:t>
      </w:r>
    </w:p>
  </w:footnote>
  <w:footnote w:id="49">
    <w:p w14:paraId="7C668B55" w14:textId="77777777" w:rsidR="007F6759" w:rsidRPr="0002664E" w:rsidRDefault="007F6759" w:rsidP="006028BF">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 xml:space="preserve">Brief signed by Dr. Verónica Jotinsky and “María,” titled </w:t>
      </w:r>
      <w:r>
        <w:rPr>
          <w:rFonts w:ascii="Cambria" w:hAnsi="Cambria"/>
          <w:sz w:val="16"/>
          <w:szCs w:val="16"/>
        </w:rPr>
        <w:t>“Alternative motion.  Re</w:t>
      </w:r>
      <w:r w:rsidRPr="0002664E">
        <w:rPr>
          <w:rFonts w:ascii="Cambria" w:hAnsi="Cambria"/>
          <w:sz w:val="16"/>
          <w:szCs w:val="16"/>
        </w:rPr>
        <w:t>vocation request to the plenary of the court,” received by Collegiate Family Court No. 5 on December 11, 2015.  ANNEX to the State’s communication of June 9, 2016, in the framework of precautionary measure file MC 540-15.</w:t>
      </w:r>
    </w:p>
  </w:footnote>
  <w:footnote w:id="50">
    <w:p w14:paraId="04FC3830" w14:textId="77777777" w:rsidR="007F6759" w:rsidRPr="0002664E" w:rsidRDefault="007F6759" w:rsidP="00E2689F">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 xml:space="preserve">Preliminary report, signed by </w:t>
      </w:r>
      <w:r>
        <w:rPr>
          <w:rFonts w:ascii="Cambria" w:hAnsi="Cambria"/>
          <w:sz w:val="16"/>
          <w:szCs w:val="16"/>
        </w:rPr>
        <w:t>p</w:t>
      </w:r>
      <w:r w:rsidRPr="0002664E">
        <w:rPr>
          <w:rFonts w:ascii="Cambria" w:hAnsi="Cambria"/>
          <w:sz w:val="16"/>
          <w:szCs w:val="16"/>
        </w:rPr>
        <w:t xml:space="preserve">sychologist Pablo Cambiasso, Ms. Yanina Morón, Dr. Juan Pablo Folino, and Dr. Adriana Covili, members of Special Mental Health Boards of the Ministry of Public Health, undated, received by Collegiate Family Court No. 5 on December 15, 2015. ANNEX to the State’s communication of June 9, 2016, in the framework of precautionary measure file MC 540-15; </w:t>
      </w:r>
      <w:r w:rsidRPr="0002664E">
        <w:rPr>
          <w:rFonts w:ascii="Cambria" w:hAnsi="Cambria"/>
          <w:b/>
          <w:sz w:val="16"/>
          <w:szCs w:val="16"/>
          <w:highlight w:val="yellow"/>
        </w:rPr>
        <w:t xml:space="preserve">ANNEX XX. </w:t>
      </w:r>
      <w:r>
        <w:rPr>
          <w:rFonts w:ascii="Cambria" w:hAnsi="Cambria"/>
          <w:sz w:val="16"/>
          <w:szCs w:val="16"/>
        </w:rPr>
        <w:t>Report, signed by p</w:t>
      </w:r>
      <w:r w:rsidRPr="0002664E">
        <w:rPr>
          <w:rFonts w:ascii="Cambria" w:hAnsi="Cambria"/>
          <w:sz w:val="16"/>
          <w:szCs w:val="16"/>
        </w:rPr>
        <w:t xml:space="preserve">sychologist Pablo Cambiasso, Ms. Yanina Morón, Dr. Juan Pablo Folino, and Dr. Adriana Covili, members of the Special Mental Health Boards of the Ministry of Public Health, undated, received by Collegiate Family Court No. 5 on February 1, 2015. ANNEX to the State’s communication of June 9, 2016, in the framework of precautionary measure file MC 540-15. </w:t>
      </w:r>
    </w:p>
  </w:footnote>
  <w:footnote w:id="51">
    <w:p w14:paraId="5B044A19" w14:textId="77777777" w:rsidR="007F6759" w:rsidRPr="0002664E" w:rsidRDefault="007F6759" w:rsidP="00E2689F">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Document signed by Drs. Verónica Jotinsky and Carmen Maidágan and by “María” and her mother titled “Innovative precautionary measure,” received by Collegiate Family Court No. 5 on February 5, 2016. ANNEX to the State’s communication of June 9, 2016, in the framework of precautionary measure file MC 540-15.</w:t>
      </w:r>
    </w:p>
  </w:footnote>
  <w:footnote w:id="52">
    <w:p w14:paraId="4E9B97EB" w14:textId="77777777" w:rsidR="007F6759" w:rsidRPr="0002664E" w:rsidRDefault="007F6759" w:rsidP="00E2689F">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Minutes of hearing held at the premises of Collegiate Family Court No. 5, on April 1, 2016.  ANNEX to the State’s communication of June 9, 2016, in the framework of precautionary measure file MC 540-15.</w:t>
      </w:r>
    </w:p>
  </w:footnote>
  <w:footnote w:id="53">
    <w:p w14:paraId="421FEF5B" w14:textId="77777777" w:rsidR="007F6759" w:rsidRPr="0002664E" w:rsidRDefault="007F6759" w:rsidP="00E2689F">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IACHR. Resolution No. 22/16. MC 540-15 María and her son. Argentina. Accessible at: </w:t>
      </w:r>
      <w:hyperlink r:id="rId1" w:history="1">
        <w:r w:rsidRPr="0002664E">
          <w:rPr>
            <w:rStyle w:val="Hyperlink"/>
            <w:rFonts w:ascii="Cambria" w:hAnsi="Cambria"/>
            <w:sz w:val="16"/>
            <w:szCs w:val="16"/>
          </w:rPr>
          <w:t>https://www.oas.org/es/IACHR/decisiones/pdf/2016/mc540-15-es.pdf</w:t>
        </w:r>
      </w:hyperlink>
      <w:r w:rsidRPr="0002664E">
        <w:rPr>
          <w:rFonts w:ascii="Cambria" w:hAnsi="Cambria"/>
          <w:sz w:val="16"/>
          <w:szCs w:val="16"/>
        </w:rPr>
        <w:t xml:space="preserve"> </w:t>
      </w:r>
      <w:r>
        <w:rPr>
          <w:rFonts w:ascii="Cambria" w:hAnsi="Cambria"/>
          <w:sz w:val="16"/>
          <w:szCs w:val="16"/>
        </w:rPr>
        <w:t xml:space="preserve"> [available only in Spanish]</w:t>
      </w:r>
    </w:p>
  </w:footnote>
  <w:footnote w:id="54">
    <w:p w14:paraId="5E2E5FDB" w14:textId="77777777" w:rsidR="007F6759" w:rsidRPr="0002664E" w:rsidRDefault="007F6759" w:rsidP="00D275D9">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Brief signed by Dr. Verónica Jotinsky and by “María” titled “Declares. Requests.  Attaches,” received by Collegiate Family Court No. 5 on April 11, 2016.  ANNEX to the State’s communication of June 9, 2016, in the framework of precautionary measure file MC 540-15.</w:t>
      </w:r>
    </w:p>
  </w:footnote>
  <w:footnote w:id="55">
    <w:p w14:paraId="342040AE" w14:textId="77777777" w:rsidR="007F6759" w:rsidRPr="0002664E" w:rsidRDefault="007F6759" w:rsidP="00296367">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sz w:val="16"/>
          <w:szCs w:val="16"/>
        </w:rPr>
        <w:t xml:space="preserve"> Document signed by Dr. Alejandra Verdondoni, Defender in the case, of the Office of Civil Defender No 1, dated November 14, 2016. ANNEX to the petitioners’ communication of July 7, 2017, in the framework of precautionary measure file MC 540-15.</w:t>
      </w:r>
    </w:p>
  </w:footnote>
  <w:footnote w:id="56">
    <w:p w14:paraId="545E312C" w14:textId="77777777" w:rsidR="007F6759" w:rsidRPr="0002664E" w:rsidRDefault="007F6759" w:rsidP="00296367">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sz w:val="16"/>
          <w:szCs w:val="16"/>
        </w:rPr>
        <w:t xml:space="preserve"> Document signed by Dr. Claudia Francavilla, </w:t>
      </w:r>
      <w:r>
        <w:rPr>
          <w:rFonts w:ascii="Cambria" w:hAnsi="Cambria"/>
          <w:sz w:val="16"/>
          <w:szCs w:val="16"/>
        </w:rPr>
        <w:t>court-appointed legal advisor</w:t>
      </w:r>
      <w:r w:rsidRPr="0002664E">
        <w:rPr>
          <w:rFonts w:ascii="Cambria" w:hAnsi="Cambria"/>
          <w:sz w:val="16"/>
          <w:szCs w:val="16"/>
        </w:rPr>
        <w:t xml:space="preserve"> f</w:t>
      </w:r>
      <w:r>
        <w:rPr>
          <w:rFonts w:ascii="Cambria" w:hAnsi="Cambria"/>
          <w:sz w:val="16"/>
          <w:szCs w:val="16"/>
        </w:rPr>
        <w:t>or</w:t>
      </w:r>
      <w:r w:rsidRPr="0002664E">
        <w:rPr>
          <w:rFonts w:ascii="Cambria" w:hAnsi="Cambria"/>
          <w:sz w:val="16"/>
          <w:szCs w:val="16"/>
        </w:rPr>
        <w:t xml:space="preserve"> the child “Mariano,” titled “Answers </w:t>
      </w:r>
      <w:r>
        <w:rPr>
          <w:rFonts w:ascii="Cambria" w:hAnsi="Cambria"/>
          <w:sz w:val="16"/>
          <w:szCs w:val="16"/>
        </w:rPr>
        <w:t>motion for revocation</w:t>
      </w:r>
      <w:r w:rsidRPr="0002664E">
        <w:rPr>
          <w:rFonts w:ascii="Cambria" w:hAnsi="Cambria"/>
          <w:sz w:val="16"/>
          <w:szCs w:val="16"/>
        </w:rPr>
        <w:t>,” received by Collegiate Family Court No. 5 on April 11, 2016.  ANNEX to the petitioners’ communication of July 7, 2017, in the framework of precautionary measure file MC 540-15.</w:t>
      </w:r>
    </w:p>
  </w:footnote>
  <w:footnote w:id="57">
    <w:p w14:paraId="3C913648" w14:textId="77777777" w:rsidR="007F6759" w:rsidRPr="0002664E" w:rsidRDefault="007F6759" w:rsidP="00296367">
      <w:pPr>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ARTICLE 607.- Grounds. The judicial declaration of the status of adoptability is issued if:</w:t>
      </w:r>
      <w:r w:rsidRPr="0002664E">
        <w:rPr>
          <w:rFonts w:ascii="Cambria" w:hAnsi="Cambria"/>
          <w:sz w:val="16"/>
          <w:szCs w:val="16"/>
        </w:rPr>
        <w:br/>
      </w:r>
      <w:r w:rsidRPr="0002664E">
        <w:rPr>
          <w:rFonts w:ascii="Cambria" w:hAnsi="Cambria" w:cs="Cambria"/>
          <w:color w:val="000000"/>
          <w:sz w:val="16"/>
          <w:szCs w:val="16"/>
        </w:rPr>
        <w:t>[…]</w:t>
      </w:r>
      <w:r w:rsidRPr="0002664E">
        <w:rPr>
          <w:rFonts w:ascii="Cambria" w:hAnsi="Cambria"/>
          <w:sz w:val="16"/>
          <w:szCs w:val="16"/>
        </w:rPr>
        <w:br/>
        <w:t>b) the parents took a free and informed decision that the child is to be adopted.  This expression is valid only if it occurs at least forty-five days after the birth.</w:t>
      </w:r>
    </w:p>
    <w:p w14:paraId="29DC4512" w14:textId="77777777" w:rsidR="007F6759" w:rsidRPr="0002664E" w:rsidRDefault="007F6759" w:rsidP="00296367">
      <w:pPr>
        <w:jc w:val="both"/>
        <w:rPr>
          <w:rFonts w:ascii="Cambria" w:hAnsi="Cambria"/>
          <w:sz w:val="16"/>
          <w:szCs w:val="16"/>
        </w:rPr>
      </w:pPr>
      <w:r w:rsidRPr="0002664E">
        <w:rPr>
          <w:rFonts w:ascii="Cambria" w:hAnsi="Cambria"/>
          <w:sz w:val="16"/>
          <w:szCs w:val="16"/>
        </w:rPr>
        <w:t>c) the exceptional measures to ensure that the child or adolescent remains with his family of origin or extended family have not been successful within a maximum of eighty days.  After that maximum period, without re</w:t>
      </w:r>
      <w:r>
        <w:rPr>
          <w:rFonts w:ascii="Cambria" w:hAnsi="Cambria"/>
          <w:sz w:val="16"/>
          <w:szCs w:val="16"/>
        </w:rPr>
        <w:t xml:space="preserve">verting </w:t>
      </w:r>
      <w:r w:rsidRPr="0002664E">
        <w:rPr>
          <w:rFonts w:ascii="Cambria" w:hAnsi="Cambria"/>
          <w:sz w:val="16"/>
          <w:szCs w:val="16"/>
        </w:rPr>
        <w:t>to the grounds for the measure, the administrative entity for protection of rights of children and adolescents that took the decision must immediately issue its position on the adoptability status. That position must be communicated to the judge in the case within twenty-four hours.</w:t>
      </w:r>
      <w:r w:rsidRPr="0002664E">
        <w:rPr>
          <w:rFonts w:ascii="Cambria" w:hAnsi="Cambria"/>
          <w:sz w:val="16"/>
          <w:szCs w:val="16"/>
        </w:rPr>
        <w:br/>
        <w:t>The judicial declaration of adoptability status may not be issued if a family member or individual with emotional ties to the child or adolescent offers to assume his or her guardianship or wardship, and that request is considered appropriate to the child’s best interests.</w:t>
      </w:r>
      <w:r w:rsidRPr="0002664E">
        <w:rPr>
          <w:rFonts w:ascii="Cambria" w:hAnsi="Cambria"/>
          <w:sz w:val="16"/>
          <w:szCs w:val="16"/>
        </w:rPr>
        <w:br/>
        <w:t>The judge must decide the status of adoptability within a maximum of ninety days.</w:t>
      </w:r>
    </w:p>
  </w:footnote>
  <w:footnote w:id="58">
    <w:p w14:paraId="02528003" w14:textId="77777777" w:rsidR="007F6759" w:rsidRPr="0002664E" w:rsidRDefault="007F6759" w:rsidP="00953750">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 xml:space="preserve">Resolution of October 24, 2016, signed by Sabina Sansarricq, judge of Collegiate Family Court No. 5. </w:t>
      </w:r>
      <w:bookmarkStart w:id="7" w:name="_Hlk87268390"/>
      <w:r w:rsidRPr="0002664E">
        <w:rPr>
          <w:rFonts w:ascii="Cambria" w:hAnsi="Cambria"/>
          <w:sz w:val="16"/>
          <w:szCs w:val="16"/>
        </w:rPr>
        <w:t>ANNEX to the petitioners’ communication of July 7, 2016, in the framework of precautionary measure file MC 540-15.</w:t>
      </w:r>
      <w:bookmarkEnd w:id="7"/>
    </w:p>
  </w:footnote>
  <w:footnote w:id="59">
    <w:p w14:paraId="3205969B" w14:textId="77777777" w:rsidR="007F6759" w:rsidRPr="0002664E" w:rsidRDefault="007F6759" w:rsidP="00953750">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Pr>
          <w:rFonts w:ascii="Cambria" w:hAnsi="Cambria"/>
          <w:sz w:val="16"/>
          <w:szCs w:val="16"/>
        </w:rPr>
        <w:t xml:space="preserve">Motion </w:t>
      </w:r>
      <w:r w:rsidRPr="0002664E">
        <w:rPr>
          <w:rFonts w:ascii="Cambria" w:hAnsi="Cambria"/>
          <w:sz w:val="16"/>
          <w:szCs w:val="16"/>
        </w:rPr>
        <w:t>signed by “María, with legal assistance from Drs. Marta N. Haubenreich, María Claudia Torrens and Araceli M. Díaz titled “</w:t>
      </w:r>
      <w:r>
        <w:rPr>
          <w:rFonts w:ascii="Cambria" w:hAnsi="Cambria"/>
          <w:sz w:val="16"/>
          <w:szCs w:val="16"/>
        </w:rPr>
        <w:t xml:space="preserve">Motion to </w:t>
      </w:r>
      <w:r w:rsidRPr="0002664E">
        <w:rPr>
          <w:rFonts w:ascii="Cambria" w:hAnsi="Cambria"/>
          <w:sz w:val="16"/>
          <w:szCs w:val="16"/>
        </w:rPr>
        <w:t xml:space="preserve">the </w:t>
      </w:r>
      <w:r>
        <w:rPr>
          <w:rFonts w:ascii="Cambria" w:hAnsi="Cambria"/>
          <w:sz w:val="16"/>
          <w:szCs w:val="16"/>
        </w:rPr>
        <w:t xml:space="preserve">plenary of the </w:t>
      </w:r>
      <w:r w:rsidRPr="0002664E">
        <w:rPr>
          <w:rFonts w:ascii="Cambria" w:hAnsi="Cambria"/>
          <w:sz w:val="16"/>
          <w:szCs w:val="16"/>
        </w:rPr>
        <w:t xml:space="preserve">Court </w:t>
      </w:r>
      <w:r>
        <w:rPr>
          <w:rFonts w:ascii="Cambria" w:hAnsi="Cambria"/>
          <w:sz w:val="16"/>
          <w:szCs w:val="16"/>
        </w:rPr>
        <w:t>for r</w:t>
      </w:r>
      <w:r w:rsidRPr="0002664E">
        <w:rPr>
          <w:rFonts w:ascii="Cambria" w:hAnsi="Cambria"/>
          <w:sz w:val="16"/>
          <w:szCs w:val="16"/>
        </w:rPr>
        <w:t>evocation of Resolution No. 2968, of 24/10/16, and of Resolution No. 2609, of  01/10/15. ANNEX to the petitioners’ communication of July 7, 2016, in the framework of precautionary measure file MC 540-15.</w:t>
      </w:r>
    </w:p>
  </w:footnote>
  <w:footnote w:id="60">
    <w:p w14:paraId="1B6F95E6" w14:textId="77777777" w:rsidR="007F6759" w:rsidRPr="0002664E" w:rsidRDefault="007F6759" w:rsidP="00953750">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sz w:val="16"/>
          <w:szCs w:val="16"/>
        </w:rPr>
        <w:t xml:space="preserve"> Minutes of the hearing held by Collegiate Family Court No. 5, on July 28, 2017. ANNEX  to the petitioners’ communication of August 27, 2018, in the framework of precautionary measure file MC 540-15.</w:t>
      </w:r>
    </w:p>
  </w:footnote>
  <w:footnote w:id="61">
    <w:p w14:paraId="22D65E04" w14:textId="77777777" w:rsidR="007F6759" w:rsidRPr="0002664E" w:rsidRDefault="007F6759" w:rsidP="00953750">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sz w:val="16"/>
          <w:szCs w:val="16"/>
        </w:rPr>
        <w:t>Document signed by “María,” with legal assistance from Drs. Marta N. Haubenreich and Araceli M. Díaz, titled “Notifies.  Requests,” received by Collegiate Family Court No. 5 on August 15, 2017. ANNEX to the petitioners’ communication of August 27, 2018, in the framework of precautionary measure file MC 540-15.</w:t>
      </w:r>
    </w:p>
  </w:footnote>
  <w:footnote w:id="62">
    <w:p w14:paraId="14E1818B" w14:textId="77777777" w:rsidR="007F6759" w:rsidRPr="0002664E" w:rsidRDefault="007F6759" w:rsidP="005F6CF7">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Document prepared by Ma. Adelaida Etchevers, Secretary of Collegiate Family Court No. 5, of August 18, 2017. ANNEX to the petitioners’ communication of August 27, 2018, in the framework of precautionary measure file MC 540-15.</w:t>
      </w:r>
    </w:p>
  </w:footnote>
  <w:footnote w:id="63">
    <w:p w14:paraId="2A336CEA" w14:textId="77777777" w:rsidR="007F6759" w:rsidRPr="0002664E" w:rsidRDefault="007F6759" w:rsidP="005F6CF7">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Pr>
          <w:rFonts w:ascii="Cambria" w:hAnsi="Cambria"/>
          <w:sz w:val="16"/>
          <w:szCs w:val="16"/>
        </w:rPr>
        <w:t xml:space="preserve"> Motion </w:t>
      </w:r>
      <w:r w:rsidRPr="0002664E">
        <w:rPr>
          <w:rFonts w:ascii="Cambria" w:hAnsi="Cambria"/>
          <w:sz w:val="16"/>
          <w:szCs w:val="16"/>
        </w:rPr>
        <w:t>signed by the attorneys for the guardians of “Mariano,” titled “</w:t>
      </w:r>
      <w:r>
        <w:rPr>
          <w:rFonts w:ascii="Cambria" w:hAnsi="Cambria"/>
          <w:sz w:val="16"/>
          <w:szCs w:val="16"/>
        </w:rPr>
        <w:t xml:space="preserve">Motion for </w:t>
      </w:r>
      <w:r w:rsidRPr="0002664E">
        <w:rPr>
          <w:rFonts w:ascii="Cambria" w:hAnsi="Cambria"/>
          <w:sz w:val="16"/>
          <w:szCs w:val="16"/>
        </w:rPr>
        <w:t xml:space="preserve">transfer by two </w:t>
      </w:r>
      <w:r>
        <w:rPr>
          <w:rFonts w:ascii="Cambria" w:hAnsi="Cambria"/>
          <w:sz w:val="16"/>
          <w:szCs w:val="16"/>
        </w:rPr>
        <w:t>submissions</w:t>
      </w:r>
      <w:r w:rsidRPr="0002664E">
        <w:rPr>
          <w:rFonts w:ascii="Cambria" w:hAnsi="Cambria"/>
          <w:sz w:val="16"/>
          <w:szCs w:val="16"/>
        </w:rPr>
        <w:t>. Request reports,” received by Collegiate Family Court No. 5 on August 22, 2017. ANNEX to the petitioners’ communication of August 27, 2018, in the framework of precautionary measure file MC 540-15.</w:t>
      </w:r>
    </w:p>
  </w:footnote>
  <w:footnote w:id="64">
    <w:p w14:paraId="11E6286C" w14:textId="77777777" w:rsidR="007F6759" w:rsidRPr="0002664E" w:rsidRDefault="007F6759" w:rsidP="005F6CF7">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sz w:val="16"/>
          <w:szCs w:val="16"/>
        </w:rPr>
        <w:t xml:space="preserve"> Document signed by Dr. Claudia Francavilla, </w:t>
      </w:r>
      <w:r>
        <w:rPr>
          <w:rFonts w:ascii="Cambria" w:hAnsi="Cambria"/>
          <w:sz w:val="16"/>
          <w:szCs w:val="16"/>
        </w:rPr>
        <w:t>court-appointed legal advisor</w:t>
      </w:r>
      <w:r w:rsidRPr="0002664E">
        <w:rPr>
          <w:rFonts w:ascii="Cambria" w:hAnsi="Cambria"/>
          <w:sz w:val="16"/>
          <w:szCs w:val="16"/>
        </w:rPr>
        <w:t xml:space="preserve"> of the child “Mariano,” titled “Appears.  </w:t>
      </w:r>
      <w:r>
        <w:rPr>
          <w:rFonts w:ascii="Cambria" w:hAnsi="Cambria"/>
          <w:sz w:val="16"/>
          <w:szCs w:val="16"/>
        </w:rPr>
        <w:t>Answers</w:t>
      </w:r>
      <w:r w:rsidRPr="0002664E">
        <w:rPr>
          <w:rFonts w:ascii="Cambria" w:hAnsi="Cambria"/>
          <w:sz w:val="16"/>
          <w:szCs w:val="16"/>
        </w:rPr>
        <w:t xml:space="preserve"> transfer,” received by Collegiate Family Court No. 5 on August 22, 2017. ANNEX to the petitioners’ communication of August 27, 2018, in the framework of precautionary measure file MC 540-15;</w:t>
      </w:r>
      <w:r w:rsidRPr="0002664E">
        <w:rPr>
          <w:rFonts w:ascii="Cambria" w:hAnsi="Cambria"/>
          <w:b/>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Report No. 2724, signed by María del Rosario Damonte, deputy defender of the Office of Civil Defender No. 5, received by Collegiate Family Court No. 5 on August 23, 2017. ANNEX to the petitioners’ communication of August 27, 2018, in the framework of precautionary measure file MC 540-15.</w:t>
      </w:r>
    </w:p>
  </w:footnote>
  <w:footnote w:id="65">
    <w:p w14:paraId="45A981CA" w14:textId="77777777" w:rsidR="007F6759" w:rsidRPr="0002664E" w:rsidRDefault="007F6759" w:rsidP="005F6CF7">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 xml:space="preserve">ANNEX XX. </w:t>
      </w:r>
      <w:r w:rsidRPr="0002664E">
        <w:rPr>
          <w:rFonts w:ascii="Cambria" w:hAnsi="Cambria"/>
          <w:sz w:val="16"/>
          <w:szCs w:val="16"/>
        </w:rPr>
        <w:t>Resolution of August 24, 2017, signed by Sabina Sansarricq, judge of Collegiate Family Court No. 5. ANNEX to the petitioners’ communication of August 27, 2018, in the framework of precautionary measure file MC 540-15.</w:t>
      </w:r>
    </w:p>
  </w:footnote>
  <w:footnote w:id="66">
    <w:p w14:paraId="12E4F1F6" w14:textId="77777777" w:rsidR="007F6759" w:rsidRPr="0002664E" w:rsidRDefault="007F6759" w:rsidP="00714EAB">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Pr>
          <w:rFonts w:ascii="Cambria" w:hAnsi="Cambria"/>
          <w:sz w:val="16"/>
          <w:szCs w:val="16"/>
        </w:rPr>
        <w:t>Motion</w:t>
      </w:r>
      <w:r w:rsidRPr="0002664E">
        <w:rPr>
          <w:rFonts w:ascii="Cambria" w:hAnsi="Cambria"/>
          <w:sz w:val="16"/>
          <w:szCs w:val="16"/>
        </w:rPr>
        <w:t xml:space="preserve"> signed by “María” and her mother, with assistance from Drs. Marta N. Haubenreich, Araceli M. Díaz, María Claudia Torrens, and Carmen María </w:t>
      </w:r>
      <w:r>
        <w:rPr>
          <w:rFonts w:ascii="Cambria" w:hAnsi="Cambria"/>
          <w:sz w:val="16"/>
          <w:szCs w:val="16"/>
        </w:rPr>
        <w:t>Maidágan</w:t>
      </w:r>
      <w:r w:rsidRPr="0002664E">
        <w:rPr>
          <w:rFonts w:ascii="Cambria" w:hAnsi="Cambria"/>
          <w:sz w:val="16"/>
          <w:szCs w:val="16"/>
        </w:rPr>
        <w:t>, titled “</w:t>
      </w:r>
      <w:r>
        <w:rPr>
          <w:rFonts w:ascii="Cambria" w:hAnsi="Cambria"/>
          <w:sz w:val="16"/>
          <w:szCs w:val="16"/>
        </w:rPr>
        <w:t xml:space="preserve">Motion for </w:t>
      </w:r>
      <w:r w:rsidRPr="0002664E">
        <w:rPr>
          <w:rFonts w:ascii="Cambria" w:hAnsi="Cambria"/>
          <w:sz w:val="16"/>
          <w:szCs w:val="16"/>
        </w:rPr>
        <w:t xml:space="preserve">renewal of </w:t>
      </w:r>
      <w:r>
        <w:rPr>
          <w:rFonts w:ascii="Cambria" w:hAnsi="Cambria"/>
          <w:sz w:val="16"/>
          <w:szCs w:val="16"/>
        </w:rPr>
        <w:t>procedural periods.  Motion for resolution and establishment of a n</w:t>
      </w:r>
      <w:r w:rsidRPr="0002664E">
        <w:rPr>
          <w:rFonts w:ascii="Cambria" w:hAnsi="Cambria"/>
          <w:sz w:val="16"/>
          <w:szCs w:val="16"/>
        </w:rPr>
        <w:t xml:space="preserve">ew contact schedule.  Notification.  </w:t>
      </w:r>
      <w:r>
        <w:rPr>
          <w:rFonts w:ascii="Cambria" w:hAnsi="Cambria"/>
          <w:sz w:val="16"/>
          <w:szCs w:val="16"/>
        </w:rPr>
        <w:t xml:space="preserve">Measures to be </w:t>
      </w:r>
      <w:r w:rsidRPr="0002664E">
        <w:rPr>
          <w:rFonts w:ascii="Cambria" w:hAnsi="Cambria"/>
          <w:sz w:val="16"/>
          <w:szCs w:val="16"/>
        </w:rPr>
        <w:t>taken,” received by Collegiate Family Court No. 5 on February 1, 2018. ANNEX to the petitioners’ communication of August 27, 2018, in the framework of precautionary measure file MC 540-15.</w:t>
      </w:r>
    </w:p>
  </w:footnote>
  <w:footnote w:id="67">
    <w:p w14:paraId="74231A18" w14:textId="77777777" w:rsidR="007F6759" w:rsidRPr="0002664E" w:rsidRDefault="007F6759" w:rsidP="00714EAB">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sz w:val="16"/>
          <w:szCs w:val="16"/>
        </w:rPr>
        <w:t xml:space="preserve"> Document signed by Dr. Silvia Lampugnani, Coordinator of Family Encounter Point, titled “Reports,” received by Collegiate Family Court No. 5 on February 28, 2018. ANNEX to the petitioners’ communication of August 27, 2018, in the framework of precautionary measure file MC 540-15.</w:t>
      </w:r>
    </w:p>
  </w:footnote>
  <w:footnote w:id="68">
    <w:p w14:paraId="01ACFF9C" w14:textId="77777777" w:rsidR="007F6759" w:rsidRPr="0002664E" w:rsidRDefault="007F6759" w:rsidP="00714EAB">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Pr>
          <w:rFonts w:ascii="Cambria" w:hAnsi="Cambria"/>
          <w:sz w:val="16"/>
          <w:szCs w:val="16"/>
        </w:rPr>
        <w:t xml:space="preserve">Motion </w:t>
      </w:r>
      <w:r w:rsidRPr="0002664E">
        <w:rPr>
          <w:rFonts w:ascii="Cambria" w:hAnsi="Cambria"/>
          <w:sz w:val="16"/>
          <w:szCs w:val="16"/>
        </w:rPr>
        <w:t>signed by “María,” with legal assistance from Drs. Marta N. Haubenreich, María Claudia Torrens, and Araceli M. Díaz, titled “Make</w:t>
      </w:r>
      <w:r>
        <w:rPr>
          <w:rFonts w:ascii="Cambria" w:hAnsi="Cambria"/>
          <w:sz w:val="16"/>
          <w:szCs w:val="16"/>
        </w:rPr>
        <w:t>s</w:t>
      </w:r>
      <w:r w:rsidRPr="0002664E">
        <w:rPr>
          <w:rFonts w:ascii="Cambria" w:hAnsi="Cambria"/>
          <w:sz w:val="16"/>
          <w:szCs w:val="16"/>
        </w:rPr>
        <w:t xml:space="preserve"> known,” received by Collegiate Family Court No. 5 on June 26, 2018. ANNEX to the petitioners’ communication of August 27, 2018, in the framework of precautionary measure file MC 540-15.</w:t>
      </w:r>
    </w:p>
  </w:footnote>
  <w:footnote w:id="69">
    <w:p w14:paraId="64D6C4EF" w14:textId="77777777" w:rsidR="007F6759" w:rsidRPr="0002664E" w:rsidRDefault="007F6759" w:rsidP="00714EAB">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b/>
          <w:sz w:val="16"/>
          <w:szCs w:val="16"/>
          <w:highlight w:val="yellow"/>
        </w:rPr>
        <w:t>ANNEX XX.</w:t>
      </w:r>
      <w:r w:rsidRPr="0002664E">
        <w:rPr>
          <w:rFonts w:ascii="Cambria" w:hAnsi="Cambria"/>
          <w:sz w:val="16"/>
          <w:szCs w:val="16"/>
        </w:rPr>
        <w:t xml:space="preserve"> Document signed by Dr. Silvia Lampugnani, Coordinator of Family Encounter Point, titled “Reports,” received by Collegiate Family Court No. 5 on July 30, 2018.  ANNEX to the petitioners’ communication of October 26, 2018, in the framework of precautionary measure file MC 540-15.</w:t>
      </w:r>
    </w:p>
  </w:footnote>
  <w:footnote w:id="70">
    <w:p w14:paraId="1E4DE6AF" w14:textId="77777777" w:rsidR="007F6759" w:rsidRPr="0002664E" w:rsidRDefault="007F6759" w:rsidP="00BC754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sz w:val="16"/>
          <w:szCs w:val="16"/>
          <w:highlight w:val="yellow"/>
        </w:rPr>
        <w:t>ANNEX XX</w:t>
      </w:r>
      <w:r w:rsidRPr="0002664E">
        <w:rPr>
          <w:rFonts w:ascii="Cambria" w:hAnsi="Cambria"/>
          <w:b/>
          <w:sz w:val="16"/>
          <w:szCs w:val="16"/>
        </w:rPr>
        <w:t xml:space="preserve">. </w:t>
      </w:r>
      <w:r w:rsidRPr="0002664E">
        <w:rPr>
          <w:rFonts w:ascii="Cambria" w:hAnsi="Cambria"/>
          <w:bCs/>
          <w:sz w:val="16"/>
          <w:szCs w:val="16"/>
        </w:rPr>
        <w:t xml:space="preserve">Document signed by Civil Defender No. 1, dated June 4, 2018. </w:t>
      </w:r>
      <w:r w:rsidRPr="0002664E">
        <w:rPr>
          <w:rFonts w:ascii="Cambria" w:hAnsi="Cambria"/>
          <w:sz w:val="16"/>
          <w:szCs w:val="16"/>
        </w:rPr>
        <w:t>ANNEX to the petitioners’ communication of October 26, 2018, in the framework of precautionary measure file MC 540-15.</w:t>
      </w:r>
    </w:p>
  </w:footnote>
  <w:footnote w:id="71">
    <w:p w14:paraId="2D979A99" w14:textId="77777777" w:rsidR="007F6759" w:rsidRPr="0002664E" w:rsidRDefault="007F6759" w:rsidP="00BC754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Document titled “</w:t>
      </w:r>
      <w:r>
        <w:rPr>
          <w:rFonts w:ascii="Cambria" w:hAnsi="Cambria"/>
          <w:sz w:val="16"/>
          <w:szCs w:val="16"/>
        </w:rPr>
        <w:t>I</w:t>
      </w:r>
      <w:r w:rsidRPr="0002664E">
        <w:rPr>
          <w:rFonts w:ascii="Cambria" w:hAnsi="Cambria"/>
          <w:sz w:val="16"/>
          <w:szCs w:val="16"/>
        </w:rPr>
        <w:t>mmediate restoration of ties</w:t>
      </w:r>
      <w:r>
        <w:rPr>
          <w:rFonts w:ascii="Cambria" w:hAnsi="Cambria"/>
          <w:sz w:val="16"/>
          <w:szCs w:val="16"/>
        </w:rPr>
        <w:t xml:space="preserve"> hereby ordered,” r</w:t>
      </w:r>
      <w:r w:rsidRPr="0002664E">
        <w:rPr>
          <w:rFonts w:ascii="Cambria" w:hAnsi="Cambria"/>
          <w:sz w:val="16"/>
          <w:szCs w:val="16"/>
        </w:rPr>
        <w:t>eceived by Collegiate Family Court No. 5 of Rosario on September 12, 2018. ANNEX to the petitioners’ communication of October 26, 2018, in the framework of precautionary measure file MC 540-15.</w:t>
      </w:r>
    </w:p>
  </w:footnote>
  <w:footnote w:id="72">
    <w:p w14:paraId="2C129CF3" w14:textId="77777777" w:rsidR="007F6759" w:rsidRPr="0002664E" w:rsidRDefault="007F6759" w:rsidP="00BC754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b/>
          <w:bCs/>
          <w:sz w:val="16"/>
          <w:szCs w:val="16"/>
          <w:highlight w:val="yellow"/>
        </w:rPr>
        <w:t>ANNEX XX</w:t>
      </w:r>
      <w:r w:rsidRPr="0002664E">
        <w:rPr>
          <w:rFonts w:ascii="Cambria" w:hAnsi="Cambria"/>
          <w:sz w:val="16"/>
          <w:szCs w:val="16"/>
        </w:rPr>
        <w:t>.  Undated resolution of July 2019, signed by Dr. Sabina M. Sansarricq, judge of Collegiate Family Court No. 5, and by Dr. María Laura Ruani, Secretary. ANNEX to the petitioners’ communication of October 21, 2019, in the framework of precautionary measure file MC 540-15.</w:t>
      </w:r>
    </w:p>
  </w:footnote>
  <w:footnote w:id="73">
    <w:p w14:paraId="611BE70C" w14:textId="77777777" w:rsidR="007F6759" w:rsidRPr="0002664E" w:rsidRDefault="007F6759" w:rsidP="00BC754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Report signed by Ms. Gabriela Pastorutti and Ms. Ana Inés Verón Elguezaba, dated February 17, 2020. ANNEX to the petitioners’ communication of September 22, 2019.</w:t>
      </w:r>
    </w:p>
  </w:footnote>
  <w:footnote w:id="74">
    <w:p w14:paraId="067BB039" w14:textId="77777777" w:rsidR="007F6759" w:rsidRPr="0002664E" w:rsidRDefault="007F6759" w:rsidP="00BC7544">
      <w:pPr>
        <w:pStyle w:val="FootnoteText"/>
        <w:jc w:val="both"/>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xml:space="preserve">. Resolution of April 23, 2020, issued by the Sole Instance Collegiate Family Court.  ANNEX to the petitioners’ communication of August 19, 2020. </w:t>
      </w:r>
    </w:p>
  </w:footnote>
  <w:footnote w:id="75">
    <w:p w14:paraId="52242DA8" w14:textId="77777777" w:rsidR="007F6759" w:rsidRPr="0002664E" w:rsidRDefault="007F6759" w:rsidP="00BC7544">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b/>
          <w:bCs/>
          <w:sz w:val="16"/>
          <w:szCs w:val="16"/>
          <w:highlight w:val="yellow"/>
        </w:rPr>
        <w:t>ANNEX XX</w:t>
      </w:r>
      <w:r w:rsidRPr="0002664E">
        <w:rPr>
          <w:rFonts w:ascii="Cambria" w:hAnsi="Cambria"/>
          <w:sz w:val="16"/>
          <w:szCs w:val="16"/>
        </w:rPr>
        <w:t>. Minutes of the hearing held on February 17, 2020, at the premises of Collegiate Family Court No. 5. ANNEX to the petitioners’ communication of September 22, 2019.</w:t>
      </w:r>
    </w:p>
  </w:footnote>
  <w:footnote w:id="76">
    <w:p w14:paraId="50F873A7" w14:textId="77777777" w:rsidR="00D568AC" w:rsidRPr="0002664E" w:rsidRDefault="00D568AC" w:rsidP="00D568AC">
      <w:pPr>
        <w:autoSpaceDE w:val="0"/>
        <w:autoSpaceDN w:val="0"/>
        <w:adjustRightInd w:val="0"/>
        <w:jc w:val="both"/>
        <w:rPr>
          <w:rFonts w:ascii="Cambria" w:eastAsiaTheme="minorHAnsi" w:hAnsi="Cambria" w:cs="Calibri"/>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IA Court HR. Juridical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pars. 54, 55, and 60; </w:t>
      </w:r>
      <w:r w:rsidRPr="0002664E">
        <w:rPr>
          <w:rFonts w:ascii="Cambria" w:eastAsiaTheme="minorHAnsi" w:hAnsi="Cambria" w:cs="Calibri-Italic"/>
          <w:sz w:val="16"/>
          <w:szCs w:val="16"/>
        </w:rPr>
        <w:t>Case of Ituango Massacres v. Colombia</w:t>
      </w:r>
      <w:r w:rsidRPr="0002664E">
        <w:rPr>
          <w:rFonts w:ascii="Cambria" w:eastAsiaTheme="minorHAnsi" w:hAnsi="Cambria" w:cs="Calibri"/>
          <w:sz w:val="16"/>
          <w:szCs w:val="16"/>
        </w:rPr>
        <w:t xml:space="preserve">. Judgment of July 1, 2006. Series C No. 148, par. 244.  IA Court HR. </w:t>
      </w:r>
      <w:r w:rsidRPr="0002664E">
        <w:rPr>
          <w:rFonts w:ascii="Cambria" w:eastAsiaTheme="minorHAnsi" w:hAnsi="Cambria" w:cs="Calibri-Italic"/>
          <w:sz w:val="16"/>
          <w:szCs w:val="16"/>
        </w:rPr>
        <w:t>Case “Juvenile Re-Education Institute” v. Paraguay</w:t>
      </w:r>
      <w:r w:rsidRPr="0002664E">
        <w:rPr>
          <w:rFonts w:ascii="Cambria" w:eastAsiaTheme="minorHAnsi" w:hAnsi="Cambria" w:cs="Calibri"/>
          <w:sz w:val="16"/>
          <w:szCs w:val="16"/>
        </w:rPr>
        <w:t>. Judgment of September 2, 2004. Series C No. 112, par. 147.</w:t>
      </w:r>
    </w:p>
  </w:footnote>
  <w:footnote w:id="77">
    <w:p w14:paraId="66799D8A"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41. </w:t>
      </w:r>
    </w:p>
  </w:footnote>
  <w:footnote w:id="78">
    <w:p w14:paraId="629DA919"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44. </w:t>
      </w:r>
    </w:p>
  </w:footnote>
  <w:footnote w:id="79">
    <w:p w14:paraId="556D087C" w14:textId="77777777" w:rsidR="00D568AC" w:rsidRPr="0002664E" w:rsidRDefault="00D568AC" w:rsidP="00D568AC">
      <w:pPr>
        <w:autoSpaceDE w:val="0"/>
        <w:autoSpaceDN w:val="0"/>
        <w:adjustRightInd w:val="0"/>
        <w:jc w:val="both"/>
        <w:rPr>
          <w:rFonts w:ascii="Cambria" w:eastAsiaTheme="minorHAnsi" w:hAnsi="Cambria" w:cs="Calibri"/>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IA Court HR. Juridical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 61.</w:t>
      </w:r>
    </w:p>
  </w:footnote>
  <w:footnote w:id="80">
    <w:p w14:paraId="52EB662C"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50. </w:t>
      </w:r>
    </w:p>
  </w:footnote>
  <w:footnote w:id="81">
    <w:p w14:paraId="2BBB79C1" w14:textId="77777777" w:rsidR="00D568AC" w:rsidRPr="0002664E" w:rsidRDefault="00D568AC" w:rsidP="00D568AC">
      <w:pPr>
        <w:pStyle w:val="align-justify"/>
        <w:spacing w:before="0" w:beforeAutospacing="0" w:after="0" w:afterAutospacing="0"/>
        <w:jc w:val="both"/>
        <w:rPr>
          <w:rFonts w:ascii="Cambria" w:hAnsi="Cambria" w:cs="Tahoma"/>
          <w:color w:val="000000"/>
          <w:sz w:val="16"/>
          <w:szCs w:val="16"/>
          <w:lang w:val="en-US"/>
        </w:rPr>
      </w:pPr>
      <w:r w:rsidRPr="0002664E">
        <w:rPr>
          <w:rStyle w:val="FootnoteReference"/>
          <w:rFonts w:ascii="Cambria" w:hAnsi="Cambria"/>
          <w:sz w:val="16"/>
          <w:szCs w:val="16"/>
          <w:lang w:val="en-US"/>
        </w:rPr>
        <w:footnoteRef/>
      </w:r>
      <w:r w:rsidRPr="0002664E">
        <w:rPr>
          <w:rFonts w:ascii="Cambria" w:hAnsi="Cambria"/>
          <w:sz w:val="16"/>
          <w:szCs w:val="16"/>
          <w:lang w:val="en-US"/>
        </w:rPr>
        <w:t xml:space="preserve"> </w:t>
      </w:r>
      <w:r w:rsidRPr="0002664E">
        <w:rPr>
          <w:rFonts w:ascii="Cambria" w:hAnsi="Cambria" w:cs="Tahoma"/>
          <w:color w:val="000000"/>
          <w:sz w:val="16"/>
          <w:szCs w:val="16"/>
          <w:lang w:val="en-US"/>
        </w:rPr>
        <w:t>Article 15</w:t>
      </w:r>
    </w:p>
    <w:p w14:paraId="523ABDCC" w14:textId="77777777" w:rsidR="00D568AC" w:rsidRPr="0002664E" w:rsidRDefault="00D568AC" w:rsidP="00D568AC">
      <w:pPr>
        <w:pStyle w:val="align-justify"/>
        <w:spacing w:before="0" w:beforeAutospacing="0" w:after="0" w:afterAutospacing="0"/>
        <w:jc w:val="both"/>
        <w:rPr>
          <w:rFonts w:ascii="Cambria" w:hAnsi="Cambria" w:cs="Tahoma"/>
          <w:color w:val="000000"/>
          <w:sz w:val="16"/>
          <w:szCs w:val="16"/>
          <w:lang w:val="en-US"/>
        </w:rPr>
      </w:pPr>
      <w:r w:rsidRPr="0002664E">
        <w:rPr>
          <w:rFonts w:ascii="Cambria" w:hAnsi="Cambria" w:cs="Tahoma"/>
          <w:color w:val="000000"/>
          <w:sz w:val="16"/>
          <w:szCs w:val="16"/>
          <w:lang w:val="en-US"/>
        </w:rPr>
        <w:t>Right to the Formation and the Protection of Families</w:t>
      </w:r>
    </w:p>
    <w:p w14:paraId="32902F66" w14:textId="77777777" w:rsidR="00D568AC" w:rsidRPr="0002664E" w:rsidRDefault="00D568AC" w:rsidP="00D568AC">
      <w:pPr>
        <w:pStyle w:val="NormalWeb"/>
        <w:spacing w:before="0" w:beforeAutospacing="0" w:after="0" w:afterAutospacing="0"/>
        <w:jc w:val="both"/>
        <w:rPr>
          <w:rFonts w:ascii="Cambria" w:hAnsi="Cambria" w:cs="Arial"/>
          <w:color w:val="000000"/>
          <w:sz w:val="16"/>
          <w:szCs w:val="16"/>
        </w:rPr>
      </w:pPr>
      <w:r w:rsidRPr="0002664E">
        <w:rPr>
          <w:rFonts w:ascii="Cambria" w:hAnsi="Cambria" w:cs="Tahoma"/>
          <w:color w:val="000000"/>
          <w:sz w:val="16"/>
          <w:szCs w:val="16"/>
        </w:rPr>
        <w:t>1.   The family is the natural and fundamental element of society and ought to be protected by the State, which should see to the improvement of its spiritual and material conditions.</w:t>
      </w:r>
    </w:p>
    <w:p w14:paraId="6077324C" w14:textId="77777777" w:rsidR="00D568AC" w:rsidRPr="0002664E" w:rsidRDefault="00D568AC" w:rsidP="00D568AC">
      <w:pPr>
        <w:pStyle w:val="NormalWeb"/>
        <w:spacing w:before="0" w:beforeAutospacing="0" w:after="0" w:afterAutospacing="0"/>
        <w:jc w:val="both"/>
        <w:rPr>
          <w:rFonts w:ascii="Cambria" w:hAnsi="Cambria" w:cs="Arial"/>
          <w:color w:val="000000"/>
          <w:sz w:val="16"/>
          <w:szCs w:val="16"/>
        </w:rPr>
      </w:pPr>
      <w:r w:rsidRPr="0002664E">
        <w:rPr>
          <w:rFonts w:ascii="Cambria" w:hAnsi="Cambria" w:cs="Tahoma"/>
          <w:color w:val="000000"/>
          <w:sz w:val="16"/>
          <w:szCs w:val="16"/>
        </w:rPr>
        <w:t>2. Everyone has the right to form a family, which shall be exercised in accordance with the provisions of the pertinent domestic legislation.</w:t>
      </w:r>
    </w:p>
    <w:p w14:paraId="57D16A12" w14:textId="77777777" w:rsidR="00D568AC" w:rsidRPr="0002664E" w:rsidRDefault="00D568AC" w:rsidP="00D568AC">
      <w:pPr>
        <w:pStyle w:val="NormalWeb"/>
        <w:spacing w:before="0" w:beforeAutospacing="0" w:after="0" w:afterAutospacing="0"/>
        <w:jc w:val="both"/>
        <w:rPr>
          <w:rFonts w:ascii="Cambria" w:hAnsi="Cambria" w:cs="Arial"/>
          <w:color w:val="000000"/>
          <w:sz w:val="16"/>
          <w:szCs w:val="16"/>
        </w:rPr>
      </w:pPr>
      <w:r w:rsidRPr="0002664E">
        <w:rPr>
          <w:rFonts w:ascii="Cambria" w:hAnsi="Cambria" w:cs="Tahoma"/>
          <w:color w:val="000000"/>
          <w:sz w:val="16"/>
          <w:szCs w:val="16"/>
        </w:rPr>
        <w:t>3. The States Parties hereby undertake to accord adequate protection to the family unit and in particular:</w:t>
      </w:r>
    </w:p>
    <w:p w14:paraId="17DF13ED" w14:textId="77777777" w:rsidR="00D568AC" w:rsidRPr="0002664E" w:rsidRDefault="00D568AC" w:rsidP="00D568AC">
      <w:pPr>
        <w:pStyle w:val="NormalWeb"/>
        <w:spacing w:before="0" w:beforeAutospacing="0" w:after="0" w:afterAutospacing="0"/>
        <w:jc w:val="both"/>
        <w:rPr>
          <w:rFonts w:ascii="Cambria" w:hAnsi="Cambria" w:cs="Arial"/>
          <w:color w:val="000000"/>
          <w:sz w:val="16"/>
          <w:szCs w:val="16"/>
        </w:rPr>
      </w:pPr>
      <w:r w:rsidRPr="0002664E">
        <w:rPr>
          <w:rFonts w:ascii="Cambria" w:hAnsi="Cambria" w:cs="Tahoma"/>
          <w:color w:val="000000"/>
          <w:sz w:val="16"/>
          <w:szCs w:val="16"/>
        </w:rPr>
        <w:t>a. To provide special care and assistance to mothers during a reasonable period before and after childbirth;</w:t>
      </w:r>
    </w:p>
    <w:p w14:paraId="640C2757" w14:textId="77777777" w:rsidR="00D568AC" w:rsidRPr="0002664E" w:rsidRDefault="00D568AC" w:rsidP="00D568AC">
      <w:pPr>
        <w:pStyle w:val="NormalWeb"/>
        <w:spacing w:before="0" w:beforeAutospacing="0" w:after="0" w:afterAutospacing="0"/>
        <w:jc w:val="both"/>
        <w:rPr>
          <w:rFonts w:ascii="Cambria" w:hAnsi="Cambria" w:cs="Arial"/>
          <w:color w:val="000000"/>
          <w:sz w:val="16"/>
          <w:szCs w:val="16"/>
        </w:rPr>
      </w:pPr>
      <w:r w:rsidRPr="0002664E">
        <w:rPr>
          <w:rFonts w:ascii="Cambria" w:hAnsi="Cambria" w:cs="Tahoma"/>
          <w:color w:val="000000"/>
          <w:sz w:val="16"/>
          <w:szCs w:val="16"/>
        </w:rPr>
        <w:t>b. To guarantee adequate nutrition for children at the nursing stage and during school attendance years;</w:t>
      </w:r>
    </w:p>
    <w:p w14:paraId="414E0FF1" w14:textId="77777777" w:rsidR="00D568AC" w:rsidRPr="0002664E" w:rsidRDefault="00D568AC" w:rsidP="00D568AC">
      <w:pPr>
        <w:pStyle w:val="NormalWeb"/>
        <w:spacing w:before="0" w:beforeAutospacing="0" w:after="0" w:afterAutospacing="0"/>
        <w:jc w:val="both"/>
        <w:rPr>
          <w:rFonts w:ascii="Cambria" w:hAnsi="Cambria" w:cs="Arial"/>
          <w:color w:val="000000"/>
          <w:sz w:val="16"/>
          <w:szCs w:val="16"/>
        </w:rPr>
      </w:pPr>
      <w:r w:rsidRPr="0002664E">
        <w:rPr>
          <w:rFonts w:ascii="Cambria" w:hAnsi="Cambria" w:cs="Tahoma"/>
          <w:color w:val="000000"/>
          <w:sz w:val="16"/>
          <w:szCs w:val="16"/>
        </w:rPr>
        <w:t>c. To adopt special measures for the protection of adolescents in order to ensure the full development of their physical, intellectual and moral capacities;</w:t>
      </w:r>
    </w:p>
    <w:p w14:paraId="6AC67A7F" w14:textId="77777777" w:rsidR="00D568AC" w:rsidRPr="0002664E" w:rsidRDefault="00D568AC" w:rsidP="00D568AC">
      <w:pPr>
        <w:pStyle w:val="NormalWeb"/>
        <w:spacing w:before="0" w:beforeAutospacing="0" w:after="0" w:afterAutospacing="0"/>
        <w:jc w:val="both"/>
        <w:rPr>
          <w:rFonts w:ascii="Cambria" w:hAnsi="Cambria" w:cs="Tahoma"/>
          <w:color w:val="000000"/>
          <w:sz w:val="16"/>
          <w:szCs w:val="16"/>
        </w:rPr>
      </w:pPr>
      <w:r w:rsidRPr="0002664E">
        <w:rPr>
          <w:rFonts w:ascii="Cambria" w:hAnsi="Cambria" w:cs="Tahoma"/>
          <w:color w:val="000000"/>
          <w:sz w:val="16"/>
          <w:szCs w:val="16"/>
        </w:rPr>
        <w:t>d. To undertake special programs of family training so as to help create a stable and positive environment in which children will receive and develop the values of understanding, solidarity, respect and responsibility.</w:t>
      </w:r>
    </w:p>
  </w:footnote>
  <w:footnote w:id="82">
    <w:p w14:paraId="5B565432" w14:textId="77777777" w:rsidR="00D568AC" w:rsidRPr="0002664E" w:rsidRDefault="00D568AC" w:rsidP="00D568AC">
      <w:pPr>
        <w:pStyle w:val="align-justify"/>
        <w:spacing w:before="0" w:beforeAutospacing="0" w:after="0" w:afterAutospacing="0"/>
        <w:jc w:val="both"/>
        <w:rPr>
          <w:rFonts w:ascii="Cambria" w:hAnsi="Cambria" w:cs="Tahoma"/>
          <w:color w:val="000000"/>
          <w:sz w:val="16"/>
          <w:szCs w:val="16"/>
          <w:lang w:val="en-US"/>
        </w:rPr>
      </w:pPr>
      <w:r w:rsidRPr="0002664E">
        <w:rPr>
          <w:rStyle w:val="FootnoteReference"/>
          <w:rFonts w:ascii="Cambria" w:hAnsi="Cambria"/>
          <w:sz w:val="16"/>
          <w:szCs w:val="16"/>
          <w:lang w:val="en-US"/>
        </w:rPr>
        <w:footnoteRef/>
      </w:r>
      <w:r w:rsidRPr="0002664E">
        <w:rPr>
          <w:rFonts w:ascii="Cambria" w:hAnsi="Cambria"/>
          <w:sz w:val="16"/>
          <w:szCs w:val="16"/>
          <w:lang w:val="en-US"/>
        </w:rPr>
        <w:t xml:space="preserve"> </w:t>
      </w:r>
      <w:r w:rsidRPr="0002664E">
        <w:rPr>
          <w:rFonts w:ascii="Cambria" w:hAnsi="Cambria" w:cs="Tahoma"/>
          <w:color w:val="000000"/>
          <w:sz w:val="16"/>
          <w:szCs w:val="16"/>
          <w:lang w:val="en-US"/>
        </w:rPr>
        <w:t>Article 16</w:t>
      </w:r>
    </w:p>
    <w:p w14:paraId="19E8D7F6" w14:textId="77777777" w:rsidR="00D568AC" w:rsidRPr="0002664E" w:rsidRDefault="00D568AC" w:rsidP="00D568AC">
      <w:pPr>
        <w:pStyle w:val="align-justify"/>
        <w:spacing w:before="0" w:beforeAutospacing="0" w:after="0" w:afterAutospacing="0"/>
        <w:jc w:val="both"/>
        <w:rPr>
          <w:rFonts w:ascii="Cambria" w:hAnsi="Cambria" w:cs="Tahoma"/>
          <w:color w:val="000000"/>
          <w:sz w:val="16"/>
          <w:szCs w:val="16"/>
          <w:lang w:val="en-US"/>
        </w:rPr>
      </w:pPr>
      <w:r w:rsidRPr="0002664E">
        <w:rPr>
          <w:rFonts w:ascii="Cambria" w:hAnsi="Cambria" w:cs="Tahoma"/>
          <w:color w:val="000000"/>
          <w:sz w:val="16"/>
          <w:szCs w:val="16"/>
          <w:lang w:val="en-US"/>
        </w:rPr>
        <w:t>Rights of Children</w:t>
      </w:r>
    </w:p>
    <w:p w14:paraId="14B1AB06" w14:textId="77777777" w:rsidR="00D568AC" w:rsidRPr="0002664E" w:rsidRDefault="00D568AC" w:rsidP="00D568AC">
      <w:pPr>
        <w:pStyle w:val="NormalWeb"/>
        <w:spacing w:before="0" w:beforeAutospacing="0" w:after="0" w:afterAutospacing="0" w:line="212" w:lineRule="atLeast"/>
        <w:jc w:val="both"/>
        <w:rPr>
          <w:rFonts w:ascii="Cambria" w:hAnsi="Cambria" w:cs="Tahoma"/>
          <w:color w:val="000000"/>
          <w:sz w:val="16"/>
          <w:szCs w:val="16"/>
        </w:rPr>
      </w:pPr>
      <w:r w:rsidRPr="0002664E">
        <w:rPr>
          <w:rFonts w:ascii="Cambria" w:hAnsi="Cambria" w:cs="Tahoma"/>
          <w:color w:val="000000"/>
          <w:sz w:val="16"/>
          <w:szCs w:val="16"/>
        </w:rPr>
        <w:t>Every child, whatever his parentage, has the right to the protection that his status as a minor requires from his family, society and the State. Every child has the right to grow under the protection and responsibility of his parents; save in exceptional, judicially-recognized circumstances, a child of young age ought not to be separated from his mother. Every child has the right to free and compulsory education, at least in the elementary phase, and to continue his training at higher levels of the educational system.</w:t>
      </w:r>
    </w:p>
  </w:footnote>
  <w:footnote w:id="83">
    <w:p w14:paraId="7EFAB08F"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IA Court HR. Juridical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pars. 69 and 70. </w:t>
      </w:r>
    </w:p>
  </w:footnote>
  <w:footnote w:id="84">
    <w:p w14:paraId="725464AB" w14:textId="77777777" w:rsidR="00D568AC" w:rsidRPr="0002664E" w:rsidRDefault="00D568AC" w:rsidP="00D568AC">
      <w:pPr>
        <w:autoSpaceDE w:val="0"/>
        <w:autoSpaceDN w:val="0"/>
        <w:adjustRightInd w:val="0"/>
        <w:jc w:val="both"/>
        <w:rPr>
          <w:rFonts w:ascii="Cambria" w:eastAsiaTheme="minorHAnsi" w:hAnsi="Cambria" w:cs="Calibri"/>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 xml:space="preserve">IA Court HR. </w:t>
      </w:r>
      <w:r w:rsidRPr="0002664E">
        <w:rPr>
          <w:rFonts w:ascii="Cambria" w:eastAsiaTheme="minorHAnsi" w:hAnsi="Cambria" w:cs="Calibri-Italic"/>
          <w:sz w:val="16"/>
          <w:szCs w:val="16"/>
        </w:rPr>
        <w:t>Case of Atala Riffo and Daughters v. Chile</w:t>
      </w:r>
      <w:r w:rsidRPr="0002664E">
        <w:rPr>
          <w:rFonts w:ascii="Cambria" w:eastAsiaTheme="minorHAnsi" w:hAnsi="Cambria" w:cs="Calibri"/>
          <w:sz w:val="16"/>
          <w:szCs w:val="16"/>
        </w:rPr>
        <w:t>.  Merits, Reparations, and Costs. Judgment of February 24, 2012. Series C No. 239, pars. 142 and 145</w:t>
      </w:r>
    </w:p>
  </w:footnote>
  <w:footnote w:id="85">
    <w:p w14:paraId="2AA6E4BD" w14:textId="77777777" w:rsidR="00D568AC" w:rsidRPr="0002664E" w:rsidRDefault="00D568AC" w:rsidP="00D568AC">
      <w:pPr>
        <w:autoSpaceDE w:val="0"/>
        <w:autoSpaceDN w:val="0"/>
        <w:adjustRightInd w:val="0"/>
        <w:jc w:val="both"/>
        <w:rPr>
          <w:rFonts w:ascii="Cambria" w:eastAsiaTheme="minorHAnsi" w:hAnsi="Cambria" w:cs="Calibri-Italic"/>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 xml:space="preserve">IA Court HR. </w:t>
      </w:r>
      <w:r w:rsidRPr="0002664E">
        <w:rPr>
          <w:rFonts w:ascii="Cambria" w:eastAsiaTheme="minorHAnsi" w:hAnsi="Cambria" w:cs="Calibri-Italic"/>
          <w:sz w:val="16"/>
          <w:szCs w:val="16"/>
        </w:rPr>
        <w:t xml:space="preserve">Case of Chitay Nech et al. v. Guatemala. </w:t>
      </w:r>
      <w:r w:rsidRPr="0002664E">
        <w:rPr>
          <w:rFonts w:ascii="Cambria" w:eastAsiaTheme="minorHAnsi" w:hAnsi="Cambria" w:cs="Calibri"/>
          <w:sz w:val="16"/>
          <w:szCs w:val="16"/>
        </w:rPr>
        <w:t xml:space="preserve">Preliminary Objections, Merits, Reparations, and Costs. Judgment of May 25, 2010. Series C No. 212, par. 157. IA Court HR. Case of Gelman v. Uruguay. Merits and Reparations. Judgment of February 24, 2011. Series C No. 221, par. 125. </w:t>
      </w:r>
    </w:p>
  </w:footnote>
  <w:footnote w:id="86">
    <w:p w14:paraId="5FA200CC" w14:textId="77777777" w:rsidR="00D568AC" w:rsidRPr="0002664E" w:rsidRDefault="00D568AC" w:rsidP="00D568AC">
      <w:pPr>
        <w:autoSpaceDE w:val="0"/>
        <w:autoSpaceDN w:val="0"/>
        <w:adjustRightInd w:val="0"/>
        <w:jc w:val="both"/>
        <w:rPr>
          <w:rFonts w:ascii="Cambria" w:eastAsiaTheme="minorHAnsi" w:hAnsi="Cambria" w:cs="Calibri"/>
          <w:sz w:val="16"/>
          <w:szCs w:val="16"/>
        </w:rPr>
      </w:pPr>
      <w:r w:rsidRPr="0002664E">
        <w:rPr>
          <w:rStyle w:val="FootnoteReference"/>
          <w:rFonts w:ascii="Cambria" w:hAnsi="Cambria"/>
          <w:sz w:val="16"/>
          <w:szCs w:val="16"/>
        </w:rPr>
        <w:footnoteRef/>
      </w:r>
      <w:r w:rsidRPr="0002664E">
        <w:rPr>
          <w:rStyle w:val="FootnoteReference"/>
          <w:rFonts w:ascii="Cambria" w:hAnsi="Cambria"/>
          <w:sz w:val="16"/>
          <w:szCs w:val="16"/>
        </w:rPr>
        <w:t xml:space="preserve"> </w:t>
      </w:r>
      <w:r w:rsidRPr="0002664E">
        <w:rPr>
          <w:rFonts w:ascii="Cambria" w:hAnsi="Cambria"/>
          <w:sz w:val="16"/>
          <w:szCs w:val="16"/>
        </w:rPr>
        <w:t>See Article 18.2 of the Convention on the Rights of the Child:  “</w:t>
      </w:r>
      <w:r w:rsidRPr="0002664E">
        <w:rPr>
          <w:rFonts w:ascii="Cambria" w:hAnsi="Cambria"/>
          <w:color w:val="000000"/>
          <w:sz w:val="16"/>
          <w:szCs w:val="16"/>
          <w:shd w:val="clear" w:color="auto" w:fill="FFFFFF"/>
        </w:rPr>
        <w:t>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w:t>
      </w:r>
    </w:p>
  </w:footnote>
  <w:footnote w:id="87">
    <w:p w14:paraId="65057FA7" w14:textId="77777777" w:rsidR="00D568AC" w:rsidRPr="0002664E" w:rsidRDefault="00D568AC" w:rsidP="00D568AC">
      <w:pPr>
        <w:autoSpaceDE w:val="0"/>
        <w:autoSpaceDN w:val="0"/>
        <w:adjustRightInd w:val="0"/>
        <w:jc w:val="both"/>
        <w:rPr>
          <w:rFonts w:ascii="Calibri" w:eastAsiaTheme="minorHAnsi" w:hAnsi="Calibri" w:cs="Calibri"/>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bookmarkStart w:id="8" w:name="_Hlk87287972"/>
      <w:r w:rsidRPr="0002664E">
        <w:rPr>
          <w:rFonts w:ascii="Cambria" w:hAnsi="Cambria"/>
          <w:sz w:val="16"/>
          <w:szCs w:val="16"/>
        </w:rPr>
        <w:t xml:space="preserve">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54. </w:t>
      </w:r>
      <w:bookmarkEnd w:id="8"/>
      <w:r w:rsidRPr="0002664E">
        <w:rPr>
          <w:rFonts w:ascii="Cambria" w:eastAsiaTheme="minorHAnsi" w:hAnsi="Cambria" w:cs="Calibri"/>
          <w:sz w:val="16"/>
          <w:szCs w:val="16"/>
        </w:rPr>
        <w:t xml:space="preserve">IA Court HR. </w:t>
      </w:r>
      <w:r w:rsidRPr="0002664E">
        <w:rPr>
          <w:rFonts w:ascii="Cambria" w:eastAsiaTheme="minorHAnsi" w:hAnsi="Cambria" w:cs="Calibri-Italic"/>
          <w:sz w:val="16"/>
          <w:szCs w:val="16"/>
        </w:rPr>
        <w:t>Case of Forneron and daughter v. Argentina. Merits, Reparations, and Cost</w:t>
      </w:r>
      <w:r w:rsidRPr="0002664E">
        <w:rPr>
          <w:rFonts w:ascii="Cambria" w:eastAsiaTheme="minorHAnsi" w:hAnsi="Cambria" w:cs="Calibri"/>
          <w:sz w:val="16"/>
          <w:szCs w:val="16"/>
        </w:rPr>
        <w:t>s. Judgment of April 27, 2012. Series C No. 242, par. 119.</w:t>
      </w:r>
    </w:p>
  </w:footnote>
  <w:footnote w:id="88">
    <w:p w14:paraId="1EFF18F0"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 xml:space="preserve">IA Court HR. </w:t>
      </w:r>
      <w:r w:rsidRPr="0002664E">
        <w:rPr>
          <w:rFonts w:ascii="Cambria" w:eastAsiaTheme="minorHAnsi" w:hAnsi="Cambria" w:cs="Calibri-Italic"/>
          <w:sz w:val="16"/>
          <w:szCs w:val="16"/>
        </w:rPr>
        <w:t>Case of Forneron and Daughter v. Argentina. Merits, Reparations, and Cost</w:t>
      </w:r>
      <w:r w:rsidRPr="0002664E">
        <w:rPr>
          <w:rFonts w:ascii="Cambria" w:eastAsiaTheme="minorHAnsi" w:hAnsi="Cambria" w:cs="Calibri"/>
          <w:sz w:val="16"/>
          <w:szCs w:val="16"/>
        </w:rPr>
        <w:t xml:space="preserve">s. Judgment of April 27, 2012, par. 113.  </w:t>
      </w:r>
    </w:p>
  </w:footnote>
  <w:footnote w:id="89">
    <w:p w14:paraId="3B6C7EE9"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IA Court HR. Juridical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pars. 71, 72, 73, and 76. </w:t>
      </w:r>
    </w:p>
  </w:footnote>
  <w:footnote w:id="90">
    <w:p w14:paraId="4C4D94AC"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IA Court HR. Juridical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 77. </w:t>
      </w:r>
    </w:p>
  </w:footnote>
  <w:footnote w:id="91">
    <w:p w14:paraId="574D7721"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130. </w:t>
      </w:r>
    </w:p>
  </w:footnote>
  <w:footnote w:id="92">
    <w:p w14:paraId="51E0155D" w14:textId="77777777" w:rsidR="00D568AC" w:rsidRPr="0002664E" w:rsidRDefault="00D568AC" w:rsidP="00D568AC">
      <w:pPr>
        <w:pStyle w:val="FootnoteText"/>
      </w:pPr>
      <w:r w:rsidRPr="0002664E">
        <w:rPr>
          <w:rStyle w:val="FootnoteReference"/>
          <w:sz w:val="18"/>
          <w:szCs w:val="18"/>
        </w:rPr>
        <w:footnoteRef/>
      </w:r>
      <w:r w:rsidRPr="0002664E">
        <w:rPr>
          <w:sz w:val="18"/>
          <w:szCs w:val="18"/>
        </w:rPr>
        <w:t xml:space="preserve"> </w:t>
      </w:r>
      <w:r w:rsidRPr="0002664E">
        <w:rPr>
          <w:rFonts w:ascii="Cambria" w:hAnsi="Cambria"/>
          <w:sz w:val="16"/>
          <w:szCs w:val="16"/>
        </w:rPr>
        <w:t xml:space="preserve">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281. </w:t>
      </w:r>
    </w:p>
  </w:footnote>
  <w:footnote w:id="93">
    <w:p w14:paraId="1CA06B9A"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134. </w:t>
      </w:r>
    </w:p>
  </w:footnote>
  <w:footnote w:id="94">
    <w:p w14:paraId="514CAC1D"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IDH.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135. </w:t>
      </w:r>
    </w:p>
  </w:footnote>
  <w:footnote w:id="95">
    <w:p w14:paraId="0573C515" w14:textId="77777777" w:rsidR="00D568AC" w:rsidRPr="0002664E" w:rsidRDefault="00D568AC" w:rsidP="00D568AC">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 Court HR</w:t>
      </w:r>
      <w:r w:rsidRPr="0002664E">
        <w:rPr>
          <w:rFonts w:ascii="Cambria" w:hAnsi="Cambria" w:cs="Calibri"/>
          <w:sz w:val="16"/>
          <w:szCs w:val="16"/>
        </w:rPr>
        <w:t xml:space="preserve">. </w:t>
      </w:r>
      <w:r w:rsidRPr="0002664E">
        <w:rPr>
          <w:rFonts w:ascii="Cambria" w:eastAsiaTheme="minorHAnsi" w:hAnsi="Cambria" w:cs="Calibri-Italic"/>
          <w:sz w:val="16"/>
          <w:szCs w:val="16"/>
        </w:rPr>
        <w:t>Case of Forneron and Daughter v. Argentina. Merits, Reparations, and Cost</w:t>
      </w:r>
      <w:r w:rsidRPr="0002664E">
        <w:rPr>
          <w:rFonts w:ascii="Cambria" w:eastAsiaTheme="minorHAnsi" w:hAnsi="Cambria" w:cs="Calibri"/>
          <w:sz w:val="16"/>
          <w:szCs w:val="16"/>
        </w:rPr>
        <w:t>s. Judgment of April 27, 2012, par.</w:t>
      </w:r>
      <w:r w:rsidRPr="0002664E">
        <w:rPr>
          <w:rFonts w:ascii="Cambria" w:hAnsi="Cambria" w:cs="Calibri"/>
          <w:sz w:val="16"/>
          <w:szCs w:val="16"/>
        </w:rPr>
        <w:t xml:space="preserve"> 119. </w:t>
      </w:r>
      <w:r w:rsidRPr="0002664E">
        <w:rPr>
          <w:rFonts w:ascii="Cambria" w:hAnsi="Cambria"/>
          <w:sz w:val="16"/>
          <w:szCs w:val="16"/>
        </w:rPr>
        <w:t xml:space="preserve">IACHR. The Right of Boys and Girls to a Family.  Alternative Care.  Ending Institutionalization in the Americas. </w:t>
      </w:r>
      <w:r w:rsidRPr="0002664E">
        <w:rPr>
          <w:rFonts w:ascii="Cambria" w:eastAsiaTheme="minorHAnsi" w:hAnsi="Cambria" w:cs="Calibri"/>
          <w:sz w:val="16"/>
          <w:szCs w:val="16"/>
        </w:rPr>
        <w:t>OEA/Ser.L/V/II. Doc. 54/13 17 October 2013 Original: Spanish, par. 131.</w:t>
      </w:r>
    </w:p>
  </w:footnote>
  <w:footnote w:id="96">
    <w:p w14:paraId="455C635C"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UN General Assembly. Sixty-fourth session. Resolution 64/142. Guidelines for the Alternative Care of Children. 24 February 2010. Accessible at: </w:t>
      </w:r>
      <w:hyperlink r:id="rId2" w:history="1">
        <w:r w:rsidRPr="0002664E">
          <w:rPr>
            <w:rStyle w:val="Hyperlink"/>
            <w:rFonts w:ascii="Cambria" w:hAnsi="Cambria"/>
            <w:sz w:val="16"/>
            <w:szCs w:val="16"/>
          </w:rPr>
          <w:t>https://undocs.org/en/A/RES/64/142</w:t>
        </w:r>
      </w:hyperlink>
    </w:p>
  </w:footnote>
  <w:footnote w:id="97">
    <w:p w14:paraId="045CAB20"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OEA/Ser.L/V/II. Doc. 54/13 17 October 2013 Original: Spanish, par. 282.</w:t>
      </w:r>
    </w:p>
  </w:footnote>
  <w:footnote w:id="98">
    <w:p w14:paraId="721D90E9" w14:textId="77777777" w:rsidR="00D568AC" w:rsidRPr="0002664E" w:rsidRDefault="00D568AC" w:rsidP="00D568AC">
      <w:pPr>
        <w:autoSpaceDE w:val="0"/>
        <w:autoSpaceDN w:val="0"/>
        <w:adjustRightInd w:val="0"/>
        <w:jc w:val="both"/>
        <w:rPr>
          <w:rFonts w:ascii="Cambria" w:eastAsiaTheme="minorHAnsi" w:hAnsi="Cambria" w:cs="Calibri"/>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 xml:space="preserve">IACHR. Report No. 83/10, Case 12.584, Merits, Milagros Fornerón and Leonardo Aníbal Fornerón, Argentina, November 29, 2010, pars. 103, 108, and 110, and IA Court HR. </w:t>
      </w:r>
      <w:r w:rsidRPr="0002664E">
        <w:rPr>
          <w:rFonts w:ascii="Cambria" w:eastAsiaTheme="minorHAnsi" w:hAnsi="Cambria" w:cs="Calibri-Italic"/>
          <w:sz w:val="16"/>
          <w:szCs w:val="16"/>
        </w:rPr>
        <w:t>Case of Forneron and Daughter v. Argentina. Merits, Reparations, and Cost</w:t>
      </w:r>
      <w:r w:rsidRPr="0002664E">
        <w:rPr>
          <w:rFonts w:ascii="Cambria" w:eastAsiaTheme="minorHAnsi" w:hAnsi="Cambria" w:cs="Calibri"/>
          <w:sz w:val="16"/>
          <w:szCs w:val="16"/>
        </w:rPr>
        <w:t>s. Judgment of April 27, 2012, pars. 47 and 48.</w:t>
      </w:r>
    </w:p>
  </w:footnote>
  <w:footnote w:id="99">
    <w:p w14:paraId="734D33E0" w14:textId="77777777" w:rsidR="00D568AC" w:rsidRPr="0002664E" w:rsidRDefault="00D568AC" w:rsidP="00D568AC">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cs="Calibri"/>
          <w:sz w:val="16"/>
          <w:szCs w:val="16"/>
        </w:rPr>
        <w:t>IACHR. Report No. 83/10, Case 12.584, Merits,</w:t>
      </w:r>
      <w:r w:rsidRPr="0002664E">
        <w:rPr>
          <w:rFonts w:ascii="Cambria" w:eastAsiaTheme="minorHAnsi" w:hAnsi="Cambria" w:cs="Calibri"/>
          <w:sz w:val="16"/>
          <w:szCs w:val="16"/>
        </w:rPr>
        <w:t xml:space="preserve"> Milagros Fornerón and Leonardo Aníbal Fornerón, Argentina, November 29, 2010, par</w:t>
      </w:r>
      <w:r w:rsidRPr="0002664E">
        <w:rPr>
          <w:rFonts w:ascii="Cambria" w:hAnsi="Cambria" w:cs="Calibri"/>
          <w:sz w:val="16"/>
          <w:szCs w:val="16"/>
        </w:rPr>
        <w:t xml:space="preserve">. 108; and IA Court HR. </w:t>
      </w:r>
      <w:r w:rsidRPr="0002664E">
        <w:rPr>
          <w:rFonts w:ascii="Cambria" w:eastAsiaTheme="minorHAnsi" w:hAnsi="Cambria" w:cs="Calibri"/>
          <w:sz w:val="16"/>
          <w:szCs w:val="16"/>
        </w:rPr>
        <w:t>Juridical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w:t>
      </w:r>
      <w:r>
        <w:rPr>
          <w:rFonts w:ascii="Cambria" w:hAnsi="Cambria" w:cs="Calibri"/>
          <w:sz w:val="16"/>
          <w:szCs w:val="16"/>
        </w:rPr>
        <w:t xml:space="preserve">. 73.   </w:t>
      </w:r>
      <w:r w:rsidRPr="0002664E">
        <w:rPr>
          <w:rFonts w:ascii="Cambria" w:hAnsi="Cambria" w:cs="Calibri"/>
          <w:sz w:val="16"/>
          <w:szCs w:val="16"/>
        </w:rPr>
        <w:t xml:space="preserve"> </w:t>
      </w:r>
    </w:p>
  </w:footnote>
  <w:footnote w:id="100">
    <w:p w14:paraId="73CC14AE" w14:textId="77777777" w:rsidR="00D568AC" w:rsidRPr="0002664E" w:rsidRDefault="00D568AC" w:rsidP="00D568AC">
      <w:pPr>
        <w:pStyle w:val="FootnoteText"/>
        <w:jc w:val="both"/>
        <w:rPr>
          <w:rFonts w:ascii="Cambria" w:hAnsi="Cambria"/>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OEA/Ser.L/V/II. Doc. 54/13 17 October 2013 Original: Spanish, par. 174.</w:t>
      </w:r>
    </w:p>
  </w:footnote>
  <w:footnote w:id="101">
    <w:p w14:paraId="77423E3C"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UN General Assembly. Sixty-fourth session. Resolution 64/142. Guidelines for the Alternative Care of Children. 24 February 2010. Accessible at: </w:t>
      </w:r>
      <w:hyperlink r:id="rId3" w:history="1">
        <w:r w:rsidRPr="0002664E">
          <w:rPr>
            <w:rStyle w:val="Hyperlink"/>
            <w:rFonts w:ascii="Cambria" w:hAnsi="Cambria"/>
            <w:sz w:val="16"/>
            <w:szCs w:val="16"/>
          </w:rPr>
          <w:t>https://undocs.org/en/A/RES/64/142</w:t>
        </w:r>
      </w:hyperlink>
      <w:r w:rsidRPr="0002664E">
        <w:rPr>
          <w:rFonts w:ascii="Cambria" w:hAnsi="Cambria"/>
          <w:sz w:val="16"/>
          <w:szCs w:val="16"/>
        </w:rPr>
        <w:t xml:space="preserve"> </w:t>
      </w:r>
    </w:p>
  </w:footnote>
  <w:footnote w:id="102">
    <w:p w14:paraId="435A7AB5"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195. </w:t>
      </w:r>
    </w:p>
  </w:footnote>
  <w:footnote w:id="103">
    <w:p w14:paraId="012255CA" w14:textId="77777777" w:rsidR="00D568AC" w:rsidRPr="0002664E" w:rsidRDefault="00D568AC" w:rsidP="00D568AC">
      <w:pPr>
        <w:autoSpaceDE w:val="0"/>
        <w:autoSpaceDN w:val="0"/>
        <w:adjustRightInd w:val="0"/>
        <w:jc w:val="both"/>
        <w:rPr>
          <w:rFonts w:ascii="Cambria" w:eastAsiaTheme="minorHAnsi" w:hAnsi="Cambria" w:cs="Calibri"/>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eastAsiaTheme="minorHAnsi" w:hAnsi="Cambria" w:cs="Calibri"/>
          <w:sz w:val="16"/>
          <w:szCs w:val="16"/>
        </w:rPr>
        <w:t>IA Court HR. Case of Gelman v. Uruguay. Merits and Reparations. Judgment of February 24, 2011. Series C No. 221, par. 125. IA Court HR. Juridical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w:t>
      </w:r>
      <w:r w:rsidRPr="0002664E">
        <w:rPr>
          <w:rFonts w:ascii="Cambria" w:hAnsi="Cambria" w:cs="Calibri"/>
          <w:sz w:val="16"/>
          <w:szCs w:val="16"/>
        </w:rPr>
        <w:t>.</w:t>
      </w:r>
      <w:r w:rsidRPr="0002664E">
        <w:rPr>
          <w:rFonts w:ascii="Cambria" w:eastAsiaTheme="minorHAnsi" w:hAnsi="Cambria" w:cs="Calibri"/>
          <w:sz w:val="16"/>
          <w:szCs w:val="16"/>
        </w:rPr>
        <w:t xml:space="preserve"> 75.</w:t>
      </w:r>
    </w:p>
  </w:footnote>
  <w:footnote w:id="104">
    <w:p w14:paraId="1D41C64E" w14:textId="77777777" w:rsidR="00D568AC" w:rsidRPr="0002664E" w:rsidRDefault="00D568AC" w:rsidP="00D568AC">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75. </w:t>
      </w:r>
    </w:p>
  </w:footnote>
  <w:footnote w:id="105">
    <w:p w14:paraId="7F616058" w14:textId="77777777" w:rsidR="007F6759" w:rsidRPr="0002664E" w:rsidRDefault="007F6759" w:rsidP="00572E07">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223. </w:t>
      </w:r>
    </w:p>
  </w:footnote>
  <w:footnote w:id="106">
    <w:p w14:paraId="55BA1CA5" w14:textId="77777777" w:rsidR="007F6759" w:rsidRPr="0002664E" w:rsidRDefault="007F6759" w:rsidP="00B84FF9">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cs="Calibri"/>
          <w:sz w:val="16"/>
          <w:szCs w:val="16"/>
        </w:rPr>
        <w:t>IA Court HR.</w:t>
      </w:r>
      <w:r w:rsidRPr="0002664E">
        <w:rPr>
          <w:rFonts w:ascii="Cambria" w:eastAsiaTheme="minorHAnsi" w:hAnsi="Cambria" w:cs="Calibri"/>
          <w:sz w:val="16"/>
          <w:szCs w:val="16"/>
        </w:rPr>
        <w:t xml:space="preserve"> Juridical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w:t>
      </w:r>
      <w:r w:rsidRPr="0002664E">
        <w:rPr>
          <w:rFonts w:ascii="Cambria" w:hAnsi="Cambria" w:cs="Calibri"/>
          <w:sz w:val="16"/>
          <w:szCs w:val="16"/>
        </w:rPr>
        <w:t>. 113.</w:t>
      </w:r>
    </w:p>
  </w:footnote>
  <w:footnote w:id="107">
    <w:p w14:paraId="5FE9D429" w14:textId="77777777" w:rsidR="007F6759" w:rsidRPr="0002664E" w:rsidRDefault="007F6759" w:rsidP="00B84FF9">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cs="Calibri"/>
          <w:sz w:val="16"/>
          <w:szCs w:val="16"/>
        </w:rPr>
        <w:t xml:space="preserve"> </w:t>
      </w:r>
      <w:r>
        <w:rPr>
          <w:rFonts w:ascii="Cambria" w:hAnsi="Cambria" w:cs="Calibri"/>
          <w:sz w:val="16"/>
          <w:szCs w:val="16"/>
        </w:rPr>
        <w:t>c</w:t>
      </w:r>
      <w:r w:rsidRPr="0002664E">
        <w:rPr>
          <w:rFonts w:ascii="Cambria" w:hAnsi="Cambria" w:cs="Calibri"/>
          <w:sz w:val="16"/>
          <w:szCs w:val="16"/>
        </w:rPr>
        <w:t xml:space="preserve">. Judgment of August 31, 2012. Series C No. 246, par. 127. European Court on Human Rights. Case of V.A.M. v. Serbia, Judgment 13 March 2007, pars. 99 and 101. The European Court of Human Rights has ruled that cases that could affect the enjoyment of rights related to respect for family life, should be handled with exceptional diligence and relevant consideration, so that States should organize their judicial systems so that they can comply with the requirements of due process, including the obligation to hear cases in a reasonable time. </w:t>
      </w:r>
    </w:p>
  </w:footnote>
  <w:footnote w:id="108">
    <w:p w14:paraId="287D0A27" w14:textId="77777777" w:rsidR="007F6759" w:rsidRPr="0002664E" w:rsidRDefault="007F6759" w:rsidP="009E5A14">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cs="Calibri"/>
          <w:sz w:val="16"/>
          <w:szCs w:val="16"/>
        </w:rPr>
        <w:t xml:space="preserve">IA Court HR. </w:t>
      </w:r>
      <w:r w:rsidRPr="0002664E">
        <w:rPr>
          <w:rFonts w:ascii="Cambria" w:hAnsi="Cambria" w:cs="Calibri"/>
          <w:iCs/>
          <w:sz w:val="16"/>
          <w:szCs w:val="16"/>
        </w:rPr>
        <w:t>Case of Fornerón and daughter v. Argentina. Merits, Reparations, and Costs</w:t>
      </w:r>
      <w:r w:rsidRPr="0002664E">
        <w:rPr>
          <w:rFonts w:ascii="Cambria" w:hAnsi="Cambria" w:cs="Calibri"/>
          <w:sz w:val="16"/>
          <w:szCs w:val="16"/>
        </w:rPr>
        <w:t xml:space="preserve">. Judgment of April 27, 2012 Series C No. 242, pars. 52.  Order of the Inter-American Court of Human Rights of July 1, 2011, Provisional Measures with Regard to Paraguay, Matter of L.M..  Considering that par. 18. </w:t>
      </w:r>
    </w:p>
  </w:footnote>
  <w:footnote w:id="109">
    <w:p w14:paraId="5FFB4B2A" w14:textId="77777777" w:rsidR="007F6759" w:rsidRPr="0002664E" w:rsidRDefault="007F6759" w:rsidP="00375013">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cs="Calibri"/>
          <w:sz w:val="16"/>
          <w:szCs w:val="16"/>
        </w:rPr>
        <w:t xml:space="preserve">IA Court HR. </w:t>
      </w:r>
      <w:r w:rsidRPr="0002664E">
        <w:rPr>
          <w:rFonts w:ascii="Cambria" w:eastAsiaTheme="minorHAnsi" w:hAnsi="Cambria" w:cs="Calibri-Italic"/>
          <w:sz w:val="16"/>
          <w:szCs w:val="16"/>
        </w:rPr>
        <w:t>Case of Atala Riffo and Daughters v. Chile</w:t>
      </w:r>
      <w:r w:rsidRPr="0002664E">
        <w:rPr>
          <w:rFonts w:ascii="Cambria" w:eastAsiaTheme="minorHAnsi" w:hAnsi="Cambria" w:cs="Calibri"/>
          <w:sz w:val="16"/>
          <w:szCs w:val="16"/>
        </w:rPr>
        <w:t>.  Merits, Reparations, and Costs. Judgment of February 24, 2012</w:t>
      </w:r>
      <w:r w:rsidRPr="0002664E">
        <w:rPr>
          <w:rFonts w:ascii="Cambria" w:hAnsi="Cambria" w:cs="Calibri"/>
          <w:sz w:val="16"/>
          <w:szCs w:val="16"/>
        </w:rPr>
        <w:t xml:space="preserve">. Series C No. 239, par. 196; </w:t>
      </w:r>
      <w:r w:rsidRPr="0002664E">
        <w:rPr>
          <w:rFonts w:ascii="Cambria" w:hAnsi="Cambria" w:cs="Calibri"/>
          <w:iCs/>
          <w:sz w:val="16"/>
          <w:szCs w:val="16"/>
        </w:rPr>
        <w:t xml:space="preserve">Case of Furlan and Family v. Argentina. </w:t>
      </w:r>
      <w:r w:rsidRPr="0002664E">
        <w:rPr>
          <w:rFonts w:ascii="Cambria" w:hAnsi="Cambria" w:cs="Calibri"/>
          <w:sz w:val="16"/>
          <w:szCs w:val="16"/>
        </w:rPr>
        <w:t xml:space="preserve">Preliminary Objections, Merits, Reparations, and Costs.  Judgment of August 31, 2012. Series C No. 246, par. 228, </w:t>
      </w:r>
    </w:p>
  </w:footnote>
  <w:footnote w:id="110">
    <w:p w14:paraId="467F71A9" w14:textId="77777777" w:rsidR="007F6759" w:rsidRPr="0002664E" w:rsidRDefault="007F6759" w:rsidP="00375013">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cs="Calibri"/>
          <w:sz w:val="16"/>
          <w:szCs w:val="16"/>
        </w:rPr>
        <w:t>IA Court HR. J</w:t>
      </w:r>
      <w:r w:rsidRPr="0002664E">
        <w:rPr>
          <w:rFonts w:ascii="Cambria" w:eastAsiaTheme="minorHAnsi" w:hAnsi="Cambria" w:cs="Calibri"/>
          <w:sz w:val="16"/>
          <w:szCs w:val="16"/>
        </w:rPr>
        <w:t>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pars</w:t>
      </w:r>
      <w:r w:rsidRPr="0002664E">
        <w:rPr>
          <w:rFonts w:ascii="Cambria" w:hAnsi="Cambria" w:cs="Calibri"/>
          <w:sz w:val="16"/>
          <w:szCs w:val="16"/>
        </w:rPr>
        <w:t xml:space="preserve">. 96 and 98. IACHR. Report No. 83/10, Case 12.584, Merits. Milagros Fornerón and Leonardo Aníbal Fornerón. Argentina, November 29, 2010, par 75. </w:t>
      </w:r>
    </w:p>
  </w:footnote>
  <w:footnote w:id="111">
    <w:p w14:paraId="22382D59" w14:textId="77777777" w:rsidR="007F6759" w:rsidRPr="0002664E" w:rsidRDefault="007F6759" w:rsidP="007F4789">
      <w:pPr>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Convention on the Rights of the Child.  Article 12: </w:t>
      </w:r>
    </w:p>
    <w:p w14:paraId="603077B6" w14:textId="77777777" w:rsidR="007F6759" w:rsidRPr="0002664E" w:rsidRDefault="007F6759" w:rsidP="00816E90">
      <w:pPr>
        <w:pStyle w:val="NormalWeb"/>
        <w:shd w:val="clear" w:color="auto" w:fill="FFFFFF"/>
        <w:spacing w:before="0" w:beforeAutospacing="0" w:after="88" w:afterAutospacing="0"/>
        <w:ind w:left="720"/>
        <w:rPr>
          <w:rFonts w:ascii="Cambria" w:hAnsi="Cambria"/>
          <w:color w:val="000000"/>
          <w:sz w:val="16"/>
          <w:szCs w:val="16"/>
        </w:rPr>
      </w:pPr>
      <w:r w:rsidRPr="0002664E">
        <w:rPr>
          <w:rFonts w:ascii="Cambria" w:hAnsi="Cambria"/>
          <w:color w:val="000000"/>
          <w:sz w:val="16"/>
          <w:szCs w:val="16"/>
        </w:rPr>
        <w:t>1. States Parties shall assure to the child who is capable of forming his or her own views the right to express those views freely in all matters affecting the child, the views of the child being given due weight in accordance with the age and maturity of the child.</w:t>
      </w:r>
    </w:p>
    <w:p w14:paraId="3E6D6CCA" w14:textId="77777777" w:rsidR="007F6759" w:rsidRPr="0002664E" w:rsidRDefault="007F6759" w:rsidP="00816E90">
      <w:pPr>
        <w:pStyle w:val="NormalWeb"/>
        <w:shd w:val="clear" w:color="auto" w:fill="FFFFFF"/>
        <w:spacing w:before="0" w:beforeAutospacing="0" w:after="88" w:afterAutospacing="0"/>
        <w:ind w:left="720"/>
        <w:rPr>
          <w:rFonts w:ascii="Cambria" w:hAnsi="Cambria"/>
          <w:color w:val="000000"/>
          <w:sz w:val="16"/>
          <w:szCs w:val="16"/>
        </w:rPr>
      </w:pPr>
      <w:r w:rsidRPr="0002664E">
        <w:rPr>
          <w:rFonts w:ascii="Cambria" w:hAnsi="Cambria"/>
          <w:color w:val="000000"/>
          <w:sz w:val="16"/>
          <w:szCs w:val="16"/>
        </w:rP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p>
  </w:footnote>
  <w:footnote w:id="112">
    <w:p w14:paraId="06F35BE6" w14:textId="77777777" w:rsidR="007F6759" w:rsidRPr="0002664E" w:rsidRDefault="007F6759" w:rsidP="0064706D">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OEA/Ser.L/V/II. Doc. 54/13 17 October 2013 Original: Spanish, par. 253.</w:t>
      </w:r>
      <w:r w:rsidRPr="0002664E">
        <w:rPr>
          <w:rFonts w:ascii="Cambria" w:hAnsi="Cambria"/>
          <w:sz w:val="16"/>
          <w:szCs w:val="16"/>
        </w:rPr>
        <w:t xml:space="preserve"> </w:t>
      </w:r>
      <w:r w:rsidRPr="0002664E">
        <w:rPr>
          <w:rFonts w:ascii="Cambria" w:hAnsi="Cambria" w:cs="Calibri"/>
          <w:sz w:val="16"/>
          <w:szCs w:val="16"/>
        </w:rPr>
        <w:t xml:space="preserve">Committee on the Right of the Child, General Comment No. 12. The right of the child to be heard, CRC/C/GC/12, 20 July 2009, par. 19. </w:t>
      </w:r>
    </w:p>
  </w:footnote>
  <w:footnote w:id="113">
    <w:p w14:paraId="41194A37" w14:textId="77777777" w:rsidR="007F6759" w:rsidRPr="0002664E" w:rsidRDefault="007F6759" w:rsidP="0064706D">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cs="Calibri"/>
          <w:sz w:val="16"/>
          <w:szCs w:val="16"/>
        </w:rPr>
        <w:t xml:space="preserve">Committee on the Right of the Child, General Comment No. 12. The right of the child to be heard, CRC/C/GC/12, 20 July 2009, pars. 11, 22, and 23. </w:t>
      </w:r>
    </w:p>
  </w:footnote>
  <w:footnote w:id="114">
    <w:p w14:paraId="0240FAA6" w14:textId="77777777" w:rsidR="007F6759" w:rsidRPr="0002664E" w:rsidRDefault="007F6759" w:rsidP="0064706D">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cs="Calibri"/>
          <w:sz w:val="16"/>
          <w:szCs w:val="16"/>
        </w:rPr>
        <w:t xml:space="preserve">Committee on the Right of the Child, General Comment No. 12. The right of the child to be heard, CRC/C/GC/12, 20 July 2009, par. 44. IA Court HR. </w:t>
      </w:r>
      <w:r w:rsidRPr="0002664E">
        <w:rPr>
          <w:rFonts w:ascii="Cambria" w:eastAsiaTheme="minorHAnsi" w:hAnsi="Cambria" w:cs="Calibri-Italic"/>
          <w:sz w:val="16"/>
          <w:szCs w:val="16"/>
        </w:rPr>
        <w:t>Case of Atala Riffo and Daughters v. Chile</w:t>
      </w:r>
      <w:r w:rsidRPr="0002664E">
        <w:rPr>
          <w:rFonts w:ascii="Cambria" w:eastAsiaTheme="minorHAnsi" w:hAnsi="Cambria" w:cs="Calibri"/>
          <w:sz w:val="16"/>
          <w:szCs w:val="16"/>
        </w:rPr>
        <w:t>.  Merits, Reparations, and Costs. Judgment of February 24, 2012</w:t>
      </w:r>
      <w:r w:rsidRPr="0002664E">
        <w:rPr>
          <w:rFonts w:ascii="Cambria" w:hAnsi="Cambria" w:cs="Calibri"/>
          <w:sz w:val="16"/>
          <w:szCs w:val="16"/>
        </w:rPr>
        <w:t xml:space="preserve">. Series C No. 239, par. 200. </w:t>
      </w:r>
      <w:r w:rsidRPr="0002664E">
        <w:rPr>
          <w:rFonts w:ascii="Cambria" w:hAnsi="Cambria"/>
          <w:sz w:val="16"/>
          <w:szCs w:val="16"/>
        </w:rPr>
        <w:t xml:space="preserve">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260. </w:t>
      </w:r>
    </w:p>
  </w:footnote>
  <w:footnote w:id="115">
    <w:p w14:paraId="11DC5D8B" w14:textId="77777777" w:rsidR="007F6759" w:rsidRPr="0002664E" w:rsidRDefault="007F6759" w:rsidP="0064706D">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The Right of Boys and Girls to a Family.  Alternative Care.  Ending Institutionalization in the Americas. </w:t>
      </w:r>
      <w:r w:rsidRPr="0002664E">
        <w:rPr>
          <w:rFonts w:ascii="Cambria" w:eastAsiaTheme="minorHAnsi" w:hAnsi="Cambria" w:cs="Calibri"/>
          <w:sz w:val="16"/>
          <w:szCs w:val="16"/>
        </w:rPr>
        <w:t xml:space="preserve">OEA/Ser.L/V/II. Doc. 54/13 17 October 2013 Original: Spanish, par. 277. </w:t>
      </w:r>
    </w:p>
  </w:footnote>
  <w:footnote w:id="116">
    <w:p w14:paraId="4DFD498E" w14:textId="77777777" w:rsidR="007F6759" w:rsidRPr="0002664E" w:rsidRDefault="007F6759" w:rsidP="009A1890">
      <w:pPr>
        <w:pStyle w:val="NormalWeb"/>
        <w:spacing w:before="0" w:beforeAutospacing="0" w:after="0" w:afterAutospacing="0"/>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w:t>
      </w:r>
      <w:r w:rsidRPr="0002664E">
        <w:rPr>
          <w:rFonts w:ascii="Cambria" w:hAnsi="Cambria" w:cs="Calibri"/>
          <w:sz w:val="16"/>
          <w:szCs w:val="16"/>
        </w:rPr>
        <w:t>IA Court HR. J</w:t>
      </w:r>
      <w:r w:rsidRPr="0002664E">
        <w:rPr>
          <w:rFonts w:ascii="Cambria" w:eastAsiaTheme="minorHAnsi" w:hAnsi="Cambria" w:cs="Calibri"/>
          <w:sz w:val="16"/>
          <w:szCs w:val="16"/>
        </w:rPr>
        <w:t>uridical Condition and Human Rights of the Child.</w:t>
      </w:r>
      <w:r w:rsidRPr="0002664E">
        <w:rPr>
          <w:rFonts w:ascii="Cambria" w:eastAsiaTheme="minorHAnsi" w:hAnsi="Cambria" w:cs="Calibri-Italic"/>
          <w:sz w:val="16"/>
          <w:szCs w:val="16"/>
        </w:rPr>
        <w:t xml:space="preserve">  Advisory Opinion</w:t>
      </w:r>
      <w:r w:rsidRPr="0002664E">
        <w:rPr>
          <w:rFonts w:ascii="Cambria" w:eastAsiaTheme="minorHAnsi" w:hAnsi="Cambria" w:cs="Calibri"/>
          <w:sz w:val="16"/>
          <w:szCs w:val="16"/>
        </w:rPr>
        <w:t xml:space="preserve"> OC-17/02, of August 28, 2002. Series A No. 17, par</w:t>
      </w:r>
      <w:r w:rsidRPr="0002664E">
        <w:rPr>
          <w:rFonts w:ascii="Cambria" w:hAnsi="Cambria" w:cs="Calibri"/>
          <w:sz w:val="16"/>
          <w:szCs w:val="16"/>
        </w:rPr>
        <w:t>s. 95, 96, and 98. IACHR. Report No. 83/10, Case 12.584,</w:t>
      </w:r>
      <w:r w:rsidRPr="0002664E">
        <w:rPr>
          <w:rFonts w:ascii="Cambria" w:eastAsiaTheme="minorHAnsi" w:hAnsi="Cambria" w:cs="Calibri"/>
          <w:sz w:val="16"/>
          <w:szCs w:val="16"/>
        </w:rPr>
        <w:t xml:space="preserve"> Merits, Milagros Fornerón and Leonardo Aníbal Fornerón, Argentina, November 29, 2010, par.</w:t>
      </w:r>
      <w:r w:rsidRPr="0002664E">
        <w:rPr>
          <w:rFonts w:ascii="Cambria" w:hAnsi="Cambria" w:cs="Calibri"/>
          <w:sz w:val="16"/>
          <w:szCs w:val="16"/>
        </w:rPr>
        <w:t xml:space="preserve"> 75. IA Court HR. </w:t>
      </w:r>
      <w:r w:rsidRPr="0002664E">
        <w:rPr>
          <w:rFonts w:ascii="Cambria" w:hAnsi="Cambria" w:cs="Calibri"/>
          <w:iCs/>
          <w:sz w:val="16"/>
          <w:szCs w:val="16"/>
        </w:rPr>
        <w:t xml:space="preserve">Case of Furlan and Family v. Argentina. </w:t>
      </w:r>
      <w:r w:rsidRPr="0002664E">
        <w:rPr>
          <w:rFonts w:ascii="Cambria" w:hAnsi="Cambria" w:cs="Calibri"/>
          <w:sz w:val="16"/>
          <w:szCs w:val="16"/>
        </w:rPr>
        <w:t xml:space="preserve">Preliminary Objections, Merits, Reparations, and Costs.  Judgment of August 31, 2012. Series C No. 246, pars. 196, 241, and 242.  See also: Brasilia Regulations on Access to Justice for Vulnerable People, approved by the XIV Ibero-American Judicial Summit, held in Brasilia, from March 4 to 6, 2008. </w:t>
      </w:r>
    </w:p>
  </w:footnote>
  <w:footnote w:id="117">
    <w:p w14:paraId="08FBB5F0" w14:textId="77777777" w:rsidR="007F6759" w:rsidRPr="0002664E" w:rsidRDefault="007F6759" w:rsidP="000319EB">
      <w:pPr>
        <w:pStyle w:val="FootnoteText"/>
        <w:tabs>
          <w:tab w:val="left" w:pos="567"/>
        </w:tabs>
        <w:contextualSpacing/>
        <w:jc w:val="both"/>
        <w:rPr>
          <w:rFonts w:ascii="Cambria" w:hAnsi="Cambria" w:cs="Vrinda"/>
          <w:spacing w:val="-4"/>
          <w:sz w:val="16"/>
          <w:szCs w:val="16"/>
        </w:rPr>
      </w:pPr>
      <w:r w:rsidRPr="0002664E">
        <w:rPr>
          <w:rStyle w:val="FootnoteReference"/>
          <w:rFonts w:ascii="Verdana" w:hAnsi="Verdana" w:cs="Vrinda"/>
          <w:spacing w:val="-4"/>
          <w:sz w:val="16"/>
          <w:szCs w:val="16"/>
        </w:rPr>
        <w:footnoteRef/>
      </w:r>
      <w:r w:rsidRPr="00A03E66">
        <w:rPr>
          <w:rFonts w:ascii="Verdana" w:hAnsi="Verdana" w:cs="Vrinda"/>
          <w:spacing w:val="-4"/>
          <w:sz w:val="16"/>
          <w:szCs w:val="16"/>
          <w:lang w:val="pt-BR"/>
        </w:rPr>
        <w:t xml:space="preserve"> </w:t>
      </w:r>
      <w:r w:rsidRPr="00A03E66">
        <w:rPr>
          <w:rFonts w:ascii="Cambria" w:hAnsi="Cambria" w:cs="Vrinda"/>
          <w:i/>
          <w:spacing w:val="-4"/>
          <w:sz w:val="16"/>
          <w:szCs w:val="16"/>
          <w:lang w:val="pt-BR"/>
        </w:rPr>
        <w:t>Cf. Case of Yatama v. Nicaragua.</w:t>
      </w:r>
      <w:r w:rsidRPr="00A03E66">
        <w:rPr>
          <w:rFonts w:ascii="Cambria" w:hAnsi="Cambria" w:cs="Vrinda"/>
          <w:b/>
          <w:i/>
          <w:spacing w:val="-4"/>
          <w:sz w:val="16"/>
          <w:szCs w:val="16"/>
          <w:lang w:val="pt-BR"/>
        </w:rPr>
        <w:t xml:space="preserve"> </w:t>
      </w:r>
      <w:r w:rsidRPr="0002664E">
        <w:rPr>
          <w:rStyle w:val="Strong"/>
          <w:rFonts w:ascii="Cambria" w:hAnsi="Cambria"/>
          <w:b w:val="0"/>
          <w:i/>
          <w:sz w:val="16"/>
          <w:szCs w:val="16"/>
        </w:rPr>
        <w:t>Preliminary Objections, Merits, Reparations and Costs</w:t>
      </w:r>
      <w:r w:rsidRPr="0002664E">
        <w:rPr>
          <w:rStyle w:val="Strong"/>
          <w:rFonts w:ascii="Cambria" w:hAnsi="Cambria"/>
          <w:b w:val="0"/>
          <w:sz w:val="16"/>
          <w:szCs w:val="16"/>
        </w:rPr>
        <w:t>. Judgment of June 23, 2005. Series C No. 127</w:t>
      </w:r>
      <w:r w:rsidRPr="0002664E">
        <w:rPr>
          <w:rFonts w:ascii="Cambria" w:hAnsi="Cambria" w:cs="Vrinda"/>
          <w:spacing w:val="-4"/>
          <w:sz w:val="16"/>
          <w:szCs w:val="16"/>
        </w:rPr>
        <w:t xml:space="preserve">, par. 186, and </w:t>
      </w:r>
      <w:r w:rsidRPr="0002664E">
        <w:rPr>
          <w:rStyle w:val="Strong"/>
          <w:rFonts w:ascii="Cambria" w:hAnsi="Cambria"/>
          <w:b w:val="0"/>
          <w:i/>
          <w:color w:val="000000"/>
          <w:sz w:val="16"/>
          <w:szCs w:val="16"/>
          <w:shd w:val="clear" w:color="auto" w:fill="FFFFFF"/>
        </w:rPr>
        <w:t>Case of Espinoza Gonzáles v. Peru</w:t>
      </w:r>
      <w:r w:rsidRPr="0002664E">
        <w:rPr>
          <w:rStyle w:val="Strong"/>
          <w:rFonts w:ascii="Cambria" w:hAnsi="Cambria"/>
          <w:b w:val="0"/>
          <w:color w:val="000000"/>
          <w:sz w:val="16"/>
          <w:szCs w:val="16"/>
          <w:shd w:val="clear" w:color="auto" w:fill="FFFFFF"/>
        </w:rPr>
        <w:t xml:space="preserve">, </w:t>
      </w:r>
      <w:r w:rsidRPr="0002664E">
        <w:rPr>
          <w:rStyle w:val="Strong"/>
          <w:rFonts w:ascii="Cambria" w:hAnsi="Cambria" w:cs="Vrinda"/>
          <w:b w:val="0"/>
          <w:i/>
          <w:color w:val="000000"/>
          <w:spacing w:val="-4"/>
          <w:sz w:val="16"/>
          <w:szCs w:val="16"/>
        </w:rPr>
        <w:t>supra,</w:t>
      </w:r>
      <w:r w:rsidRPr="0002664E">
        <w:rPr>
          <w:rStyle w:val="Strong"/>
          <w:rFonts w:ascii="Cambria" w:hAnsi="Cambria" w:cs="Vrinda"/>
          <w:b w:val="0"/>
          <w:color w:val="000000"/>
          <w:spacing w:val="-4"/>
          <w:sz w:val="16"/>
          <w:szCs w:val="16"/>
        </w:rPr>
        <w:t xml:space="preserve"> par.</w:t>
      </w:r>
      <w:r w:rsidRPr="0002664E">
        <w:rPr>
          <w:rStyle w:val="Strong"/>
          <w:rFonts w:ascii="Cambria" w:hAnsi="Cambria"/>
          <w:b w:val="0"/>
          <w:color w:val="000000"/>
          <w:sz w:val="16"/>
          <w:szCs w:val="16"/>
          <w:shd w:val="clear" w:color="auto" w:fill="FFFFFF"/>
        </w:rPr>
        <w:t xml:space="preserve"> 217.</w:t>
      </w:r>
    </w:p>
  </w:footnote>
  <w:footnote w:id="118">
    <w:p w14:paraId="3B7F7A80" w14:textId="77777777" w:rsidR="007F6759" w:rsidRPr="0002664E" w:rsidRDefault="007F6759" w:rsidP="003626B1">
      <w:pPr>
        <w:jc w:val="both"/>
        <w:rPr>
          <w:rFonts w:ascii="Cambria" w:hAnsi="Cambria"/>
          <w:b/>
          <w:bCs/>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 Court HR. </w:t>
      </w:r>
      <w:r w:rsidRPr="0002664E">
        <w:rPr>
          <w:rFonts w:ascii="Cambria" w:hAnsi="Cambria"/>
          <w:i/>
          <w:sz w:val="16"/>
          <w:szCs w:val="16"/>
        </w:rPr>
        <w:t xml:space="preserve">Case of </w:t>
      </w:r>
      <w:r w:rsidRPr="0002664E">
        <w:rPr>
          <w:rStyle w:val="Strong"/>
          <w:rFonts w:ascii="Cambria" w:hAnsi="Cambria"/>
          <w:b w:val="0"/>
          <w:i/>
          <w:sz w:val="16"/>
          <w:szCs w:val="16"/>
        </w:rPr>
        <w:t>Flor Freire v. Ecuador</w:t>
      </w:r>
      <w:r w:rsidRPr="0002664E">
        <w:rPr>
          <w:rStyle w:val="Strong"/>
          <w:rFonts w:ascii="Cambria" w:hAnsi="Cambria"/>
          <w:b w:val="0"/>
          <w:sz w:val="16"/>
          <w:szCs w:val="16"/>
        </w:rPr>
        <w:t>. Preliminary Objection, Merits, Reparations and Costs. Judgment of August 31, 2016. Series C No. 315, par. 109. [Available only in Spanish]</w:t>
      </w:r>
    </w:p>
  </w:footnote>
  <w:footnote w:id="119">
    <w:p w14:paraId="248B50D3" w14:textId="77777777" w:rsidR="007F6759" w:rsidRPr="0002664E" w:rsidRDefault="007F6759" w:rsidP="000319EB">
      <w:pPr>
        <w:pStyle w:val="FootnoteText"/>
        <w:tabs>
          <w:tab w:val="left" w:pos="567"/>
        </w:tabs>
        <w:contextualSpacing/>
        <w:jc w:val="both"/>
        <w:rPr>
          <w:rFonts w:ascii="Verdana" w:hAnsi="Verdana" w:cs="Vrinda"/>
          <w:i/>
          <w:spacing w:val="-4"/>
          <w:sz w:val="16"/>
          <w:szCs w:val="16"/>
        </w:rPr>
      </w:pPr>
      <w:r w:rsidRPr="0002664E">
        <w:rPr>
          <w:rStyle w:val="FootnoteReference"/>
          <w:rFonts w:ascii="Cambria" w:hAnsi="Cambria" w:cs="Vrinda"/>
          <w:spacing w:val="-4"/>
          <w:sz w:val="16"/>
          <w:szCs w:val="16"/>
        </w:rPr>
        <w:footnoteRef/>
      </w:r>
      <w:r w:rsidRPr="0002664E">
        <w:rPr>
          <w:rStyle w:val="FootnoteReference"/>
          <w:rFonts w:ascii="Cambria" w:hAnsi="Cambria" w:cs="Vrinda"/>
          <w:spacing w:val="-4"/>
          <w:sz w:val="16"/>
          <w:szCs w:val="16"/>
        </w:rPr>
        <w:t xml:space="preserve"> </w:t>
      </w:r>
      <w:r w:rsidRPr="0002664E">
        <w:rPr>
          <w:rStyle w:val="Strong"/>
          <w:rFonts w:ascii="Cambria" w:hAnsi="Cambria"/>
          <w:b w:val="0"/>
          <w:i/>
          <w:color w:val="000000"/>
          <w:spacing w:val="-4"/>
          <w:sz w:val="16"/>
          <w:szCs w:val="16"/>
          <w:shd w:val="clear" w:color="auto" w:fill="FFFFFF"/>
        </w:rPr>
        <w:t>Case of González et al. (“Cotton Field”) v. Mexico. Preliminary Objection, Merits, Reparations, and Costs</w:t>
      </w:r>
      <w:r w:rsidRPr="0002664E">
        <w:rPr>
          <w:rStyle w:val="Strong"/>
          <w:rFonts w:ascii="Cambria" w:hAnsi="Cambria"/>
          <w:b w:val="0"/>
          <w:color w:val="000000"/>
          <w:spacing w:val="-4"/>
          <w:sz w:val="16"/>
          <w:szCs w:val="16"/>
          <w:shd w:val="clear" w:color="auto" w:fill="FFFFFF"/>
        </w:rPr>
        <w:t xml:space="preserve">. Judgment of November 16, 2009. Series C No.205, </w:t>
      </w:r>
      <w:r w:rsidRPr="0002664E">
        <w:rPr>
          <w:rFonts w:ascii="Cambria" w:hAnsi="Cambria" w:cs="Vrinda"/>
          <w:spacing w:val="-4"/>
          <w:sz w:val="16"/>
          <w:szCs w:val="16"/>
        </w:rPr>
        <w:t>par. 396, citing the Convention of Belém do Pará, preamble and Article 6.</w:t>
      </w:r>
      <w:r w:rsidRPr="0002664E">
        <w:rPr>
          <w:rFonts w:ascii="Verdana" w:hAnsi="Verdana" w:cs="Vrinda"/>
          <w:spacing w:val="-4"/>
          <w:sz w:val="16"/>
          <w:szCs w:val="16"/>
        </w:rPr>
        <w:t xml:space="preserve"> </w:t>
      </w:r>
    </w:p>
  </w:footnote>
  <w:footnote w:id="120">
    <w:p w14:paraId="0FA87DB4" w14:textId="77777777" w:rsidR="007F6759" w:rsidRPr="0002664E" w:rsidRDefault="007F6759" w:rsidP="00E056CE">
      <w:pPr>
        <w:pStyle w:val="FootnoteText"/>
        <w:tabs>
          <w:tab w:val="left" w:pos="567"/>
        </w:tabs>
        <w:contextualSpacing/>
        <w:jc w:val="both"/>
        <w:rPr>
          <w:rFonts w:ascii="Cambria" w:hAnsi="Cambria" w:cs="Vrinda"/>
          <w:spacing w:val="-4"/>
          <w:sz w:val="16"/>
          <w:szCs w:val="16"/>
        </w:rPr>
      </w:pPr>
      <w:r w:rsidRPr="0002664E">
        <w:rPr>
          <w:rStyle w:val="FootnoteReference"/>
          <w:rFonts w:ascii="Verdana" w:hAnsi="Verdana" w:cs="Vrinda"/>
          <w:spacing w:val="-4"/>
          <w:sz w:val="16"/>
          <w:szCs w:val="16"/>
        </w:rPr>
        <w:footnoteRef/>
      </w:r>
      <w:r w:rsidRPr="0002664E">
        <w:rPr>
          <w:rFonts w:ascii="Verdana" w:hAnsi="Verdana" w:cs="Vrinda"/>
          <w:spacing w:val="-4"/>
          <w:sz w:val="16"/>
          <w:szCs w:val="16"/>
        </w:rPr>
        <w:t xml:space="preserve"> </w:t>
      </w:r>
      <w:r w:rsidRPr="0002664E">
        <w:rPr>
          <w:rStyle w:val="Strong"/>
          <w:rFonts w:ascii="Cambria" w:hAnsi="Cambria"/>
          <w:b w:val="0"/>
          <w:i/>
          <w:color w:val="000000"/>
          <w:spacing w:val="-4"/>
          <w:sz w:val="16"/>
          <w:szCs w:val="16"/>
          <w:shd w:val="clear" w:color="auto" w:fill="FFFFFF"/>
        </w:rPr>
        <w:t>Case of González et al. (“Cotton Field”) v. Mexico,</w:t>
      </w:r>
      <w:r w:rsidRPr="0002664E">
        <w:rPr>
          <w:rStyle w:val="Strong"/>
          <w:rFonts w:ascii="Cambria" w:hAnsi="Cambria"/>
          <w:b w:val="0"/>
          <w:color w:val="000000"/>
          <w:spacing w:val="-4"/>
          <w:sz w:val="16"/>
          <w:szCs w:val="16"/>
          <w:shd w:val="clear" w:color="auto" w:fill="FFFFFF"/>
        </w:rPr>
        <w:t xml:space="preserve"> </w:t>
      </w:r>
      <w:r w:rsidRPr="0002664E">
        <w:rPr>
          <w:rStyle w:val="Strong"/>
          <w:rFonts w:ascii="Cambria" w:hAnsi="Cambria"/>
          <w:b w:val="0"/>
          <w:i/>
          <w:color w:val="000000"/>
          <w:spacing w:val="-4"/>
          <w:sz w:val="16"/>
          <w:szCs w:val="16"/>
          <w:shd w:val="clear" w:color="auto" w:fill="FFFFFF"/>
        </w:rPr>
        <w:t>supra,</w:t>
      </w:r>
      <w:r w:rsidRPr="0002664E">
        <w:rPr>
          <w:rStyle w:val="Strong"/>
          <w:rFonts w:ascii="Cambria" w:hAnsi="Cambria"/>
          <w:b w:val="0"/>
          <w:color w:val="000000"/>
          <w:spacing w:val="-4"/>
          <w:sz w:val="16"/>
          <w:szCs w:val="16"/>
          <w:shd w:val="clear" w:color="auto" w:fill="FFFFFF"/>
        </w:rPr>
        <w:t xml:space="preserve"> </w:t>
      </w:r>
      <w:r w:rsidRPr="0002664E">
        <w:rPr>
          <w:rFonts w:ascii="Cambria" w:hAnsi="Cambria" w:cs="Vrinda"/>
          <w:spacing w:val="-4"/>
          <w:sz w:val="16"/>
          <w:szCs w:val="16"/>
        </w:rPr>
        <w:t>par. 394, citing the Convention on the Elimination of All Forms of Discrimination against Women, of December 18, 1979, Article 1.</w:t>
      </w:r>
    </w:p>
  </w:footnote>
  <w:footnote w:id="121">
    <w:p w14:paraId="4DEB2E11" w14:textId="77777777" w:rsidR="007F6759" w:rsidRPr="0002664E" w:rsidRDefault="007F6759" w:rsidP="000319EB">
      <w:pPr>
        <w:pStyle w:val="FootnoteText"/>
        <w:tabs>
          <w:tab w:val="left" w:pos="567"/>
        </w:tabs>
        <w:contextualSpacing/>
        <w:jc w:val="both"/>
        <w:rPr>
          <w:rFonts w:ascii="Verdana" w:hAnsi="Verdana" w:cs="Vrinda"/>
          <w:spacing w:val="-4"/>
          <w:sz w:val="16"/>
          <w:szCs w:val="16"/>
        </w:rPr>
      </w:pPr>
      <w:r w:rsidRPr="0002664E">
        <w:rPr>
          <w:rStyle w:val="FootnoteReference"/>
          <w:rFonts w:ascii="Cambria" w:hAnsi="Cambria" w:cs="Vrinda"/>
          <w:spacing w:val="-4"/>
          <w:sz w:val="16"/>
          <w:szCs w:val="16"/>
        </w:rPr>
        <w:footnoteRef/>
      </w:r>
      <w:r>
        <w:rPr>
          <w:rStyle w:val="Strong"/>
          <w:rFonts w:ascii="Cambria" w:hAnsi="Cambria"/>
          <w:b w:val="0"/>
          <w:i/>
          <w:color w:val="000000"/>
          <w:spacing w:val="-4"/>
          <w:sz w:val="16"/>
          <w:szCs w:val="16"/>
          <w:shd w:val="clear" w:color="auto" w:fill="FFFFFF"/>
        </w:rPr>
        <w:t xml:space="preserve"> </w:t>
      </w:r>
      <w:r w:rsidRPr="0002664E">
        <w:rPr>
          <w:rStyle w:val="Strong"/>
          <w:rFonts w:ascii="Cambria" w:hAnsi="Cambria"/>
          <w:b w:val="0"/>
          <w:i/>
          <w:color w:val="000000"/>
          <w:spacing w:val="-4"/>
          <w:sz w:val="16"/>
          <w:szCs w:val="16"/>
          <w:shd w:val="clear" w:color="auto" w:fill="FFFFFF"/>
        </w:rPr>
        <w:t>Case of González et al. (“Cotton Field”) v. Mexico,</w:t>
      </w:r>
      <w:r w:rsidRPr="0002664E">
        <w:rPr>
          <w:rStyle w:val="Strong"/>
          <w:rFonts w:ascii="Cambria" w:hAnsi="Cambria"/>
          <w:b w:val="0"/>
          <w:color w:val="000000"/>
          <w:spacing w:val="-4"/>
          <w:sz w:val="16"/>
          <w:szCs w:val="16"/>
          <w:shd w:val="clear" w:color="auto" w:fill="FFFFFF"/>
        </w:rPr>
        <w:t xml:space="preserve"> </w:t>
      </w:r>
      <w:r w:rsidRPr="0002664E">
        <w:rPr>
          <w:rStyle w:val="Strong"/>
          <w:rFonts w:ascii="Cambria" w:hAnsi="Cambria"/>
          <w:b w:val="0"/>
          <w:i/>
          <w:color w:val="000000"/>
          <w:spacing w:val="-4"/>
          <w:sz w:val="16"/>
          <w:szCs w:val="16"/>
          <w:shd w:val="clear" w:color="auto" w:fill="FFFFFF"/>
        </w:rPr>
        <w:t>supra,</w:t>
      </w:r>
      <w:r w:rsidRPr="0002664E">
        <w:rPr>
          <w:rStyle w:val="Strong"/>
          <w:rFonts w:ascii="Cambria" w:hAnsi="Cambria"/>
          <w:b w:val="0"/>
          <w:color w:val="000000"/>
          <w:spacing w:val="-4"/>
          <w:sz w:val="16"/>
          <w:szCs w:val="16"/>
          <w:shd w:val="clear" w:color="auto" w:fill="FFFFFF"/>
        </w:rPr>
        <w:t xml:space="preserve"> </w:t>
      </w:r>
      <w:r w:rsidRPr="0002664E">
        <w:rPr>
          <w:rFonts w:ascii="Cambria" w:hAnsi="Cambria" w:cs="Vrinda"/>
          <w:spacing w:val="-4"/>
          <w:sz w:val="16"/>
          <w:szCs w:val="16"/>
        </w:rPr>
        <w:t>par. 395, citing the Convention on the Elimination of All Forms of Discrimination against Women,</w:t>
      </w:r>
      <w:r w:rsidRPr="0002664E">
        <w:rPr>
          <w:rFonts w:ascii="Cambria" w:hAnsi="Cambria"/>
          <w:spacing w:val="-4"/>
          <w:sz w:val="16"/>
          <w:szCs w:val="16"/>
        </w:rPr>
        <w:t xml:space="preserve"> General Recommendation 19: Violence against Women, 11</w:t>
      </w:r>
      <w:r w:rsidRPr="0002664E">
        <w:rPr>
          <w:rFonts w:ascii="Cambria" w:hAnsi="Cambria"/>
          <w:spacing w:val="-4"/>
          <w:sz w:val="16"/>
          <w:szCs w:val="16"/>
          <w:vertAlign w:val="superscript"/>
        </w:rPr>
        <w:t>th</w:t>
      </w:r>
      <w:r w:rsidRPr="0002664E">
        <w:rPr>
          <w:rFonts w:ascii="Cambria" w:hAnsi="Cambria"/>
          <w:spacing w:val="-4"/>
          <w:sz w:val="16"/>
          <w:szCs w:val="16"/>
        </w:rPr>
        <w:t xml:space="preserve"> session, 1992, UN Doc. HRI\GEN\1\Rev.1 at 84 (1994),</w:t>
      </w:r>
      <w:r w:rsidRPr="0002664E">
        <w:rPr>
          <w:rFonts w:ascii="Cambria" w:hAnsi="Cambria" w:cs="Vrinda"/>
          <w:spacing w:val="-4"/>
          <w:sz w:val="16"/>
          <w:szCs w:val="16"/>
        </w:rPr>
        <w:t xml:space="preserve"> pars. 1 and 6.</w:t>
      </w:r>
    </w:p>
  </w:footnote>
  <w:footnote w:id="122">
    <w:p w14:paraId="52532D8C" w14:textId="77777777" w:rsidR="007F6759" w:rsidRPr="0002664E" w:rsidRDefault="007F6759" w:rsidP="00BE13CC">
      <w:pPr>
        <w:jc w:val="both"/>
        <w:rPr>
          <w:rFonts w:ascii="Cambria" w:eastAsia="Cambria" w:hAnsi="Cambria" w:cs="Cambria"/>
          <w:sz w:val="16"/>
          <w:szCs w:val="16"/>
        </w:rPr>
      </w:pPr>
      <w:r w:rsidRPr="0002664E">
        <w:rPr>
          <w:rFonts w:ascii="Cambria" w:hAnsi="Cambria"/>
          <w:sz w:val="16"/>
          <w:szCs w:val="16"/>
          <w:vertAlign w:val="superscript"/>
        </w:rPr>
        <w:footnoteRef/>
      </w:r>
      <w:r w:rsidRPr="0002664E">
        <w:rPr>
          <w:rFonts w:ascii="Cambria" w:eastAsia="Cambria" w:hAnsi="Cambria" w:cs="Cambria"/>
          <w:sz w:val="16"/>
          <w:szCs w:val="16"/>
        </w:rPr>
        <w:t xml:space="preserve"> Convention of Belém do Pará, Article 7.a.</w:t>
      </w:r>
    </w:p>
  </w:footnote>
  <w:footnote w:id="123">
    <w:p w14:paraId="5C0738DC" w14:textId="77777777" w:rsidR="007F6759" w:rsidRPr="0002664E" w:rsidRDefault="007F6759" w:rsidP="00BE13CC">
      <w:pPr>
        <w:jc w:val="both"/>
        <w:rPr>
          <w:rFonts w:ascii="Cambria" w:eastAsia="Cambria" w:hAnsi="Cambria" w:cs="Cambria"/>
          <w:sz w:val="16"/>
          <w:szCs w:val="16"/>
        </w:rPr>
      </w:pPr>
      <w:r w:rsidRPr="0002664E">
        <w:rPr>
          <w:rFonts w:ascii="Cambria" w:hAnsi="Cambria"/>
          <w:sz w:val="16"/>
          <w:szCs w:val="16"/>
          <w:vertAlign w:val="superscript"/>
        </w:rPr>
        <w:footnoteRef/>
      </w:r>
      <w:r w:rsidRPr="0002664E">
        <w:rPr>
          <w:rFonts w:ascii="Cambria" w:eastAsia="Cambria" w:hAnsi="Cambria" w:cs="Cambria"/>
          <w:sz w:val="16"/>
          <w:szCs w:val="16"/>
        </w:rPr>
        <w:t xml:space="preserve"> </w:t>
      </w:r>
      <w:r w:rsidRPr="0002664E">
        <w:rPr>
          <w:rFonts w:ascii="Cambria" w:eastAsia="Cambria" w:hAnsi="Cambria" w:cs="Cambria"/>
          <w:color w:val="000000"/>
          <w:sz w:val="16"/>
          <w:szCs w:val="16"/>
        </w:rPr>
        <w:t>IA Court HR. Case of I.V. v. Bolivia. Preliminary objections, merits, reparations and costs. Judgment of November 30, 2016. Series C No. 329, par. 250.</w:t>
      </w:r>
    </w:p>
  </w:footnote>
  <w:footnote w:id="124">
    <w:p w14:paraId="1C1D4A6F" w14:textId="77777777" w:rsidR="007F6759" w:rsidRPr="0002664E" w:rsidRDefault="007F6759" w:rsidP="0055478B">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Violence and Discrimination against Women and Girls.  Best Practices and Challenges in Latin America and the Caribbean. OEA/Ser.</w:t>
      </w:r>
      <w:r w:rsidR="00065E74">
        <w:rPr>
          <w:rFonts w:ascii="Cambria" w:hAnsi="Cambria"/>
          <w:sz w:val="16"/>
          <w:szCs w:val="16"/>
        </w:rPr>
        <w:t>L/V/II. Doc. 233/19, par. 8.</w:t>
      </w:r>
    </w:p>
  </w:footnote>
  <w:footnote w:id="125">
    <w:p w14:paraId="2ABD3721" w14:textId="77777777" w:rsidR="007F6759" w:rsidRPr="00A03E66" w:rsidRDefault="007F6759" w:rsidP="005666C9">
      <w:pPr>
        <w:pStyle w:val="FootnoteText"/>
        <w:jc w:val="both"/>
        <w:rPr>
          <w:rFonts w:ascii="Cambria" w:hAnsi="Cambria"/>
          <w:sz w:val="16"/>
          <w:szCs w:val="16"/>
          <w:lang w:val="pt-BR"/>
        </w:rPr>
      </w:pPr>
      <w:r w:rsidRPr="0002664E">
        <w:rPr>
          <w:rStyle w:val="FootnoteReference"/>
          <w:rFonts w:ascii="Cambria" w:hAnsi="Cambria"/>
          <w:sz w:val="16"/>
          <w:szCs w:val="16"/>
        </w:rPr>
        <w:footnoteRef/>
      </w:r>
      <w:r w:rsidRPr="0002664E">
        <w:rPr>
          <w:rFonts w:ascii="Cambria" w:hAnsi="Cambria"/>
          <w:sz w:val="16"/>
          <w:szCs w:val="16"/>
        </w:rPr>
        <w:t xml:space="preserve"> IACHR. Violence and Discrimination against Women and Girls.  Best Practices and Challenges in Latin America and the Caribbean. </w:t>
      </w:r>
      <w:r w:rsidRPr="00A03E66">
        <w:rPr>
          <w:rFonts w:ascii="Cambria" w:hAnsi="Cambria"/>
          <w:sz w:val="16"/>
          <w:szCs w:val="16"/>
          <w:lang w:val="pt-BR"/>
        </w:rPr>
        <w:t xml:space="preserve">OEA/Ser.L/V/II. Doc. 233/19, par. 10. </w:t>
      </w:r>
    </w:p>
  </w:footnote>
  <w:footnote w:id="126">
    <w:p w14:paraId="37F8A64F" w14:textId="77777777" w:rsidR="007F6759" w:rsidRPr="0002664E" w:rsidRDefault="007F6759" w:rsidP="00446251">
      <w:pPr>
        <w:jc w:val="both"/>
        <w:rPr>
          <w:rFonts w:ascii="Cambria" w:hAnsi="Cambria"/>
          <w:sz w:val="16"/>
          <w:szCs w:val="16"/>
        </w:rPr>
      </w:pPr>
      <w:r w:rsidRPr="0002664E">
        <w:rPr>
          <w:rStyle w:val="FootnoteReference"/>
          <w:rFonts w:ascii="Cambria" w:hAnsi="Cambria"/>
          <w:sz w:val="16"/>
          <w:szCs w:val="16"/>
        </w:rPr>
        <w:footnoteRef/>
      </w:r>
      <w:r w:rsidRPr="00A03E66">
        <w:rPr>
          <w:rFonts w:ascii="Cambria" w:hAnsi="Cambria" w:cs="Open Sans"/>
          <w:color w:val="494848"/>
          <w:sz w:val="16"/>
          <w:szCs w:val="16"/>
          <w:shd w:val="clear" w:color="auto" w:fill="FFFFFF"/>
          <w:lang w:val="pt-BR"/>
        </w:rPr>
        <w:t xml:space="preserve"> </w:t>
      </w:r>
      <w:r w:rsidRPr="00A03E66">
        <w:rPr>
          <w:rFonts w:ascii="Cambria" w:hAnsi="Cambria"/>
          <w:sz w:val="16"/>
          <w:szCs w:val="16"/>
          <w:lang w:val="pt-BR"/>
        </w:rPr>
        <w:t xml:space="preserve">IA Court HR. </w:t>
      </w:r>
      <w:r w:rsidRPr="0002664E">
        <w:rPr>
          <w:rFonts w:ascii="Cambria" w:eastAsiaTheme="minorHAnsi" w:hAnsi="Cambria" w:cs="Calibri"/>
          <w:sz w:val="16"/>
          <w:szCs w:val="16"/>
        </w:rPr>
        <w:t>Case of Gelman v. Uruguay. Merits and Reparations. Judgment of February 24</w:t>
      </w:r>
      <w:r w:rsidR="005B69BA">
        <w:rPr>
          <w:rFonts w:ascii="Cambria" w:eastAsiaTheme="minorHAnsi" w:hAnsi="Cambria" w:cs="Calibri"/>
          <w:sz w:val="16"/>
          <w:szCs w:val="16"/>
        </w:rPr>
        <w:t>, 2011. Series C No. 221</w:t>
      </w:r>
      <w:r w:rsidRPr="0002664E">
        <w:rPr>
          <w:rFonts w:ascii="Cambria" w:hAnsi="Cambria"/>
          <w:sz w:val="16"/>
          <w:szCs w:val="16"/>
        </w:rPr>
        <w:t>.  IA Court HR. Case of the Workers of the Fireworks Factory in Santo Antônio de Jesus and Their Families v. Brazil. Preliminary objections, merits, reparations, and costs. Judgment of July 15, 2020.</w:t>
      </w:r>
    </w:p>
  </w:footnote>
  <w:footnote w:id="127">
    <w:p w14:paraId="5910FCD0" w14:textId="77777777" w:rsidR="007F6759" w:rsidRPr="0002664E" w:rsidRDefault="007F6759" w:rsidP="00446251">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Violence and Discrimination against Women and Girls.  Best Practices and Challenges in Latin America and the Caribbean. OEA/Ser.L/V/II. Doc. 233/19, par. 254. </w:t>
      </w:r>
    </w:p>
  </w:footnote>
  <w:footnote w:id="128">
    <w:p w14:paraId="7BBFA8C7" w14:textId="77777777" w:rsidR="007F6759" w:rsidRPr="0002664E" w:rsidRDefault="007F6759" w:rsidP="00833B7E">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Violence and Discrimination against Women and Girls.  Best Practices and Challenges in Latin America and the Caribbean. OEA/Ser.L/V/II. Doc. 233/19, par. 260. </w:t>
      </w:r>
    </w:p>
  </w:footnote>
  <w:footnote w:id="129">
    <w:p w14:paraId="02BAC5BF" w14:textId="77777777" w:rsidR="007F6759" w:rsidRPr="0002664E" w:rsidRDefault="007F6759" w:rsidP="000F0772">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Violence and Discrimination against Women and Girls.  Best Practices and Challenges in Latin America and the Caribbean. OEA/Ser.L/V/II. Doc. 233/19, par. 262. </w:t>
      </w:r>
    </w:p>
  </w:footnote>
  <w:footnote w:id="130">
    <w:p w14:paraId="5240CFC8" w14:textId="77777777" w:rsidR="007F6759" w:rsidRPr="0002664E" w:rsidRDefault="007F6759" w:rsidP="000F0772">
      <w:pPr>
        <w:pStyle w:val="FootnoteText"/>
        <w:jc w:val="both"/>
        <w:rPr>
          <w:rFonts w:ascii="Cambria" w:hAnsi="Cambria"/>
          <w:sz w:val="16"/>
          <w:szCs w:val="16"/>
        </w:rPr>
      </w:pPr>
      <w:r w:rsidRPr="0002664E">
        <w:rPr>
          <w:rStyle w:val="FootnoteReference"/>
          <w:rFonts w:ascii="Cambria" w:hAnsi="Cambria"/>
          <w:sz w:val="16"/>
          <w:szCs w:val="16"/>
        </w:rPr>
        <w:footnoteRef/>
      </w:r>
      <w:r w:rsidRPr="0002664E">
        <w:rPr>
          <w:rFonts w:ascii="Cambria" w:hAnsi="Cambria"/>
          <w:sz w:val="16"/>
          <w:szCs w:val="16"/>
        </w:rPr>
        <w:t xml:space="preserve"> IACHR. Violence and Discrimination against Women and Girls.  Best Practices and Challenges in Latin America and the Caribbean. OEA/Ser.L/V/II. Doc. 233/19, pars. 261-264. </w:t>
      </w:r>
    </w:p>
  </w:footnote>
  <w:footnote w:id="131">
    <w:p w14:paraId="1B70099F" w14:textId="77777777" w:rsidR="007F6759" w:rsidRPr="0002664E" w:rsidRDefault="007F6759" w:rsidP="00E83923">
      <w:pPr>
        <w:pStyle w:val="Heading1"/>
        <w:numPr>
          <w:ilvl w:val="0"/>
          <w:numId w:val="0"/>
        </w:numPr>
        <w:rPr>
          <w:b w:val="0"/>
          <w:sz w:val="16"/>
          <w:szCs w:val="16"/>
        </w:rPr>
      </w:pPr>
      <w:r w:rsidRPr="0002664E">
        <w:rPr>
          <w:rStyle w:val="FootnoteReference"/>
          <w:b w:val="0"/>
          <w:sz w:val="16"/>
          <w:szCs w:val="16"/>
        </w:rPr>
        <w:footnoteRef/>
      </w:r>
      <w:r w:rsidRPr="0002664E">
        <w:t xml:space="preserve"> </w:t>
      </w:r>
      <w:r w:rsidRPr="0002664E">
        <w:rPr>
          <w:b w:val="0"/>
          <w:sz w:val="16"/>
          <w:szCs w:val="16"/>
        </w:rPr>
        <w:t xml:space="preserve">Judgment of July 12, 2019, issued by the Family Court of Paso de los Libres, Corrientes, in the case of </w:t>
      </w:r>
      <w:r w:rsidRPr="0002664E">
        <w:rPr>
          <w:b w:val="0"/>
          <w:bCs/>
          <w:color w:val="333333"/>
          <w:sz w:val="16"/>
          <w:szCs w:val="16"/>
        </w:rPr>
        <w:t xml:space="preserve">N. M. R. s/ </w:t>
      </w:r>
      <w:r w:rsidRPr="0002664E">
        <w:rPr>
          <w:b w:val="0"/>
          <w:sz w:val="16"/>
          <w:szCs w:val="16"/>
        </w:rPr>
        <w:t>situación de N. N. A. Entire text available at: http://www.saij.gob.ar/juzgado-familia-local-corrientes--situacion-fa19210003-2019-07-12/123456789-300-0129-1ots-eupmocsollaf?</w:t>
      </w:r>
    </w:p>
    <w:p w14:paraId="342DDAB3" w14:textId="77777777" w:rsidR="007F6759" w:rsidRPr="0002664E" w:rsidRDefault="007F67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D9D4" w14:textId="77777777" w:rsidR="007F6759" w:rsidRDefault="00792C6B" w:rsidP="004449E8">
    <w:pPr>
      <w:pStyle w:val="Header"/>
      <w:framePr w:wrap="around" w:vAnchor="text" w:hAnchor="margin" w:xAlign="center" w:y="1"/>
      <w:rPr>
        <w:rStyle w:val="PageNumber"/>
        <w:rFonts w:eastAsia="Trebuchet MS"/>
      </w:rPr>
    </w:pPr>
    <w:r>
      <w:rPr>
        <w:rStyle w:val="PageNumber"/>
        <w:rFonts w:eastAsia="Trebuchet MS"/>
      </w:rPr>
      <w:fldChar w:fldCharType="begin"/>
    </w:r>
    <w:r w:rsidR="007F6759">
      <w:rPr>
        <w:rStyle w:val="PageNumber"/>
        <w:rFonts w:eastAsia="Trebuchet MS"/>
      </w:rPr>
      <w:instrText xml:space="preserve">PAGE  </w:instrText>
    </w:r>
    <w:r>
      <w:rPr>
        <w:rStyle w:val="PageNumber"/>
        <w:rFonts w:eastAsia="Trebuchet MS"/>
      </w:rPr>
      <w:fldChar w:fldCharType="end"/>
    </w:r>
  </w:p>
  <w:p w14:paraId="5293403A" w14:textId="77777777" w:rsidR="007F6759" w:rsidRDefault="007F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428A" w14:textId="77777777" w:rsidR="007F6759" w:rsidRDefault="007F6759" w:rsidP="005C1FF6">
    <w:pPr>
      <w:pStyle w:val="Header"/>
      <w:tabs>
        <w:tab w:val="left" w:pos="720"/>
      </w:tabs>
      <w:jc w:val="center"/>
      <w:rPr>
        <w:sz w:val="22"/>
        <w:szCs w:val="22"/>
      </w:rPr>
    </w:pPr>
    <w:r>
      <w:rPr>
        <w:noProof/>
        <w:sz w:val="22"/>
        <w:szCs w:val="22"/>
      </w:rPr>
      <w:drawing>
        <wp:inline distT="0" distB="0" distL="0" distR="0" wp14:anchorId="63BF18BB" wp14:editId="3524A4D0">
          <wp:extent cx="2208530" cy="112395"/>
          <wp:effectExtent l="0" t="0" r="127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12395"/>
                  </a:xfrm>
                  <a:prstGeom prst="rect">
                    <a:avLst/>
                  </a:prstGeom>
                  <a:noFill/>
                  <a:ln>
                    <a:noFill/>
                  </a:ln>
                </pic:spPr>
              </pic:pic>
            </a:graphicData>
          </a:graphic>
        </wp:inline>
      </w:drawing>
    </w:r>
  </w:p>
  <w:p w14:paraId="08D6A258" w14:textId="77777777" w:rsidR="007F6759" w:rsidRDefault="003449F8" w:rsidP="005C1FF6">
    <w:pPr>
      <w:pStyle w:val="Header"/>
      <w:tabs>
        <w:tab w:val="left" w:pos="720"/>
      </w:tabs>
      <w:jc w:val="center"/>
      <w:rPr>
        <w:sz w:val="22"/>
        <w:szCs w:val="22"/>
      </w:rPr>
    </w:pPr>
    <w:r>
      <w:rPr>
        <w:noProof/>
        <w:sz w:val="22"/>
        <w:szCs w:val="22"/>
      </w:rPr>
      <w:pict w14:anchorId="59D38219">
        <v:rect id="_x0000_i1025" alt="" style="width:468pt;height:1.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E379" w14:textId="77777777" w:rsidR="007F6759" w:rsidRDefault="007F6759" w:rsidP="005C1FF6">
    <w:pPr>
      <w:pStyle w:val="Header"/>
      <w:tabs>
        <w:tab w:val="left" w:pos="720"/>
      </w:tabs>
      <w:jc w:val="center"/>
      <w:rPr>
        <w:sz w:val="22"/>
        <w:szCs w:val="22"/>
      </w:rPr>
    </w:pPr>
    <w:r>
      <w:rPr>
        <w:noProof/>
        <w:sz w:val="22"/>
        <w:szCs w:val="22"/>
      </w:rPr>
      <w:drawing>
        <wp:inline distT="0" distB="0" distL="0" distR="0" wp14:anchorId="2232DE50" wp14:editId="148765C0">
          <wp:extent cx="2208530" cy="112395"/>
          <wp:effectExtent l="0" t="0" r="127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12395"/>
                  </a:xfrm>
                  <a:prstGeom prst="rect">
                    <a:avLst/>
                  </a:prstGeom>
                  <a:noFill/>
                  <a:ln>
                    <a:noFill/>
                  </a:ln>
                </pic:spPr>
              </pic:pic>
            </a:graphicData>
          </a:graphic>
        </wp:inline>
      </w:drawing>
    </w:r>
  </w:p>
  <w:p w14:paraId="40278F45" w14:textId="77777777" w:rsidR="007F6759" w:rsidRDefault="003449F8" w:rsidP="005C1FF6">
    <w:pPr>
      <w:pStyle w:val="Header"/>
      <w:tabs>
        <w:tab w:val="left" w:pos="720"/>
      </w:tabs>
      <w:jc w:val="center"/>
      <w:rPr>
        <w:sz w:val="22"/>
        <w:szCs w:val="22"/>
      </w:rPr>
    </w:pPr>
    <w:r>
      <w:rPr>
        <w:noProof/>
        <w:sz w:val="22"/>
        <w:szCs w:val="22"/>
      </w:rPr>
      <w:pict w14:anchorId="2957438E">
        <v:rect id="_x0000_i1026" alt="" style="width:468pt;height:1.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35A"/>
    <w:multiLevelType w:val="hybridMultilevel"/>
    <w:tmpl w:val="363C2724"/>
    <w:lvl w:ilvl="0" w:tplc="6AE41D60">
      <w:start w:val="1"/>
      <w:numFmt w:val="lowerLetter"/>
      <w:lvlText w:val="%1."/>
      <w:lvlJc w:val="left"/>
      <w:pPr>
        <w:ind w:left="720" w:hanging="360"/>
      </w:pPr>
      <w:rPr>
        <w:rFonts w:ascii="Cambria"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508FA"/>
    <w:multiLevelType w:val="hybridMultilevel"/>
    <w:tmpl w:val="D804B45A"/>
    <w:lvl w:ilvl="0" w:tplc="2C0A0019">
      <w:start w:val="1"/>
      <w:numFmt w:val="lowerLetter"/>
      <w:lvlText w:val="%1."/>
      <w:lvlJc w:val="left"/>
      <w:pPr>
        <w:ind w:left="2160" w:hanging="360"/>
      </w:pPr>
      <w:rPr>
        <w:rFonts w:hint="default"/>
      </w:rPr>
    </w:lvl>
    <w:lvl w:ilvl="1" w:tplc="366C255A">
      <w:start w:val="1"/>
      <w:numFmt w:val="decimal"/>
      <w:lvlText w:val="%2."/>
      <w:lvlJc w:val="left"/>
      <w:pPr>
        <w:ind w:left="2880" w:hanging="360"/>
      </w:pPr>
      <w:rPr>
        <w:rFonts w:hint="default"/>
      </w:rPr>
    </w:lvl>
    <w:lvl w:ilvl="2" w:tplc="57A60CF6">
      <w:start w:val="123"/>
      <w:numFmt w:val="bullet"/>
      <w:lvlText w:val="-"/>
      <w:lvlJc w:val="left"/>
      <w:pPr>
        <w:ind w:left="3780" w:hanging="360"/>
      </w:pPr>
      <w:rPr>
        <w:rFonts w:ascii="Cambria" w:eastAsia="Times New Roman" w:hAnsi="Cambria" w:cs="Times New Roman" w:hint="default"/>
      </w:rPr>
    </w:lvl>
    <w:lvl w:ilvl="3" w:tplc="2C0A000F">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 w15:restartNumberingAfterBreak="0">
    <w:nsid w:val="0D3B3FD0"/>
    <w:multiLevelType w:val="hybridMultilevel"/>
    <w:tmpl w:val="995490F6"/>
    <w:lvl w:ilvl="0" w:tplc="C5D8AC78">
      <w:start w:val="1"/>
      <w:numFmt w:val="decimal"/>
      <w:lvlText w:val="%1."/>
      <w:lvlJc w:val="left"/>
      <w:pPr>
        <w:ind w:left="3330" w:hanging="360"/>
      </w:pPr>
      <w:rPr>
        <w:rFonts w:ascii="Cambria" w:hAnsi="Cambria" w:hint="default"/>
        <w:b w:val="0"/>
        <w:i w:val="0"/>
        <w:sz w:val="20"/>
      </w:rPr>
    </w:lvl>
    <w:lvl w:ilvl="1" w:tplc="F5C4EC74">
      <w:start w:val="1"/>
      <w:numFmt w:val="lowerLetter"/>
      <w:lvlText w:val="%2)"/>
      <w:lvlJc w:val="left"/>
      <w:pPr>
        <w:ind w:left="2074" w:hanging="360"/>
      </w:pPr>
      <w:rPr>
        <w:rFonts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 w15:restartNumberingAfterBreak="0">
    <w:nsid w:val="0E9F299D"/>
    <w:multiLevelType w:val="hybridMultilevel"/>
    <w:tmpl w:val="92542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B1F4B"/>
    <w:multiLevelType w:val="hybridMultilevel"/>
    <w:tmpl w:val="548AC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35FEE"/>
    <w:multiLevelType w:val="hybridMultilevel"/>
    <w:tmpl w:val="D9680C0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1C576C6D"/>
    <w:multiLevelType w:val="hybridMultilevel"/>
    <w:tmpl w:val="E318D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5273F"/>
    <w:multiLevelType w:val="hybridMultilevel"/>
    <w:tmpl w:val="E720357A"/>
    <w:lvl w:ilvl="0" w:tplc="FEB2BF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524AF"/>
    <w:multiLevelType w:val="hybridMultilevel"/>
    <w:tmpl w:val="34180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348ED"/>
    <w:multiLevelType w:val="hybridMultilevel"/>
    <w:tmpl w:val="E014F8EE"/>
    <w:lvl w:ilvl="0" w:tplc="A090302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934"/>
    <w:multiLevelType w:val="hybridMultilevel"/>
    <w:tmpl w:val="DA84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1839"/>
    <w:multiLevelType w:val="hybridMultilevel"/>
    <w:tmpl w:val="9CEA3CC0"/>
    <w:lvl w:ilvl="0" w:tplc="7414A6D0">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B00724"/>
    <w:multiLevelType w:val="hybridMultilevel"/>
    <w:tmpl w:val="77C8D892"/>
    <w:lvl w:ilvl="0" w:tplc="EB1E9202">
      <w:start w:val="1"/>
      <w:numFmt w:val="decimal"/>
      <w:pStyle w:val="ListParagraph"/>
      <w:lvlText w:val="%1."/>
      <w:lvlJc w:val="left"/>
      <w:pPr>
        <w:ind w:left="502"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B72E8"/>
    <w:multiLevelType w:val="hybridMultilevel"/>
    <w:tmpl w:val="FE0259D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075170F"/>
    <w:multiLevelType w:val="hybridMultilevel"/>
    <w:tmpl w:val="88965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B57CB"/>
    <w:multiLevelType w:val="hybridMultilevel"/>
    <w:tmpl w:val="F272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751E2"/>
    <w:multiLevelType w:val="hybridMultilevel"/>
    <w:tmpl w:val="05500E30"/>
    <w:lvl w:ilvl="0" w:tplc="A0BAA84C">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D17EB"/>
    <w:multiLevelType w:val="hybridMultilevel"/>
    <w:tmpl w:val="8C32E0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BC33785"/>
    <w:multiLevelType w:val="multilevel"/>
    <w:tmpl w:val="EA1E0076"/>
    <w:lvl w:ilvl="0">
      <w:start w:val="1"/>
      <w:numFmt w:val="decimal"/>
      <w:lvlText w:val="%1."/>
      <w:lvlJc w:val="left"/>
      <w:pPr>
        <w:ind w:left="720" w:hanging="360"/>
      </w:pPr>
      <w:rPr>
        <w:rFonts w:ascii="Cambria" w:hAnsi="Cambria"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01925B1"/>
    <w:multiLevelType w:val="hybridMultilevel"/>
    <w:tmpl w:val="250EF3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1AB66C5"/>
    <w:multiLevelType w:val="hybridMultilevel"/>
    <w:tmpl w:val="B942995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15:restartNumberingAfterBreak="0">
    <w:nsid w:val="522A4F80"/>
    <w:multiLevelType w:val="hybridMultilevel"/>
    <w:tmpl w:val="F124885E"/>
    <w:lvl w:ilvl="0" w:tplc="2C0A0019">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2F01071"/>
    <w:multiLevelType w:val="multilevel"/>
    <w:tmpl w:val="D1AC3FC6"/>
    <w:lvl w:ilvl="0">
      <w:start w:val="1"/>
      <w:numFmt w:val="decimal"/>
      <w:lvlText w:val="%1."/>
      <w:lvlJc w:val="left"/>
      <w:pPr>
        <w:ind w:left="720" w:hanging="360"/>
      </w:pPr>
      <w:rPr>
        <w:rFonts w:ascii="Cambria" w:eastAsia="Cambria" w:hAnsi="Cambria" w:cs="Cambria"/>
        <w:b w:val="0"/>
        <w:i w:val="0"/>
        <w:color w:val="000000"/>
        <w:sz w:val="20"/>
        <w:szCs w:val="20"/>
      </w:rPr>
    </w:lvl>
    <w:lvl w:ilvl="1">
      <w:start w:val="1"/>
      <w:numFmt w:val="lowerLetter"/>
      <w:lvlText w:val="%2."/>
      <w:lvlJc w:val="left"/>
      <w:pPr>
        <w:ind w:left="1440" w:hanging="360"/>
      </w:pPr>
      <w:rPr>
        <w:b/>
        <w:i w:val="0"/>
        <w:smallCaps w:val="0"/>
        <w:strike w:val="0"/>
        <w:color w:val="000000"/>
        <w:u w:val="none"/>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9B2D8C"/>
    <w:multiLevelType w:val="hybridMultilevel"/>
    <w:tmpl w:val="93D24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27599"/>
    <w:multiLevelType w:val="hybridMultilevel"/>
    <w:tmpl w:val="4B1E4F2E"/>
    <w:lvl w:ilvl="0" w:tplc="20A2291C">
      <w:start w:val="1"/>
      <w:numFmt w:val="decimal"/>
      <w:pStyle w:val="PrrafodeSentencia"/>
      <w:lvlText w:val="%1."/>
      <w:lvlJc w:val="left"/>
      <w:pPr>
        <w:ind w:left="360" w:hanging="360"/>
      </w:pPr>
      <w:rPr>
        <w:rFonts w:ascii="Verdana" w:eastAsia="Times New Roman" w:hAnsi="Verdana" w:cs="Times New Roman" w:hint="default"/>
        <w:b w:val="0"/>
        <w:i w:val="0"/>
        <w:color w:val="auto"/>
        <w:w w:val="100"/>
        <w:sz w:val="20"/>
        <w:szCs w:val="20"/>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88810CB"/>
    <w:multiLevelType w:val="hybridMultilevel"/>
    <w:tmpl w:val="A81C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D4B9D"/>
    <w:multiLevelType w:val="hybridMultilevel"/>
    <w:tmpl w:val="C30E8EB8"/>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F57F2E"/>
    <w:multiLevelType w:val="hybridMultilevel"/>
    <w:tmpl w:val="4EBAB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72A23"/>
    <w:multiLevelType w:val="hybridMultilevel"/>
    <w:tmpl w:val="4BE03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AC7712"/>
    <w:multiLevelType w:val="hybridMultilevel"/>
    <w:tmpl w:val="9EB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3105D"/>
    <w:multiLevelType w:val="hybridMultilevel"/>
    <w:tmpl w:val="36664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8412">
    <w:abstractNumId w:val="16"/>
  </w:num>
  <w:num w:numId="2" w16cid:durableId="915625406">
    <w:abstractNumId w:val="12"/>
  </w:num>
  <w:num w:numId="3" w16cid:durableId="1172261904">
    <w:abstractNumId w:val="7"/>
  </w:num>
  <w:num w:numId="4" w16cid:durableId="859662573">
    <w:abstractNumId w:val="25"/>
  </w:num>
  <w:num w:numId="5" w16cid:durableId="1435904623">
    <w:abstractNumId w:val="28"/>
  </w:num>
  <w:num w:numId="6" w16cid:durableId="463737993">
    <w:abstractNumId w:val="4"/>
  </w:num>
  <w:num w:numId="7" w16cid:durableId="1822382251">
    <w:abstractNumId w:val="6"/>
  </w:num>
  <w:num w:numId="8" w16cid:durableId="79327471">
    <w:abstractNumId w:val="10"/>
  </w:num>
  <w:num w:numId="9" w16cid:durableId="1876964418">
    <w:abstractNumId w:val="9"/>
  </w:num>
  <w:num w:numId="10" w16cid:durableId="1698118824">
    <w:abstractNumId w:val="16"/>
  </w:num>
  <w:num w:numId="11" w16cid:durableId="925461826">
    <w:abstractNumId w:val="17"/>
  </w:num>
  <w:num w:numId="12" w16cid:durableId="837571802">
    <w:abstractNumId w:val="2"/>
  </w:num>
  <w:num w:numId="13" w16cid:durableId="1055660678">
    <w:abstractNumId w:val="29"/>
  </w:num>
  <w:num w:numId="14" w16cid:durableId="972297110">
    <w:abstractNumId w:val="8"/>
  </w:num>
  <w:num w:numId="15" w16cid:durableId="1947882387">
    <w:abstractNumId w:val="14"/>
  </w:num>
  <w:num w:numId="16" w16cid:durableId="472676145">
    <w:abstractNumId w:val="0"/>
  </w:num>
  <w:num w:numId="17" w16cid:durableId="2062485597">
    <w:abstractNumId w:val="3"/>
  </w:num>
  <w:num w:numId="18" w16cid:durableId="1824813445">
    <w:abstractNumId w:val="30"/>
  </w:num>
  <w:num w:numId="19" w16cid:durableId="1833376214">
    <w:abstractNumId w:val="23"/>
  </w:num>
  <w:num w:numId="20" w16cid:durableId="10760474">
    <w:abstractNumId w:val="11"/>
  </w:num>
  <w:num w:numId="21" w16cid:durableId="816997119">
    <w:abstractNumId w:val="20"/>
  </w:num>
  <w:num w:numId="22" w16cid:durableId="2098284093">
    <w:abstractNumId w:val="21"/>
  </w:num>
  <w:num w:numId="23" w16cid:durableId="113982416">
    <w:abstractNumId w:val="19"/>
  </w:num>
  <w:num w:numId="24" w16cid:durableId="1538084863">
    <w:abstractNumId w:val="5"/>
  </w:num>
  <w:num w:numId="25" w16cid:durableId="1462311311">
    <w:abstractNumId w:val="13"/>
  </w:num>
  <w:num w:numId="26" w16cid:durableId="360592975">
    <w:abstractNumId w:val="1"/>
  </w:num>
  <w:num w:numId="27" w16cid:durableId="969168204">
    <w:abstractNumId w:val="27"/>
  </w:num>
  <w:num w:numId="28" w16cid:durableId="1506699858">
    <w:abstractNumId w:val="16"/>
  </w:num>
  <w:num w:numId="29" w16cid:durableId="779295832">
    <w:abstractNumId w:val="18"/>
  </w:num>
  <w:num w:numId="30" w16cid:durableId="1396392449">
    <w:abstractNumId w:val="15"/>
  </w:num>
  <w:num w:numId="31" w16cid:durableId="1423605660">
    <w:abstractNumId w:val="22"/>
  </w:num>
  <w:num w:numId="32" w16cid:durableId="597980465">
    <w:abstractNumId w:val="24"/>
  </w:num>
  <w:num w:numId="33" w16cid:durableId="17978672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78"/>
    <w:rsid w:val="000003C2"/>
    <w:rsid w:val="000046D6"/>
    <w:rsid w:val="00005744"/>
    <w:rsid w:val="000111FA"/>
    <w:rsid w:val="00011420"/>
    <w:rsid w:val="000124F4"/>
    <w:rsid w:val="00015B4C"/>
    <w:rsid w:val="00016067"/>
    <w:rsid w:val="0001669B"/>
    <w:rsid w:val="00016C74"/>
    <w:rsid w:val="00017ADB"/>
    <w:rsid w:val="00020216"/>
    <w:rsid w:val="0002107B"/>
    <w:rsid w:val="00022E25"/>
    <w:rsid w:val="00023A0D"/>
    <w:rsid w:val="0002664E"/>
    <w:rsid w:val="0002694C"/>
    <w:rsid w:val="00026DE8"/>
    <w:rsid w:val="000306A6"/>
    <w:rsid w:val="000308CC"/>
    <w:rsid w:val="00030C0B"/>
    <w:rsid w:val="000319EB"/>
    <w:rsid w:val="00034EE4"/>
    <w:rsid w:val="00035138"/>
    <w:rsid w:val="0004108C"/>
    <w:rsid w:val="000417AD"/>
    <w:rsid w:val="00042A0C"/>
    <w:rsid w:val="000430AE"/>
    <w:rsid w:val="000435AB"/>
    <w:rsid w:val="000451DD"/>
    <w:rsid w:val="0004625D"/>
    <w:rsid w:val="00050C17"/>
    <w:rsid w:val="00051673"/>
    <w:rsid w:val="000531C2"/>
    <w:rsid w:val="0005568F"/>
    <w:rsid w:val="0006239D"/>
    <w:rsid w:val="00063FC6"/>
    <w:rsid w:val="00064750"/>
    <w:rsid w:val="0006561F"/>
    <w:rsid w:val="00065E74"/>
    <w:rsid w:val="000660D8"/>
    <w:rsid w:val="00066772"/>
    <w:rsid w:val="000667C6"/>
    <w:rsid w:val="00066C52"/>
    <w:rsid w:val="00066F99"/>
    <w:rsid w:val="00066FCD"/>
    <w:rsid w:val="00071E0A"/>
    <w:rsid w:val="00072FC2"/>
    <w:rsid w:val="00076D6E"/>
    <w:rsid w:val="0007782C"/>
    <w:rsid w:val="00080766"/>
    <w:rsid w:val="00080CCE"/>
    <w:rsid w:val="000828E7"/>
    <w:rsid w:val="00084282"/>
    <w:rsid w:val="00084E0B"/>
    <w:rsid w:val="00085BE5"/>
    <w:rsid w:val="00086050"/>
    <w:rsid w:val="00086AF3"/>
    <w:rsid w:val="00086ECE"/>
    <w:rsid w:val="0008739C"/>
    <w:rsid w:val="00091E78"/>
    <w:rsid w:val="0009304F"/>
    <w:rsid w:val="00094029"/>
    <w:rsid w:val="0009630C"/>
    <w:rsid w:val="000A1C5C"/>
    <w:rsid w:val="000A4D09"/>
    <w:rsid w:val="000A5B3E"/>
    <w:rsid w:val="000A5CFE"/>
    <w:rsid w:val="000A7976"/>
    <w:rsid w:val="000B061C"/>
    <w:rsid w:val="000B0C71"/>
    <w:rsid w:val="000B1257"/>
    <w:rsid w:val="000B1D5B"/>
    <w:rsid w:val="000B316F"/>
    <w:rsid w:val="000B3179"/>
    <w:rsid w:val="000B7DF2"/>
    <w:rsid w:val="000C05DD"/>
    <w:rsid w:val="000C0D85"/>
    <w:rsid w:val="000C0FA4"/>
    <w:rsid w:val="000C1F14"/>
    <w:rsid w:val="000C2D38"/>
    <w:rsid w:val="000C3B67"/>
    <w:rsid w:val="000D0D1F"/>
    <w:rsid w:val="000D0E3C"/>
    <w:rsid w:val="000D336B"/>
    <w:rsid w:val="000D4189"/>
    <w:rsid w:val="000D6B60"/>
    <w:rsid w:val="000E0C3F"/>
    <w:rsid w:val="000E2DDC"/>
    <w:rsid w:val="000E375C"/>
    <w:rsid w:val="000E3AAA"/>
    <w:rsid w:val="000E5C7A"/>
    <w:rsid w:val="000F0772"/>
    <w:rsid w:val="000F3841"/>
    <w:rsid w:val="000F3C26"/>
    <w:rsid w:val="000F4E40"/>
    <w:rsid w:val="000F7243"/>
    <w:rsid w:val="000F7D26"/>
    <w:rsid w:val="001000B7"/>
    <w:rsid w:val="0010256F"/>
    <w:rsid w:val="00104231"/>
    <w:rsid w:val="00105ED4"/>
    <w:rsid w:val="00106FF1"/>
    <w:rsid w:val="00107DDF"/>
    <w:rsid w:val="00111136"/>
    <w:rsid w:val="001126C6"/>
    <w:rsid w:val="001133E5"/>
    <w:rsid w:val="001138FE"/>
    <w:rsid w:val="00114A40"/>
    <w:rsid w:val="00122796"/>
    <w:rsid w:val="00123071"/>
    <w:rsid w:val="00124BF0"/>
    <w:rsid w:val="001264E0"/>
    <w:rsid w:val="00126F42"/>
    <w:rsid w:val="0012783C"/>
    <w:rsid w:val="001308B6"/>
    <w:rsid w:val="001316F6"/>
    <w:rsid w:val="00133810"/>
    <w:rsid w:val="001345FC"/>
    <w:rsid w:val="001375F3"/>
    <w:rsid w:val="00137DBC"/>
    <w:rsid w:val="0014168F"/>
    <w:rsid w:val="00146B88"/>
    <w:rsid w:val="00147CED"/>
    <w:rsid w:val="00151B11"/>
    <w:rsid w:val="00155799"/>
    <w:rsid w:val="00157B32"/>
    <w:rsid w:val="00160AD1"/>
    <w:rsid w:val="00162207"/>
    <w:rsid w:val="00162670"/>
    <w:rsid w:val="00162867"/>
    <w:rsid w:val="00163117"/>
    <w:rsid w:val="00164602"/>
    <w:rsid w:val="00165731"/>
    <w:rsid w:val="00165D6F"/>
    <w:rsid w:val="00166D40"/>
    <w:rsid w:val="00170499"/>
    <w:rsid w:val="00170FFA"/>
    <w:rsid w:val="00171706"/>
    <w:rsid w:val="00173C3C"/>
    <w:rsid w:val="00173F98"/>
    <w:rsid w:val="00175A13"/>
    <w:rsid w:val="00176402"/>
    <w:rsid w:val="00177B84"/>
    <w:rsid w:val="00177E96"/>
    <w:rsid w:val="0018295B"/>
    <w:rsid w:val="0018305F"/>
    <w:rsid w:val="001834B1"/>
    <w:rsid w:val="00183B1E"/>
    <w:rsid w:val="0018535F"/>
    <w:rsid w:val="001869B8"/>
    <w:rsid w:val="00186C79"/>
    <w:rsid w:val="00187591"/>
    <w:rsid w:val="001908F6"/>
    <w:rsid w:val="001914F7"/>
    <w:rsid w:val="0019161A"/>
    <w:rsid w:val="00191FE0"/>
    <w:rsid w:val="00192C71"/>
    <w:rsid w:val="0019487A"/>
    <w:rsid w:val="00195E24"/>
    <w:rsid w:val="001A08BE"/>
    <w:rsid w:val="001A2631"/>
    <w:rsid w:val="001A2FD7"/>
    <w:rsid w:val="001A3A90"/>
    <w:rsid w:val="001A5958"/>
    <w:rsid w:val="001A6C22"/>
    <w:rsid w:val="001A6DDF"/>
    <w:rsid w:val="001A751E"/>
    <w:rsid w:val="001A7FC3"/>
    <w:rsid w:val="001B00E9"/>
    <w:rsid w:val="001B1563"/>
    <w:rsid w:val="001B20C3"/>
    <w:rsid w:val="001B3760"/>
    <w:rsid w:val="001B59F6"/>
    <w:rsid w:val="001B6CAA"/>
    <w:rsid w:val="001C1555"/>
    <w:rsid w:val="001C1A12"/>
    <w:rsid w:val="001C1E5F"/>
    <w:rsid w:val="001C278C"/>
    <w:rsid w:val="001C2CA3"/>
    <w:rsid w:val="001C2E15"/>
    <w:rsid w:val="001C414E"/>
    <w:rsid w:val="001C61F1"/>
    <w:rsid w:val="001C6DFB"/>
    <w:rsid w:val="001C7974"/>
    <w:rsid w:val="001C7B2C"/>
    <w:rsid w:val="001D0C38"/>
    <w:rsid w:val="001D2118"/>
    <w:rsid w:val="001D40AA"/>
    <w:rsid w:val="001D49AC"/>
    <w:rsid w:val="001D49E4"/>
    <w:rsid w:val="001D5FE0"/>
    <w:rsid w:val="001D66F9"/>
    <w:rsid w:val="001E0468"/>
    <w:rsid w:val="001E06CE"/>
    <w:rsid w:val="001E07DA"/>
    <w:rsid w:val="001E0C6C"/>
    <w:rsid w:val="001E1A72"/>
    <w:rsid w:val="001E2CF2"/>
    <w:rsid w:val="001E2E7E"/>
    <w:rsid w:val="001E3203"/>
    <w:rsid w:val="001E360A"/>
    <w:rsid w:val="001E5C65"/>
    <w:rsid w:val="001E6E31"/>
    <w:rsid w:val="001E71CE"/>
    <w:rsid w:val="001F0100"/>
    <w:rsid w:val="001F1B2F"/>
    <w:rsid w:val="001F30EC"/>
    <w:rsid w:val="001F3C5D"/>
    <w:rsid w:val="001F4068"/>
    <w:rsid w:val="001F62F9"/>
    <w:rsid w:val="002016AA"/>
    <w:rsid w:val="00201F87"/>
    <w:rsid w:val="00202F0A"/>
    <w:rsid w:val="002037D1"/>
    <w:rsid w:val="00204490"/>
    <w:rsid w:val="002064E7"/>
    <w:rsid w:val="00211991"/>
    <w:rsid w:val="00211F6E"/>
    <w:rsid w:val="00213888"/>
    <w:rsid w:val="00213B58"/>
    <w:rsid w:val="00223CC3"/>
    <w:rsid w:val="0022451B"/>
    <w:rsid w:val="0022455E"/>
    <w:rsid w:val="00225B80"/>
    <w:rsid w:val="00226731"/>
    <w:rsid w:val="00226795"/>
    <w:rsid w:val="00230831"/>
    <w:rsid w:val="00232D85"/>
    <w:rsid w:val="00232FE0"/>
    <w:rsid w:val="00233050"/>
    <w:rsid w:val="00234067"/>
    <w:rsid w:val="00235CF8"/>
    <w:rsid w:val="00235E4B"/>
    <w:rsid w:val="002366DF"/>
    <w:rsid w:val="00236900"/>
    <w:rsid w:val="0024073B"/>
    <w:rsid w:val="0024391B"/>
    <w:rsid w:val="00246850"/>
    <w:rsid w:val="00250CD3"/>
    <w:rsid w:val="002521EE"/>
    <w:rsid w:val="00254B12"/>
    <w:rsid w:val="002561FF"/>
    <w:rsid w:val="0025761A"/>
    <w:rsid w:val="00257DBE"/>
    <w:rsid w:val="00260F40"/>
    <w:rsid w:val="00261A37"/>
    <w:rsid w:val="00262620"/>
    <w:rsid w:val="00263F90"/>
    <w:rsid w:val="00265371"/>
    <w:rsid w:val="002667C4"/>
    <w:rsid w:val="00271C02"/>
    <w:rsid w:val="00271D38"/>
    <w:rsid w:val="00271D55"/>
    <w:rsid w:val="00272670"/>
    <w:rsid w:val="0027273A"/>
    <w:rsid w:val="00272A49"/>
    <w:rsid w:val="00274C3E"/>
    <w:rsid w:val="00275482"/>
    <w:rsid w:val="0027716C"/>
    <w:rsid w:val="002776DF"/>
    <w:rsid w:val="00280FC6"/>
    <w:rsid w:val="002816F3"/>
    <w:rsid w:val="00282E69"/>
    <w:rsid w:val="002847CC"/>
    <w:rsid w:val="00285C5C"/>
    <w:rsid w:val="00286366"/>
    <w:rsid w:val="0028749F"/>
    <w:rsid w:val="002906FA"/>
    <w:rsid w:val="00292247"/>
    <w:rsid w:val="00294846"/>
    <w:rsid w:val="00294A1D"/>
    <w:rsid w:val="00296367"/>
    <w:rsid w:val="002A0354"/>
    <w:rsid w:val="002A073C"/>
    <w:rsid w:val="002A135F"/>
    <w:rsid w:val="002A2F88"/>
    <w:rsid w:val="002A321D"/>
    <w:rsid w:val="002A4038"/>
    <w:rsid w:val="002A4644"/>
    <w:rsid w:val="002A6229"/>
    <w:rsid w:val="002A6710"/>
    <w:rsid w:val="002A7B14"/>
    <w:rsid w:val="002B08AD"/>
    <w:rsid w:val="002B13D6"/>
    <w:rsid w:val="002B2CDE"/>
    <w:rsid w:val="002B4C80"/>
    <w:rsid w:val="002B4DEF"/>
    <w:rsid w:val="002B6873"/>
    <w:rsid w:val="002C1B3E"/>
    <w:rsid w:val="002C24E8"/>
    <w:rsid w:val="002C27C5"/>
    <w:rsid w:val="002C49F8"/>
    <w:rsid w:val="002C6313"/>
    <w:rsid w:val="002C7D6C"/>
    <w:rsid w:val="002D0F77"/>
    <w:rsid w:val="002D1686"/>
    <w:rsid w:val="002D33CF"/>
    <w:rsid w:val="002D3F4B"/>
    <w:rsid w:val="002D555F"/>
    <w:rsid w:val="002D560B"/>
    <w:rsid w:val="002D5882"/>
    <w:rsid w:val="002D5EA6"/>
    <w:rsid w:val="002D6AF3"/>
    <w:rsid w:val="002D7063"/>
    <w:rsid w:val="002E08A7"/>
    <w:rsid w:val="002E1B55"/>
    <w:rsid w:val="002E1CE9"/>
    <w:rsid w:val="002E1DA5"/>
    <w:rsid w:val="002E302F"/>
    <w:rsid w:val="002E401F"/>
    <w:rsid w:val="002E46AA"/>
    <w:rsid w:val="002E4BEA"/>
    <w:rsid w:val="002E7A1B"/>
    <w:rsid w:val="002F016B"/>
    <w:rsid w:val="002F0585"/>
    <w:rsid w:val="002F0B0C"/>
    <w:rsid w:val="002F3BAC"/>
    <w:rsid w:val="002F47BA"/>
    <w:rsid w:val="002F6406"/>
    <w:rsid w:val="00301C5D"/>
    <w:rsid w:val="00301E8F"/>
    <w:rsid w:val="00302AA7"/>
    <w:rsid w:val="00302C9A"/>
    <w:rsid w:val="003034EF"/>
    <w:rsid w:val="0030380F"/>
    <w:rsid w:val="00303E7C"/>
    <w:rsid w:val="00306091"/>
    <w:rsid w:val="0030677D"/>
    <w:rsid w:val="0031028E"/>
    <w:rsid w:val="00311F03"/>
    <w:rsid w:val="00312D12"/>
    <w:rsid w:val="003138A4"/>
    <w:rsid w:val="00313A26"/>
    <w:rsid w:val="003152BD"/>
    <w:rsid w:val="003205E9"/>
    <w:rsid w:val="00320751"/>
    <w:rsid w:val="0032132C"/>
    <w:rsid w:val="00321470"/>
    <w:rsid w:val="003215B6"/>
    <w:rsid w:val="00321F6A"/>
    <w:rsid w:val="0032218E"/>
    <w:rsid w:val="00323166"/>
    <w:rsid w:val="003236E6"/>
    <w:rsid w:val="00323FE8"/>
    <w:rsid w:val="00326FE7"/>
    <w:rsid w:val="00326FEA"/>
    <w:rsid w:val="003308DE"/>
    <w:rsid w:val="003318E0"/>
    <w:rsid w:val="00331FAC"/>
    <w:rsid w:val="00334C6D"/>
    <w:rsid w:val="00335225"/>
    <w:rsid w:val="00336477"/>
    <w:rsid w:val="003364D9"/>
    <w:rsid w:val="003366AB"/>
    <w:rsid w:val="00336F0F"/>
    <w:rsid w:val="0034093F"/>
    <w:rsid w:val="00340A84"/>
    <w:rsid w:val="00340B92"/>
    <w:rsid w:val="00341658"/>
    <w:rsid w:val="003419F1"/>
    <w:rsid w:val="00342C9B"/>
    <w:rsid w:val="00343F37"/>
    <w:rsid w:val="003449F8"/>
    <w:rsid w:val="00344DED"/>
    <w:rsid w:val="00345D40"/>
    <w:rsid w:val="003468FD"/>
    <w:rsid w:val="003475E0"/>
    <w:rsid w:val="00350AA9"/>
    <w:rsid w:val="003518EA"/>
    <w:rsid w:val="00354D6A"/>
    <w:rsid w:val="00356FAC"/>
    <w:rsid w:val="003623D6"/>
    <w:rsid w:val="003626B1"/>
    <w:rsid w:val="003634AA"/>
    <w:rsid w:val="003636FE"/>
    <w:rsid w:val="00365747"/>
    <w:rsid w:val="00365EC8"/>
    <w:rsid w:val="003671E9"/>
    <w:rsid w:val="00367EEE"/>
    <w:rsid w:val="003700AE"/>
    <w:rsid w:val="0037205C"/>
    <w:rsid w:val="003721C1"/>
    <w:rsid w:val="00372C68"/>
    <w:rsid w:val="003735BA"/>
    <w:rsid w:val="00373C94"/>
    <w:rsid w:val="0037430B"/>
    <w:rsid w:val="00375013"/>
    <w:rsid w:val="003750C4"/>
    <w:rsid w:val="0037655F"/>
    <w:rsid w:val="00377434"/>
    <w:rsid w:val="003815AF"/>
    <w:rsid w:val="0038312D"/>
    <w:rsid w:val="003836A1"/>
    <w:rsid w:val="0038575C"/>
    <w:rsid w:val="00385E37"/>
    <w:rsid w:val="003863D7"/>
    <w:rsid w:val="00386662"/>
    <w:rsid w:val="00387946"/>
    <w:rsid w:val="003912DD"/>
    <w:rsid w:val="00392AB2"/>
    <w:rsid w:val="003937B4"/>
    <w:rsid w:val="00393D5E"/>
    <w:rsid w:val="003942A3"/>
    <w:rsid w:val="00394B5D"/>
    <w:rsid w:val="00394B66"/>
    <w:rsid w:val="00395F75"/>
    <w:rsid w:val="003960BA"/>
    <w:rsid w:val="00397837"/>
    <w:rsid w:val="003A09F0"/>
    <w:rsid w:val="003A1444"/>
    <w:rsid w:val="003A16C0"/>
    <w:rsid w:val="003A256E"/>
    <w:rsid w:val="003A3BEF"/>
    <w:rsid w:val="003A5C00"/>
    <w:rsid w:val="003B00ED"/>
    <w:rsid w:val="003B2F83"/>
    <w:rsid w:val="003B3E1A"/>
    <w:rsid w:val="003B5FBE"/>
    <w:rsid w:val="003C0F43"/>
    <w:rsid w:val="003C1461"/>
    <w:rsid w:val="003C1DFD"/>
    <w:rsid w:val="003C2085"/>
    <w:rsid w:val="003C4679"/>
    <w:rsid w:val="003C4C9F"/>
    <w:rsid w:val="003C5505"/>
    <w:rsid w:val="003C6297"/>
    <w:rsid w:val="003C6901"/>
    <w:rsid w:val="003D4A21"/>
    <w:rsid w:val="003E0874"/>
    <w:rsid w:val="003E1BD4"/>
    <w:rsid w:val="003E2A56"/>
    <w:rsid w:val="003E59A8"/>
    <w:rsid w:val="003F0634"/>
    <w:rsid w:val="003F0D4C"/>
    <w:rsid w:val="003F1BA9"/>
    <w:rsid w:val="003F1FF1"/>
    <w:rsid w:val="003F207E"/>
    <w:rsid w:val="003F288F"/>
    <w:rsid w:val="003F2C6C"/>
    <w:rsid w:val="003F3AE0"/>
    <w:rsid w:val="003F41EA"/>
    <w:rsid w:val="003F69D3"/>
    <w:rsid w:val="003F74C8"/>
    <w:rsid w:val="003F7EAA"/>
    <w:rsid w:val="00400A3B"/>
    <w:rsid w:val="0040154B"/>
    <w:rsid w:val="00402A99"/>
    <w:rsid w:val="00402D86"/>
    <w:rsid w:val="00402E94"/>
    <w:rsid w:val="00410D75"/>
    <w:rsid w:val="004134C7"/>
    <w:rsid w:val="00414AF9"/>
    <w:rsid w:val="004152E1"/>
    <w:rsid w:val="00415395"/>
    <w:rsid w:val="00416165"/>
    <w:rsid w:val="0041646A"/>
    <w:rsid w:val="00416B60"/>
    <w:rsid w:val="00416DED"/>
    <w:rsid w:val="00417AAE"/>
    <w:rsid w:val="00420188"/>
    <w:rsid w:val="00420968"/>
    <w:rsid w:val="004261B7"/>
    <w:rsid w:val="00426EA4"/>
    <w:rsid w:val="00426F4D"/>
    <w:rsid w:val="00427A69"/>
    <w:rsid w:val="0043049B"/>
    <w:rsid w:val="0043104E"/>
    <w:rsid w:val="004317A5"/>
    <w:rsid w:val="00431D1E"/>
    <w:rsid w:val="00432A5C"/>
    <w:rsid w:val="00436BDB"/>
    <w:rsid w:val="00437EBC"/>
    <w:rsid w:val="0044103C"/>
    <w:rsid w:val="004419EA"/>
    <w:rsid w:val="00441D5A"/>
    <w:rsid w:val="00443077"/>
    <w:rsid w:val="0044320B"/>
    <w:rsid w:val="004432D3"/>
    <w:rsid w:val="004439FC"/>
    <w:rsid w:val="004441D8"/>
    <w:rsid w:val="00444511"/>
    <w:rsid w:val="004449E8"/>
    <w:rsid w:val="00446251"/>
    <w:rsid w:val="004467F1"/>
    <w:rsid w:val="00451CDE"/>
    <w:rsid w:val="0045315C"/>
    <w:rsid w:val="00454682"/>
    <w:rsid w:val="00456909"/>
    <w:rsid w:val="00456C83"/>
    <w:rsid w:val="00460DA2"/>
    <w:rsid w:val="00460EEB"/>
    <w:rsid w:val="00464172"/>
    <w:rsid w:val="00465186"/>
    <w:rsid w:val="004655F4"/>
    <w:rsid w:val="00465BCC"/>
    <w:rsid w:val="00466DC6"/>
    <w:rsid w:val="00472DC1"/>
    <w:rsid w:val="004733BB"/>
    <w:rsid w:val="00476471"/>
    <w:rsid w:val="004801CA"/>
    <w:rsid w:val="004807CF"/>
    <w:rsid w:val="004819E9"/>
    <w:rsid w:val="004823B4"/>
    <w:rsid w:val="00483CF3"/>
    <w:rsid w:val="004857FF"/>
    <w:rsid w:val="00490F45"/>
    <w:rsid w:val="004921C9"/>
    <w:rsid w:val="00492602"/>
    <w:rsid w:val="00492F64"/>
    <w:rsid w:val="00493544"/>
    <w:rsid w:val="00495735"/>
    <w:rsid w:val="00496231"/>
    <w:rsid w:val="00496538"/>
    <w:rsid w:val="00496B81"/>
    <w:rsid w:val="00497C06"/>
    <w:rsid w:val="00497C41"/>
    <w:rsid w:val="004A14A4"/>
    <w:rsid w:val="004A21EB"/>
    <w:rsid w:val="004A3AEA"/>
    <w:rsid w:val="004A556A"/>
    <w:rsid w:val="004A55EB"/>
    <w:rsid w:val="004A7243"/>
    <w:rsid w:val="004B05C7"/>
    <w:rsid w:val="004B0A5E"/>
    <w:rsid w:val="004B114A"/>
    <w:rsid w:val="004B2B49"/>
    <w:rsid w:val="004B71A3"/>
    <w:rsid w:val="004C080D"/>
    <w:rsid w:val="004C1712"/>
    <w:rsid w:val="004C2B43"/>
    <w:rsid w:val="004C35A0"/>
    <w:rsid w:val="004C4B71"/>
    <w:rsid w:val="004D0E52"/>
    <w:rsid w:val="004D1F96"/>
    <w:rsid w:val="004D650C"/>
    <w:rsid w:val="004D73A2"/>
    <w:rsid w:val="004E0E32"/>
    <w:rsid w:val="004E16CD"/>
    <w:rsid w:val="004E4A87"/>
    <w:rsid w:val="004E601A"/>
    <w:rsid w:val="004E680B"/>
    <w:rsid w:val="004E701B"/>
    <w:rsid w:val="004E7CB7"/>
    <w:rsid w:val="004F02E3"/>
    <w:rsid w:val="004F20EB"/>
    <w:rsid w:val="004F343F"/>
    <w:rsid w:val="004F4A8B"/>
    <w:rsid w:val="004F620C"/>
    <w:rsid w:val="00501333"/>
    <w:rsid w:val="005013B8"/>
    <w:rsid w:val="005019C7"/>
    <w:rsid w:val="00502886"/>
    <w:rsid w:val="00505CCD"/>
    <w:rsid w:val="005068BE"/>
    <w:rsid w:val="00507042"/>
    <w:rsid w:val="00507424"/>
    <w:rsid w:val="00511CD3"/>
    <w:rsid w:val="00512DD9"/>
    <w:rsid w:val="00513744"/>
    <w:rsid w:val="00513E8C"/>
    <w:rsid w:val="00514B9B"/>
    <w:rsid w:val="00515D04"/>
    <w:rsid w:val="005162AD"/>
    <w:rsid w:val="00516712"/>
    <w:rsid w:val="00517091"/>
    <w:rsid w:val="00517875"/>
    <w:rsid w:val="00521EEA"/>
    <w:rsid w:val="00522292"/>
    <w:rsid w:val="00524557"/>
    <w:rsid w:val="00524590"/>
    <w:rsid w:val="00526178"/>
    <w:rsid w:val="0053079B"/>
    <w:rsid w:val="0053090E"/>
    <w:rsid w:val="00531082"/>
    <w:rsid w:val="00532EA7"/>
    <w:rsid w:val="00533922"/>
    <w:rsid w:val="0053594C"/>
    <w:rsid w:val="00536589"/>
    <w:rsid w:val="005401DA"/>
    <w:rsid w:val="00540394"/>
    <w:rsid w:val="005404E3"/>
    <w:rsid w:val="00540B98"/>
    <w:rsid w:val="00542FBF"/>
    <w:rsid w:val="0054565B"/>
    <w:rsid w:val="00547541"/>
    <w:rsid w:val="00551FBA"/>
    <w:rsid w:val="00553264"/>
    <w:rsid w:val="0055478B"/>
    <w:rsid w:val="00556AF0"/>
    <w:rsid w:val="0056022F"/>
    <w:rsid w:val="00560516"/>
    <w:rsid w:val="00563C61"/>
    <w:rsid w:val="005666C9"/>
    <w:rsid w:val="00566712"/>
    <w:rsid w:val="005674DD"/>
    <w:rsid w:val="00572E07"/>
    <w:rsid w:val="00573F60"/>
    <w:rsid w:val="00574967"/>
    <w:rsid w:val="00574BA4"/>
    <w:rsid w:val="0057684E"/>
    <w:rsid w:val="00577EC5"/>
    <w:rsid w:val="00580491"/>
    <w:rsid w:val="00583ED3"/>
    <w:rsid w:val="00584309"/>
    <w:rsid w:val="00584BD8"/>
    <w:rsid w:val="00584DE7"/>
    <w:rsid w:val="00585D34"/>
    <w:rsid w:val="005863E2"/>
    <w:rsid w:val="00586675"/>
    <w:rsid w:val="005901BC"/>
    <w:rsid w:val="0059109F"/>
    <w:rsid w:val="00593F1F"/>
    <w:rsid w:val="00595EEF"/>
    <w:rsid w:val="00597508"/>
    <w:rsid w:val="00597E1D"/>
    <w:rsid w:val="005A0A68"/>
    <w:rsid w:val="005A0DD1"/>
    <w:rsid w:val="005A27F6"/>
    <w:rsid w:val="005A3574"/>
    <w:rsid w:val="005A4F3C"/>
    <w:rsid w:val="005A6531"/>
    <w:rsid w:val="005A663B"/>
    <w:rsid w:val="005A68B6"/>
    <w:rsid w:val="005B02FD"/>
    <w:rsid w:val="005B2662"/>
    <w:rsid w:val="005B2A4F"/>
    <w:rsid w:val="005B3F25"/>
    <w:rsid w:val="005B69BA"/>
    <w:rsid w:val="005C0377"/>
    <w:rsid w:val="005C04DF"/>
    <w:rsid w:val="005C1FF6"/>
    <w:rsid w:val="005C4B87"/>
    <w:rsid w:val="005C5574"/>
    <w:rsid w:val="005C795F"/>
    <w:rsid w:val="005D1FB4"/>
    <w:rsid w:val="005D213F"/>
    <w:rsid w:val="005D2531"/>
    <w:rsid w:val="005D272C"/>
    <w:rsid w:val="005D3964"/>
    <w:rsid w:val="005D3CE2"/>
    <w:rsid w:val="005D40AB"/>
    <w:rsid w:val="005D4C67"/>
    <w:rsid w:val="005D7FA9"/>
    <w:rsid w:val="005E0F11"/>
    <w:rsid w:val="005E208E"/>
    <w:rsid w:val="005E2893"/>
    <w:rsid w:val="005E448A"/>
    <w:rsid w:val="005E70D6"/>
    <w:rsid w:val="005F28C0"/>
    <w:rsid w:val="005F3D7B"/>
    <w:rsid w:val="005F4DA5"/>
    <w:rsid w:val="005F4E73"/>
    <w:rsid w:val="005F550C"/>
    <w:rsid w:val="005F5D07"/>
    <w:rsid w:val="005F6CF7"/>
    <w:rsid w:val="005F6E51"/>
    <w:rsid w:val="005F6E56"/>
    <w:rsid w:val="005F7331"/>
    <w:rsid w:val="005F7CD2"/>
    <w:rsid w:val="006003AA"/>
    <w:rsid w:val="006028BF"/>
    <w:rsid w:val="00602B4D"/>
    <w:rsid w:val="00602C03"/>
    <w:rsid w:val="0060486E"/>
    <w:rsid w:val="006053ED"/>
    <w:rsid w:val="00605516"/>
    <w:rsid w:val="00605E73"/>
    <w:rsid w:val="00610F77"/>
    <w:rsid w:val="00611476"/>
    <w:rsid w:val="00611AC0"/>
    <w:rsid w:val="00611F73"/>
    <w:rsid w:val="00616A2E"/>
    <w:rsid w:val="00617B8C"/>
    <w:rsid w:val="00620065"/>
    <w:rsid w:val="0062046D"/>
    <w:rsid w:val="00622055"/>
    <w:rsid w:val="006235CD"/>
    <w:rsid w:val="00623C27"/>
    <w:rsid w:val="00626370"/>
    <w:rsid w:val="0062698C"/>
    <w:rsid w:val="00627CC1"/>
    <w:rsid w:val="00630B2D"/>
    <w:rsid w:val="00632D7E"/>
    <w:rsid w:val="006371F2"/>
    <w:rsid w:val="00640B31"/>
    <w:rsid w:val="00640C4D"/>
    <w:rsid w:val="006416CD"/>
    <w:rsid w:val="0064362F"/>
    <w:rsid w:val="00644244"/>
    <w:rsid w:val="00644602"/>
    <w:rsid w:val="0064706D"/>
    <w:rsid w:val="00647F9A"/>
    <w:rsid w:val="00650427"/>
    <w:rsid w:val="006549BB"/>
    <w:rsid w:val="00655140"/>
    <w:rsid w:val="006556A5"/>
    <w:rsid w:val="00656964"/>
    <w:rsid w:val="00661828"/>
    <w:rsid w:val="00663D51"/>
    <w:rsid w:val="00664491"/>
    <w:rsid w:val="00664AD0"/>
    <w:rsid w:val="00664C2E"/>
    <w:rsid w:val="00664DC0"/>
    <w:rsid w:val="006660DB"/>
    <w:rsid w:val="00666981"/>
    <w:rsid w:val="006673ED"/>
    <w:rsid w:val="00667529"/>
    <w:rsid w:val="00667580"/>
    <w:rsid w:val="00670D3D"/>
    <w:rsid w:val="00675EA3"/>
    <w:rsid w:val="0067699D"/>
    <w:rsid w:val="00677F28"/>
    <w:rsid w:val="006827B7"/>
    <w:rsid w:val="0068325B"/>
    <w:rsid w:val="006832B2"/>
    <w:rsid w:val="00684735"/>
    <w:rsid w:val="00685BB0"/>
    <w:rsid w:val="00686200"/>
    <w:rsid w:val="00687C8D"/>
    <w:rsid w:val="00690D0B"/>
    <w:rsid w:val="006916B7"/>
    <w:rsid w:val="00694501"/>
    <w:rsid w:val="00694D71"/>
    <w:rsid w:val="006A05A2"/>
    <w:rsid w:val="006A192A"/>
    <w:rsid w:val="006A3BFF"/>
    <w:rsid w:val="006A566E"/>
    <w:rsid w:val="006A6FD3"/>
    <w:rsid w:val="006A7A0D"/>
    <w:rsid w:val="006B0001"/>
    <w:rsid w:val="006B0292"/>
    <w:rsid w:val="006B0364"/>
    <w:rsid w:val="006B1741"/>
    <w:rsid w:val="006B2F44"/>
    <w:rsid w:val="006B3250"/>
    <w:rsid w:val="006B4604"/>
    <w:rsid w:val="006B4629"/>
    <w:rsid w:val="006B62D9"/>
    <w:rsid w:val="006B737C"/>
    <w:rsid w:val="006C2679"/>
    <w:rsid w:val="006C41AC"/>
    <w:rsid w:val="006C465E"/>
    <w:rsid w:val="006C67F6"/>
    <w:rsid w:val="006C6F17"/>
    <w:rsid w:val="006C7C8C"/>
    <w:rsid w:val="006D108A"/>
    <w:rsid w:val="006D125A"/>
    <w:rsid w:val="006D17E1"/>
    <w:rsid w:val="006D4315"/>
    <w:rsid w:val="006E04E0"/>
    <w:rsid w:val="006E097F"/>
    <w:rsid w:val="006E22D6"/>
    <w:rsid w:val="006E2828"/>
    <w:rsid w:val="006E3B58"/>
    <w:rsid w:val="006E4683"/>
    <w:rsid w:val="006E56E6"/>
    <w:rsid w:val="006E7633"/>
    <w:rsid w:val="006F0238"/>
    <w:rsid w:val="006F2257"/>
    <w:rsid w:val="006F2541"/>
    <w:rsid w:val="006F2BC1"/>
    <w:rsid w:val="006F314F"/>
    <w:rsid w:val="006F6571"/>
    <w:rsid w:val="006F6E92"/>
    <w:rsid w:val="0070125F"/>
    <w:rsid w:val="0070178E"/>
    <w:rsid w:val="00701DB4"/>
    <w:rsid w:val="007024D9"/>
    <w:rsid w:val="00702802"/>
    <w:rsid w:val="00703D8D"/>
    <w:rsid w:val="00705134"/>
    <w:rsid w:val="007055F8"/>
    <w:rsid w:val="0071009D"/>
    <w:rsid w:val="007106F1"/>
    <w:rsid w:val="00710DEC"/>
    <w:rsid w:val="007132AB"/>
    <w:rsid w:val="00713524"/>
    <w:rsid w:val="00714EAB"/>
    <w:rsid w:val="00715E6E"/>
    <w:rsid w:val="00715F6E"/>
    <w:rsid w:val="00716BA0"/>
    <w:rsid w:val="0071736B"/>
    <w:rsid w:val="00720904"/>
    <w:rsid w:val="00724D67"/>
    <w:rsid w:val="00725733"/>
    <w:rsid w:val="00727C20"/>
    <w:rsid w:val="00732C22"/>
    <w:rsid w:val="00732C65"/>
    <w:rsid w:val="00733D74"/>
    <w:rsid w:val="00735354"/>
    <w:rsid w:val="00736C53"/>
    <w:rsid w:val="00737E76"/>
    <w:rsid w:val="007406BE"/>
    <w:rsid w:val="00740CE5"/>
    <w:rsid w:val="00741821"/>
    <w:rsid w:val="00742EB2"/>
    <w:rsid w:val="007437BE"/>
    <w:rsid w:val="00744354"/>
    <w:rsid w:val="007449E7"/>
    <w:rsid w:val="00745070"/>
    <w:rsid w:val="0074622F"/>
    <w:rsid w:val="007465AD"/>
    <w:rsid w:val="00750279"/>
    <w:rsid w:val="00751EDC"/>
    <w:rsid w:val="0075228C"/>
    <w:rsid w:val="00753128"/>
    <w:rsid w:val="0075385A"/>
    <w:rsid w:val="00755C6A"/>
    <w:rsid w:val="00757604"/>
    <w:rsid w:val="00757C03"/>
    <w:rsid w:val="00757DE3"/>
    <w:rsid w:val="007615E0"/>
    <w:rsid w:val="00764171"/>
    <w:rsid w:val="00765FC6"/>
    <w:rsid w:val="0076735F"/>
    <w:rsid w:val="00771D7A"/>
    <w:rsid w:val="00772604"/>
    <w:rsid w:val="007738A3"/>
    <w:rsid w:val="0077508F"/>
    <w:rsid w:val="00776556"/>
    <w:rsid w:val="007765F4"/>
    <w:rsid w:val="007766E1"/>
    <w:rsid w:val="0077715B"/>
    <w:rsid w:val="00780429"/>
    <w:rsid w:val="00781076"/>
    <w:rsid w:val="007810B5"/>
    <w:rsid w:val="0078139C"/>
    <w:rsid w:val="007820F0"/>
    <w:rsid w:val="007835A7"/>
    <w:rsid w:val="007843A1"/>
    <w:rsid w:val="00785F84"/>
    <w:rsid w:val="00786FE1"/>
    <w:rsid w:val="00791997"/>
    <w:rsid w:val="00792C6B"/>
    <w:rsid w:val="007A037E"/>
    <w:rsid w:val="007A121F"/>
    <w:rsid w:val="007A36B8"/>
    <w:rsid w:val="007A6620"/>
    <w:rsid w:val="007A70C6"/>
    <w:rsid w:val="007A79B2"/>
    <w:rsid w:val="007B0B59"/>
    <w:rsid w:val="007B0B9A"/>
    <w:rsid w:val="007B1FE1"/>
    <w:rsid w:val="007B44FB"/>
    <w:rsid w:val="007B6A43"/>
    <w:rsid w:val="007C2775"/>
    <w:rsid w:val="007C3815"/>
    <w:rsid w:val="007C3D22"/>
    <w:rsid w:val="007C5214"/>
    <w:rsid w:val="007C6279"/>
    <w:rsid w:val="007C7B22"/>
    <w:rsid w:val="007C7E53"/>
    <w:rsid w:val="007D0AD2"/>
    <w:rsid w:val="007D3D7E"/>
    <w:rsid w:val="007D4B80"/>
    <w:rsid w:val="007D57D1"/>
    <w:rsid w:val="007D72BB"/>
    <w:rsid w:val="007E04DC"/>
    <w:rsid w:val="007E06FA"/>
    <w:rsid w:val="007E11C1"/>
    <w:rsid w:val="007E148A"/>
    <w:rsid w:val="007E2B60"/>
    <w:rsid w:val="007E369D"/>
    <w:rsid w:val="007E46DE"/>
    <w:rsid w:val="007E4CB6"/>
    <w:rsid w:val="007F1854"/>
    <w:rsid w:val="007F1B5C"/>
    <w:rsid w:val="007F3CD4"/>
    <w:rsid w:val="007F4789"/>
    <w:rsid w:val="007F4E3D"/>
    <w:rsid w:val="007F584F"/>
    <w:rsid w:val="007F6759"/>
    <w:rsid w:val="0080030D"/>
    <w:rsid w:val="008010D6"/>
    <w:rsid w:val="00802248"/>
    <w:rsid w:val="00802574"/>
    <w:rsid w:val="00805BBF"/>
    <w:rsid w:val="00806303"/>
    <w:rsid w:val="00810288"/>
    <w:rsid w:val="00812179"/>
    <w:rsid w:val="008124AC"/>
    <w:rsid w:val="00813908"/>
    <w:rsid w:val="00815C07"/>
    <w:rsid w:val="00815C2A"/>
    <w:rsid w:val="00816E90"/>
    <w:rsid w:val="00817578"/>
    <w:rsid w:val="008237B1"/>
    <w:rsid w:val="00823B4A"/>
    <w:rsid w:val="00824310"/>
    <w:rsid w:val="008271D2"/>
    <w:rsid w:val="00830E47"/>
    <w:rsid w:val="008313C3"/>
    <w:rsid w:val="0083146B"/>
    <w:rsid w:val="008323E8"/>
    <w:rsid w:val="0083255B"/>
    <w:rsid w:val="00833B7E"/>
    <w:rsid w:val="00834940"/>
    <w:rsid w:val="00837F62"/>
    <w:rsid w:val="008411EB"/>
    <w:rsid w:val="008429F6"/>
    <w:rsid w:val="00845E34"/>
    <w:rsid w:val="00846357"/>
    <w:rsid w:val="008522DF"/>
    <w:rsid w:val="00852E26"/>
    <w:rsid w:val="008541C0"/>
    <w:rsid w:val="00854549"/>
    <w:rsid w:val="0085612B"/>
    <w:rsid w:val="008566DC"/>
    <w:rsid w:val="00861E71"/>
    <w:rsid w:val="0086448A"/>
    <w:rsid w:val="00864C0C"/>
    <w:rsid w:val="00865B77"/>
    <w:rsid w:val="008663B7"/>
    <w:rsid w:val="00866ACC"/>
    <w:rsid w:val="00866B5B"/>
    <w:rsid w:val="0086747C"/>
    <w:rsid w:val="00872AFC"/>
    <w:rsid w:val="00872B52"/>
    <w:rsid w:val="0087353C"/>
    <w:rsid w:val="00876915"/>
    <w:rsid w:val="00882152"/>
    <w:rsid w:val="008843D1"/>
    <w:rsid w:val="00884C6B"/>
    <w:rsid w:val="008854ED"/>
    <w:rsid w:val="00885D54"/>
    <w:rsid w:val="00885DB9"/>
    <w:rsid w:val="00887DA9"/>
    <w:rsid w:val="00890562"/>
    <w:rsid w:val="0089155B"/>
    <w:rsid w:val="00894C33"/>
    <w:rsid w:val="0089606B"/>
    <w:rsid w:val="0089783D"/>
    <w:rsid w:val="008A0679"/>
    <w:rsid w:val="008A1F6E"/>
    <w:rsid w:val="008A3BA4"/>
    <w:rsid w:val="008A474D"/>
    <w:rsid w:val="008A67DD"/>
    <w:rsid w:val="008A6A82"/>
    <w:rsid w:val="008A6C33"/>
    <w:rsid w:val="008A7087"/>
    <w:rsid w:val="008A7CDC"/>
    <w:rsid w:val="008B09E7"/>
    <w:rsid w:val="008B2EF3"/>
    <w:rsid w:val="008B3DA5"/>
    <w:rsid w:val="008B4E88"/>
    <w:rsid w:val="008B6773"/>
    <w:rsid w:val="008B7748"/>
    <w:rsid w:val="008C1CA6"/>
    <w:rsid w:val="008C3B28"/>
    <w:rsid w:val="008C4561"/>
    <w:rsid w:val="008C4C02"/>
    <w:rsid w:val="008C5C93"/>
    <w:rsid w:val="008C5F26"/>
    <w:rsid w:val="008C6225"/>
    <w:rsid w:val="008C6656"/>
    <w:rsid w:val="008C68B5"/>
    <w:rsid w:val="008C6F68"/>
    <w:rsid w:val="008C732B"/>
    <w:rsid w:val="008C7420"/>
    <w:rsid w:val="008C759C"/>
    <w:rsid w:val="008C7CED"/>
    <w:rsid w:val="008D02AF"/>
    <w:rsid w:val="008D0AFA"/>
    <w:rsid w:val="008D1162"/>
    <w:rsid w:val="008D12E7"/>
    <w:rsid w:val="008D16D8"/>
    <w:rsid w:val="008D2C6A"/>
    <w:rsid w:val="008D5E94"/>
    <w:rsid w:val="008D5FED"/>
    <w:rsid w:val="008D73A5"/>
    <w:rsid w:val="008E31AE"/>
    <w:rsid w:val="008E32BB"/>
    <w:rsid w:val="008E56EC"/>
    <w:rsid w:val="008E6EBA"/>
    <w:rsid w:val="008F0342"/>
    <w:rsid w:val="008F123B"/>
    <w:rsid w:val="008F1AEB"/>
    <w:rsid w:val="008F48ED"/>
    <w:rsid w:val="008F51DE"/>
    <w:rsid w:val="008F54C9"/>
    <w:rsid w:val="008F630D"/>
    <w:rsid w:val="00902B4A"/>
    <w:rsid w:val="009036E7"/>
    <w:rsid w:val="00904A4C"/>
    <w:rsid w:val="00906AB0"/>
    <w:rsid w:val="00907970"/>
    <w:rsid w:val="00914CA3"/>
    <w:rsid w:val="0092038A"/>
    <w:rsid w:val="00920CE7"/>
    <w:rsid w:val="009213B2"/>
    <w:rsid w:val="00923034"/>
    <w:rsid w:val="00924374"/>
    <w:rsid w:val="00927A50"/>
    <w:rsid w:val="00927C9D"/>
    <w:rsid w:val="00927CBB"/>
    <w:rsid w:val="0093240B"/>
    <w:rsid w:val="0093294D"/>
    <w:rsid w:val="00932B19"/>
    <w:rsid w:val="00934664"/>
    <w:rsid w:val="00934D4F"/>
    <w:rsid w:val="00935113"/>
    <w:rsid w:val="00935229"/>
    <w:rsid w:val="00936F8C"/>
    <w:rsid w:val="0093734F"/>
    <w:rsid w:val="009373D5"/>
    <w:rsid w:val="00940446"/>
    <w:rsid w:val="009408B0"/>
    <w:rsid w:val="00940EB3"/>
    <w:rsid w:val="009410CE"/>
    <w:rsid w:val="00943FEB"/>
    <w:rsid w:val="00944799"/>
    <w:rsid w:val="009447F5"/>
    <w:rsid w:val="00945133"/>
    <w:rsid w:val="009517DF"/>
    <w:rsid w:val="00951CA0"/>
    <w:rsid w:val="009521AC"/>
    <w:rsid w:val="0095309B"/>
    <w:rsid w:val="009532A8"/>
    <w:rsid w:val="00953750"/>
    <w:rsid w:val="00953AAB"/>
    <w:rsid w:val="009558B4"/>
    <w:rsid w:val="00960A18"/>
    <w:rsid w:val="00960FF4"/>
    <w:rsid w:val="00961841"/>
    <w:rsid w:val="0096211A"/>
    <w:rsid w:val="0096576B"/>
    <w:rsid w:val="00965997"/>
    <w:rsid w:val="00965C36"/>
    <w:rsid w:val="00965D97"/>
    <w:rsid w:val="00966AB3"/>
    <w:rsid w:val="00970246"/>
    <w:rsid w:val="00970929"/>
    <w:rsid w:val="00972246"/>
    <w:rsid w:val="009723DD"/>
    <w:rsid w:val="00972844"/>
    <w:rsid w:val="00974BBD"/>
    <w:rsid w:val="00975BDF"/>
    <w:rsid w:val="009760B5"/>
    <w:rsid w:val="00981CC1"/>
    <w:rsid w:val="009837D9"/>
    <w:rsid w:val="00985981"/>
    <w:rsid w:val="00987693"/>
    <w:rsid w:val="0099090C"/>
    <w:rsid w:val="00990EF5"/>
    <w:rsid w:val="00990FCC"/>
    <w:rsid w:val="0099168A"/>
    <w:rsid w:val="00993DCC"/>
    <w:rsid w:val="0099633B"/>
    <w:rsid w:val="00996A10"/>
    <w:rsid w:val="009A00DD"/>
    <w:rsid w:val="009A147A"/>
    <w:rsid w:val="009A1890"/>
    <w:rsid w:val="009A258A"/>
    <w:rsid w:val="009A474A"/>
    <w:rsid w:val="009A5873"/>
    <w:rsid w:val="009A6D14"/>
    <w:rsid w:val="009B154C"/>
    <w:rsid w:val="009B2024"/>
    <w:rsid w:val="009B2186"/>
    <w:rsid w:val="009B30D5"/>
    <w:rsid w:val="009B500D"/>
    <w:rsid w:val="009B6BF2"/>
    <w:rsid w:val="009B70C6"/>
    <w:rsid w:val="009B721B"/>
    <w:rsid w:val="009B7427"/>
    <w:rsid w:val="009C33CF"/>
    <w:rsid w:val="009C3F12"/>
    <w:rsid w:val="009C5285"/>
    <w:rsid w:val="009C5478"/>
    <w:rsid w:val="009C55BF"/>
    <w:rsid w:val="009C72F3"/>
    <w:rsid w:val="009D170D"/>
    <w:rsid w:val="009D5CF2"/>
    <w:rsid w:val="009D677A"/>
    <w:rsid w:val="009E0880"/>
    <w:rsid w:val="009E5201"/>
    <w:rsid w:val="009E526D"/>
    <w:rsid w:val="009E5A14"/>
    <w:rsid w:val="009E795F"/>
    <w:rsid w:val="009E7E29"/>
    <w:rsid w:val="009F267B"/>
    <w:rsid w:val="009F3048"/>
    <w:rsid w:val="009F31B9"/>
    <w:rsid w:val="009F37C0"/>
    <w:rsid w:val="009F5B25"/>
    <w:rsid w:val="00A0025A"/>
    <w:rsid w:val="00A007FE"/>
    <w:rsid w:val="00A0081E"/>
    <w:rsid w:val="00A00AC4"/>
    <w:rsid w:val="00A022F7"/>
    <w:rsid w:val="00A031ED"/>
    <w:rsid w:val="00A0358D"/>
    <w:rsid w:val="00A03B6B"/>
    <w:rsid w:val="00A03E66"/>
    <w:rsid w:val="00A05DC3"/>
    <w:rsid w:val="00A06BA3"/>
    <w:rsid w:val="00A10511"/>
    <w:rsid w:val="00A125AC"/>
    <w:rsid w:val="00A12883"/>
    <w:rsid w:val="00A12E04"/>
    <w:rsid w:val="00A169B1"/>
    <w:rsid w:val="00A17C61"/>
    <w:rsid w:val="00A226A9"/>
    <w:rsid w:val="00A236DE"/>
    <w:rsid w:val="00A25125"/>
    <w:rsid w:val="00A251B0"/>
    <w:rsid w:val="00A25AC9"/>
    <w:rsid w:val="00A2697C"/>
    <w:rsid w:val="00A27671"/>
    <w:rsid w:val="00A27C7A"/>
    <w:rsid w:val="00A3111A"/>
    <w:rsid w:val="00A315F6"/>
    <w:rsid w:val="00A32537"/>
    <w:rsid w:val="00A342F6"/>
    <w:rsid w:val="00A3433B"/>
    <w:rsid w:val="00A423EE"/>
    <w:rsid w:val="00A43F10"/>
    <w:rsid w:val="00A44C94"/>
    <w:rsid w:val="00A46124"/>
    <w:rsid w:val="00A47E11"/>
    <w:rsid w:val="00A534EC"/>
    <w:rsid w:val="00A53DC5"/>
    <w:rsid w:val="00A53E1A"/>
    <w:rsid w:val="00A55E50"/>
    <w:rsid w:val="00A603B6"/>
    <w:rsid w:val="00A62538"/>
    <w:rsid w:val="00A62BCF"/>
    <w:rsid w:val="00A647C4"/>
    <w:rsid w:val="00A655DD"/>
    <w:rsid w:val="00A65B9C"/>
    <w:rsid w:val="00A6662B"/>
    <w:rsid w:val="00A668D0"/>
    <w:rsid w:val="00A66955"/>
    <w:rsid w:val="00A66DAA"/>
    <w:rsid w:val="00A675E7"/>
    <w:rsid w:val="00A716F3"/>
    <w:rsid w:val="00A71A15"/>
    <w:rsid w:val="00A72850"/>
    <w:rsid w:val="00A7310A"/>
    <w:rsid w:val="00A76EF4"/>
    <w:rsid w:val="00A7789E"/>
    <w:rsid w:val="00A77ED1"/>
    <w:rsid w:val="00A8086A"/>
    <w:rsid w:val="00A823FE"/>
    <w:rsid w:val="00A840CC"/>
    <w:rsid w:val="00A9208D"/>
    <w:rsid w:val="00A967EB"/>
    <w:rsid w:val="00A97EF3"/>
    <w:rsid w:val="00AA0E7B"/>
    <w:rsid w:val="00AA1042"/>
    <w:rsid w:val="00AA13DB"/>
    <w:rsid w:val="00AA2772"/>
    <w:rsid w:val="00AA2F9E"/>
    <w:rsid w:val="00AA5F04"/>
    <w:rsid w:val="00AA6495"/>
    <w:rsid w:val="00AA71F9"/>
    <w:rsid w:val="00AA7246"/>
    <w:rsid w:val="00AA7344"/>
    <w:rsid w:val="00AA7C4F"/>
    <w:rsid w:val="00AA7E1A"/>
    <w:rsid w:val="00AB058F"/>
    <w:rsid w:val="00AB29A4"/>
    <w:rsid w:val="00AB2C85"/>
    <w:rsid w:val="00AB3187"/>
    <w:rsid w:val="00AB3582"/>
    <w:rsid w:val="00AB442C"/>
    <w:rsid w:val="00AB4B43"/>
    <w:rsid w:val="00AB5A63"/>
    <w:rsid w:val="00AB5D67"/>
    <w:rsid w:val="00AB624A"/>
    <w:rsid w:val="00AB69CF"/>
    <w:rsid w:val="00AB6BF6"/>
    <w:rsid w:val="00AB7916"/>
    <w:rsid w:val="00AB7A6A"/>
    <w:rsid w:val="00AC1D4E"/>
    <w:rsid w:val="00AC2FC1"/>
    <w:rsid w:val="00AC307C"/>
    <w:rsid w:val="00AC4293"/>
    <w:rsid w:val="00AC4914"/>
    <w:rsid w:val="00AC7F83"/>
    <w:rsid w:val="00AC7FF9"/>
    <w:rsid w:val="00AD07E7"/>
    <w:rsid w:val="00AD13B0"/>
    <w:rsid w:val="00AD4184"/>
    <w:rsid w:val="00AD6D07"/>
    <w:rsid w:val="00AE0B63"/>
    <w:rsid w:val="00AF2EBD"/>
    <w:rsid w:val="00AF3498"/>
    <w:rsid w:val="00AF5131"/>
    <w:rsid w:val="00AF6243"/>
    <w:rsid w:val="00B00381"/>
    <w:rsid w:val="00B02288"/>
    <w:rsid w:val="00B05523"/>
    <w:rsid w:val="00B1027B"/>
    <w:rsid w:val="00B10F4D"/>
    <w:rsid w:val="00B11A78"/>
    <w:rsid w:val="00B12D91"/>
    <w:rsid w:val="00B134A1"/>
    <w:rsid w:val="00B1499A"/>
    <w:rsid w:val="00B17853"/>
    <w:rsid w:val="00B212D4"/>
    <w:rsid w:val="00B2252C"/>
    <w:rsid w:val="00B2272F"/>
    <w:rsid w:val="00B239C0"/>
    <w:rsid w:val="00B23BA4"/>
    <w:rsid w:val="00B23C62"/>
    <w:rsid w:val="00B24561"/>
    <w:rsid w:val="00B25791"/>
    <w:rsid w:val="00B2611B"/>
    <w:rsid w:val="00B26A21"/>
    <w:rsid w:val="00B271CB"/>
    <w:rsid w:val="00B27D2C"/>
    <w:rsid w:val="00B3003F"/>
    <w:rsid w:val="00B303AA"/>
    <w:rsid w:val="00B32CC8"/>
    <w:rsid w:val="00B33FBD"/>
    <w:rsid w:val="00B34D1E"/>
    <w:rsid w:val="00B35471"/>
    <w:rsid w:val="00B35EDC"/>
    <w:rsid w:val="00B36DFD"/>
    <w:rsid w:val="00B40488"/>
    <w:rsid w:val="00B406E1"/>
    <w:rsid w:val="00B40ADA"/>
    <w:rsid w:val="00B46A1A"/>
    <w:rsid w:val="00B46CBC"/>
    <w:rsid w:val="00B47252"/>
    <w:rsid w:val="00B51764"/>
    <w:rsid w:val="00B526B5"/>
    <w:rsid w:val="00B54991"/>
    <w:rsid w:val="00B55338"/>
    <w:rsid w:val="00B56033"/>
    <w:rsid w:val="00B570A9"/>
    <w:rsid w:val="00B60F1E"/>
    <w:rsid w:val="00B61B8B"/>
    <w:rsid w:val="00B626A0"/>
    <w:rsid w:val="00B62BCE"/>
    <w:rsid w:val="00B64947"/>
    <w:rsid w:val="00B64D53"/>
    <w:rsid w:val="00B67B54"/>
    <w:rsid w:val="00B711BA"/>
    <w:rsid w:val="00B72152"/>
    <w:rsid w:val="00B74360"/>
    <w:rsid w:val="00B744B4"/>
    <w:rsid w:val="00B767AA"/>
    <w:rsid w:val="00B76E51"/>
    <w:rsid w:val="00B807CE"/>
    <w:rsid w:val="00B82C9F"/>
    <w:rsid w:val="00B83446"/>
    <w:rsid w:val="00B8447A"/>
    <w:rsid w:val="00B84FF9"/>
    <w:rsid w:val="00B86DF1"/>
    <w:rsid w:val="00B9148C"/>
    <w:rsid w:val="00B91C60"/>
    <w:rsid w:val="00B92C18"/>
    <w:rsid w:val="00B934BE"/>
    <w:rsid w:val="00B9394F"/>
    <w:rsid w:val="00B94BD0"/>
    <w:rsid w:val="00B9708E"/>
    <w:rsid w:val="00BA2D3D"/>
    <w:rsid w:val="00BA45F5"/>
    <w:rsid w:val="00BA7571"/>
    <w:rsid w:val="00BB1FA0"/>
    <w:rsid w:val="00BB24B6"/>
    <w:rsid w:val="00BB261C"/>
    <w:rsid w:val="00BB3D38"/>
    <w:rsid w:val="00BC0F09"/>
    <w:rsid w:val="00BC1004"/>
    <w:rsid w:val="00BC222C"/>
    <w:rsid w:val="00BC443F"/>
    <w:rsid w:val="00BC5D60"/>
    <w:rsid w:val="00BC7544"/>
    <w:rsid w:val="00BC7A0B"/>
    <w:rsid w:val="00BD0328"/>
    <w:rsid w:val="00BD1161"/>
    <w:rsid w:val="00BD137B"/>
    <w:rsid w:val="00BD36ED"/>
    <w:rsid w:val="00BD3BCD"/>
    <w:rsid w:val="00BD6398"/>
    <w:rsid w:val="00BD7E3D"/>
    <w:rsid w:val="00BD7F1C"/>
    <w:rsid w:val="00BE13CC"/>
    <w:rsid w:val="00BE1BC4"/>
    <w:rsid w:val="00BE33B7"/>
    <w:rsid w:val="00BE369A"/>
    <w:rsid w:val="00BE6880"/>
    <w:rsid w:val="00BF00A0"/>
    <w:rsid w:val="00BF1F59"/>
    <w:rsid w:val="00BF50A5"/>
    <w:rsid w:val="00BF59BD"/>
    <w:rsid w:val="00BF6D20"/>
    <w:rsid w:val="00BF7B4B"/>
    <w:rsid w:val="00C01033"/>
    <w:rsid w:val="00C01192"/>
    <w:rsid w:val="00C01726"/>
    <w:rsid w:val="00C02618"/>
    <w:rsid w:val="00C02F2B"/>
    <w:rsid w:val="00C04340"/>
    <w:rsid w:val="00C05442"/>
    <w:rsid w:val="00C06068"/>
    <w:rsid w:val="00C10A34"/>
    <w:rsid w:val="00C12C33"/>
    <w:rsid w:val="00C12F1D"/>
    <w:rsid w:val="00C13136"/>
    <w:rsid w:val="00C1313F"/>
    <w:rsid w:val="00C1619F"/>
    <w:rsid w:val="00C16CEB"/>
    <w:rsid w:val="00C2023C"/>
    <w:rsid w:val="00C231D9"/>
    <w:rsid w:val="00C24203"/>
    <w:rsid w:val="00C25455"/>
    <w:rsid w:val="00C25F06"/>
    <w:rsid w:val="00C31111"/>
    <w:rsid w:val="00C330B5"/>
    <w:rsid w:val="00C3355F"/>
    <w:rsid w:val="00C33F7D"/>
    <w:rsid w:val="00C3440D"/>
    <w:rsid w:val="00C35C38"/>
    <w:rsid w:val="00C35EF1"/>
    <w:rsid w:val="00C3736C"/>
    <w:rsid w:val="00C377E2"/>
    <w:rsid w:val="00C4363C"/>
    <w:rsid w:val="00C4428D"/>
    <w:rsid w:val="00C45585"/>
    <w:rsid w:val="00C45F62"/>
    <w:rsid w:val="00C4621F"/>
    <w:rsid w:val="00C471FF"/>
    <w:rsid w:val="00C47C4B"/>
    <w:rsid w:val="00C47F37"/>
    <w:rsid w:val="00C503BA"/>
    <w:rsid w:val="00C51ACC"/>
    <w:rsid w:val="00C52E06"/>
    <w:rsid w:val="00C5661D"/>
    <w:rsid w:val="00C56858"/>
    <w:rsid w:val="00C57E01"/>
    <w:rsid w:val="00C60ADC"/>
    <w:rsid w:val="00C60BD5"/>
    <w:rsid w:val="00C60CA4"/>
    <w:rsid w:val="00C62A5D"/>
    <w:rsid w:val="00C63C8A"/>
    <w:rsid w:val="00C64C78"/>
    <w:rsid w:val="00C71E87"/>
    <w:rsid w:val="00C7400E"/>
    <w:rsid w:val="00C74998"/>
    <w:rsid w:val="00C74F2A"/>
    <w:rsid w:val="00C7567C"/>
    <w:rsid w:val="00C81311"/>
    <w:rsid w:val="00C81594"/>
    <w:rsid w:val="00C82E97"/>
    <w:rsid w:val="00C84A68"/>
    <w:rsid w:val="00C84FBD"/>
    <w:rsid w:val="00C87C77"/>
    <w:rsid w:val="00C87F11"/>
    <w:rsid w:val="00C9390C"/>
    <w:rsid w:val="00C9420E"/>
    <w:rsid w:val="00C95747"/>
    <w:rsid w:val="00C960EF"/>
    <w:rsid w:val="00CA2271"/>
    <w:rsid w:val="00CA23CC"/>
    <w:rsid w:val="00CA23FE"/>
    <w:rsid w:val="00CA3A10"/>
    <w:rsid w:val="00CA5CEB"/>
    <w:rsid w:val="00CA6631"/>
    <w:rsid w:val="00CA713B"/>
    <w:rsid w:val="00CA7CDB"/>
    <w:rsid w:val="00CB20D7"/>
    <w:rsid w:val="00CB2127"/>
    <w:rsid w:val="00CB2A48"/>
    <w:rsid w:val="00CB33BE"/>
    <w:rsid w:val="00CB3B57"/>
    <w:rsid w:val="00CB4206"/>
    <w:rsid w:val="00CB46B3"/>
    <w:rsid w:val="00CB4FCE"/>
    <w:rsid w:val="00CB6F2A"/>
    <w:rsid w:val="00CC0416"/>
    <w:rsid w:val="00CC0ECB"/>
    <w:rsid w:val="00CC3BAD"/>
    <w:rsid w:val="00CC55B3"/>
    <w:rsid w:val="00CC6883"/>
    <w:rsid w:val="00CC6B89"/>
    <w:rsid w:val="00CD1A2D"/>
    <w:rsid w:val="00CD26A0"/>
    <w:rsid w:val="00CD2994"/>
    <w:rsid w:val="00CD4088"/>
    <w:rsid w:val="00CD792C"/>
    <w:rsid w:val="00CE0352"/>
    <w:rsid w:val="00CE34FB"/>
    <w:rsid w:val="00CE36EC"/>
    <w:rsid w:val="00CE5E6B"/>
    <w:rsid w:val="00CE5FBF"/>
    <w:rsid w:val="00CE78AB"/>
    <w:rsid w:val="00CE7A0F"/>
    <w:rsid w:val="00CF0721"/>
    <w:rsid w:val="00CF1174"/>
    <w:rsid w:val="00CF1D65"/>
    <w:rsid w:val="00CF2CF8"/>
    <w:rsid w:val="00CF4DB8"/>
    <w:rsid w:val="00CF75CE"/>
    <w:rsid w:val="00CF7F5A"/>
    <w:rsid w:val="00D00D19"/>
    <w:rsid w:val="00D020A0"/>
    <w:rsid w:val="00D022EA"/>
    <w:rsid w:val="00D03730"/>
    <w:rsid w:val="00D048E8"/>
    <w:rsid w:val="00D05776"/>
    <w:rsid w:val="00D105B1"/>
    <w:rsid w:val="00D10D56"/>
    <w:rsid w:val="00D118DD"/>
    <w:rsid w:val="00D13084"/>
    <w:rsid w:val="00D13656"/>
    <w:rsid w:val="00D14681"/>
    <w:rsid w:val="00D150F3"/>
    <w:rsid w:val="00D16AAD"/>
    <w:rsid w:val="00D16F84"/>
    <w:rsid w:val="00D17242"/>
    <w:rsid w:val="00D2025F"/>
    <w:rsid w:val="00D2074E"/>
    <w:rsid w:val="00D20FF1"/>
    <w:rsid w:val="00D25D40"/>
    <w:rsid w:val="00D2719C"/>
    <w:rsid w:val="00D275D9"/>
    <w:rsid w:val="00D30CF1"/>
    <w:rsid w:val="00D31827"/>
    <w:rsid w:val="00D33536"/>
    <w:rsid w:val="00D40319"/>
    <w:rsid w:val="00D43DCE"/>
    <w:rsid w:val="00D479B1"/>
    <w:rsid w:val="00D47C71"/>
    <w:rsid w:val="00D51160"/>
    <w:rsid w:val="00D51F80"/>
    <w:rsid w:val="00D568AC"/>
    <w:rsid w:val="00D60206"/>
    <w:rsid w:val="00D60462"/>
    <w:rsid w:val="00D61D72"/>
    <w:rsid w:val="00D6242D"/>
    <w:rsid w:val="00D637C7"/>
    <w:rsid w:val="00D63CA3"/>
    <w:rsid w:val="00D63CE1"/>
    <w:rsid w:val="00D64DF5"/>
    <w:rsid w:val="00D652A9"/>
    <w:rsid w:val="00D65505"/>
    <w:rsid w:val="00D6768B"/>
    <w:rsid w:val="00D766A2"/>
    <w:rsid w:val="00D80CFF"/>
    <w:rsid w:val="00D82327"/>
    <w:rsid w:val="00D82F13"/>
    <w:rsid w:val="00D856B8"/>
    <w:rsid w:val="00D87AFD"/>
    <w:rsid w:val="00D91B64"/>
    <w:rsid w:val="00D92B9E"/>
    <w:rsid w:val="00D92EB2"/>
    <w:rsid w:val="00D92F65"/>
    <w:rsid w:val="00D9361D"/>
    <w:rsid w:val="00D95B26"/>
    <w:rsid w:val="00D967D8"/>
    <w:rsid w:val="00D97657"/>
    <w:rsid w:val="00DA157A"/>
    <w:rsid w:val="00DA19BB"/>
    <w:rsid w:val="00DA51BE"/>
    <w:rsid w:val="00DA549E"/>
    <w:rsid w:val="00DA742A"/>
    <w:rsid w:val="00DB0582"/>
    <w:rsid w:val="00DB0814"/>
    <w:rsid w:val="00DB168F"/>
    <w:rsid w:val="00DB4EC5"/>
    <w:rsid w:val="00DB65CC"/>
    <w:rsid w:val="00DB68EF"/>
    <w:rsid w:val="00DB69E8"/>
    <w:rsid w:val="00DB7328"/>
    <w:rsid w:val="00DC2761"/>
    <w:rsid w:val="00DC2BF9"/>
    <w:rsid w:val="00DC62F4"/>
    <w:rsid w:val="00DD1F27"/>
    <w:rsid w:val="00DD481E"/>
    <w:rsid w:val="00DD5774"/>
    <w:rsid w:val="00DD7C24"/>
    <w:rsid w:val="00DE32FF"/>
    <w:rsid w:val="00DE4F53"/>
    <w:rsid w:val="00DF075E"/>
    <w:rsid w:val="00DF252E"/>
    <w:rsid w:val="00DF33E8"/>
    <w:rsid w:val="00DF37B2"/>
    <w:rsid w:val="00DF67A3"/>
    <w:rsid w:val="00DF6A82"/>
    <w:rsid w:val="00DF6EEB"/>
    <w:rsid w:val="00DF79EA"/>
    <w:rsid w:val="00E00D19"/>
    <w:rsid w:val="00E00FB4"/>
    <w:rsid w:val="00E00FF1"/>
    <w:rsid w:val="00E014D0"/>
    <w:rsid w:val="00E01AD7"/>
    <w:rsid w:val="00E03BCD"/>
    <w:rsid w:val="00E03BDB"/>
    <w:rsid w:val="00E04E3F"/>
    <w:rsid w:val="00E056CE"/>
    <w:rsid w:val="00E06830"/>
    <w:rsid w:val="00E06886"/>
    <w:rsid w:val="00E11042"/>
    <w:rsid w:val="00E121CE"/>
    <w:rsid w:val="00E12CAF"/>
    <w:rsid w:val="00E132AB"/>
    <w:rsid w:val="00E133A9"/>
    <w:rsid w:val="00E13F39"/>
    <w:rsid w:val="00E14BDE"/>
    <w:rsid w:val="00E17080"/>
    <w:rsid w:val="00E17172"/>
    <w:rsid w:val="00E17343"/>
    <w:rsid w:val="00E2018C"/>
    <w:rsid w:val="00E201DA"/>
    <w:rsid w:val="00E225DE"/>
    <w:rsid w:val="00E22D96"/>
    <w:rsid w:val="00E252A6"/>
    <w:rsid w:val="00E25B64"/>
    <w:rsid w:val="00E2689F"/>
    <w:rsid w:val="00E27635"/>
    <w:rsid w:val="00E30AB2"/>
    <w:rsid w:val="00E31068"/>
    <w:rsid w:val="00E31987"/>
    <w:rsid w:val="00E3348A"/>
    <w:rsid w:val="00E35021"/>
    <w:rsid w:val="00E35648"/>
    <w:rsid w:val="00E367A8"/>
    <w:rsid w:val="00E37839"/>
    <w:rsid w:val="00E40A99"/>
    <w:rsid w:val="00E40BE6"/>
    <w:rsid w:val="00E41296"/>
    <w:rsid w:val="00E42F06"/>
    <w:rsid w:val="00E43497"/>
    <w:rsid w:val="00E438A3"/>
    <w:rsid w:val="00E43FDF"/>
    <w:rsid w:val="00E4498D"/>
    <w:rsid w:val="00E453FE"/>
    <w:rsid w:val="00E45F1F"/>
    <w:rsid w:val="00E45FA2"/>
    <w:rsid w:val="00E465F1"/>
    <w:rsid w:val="00E47792"/>
    <w:rsid w:val="00E50F79"/>
    <w:rsid w:val="00E54307"/>
    <w:rsid w:val="00E544A9"/>
    <w:rsid w:val="00E5767E"/>
    <w:rsid w:val="00E57E3D"/>
    <w:rsid w:val="00E60CBD"/>
    <w:rsid w:val="00E6102B"/>
    <w:rsid w:val="00E61644"/>
    <w:rsid w:val="00E61CAC"/>
    <w:rsid w:val="00E62144"/>
    <w:rsid w:val="00E64345"/>
    <w:rsid w:val="00E64D65"/>
    <w:rsid w:val="00E66509"/>
    <w:rsid w:val="00E700F6"/>
    <w:rsid w:val="00E72002"/>
    <w:rsid w:val="00E72467"/>
    <w:rsid w:val="00E725A6"/>
    <w:rsid w:val="00E732EE"/>
    <w:rsid w:val="00E74132"/>
    <w:rsid w:val="00E76355"/>
    <w:rsid w:val="00E77841"/>
    <w:rsid w:val="00E819B8"/>
    <w:rsid w:val="00E82253"/>
    <w:rsid w:val="00E827A2"/>
    <w:rsid w:val="00E82A9E"/>
    <w:rsid w:val="00E82CF2"/>
    <w:rsid w:val="00E83923"/>
    <w:rsid w:val="00E84590"/>
    <w:rsid w:val="00E874C3"/>
    <w:rsid w:val="00E879D3"/>
    <w:rsid w:val="00E90CC0"/>
    <w:rsid w:val="00E92E0C"/>
    <w:rsid w:val="00E94BD4"/>
    <w:rsid w:val="00E94CAD"/>
    <w:rsid w:val="00E94F72"/>
    <w:rsid w:val="00E95019"/>
    <w:rsid w:val="00E973F9"/>
    <w:rsid w:val="00EA06F1"/>
    <w:rsid w:val="00EA55BA"/>
    <w:rsid w:val="00EA62E1"/>
    <w:rsid w:val="00EA7654"/>
    <w:rsid w:val="00EA7EC7"/>
    <w:rsid w:val="00EB08B0"/>
    <w:rsid w:val="00EB0FA8"/>
    <w:rsid w:val="00EB14AF"/>
    <w:rsid w:val="00EB39E0"/>
    <w:rsid w:val="00EB5090"/>
    <w:rsid w:val="00EB5D0E"/>
    <w:rsid w:val="00EB6B46"/>
    <w:rsid w:val="00EB6DD8"/>
    <w:rsid w:val="00EC19A8"/>
    <w:rsid w:val="00EC1C53"/>
    <w:rsid w:val="00EC2EBC"/>
    <w:rsid w:val="00EC38D4"/>
    <w:rsid w:val="00EC3A32"/>
    <w:rsid w:val="00EC4BD7"/>
    <w:rsid w:val="00EC5B2A"/>
    <w:rsid w:val="00EC6532"/>
    <w:rsid w:val="00ED109B"/>
    <w:rsid w:val="00ED29B9"/>
    <w:rsid w:val="00ED2BBF"/>
    <w:rsid w:val="00EE007D"/>
    <w:rsid w:val="00EE21ED"/>
    <w:rsid w:val="00EE2359"/>
    <w:rsid w:val="00EE2709"/>
    <w:rsid w:val="00EE55E9"/>
    <w:rsid w:val="00EE637B"/>
    <w:rsid w:val="00EF1A62"/>
    <w:rsid w:val="00EF21CF"/>
    <w:rsid w:val="00EF53CA"/>
    <w:rsid w:val="00EF650E"/>
    <w:rsid w:val="00EF6D27"/>
    <w:rsid w:val="00EF6E80"/>
    <w:rsid w:val="00F00C78"/>
    <w:rsid w:val="00F02C20"/>
    <w:rsid w:val="00F0361E"/>
    <w:rsid w:val="00F03DF3"/>
    <w:rsid w:val="00F03F14"/>
    <w:rsid w:val="00F0583C"/>
    <w:rsid w:val="00F1022F"/>
    <w:rsid w:val="00F12B10"/>
    <w:rsid w:val="00F12B2A"/>
    <w:rsid w:val="00F146E0"/>
    <w:rsid w:val="00F14B4D"/>
    <w:rsid w:val="00F14DC8"/>
    <w:rsid w:val="00F16237"/>
    <w:rsid w:val="00F168A3"/>
    <w:rsid w:val="00F16F34"/>
    <w:rsid w:val="00F17220"/>
    <w:rsid w:val="00F17926"/>
    <w:rsid w:val="00F200EA"/>
    <w:rsid w:val="00F20602"/>
    <w:rsid w:val="00F24DE8"/>
    <w:rsid w:val="00F24F89"/>
    <w:rsid w:val="00F25DD2"/>
    <w:rsid w:val="00F25F9E"/>
    <w:rsid w:val="00F261DC"/>
    <w:rsid w:val="00F26FB4"/>
    <w:rsid w:val="00F337D9"/>
    <w:rsid w:val="00F33A45"/>
    <w:rsid w:val="00F34A98"/>
    <w:rsid w:val="00F416D8"/>
    <w:rsid w:val="00F41C9F"/>
    <w:rsid w:val="00F4261A"/>
    <w:rsid w:val="00F4493E"/>
    <w:rsid w:val="00F44C1F"/>
    <w:rsid w:val="00F45B3E"/>
    <w:rsid w:val="00F46CC3"/>
    <w:rsid w:val="00F47BE2"/>
    <w:rsid w:val="00F506C9"/>
    <w:rsid w:val="00F52899"/>
    <w:rsid w:val="00F54D9A"/>
    <w:rsid w:val="00F553AA"/>
    <w:rsid w:val="00F603F5"/>
    <w:rsid w:val="00F60993"/>
    <w:rsid w:val="00F629B3"/>
    <w:rsid w:val="00F63978"/>
    <w:rsid w:val="00F675BA"/>
    <w:rsid w:val="00F73B4B"/>
    <w:rsid w:val="00F73E79"/>
    <w:rsid w:val="00F74341"/>
    <w:rsid w:val="00F7473D"/>
    <w:rsid w:val="00F77150"/>
    <w:rsid w:val="00F80898"/>
    <w:rsid w:val="00F817F6"/>
    <w:rsid w:val="00F84C07"/>
    <w:rsid w:val="00F87012"/>
    <w:rsid w:val="00F87B55"/>
    <w:rsid w:val="00F92659"/>
    <w:rsid w:val="00F9302A"/>
    <w:rsid w:val="00F94016"/>
    <w:rsid w:val="00F9502B"/>
    <w:rsid w:val="00F960E4"/>
    <w:rsid w:val="00F965B1"/>
    <w:rsid w:val="00FA2506"/>
    <w:rsid w:val="00FA2943"/>
    <w:rsid w:val="00FA307D"/>
    <w:rsid w:val="00FA4356"/>
    <w:rsid w:val="00FA6280"/>
    <w:rsid w:val="00FA6EBC"/>
    <w:rsid w:val="00FA715A"/>
    <w:rsid w:val="00FB1F38"/>
    <w:rsid w:val="00FB2EED"/>
    <w:rsid w:val="00FB49C7"/>
    <w:rsid w:val="00FB4CC6"/>
    <w:rsid w:val="00FB7DC6"/>
    <w:rsid w:val="00FC207D"/>
    <w:rsid w:val="00FC4121"/>
    <w:rsid w:val="00FC50BF"/>
    <w:rsid w:val="00FC608D"/>
    <w:rsid w:val="00FC666C"/>
    <w:rsid w:val="00FD057D"/>
    <w:rsid w:val="00FD08C1"/>
    <w:rsid w:val="00FD0D4F"/>
    <w:rsid w:val="00FD2101"/>
    <w:rsid w:val="00FD2A64"/>
    <w:rsid w:val="00FD2E3F"/>
    <w:rsid w:val="00FD4B50"/>
    <w:rsid w:val="00FD4D53"/>
    <w:rsid w:val="00FE090B"/>
    <w:rsid w:val="00FE4281"/>
    <w:rsid w:val="00FE784A"/>
    <w:rsid w:val="00FF0E96"/>
    <w:rsid w:val="00FF13DF"/>
    <w:rsid w:val="00FF285E"/>
    <w:rsid w:val="00FF28E1"/>
    <w:rsid w:val="00FF36FC"/>
    <w:rsid w:val="00FF5FE9"/>
    <w:rsid w:val="00FF60E1"/>
    <w:rsid w:val="00FF6B49"/>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FC"/>
    <w:rPr>
      <w:rFonts w:ascii="Times New Roman" w:eastAsia="Times New Roman" w:hAnsi="Times New Roman" w:cs="Times New Roman"/>
    </w:rPr>
  </w:style>
  <w:style w:type="paragraph" w:styleId="Heading1">
    <w:name w:val="heading 1"/>
    <w:basedOn w:val="ListParagraph"/>
    <w:next w:val="Normal"/>
    <w:link w:val="Heading1Char"/>
    <w:uiPriority w:val="9"/>
    <w:qFormat/>
    <w:rsid w:val="00F63978"/>
    <w:pPr>
      <w:numPr>
        <w:numId w:val="1"/>
      </w:numPr>
      <w:outlineLvl w:val="0"/>
    </w:pPr>
    <w:rPr>
      <w:b/>
    </w:rPr>
  </w:style>
  <w:style w:type="paragraph" w:styleId="Heading2">
    <w:name w:val="heading 2"/>
    <w:basedOn w:val="Normal"/>
    <w:next w:val="Normal"/>
    <w:link w:val="Heading2Char"/>
    <w:unhideWhenUsed/>
    <w:qFormat/>
    <w:rsid w:val="008C4561"/>
    <w:pPr>
      <w:pBdr>
        <w:top w:val="nil"/>
        <w:left w:val="nil"/>
        <w:bottom w:val="nil"/>
        <w:right w:val="nil"/>
        <w:between w:val="nil"/>
        <w:bar w:val="nil"/>
      </w:pBdr>
      <w:outlineLvl w:val="1"/>
    </w:pPr>
    <w:rPr>
      <w:rFonts w:ascii="Cambria" w:eastAsia="Arial Unicode MS" w:hAnsi="Cambria"/>
      <w:b/>
      <w:sz w:val="20"/>
      <w:szCs w:val="20"/>
      <w:bdr w:val="nil"/>
      <w:lang w:val="es-ES"/>
    </w:rPr>
  </w:style>
  <w:style w:type="paragraph" w:styleId="Heading3">
    <w:name w:val="heading 3"/>
    <w:basedOn w:val="Normal"/>
    <w:next w:val="Normal"/>
    <w:link w:val="Heading3Char"/>
    <w:uiPriority w:val="9"/>
    <w:unhideWhenUsed/>
    <w:qFormat/>
    <w:rsid w:val="00D568AC"/>
    <w:pPr>
      <w:tabs>
        <w:tab w:val="left" w:pos="1800"/>
      </w:tabs>
      <w:ind w:left="1260" w:hanging="5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F63978"/>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F63978"/>
    <w:rPr>
      <w:rFonts w:ascii="Cambria" w:eastAsia="Cambria" w:hAnsi="Cambria" w:cs="Cambria"/>
      <w:color w:val="000000"/>
      <w:u w:color="000000"/>
      <w:bdr w:val="nil"/>
      <w:lang w:eastAsia="es-ES"/>
    </w:rPr>
  </w:style>
  <w:style w:type="paragraph" w:styleId="Header">
    <w:name w:val="header"/>
    <w:aliases w:val="encabezado"/>
    <w:basedOn w:val="Normal"/>
    <w:link w:val="HeaderChar"/>
    <w:uiPriority w:val="99"/>
    <w:rsid w:val="00F63978"/>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F63978"/>
    <w:rPr>
      <w:rFonts w:ascii="Univers" w:eastAsia="Times New Roman" w:hAnsi="Univers" w:cs="Univers"/>
    </w:rPr>
  </w:style>
  <w:style w:type="character" w:styleId="PageNumber">
    <w:name w:val="page number"/>
    <w:basedOn w:val="DefaultParagraphFont"/>
    <w:rsid w:val="00F63978"/>
  </w:style>
  <w:style w:type="paragraph" w:styleId="ListParagraph">
    <w:name w:val="List Paragraph"/>
    <w:aliases w:val="Párrafo de lista1,List Paragraph1,Colorful List - Accent 11,List Paragraph11,List Paragraph2,Lista vistosa - Énfasis 11"/>
    <w:basedOn w:val="Normal"/>
    <w:link w:val="ListParagraphChar"/>
    <w:uiPriority w:val="34"/>
    <w:qFormat/>
    <w:rsid w:val="00B1027B"/>
    <w:pPr>
      <w:numPr>
        <w:numId w:val="2"/>
      </w:numPr>
      <w:pBdr>
        <w:top w:val="nil"/>
        <w:left w:val="nil"/>
        <w:bottom w:val="nil"/>
        <w:right w:val="nil"/>
        <w:between w:val="nil"/>
        <w:bar w:val="nil"/>
      </w:pBdr>
      <w:tabs>
        <w:tab w:val="left" w:pos="567"/>
      </w:tabs>
      <w:contextualSpacing/>
      <w:jc w:val="both"/>
    </w:pPr>
    <w:rPr>
      <w:rFonts w:ascii="Cambria" w:eastAsia="Arial Unicode MS" w:hAnsi="Cambria" w:cs="Calibri"/>
      <w:sz w:val="20"/>
      <w:szCs w:val="20"/>
      <w:bdr w:val="nil"/>
    </w:rPr>
  </w:style>
  <w:style w:type="character" w:customStyle="1" w:styleId="Heading1Char">
    <w:name w:val="Heading 1 Char"/>
    <w:basedOn w:val="DefaultParagraphFont"/>
    <w:link w:val="Heading1"/>
    <w:uiPriority w:val="9"/>
    <w:rsid w:val="00F63978"/>
    <w:rPr>
      <w:rFonts w:ascii="Cambria" w:eastAsia="Arial Unicode MS" w:hAnsi="Cambria" w:cs="Times New Roman"/>
      <w:b/>
      <w:bdr w:val="nil"/>
    </w:rPr>
  </w:style>
  <w:style w:type="paragraph" w:styleId="FootnoteText">
    <w:name w:val="footnote text"/>
    <w:aliases w:val="Footnote Text Char Char Char Char Char,Footnote Text Char Char Char Char,Footnote reference,FA Fu,Footnote Text Char Char Char,footnote text,Footnote Text Cha,FA Fußnotentext,FA Fuﬂnotentext,Texto nota pie Car,Footnote Text Char Char,Car,C"/>
    <w:basedOn w:val="Normal"/>
    <w:link w:val="FootnoteTextChar"/>
    <w:unhideWhenUsed/>
    <w:qFormat/>
    <w:rsid w:val="00CA23CC"/>
    <w:pPr>
      <w:pBdr>
        <w:top w:val="nil"/>
        <w:left w:val="nil"/>
        <w:bottom w:val="nil"/>
        <w:right w:val="nil"/>
        <w:between w:val="nil"/>
        <w:bar w:val="nil"/>
      </w:pBdr>
    </w:pPr>
    <w:rPr>
      <w:rFonts w:eastAsia="Arial Unicode MS"/>
      <w:sz w:val="20"/>
      <w:szCs w:val="20"/>
      <w:bdr w:val="nil"/>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r,Footnote Text Cha Char,FA Fußnotentext Char,Car Char,C Char"/>
    <w:basedOn w:val="DefaultParagraphFont"/>
    <w:link w:val="FootnoteText"/>
    <w:rsid w:val="00CA23CC"/>
    <w:rPr>
      <w:rFonts w:ascii="Times New Roman" w:eastAsia="Arial Unicode MS" w:hAnsi="Times New Roman" w:cs="Times New Roman"/>
      <w:sz w:val="20"/>
      <w:szCs w:val="20"/>
      <w:bdr w:val="nil"/>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CA23CC"/>
    <w:rPr>
      <w:vertAlign w:val="superscript"/>
    </w:rPr>
  </w:style>
  <w:style w:type="paragraph" w:styleId="NormalWeb">
    <w:name w:val="Normal (Web)"/>
    <w:basedOn w:val="Normal"/>
    <w:uiPriority w:val="99"/>
    <w:unhideWhenUsed/>
    <w:rsid w:val="00DB0814"/>
    <w:pPr>
      <w:spacing w:before="100" w:beforeAutospacing="1" w:after="100" w:afterAutospacing="1"/>
    </w:p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B1027B"/>
    <w:rPr>
      <w:rFonts w:ascii="Cambria" w:eastAsia="Arial Unicode MS" w:hAnsi="Cambria" w:cs="Calibri"/>
      <w:sz w:val="20"/>
      <w:szCs w:val="20"/>
      <w:bdr w:val="nil"/>
    </w:rPr>
  </w:style>
  <w:style w:type="character" w:customStyle="1" w:styleId="Heading2Char">
    <w:name w:val="Heading 2 Char"/>
    <w:basedOn w:val="DefaultParagraphFont"/>
    <w:link w:val="Heading2"/>
    <w:uiPriority w:val="9"/>
    <w:rsid w:val="008C4561"/>
    <w:rPr>
      <w:rFonts w:ascii="Cambria" w:eastAsia="Arial Unicode MS" w:hAnsi="Cambria" w:cs="Times New Roman"/>
      <w:b/>
      <w:sz w:val="20"/>
      <w:szCs w:val="20"/>
      <w:bdr w:val="nil"/>
      <w:lang w:val="es-ES"/>
    </w:rPr>
  </w:style>
  <w:style w:type="character" w:styleId="Hyperlink">
    <w:name w:val="Hyperlink"/>
    <w:basedOn w:val="DefaultParagraphFont"/>
    <w:uiPriority w:val="99"/>
    <w:unhideWhenUsed/>
    <w:rsid w:val="007A121F"/>
    <w:rPr>
      <w:color w:val="0563C1" w:themeColor="hyperlink"/>
      <w:u w:val="single"/>
    </w:rPr>
  </w:style>
  <w:style w:type="character" w:customStyle="1" w:styleId="UnresolvedMention1">
    <w:name w:val="Unresolved Mention1"/>
    <w:basedOn w:val="DefaultParagraphFont"/>
    <w:uiPriority w:val="99"/>
    <w:semiHidden/>
    <w:unhideWhenUsed/>
    <w:rsid w:val="007A121F"/>
    <w:rPr>
      <w:color w:val="605E5C"/>
      <w:shd w:val="clear" w:color="auto" w:fill="E1DFDD"/>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3F0D4C"/>
    <w:pPr>
      <w:spacing w:after="160" w:line="240" w:lineRule="exact"/>
    </w:pPr>
    <w:rPr>
      <w:rFonts w:asciiTheme="minorHAnsi" w:eastAsiaTheme="minorHAnsi" w:hAnsiTheme="minorHAnsi" w:cstheme="minorBidi"/>
      <w:vertAlign w:val="superscript"/>
    </w:rPr>
  </w:style>
  <w:style w:type="paragraph" w:customStyle="1" w:styleId="parrafos">
    <w:name w:val="parrafos"/>
    <w:basedOn w:val="Normal"/>
    <w:link w:val="parrafosChar"/>
    <w:qFormat/>
    <w:rsid w:val="003F0D4C"/>
    <w:pPr>
      <w:tabs>
        <w:tab w:val="left" w:pos="360"/>
      </w:tabs>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3F0D4C"/>
    <w:rPr>
      <w:rFonts w:asciiTheme="majorHAnsi" w:eastAsia="Arial Unicode MS" w:hAnsiTheme="majorHAnsi" w:cs="Times New Roman"/>
      <w:color w:val="000000" w:themeColor="text1"/>
      <w:sz w:val="20"/>
      <w:szCs w:val="20"/>
      <w:bdr w:val="nil"/>
      <w:lang w:val="es-VE"/>
    </w:rPr>
  </w:style>
  <w:style w:type="character" w:styleId="CommentReference">
    <w:name w:val="annotation reference"/>
    <w:basedOn w:val="DefaultParagraphFont"/>
    <w:uiPriority w:val="99"/>
    <w:semiHidden/>
    <w:unhideWhenUsed/>
    <w:rsid w:val="004D73A2"/>
    <w:rPr>
      <w:sz w:val="16"/>
      <w:szCs w:val="16"/>
    </w:rPr>
  </w:style>
  <w:style w:type="paragraph" w:styleId="CommentText">
    <w:name w:val="annotation text"/>
    <w:basedOn w:val="Normal"/>
    <w:link w:val="CommentTextChar"/>
    <w:uiPriority w:val="99"/>
    <w:unhideWhenUsed/>
    <w:rsid w:val="004D73A2"/>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rsid w:val="004D73A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4D73A2"/>
    <w:rPr>
      <w:b/>
      <w:bCs/>
    </w:rPr>
  </w:style>
  <w:style w:type="character" w:customStyle="1" w:styleId="CommentSubjectChar">
    <w:name w:val="Comment Subject Char"/>
    <w:basedOn w:val="CommentTextChar"/>
    <w:link w:val="CommentSubject"/>
    <w:uiPriority w:val="99"/>
    <w:semiHidden/>
    <w:rsid w:val="004D73A2"/>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4D73A2"/>
    <w:pPr>
      <w:pBdr>
        <w:top w:val="nil"/>
        <w:left w:val="nil"/>
        <w:bottom w:val="nil"/>
        <w:right w:val="nil"/>
        <w:between w:val="nil"/>
        <w:bar w:val="nil"/>
      </w:pBdr>
    </w:pPr>
    <w:rPr>
      <w:rFonts w:eastAsia="Arial Unicode MS"/>
      <w:sz w:val="18"/>
      <w:szCs w:val="18"/>
      <w:bdr w:val="nil"/>
    </w:rPr>
  </w:style>
  <w:style w:type="character" w:customStyle="1" w:styleId="BalloonTextChar">
    <w:name w:val="Balloon Text Char"/>
    <w:basedOn w:val="DefaultParagraphFont"/>
    <w:link w:val="BalloonText"/>
    <w:uiPriority w:val="99"/>
    <w:semiHidden/>
    <w:rsid w:val="004D73A2"/>
    <w:rPr>
      <w:rFonts w:ascii="Times New Roman" w:eastAsia="Arial Unicode MS" w:hAnsi="Times New Roman" w:cs="Times New Roman"/>
      <w:sz w:val="18"/>
      <w:szCs w:val="18"/>
      <w:bdr w:val="nil"/>
    </w:rPr>
  </w:style>
  <w:style w:type="character" w:customStyle="1" w:styleId="Heading3Char">
    <w:name w:val="Heading 3 Char"/>
    <w:basedOn w:val="DefaultParagraphFont"/>
    <w:link w:val="Heading3"/>
    <w:uiPriority w:val="9"/>
    <w:rsid w:val="00D568AC"/>
    <w:rPr>
      <w:rFonts w:ascii="Times New Roman" w:eastAsia="Times New Roman" w:hAnsi="Times New Roman" w:cs="Times New Roman"/>
    </w:rPr>
  </w:style>
  <w:style w:type="paragraph" w:customStyle="1" w:styleId="align-justify">
    <w:name w:val="align-justify"/>
    <w:basedOn w:val="Normal"/>
    <w:rsid w:val="00086050"/>
    <w:pPr>
      <w:spacing w:before="100" w:beforeAutospacing="1" w:after="100" w:afterAutospacing="1"/>
    </w:pPr>
    <w:rPr>
      <w:lang w:val="es-AR" w:eastAsia="es-AR"/>
    </w:rPr>
  </w:style>
  <w:style w:type="character" w:customStyle="1" w:styleId="apple-style-span">
    <w:name w:val="apple-style-span"/>
    <w:basedOn w:val="DefaultParagraphFont"/>
    <w:rsid w:val="000319EB"/>
  </w:style>
  <w:style w:type="character" w:styleId="Strong">
    <w:name w:val="Strong"/>
    <w:uiPriority w:val="22"/>
    <w:qFormat/>
    <w:rsid w:val="000319EB"/>
    <w:rPr>
      <w:b/>
      <w:bCs/>
    </w:rPr>
  </w:style>
  <w:style w:type="paragraph" w:customStyle="1" w:styleId="PrrafodeSentencia">
    <w:name w:val="*. Párrafo de Sentencia"/>
    <w:autoRedefine/>
    <w:qFormat/>
    <w:rsid w:val="000319EB"/>
    <w:pPr>
      <w:numPr>
        <w:numId w:val="32"/>
      </w:numPr>
      <w:ind w:left="0" w:firstLine="0"/>
      <w:jc w:val="both"/>
    </w:pPr>
    <w:rPr>
      <w:rFonts w:ascii="Verdana" w:eastAsia="Batang" w:hAnsi="Verdana" w:cs="Times New Roman"/>
      <w:sz w:val="20"/>
      <w:szCs w:val="20"/>
      <w:lang w:val="es-ES_tradnl" w:eastAsia="es-MX"/>
    </w:rPr>
  </w:style>
  <w:style w:type="table" w:styleId="ColorfulList-Accent1">
    <w:name w:val="Colorful List Accent 1"/>
    <w:basedOn w:val="TableNormal"/>
    <w:uiPriority w:val="72"/>
    <w:semiHidden/>
    <w:unhideWhenUsed/>
    <w:rsid w:val="000319EB"/>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3626B1"/>
    <w:pPr>
      <w:spacing w:before="200" w:after="160" w:line="240" w:lineRule="exact"/>
    </w:pPr>
    <w:rPr>
      <w:rFonts w:ascii="Verdana" w:eastAsia="Batang" w:hAnsi="Verdana"/>
      <w:sz w:val="22"/>
      <w:szCs w:val="20"/>
      <w:vertAlign w:val="superscript"/>
    </w:rPr>
  </w:style>
  <w:style w:type="character" w:styleId="FollowedHyperlink">
    <w:name w:val="FollowedHyperlink"/>
    <w:basedOn w:val="DefaultParagraphFont"/>
    <w:uiPriority w:val="99"/>
    <w:semiHidden/>
    <w:unhideWhenUsed/>
    <w:rsid w:val="006F6E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936">
      <w:bodyDiv w:val="1"/>
      <w:marLeft w:val="0"/>
      <w:marRight w:val="0"/>
      <w:marTop w:val="0"/>
      <w:marBottom w:val="0"/>
      <w:divBdr>
        <w:top w:val="none" w:sz="0" w:space="0" w:color="auto"/>
        <w:left w:val="none" w:sz="0" w:space="0" w:color="auto"/>
        <w:bottom w:val="none" w:sz="0" w:space="0" w:color="auto"/>
        <w:right w:val="none" w:sz="0" w:space="0" w:color="auto"/>
      </w:divBdr>
      <w:divsChild>
        <w:div w:id="292180097">
          <w:marLeft w:val="0"/>
          <w:marRight w:val="0"/>
          <w:marTop w:val="0"/>
          <w:marBottom w:val="0"/>
          <w:divBdr>
            <w:top w:val="none" w:sz="0" w:space="0" w:color="auto"/>
            <w:left w:val="none" w:sz="0" w:space="0" w:color="auto"/>
            <w:bottom w:val="none" w:sz="0" w:space="0" w:color="auto"/>
            <w:right w:val="none" w:sz="0" w:space="0" w:color="auto"/>
          </w:divBdr>
          <w:divsChild>
            <w:div w:id="1697270496">
              <w:marLeft w:val="0"/>
              <w:marRight w:val="0"/>
              <w:marTop w:val="0"/>
              <w:marBottom w:val="0"/>
              <w:divBdr>
                <w:top w:val="none" w:sz="0" w:space="0" w:color="auto"/>
                <w:left w:val="none" w:sz="0" w:space="0" w:color="auto"/>
                <w:bottom w:val="none" w:sz="0" w:space="0" w:color="auto"/>
                <w:right w:val="none" w:sz="0" w:space="0" w:color="auto"/>
              </w:divBdr>
              <w:divsChild>
                <w:div w:id="4459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382">
      <w:bodyDiv w:val="1"/>
      <w:marLeft w:val="0"/>
      <w:marRight w:val="0"/>
      <w:marTop w:val="0"/>
      <w:marBottom w:val="0"/>
      <w:divBdr>
        <w:top w:val="none" w:sz="0" w:space="0" w:color="auto"/>
        <w:left w:val="none" w:sz="0" w:space="0" w:color="auto"/>
        <w:bottom w:val="none" w:sz="0" w:space="0" w:color="auto"/>
        <w:right w:val="none" w:sz="0" w:space="0" w:color="auto"/>
      </w:divBdr>
      <w:divsChild>
        <w:div w:id="1448890861">
          <w:marLeft w:val="0"/>
          <w:marRight w:val="0"/>
          <w:marTop w:val="0"/>
          <w:marBottom w:val="0"/>
          <w:divBdr>
            <w:top w:val="none" w:sz="0" w:space="0" w:color="auto"/>
            <w:left w:val="none" w:sz="0" w:space="0" w:color="auto"/>
            <w:bottom w:val="none" w:sz="0" w:space="0" w:color="auto"/>
            <w:right w:val="none" w:sz="0" w:space="0" w:color="auto"/>
          </w:divBdr>
          <w:divsChild>
            <w:div w:id="1054506582">
              <w:marLeft w:val="0"/>
              <w:marRight w:val="0"/>
              <w:marTop w:val="0"/>
              <w:marBottom w:val="0"/>
              <w:divBdr>
                <w:top w:val="none" w:sz="0" w:space="0" w:color="auto"/>
                <w:left w:val="none" w:sz="0" w:space="0" w:color="auto"/>
                <w:bottom w:val="none" w:sz="0" w:space="0" w:color="auto"/>
                <w:right w:val="none" w:sz="0" w:space="0" w:color="auto"/>
              </w:divBdr>
              <w:divsChild>
                <w:div w:id="3982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8047">
      <w:bodyDiv w:val="1"/>
      <w:marLeft w:val="0"/>
      <w:marRight w:val="0"/>
      <w:marTop w:val="0"/>
      <w:marBottom w:val="0"/>
      <w:divBdr>
        <w:top w:val="none" w:sz="0" w:space="0" w:color="auto"/>
        <w:left w:val="none" w:sz="0" w:space="0" w:color="auto"/>
        <w:bottom w:val="none" w:sz="0" w:space="0" w:color="auto"/>
        <w:right w:val="none" w:sz="0" w:space="0" w:color="auto"/>
      </w:divBdr>
    </w:div>
    <w:div w:id="69889906">
      <w:bodyDiv w:val="1"/>
      <w:marLeft w:val="0"/>
      <w:marRight w:val="0"/>
      <w:marTop w:val="0"/>
      <w:marBottom w:val="0"/>
      <w:divBdr>
        <w:top w:val="none" w:sz="0" w:space="0" w:color="auto"/>
        <w:left w:val="none" w:sz="0" w:space="0" w:color="auto"/>
        <w:bottom w:val="none" w:sz="0" w:space="0" w:color="auto"/>
        <w:right w:val="none" w:sz="0" w:space="0" w:color="auto"/>
      </w:divBdr>
      <w:divsChild>
        <w:div w:id="514735512">
          <w:marLeft w:val="0"/>
          <w:marRight w:val="0"/>
          <w:marTop w:val="0"/>
          <w:marBottom w:val="0"/>
          <w:divBdr>
            <w:top w:val="none" w:sz="0" w:space="0" w:color="auto"/>
            <w:left w:val="none" w:sz="0" w:space="0" w:color="auto"/>
            <w:bottom w:val="none" w:sz="0" w:space="0" w:color="auto"/>
            <w:right w:val="none" w:sz="0" w:space="0" w:color="auto"/>
          </w:divBdr>
          <w:divsChild>
            <w:div w:id="336541754">
              <w:marLeft w:val="0"/>
              <w:marRight w:val="0"/>
              <w:marTop w:val="0"/>
              <w:marBottom w:val="0"/>
              <w:divBdr>
                <w:top w:val="none" w:sz="0" w:space="0" w:color="auto"/>
                <w:left w:val="none" w:sz="0" w:space="0" w:color="auto"/>
                <w:bottom w:val="none" w:sz="0" w:space="0" w:color="auto"/>
                <w:right w:val="none" w:sz="0" w:space="0" w:color="auto"/>
              </w:divBdr>
              <w:divsChild>
                <w:div w:id="2125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1501">
      <w:bodyDiv w:val="1"/>
      <w:marLeft w:val="0"/>
      <w:marRight w:val="0"/>
      <w:marTop w:val="0"/>
      <w:marBottom w:val="0"/>
      <w:divBdr>
        <w:top w:val="none" w:sz="0" w:space="0" w:color="auto"/>
        <w:left w:val="none" w:sz="0" w:space="0" w:color="auto"/>
        <w:bottom w:val="none" w:sz="0" w:space="0" w:color="auto"/>
        <w:right w:val="none" w:sz="0" w:space="0" w:color="auto"/>
      </w:divBdr>
      <w:divsChild>
        <w:div w:id="188684520">
          <w:marLeft w:val="0"/>
          <w:marRight w:val="0"/>
          <w:marTop w:val="0"/>
          <w:marBottom w:val="0"/>
          <w:divBdr>
            <w:top w:val="none" w:sz="0" w:space="0" w:color="auto"/>
            <w:left w:val="none" w:sz="0" w:space="0" w:color="auto"/>
            <w:bottom w:val="none" w:sz="0" w:space="0" w:color="auto"/>
            <w:right w:val="none" w:sz="0" w:space="0" w:color="auto"/>
          </w:divBdr>
          <w:divsChild>
            <w:div w:id="710374712">
              <w:marLeft w:val="0"/>
              <w:marRight w:val="0"/>
              <w:marTop w:val="0"/>
              <w:marBottom w:val="0"/>
              <w:divBdr>
                <w:top w:val="none" w:sz="0" w:space="0" w:color="auto"/>
                <w:left w:val="none" w:sz="0" w:space="0" w:color="auto"/>
                <w:bottom w:val="none" w:sz="0" w:space="0" w:color="auto"/>
                <w:right w:val="none" w:sz="0" w:space="0" w:color="auto"/>
              </w:divBdr>
              <w:divsChild>
                <w:div w:id="1051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5251">
      <w:bodyDiv w:val="1"/>
      <w:marLeft w:val="0"/>
      <w:marRight w:val="0"/>
      <w:marTop w:val="0"/>
      <w:marBottom w:val="0"/>
      <w:divBdr>
        <w:top w:val="none" w:sz="0" w:space="0" w:color="auto"/>
        <w:left w:val="none" w:sz="0" w:space="0" w:color="auto"/>
        <w:bottom w:val="none" w:sz="0" w:space="0" w:color="auto"/>
        <w:right w:val="none" w:sz="0" w:space="0" w:color="auto"/>
      </w:divBdr>
      <w:divsChild>
        <w:div w:id="686517666">
          <w:marLeft w:val="0"/>
          <w:marRight w:val="0"/>
          <w:marTop w:val="0"/>
          <w:marBottom w:val="0"/>
          <w:divBdr>
            <w:top w:val="none" w:sz="0" w:space="0" w:color="auto"/>
            <w:left w:val="none" w:sz="0" w:space="0" w:color="auto"/>
            <w:bottom w:val="none" w:sz="0" w:space="0" w:color="auto"/>
            <w:right w:val="none" w:sz="0" w:space="0" w:color="auto"/>
          </w:divBdr>
          <w:divsChild>
            <w:div w:id="752512385">
              <w:marLeft w:val="0"/>
              <w:marRight w:val="0"/>
              <w:marTop w:val="0"/>
              <w:marBottom w:val="0"/>
              <w:divBdr>
                <w:top w:val="none" w:sz="0" w:space="0" w:color="auto"/>
                <w:left w:val="none" w:sz="0" w:space="0" w:color="auto"/>
                <w:bottom w:val="none" w:sz="0" w:space="0" w:color="auto"/>
                <w:right w:val="none" w:sz="0" w:space="0" w:color="auto"/>
              </w:divBdr>
              <w:divsChild>
                <w:div w:id="14091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8919">
      <w:bodyDiv w:val="1"/>
      <w:marLeft w:val="0"/>
      <w:marRight w:val="0"/>
      <w:marTop w:val="0"/>
      <w:marBottom w:val="0"/>
      <w:divBdr>
        <w:top w:val="none" w:sz="0" w:space="0" w:color="auto"/>
        <w:left w:val="none" w:sz="0" w:space="0" w:color="auto"/>
        <w:bottom w:val="none" w:sz="0" w:space="0" w:color="auto"/>
        <w:right w:val="none" w:sz="0" w:space="0" w:color="auto"/>
      </w:divBdr>
      <w:divsChild>
        <w:div w:id="128986202">
          <w:marLeft w:val="0"/>
          <w:marRight w:val="0"/>
          <w:marTop w:val="0"/>
          <w:marBottom w:val="0"/>
          <w:divBdr>
            <w:top w:val="none" w:sz="0" w:space="0" w:color="auto"/>
            <w:left w:val="none" w:sz="0" w:space="0" w:color="auto"/>
            <w:bottom w:val="none" w:sz="0" w:space="0" w:color="auto"/>
            <w:right w:val="none" w:sz="0" w:space="0" w:color="auto"/>
          </w:divBdr>
          <w:divsChild>
            <w:div w:id="901712857">
              <w:marLeft w:val="0"/>
              <w:marRight w:val="0"/>
              <w:marTop w:val="0"/>
              <w:marBottom w:val="0"/>
              <w:divBdr>
                <w:top w:val="none" w:sz="0" w:space="0" w:color="auto"/>
                <w:left w:val="none" w:sz="0" w:space="0" w:color="auto"/>
                <w:bottom w:val="none" w:sz="0" w:space="0" w:color="auto"/>
                <w:right w:val="none" w:sz="0" w:space="0" w:color="auto"/>
              </w:divBdr>
              <w:divsChild>
                <w:div w:id="6384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9379">
      <w:bodyDiv w:val="1"/>
      <w:marLeft w:val="0"/>
      <w:marRight w:val="0"/>
      <w:marTop w:val="0"/>
      <w:marBottom w:val="0"/>
      <w:divBdr>
        <w:top w:val="none" w:sz="0" w:space="0" w:color="auto"/>
        <w:left w:val="none" w:sz="0" w:space="0" w:color="auto"/>
        <w:bottom w:val="none" w:sz="0" w:space="0" w:color="auto"/>
        <w:right w:val="none" w:sz="0" w:space="0" w:color="auto"/>
      </w:divBdr>
      <w:divsChild>
        <w:div w:id="1490293681">
          <w:marLeft w:val="0"/>
          <w:marRight w:val="0"/>
          <w:marTop w:val="0"/>
          <w:marBottom w:val="0"/>
          <w:divBdr>
            <w:top w:val="none" w:sz="0" w:space="0" w:color="auto"/>
            <w:left w:val="none" w:sz="0" w:space="0" w:color="auto"/>
            <w:bottom w:val="none" w:sz="0" w:space="0" w:color="auto"/>
            <w:right w:val="none" w:sz="0" w:space="0" w:color="auto"/>
          </w:divBdr>
          <w:divsChild>
            <w:div w:id="1851873478">
              <w:marLeft w:val="0"/>
              <w:marRight w:val="0"/>
              <w:marTop w:val="0"/>
              <w:marBottom w:val="0"/>
              <w:divBdr>
                <w:top w:val="none" w:sz="0" w:space="0" w:color="auto"/>
                <w:left w:val="none" w:sz="0" w:space="0" w:color="auto"/>
                <w:bottom w:val="none" w:sz="0" w:space="0" w:color="auto"/>
                <w:right w:val="none" w:sz="0" w:space="0" w:color="auto"/>
              </w:divBdr>
              <w:divsChild>
                <w:div w:id="9615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4318">
      <w:bodyDiv w:val="1"/>
      <w:marLeft w:val="0"/>
      <w:marRight w:val="0"/>
      <w:marTop w:val="0"/>
      <w:marBottom w:val="0"/>
      <w:divBdr>
        <w:top w:val="none" w:sz="0" w:space="0" w:color="auto"/>
        <w:left w:val="none" w:sz="0" w:space="0" w:color="auto"/>
        <w:bottom w:val="none" w:sz="0" w:space="0" w:color="auto"/>
        <w:right w:val="none" w:sz="0" w:space="0" w:color="auto"/>
      </w:divBdr>
    </w:div>
    <w:div w:id="160968785">
      <w:bodyDiv w:val="1"/>
      <w:marLeft w:val="0"/>
      <w:marRight w:val="0"/>
      <w:marTop w:val="0"/>
      <w:marBottom w:val="0"/>
      <w:divBdr>
        <w:top w:val="none" w:sz="0" w:space="0" w:color="auto"/>
        <w:left w:val="none" w:sz="0" w:space="0" w:color="auto"/>
        <w:bottom w:val="none" w:sz="0" w:space="0" w:color="auto"/>
        <w:right w:val="none" w:sz="0" w:space="0" w:color="auto"/>
      </w:divBdr>
      <w:divsChild>
        <w:div w:id="1466387485">
          <w:marLeft w:val="0"/>
          <w:marRight w:val="0"/>
          <w:marTop w:val="0"/>
          <w:marBottom w:val="0"/>
          <w:divBdr>
            <w:top w:val="none" w:sz="0" w:space="0" w:color="auto"/>
            <w:left w:val="none" w:sz="0" w:space="0" w:color="auto"/>
            <w:bottom w:val="none" w:sz="0" w:space="0" w:color="auto"/>
            <w:right w:val="none" w:sz="0" w:space="0" w:color="auto"/>
          </w:divBdr>
          <w:divsChild>
            <w:div w:id="1133904932">
              <w:marLeft w:val="0"/>
              <w:marRight w:val="0"/>
              <w:marTop w:val="0"/>
              <w:marBottom w:val="0"/>
              <w:divBdr>
                <w:top w:val="none" w:sz="0" w:space="0" w:color="auto"/>
                <w:left w:val="none" w:sz="0" w:space="0" w:color="auto"/>
                <w:bottom w:val="none" w:sz="0" w:space="0" w:color="auto"/>
                <w:right w:val="none" w:sz="0" w:space="0" w:color="auto"/>
              </w:divBdr>
              <w:divsChild>
                <w:div w:id="15971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3512">
      <w:bodyDiv w:val="1"/>
      <w:marLeft w:val="0"/>
      <w:marRight w:val="0"/>
      <w:marTop w:val="0"/>
      <w:marBottom w:val="0"/>
      <w:divBdr>
        <w:top w:val="none" w:sz="0" w:space="0" w:color="auto"/>
        <w:left w:val="none" w:sz="0" w:space="0" w:color="auto"/>
        <w:bottom w:val="none" w:sz="0" w:space="0" w:color="auto"/>
        <w:right w:val="none" w:sz="0" w:space="0" w:color="auto"/>
      </w:divBdr>
      <w:divsChild>
        <w:div w:id="399712185">
          <w:marLeft w:val="0"/>
          <w:marRight w:val="0"/>
          <w:marTop w:val="0"/>
          <w:marBottom w:val="0"/>
          <w:divBdr>
            <w:top w:val="none" w:sz="0" w:space="0" w:color="auto"/>
            <w:left w:val="none" w:sz="0" w:space="0" w:color="auto"/>
            <w:bottom w:val="none" w:sz="0" w:space="0" w:color="auto"/>
            <w:right w:val="none" w:sz="0" w:space="0" w:color="auto"/>
          </w:divBdr>
          <w:divsChild>
            <w:div w:id="675621021">
              <w:marLeft w:val="0"/>
              <w:marRight w:val="0"/>
              <w:marTop w:val="0"/>
              <w:marBottom w:val="0"/>
              <w:divBdr>
                <w:top w:val="none" w:sz="0" w:space="0" w:color="auto"/>
                <w:left w:val="none" w:sz="0" w:space="0" w:color="auto"/>
                <w:bottom w:val="none" w:sz="0" w:space="0" w:color="auto"/>
                <w:right w:val="none" w:sz="0" w:space="0" w:color="auto"/>
              </w:divBdr>
              <w:divsChild>
                <w:div w:id="9699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3869">
      <w:bodyDiv w:val="1"/>
      <w:marLeft w:val="0"/>
      <w:marRight w:val="0"/>
      <w:marTop w:val="0"/>
      <w:marBottom w:val="0"/>
      <w:divBdr>
        <w:top w:val="none" w:sz="0" w:space="0" w:color="auto"/>
        <w:left w:val="none" w:sz="0" w:space="0" w:color="auto"/>
        <w:bottom w:val="none" w:sz="0" w:space="0" w:color="auto"/>
        <w:right w:val="none" w:sz="0" w:space="0" w:color="auto"/>
      </w:divBdr>
      <w:divsChild>
        <w:div w:id="1134255608">
          <w:marLeft w:val="0"/>
          <w:marRight w:val="0"/>
          <w:marTop w:val="0"/>
          <w:marBottom w:val="0"/>
          <w:divBdr>
            <w:top w:val="none" w:sz="0" w:space="0" w:color="auto"/>
            <w:left w:val="none" w:sz="0" w:space="0" w:color="auto"/>
            <w:bottom w:val="none" w:sz="0" w:space="0" w:color="auto"/>
            <w:right w:val="none" w:sz="0" w:space="0" w:color="auto"/>
          </w:divBdr>
          <w:divsChild>
            <w:div w:id="228804013">
              <w:marLeft w:val="0"/>
              <w:marRight w:val="0"/>
              <w:marTop w:val="0"/>
              <w:marBottom w:val="0"/>
              <w:divBdr>
                <w:top w:val="none" w:sz="0" w:space="0" w:color="auto"/>
                <w:left w:val="none" w:sz="0" w:space="0" w:color="auto"/>
                <w:bottom w:val="none" w:sz="0" w:space="0" w:color="auto"/>
                <w:right w:val="none" w:sz="0" w:space="0" w:color="auto"/>
              </w:divBdr>
              <w:divsChild>
                <w:div w:id="2067600432">
                  <w:marLeft w:val="0"/>
                  <w:marRight w:val="0"/>
                  <w:marTop w:val="0"/>
                  <w:marBottom w:val="0"/>
                  <w:divBdr>
                    <w:top w:val="none" w:sz="0" w:space="0" w:color="auto"/>
                    <w:left w:val="none" w:sz="0" w:space="0" w:color="auto"/>
                    <w:bottom w:val="none" w:sz="0" w:space="0" w:color="auto"/>
                    <w:right w:val="none" w:sz="0" w:space="0" w:color="auto"/>
                  </w:divBdr>
                </w:div>
              </w:divsChild>
            </w:div>
            <w:div w:id="1793398772">
              <w:marLeft w:val="0"/>
              <w:marRight w:val="0"/>
              <w:marTop w:val="0"/>
              <w:marBottom w:val="0"/>
              <w:divBdr>
                <w:top w:val="none" w:sz="0" w:space="0" w:color="auto"/>
                <w:left w:val="none" w:sz="0" w:space="0" w:color="auto"/>
                <w:bottom w:val="none" w:sz="0" w:space="0" w:color="auto"/>
                <w:right w:val="none" w:sz="0" w:space="0" w:color="auto"/>
              </w:divBdr>
              <w:divsChild>
                <w:div w:id="669334098">
                  <w:marLeft w:val="0"/>
                  <w:marRight w:val="0"/>
                  <w:marTop w:val="0"/>
                  <w:marBottom w:val="0"/>
                  <w:divBdr>
                    <w:top w:val="none" w:sz="0" w:space="0" w:color="auto"/>
                    <w:left w:val="none" w:sz="0" w:space="0" w:color="auto"/>
                    <w:bottom w:val="none" w:sz="0" w:space="0" w:color="auto"/>
                    <w:right w:val="none" w:sz="0" w:space="0" w:color="auto"/>
                  </w:divBdr>
                </w:div>
              </w:divsChild>
            </w:div>
            <w:div w:id="534394932">
              <w:marLeft w:val="0"/>
              <w:marRight w:val="0"/>
              <w:marTop w:val="0"/>
              <w:marBottom w:val="0"/>
              <w:divBdr>
                <w:top w:val="none" w:sz="0" w:space="0" w:color="auto"/>
                <w:left w:val="none" w:sz="0" w:space="0" w:color="auto"/>
                <w:bottom w:val="none" w:sz="0" w:space="0" w:color="auto"/>
                <w:right w:val="none" w:sz="0" w:space="0" w:color="auto"/>
              </w:divBdr>
              <w:divsChild>
                <w:div w:id="18284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7441">
      <w:bodyDiv w:val="1"/>
      <w:marLeft w:val="0"/>
      <w:marRight w:val="0"/>
      <w:marTop w:val="0"/>
      <w:marBottom w:val="0"/>
      <w:divBdr>
        <w:top w:val="none" w:sz="0" w:space="0" w:color="auto"/>
        <w:left w:val="none" w:sz="0" w:space="0" w:color="auto"/>
        <w:bottom w:val="none" w:sz="0" w:space="0" w:color="auto"/>
        <w:right w:val="none" w:sz="0" w:space="0" w:color="auto"/>
      </w:divBdr>
      <w:divsChild>
        <w:div w:id="11077629">
          <w:marLeft w:val="0"/>
          <w:marRight w:val="0"/>
          <w:marTop w:val="0"/>
          <w:marBottom w:val="0"/>
          <w:divBdr>
            <w:top w:val="none" w:sz="0" w:space="0" w:color="auto"/>
            <w:left w:val="none" w:sz="0" w:space="0" w:color="auto"/>
            <w:bottom w:val="none" w:sz="0" w:space="0" w:color="auto"/>
            <w:right w:val="none" w:sz="0" w:space="0" w:color="auto"/>
          </w:divBdr>
          <w:divsChild>
            <w:div w:id="624895242">
              <w:marLeft w:val="0"/>
              <w:marRight w:val="0"/>
              <w:marTop w:val="0"/>
              <w:marBottom w:val="0"/>
              <w:divBdr>
                <w:top w:val="none" w:sz="0" w:space="0" w:color="auto"/>
                <w:left w:val="none" w:sz="0" w:space="0" w:color="auto"/>
                <w:bottom w:val="none" w:sz="0" w:space="0" w:color="auto"/>
                <w:right w:val="none" w:sz="0" w:space="0" w:color="auto"/>
              </w:divBdr>
              <w:divsChild>
                <w:div w:id="1239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9477">
      <w:bodyDiv w:val="1"/>
      <w:marLeft w:val="0"/>
      <w:marRight w:val="0"/>
      <w:marTop w:val="0"/>
      <w:marBottom w:val="0"/>
      <w:divBdr>
        <w:top w:val="none" w:sz="0" w:space="0" w:color="auto"/>
        <w:left w:val="none" w:sz="0" w:space="0" w:color="auto"/>
        <w:bottom w:val="none" w:sz="0" w:space="0" w:color="auto"/>
        <w:right w:val="none" w:sz="0" w:space="0" w:color="auto"/>
      </w:divBdr>
      <w:divsChild>
        <w:div w:id="185481934">
          <w:marLeft w:val="0"/>
          <w:marRight w:val="0"/>
          <w:marTop w:val="0"/>
          <w:marBottom w:val="0"/>
          <w:divBdr>
            <w:top w:val="none" w:sz="0" w:space="0" w:color="auto"/>
            <w:left w:val="none" w:sz="0" w:space="0" w:color="auto"/>
            <w:bottom w:val="none" w:sz="0" w:space="0" w:color="auto"/>
            <w:right w:val="none" w:sz="0" w:space="0" w:color="auto"/>
          </w:divBdr>
          <w:divsChild>
            <w:div w:id="1663463495">
              <w:marLeft w:val="0"/>
              <w:marRight w:val="0"/>
              <w:marTop w:val="0"/>
              <w:marBottom w:val="0"/>
              <w:divBdr>
                <w:top w:val="none" w:sz="0" w:space="0" w:color="auto"/>
                <w:left w:val="none" w:sz="0" w:space="0" w:color="auto"/>
                <w:bottom w:val="none" w:sz="0" w:space="0" w:color="auto"/>
                <w:right w:val="none" w:sz="0" w:space="0" w:color="auto"/>
              </w:divBdr>
              <w:divsChild>
                <w:div w:id="10858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1969">
      <w:bodyDiv w:val="1"/>
      <w:marLeft w:val="0"/>
      <w:marRight w:val="0"/>
      <w:marTop w:val="0"/>
      <w:marBottom w:val="0"/>
      <w:divBdr>
        <w:top w:val="none" w:sz="0" w:space="0" w:color="auto"/>
        <w:left w:val="none" w:sz="0" w:space="0" w:color="auto"/>
        <w:bottom w:val="none" w:sz="0" w:space="0" w:color="auto"/>
        <w:right w:val="none" w:sz="0" w:space="0" w:color="auto"/>
      </w:divBdr>
    </w:div>
    <w:div w:id="359935436">
      <w:bodyDiv w:val="1"/>
      <w:marLeft w:val="0"/>
      <w:marRight w:val="0"/>
      <w:marTop w:val="0"/>
      <w:marBottom w:val="0"/>
      <w:divBdr>
        <w:top w:val="none" w:sz="0" w:space="0" w:color="auto"/>
        <w:left w:val="none" w:sz="0" w:space="0" w:color="auto"/>
        <w:bottom w:val="none" w:sz="0" w:space="0" w:color="auto"/>
        <w:right w:val="none" w:sz="0" w:space="0" w:color="auto"/>
      </w:divBdr>
      <w:divsChild>
        <w:div w:id="939993748">
          <w:marLeft w:val="0"/>
          <w:marRight w:val="0"/>
          <w:marTop w:val="0"/>
          <w:marBottom w:val="0"/>
          <w:divBdr>
            <w:top w:val="none" w:sz="0" w:space="0" w:color="auto"/>
            <w:left w:val="none" w:sz="0" w:space="0" w:color="auto"/>
            <w:bottom w:val="none" w:sz="0" w:space="0" w:color="auto"/>
            <w:right w:val="none" w:sz="0" w:space="0" w:color="auto"/>
          </w:divBdr>
          <w:divsChild>
            <w:div w:id="261107390">
              <w:marLeft w:val="0"/>
              <w:marRight w:val="0"/>
              <w:marTop w:val="0"/>
              <w:marBottom w:val="0"/>
              <w:divBdr>
                <w:top w:val="none" w:sz="0" w:space="0" w:color="auto"/>
                <w:left w:val="none" w:sz="0" w:space="0" w:color="auto"/>
                <w:bottom w:val="none" w:sz="0" w:space="0" w:color="auto"/>
                <w:right w:val="none" w:sz="0" w:space="0" w:color="auto"/>
              </w:divBdr>
              <w:divsChild>
                <w:div w:id="18451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1157">
      <w:bodyDiv w:val="1"/>
      <w:marLeft w:val="0"/>
      <w:marRight w:val="0"/>
      <w:marTop w:val="0"/>
      <w:marBottom w:val="0"/>
      <w:divBdr>
        <w:top w:val="none" w:sz="0" w:space="0" w:color="auto"/>
        <w:left w:val="none" w:sz="0" w:space="0" w:color="auto"/>
        <w:bottom w:val="none" w:sz="0" w:space="0" w:color="auto"/>
        <w:right w:val="none" w:sz="0" w:space="0" w:color="auto"/>
      </w:divBdr>
      <w:divsChild>
        <w:div w:id="979774017">
          <w:marLeft w:val="0"/>
          <w:marRight w:val="0"/>
          <w:marTop w:val="0"/>
          <w:marBottom w:val="0"/>
          <w:divBdr>
            <w:top w:val="none" w:sz="0" w:space="0" w:color="auto"/>
            <w:left w:val="none" w:sz="0" w:space="0" w:color="auto"/>
            <w:bottom w:val="none" w:sz="0" w:space="0" w:color="auto"/>
            <w:right w:val="none" w:sz="0" w:space="0" w:color="auto"/>
          </w:divBdr>
          <w:divsChild>
            <w:div w:id="1111627802">
              <w:marLeft w:val="0"/>
              <w:marRight w:val="0"/>
              <w:marTop w:val="0"/>
              <w:marBottom w:val="0"/>
              <w:divBdr>
                <w:top w:val="none" w:sz="0" w:space="0" w:color="auto"/>
                <w:left w:val="none" w:sz="0" w:space="0" w:color="auto"/>
                <w:bottom w:val="none" w:sz="0" w:space="0" w:color="auto"/>
                <w:right w:val="none" w:sz="0" w:space="0" w:color="auto"/>
              </w:divBdr>
              <w:divsChild>
                <w:div w:id="18425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4646">
      <w:bodyDiv w:val="1"/>
      <w:marLeft w:val="0"/>
      <w:marRight w:val="0"/>
      <w:marTop w:val="0"/>
      <w:marBottom w:val="0"/>
      <w:divBdr>
        <w:top w:val="none" w:sz="0" w:space="0" w:color="auto"/>
        <w:left w:val="none" w:sz="0" w:space="0" w:color="auto"/>
        <w:bottom w:val="none" w:sz="0" w:space="0" w:color="auto"/>
        <w:right w:val="none" w:sz="0" w:space="0" w:color="auto"/>
      </w:divBdr>
    </w:div>
    <w:div w:id="470751571">
      <w:bodyDiv w:val="1"/>
      <w:marLeft w:val="0"/>
      <w:marRight w:val="0"/>
      <w:marTop w:val="0"/>
      <w:marBottom w:val="0"/>
      <w:divBdr>
        <w:top w:val="none" w:sz="0" w:space="0" w:color="auto"/>
        <w:left w:val="none" w:sz="0" w:space="0" w:color="auto"/>
        <w:bottom w:val="none" w:sz="0" w:space="0" w:color="auto"/>
        <w:right w:val="none" w:sz="0" w:space="0" w:color="auto"/>
      </w:divBdr>
    </w:div>
    <w:div w:id="490411041">
      <w:bodyDiv w:val="1"/>
      <w:marLeft w:val="0"/>
      <w:marRight w:val="0"/>
      <w:marTop w:val="0"/>
      <w:marBottom w:val="0"/>
      <w:divBdr>
        <w:top w:val="none" w:sz="0" w:space="0" w:color="auto"/>
        <w:left w:val="none" w:sz="0" w:space="0" w:color="auto"/>
        <w:bottom w:val="none" w:sz="0" w:space="0" w:color="auto"/>
        <w:right w:val="none" w:sz="0" w:space="0" w:color="auto"/>
      </w:divBdr>
      <w:divsChild>
        <w:div w:id="117260146">
          <w:marLeft w:val="0"/>
          <w:marRight w:val="0"/>
          <w:marTop w:val="0"/>
          <w:marBottom w:val="0"/>
          <w:divBdr>
            <w:top w:val="none" w:sz="0" w:space="0" w:color="auto"/>
            <w:left w:val="none" w:sz="0" w:space="0" w:color="auto"/>
            <w:bottom w:val="none" w:sz="0" w:space="0" w:color="auto"/>
            <w:right w:val="none" w:sz="0" w:space="0" w:color="auto"/>
          </w:divBdr>
          <w:divsChild>
            <w:div w:id="1544631894">
              <w:marLeft w:val="0"/>
              <w:marRight w:val="0"/>
              <w:marTop w:val="0"/>
              <w:marBottom w:val="0"/>
              <w:divBdr>
                <w:top w:val="none" w:sz="0" w:space="0" w:color="auto"/>
                <w:left w:val="none" w:sz="0" w:space="0" w:color="auto"/>
                <w:bottom w:val="none" w:sz="0" w:space="0" w:color="auto"/>
                <w:right w:val="none" w:sz="0" w:space="0" w:color="auto"/>
              </w:divBdr>
              <w:divsChild>
                <w:div w:id="18886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2255">
      <w:bodyDiv w:val="1"/>
      <w:marLeft w:val="0"/>
      <w:marRight w:val="0"/>
      <w:marTop w:val="0"/>
      <w:marBottom w:val="0"/>
      <w:divBdr>
        <w:top w:val="none" w:sz="0" w:space="0" w:color="auto"/>
        <w:left w:val="none" w:sz="0" w:space="0" w:color="auto"/>
        <w:bottom w:val="none" w:sz="0" w:space="0" w:color="auto"/>
        <w:right w:val="none" w:sz="0" w:space="0" w:color="auto"/>
      </w:divBdr>
    </w:div>
    <w:div w:id="521169474">
      <w:bodyDiv w:val="1"/>
      <w:marLeft w:val="0"/>
      <w:marRight w:val="0"/>
      <w:marTop w:val="0"/>
      <w:marBottom w:val="0"/>
      <w:divBdr>
        <w:top w:val="none" w:sz="0" w:space="0" w:color="auto"/>
        <w:left w:val="none" w:sz="0" w:space="0" w:color="auto"/>
        <w:bottom w:val="none" w:sz="0" w:space="0" w:color="auto"/>
        <w:right w:val="none" w:sz="0" w:space="0" w:color="auto"/>
      </w:divBdr>
    </w:div>
    <w:div w:id="558132205">
      <w:bodyDiv w:val="1"/>
      <w:marLeft w:val="0"/>
      <w:marRight w:val="0"/>
      <w:marTop w:val="0"/>
      <w:marBottom w:val="0"/>
      <w:divBdr>
        <w:top w:val="none" w:sz="0" w:space="0" w:color="auto"/>
        <w:left w:val="none" w:sz="0" w:space="0" w:color="auto"/>
        <w:bottom w:val="none" w:sz="0" w:space="0" w:color="auto"/>
        <w:right w:val="none" w:sz="0" w:space="0" w:color="auto"/>
      </w:divBdr>
      <w:divsChild>
        <w:div w:id="1900436877">
          <w:marLeft w:val="0"/>
          <w:marRight w:val="0"/>
          <w:marTop w:val="0"/>
          <w:marBottom w:val="0"/>
          <w:divBdr>
            <w:top w:val="none" w:sz="0" w:space="0" w:color="auto"/>
            <w:left w:val="none" w:sz="0" w:space="0" w:color="auto"/>
            <w:bottom w:val="none" w:sz="0" w:space="0" w:color="auto"/>
            <w:right w:val="none" w:sz="0" w:space="0" w:color="auto"/>
          </w:divBdr>
          <w:divsChild>
            <w:div w:id="1290431805">
              <w:marLeft w:val="0"/>
              <w:marRight w:val="0"/>
              <w:marTop w:val="0"/>
              <w:marBottom w:val="0"/>
              <w:divBdr>
                <w:top w:val="none" w:sz="0" w:space="0" w:color="auto"/>
                <w:left w:val="none" w:sz="0" w:space="0" w:color="auto"/>
                <w:bottom w:val="none" w:sz="0" w:space="0" w:color="auto"/>
                <w:right w:val="none" w:sz="0" w:space="0" w:color="auto"/>
              </w:divBdr>
              <w:divsChild>
                <w:div w:id="2977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02788">
      <w:bodyDiv w:val="1"/>
      <w:marLeft w:val="0"/>
      <w:marRight w:val="0"/>
      <w:marTop w:val="0"/>
      <w:marBottom w:val="0"/>
      <w:divBdr>
        <w:top w:val="none" w:sz="0" w:space="0" w:color="auto"/>
        <w:left w:val="none" w:sz="0" w:space="0" w:color="auto"/>
        <w:bottom w:val="none" w:sz="0" w:space="0" w:color="auto"/>
        <w:right w:val="none" w:sz="0" w:space="0" w:color="auto"/>
      </w:divBdr>
      <w:divsChild>
        <w:div w:id="1747848464">
          <w:marLeft w:val="0"/>
          <w:marRight w:val="0"/>
          <w:marTop w:val="0"/>
          <w:marBottom w:val="0"/>
          <w:divBdr>
            <w:top w:val="none" w:sz="0" w:space="0" w:color="auto"/>
            <w:left w:val="none" w:sz="0" w:space="0" w:color="auto"/>
            <w:bottom w:val="none" w:sz="0" w:space="0" w:color="auto"/>
            <w:right w:val="none" w:sz="0" w:space="0" w:color="auto"/>
          </w:divBdr>
          <w:divsChild>
            <w:div w:id="1141269040">
              <w:marLeft w:val="0"/>
              <w:marRight w:val="0"/>
              <w:marTop w:val="0"/>
              <w:marBottom w:val="0"/>
              <w:divBdr>
                <w:top w:val="none" w:sz="0" w:space="0" w:color="auto"/>
                <w:left w:val="none" w:sz="0" w:space="0" w:color="auto"/>
                <w:bottom w:val="none" w:sz="0" w:space="0" w:color="auto"/>
                <w:right w:val="none" w:sz="0" w:space="0" w:color="auto"/>
              </w:divBdr>
              <w:divsChild>
                <w:div w:id="3322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7242">
      <w:bodyDiv w:val="1"/>
      <w:marLeft w:val="0"/>
      <w:marRight w:val="0"/>
      <w:marTop w:val="0"/>
      <w:marBottom w:val="0"/>
      <w:divBdr>
        <w:top w:val="none" w:sz="0" w:space="0" w:color="auto"/>
        <w:left w:val="none" w:sz="0" w:space="0" w:color="auto"/>
        <w:bottom w:val="none" w:sz="0" w:space="0" w:color="auto"/>
        <w:right w:val="none" w:sz="0" w:space="0" w:color="auto"/>
      </w:divBdr>
      <w:divsChild>
        <w:div w:id="703944778">
          <w:marLeft w:val="0"/>
          <w:marRight w:val="0"/>
          <w:marTop w:val="0"/>
          <w:marBottom w:val="0"/>
          <w:divBdr>
            <w:top w:val="none" w:sz="0" w:space="0" w:color="auto"/>
            <w:left w:val="none" w:sz="0" w:space="0" w:color="auto"/>
            <w:bottom w:val="none" w:sz="0" w:space="0" w:color="auto"/>
            <w:right w:val="none" w:sz="0" w:space="0" w:color="auto"/>
          </w:divBdr>
          <w:divsChild>
            <w:div w:id="854807405">
              <w:marLeft w:val="0"/>
              <w:marRight w:val="0"/>
              <w:marTop w:val="0"/>
              <w:marBottom w:val="0"/>
              <w:divBdr>
                <w:top w:val="none" w:sz="0" w:space="0" w:color="auto"/>
                <w:left w:val="none" w:sz="0" w:space="0" w:color="auto"/>
                <w:bottom w:val="none" w:sz="0" w:space="0" w:color="auto"/>
                <w:right w:val="none" w:sz="0" w:space="0" w:color="auto"/>
              </w:divBdr>
              <w:divsChild>
                <w:div w:id="17044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12224">
      <w:bodyDiv w:val="1"/>
      <w:marLeft w:val="0"/>
      <w:marRight w:val="0"/>
      <w:marTop w:val="0"/>
      <w:marBottom w:val="0"/>
      <w:divBdr>
        <w:top w:val="none" w:sz="0" w:space="0" w:color="auto"/>
        <w:left w:val="none" w:sz="0" w:space="0" w:color="auto"/>
        <w:bottom w:val="none" w:sz="0" w:space="0" w:color="auto"/>
        <w:right w:val="none" w:sz="0" w:space="0" w:color="auto"/>
      </w:divBdr>
      <w:divsChild>
        <w:div w:id="15623253">
          <w:marLeft w:val="0"/>
          <w:marRight w:val="0"/>
          <w:marTop w:val="0"/>
          <w:marBottom w:val="0"/>
          <w:divBdr>
            <w:top w:val="none" w:sz="0" w:space="0" w:color="auto"/>
            <w:left w:val="none" w:sz="0" w:space="0" w:color="auto"/>
            <w:bottom w:val="none" w:sz="0" w:space="0" w:color="auto"/>
            <w:right w:val="none" w:sz="0" w:space="0" w:color="auto"/>
          </w:divBdr>
          <w:divsChild>
            <w:div w:id="1382679739">
              <w:marLeft w:val="0"/>
              <w:marRight w:val="0"/>
              <w:marTop w:val="0"/>
              <w:marBottom w:val="0"/>
              <w:divBdr>
                <w:top w:val="none" w:sz="0" w:space="0" w:color="auto"/>
                <w:left w:val="none" w:sz="0" w:space="0" w:color="auto"/>
                <w:bottom w:val="none" w:sz="0" w:space="0" w:color="auto"/>
                <w:right w:val="none" w:sz="0" w:space="0" w:color="auto"/>
              </w:divBdr>
              <w:divsChild>
                <w:div w:id="18471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60672">
      <w:bodyDiv w:val="1"/>
      <w:marLeft w:val="0"/>
      <w:marRight w:val="0"/>
      <w:marTop w:val="0"/>
      <w:marBottom w:val="0"/>
      <w:divBdr>
        <w:top w:val="none" w:sz="0" w:space="0" w:color="auto"/>
        <w:left w:val="none" w:sz="0" w:space="0" w:color="auto"/>
        <w:bottom w:val="none" w:sz="0" w:space="0" w:color="auto"/>
        <w:right w:val="none" w:sz="0" w:space="0" w:color="auto"/>
      </w:divBdr>
    </w:div>
    <w:div w:id="753285483">
      <w:bodyDiv w:val="1"/>
      <w:marLeft w:val="0"/>
      <w:marRight w:val="0"/>
      <w:marTop w:val="0"/>
      <w:marBottom w:val="0"/>
      <w:divBdr>
        <w:top w:val="none" w:sz="0" w:space="0" w:color="auto"/>
        <w:left w:val="none" w:sz="0" w:space="0" w:color="auto"/>
        <w:bottom w:val="none" w:sz="0" w:space="0" w:color="auto"/>
        <w:right w:val="none" w:sz="0" w:space="0" w:color="auto"/>
      </w:divBdr>
      <w:divsChild>
        <w:div w:id="637613534">
          <w:marLeft w:val="0"/>
          <w:marRight w:val="0"/>
          <w:marTop w:val="0"/>
          <w:marBottom w:val="0"/>
          <w:divBdr>
            <w:top w:val="none" w:sz="0" w:space="0" w:color="auto"/>
            <w:left w:val="none" w:sz="0" w:space="0" w:color="auto"/>
            <w:bottom w:val="none" w:sz="0" w:space="0" w:color="auto"/>
            <w:right w:val="none" w:sz="0" w:space="0" w:color="auto"/>
          </w:divBdr>
          <w:divsChild>
            <w:div w:id="478810681">
              <w:marLeft w:val="0"/>
              <w:marRight w:val="0"/>
              <w:marTop w:val="0"/>
              <w:marBottom w:val="0"/>
              <w:divBdr>
                <w:top w:val="none" w:sz="0" w:space="0" w:color="auto"/>
                <w:left w:val="none" w:sz="0" w:space="0" w:color="auto"/>
                <w:bottom w:val="none" w:sz="0" w:space="0" w:color="auto"/>
                <w:right w:val="none" w:sz="0" w:space="0" w:color="auto"/>
              </w:divBdr>
              <w:divsChild>
                <w:div w:id="2071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4897">
      <w:bodyDiv w:val="1"/>
      <w:marLeft w:val="0"/>
      <w:marRight w:val="0"/>
      <w:marTop w:val="0"/>
      <w:marBottom w:val="0"/>
      <w:divBdr>
        <w:top w:val="none" w:sz="0" w:space="0" w:color="auto"/>
        <w:left w:val="none" w:sz="0" w:space="0" w:color="auto"/>
        <w:bottom w:val="none" w:sz="0" w:space="0" w:color="auto"/>
        <w:right w:val="none" w:sz="0" w:space="0" w:color="auto"/>
      </w:divBdr>
      <w:divsChild>
        <w:div w:id="1040517616">
          <w:marLeft w:val="0"/>
          <w:marRight w:val="0"/>
          <w:marTop w:val="0"/>
          <w:marBottom w:val="0"/>
          <w:divBdr>
            <w:top w:val="none" w:sz="0" w:space="0" w:color="auto"/>
            <w:left w:val="none" w:sz="0" w:space="0" w:color="auto"/>
            <w:bottom w:val="none" w:sz="0" w:space="0" w:color="auto"/>
            <w:right w:val="none" w:sz="0" w:space="0" w:color="auto"/>
          </w:divBdr>
          <w:divsChild>
            <w:div w:id="939996826">
              <w:marLeft w:val="0"/>
              <w:marRight w:val="0"/>
              <w:marTop w:val="0"/>
              <w:marBottom w:val="0"/>
              <w:divBdr>
                <w:top w:val="none" w:sz="0" w:space="0" w:color="auto"/>
                <w:left w:val="none" w:sz="0" w:space="0" w:color="auto"/>
                <w:bottom w:val="none" w:sz="0" w:space="0" w:color="auto"/>
                <w:right w:val="none" w:sz="0" w:space="0" w:color="auto"/>
              </w:divBdr>
              <w:divsChild>
                <w:div w:id="12949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7572">
      <w:bodyDiv w:val="1"/>
      <w:marLeft w:val="0"/>
      <w:marRight w:val="0"/>
      <w:marTop w:val="0"/>
      <w:marBottom w:val="0"/>
      <w:divBdr>
        <w:top w:val="none" w:sz="0" w:space="0" w:color="auto"/>
        <w:left w:val="none" w:sz="0" w:space="0" w:color="auto"/>
        <w:bottom w:val="none" w:sz="0" w:space="0" w:color="auto"/>
        <w:right w:val="none" w:sz="0" w:space="0" w:color="auto"/>
      </w:divBdr>
      <w:divsChild>
        <w:div w:id="1845632917">
          <w:marLeft w:val="0"/>
          <w:marRight w:val="0"/>
          <w:marTop w:val="0"/>
          <w:marBottom w:val="0"/>
          <w:divBdr>
            <w:top w:val="none" w:sz="0" w:space="0" w:color="auto"/>
            <w:left w:val="none" w:sz="0" w:space="0" w:color="auto"/>
            <w:bottom w:val="none" w:sz="0" w:space="0" w:color="auto"/>
            <w:right w:val="none" w:sz="0" w:space="0" w:color="auto"/>
          </w:divBdr>
          <w:divsChild>
            <w:div w:id="1800146751">
              <w:marLeft w:val="0"/>
              <w:marRight w:val="0"/>
              <w:marTop w:val="0"/>
              <w:marBottom w:val="0"/>
              <w:divBdr>
                <w:top w:val="none" w:sz="0" w:space="0" w:color="auto"/>
                <w:left w:val="none" w:sz="0" w:space="0" w:color="auto"/>
                <w:bottom w:val="none" w:sz="0" w:space="0" w:color="auto"/>
                <w:right w:val="none" w:sz="0" w:space="0" w:color="auto"/>
              </w:divBdr>
              <w:divsChild>
                <w:div w:id="20970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144">
      <w:bodyDiv w:val="1"/>
      <w:marLeft w:val="0"/>
      <w:marRight w:val="0"/>
      <w:marTop w:val="0"/>
      <w:marBottom w:val="0"/>
      <w:divBdr>
        <w:top w:val="none" w:sz="0" w:space="0" w:color="auto"/>
        <w:left w:val="none" w:sz="0" w:space="0" w:color="auto"/>
        <w:bottom w:val="none" w:sz="0" w:space="0" w:color="auto"/>
        <w:right w:val="none" w:sz="0" w:space="0" w:color="auto"/>
      </w:divBdr>
      <w:divsChild>
        <w:div w:id="328335592">
          <w:marLeft w:val="0"/>
          <w:marRight w:val="0"/>
          <w:marTop w:val="0"/>
          <w:marBottom w:val="0"/>
          <w:divBdr>
            <w:top w:val="none" w:sz="0" w:space="0" w:color="auto"/>
            <w:left w:val="none" w:sz="0" w:space="0" w:color="auto"/>
            <w:bottom w:val="none" w:sz="0" w:space="0" w:color="auto"/>
            <w:right w:val="none" w:sz="0" w:space="0" w:color="auto"/>
          </w:divBdr>
          <w:divsChild>
            <w:div w:id="1530292702">
              <w:marLeft w:val="0"/>
              <w:marRight w:val="0"/>
              <w:marTop w:val="0"/>
              <w:marBottom w:val="0"/>
              <w:divBdr>
                <w:top w:val="none" w:sz="0" w:space="0" w:color="auto"/>
                <w:left w:val="none" w:sz="0" w:space="0" w:color="auto"/>
                <w:bottom w:val="none" w:sz="0" w:space="0" w:color="auto"/>
                <w:right w:val="none" w:sz="0" w:space="0" w:color="auto"/>
              </w:divBdr>
              <w:divsChild>
                <w:div w:id="760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0539">
          <w:marLeft w:val="0"/>
          <w:marRight w:val="0"/>
          <w:marTop w:val="0"/>
          <w:marBottom w:val="0"/>
          <w:divBdr>
            <w:top w:val="none" w:sz="0" w:space="0" w:color="auto"/>
            <w:left w:val="none" w:sz="0" w:space="0" w:color="auto"/>
            <w:bottom w:val="none" w:sz="0" w:space="0" w:color="auto"/>
            <w:right w:val="none" w:sz="0" w:space="0" w:color="auto"/>
          </w:divBdr>
        </w:div>
      </w:divsChild>
    </w:div>
    <w:div w:id="926496714">
      <w:bodyDiv w:val="1"/>
      <w:marLeft w:val="0"/>
      <w:marRight w:val="0"/>
      <w:marTop w:val="0"/>
      <w:marBottom w:val="0"/>
      <w:divBdr>
        <w:top w:val="none" w:sz="0" w:space="0" w:color="auto"/>
        <w:left w:val="none" w:sz="0" w:space="0" w:color="auto"/>
        <w:bottom w:val="none" w:sz="0" w:space="0" w:color="auto"/>
        <w:right w:val="none" w:sz="0" w:space="0" w:color="auto"/>
      </w:divBdr>
    </w:div>
    <w:div w:id="939678243">
      <w:bodyDiv w:val="1"/>
      <w:marLeft w:val="0"/>
      <w:marRight w:val="0"/>
      <w:marTop w:val="0"/>
      <w:marBottom w:val="0"/>
      <w:divBdr>
        <w:top w:val="none" w:sz="0" w:space="0" w:color="auto"/>
        <w:left w:val="none" w:sz="0" w:space="0" w:color="auto"/>
        <w:bottom w:val="none" w:sz="0" w:space="0" w:color="auto"/>
        <w:right w:val="none" w:sz="0" w:space="0" w:color="auto"/>
      </w:divBdr>
      <w:divsChild>
        <w:div w:id="2115322799">
          <w:marLeft w:val="0"/>
          <w:marRight w:val="0"/>
          <w:marTop w:val="0"/>
          <w:marBottom w:val="0"/>
          <w:divBdr>
            <w:top w:val="none" w:sz="0" w:space="0" w:color="auto"/>
            <w:left w:val="none" w:sz="0" w:space="0" w:color="auto"/>
            <w:bottom w:val="none" w:sz="0" w:space="0" w:color="auto"/>
            <w:right w:val="none" w:sz="0" w:space="0" w:color="auto"/>
          </w:divBdr>
          <w:divsChild>
            <w:div w:id="956983763">
              <w:marLeft w:val="0"/>
              <w:marRight w:val="0"/>
              <w:marTop w:val="0"/>
              <w:marBottom w:val="0"/>
              <w:divBdr>
                <w:top w:val="none" w:sz="0" w:space="0" w:color="auto"/>
                <w:left w:val="none" w:sz="0" w:space="0" w:color="auto"/>
                <w:bottom w:val="none" w:sz="0" w:space="0" w:color="auto"/>
                <w:right w:val="none" w:sz="0" w:space="0" w:color="auto"/>
              </w:divBdr>
              <w:divsChild>
                <w:div w:id="1682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9229">
      <w:bodyDiv w:val="1"/>
      <w:marLeft w:val="0"/>
      <w:marRight w:val="0"/>
      <w:marTop w:val="0"/>
      <w:marBottom w:val="0"/>
      <w:divBdr>
        <w:top w:val="none" w:sz="0" w:space="0" w:color="auto"/>
        <w:left w:val="none" w:sz="0" w:space="0" w:color="auto"/>
        <w:bottom w:val="none" w:sz="0" w:space="0" w:color="auto"/>
        <w:right w:val="none" w:sz="0" w:space="0" w:color="auto"/>
      </w:divBdr>
      <w:divsChild>
        <w:div w:id="2024505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36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73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70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4381019">
      <w:bodyDiv w:val="1"/>
      <w:marLeft w:val="0"/>
      <w:marRight w:val="0"/>
      <w:marTop w:val="0"/>
      <w:marBottom w:val="0"/>
      <w:divBdr>
        <w:top w:val="none" w:sz="0" w:space="0" w:color="auto"/>
        <w:left w:val="none" w:sz="0" w:space="0" w:color="auto"/>
        <w:bottom w:val="none" w:sz="0" w:space="0" w:color="auto"/>
        <w:right w:val="none" w:sz="0" w:space="0" w:color="auto"/>
      </w:divBdr>
      <w:divsChild>
        <w:div w:id="2065635838">
          <w:marLeft w:val="0"/>
          <w:marRight w:val="0"/>
          <w:marTop w:val="0"/>
          <w:marBottom w:val="0"/>
          <w:divBdr>
            <w:top w:val="none" w:sz="0" w:space="0" w:color="auto"/>
            <w:left w:val="none" w:sz="0" w:space="0" w:color="auto"/>
            <w:bottom w:val="none" w:sz="0" w:space="0" w:color="auto"/>
            <w:right w:val="none" w:sz="0" w:space="0" w:color="auto"/>
          </w:divBdr>
          <w:divsChild>
            <w:div w:id="771972769">
              <w:marLeft w:val="0"/>
              <w:marRight w:val="0"/>
              <w:marTop w:val="0"/>
              <w:marBottom w:val="0"/>
              <w:divBdr>
                <w:top w:val="none" w:sz="0" w:space="0" w:color="auto"/>
                <w:left w:val="none" w:sz="0" w:space="0" w:color="auto"/>
                <w:bottom w:val="none" w:sz="0" w:space="0" w:color="auto"/>
                <w:right w:val="none" w:sz="0" w:space="0" w:color="auto"/>
              </w:divBdr>
              <w:divsChild>
                <w:div w:id="18054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4140">
      <w:bodyDiv w:val="1"/>
      <w:marLeft w:val="0"/>
      <w:marRight w:val="0"/>
      <w:marTop w:val="0"/>
      <w:marBottom w:val="0"/>
      <w:divBdr>
        <w:top w:val="none" w:sz="0" w:space="0" w:color="auto"/>
        <w:left w:val="none" w:sz="0" w:space="0" w:color="auto"/>
        <w:bottom w:val="none" w:sz="0" w:space="0" w:color="auto"/>
        <w:right w:val="none" w:sz="0" w:space="0" w:color="auto"/>
      </w:divBdr>
      <w:divsChild>
        <w:div w:id="1418555211">
          <w:marLeft w:val="0"/>
          <w:marRight w:val="0"/>
          <w:marTop w:val="0"/>
          <w:marBottom w:val="0"/>
          <w:divBdr>
            <w:top w:val="none" w:sz="0" w:space="0" w:color="auto"/>
            <w:left w:val="none" w:sz="0" w:space="0" w:color="auto"/>
            <w:bottom w:val="none" w:sz="0" w:space="0" w:color="auto"/>
            <w:right w:val="none" w:sz="0" w:space="0" w:color="auto"/>
          </w:divBdr>
          <w:divsChild>
            <w:div w:id="1632831591">
              <w:marLeft w:val="0"/>
              <w:marRight w:val="0"/>
              <w:marTop w:val="0"/>
              <w:marBottom w:val="0"/>
              <w:divBdr>
                <w:top w:val="none" w:sz="0" w:space="0" w:color="auto"/>
                <w:left w:val="none" w:sz="0" w:space="0" w:color="auto"/>
                <w:bottom w:val="none" w:sz="0" w:space="0" w:color="auto"/>
                <w:right w:val="none" w:sz="0" w:space="0" w:color="auto"/>
              </w:divBdr>
              <w:divsChild>
                <w:div w:id="460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4093">
      <w:bodyDiv w:val="1"/>
      <w:marLeft w:val="0"/>
      <w:marRight w:val="0"/>
      <w:marTop w:val="0"/>
      <w:marBottom w:val="0"/>
      <w:divBdr>
        <w:top w:val="none" w:sz="0" w:space="0" w:color="auto"/>
        <w:left w:val="none" w:sz="0" w:space="0" w:color="auto"/>
        <w:bottom w:val="none" w:sz="0" w:space="0" w:color="auto"/>
        <w:right w:val="none" w:sz="0" w:space="0" w:color="auto"/>
      </w:divBdr>
      <w:divsChild>
        <w:div w:id="1908025865">
          <w:marLeft w:val="0"/>
          <w:marRight w:val="0"/>
          <w:marTop w:val="0"/>
          <w:marBottom w:val="0"/>
          <w:divBdr>
            <w:top w:val="none" w:sz="0" w:space="0" w:color="auto"/>
            <w:left w:val="none" w:sz="0" w:space="0" w:color="auto"/>
            <w:bottom w:val="none" w:sz="0" w:space="0" w:color="auto"/>
            <w:right w:val="none" w:sz="0" w:space="0" w:color="auto"/>
          </w:divBdr>
          <w:divsChild>
            <w:div w:id="887423910">
              <w:marLeft w:val="0"/>
              <w:marRight w:val="0"/>
              <w:marTop w:val="0"/>
              <w:marBottom w:val="0"/>
              <w:divBdr>
                <w:top w:val="none" w:sz="0" w:space="0" w:color="auto"/>
                <w:left w:val="none" w:sz="0" w:space="0" w:color="auto"/>
                <w:bottom w:val="none" w:sz="0" w:space="0" w:color="auto"/>
                <w:right w:val="none" w:sz="0" w:space="0" w:color="auto"/>
              </w:divBdr>
              <w:divsChild>
                <w:div w:id="538861286">
                  <w:marLeft w:val="0"/>
                  <w:marRight w:val="0"/>
                  <w:marTop w:val="0"/>
                  <w:marBottom w:val="0"/>
                  <w:divBdr>
                    <w:top w:val="none" w:sz="0" w:space="0" w:color="auto"/>
                    <w:left w:val="none" w:sz="0" w:space="0" w:color="auto"/>
                    <w:bottom w:val="none" w:sz="0" w:space="0" w:color="auto"/>
                    <w:right w:val="none" w:sz="0" w:space="0" w:color="auto"/>
                  </w:divBdr>
                </w:div>
              </w:divsChild>
            </w:div>
            <w:div w:id="69424577">
              <w:marLeft w:val="0"/>
              <w:marRight w:val="0"/>
              <w:marTop w:val="0"/>
              <w:marBottom w:val="0"/>
              <w:divBdr>
                <w:top w:val="none" w:sz="0" w:space="0" w:color="auto"/>
                <w:left w:val="none" w:sz="0" w:space="0" w:color="auto"/>
                <w:bottom w:val="none" w:sz="0" w:space="0" w:color="auto"/>
                <w:right w:val="none" w:sz="0" w:space="0" w:color="auto"/>
              </w:divBdr>
              <w:divsChild>
                <w:div w:id="20503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6443">
      <w:bodyDiv w:val="1"/>
      <w:marLeft w:val="0"/>
      <w:marRight w:val="0"/>
      <w:marTop w:val="0"/>
      <w:marBottom w:val="0"/>
      <w:divBdr>
        <w:top w:val="none" w:sz="0" w:space="0" w:color="auto"/>
        <w:left w:val="none" w:sz="0" w:space="0" w:color="auto"/>
        <w:bottom w:val="none" w:sz="0" w:space="0" w:color="auto"/>
        <w:right w:val="none" w:sz="0" w:space="0" w:color="auto"/>
      </w:divBdr>
      <w:divsChild>
        <w:div w:id="736052237">
          <w:marLeft w:val="0"/>
          <w:marRight w:val="0"/>
          <w:marTop w:val="0"/>
          <w:marBottom w:val="0"/>
          <w:divBdr>
            <w:top w:val="none" w:sz="0" w:space="0" w:color="auto"/>
            <w:left w:val="none" w:sz="0" w:space="0" w:color="auto"/>
            <w:bottom w:val="none" w:sz="0" w:space="0" w:color="auto"/>
            <w:right w:val="none" w:sz="0" w:space="0" w:color="auto"/>
          </w:divBdr>
          <w:divsChild>
            <w:div w:id="1918394362">
              <w:marLeft w:val="0"/>
              <w:marRight w:val="0"/>
              <w:marTop w:val="0"/>
              <w:marBottom w:val="0"/>
              <w:divBdr>
                <w:top w:val="none" w:sz="0" w:space="0" w:color="auto"/>
                <w:left w:val="none" w:sz="0" w:space="0" w:color="auto"/>
                <w:bottom w:val="none" w:sz="0" w:space="0" w:color="auto"/>
                <w:right w:val="none" w:sz="0" w:space="0" w:color="auto"/>
              </w:divBdr>
              <w:divsChild>
                <w:div w:id="5909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5672">
      <w:bodyDiv w:val="1"/>
      <w:marLeft w:val="0"/>
      <w:marRight w:val="0"/>
      <w:marTop w:val="0"/>
      <w:marBottom w:val="0"/>
      <w:divBdr>
        <w:top w:val="none" w:sz="0" w:space="0" w:color="auto"/>
        <w:left w:val="none" w:sz="0" w:space="0" w:color="auto"/>
        <w:bottom w:val="none" w:sz="0" w:space="0" w:color="auto"/>
        <w:right w:val="none" w:sz="0" w:space="0" w:color="auto"/>
      </w:divBdr>
    </w:div>
    <w:div w:id="1186358894">
      <w:bodyDiv w:val="1"/>
      <w:marLeft w:val="0"/>
      <w:marRight w:val="0"/>
      <w:marTop w:val="0"/>
      <w:marBottom w:val="0"/>
      <w:divBdr>
        <w:top w:val="none" w:sz="0" w:space="0" w:color="auto"/>
        <w:left w:val="none" w:sz="0" w:space="0" w:color="auto"/>
        <w:bottom w:val="none" w:sz="0" w:space="0" w:color="auto"/>
        <w:right w:val="none" w:sz="0" w:space="0" w:color="auto"/>
      </w:divBdr>
    </w:div>
    <w:div w:id="1197158520">
      <w:bodyDiv w:val="1"/>
      <w:marLeft w:val="0"/>
      <w:marRight w:val="0"/>
      <w:marTop w:val="0"/>
      <w:marBottom w:val="0"/>
      <w:divBdr>
        <w:top w:val="none" w:sz="0" w:space="0" w:color="auto"/>
        <w:left w:val="none" w:sz="0" w:space="0" w:color="auto"/>
        <w:bottom w:val="none" w:sz="0" w:space="0" w:color="auto"/>
        <w:right w:val="none" w:sz="0" w:space="0" w:color="auto"/>
      </w:divBdr>
    </w:div>
    <w:div w:id="1217161396">
      <w:bodyDiv w:val="1"/>
      <w:marLeft w:val="0"/>
      <w:marRight w:val="0"/>
      <w:marTop w:val="0"/>
      <w:marBottom w:val="0"/>
      <w:divBdr>
        <w:top w:val="none" w:sz="0" w:space="0" w:color="auto"/>
        <w:left w:val="none" w:sz="0" w:space="0" w:color="auto"/>
        <w:bottom w:val="none" w:sz="0" w:space="0" w:color="auto"/>
        <w:right w:val="none" w:sz="0" w:space="0" w:color="auto"/>
      </w:divBdr>
    </w:div>
    <w:div w:id="1270893893">
      <w:bodyDiv w:val="1"/>
      <w:marLeft w:val="0"/>
      <w:marRight w:val="0"/>
      <w:marTop w:val="0"/>
      <w:marBottom w:val="0"/>
      <w:divBdr>
        <w:top w:val="none" w:sz="0" w:space="0" w:color="auto"/>
        <w:left w:val="none" w:sz="0" w:space="0" w:color="auto"/>
        <w:bottom w:val="none" w:sz="0" w:space="0" w:color="auto"/>
        <w:right w:val="none" w:sz="0" w:space="0" w:color="auto"/>
      </w:divBdr>
      <w:divsChild>
        <w:div w:id="69500669">
          <w:marLeft w:val="0"/>
          <w:marRight w:val="0"/>
          <w:marTop w:val="0"/>
          <w:marBottom w:val="0"/>
          <w:divBdr>
            <w:top w:val="none" w:sz="0" w:space="0" w:color="auto"/>
            <w:left w:val="none" w:sz="0" w:space="0" w:color="auto"/>
            <w:bottom w:val="none" w:sz="0" w:space="0" w:color="auto"/>
            <w:right w:val="none" w:sz="0" w:space="0" w:color="auto"/>
          </w:divBdr>
          <w:divsChild>
            <w:div w:id="1596596607">
              <w:marLeft w:val="0"/>
              <w:marRight w:val="0"/>
              <w:marTop w:val="0"/>
              <w:marBottom w:val="0"/>
              <w:divBdr>
                <w:top w:val="none" w:sz="0" w:space="0" w:color="auto"/>
                <w:left w:val="none" w:sz="0" w:space="0" w:color="auto"/>
                <w:bottom w:val="none" w:sz="0" w:space="0" w:color="auto"/>
                <w:right w:val="none" w:sz="0" w:space="0" w:color="auto"/>
              </w:divBdr>
              <w:divsChild>
                <w:div w:id="791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50277">
      <w:bodyDiv w:val="1"/>
      <w:marLeft w:val="0"/>
      <w:marRight w:val="0"/>
      <w:marTop w:val="0"/>
      <w:marBottom w:val="0"/>
      <w:divBdr>
        <w:top w:val="none" w:sz="0" w:space="0" w:color="auto"/>
        <w:left w:val="none" w:sz="0" w:space="0" w:color="auto"/>
        <w:bottom w:val="none" w:sz="0" w:space="0" w:color="auto"/>
        <w:right w:val="none" w:sz="0" w:space="0" w:color="auto"/>
      </w:divBdr>
    </w:div>
    <w:div w:id="1310327562">
      <w:bodyDiv w:val="1"/>
      <w:marLeft w:val="0"/>
      <w:marRight w:val="0"/>
      <w:marTop w:val="0"/>
      <w:marBottom w:val="0"/>
      <w:divBdr>
        <w:top w:val="none" w:sz="0" w:space="0" w:color="auto"/>
        <w:left w:val="none" w:sz="0" w:space="0" w:color="auto"/>
        <w:bottom w:val="none" w:sz="0" w:space="0" w:color="auto"/>
        <w:right w:val="none" w:sz="0" w:space="0" w:color="auto"/>
      </w:divBdr>
    </w:div>
    <w:div w:id="1339499573">
      <w:bodyDiv w:val="1"/>
      <w:marLeft w:val="0"/>
      <w:marRight w:val="0"/>
      <w:marTop w:val="0"/>
      <w:marBottom w:val="0"/>
      <w:divBdr>
        <w:top w:val="none" w:sz="0" w:space="0" w:color="auto"/>
        <w:left w:val="none" w:sz="0" w:space="0" w:color="auto"/>
        <w:bottom w:val="none" w:sz="0" w:space="0" w:color="auto"/>
        <w:right w:val="none" w:sz="0" w:space="0" w:color="auto"/>
      </w:divBdr>
      <w:divsChild>
        <w:div w:id="738594699">
          <w:marLeft w:val="0"/>
          <w:marRight w:val="0"/>
          <w:marTop w:val="0"/>
          <w:marBottom w:val="0"/>
          <w:divBdr>
            <w:top w:val="none" w:sz="0" w:space="0" w:color="auto"/>
            <w:left w:val="none" w:sz="0" w:space="0" w:color="auto"/>
            <w:bottom w:val="none" w:sz="0" w:space="0" w:color="auto"/>
            <w:right w:val="none" w:sz="0" w:space="0" w:color="auto"/>
          </w:divBdr>
          <w:divsChild>
            <w:div w:id="126550351">
              <w:marLeft w:val="0"/>
              <w:marRight w:val="0"/>
              <w:marTop w:val="0"/>
              <w:marBottom w:val="0"/>
              <w:divBdr>
                <w:top w:val="none" w:sz="0" w:space="0" w:color="auto"/>
                <w:left w:val="none" w:sz="0" w:space="0" w:color="auto"/>
                <w:bottom w:val="none" w:sz="0" w:space="0" w:color="auto"/>
                <w:right w:val="none" w:sz="0" w:space="0" w:color="auto"/>
              </w:divBdr>
              <w:divsChild>
                <w:div w:id="13404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5632">
      <w:bodyDiv w:val="1"/>
      <w:marLeft w:val="0"/>
      <w:marRight w:val="0"/>
      <w:marTop w:val="0"/>
      <w:marBottom w:val="0"/>
      <w:divBdr>
        <w:top w:val="none" w:sz="0" w:space="0" w:color="auto"/>
        <w:left w:val="none" w:sz="0" w:space="0" w:color="auto"/>
        <w:bottom w:val="none" w:sz="0" w:space="0" w:color="auto"/>
        <w:right w:val="none" w:sz="0" w:space="0" w:color="auto"/>
      </w:divBdr>
      <w:divsChild>
        <w:div w:id="935137767">
          <w:marLeft w:val="0"/>
          <w:marRight w:val="0"/>
          <w:marTop w:val="0"/>
          <w:marBottom w:val="0"/>
          <w:divBdr>
            <w:top w:val="none" w:sz="0" w:space="0" w:color="auto"/>
            <w:left w:val="none" w:sz="0" w:space="0" w:color="auto"/>
            <w:bottom w:val="none" w:sz="0" w:space="0" w:color="auto"/>
            <w:right w:val="none" w:sz="0" w:space="0" w:color="auto"/>
          </w:divBdr>
          <w:divsChild>
            <w:div w:id="101266437">
              <w:marLeft w:val="0"/>
              <w:marRight w:val="0"/>
              <w:marTop w:val="0"/>
              <w:marBottom w:val="0"/>
              <w:divBdr>
                <w:top w:val="none" w:sz="0" w:space="0" w:color="auto"/>
                <w:left w:val="none" w:sz="0" w:space="0" w:color="auto"/>
                <w:bottom w:val="none" w:sz="0" w:space="0" w:color="auto"/>
                <w:right w:val="none" w:sz="0" w:space="0" w:color="auto"/>
              </w:divBdr>
              <w:divsChild>
                <w:div w:id="7345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7209">
      <w:bodyDiv w:val="1"/>
      <w:marLeft w:val="0"/>
      <w:marRight w:val="0"/>
      <w:marTop w:val="0"/>
      <w:marBottom w:val="0"/>
      <w:divBdr>
        <w:top w:val="none" w:sz="0" w:space="0" w:color="auto"/>
        <w:left w:val="none" w:sz="0" w:space="0" w:color="auto"/>
        <w:bottom w:val="none" w:sz="0" w:space="0" w:color="auto"/>
        <w:right w:val="none" w:sz="0" w:space="0" w:color="auto"/>
      </w:divBdr>
      <w:divsChild>
        <w:div w:id="189537474">
          <w:marLeft w:val="0"/>
          <w:marRight w:val="0"/>
          <w:marTop w:val="0"/>
          <w:marBottom w:val="0"/>
          <w:divBdr>
            <w:top w:val="none" w:sz="0" w:space="0" w:color="auto"/>
            <w:left w:val="none" w:sz="0" w:space="0" w:color="auto"/>
            <w:bottom w:val="none" w:sz="0" w:space="0" w:color="auto"/>
            <w:right w:val="none" w:sz="0" w:space="0" w:color="auto"/>
          </w:divBdr>
          <w:divsChild>
            <w:div w:id="866531279">
              <w:marLeft w:val="0"/>
              <w:marRight w:val="0"/>
              <w:marTop w:val="0"/>
              <w:marBottom w:val="0"/>
              <w:divBdr>
                <w:top w:val="none" w:sz="0" w:space="0" w:color="auto"/>
                <w:left w:val="none" w:sz="0" w:space="0" w:color="auto"/>
                <w:bottom w:val="none" w:sz="0" w:space="0" w:color="auto"/>
                <w:right w:val="none" w:sz="0" w:space="0" w:color="auto"/>
              </w:divBdr>
              <w:divsChild>
                <w:div w:id="17290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8763">
      <w:bodyDiv w:val="1"/>
      <w:marLeft w:val="0"/>
      <w:marRight w:val="0"/>
      <w:marTop w:val="0"/>
      <w:marBottom w:val="0"/>
      <w:divBdr>
        <w:top w:val="none" w:sz="0" w:space="0" w:color="auto"/>
        <w:left w:val="none" w:sz="0" w:space="0" w:color="auto"/>
        <w:bottom w:val="none" w:sz="0" w:space="0" w:color="auto"/>
        <w:right w:val="none" w:sz="0" w:space="0" w:color="auto"/>
      </w:divBdr>
      <w:divsChild>
        <w:div w:id="280379442">
          <w:marLeft w:val="0"/>
          <w:marRight w:val="0"/>
          <w:marTop w:val="0"/>
          <w:marBottom w:val="0"/>
          <w:divBdr>
            <w:top w:val="none" w:sz="0" w:space="0" w:color="auto"/>
            <w:left w:val="none" w:sz="0" w:space="0" w:color="auto"/>
            <w:bottom w:val="none" w:sz="0" w:space="0" w:color="auto"/>
            <w:right w:val="none" w:sz="0" w:space="0" w:color="auto"/>
          </w:divBdr>
          <w:divsChild>
            <w:div w:id="719551620">
              <w:marLeft w:val="0"/>
              <w:marRight w:val="0"/>
              <w:marTop w:val="0"/>
              <w:marBottom w:val="0"/>
              <w:divBdr>
                <w:top w:val="none" w:sz="0" w:space="0" w:color="auto"/>
                <w:left w:val="none" w:sz="0" w:space="0" w:color="auto"/>
                <w:bottom w:val="none" w:sz="0" w:space="0" w:color="auto"/>
                <w:right w:val="none" w:sz="0" w:space="0" w:color="auto"/>
              </w:divBdr>
              <w:divsChild>
                <w:div w:id="6161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3322">
      <w:bodyDiv w:val="1"/>
      <w:marLeft w:val="0"/>
      <w:marRight w:val="0"/>
      <w:marTop w:val="0"/>
      <w:marBottom w:val="0"/>
      <w:divBdr>
        <w:top w:val="none" w:sz="0" w:space="0" w:color="auto"/>
        <w:left w:val="none" w:sz="0" w:space="0" w:color="auto"/>
        <w:bottom w:val="none" w:sz="0" w:space="0" w:color="auto"/>
        <w:right w:val="none" w:sz="0" w:space="0" w:color="auto"/>
      </w:divBdr>
      <w:divsChild>
        <w:div w:id="1608344685">
          <w:marLeft w:val="0"/>
          <w:marRight w:val="0"/>
          <w:marTop w:val="0"/>
          <w:marBottom w:val="0"/>
          <w:divBdr>
            <w:top w:val="none" w:sz="0" w:space="0" w:color="auto"/>
            <w:left w:val="none" w:sz="0" w:space="0" w:color="auto"/>
            <w:bottom w:val="none" w:sz="0" w:space="0" w:color="auto"/>
            <w:right w:val="none" w:sz="0" w:space="0" w:color="auto"/>
          </w:divBdr>
          <w:divsChild>
            <w:div w:id="1218469667">
              <w:marLeft w:val="0"/>
              <w:marRight w:val="0"/>
              <w:marTop w:val="0"/>
              <w:marBottom w:val="0"/>
              <w:divBdr>
                <w:top w:val="none" w:sz="0" w:space="0" w:color="auto"/>
                <w:left w:val="none" w:sz="0" w:space="0" w:color="auto"/>
                <w:bottom w:val="none" w:sz="0" w:space="0" w:color="auto"/>
                <w:right w:val="none" w:sz="0" w:space="0" w:color="auto"/>
              </w:divBdr>
              <w:divsChild>
                <w:div w:id="4773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4531">
      <w:bodyDiv w:val="1"/>
      <w:marLeft w:val="0"/>
      <w:marRight w:val="0"/>
      <w:marTop w:val="0"/>
      <w:marBottom w:val="0"/>
      <w:divBdr>
        <w:top w:val="none" w:sz="0" w:space="0" w:color="auto"/>
        <w:left w:val="none" w:sz="0" w:space="0" w:color="auto"/>
        <w:bottom w:val="none" w:sz="0" w:space="0" w:color="auto"/>
        <w:right w:val="none" w:sz="0" w:space="0" w:color="auto"/>
      </w:divBdr>
    </w:div>
    <w:div w:id="1576162735">
      <w:bodyDiv w:val="1"/>
      <w:marLeft w:val="0"/>
      <w:marRight w:val="0"/>
      <w:marTop w:val="0"/>
      <w:marBottom w:val="0"/>
      <w:divBdr>
        <w:top w:val="none" w:sz="0" w:space="0" w:color="auto"/>
        <w:left w:val="none" w:sz="0" w:space="0" w:color="auto"/>
        <w:bottom w:val="none" w:sz="0" w:space="0" w:color="auto"/>
        <w:right w:val="none" w:sz="0" w:space="0" w:color="auto"/>
      </w:divBdr>
      <w:divsChild>
        <w:div w:id="2087141379">
          <w:marLeft w:val="0"/>
          <w:marRight w:val="0"/>
          <w:marTop w:val="0"/>
          <w:marBottom w:val="0"/>
          <w:divBdr>
            <w:top w:val="none" w:sz="0" w:space="0" w:color="auto"/>
            <w:left w:val="none" w:sz="0" w:space="0" w:color="auto"/>
            <w:bottom w:val="none" w:sz="0" w:space="0" w:color="auto"/>
            <w:right w:val="none" w:sz="0" w:space="0" w:color="auto"/>
          </w:divBdr>
          <w:divsChild>
            <w:div w:id="545331999">
              <w:marLeft w:val="0"/>
              <w:marRight w:val="0"/>
              <w:marTop w:val="0"/>
              <w:marBottom w:val="0"/>
              <w:divBdr>
                <w:top w:val="none" w:sz="0" w:space="0" w:color="auto"/>
                <w:left w:val="none" w:sz="0" w:space="0" w:color="auto"/>
                <w:bottom w:val="none" w:sz="0" w:space="0" w:color="auto"/>
                <w:right w:val="none" w:sz="0" w:space="0" w:color="auto"/>
              </w:divBdr>
              <w:divsChild>
                <w:div w:id="14913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6596">
      <w:bodyDiv w:val="1"/>
      <w:marLeft w:val="0"/>
      <w:marRight w:val="0"/>
      <w:marTop w:val="0"/>
      <w:marBottom w:val="0"/>
      <w:divBdr>
        <w:top w:val="none" w:sz="0" w:space="0" w:color="auto"/>
        <w:left w:val="none" w:sz="0" w:space="0" w:color="auto"/>
        <w:bottom w:val="none" w:sz="0" w:space="0" w:color="auto"/>
        <w:right w:val="none" w:sz="0" w:space="0" w:color="auto"/>
      </w:divBdr>
      <w:divsChild>
        <w:div w:id="532116541">
          <w:marLeft w:val="0"/>
          <w:marRight w:val="0"/>
          <w:marTop w:val="0"/>
          <w:marBottom w:val="0"/>
          <w:divBdr>
            <w:top w:val="none" w:sz="0" w:space="0" w:color="auto"/>
            <w:left w:val="none" w:sz="0" w:space="0" w:color="auto"/>
            <w:bottom w:val="none" w:sz="0" w:space="0" w:color="auto"/>
            <w:right w:val="none" w:sz="0" w:space="0" w:color="auto"/>
          </w:divBdr>
          <w:divsChild>
            <w:div w:id="260995001">
              <w:marLeft w:val="0"/>
              <w:marRight w:val="0"/>
              <w:marTop w:val="0"/>
              <w:marBottom w:val="0"/>
              <w:divBdr>
                <w:top w:val="none" w:sz="0" w:space="0" w:color="auto"/>
                <w:left w:val="none" w:sz="0" w:space="0" w:color="auto"/>
                <w:bottom w:val="none" w:sz="0" w:space="0" w:color="auto"/>
                <w:right w:val="none" w:sz="0" w:space="0" w:color="auto"/>
              </w:divBdr>
              <w:divsChild>
                <w:div w:id="1175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4787">
      <w:bodyDiv w:val="1"/>
      <w:marLeft w:val="0"/>
      <w:marRight w:val="0"/>
      <w:marTop w:val="0"/>
      <w:marBottom w:val="0"/>
      <w:divBdr>
        <w:top w:val="none" w:sz="0" w:space="0" w:color="auto"/>
        <w:left w:val="none" w:sz="0" w:space="0" w:color="auto"/>
        <w:bottom w:val="none" w:sz="0" w:space="0" w:color="auto"/>
        <w:right w:val="none" w:sz="0" w:space="0" w:color="auto"/>
      </w:divBdr>
    </w:div>
    <w:div w:id="1759860033">
      <w:bodyDiv w:val="1"/>
      <w:marLeft w:val="0"/>
      <w:marRight w:val="0"/>
      <w:marTop w:val="0"/>
      <w:marBottom w:val="0"/>
      <w:divBdr>
        <w:top w:val="none" w:sz="0" w:space="0" w:color="auto"/>
        <w:left w:val="none" w:sz="0" w:space="0" w:color="auto"/>
        <w:bottom w:val="none" w:sz="0" w:space="0" w:color="auto"/>
        <w:right w:val="none" w:sz="0" w:space="0" w:color="auto"/>
      </w:divBdr>
    </w:div>
    <w:div w:id="1811752399">
      <w:bodyDiv w:val="1"/>
      <w:marLeft w:val="0"/>
      <w:marRight w:val="0"/>
      <w:marTop w:val="0"/>
      <w:marBottom w:val="0"/>
      <w:divBdr>
        <w:top w:val="none" w:sz="0" w:space="0" w:color="auto"/>
        <w:left w:val="none" w:sz="0" w:space="0" w:color="auto"/>
        <w:bottom w:val="none" w:sz="0" w:space="0" w:color="auto"/>
        <w:right w:val="none" w:sz="0" w:space="0" w:color="auto"/>
      </w:divBdr>
    </w:div>
    <w:div w:id="1811943124">
      <w:bodyDiv w:val="1"/>
      <w:marLeft w:val="0"/>
      <w:marRight w:val="0"/>
      <w:marTop w:val="0"/>
      <w:marBottom w:val="0"/>
      <w:divBdr>
        <w:top w:val="none" w:sz="0" w:space="0" w:color="auto"/>
        <w:left w:val="none" w:sz="0" w:space="0" w:color="auto"/>
        <w:bottom w:val="none" w:sz="0" w:space="0" w:color="auto"/>
        <w:right w:val="none" w:sz="0" w:space="0" w:color="auto"/>
      </w:divBdr>
      <w:divsChild>
        <w:div w:id="421265554">
          <w:marLeft w:val="0"/>
          <w:marRight w:val="0"/>
          <w:marTop w:val="0"/>
          <w:marBottom w:val="0"/>
          <w:divBdr>
            <w:top w:val="none" w:sz="0" w:space="0" w:color="auto"/>
            <w:left w:val="none" w:sz="0" w:space="0" w:color="auto"/>
            <w:bottom w:val="none" w:sz="0" w:space="0" w:color="auto"/>
            <w:right w:val="none" w:sz="0" w:space="0" w:color="auto"/>
          </w:divBdr>
          <w:divsChild>
            <w:div w:id="2097630200">
              <w:marLeft w:val="0"/>
              <w:marRight w:val="0"/>
              <w:marTop w:val="0"/>
              <w:marBottom w:val="0"/>
              <w:divBdr>
                <w:top w:val="none" w:sz="0" w:space="0" w:color="auto"/>
                <w:left w:val="none" w:sz="0" w:space="0" w:color="auto"/>
                <w:bottom w:val="none" w:sz="0" w:space="0" w:color="auto"/>
                <w:right w:val="none" w:sz="0" w:space="0" w:color="auto"/>
              </w:divBdr>
              <w:divsChild>
                <w:div w:id="813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004">
      <w:bodyDiv w:val="1"/>
      <w:marLeft w:val="0"/>
      <w:marRight w:val="0"/>
      <w:marTop w:val="0"/>
      <w:marBottom w:val="0"/>
      <w:divBdr>
        <w:top w:val="none" w:sz="0" w:space="0" w:color="auto"/>
        <w:left w:val="none" w:sz="0" w:space="0" w:color="auto"/>
        <w:bottom w:val="none" w:sz="0" w:space="0" w:color="auto"/>
        <w:right w:val="none" w:sz="0" w:space="0" w:color="auto"/>
      </w:divBdr>
      <w:divsChild>
        <w:div w:id="736900102">
          <w:marLeft w:val="0"/>
          <w:marRight w:val="0"/>
          <w:marTop w:val="0"/>
          <w:marBottom w:val="0"/>
          <w:divBdr>
            <w:top w:val="none" w:sz="0" w:space="0" w:color="auto"/>
            <w:left w:val="none" w:sz="0" w:space="0" w:color="auto"/>
            <w:bottom w:val="none" w:sz="0" w:space="0" w:color="auto"/>
            <w:right w:val="none" w:sz="0" w:space="0" w:color="auto"/>
          </w:divBdr>
          <w:divsChild>
            <w:div w:id="1735353032">
              <w:marLeft w:val="0"/>
              <w:marRight w:val="0"/>
              <w:marTop w:val="0"/>
              <w:marBottom w:val="0"/>
              <w:divBdr>
                <w:top w:val="none" w:sz="0" w:space="0" w:color="auto"/>
                <w:left w:val="none" w:sz="0" w:space="0" w:color="auto"/>
                <w:bottom w:val="none" w:sz="0" w:space="0" w:color="auto"/>
                <w:right w:val="none" w:sz="0" w:space="0" w:color="auto"/>
              </w:divBdr>
              <w:divsChild>
                <w:div w:id="2065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5893">
      <w:bodyDiv w:val="1"/>
      <w:marLeft w:val="0"/>
      <w:marRight w:val="0"/>
      <w:marTop w:val="0"/>
      <w:marBottom w:val="0"/>
      <w:divBdr>
        <w:top w:val="none" w:sz="0" w:space="0" w:color="auto"/>
        <w:left w:val="none" w:sz="0" w:space="0" w:color="auto"/>
        <w:bottom w:val="none" w:sz="0" w:space="0" w:color="auto"/>
        <w:right w:val="none" w:sz="0" w:space="0" w:color="auto"/>
      </w:divBdr>
      <w:divsChild>
        <w:div w:id="1697265631">
          <w:marLeft w:val="0"/>
          <w:marRight w:val="0"/>
          <w:marTop w:val="0"/>
          <w:marBottom w:val="0"/>
          <w:divBdr>
            <w:top w:val="none" w:sz="0" w:space="0" w:color="auto"/>
            <w:left w:val="none" w:sz="0" w:space="0" w:color="auto"/>
            <w:bottom w:val="none" w:sz="0" w:space="0" w:color="auto"/>
            <w:right w:val="none" w:sz="0" w:space="0" w:color="auto"/>
          </w:divBdr>
          <w:divsChild>
            <w:div w:id="1065299840">
              <w:marLeft w:val="0"/>
              <w:marRight w:val="0"/>
              <w:marTop w:val="0"/>
              <w:marBottom w:val="0"/>
              <w:divBdr>
                <w:top w:val="none" w:sz="0" w:space="0" w:color="auto"/>
                <w:left w:val="none" w:sz="0" w:space="0" w:color="auto"/>
                <w:bottom w:val="none" w:sz="0" w:space="0" w:color="auto"/>
                <w:right w:val="none" w:sz="0" w:space="0" w:color="auto"/>
              </w:divBdr>
              <w:divsChild>
                <w:div w:id="672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59476">
      <w:bodyDiv w:val="1"/>
      <w:marLeft w:val="0"/>
      <w:marRight w:val="0"/>
      <w:marTop w:val="0"/>
      <w:marBottom w:val="0"/>
      <w:divBdr>
        <w:top w:val="none" w:sz="0" w:space="0" w:color="auto"/>
        <w:left w:val="none" w:sz="0" w:space="0" w:color="auto"/>
        <w:bottom w:val="none" w:sz="0" w:space="0" w:color="auto"/>
        <w:right w:val="none" w:sz="0" w:space="0" w:color="auto"/>
      </w:divBdr>
    </w:div>
    <w:div w:id="1979022006">
      <w:bodyDiv w:val="1"/>
      <w:marLeft w:val="0"/>
      <w:marRight w:val="0"/>
      <w:marTop w:val="0"/>
      <w:marBottom w:val="0"/>
      <w:divBdr>
        <w:top w:val="none" w:sz="0" w:space="0" w:color="auto"/>
        <w:left w:val="none" w:sz="0" w:space="0" w:color="auto"/>
        <w:bottom w:val="none" w:sz="0" w:space="0" w:color="auto"/>
        <w:right w:val="none" w:sz="0" w:space="0" w:color="auto"/>
      </w:divBdr>
      <w:divsChild>
        <w:div w:id="1348410873">
          <w:marLeft w:val="0"/>
          <w:marRight w:val="0"/>
          <w:marTop w:val="0"/>
          <w:marBottom w:val="0"/>
          <w:divBdr>
            <w:top w:val="none" w:sz="0" w:space="0" w:color="auto"/>
            <w:left w:val="none" w:sz="0" w:space="0" w:color="auto"/>
            <w:bottom w:val="none" w:sz="0" w:space="0" w:color="auto"/>
            <w:right w:val="none" w:sz="0" w:space="0" w:color="auto"/>
          </w:divBdr>
          <w:divsChild>
            <w:div w:id="1576937790">
              <w:marLeft w:val="0"/>
              <w:marRight w:val="0"/>
              <w:marTop w:val="0"/>
              <w:marBottom w:val="0"/>
              <w:divBdr>
                <w:top w:val="none" w:sz="0" w:space="0" w:color="auto"/>
                <w:left w:val="none" w:sz="0" w:space="0" w:color="auto"/>
                <w:bottom w:val="none" w:sz="0" w:space="0" w:color="auto"/>
                <w:right w:val="none" w:sz="0" w:space="0" w:color="auto"/>
              </w:divBdr>
              <w:divsChild>
                <w:div w:id="18559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5183">
      <w:bodyDiv w:val="1"/>
      <w:marLeft w:val="0"/>
      <w:marRight w:val="0"/>
      <w:marTop w:val="0"/>
      <w:marBottom w:val="0"/>
      <w:divBdr>
        <w:top w:val="none" w:sz="0" w:space="0" w:color="auto"/>
        <w:left w:val="none" w:sz="0" w:space="0" w:color="auto"/>
        <w:bottom w:val="none" w:sz="0" w:space="0" w:color="auto"/>
        <w:right w:val="none" w:sz="0" w:space="0" w:color="auto"/>
      </w:divBdr>
    </w:div>
    <w:div w:id="2022930607">
      <w:bodyDiv w:val="1"/>
      <w:marLeft w:val="0"/>
      <w:marRight w:val="0"/>
      <w:marTop w:val="0"/>
      <w:marBottom w:val="0"/>
      <w:divBdr>
        <w:top w:val="none" w:sz="0" w:space="0" w:color="auto"/>
        <w:left w:val="none" w:sz="0" w:space="0" w:color="auto"/>
        <w:bottom w:val="none" w:sz="0" w:space="0" w:color="auto"/>
        <w:right w:val="none" w:sz="0" w:space="0" w:color="auto"/>
      </w:divBdr>
      <w:divsChild>
        <w:div w:id="602498085">
          <w:marLeft w:val="0"/>
          <w:marRight w:val="0"/>
          <w:marTop w:val="0"/>
          <w:marBottom w:val="0"/>
          <w:divBdr>
            <w:top w:val="none" w:sz="0" w:space="0" w:color="auto"/>
            <w:left w:val="none" w:sz="0" w:space="0" w:color="auto"/>
            <w:bottom w:val="none" w:sz="0" w:space="0" w:color="auto"/>
            <w:right w:val="none" w:sz="0" w:space="0" w:color="auto"/>
          </w:divBdr>
          <w:divsChild>
            <w:div w:id="1226449840">
              <w:marLeft w:val="0"/>
              <w:marRight w:val="0"/>
              <w:marTop w:val="0"/>
              <w:marBottom w:val="0"/>
              <w:divBdr>
                <w:top w:val="none" w:sz="0" w:space="0" w:color="auto"/>
                <w:left w:val="none" w:sz="0" w:space="0" w:color="auto"/>
                <w:bottom w:val="none" w:sz="0" w:space="0" w:color="auto"/>
                <w:right w:val="none" w:sz="0" w:space="0" w:color="auto"/>
              </w:divBdr>
              <w:divsChild>
                <w:div w:id="3178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0966">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sChild>
        <w:div w:id="2096851959">
          <w:marLeft w:val="0"/>
          <w:marRight w:val="0"/>
          <w:marTop w:val="0"/>
          <w:marBottom w:val="0"/>
          <w:divBdr>
            <w:top w:val="none" w:sz="0" w:space="0" w:color="auto"/>
            <w:left w:val="none" w:sz="0" w:space="0" w:color="auto"/>
            <w:bottom w:val="none" w:sz="0" w:space="0" w:color="auto"/>
            <w:right w:val="none" w:sz="0" w:space="0" w:color="auto"/>
          </w:divBdr>
          <w:divsChild>
            <w:div w:id="1744378671">
              <w:marLeft w:val="0"/>
              <w:marRight w:val="0"/>
              <w:marTop w:val="0"/>
              <w:marBottom w:val="0"/>
              <w:divBdr>
                <w:top w:val="none" w:sz="0" w:space="0" w:color="auto"/>
                <w:left w:val="none" w:sz="0" w:space="0" w:color="auto"/>
                <w:bottom w:val="none" w:sz="0" w:space="0" w:color="auto"/>
                <w:right w:val="none" w:sz="0" w:space="0" w:color="auto"/>
              </w:divBdr>
              <w:divsChild>
                <w:div w:id="641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11575">
      <w:bodyDiv w:val="1"/>
      <w:marLeft w:val="0"/>
      <w:marRight w:val="0"/>
      <w:marTop w:val="0"/>
      <w:marBottom w:val="0"/>
      <w:divBdr>
        <w:top w:val="none" w:sz="0" w:space="0" w:color="auto"/>
        <w:left w:val="none" w:sz="0" w:space="0" w:color="auto"/>
        <w:bottom w:val="none" w:sz="0" w:space="0" w:color="auto"/>
        <w:right w:val="none" w:sz="0" w:space="0" w:color="auto"/>
      </w:divBdr>
    </w:div>
    <w:div w:id="2103186587">
      <w:bodyDiv w:val="1"/>
      <w:marLeft w:val="0"/>
      <w:marRight w:val="0"/>
      <w:marTop w:val="0"/>
      <w:marBottom w:val="0"/>
      <w:divBdr>
        <w:top w:val="none" w:sz="0" w:space="0" w:color="auto"/>
        <w:left w:val="none" w:sz="0" w:space="0" w:color="auto"/>
        <w:bottom w:val="none" w:sz="0" w:space="0" w:color="auto"/>
        <w:right w:val="none" w:sz="0" w:space="0" w:color="auto"/>
      </w:divBdr>
      <w:divsChild>
        <w:div w:id="129712683">
          <w:marLeft w:val="0"/>
          <w:marRight w:val="0"/>
          <w:marTop w:val="0"/>
          <w:marBottom w:val="0"/>
          <w:divBdr>
            <w:top w:val="none" w:sz="0" w:space="0" w:color="auto"/>
            <w:left w:val="none" w:sz="0" w:space="0" w:color="auto"/>
            <w:bottom w:val="none" w:sz="0" w:space="0" w:color="auto"/>
            <w:right w:val="none" w:sz="0" w:space="0" w:color="auto"/>
          </w:divBdr>
          <w:divsChild>
            <w:div w:id="1243687025">
              <w:marLeft w:val="0"/>
              <w:marRight w:val="0"/>
              <w:marTop w:val="0"/>
              <w:marBottom w:val="0"/>
              <w:divBdr>
                <w:top w:val="none" w:sz="0" w:space="0" w:color="auto"/>
                <w:left w:val="none" w:sz="0" w:space="0" w:color="auto"/>
                <w:bottom w:val="none" w:sz="0" w:space="0" w:color="auto"/>
                <w:right w:val="none" w:sz="0" w:space="0" w:color="auto"/>
              </w:divBdr>
              <w:divsChild>
                <w:div w:id="439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A/RES/64/142" TargetMode="External"/><Relationship Id="rId2" Type="http://schemas.openxmlformats.org/officeDocument/2006/relationships/hyperlink" Target="https://undocs.org/en/A/RES/64/142" TargetMode="External"/><Relationship Id="rId1" Type="http://schemas.openxmlformats.org/officeDocument/2006/relationships/hyperlink" Target="https://www.oas.org/es/cidh/decisiones/pdf/2016/mc540-15-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8T01:54:59.296"/>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441C-58D1-7749-B8E4-19E2674D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18327</Words>
  <Characters>104469</Characters>
  <Application>Microsoft Office Word</Application>
  <DocSecurity>0</DocSecurity>
  <Lines>870</Lines>
  <Paragraphs>245</Paragraphs>
  <ScaleCrop>false</ScaleCrop>
  <Company/>
  <LinksUpToDate>false</LinksUpToDate>
  <CharactersWithSpaces>122551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2022-10-24T23:14:00Z</dcterms:created>
  <dcterms:modified xsi:type="dcterms:W3CDTF">2022-10-24T23:14:00Z</dcterms:modified>
</cp:coreProperties>
</file>