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1A5" w:rsidRPr="001D375E" w:rsidRDefault="009331A5" w:rsidP="00405AD5">
      <w:pPr>
        <w:spacing w:after="0" w:line="240" w:lineRule="auto"/>
        <w:rPr>
          <w:rFonts w:asciiTheme="majorHAnsi" w:hAnsiTheme="majorHAnsi"/>
          <w:sz w:val="20"/>
          <w:szCs w:val="20"/>
        </w:rPr>
      </w:pPr>
      <w:bookmarkStart w:id="0" w:name="_GoBack"/>
      <w:bookmarkEnd w:id="0"/>
    </w:p>
    <w:p w:rsidR="004F2C3A" w:rsidRPr="001D375E" w:rsidRDefault="004F2C3A" w:rsidP="00405AD5">
      <w:pPr>
        <w:spacing w:after="0" w:line="240" w:lineRule="auto"/>
        <w:rPr>
          <w:rFonts w:asciiTheme="majorHAnsi" w:hAnsiTheme="majorHAnsi"/>
          <w:sz w:val="20"/>
          <w:szCs w:val="20"/>
        </w:rPr>
      </w:pPr>
    </w:p>
    <w:p w:rsidR="001D375E" w:rsidRDefault="001D375E" w:rsidP="00405AD5">
      <w:pPr>
        <w:spacing w:after="0" w:line="240" w:lineRule="auto"/>
        <w:jc w:val="center"/>
        <w:rPr>
          <w:rFonts w:asciiTheme="majorHAnsi" w:eastAsia="Times New Roman" w:hAnsiTheme="majorHAnsi"/>
          <w:b/>
          <w:bCs/>
          <w:kern w:val="32"/>
          <w:sz w:val="32"/>
          <w:szCs w:val="32"/>
        </w:rPr>
      </w:pPr>
      <w:r w:rsidRPr="001D375E">
        <w:rPr>
          <w:rFonts w:asciiTheme="majorHAnsi" w:eastAsia="Times New Roman" w:hAnsiTheme="majorHAnsi"/>
          <w:b/>
          <w:bCs/>
          <w:kern w:val="32"/>
          <w:sz w:val="32"/>
          <w:szCs w:val="32"/>
        </w:rPr>
        <w:t>CHAPTER VI</w:t>
      </w:r>
      <w:r w:rsidRPr="001D375E">
        <w:rPr>
          <w:rFonts w:asciiTheme="majorHAnsi" w:eastAsia="Times New Roman" w:hAnsiTheme="majorHAnsi"/>
          <w:b/>
          <w:bCs/>
          <w:kern w:val="32"/>
          <w:sz w:val="32"/>
          <w:szCs w:val="32"/>
        </w:rPr>
        <w:br/>
        <w:t xml:space="preserve">INSTITUTIONAL DEVELOPMENT AND </w:t>
      </w:r>
    </w:p>
    <w:p w:rsidR="001D375E" w:rsidRPr="001D375E" w:rsidRDefault="001D375E" w:rsidP="00405AD5">
      <w:pPr>
        <w:spacing w:after="0" w:line="240" w:lineRule="auto"/>
        <w:jc w:val="center"/>
        <w:rPr>
          <w:rFonts w:asciiTheme="majorHAnsi" w:eastAsia="Times New Roman" w:hAnsiTheme="majorHAnsi"/>
          <w:b/>
          <w:bCs/>
          <w:kern w:val="32"/>
          <w:sz w:val="32"/>
          <w:szCs w:val="32"/>
        </w:rPr>
      </w:pPr>
      <w:r w:rsidRPr="001D375E">
        <w:rPr>
          <w:rFonts w:asciiTheme="majorHAnsi" w:eastAsia="Times New Roman" w:hAnsiTheme="majorHAnsi"/>
          <w:b/>
          <w:bCs/>
          <w:kern w:val="32"/>
          <w:sz w:val="32"/>
          <w:szCs w:val="32"/>
        </w:rPr>
        <w:t>ADMINISTRATIVE AFFAIRS</w:t>
      </w:r>
    </w:p>
    <w:p w:rsidR="0048417D" w:rsidRPr="001D375E" w:rsidRDefault="0048417D" w:rsidP="00405AD5">
      <w:pPr>
        <w:spacing w:after="0" w:line="240" w:lineRule="auto"/>
        <w:jc w:val="both"/>
        <w:rPr>
          <w:rFonts w:asciiTheme="majorHAnsi" w:hAnsiTheme="majorHAnsi" w:cs="Calibri"/>
          <w:sz w:val="20"/>
          <w:szCs w:val="20"/>
        </w:rPr>
      </w:pPr>
    </w:p>
    <w:p w:rsidR="0048417D" w:rsidRPr="001D375E" w:rsidRDefault="0048417D" w:rsidP="00405AD5">
      <w:pPr>
        <w:spacing w:after="0" w:line="240" w:lineRule="auto"/>
        <w:jc w:val="both"/>
        <w:rPr>
          <w:rFonts w:asciiTheme="majorHAnsi" w:hAnsiTheme="majorHAnsi" w:cs="Calibri"/>
          <w:sz w:val="20"/>
          <w:szCs w:val="20"/>
        </w:rPr>
      </w:pPr>
    </w:p>
    <w:p w:rsidR="001D375E" w:rsidRPr="003526D4" w:rsidRDefault="001D375E" w:rsidP="00405AD5">
      <w:pPr>
        <w:pStyle w:val="Heading2"/>
        <w:rPr>
          <w:lang w:val="en-US"/>
        </w:rPr>
      </w:pPr>
      <w:r w:rsidRPr="003526D4">
        <w:rPr>
          <w:lang w:val="en-US"/>
        </w:rPr>
        <w:t>Structure and Personnel of the IACHR</w:t>
      </w:r>
    </w:p>
    <w:p w:rsidR="0048417D" w:rsidRPr="001D375E" w:rsidRDefault="0048417D" w:rsidP="00405AD5">
      <w:pPr>
        <w:pStyle w:val="ListParagraph"/>
        <w:ind w:left="1080"/>
        <w:jc w:val="both"/>
        <w:rPr>
          <w:rFonts w:asciiTheme="majorHAnsi" w:hAnsiTheme="majorHAnsi" w:cs="Calibri"/>
          <w:sz w:val="20"/>
          <w:szCs w:val="20"/>
          <w:u w:val="single"/>
        </w:rPr>
      </w:pPr>
    </w:p>
    <w:p w:rsidR="0048417D" w:rsidRPr="001D375E" w:rsidRDefault="001D375E" w:rsidP="00405AD5">
      <w:pPr>
        <w:pStyle w:val="ListParagraph"/>
        <w:numPr>
          <w:ilvl w:val="0"/>
          <w:numId w:val="9"/>
        </w:numPr>
        <w:ind w:left="0" w:firstLine="720"/>
        <w:jc w:val="both"/>
        <w:rPr>
          <w:rFonts w:asciiTheme="majorHAnsi" w:hAnsiTheme="majorHAnsi" w:cs="Calibri"/>
          <w:sz w:val="20"/>
          <w:szCs w:val="20"/>
        </w:rPr>
      </w:pPr>
      <w:r>
        <w:rPr>
          <w:rFonts w:asciiTheme="majorHAnsi" w:hAnsiTheme="majorHAnsi" w:cs="Calibri"/>
          <w:sz w:val="20"/>
          <w:szCs w:val="20"/>
        </w:rPr>
        <w:t>During its 153</w:t>
      </w:r>
      <w:r w:rsidRPr="001D375E">
        <w:rPr>
          <w:rFonts w:asciiTheme="majorHAnsi" w:hAnsiTheme="majorHAnsi" w:cs="Calibri"/>
          <w:sz w:val="20"/>
          <w:szCs w:val="20"/>
          <w:vertAlign w:val="superscript"/>
        </w:rPr>
        <w:t>rd</w:t>
      </w:r>
      <w:r w:rsidR="0070285C" w:rsidRPr="001D375E">
        <w:rPr>
          <w:rFonts w:asciiTheme="majorHAnsi" w:hAnsiTheme="majorHAnsi" w:cs="Calibri"/>
          <w:sz w:val="20"/>
          <w:szCs w:val="20"/>
        </w:rPr>
        <w:t xml:space="preserve"> </w:t>
      </w:r>
      <w:r>
        <w:rPr>
          <w:rFonts w:asciiTheme="majorHAnsi" w:hAnsiTheme="majorHAnsi" w:cs="Calibri"/>
          <w:sz w:val="20"/>
          <w:szCs w:val="20"/>
        </w:rPr>
        <w:t>regular session</w:t>
      </w:r>
      <w:r w:rsidR="0048417D" w:rsidRPr="001D375E">
        <w:rPr>
          <w:rFonts w:asciiTheme="majorHAnsi" w:hAnsiTheme="majorHAnsi" w:cs="Calibri"/>
          <w:sz w:val="20"/>
          <w:szCs w:val="20"/>
        </w:rPr>
        <w:t xml:space="preserve">, </w:t>
      </w:r>
      <w:r>
        <w:rPr>
          <w:rFonts w:asciiTheme="majorHAnsi" w:hAnsiTheme="majorHAnsi" w:cs="Calibri"/>
          <w:sz w:val="20"/>
          <w:szCs w:val="20"/>
        </w:rPr>
        <w:t>the Commission</w:t>
      </w:r>
      <w:r w:rsidR="0048417D" w:rsidRPr="001D375E">
        <w:rPr>
          <w:rFonts w:asciiTheme="majorHAnsi" w:hAnsiTheme="majorHAnsi" w:cs="Calibri"/>
          <w:sz w:val="20"/>
          <w:szCs w:val="20"/>
        </w:rPr>
        <w:t xml:space="preserve"> </w:t>
      </w:r>
      <w:r>
        <w:rPr>
          <w:rFonts w:asciiTheme="majorHAnsi" w:hAnsiTheme="majorHAnsi" w:cs="Calibri"/>
          <w:sz w:val="20"/>
          <w:szCs w:val="20"/>
        </w:rPr>
        <w:t>approved the new structure of</w:t>
      </w:r>
      <w:r w:rsidR="0048417D" w:rsidRPr="001D375E">
        <w:rPr>
          <w:rFonts w:asciiTheme="majorHAnsi" w:hAnsiTheme="majorHAnsi" w:cs="Calibri"/>
          <w:sz w:val="20"/>
          <w:szCs w:val="20"/>
        </w:rPr>
        <w:t xml:space="preserve"> </w:t>
      </w:r>
      <w:r>
        <w:rPr>
          <w:rFonts w:asciiTheme="majorHAnsi" w:hAnsiTheme="majorHAnsi" w:cs="Calibri"/>
          <w:sz w:val="20"/>
          <w:szCs w:val="20"/>
        </w:rPr>
        <w:t>the IACHR</w:t>
      </w:r>
      <w:r w:rsidR="0048417D" w:rsidRPr="001D375E">
        <w:rPr>
          <w:rFonts w:asciiTheme="majorHAnsi" w:hAnsiTheme="majorHAnsi" w:cs="Calibri"/>
          <w:sz w:val="20"/>
          <w:szCs w:val="20"/>
        </w:rPr>
        <w:t xml:space="preserve">.  </w:t>
      </w:r>
      <w:r w:rsidR="00FE5161">
        <w:rPr>
          <w:rFonts w:asciiTheme="majorHAnsi" w:hAnsiTheme="majorHAnsi" w:cs="Calibri"/>
          <w:sz w:val="20"/>
          <w:szCs w:val="20"/>
        </w:rPr>
        <w:t>In addition to the Offices of the</w:t>
      </w:r>
      <w:r w:rsidR="0048417D" w:rsidRPr="001D375E">
        <w:rPr>
          <w:rFonts w:asciiTheme="majorHAnsi" w:hAnsiTheme="majorHAnsi" w:cs="Calibri"/>
          <w:sz w:val="20"/>
          <w:szCs w:val="20"/>
        </w:rPr>
        <w:t xml:space="preserve"> </w:t>
      </w:r>
      <w:r w:rsidR="00FE5161">
        <w:rPr>
          <w:rFonts w:asciiTheme="majorHAnsi" w:hAnsiTheme="majorHAnsi" w:cs="Calibri"/>
          <w:sz w:val="20"/>
          <w:szCs w:val="20"/>
        </w:rPr>
        <w:t>Executive Secretary and Assistant Executive Secretary and the</w:t>
      </w:r>
      <w:r w:rsidR="0048417D" w:rsidRPr="001D375E">
        <w:rPr>
          <w:rFonts w:asciiTheme="majorHAnsi" w:hAnsiTheme="majorHAnsi" w:cs="Calibri"/>
          <w:sz w:val="20"/>
          <w:szCs w:val="20"/>
        </w:rPr>
        <w:t xml:space="preserve"> </w:t>
      </w:r>
      <w:r w:rsidR="00FE5161">
        <w:rPr>
          <w:rFonts w:asciiTheme="majorHAnsi" w:hAnsiTheme="majorHAnsi" w:cs="Calibri"/>
          <w:sz w:val="20"/>
          <w:szCs w:val="20"/>
        </w:rPr>
        <w:t>Department of Institutional Development and Administrative Affairs</w:t>
      </w:r>
      <w:r w:rsidR="0048417D" w:rsidRPr="001D375E">
        <w:rPr>
          <w:rFonts w:asciiTheme="majorHAnsi" w:hAnsiTheme="majorHAnsi" w:cs="Calibri"/>
          <w:sz w:val="20"/>
          <w:szCs w:val="20"/>
        </w:rPr>
        <w:t xml:space="preserve">, </w:t>
      </w:r>
      <w:r w:rsidR="00FE5161">
        <w:rPr>
          <w:rFonts w:asciiTheme="majorHAnsi" w:hAnsiTheme="majorHAnsi" w:cs="Calibri"/>
          <w:sz w:val="20"/>
          <w:szCs w:val="20"/>
        </w:rPr>
        <w:t>which retain their prior structure</w:t>
      </w:r>
      <w:r w:rsidR="0048417D" w:rsidRPr="001D375E">
        <w:rPr>
          <w:rFonts w:asciiTheme="majorHAnsi" w:hAnsiTheme="majorHAnsi" w:cs="Calibri"/>
          <w:sz w:val="20"/>
          <w:szCs w:val="20"/>
        </w:rPr>
        <w:t xml:space="preserve">, </w:t>
      </w:r>
      <w:r w:rsidR="00FE5161">
        <w:rPr>
          <w:rFonts w:asciiTheme="majorHAnsi" w:hAnsiTheme="majorHAnsi" w:cs="Calibri"/>
          <w:sz w:val="20"/>
          <w:szCs w:val="20"/>
        </w:rPr>
        <w:t xml:space="preserve">the new plan includes the reorganization of personnel under four new </w:t>
      </w:r>
      <w:r w:rsidR="00461D4F">
        <w:rPr>
          <w:rFonts w:asciiTheme="majorHAnsi" w:hAnsiTheme="majorHAnsi" w:cs="Calibri"/>
          <w:sz w:val="20"/>
          <w:szCs w:val="20"/>
        </w:rPr>
        <w:t>departments</w:t>
      </w:r>
      <w:r w:rsidR="00FE5161">
        <w:rPr>
          <w:rFonts w:asciiTheme="majorHAnsi" w:hAnsiTheme="majorHAnsi" w:cs="Calibri"/>
          <w:sz w:val="20"/>
          <w:szCs w:val="20"/>
        </w:rPr>
        <w:t>:</w:t>
      </w:r>
      <w:r w:rsidR="0048417D" w:rsidRPr="001D375E">
        <w:rPr>
          <w:rFonts w:asciiTheme="majorHAnsi" w:hAnsiTheme="majorHAnsi" w:cs="Calibri"/>
          <w:sz w:val="20"/>
          <w:szCs w:val="20"/>
        </w:rPr>
        <w:t xml:space="preserve"> </w:t>
      </w:r>
      <w:r w:rsidR="00477BC6">
        <w:rPr>
          <w:rFonts w:asciiTheme="majorHAnsi" w:hAnsiTheme="majorHAnsi" w:cs="Calibri"/>
          <w:sz w:val="20"/>
          <w:szCs w:val="20"/>
        </w:rPr>
        <w:t xml:space="preserve">the </w:t>
      </w:r>
      <w:r w:rsidR="00461D4F">
        <w:rPr>
          <w:rFonts w:asciiTheme="majorHAnsi" w:hAnsiTheme="majorHAnsi" w:cs="Calibri"/>
          <w:sz w:val="20"/>
          <w:szCs w:val="20"/>
        </w:rPr>
        <w:t xml:space="preserve">Department </w:t>
      </w:r>
      <w:r w:rsidR="00477BC6">
        <w:rPr>
          <w:rFonts w:asciiTheme="majorHAnsi" w:hAnsiTheme="majorHAnsi" w:cs="Calibri"/>
          <w:sz w:val="20"/>
          <w:szCs w:val="20"/>
        </w:rPr>
        <w:t>of Petitions and Cases</w:t>
      </w:r>
      <w:r w:rsidR="0048417D" w:rsidRPr="001D375E">
        <w:rPr>
          <w:rFonts w:asciiTheme="majorHAnsi" w:hAnsiTheme="majorHAnsi" w:cs="Calibri"/>
          <w:sz w:val="20"/>
          <w:szCs w:val="20"/>
        </w:rPr>
        <w:t xml:space="preserve">; </w:t>
      </w:r>
      <w:r w:rsidR="00FC763E">
        <w:rPr>
          <w:rFonts w:asciiTheme="majorHAnsi" w:hAnsiTheme="majorHAnsi" w:cs="Calibri"/>
          <w:sz w:val="20"/>
          <w:szCs w:val="20"/>
        </w:rPr>
        <w:t xml:space="preserve">the </w:t>
      </w:r>
      <w:r w:rsidR="00461D4F">
        <w:rPr>
          <w:rFonts w:asciiTheme="majorHAnsi" w:hAnsiTheme="majorHAnsi" w:cs="Calibri"/>
          <w:sz w:val="20"/>
          <w:szCs w:val="20"/>
        </w:rPr>
        <w:t xml:space="preserve">Department </w:t>
      </w:r>
      <w:r w:rsidR="00FC763E">
        <w:rPr>
          <w:rFonts w:asciiTheme="majorHAnsi" w:hAnsiTheme="majorHAnsi" w:cs="Calibri"/>
          <w:sz w:val="20"/>
          <w:szCs w:val="20"/>
        </w:rPr>
        <w:t>of Geographic Monitoring</w:t>
      </w:r>
      <w:r w:rsidR="0048417D" w:rsidRPr="001D375E">
        <w:rPr>
          <w:rFonts w:asciiTheme="majorHAnsi" w:hAnsiTheme="majorHAnsi" w:cs="Calibri"/>
          <w:sz w:val="20"/>
          <w:szCs w:val="20"/>
        </w:rPr>
        <w:t xml:space="preserve">; </w:t>
      </w:r>
      <w:r w:rsidR="00FC763E">
        <w:rPr>
          <w:rFonts w:asciiTheme="majorHAnsi" w:hAnsiTheme="majorHAnsi" w:cs="Calibri"/>
          <w:sz w:val="20"/>
          <w:szCs w:val="20"/>
        </w:rPr>
        <w:t xml:space="preserve">the </w:t>
      </w:r>
      <w:r w:rsidR="00461D4F">
        <w:rPr>
          <w:rFonts w:asciiTheme="majorHAnsi" w:hAnsiTheme="majorHAnsi" w:cs="Calibri"/>
          <w:sz w:val="20"/>
          <w:szCs w:val="20"/>
        </w:rPr>
        <w:t xml:space="preserve">Department </w:t>
      </w:r>
      <w:r w:rsidR="00FC763E">
        <w:rPr>
          <w:rFonts w:asciiTheme="majorHAnsi" w:hAnsiTheme="majorHAnsi" w:cs="Calibri"/>
          <w:sz w:val="20"/>
          <w:szCs w:val="20"/>
        </w:rPr>
        <w:t xml:space="preserve">of Thematic Monitoring; and the </w:t>
      </w:r>
      <w:r w:rsidR="00461D4F">
        <w:rPr>
          <w:rFonts w:asciiTheme="majorHAnsi" w:hAnsiTheme="majorHAnsi" w:cs="Calibri"/>
          <w:sz w:val="20"/>
          <w:szCs w:val="20"/>
        </w:rPr>
        <w:t xml:space="preserve">Department </w:t>
      </w:r>
      <w:r w:rsidR="00FC763E">
        <w:rPr>
          <w:rFonts w:asciiTheme="majorHAnsi" w:hAnsiTheme="majorHAnsi" w:cs="Calibri"/>
          <w:sz w:val="20"/>
          <w:szCs w:val="20"/>
        </w:rPr>
        <w:t xml:space="preserve">of Promotion and Public Policy. </w:t>
      </w:r>
    </w:p>
    <w:p w:rsidR="0048417D" w:rsidRPr="001D375E" w:rsidRDefault="0048417D" w:rsidP="00405AD5">
      <w:pPr>
        <w:pStyle w:val="ListParagraph"/>
        <w:jc w:val="both"/>
        <w:rPr>
          <w:rFonts w:asciiTheme="majorHAnsi" w:hAnsiTheme="majorHAnsi" w:cs="Calibri"/>
          <w:sz w:val="20"/>
          <w:szCs w:val="20"/>
        </w:rPr>
      </w:pPr>
    </w:p>
    <w:p w:rsidR="0048417D" w:rsidRPr="001D375E" w:rsidRDefault="00884EEE" w:rsidP="00405AD5">
      <w:pPr>
        <w:pStyle w:val="ListParagraph"/>
        <w:numPr>
          <w:ilvl w:val="0"/>
          <w:numId w:val="9"/>
        </w:numPr>
        <w:ind w:left="0" w:firstLine="720"/>
        <w:jc w:val="both"/>
        <w:rPr>
          <w:rFonts w:asciiTheme="majorHAnsi" w:hAnsiTheme="majorHAnsi" w:cs="Calibri"/>
          <w:sz w:val="20"/>
          <w:szCs w:val="20"/>
        </w:rPr>
      </w:pPr>
      <w:r>
        <w:rPr>
          <w:rFonts w:asciiTheme="majorHAnsi" w:hAnsiTheme="majorHAnsi" w:cs="Calibri"/>
          <w:sz w:val="20"/>
          <w:szCs w:val="20"/>
        </w:rPr>
        <w:t>The Office of the Executive Secretary</w:t>
      </w:r>
      <w:r w:rsidR="0048417D" w:rsidRPr="001D375E">
        <w:rPr>
          <w:rFonts w:asciiTheme="majorHAnsi" w:hAnsiTheme="majorHAnsi" w:cs="Calibri"/>
          <w:sz w:val="20"/>
          <w:szCs w:val="20"/>
        </w:rPr>
        <w:t xml:space="preserve"> </w:t>
      </w:r>
      <w:r>
        <w:rPr>
          <w:rFonts w:asciiTheme="majorHAnsi" w:hAnsiTheme="majorHAnsi" w:cs="Calibri"/>
          <w:sz w:val="20"/>
          <w:szCs w:val="20"/>
        </w:rPr>
        <w:t>is still in the process of taking the administrative steps required to implement this structural change, which includes the issuance by the</w:t>
      </w:r>
      <w:r w:rsidR="0048417D" w:rsidRPr="001D375E">
        <w:rPr>
          <w:rFonts w:asciiTheme="majorHAnsi" w:hAnsiTheme="majorHAnsi" w:cs="Calibri"/>
          <w:sz w:val="20"/>
          <w:szCs w:val="20"/>
        </w:rPr>
        <w:t xml:space="preserve"> </w:t>
      </w:r>
      <w:r>
        <w:rPr>
          <w:rFonts w:asciiTheme="majorHAnsi" w:hAnsiTheme="majorHAnsi" w:cs="Calibri"/>
          <w:sz w:val="20"/>
          <w:szCs w:val="20"/>
        </w:rPr>
        <w:t>Secretary General</w:t>
      </w:r>
      <w:r w:rsidR="0048417D" w:rsidRPr="001D375E">
        <w:rPr>
          <w:rFonts w:asciiTheme="majorHAnsi" w:hAnsiTheme="majorHAnsi" w:cs="Calibri"/>
          <w:sz w:val="20"/>
          <w:szCs w:val="20"/>
        </w:rPr>
        <w:t xml:space="preserve"> </w:t>
      </w:r>
      <w:r>
        <w:rPr>
          <w:rFonts w:asciiTheme="majorHAnsi" w:hAnsiTheme="majorHAnsi" w:cs="Calibri"/>
          <w:sz w:val="20"/>
          <w:szCs w:val="20"/>
        </w:rPr>
        <w:t>of an amendment to</w:t>
      </w:r>
      <w:r w:rsidR="0048417D" w:rsidRPr="001D375E">
        <w:rPr>
          <w:rFonts w:asciiTheme="majorHAnsi" w:hAnsiTheme="majorHAnsi" w:cs="Calibri"/>
          <w:sz w:val="20"/>
          <w:szCs w:val="20"/>
        </w:rPr>
        <w:t xml:space="preserve"> </w:t>
      </w:r>
      <w:r>
        <w:rPr>
          <w:rFonts w:asciiTheme="majorHAnsi" w:hAnsiTheme="majorHAnsi" w:cs="Calibri"/>
          <w:sz w:val="20"/>
          <w:szCs w:val="20"/>
        </w:rPr>
        <w:t>Executive Order</w:t>
      </w:r>
      <w:r w:rsidR="0048417D" w:rsidRPr="001D375E">
        <w:rPr>
          <w:rFonts w:asciiTheme="majorHAnsi" w:hAnsiTheme="majorHAnsi" w:cs="Calibri"/>
          <w:sz w:val="20"/>
          <w:szCs w:val="20"/>
        </w:rPr>
        <w:t xml:space="preserve"> 08-01 </w:t>
      </w:r>
      <w:r>
        <w:rPr>
          <w:rFonts w:asciiTheme="majorHAnsi" w:hAnsiTheme="majorHAnsi" w:cs="Calibri"/>
          <w:sz w:val="20"/>
          <w:szCs w:val="20"/>
        </w:rPr>
        <w:t>on the structure of the OAS</w:t>
      </w:r>
      <w:r w:rsidR="0048417D" w:rsidRPr="001D375E">
        <w:rPr>
          <w:rFonts w:asciiTheme="majorHAnsi" w:hAnsiTheme="majorHAnsi" w:cs="Calibri"/>
          <w:sz w:val="20"/>
          <w:szCs w:val="20"/>
        </w:rPr>
        <w:t xml:space="preserve">. </w:t>
      </w:r>
      <w:r>
        <w:rPr>
          <w:rFonts w:asciiTheme="majorHAnsi" w:hAnsiTheme="majorHAnsi" w:cs="Calibri"/>
          <w:sz w:val="20"/>
          <w:szCs w:val="20"/>
        </w:rPr>
        <w:t xml:space="preserve">On October 29, 2015, the Executive </w:t>
      </w:r>
      <w:r w:rsidR="00461D4F">
        <w:rPr>
          <w:rFonts w:asciiTheme="majorHAnsi" w:hAnsiTheme="majorHAnsi" w:cs="Calibri"/>
          <w:sz w:val="20"/>
          <w:szCs w:val="20"/>
        </w:rPr>
        <w:t>Secretariat</w:t>
      </w:r>
      <w:r w:rsidR="00461D4F" w:rsidRPr="001D375E">
        <w:rPr>
          <w:rFonts w:asciiTheme="majorHAnsi" w:hAnsiTheme="majorHAnsi" w:cs="Calibri"/>
          <w:sz w:val="20"/>
          <w:szCs w:val="20"/>
        </w:rPr>
        <w:t xml:space="preserve"> </w:t>
      </w:r>
      <w:r>
        <w:rPr>
          <w:rFonts w:asciiTheme="majorHAnsi" w:hAnsiTheme="majorHAnsi" w:cs="Calibri"/>
          <w:sz w:val="20"/>
          <w:szCs w:val="20"/>
        </w:rPr>
        <w:t>presented a proposal</w:t>
      </w:r>
      <w:r w:rsidR="0048417D" w:rsidRPr="001D375E">
        <w:rPr>
          <w:rFonts w:asciiTheme="majorHAnsi" w:hAnsiTheme="majorHAnsi" w:cs="Calibri"/>
          <w:sz w:val="20"/>
          <w:szCs w:val="20"/>
        </w:rPr>
        <w:t xml:space="preserve"> </w:t>
      </w:r>
      <w:r>
        <w:rPr>
          <w:rFonts w:asciiTheme="majorHAnsi" w:hAnsiTheme="majorHAnsi" w:cs="Calibri"/>
          <w:sz w:val="20"/>
          <w:szCs w:val="20"/>
        </w:rPr>
        <w:t>to the Office of the</w:t>
      </w:r>
      <w:r w:rsidRPr="001D375E">
        <w:rPr>
          <w:rFonts w:asciiTheme="majorHAnsi" w:hAnsiTheme="majorHAnsi" w:cs="Calibri"/>
          <w:sz w:val="20"/>
          <w:szCs w:val="20"/>
        </w:rPr>
        <w:t xml:space="preserve"> </w:t>
      </w:r>
      <w:r>
        <w:rPr>
          <w:rFonts w:asciiTheme="majorHAnsi" w:hAnsiTheme="majorHAnsi" w:cs="Calibri"/>
          <w:sz w:val="20"/>
          <w:szCs w:val="20"/>
        </w:rPr>
        <w:t>Secretary General</w:t>
      </w:r>
      <w:r w:rsidRPr="001D375E">
        <w:rPr>
          <w:rFonts w:asciiTheme="majorHAnsi" w:hAnsiTheme="majorHAnsi" w:cs="Calibri"/>
          <w:sz w:val="20"/>
          <w:szCs w:val="20"/>
        </w:rPr>
        <w:t xml:space="preserve"> </w:t>
      </w:r>
      <w:r>
        <w:rPr>
          <w:rFonts w:asciiTheme="majorHAnsi" w:hAnsiTheme="majorHAnsi" w:cs="Calibri"/>
          <w:sz w:val="20"/>
          <w:szCs w:val="20"/>
        </w:rPr>
        <w:t>for imp</w:t>
      </w:r>
      <w:r w:rsidR="00CB62AB">
        <w:rPr>
          <w:rFonts w:asciiTheme="majorHAnsi" w:hAnsiTheme="majorHAnsi" w:cs="Calibri"/>
          <w:sz w:val="20"/>
          <w:szCs w:val="20"/>
        </w:rPr>
        <w:t xml:space="preserve">lementing the structure </w:t>
      </w:r>
      <w:r>
        <w:rPr>
          <w:rFonts w:asciiTheme="majorHAnsi" w:hAnsiTheme="majorHAnsi" w:cs="Calibri"/>
          <w:sz w:val="20"/>
          <w:szCs w:val="20"/>
        </w:rPr>
        <w:t xml:space="preserve">at no additional cost to the Organization, and </w:t>
      </w:r>
      <w:r w:rsidR="009208AC">
        <w:rPr>
          <w:rFonts w:asciiTheme="majorHAnsi" w:hAnsiTheme="majorHAnsi" w:cs="Calibri"/>
          <w:sz w:val="20"/>
          <w:szCs w:val="20"/>
        </w:rPr>
        <w:t>thus the expectation is</w:t>
      </w:r>
      <w:r>
        <w:rPr>
          <w:rFonts w:asciiTheme="majorHAnsi" w:hAnsiTheme="majorHAnsi" w:cs="Calibri"/>
          <w:sz w:val="20"/>
          <w:szCs w:val="20"/>
        </w:rPr>
        <w:t xml:space="preserve"> that it will be accepted very soon</w:t>
      </w:r>
      <w:r w:rsidR="0048417D" w:rsidRPr="001D375E">
        <w:rPr>
          <w:rFonts w:asciiTheme="majorHAnsi" w:hAnsiTheme="majorHAnsi" w:cs="Calibri"/>
          <w:sz w:val="20"/>
          <w:szCs w:val="20"/>
        </w:rPr>
        <w:t>.</w:t>
      </w:r>
    </w:p>
    <w:p w:rsidR="0048417D" w:rsidRPr="001D375E" w:rsidRDefault="0048417D">
      <w:pPr>
        <w:spacing w:after="0" w:line="240" w:lineRule="auto"/>
        <w:jc w:val="both"/>
        <w:rPr>
          <w:rFonts w:asciiTheme="majorHAnsi" w:hAnsiTheme="majorHAnsi" w:cs="Calibri"/>
          <w:sz w:val="20"/>
          <w:szCs w:val="20"/>
        </w:rPr>
      </w:pPr>
    </w:p>
    <w:p w:rsidR="0048417D" w:rsidRPr="001D375E" w:rsidRDefault="00BC6B47">
      <w:pPr>
        <w:pStyle w:val="ListParagraph"/>
        <w:numPr>
          <w:ilvl w:val="0"/>
          <w:numId w:val="9"/>
        </w:numPr>
        <w:ind w:left="0" w:firstLine="720"/>
        <w:jc w:val="both"/>
        <w:rPr>
          <w:rFonts w:asciiTheme="majorHAnsi" w:hAnsiTheme="majorHAnsi" w:cs="Calibri"/>
          <w:sz w:val="20"/>
          <w:szCs w:val="20"/>
        </w:rPr>
      </w:pPr>
      <w:r>
        <w:rPr>
          <w:rFonts w:asciiTheme="majorHAnsi" w:hAnsiTheme="majorHAnsi" w:cs="Calibri"/>
          <w:sz w:val="20"/>
          <w:szCs w:val="20"/>
        </w:rPr>
        <w:t>C</w:t>
      </w:r>
      <w:r w:rsidR="001017F7">
        <w:rPr>
          <w:rFonts w:asciiTheme="majorHAnsi" w:hAnsiTheme="majorHAnsi" w:cs="Calibri"/>
          <w:sz w:val="20"/>
          <w:szCs w:val="20"/>
        </w:rPr>
        <w:t>ompetitive hiring processes</w:t>
      </w:r>
      <w:r>
        <w:rPr>
          <w:rFonts w:asciiTheme="majorHAnsi" w:hAnsiTheme="majorHAnsi" w:cs="Calibri"/>
          <w:sz w:val="20"/>
          <w:szCs w:val="20"/>
        </w:rPr>
        <w:t xml:space="preserve"> for eight staff vacancies</w:t>
      </w:r>
      <w:r w:rsidR="001017F7">
        <w:rPr>
          <w:rFonts w:asciiTheme="majorHAnsi" w:hAnsiTheme="majorHAnsi" w:cs="Calibri"/>
          <w:sz w:val="20"/>
          <w:szCs w:val="20"/>
        </w:rPr>
        <w:t xml:space="preserve"> were </w:t>
      </w:r>
      <w:r>
        <w:rPr>
          <w:rFonts w:asciiTheme="majorHAnsi" w:hAnsiTheme="majorHAnsi" w:cs="Calibri"/>
          <w:sz w:val="20"/>
          <w:szCs w:val="20"/>
        </w:rPr>
        <w:t>announced</w:t>
      </w:r>
      <w:r w:rsidR="001017F7">
        <w:rPr>
          <w:rFonts w:asciiTheme="majorHAnsi" w:hAnsiTheme="majorHAnsi" w:cs="Calibri"/>
          <w:sz w:val="20"/>
          <w:szCs w:val="20"/>
        </w:rPr>
        <w:t xml:space="preserve"> in</w:t>
      </w:r>
      <w:r w:rsidR="0048417D" w:rsidRPr="001D375E">
        <w:rPr>
          <w:rFonts w:asciiTheme="majorHAnsi" w:hAnsiTheme="majorHAnsi" w:cs="Calibri"/>
          <w:sz w:val="20"/>
          <w:szCs w:val="20"/>
        </w:rPr>
        <w:t xml:space="preserve"> 2015. </w:t>
      </w:r>
      <w:r w:rsidR="001017F7">
        <w:rPr>
          <w:rFonts w:asciiTheme="majorHAnsi" w:hAnsiTheme="majorHAnsi" w:cs="Calibri"/>
          <w:sz w:val="20"/>
          <w:szCs w:val="20"/>
        </w:rPr>
        <w:t>These include</w:t>
      </w:r>
      <w:r w:rsidR="0048417D" w:rsidRPr="001D375E">
        <w:rPr>
          <w:rFonts w:asciiTheme="majorHAnsi" w:hAnsiTheme="majorHAnsi" w:cs="Calibri"/>
          <w:sz w:val="20"/>
          <w:szCs w:val="20"/>
        </w:rPr>
        <w:t xml:space="preserve"> 4 </w:t>
      </w:r>
      <w:r w:rsidR="001017F7">
        <w:rPr>
          <w:rFonts w:asciiTheme="majorHAnsi" w:hAnsiTheme="majorHAnsi" w:cs="Calibri"/>
          <w:sz w:val="20"/>
          <w:szCs w:val="20"/>
        </w:rPr>
        <w:t xml:space="preserve">previously frozen </w:t>
      </w:r>
      <w:r>
        <w:rPr>
          <w:rFonts w:asciiTheme="majorHAnsi" w:hAnsiTheme="majorHAnsi" w:cs="Calibri"/>
          <w:sz w:val="20"/>
          <w:szCs w:val="20"/>
        </w:rPr>
        <w:t>positions, for</w:t>
      </w:r>
      <w:r w:rsidR="001017F7">
        <w:rPr>
          <w:rFonts w:asciiTheme="majorHAnsi" w:hAnsiTheme="majorHAnsi" w:cs="Calibri"/>
          <w:sz w:val="20"/>
          <w:szCs w:val="20"/>
        </w:rPr>
        <w:t xml:space="preserve"> two</w:t>
      </w:r>
      <w:r w:rsidR="00952B6D" w:rsidRPr="001D375E">
        <w:rPr>
          <w:rFonts w:asciiTheme="majorHAnsi" w:hAnsiTheme="majorHAnsi" w:cs="Calibri"/>
          <w:sz w:val="20"/>
          <w:szCs w:val="20"/>
        </w:rPr>
        <w:t xml:space="preserve"> </w:t>
      </w:r>
      <w:r w:rsidR="001017F7">
        <w:rPr>
          <w:rFonts w:asciiTheme="majorHAnsi" w:hAnsiTheme="majorHAnsi" w:cs="Calibri"/>
          <w:sz w:val="20"/>
          <w:szCs w:val="20"/>
        </w:rPr>
        <w:t>P04-level human rights specialists</w:t>
      </w:r>
      <w:r w:rsidR="0048417D" w:rsidRPr="001D375E">
        <w:rPr>
          <w:rFonts w:asciiTheme="majorHAnsi" w:hAnsiTheme="majorHAnsi" w:cs="Calibri"/>
          <w:sz w:val="20"/>
          <w:szCs w:val="20"/>
        </w:rPr>
        <w:t xml:space="preserve"> </w:t>
      </w:r>
      <w:r w:rsidR="001017F7">
        <w:rPr>
          <w:rFonts w:asciiTheme="majorHAnsi" w:hAnsiTheme="majorHAnsi" w:cs="Calibri"/>
          <w:sz w:val="20"/>
          <w:szCs w:val="20"/>
        </w:rPr>
        <w:t>and two</w:t>
      </w:r>
      <w:r w:rsidR="0048417D" w:rsidRPr="001D375E">
        <w:rPr>
          <w:rFonts w:asciiTheme="majorHAnsi" w:hAnsiTheme="majorHAnsi" w:cs="Calibri"/>
          <w:sz w:val="20"/>
          <w:szCs w:val="20"/>
        </w:rPr>
        <w:t xml:space="preserve"> G05</w:t>
      </w:r>
      <w:r w:rsidR="001017F7">
        <w:rPr>
          <w:rFonts w:asciiTheme="majorHAnsi" w:hAnsiTheme="majorHAnsi" w:cs="Calibri"/>
          <w:sz w:val="20"/>
          <w:szCs w:val="20"/>
        </w:rPr>
        <w:t>-level administrative assistants</w:t>
      </w:r>
      <w:r w:rsidR="001449BA">
        <w:rPr>
          <w:rFonts w:asciiTheme="majorHAnsi" w:hAnsiTheme="majorHAnsi" w:cs="Calibri"/>
          <w:sz w:val="20"/>
          <w:szCs w:val="20"/>
        </w:rPr>
        <w:t xml:space="preserve">. This </w:t>
      </w:r>
      <w:r w:rsidR="001017F7">
        <w:rPr>
          <w:rFonts w:asciiTheme="majorHAnsi" w:hAnsiTheme="majorHAnsi" w:cs="Calibri"/>
          <w:sz w:val="20"/>
          <w:szCs w:val="20"/>
        </w:rPr>
        <w:t xml:space="preserve">represents a positive trend on the part of the new administration to </w:t>
      </w:r>
      <w:r w:rsidR="006C2190">
        <w:rPr>
          <w:rFonts w:asciiTheme="majorHAnsi" w:hAnsiTheme="majorHAnsi" w:cs="Calibri"/>
          <w:sz w:val="20"/>
          <w:szCs w:val="20"/>
        </w:rPr>
        <w:t>prioritize</w:t>
      </w:r>
      <w:r w:rsidR="001017F7">
        <w:rPr>
          <w:rFonts w:asciiTheme="majorHAnsi" w:hAnsiTheme="majorHAnsi" w:cs="Calibri"/>
          <w:sz w:val="20"/>
          <w:szCs w:val="20"/>
        </w:rPr>
        <w:t xml:space="preserve"> the needs of the</w:t>
      </w:r>
      <w:r w:rsidR="0048417D" w:rsidRPr="001D375E">
        <w:rPr>
          <w:rFonts w:asciiTheme="majorHAnsi" w:hAnsiTheme="majorHAnsi" w:cs="Calibri"/>
          <w:sz w:val="20"/>
          <w:szCs w:val="20"/>
        </w:rPr>
        <w:t xml:space="preserve"> </w:t>
      </w:r>
      <w:r w:rsidR="008366FA">
        <w:rPr>
          <w:rFonts w:asciiTheme="majorHAnsi" w:hAnsiTheme="majorHAnsi" w:cs="Calibri"/>
          <w:sz w:val="20"/>
          <w:szCs w:val="20"/>
        </w:rPr>
        <w:t xml:space="preserve">IACHR’s </w:t>
      </w:r>
      <w:r w:rsidR="006B4E31">
        <w:rPr>
          <w:rFonts w:asciiTheme="majorHAnsi" w:hAnsiTheme="majorHAnsi" w:cs="Calibri"/>
          <w:sz w:val="20"/>
          <w:szCs w:val="20"/>
        </w:rPr>
        <w:t>Executive Secretariat</w:t>
      </w:r>
      <w:r w:rsidR="008366FA">
        <w:rPr>
          <w:rFonts w:asciiTheme="majorHAnsi" w:hAnsiTheme="majorHAnsi" w:cs="Calibri"/>
          <w:sz w:val="20"/>
          <w:szCs w:val="20"/>
        </w:rPr>
        <w:t xml:space="preserve">, especially given the </w:t>
      </w:r>
      <w:r w:rsidR="00A631E0">
        <w:rPr>
          <w:rFonts w:asciiTheme="majorHAnsi" w:hAnsiTheme="majorHAnsi" w:cs="Calibri"/>
          <w:sz w:val="20"/>
          <w:szCs w:val="20"/>
        </w:rPr>
        <w:t xml:space="preserve">serious </w:t>
      </w:r>
      <w:r w:rsidR="008366FA">
        <w:rPr>
          <w:rFonts w:asciiTheme="majorHAnsi" w:hAnsiTheme="majorHAnsi" w:cs="Calibri"/>
          <w:sz w:val="20"/>
          <w:szCs w:val="20"/>
        </w:rPr>
        <w:t xml:space="preserve">financial restrictions seen throughout the Organization. </w:t>
      </w:r>
      <w:r w:rsidR="0048417D" w:rsidRPr="001D375E">
        <w:rPr>
          <w:rFonts w:asciiTheme="majorHAnsi" w:hAnsiTheme="majorHAnsi" w:cs="Calibri"/>
          <w:sz w:val="20"/>
          <w:szCs w:val="20"/>
        </w:rPr>
        <w:t xml:space="preserve"> </w:t>
      </w:r>
    </w:p>
    <w:p w:rsidR="0048417D" w:rsidRPr="001D375E" w:rsidRDefault="0048417D">
      <w:pPr>
        <w:pStyle w:val="ListParagraph"/>
        <w:ind w:left="0"/>
        <w:jc w:val="both"/>
        <w:rPr>
          <w:rFonts w:asciiTheme="majorHAnsi" w:hAnsiTheme="majorHAnsi" w:cs="Calibri"/>
          <w:sz w:val="20"/>
          <w:szCs w:val="20"/>
        </w:rPr>
      </w:pPr>
    </w:p>
    <w:p w:rsidR="0048417D" w:rsidRPr="001D375E" w:rsidRDefault="00B260D1">
      <w:pPr>
        <w:pStyle w:val="ListParagraph"/>
        <w:numPr>
          <w:ilvl w:val="0"/>
          <w:numId w:val="9"/>
        </w:numPr>
        <w:ind w:left="0" w:firstLine="720"/>
        <w:jc w:val="both"/>
        <w:rPr>
          <w:rFonts w:asciiTheme="majorHAnsi" w:hAnsiTheme="majorHAnsi" w:cs="Calibri"/>
          <w:sz w:val="20"/>
          <w:szCs w:val="20"/>
        </w:rPr>
      </w:pPr>
      <w:r>
        <w:rPr>
          <w:rFonts w:asciiTheme="majorHAnsi" w:hAnsiTheme="majorHAnsi" w:cs="Calibri"/>
          <w:sz w:val="20"/>
          <w:szCs w:val="20"/>
        </w:rPr>
        <w:t>The following table shows the number of staff and consultants by funding source as of September</w:t>
      </w:r>
      <w:r w:rsidR="0048417D" w:rsidRPr="001D375E">
        <w:rPr>
          <w:rFonts w:asciiTheme="majorHAnsi" w:hAnsiTheme="majorHAnsi" w:cs="Calibri"/>
          <w:sz w:val="20"/>
          <w:szCs w:val="20"/>
        </w:rPr>
        <w:t xml:space="preserve"> </w:t>
      </w:r>
      <w:r>
        <w:rPr>
          <w:rFonts w:asciiTheme="majorHAnsi" w:hAnsiTheme="majorHAnsi" w:cs="Calibri"/>
          <w:sz w:val="20"/>
          <w:szCs w:val="20"/>
        </w:rPr>
        <w:t xml:space="preserve">30, </w:t>
      </w:r>
      <w:r w:rsidR="0048417D" w:rsidRPr="001D375E">
        <w:rPr>
          <w:rFonts w:asciiTheme="majorHAnsi" w:hAnsiTheme="majorHAnsi" w:cs="Calibri"/>
          <w:sz w:val="20"/>
          <w:szCs w:val="20"/>
        </w:rPr>
        <w:t>2015</w:t>
      </w:r>
      <w:r w:rsidR="0048417D" w:rsidRPr="001D375E">
        <w:rPr>
          <w:rStyle w:val="FootnoteReference"/>
          <w:rFonts w:asciiTheme="majorHAnsi" w:hAnsiTheme="majorHAnsi"/>
          <w:sz w:val="20"/>
          <w:szCs w:val="20"/>
        </w:rPr>
        <w:footnoteReference w:id="1"/>
      </w:r>
      <w:r w:rsidR="0048417D" w:rsidRPr="001D375E">
        <w:rPr>
          <w:rFonts w:asciiTheme="majorHAnsi" w:hAnsiTheme="majorHAnsi" w:cs="Calibri"/>
          <w:sz w:val="20"/>
          <w:szCs w:val="20"/>
        </w:rPr>
        <w:t>:</w:t>
      </w:r>
    </w:p>
    <w:p w:rsidR="0048417D" w:rsidRPr="001D375E" w:rsidRDefault="0048417D">
      <w:pPr>
        <w:pStyle w:val="ListParagraph"/>
        <w:ind w:left="0"/>
        <w:jc w:val="both"/>
        <w:rPr>
          <w:rFonts w:asciiTheme="majorHAnsi" w:hAnsiTheme="majorHAnsi" w:cs="Calibri"/>
          <w:sz w:val="20"/>
          <w:szCs w:val="20"/>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1313"/>
        <w:gridCol w:w="1313"/>
        <w:gridCol w:w="1779"/>
        <w:gridCol w:w="1128"/>
      </w:tblGrid>
      <w:tr w:rsidR="00744EE0" w:rsidRPr="00E060EE" w:rsidTr="00F5716D">
        <w:trPr>
          <w:trHeight w:val="795"/>
        </w:trPr>
        <w:tc>
          <w:tcPr>
            <w:tcW w:w="3950" w:type="dxa"/>
            <w:shd w:val="clear" w:color="000000" w:fill="333399"/>
            <w:vAlign w:val="center"/>
            <w:hideMark/>
          </w:tcPr>
          <w:p w:rsidR="00744EE0" w:rsidRPr="00E060EE" w:rsidRDefault="00744EE0">
            <w:pPr>
              <w:spacing w:after="0" w:line="240" w:lineRule="auto"/>
              <w:jc w:val="center"/>
              <w:rPr>
                <w:rFonts w:asciiTheme="majorHAnsi" w:eastAsia="Times New Roman" w:hAnsiTheme="majorHAnsi" w:cs="Arial"/>
                <w:b/>
                <w:bCs/>
                <w:color w:val="FFFFFF"/>
                <w:sz w:val="18"/>
                <w:szCs w:val="18"/>
              </w:rPr>
            </w:pPr>
            <w:r w:rsidRPr="00E060EE">
              <w:rPr>
                <w:rFonts w:asciiTheme="majorHAnsi" w:eastAsia="Times New Roman" w:hAnsiTheme="majorHAnsi" w:cs="Arial"/>
                <w:b/>
                <w:bCs/>
                <w:color w:val="FFFFFF"/>
                <w:sz w:val="18"/>
                <w:szCs w:val="18"/>
              </w:rPr>
              <w:t>Category</w:t>
            </w:r>
          </w:p>
        </w:tc>
        <w:tc>
          <w:tcPr>
            <w:tcW w:w="1313" w:type="dxa"/>
            <w:shd w:val="clear" w:color="000000" w:fill="333399"/>
            <w:vAlign w:val="center"/>
            <w:hideMark/>
          </w:tcPr>
          <w:p w:rsidR="00744EE0" w:rsidRPr="00E060EE" w:rsidRDefault="00744EE0">
            <w:pPr>
              <w:spacing w:after="0" w:line="240" w:lineRule="auto"/>
              <w:jc w:val="center"/>
              <w:rPr>
                <w:rFonts w:asciiTheme="majorHAnsi" w:eastAsia="Times New Roman" w:hAnsiTheme="majorHAnsi" w:cs="Arial"/>
                <w:b/>
                <w:bCs/>
                <w:color w:val="FFFFFF"/>
                <w:sz w:val="18"/>
                <w:szCs w:val="18"/>
              </w:rPr>
            </w:pPr>
            <w:r w:rsidRPr="00E060EE">
              <w:rPr>
                <w:rFonts w:asciiTheme="majorHAnsi" w:eastAsia="Times New Roman" w:hAnsiTheme="majorHAnsi" w:cs="Arial"/>
                <w:b/>
                <w:bCs/>
                <w:color w:val="FFFFFF"/>
                <w:sz w:val="18"/>
                <w:szCs w:val="18"/>
              </w:rPr>
              <w:t>Regular Fund</w:t>
            </w:r>
          </w:p>
        </w:tc>
        <w:tc>
          <w:tcPr>
            <w:tcW w:w="1313" w:type="dxa"/>
            <w:shd w:val="clear" w:color="000000" w:fill="333399"/>
            <w:vAlign w:val="center"/>
            <w:hideMark/>
          </w:tcPr>
          <w:p w:rsidR="00744EE0" w:rsidRPr="00E060EE" w:rsidRDefault="00744EE0">
            <w:pPr>
              <w:spacing w:after="0" w:line="240" w:lineRule="auto"/>
              <w:jc w:val="center"/>
              <w:rPr>
                <w:rFonts w:asciiTheme="majorHAnsi" w:eastAsia="Times New Roman" w:hAnsiTheme="majorHAnsi" w:cs="Arial"/>
                <w:b/>
                <w:bCs/>
                <w:color w:val="FFFFFF"/>
                <w:sz w:val="18"/>
                <w:szCs w:val="18"/>
              </w:rPr>
            </w:pPr>
            <w:r w:rsidRPr="00E060EE">
              <w:rPr>
                <w:rFonts w:asciiTheme="majorHAnsi" w:eastAsia="Times New Roman" w:hAnsiTheme="majorHAnsi" w:cs="Arial"/>
                <w:b/>
                <w:bCs/>
                <w:color w:val="FFFFFF"/>
                <w:sz w:val="18"/>
                <w:szCs w:val="18"/>
              </w:rPr>
              <w:t>Specific Funds</w:t>
            </w:r>
          </w:p>
        </w:tc>
        <w:tc>
          <w:tcPr>
            <w:tcW w:w="1779" w:type="dxa"/>
            <w:shd w:val="clear" w:color="000000" w:fill="333399"/>
            <w:vAlign w:val="center"/>
            <w:hideMark/>
          </w:tcPr>
          <w:p w:rsidR="00744EE0" w:rsidRPr="00E060EE" w:rsidRDefault="00744EE0">
            <w:pPr>
              <w:spacing w:after="0" w:line="240" w:lineRule="auto"/>
              <w:jc w:val="center"/>
              <w:rPr>
                <w:rFonts w:asciiTheme="majorHAnsi" w:eastAsia="Times New Roman" w:hAnsiTheme="majorHAnsi" w:cs="Arial"/>
                <w:b/>
                <w:bCs/>
                <w:color w:val="FFFFFF"/>
                <w:sz w:val="18"/>
                <w:szCs w:val="18"/>
              </w:rPr>
            </w:pPr>
            <w:r w:rsidRPr="00E060EE">
              <w:rPr>
                <w:rFonts w:asciiTheme="majorHAnsi" w:eastAsia="Times New Roman" w:hAnsiTheme="majorHAnsi" w:cs="Arial"/>
                <w:b/>
                <w:bCs/>
                <w:color w:val="FFFFFF"/>
                <w:sz w:val="18"/>
                <w:szCs w:val="18"/>
              </w:rPr>
              <w:t>ICR (Indirect cost recovery)</w:t>
            </w:r>
          </w:p>
        </w:tc>
        <w:tc>
          <w:tcPr>
            <w:tcW w:w="1128" w:type="dxa"/>
            <w:shd w:val="clear" w:color="000000" w:fill="333399"/>
            <w:vAlign w:val="center"/>
            <w:hideMark/>
          </w:tcPr>
          <w:p w:rsidR="00744EE0" w:rsidRPr="00E060EE" w:rsidRDefault="00744EE0">
            <w:pPr>
              <w:spacing w:after="0" w:line="240" w:lineRule="auto"/>
              <w:jc w:val="center"/>
              <w:rPr>
                <w:rFonts w:asciiTheme="majorHAnsi" w:eastAsia="Times New Roman" w:hAnsiTheme="majorHAnsi" w:cs="Arial"/>
                <w:b/>
                <w:bCs/>
                <w:color w:val="FFFFFF"/>
                <w:sz w:val="18"/>
                <w:szCs w:val="18"/>
              </w:rPr>
            </w:pPr>
            <w:r w:rsidRPr="00E060EE">
              <w:rPr>
                <w:rFonts w:asciiTheme="majorHAnsi" w:eastAsia="Times New Roman" w:hAnsiTheme="majorHAnsi" w:cs="Arial"/>
                <w:b/>
                <w:bCs/>
                <w:color w:val="FFFFFF"/>
                <w:sz w:val="18"/>
                <w:szCs w:val="18"/>
              </w:rPr>
              <w:t>Total</w:t>
            </w:r>
          </w:p>
        </w:tc>
      </w:tr>
      <w:tr w:rsidR="00744EE0" w:rsidRPr="00E060EE" w:rsidTr="00F5716D">
        <w:trPr>
          <w:trHeight w:val="255"/>
        </w:trPr>
        <w:tc>
          <w:tcPr>
            <w:tcW w:w="3950" w:type="dxa"/>
            <w:shd w:val="clear" w:color="auto" w:fill="auto"/>
            <w:noWrap/>
            <w:vAlign w:val="bottom"/>
            <w:hideMark/>
          </w:tcPr>
          <w:p w:rsidR="00744EE0" w:rsidRPr="00E060EE" w:rsidRDefault="00744EE0">
            <w:pPr>
              <w:spacing w:after="0" w:line="240" w:lineRule="auto"/>
              <w:rPr>
                <w:rFonts w:asciiTheme="majorHAnsi" w:eastAsia="Times New Roman" w:hAnsiTheme="majorHAnsi" w:cs="Arial"/>
                <w:sz w:val="18"/>
                <w:szCs w:val="18"/>
              </w:rPr>
            </w:pPr>
            <w:r w:rsidRPr="00E060EE">
              <w:rPr>
                <w:rFonts w:asciiTheme="majorHAnsi" w:eastAsia="Times New Roman" w:hAnsiTheme="majorHAnsi" w:cs="Arial"/>
                <w:sz w:val="18"/>
                <w:szCs w:val="18"/>
              </w:rPr>
              <w:t xml:space="preserve">Executive Secretary </w:t>
            </w:r>
          </w:p>
        </w:tc>
        <w:tc>
          <w:tcPr>
            <w:tcW w:w="1313" w:type="dxa"/>
            <w:shd w:val="clear" w:color="auto" w:fill="auto"/>
            <w:noWrap/>
            <w:vAlign w:val="bottom"/>
            <w:hideMark/>
          </w:tcPr>
          <w:p w:rsidR="00744EE0" w:rsidRPr="00E060EE" w:rsidRDefault="00744EE0">
            <w:pPr>
              <w:spacing w:after="0" w:line="240" w:lineRule="auto"/>
              <w:jc w:val="right"/>
              <w:rPr>
                <w:rFonts w:asciiTheme="majorHAnsi" w:eastAsia="Times New Roman" w:hAnsiTheme="majorHAnsi" w:cs="Arial"/>
                <w:sz w:val="18"/>
                <w:szCs w:val="18"/>
              </w:rPr>
            </w:pPr>
            <w:r w:rsidRPr="00E060EE">
              <w:rPr>
                <w:rFonts w:asciiTheme="majorHAnsi" w:eastAsia="Times New Roman" w:hAnsiTheme="majorHAnsi" w:cs="Arial"/>
                <w:sz w:val="18"/>
                <w:szCs w:val="18"/>
              </w:rPr>
              <w:t>1</w:t>
            </w:r>
          </w:p>
        </w:tc>
        <w:tc>
          <w:tcPr>
            <w:tcW w:w="1313" w:type="dxa"/>
            <w:shd w:val="clear" w:color="auto" w:fill="auto"/>
            <w:noWrap/>
            <w:vAlign w:val="bottom"/>
            <w:hideMark/>
          </w:tcPr>
          <w:p w:rsidR="00744EE0" w:rsidRPr="00E060EE" w:rsidRDefault="00744EE0">
            <w:pPr>
              <w:spacing w:after="0" w:line="240" w:lineRule="auto"/>
              <w:jc w:val="right"/>
              <w:rPr>
                <w:rFonts w:asciiTheme="majorHAnsi" w:eastAsia="Times New Roman" w:hAnsiTheme="majorHAnsi" w:cs="Arial"/>
                <w:sz w:val="18"/>
                <w:szCs w:val="18"/>
              </w:rPr>
            </w:pPr>
            <w:r w:rsidRPr="00E060EE">
              <w:rPr>
                <w:rFonts w:asciiTheme="majorHAnsi" w:eastAsia="Times New Roman" w:hAnsiTheme="majorHAnsi" w:cs="Arial"/>
                <w:sz w:val="18"/>
                <w:szCs w:val="18"/>
              </w:rPr>
              <w:t>0</w:t>
            </w:r>
          </w:p>
        </w:tc>
        <w:tc>
          <w:tcPr>
            <w:tcW w:w="1779" w:type="dxa"/>
            <w:shd w:val="clear" w:color="auto" w:fill="auto"/>
            <w:noWrap/>
            <w:vAlign w:val="bottom"/>
            <w:hideMark/>
          </w:tcPr>
          <w:p w:rsidR="00744EE0" w:rsidRPr="00E060EE" w:rsidRDefault="00744EE0">
            <w:pPr>
              <w:spacing w:after="0" w:line="240" w:lineRule="auto"/>
              <w:jc w:val="right"/>
              <w:rPr>
                <w:rFonts w:asciiTheme="majorHAnsi" w:eastAsia="Times New Roman" w:hAnsiTheme="majorHAnsi" w:cs="Arial"/>
                <w:sz w:val="18"/>
                <w:szCs w:val="18"/>
              </w:rPr>
            </w:pPr>
            <w:r w:rsidRPr="00E060EE">
              <w:rPr>
                <w:rFonts w:asciiTheme="majorHAnsi" w:eastAsia="Times New Roman" w:hAnsiTheme="majorHAnsi" w:cs="Arial"/>
                <w:sz w:val="18"/>
                <w:szCs w:val="18"/>
              </w:rPr>
              <w:t>0</w:t>
            </w:r>
          </w:p>
        </w:tc>
        <w:tc>
          <w:tcPr>
            <w:tcW w:w="1128" w:type="dxa"/>
            <w:shd w:val="clear" w:color="auto" w:fill="auto"/>
            <w:noWrap/>
            <w:vAlign w:val="bottom"/>
            <w:hideMark/>
          </w:tcPr>
          <w:p w:rsidR="00744EE0" w:rsidRPr="00E060EE" w:rsidRDefault="00744EE0">
            <w:pPr>
              <w:spacing w:after="0" w:line="240" w:lineRule="auto"/>
              <w:jc w:val="right"/>
              <w:rPr>
                <w:rFonts w:asciiTheme="majorHAnsi" w:eastAsia="Times New Roman" w:hAnsiTheme="majorHAnsi" w:cs="Arial"/>
                <w:b/>
                <w:bCs/>
                <w:sz w:val="18"/>
                <w:szCs w:val="18"/>
              </w:rPr>
            </w:pPr>
            <w:r w:rsidRPr="00E060EE">
              <w:rPr>
                <w:rFonts w:asciiTheme="majorHAnsi" w:eastAsia="Times New Roman" w:hAnsiTheme="majorHAnsi" w:cs="Arial"/>
                <w:b/>
                <w:bCs/>
                <w:sz w:val="18"/>
                <w:szCs w:val="18"/>
              </w:rPr>
              <w:t>1</w:t>
            </w:r>
          </w:p>
        </w:tc>
      </w:tr>
      <w:tr w:rsidR="00744EE0" w:rsidRPr="00E060EE" w:rsidTr="00F5716D">
        <w:trPr>
          <w:trHeight w:val="255"/>
        </w:trPr>
        <w:tc>
          <w:tcPr>
            <w:tcW w:w="3950" w:type="dxa"/>
            <w:shd w:val="clear" w:color="auto" w:fill="auto"/>
            <w:noWrap/>
            <w:vAlign w:val="bottom"/>
            <w:hideMark/>
          </w:tcPr>
          <w:p w:rsidR="00744EE0" w:rsidRPr="00E060EE" w:rsidRDefault="00744EE0">
            <w:pPr>
              <w:spacing w:after="0" w:line="240" w:lineRule="auto"/>
              <w:rPr>
                <w:rFonts w:asciiTheme="majorHAnsi" w:eastAsia="Times New Roman" w:hAnsiTheme="majorHAnsi" w:cs="Arial"/>
                <w:sz w:val="18"/>
                <w:szCs w:val="18"/>
              </w:rPr>
            </w:pPr>
            <w:r w:rsidRPr="00E060EE">
              <w:rPr>
                <w:rFonts w:asciiTheme="majorHAnsi" w:eastAsia="Times New Roman" w:hAnsiTheme="majorHAnsi" w:cs="Arial"/>
                <w:sz w:val="18"/>
                <w:szCs w:val="18"/>
              </w:rPr>
              <w:t>Assistant Executive Secretary</w:t>
            </w:r>
          </w:p>
        </w:tc>
        <w:tc>
          <w:tcPr>
            <w:tcW w:w="1313" w:type="dxa"/>
            <w:shd w:val="clear" w:color="auto" w:fill="auto"/>
            <w:noWrap/>
            <w:vAlign w:val="bottom"/>
            <w:hideMark/>
          </w:tcPr>
          <w:p w:rsidR="00744EE0" w:rsidRPr="00E060EE" w:rsidRDefault="00744EE0">
            <w:pPr>
              <w:spacing w:after="0" w:line="240" w:lineRule="auto"/>
              <w:jc w:val="right"/>
              <w:rPr>
                <w:rFonts w:asciiTheme="majorHAnsi" w:eastAsia="Times New Roman" w:hAnsiTheme="majorHAnsi" w:cs="Arial"/>
                <w:sz w:val="18"/>
                <w:szCs w:val="18"/>
              </w:rPr>
            </w:pPr>
            <w:r w:rsidRPr="00E060EE">
              <w:rPr>
                <w:rFonts w:asciiTheme="majorHAnsi" w:eastAsia="Times New Roman" w:hAnsiTheme="majorHAnsi" w:cs="Arial"/>
                <w:sz w:val="18"/>
                <w:szCs w:val="18"/>
              </w:rPr>
              <w:t>1</w:t>
            </w:r>
          </w:p>
        </w:tc>
        <w:tc>
          <w:tcPr>
            <w:tcW w:w="1313" w:type="dxa"/>
            <w:shd w:val="clear" w:color="auto" w:fill="auto"/>
            <w:noWrap/>
            <w:vAlign w:val="bottom"/>
            <w:hideMark/>
          </w:tcPr>
          <w:p w:rsidR="00744EE0" w:rsidRPr="00E060EE" w:rsidRDefault="00744EE0">
            <w:pPr>
              <w:spacing w:after="0" w:line="240" w:lineRule="auto"/>
              <w:jc w:val="right"/>
              <w:rPr>
                <w:rFonts w:asciiTheme="majorHAnsi" w:eastAsia="Times New Roman" w:hAnsiTheme="majorHAnsi" w:cs="Arial"/>
                <w:sz w:val="18"/>
                <w:szCs w:val="18"/>
              </w:rPr>
            </w:pPr>
            <w:r w:rsidRPr="00E060EE">
              <w:rPr>
                <w:rFonts w:asciiTheme="majorHAnsi" w:eastAsia="Times New Roman" w:hAnsiTheme="majorHAnsi" w:cs="Arial"/>
                <w:sz w:val="18"/>
                <w:szCs w:val="18"/>
              </w:rPr>
              <w:t>0</w:t>
            </w:r>
          </w:p>
        </w:tc>
        <w:tc>
          <w:tcPr>
            <w:tcW w:w="1779" w:type="dxa"/>
            <w:shd w:val="clear" w:color="auto" w:fill="auto"/>
            <w:noWrap/>
            <w:vAlign w:val="bottom"/>
            <w:hideMark/>
          </w:tcPr>
          <w:p w:rsidR="00744EE0" w:rsidRPr="00E060EE" w:rsidRDefault="00744EE0">
            <w:pPr>
              <w:spacing w:after="0" w:line="240" w:lineRule="auto"/>
              <w:jc w:val="right"/>
              <w:rPr>
                <w:rFonts w:asciiTheme="majorHAnsi" w:eastAsia="Times New Roman" w:hAnsiTheme="majorHAnsi" w:cs="Arial"/>
                <w:sz w:val="18"/>
                <w:szCs w:val="18"/>
              </w:rPr>
            </w:pPr>
            <w:r w:rsidRPr="00E060EE">
              <w:rPr>
                <w:rFonts w:asciiTheme="majorHAnsi" w:eastAsia="Times New Roman" w:hAnsiTheme="majorHAnsi" w:cs="Arial"/>
                <w:sz w:val="18"/>
                <w:szCs w:val="18"/>
              </w:rPr>
              <w:t>0</w:t>
            </w:r>
          </w:p>
        </w:tc>
        <w:tc>
          <w:tcPr>
            <w:tcW w:w="1128" w:type="dxa"/>
            <w:shd w:val="clear" w:color="auto" w:fill="auto"/>
            <w:noWrap/>
            <w:vAlign w:val="bottom"/>
            <w:hideMark/>
          </w:tcPr>
          <w:p w:rsidR="00744EE0" w:rsidRPr="00E060EE" w:rsidRDefault="00744EE0">
            <w:pPr>
              <w:spacing w:after="0" w:line="240" w:lineRule="auto"/>
              <w:jc w:val="right"/>
              <w:rPr>
                <w:rFonts w:asciiTheme="majorHAnsi" w:eastAsia="Times New Roman" w:hAnsiTheme="majorHAnsi" w:cs="Arial"/>
                <w:b/>
                <w:bCs/>
                <w:sz w:val="18"/>
                <w:szCs w:val="18"/>
              </w:rPr>
            </w:pPr>
            <w:r w:rsidRPr="00E060EE">
              <w:rPr>
                <w:rFonts w:asciiTheme="majorHAnsi" w:eastAsia="Times New Roman" w:hAnsiTheme="majorHAnsi" w:cs="Arial"/>
                <w:b/>
                <w:bCs/>
                <w:sz w:val="18"/>
                <w:szCs w:val="18"/>
              </w:rPr>
              <w:t>1</w:t>
            </w:r>
          </w:p>
        </w:tc>
      </w:tr>
      <w:tr w:rsidR="00744EE0" w:rsidRPr="00E060EE" w:rsidTr="00F5716D">
        <w:trPr>
          <w:trHeight w:val="255"/>
        </w:trPr>
        <w:tc>
          <w:tcPr>
            <w:tcW w:w="3950" w:type="dxa"/>
            <w:shd w:val="clear" w:color="auto" w:fill="auto"/>
            <w:noWrap/>
            <w:vAlign w:val="bottom"/>
            <w:hideMark/>
          </w:tcPr>
          <w:p w:rsidR="00744EE0" w:rsidRPr="00E060EE" w:rsidRDefault="00744EE0">
            <w:pPr>
              <w:spacing w:after="0" w:line="240" w:lineRule="auto"/>
              <w:rPr>
                <w:rFonts w:asciiTheme="majorHAnsi" w:eastAsia="Times New Roman" w:hAnsiTheme="majorHAnsi" w:cs="Arial"/>
                <w:sz w:val="18"/>
                <w:szCs w:val="18"/>
              </w:rPr>
            </w:pPr>
            <w:r w:rsidRPr="00E060EE">
              <w:rPr>
                <w:rFonts w:asciiTheme="majorHAnsi" w:eastAsia="Times New Roman" w:hAnsiTheme="majorHAnsi" w:cs="Arial"/>
                <w:sz w:val="18"/>
                <w:szCs w:val="18"/>
              </w:rPr>
              <w:t xml:space="preserve">Special Rapporteur </w:t>
            </w:r>
          </w:p>
        </w:tc>
        <w:tc>
          <w:tcPr>
            <w:tcW w:w="1313" w:type="dxa"/>
            <w:shd w:val="clear" w:color="auto" w:fill="auto"/>
            <w:noWrap/>
            <w:vAlign w:val="bottom"/>
            <w:hideMark/>
          </w:tcPr>
          <w:p w:rsidR="00744EE0" w:rsidRPr="00E060EE" w:rsidRDefault="00744EE0">
            <w:pPr>
              <w:spacing w:after="0" w:line="240" w:lineRule="auto"/>
              <w:jc w:val="right"/>
              <w:rPr>
                <w:rFonts w:asciiTheme="majorHAnsi" w:eastAsia="Times New Roman" w:hAnsiTheme="majorHAnsi" w:cs="Arial"/>
                <w:sz w:val="18"/>
                <w:szCs w:val="18"/>
              </w:rPr>
            </w:pPr>
            <w:r w:rsidRPr="00E060EE">
              <w:rPr>
                <w:rFonts w:asciiTheme="majorHAnsi" w:eastAsia="Times New Roman" w:hAnsiTheme="majorHAnsi" w:cs="Arial"/>
                <w:sz w:val="18"/>
                <w:szCs w:val="18"/>
              </w:rPr>
              <w:t>0</w:t>
            </w:r>
          </w:p>
        </w:tc>
        <w:tc>
          <w:tcPr>
            <w:tcW w:w="1313" w:type="dxa"/>
            <w:shd w:val="clear" w:color="auto" w:fill="auto"/>
            <w:noWrap/>
            <w:vAlign w:val="bottom"/>
            <w:hideMark/>
          </w:tcPr>
          <w:p w:rsidR="00744EE0" w:rsidRPr="00E060EE" w:rsidRDefault="00744EE0">
            <w:pPr>
              <w:spacing w:after="0" w:line="240" w:lineRule="auto"/>
              <w:jc w:val="right"/>
              <w:rPr>
                <w:rFonts w:asciiTheme="majorHAnsi" w:eastAsia="Times New Roman" w:hAnsiTheme="majorHAnsi" w:cs="Arial"/>
                <w:sz w:val="18"/>
                <w:szCs w:val="18"/>
              </w:rPr>
            </w:pPr>
            <w:r w:rsidRPr="00E060EE">
              <w:rPr>
                <w:rFonts w:asciiTheme="majorHAnsi" w:eastAsia="Times New Roman" w:hAnsiTheme="majorHAnsi" w:cs="Arial"/>
                <w:sz w:val="18"/>
                <w:szCs w:val="18"/>
              </w:rPr>
              <w:t>1</w:t>
            </w:r>
          </w:p>
        </w:tc>
        <w:tc>
          <w:tcPr>
            <w:tcW w:w="1779" w:type="dxa"/>
            <w:shd w:val="clear" w:color="auto" w:fill="auto"/>
            <w:noWrap/>
            <w:vAlign w:val="bottom"/>
            <w:hideMark/>
          </w:tcPr>
          <w:p w:rsidR="00744EE0" w:rsidRPr="00E060EE" w:rsidRDefault="00744EE0">
            <w:pPr>
              <w:spacing w:after="0" w:line="240" w:lineRule="auto"/>
              <w:jc w:val="right"/>
              <w:rPr>
                <w:rFonts w:asciiTheme="majorHAnsi" w:eastAsia="Times New Roman" w:hAnsiTheme="majorHAnsi" w:cs="Arial"/>
                <w:sz w:val="18"/>
                <w:szCs w:val="18"/>
              </w:rPr>
            </w:pPr>
            <w:r w:rsidRPr="00E060EE">
              <w:rPr>
                <w:rFonts w:asciiTheme="majorHAnsi" w:eastAsia="Times New Roman" w:hAnsiTheme="majorHAnsi" w:cs="Arial"/>
                <w:sz w:val="18"/>
                <w:szCs w:val="18"/>
              </w:rPr>
              <w:t>0</w:t>
            </w:r>
          </w:p>
        </w:tc>
        <w:tc>
          <w:tcPr>
            <w:tcW w:w="1128" w:type="dxa"/>
            <w:shd w:val="clear" w:color="auto" w:fill="auto"/>
            <w:noWrap/>
            <w:vAlign w:val="bottom"/>
            <w:hideMark/>
          </w:tcPr>
          <w:p w:rsidR="00744EE0" w:rsidRPr="00E060EE" w:rsidRDefault="00744EE0">
            <w:pPr>
              <w:spacing w:after="0" w:line="240" w:lineRule="auto"/>
              <w:jc w:val="right"/>
              <w:rPr>
                <w:rFonts w:asciiTheme="majorHAnsi" w:eastAsia="Times New Roman" w:hAnsiTheme="majorHAnsi" w:cs="Arial"/>
                <w:b/>
                <w:bCs/>
                <w:sz w:val="18"/>
                <w:szCs w:val="18"/>
              </w:rPr>
            </w:pPr>
            <w:r w:rsidRPr="00E060EE">
              <w:rPr>
                <w:rFonts w:asciiTheme="majorHAnsi" w:eastAsia="Times New Roman" w:hAnsiTheme="majorHAnsi" w:cs="Arial"/>
                <w:b/>
                <w:bCs/>
                <w:sz w:val="18"/>
                <w:szCs w:val="18"/>
              </w:rPr>
              <w:t>1</w:t>
            </w:r>
          </w:p>
        </w:tc>
      </w:tr>
      <w:tr w:rsidR="00744EE0" w:rsidRPr="00E060EE" w:rsidTr="00F5716D">
        <w:trPr>
          <w:trHeight w:val="255"/>
        </w:trPr>
        <w:tc>
          <w:tcPr>
            <w:tcW w:w="3950" w:type="dxa"/>
            <w:shd w:val="clear" w:color="auto" w:fill="auto"/>
            <w:noWrap/>
            <w:vAlign w:val="bottom"/>
            <w:hideMark/>
          </w:tcPr>
          <w:p w:rsidR="00744EE0" w:rsidRPr="00E060EE" w:rsidRDefault="00951039">
            <w:pPr>
              <w:spacing w:after="0" w:line="240" w:lineRule="auto"/>
              <w:rPr>
                <w:rFonts w:asciiTheme="majorHAnsi" w:eastAsia="Times New Roman" w:hAnsiTheme="majorHAnsi" w:cs="Arial"/>
                <w:sz w:val="18"/>
                <w:szCs w:val="18"/>
              </w:rPr>
            </w:pPr>
            <w:hyperlink r:id="rId9" w:history="1">
              <w:r w:rsidR="00744EE0" w:rsidRPr="00E060EE">
                <w:rPr>
                  <w:rFonts w:asciiTheme="majorHAnsi" w:eastAsia="Times New Roman" w:hAnsiTheme="majorHAnsi" w:cs="Arial"/>
                  <w:sz w:val="18"/>
                  <w:szCs w:val="18"/>
                </w:rPr>
                <w:t>Professionals</w:t>
              </w:r>
            </w:hyperlink>
          </w:p>
        </w:tc>
        <w:tc>
          <w:tcPr>
            <w:tcW w:w="1313" w:type="dxa"/>
            <w:shd w:val="clear" w:color="auto" w:fill="auto"/>
            <w:noWrap/>
            <w:vAlign w:val="bottom"/>
            <w:hideMark/>
          </w:tcPr>
          <w:p w:rsidR="00744EE0" w:rsidRPr="00E060EE" w:rsidRDefault="00744EE0">
            <w:pPr>
              <w:spacing w:after="0" w:line="240" w:lineRule="auto"/>
              <w:jc w:val="right"/>
              <w:rPr>
                <w:rFonts w:asciiTheme="majorHAnsi" w:eastAsia="Times New Roman" w:hAnsiTheme="majorHAnsi" w:cs="Arial"/>
                <w:sz w:val="18"/>
                <w:szCs w:val="18"/>
              </w:rPr>
            </w:pPr>
            <w:r w:rsidRPr="00E060EE">
              <w:rPr>
                <w:rFonts w:asciiTheme="majorHAnsi" w:eastAsia="Times New Roman" w:hAnsiTheme="majorHAnsi" w:cs="Arial"/>
                <w:sz w:val="18"/>
                <w:szCs w:val="18"/>
              </w:rPr>
              <w:t>19</w:t>
            </w:r>
          </w:p>
        </w:tc>
        <w:tc>
          <w:tcPr>
            <w:tcW w:w="1313" w:type="dxa"/>
            <w:shd w:val="clear" w:color="auto" w:fill="auto"/>
            <w:noWrap/>
            <w:vAlign w:val="bottom"/>
            <w:hideMark/>
          </w:tcPr>
          <w:p w:rsidR="00744EE0" w:rsidRPr="00E060EE" w:rsidRDefault="00744EE0">
            <w:pPr>
              <w:spacing w:after="0" w:line="240" w:lineRule="auto"/>
              <w:jc w:val="right"/>
              <w:rPr>
                <w:rFonts w:asciiTheme="majorHAnsi" w:eastAsia="Times New Roman" w:hAnsiTheme="majorHAnsi" w:cs="Arial"/>
                <w:sz w:val="18"/>
                <w:szCs w:val="18"/>
              </w:rPr>
            </w:pPr>
            <w:r w:rsidRPr="00E060EE">
              <w:rPr>
                <w:rFonts w:asciiTheme="majorHAnsi" w:eastAsia="Times New Roman" w:hAnsiTheme="majorHAnsi" w:cs="Arial"/>
                <w:sz w:val="18"/>
                <w:szCs w:val="18"/>
              </w:rPr>
              <w:t>19</w:t>
            </w:r>
          </w:p>
        </w:tc>
        <w:tc>
          <w:tcPr>
            <w:tcW w:w="1779" w:type="dxa"/>
            <w:shd w:val="clear" w:color="auto" w:fill="auto"/>
            <w:noWrap/>
            <w:vAlign w:val="bottom"/>
            <w:hideMark/>
          </w:tcPr>
          <w:p w:rsidR="00744EE0" w:rsidRPr="00E060EE" w:rsidRDefault="00744EE0">
            <w:pPr>
              <w:spacing w:after="0" w:line="240" w:lineRule="auto"/>
              <w:jc w:val="right"/>
              <w:rPr>
                <w:rFonts w:asciiTheme="majorHAnsi" w:eastAsia="Times New Roman" w:hAnsiTheme="majorHAnsi" w:cs="Arial"/>
                <w:sz w:val="18"/>
                <w:szCs w:val="18"/>
              </w:rPr>
            </w:pPr>
            <w:r w:rsidRPr="00E060EE">
              <w:rPr>
                <w:rFonts w:asciiTheme="majorHAnsi" w:eastAsia="Times New Roman" w:hAnsiTheme="majorHAnsi" w:cs="Arial"/>
                <w:sz w:val="18"/>
                <w:szCs w:val="18"/>
              </w:rPr>
              <w:t>1</w:t>
            </w:r>
          </w:p>
        </w:tc>
        <w:tc>
          <w:tcPr>
            <w:tcW w:w="1128" w:type="dxa"/>
            <w:shd w:val="clear" w:color="auto" w:fill="auto"/>
            <w:noWrap/>
            <w:vAlign w:val="bottom"/>
            <w:hideMark/>
          </w:tcPr>
          <w:p w:rsidR="00744EE0" w:rsidRPr="00E060EE" w:rsidRDefault="00744EE0">
            <w:pPr>
              <w:spacing w:after="0" w:line="240" w:lineRule="auto"/>
              <w:jc w:val="right"/>
              <w:rPr>
                <w:rFonts w:asciiTheme="majorHAnsi" w:eastAsia="Times New Roman" w:hAnsiTheme="majorHAnsi" w:cs="Arial"/>
                <w:b/>
                <w:bCs/>
                <w:sz w:val="18"/>
                <w:szCs w:val="18"/>
              </w:rPr>
            </w:pPr>
            <w:r w:rsidRPr="00E060EE">
              <w:rPr>
                <w:rFonts w:asciiTheme="majorHAnsi" w:eastAsia="Times New Roman" w:hAnsiTheme="majorHAnsi" w:cs="Arial"/>
                <w:b/>
                <w:bCs/>
                <w:sz w:val="18"/>
                <w:szCs w:val="18"/>
              </w:rPr>
              <w:t>39</w:t>
            </w:r>
          </w:p>
        </w:tc>
      </w:tr>
      <w:tr w:rsidR="00744EE0" w:rsidRPr="00E060EE" w:rsidTr="00F5716D">
        <w:trPr>
          <w:trHeight w:val="255"/>
        </w:trPr>
        <w:tc>
          <w:tcPr>
            <w:tcW w:w="3950" w:type="dxa"/>
            <w:shd w:val="clear" w:color="auto" w:fill="auto"/>
            <w:noWrap/>
            <w:vAlign w:val="bottom"/>
            <w:hideMark/>
          </w:tcPr>
          <w:p w:rsidR="00744EE0" w:rsidRPr="00E060EE" w:rsidRDefault="00744EE0">
            <w:pPr>
              <w:spacing w:after="0" w:line="240" w:lineRule="auto"/>
              <w:rPr>
                <w:rFonts w:asciiTheme="majorHAnsi" w:eastAsia="Times New Roman" w:hAnsiTheme="majorHAnsi" w:cs="Arial"/>
                <w:sz w:val="18"/>
                <w:szCs w:val="18"/>
              </w:rPr>
            </w:pPr>
            <w:r w:rsidRPr="00E060EE">
              <w:rPr>
                <w:rFonts w:asciiTheme="majorHAnsi" w:eastAsia="Times New Roman" w:hAnsiTheme="majorHAnsi" w:cs="Arial"/>
                <w:sz w:val="18"/>
                <w:szCs w:val="18"/>
              </w:rPr>
              <w:t>Administrative Staff</w:t>
            </w:r>
          </w:p>
        </w:tc>
        <w:tc>
          <w:tcPr>
            <w:tcW w:w="1313" w:type="dxa"/>
            <w:shd w:val="clear" w:color="auto" w:fill="auto"/>
            <w:noWrap/>
            <w:vAlign w:val="bottom"/>
            <w:hideMark/>
          </w:tcPr>
          <w:p w:rsidR="00744EE0" w:rsidRPr="00E060EE" w:rsidRDefault="00744EE0">
            <w:pPr>
              <w:spacing w:after="0" w:line="240" w:lineRule="auto"/>
              <w:jc w:val="right"/>
              <w:rPr>
                <w:rFonts w:asciiTheme="majorHAnsi" w:eastAsia="Times New Roman" w:hAnsiTheme="majorHAnsi" w:cs="Arial"/>
                <w:sz w:val="18"/>
                <w:szCs w:val="18"/>
              </w:rPr>
            </w:pPr>
            <w:r w:rsidRPr="00E060EE">
              <w:rPr>
                <w:rFonts w:asciiTheme="majorHAnsi" w:eastAsia="Times New Roman" w:hAnsiTheme="majorHAnsi" w:cs="Arial"/>
                <w:sz w:val="18"/>
                <w:szCs w:val="18"/>
              </w:rPr>
              <w:t>10</w:t>
            </w:r>
          </w:p>
        </w:tc>
        <w:tc>
          <w:tcPr>
            <w:tcW w:w="1313" w:type="dxa"/>
            <w:shd w:val="clear" w:color="auto" w:fill="auto"/>
            <w:noWrap/>
            <w:vAlign w:val="bottom"/>
            <w:hideMark/>
          </w:tcPr>
          <w:p w:rsidR="00744EE0" w:rsidRPr="00E060EE" w:rsidRDefault="00744EE0">
            <w:pPr>
              <w:spacing w:after="0" w:line="240" w:lineRule="auto"/>
              <w:jc w:val="right"/>
              <w:rPr>
                <w:rFonts w:asciiTheme="majorHAnsi" w:eastAsia="Times New Roman" w:hAnsiTheme="majorHAnsi" w:cs="Arial"/>
                <w:sz w:val="18"/>
                <w:szCs w:val="18"/>
              </w:rPr>
            </w:pPr>
            <w:r w:rsidRPr="00E060EE">
              <w:rPr>
                <w:rFonts w:asciiTheme="majorHAnsi" w:eastAsia="Times New Roman" w:hAnsiTheme="majorHAnsi" w:cs="Arial"/>
                <w:sz w:val="18"/>
                <w:szCs w:val="18"/>
              </w:rPr>
              <w:t>4</w:t>
            </w:r>
          </w:p>
        </w:tc>
        <w:tc>
          <w:tcPr>
            <w:tcW w:w="1779" w:type="dxa"/>
            <w:shd w:val="clear" w:color="auto" w:fill="auto"/>
            <w:noWrap/>
            <w:vAlign w:val="bottom"/>
            <w:hideMark/>
          </w:tcPr>
          <w:p w:rsidR="00744EE0" w:rsidRPr="00E060EE" w:rsidRDefault="00744EE0">
            <w:pPr>
              <w:spacing w:after="0" w:line="240" w:lineRule="auto"/>
              <w:jc w:val="right"/>
              <w:rPr>
                <w:rFonts w:asciiTheme="majorHAnsi" w:eastAsia="Times New Roman" w:hAnsiTheme="majorHAnsi" w:cs="Arial"/>
                <w:sz w:val="18"/>
                <w:szCs w:val="18"/>
              </w:rPr>
            </w:pPr>
            <w:r w:rsidRPr="00E060EE">
              <w:rPr>
                <w:rFonts w:asciiTheme="majorHAnsi" w:eastAsia="Times New Roman" w:hAnsiTheme="majorHAnsi" w:cs="Arial"/>
                <w:sz w:val="18"/>
                <w:szCs w:val="18"/>
              </w:rPr>
              <w:t>0</w:t>
            </w:r>
          </w:p>
        </w:tc>
        <w:tc>
          <w:tcPr>
            <w:tcW w:w="1128" w:type="dxa"/>
            <w:shd w:val="clear" w:color="auto" w:fill="auto"/>
            <w:noWrap/>
            <w:vAlign w:val="bottom"/>
            <w:hideMark/>
          </w:tcPr>
          <w:p w:rsidR="00744EE0" w:rsidRPr="00E060EE" w:rsidRDefault="00744EE0">
            <w:pPr>
              <w:spacing w:after="0" w:line="240" w:lineRule="auto"/>
              <w:jc w:val="right"/>
              <w:rPr>
                <w:rFonts w:asciiTheme="majorHAnsi" w:eastAsia="Times New Roman" w:hAnsiTheme="majorHAnsi" w:cs="Arial"/>
                <w:b/>
                <w:bCs/>
                <w:sz w:val="18"/>
                <w:szCs w:val="18"/>
              </w:rPr>
            </w:pPr>
            <w:r w:rsidRPr="00E060EE">
              <w:rPr>
                <w:rFonts w:asciiTheme="majorHAnsi" w:eastAsia="Times New Roman" w:hAnsiTheme="majorHAnsi" w:cs="Arial"/>
                <w:b/>
                <w:bCs/>
                <w:sz w:val="18"/>
                <w:szCs w:val="18"/>
              </w:rPr>
              <w:t>14</w:t>
            </w:r>
          </w:p>
        </w:tc>
      </w:tr>
      <w:tr w:rsidR="00744EE0" w:rsidRPr="00E060EE" w:rsidTr="00F5716D">
        <w:trPr>
          <w:trHeight w:val="255"/>
        </w:trPr>
        <w:tc>
          <w:tcPr>
            <w:tcW w:w="3950" w:type="dxa"/>
            <w:shd w:val="clear" w:color="000000" w:fill="969696"/>
            <w:noWrap/>
            <w:vAlign w:val="bottom"/>
            <w:hideMark/>
          </w:tcPr>
          <w:p w:rsidR="00744EE0" w:rsidRPr="00E060EE" w:rsidRDefault="00744EE0">
            <w:pPr>
              <w:spacing w:after="0" w:line="240" w:lineRule="auto"/>
              <w:rPr>
                <w:rFonts w:asciiTheme="majorHAnsi" w:eastAsia="Times New Roman" w:hAnsiTheme="majorHAnsi" w:cs="Arial"/>
                <w:b/>
                <w:bCs/>
                <w:sz w:val="18"/>
                <w:szCs w:val="18"/>
              </w:rPr>
            </w:pPr>
            <w:r w:rsidRPr="00E060EE">
              <w:rPr>
                <w:rFonts w:asciiTheme="majorHAnsi" w:eastAsia="Times New Roman" w:hAnsiTheme="majorHAnsi" w:cs="Arial"/>
                <w:b/>
                <w:bCs/>
                <w:sz w:val="18"/>
                <w:szCs w:val="18"/>
              </w:rPr>
              <w:t>Subtotal Staff</w:t>
            </w:r>
          </w:p>
        </w:tc>
        <w:tc>
          <w:tcPr>
            <w:tcW w:w="1313" w:type="dxa"/>
            <w:shd w:val="clear" w:color="000000" w:fill="969696"/>
            <w:noWrap/>
            <w:vAlign w:val="bottom"/>
            <w:hideMark/>
          </w:tcPr>
          <w:p w:rsidR="00744EE0" w:rsidRPr="00E060EE" w:rsidRDefault="00744EE0">
            <w:pPr>
              <w:spacing w:after="0" w:line="240" w:lineRule="auto"/>
              <w:jc w:val="right"/>
              <w:rPr>
                <w:rFonts w:asciiTheme="majorHAnsi" w:eastAsia="Times New Roman" w:hAnsiTheme="majorHAnsi" w:cs="Arial"/>
                <w:b/>
                <w:bCs/>
                <w:sz w:val="18"/>
                <w:szCs w:val="18"/>
              </w:rPr>
            </w:pPr>
            <w:r w:rsidRPr="00E060EE">
              <w:rPr>
                <w:rFonts w:asciiTheme="majorHAnsi" w:eastAsia="Times New Roman" w:hAnsiTheme="majorHAnsi" w:cs="Arial"/>
                <w:b/>
                <w:bCs/>
                <w:sz w:val="18"/>
                <w:szCs w:val="18"/>
              </w:rPr>
              <w:t>31</w:t>
            </w:r>
          </w:p>
        </w:tc>
        <w:tc>
          <w:tcPr>
            <w:tcW w:w="1313" w:type="dxa"/>
            <w:shd w:val="clear" w:color="000000" w:fill="969696"/>
            <w:noWrap/>
            <w:vAlign w:val="bottom"/>
            <w:hideMark/>
          </w:tcPr>
          <w:p w:rsidR="00744EE0" w:rsidRPr="00E060EE" w:rsidRDefault="00744EE0">
            <w:pPr>
              <w:spacing w:after="0" w:line="240" w:lineRule="auto"/>
              <w:jc w:val="right"/>
              <w:rPr>
                <w:rFonts w:asciiTheme="majorHAnsi" w:eastAsia="Times New Roman" w:hAnsiTheme="majorHAnsi" w:cs="Arial"/>
                <w:b/>
                <w:bCs/>
                <w:sz w:val="18"/>
                <w:szCs w:val="18"/>
              </w:rPr>
            </w:pPr>
            <w:r w:rsidRPr="00E060EE">
              <w:rPr>
                <w:rFonts w:asciiTheme="majorHAnsi" w:eastAsia="Times New Roman" w:hAnsiTheme="majorHAnsi" w:cs="Arial"/>
                <w:b/>
                <w:bCs/>
                <w:sz w:val="18"/>
                <w:szCs w:val="18"/>
              </w:rPr>
              <w:t>24</w:t>
            </w:r>
          </w:p>
        </w:tc>
        <w:tc>
          <w:tcPr>
            <w:tcW w:w="1779" w:type="dxa"/>
            <w:shd w:val="clear" w:color="000000" w:fill="969696"/>
            <w:noWrap/>
            <w:vAlign w:val="bottom"/>
            <w:hideMark/>
          </w:tcPr>
          <w:p w:rsidR="00744EE0" w:rsidRPr="00E060EE" w:rsidRDefault="00744EE0">
            <w:pPr>
              <w:spacing w:after="0" w:line="240" w:lineRule="auto"/>
              <w:jc w:val="right"/>
              <w:rPr>
                <w:rFonts w:asciiTheme="majorHAnsi" w:eastAsia="Times New Roman" w:hAnsiTheme="majorHAnsi" w:cs="Arial"/>
                <w:b/>
                <w:bCs/>
                <w:sz w:val="18"/>
                <w:szCs w:val="18"/>
              </w:rPr>
            </w:pPr>
            <w:r w:rsidRPr="00E060EE">
              <w:rPr>
                <w:rFonts w:asciiTheme="majorHAnsi" w:eastAsia="Times New Roman" w:hAnsiTheme="majorHAnsi" w:cs="Arial"/>
                <w:b/>
                <w:bCs/>
                <w:sz w:val="18"/>
                <w:szCs w:val="18"/>
              </w:rPr>
              <w:t>1</w:t>
            </w:r>
          </w:p>
        </w:tc>
        <w:tc>
          <w:tcPr>
            <w:tcW w:w="1128" w:type="dxa"/>
            <w:shd w:val="clear" w:color="000000" w:fill="969696"/>
            <w:noWrap/>
            <w:vAlign w:val="bottom"/>
            <w:hideMark/>
          </w:tcPr>
          <w:p w:rsidR="00744EE0" w:rsidRPr="00E060EE" w:rsidRDefault="00744EE0">
            <w:pPr>
              <w:spacing w:after="0" w:line="240" w:lineRule="auto"/>
              <w:jc w:val="right"/>
              <w:rPr>
                <w:rFonts w:asciiTheme="majorHAnsi" w:eastAsia="Times New Roman" w:hAnsiTheme="majorHAnsi" w:cs="Arial"/>
                <w:b/>
                <w:bCs/>
                <w:sz w:val="18"/>
                <w:szCs w:val="18"/>
              </w:rPr>
            </w:pPr>
            <w:r w:rsidRPr="00E060EE">
              <w:rPr>
                <w:rFonts w:asciiTheme="majorHAnsi" w:eastAsia="Times New Roman" w:hAnsiTheme="majorHAnsi" w:cs="Arial"/>
                <w:b/>
                <w:bCs/>
                <w:sz w:val="18"/>
                <w:szCs w:val="18"/>
              </w:rPr>
              <w:t>56</w:t>
            </w:r>
          </w:p>
        </w:tc>
      </w:tr>
      <w:tr w:rsidR="00744EE0" w:rsidRPr="00E060EE" w:rsidTr="00F5716D">
        <w:trPr>
          <w:trHeight w:val="255"/>
        </w:trPr>
        <w:tc>
          <w:tcPr>
            <w:tcW w:w="3950" w:type="dxa"/>
            <w:shd w:val="clear" w:color="auto" w:fill="auto"/>
            <w:noWrap/>
            <w:vAlign w:val="bottom"/>
            <w:hideMark/>
          </w:tcPr>
          <w:p w:rsidR="00744EE0" w:rsidRPr="00E060EE" w:rsidRDefault="00744EE0">
            <w:pPr>
              <w:spacing w:after="0" w:line="240" w:lineRule="auto"/>
              <w:rPr>
                <w:rFonts w:asciiTheme="majorHAnsi" w:eastAsia="Times New Roman" w:hAnsiTheme="majorHAnsi" w:cs="Arial"/>
                <w:sz w:val="18"/>
                <w:szCs w:val="18"/>
              </w:rPr>
            </w:pPr>
            <w:r w:rsidRPr="00E060EE">
              <w:rPr>
                <w:rFonts w:asciiTheme="majorHAnsi" w:eastAsia="Times New Roman" w:hAnsiTheme="majorHAnsi" w:cs="Arial"/>
                <w:sz w:val="18"/>
                <w:szCs w:val="18"/>
              </w:rPr>
              <w:t>IACHR Performance Contracts</w:t>
            </w:r>
          </w:p>
        </w:tc>
        <w:tc>
          <w:tcPr>
            <w:tcW w:w="1313" w:type="dxa"/>
            <w:shd w:val="clear" w:color="auto" w:fill="auto"/>
            <w:noWrap/>
            <w:vAlign w:val="bottom"/>
            <w:hideMark/>
          </w:tcPr>
          <w:p w:rsidR="00744EE0" w:rsidRPr="00E060EE" w:rsidRDefault="00744EE0">
            <w:pPr>
              <w:spacing w:after="0" w:line="240" w:lineRule="auto"/>
              <w:jc w:val="right"/>
              <w:rPr>
                <w:rFonts w:asciiTheme="majorHAnsi" w:eastAsia="Times New Roman" w:hAnsiTheme="majorHAnsi" w:cs="Arial"/>
                <w:sz w:val="18"/>
                <w:szCs w:val="18"/>
              </w:rPr>
            </w:pPr>
            <w:r w:rsidRPr="00E060EE">
              <w:rPr>
                <w:rFonts w:asciiTheme="majorHAnsi" w:eastAsia="Times New Roman" w:hAnsiTheme="majorHAnsi" w:cs="Arial"/>
                <w:sz w:val="18"/>
                <w:szCs w:val="18"/>
              </w:rPr>
              <w:t>0</w:t>
            </w:r>
          </w:p>
        </w:tc>
        <w:tc>
          <w:tcPr>
            <w:tcW w:w="1313" w:type="dxa"/>
            <w:shd w:val="clear" w:color="auto" w:fill="auto"/>
            <w:noWrap/>
            <w:vAlign w:val="bottom"/>
            <w:hideMark/>
          </w:tcPr>
          <w:p w:rsidR="00744EE0" w:rsidRPr="00E060EE" w:rsidRDefault="00744EE0">
            <w:pPr>
              <w:spacing w:after="0" w:line="240" w:lineRule="auto"/>
              <w:jc w:val="right"/>
              <w:rPr>
                <w:rFonts w:asciiTheme="majorHAnsi" w:eastAsia="Times New Roman" w:hAnsiTheme="majorHAnsi" w:cs="Arial"/>
                <w:sz w:val="18"/>
                <w:szCs w:val="18"/>
              </w:rPr>
            </w:pPr>
            <w:r w:rsidRPr="00E060EE">
              <w:rPr>
                <w:rFonts w:asciiTheme="majorHAnsi" w:eastAsia="Times New Roman" w:hAnsiTheme="majorHAnsi" w:cs="Arial"/>
                <w:sz w:val="18"/>
                <w:szCs w:val="18"/>
              </w:rPr>
              <w:t>15</w:t>
            </w:r>
          </w:p>
        </w:tc>
        <w:tc>
          <w:tcPr>
            <w:tcW w:w="1779" w:type="dxa"/>
            <w:shd w:val="clear" w:color="auto" w:fill="auto"/>
            <w:noWrap/>
            <w:vAlign w:val="bottom"/>
            <w:hideMark/>
          </w:tcPr>
          <w:p w:rsidR="00744EE0" w:rsidRPr="00E060EE" w:rsidRDefault="00744EE0">
            <w:pPr>
              <w:spacing w:after="0" w:line="240" w:lineRule="auto"/>
              <w:rPr>
                <w:rFonts w:asciiTheme="majorHAnsi" w:eastAsia="Times New Roman" w:hAnsiTheme="majorHAnsi" w:cs="Arial"/>
                <w:sz w:val="18"/>
                <w:szCs w:val="18"/>
              </w:rPr>
            </w:pPr>
            <w:r w:rsidRPr="00E060EE">
              <w:rPr>
                <w:rFonts w:asciiTheme="majorHAnsi" w:eastAsia="Times New Roman" w:hAnsiTheme="majorHAnsi" w:cs="Arial"/>
                <w:sz w:val="18"/>
                <w:szCs w:val="18"/>
              </w:rPr>
              <w:t> </w:t>
            </w:r>
          </w:p>
        </w:tc>
        <w:tc>
          <w:tcPr>
            <w:tcW w:w="1128" w:type="dxa"/>
            <w:shd w:val="clear" w:color="auto" w:fill="auto"/>
            <w:noWrap/>
            <w:vAlign w:val="bottom"/>
            <w:hideMark/>
          </w:tcPr>
          <w:p w:rsidR="00744EE0" w:rsidRPr="00E060EE" w:rsidRDefault="00744EE0">
            <w:pPr>
              <w:spacing w:after="0" w:line="240" w:lineRule="auto"/>
              <w:jc w:val="right"/>
              <w:rPr>
                <w:rFonts w:asciiTheme="majorHAnsi" w:eastAsia="Times New Roman" w:hAnsiTheme="majorHAnsi" w:cs="Arial"/>
                <w:b/>
                <w:bCs/>
                <w:sz w:val="18"/>
                <w:szCs w:val="18"/>
              </w:rPr>
            </w:pPr>
            <w:r w:rsidRPr="00E060EE">
              <w:rPr>
                <w:rFonts w:asciiTheme="majorHAnsi" w:eastAsia="Times New Roman" w:hAnsiTheme="majorHAnsi" w:cs="Arial"/>
                <w:b/>
                <w:bCs/>
                <w:sz w:val="18"/>
                <w:szCs w:val="18"/>
              </w:rPr>
              <w:t>15</w:t>
            </w:r>
          </w:p>
        </w:tc>
      </w:tr>
      <w:tr w:rsidR="00744EE0" w:rsidRPr="00E060EE" w:rsidTr="00F5716D">
        <w:trPr>
          <w:trHeight w:val="255"/>
        </w:trPr>
        <w:tc>
          <w:tcPr>
            <w:tcW w:w="3950" w:type="dxa"/>
            <w:shd w:val="clear" w:color="auto" w:fill="auto"/>
            <w:noWrap/>
            <w:vAlign w:val="bottom"/>
            <w:hideMark/>
          </w:tcPr>
          <w:p w:rsidR="00744EE0" w:rsidRPr="00E060EE" w:rsidRDefault="00744EE0">
            <w:pPr>
              <w:spacing w:after="0" w:line="240" w:lineRule="auto"/>
              <w:rPr>
                <w:rFonts w:asciiTheme="majorHAnsi" w:eastAsia="Times New Roman" w:hAnsiTheme="majorHAnsi" w:cs="Arial"/>
                <w:sz w:val="18"/>
                <w:szCs w:val="18"/>
              </w:rPr>
            </w:pPr>
            <w:r w:rsidRPr="00E060EE">
              <w:rPr>
                <w:rFonts w:asciiTheme="majorHAnsi" w:eastAsia="Times New Roman" w:hAnsiTheme="majorHAnsi" w:cs="Arial"/>
                <w:sz w:val="18"/>
                <w:szCs w:val="18"/>
              </w:rPr>
              <w:t>Associate Personnel</w:t>
            </w:r>
          </w:p>
        </w:tc>
        <w:tc>
          <w:tcPr>
            <w:tcW w:w="1313" w:type="dxa"/>
            <w:shd w:val="clear" w:color="auto" w:fill="auto"/>
            <w:noWrap/>
            <w:vAlign w:val="bottom"/>
            <w:hideMark/>
          </w:tcPr>
          <w:p w:rsidR="00744EE0" w:rsidRPr="00E060EE" w:rsidRDefault="00744EE0">
            <w:pPr>
              <w:spacing w:after="0" w:line="240" w:lineRule="auto"/>
              <w:jc w:val="right"/>
              <w:rPr>
                <w:rFonts w:asciiTheme="majorHAnsi" w:eastAsia="Times New Roman" w:hAnsiTheme="majorHAnsi" w:cs="Arial"/>
                <w:sz w:val="18"/>
                <w:szCs w:val="18"/>
              </w:rPr>
            </w:pPr>
            <w:r w:rsidRPr="00E060EE">
              <w:rPr>
                <w:rFonts w:asciiTheme="majorHAnsi" w:eastAsia="Times New Roman" w:hAnsiTheme="majorHAnsi" w:cs="Arial"/>
                <w:sz w:val="18"/>
                <w:szCs w:val="18"/>
              </w:rPr>
              <w:t>0</w:t>
            </w:r>
          </w:p>
        </w:tc>
        <w:tc>
          <w:tcPr>
            <w:tcW w:w="1313" w:type="dxa"/>
            <w:shd w:val="clear" w:color="auto" w:fill="auto"/>
            <w:noWrap/>
            <w:vAlign w:val="bottom"/>
            <w:hideMark/>
          </w:tcPr>
          <w:p w:rsidR="00744EE0" w:rsidRPr="00E060EE" w:rsidRDefault="00744EE0">
            <w:pPr>
              <w:spacing w:after="0" w:line="240" w:lineRule="auto"/>
              <w:jc w:val="right"/>
              <w:rPr>
                <w:rFonts w:asciiTheme="majorHAnsi" w:eastAsia="Times New Roman" w:hAnsiTheme="majorHAnsi" w:cs="Arial"/>
                <w:sz w:val="18"/>
                <w:szCs w:val="18"/>
              </w:rPr>
            </w:pPr>
            <w:r w:rsidRPr="00E060EE">
              <w:rPr>
                <w:rFonts w:asciiTheme="majorHAnsi" w:eastAsia="Times New Roman" w:hAnsiTheme="majorHAnsi" w:cs="Arial"/>
                <w:sz w:val="18"/>
                <w:szCs w:val="18"/>
              </w:rPr>
              <w:t>4</w:t>
            </w:r>
          </w:p>
        </w:tc>
        <w:tc>
          <w:tcPr>
            <w:tcW w:w="1779" w:type="dxa"/>
            <w:shd w:val="clear" w:color="auto" w:fill="auto"/>
            <w:noWrap/>
            <w:vAlign w:val="bottom"/>
            <w:hideMark/>
          </w:tcPr>
          <w:p w:rsidR="00744EE0" w:rsidRPr="00E060EE" w:rsidRDefault="00744EE0">
            <w:pPr>
              <w:spacing w:after="0" w:line="240" w:lineRule="auto"/>
              <w:jc w:val="right"/>
              <w:rPr>
                <w:rFonts w:asciiTheme="majorHAnsi" w:eastAsia="Times New Roman" w:hAnsiTheme="majorHAnsi" w:cs="Arial"/>
                <w:sz w:val="18"/>
                <w:szCs w:val="18"/>
              </w:rPr>
            </w:pPr>
            <w:r w:rsidRPr="00E060EE">
              <w:rPr>
                <w:rFonts w:asciiTheme="majorHAnsi" w:eastAsia="Times New Roman" w:hAnsiTheme="majorHAnsi" w:cs="Arial"/>
                <w:sz w:val="18"/>
                <w:szCs w:val="18"/>
              </w:rPr>
              <w:t>0</w:t>
            </w:r>
          </w:p>
        </w:tc>
        <w:tc>
          <w:tcPr>
            <w:tcW w:w="1128" w:type="dxa"/>
            <w:shd w:val="clear" w:color="auto" w:fill="auto"/>
            <w:noWrap/>
            <w:vAlign w:val="bottom"/>
            <w:hideMark/>
          </w:tcPr>
          <w:p w:rsidR="00744EE0" w:rsidRPr="00E060EE" w:rsidRDefault="00744EE0">
            <w:pPr>
              <w:spacing w:after="0" w:line="240" w:lineRule="auto"/>
              <w:jc w:val="right"/>
              <w:rPr>
                <w:rFonts w:asciiTheme="majorHAnsi" w:eastAsia="Times New Roman" w:hAnsiTheme="majorHAnsi" w:cs="Arial"/>
                <w:b/>
                <w:bCs/>
                <w:sz w:val="18"/>
                <w:szCs w:val="18"/>
              </w:rPr>
            </w:pPr>
            <w:r w:rsidRPr="00E060EE">
              <w:rPr>
                <w:rFonts w:asciiTheme="majorHAnsi" w:eastAsia="Times New Roman" w:hAnsiTheme="majorHAnsi" w:cs="Arial"/>
                <w:b/>
                <w:bCs/>
                <w:sz w:val="18"/>
                <w:szCs w:val="18"/>
              </w:rPr>
              <w:t>4</w:t>
            </w:r>
          </w:p>
        </w:tc>
      </w:tr>
      <w:tr w:rsidR="00744EE0" w:rsidRPr="00E060EE" w:rsidTr="00F5716D">
        <w:trPr>
          <w:trHeight w:val="341"/>
        </w:trPr>
        <w:tc>
          <w:tcPr>
            <w:tcW w:w="3950" w:type="dxa"/>
            <w:shd w:val="clear" w:color="000000" w:fill="FF6600"/>
            <w:noWrap/>
            <w:vAlign w:val="center"/>
            <w:hideMark/>
          </w:tcPr>
          <w:p w:rsidR="00744EE0" w:rsidRPr="00E060EE" w:rsidRDefault="00744EE0">
            <w:pPr>
              <w:spacing w:after="0" w:line="240" w:lineRule="auto"/>
              <w:rPr>
                <w:rFonts w:asciiTheme="majorHAnsi" w:eastAsia="Times New Roman" w:hAnsiTheme="majorHAnsi" w:cs="Arial"/>
                <w:b/>
                <w:bCs/>
                <w:sz w:val="18"/>
                <w:szCs w:val="18"/>
              </w:rPr>
            </w:pPr>
            <w:r w:rsidRPr="00E060EE">
              <w:rPr>
                <w:rFonts w:asciiTheme="majorHAnsi" w:eastAsia="Times New Roman" w:hAnsiTheme="majorHAnsi" w:cs="Arial"/>
                <w:b/>
                <w:bCs/>
                <w:sz w:val="18"/>
                <w:szCs w:val="18"/>
              </w:rPr>
              <w:t>Total</w:t>
            </w:r>
          </w:p>
        </w:tc>
        <w:tc>
          <w:tcPr>
            <w:tcW w:w="1313" w:type="dxa"/>
            <w:shd w:val="clear" w:color="000000" w:fill="FF6600"/>
            <w:noWrap/>
            <w:vAlign w:val="center"/>
            <w:hideMark/>
          </w:tcPr>
          <w:p w:rsidR="00744EE0" w:rsidRPr="00E060EE" w:rsidRDefault="00744EE0" w:rsidP="00F5716D">
            <w:pPr>
              <w:spacing w:after="0" w:line="240" w:lineRule="auto"/>
              <w:jc w:val="center"/>
              <w:rPr>
                <w:rFonts w:asciiTheme="majorHAnsi" w:eastAsia="Times New Roman" w:hAnsiTheme="majorHAnsi" w:cs="Arial"/>
                <w:b/>
                <w:bCs/>
                <w:sz w:val="18"/>
                <w:szCs w:val="18"/>
              </w:rPr>
            </w:pPr>
            <w:r w:rsidRPr="00E060EE">
              <w:rPr>
                <w:rFonts w:asciiTheme="majorHAnsi" w:eastAsia="Times New Roman" w:hAnsiTheme="majorHAnsi" w:cs="Arial"/>
                <w:b/>
                <w:bCs/>
                <w:sz w:val="18"/>
                <w:szCs w:val="18"/>
              </w:rPr>
              <w:t>31</w:t>
            </w:r>
          </w:p>
        </w:tc>
        <w:tc>
          <w:tcPr>
            <w:tcW w:w="1313" w:type="dxa"/>
            <w:shd w:val="clear" w:color="000000" w:fill="FF6600"/>
            <w:noWrap/>
            <w:vAlign w:val="center"/>
            <w:hideMark/>
          </w:tcPr>
          <w:p w:rsidR="00744EE0" w:rsidRPr="00E060EE" w:rsidRDefault="00744EE0" w:rsidP="00F5716D">
            <w:pPr>
              <w:spacing w:after="0" w:line="240" w:lineRule="auto"/>
              <w:jc w:val="center"/>
              <w:rPr>
                <w:rFonts w:asciiTheme="majorHAnsi" w:eastAsia="Times New Roman" w:hAnsiTheme="majorHAnsi" w:cs="Arial"/>
                <w:b/>
                <w:bCs/>
                <w:sz w:val="18"/>
                <w:szCs w:val="18"/>
              </w:rPr>
            </w:pPr>
            <w:r w:rsidRPr="00E060EE">
              <w:rPr>
                <w:rFonts w:asciiTheme="majorHAnsi" w:eastAsia="Times New Roman" w:hAnsiTheme="majorHAnsi" w:cs="Arial"/>
                <w:b/>
                <w:bCs/>
                <w:sz w:val="18"/>
                <w:szCs w:val="18"/>
              </w:rPr>
              <w:t>43</w:t>
            </w:r>
          </w:p>
        </w:tc>
        <w:tc>
          <w:tcPr>
            <w:tcW w:w="1779" w:type="dxa"/>
            <w:shd w:val="clear" w:color="000000" w:fill="FF6600"/>
            <w:noWrap/>
            <w:vAlign w:val="center"/>
            <w:hideMark/>
          </w:tcPr>
          <w:p w:rsidR="00744EE0" w:rsidRPr="00E060EE" w:rsidRDefault="00744EE0" w:rsidP="00F5716D">
            <w:pPr>
              <w:spacing w:after="0" w:line="240" w:lineRule="auto"/>
              <w:jc w:val="center"/>
              <w:rPr>
                <w:rFonts w:asciiTheme="majorHAnsi" w:eastAsia="Times New Roman" w:hAnsiTheme="majorHAnsi" w:cs="Arial"/>
                <w:b/>
                <w:bCs/>
                <w:sz w:val="18"/>
                <w:szCs w:val="18"/>
              </w:rPr>
            </w:pPr>
            <w:r w:rsidRPr="00E060EE">
              <w:rPr>
                <w:rFonts w:asciiTheme="majorHAnsi" w:eastAsia="Times New Roman" w:hAnsiTheme="majorHAnsi" w:cs="Arial"/>
                <w:b/>
                <w:bCs/>
                <w:sz w:val="18"/>
                <w:szCs w:val="18"/>
              </w:rPr>
              <w:t>1</w:t>
            </w:r>
          </w:p>
        </w:tc>
        <w:tc>
          <w:tcPr>
            <w:tcW w:w="1128" w:type="dxa"/>
            <w:shd w:val="clear" w:color="000000" w:fill="FF6600"/>
            <w:noWrap/>
            <w:vAlign w:val="center"/>
            <w:hideMark/>
          </w:tcPr>
          <w:p w:rsidR="00744EE0" w:rsidRPr="00E060EE" w:rsidRDefault="00744EE0" w:rsidP="00F5716D">
            <w:pPr>
              <w:spacing w:after="0" w:line="240" w:lineRule="auto"/>
              <w:jc w:val="center"/>
              <w:rPr>
                <w:rFonts w:asciiTheme="majorHAnsi" w:eastAsia="Times New Roman" w:hAnsiTheme="majorHAnsi" w:cs="Arial"/>
                <w:b/>
                <w:bCs/>
                <w:sz w:val="18"/>
                <w:szCs w:val="18"/>
              </w:rPr>
            </w:pPr>
            <w:r w:rsidRPr="00E060EE">
              <w:rPr>
                <w:rFonts w:asciiTheme="majorHAnsi" w:eastAsia="Times New Roman" w:hAnsiTheme="majorHAnsi" w:cs="Arial"/>
                <w:b/>
                <w:bCs/>
                <w:sz w:val="18"/>
                <w:szCs w:val="18"/>
              </w:rPr>
              <w:t>75</w:t>
            </w:r>
          </w:p>
        </w:tc>
      </w:tr>
    </w:tbl>
    <w:p w:rsidR="00667A67" w:rsidRDefault="00667A67">
      <w:pPr>
        <w:spacing w:after="0" w:line="240" w:lineRule="auto"/>
        <w:rPr>
          <w:rFonts w:asciiTheme="majorHAnsi" w:eastAsia="Times New Roman" w:hAnsiTheme="majorHAnsi"/>
          <w:sz w:val="20"/>
          <w:szCs w:val="20"/>
        </w:rPr>
      </w:pPr>
      <w:r>
        <w:rPr>
          <w:rFonts w:asciiTheme="majorHAnsi" w:hAnsiTheme="majorHAnsi"/>
          <w:sz w:val="20"/>
          <w:szCs w:val="20"/>
        </w:rPr>
        <w:br w:type="page"/>
      </w:r>
    </w:p>
    <w:p w:rsidR="0048417D" w:rsidRPr="001D375E" w:rsidRDefault="000932BA">
      <w:pPr>
        <w:pStyle w:val="ListParagraph"/>
        <w:numPr>
          <w:ilvl w:val="0"/>
          <w:numId w:val="9"/>
        </w:numPr>
        <w:ind w:left="0" w:firstLine="720"/>
        <w:jc w:val="both"/>
        <w:rPr>
          <w:rFonts w:asciiTheme="majorHAnsi" w:hAnsiTheme="majorHAnsi" w:cs="Calibri"/>
          <w:sz w:val="20"/>
          <w:szCs w:val="20"/>
        </w:rPr>
      </w:pPr>
      <w:r>
        <w:rPr>
          <w:rFonts w:asciiTheme="majorHAnsi" w:hAnsiTheme="majorHAnsi" w:cs="Calibri"/>
          <w:sz w:val="20"/>
          <w:szCs w:val="20"/>
        </w:rPr>
        <w:lastRenderedPageBreak/>
        <w:t>Also during</w:t>
      </w:r>
      <w:r w:rsidR="0048417D" w:rsidRPr="001D375E">
        <w:rPr>
          <w:rFonts w:asciiTheme="majorHAnsi" w:hAnsiTheme="majorHAnsi" w:cs="Calibri"/>
          <w:sz w:val="20"/>
          <w:szCs w:val="20"/>
        </w:rPr>
        <w:t xml:space="preserve"> 2015, </w:t>
      </w:r>
      <w:r w:rsidR="00761445">
        <w:rPr>
          <w:rFonts w:asciiTheme="majorHAnsi" w:hAnsiTheme="majorHAnsi" w:cs="Calibri"/>
          <w:sz w:val="20"/>
          <w:szCs w:val="20"/>
        </w:rPr>
        <w:t xml:space="preserve">the </w:t>
      </w:r>
      <w:r w:rsidR="00884EEE">
        <w:rPr>
          <w:rFonts w:asciiTheme="majorHAnsi" w:hAnsiTheme="majorHAnsi" w:cs="Calibri"/>
          <w:sz w:val="20"/>
          <w:szCs w:val="20"/>
        </w:rPr>
        <w:t xml:space="preserve">Executive </w:t>
      </w:r>
      <w:r w:rsidR="006B4E31">
        <w:rPr>
          <w:rFonts w:asciiTheme="majorHAnsi" w:hAnsiTheme="majorHAnsi" w:cs="Calibri"/>
          <w:sz w:val="20"/>
          <w:szCs w:val="20"/>
        </w:rPr>
        <w:t>Secretariat</w:t>
      </w:r>
      <w:r w:rsidR="006B4E31" w:rsidRPr="001D375E">
        <w:rPr>
          <w:rFonts w:asciiTheme="majorHAnsi" w:hAnsiTheme="majorHAnsi" w:cs="Calibri"/>
          <w:sz w:val="20"/>
          <w:szCs w:val="20"/>
        </w:rPr>
        <w:t xml:space="preserve"> </w:t>
      </w:r>
      <w:r w:rsidR="00B260D1">
        <w:rPr>
          <w:rFonts w:asciiTheme="majorHAnsi" w:hAnsiTheme="majorHAnsi" w:cs="Calibri"/>
          <w:sz w:val="20"/>
          <w:szCs w:val="20"/>
        </w:rPr>
        <w:t xml:space="preserve">was the executing entity </w:t>
      </w:r>
      <w:r w:rsidR="00826AC8">
        <w:rPr>
          <w:rFonts w:asciiTheme="majorHAnsi" w:hAnsiTheme="majorHAnsi" w:cs="Calibri"/>
          <w:sz w:val="20"/>
          <w:szCs w:val="20"/>
        </w:rPr>
        <w:t>for the project of</w:t>
      </w:r>
      <w:r w:rsidR="00B260D1">
        <w:rPr>
          <w:rFonts w:asciiTheme="majorHAnsi" w:hAnsiTheme="majorHAnsi" w:cs="Calibri"/>
          <w:sz w:val="20"/>
          <w:szCs w:val="20"/>
        </w:rPr>
        <w:t xml:space="preserve"> the Interdisciplinary Group of Independent Experts</w:t>
      </w:r>
      <w:r w:rsidR="00826AC8">
        <w:rPr>
          <w:rFonts w:asciiTheme="majorHAnsi" w:hAnsiTheme="majorHAnsi" w:cs="Calibri"/>
          <w:sz w:val="20"/>
          <w:szCs w:val="20"/>
        </w:rPr>
        <w:t xml:space="preserve"> (“GIEI”), </w:t>
      </w:r>
      <w:r w:rsidR="00B260D1">
        <w:rPr>
          <w:rFonts w:asciiTheme="majorHAnsi" w:hAnsiTheme="majorHAnsi" w:cs="Calibri"/>
          <w:sz w:val="20"/>
          <w:szCs w:val="20"/>
        </w:rPr>
        <w:t xml:space="preserve">established to investigate the disappearance of 43 students in </w:t>
      </w:r>
      <w:r w:rsidR="0048417D" w:rsidRPr="001D375E">
        <w:rPr>
          <w:rFonts w:asciiTheme="majorHAnsi" w:hAnsiTheme="majorHAnsi" w:cs="Calibri"/>
          <w:sz w:val="20"/>
          <w:szCs w:val="20"/>
        </w:rPr>
        <w:t xml:space="preserve">Ayotzinapa, </w:t>
      </w:r>
      <w:r w:rsidR="00846D70">
        <w:rPr>
          <w:rFonts w:asciiTheme="majorHAnsi" w:hAnsiTheme="majorHAnsi" w:cs="Calibri"/>
          <w:sz w:val="20"/>
          <w:szCs w:val="20"/>
        </w:rPr>
        <w:t>Mexico</w:t>
      </w:r>
      <w:r w:rsidR="0048417D" w:rsidRPr="001D375E">
        <w:rPr>
          <w:rFonts w:asciiTheme="majorHAnsi" w:hAnsiTheme="majorHAnsi" w:cs="Calibri"/>
          <w:sz w:val="20"/>
          <w:szCs w:val="20"/>
        </w:rPr>
        <w:t xml:space="preserve">.  </w:t>
      </w:r>
      <w:r w:rsidR="00B260D1">
        <w:rPr>
          <w:rFonts w:asciiTheme="majorHAnsi" w:hAnsiTheme="majorHAnsi" w:cs="Calibri"/>
          <w:sz w:val="20"/>
          <w:szCs w:val="20"/>
        </w:rPr>
        <w:t>To this end</w:t>
      </w:r>
      <w:r w:rsidR="0048417D" w:rsidRPr="001D375E">
        <w:rPr>
          <w:rFonts w:asciiTheme="majorHAnsi" w:hAnsiTheme="majorHAnsi" w:cs="Calibri"/>
          <w:sz w:val="20"/>
          <w:szCs w:val="20"/>
        </w:rPr>
        <w:t xml:space="preserve">, </w:t>
      </w:r>
      <w:r w:rsidR="00B260D1">
        <w:rPr>
          <w:rFonts w:asciiTheme="majorHAnsi" w:hAnsiTheme="majorHAnsi" w:cs="Calibri"/>
          <w:sz w:val="20"/>
          <w:szCs w:val="20"/>
        </w:rPr>
        <w:t xml:space="preserve">5 experts were appointed and a total of 8 consultants were hired to provide logistical support. </w:t>
      </w:r>
    </w:p>
    <w:p w:rsidR="0048417D" w:rsidRPr="001D375E" w:rsidRDefault="0048417D">
      <w:pPr>
        <w:pStyle w:val="ListParagraph"/>
        <w:jc w:val="center"/>
        <w:rPr>
          <w:rFonts w:asciiTheme="majorHAnsi" w:hAnsiTheme="majorHAnsi" w:cs="Calibri"/>
          <w:sz w:val="20"/>
          <w:szCs w:val="20"/>
        </w:rPr>
      </w:pPr>
    </w:p>
    <w:tbl>
      <w:tblPr>
        <w:tblW w:w="526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1313"/>
      </w:tblGrid>
      <w:tr w:rsidR="00744EE0" w:rsidRPr="00E060EE" w:rsidTr="00F5716D">
        <w:trPr>
          <w:trHeight w:val="510"/>
          <w:jc w:val="center"/>
        </w:trPr>
        <w:tc>
          <w:tcPr>
            <w:tcW w:w="3950" w:type="dxa"/>
            <w:shd w:val="clear" w:color="000000" w:fill="333399"/>
            <w:vAlign w:val="center"/>
            <w:hideMark/>
          </w:tcPr>
          <w:p w:rsidR="00744EE0" w:rsidRPr="00E060EE" w:rsidRDefault="00744EE0">
            <w:pPr>
              <w:spacing w:after="0" w:line="240" w:lineRule="auto"/>
              <w:jc w:val="center"/>
              <w:rPr>
                <w:rFonts w:asciiTheme="majorHAnsi" w:eastAsia="Times New Roman" w:hAnsiTheme="majorHAnsi" w:cs="Arial"/>
                <w:b/>
                <w:bCs/>
                <w:color w:val="FFFFFF"/>
                <w:sz w:val="18"/>
                <w:szCs w:val="18"/>
              </w:rPr>
            </w:pPr>
            <w:r w:rsidRPr="00E060EE">
              <w:rPr>
                <w:rFonts w:asciiTheme="majorHAnsi" w:eastAsia="Times New Roman" w:hAnsiTheme="majorHAnsi" w:cs="Arial"/>
                <w:b/>
                <w:bCs/>
                <w:color w:val="FFFFFF"/>
                <w:sz w:val="18"/>
                <w:szCs w:val="18"/>
              </w:rPr>
              <w:t>GIEI Performance Contracts</w:t>
            </w:r>
          </w:p>
        </w:tc>
        <w:tc>
          <w:tcPr>
            <w:tcW w:w="1313" w:type="dxa"/>
            <w:shd w:val="clear" w:color="000000" w:fill="333399"/>
            <w:vAlign w:val="center"/>
            <w:hideMark/>
          </w:tcPr>
          <w:p w:rsidR="00744EE0" w:rsidRPr="00E060EE" w:rsidRDefault="00744EE0">
            <w:pPr>
              <w:spacing w:after="0" w:line="240" w:lineRule="auto"/>
              <w:jc w:val="center"/>
              <w:rPr>
                <w:rFonts w:asciiTheme="majorHAnsi" w:eastAsia="Times New Roman" w:hAnsiTheme="majorHAnsi" w:cs="Arial"/>
                <w:b/>
                <w:bCs/>
                <w:color w:val="FFFFFF"/>
                <w:sz w:val="18"/>
                <w:szCs w:val="18"/>
              </w:rPr>
            </w:pPr>
            <w:r w:rsidRPr="00E060EE">
              <w:rPr>
                <w:rFonts w:asciiTheme="majorHAnsi" w:eastAsia="Times New Roman" w:hAnsiTheme="majorHAnsi" w:cs="Arial"/>
                <w:b/>
                <w:bCs/>
                <w:color w:val="FFFFFF"/>
                <w:sz w:val="18"/>
                <w:szCs w:val="18"/>
              </w:rPr>
              <w:t>Specific Funds</w:t>
            </w:r>
          </w:p>
        </w:tc>
      </w:tr>
      <w:tr w:rsidR="00744EE0" w:rsidRPr="00E060EE" w:rsidTr="00F5716D">
        <w:trPr>
          <w:trHeight w:val="255"/>
          <w:jc w:val="center"/>
        </w:trPr>
        <w:tc>
          <w:tcPr>
            <w:tcW w:w="3950" w:type="dxa"/>
            <w:shd w:val="clear" w:color="auto" w:fill="auto"/>
            <w:noWrap/>
            <w:vAlign w:val="bottom"/>
            <w:hideMark/>
          </w:tcPr>
          <w:p w:rsidR="00744EE0" w:rsidRPr="00E060EE" w:rsidRDefault="00744EE0">
            <w:pPr>
              <w:spacing w:after="0" w:line="240" w:lineRule="auto"/>
              <w:rPr>
                <w:rFonts w:asciiTheme="majorHAnsi" w:eastAsia="Times New Roman" w:hAnsiTheme="majorHAnsi" w:cs="Arial"/>
                <w:sz w:val="18"/>
                <w:szCs w:val="18"/>
              </w:rPr>
            </w:pPr>
            <w:r w:rsidRPr="00E060EE">
              <w:rPr>
                <w:rFonts w:asciiTheme="majorHAnsi" w:eastAsia="Times New Roman" w:hAnsiTheme="majorHAnsi" w:cs="Arial"/>
                <w:sz w:val="18"/>
                <w:szCs w:val="18"/>
              </w:rPr>
              <w:t xml:space="preserve">GIEI Experts </w:t>
            </w:r>
          </w:p>
        </w:tc>
        <w:tc>
          <w:tcPr>
            <w:tcW w:w="1313" w:type="dxa"/>
            <w:shd w:val="clear" w:color="auto" w:fill="auto"/>
            <w:noWrap/>
            <w:vAlign w:val="bottom"/>
            <w:hideMark/>
          </w:tcPr>
          <w:p w:rsidR="00744EE0" w:rsidRPr="00E060EE" w:rsidRDefault="00744EE0">
            <w:pPr>
              <w:spacing w:after="0" w:line="240" w:lineRule="auto"/>
              <w:jc w:val="right"/>
              <w:rPr>
                <w:rFonts w:asciiTheme="majorHAnsi" w:eastAsia="Times New Roman" w:hAnsiTheme="majorHAnsi" w:cs="Arial"/>
                <w:sz w:val="18"/>
                <w:szCs w:val="18"/>
              </w:rPr>
            </w:pPr>
            <w:r w:rsidRPr="00E060EE">
              <w:rPr>
                <w:rFonts w:asciiTheme="majorHAnsi" w:eastAsia="Times New Roman" w:hAnsiTheme="majorHAnsi" w:cs="Arial"/>
                <w:sz w:val="18"/>
                <w:szCs w:val="18"/>
              </w:rPr>
              <w:t>5</w:t>
            </w:r>
          </w:p>
        </w:tc>
      </w:tr>
      <w:tr w:rsidR="00744EE0" w:rsidRPr="00E060EE" w:rsidTr="00F5716D">
        <w:trPr>
          <w:trHeight w:val="270"/>
          <w:jc w:val="center"/>
        </w:trPr>
        <w:tc>
          <w:tcPr>
            <w:tcW w:w="3950" w:type="dxa"/>
            <w:shd w:val="clear" w:color="auto" w:fill="auto"/>
            <w:noWrap/>
            <w:vAlign w:val="bottom"/>
            <w:hideMark/>
          </w:tcPr>
          <w:p w:rsidR="00744EE0" w:rsidRPr="00E060EE" w:rsidRDefault="00744EE0">
            <w:pPr>
              <w:spacing w:after="0" w:line="240" w:lineRule="auto"/>
              <w:rPr>
                <w:rFonts w:asciiTheme="majorHAnsi" w:eastAsia="Times New Roman" w:hAnsiTheme="majorHAnsi" w:cs="Arial"/>
                <w:sz w:val="18"/>
                <w:szCs w:val="18"/>
              </w:rPr>
            </w:pPr>
            <w:r w:rsidRPr="00E060EE">
              <w:rPr>
                <w:rFonts w:asciiTheme="majorHAnsi" w:eastAsia="Times New Roman" w:hAnsiTheme="majorHAnsi" w:cs="Arial"/>
                <w:sz w:val="18"/>
                <w:szCs w:val="18"/>
              </w:rPr>
              <w:t>GIEI Other Performance Contracts</w:t>
            </w:r>
          </w:p>
        </w:tc>
        <w:tc>
          <w:tcPr>
            <w:tcW w:w="1313" w:type="dxa"/>
            <w:shd w:val="clear" w:color="auto" w:fill="auto"/>
            <w:noWrap/>
            <w:vAlign w:val="bottom"/>
            <w:hideMark/>
          </w:tcPr>
          <w:p w:rsidR="00744EE0" w:rsidRPr="00E060EE" w:rsidRDefault="00744EE0">
            <w:pPr>
              <w:spacing w:after="0" w:line="240" w:lineRule="auto"/>
              <w:jc w:val="right"/>
              <w:rPr>
                <w:rFonts w:asciiTheme="majorHAnsi" w:eastAsia="Times New Roman" w:hAnsiTheme="majorHAnsi" w:cs="Arial"/>
                <w:sz w:val="18"/>
                <w:szCs w:val="18"/>
              </w:rPr>
            </w:pPr>
            <w:r w:rsidRPr="00E060EE">
              <w:rPr>
                <w:rFonts w:asciiTheme="majorHAnsi" w:eastAsia="Times New Roman" w:hAnsiTheme="majorHAnsi" w:cs="Arial"/>
                <w:sz w:val="18"/>
                <w:szCs w:val="18"/>
              </w:rPr>
              <w:t>8</w:t>
            </w:r>
          </w:p>
        </w:tc>
      </w:tr>
      <w:tr w:rsidR="00744EE0" w:rsidRPr="00E060EE" w:rsidTr="00F5716D">
        <w:trPr>
          <w:trHeight w:val="270"/>
          <w:jc w:val="center"/>
        </w:trPr>
        <w:tc>
          <w:tcPr>
            <w:tcW w:w="3950" w:type="dxa"/>
            <w:shd w:val="clear" w:color="000000" w:fill="FF6600"/>
            <w:noWrap/>
            <w:vAlign w:val="bottom"/>
            <w:hideMark/>
          </w:tcPr>
          <w:p w:rsidR="00744EE0" w:rsidRPr="00E060EE" w:rsidRDefault="00744EE0">
            <w:pPr>
              <w:spacing w:after="0" w:line="240" w:lineRule="auto"/>
              <w:rPr>
                <w:rFonts w:asciiTheme="majorHAnsi" w:eastAsia="Times New Roman" w:hAnsiTheme="majorHAnsi" w:cs="Arial"/>
                <w:b/>
                <w:bCs/>
                <w:sz w:val="18"/>
                <w:szCs w:val="18"/>
              </w:rPr>
            </w:pPr>
            <w:r w:rsidRPr="00E060EE">
              <w:rPr>
                <w:rFonts w:asciiTheme="majorHAnsi" w:eastAsia="Times New Roman" w:hAnsiTheme="majorHAnsi" w:cs="Arial"/>
                <w:b/>
                <w:bCs/>
                <w:sz w:val="18"/>
                <w:szCs w:val="18"/>
              </w:rPr>
              <w:t>Total</w:t>
            </w:r>
          </w:p>
        </w:tc>
        <w:tc>
          <w:tcPr>
            <w:tcW w:w="1313" w:type="dxa"/>
            <w:shd w:val="clear" w:color="000000" w:fill="FF6600"/>
            <w:noWrap/>
            <w:vAlign w:val="bottom"/>
            <w:hideMark/>
          </w:tcPr>
          <w:p w:rsidR="00744EE0" w:rsidRPr="00E060EE" w:rsidRDefault="00744EE0">
            <w:pPr>
              <w:spacing w:after="0" w:line="240" w:lineRule="auto"/>
              <w:jc w:val="right"/>
              <w:rPr>
                <w:rFonts w:asciiTheme="majorHAnsi" w:eastAsia="Times New Roman" w:hAnsiTheme="majorHAnsi" w:cs="Arial"/>
                <w:b/>
                <w:bCs/>
                <w:sz w:val="18"/>
                <w:szCs w:val="18"/>
              </w:rPr>
            </w:pPr>
            <w:r w:rsidRPr="00E060EE">
              <w:rPr>
                <w:rFonts w:asciiTheme="majorHAnsi" w:eastAsia="Times New Roman" w:hAnsiTheme="majorHAnsi" w:cs="Arial"/>
                <w:b/>
                <w:bCs/>
                <w:sz w:val="18"/>
                <w:szCs w:val="18"/>
              </w:rPr>
              <w:t>13</w:t>
            </w:r>
          </w:p>
        </w:tc>
      </w:tr>
    </w:tbl>
    <w:p w:rsidR="0048417D" w:rsidRPr="001D375E" w:rsidRDefault="0048417D">
      <w:pPr>
        <w:pStyle w:val="ListParagraph"/>
        <w:ind w:left="0"/>
        <w:jc w:val="center"/>
        <w:rPr>
          <w:rFonts w:asciiTheme="majorHAnsi" w:hAnsiTheme="majorHAnsi" w:cs="Calibri"/>
          <w:sz w:val="20"/>
          <w:szCs w:val="20"/>
        </w:rPr>
      </w:pPr>
    </w:p>
    <w:p w:rsidR="0048417D" w:rsidRPr="001D375E" w:rsidRDefault="00870FDF">
      <w:pPr>
        <w:pStyle w:val="ListParagraph"/>
        <w:numPr>
          <w:ilvl w:val="0"/>
          <w:numId w:val="9"/>
        </w:numPr>
        <w:ind w:left="0" w:firstLine="720"/>
        <w:jc w:val="both"/>
        <w:rPr>
          <w:rFonts w:asciiTheme="majorHAnsi" w:hAnsiTheme="majorHAnsi" w:cs="Calibri"/>
          <w:sz w:val="20"/>
          <w:szCs w:val="20"/>
        </w:rPr>
      </w:pPr>
      <w:r>
        <w:rPr>
          <w:rFonts w:asciiTheme="majorHAnsi" w:hAnsiTheme="majorHAnsi" w:cs="Calibri"/>
          <w:sz w:val="20"/>
          <w:szCs w:val="20"/>
        </w:rPr>
        <w:t>Specifically, in</w:t>
      </w:r>
      <w:r w:rsidR="0048417D" w:rsidRPr="001D375E">
        <w:rPr>
          <w:rFonts w:asciiTheme="majorHAnsi" w:hAnsiTheme="majorHAnsi" w:cs="Calibri"/>
          <w:sz w:val="20"/>
          <w:szCs w:val="20"/>
        </w:rPr>
        <w:t xml:space="preserve"> 2015, </w:t>
      </w:r>
      <w:r w:rsidR="001D375E">
        <w:rPr>
          <w:rFonts w:asciiTheme="majorHAnsi" w:hAnsiTheme="majorHAnsi" w:cs="Calibri"/>
          <w:sz w:val="20"/>
          <w:szCs w:val="20"/>
        </w:rPr>
        <w:t>the IACHR</w:t>
      </w:r>
      <w:r w:rsidR="0048417D" w:rsidRPr="001D375E">
        <w:rPr>
          <w:rFonts w:asciiTheme="majorHAnsi" w:hAnsiTheme="majorHAnsi" w:cs="Calibri"/>
          <w:sz w:val="20"/>
          <w:szCs w:val="20"/>
        </w:rPr>
        <w:t xml:space="preserve"> </w:t>
      </w:r>
      <w:r>
        <w:rPr>
          <w:rFonts w:asciiTheme="majorHAnsi" w:hAnsiTheme="majorHAnsi" w:cs="Calibri"/>
          <w:sz w:val="20"/>
          <w:szCs w:val="20"/>
        </w:rPr>
        <w:t>was divided in the following manner</w:t>
      </w:r>
      <w:r w:rsidR="0048417D" w:rsidRPr="001D375E">
        <w:rPr>
          <w:rFonts w:asciiTheme="majorHAnsi" w:hAnsiTheme="majorHAnsi" w:cs="Calibri"/>
          <w:sz w:val="20"/>
          <w:szCs w:val="20"/>
        </w:rPr>
        <w:t>:</w:t>
      </w:r>
    </w:p>
    <w:p w:rsidR="0048417D" w:rsidRPr="001D375E" w:rsidRDefault="0048417D">
      <w:pPr>
        <w:pStyle w:val="ListParagraph"/>
        <w:ind w:left="0"/>
        <w:jc w:val="both"/>
        <w:rPr>
          <w:rFonts w:asciiTheme="majorHAnsi" w:hAnsiTheme="majorHAnsi" w:cs="Calibri"/>
          <w:sz w:val="20"/>
          <w:szCs w:val="20"/>
        </w:rPr>
      </w:pPr>
    </w:p>
    <w:p w:rsidR="0048417D" w:rsidRPr="001D375E" w:rsidRDefault="00FE5161">
      <w:pPr>
        <w:pStyle w:val="ListParagraph"/>
        <w:numPr>
          <w:ilvl w:val="0"/>
          <w:numId w:val="3"/>
        </w:numPr>
        <w:ind w:left="1440" w:hanging="720"/>
        <w:jc w:val="both"/>
        <w:rPr>
          <w:rFonts w:asciiTheme="majorHAnsi" w:hAnsiTheme="majorHAnsi" w:cs="Calibri"/>
          <w:sz w:val="20"/>
          <w:szCs w:val="20"/>
        </w:rPr>
      </w:pPr>
      <w:r>
        <w:rPr>
          <w:rFonts w:asciiTheme="majorHAnsi" w:hAnsiTheme="majorHAnsi" w:cs="Calibri"/>
          <w:sz w:val="20"/>
          <w:szCs w:val="20"/>
        </w:rPr>
        <w:t>Office of the Executive Secretary</w:t>
      </w:r>
      <w:r w:rsidR="0048417D" w:rsidRPr="001D375E">
        <w:rPr>
          <w:rFonts w:asciiTheme="majorHAnsi" w:hAnsiTheme="majorHAnsi" w:cs="Calibri"/>
          <w:sz w:val="20"/>
          <w:szCs w:val="20"/>
        </w:rPr>
        <w:t xml:space="preserve">, </w:t>
      </w:r>
      <w:r w:rsidR="00C34A2D">
        <w:rPr>
          <w:rFonts w:asciiTheme="majorHAnsi" w:hAnsiTheme="majorHAnsi" w:cs="Calibri"/>
          <w:sz w:val="20"/>
          <w:szCs w:val="20"/>
        </w:rPr>
        <w:t xml:space="preserve">which provides services to the Commissioners and is responsible for the strategic management of </w:t>
      </w:r>
      <w:r w:rsidR="001D375E">
        <w:rPr>
          <w:rFonts w:asciiTheme="majorHAnsi" w:hAnsiTheme="majorHAnsi" w:cs="Calibri"/>
          <w:sz w:val="20"/>
          <w:szCs w:val="20"/>
        </w:rPr>
        <w:t>the Commission</w:t>
      </w:r>
      <w:r w:rsidR="00C34A2D">
        <w:rPr>
          <w:rFonts w:asciiTheme="majorHAnsi" w:hAnsiTheme="majorHAnsi" w:cs="Calibri"/>
          <w:sz w:val="20"/>
          <w:szCs w:val="20"/>
        </w:rPr>
        <w:t>. It also includes the Press Office.</w:t>
      </w:r>
      <w:r w:rsidR="0048417D" w:rsidRPr="001D375E">
        <w:rPr>
          <w:rFonts w:asciiTheme="majorHAnsi" w:hAnsiTheme="majorHAnsi" w:cs="Calibri"/>
          <w:sz w:val="20"/>
          <w:szCs w:val="20"/>
        </w:rPr>
        <w:t xml:space="preserve"> </w:t>
      </w:r>
    </w:p>
    <w:p w:rsidR="0048417D" w:rsidRPr="001D375E" w:rsidRDefault="0048417D">
      <w:pPr>
        <w:pStyle w:val="ListParagraph"/>
        <w:ind w:left="1440" w:hanging="720"/>
        <w:jc w:val="both"/>
        <w:rPr>
          <w:rFonts w:asciiTheme="majorHAnsi" w:hAnsiTheme="majorHAnsi" w:cs="Calibri"/>
          <w:sz w:val="20"/>
          <w:szCs w:val="20"/>
        </w:rPr>
      </w:pPr>
    </w:p>
    <w:p w:rsidR="0048417D" w:rsidRPr="001D375E" w:rsidRDefault="00FE5161">
      <w:pPr>
        <w:pStyle w:val="ListParagraph"/>
        <w:numPr>
          <w:ilvl w:val="0"/>
          <w:numId w:val="3"/>
        </w:numPr>
        <w:ind w:left="1440" w:hanging="720"/>
        <w:jc w:val="both"/>
        <w:rPr>
          <w:rFonts w:asciiTheme="majorHAnsi" w:hAnsiTheme="majorHAnsi" w:cs="Calibri"/>
          <w:sz w:val="20"/>
          <w:szCs w:val="20"/>
        </w:rPr>
      </w:pPr>
      <w:r>
        <w:rPr>
          <w:rFonts w:asciiTheme="majorHAnsi" w:hAnsiTheme="majorHAnsi" w:cs="Calibri"/>
          <w:sz w:val="20"/>
          <w:szCs w:val="20"/>
        </w:rPr>
        <w:t>Office of the Assistant Executive Secretary</w:t>
      </w:r>
      <w:r w:rsidR="0048417D" w:rsidRPr="001D375E">
        <w:rPr>
          <w:rFonts w:asciiTheme="majorHAnsi" w:hAnsiTheme="majorHAnsi" w:cs="Calibri"/>
          <w:sz w:val="20"/>
          <w:szCs w:val="20"/>
        </w:rPr>
        <w:t xml:space="preserve">, </w:t>
      </w:r>
      <w:r w:rsidR="00C34A2D">
        <w:rPr>
          <w:rFonts w:asciiTheme="majorHAnsi" w:hAnsiTheme="majorHAnsi" w:cs="Calibri"/>
          <w:sz w:val="20"/>
          <w:szCs w:val="20"/>
        </w:rPr>
        <w:t xml:space="preserve">which provides additional support to the Commissioners, and </w:t>
      </w:r>
      <w:r w:rsidR="000D7B8D">
        <w:rPr>
          <w:rFonts w:asciiTheme="majorHAnsi" w:hAnsiTheme="majorHAnsi" w:cs="Calibri"/>
          <w:sz w:val="20"/>
          <w:szCs w:val="20"/>
        </w:rPr>
        <w:t xml:space="preserve">directs the legal </w:t>
      </w:r>
      <w:r w:rsidR="001013C1">
        <w:rPr>
          <w:rFonts w:asciiTheme="majorHAnsi" w:hAnsiTheme="majorHAnsi" w:cs="Calibri"/>
          <w:sz w:val="20"/>
          <w:szCs w:val="20"/>
        </w:rPr>
        <w:t xml:space="preserve">team. </w:t>
      </w:r>
      <w:r w:rsidR="00614D2A">
        <w:rPr>
          <w:rFonts w:asciiTheme="majorHAnsi" w:hAnsiTheme="majorHAnsi" w:cs="Calibri"/>
          <w:sz w:val="20"/>
          <w:szCs w:val="20"/>
        </w:rPr>
        <w:t>It includes the</w:t>
      </w:r>
      <w:r w:rsidR="0048417D" w:rsidRPr="001D375E">
        <w:rPr>
          <w:rFonts w:asciiTheme="majorHAnsi" w:hAnsiTheme="majorHAnsi" w:cs="Calibri"/>
          <w:sz w:val="20"/>
          <w:szCs w:val="20"/>
        </w:rPr>
        <w:t xml:space="preserve"> </w:t>
      </w:r>
      <w:r w:rsidR="00614D2A">
        <w:rPr>
          <w:rFonts w:asciiTheme="majorHAnsi" w:hAnsiTheme="majorHAnsi" w:cs="Calibri"/>
          <w:sz w:val="20"/>
          <w:szCs w:val="20"/>
        </w:rPr>
        <w:t>Protection Group</w:t>
      </w:r>
      <w:r w:rsidR="0048417D" w:rsidRPr="001D375E">
        <w:rPr>
          <w:rFonts w:asciiTheme="majorHAnsi" w:hAnsiTheme="majorHAnsi" w:cs="Calibri"/>
          <w:sz w:val="20"/>
          <w:szCs w:val="20"/>
        </w:rPr>
        <w:t xml:space="preserve"> </w:t>
      </w:r>
      <w:r w:rsidR="00614D2A">
        <w:rPr>
          <w:rFonts w:asciiTheme="majorHAnsi" w:hAnsiTheme="majorHAnsi" w:cs="Calibri"/>
          <w:sz w:val="20"/>
          <w:szCs w:val="20"/>
        </w:rPr>
        <w:t>and the Documents Office</w:t>
      </w:r>
      <w:r w:rsidR="0048417D" w:rsidRPr="001D375E">
        <w:rPr>
          <w:rFonts w:asciiTheme="majorHAnsi" w:hAnsiTheme="majorHAnsi" w:cs="Calibri"/>
          <w:sz w:val="20"/>
          <w:szCs w:val="20"/>
        </w:rPr>
        <w:t>.</w:t>
      </w:r>
    </w:p>
    <w:p w:rsidR="0048417D" w:rsidRPr="001D375E" w:rsidRDefault="0048417D">
      <w:pPr>
        <w:pStyle w:val="ListParagraph"/>
        <w:ind w:left="1440" w:hanging="720"/>
        <w:rPr>
          <w:rFonts w:asciiTheme="majorHAnsi" w:hAnsiTheme="majorHAnsi" w:cs="Calibri"/>
          <w:sz w:val="20"/>
          <w:szCs w:val="20"/>
        </w:rPr>
      </w:pPr>
    </w:p>
    <w:p w:rsidR="0048417D" w:rsidRPr="001612A0" w:rsidRDefault="001612A0">
      <w:pPr>
        <w:pStyle w:val="ListParagraph"/>
        <w:numPr>
          <w:ilvl w:val="0"/>
          <w:numId w:val="3"/>
        </w:numPr>
        <w:ind w:left="1440" w:hanging="720"/>
        <w:jc w:val="both"/>
        <w:rPr>
          <w:rFonts w:asciiTheme="majorHAnsi" w:hAnsiTheme="majorHAnsi" w:cs="Calibri"/>
          <w:sz w:val="20"/>
          <w:szCs w:val="20"/>
        </w:rPr>
      </w:pPr>
      <w:r>
        <w:rPr>
          <w:rFonts w:asciiTheme="majorHAnsi" w:hAnsiTheme="majorHAnsi" w:cs="Calibri"/>
          <w:sz w:val="20"/>
          <w:szCs w:val="20"/>
        </w:rPr>
        <w:t>Office of the Special Rapporteur for Freedom of Expression, whose mandate is to promote</w:t>
      </w:r>
      <w:r w:rsidR="0048417D" w:rsidRPr="001D375E">
        <w:rPr>
          <w:rFonts w:asciiTheme="majorHAnsi" w:hAnsiTheme="majorHAnsi" w:cs="Calibri"/>
          <w:sz w:val="20"/>
          <w:szCs w:val="20"/>
        </w:rPr>
        <w:t xml:space="preserve"> </w:t>
      </w:r>
      <w:r>
        <w:rPr>
          <w:rFonts w:asciiTheme="majorHAnsi" w:hAnsiTheme="majorHAnsi" w:cs="Calibri"/>
          <w:sz w:val="20"/>
          <w:szCs w:val="20"/>
        </w:rPr>
        <w:t>freedom of expression</w:t>
      </w:r>
      <w:r w:rsidR="0048417D" w:rsidRPr="001D375E">
        <w:rPr>
          <w:rFonts w:asciiTheme="majorHAnsi" w:hAnsiTheme="majorHAnsi" w:cs="Calibri"/>
          <w:sz w:val="20"/>
          <w:szCs w:val="20"/>
        </w:rPr>
        <w:t xml:space="preserve"> </w:t>
      </w:r>
      <w:r w:rsidR="0033081E">
        <w:rPr>
          <w:rFonts w:asciiTheme="majorHAnsi" w:hAnsiTheme="majorHAnsi" w:cs="Calibri"/>
          <w:sz w:val="20"/>
          <w:szCs w:val="20"/>
        </w:rPr>
        <w:t>through</w:t>
      </w:r>
      <w:r w:rsidRPr="001612A0">
        <w:rPr>
          <w:rFonts w:asciiTheme="majorHAnsi" w:hAnsiTheme="majorHAnsi" w:cs="Calibri"/>
          <w:sz w:val="20"/>
          <w:szCs w:val="20"/>
        </w:rPr>
        <w:t xml:space="preserve"> annual reports, dissemination activities, alerts, </w:t>
      </w:r>
      <w:r w:rsidR="0033081E">
        <w:rPr>
          <w:rFonts w:asciiTheme="majorHAnsi" w:hAnsiTheme="majorHAnsi" w:cs="Calibri"/>
          <w:sz w:val="20"/>
          <w:szCs w:val="20"/>
        </w:rPr>
        <w:t xml:space="preserve">the examination of laws </w:t>
      </w:r>
      <w:r w:rsidRPr="001612A0">
        <w:rPr>
          <w:rFonts w:asciiTheme="majorHAnsi" w:hAnsiTheme="majorHAnsi" w:cs="Calibri"/>
          <w:sz w:val="20"/>
          <w:szCs w:val="20"/>
        </w:rPr>
        <w:t>and practices contrary to international standards in this field</w:t>
      </w:r>
      <w:r w:rsidR="000D7B8D">
        <w:rPr>
          <w:rFonts w:asciiTheme="majorHAnsi" w:hAnsiTheme="majorHAnsi" w:cs="Calibri"/>
          <w:sz w:val="20"/>
          <w:szCs w:val="20"/>
        </w:rPr>
        <w:t>;</w:t>
      </w:r>
      <w:r w:rsidRPr="001612A0">
        <w:rPr>
          <w:rFonts w:asciiTheme="majorHAnsi" w:hAnsiTheme="majorHAnsi" w:cs="Calibri"/>
          <w:sz w:val="20"/>
          <w:szCs w:val="20"/>
        </w:rPr>
        <w:t xml:space="preserve"> </w:t>
      </w:r>
      <w:r w:rsidR="0033081E">
        <w:rPr>
          <w:rFonts w:asciiTheme="majorHAnsi" w:hAnsiTheme="majorHAnsi" w:cs="Calibri"/>
          <w:sz w:val="20"/>
          <w:szCs w:val="20"/>
        </w:rPr>
        <w:t xml:space="preserve">and </w:t>
      </w:r>
      <w:r w:rsidR="007F79D4">
        <w:rPr>
          <w:rFonts w:asciiTheme="majorHAnsi" w:hAnsiTheme="majorHAnsi" w:cs="Calibri"/>
          <w:sz w:val="20"/>
          <w:szCs w:val="20"/>
        </w:rPr>
        <w:t xml:space="preserve">to provide </w:t>
      </w:r>
      <w:r w:rsidRPr="001612A0">
        <w:rPr>
          <w:rFonts w:asciiTheme="majorHAnsi" w:hAnsiTheme="majorHAnsi" w:cs="Calibri"/>
          <w:sz w:val="20"/>
          <w:szCs w:val="20"/>
        </w:rPr>
        <w:t xml:space="preserve">support for the preparation of reports in </w:t>
      </w:r>
      <w:r w:rsidR="0033081E">
        <w:rPr>
          <w:rFonts w:asciiTheme="majorHAnsi" w:hAnsiTheme="majorHAnsi" w:cs="Calibri"/>
          <w:sz w:val="20"/>
          <w:szCs w:val="20"/>
        </w:rPr>
        <w:t>adversarial matters</w:t>
      </w:r>
      <w:r w:rsidRPr="001612A0">
        <w:rPr>
          <w:rFonts w:asciiTheme="majorHAnsi" w:hAnsiTheme="majorHAnsi" w:cs="Calibri"/>
          <w:sz w:val="20"/>
          <w:szCs w:val="20"/>
        </w:rPr>
        <w:t xml:space="preserve"> as well as on precautionary mea</w:t>
      </w:r>
      <w:r>
        <w:rPr>
          <w:rFonts w:asciiTheme="majorHAnsi" w:hAnsiTheme="majorHAnsi" w:cs="Calibri"/>
          <w:sz w:val="20"/>
          <w:szCs w:val="20"/>
        </w:rPr>
        <w:t xml:space="preserve">sures related to this </w:t>
      </w:r>
      <w:r w:rsidR="0033081E">
        <w:rPr>
          <w:rFonts w:asciiTheme="majorHAnsi" w:hAnsiTheme="majorHAnsi" w:cs="Calibri"/>
          <w:sz w:val="20"/>
          <w:szCs w:val="20"/>
        </w:rPr>
        <w:t>issue</w:t>
      </w:r>
      <w:r w:rsidR="0048417D" w:rsidRPr="001612A0">
        <w:rPr>
          <w:rFonts w:asciiTheme="majorHAnsi" w:hAnsiTheme="majorHAnsi" w:cs="Calibri"/>
          <w:sz w:val="20"/>
          <w:szCs w:val="20"/>
        </w:rPr>
        <w:t>.</w:t>
      </w:r>
    </w:p>
    <w:p w:rsidR="0048417D" w:rsidRPr="001D375E" w:rsidRDefault="0048417D">
      <w:pPr>
        <w:pStyle w:val="ListParagraph"/>
        <w:ind w:left="1440" w:hanging="720"/>
        <w:rPr>
          <w:rFonts w:asciiTheme="majorHAnsi" w:hAnsiTheme="majorHAnsi" w:cs="Calibri"/>
          <w:sz w:val="20"/>
          <w:szCs w:val="20"/>
        </w:rPr>
      </w:pPr>
    </w:p>
    <w:p w:rsidR="0048417D" w:rsidRPr="001D375E" w:rsidRDefault="000D7B8D">
      <w:pPr>
        <w:pStyle w:val="ListParagraph"/>
        <w:numPr>
          <w:ilvl w:val="0"/>
          <w:numId w:val="3"/>
        </w:numPr>
        <w:ind w:left="1440" w:hanging="720"/>
        <w:jc w:val="both"/>
        <w:rPr>
          <w:rFonts w:asciiTheme="majorHAnsi" w:hAnsiTheme="majorHAnsi" w:cs="Calibri"/>
          <w:sz w:val="20"/>
          <w:szCs w:val="20"/>
        </w:rPr>
      </w:pPr>
      <w:r>
        <w:rPr>
          <w:rFonts w:asciiTheme="majorHAnsi" w:hAnsiTheme="majorHAnsi" w:cs="Calibri"/>
          <w:sz w:val="20"/>
          <w:szCs w:val="20"/>
        </w:rPr>
        <w:t xml:space="preserve">Department </w:t>
      </w:r>
      <w:r w:rsidR="0018209B">
        <w:rPr>
          <w:rFonts w:asciiTheme="majorHAnsi" w:hAnsiTheme="majorHAnsi" w:cs="Calibri"/>
          <w:sz w:val="20"/>
          <w:szCs w:val="20"/>
        </w:rPr>
        <w:t>of Petitions and Cases (</w:t>
      </w:r>
      <w:r>
        <w:rPr>
          <w:rFonts w:asciiTheme="majorHAnsi" w:hAnsiTheme="majorHAnsi" w:cs="Calibri"/>
          <w:sz w:val="20"/>
          <w:szCs w:val="20"/>
        </w:rPr>
        <w:t>DPC</w:t>
      </w:r>
      <w:r w:rsidR="0048417D" w:rsidRPr="001D375E">
        <w:rPr>
          <w:rFonts w:asciiTheme="majorHAnsi" w:hAnsiTheme="majorHAnsi" w:cs="Calibri"/>
          <w:sz w:val="20"/>
          <w:szCs w:val="20"/>
        </w:rPr>
        <w:t xml:space="preserve">), </w:t>
      </w:r>
      <w:r w:rsidR="000932BA">
        <w:rPr>
          <w:rFonts w:asciiTheme="majorHAnsi" w:hAnsiTheme="majorHAnsi" w:cs="Calibri"/>
          <w:sz w:val="20"/>
          <w:szCs w:val="20"/>
        </w:rPr>
        <w:t>which assists</w:t>
      </w:r>
      <w:r w:rsidR="0048417D" w:rsidRPr="001D375E">
        <w:rPr>
          <w:rFonts w:asciiTheme="majorHAnsi" w:hAnsiTheme="majorHAnsi" w:cs="Calibri"/>
          <w:sz w:val="20"/>
          <w:szCs w:val="20"/>
        </w:rPr>
        <w:t xml:space="preserve"> </w:t>
      </w:r>
      <w:r w:rsidR="001D375E">
        <w:rPr>
          <w:rFonts w:asciiTheme="majorHAnsi" w:hAnsiTheme="majorHAnsi" w:cs="Calibri"/>
          <w:sz w:val="20"/>
          <w:szCs w:val="20"/>
        </w:rPr>
        <w:t>the IACHR</w:t>
      </w:r>
      <w:r w:rsidR="0048417D" w:rsidRPr="001D375E">
        <w:rPr>
          <w:rFonts w:asciiTheme="majorHAnsi" w:hAnsiTheme="majorHAnsi" w:cs="Calibri"/>
          <w:sz w:val="20"/>
          <w:szCs w:val="20"/>
        </w:rPr>
        <w:t xml:space="preserve"> </w:t>
      </w:r>
      <w:r w:rsidR="000932BA">
        <w:rPr>
          <w:rFonts w:asciiTheme="majorHAnsi" w:hAnsiTheme="majorHAnsi" w:cs="Calibri"/>
          <w:sz w:val="20"/>
          <w:szCs w:val="20"/>
        </w:rPr>
        <w:t>with the receipt, analysis, and processing of</w:t>
      </w:r>
      <w:r w:rsidR="0048417D" w:rsidRPr="001D375E">
        <w:rPr>
          <w:rFonts w:asciiTheme="majorHAnsi" w:hAnsiTheme="majorHAnsi" w:cs="Calibri"/>
          <w:sz w:val="20"/>
          <w:szCs w:val="20"/>
        </w:rPr>
        <w:t xml:space="preserve"> </w:t>
      </w:r>
      <w:r w:rsidR="000932BA">
        <w:rPr>
          <w:rFonts w:asciiTheme="majorHAnsi" w:hAnsiTheme="majorHAnsi" w:cs="Calibri"/>
          <w:sz w:val="20"/>
          <w:szCs w:val="20"/>
        </w:rPr>
        <w:t>individual petitions</w:t>
      </w:r>
      <w:r w:rsidR="0048417D" w:rsidRPr="001D375E">
        <w:rPr>
          <w:rFonts w:asciiTheme="majorHAnsi" w:hAnsiTheme="majorHAnsi" w:cs="Calibri"/>
          <w:sz w:val="20"/>
          <w:szCs w:val="20"/>
        </w:rPr>
        <w:t xml:space="preserve"> </w:t>
      </w:r>
      <w:r w:rsidR="000932BA">
        <w:rPr>
          <w:rFonts w:asciiTheme="majorHAnsi" w:hAnsiTheme="majorHAnsi" w:cs="Calibri"/>
          <w:sz w:val="20"/>
          <w:szCs w:val="20"/>
        </w:rPr>
        <w:t>alleging human rights violations</w:t>
      </w:r>
      <w:r w:rsidR="00BE611D">
        <w:rPr>
          <w:rFonts w:asciiTheme="majorHAnsi" w:hAnsiTheme="majorHAnsi" w:cs="Calibri"/>
          <w:sz w:val="20"/>
          <w:szCs w:val="20"/>
        </w:rPr>
        <w:t xml:space="preserve">. </w:t>
      </w:r>
      <w:r w:rsidR="000932BA">
        <w:rPr>
          <w:rFonts w:asciiTheme="majorHAnsi" w:hAnsiTheme="majorHAnsi" w:cs="Calibri"/>
          <w:sz w:val="20"/>
          <w:szCs w:val="20"/>
        </w:rPr>
        <w:t>It is composed of the following sections</w:t>
      </w:r>
      <w:r w:rsidR="0048417D" w:rsidRPr="001D375E">
        <w:rPr>
          <w:rFonts w:asciiTheme="majorHAnsi" w:hAnsiTheme="majorHAnsi" w:cs="Calibri"/>
          <w:sz w:val="20"/>
          <w:szCs w:val="20"/>
        </w:rPr>
        <w:t xml:space="preserve">: </w:t>
      </w:r>
    </w:p>
    <w:p w:rsidR="0048417D" w:rsidRPr="001D375E" w:rsidRDefault="0048417D">
      <w:pPr>
        <w:pStyle w:val="ListParagraph"/>
        <w:rPr>
          <w:rFonts w:asciiTheme="majorHAnsi" w:hAnsiTheme="majorHAnsi" w:cs="Calibri"/>
          <w:sz w:val="20"/>
          <w:szCs w:val="20"/>
        </w:rPr>
      </w:pPr>
    </w:p>
    <w:p w:rsidR="0048417D" w:rsidRPr="001D375E" w:rsidRDefault="000932BA">
      <w:pPr>
        <w:pStyle w:val="ListParagraph"/>
        <w:numPr>
          <w:ilvl w:val="1"/>
          <w:numId w:val="3"/>
        </w:numPr>
        <w:ind w:left="1800"/>
        <w:jc w:val="both"/>
        <w:rPr>
          <w:rFonts w:asciiTheme="majorHAnsi" w:hAnsiTheme="majorHAnsi" w:cs="Calibri"/>
          <w:sz w:val="20"/>
          <w:szCs w:val="20"/>
        </w:rPr>
      </w:pPr>
      <w:r>
        <w:rPr>
          <w:rFonts w:asciiTheme="majorHAnsi" w:hAnsiTheme="majorHAnsi" w:cs="Calibri"/>
          <w:sz w:val="20"/>
          <w:szCs w:val="20"/>
        </w:rPr>
        <w:t>Procedural Delay Group</w:t>
      </w:r>
      <w:r w:rsidR="0048417D" w:rsidRPr="001D375E">
        <w:rPr>
          <w:rFonts w:asciiTheme="majorHAnsi" w:hAnsiTheme="majorHAnsi" w:cs="Calibri"/>
          <w:sz w:val="20"/>
          <w:szCs w:val="20"/>
        </w:rPr>
        <w:t xml:space="preserve">; </w:t>
      </w:r>
    </w:p>
    <w:p w:rsidR="0048417D" w:rsidRPr="001D375E" w:rsidRDefault="000D7B8D">
      <w:pPr>
        <w:pStyle w:val="ListParagraph"/>
        <w:numPr>
          <w:ilvl w:val="1"/>
          <w:numId w:val="3"/>
        </w:numPr>
        <w:ind w:left="1800"/>
        <w:jc w:val="both"/>
        <w:rPr>
          <w:rFonts w:asciiTheme="majorHAnsi" w:hAnsiTheme="majorHAnsi" w:cs="Calibri"/>
          <w:sz w:val="20"/>
          <w:szCs w:val="20"/>
        </w:rPr>
      </w:pPr>
      <w:r>
        <w:rPr>
          <w:rFonts w:asciiTheme="majorHAnsi" w:hAnsiTheme="majorHAnsi" w:cs="Calibri"/>
          <w:sz w:val="20"/>
          <w:szCs w:val="20"/>
        </w:rPr>
        <w:t xml:space="preserve">Registry </w:t>
      </w:r>
      <w:r w:rsidR="000932BA">
        <w:rPr>
          <w:rFonts w:asciiTheme="majorHAnsi" w:hAnsiTheme="majorHAnsi" w:cs="Calibri"/>
          <w:sz w:val="20"/>
          <w:szCs w:val="20"/>
        </w:rPr>
        <w:t>Section</w:t>
      </w:r>
      <w:r w:rsidR="0048417D" w:rsidRPr="001D375E">
        <w:rPr>
          <w:rFonts w:asciiTheme="majorHAnsi" w:hAnsiTheme="majorHAnsi" w:cs="Calibri"/>
          <w:sz w:val="20"/>
          <w:szCs w:val="20"/>
        </w:rPr>
        <w:t xml:space="preserve">; </w:t>
      </w:r>
    </w:p>
    <w:p w:rsidR="0048417D" w:rsidRPr="001D375E" w:rsidRDefault="000932BA">
      <w:pPr>
        <w:pStyle w:val="ListParagraph"/>
        <w:numPr>
          <w:ilvl w:val="1"/>
          <w:numId w:val="3"/>
        </w:numPr>
        <w:ind w:left="1800"/>
        <w:jc w:val="both"/>
        <w:rPr>
          <w:rFonts w:asciiTheme="majorHAnsi" w:hAnsiTheme="majorHAnsi" w:cs="Calibri"/>
          <w:sz w:val="20"/>
          <w:szCs w:val="20"/>
        </w:rPr>
      </w:pPr>
      <w:r>
        <w:rPr>
          <w:rFonts w:asciiTheme="majorHAnsi" w:hAnsiTheme="majorHAnsi" w:cs="Calibri"/>
          <w:sz w:val="20"/>
          <w:szCs w:val="20"/>
        </w:rPr>
        <w:t>Petitions Section</w:t>
      </w:r>
      <w:r w:rsidR="0048417D" w:rsidRPr="001D375E">
        <w:rPr>
          <w:rFonts w:asciiTheme="majorHAnsi" w:hAnsiTheme="majorHAnsi" w:cs="Calibri"/>
          <w:sz w:val="20"/>
          <w:szCs w:val="20"/>
        </w:rPr>
        <w:t xml:space="preserve">; </w:t>
      </w:r>
    </w:p>
    <w:p w:rsidR="0048417D" w:rsidRPr="001D375E" w:rsidRDefault="000932BA">
      <w:pPr>
        <w:pStyle w:val="ListParagraph"/>
        <w:numPr>
          <w:ilvl w:val="1"/>
          <w:numId w:val="3"/>
        </w:numPr>
        <w:ind w:left="1800"/>
        <w:jc w:val="both"/>
        <w:rPr>
          <w:rFonts w:asciiTheme="majorHAnsi" w:hAnsiTheme="majorHAnsi" w:cs="Calibri"/>
          <w:sz w:val="20"/>
          <w:szCs w:val="20"/>
        </w:rPr>
      </w:pPr>
      <w:r>
        <w:rPr>
          <w:rFonts w:asciiTheme="majorHAnsi" w:hAnsiTheme="majorHAnsi" w:cs="Calibri"/>
          <w:sz w:val="20"/>
          <w:szCs w:val="20"/>
        </w:rPr>
        <w:t>Cases Section</w:t>
      </w:r>
      <w:r w:rsidR="0048417D" w:rsidRPr="001D375E">
        <w:rPr>
          <w:rFonts w:asciiTheme="majorHAnsi" w:hAnsiTheme="majorHAnsi" w:cs="Calibri"/>
          <w:sz w:val="20"/>
          <w:szCs w:val="20"/>
        </w:rPr>
        <w:t xml:space="preserve">, </w:t>
      </w:r>
      <w:r>
        <w:rPr>
          <w:rFonts w:asciiTheme="majorHAnsi" w:hAnsiTheme="majorHAnsi" w:cs="Calibri"/>
          <w:sz w:val="20"/>
          <w:szCs w:val="20"/>
        </w:rPr>
        <w:t>divided into two Groups: Merits and Court; and</w:t>
      </w:r>
    </w:p>
    <w:p w:rsidR="0048417D" w:rsidRPr="001D375E" w:rsidRDefault="000932BA">
      <w:pPr>
        <w:pStyle w:val="ListParagraph"/>
        <w:numPr>
          <w:ilvl w:val="1"/>
          <w:numId w:val="3"/>
        </w:numPr>
        <w:ind w:left="1800"/>
        <w:jc w:val="both"/>
        <w:rPr>
          <w:rFonts w:asciiTheme="majorHAnsi" w:hAnsiTheme="majorHAnsi" w:cs="Calibri"/>
          <w:sz w:val="20"/>
          <w:szCs w:val="20"/>
        </w:rPr>
      </w:pPr>
      <w:r>
        <w:rPr>
          <w:rFonts w:asciiTheme="majorHAnsi" w:hAnsiTheme="majorHAnsi" w:cs="Calibri"/>
          <w:sz w:val="20"/>
          <w:szCs w:val="20"/>
        </w:rPr>
        <w:t>Friendly Settlements and Follow-Up Section</w:t>
      </w:r>
      <w:r w:rsidR="0048417D" w:rsidRPr="001D375E">
        <w:rPr>
          <w:rFonts w:asciiTheme="majorHAnsi" w:hAnsiTheme="majorHAnsi" w:cs="Calibri"/>
          <w:sz w:val="20"/>
          <w:szCs w:val="20"/>
        </w:rPr>
        <w:t>.</w:t>
      </w:r>
    </w:p>
    <w:p w:rsidR="0048417D" w:rsidRPr="001D375E" w:rsidRDefault="0048417D">
      <w:pPr>
        <w:pStyle w:val="ListParagraph"/>
        <w:ind w:left="1440"/>
        <w:jc w:val="both"/>
        <w:rPr>
          <w:rFonts w:asciiTheme="majorHAnsi" w:hAnsiTheme="majorHAnsi" w:cs="Calibri"/>
          <w:sz w:val="20"/>
          <w:szCs w:val="20"/>
        </w:rPr>
      </w:pPr>
    </w:p>
    <w:p w:rsidR="0048417D" w:rsidRPr="001D375E" w:rsidRDefault="000D7B8D">
      <w:pPr>
        <w:pStyle w:val="ListParagraph"/>
        <w:numPr>
          <w:ilvl w:val="0"/>
          <w:numId w:val="3"/>
        </w:numPr>
        <w:ind w:left="1080"/>
        <w:jc w:val="both"/>
        <w:rPr>
          <w:rFonts w:asciiTheme="majorHAnsi" w:hAnsiTheme="majorHAnsi" w:cs="Calibri"/>
          <w:sz w:val="20"/>
          <w:szCs w:val="20"/>
        </w:rPr>
      </w:pPr>
      <w:r>
        <w:rPr>
          <w:rFonts w:asciiTheme="majorHAnsi" w:hAnsiTheme="majorHAnsi" w:cs="Calibri"/>
          <w:sz w:val="20"/>
          <w:szCs w:val="20"/>
        </w:rPr>
        <w:t>Department</w:t>
      </w:r>
      <w:r w:rsidRPr="0018209B">
        <w:rPr>
          <w:rFonts w:asciiTheme="majorHAnsi" w:hAnsiTheme="majorHAnsi" w:cs="Calibri"/>
          <w:sz w:val="20"/>
          <w:szCs w:val="20"/>
        </w:rPr>
        <w:t xml:space="preserve"> </w:t>
      </w:r>
      <w:r w:rsidR="0018209B" w:rsidRPr="0018209B">
        <w:rPr>
          <w:rFonts w:asciiTheme="majorHAnsi" w:hAnsiTheme="majorHAnsi" w:cs="Calibri"/>
          <w:sz w:val="20"/>
          <w:szCs w:val="20"/>
        </w:rPr>
        <w:t xml:space="preserve">of Geographic Monitoring </w:t>
      </w:r>
      <w:r w:rsidR="0018209B">
        <w:rPr>
          <w:rFonts w:asciiTheme="majorHAnsi" w:hAnsiTheme="majorHAnsi" w:cs="Calibri"/>
          <w:sz w:val="20"/>
          <w:szCs w:val="20"/>
        </w:rPr>
        <w:t>(</w:t>
      </w:r>
      <w:r>
        <w:rPr>
          <w:rFonts w:asciiTheme="majorHAnsi" w:hAnsiTheme="majorHAnsi" w:cs="Calibri"/>
          <w:sz w:val="20"/>
          <w:szCs w:val="20"/>
        </w:rPr>
        <w:t>D</w:t>
      </w:r>
      <w:r w:rsidR="0012293F">
        <w:rPr>
          <w:rFonts w:asciiTheme="majorHAnsi" w:hAnsiTheme="majorHAnsi" w:cs="Calibri"/>
          <w:sz w:val="20"/>
          <w:szCs w:val="20"/>
        </w:rPr>
        <w:t>MG</w:t>
      </w:r>
      <w:r w:rsidR="0012293F">
        <w:rPr>
          <w:rStyle w:val="FootnoteReference"/>
          <w:rFonts w:asciiTheme="majorHAnsi" w:hAnsiTheme="majorHAnsi"/>
          <w:sz w:val="20"/>
          <w:szCs w:val="20"/>
        </w:rPr>
        <w:footnoteReference w:id="2"/>
      </w:r>
      <w:r w:rsidR="0048417D" w:rsidRPr="001D375E">
        <w:rPr>
          <w:rFonts w:asciiTheme="majorHAnsi" w:hAnsiTheme="majorHAnsi" w:cs="Calibri"/>
          <w:sz w:val="20"/>
          <w:szCs w:val="20"/>
        </w:rPr>
        <w:t xml:space="preserve">), </w:t>
      </w:r>
      <w:r w:rsidR="000932BA">
        <w:rPr>
          <w:rFonts w:asciiTheme="majorHAnsi" w:hAnsiTheme="majorHAnsi" w:cs="Calibri"/>
          <w:sz w:val="20"/>
          <w:szCs w:val="20"/>
        </w:rPr>
        <w:t>which ensures</w:t>
      </w:r>
      <w:r w:rsidR="0048417D" w:rsidRPr="001D375E">
        <w:rPr>
          <w:rFonts w:asciiTheme="majorHAnsi" w:hAnsiTheme="majorHAnsi" w:cs="Calibri"/>
          <w:sz w:val="20"/>
          <w:szCs w:val="20"/>
        </w:rPr>
        <w:t xml:space="preserve"> </w:t>
      </w:r>
      <w:r w:rsidR="001D375E">
        <w:rPr>
          <w:rFonts w:asciiTheme="majorHAnsi" w:hAnsiTheme="majorHAnsi" w:cs="Calibri"/>
          <w:sz w:val="20"/>
          <w:szCs w:val="20"/>
        </w:rPr>
        <w:t>the IACHR</w:t>
      </w:r>
      <w:r w:rsidR="000932BA">
        <w:rPr>
          <w:rFonts w:asciiTheme="majorHAnsi" w:hAnsiTheme="majorHAnsi" w:cs="Calibri"/>
          <w:sz w:val="20"/>
          <w:szCs w:val="20"/>
        </w:rPr>
        <w:t xml:space="preserve">’s constant </w:t>
      </w:r>
      <w:r w:rsidR="00B829CC">
        <w:rPr>
          <w:rFonts w:asciiTheme="majorHAnsi" w:hAnsiTheme="majorHAnsi" w:cs="Calibri"/>
          <w:sz w:val="20"/>
          <w:szCs w:val="20"/>
        </w:rPr>
        <w:t>observation</w:t>
      </w:r>
      <w:r w:rsidR="000932BA">
        <w:rPr>
          <w:rFonts w:asciiTheme="majorHAnsi" w:hAnsiTheme="majorHAnsi" w:cs="Calibri"/>
          <w:sz w:val="20"/>
          <w:szCs w:val="20"/>
        </w:rPr>
        <w:t xml:space="preserve"> of the human rights</w:t>
      </w:r>
      <w:r w:rsidR="00B829CC">
        <w:rPr>
          <w:rFonts w:asciiTheme="majorHAnsi" w:hAnsiTheme="majorHAnsi" w:cs="Calibri"/>
          <w:sz w:val="20"/>
          <w:szCs w:val="20"/>
        </w:rPr>
        <w:t xml:space="preserve"> situation</w:t>
      </w:r>
      <w:r w:rsidR="000932BA">
        <w:rPr>
          <w:rFonts w:asciiTheme="majorHAnsi" w:hAnsiTheme="majorHAnsi" w:cs="Calibri"/>
          <w:sz w:val="20"/>
          <w:szCs w:val="20"/>
        </w:rPr>
        <w:t xml:space="preserve"> in all of the States</w:t>
      </w:r>
      <w:r w:rsidR="0048417D" w:rsidRPr="001D375E">
        <w:rPr>
          <w:rFonts w:asciiTheme="majorHAnsi" w:hAnsiTheme="majorHAnsi" w:cs="Calibri"/>
          <w:sz w:val="20"/>
          <w:szCs w:val="20"/>
        </w:rPr>
        <w:t xml:space="preserve"> </w:t>
      </w:r>
      <w:r w:rsidR="000932BA">
        <w:rPr>
          <w:rFonts w:asciiTheme="majorHAnsi" w:hAnsiTheme="majorHAnsi" w:cs="Calibri"/>
          <w:sz w:val="20"/>
          <w:szCs w:val="20"/>
        </w:rPr>
        <w:t>of the hemisphere</w:t>
      </w:r>
      <w:r w:rsidR="0048417D" w:rsidRPr="001D375E">
        <w:rPr>
          <w:rFonts w:asciiTheme="majorHAnsi" w:hAnsiTheme="majorHAnsi" w:cs="Calibri"/>
          <w:sz w:val="20"/>
          <w:szCs w:val="20"/>
        </w:rPr>
        <w:t xml:space="preserve">, </w:t>
      </w:r>
      <w:r w:rsidR="000932BA">
        <w:rPr>
          <w:rFonts w:asciiTheme="majorHAnsi" w:hAnsiTheme="majorHAnsi" w:cs="Calibri"/>
          <w:sz w:val="20"/>
          <w:szCs w:val="20"/>
        </w:rPr>
        <w:t>from a geographic focus, by subregions or countries. It includes the Geographic Monitoring Section</w:t>
      </w:r>
      <w:r w:rsidR="0048417D" w:rsidRPr="001D375E">
        <w:rPr>
          <w:rFonts w:asciiTheme="majorHAnsi" w:hAnsiTheme="majorHAnsi" w:cs="Calibri"/>
          <w:sz w:val="20"/>
          <w:szCs w:val="20"/>
        </w:rPr>
        <w:t>.</w:t>
      </w:r>
    </w:p>
    <w:p w:rsidR="0048417D" w:rsidRPr="001D375E" w:rsidRDefault="0048417D">
      <w:pPr>
        <w:pStyle w:val="ListParagraph"/>
        <w:ind w:left="1080"/>
        <w:jc w:val="both"/>
        <w:rPr>
          <w:rFonts w:asciiTheme="majorHAnsi" w:hAnsiTheme="majorHAnsi" w:cs="Calibri"/>
          <w:sz w:val="20"/>
          <w:szCs w:val="20"/>
        </w:rPr>
      </w:pPr>
    </w:p>
    <w:p w:rsidR="0048417D" w:rsidRPr="001D375E" w:rsidRDefault="000D7B8D">
      <w:pPr>
        <w:pStyle w:val="ListParagraph"/>
        <w:numPr>
          <w:ilvl w:val="0"/>
          <w:numId w:val="3"/>
        </w:numPr>
        <w:ind w:left="1080"/>
        <w:jc w:val="both"/>
        <w:rPr>
          <w:rFonts w:asciiTheme="majorHAnsi" w:hAnsiTheme="majorHAnsi" w:cs="Calibri"/>
          <w:sz w:val="20"/>
          <w:szCs w:val="20"/>
        </w:rPr>
      </w:pPr>
      <w:r>
        <w:rPr>
          <w:rFonts w:asciiTheme="majorHAnsi" w:hAnsiTheme="majorHAnsi" w:cs="Calibri"/>
          <w:sz w:val="20"/>
          <w:szCs w:val="20"/>
        </w:rPr>
        <w:t xml:space="preserve">Department </w:t>
      </w:r>
      <w:r w:rsidR="0018209B">
        <w:rPr>
          <w:rFonts w:asciiTheme="majorHAnsi" w:hAnsiTheme="majorHAnsi" w:cs="Calibri"/>
          <w:sz w:val="20"/>
          <w:szCs w:val="20"/>
        </w:rPr>
        <w:t>of Thematic Monitoring (</w:t>
      </w:r>
      <w:r>
        <w:rPr>
          <w:rFonts w:asciiTheme="majorHAnsi" w:hAnsiTheme="majorHAnsi" w:cs="Calibri"/>
          <w:sz w:val="20"/>
          <w:szCs w:val="20"/>
        </w:rPr>
        <w:t>D</w:t>
      </w:r>
      <w:r w:rsidR="0012293F">
        <w:rPr>
          <w:rFonts w:asciiTheme="majorHAnsi" w:hAnsiTheme="majorHAnsi" w:cs="Calibri"/>
          <w:sz w:val="20"/>
          <w:szCs w:val="20"/>
        </w:rPr>
        <w:t>MT</w:t>
      </w:r>
      <w:r w:rsidR="0048417D" w:rsidRPr="001D375E">
        <w:rPr>
          <w:rFonts w:asciiTheme="majorHAnsi" w:hAnsiTheme="majorHAnsi" w:cs="Calibri"/>
          <w:sz w:val="20"/>
          <w:szCs w:val="20"/>
        </w:rPr>
        <w:t xml:space="preserve">), </w:t>
      </w:r>
      <w:r w:rsidR="00F53468">
        <w:rPr>
          <w:rFonts w:asciiTheme="majorHAnsi" w:hAnsiTheme="majorHAnsi" w:cs="Calibri"/>
          <w:sz w:val="20"/>
          <w:szCs w:val="20"/>
        </w:rPr>
        <w:t xml:space="preserve">which provides thematic </w:t>
      </w:r>
      <w:r w:rsidR="0012293F">
        <w:rPr>
          <w:rFonts w:asciiTheme="majorHAnsi" w:hAnsiTheme="majorHAnsi" w:cs="Calibri"/>
          <w:sz w:val="20"/>
          <w:szCs w:val="20"/>
        </w:rPr>
        <w:t xml:space="preserve">oversight </w:t>
      </w:r>
      <w:r w:rsidR="00F53468">
        <w:rPr>
          <w:rFonts w:asciiTheme="majorHAnsi" w:hAnsiTheme="majorHAnsi" w:cs="Calibri"/>
          <w:sz w:val="20"/>
          <w:szCs w:val="20"/>
        </w:rPr>
        <w:t>of the situation of OAS Member countries. It includes the Thematic Monitoring Section</w:t>
      </w:r>
      <w:r w:rsidR="0048417D" w:rsidRPr="001D375E">
        <w:rPr>
          <w:rFonts w:asciiTheme="majorHAnsi" w:hAnsiTheme="majorHAnsi" w:cs="Calibri"/>
          <w:sz w:val="20"/>
          <w:szCs w:val="20"/>
        </w:rPr>
        <w:t xml:space="preserve">, </w:t>
      </w:r>
      <w:r w:rsidR="00F53468">
        <w:rPr>
          <w:rFonts w:asciiTheme="majorHAnsi" w:hAnsiTheme="majorHAnsi" w:cs="Calibri"/>
          <w:sz w:val="20"/>
          <w:szCs w:val="20"/>
        </w:rPr>
        <w:t xml:space="preserve">and covers the work of the following </w:t>
      </w:r>
      <w:r w:rsidR="0048417D" w:rsidRPr="001D375E">
        <w:rPr>
          <w:rFonts w:asciiTheme="majorHAnsi" w:hAnsiTheme="majorHAnsi" w:cs="Calibri"/>
          <w:sz w:val="20"/>
          <w:szCs w:val="20"/>
        </w:rPr>
        <w:t>R</w:t>
      </w:r>
      <w:r w:rsidR="0018209B">
        <w:rPr>
          <w:rFonts w:asciiTheme="majorHAnsi" w:hAnsiTheme="majorHAnsi" w:cs="Calibri"/>
          <w:sz w:val="20"/>
          <w:szCs w:val="20"/>
        </w:rPr>
        <w:t>apporteurships and</w:t>
      </w:r>
      <w:r w:rsidR="0048417D" w:rsidRPr="001D375E">
        <w:rPr>
          <w:rFonts w:asciiTheme="majorHAnsi" w:hAnsiTheme="majorHAnsi" w:cs="Calibri"/>
          <w:sz w:val="20"/>
          <w:szCs w:val="20"/>
        </w:rPr>
        <w:t xml:space="preserve"> Uni</w:t>
      </w:r>
      <w:r w:rsidR="0018209B">
        <w:rPr>
          <w:rFonts w:asciiTheme="majorHAnsi" w:hAnsiTheme="majorHAnsi" w:cs="Calibri"/>
          <w:sz w:val="20"/>
          <w:szCs w:val="20"/>
        </w:rPr>
        <w:t>ts</w:t>
      </w:r>
      <w:r w:rsidR="0048417D" w:rsidRPr="001D375E">
        <w:rPr>
          <w:rFonts w:asciiTheme="majorHAnsi" w:hAnsiTheme="majorHAnsi" w:cs="Calibri"/>
          <w:sz w:val="20"/>
          <w:szCs w:val="20"/>
        </w:rPr>
        <w:t xml:space="preserve">:  </w:t>
      </w:r>
    </w:p>
    <w:p w:rsidR="0048417D" w:rsidRPr="001D375E" w:rsidRDefault="0048417D">
      <w:pPr>
        <w:pStyle w:val="ListParagraph"/>
        <w:rPr>
          <w:rFonts w:asciiTheme="majorHAnsi" w:hAnsiTheme="majorHAnsi" w:cs="Calibri"/>
          <w:sz w:val="20"/>
          <w:szCs w:val="20"/>
        </w:rPr>
      </w:pPr>
    </w:p>
    <w:p w:rsidR="00C630CE" w:rsidRPr="00C630CE" w:rsidRDefault="00C630CE">
      <w:pPr>
        <w:pStyle w:val="ListParagraph"/>
        <w:numPr>
          <w:ilvl w:val="1"/>
          <w:numId w:val="3"/>
        </w:numPr>
        <w:ind w:left="1800"/>
        <w:jc w:val="both"/>
        <w:rPr>
          <w:rFonts w:asciiTheme="majorHAnsi" w:hAnsiTheme="majorHAnsi" w:cs="Calibri"/>
          <w:sz w:val="20"/>
          <w:szCs w:val="20"/>
        </w:rPr>
      </w:pPr>
      <w:r w:rsidRPr="00C630CE">
        <w:rPr>
          <w:rFonts w:asciiTheme="majorHAnsi" w:hAnsiTheme="majorHAnsi" w:cs="Calibri"/>
          <w:sz w:val="20"/>
          <w:szCs w:val="20"/>
          <w:u w:val="single"/>
        </w:rPr>
        <w:t>Rapporteurship on the Rights of Indigenous Peoples</w:t>
      </w:r>
      <w:r w:rsidRPr="00C630CE">
        <w:rPr>
          <w:rFonts w:asciiTheme="majorHAnsi" w:hAnsiTheme="majorHAnsi" w:cs="Calibri"/>
          <w:sz w:val="20"/>
          <w:szCs w:val="20"/>
        </w:rPr>
        <w:t xml:space="preserve">: </w:t>
      </w:r>
      <w:r w:rsidR="0012293F">
        <w:rPr>
          <w:rFonts w:asciiTheme="majorHAnsi" w:hAnsiTheme="majorHAnsi" w:cs="Calibri"/>
          <w:sz w:val="20"/>
          <w:szCs w:val="20"/>
        </w:rPr>
        <w:t>C</w:t>
      </w:r>
      <w:r w:rsidRPr="00C630CE">
        <w:rPr>
          <w:rFonts w:asciiTheme="majorHAnsi" w:hAnsiTheme="majorHAnsi" w:cs="Calibri"/>
          <w:sz w:val="20"/>
          <w:szCs w:val="20"/>
        </w:rPr>
        <w:t xml:space="preserve">reated to </w:t>
      </w:r>
      <w:r>
        <w:rPr>
          <w:rFonts w:asciiTheme="majorHAnsi" w:hAnsiTheme="majorHAnsi" w:cs="Calibri"/>
          <w:sz w:val="20"/>
          <w:szCs w:val="20"/>
        </w:rPr>
        <w:t xml:space="preserve">focus special </w:t>
      </w:r>
      <w:r w:rsidRPr="00C630CE">
        <w:rPr>
          <w:rFonts w:asciiTheme="majorHAnsi" w:hAnsiTheme="majorHAnsi" w:cs="Calibri"/>
          <w:sz w:val="20"/>
          <w:szCs w:val="20"/>
        </w:rPr>
        <w:t xml:space="preserve">attention </w:t>
      </w:r>
      <w:r>
        <w:rPr>
          <w:rFonts w:asciiTheme="majorHAnsi" w:hAnsiTheme="majorHAnsi" w:cs="Calibri"/>
          <w:sz w:val="20"/>
          <w:szCs w:val="20"/>
        </w:rPr>
        <w:t>on</w:t>
      </w:r>
      <w:r w:rsidRPr="00C630CE">
        <w:rPr>
          <w:rFonts w:asciiTheme="majorHAnsi" w:hAnsiTheme="majorHAnsi" w:cs="Calibri"/>
          <w:sz w:val="20"/>
          <w:szCs w:val="20"/>
        </w:rPr>
        <w:t xml:space="preserve"> the indigenous peoples of the Americas, who are particularly vulnerable to human rights violations, and to strengthen, promote, and systematize the Commission's own work in this area.  </w:t>
      </w:r>
    </w:p>
    <w:p w:rsidR="0048417D" w:rsidRPr="001D375E" w:rsidRDefault="0048417D">
      <w:pPr>
        <w:pStyle w:val="ListParagraph"/>
        <w:ind w:left="1440" w:hanging="360"/>
        <w:jc w:val="both"/>
        <w:rPr>
          <w:rFonts w:asciiTheme="majorHAnsi" w:hAnsiTheme="majorHAnsi" w:cs="Calibri"/>
          <w:sz w:val="20"/>
          <w:szCs w:val="20"/>
        </w:rPr>
      </w:pPr>
    </w:p>
    <w:p w:rsidR="0048417D" w:rsidRPr="001D375E" w:rsidRDefault="00F11BEC">
      <w:pPr>
        <w:pStyle w:val="ListParagraph"/>
        <w:numPr>
          <w:ilvl w:val="1"/>
          <w:numId w:val="3"/>
        </w:numPr>
        <w:ind w:left="1800"/>
        <w:jc w:val="both"/>
        <w:rPr>
          <w:rFonts w:asciiTheme="majorHAnsi" w:hAnsiTheme="majorHAnsi" w:cs="Calibri"/>
          <w:sz w:val="20"/>
          <w:szCs w:val="20"/>
        </w:rPr>
      </w:pPr>
      <w:r w:rsidRPr="00F11BEC">
        <w:rPr>
          <w:rFonts w:asciiTheme="majorHAnsi" w:hAnsiTheme="majorHAnsi" w:cs="Calibri"/>
          <w:sz w:val="20"/>
          <w:szCs w:val="20"/>
          <w:u w:val="single"/>
        </w:rPr>
        <w:t>Rapporteurship on the Rights of Women</w:t>
      </w:r>
      <w:r w:rsidR="0048417D" w:rsidRPr="001D375E">
        <w:rPr>
          <w:rFonts w:asciiTheme="majorHAnsi" w:hAnsiTheme="majorHAnsi" w:cs="Calibri"/>
          <w:sz w:val="20"/>
          <w:szCs w:val="20"/>
        </w:rPr>
        <w:t xml:space="preserve">: </w:t>
      </w:r>
      <w:r w:rsidR="0012293F">
        <w:rPr>
          <w:rFonts w:asciiTheme="majorHAnsi" w:hAnsiTheme="majorHAnsi" w:cs="Calibri"/>
          <w:sz w:val="20"/>
          <w:szCs w:val="20"/>
        </w:rPr>
        <w:t>Created</w:t>
      </w:r>
      <w:r w:rsidRPr="00F11BEC">
        <w:rPr>
          <w:rFonts w:asciiTheme="majorHAnsi" w:hAnsiTheme="majorHAnsi" w:cs="Calibri"/>
          <w:sz w:val="20"/>
          <w:szCs w:val="20"/>
        </w:rPr>
        <w:t xml:space="preserve"> in 1994 with an initial mandate to </w:t>
      </w:r>
      <w:r w:rsidR="009076C5">
        <w:rPr>
          <w:rFonts w:asciiTheme="majorHAnsi" w:hAnsiTheme="majorHAnsi" w:cs="Calibri"/>
          <w:sz w:val="20"/>
          <w:szCs w:val="20"/>
        </w:rPr>
        <w:t>determine the extent to which</w:t>
      </w:r>
      <w:r w:rsidRPr="00F11BEC">
        <w:rPr>
          <w:rFonts w:asciiTheme="majorHAnsi" w:hAnsiTheme="majorHAnsi" w:cs="Calibri"/>
          <w:sz w:val="20"/>
          <w:szCs w:val="20"/>
        </w:rPr>
        <w:t xml:space="preserve"> the l</w:t>
      </w:r>
      <w:r w:rsidR="009076C5">
        <w:rPr>
          <w:rFonts w:asciiTheme="majorHAnsi" w:hAnsiTheme="majorHAnsi" w:cs="Calibri"/>
          <w:sz w:val="20"/>
          <w:szCs w:val="20"/>
        </w:rPr>
        <w:t>aws</w:t>
      </w:r>
      <w:r w:rsidRPr="00F11BEC">
        <w:rPr>
          <w:rFonts w:asciiTheme="majorHAnsi" w:hAnsiTheme="majorHAnsi" w:cs="Calibri"/>
          <w:sz w:val="20"/>
          <w:szCs w:val="20"/>
        </w:rPr>
        <w:t xml:space="preserve"> and practice</w:t>
      </w:r>
      <w:r w:rsidR="009076C5">
        <w:rPr>
          <w:rFonts w:asciiTheme="majorHAnsi" w:hAnsiTheme="majorHAnsi" w:cs="Calibri"/>
          <w:sz w:val="20"/>
          <w:szCs w:val="20"/>
        </w:rPr>
        <w:t xml:space="preserve">s of </w:t>
      </w:r>
      <w:r w:rsidRPr="00F11BEC">
        <w:rPr>
          <w:rFonts w:asciiTheme="majorHAnsi" w:hAnsiTheme="majorHAnsi" w:cs="Calibri"/>
          <w:sz w:val="20"/>
          <w:szCs w:val="20"/>
        </w:rPr>
        <w:t>OAS Member States guarantee</w:t>
      </w:r>
      <w:r w:rsidR="009076C5">
        <w:rPr>
          <w:rFonts w:asciiTheme="majorHAnsi" w:hAnsiTheme="majorHAnsi" w:cs="Calibri"/>
          <w:sz w:val="20"/>
          <w:szCs w:val="20"/>
        </w:rPr>
        <w:t>d</w:t>
      </w:r>
      <w:r w:rsidR="00BE611D">
        <w:rPr>
          <w:rFonts w:asciiTheme="majorHAnsi" w:hAnsiTheme="majorHAnsi" w:cs="Calibri"/>
          <w:sz w:val="20"/>
          <w:szCs w:val="20"/>
        </w:rPr>
        <w:t xml:space="preserve"> </w:t>
      </w:r>
      <w:r w:rsidR="00BE611D">
        <w:rPr>
          <w:rFonts w:asciiTheme="majorHAnsi" w:hAnsiTheme="majorHAnsi" w:cs="Calibri"/>
          <w:sz w:val="20"/>
          <w:szCs w:val="20"/>
        </w:rPr>
        <w:lastRenderedPageBreak/>
        <w:t>the rights of women</w:t>
      </w:r>
      <w:r w:rsidRPr="00F11BEC">
        <w:rPr>
          <w:rFonts w:asciiTheme="majorHAnsi" w:hAnsiTheme="majorHAnsi" w:cs="Calibri"/>
          <w:sz w:val="20"/>
          <w:szCs w:val="20"/>
        </w:rPr>
        <w:t xml:space="preserve"> and complied with the general obligations of equality and non-discrimination established in the American Convention on Human Rights (hereinafter “American Convention”), and the American Declaration of the Rights and Duties of Man (hereinafter “American Declaration”).</w:t>
      </w:r>
      <w:r w:rsidR="0012293F">
        <w:rPr>
          <w:rFonts w:asciiTheme="majorHAnsi" w:hAnsiTheme="majorHAnsi" w:cs="Calibri"/>
          <w:sz w:val="20"/>
          <w:szCs w:val="20"/>
        </w:rPr>
        <w:t xml:space="preserve"> </w:t>
      </w:r>
      <w:r w:rsidRPr="00F11BEC">
        <w:rPr>
          <w:rFonts w:asciiTheme="majorHAnsi" w:hAnsiTheme="majorHAnsi" w:cs="Calibri"/>
          <w:sz w:val="20"/>
          <w:szCs w:val="20"/>
        </w:rPr>
        <w:t xml:space="preserve"> By creating the Rapporteurship, the Commission renewed its commitment to </w:t>
      </w:r>
      <w:r w:rsidR="009076C5">
        <w:rPr>
          <w:rFonts w:asciiTheme="majorHAnsi" w:hAnsiTheme="majorHAnsi" w:cs="Calibri"/>
          <w:sz w:val="20"/>
          <w:szCs w:val="20"/>
        </w:rPr>
        <w:t>ensuring</w:t>
      </w:r>
      <w:r w:rsidRPr="00F11BEC">
        <w:rPr>
          <w:rFonts w:asciiTheme="majorHAnsi" w:hAnsiTheme="majorHAnsi" w:cs="Calibri"/>
          <w:sz w:val="20"/>
          <w:szCs w:val="20"/>
        </w:rPr>
        <w:t xml:space="preserve"> full respect </w:t>
      </w:r>
      <w:r w:rsidR="009076C5">
        <w:rPr>
          <w:rFonts w:asciiTheme="majorHAnsi" w:hAnsiTheme="majorHAnsi" w:cs="Calibri"/>
          <w:sz w:val="20"/>
          <w:szCs w:val="20"/>
        </w:rPr>
        <w:t>for</w:t>
      </w:r>
      <w:r w:rsidRPr="00F11BEC">
        <w:rPr>
          <w:rFonts w:asciiTheme="majorHAnsi" w:hAnsiTheme="majorHAnsi" w:cs="Calibri"/>
          <w:sz w:val="20"/>
          <w:szCs w:val="20"/>
        </w:rPr>
        <w:t xml:space="preserve"> women’s rights in</w:t>
      </w:r>
      <w:r w:rsidR="009076C5">
        <w:rPr>
          <w:rFonts w:asciiTheme="majorHAnsi" w:hAnsiTheme="majorHAnsi" w:cs="Calibri"/>
          <w:sz w:val="20"/>
          <w:szCs w:val="20"/>
        </w:rPr>
        <w:t xml:space="preserve"> each of the OAS Member States.</w:t>
      </w:r>
      <w:r w:rsidR="0012293F">
        <w:rPr>
          <w:rFonts w:asciiTheme="majorHAnsi" w:hAnsiTheme="majorHAnsi" w:cs="Calibri"/>
          <w:sz w:val="20"/>
          <w:szCs w:val="20"/>
        </w:rPr>
        <w:t xml:space="preserve"> </w:t>
      </w:r>
      <w:r w:rsidRPr="00F11BEC">
        <w:rPr>
          <w:rFonts w:asciiTheme="majorHAnsi" w:hAnsiTheme="majorHAnsi" w:cs="Calibri"/>
          <w:sz w:val="20"/>
          <w:szCs w:val="20"/>
        </w:rPr>
        <w:t xml:space="preserve"> </w:t>
      </w:r>
      <w:r w:rsidRPr="00B76F46">
        <w:rPr>
          <w:rFonts w:asciiTheme="majorHAnsi" w:hAnsiTheme="majorHAnsi" w:cs="Calibri"/>
          <w:sz w:val="20"/>
          <w:szCs w:val="20"/>
        </w:rPr>
        <w:t>The</w:t>
      </w:r>
      <w:r w:rsidRPr="00F11BEC">
        <w:rPr>
          <w:rFonts w:asciiTheme="majorHAnsi" w:hAnsiTheme="majorHAnsi" w:cs="Calibri"/>
          <w:sz w:val="20"/>
          <w:szCs w:val="20"/>
        </w:rPr>
        <w:t xml:space="preserve"> Rapporteurship contributes to a thorough understanding of the need for additional measures to guarantee women’s full exercise of their basic rights, and issues recommendations </w:t>
      </w:r>
      <w:r w:rsidR="00D87C2B">
        <w:rPr>
          <w:rFonts w:asciiTheme="majorHAnsi" w:hAnsiTheme="majorHAnsi" w:cs="Calibri"/>
          <w:sz w:val="20"/>
          <w:szCs w:val="20"/>
        </w:rPr>
        <w:t>for</w:t>
      </w:r>
      <w:r w:rsidRPr="00F11BEC">
        <w:rPr>
          <w:rFonts w:asciiTheme="majorHAnsi" w:hAnsiTheme="majorHAnsi" w:cs="Calibri"/>
          <w:sz w:val="20"/>
          <w:szCs w:val="20"/>
        </w:rPr>
        <w:t xml:space="preserve"> States </w:t>
      </w:r>
      <w:r w:rsidR="00D87C2B">
        <w:rPr>
          <w:rFonts w:asciiTheme="majorHAnsi" w:hAnsiTheme="majorHAnsi" w:cs="Calibri"/>
          <w:sz w:val="20"/>
          <w:szCs w:val="20"/>
        </w:rPr>
        <w:t xml:space="preserve">to </w:t>
      </w:r>
      <w:r w:rsidRPr="00F11BEC">
        <w:rPr>
          <w:rFonts w:asciiTheme="majorHAnsi" w:hAnsiTheme="majorHAnsi" w:cs="Calibri"/>
          <w:sz w:val="20"/>
          <w:szCs w:val="20"/>
        </w:rPr>
        <w:t xml:space="preserve">improve compliance with their priority obligations related </w:t>
      </w:r>
      <w:r w:rsidR="00D87C2B">
        <w:rPr>
          <w:rFonts w:asciiTheme="majorHAnsi" w:hAnsiTheme="majorHAnsi" w:cs="Calibri"/>
          <w:sz w:val="20"/>
          <w:szCs w:val="20"/>
        </w:rPr>
        <w:t xml:space="preserve">to equality and nondiscrimination. </w:t>
      </w:r>
      <w:r w:rsidR="0012293F">
        <w:rPr>
          <w:rFonts w:asciiTheme="majorHAnsi" w:hAnsiTheme="majorHAnsi" w:cs="Calibri"/>
          <w:sz w:val="20"/>
          <w:szCs w:val="20"/>
        </w:rPr>
        <w:t xml:space="preserve"> </w:t>
      </w:r>
      <w:r w:rsidR="00D87C2B">
        <w:rPr>
          <w:rFonts w:asciiTheme="majorHAnsi" w:hAnsiTheme="majorHAnsi" w:cs="Calibri"/>
          <w:sz w:val="20"/>
          <w:szCs w:val="20"/>
        </w:rPr>
        <w:t xml:space="preserve">Additionally, the </w:t>
      </w:r>
      <w:r w:rsidRPr="00F11BEC">
        <w:rPr>
          <w:rFonts w:asciiTheme="majorHAnsi" w:hAnsiTheme="majorHAnsi" w:cs="Calibri"/>
          <w:sz w:val="20"/>
          <w:szCs w:val="20"/>
        </w:rPr>
        <w:t xml:space="preserve">Rapporteurship promotes the application of the mechanisms of the </w:t>
      </w:r>
      <w:r w:rsidR="00D87C2B" w:rsidRPr="00F11BEC">
        <w:rPr>
          <w:rFonts w:asciiTheme="majorHAnsi" w:hAnsiTheme="majorHAnsi" w:cs="Calibri"/>
          <w:sz w:val="20"/>
          <w:szCs w:val="20"/>
        </w:rPr>
        <w:t>Inter-</w:t>
      </w:r>
      <w:r w:rsidRPr="00F11BEC">
        <w:rPr>
          <w:rFonts w:asciiTheme="majorHAnsi" w:hAnsiTheme="majorHAnsi" w:cs="Calibri"/>
          <w:sz w:val="20"/>
          <w:szCs w:val="20"/>
        </w:rPr>
        <w:t xml:space="preserve">American </w:t>
      </w:r>
      <w:r w:rsidR="00D87C2B" w:rsidRPr="00F11BEC">
        <w:rPr>
          <w:rFonts w:asciiTheme="majorHAnsi" w:hAnsiTheme="majorHAnsi" w:cs="Calibri"/>
          <w:sz w:val="20"/>
          <w:szCs w:val="20"/>
        </w:rPr>
        <w:t xml:space="preserve">System of Human Rights </w:t>
      </w:r>
      <w:r w:rsidRPr="00F11BEC">
        <w:rPr>
          <w:rFonts w:asciiTheme="majorHAnsi" w:hAnsiTheme="majorHAnsi" w:cs="Calibri"/>
          <w:sz w:val="20"/>
          <w:szCs w:val="20"/>
        </w:rPr>
        <w:t>to pro</w:t>
      </w:r>
      <w:r w:rsidR="00D87C2B">
        <w:rPr>
          <w:rFonts w:asciiTheme="majorHAnsi" w:hAnsiTheme="majorHAnsi" w:cs="Calibri"/>
          <w:sz w:val="20"/>
          <w:szCs w:val="20"/>
        </w:rPr>
        <w:t>tect the rights of women;</w:t>
      </w:r>
      <w:r w:rsidRPr="00F11BEC">
        <w:rPr>
          <w:rFonts w:asciiTheme="majorHAnsi" w:hAnsiTheme="majorHAnsi" w:cs="Calibri"/>
          <w:sz w:val="20"/>
          <w:szCs w:val="20"/>
        </w:rPr>
        <w:t xml:space="preserve"> </w:t>
      </w:r>
      <w:r w:rsidR="00D87C2B">
        <w:rPr>
          <w:rFonts w:asciiTheme="majorHAnsi" w:hAnsiTheme="majorHAnsi" w:cs="Calibri"/>
          <w:sz w:val="20"/>
          <w:szCs w:val="20"/>
        </w:rPr>
        <w:t xml:space="preserve">conducts </w:t>
      </w:r>
      <w:r w:rsidRPr="00F11BEC">
        <w:rPr>
          <w:rFonts w:asciiTheme="majorHAnsi" w:hAnsiTheme="majorHAnsi" w:cs="Calibri"/>
          <w:sz w:val="20"/>
          <w:szCs w:val="20"/>
        </w:rPr>
        <w:t xml:space="preserve">specialized studies and </w:t>
      </w:r>
      <w:r w:rsidR="00D87C2B">
        <w:rPr>
          <w:rFonts w:asciiTheme="majorHAnsi" w:hAnsiTheme="majorHAnsi" w:cs="Calibri"/>
          <w:sz w:val="20"/>
          <w:szCs w:val="20"/>
        </w:rPr>
        <w:t>drafts the respective reports; and supports the I</w:t>
      </w:r>
      <w:r w:rsidRPr="00F11BEC">
        <w:rPr>
          <w:rFonts w:asciiTheme="majorHAnsi" w:hAnsiTheme="majorHAnsi" w:cs="Calibri"/>
          <w:sz w:val="20"/>
          <w:szCs w:val="20"/>
        </w:rPr>
        <w:t xml:space="preserve">nter-American Commission in </w:t>
      </w:r>
      <w:r w:rsidR="00D87C2B">
        <w:rPr>
          <w:rFonts w:asciiTheme="majorHAnsi" w:hAnsiTheme="majorHAnsi" w:cs="Calibri"/>
          <w:sz w:val="20"/>
          <w:szCs w:val="20"/>
        </w:rPr>
        <w:t xml:space="preserve">responding to petitions </w:t>
      </w:r>
      <w:r w:rsidRPr="00F11BEC">
        <w:rPr>
          <w:rFonts w:asciiTheme="majorHAnsi" w:hAnsiTheme="majorHAnsi" w:cs="Calibri"/>
          <w:sz w:val="20"/>
          <w:szCs w:val="20"/>
        </w:rPr>
        <w:t xml:space="preserve">and </w:t>
      </w:r>
      <w:r w:rsidR="00D87C2B">
        <w:rPr>
          <w:rFonts w:asciiTheme="majorHAnsi" w:hAnsiTheme="majorHAnsi" w:cs="Calibri"/>
          <w:sz w:val="20"/>
          <w:szCs w:val="20"/>
        </w:rPr>
        <w:t xml:space="preserve">to </w:t>
      </w:r>
      <w:r w:rsidRPr="00F11BEC">
        <w:rPr>
          <w:rFonts w:asciiTheme="majorHAnsi" w:hAnsiTheme="majorHAnsi" w:cs="Calibri"/>
          <w:sz w:val="20"/>
          <w:szCs w:val="20"/>
        </w:rPr>
        <w:t>other reports of human rights violations in the region</w:t>
      </w:r>
      <w:r>
        <w:rPr>
          <w:rFonts w:asciiTheme="majorHAnsi" w:hAnsiTheme="majorHAnsi" w:cs="Calibri"/>
          <w:sz w:val="20"/>
          <w:szCs w:val="20"/>
        </w:rPr>
        <w:t>.</w:t>
      </w:r>
      <w:r w:rsidR="0048417D" w:rsidRPr="001D375E">
        <w:rPr>
          <w:rFonts w:asciiTheme="majorHAnsi" w:hAnsiTheme="majorHAnsi" w:cs="Calibri"/>
          <w:sz w:val="20"/>
          <w:szCs w:val="20"/>
        </w:rPr>
        <w:t xml:space="preserve"> </w:t>
      </w:r>
    </w:p>
    <w:p w:rsidR="0048417D" w:rsidRPr="001D375E" w:rsidRDefault="0048417D">
      <w:pPr>
        <w:pStyle w:val="ListParagraph"/>
        <w:ind w:left="1440"/>
        <w:jc w:val="both"/>
        <w:rPr>
          <w:rFonts w:asciiTheme="majorHAnsi" w:hAnsiTheme="majorHAnsi" w:cs="Calibri"/>
          <w:sz w:val="20"/>
          <w:szCs w:val="20"/>
        </w:rPr>
      </w:pPr>
    </w:p>
    <w:p w:rsidR="0048417D" w:rsidRPr="001D375E" w:rsidRDefault="00A309EA">
      <w:pPr>
        <w:pStyle w:val="ListParagraph"/>
        <w:numPr>
          <w:ilvl w:val="1"/>
          <w:numId w:val="3"/>
        </w:numPr>
        <w:ind w:left="1800"/>
        <w:jc w:val="both"/>
        <w:rPr>
          <w:rFonts w:asciiTheme="majorHAnsi" w:hAnsiTheme="majorHAnsi" w:cs="Calibri"/>
          <w:sz w:val="20"/>
          <w:szCs w:val="20"/>
          <w:u w:val="single"/>
        </w:rPr>
      </w:pPr>
      <w:r w:rsidRPr="009C186B">
        <w:rPr>
          <w:rFonts w:asciiTheme="majorHAnsi" w:hAnsiTheme="majorHAnsi" w:cstheme="minorHAnsi"/>
          <w:sz w:val="20"/>
          <w:szCs w:val="20"/>
          <w:u w:val="single"/>
        </w:rPr>
        <w:t>Rapporteurship on the Rights of Migrants</w:t>
      </w:r>
      <w:r w:rsidR="001C25B4">
        <w:rPr>
          <w:rFonts w:asciiTheme="majorHAnsi" w:hAnsiTheme="majorHAnsi" w:cs="Calibri"/>
          <w:sz w:val="20"/>
          <w:szCs w:val="20"/>
        </w:rPr>
        <w:t>: S</w:t>
      </w:r>
      <w:r w:rsidRPr="00A309EA">
        <w:rPr>
          <w:rFonts w:asciiTheme="majorHAnsi" w:hAnsiTheme="majorHAnsi" w:cs="Calibri"/>
          <w:sz w:val="20"/>
          <w:szCs w:val="20"/>
        </w:rPr>
        <w:t xml:space="preserve">eeks to promote and guarantee </w:t>
      </w:r>
      <w:r w:rsidR="00D604BF" w:rsidRPr="00A309EA">
        <w:rPr>
          <w:rFonts w:asciiTheme="majorHAnsi" w:hAnsiTheme="majorHAnsi" w:cs="Calibri"/>
          <w:sz w:val="20"/>
          <w:szCs w:val="20"/>
        </w:rPr>
        <w:t xml:space="preserve">respect </w:t>
      </w:r>
      <w:r w:rsidR="00D604BF">
        <w:rPr>
          <w:rFonts w:asciiTheme="majorHAnsi" w:hAnsiTheme="majorHAnsi" w:cs="Calibri"/>
          <w:sz w:val="20"/>
          <w:szCs w:val="20"/>
        </w:rPr>
        <w:t xml:space="preserve">for </w:t>
      </w:r>
      <w:r w:rsidRPr="00A309EA">
        <w:rPr>
          <w:rFonts w:asciiTheme="majorHAnsi" w:hAnsiTheme="majorHAnsi" w:cs="Calibri"/>
          <w:sz w:val="20"/>
          <w:szCs w:val="20"/>
        </w:rPr>
        <w:t xml:space="preserve">the rights of migrants and their families, asylum seekers, refugees, </w:t>
      </w:r>
      <w:r w:rsidR="00D604BF" w:rsidRPr="00A309EA">
        <w:rPr>
          <w:rFonts w:asciiTheme="majorHAnsi" w:hAnsiTheme="majorHAnsi" w:cs="Calibri"/>
          <w:sz w:val="20"/>
          <w:szCs w:val="20"/>
        </w:rPr>
        <w:t xml:space="preserve">seekers and beneficiaries </w:t>
      </w:r>
      <w:r w:rsidR="00D604BF">
        <w:rPr>
          <w:rFonts w:asciiTheme="majorHAnsi" w:hAnsiTheme="majorHAnsi" w:cs="Calibri"/>
          <w:sz w:val="20"/>
          <w:szCs w:val="20"/>
        </w:rPr>
        <w:t xml:space="preserve">of </w:t>
      </w:r>
      <w:r w:rsidRPr="00A309EA">
        <w:rPr>
          <w:rFonts w:asciiTheme="majorHAnsi" w:hAnsiTheme="majorHAnsi" w:cs="Calibri"/>
          <w:sz w:val="20"/>
          <w:szCs w:val="20"/>
        </w:rPr>
        <w:t>complementary protection, stateless persons, victims of human trafficking, internally displaced persons</w:t>
      </w:r>
      <w:r w:rsidR="00D604BF">
        <w:rPr>
          <w:rFonts w:asciiTheme="majorHAnsi" w:hAnsiTheme="majorHAnsi" w:cs="Calibri"/>
          <w:sz w:val="20"/>
          <w:szCs w:val="20"/>
        </w:rPr>
        <w:t>,</w:t>
      </w:r>
      <w:r w:rsidRPr="00A309EA">
        <w:rPr>
          <w:rFonts w:asciiTheme="majorHAnsi" w:hAnsiTheme="majorHAnsi" w:cs="Calibri"/>
          <w:sz w:val="20"/>
          <w:szCs w:val="20"/>
        </w:rPr>
        <w:t xml:space="preserve"> and other vulnerable groups in the context of human mobility</w:t>
      </w:r>
      <w:r w:rsidR="0048417D" w:rsidRPr="001D375E">
        <w:rPr>
          <w:rFonts w:asciiTheme="majorHAnsi" w:hAnsiTheme="majorHAnsi" w:cs="Calibri"/>
          <w:sz w:val="20"/>
          <w:szCs w:val="20"/>
        </w:rPr>
        <w:t>.</w:t>
      </w:r>
    </w:p>
    <w:p w:rsidR="0048417D" w:rsidRPr="001D375E" w:rsidRDefault="0048417D">
      <w:pPr>
        <w:spacing w:after="0" w:line="240" w:lineRule="auto"/>
        <w:jc w:val="both"/>
        <w:rPr>
          <w:rFonts w:asciiTheme="majorHAnsi" w:hAnsiTheme="majorHAnsi" w:cs="Calibri"/>
          <w:sz w:val="20"/>
          <w:szCs w:val="20"/>
        </w:rPr>
      </w:pPr>
    </w:p>
    <w:p w:rsidR="0048417D" w:rsidRPr="001D375E" w:rsidRDefault="001C25B4">
      <w:pPr>
        <w:pStyle w:val="ListParagraph"/>
        <w:numPr>
          <w:ilvl w:val="1"/>
          <w:numId w:val="3"/>
        </w:numPr>
        <w:ind w:left="1800"/>
        <w:jc w:val="both"/>
        <w:rPr>
          <w:rFonts w:asciiTheme="majorHAnsi" w:hAnsiTheme="majorHAnsi" w:cs="Calibri"/>
          <w:sz w:val="20"/>
          <w:szCs w:val="20"/>
          <w:u w:val="single"/>
        </w:rPr>
      </w:pPr>
      <w:r w:rsidRPr="001C25B4">
        <w:rPr>
          <w:rFonts w:asciiTheme="majorHAnsi" w:hAnsiTheme="majorHAnsi" w:cs="Calibri"/>
          <w:sz w:val="20"/>
          <w:szCs w:val="20"/>
          <w:u w:val="single"/>
        </w:rPr>
        <w:t>Rapporteurship on the Rights of the Child</w:t>
      </w:r>
      <w:r w:rsidR="0048417D" w:rsidRPr="001D375E">
        <w:rPr>
          <w:rFonts w:asciiTheme="majorHAnsi" w:hAnsiTheme="majorHAnsi" w:cs="Calibri"/>
          <w:sz w:val="20"/>
          <w:szCs w:val="20"/>
        </w:rPr>
        <w:t xml:space="preserve">: </w:t>
      </w:r>
      <w:r>
        <w:rPr>
          <w:rFonts w:asciiTheme="majorHAnsi" w:hAnsiTheme="majorHAnsi" w:cs="Calibri"/>
          <w:sz w:val="20"/>
          <w:szCs w:val="20"/>
        </w:rPr>
        <w:t>Cooperates with</w:t>
      </w:r>
      <w:r w:rsidRPr="001C25B4">
        <w:rPr>
          <w:rFonts w:asciiTheme="majorHAnsi" w:hAnsiTheme="majorHAnsi" w:cs="Calibri"/>
          <w:sz w:val="20"/>
          <w:szCs w:val="20"/>
        </w:rPr>
        <w:t xml:space="preserve"> the analysis and evaluation of the situation of the human rights of children in the Americas. </w:t>
      </w:r>
      <w:r w:rsidR="0012293F">
        <w:rPr>
          <w:rFonts w:asciiTheme="majorHAnsi" w:hAnsiTheme="majorHAnsi" w:cs="Calibri"/>
          <w:sz w:val="20"/>
          <w:szCs w:val="20"/>
        </w:rPr>
        <w:t xml:space="preserve"> </w:t>
      </w:r>
      <w:r w:rsidRPr="001C25B4">
        <w:rPr>
          <w:rFonts w:asciiTheme="majorHAnsi" w:hAnsiTheme="majorHAnsi" w:cs="Calibri"/>
          <w:sz w:val="20"/>
          <w:szCs w:val="20"/>
        </w:rPr>
        <w:t xml:space="preserve">The Rapporteurship provides advice to the IACHR in </w:t>
      </w:r>
      <w:r>
        <w:rPr>
          <w:rFonts w:asciiTheme="majorHAnsi" w:hAnsiTheme="majorHAnsi" w:cs="Calibri"/>
          <w:sz w:val="20"/>
          <w:szCs w:val="20"/>
        </w:rPr>
        <w:t>proceedings on</w:t>
      </w:r>
      <w:r w:rsidRPr="001C25B4">
        <w:rPr>
          <w:rFonts w:asciiTheme="majorHAnsi" w:hAnsiTheme="majorHAnsi" w:cs="Calibri"/>
          <w:sz w:val="20"/>
          <w:szCs w:val="20"/>
        </w:rPr>
        <w:t xml:space="preserve"> individual petitions, cases</w:t>
      </w:r>
      <w:r>
        <w:rPr>
          <w:rFonts w:asciiTheme="majorHAnsi" w:hAnsiTheme="majorHAnsi" w:cs="Calibri"/>
          <w:sz w:val="20"/>
          <w:szCs w:val="20"/>
        </w:rPr>
        <w:t>,</w:t>
      </w:r>
      <w:r w:rsidRPr="001C25B4">
        <w:rPr>
          <w:rFonts w:asciiTheme="majorHAnsi" w:hAnsiTheme="majorHAnsi" w:cs="Calibri"/>
          <w:sz w:val="20"/>
          <w:szCs w:val="20"/>
        </w:rPr>
        <w:t xml:space="preserve"> and requests </w:t>
      </w:r>
      <w:r>
        <w:rPr>
          <w:rFonts w:asciiTheme="majorHAnsi" w:hAnsiTheme="majorHAnsi" w:cs="Calibri"/>
          <w:sz w:val="20"/>
          <w:szCs w:val="20"/>
        </w:rPr>
        <w:t xml:space="preserve">for </w:t>
      </w:r>
      <w:r w:rsidRPr="001C25B4">
        <w:rPr>
          <w:rFonts w:asciiTheme="majorHAnsi" w:hAnsiTheme="majorHAnsi" w:cs="Calibri"/>
          <w:sz w:val="20"/>
          <w:szCs w:val="20"/>
        </w:rPr>
        <w:t xml:space="preserve">precautionary and provisional measures </w:t>
      </w:r>
      <w:r w:rsidR="00E213FA">
        <w:rPr>
          <w:rFonts w:asciiTheme="majorHAnsi" w:hAnsiTheme="majorHAnsi" w:cs="Calibri"/>
          <w:sz w:val="20"/>
          <w:szCs w:val="20"/>
        </w:rPr>
        <w:t>that address</w:t>
      </w:r>
      <w:r w:rsidRPr="001C25B4">
        <w:rPr>
          <w:rFonts w:asciiTheme="majorHAnsi" w:hAnsiTheme="majorHAnsi" w:cs="Calibri"/>
          <w:sz w:val="20"/>
          <w:szCs w:val="20"/>
        </w:rPr>
        <w:t xml:space="preserve"> the rights of the child. </w:t>
      </w:r>
      <w:r w:rsidR="007D658F">
        <w:rPr>
          <w:rFonts w:asciiTheme="majorHAnsi" w:hAnsiTheme="majorHAnsi" w:cs="Calibri"/>
          <w:sz w:val="20"/>
          <w:szCs w:val="20"/>
        </w:rPr>
        <w:t xml:space="preserve"> </w:t>
      </w:r>
      <w:r w:rsidRPr="001C25B4">
        <w:rPr>
          <w:rFonts w:asciiTheme="majorHAnsi" w:hAnsiTheme="majorHAnsi" w:cs="Calibri"/>
          <w:sz w:val="20"/>
          <w:szCs w:val="20"/>
        </w:rPr>
        <w:t>Likewise, t</w:t>
      </w:r>
      <w:r>
        <w:rPr>
          <w:rFonts w:asciiTheme="majorHAnsi" w:hAnsiTheme="majorHAnsi" w:cs="Calibri"/>
          <w:sz w:val="20"/>
          <w:szCs w:val="20"/>
        </w:rPr>
        <w:t>he Rapporteurship conducts on-</w:t>
      </w:r>
      <w:r w:rsidRPr="001C25B4">
        <w:rPr>
          <w:rFonts w:asciiTheme="majorHAnsi" w:hAnsiTheme="majorHAnsi" w:cs="Calibri"/>
          <w:sz w:val="20"/>
          <w:szCs w:val="20"/>
        </w:rPr>
        <w:t xml:space="preserve">site visits </w:t>
      </w:r>
      <w:r>
        <w:rPr>
          <w:rFonts w:asciiTheme="majorHAnsi" w:hAnsiTheme="majorHAnsi" w:cs="Calibri"/>
          <w:sz w:val="20"/>
          <w:szCs w:val="20"/>
        </w:rPr>
        <w:t>to</w:t>
      </w:r>
      <w:r w:rsidRPr="001C25B4">
        <w:rPr>
          <w:rFonts w:asciiTheme="majorHAnsi" w:hAnsiTheme="majorHAnsi" w:cs="Calibri"/>
          <w:sz w:val="20"/>
          <w:szCs w:val="20"/>
        </w:rPr>
        <w:t xml:space="preserve"> OAS Member States and prepares studies and publications </w:t>
      </w:r>
      <w:r>
        <w:rPr>
          <w:rFonts w:asciiTheme="majorHAnsi" w:hAnsiTheme="majorHAnsi" w:cs="Calibri"/>
          <w:sz w:val="20"/>
          <w:szCs w:val="20"/>
        </w:rPr>
        <w:t>on</w:t>
      </w:r>
      <w:r w:rsidR="003912AD">
        <w:rPr>
          <w:rFonts w:asciiTheme="majorHAnsi" w:hAnsiTheme="majorHAnsi" w:cs="Calibri"/>
          <w:sz w:val="20"/>
          <w:szCs w:val="20"/>
        </w:rPr>
        <w:t xml:space="preserve"> </w:t>
      </w:r>
      <w:r w:rsidRPr="001C25B4">
        <w:rPr>
          <w:rFonts w:asciiTheme="majorHAnsi" w:hAnsiTheme="majorHAnsi" w:cs="Calibri"/>
          <w:sz w:val="20"/>
          <w:szCs w:val="20"/>
        </w:rPr>
        <w:t>children</w:t>
      </w:r>
      <w:r w:rsidR="003912AD">
        <w:rPr>
          <w:rFonts w:asciiTheme="majorHAnsi" w:hAnsiTheme="majorHAnsi" w:cs="Calibri"/>
          <w:sz w:val="20"/>
          <w:szCs w:val="20"/>
        </w:rPr>
        <w:t>’s rights</w:t>
      </w:r>
      <w:r w:rsidRPr="001C25B4">
        <w:rPr>
          <w:rFonts w:asciiTheme="majorHAnsi" w:hAnsiTheme="majorHAnsi" w:cs="Calibri"/>
          <w:sz w:val="20"/>
          <w:szCs w:val="20"/>
        </w:rPr>
        <w:t xml:space="preserve">. </w:t>
      </w:r>
      <w:r w:rsidR="007D658F">
        <w:rPr>
          <w:rFonts w:asciiTheme="majorHAnsi" w:hAnsiTheme="majorHAnsi" w:cs="Calibri"/>
          <w:sz w:val="20"/>
          <w:szCs w:val="20"/>
        </w:rPr>
        <w:t xml:space="preserve"> </w:t>
      </w:r>
      <w:r w:rsidRPr="001C25B4">
        <w:rPr>
          <w:rFonts w:asciiTheme="majorHAnsi" w:hAnsiTheme="majorHAnsi" w:cs="Calibri"/>
          <w:sz w:val="20"/>
          <w:szCs w:val="20"/>
        </w:rPr>
        <w:t xml:space="preserve">The Rapporteurship shares its expert knowledge and brings international jurisprudence and studies to the Commission’s discussions. </w:t>
      </w:r>
      <w:r w:rsidR="007D658F">
        <w:rPr>
          <w:rFonts w:asciiTheme="majorHAnsi" w:hAnsiTheme="majorHAnsi" w:cs="Calibri"/>
          <w:sz w:val="20"/>
          <w:szCs w:val="20"/>
        </w:rPr>
        <w:t xml:space="preserve"> </w:t>
      </w:r>
      <w:r w:rsidRPr="001C25B4">
        <w:rPr>
          <w:rFonts w:asciiTheme="majorHAnsi" w:hAnsiTheme="majorHAnsi" w:cs="Calibri"/>
          <w:sz w:val="20"/>
          <w:szCs w:val="20"/>
        </w:rPr>
        <w:t xml:space="preserve">The Rapporteurship is also the </w:t>
      </w:r>
      <w:r w:rsidR="003912AD">
        <w:rPr>
          <w:rFonts w:asciiTheme="majorHAnsi" w:hAnsiTheme="majorHAnsi" w:cs="Calibri"/>
          <w:sz w:val="20"/>
          <w:szCs w:val="20"/>
        </w:rPr>
        <w:t xml:space="preserve">point of </w:t>
      </w:r>
      <w:r w:rsidRPr="001C25B4">
        <w:rPr>
          <w:rFonts w:asciiTheme="majorHAnsi" w:hAnsiTheme="majorHAnsi" w:cs="Calibri"/>
          <w:sz w:val="20"/>
          <w:szCs w:val="20"/>
        </w:rPr>
        <w:t xml:space="preserve">contact for civil society organizations that work with </w:t>
      </w:r>
      <w:r w:rsidR="003912AD">
        <w:rPr>
          <w:rFonts w:asciiTheme="majorHAnsi" w:hAnsiTheme="majorHAnsi" w:cs="Calibri"/>
          <w:sz w:val="20"/>
          <w:szCs w:val="20"/>
        </w:rPr>
        <w:t xml:space="preserve">children and on the issue of </w:t>
      </w:r>
      <w:r w:rsidRPr="001C25B4">
        <w:rPr>
          <w:rFonts w:asciiTheme="majorHAnsi" w:hAnsiTheme="majorHAnsi" w:cs="Calibri"/>
          <w:sz w:val="20"/>
          <w:szCs w:val="20"/>
        </w:rPr>
        <w:t>children’s rights</w:t>
      </w:r>
      <w:r w:rsidR="0048417D" w:rsidRPr="001D375E">
        <w:rPr>
          <w:rFonts w:asciiTheme="majorHAnsi" w:hAnsiTheme="majorHAnsi" w:cs="Calibri"/>
          <w:sz w:val="20"/>
          <w:szCs w:val="20"/>
        </w:rPr>
        <w:t>.</w:t>
      </w:r>
    </w:p>
    <w:p w:rsidR="0048417D" w:rsidRPr="001D375E" w:rsidRDefault="0048417D">
      <w:pPr>
        <w:spacing w:after="0" w:line="240" w:lineRule="auto"/>
        <w:jc w:val="both"/>
        <w:rPr>
          <w:rFonts w:asciiTheme="majorHAnsi" w:hAnsiTheme="majorHAnsi" w:cs="Calibri"/>
          <w:sz w:val="20"/>
          <w:szCs w:val="20"/>
          <w:u w:val="single"/>
        </w:rPr>
      </w:pPr>
    </w:p>
    <w:p w:rsidR="0048417D" w:rsidRPr="001D375E" w:rsidRDefault="00C619A2">
      <w:pPr>
        <w:pStyle w:val="ListParagraph"/>
        <w:numPr>
          <w:ilvl w:val="1"/>
          <w:numId w:val="3"/>
        </w:numPr>
        <w:ind w:left="1800"/>
        <w:jc w:val="both"/>
        <w:rPr>
          <w:rFonts w:asciiTheme="majorHAnsi" w:hAnsiTheme="majorHAnsi" w:cs="Calibri"/>
          <w:sz w:val="20"/>
          <w:szCs w:val="20"/>
          <w:u w:val="single"/>
        </w:rPr>
      </w:pPr>
      <w:r w:rsidRPr="00C619A2">
        <w:rPr>
          <w:rFonts w:asciiTheme="majorHAnsi" w:hAnsiTheme="majorHAnsi" w:cs="Calibri"/>
          <w:sz w:val="20"/>
          <w:szCs w:val="20"/>
          <w:u w:val="single"/>
        </w:rPr>
        <w:t>Rapporteurship on the Rights of Persons Deprived of Liberty</w:t>
      </w:r>
      <w:r w:rsidR="0048417D" w:rsidRPr="001D375E">
        <w:rPr>
          <w:rFonts w:asciiTheme="majorHAnsi" w:hAnsiTheme="majorHAnsi" w:cs="Calibri"/>
          <w:sz w:val="20"/>
          <w:szCs w:val="20"/>
        </w:rPr>
        <w:t xml:space="preserve">: </w:t>
      </w:r>
      <w:r w:rsidRPr="00C619A2">
        <w:rPr>
          <w:rFonts w:asciiTheme="majorHAnsi" w:hAnsiTheme="majorHAnsi" w:cs="Calibri"/>
          <w:sz w:val="20"/>
          <w:szCs w:val="20"/>
        </w:rPr>
        <w:t>Its mission is to remain informed, via any reliable information source, about the situation of persons subject to any form of detention or prison in the Member States; conduct visits to OAS Member States for the purpose of compiling information and mak</w:t>
      </w:r>
      <w:r w:rsidR="00370457">
        <w:rPr>
          <w:rFonts w:asciiTheme="majorHAnsi" w:hAnsiTheme="majorHAnsi" w:cs="Calibri"/>
          <w:sz w:val="20"/>
          <w:szCs w:val="20"/>
        </w:rPr>
        <w:t>ing</w:t>
      </w:r>
      <w:r w:rsidRPr="00C619A2">
        <w:rPr>
          <w:rFonts w:asciiTheme="majorHAnsi" w:hAnsiTheme="majorHAnsi" w:cs="Calibri"/>
          <w:sz w:val="20"/>
          <w:szCs w:val="20"/>
        </w:rPr>
        <w:t xml:space="preserve"> recommendations to the States; prepare reports for the Commission on the correctional situation in a particular detention center or country, or at the regional or sub-regional level, along with any recommendations deemed necessary for the Commission; conduct promotional and educational human rights activities; coordinate promotional </w:t>
      </w:r>
      <w:r w:rsidR="00370457">
        <w:rPr>
          <w:rFonts w:asciiTheme="majorHAnsi" w:hAnsiTheme="majorHAnsi" w:cs="Calibri"/>
          <w:sz w:val="20"/>
          <w:szCs w:val="20"/>
        </w:rPr>
        <w:t>work</w:t>
      </w:r>
      <w:r w:rsidRPr="00C619A2">
        <w:rPr>
          <w:rFonts w:asciiTheme="majorHAnsi" w:hAnsiTheme="majorHAnsi" w:cs="Calibri"/>
          <w:sz w:val="20"/>
          <w:szCs w:val="20"/>
        </w:rPr>
        <w:t xml:space="preserve"> with nongovernmental organizations or other international institutions for the protection of human rights; and take any other action or step deemed necessary to protect persons deprived of liberty, within the mandate of the Inter-American Commission on Human Rights</w:t>
      </w:r>
      <w:r w:rsidR="0048417D" w:rsidRPr="001D375E">
        <w:rPr>
          <w:rFonts w:asciiTheme="majorHAnsi" w:hAnsiTheme="majorHAnsi" w:cs="Calibri"/>
          <w:sz w:val="20"/>
          <w:szCs w:val="20"/>
        </w:rPr>
        <w:t>.</w:t>
      </w:r>
    </w:p>
    <w:p w:rsidR="0048417D" w:rsidRPr="001D375E" w:rsidRDefault="0048417D">
      <w:pPr>
        <w:spacing w:after="0" w:line="240" w:lineRule="auto"/>
        <w:jc w:val="both"/>
        <w:rPr>
          <w:rFonts w:asciiTheme="majorHAnsi" w:hAnsiTheme="majorHAnsi" w:cs="Calibri"/>
          <w:sz w:val="20"/>
          <w:szCs w:val="20"/>
          <w:u w:val="single"/>
        </w:rPr>
      </w:pPr>
    </w:p>
    <w:p w:rsidR="0048417D" w:rsidRPr="001D375E" w:rsidRDefault="00040C39">
      <w:pPr>
        <w:pStyle w:val="ListParagraph"/>
        <w:numPr>
          <w:ilvl w:val="1"/>
          <w:numId w:val="3"/>
        </w:numPr>
        <w:ind w:left="1800"/>
        <w:jc w:val="both"/>
        <w:rPr>
          <w:rFonts w:asciiTheme="majorHAnsi" w:hAnsiTheme="majorHAnsi" w:cs="Calibri"/>
          <w:sz w:val="20"/>
          <w:szCs w:val="20"/>
        </w:rPr>
      </w:pPr>
      <w:r w:rsidRPr="00040C39">
        <w:rPr>
          <w:rFonts w:asciiTheme="majorHAnsi" w:hAnsiTheme="majorHAnsi" w:cs="Calibri"/>
          <w:sz w:val="20"/>
          <w:szCs w:val="20"/>
          <w:u w:val="single"/>
        </w:rPr>
        <w:t>Rapporteurship on the Rights of Afro-Descendants and against Racial Discrimination</w:t>
      </w:r>
      <w:r w:rsidR="0048417D" w:rsidRPr="001D375E">
        <w:rPr>
          <w:rFonts w:asciiTheme="majorHAnsi" w:hAnsiTheme="majorHAnsi" w:cs="Calibri"/>
          <w:sz w:val="20"/>
          <w:szCs w:val="20"/>
        </w:rPr>
        <w:t xml:space="preserve">: </w:t>
      </w:r>
      <w:r w:rsidRPr="00040C39">
        <w:rPr>
          <w:rFonts w:asciiTheme="majorHAnsi" w:hAnsiTheme="majorHAnsi" w:cs="Calibri"/>
          <w:sz w:val="20"/>
          <w:szCs w:val="20"/>
        </w:rPr>
        <w:t xml:space="preserve">Its objective is </w:t>
      </w:r>
      <w:r>
        <w:rPr>
          <w:rFonts w:asciiTheme="majorHAnsi" w:hAnsiTheme="majorHAnsi" w:cs="Calibri"/>
          <w:sz w:val="20"/>
          <w:szCs w:val="20"/>
        </w:rPr>
        <w:t>to</w:t>
      </w:r>
      <w:r w:rsidRPr="00040C39">
        <w:rPr>
          <w:rFonts w:asciiTheme="majorHAnsi" w:hAnsiTheme="majorHAnsi" w:cs="Calibri"/>
          <w:sz w:val="20"/>
          <w:szCs w:val="20"/>
        </w:rPr>
        <w:t xml:space="preserve"> stimulat</w:t>
      </w:r>
      <w:r>
        <w:rPr>
          <w:rFonts w:asciiTheme="majorHAnsi" w:hAnsiTheme="majorHAnsi" w:cs="Calibri"/>
          <w:sz w:val="20"/>
          <w:szCs w:val="20"/>
        </w:rPr>
        <w:t>e</w:t>
      </w:r>
      <w:r w:rsidRPr="00040C39">
        <w:rPr>
          <w:rFonts w:asciiTheme="majorHAnsi" w:hAnsiTheme="majorHAnsi" w:cs="Calibri"/>
          <w:sz w:val="20"/>
          <w:szCs w:val="20"/>
        </w:rPr>
        <w:t>, systematiz</w:t>
      </w:r>
      <w:r>
        <w:rPr>
          <w:rFonts w:asciiTheme="majorHAnsi" w:hAnsiTheme="majorHAnsi" w:cs="Calibri"/>
          <w:sz w:val="20"/>
          <w:szCs w:val="20"/>
        </w:rPr>
        <w:t>e</w:t>
      </w:r>
      <w:r w:rsidRPr="00040C39">
        <w:rPr>
          <w:rFonts w:asciiTheme="majorHAnsi" w:hAnsiTheme="majorHAnsi" w:cs="Calibri"/>
          <w:sz w:val="20"/>
          <w:szCs w:val="20"/>
        </w:rPr>
        <w:t>, reinforc</w:t>
      </w:r>
      <w:r>
        <w:rPr>
          <w:rFonts w:asciiTheme="majorHAnsi" w:hAnsiTheme="majorHAnsi" w:cs="Calibri"/>
          <w:sz w:val="20"/>
          <w:szCs w:val="20"/>
        </w:rPr>
        <w:t>e,</w:t>
      </w:r>
      <w:r w:rsidRPr="00040C39">
        <w:rPr>
          <w:rFonts w:asciiTheme="majorHAnsi" w:hAnsiTheme="majorHAnsi" w:cs="Calibri"/>
          <w:sz w:val="20"/>
          <w:szCs w:val="20"/>
        </w:rPr>
        <w:t xml:space="preserve"> and consolidat</w:t>
      </w:r>
      <w:r>
        <w:rPr>
          <w:rFonts w:asciiTheme="majorHAnsi" w:hAnsiTheme="majorHAnsi" w:cs="Calibri"/>
          <w:sz w:val="20"/>
          <w:szCs w:val="20"/>
        </w:rPr>
        <w:t>e</w:t>
      </w:r>
      <w:r w:rsidRPr="00040C39">
        <w:rPr>
          <w:rFonts w:asciiTheme="majorHAnsi" w:hAnsiTheme="majorHAnsi" w:cs="Calibri"/>
          <w:sz w:val="20"/>
          <w:szCs w:val="20"/>
        </w:rPr>
        <w:t xml:space="preserve"> the action of the Inter-American Commission </w:t>
      </w:r>
      <w:r>
        <w:rPr>
          <w:rFonts w:asciiTheme="majorHAnsi" w:hAnsiTheme="majorHAnsi" w:cs="Calibri"/>
          <w:sz w:val="20"/>
          <w:szCs w:val="20"/>
        </w:rPr>
        <w:t>with respect to</w:t>
      </w:r>
      <w:r w:rsidRPr="00040C39">
        <w:rPr>
          <w:rFonts w:asciiTheme="majorHAnsi" w:hAnsiTheme="majorHAnsi" w:cs="Calibri"/>
          <w:sz w:val="20"/>
          <w:szCs w:val="20"/>
        </w:rPr>
        <w:t xml:space="preserve"> </w:t>
      </w:r>
      <w:r>
        <w:rPr>
          <w:rFonts w:asciiTheme="majorHAnsi" w:hAnsiTheme="majorHAnsi" w:cs="Calibri"/>
          <w:sz w:val="20"/>
          <w:szCs w:val="20"/>
        </w:rPr>
        <w:t xml:space="preserve">the rights of people of African </w:t>
      </w:r>
      <w:r w:rsidRPr="00040C39">
        <w:rPr>
          <w:rFonts w:asciiTheme="majorHAnsi" w:hAnsiTheme="majorHAnsi" w:cs="Calibri"/>
          <w:sz w:val="20"/>
          <w:szCs w:val="20"/>
        </w:rPr>
        <w:t>descend</w:t>
      </w:r>
      <w:r>
        <w:rPr>
          <w:rFonts w:asciiTheme="majorHAnsi" w:hAnsiTheme="majorHAnsi" w:cs="Calibri"/>
          <w:sz w:val="20"/>
          <w:szCs w:val="20"/>
        </w:rPr>
        <w:t>ent and against racial discrimination</w:t>
      </w:r>
      <w:r w:rsidR="0048417D" w:rsidRPr="001D375E">
        <w:rPr>
          <w:rFonts w:asciiTheme="majorHAnsi" w:hAnsiTheme="majorHAnsi" w:cs="Calibri"/>
          <w:sz w:val="20"/>
          <w:szCs w:val="20"/>
        </w:rPr>
        <w:t xml:space="preserve">.  </w:t>
      </w:r>
    </w:p>
    <w:p w:rsidR="0048417D" w:rsidRPr="001D375E" w:rsidRDefault="0048417D">
      <w:pPr>
        <w:pStyle w:val="ListParagraph"/>
        <w:ind w:left="1440"/>
        <w:jc w:val="both"/>
        <w:rPr>
          <w:rFonts w:asciiTheme="majorHAnsi" w:hAnsiTheme="majorHAnsi" w:cs="Calibri"/>
          <w:sz w:val="20"/>
          <w:szCs w:val="20"/>
          <w:u w:val="single"/>
        </w:rPr>
      </w:pPr>
    </w:p>
    <w:p w:rsidR="0048417D" w:rsidRPr="001D375E" w:rsidRDefault="000160B5">
      <w:pPr>
        <w:pStyle w:val="ListParagraph"/>
        <w:numPr>
          <w:ilvl w:val="1"/>
          <w:numId w:val="3"/>
        </w:numPr>
        <w:ind w:left="1800"/>
        <w:jc w:val="both"/>
        <w:rPr>
          <w:rFonts w:asciiTheme="majorHAnsi" w:hAnsiTheme="majorHAnsi" w:cs="Calibri"/>
          <w:sz w:val="20"/>
          <w:szCs w:val="20"/>
        </w:rPr>
      </w:pPr>
      <w:r w:rsidRPr="000160B5">
        <w:rPr>
          <w:rFonts w:asciiTheme="majorHAnsi" w:hAnsiTheme="majorHAnsi" w:cs="Calibri"/>
          <w:sz w:val="20"/>
          <w:szCs w:val="20"/>
          <w:u w:val="single"/>
        </w:rPr>
        <w:t>Rapporteurship on Human Rights Defenders</w:t>
      </w:r>
      <w:r w:rsidR="0048417D" w:rsidRPr="001D375E">
        <w:rPr>
          <w:rFonts w:asciiTheme="majorHAnsi" w:hAnsiTheme="majorHAnsi" w:cs="Calibri"/>
          <w:sz w:val="20"/>
          <w:szCs w:val="20"/>
        </w:rPr>
        <w:t xml:space="preserve">: </w:t>
      </w:r>
      <w:r w:rsidRPr="000160B5">
        <w:rPr>
          <w:rFonts w:asciiTheme="majorHAnsi" w:hAnsiTheme="majorHAnsi" w:cs="Calibri"/>
          <w:sz w:val="20"/>
          <w:szCs w:val="20"/>
        </w:rPr>
        <w:t xml:space="preserve">Through its various tasks, the Office of the Rapporteur closely follows the situation of all persons who work to defend rights in the region, including </w:t>
      </w:r>
      <w:r w:rsidR="007C59DC">
        <w:rPr>
          <w:rFonts w:asciiTheme="majorHAnsi" w:hAnsiTheme="majorHAnsi" w:cs="Calibri"/>
          <w:sz w:val="20"/>
          <w:szCs w:val="20"/>
        </w:rPr>
        <w:t>judges, prosecutors, and public defenders</w:t>
      </w:r>
      <w:r w:rsidRPr="000160B5">
        <w:rPr>
          <w:rFonts w:asciiTheme="majorHAnsi" w:hAnsiTheme="majorHAnsi" w:cs="Calibri"/>
          <w:sz w:val="20"/>
          <w:szCs w:val="20"/>
        </w:rPr>
        <w:t xml:space="preserve">. </w:t>
      </w:r>
      <w:r w:rsidR="007D658F">
        <w:rPr>
          <w:rFonts w:asciiTheme="majorHAnsi" w:hAnsiTheme="majorHAnsi" w:cs="Calibri"/>
          <w:sz w:val="20"/>
          <w:szCs w:val="20"/>
        </w:rPr>
        <w:t xml:space="preserve"> </w:t>
      </w:r>
    </w:p>
    <w:p w:rsidR="0048417D" w:rsidRPr="001D375E" w:rsidRDefault="0048417D">
      <w:pPr>
        <w:spacing w:after="0" w:line="240" w:lineRule="auto"/>
        <w:jc w:val="both"/>
        <w:rPr>
          <w:rFonts w:asciiTheme="majorHAnsi" w:hAnsiTheme="majorHAnsi" w:cs="Calibri"/>
          <w:sz w:val="20"/>
          <w:szCs w:val="20"/>
          <w:u w:val="single"/>
        </w:rPr>
      </w:pPr>
    </w:p>
    <w:p w:rsidR="0048417D" w:rsidRPr="001D375E" w:rsidRDefault="00710649">
      <w:pPr>
        <w:pStyle w:val="ListParagraph"/>
        <w:numPr>
          <w:ilvl w:val="1"/>
          <w:numId w:val="3"/>
        </w:numPr>
        <w:ind w:left="1800"/>
        <w:jc w:val="both"/>
        <w:rPr>
          <w:rFonts w:asciiTheme="majorHAnsi" w:hAnsiTheme="majorHAnsi" w:cs="Calibri"/>
          <w:sz w:val="20"/>
          <w:szCs w:val="20"/>
          <w:u w:val="single"/>
        </w:rPr>
      </w:pPr>
      <w:r w:rsidRPr="00710649">
        <w:rPr>
          <w:rFonts w:asciiTheme="majorHAnsi" w:hAnsiTheme="majorHAnsi" w:cs="Calibri"/>
          <w:sz w:val="20"/>
          <w:szCs w:val="20"/>
          <w:u w:val="single"/>
        </w:rPr>
        <w:t xml:space="preserve">Rapporteurship on the Rights of Lesbian, Gay, Trans, Bisexual and Intersex </w:t>
      </w:r>
      <w:r>
        <w:rPr>
          <w:rFonts w:asciiTheme="majorHAnsi" w:hAnsiTheme="majorHAnsi" w:cs="Calibri"/>
          <w:sz w:val="20"/>
          <w:szCs w:val="20"/>
          <w:u w:val="single"/>
        </w:rPr>
        <w:t>(</w:t>
      </w:r>
      <w:r w:rsidR="002867E3">
        <w:rPr>
          <w:rFonts w:asciiTheme="majorHAnsi" w:hAnsiTheme="majorHAnsi" w:cs="Calibri"/>
          <w:sz w:val="20"/>
          <w:szCs w:val="20"/>
          <w:u w:val="single"/>
        </w:rPr>
        <w:t>LGBTI</w:t>
      </w:r>
      <w:r>
        <w:rPr>
          <w:rFonts w:asciiTheme="majorHAnsi" w:hAnsiTheme="majorHAnsi" w:cs="Calibri"/>
          <w:sz w:val="20"/>
          <w:szCs w:val="20"/>
          <w:u w:val="single"/>
        </w:rPr>
        <w:t>)</w:t>
      </w:r>
      <w:r w:rsidRPr="00710649">
        <w:rPr>
          <w:rFonts w:asciiTheme="majorHAnsi" w:hAnsiTheme="majorHAnsi" w:cs="Calibri"/>
          <w:sz w:val="20"/>
          <w:szCs w:val="20"/>
          <w:u w:val="single"/>
        </w:rPr>
        <w:t xml:space="preserve"> </w:t>
      </w:r>
      <w:r>
        <w:rPr>
          <w:rFonts w:asciiTheme="majorHAnsi" w:hAnsiTheme="majorHAnsi" w:cs="Calibri"/>
          <w:sz w:val="20"/>
          <w:szCs w:val="20"/>
          <w:u w:val="single"/>
        </w:rPr>
        <w:t>Persons</w:t>
      </w:r>
      <w:r w:rsidRPr="00710649">
        <w:rPr>
          <w:rFonts w:asciiTheme="majorHAnsi" w:hAnsiTheme="majorHAnsi" w:cs="Calibri"/>
          <w:sz w:val="20"/>
          <w:szCs w:val="20"/>
        </w:rPr>
        <w:t>:</w:t>
      </w:r>
      <w:r>
        <w:rPr>
          <w:rFonts w:asciiTheme="majorHAnsi" w:hAnsiTheme="majorHAnsi" w:cs="Calibri"/>
          <w:sz w:val="20"/>
          <w:szCs w:val="20"/>
        </w:rPr>
        <w:t xml:space="preserve"> Its function is</w:t>
      </w:r>
      <w:r w:rsidR="002867E3">
        <w:rPr>
          <w:rFonts w:asciiTheme="majorHAnsi" w:hAnsiTheme="majorHAnsi" w:cs="Calibri"/>
          <w:sz w:val="20"/>
          <w:szCs w:val="20"/>
        </w:rPr>
        <w:t xml:space="preserve"> to</w:t>
      </w:r>
      <w:r w:rsidRPr="00710649">
        <w:rPr>
          <w:rFonts w:asciiTheme="majorHAnsi" w:hAnsiTheme="majorHAnsi" w:cs="Calibri"/>
          <w:sz w:val="20"/>
          <w:szCs w:val="20"/>
        </w:rPr>
        <w:t xml:space="preserve"> monitor the human rights </w:t>
      </w:r>
      <w:r>
        <w:rPr>
          <w:rFonts w:asciiTheme="majorHAnsi" w:hAnsiTheme="majorHAnsi" w:cs="Calibri"/>
          <w:sz w:val="20"/>
          <w:szCs w:val="20"/>
        </w:rPr>
        <w:t xml:space="preserve">situation </w:t>
      </w:r>
      <w:r w:rsidRPr="00710649">
        <w:rPr>
          <w:rFonts w:asciiTheme="majorHAnsi" w:hAnsiTheme="majorHAnsi" w:cs="Calibri"/>
          <w:sz w:val="20"/>
          <w:szCs w:val="20"/>
        </w:rPr>
        <w:t xml:space="preserve">of lesbian, gays, </w:t>
      </w:r>
      <w:r w:rsidRPr="00710649">
        <w:rPr>
          <w:rFonts w:asciiTheme="majorHAnsi" w:hAnsiTheme="majorHAnsi" w:cs="Calibri"/>
          <w:sz w:val="20"/>
          <w:szCs w:val="20"/>
        </w:rPr>
        <w:lastRenderedPageBreak/>
        <w:t>transsexual, bisexual</w:t>
      </w:r>
      <w:r>
        <w:rPr>
          <w:rFonts w:asciiTheme="majorHAnsi" w:hAnsiTheme="majorHAnsi" w:cs="Calibri"/>
          <w:sz w:val="20"/>
          <w:szCs w:val="20"/>
        </w:rPr>
        <w:t>,</w:t>
      </w:r>
      <w:r w:rsidRPr="00710649">
        <w:rPr>
          <w:rFonts w:asciiTheme="majorHAnsi" w:hAnsiTheme="majorHAnsi" w:cs="Calibri"/>
          <w:sz w:val="20"/>
          <w:szCs w:val="20"/>
        </w:rPr>
        <w:t xml:space="preserve"> and intersex persons in the region, and to promote respect for their rights</w:t>
      </w:r>
      <w:r w:rsidR="0048417D" w:rsidRPr="001D375E">
        <w:rPr>
          <w:rFonts w:asciiTheme="majorHAnsi" w:hAnsiTheme="majorHAnsi" w:cs="Calibri"/>
          <w:sz w:val="20"/>
          <w:szCs w:val="20"/>
        </w:rPr>
        <w:t xml:space="preserve">.  </w:t>
      </w:r>
    </w:p>
    <w:p w:rsidR="0048417D" w:rsidRPr="001D375E" w:rsidRDefault="0048417D">
      <w:pPr>
        <w:spacing w:after="0" w:line="240" w:lineRule="auto"/>
        <w:jc w:val="both"/>
        <w:rPr>
          <w:rFonts w:asciiTheme="majorHAnsi" w:hAnsiTheme="majorHAnsi" w:cs="Calibri"/>
          <w:sz w:val="20"/>
          <w:szCs w:val="20"/>
          <w:u w:val="single"/>
        </w:rPr>
      </w:pPr>
    </w:p>
    <w:p w:rsidR="0048417D" w:rsidRPr="001D375E" w:rsidRDefault="0048417D">
      <w:pPr>
        <w:pStyle w:val="ListParagraph"/>
        <w:numPr>
          <w:ilvl w:val="1"/>
          <w:numId w:val="3"/>
        </w:numPr>
        <w:ind w:left="1800"/>
        <w:jc w:val="both"/>
        <w:rPr>
          <w:rFonts w:asciiTheme="majorHAnsi" w:hAnsiTheme="majorHAnsi" w:cs="Calibri"/>
          <w:sz w:val="20"/>
          <w:szCs w:val="20"/>
        </w:rPr>
      </w:pPr>
      <w:r w:rsidRPr="001D375E">
        <w:rPr>
          <w:rFonts w:asciiTheme="majorHAnsi" w:hAnsiTheme="majorHAnsi" w:cs="Calibri"/>
          <w:sz w:val="20"/>
          <w:szCs w:val="20"/>
          <w:u w:val="single"/>
        </w:rPr>
        <w:t>Uni</w:t>
      </w:r>
      <w:r w:rsidR="00E213FA">
        <w:rPr>
          <w:rFonts w:asciiTheme="majorHAnsi" w:hAnsiTheme="majorHAnsi" w:cs="Calibri"/>
          <w:sz w:val="20"/>
          <w:szCs w:val="20"/>
          <w:u w:val="single"/>
        </w:rPr>
        <w:t xml:space="preserve">t </w:t>
      </w:r>
      <w:r w:rsidR="00E213FA" w:rsidRPr="00E213FA">
        <w:rPr>
          <w:rFonts w:asciiTheme="majorHAnsi" w:hAnsiTheme="majorHAnsi" w:cs="Calibri"/>
          <w:sz w:val="20"/>
          <w:szCs w:val="20"/>
          <w:u w:val="single"/>
        </w:rPr>
        <w:t xml:space="preserve">on Economic, Social, and Cultural Rights </w:t>
      </w:r>
      <w:r w:rsidR="00710649">
        <w:rPr>
          <w:rFonts w:asciiTheme="majorHAnsi" w:hAnsiTheme="majorHAnsi" w:cs="Calibri"/>
          <w:sz w:val="20"/>
          <w:szCs w:val="20"/>
          <w:u w:val="single"/>
        </w:rPr>
        <w:t>(DESC</w:t>
      </w:r>
      <w:r w:rsidR="007A4006" w:rsidRPr="001D375E">
        <w:rPr>
          <w:rFonts w:asciiTheme="majorHAnsi" w:hAnsiTheme="majorHAnsi" w:cs="Calibri"/>
          <w:sz w:val="20"/>
          <w:szCs w:val="20"/>
          <w:u w:val="single"/>
        </w:rPr>
        <w:t>)</w:t>
      </w:r>
      <w:r w:rsidRPr="001D375E">
        <w:rPr>
          <w:rStyle w:val="FootnoteReference"/>
          <w:rFonts w:asciiTheme="majorHAnsi" w:hAnsiTheme="majorHAnsi"/>
          <w:b/>
          <w:sz w:val="20"/>
          <w:szCs w:val="20"/>
        </w:rPr>
        <w:footnoteReference w:id="3"/>
      </w:r>
      <w:r w:rsidRPr="001D375E">
        <w:rPr>
          <w:rFonts w:asciiTheme="majorHAnsi" w:hAnsiTheme="majorHAnsi" w:cs="Calibri"/>
          <w:sz w:val="20"/>
          <w:szCs w:val="20"/>
        </w:rPr>
        <w:t xml:space="preserve">: </w:t>
      </w:r>
      <w:r w:rsidR="00E213FA">
        <w:rPr>
          <w:rFonts w:asciiTheme="majorHAnsi" w:hAnsiTheme="majorHAnsi" w:cs="Calibri"/>
          <w:sz w:val="20"/>
          <w:szCs w:val="20"/>
        </w:rPr>
        <w:t>The Unit has a mandate to c</w:t>
      </w:r>
      <w:r w:rsidR="00E213FA" w:rsidRPr="00E213FA">
        <w:rPr>
          <w:rFonts w:asciiTheme="majorHAnsi" w:hAnsiTheme="majorHAnsi" w:cs="Calibri"/>
          <w:sz w:val="20"/>
          <w:szCs w:val="20"/>
        </w:rPr>
        <w:t xml:space="preserve">ooperate with the analysis and evaluation of the situation of these rights in the Americas, provide advice to the IACHR in proceedings </w:t>
      </w:r>
      <w:r w:rsidR="00E213FA">
        <w:rPr>
          <w:rFonts w:asciiTheme="majorHAnsi" w:hAnsiTheme="majorHAnsi" w:cs="Calibri"/>
          <w:sz w:val="20"/>
          <w:szCs w:val="20"/>
        </w:rPr>
        <w:t>on</w:t>
      </w:r>
      <w:r w:rsidR="00E213FA" w:rsidRPr="00E213FA">
        <w:rPr>
          <w:rFonts w:asciiTheme="majorHAnsi" w:hAnsiTheme="majorHAnsi" w:cs="Calibri"/>
          <w:sz w:val="20"/>
          <w:szCs w:val="20"/>
        </w:rPr>
        <w:t xml:space="preserve"> individual petitions, cases</w:t>
      </w:r>
      <w:r w:rsidR="00E213FA">
        <w:rPr>
          <w:rFonts w:asciiTheme="majorHAnsi" w:hAnsiTheme="majorHAnsi" w:cs="Calibri"/>
          <w:sz w:val="20"/>
          <w:szCs w:val="20"/>
        </w:rPr>
        <w:t>,</w:t>
      </w:r>
      <w:r w:rsidR="00E213FA" w:rsidRPr="00E213FA">
        <w:rPr>
          <w:rFonts w:asciiTheme="majorHAnsi" w:hAnsiTheme="majorHAnsi" w:cs="Calibri"/>
          <w:sz w:val="20"/>
          <w:szCs w:val="20"/>
        </w:rPr>
        <w:t xml:space="preserve"> and requests </w:t>
      </w:r>
      <w:r w:rsidR="00E213FA">
        <w:rPr>
          <w:rFonts w:asciiTheme="majorHAnsi" w:hAnsiTheme="majorHAnsi" w:cs="Calibri"/>
          <w:sz w:val="20"/>
          <w:szCs w:val="20"/>
        </w:rPr>
        <w:t>for</w:t>
      </w:r>
      <w:r w:rsidR="00E213FA" w:rsidRPr="00E213FA">
        <w:rPr>
          <w:rFonts w:asciiTheme="majorHAnsi" w:hAnsiTheme="majorHAnsi" w:cs="Calibri"/>
          <w:sz w:val="20"/>
          <w:szCs w:val="20"/>
        </w:rPr>
        <w:t xml:space="preserve"> precautionary and provisional measures which address these rights, undertake working visits to the OAS Member States</w:t>
      </w:r>
      <w:r w:rsidR="00E213FA">
        <w:rPr>
          <w:rFonts w:asciiTheme="majorHAnsi" w:hAnsiTheme="majorHAnsi" w:cs="Calibri"/>
          <w:sz w:val="20"/>
          <w:szCs w:val="20"/>
        </w:rPr>
        <w:t>,</w:t>
      </w:r>
      <w:r w:rsidR="00E213FA" w:rsidRPr="00E213FA">
        <w:rPr>
          <w:rFonts w:asciiTheme="majorHAnsi" w:hAnsiTheme="majorHAnsi" w:cs="Calibri"/>
          <w:sz w:val="20"/>
          <w:szCs w:val="20"/>
        </w:rPr>
        <w:t xml:space="preserve"> and prepare studies and publications, in particular </w:t>
      </w:r>
      <w:r w:rsidR="00E213FA">
        <w:rPr>
          <w:rFonts w:asciiTheme="majorHAnsi" w:hAnsiTheme="majorHAnsi" w:cs="Calibri"/>
          <w:sz w:val="20"/>
          <w:szCs w:val="20"/>
        </w:rPr>
        <w:t xml:space="preserve">on </w:t>
      </w:r>
      <w:r w:rsidR="00E213FA" w:rsidRPr="00E213FA">
        <w:rPr>
          <w:rFonts w:asciiTheme="majorHAnsi" w:hAnsiTheme="majorHAnsi" w:cs="Calibri"/>
          <w:sz w:val="20"/>
          <w:szCs w:val="20"/>
        </w:rPr>
        <w:t>international standards</w:t>
      </w:r>
      <w:r w:rsidRPr="001D375E">
        <w:rPr>
          <w:rFonts w:asciiTheme="majorHAnsi" w:hAnsiTheme="majorHAnsi" w:cs="Calibri"/>
          <w:sz w:val="20"/>
          <w:szCs w:val="20"/>
        </w:rPr>
        <w:t xml:space="preserve">. </w:t>
      </w:r>
      <w:r w:rsidR="009208AC">
        <w:rPr>
          <w:rFonts w:asciiTheme="majorHAnsi" w:hAnsiTheme="majorHAnsi" w:cs="Calibri"/>
          <w:sz w:val="20"/>
          <w:szCs w:val="20"/>
        </w:rPr>
        <w:t xml:space="preserve"> Likewise, one of the Unit´s principal tasks will be to enable the creation of the future Special Rapporteurship for DESC.</w:t>
      </w:r>
    </w:p>
    <w:p w:rsidR="0048417D" w:rsidRPr="001D375E" w:rsidRDefault="0048417D">
      <w:pPr>
        <w:pStyle w:val="ListParagraph"/>
        <w:ind w:left="0"/>
        <w:jc w:val="both"/>
        <w:rPr>
          <w:rFonts w:asciiTheme="majorHAnsi" w:hAnsiTheme="majorHAnsi" w:cs="Calibri"/>
          <w:sz w:val="20"/>
          <w:szCs w:val="20"/>
        </w:rPr>
      </w:pPr>
    </w:p>
    <w:p w:rsidR="0048417D" w:rsidRPr="001D375E" w:rsidRDefault="002867E3">
      <w:pPr>
        <w:pStyle w:val="ListParagraph"/>
        <w:numPr>
          <w:ilvl w:val="0"/>
          <w:numId w:val="3"/>
        </w:numPr>
        <w:ind w:left="1080"/>
        <w:jc w:val="both"/>
        <w:rPr>
          <w:rFonts w:asciiTheme="majorHAnsi" w:hAnsiTheme="majorHAnsi" w:cs="Calibri"/>
          <w:sz w:val="20"/>
          <w:szCs w:val="20"/>
        </w:rPr>
      </w:pPr>
      <w:r>
        <w:rPr>
          <w:rFonts w:asciiTheme="majorHAnsi" w:hAnsiTheme="majorHAnsi" w:cs="Calibri"/>
          <w:sz w:val="20"/>
          <w:szCs w:val="20"/>
        </w:rPr>
        <w:t xml:space="preserve">Department </w:t>
      </w:r>
      <w:r w:rsidR="0018209B">
        <w:rPr>
          <w:rFonts w:asciiTheme="majorHAnsi" w:hAnsiTheme="majorHAnsi" w:cs="Calibri"/>
          <w:sz w:val="20"/>
          <w:szCs w:val="20"/>
        </w:rPr>
        <w:t>of Promotion and Public Policy (</w:t>
      </w:r>
      <w:r>
        <w:rPr>
          <w:rFonts w:asciiTheme="majorHAnsi" w:hAnsiTheme="majorHAnsi" w:cs="Calibri"/>
          <w:sz w:val="20"/>
          <w:szCs w:val="20"/>
        </w:rPr>
        <w:t>DPPP</w:t>
      </w:r>
      <w:r w:rsidR="0048417D" w:rsidRPr="001D375E">
        <w:rPr>
          <w:rFonts w:asciiTheme="majorHAnsi" w:hAnsiTheme="majorHAnsi" w:cs="Calibri"/>
          <w:sz w:val="20"/>
          <w:szCs w:val="20"/>
        </w:rPr>
        <w:t xml:space="preserve">), </w:t>
      </w:r>
      <w:r w:rsidR="0018209B">
        <w:rPr>
          <w:rFonts w:asciiTheme="majorHAnsi" w:hAnsiTheme="majorHAnsi" w:cs="Calibri"/>
          <w:sz w:val="20"/>
          <w:szCs w:val="20"/>
        </w:rPr>
        <w:t>the purpose of which is to support</w:t>
      </w:r>
      <w:r w:rsidR="0048417D" w:rsidRPr="001D375E">
        <w:rPr>
          <w:rFonts w:asciiTheme="majorHAnsi" w:hAnsiTheme="majorHAnsi" w:cs="Calibri"/>
          <w:sz w:val="20"/>
          <w:szCs w:val="20"/>
        </w:rPr>
        <w:t xml:space="preserve"> </w:t>
      </w:r>
      <w:r w:rsidR="001D375E">
        <w:rPr>
          <w:rFonts w:asciiTheme="majorHAnsi" w:hAnsiTheme="majorHAnsi" w:cs="Calibri"/>
          <w:sz w:val="20"/>
          <w:szCs w:val="20"/>
        </w:rPr>
        <w:t>the IACHR</w:t>
      </w:r>
      <w:r w:rsidR="0048417D" w:rsidRPr="001D375E">
        <w:rPr>
          <w:rFonts w:asciiTheme="majorHAnsi" w:hAnsiTheme="majorHAnsi" w:cs="Calibri"/>
          <w:sz w:val="20"/>
          <w:szCs w:val="20"/>
        </w:rPr>
        <w:t xml:space="preserve"> </w:t>
      </w:r>
      <w:r w:rsidR="0018209B">
        <w:rPr>
          <w:rFonts w:asciiTheme="majorHAnsi" w:hAnsiTheme="majorHAnsi" w:cs="Calibri"/>
          <w:sz w:val="20"/>
          <w:szCs w:val="20"/>
        </w:rPr>
        <w:t>in its promotion of human rights in the region</w:t>
      </w:r>
      <w:r w:rsidR="0048417D" w:rsidRPr="001D375E">
        <w:rPr>
          <w:rFonts w:asciiTheme="majorHAnsi" w:hAnsiTheme="majorHAnsi" w:cs="Calibri"/>
          <w:sz w:val="20"/>
          <w:szCs w:val="20"/>
        </w:rPr>
        <w:t xml:space="preserve">.  </w:t>
      </w:r>
      <w:r w:rsidR="0018209B">
        <w:rPr>
          <w:rFonts w:asciiTheme="majorHAnsi" w:hAnsiTheme="majorHAnsi" w:cs="Calibri"/>
          <w:sz w:val="20"/>
          <w:szCs w:val="20"/>
        </w:rPr>
        <w:t>It is comprised by three sections:</w:t>
      </w:r>
    </w:p>
    <w:p w:rsidR="0048417D" w:rsidRPr="001D375E" w:rsidRDefault="0048417D">
      <w:pPr>
        <w:pStyle w:val="ListParagraph"/>
        <w:jc w:val="both"/>
        <w:rPr>
          <w:rFonts w:asciiTheme="majorHAnsi" w:hAnsiTheme="majorHAnsi" w:cs="Calibri"/>
          <w:sz w:val="20"/>
          <w:szCs w:val="20"/>
        </w:rPr>
      </w:pPr>
    </w:p>
    <w:p w:rsidR="0048417D" w:rsidRPr="001D375E" w:rsidRDefault="006966E3">
      <w:pPr>
        <w:pStyle w:val="ListParagraph"/>
        <w:numPr>
          <w:ilvl w:val="1"/>
          <w:numId w:val="3"/>
        </w:numPr>
        <w:ind w:left="1800"/>
        <w:jc w:val="both"/>
        <w:rPr>
          <w:rFonts w:asciiTheme="majorHAnsi" w:hAnsiTheme="majorHAnsi" w:cs="Calibri"/>
          <w:sz w:val="20"/>
          <w:szCs w:val="20"/>
        </w:rPr>
      </w:pPr>
      <w:r>
        <w:rPr>
          <w:rFonts w:asciiTheme="majorHAnsi" w:hAnsiTheme="majorHAnsi" w:cs="Calibri"/>
          <w:sz w:val="20"/>
          <w:szCs w:val="20"/>
        </w:rPr>
        <w:t>Advice to States Section</w:t>
      </w:r>
      <w:r w:rsidR="0048417D" w:rsidRPr="001D375E">
        <w:rPr>
          <w:rFonts w:asciiTheme="majorHAnsi" w:hAnsiTheme="majorHAnsi" w:cs="Calibri"/>
          <w:sz w:val="20"/>
          <w:szCs w:val="20"/>
        </w:rPr>
        <w:t>;</w:t>
      </w:r>
    </w:p>
    <w:p w:rsidR="0048417D" w:rsidRPr="001D375E" w:rsidRDefault="006966E3">
      <w:pPr>
        <w:pStyle w:val="ListParagraph"/>
        <w:numPr>
          <w:ilvl w:val="1"/>
          <w:numId w:val="3"/>
        </w:numPr>
        <w:ind w:left="1800"/>
        <w:jc w:val="both"/>
        <w:rPr>
          <w:rFonts w:asciiTheme="majorHAnsi" w:hAnsiTheme="majorHAnsi" w:cs="Calibri"/>
          <w:sz w:val="20"/>
          <w:szCs w:val="20"/>
        </w:rPr>
      </w:pPr>
      <w:r>
        <w:rPr>
          <w:rFonts w:asciiTheme="majorHAnsi" w:hAnsiTheme="majorHAnsi" w:cs="Calibri"/>
          <w:sz w:val="20"/>
          <w:szCs w:val="20"/>
        </w:rPr>
        <w:t>Training and Dissemination Section; and</w:t>
      </w:r>
    </w:p>
    <w:p w:rsidR="0048417D" w:rsidRPr="001D375E" w:rsidRDefault="006966E3">
      <w:pPr>
        <w:pStyle w:val="ListParagraph"/>
        <w:numPr>
          <w:ilvl w:val="1"/>
          <w:numId w:val="3"/>
        </w:numPr>
        <w:ind w:left="1800"/>
        <w:jc w:val="both"/>
        <w:rPr>
          <w:rFonts w:asciiTheme="majorHAnsi" w:hAnsiTheme="majorHAnsi" w:cs="Calibri"/>
          <w:sz w:val="20"/>
          <w:szCs w:val="20"/>
        </w:rPr>
      </w:pPr>
      <w:r>
        <w:rPr>
          <w:rFonts w:asciiTheme="majorHAnsi" w:hAnsiTheme="majorHAnsi" w:cs="Calibri"/>
          <w:sz w:val="20"/>
          <w:szCs w:val="20"/>
        </w:rPr>
        <w:t>Public Policy Section</w:t>
      </w:r>
    </w:p>
    <w:p w:rsidR="0048417D" w:rsidRPr="001D375E" w:rsidRDefault="0048417D">
      <w:pPr>
        <w:pStyle w:val="ListParagraph"/>
        <w:jc w:val="both"/>
        <w:rPr>
          <w:rFonts w:asciiTheme="majorHAnsi" w:hAnsiTheme="majorHAnsi" w:cs="Calibri"/>
          <w:sz w:val="20"/>
          <w:szCs w:val="20"/>
        </w:rPr>
      </w:pPr>
    </w:p>
    <w:p w:rsidR="0048417D" w:rsidRPr="001D375E" w:rsidRDefault="001A630B">
      <w:pPr>
        <w:pStyle w:val="ListParagraph"/>
        <w:numPr>
          <w:ilvl w:val="0"/>
          <w:numId w:val="3"/>
        </w:numPr>
        <w:jc w:val="both"/>
        <w:rPr>
          <w:rFonts w:asciiTheme="majorHAnsi" w:hAnsiTheme="majorHAnsi" w:cs="Calibri"/>
          <w:sz w:val="20"/>
          <w:szCs w:val="20"/>
        </w:rPr>
      </w:pPr>
      <w:r w:rsidRPr="001A630B">
        <w:rPr>
          <w:rFonts w:asciiTheme="majorHAnsi" w:hAnsiTheme="majorHAnsi" w:cs="Calibri"/>
          <w:sz w:val="20"/>
          <w:szCs w:val="20"/>
        </w:rPr>
        <w:t xml:space="preserve">Department of Institutional Development and Administrative Affairs </w:t>
      </w:r>
      <w:r>
        <w:rPr>
          <w:rFonts w:asciiTheme="majorHAnsi" w:hAnsiTheme="majorHAnsi" w:cs="Calibri"/>
          <w:sz w:val="20"/>
          <w:szCs w:val="20"/>
        </w:rPr>
        <w:t>(DIAA</w:t>
      </w:r>
      <w:r w:rsidR="0048417D" w:rsidRPr="001D375E">
        <w:rPr>
          <w:rFonts w:asciiTheme="majorHAnsi" w:hAnsiTheme="majorHAnsi" w:cs="Calibri"/>
          <w:sz w:val="20"/>
          <w:szCs w:val="20"/>
        </w:rPr>
        <w:t xml:space="preserve">), </w:t>
      </w:r>
      <w:r w:rsidR="00F65FA3">
        <w:rPr>
          <w:rFonts w:asciiTheme="majorHAnsi" w:hAnsiTheme="majorHAnsi" w:cs="Calibri"/>
          <w:sz w:val="20"/>
          <w:szCs w:val="20"/>
        </w:rPr>
        <w:t xml:space="preserve">which </w:t>
      </w:r>
      <w:r w:rsidR="00F65FA3" w:rsidRPr="00F65FA3">
        <w:rPr>
          <w:rFonts w:asciiTheme="majorHAnsi" w:hAnsiTheme="majorHAnsi" w:cs="Calibri"/>
          <w:sz w:val="20"/>
          <w:szCs w:val="20"/>
        </w:rPr>
        <w:t>is in charge of all financial and operative planning and reporting, human resource management, and administrative logistics for the Commission, as well as the coordination of all administrative personnel assigned to the regional sections and Rapporteurships.</w:t>
      </w:r>
      <w:r w:rsidR="00D65E50">
        <w:rPr>
          <w:rFonts w:asciiTheme="majorHAnsi" w:hAnsiTheme="majorHAnsi" w:cs="Calibri"/>
          <w:sz w:val="20"/>
          <w:szCs w:val="20"/>
        </w:rPr>
        <w:t xml:space="preserve"> </w:t>
      </w:r>
      <w:r w:rsidR="00F65FA3">
        <w:rPr>
          <w:rFonts w:asciiTheme="majorHAnsi" w:hAnsiTheme="majorHAnsi" w:cs="Calibri"/>
          <w:sz w:val="20"/>
          <w:szCs w:val="20"/>
        </w:rPr>
        <w:t xml:space="preserve"> In addition, under the new structure, it </w:t>
      </w:r>
      <w:r w:rsidR="00BE4C71">
        <w:rPr>
          <w:rFonts w:asciiTheme="majorHAnsi" w:hAnsiTheme="majorHAnsi" w:cs="Calibri"/>
          <w:sz w:val="20"/>
          <w:szCs w:val="20"/>
        </w:rPr>
        <w:t>manages</w:t>
      </w:r>
      <w:r w:rsidR="00F65FA3">
        <w:rPr>
          <w:rFonts w:asciiTheme="majorHAnsi" w:hAnsiTheme="majorHAnsi" w:cs="Calibri"/>
          <w:sz w:val="20"/>
          <w:szCs w:val="20"/>
        </w:rPr>
        <w:t xml:space="preserve"> the coordination of the IACHR’s </w:t>
      </w:r>
      <w:r w:rsidR="00D65E50">
        <w:rPr>
          <w:rFonts w:asciiTheme="majorHAnsi" w:hAnsiTheme="majorHAnsi" w:cs="Calibri"/>
          <w:sz w:val="20"/>
          <w:szCs w:val="20"/>
        </w:rPr>
        <w:t xml:space="preserve">strategy for relations and </w:t>
      </w:r>
      <w:r w:rsidR="00F65FA3">
        <w:rPr>
          <w:rFonts w:asciiTheme="majorHAnsi" w:hAnsiTheme="majorHAnsi" w:cs="Calibri"/>
          <w:sz w:val="20"/>
          <w:szCs w:val="20"/>
        </w:rPr>
        <w:t>communication with regional human rights mechanisms, the United Nations, and other institutions</w:t>
      </w:r>
      <w:r w:rsidR="00D65E50">
        <w:rPr>
          <w:rFonts w:asciiTheme="majorHAnsi" w:hAnsiTheme="majorHAnsi" w:cs="Calibri"/>
          <w:sz w:val="20"/>
          <w:szCs w:val="20"/>
        </w:rPr>
        <w:t>;</w:t>
      </w:r>
      <w:r w:rsidR="00F65FA3">
        <w:rPr>
          <w:rFonts w:asciiTheme="majorHAnsi" w:hAnsiTheme="majorHAnsi" w:cs="Calibri"/>
          <w:sz w:val="20"/>
          <w:szCs w:val="20"/>
        </w:rPr>
        <w:t xml:space="preserve"> as well as the </w:t>
      </w:r>
      <w:r w:rsidR="00D65E50">
        <w:rPr>
          <w:rFonts w:asciiTheme="majorHAnsi" w:hAnsiTheme="majorHAnsi" w:cs="Calibri"/>
          <w:sz w:val="20"/>
          <w:szCs w:val="20"/>
        </w:rPr>
        <w:t>administration of technology and automation tools.</w:t>
      </w:r>
      <w:r w:rsidR="0048417D" w:rsidRPr="001D375E">
        <w:rPr>
          <w:rFonts w:asciiTheme="majorHAnsi" w:hAnsiTheme="majorHAnsi" w:cs="Calibri"/>
          <w:sz w:val="20"/>
          <w:szCs w:val="20"/>
        </w:rPr>
        <w:t xml:space="preserve">.  </w:t>
      </w:r>
      <w:r w:rsidR="00F65FA3">
        <w:rPr>
          <w:rFonts w:asciiTheme="majorHAnsi" w:hAnsiTheme="majorHAnsi" w:cs="Calibri"/>
          <w:sz w:val="20"/>
          <w:szCs w:val="20"/>
        </w:rPr>
        <w:t xml:space="preserve">It is composed of the following three sections and one unit: </w:t>
      </w:r>
      <w:r w:rsidR="0048417D" w:rsidRPr="001D375E">
        <w:rPr>
          <w:rFonts w:asciiTheme="majorHAnsi" w:hAnsiTheme="majorHAnsi" w:cs="Calibri"/>
          <w:sz w:val="20"/>
          <w:szCs w:val="20"/>
        </w:rPr>
        <w:t xml:space="preserve"> </w:t>
      </w:r>
    </w:p>
    <w:p w:rsidR="0048417D" w:rsidRPr="001D375E" w:rsidRDefault="0048417D">
      <w:pPr>
        <w:pStyle w:val="ListParagraph"/>
        <w:jc w:val="both"/>
        <w:rPr>
          <w:rFonts w:asciiTheme="majorHAnsi" w:hAnsiTheme="majorHAnsi" w:cs="Calibri"/>
          <w:sz w:val="20"/>
          <w:szCs w:val="20"/>
        </w:rPr>
      </w:pPr>
    </w:p>
    <w:p w:rsidR="0048417D" w:rsidRPr="001D375E" w:rsidRDefault="00BE4C71">
      <w:pPr>
        <w:pStyle w:val="ListParagraph"/>
        <w:numPr>
          <w:ilvl w:val="1"/>
          <w:numId w:val="3"/>
        </w:numPr>
        <w:ind w:left="1800"/>
        <w:jc w:val="both"/>
        <w:rPr>
          <w:rFonts w:asciiTheme="majorHAnsi" w:hAnsiTheme="majorHAnsi" w:cs="Calibri"/>
          <w:sz w:val="20"/>
          <w:szCs w:val="20"/>
        </w:rPr>
      </w:pPr>
      <w:r>
        <w:rPr>
          <w:rFonts w:asciiTheme="majorHAnsi" w:hAnsiTheme="majorHAnsi" w:cs="Calibri"/>
          <w:sz w:val="20"/>
          <w:szCs w:val="20"/>
        </w:rPr>
        <w:t>Administrative Management Section</w:t>
      </w:r>
      <w:r w:rsidR="0048417D" w:rsidRPr="001D375E">
        <w:rPr>
          <w:rFonts w:asciiTheme="majorHAnsi" w:hAnsiTheme="majorHAnsi" w:cs="Calibri"/>
          <w:sz w:val="20"/>
          <w:szCs w:val="20"/>
        </w:rPr>
        <w:t>;</w:t>
      </w:r>
    </w:p>
    <w:p w:rsidR="0048417D" w:rsidRPr="001D375E" w:rsidRDefault="00BE4C71">
      <w:pPr>
        <w:pStyle w:val="ListParagraph"/>
        <w:numPr>
          <w:ilvl w:val="1"/>
          <w:numId w:val="3"/>
        </w:numPr>
        <w:ind w:left="1800"/>
        <w:jc w:val="both"/>
        <w:rPr>
          <w:rFonts w:asciiTheme="majorHAnsi" w:hAnsiTheme="majorHAnsi" w:cs="Calibri"/>
          <w:sz w:val="20"/>
          <w:szCs w:val="20"/>
        </w:rPr>
      </w:pPr>
      <w:r>
        <w:rPr>
          <w:rFonts w:asciiTheme="majorHAnsi" w:hAnsiTheme="majorHAnsi" w:cs="Calibri"/>
          <w:sz w:val="20"/>
          <w:szCs w:val="20"/>
        </w:rPr>
        <w:t xml:space="preserve">Resource Mobilization and </w:t>
      </w:r>
      <w:r w:rsidR="00024B77">
        <w:rPr>
          <w:rFonts w:asciiTheme="majorHAnsi" w:hAnsiTheme="majorHAnsi" w:cs="Calibri"/>
          <w:sz w:val="20"/>
          <w:szCs w:val="20"/>
        </w:rPr>
        <w:t>Project Management</w:t>
      </w:r>
      <w:r>
        <w:rPr>
          <w:rFonts w:asciiTheme="majorHAnsi" w:hAnsiTheme="majorHAnsi" w:cs="Calibri"/>
          <w:sz w:val="20"/>
          <w:szCs w:val="20"/>
        </w:rPr>
        <w:t xml:space="preserve"> Section</w:t>
      </w:r>
      <w:r w:rsidR="0048417D" w:rsidRPr="001D375E">
        <w:rPr>
          <w:rFonts w:asciiTheme="majorHAnsi" w:hAnsiTheme="majorHAnsi" w:cs="Calibri"/>
          <w:sz w:val="20"/>
          <w:szCs w:val="20"/>
        </w:rPr>
        <w:t>;</w:t>
      </w:r>
    </w:p>
    <w:p w:rsidR="0048417D" w:rsidRPr="001D375E" w:rsidRDefault="00BE4C71">
      <w:pPr>
        <w:pStyle w:val="ListParagraph"/>
        <w:numPr>
          <w:ilvl w:val="1"/>
          <w:numId w:val="3"/>
        </w:numPr>
        <w:ind w:left="1800"/>
        <w:jc w:val="both"/>
        <w:rPr>
          <w:rFonts w:asciiTheme="majorHAnsi" w:hAnsiTheme="majorHAnsi" w:cs="Calibri"/>
          <w:sz w:val="20"/>
          <w:szCs w:val="20"/>
        </w:rPr>
      </w:pPr>
      <w:r>
        <w:rPr>
          <w:rFonts w:asciiTheme="majorHAnsi" w:hAnsiTheme="majorHAnsi" w:cs="Calibri"/>
          <w:sz w:val="20"/>
          <w:szCs w:val="20"/>
        </w:rPr>
        <w:t>Inter-Institutional Relations Section; and</w:t>
      </w:r>
    </w:p>
    <w:p w:rsidR="0048417D" w:rsidRPr="001D375E" w:rsidRDefault="00BE4C71">
      <w:pPr>
        <w:pStyle w:val="ListParagraph"/>
        <w:numPr>
          <w:ilvl w:val="1"/>
          <w:numId w:val="3"/>
        </w:numPr>
        <w:ind w:left="1800"/>
        <w:jc w:val="both"/>
        <w:rPr>
          <w:rFonts w:asciiTheme="majorHAnsi" w:hAnsiTheme="majorHAnsi" w:cs="Calibri"/>
          <w:sz w:val="20"/>
          <w:szCs w:val="20"/>
        </w:rPr>
      </w:pPr>
      <w:r>
        <w:rPr>
          <w:rFonts w:asciiTheme="majorHAnsi" w:hAnsiTheme="majorHAnsi" w:cs="Calibri"/>
          <w:sz w:val="20"/>
          <w:szCs w:val="20"/>
        </w:rPr>
        <w:t>Technology and Systems Unit</w:t>
      </w:r>
    </w:p>
    <w:p w:rsidR="0048417D" w:rsidRPr="001D375E" w:rsidRDefault="0048417D">
      <w:pPr>
        <w:pStyle w:val="ListParagraph"/>
        <w:jc w:val="both"/>
        <w:rPr>
          <w:rFonts w:asciiTheme="majorHAnsi" w:hAnsiTheme="majorHAnsi" w:cs="Calibri"/>
          <w:sz w:val="20"/>
          <w:szCs w:val="20"/>
        </w:rPr>
      </w:pPr>
    </w:p>
    <w:p w:rsidR="0048417D" w:rsidRPr="001D375E" w:rsidRDefault="004C0EEB">
      <w:pPr>
        <w:pStyle w:val="Heading2"/>
        <w:rPr>
          <w:lang w:val="en-US"/>
        </w:rPr>
      </w:pPr>
      <w:r>
        <w:rPr>
          <w:lang w:val="en-US"/>
        </w:rPr>
        <w:t>Staff Training</w:t>
      </w:r>
    </w:p>
    <w:p w:rsidR="0048417D" w:rsidRPr="001D375E" w:rsidRDefault="0048417D">
      <w:pPr>
        <w:pStyle w:val="ListParagraph"/>
        <w:jc w:val="both"/>
        <w:rPr>
          <w:rFonts w:asciiTheme="majorHAnsi" w:hAnsiTheme="majorHAnsi" w:cs="Calibri"/>
          <w:sz w:val="20"/>
          <w:szCs w:val="20"/>
        </w:rPr>
      </w:pPr>
    </w:p>
    <w:p w:rsidR="00405AD5" w:rsidRPr="001D375E" w:rsidRDefault="004C0EEB">
      <w:pPr>
        <w:pStyle w:val="ListParagraph"/>
        <w:numPr>
          <w:ilvl w:val="0"/>
          <w:numId w:val="9"/>
        </w:numPr>
        <w:ind w:left="0" w:firstLine="720"/>
        <w:jc w:val="both"/>
        <w:rPr>
          <w:rFonts w:asciiTheme="majorHAnsi" w:hAnsiTheme="majorHAnsi" w:cs="Calibri"/>
          <w:sz w:val="20"/>
          <w:szCs w:val="20"/>
        </w:rPr>
      </w:pPr>
      <w:r w:rsidRPr="00F5716D">
        <w:rPr>
          <w:rFonts w:asciiTheme="majorHAnsi" w:eastAsia="Calibri" w:hAnsiTheme="majorHAnsi" w:cs="Calibri"/>
          <w:sz w:val="20"/>
          <w:szCs w:val="20"/>
        </w:rPr>
        <w:t>During 2015</w:t>
      </w:r>
      <w:r w:rsidR="0048417D" w:rsidRPr="00F5716D">
        <w:rPr>
          <w:rFonts w:asciiTheme="majorHAnsi" w:eastAsia="Calibri" w:hAnsiTheme="majorHAnsi" w:cs="Calibri"/>
          <w:sz w:val="20"/>
          <w:szCs w:val="20"/>
        </w:rPr>
        <w:t xml:space="preserve">, </w:t>
      </w:r>
      <w:r w:rsidRPr="00F5716D">
        <w:rPr>
          <w:rFonts w:asciiTheme="majorHAnsi" w:eastAsia="Calibri" w:hAnsiTheme="majorHAnsi" w:cs="Calibri"/>
          <w:sz w:val="20"/>
          <w:szCs w:val="20"/>
        </w:rPr>
        <w:t>in cooperation with the</w:t>
      </w:r>
      <w:r w:rsidR="0048417D" w:rsidRPr="00F5716D">
        <w:rPr>
          <w:rFonts w:asciiTheme="majorHAnsi" w:eastAsia="Calibri" w:hAnsiTheme="majorHAnsi" w:cs="Calibri"/>
          <w:sz w:val="20"/>
          <w:szCs w:val="20"/>
        </w:rPr>
        <w:t xml:space="preserve"> </w:t>
      </w:r>
      <w:r w:rsidRPr="00F5716D">
        <w:rPr>
          <w:rFonts w:asciiTheme="majorHAnsi" w:eastAsia="Calibri" w:hAnsiTheme="majorHAnsi" w:cs="Calibri"/>
          <w:sz w:val="20"/>
          <w:szCs w:val="20"/>
        </w:rPr>
        <w:t>Department of Promotion and Public Policy</w:t>
      </w:r>
      <w:r w:rsidR="007F3010" w:rsidRPr="00F5716D">
        <w:rPr>
          <w:rFonts w:asciiTheme="majorHAnsi" w:eastAsia="Calibri" w:hAnsiTheme="majorHAnsi" w:cs="Calibri"/>
          <w:sz w:val="20"/>
          <w:szCs w:val="20"/>
        </w:rPr>
        <w:t xml:space="preserve">, </w:t>
      </w:r>
      <w:r w:rsidRPr="00F5716D">
        <w:rPr>
          <w:rFonts w:asciiTheme="majorHAnsi" w:eastAsia="Calibri" w:hAnsiTheme="majorHAnsi" w:cs="Calibri"/>
          <w:sz w:val="20"/>
          <w:szCs w:val="20"/>
        </w:rPr>
        <w:t xml:space="preserve">DIAA implemented the first phase of training and workshops </w:t>
      </w:r>
      <w:r w:rsidR="00D65E50" w:rsidRPr="00F5716D">
        <w:rPr>
          <w:rFonts w:asciiTheme="majorHAnsi" w:eastAsia="Calibri" w:hAnsiTheme="majorHAnsi" w:cs="Calibri"/>
          <w:sz w:val="20"/>
          <w:szCs w:val="20"/>
        </w:rPr>
        <w:t xml:space="preserve">for </w:t>
      </w:r>
      <w:r w:rsidRPr="00F5716D">
        <w:rPr>
          <w:rFonts w:asciiTheme="majorHAnsi" w:eastAsia="Calibri" w:hAnsiTheme="majorHAnsi" w:cs="Calibri"/>
          <w:sz w:val="20"/>
          <w:szCs w:val="20"/>
        </w:rPr>
        <w:t>the Promotion of Gender Equality and Nondiscrimination,</w:t>
      </w:r>
      <w:r w:rsidR="007F3010" w:rsidRPr="00F5716D">
        <w:rPr>
          <w:rFonts w:asciiTheme="majorHAnsi" w:eastAsia="Calibri" w:hAnsiTheme="majorHAnsi" w:cs="Calibri"/>
          <w:sz w:val="20"/>
          <w:szCs w:val="20"/>
        </w:rPr>
        <w:t xml:space="preserve"> </w:t>
      </w:r>
      <w:r w:rsidRPr="00F5716D">
        <w:rPr>
          <w:rFonts w:asciiTheme="majorHAnsi" w:eastAsia="Calibri" w:hAnsiTheme="majorHAnsi" w:cs="Calibri"/>
          <w:sz w:val="20"/>
          <w:szCs w:val="20"/>
        </w:rPr>
        <w:t>which involved the participation of</w:t>
      </w:r>
      <w:r w:rsidR="00303A46" w:rsidRPr="00F5716D">
        <w:rPr>
          <w:rFonts w:asciiTheme="majorHAnsi" w:eastAsia="Calibri" w:hAnsiTheme="majorHAnsi" w:cs="Calibri"/>
          <w:sz w:val="20"/>
          <w:szCs w:val="20"/>
        </w:rPr>
        <w:t xml:space="preserve"> </w:t>
      </w:r>
      <w:r w:rsidR="00D65E50" w:rsidRPr="00F5716D">
        <w:rPr>
          <w:rFonts w:asciiTheme="majorHAnsi" w:eastAsia="Calibri" w:hAnsiTheme="majorHAnsi" w:cs="Calibri"/>
          <w:sz w:val="20"/>
          <w:szCs w:val="20"/>
        </w:rPr>
        <w:t>staff</w:t>
      </w:r>
      <w:r w:rsidR="00884EEE" w:rsidRPr="00F5716D">
        <w:rPr>
          <w:rFonts w:asciiTheme="majorHAnsi" w:eastAsia="Calibri" w:hAnsiTheme="majorHAnsi" w:cs="Calibri"/>
          <w:sz w:val="20"/>
          <w:szCs w:val="20"/>
        </w:rPr>
        <w:t xml:space="preserve"> of the Executive Secretar</w:t>
      </w:r>
      <w:r w:rsidR="00D65E50" w:rsidRPr="00F5716D">
        <w:rPr>
          <w:rFonts w:asciiTheme="majorHAnsi" w:eastAsia="Calibri" w:hAnsiTheme="majorHAnsi" w:cs="Calibri"/>
          <w:sz w:val="20"/>
          <w:szCs w:val="20"/>
        </w:rPr>
        <w:t>iat</w:t>
      </w:r>
      <w:r w:rsidR="00303A46" w:rsidRPr="00F5716D">
        <w:rPr>
          <w:rFonts w:asciiTheme="majorHAnsi" w:eastAsia="Calibri" w:hAnsiTheme="majorHAnsi" w:cs="Calibri"/>
          <w:sz w:val="20"/>
          <w:szCs w:val="20"/>
        </w:rPr>
        <w:t xml:space="preserve"> </w:t>
      </w:r>
      <w:r w:rsidRPr="00F5716D">
        <w:rPr>
          <w:rFonts w:asciiTheme="majorHAnsi" w:eastAsia="Calibri" w:hAnsiTheme="majorHAnsi" w:cs="Calibri"/>
          <w:sz w:val="20"/>
          <w:szCs w:val="20"/>
        </w:rPr>
        <w:t xml:space="preserve">in the OAS </w:t>
      </w:r>
      <w:r w:rsidR="00D65E50" w:rsidRPr="00F5716D">
        <w:rPr>
          <w:rFonts w:asciiTheme="majorHAnsi" w:eastAsia="Calibri" w:hAnsiTheme="majorHAnsi" w:cs="Calibri"/>
          <w:sz w:val="20"/>
          <w:szCs w:val="20"/>
        </w:rPr>
        <w:t>Task Force</w:t>
      </w:r>
      <w:r w:rsidRPr="00F5716D">
        <w:rPr>
          <w:rFonts w:asciiTheme="majorHAnsi" w:eastAsia="Calibri" w:hAnsiTheme="majorHAnsi" w:cs="Calibri"/>
          <w:sz w:val="20"/>
          <w:szCs w:val="20"/>
        </w:rPr>
        <w:t xml:space="preserve"> on Sexual and Workplace Harassment</w:t>
      </w:r>
      <w:r w:rsidR="0048417D" w:rsidRPr="00F5716D">
        <w:rPr>
          <w:rFonts w:asciiTheme="majorHAnsi" w:eastAsia="Calibri" w:hAnsiTheme="majorHAnsi" w:cs="Calibri"/>
          <w:sz w:val="20"/>
          <w:szCs w:val="20"/>
        </w:rPr>
        <w:t xml:space="preserve">, </w:t>
      </w:r>
      <w:r w:rsidRPr="00F5716D">
        <w:rPr>
          <w:rFonts w:asciiTheme="majorHAnsi" w:eastAsia="Calibri" w:hAnsiTheme="majorHAnsi" w:cs="Calibri"/>
          <w:sz w:val="20"/>
          <w:szCs w:val="20"/>
        </w:rPr>
        <w:t>and ongoing training sessions on workplace</w:t>
      </w:r>
      <w:r w:rsidR="00B109D6" w:rsidRPr="00F5716D">
        <w:rPr>
          <w:rFonts w:asciiTheme="majorHAnsi" w:eastAsia="Calibri" w:hAnsiTheme="majorHAnsi" w:cs="Calibri"/>
          <w:sz w:val="20"/>
          <w:szCs w:val="20"/>
        </w:rPr>
        <w:t xml:space="preserve"> harassment</w:t>
      </w:r>
      <w:r w:rsidRPr="00F5716D">
        <w:rPr>
          <w:rFonts w:asciiTheme="majorHAnsi" w:eastAsia="Calibri" w:hAnsiTheme="majorHAnsi" w:cs="Calibri"/>
          <w:sz w:val="20"/>
          <w:szCs w:val="20"/>
        </w:rPr>
        <w:t xml:space="preserve">, </w:t>
      </w:r>
      <w:r w:rsidR="0048417D" w:rsidRPr="00F5716D">
        <w:rPr>
          <w:rFonts w:asciiTheme="majorHAnsi" w:eastAsia="Calibri" w:hAnsiTheme="majorHAnsi" w:cs="Calibri"/>
          <w:sz w:val="20"/>
          <w:szCs w:val="20"/>
        </w:rPr>
        <w:t>sexual</w:t>
      </w:r>
      <w:r w:rsidR="00B109D6" w:rsidRPr="00F5716D">
        <w:rPr>
          <w:rFonts w:asciiTheme="majorHAnsi" w:eastAsia="Calibri" w:hAnsiTheme="majorHAnsi" w:cs="Calibri"/>
          <w:sz w:val="20"/>
          <w:szCs w:val="20"/>
        </w:rPr>
        <w:t xml:space="preserve"> harassment</w:t>
      </w:r>
      <w:r w:rsidR="0048417D" w:rsidRPr="00F5716D">
        <w:rPr>
          <w:rFonts w:asciiTheme="majorHAnsi" w:eastAsia="Calibri" w:hAnsiTheme="majorHAnsi" w:cs="Calibri"/>
          <w:sz w:val="20"/>
          <w:szCs w:val="20"/>
        </w:rPr>
        <w:t>, cultural</w:t>
      </w:r>
      <w:r w:rsidR="00B109D6" w:rsidRPr="00F5716D">
        <w:rPr>
          <w:rFonts w:asciiTheme="majorHAnsi" w:eastAsia="Calibri" w:hAnsiTheme="majorHAnsi" w:cs="Calibri"/>
          <w:sz w:val="20"/>
          <w:szCs w:val="20"/>
        </w:rPr>
        <w:t xml:space="preserve"> diversity</w:t>
      </w:r>
      <w:r w:rsidR="0048417D" w:rsidRPr="00F5716D">
        <w:rPr>
          <w:rFonts w:asciiTheme="majorHAnsi" w:eastAsia="Calibri" w:hAnsiTheme="majorHAnsi" w:cs="Calibri"/>
          <w:sz w:val="20"/>
          <w:szCs w:val="20"/>
        </w:rPr>
        <w:t>, social</w:t>
      </w:r>
      <w:r w:rsidR="00B109D6" w:rsidRPr="00F5716D">
        <w:rPr>
          <w:rFonts w:asciiTheme="majorHAnsi" w:eastAsia="Calibri" w:hAnsiTheme="majorHAnsi" w:cs="Calibri"/>
          <w:sz w:val="20"/>
          <w:szCs w:val="20"/>
        </w:rPr>
        <w:t xml:space="preserve"> inclusion</w:t>
      </w:r>
      <w:r w:rsidR="0048417D" w:rsidRPr="00F5716D">
        <w:rPr>
          <w:rFonts w:asciiTheme="majorHAnsi" w:eastAsia="Calibri" w:hAnsiTheme="majorHAnsi" w:cs="Calibri"/>
          <w:sz w:val="20"/>
          <w:szCs w:val="20"/>
        </w:rPr>
        <w:t xml:space="preserve">, </w:t>
      </w:r>
      <w:r w:rsidR="00B109D6" w:rsidRPr="00F5716D">
        <w:rPr>
          <w:rFonts w:asciiTheme="majorHAnsi" w:eastAsia="Calibri" w:hAnsiTheme="majorHAnsi" w:cs="Calibri"/>
          <w:sz w:val="20"/>
          <w:szCs w:val="20"/>
        </w:rPr>
        <w:t>and gender equality</w:t>
      </w:r>
      <w:r w:rsidR="0048417D" w:rsidRPr="00F5716D">
        <w:rPr>
          <w:rFonts w:asciiTheme="majorHAnsi" w:eastAsia="Calibri" w:hAnsiTheme="majorHAnsi" w:cs="Calibri"/>
          <w:sz w:val="20"/>
          <w:szCs w:val="20"/>
        </w:rPr>
        <w:t xml:space="preserve">.  </w:t>
      </w:r>
      <w:r w:rsidR="00B109D6" w:rsidRPr="00F5716D">
        <w:rPr>
          <w:rFonts w:asciiTheme="majorHAnsi" w:eastAsia="Calibri" w:hAnsiTheme="majorHAnsi" w:cs="Calibri"/>
          <w:sz w:val="20"/>
          <w:szCs w:val="20"/>
        </w:rPr>
        <w:t>A total of three workshops were held</w:t>
      </w:r>
      <w:r w:rsidR="002C7128" w:rsidRPr="00F5716D">
        <w:rPr>
          <w:rFonts w:asciiTheme="majorHAnsi" w:eastAsia="Calibri" w:hAnsiTheme="majorHAnsi" w:cs="Calibri"/>
          <w:sz w:val="20"/>
          <w:szCs w:val="20"/>
        </w:rPr>
        <w:t xml:space="preserve">: </w:t>
      </w:r>
      <w:r w:rsidR="00435CFE" w:rsidRPr="00F5716D">
        <w:rPr>
          <w:rFonts w:asciiTheme="majorHAnsi" w:eastAsia="Calibri" w:hAnsiTheme="majorHAnsi" w:cs="Calibri"/>
          <w:sz w:val="20"/>
          <w:szCs w:val="20"/>
        </w:rPr>
        <w:t>1) “Introduc</w:t>
      </w:r>
      <w:r w:rsidR="00AC56D1" w:rsidRPr="00F5716D">
        <w:rPr>
          <w:rFonts w:asciiTheme="majorHAnsi" w:eastAsia="Calibri" w:hAnsiTheme="majorHAnsi" w:cs="Calibri"/>
          <w:sz w:val="20"/>
          <w:szCs w:val="20"/>
        </w:rPr>
        <w:t>tion to Cultural Diversity and Social Inclusion in</w:t>
      </w:r>
      <w:r w:rsidR="00435CFE" w:rsidRPr="00F5716D">
        <w:rPr>
          <w:rFonts w:asciiTheme="majorHAnsi" w:eastAsia="Calibri" w:hAnsiTheme="majorHAnsi" w:cs="Calibri"/>
          <w:sz w:val="20"/>
          <w:szCs w:val="20"/>
        </w:rPr>
        <w:t xml:space="preserve"> </w:t>
      </w:r>
      <w:r w:rsidR="00AC56D1" w:rsidRPr="00F5716D">
        <w:rPr>
          <w:rFonts w:asciiTheme="majorHAnsi" w:eastAsia="Calibri" w:hAnsiTheme="majorHAnsi" w:cs="Calibri"/>
          <w:sz w:val="20"/>
          <w:szCs w:val="20"/>
        </w:rPr>
        <w:t>the International Workplace</w:t>
      </w:r>
      <w:r w:rsidR="00435CFE" w:rsidRPr="00F5716D">
        <w:rPr>
          <w:rFonts w:asciiTheme="majorHAnsi" w:eastAsia="Calibri" w:hAnsiTheme="majorHAnsi" w:cs="Calibri"/>
          <w:sz w:val="20"/>
          <w:szCs w:val="20"/>
        </w:rPr>
        <w:t>,”</w:t>
      </w:r>
      <w:r w:rsidR="0048417D" w:rsidRPr="00F5716D">
        <w:rPr>
          <w:rFonts w:asciiTheme="majorHAnsi" w:eastAsia="Calibri" w:hAnsiTheme="majorHAnsi" w:cs="Calibri"/>
          <w:sz w:val="20"/>
          <w:szCs w:val="20"/>
        </w:rPr>
        <w:t xml:space="preserve"> </w:t>
      </w:r>
      <w:r w:rsidR="00B109D6" w:rsidRPr="00F5716D">
        <w:rPr>
          <w:rFonts w:asciiTheme="majorHAnsi" w:eastAsia="Calibri" w:hAnsiTheme="majorHAnsi" w:cs="Calibri"/>
          <w:sz w:val="20"/>
          <w:szCs w:val="20"/>
        </w:rPr>
        <w:t>presented by</w:t>
      </w:r>
      <w:r w:rsidR="00435CFE" w:rsidRPr="00F5716D">
        <w:rPr>
          <w:rFonts w:asciiTheme="majorHAnsi" w:eastAsia="Calibri" w:hAnsiTheme="majorHAnsi" w:cs="Calibri"/>
          <w:sz w:val="20"/>
          <w:szCs w:val="20"/>
        </w:rPr>
        <w:t xml:space="preserve"> </w:t>
      </w:r>
      <w:r w:rsidR="00B109D6" w:rsidRPr="00F5716D">
        <w:rPr>
          <w:rFonts w:asciiTheme="majorHAnsi" w:eastAsia="Calibri" w:hAnsiTheme="majorHAnsi" w:cs="Calibri"/>
          <w:sz w:val="20"/>
          <w:szCs w:val="20"/>
        </w:rPr>
        <w:t>Ms</w:t>
      </w:r>
      <w:r w:rsidR="00435CFE" w:rsidRPr="00F5716D">
        <w:rPr>
          <w:rFonts w:asciiTheme="majorHAnsi" w:eastAsia="Calibri" w:hAnsiTheme="majorHAnsi" w:cs="Calibri"/>
          <w:sz w:val="20"/>
          <w:szCs w:val="20"/>
        </w:rPr>
        <w:t xml:space="preserve">. Zakiya Carr Johnson, </w:t>
      </w:r>
      <w:r w:rsidR="00B109D6" w:rsidRPr="00F5716D">
        <w:rPr>
          <w:rFonts w:asciiTheme="majorHAnsi" w:eastAsia="Calibri" w:hAnsiTheme="majorHAnsi" w:cs="Calibri"/>
          <w:sz w:val="20"/>
          <w:szCs w:val="20"/>
        </w:rPr>
        <w:t>Senior Advisor to the Race, Ethnicity, and Social Inclusion Unit at the U.S. Department of State, which was attended by 60 people</w:t>
      </w:r>
      <w:r w:rsidR="00435CFE" w:rsidRPr="00F5716D">
        <w:rPr>
          <w:rFonts w:asciiTheme="majorHAnsi" w:eastAsia="Calibri" w:hAnsiTheme="majorHAnsi" w:cs="Calibri"/>
          <w:sz w:val="20"/>
          <w:szCs w:val="20"/>
        </w:rPr>
        <w:t xml:space="preserve">; 2) </w:t>
      </w:r>
      <w:r w:rsidR="00042116" w:rsidRPr="00F5716D">
        <w:rPr>
          <w:rFonts w:asciiTheme="majorHAnsi" w:eastAsia="Calibri" w:hAnsiTheme="majorHAnsi" w:cs="Calibri"/>
          <w:sz w:val="20"/>
          <w:szCs w:val="20"/>
        </w:rPr>
        <w:t>“</w:t>
      </w:r>
      <w:r w:rsidR="002214F6" w:rsidRPr="00F5716D">
        <w:rPr>
          <w:rFonts w:asciiTheme="majorHAnsi" w:eastAsia="Calibri" w:hAnsiTheme="majorHAnsi" w:cs="Calibri"/>
          <w:sz w:val="20"/>
          <w:szCs w:val="20"/>
        </w:rPr>
        <w:t>Understanding and Addressing the Spectrum of Sexual Harassment</w:t>
      </w:r>
      <w:r w:rsidR="00042116" w:rsidRPr="00F5716D">
        <w:rPr>
          <w:rFonts w:asciiTheme="majorHAnsi" w:eastAsia="Calibri" w:hAnsiTheme="majorHAnsi" w:cs="Calibri"/>
          <w:sz w:val="20"/>
          <w:szCs w:val="20"/>
        </w:rPr>
        <w:t xml:space="preserve"> </w:t>
      </w:r>
      <w:r w:rsidR="002214F6" w:rsidRPr="00F5716D">
        <w:rPr>
          <w:rFonts w:asciiTheme="majorHAnsi" w:eastAsia="Calibri" w:hAnsiTheme="majorHAnsi" w:cs="Calibri"/>
          <w:sz w:val="20"/>
          <w:szCs w:val="20"/>
        </w:rPr>
        <w:t>in the International Workplace in the 21</w:t>
      </w:r>
      <w:r w:rsidR="002214F6" w:rsidRPr="00F5716D">
        <w:rPr>
          <w:rFonts w:asciiTheme="majorHAnsi" w:eastAsia="Calibri" w:hAnsiTheme="majorHAnsi" w:cs="Calibri"/>
          <w:sz w:val="20"/>
          <w:szCs w:val="20"/>
          <w:vertAlign w:val="superscript"/>
        </w:rPr>
        <w:t>st</w:t>
      </w:r>
      <w:r w:rsidR="002214F6" w:rsidRPr="00F5716D">
        <w:rPr>
          <w:rFonts w:asciiTheme="majorHAnsi" w:eastAsia="Calibri" w:hAnsiTheme="majorHAnsi" w:cs="Calibri"/>
          <w:sz w:val="20"/>
          <w:szCs w:val="20"/>
        </w:rPr>
        <w:t xml:space="preserve"> Century,” presented by </w:t>
      </w:r>
      <w:r w:rsidR="00042116" w:rsidRPr="00F5716D">
        <w:rPr>
          <w:rFonts w:asciiTheme="majorHAnsi" w:eastAsia="Calibri" w:hAnsiTheme="majorHAnsi" w:cs="Calibri"/>
          <w:sz w:val="20"/>
          <w:szCs w:val="20"/>
        </w:rPr>
        <w:t xml:space="preserve">Carol Miaskoff, </w:t>
      </w:r>
      <w:r w:rsidR="002214F6" w:rsidRPr="00F5716D">
        <w:rPr>
          <w:rFonts w:asciiTheme="majorHAnsi" w:eastAsia="Calibri" w:hAnsiTheme="majorHAnsi" w:cs="Calibri"/>
          <w:sz w:val="20"/>
          <w:szCs w:val="20"/>
        </w:rPr>
        <w:t xml:space="preserve">Associate Legal Counsel </w:t>
      </w:r>
      <w:r w:rsidR="00DD7400" w:rsidRPr="00F5716D">
        <w:rPr>
          <w:rFonts w:asciiTheme="majorHAnsi" w:eastAsia="Calibri" w:hAnsiTheme="majorHAnsi" w:cs="Calibri"/>
          <w:sz w:val="20"/>
          <w:szCs w:val="20"/>
        </w:rPr>
        <w:t>at</w:t>
      </w:r>
      <w:r w:rsidR="002214F6" w:rsidRPr="00F5716D">
        <w:rPr>
          <w:rFonts w:asciiTheme="majorHAnsi" w:eastAsia="Calibri" w:hAnsiTheme="majorHAnsi" w:cs="Calibri"/>
          <w:sz w:val="20"/>
          <w:szCs w:val="20"/>
        </w:rPr>
        <w:t xml:space="preserve"> the U.S. </w:t>
      </w:r>
      <w:r w:rsidR="00042116" w:rsidRPr="00F5716D">
        <w:rPr>
          <w:rFonts w:asciiTheme="majorHAnsi" w:eastAsia="Calibri" w:hAnsiTheme="majorHAnsi" w:cs="Calibri"/>
          <w:sz w:val="20"/>
          <w:szCs w:val="20"/>
        </w:rPr>
        <w:t xml:space="preserve">Equal Employment Opportunity Commission, </w:t>
      </w:r>
      <w:r w:rsidR="002214F6" w:rsidRPr="00F5716D">
        <w:rPr>
          <w:rFonts w:asciiTheme="majorHAnsi" w:eastAsia="Calibri" w:hAnsiTheme="majorHAnsi" w:cs="Calibri"/>
          <w:sz w:val="20"/>
          <w:szCs w:val="20"/>
        </w:rPr>
        <w:t>in which</w:t>
      </w:r>
      <w:r w:rsidR="00042116" w:rsidRPr="00F5716D">
        <w:rPr>
          <w:rFonts w:asciiTheme="majorHAnsi" w:eastAsia="Calibri" w:hAnsiTheme="majorHAnsi" w:cs="Calibri"/>
          <w:sz w:val="20"/>
          <w:szCs w:val="20"/>
        </w:rPr>
        <w:t xml:space="preserve"> 72 </w:t>
      </w:r>
      <w:r w:rsidR="002214F6" w:rsidRPr="00F5716D">
        <w:rPr>
          <w:rFonts w:asciiTheme="majorHAnsi" w:eastAsia="Calibri" w:hAnsiTheme="majorHAnsi" w:cs="Calibri"/>
          <w:sz w:val="20"/>
          <w:szCs w:val="20"/>
        </w:rPr>
        <w:t>people participated; and</w:t>
      </w:r>
      <w:r w:rsidR="00042116" w:rsidRPr="00F5716D">
        <w:rPr>
          <w:rFonts w:asciiTheme="majorHAnsi" w:eastAsia="Calibri" w:hAnsiTheme="majorHAnsi" w:cs="Calibri"/>
          <w:sz w:val="20"/>
          <w:szCs w:val="20"/>
        </w:rPr>
        <w:t xml:space="preserve"> 3</w:t>
      </w:r>
      <w:r w:rsidR="003058E0" w:rsidRPr="00F5716D">
        <w:rPr>
          <w:rFonts w:ascii="Cambria" w:eastAsia="Calibri" w:hAnsi="Cambria"/>
          <w:sz w:val="20"/>
          <w:szCs w:val="20"/>
          <w:highlight w:val="yellow"/>
        </w:rPr>
        <w:t xml:space="preserve"> </w:t>
      </w:r>
      <w:r w:rsidR="003058E0" w:rsidRPr="00F5716D">
        <w:rPr>
          <w:rFonts w:ascii="Cambria" w:eastAsia="Calibri" w:hAnsi="Cambria"/>
          <w:sz w:val="20"/>
          <w:szCs w:val="20"/>
        </w:rPr>
        <w:t xml:space="preserve">“Reporting but Not Testifying: Should Women Victims of </w:t>
      </w:r>
      <w:r w:rsidR="00565791" w:rsidRPr="00F5716D">
        <w:rPr>
          <w:rFonts w:ascii="Cambria" w:eastAsia="Calibri" w:hAnsi="Cambria"/>
          <w:sz w:val="20"/>
          <w:szCs w:val="20"/>
        </w:rPr>
        <w:t xml:space="preserve">Intimate </w:t>
      </w:r>
      <w:r w:rsidR="003058E0" w:rsidRPr="00F5716D">
        <w:rPr>
          <w:rFonts w:ascii="Cambria" w:eastAsia="Calibri" w:hAnsi="Cambria"/>
          <w:sz w:val="20"/>
          <w:szCs w:val="20"/>
        </w:rPr>
        <w:t xml:space="preserve">Partner Violence be </w:t>
      </w:r>
      <w:r w:rsidR="00565791" w:rsidRPr="00F5716D">
        <w:rPr>
          <w:rFonts w:ascii="Cambria" w:eastAsia="Calibri" w:hAnsi="Cambria"/>
          <w:sz w:val="20"/>
          <w:szCs w:val="20"/>
        </w:rPr>
        <w:t>Compelled</w:t>
      </w:r>
      <w:r w:rsidR="003058E0" w:rsidRPr="00F5716D">
        <w:rPr>
          <w:rFonts w:ascii="Cambria" w:eastAsia="Calibri" w:hAnsi="Cambria"/>
          <w:sz w:val="20"/>
          <w:szCs w:val="20"/>
        </w:rPr>
        <w:t xml:space="preserve"> to Testify in the Criminal </w:t>
      </w:r>
      <w:r w:rsidR="00565791" w:rsidRPr="00F5716D">
        <w:rPr>
          <w:rFonts w:ascii="Cambria" w:eastAsia="Calibri" w:hAnsi="Cambria"/>
          <w:sz w:val="20"/>
          <w:szCs w:val="20"/>
        </w:rPr>
        <w:t>Justice System</w:t>
      </w:r>
      <w:r w:rsidR="003058E0" w:rsidRPr="00F5716D">
        <w:rPr>
          <w:rFonts w:ascii="Cambria" w:eastAsia="Calibri" w:hAnsi="Cambria"/>
          <w:sz w:val="20"/>
          <w:szCs w:val="20"/>
        </w:rPr>
        <w:t xml:space="preserve">?” given by </w:t>
      </w:r>
      <w:r w:rsidR="00565791" w:rsidRPr="00F5716D">
        <w:rPr>
          <w:rFonts w:ascii="Cambria" w:eastAsia="Calibri" w:hAnsi="Cambria"/>
          <w:sz w:val="20"/>
          <w:szCs w:val="20"/>
        </w:rPr>
        <w:t xml:space="preserve">Dr. </w:t>
      </w:r>
      <w:r w:rsidR="003058E0" w:rsidRPr="00F5716D">
        <w:rPr>
          <w:rFonts w:ascii="Cambria" w:eastAsia="Calibri" w:hAnsi="Cambria"/>
          <w:sz w:val="20"/>
          <w:szCs w:val="20"/>
        </w:rPr>
        <w:t xml:space="preserve"> Tania Reneaum Panszi.</w:t>
      </w:r>
      <w:r w:rsidR="0048417D" w:rsidRPr="00F5716D">
        <w:rPr>
          <w:rFonts w:asciiTheme="majorHAnsi" w:eastAsia="Calibri" w:hAnsiTheme="majorHAnsi" w:cs="Calibri"/>
          <w:sz w:val="20"/>
          <w:szCs w:val="20"/>
        </w:rPr>
        <w:t xml:space="preserve"> </w:t>
      </w:r>
      <w:r w:rsidR="0070165A" w:rsidRPr="00F5716D">
        <w:rPr>
          <w:rFonts w:asciiTheme="majorHAnsi" w:eastAsia="Calibri" w:hAnsiTheme="majorHAnsi" w:cs="Calibri"/>
          <w:sz w:val="20"/>
          <w:szCs w:val="20"/>
        </w:rPr>
        <w:t xml:space="preserve"> </w:t>
      </w:r>
      <w:r w:rsidR="002214F6" w:rsidRPr="00F5716D">
        <w:rPr>
          <w:rFonts w:asciiTheme="majorHAnsi" w:eastAsia="Calibri" w:hAnsiTheme="majorHAnsi" w:cs="Calibri"/>
          <w:sz w:val="20"/>
          <w:szCs w:val="20"/>
        </w:rPr>
        <w:t>The</w:t>
      </w:r>
      <w:r w:rsidR="0048417D" w:rsidRPr="00F5716D">
        <w:rPr>
          <w:rFonts w:asciiTheme="majorHAnsi" w:eastAsia="Calibri" w:hAnsiTheme="majorHAnsi" w:cs="Calibri"/>
          <w:sz w:val="20"/>
          <w:szCs w:val="20"/>
        </w:rPr>
        <w:t xml:space="preserve"> 2016</w:t>
      </w:r>
      <w:r w:rsidR="002214F6" w:rsidRPr="00F5716D">
        <w:rPr>
          <w:rFonts w:asciiTheme="majorHAnsi" w:eastAsia="Calibri" w:hAnsiTheme="majorHAnsi" w:cs="Calibri"/>
          <w:sz w:val="20"/>
          <w:szCs w:val="20"/>
        </w:rPr>
        <w:t xml:space="preserve"> workshops are being planned</w:t>
      </w:r>
      <w:r w:rsidR="0048417D" w:rsidRPr="00F5716D">
        <w:rPr>
          <w:rFonts w:asciiTheme="majorHAnsi" w:eastAsia="Calibri" w:hAnsiTheme="majorHAnsi" w:cs="Calibri"/>
          <w:sz w:val="20"/>
          <w:szCs w:val="20"/>
        </w:rPr>
        <w:t xml:space="preserve">, </w:t>
      </w:r>
      <w:r w:rsidR="002214F6" w:rsidRPr="00F5716D">
        <w:rPr>
          <w:rFonts w:asciiTheme="majorHAnsi" w:eastAsia="Calibri" w:hAnsiTheme="majorHAnsi" w:cs="Calibri"/>
          <w:sz w:val="20"/>
          <w:szCs w:val="20"/>
        </w:rPr>
        <w:t xml:space="preserve">beginning with one </w:t>
      </w:r>
      <w:r w:rsidR="000B4394" w:rsidRPr="00F5716D">
        <w:rPr>
          <w:rFonts w:asciiTheme="majorHAnsi" w:eastAsia="Calibri" w:hAnsiTheme="majorHAnsi" w:cs="Calibri"/>
          <w:sz w:val="20"/>
          <w:szCs w:val="20"/>
        </w:rPr>
        <w:t>designed for</w:t>
      </w:r>
      <w:r w:rsidR="002214F6" w:rsidRPr="00F5716D">
        <w:rPr>
          <w:rFonts w:asciiTheme="majorHAnsi" w:eastAsia="Calibri" w:hAnsiTheme="majorHAnsi" w:cs="Calibri"/>
          <w:sz w:val="20"/>
          <w:szCs w:val="20"/>
        </w:rPr>
        <w:t xml:space="preserve"> supervisors and coordinators on how to handle complaints of harassment. </w:t>
      </w:r>
    </w:p>
    <w:p w:rsidR="004F2C3A" w:rsidRPr="00F5716D" w:rsidRDefault="004F2C3A" w:rsidP="00F5716D">
      <w:pPr>
        <w:spacing w:after="0" w:line="240" w:lineRule="auto"/>
        <w:jc w:val="both"/>
        <w:rPr>
          <w:rFonts w:asciiTheme="majorHAnsi" w:hAnsiTheme="majorHAnsi" w:cs="Calibri"/>
          <w:sz w:val="20"/>
          <w:szCs w:val="20"/>
        </w:rPr>
      </w:pPr>
    </w:p>
    <w:p w:rsidR="004F2C3A" w:rsidRPr="0031431C" w:rsidRDefault="001A630B">
      <w:pPr>
        <w:pStyle w:val="ListParagraph"/>
        <w:numPr>
          <w:ilvl w:val="0"/>
          <w:numId w:val="9"/>
        </w:numPr>
        <w:ind w:left="0" w:firstLine="720"/>
        <w:jc w:val="both"/>
        <w:rPr>
          <w:rFonts w:ascii="Cambria" w:hAnsi="Cambria"/>
          <w:sz w:val="20"/>
          <w:szCs w:val="20"/>
        </w:rPr>
      </w:pPr>
      <w:r w:rsidRPr="0031431C">
        <w:rPr>
          <w:rFonts w:ascii="Cambria" w:hAnsi="Cambria"/>
          <w:sz w:val="20"/>
          <w:szCs w:val="20"/>
        </w:rPr>
        <w:t>From September to November</w:t>
      </w:r>
      <w:r w:rsidR="004F2C3A" w:rsidRPr="0031431C">
        <w:rPr>
          <w:rFonts w:ascii="Cambria" w:hAnsi="Cambria"/>
          <w:sz w:val="20"/>
          <w:szCs w:val="20"/>
        </w:rPr>
        <w:t xml:space="preserve"> 2015, </w:t>
      </w:r>
      <w:r w:rsidR="00346B32" w:rsidRPr="0031431C">
        <w:rPr>
          <w:rFonts w:ascii="Cambria" w:hAnsi="Cambria"/>
          <w:sz w:val="20"/>
          <w:szCs w:val="20"/>
        </w:rPr>
        <w:t>a series of</w:t>
      </w:r>
      <w:r w:rsidR="004F2C3A" w:rsidRPr="0031431C">
        <w:rPr>
          <w:rFonts w:ascii="Cambria" w:hAnsi="Cambria"/>
          <w:sz w:val="20"/>
          <w:szCs w:val="20"/>
        </w:rPr>
        <w:t xml:space="preserve"> </w:t>
      </w:r>
      <w:r w:rsidR="00346B32" w:rsidRPr="0031431C">
        <w:rPr>
          <w:rFonts w:ascii="Cambria" w:hAnsi="Cambria"/>
          <w:sz w:val="20"/>
          <w:szCs w:val="20"/>
        </w:rPr>
        <w:t>more than ten courses and orientation events</w:t>
      </w:r>
      <w:r w:rsidR="004F2C3A" w:rsidRPr="0031431C">
        <w:rPr>
          <w:rFonts w:ascii="Cambria" w:hAnsi="Cambria"/>
          <w:sz w:val="20"/>
          <w:szCs w:val="20"/>
        </w:rPr>
        <w:t xml:space="preserve"> </w:t>
      </w:r>
      <w:r w:rsidR="00346B32" w:rsidRPr="0031431C">
        <w:rPr>
          <w:rFonts w:ascii="Cambria" w:hAnsi="Cambria"/>
          <w:sz w:val="20"/>
          <w:szCs w:val="20"/>
        </w:rPr>
        <w:t>was organized for the fall interns</w:t>
      </w:r>
      <w:r w:rsidR="004F2C3A" w:rsidRPr="0031431C">
        <w:rPr>
          <w:rFonts w:ascii="Cambria" w:hAnsi="Cambria"/>
          <w:sz w:val="20"/>
          <w:szCs w:val="20"/>
        </w:rPr>
        <w:t>.</w:t>
      </w:r>
      <w:r w:rsidR="00B62C91" w:rsidRPr="0031431C">
        <w:rPr>
          <w:rFonts w:ascii="Cambria" w:hAnsi="Cambria"/>
          <w:sz w:val="20"/>
          <w:szCs w:val="20"/>
        </w:rPr>
        <w:t xml:space="preserve"> </w:t>
      </w:r>
      <w:r w:rsidR="004F2C3A" w:rsidRPr="0031431C">
        <w:rPr>
          <w:rFonts w:ascii="Cambria" w:hAnsi="Cambria"/>
          <w:sz w:val="20"/>
          <w:szCs w:val="20"/>
        </w:rPr>
        <w:t xml:space="preserve"> </w:t>
      </w:r>
      <w:r w:rsidR="00346B32" w:rsidRPr="0031431C">
        <w:rPr>
          <w:rFonts w:ascii="Cambria" w:hAnsi="Cambria"/>
          <w:sz w:val="20"/>
          <w:szCs w:val="20"/>
        </w:rPr>
        <w:t xml:space="preserve">These events consisted mainly of interactive presentations by </w:t>
      </w:r>
      <w:r w:rsidR="00346B32" w:rsidRPr="0031431C">
        <w:rPr>
          <w:rFonts w:ascii="Cambria" w:hAnsi="Cambria"/>
          <w:sz w:val="20"/>
          <w:szCs w:val="20"/>
        </w:rPr>
        <w:lastRenderedPageBreak/>
        <w:t>different offices, sections, and groups of</w:t>
      </w:r>
      <w:r w:rsidR="004F2C3A" w:rsidRPr="0031431C">
        <w:rPr>
          <w:rFonts w:ascii="Cambria" w:hAnsi="Cambria"/>
          <w:sz w:val="20"/>
          <w:szCs w:val="20"/>
        </w:rPr>
        <w:t xml:space="preserve"> </w:t>
      </w:r>
      <w:r w:rsidR="001D375E" w:rsidRPr="0031431C">
        <w:rPr>
          <w:rFonts w:ascii="Cambria" w:hAnsi="Cambria"/>
          <w:sz w:val="20"/>
          <w:szCs w:val="20"/>
        </w:rPr>
        <w:t>the IACHR</w:t>
      </w:r>
      <w:r w:rsidRPr="0031431C">
        <w:rPr>
          <w:rFonts w:ascii="Cambria" w:hAnsi="Cambria"/>
          <w:sz w:val="20"/>
          <w:szCs w:val="20"/>
        </w:rPr>
        <w:t xml:space="preserve"> Secretariat</w:t>
      </w:r>
      <w:r w:rsidR="004F2C3A" w:rsidRPr="0031431C">
        <w:rPr>
          <w:rFonts w:ascii="Cambria" w:hAnsi="Cambria"/>
          <w:sz w:val="20"/>
          <w:szCs w:val="20"/>
        </w:rPr>
        <w:t xml:space="preserve">, </w:t>
      </w:r>
      <w:r w:rsidR="00346B32" w:rsidRPr="0031431C">
        <w:rPr>
          <w:rFonts w:ascii="Cambria" w:hAnsi="Cambria"/>
          <w:sz w:val="20"/>
          <w:szCs w:val="20"/>
        </w:rPr>
        <w:t>as well as a round table with the Executive Secretary</w:t>
      </w:r>
      <w:r w:rsidR="004F2C3A" w:rsidRPr="0031431C">
        <w:rPr>
          <w:rFonts w:ascii="Cambria" w:hAnsi="Cambria"/>
          <w:sz w:val="20"/>
          <w:szCs w:val="20"/>
        </w:rPr>
        <w:t>.</w:t>
      </w:r>
    </w:p>
    <w:p w:rsidR="004F2C3A" w:rsidRPr="0031431C" w:rsidRDefault="004F2C3A">
      <w:pPr>
        <w:pStyle w:val="ListParagraph"/>
        <w:jc w:val="both"/>
        <w:rPr>
          <w:rFonts w:asciiTheme="majorHAnsi" w:hAnsiTheme="majorHAnsi" w:cs="Calibri"/>
          <w:sz w:val="20"/>
          <w:szCs w:val="20"/>
        </w:rPr>
      </w:pPr>
    </w:p>
    <w:p w:rsidR="004F2C3A" w:rsidRPr="0031431C" w:rsidRDefault="00D12613">
      <w:pPr>
        <w:pStyle w:val="ListParagraph"/>
        <w:numPr>
          <w:ilvl w:val="0"/>
          <w:numId w:val="9"/>
        </w:numPr>
        <w:ind w:left="0" w:firstLine="720"/>
        <w:jc w:val="both"/>
        <w:rPr>
          <w:rFonts w:ascii="Cambria" w:hAnsi="Cambria"/>
          <w:sz w:val="20"/>
          <w:szCs w:val="20"/>
        </w:rPr>
      </w:pPr>
      <w:r w:rsidRPr="0031431C">
        <w:rPr>
          <w:rFonts w:ascii="Cambria" w:hAnsi="Cambria"/>
          <w:sz w:val="20"/>
          <w:szCs w:val="20"/>
        </w:rPr>
        <w:t>A seminar on the use of force was organized in conjunction with the</w:t>
      </w:r>
      <w:r w:rsidR="004F2C3A" w:rsidRPr="0031431C">
        <w:rPr>
          <w:rFonts w:ascii="Cambria" w:hAnsi="Cambria"/>
          <w:sz w:val="20"/>
          <w:szCs w:val="20"/>
        </w:rPr>
        <w:t xml:space="preserve"> </w:t>
      </w:r>
      <w:r w:rsidRPr="0031431C">
        <w:rPr>
          <w:rFonts w:ascii="Cambria" w:hAnsi="Cambria"/>
          <w:iCs/>
          <w:sz w:val="20"/>
          <w:szCs w:val="20"/>
        </w:rPr>
        <w:t>International Committee of the Red Cross</w:t>
      </w:r>
      <w:r w:rsidRPr="0031431C">
        <w:rPr>
          <w:rFonts w:ascii="Cambria" w:hAnsi="Cambria"/>
          <w:sz w:val="20"/>
          <w:szCs w:val="20"/>
        </w:rPr>
        <w:t xml:space="preserve"> for the staff of</w:t>
      </w:r>
      <w:r w:rsidR="004F2C3A" w:rsidRPr="0031431C">
        <w:rPr>
          <w:rFonts w:ascii="Cambria" w:hAnsi="Cambria"/>
          <w:sz w:val="20"/>
          <w:szCs w:val="20"/>
        </w:rPr>
        <w:t xml:space="preserve"> </w:t>
      </w:r>
      <w:r w:rsidR="001A630B" w:rsidRPr="0031431C">
        <w:rPr>
          <w:rFonts w:ascii="Cambria" w:hAnsi="Cambria"/>
          <w:sz w:val="20"/>
          <w:szCs w:val="20"/>
        </w:rPr>
        <w:t>the IACHR Secretariat</w:t>
      </w:r>
      <w:r w:rsidR="004F2C3A" w:rsidRPr="0031431C">
        <w:rPr>
          <w:rFonts w:ascii="Cambria" w:hAnsi="Cambria"/>
          <w:sz w:val="20"/>
          <w:szCs w:val="20"/>
        </w:rPr>
        <w:t xml:space="preserve">. </w:t>
      </w:r>
      <w:r w:rsidR="00B62C91" w:rsidRPr="0031431C">
        <w:rPr>
          <w:rFonts w:ascii="Cambria" w:hAnsi="Cambria"/>
          <w:sz w:val="20"/>
          <w:szCs w:val="20"/>
        </w:rPr>
        <w:t xml:space="preserve"> </w:t>
      </w:r>
      <w:r w:rsidRPr="0031431C">
        <w:rPr>
          <w:rFonts w:ascii="Cambria" w:hAnsi="Cambria"/>
          <w:sz w:val="20"/>
          <w:szCs w:val="20"/>
        </w:rPr>
        <w:t xml:space="preserve">This event took place on October 29, </w:t>
      </w:r>
      <w:r w:rsidR="004F2C3A" w:rsidRPr="0031431C">
        <w:rPr>
          <w:rFonts w:ascii="Cambria" w:hAnsi="Cambria"/>
          <w:sz w:val="20"/>
          <w:szCs w:val="20"/>
        </w:rPr>
        <w:t>2015</w:t>
      </w:r>
      <w:r w:rsidRPr="0031431C">
        <w:rPr>
          <w:rFonts w:ascii="Cambria" w:hAnsi="Cambria"/>
          <w:sz w:val="20"/>
          <w:szCs w:val="20"/>
        </w:rPr>
        <w:t>, and speakers included</w:t>
      </w:r>
      <w:r w:rsidR="004F2C3A" w:rsidRPr="0031431C">
        <w:rPr>
          <w:rFonts w:ascii="Cambria" w:hAnsi="Cambria"/>
          <w:sz w:val="20"/>
          <w:szCs w:val="20"/>
        </w:rPr>
        <w:t xml:space="preserve"> </w:t>
      </w:r>
      <w:r w:rsidRPr="0031431C">
        <w:rPr>
          <w:rFonts w:ascii="Cambria" w:hAnsi="Cambria"/>
          <w:sz w:val="20"/>
          <w:szCs w:val="20"/>
        </w:rPr>
        <w:t xml:space="preserve">ICRC Armed Forces Delegate </w:t>
      </w:r>
      <w:r w:rsidR="004F2C3A" w:rsidRPr="0031431C">
        <w:rPr>
          <w:rFonts w:ascii="Cambria" w:hAnsi="Cambria"/>
          <w:sz w:val="20"/>
          <w:szCs w:val="20"/>
        </w:rPr>
        <w:t xml:space="preserve">Martin Lacourt, </w:t>
      </w:r>
      <w:r w:rsidRPr="0031431C">
        <w:rPr>
          <w:rFonts w:ascii="Cambria" w:hAnsi="Cambria"/>
          <w:sz w:val="20"/>
          <w:szCs w:val="20"/>
        </w:rPr>
        <w:t>and</w:t>
      </w:r>
      <w:r w:rsidR="004F2C3A" w:rsidRPr="0031431C">
        <w:rPr>
          <w:rFonts w:ascii="Cambria" w:hAnsi="Cambria"/>
          <w:sz w:val="20"/>
          <w:szCs w:val="20"/>
        </w:rPr>
        <w:t xml:space="preserve"> Javier Ortíz, </w:t>
      </w:r>
      <w:r w:rsidRPr="0031431C">
        <w:rPr>
          <w:rFonts w:ascii="Cambria" w:hAnsi="Cambria"/>
          <w:sz w:val="20"/>
          <w:szCs w:val="20"/>
        </w:rPr>
        <w:t xml:space="preserve">Head of the </w:t>
      </w:r>
      <w:r w:rsidRPr="0031431C">
        <w:rPr>
          <w:rFonts w:ascii="Cambria" w:hAnsi="Cambria"/>
          <w:iCs/>
          <w:sz w:val="20"/>
          <w:szCs w:val="20"/>
        </w:rPr>
        <w:t>Security</w:t>
      </w:r>
      <w:r w:rsidRPr="0031431C">
        <w:rPr>
          <w:rFonts w:ascii="Cambria" w:hAnsi="Cambria"/>
          <w:sz w:val="20"/>
          <w:szCs w:val="20"/>
        </w:rPr>
        <w:t xml:space="preserve"> Forces </w:t>
      </w:r>
      <w:r w:rsidRPr="0031431C">
        <w:rPr>
          <w:rFonts w:ascii="Cambria" w:hAnsi="Cambria"/>
          <w:iCs/>
          <w:sz w:val="20"/>
          <w:szCs w:val="20"/>
        </w:rPr>
        <w:t>Program</w:t>
      </w:r>
      <w:r w:rsidRPr="0031431C">
        <w:rPr>
          <w:rFonts w:ascii="Cambria" w:hAnsi="Cambria"/>
          <w:sz w:val="20"/>
          <w:szCs w:val="20"/>
        </w:rPr>
        <w:t xml:space="preserve"> at </w:t>
      </w:r>
      <w:r w:rsidRPr="0031431C">
        <w:rPr>
          <w:rFonts w:ascii="Cambria" w:hAnsi="Cambria"/>
          <w:iCs/>
          <w:sz w:val="20"/>
          <w:szCs w:val="20"/>
        </w:rPr>
        <w:t>ICRC</w:t>
      </w:r>
      <w:r w:rsidR="004F2C3A" w:rsidRPr="0031431C">
        <w:rPr>
          <w:rFonts w:ascii="Cambria" w:hAnsi="Cambria"/>
          <w:sz w:val="20"/>
          <w:szCs w:val="20"/>
        </w:rPr>
        <w:t>.</w:t>
      </w:r>
    </w:p>
    <w:p w:rsidR="004F2C3A" w:rsidRPr="001D375E" w:rsidRDefault="004F2C3A">
      <w:pPr>
        <w:pStyle w:val="ListParagraph"/>
        <w:jc w:val="both"/>
        <w:rPr>
          <w:rFonts w:asciiTheme="majorHAnsi" w:hAnsiTheme="majorHAnsi" w:cs="Calibri"/>
          <w:sz w:val="20"/>
          <w:szCs w:val="20"/>
        </w:rPr>
      </w:pPr>
    </w:p>
    <w:p w:rsidR="00D75898" w:rsidRPr="00995C10" w:rsidRDefault="00D75898" w:rsidP="00F5716D">
      <w:pPr>
        <w:pStyle w:val="Heading2"/>
      </w:pPr>
      <w:r w:rsidRPr="00995C10">
        <w:t>Financial resources and budget execution</w:t>
      </w:r>
    </w:p>
    <w:p w:rsidR="0048417D" w:rsidRPr="001D375E" w:rsidRDefault="0048417D">
      <w:pPr>
        <w:pStyle w:val="ListParagraph"/>
        <w:ind w:left="1080"/>
        <w:jc w:val="both"/>
        <w:rPr>
          <w:rFonts w:asciiTheme="majorHAnsi" w:hAnsiTheme="majorHAnsi" w:cs="Calibri"/>
          <w:sz w:val="20"/>
          <w:szCs w:val="20"/>
          <w:u w:val="single"/>
        </w:rPr>
      </w:pPr>
    </w:p>
    <w:p w:rsidR="0048417D" w:rsidRPr="003A12FB" w:rsidRDefault="00D75898" w:rsidP="00F5716D">
      <w:pPr>
        <w:pStyle w:val="Heading3"/>
      </w:pPr>
      <w:r w:rsidRPr="009208AC">
        <w:t>Regular Fund</w:t>
      </w:r>
    </w:p>
    <w:p w:rsidR="0048417D" w:rsidRPr="001D375E" w:rsidRDefault="0048417D">
      <w:pPr>
        <w:spacing w:after="0" w:line="240" w:lineRule="auto"/>
        <w:jc w:val="both"/>
        <w:rPr>
          <w:rFonts w:asciiTheme="majorHAnsi" w:hAnsiTheme="majorHAnsi" w:cs="Calibri"/>
          <w:sz w:val="20"/>
          <w:szCs w:val="20"/>
        </w:rPr>
      </w:pPr>
    </w:p>
    <w:p w:rsidR="0048417D" w:rsidRPr="001D375E" w:rsidRDefault="00346B32">
      <w:pPr>
        <w:pStyle w:val="ListParagraph"/>
        <w:numPr>
          <w:ilvl w:val="0"/>
          <w:numId w:val="9"/>
        </w:numPr>
        <w:ind w:left="0" w:firstLine="720"/>
        <w:jc w:val="both"/>
        <w:rPr>
          <w:rFonts w:asciiTheme="majorHAnsi" w:hAnsiTheme="majorHAnsi" w:cs="Calibri"/>
          <w:sz w:val="20"/>
          <w:szCs w:val="20"/>
        </w:rPr>
      </w:pPr>
      <w:r>
        <w:rPr>
          <w:rFonts w:asciiTheme="majorHAnsi" w:hAnsiTheme="majorHAnsi" w:cs="Calibri"/>
          <w:sz w:val="20"/>
          <w:szCs w:val="20"/>
        </w:rPr>
        <w:t xml:space="preserve">For fiscal year </w:t>
      </w:r>
      <w:r w:rsidRPr="001D375E">
        <w:rPr>
          <w:rFonts w:asciiTheme="majorHAnsi" w:hAnsiTheme="majorHAnsi" w:cs="Calibri"/>
          <w:sz w:val="20"/>
          <w:szCs w:val="20"/>
        </w:rPr>
        <w:t>2015</w:t>
      </w:r>
      <w:r>
        <w:rPr>
          <w:rFonts w:asciiTheme="majorHAnsi" w:hAnsiTheme="majorHAnsi" w:cs="Calibri"/>
          <w:sz w:val="20"/>
          <w:szCs w:val="20"/>
        </w:rPr>
        <w:t xml:space="preserve">, </w:t>
      </w:r>
      <w:r w:rsidR="00283809">
        <w:rPr>
          <w:rFonts w:asciiTheme="majorHAnsi" w:hAnsiTheme="majorHAnsi" w:cs="Calibri"/>
          <w:sz w:val="20"/>
          <w:szCs w:val="20"/>
        </w:rPr>
        <w:t>the General Assembly</w:t>
      </w:r>
      <w:r w:rsidR="0048417D" w:rsidRPr="001D375E">
        <w:rPr>
          <w:rFonts w:asciiTheme="majorHAnsi" w:hAnsiTheme="majorHAnsi" w:cs="Calibri"/>
          <w:sz w:val="20"/>
          <w:szCs w:val="20"/>
        </w:rPr>
        <w:t xml:space="preserve"> </w:t>
      </w:r>
      <w:r>
        <w:rPr>
          <w:rFonts w:asciiTheme="majorHAnsi" w:hAnsiTheme="majorHAnsi" w:cs="Calibri"/>
          <w:sz w:val="20"/>
          <w:szCs w:val="20"/>
        </w:rPr>
        <w:t>approved a budget of</w:t>
      </w:r>
      <w:r w:rsidR="0048417D" w:rsidRPr="001D375E">
        <w:rPr>
          <w:rFonts w:asciiTheme="majorHAnsi" w:hAnsiTheme="majorHAnsi" w:cs="Calibri"/>
          <w:sz w:val="20"/>
          <w:szCs w:val="20"/>
        </w:rPr>
        <w:t xml:space="preserve"> </w:t>
      </w:r>
      <w:r>
        <w:rPr>
          <w:rFonts w:asciiTheme="majorHAnsi" w:hAnsiTheme="majorHAnsi" w:cs="Calibri"/>
          <w:sz w:val="20"/>
          <w:szCs w:val="20"/>
        </w:rPr>
        <w:t>$5,427,</w:t>
      </w:r>
      <w:r w:rsidRPr="001D375E">
        <w:rPr>
          <w:rFonts w:asciiTheme="majorHAnsi" w:hAnsiTheme="majorHAnsi" w:cs="Calibri"/>
          <w:sz w:val="20"/>
          <w:szCs w:val="20"/>
        </w:rPr>
        <w:t>900</w:t>
      </w:r>
      <w:r>
        <w:rPr>
          <w:rFonts w:asciiTheme="majorHAnsi" w:hAnsiTheme="majorHAnsi" w:cs="Calibri"/>
          <w:sz w:val="20"/>
          <w:szCs w:val="20"/>
        </w:rPr>
        <w:t xml:space="preserve"> for </w:t>
      </w:r>
      <w:r w:rsidR="001D375E">
        <w:rPr>
          <w:rFonts w:asciiTheme="majorHAnsi" w:hAnsiTheme="majorHAnsi" w:cs="Calibri"/>
          <w:sz w:val="20"/>
          <w:szCs w:val="20"/>
        </w:rPr>
        <w:t>the IACHR</w:t>
      </w:r>
      <w:r w:rsidR="0048417D" w:rsidRPr="001D375E">
        <w:rPr>
          <w:rFonts w:asciiTheme="majorHAnsi" w:hAnsiTheme="majorHAnsi" w:cs="Calibri"/>
          <w:sz w:val="20"/>
          <w:szCs w:val="20"/>
        </w:rPr>
        <w:t xml:space="preserve">, </w:t>
      </w:r>
      <w:r>
        <w:rPr>
          <w:rFonts w:asciiTheme="majorHAnsi" w:hAnsiTheme="majorHAnsi" w:cs="Calibri"/>
          <w:sz w:val="20"/>
          <w:szCs w:val="20"/>
        </w:rPr>
        <w:t>of which $4,455,</w:t>
      </w:r>
      <w:r w:rsidR="0048417D" w:rsidRPr="001D375E">
        <w:rPr>
          <w:rFonts w:asciiTheme="majorHAnsi" w:hAnsiTheme="majorHAnsi" w:cs="Calibri"/>
          <w:sz w:val="20"/>
          <w:szCs w:val="20"/>
        </w:rPr>
        <w:t xml:space="preserve">100 </w:t>
      </w:r>
      <w:r>
        <w:rPr>
          <w:rFonts w:asciiTheme="majorHAnsi" w:hAnsiTheme="majorHAnsi" w:cs="Calibri"/>
          <w:sz w:val="20"/>
          <w:szCs w:val="20"/>
        </w:rPr>
        <w:t>is earmarked for personnel costs and $972,</w:t>
      </w:r>
      <w:r w:rsidR="0048417D" w:rsidRPr="001D375E">
        <w:rPr>
          <w:rFonts w:asciiTheme="majorHAnsi" w:hAnsiTheme="majorHAnsi" w:cs="Calibri"/>
          <w:sz w:val="20"/>
          <w:szCs w:val="20"/>
        </w:rPr>
        <w:t xml:space="preserve">800 </w:t>
      </w:r>
      <w:r>
        <w:rPr>
          <w:rFonts w:asciiTheme="majorHAnsi" w:hAnsiTheme="majorHAnsi" w:cs="Calibri"/>
          <w:sz w:val="20"/>
          <w:szCs w:val="20"/>
        </w:rPr>
        <w:t>for operational costs</w:t>
      </w:r>
      <w:r w:rsidR="0048417D" w:rsidRPr="001D375E">
        <w:rPr>
          <w:rFonts w:asciiTheme="majorHAnsi" w:hAnsiTheme="majorHAnsi" w:cs="Calibri"/>
          <w:sz w:val="20"/>
          <w:szCs w:val="20"/>
        </w:rPr>
        <w:t xml:space="preserve">. </w:t>
      </w:r>
      <w:r w:rsidR="004F2569">
        <w:rPr>
          <w:rFonts w:asciiTheme="majorHAnsi" w:hAnsiTheme="majorHAnsi" w:cs="Calibri"/>
          <w:sz w:val="20"/>
          <w:szCs w:val="20"/>
        </w:rPr>
        <w:t xml:space="preserve"> </w:t>
      </w:r>
      <w:r>
        <w:rPr>
          <w:rFonts w:asciiTheme="majorHAnsi" w:hAnsiTheme="majorHAnsi" w:cs="Calibri"/>
          <w:sz w:val="20"/>
          <w:szCs w:val="20"/>
        </w:rPr>
        <w:t>Although this</w:t>
      </w:r>
      <w:r w:rsidR="0048417D" w:rsidRPr="001D375E">
        <w:rPr>
          <w:rFonts w:asciiTheme="majorHAnsi" w:hAnsiTheme="majorHAnsi" w:cs="Calibri"/>
          <w:sz w:val="20"/>
          <w:szCs w:val="20"/>
        </w:rPr>
        <w:t xml:space="preserve"> 2015</w:t>
      </w:r>
      <w:r>
        <w:rPr>
          <w:rFonts w:asciiTheme="majorHAnsi" w:hAnsiTheme="majorHAnsi" w:cs="Calibri"/>
          <w:sz w:val="20"/>
          <w:szCs w:val="20"/>
        </w:rPr>
        <w:t xml:space="preserve"> budget reflects a modest increase of</w:t>
      </w:r>
      <w:r w:rsidR="0048417D" w:rsidRPr="001D375E">
        <w:rPr>
          <w:rFonts w:asciiTheme="majorHAnsi" w:hAnsiTheme="majorHAnsi" w:cs="Calibri"/>
          <w:sz w:val="20"/>
          <w:szCs w:val="20"/>
        </w:rPr>
        <w:t xml:space="preserve"> </w:t>
      </w:r>
      <w:r>
        <w:rPr>
          <w:rFonts w:asciiTheme="majorHAnsi" w:hAnsiTheme="majorHAnsi" w:cs="Calibri"/>
          <w:sz w:val="20"/>
          <w:szCs w:val="20"/>
        </w:rPr>
        <w:t>$82,</w:t>
      </w:r>
      <w:r w:rsidR="0048417D" w:rsidRPr="001D375E">
        <w:rPr>
          <w:rFonts w:asciiTheme="majorHAnsi" w:hAnsiTheme="majorHAnsi" w:cs="Calibri"/>
          <w:sz w:val="20"/>
          <w:szCs w:val="20"/>
        </w:rPr>
        <w:t xml:space="preserve">600 </w:t>
      </w:r>
      <w:r>
        <w:rPr>
          <w:rFonts w:asciiTheme="majorHAnsi" w:hAnsiTheme="majorHAnsi" w:cs="Calibri"/>
          <w:sz w:val="20"/>
          <w:szCs w:val="20"/>
        </w:rPr>
        <w:t>over the</w:t>
      </w:r>
      <w:r w:rsidR="0048417D" w:rsidRPr="001D375E">
        <w:rPr>
          <w:rFonts w:asciiTheme="majorHAnsi" w:hAnsiTheme="majorHAnsi" w:cs="Calibri"/>
          <w:sz w:val="20"/>
          <w:szCs w:val="20"/>
        </w:rPr>
        <w:t xml:space="preserve"> 2014</w:t>
      </w:r>
      <w:r>
        <w:rPr>
          <w:rFonts w:asciiTheme="majorHAnsi" w:hAnsiTheme="majorHAnsi" w:cs="Calibri"/>
          <w:sz w:val="20"/>
          <w:szCs w:val="20"/>
        </w:rPr>
        <w:t xml:space="preserve"> budget</w:t>
      </w:r>
      <w:r w:rsidR="0048417D" w:rsidRPr="001D375E">
        <w:rPr>
          <w:rFonts w:asciiTheme="majorHAnsi" w:hAnsiTheme="majorHAnsi" w:cs="Calibri"/>
          <w:sz w:val="20"/>
          <w:szCs w:val="20"/>
        </w:rPr>
        <w:t xml:space="preserve">, </w:t>
      </w:r>
      <w:r>
        <w:rPr>
          <w:rFonts w:asciiTheme="majorHAnsi" w:hAnsiTheme="majorHAnsi" w:cs="Calibri"/>
          <w:sz w:val="20"/>
          <w:szCs w:val="20"/>
        </w:rPr>
        <w:t xml:space="preserve">the fact is that the year </w:t>
      </w:r>
      <w:r w:rsidR="003A12FB">
        <w:rPr>
          <w:rFonts w:asciiTheme="majorHAnsi" w:hAnsiTheme="majorHAnsi" w:cs="Calibri"/>
          <w:sz w:val="20"/>
          <w:szCs w:val="20"/>
        </w:rPr>
        <w:t xml:space="preserve">began </w:t>
      </w:r>
      <w:r>
        <w:rPr>
          <w:rFonts w:asciiTheme="majorHAnsi" w:hAnsiTheme="majorHAnsi" w:cs="Calibri"/>
          <w:sz w:val="20"/>
          <w:szCs w:val="20"/>
        </w:rPr>
        <w:t xml:space="preserve">with a hiring freeze on three vacant positions. </w:t>
      </w:r>
      <w:r w:rsidR="004F2569">
        <w:rPr>
          <w:rFonts w:asciiTheme="majorHAnsi" w:hAnsiTheme="majorHAnsi" w:cs="Calibri"/>
          <w:sz w:val="20"/>
          <w:szCs w:val="20"/>
        </w:rPr>
        <w:t xml:space="preserve"> </w:t>
      </w:r>
      <w:r>
        <w:rPr>
          <w:rFonts w:asciiTheme="majorHAnsi" w:hAnsiTheme="majorHAnsi" w:cs="Calibri"/>
          <w:sz w:val="20"/>
          <w:szCs w:val="20"/>
        </w:rPr>
        <w:t>Added to this is the fact that only two of the four positions previously</w:t>
      </w:r>
      <w:r w:rsidR="0048417D" w:rsidRPr="001D375E">
        <w:rPr>
          <w:rFonts w:asciiTheme="majorHAnsi" w:hAnsiTheme="majorHAnsi" w:cs="Calibri"/>
          <w:sz w:val="20"/>
          <w:szCs w:val="20"/>
        </w:rPr>
        <w:t xml:space="preserve"> </w:t>
      </w:r>
      <w:r>
        <w:rPr>
          <w:rFonts w:asciiTheme="majorHAnsi" w:hAnsiTheme="majorHAnsi" w:cs="Calibri"/>
          <w:sz w:val="20"/>
          <w:szCs w:val="20"/>
        </w:rPr>
        <w:t>unfrozen</w:t>
      </w:r>
      <w:r w:rsidR="0048417D" w:rsidRPr="001D375E">
        <w:rPr>
          <w:rFonts w:asciiTheme="majorHAnsi" w:hAnsiTheme="majorHAnsi" w:cs="Calibri"/>
          <w:sz w:val="20"/>
          <w:szCs w:val="20"/>
        </w:rPr>
        <w:t xml:space="preserve"> </w:t>
      </w:r>
      <w:r>
        <w:rPr>
          <w:rFonts w:asciiTheme="majorHAnsi" w:hAnsiTheme="majorHAnsi" w:cs="Calibri"/>
          <w:sz w:val="20"/>
          <w:szCs w:val="20"/>
        </w:rPr>
        <w:t xml:space="preserve">had been successfully </w:t>
      </w:r>
      <w:r w:rsidR="00D33A9D">
        <w:rPr>
          <w:rFonts w:asciiTheme="majorHAnsi" w:hAnsiTheme="majorHAnsi" w:cs="Calibri"/>
          <w:sz w:val="20"/>
          <w:szCs w:val="20"/>
        </w:rPr>
        <w:t>filled</w:t>
      </w:r>
      <w:r>
        <w:rPr>
          <w:rFonts w:asciiTheme="majorHAnsi" w:hAnsiTheme="majorHAnsi" w:cs="Calibri"/>
          <w:sz w:val="20"/>
          <w:szCs w:val="20"/>
        </w:rPr>
        <w:t xml:space="preserve">, and therefore two competitive hiring processes had still not been </w:t>
      </w:r>
      <w:r w:rsidR="004F2569">
        <w:rPr>
          <w:rFonts w:asciiTheme="majorHAnsi" w:hAnsiTheme="majorHAnsi" w:cs="Calibri"/>
          <w:sz w:val="20"/>
          <w:szCs w:val="20"/>
        </w:rPr>
        <w:t>concluded</w:t>
      </w:r>
      <w:r w:rsidR="0048417D" w:rsidRPr="001D375E">
        <w:rPr>
          <w:rFonts w:asciiTheme="majorHAnsi" w:hAnsiTheme="majorHAnsi" w:cs="Calibri"/>
          <w:sz w:val="20"/>
          <w:szCs w:val="20"/>
        </w:rPr>
        <w:t xml:space="preserve">.  </w:t>
      </w:r>
      <w:r>
        <w:rPr>
          <w:rFonts w:asciiTheme="majorHAnsi" w:hAnsiTheme="majorHAnsi" w:cs="Calibri"/>
          <w:sz w:val="20"/>
          <w:szCs w:val="20"/>
        </w:rPr>
        <w:t>As shown in the table below</w:t>
      </w:r>
      <w:r w:rsidR="0048417D" w:rsidRPr="001D375E">
        <w:rPr>
          <w:rFonts w:asciiTheme="majorHAnsi" w:hAnsiTheme="majorHAnsi" w:cs="Calibri"/>
          <w:sz w:val="20"/>
          <w:szCs w:val="20"/>
        </w:rPr>
        <w:t xml:space="preserve">, </w:t>
      </w:r>
      <w:r w:rsidR="0041408A">
        <w:rPr>
          <w:rFonts w:asciiTheme="majorHAnsi" w:hAnsiTheme="majorHAnsi" w:cs="Calibri"/>
          <w:sz w:val="20"/>
          <w:szCs w:val="20"/>
        </w:rPr>
        <w:t>when</w:t>
      </w:r>
      <w:r>
        <w:rPr>
          <w:rFonts w:asciiTheme="majorHAnsi" w:hAnsiTheme="majorHAnsi" w:cs="Calibri"/>
          <w:sz w:val="20"/>
          <w:szCs w:val="20"/>
        </w:rPr>
        <w:t xml:space="preserve"> the hiring freeze is taken into account</w:t>
      </w:r>
      <w:r w:rsidR="0048417D" w:rsidRPr="001D375E">
        <w:rPr>
          <w:rFonts w:asciiTheme="majorHAnsi" w:hAnsiTheme="majorHAnsi" w:cs="Calibri"/>
          <w:sz w:val="20"/>
          <w:szCs w:val="20"/>
        </w:rPr>
        <w:t xml:space="preserve">, </w:t>
      </w:r>
      <w:r>
        <w:rPr>
          <w:rFonts w:asciiTheme="majorHAnsi" w:hAnsiTheme="majorHAnsi" w:cs="Calibri"/>
          <w:sz w:val="20"/>
          <w:szCs w:val="20"/>
        </w:rPr>
        <w:t xml:space="preserve">the net amount provided to </w:t>
      </w:r>
      <w:r w:rsidR="001D375E">
        <w:rPr>
          <w:rFonts w:asciiTheme="majorHAnsi" w:hAnsiTheme="majorHAnsi" w:cs="Calibri"/>
          <w:sz w:val="20"/>
          <w:szCs w:val="20"/>
        </w:rPr>
        <w:t>the IACHR</w:t>
      </w:r>
      <w:r w:rsidR="0048417D" w:rsidRPr="001D375E">
        <w:rPr>
          <w:rFonts w:asciiTheme="majorHAnsi" w:hAnsiTheme="majorHAnsi" w:cs="Calibri"/>
          <w:sz w:val="20"/>
          <w:szCs w:val="20"/>
        </w:rPr>
        <w:t xml:space="preserve"> </w:t>
      </w:r>
      <w:r>
        <w:rPr>
          <w:rFonts w:asciiTheme="majorHAnsi" w:hAnsiTheme="majorHAnsi" w:cs="Calibri"/>
          <w:sz w:val="20"/>
          <w:szCs w:val="20"/>
        </w:rPr>
        <w:t>is significantly lower than the approved amount, with a difference of $480,</w:t>
      </w:r>
      <w:r w:rsidR="0048417D" w:rsidRPr="001D375E">
        <w:rPr>
          <w:rFonts w:asciiTheme="majorHAnsi" w:hAnsiTheme="majorHAnsi" w:cs="Calibri"/>
          <w:sz w:val="20"/>
          <w:szCs w:val="20"/>
        </w:rPr>
        <w:t>200.</w:t>
      </w:r>
    </w:p>
    <w:p w:rsidR="0048417D" w:rsidRPr="001D375E" w:rsidRDefault="0048417D">
      <w:pPr>
        <w:pStyle w:val="ListParagraph"/>
        <w:ind w:left="0"/>
        <w:jc w:val="both"/>
        <w:rPr>
          <w:rFonts w:asciiTheme="majorHAnsi" w:hAnsiTheme="majorHAnsi" w:cs="Calibri"/>
          <w:sz w:val="20"/>
          <w:szCs w:val="20"/>
        </w:rPr>
      </w:pPr>
    </w:p>
    <w:p w:rsidR="0048417D" w:rsidRPr="001D375E" w:rsidRDefault="00F957DE">
      <w:pPr>
        <w:pStyle w:val="ListParagraph"/>
        <w:ind w:left="0"/>
        <w:jc w:val="center"/>
        <w:rPr>
          <w:rFonts w:asciiTheme="majorHAnsi" w:hAnsiTheme="majorHAnsi" w:cs="Calibri"/>
          <w:sz w:val="20"/>
          <w:szCs w:val="20"/>
        </w:rPr>
      </w:pPr>
      <w:r>
        <w:rPr>
          <w:noProof/>
        </w:rPr>
        <w:drawing>
          <wp:inline distT="0" distB="0" distL="0" distR="0" wp14:anchorId="0824FFBB" wp14:editId="0E734BC7">
            <wp:extent cx="5208104" cy="3681454"/>
            <wp:effectExtent l="0" t="0" r="1206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8417D" w:rsidRPr="001D375E" w:rsidRDefault="0048417D">
      <w:pPr>
        <w:pStyle w:val="ListParagraph"/>
        <w:jc w:val="both"/>
        <w:rPr>
          <w:rFonts w:asciiTheme="majorHAnsi" w:hAnsiTheme="majorHAnsi" w:cs="Calibri"/>
          <w:sz w:val="20"/>
          <w:szCs w:val="20"/>
        </w:rPr>
      </w:pPr>
    </w:p>
    <w:p w:rsidR="0048417D" w:rsidRPr="001D375E" w:rsidRDefault="004F2569">
      <w:pPr>
        <w:pStyle w:val="ListParagraph"/>
        <w:numPr>
          <w:ilvl w:val="0"/>
          <w:numId w:val="9"/>
        </w:numPr>
        <w:ind w:left="0" w:firstLine="720"/>
        <w:jc w:val="both"/>
        <w:rPr>
          <w:rFonts w:asciiTheme="majorHAnsi" w:hAnsiTheme="majorHAnsi" w:cs="Calibri"/>
          <w:sz w:val="20"/>
          <w:szCs w:val="20"/>
        </w:rPr>
      </w:pPr>
      <w:r>
        <w:rPr>
          <w:rFonts w:asciiTheme="majorHAnsi" w:hAnsiTheme="majorHAnsi" w:cs="Calibri"/>
          <w:sz w:val="20"/>
          <w:szCs w:val="20"/>
        </w:rPr>
        <w:t xml:space="preserve">As of </w:t>
      </w:r>
      <w:r w:rsidR="00283809">
        <w:rPr>
          <w:rFonts w:asciiTheme="majorHAnsi" w:hAnsiTheme="majorHAnsi" w:cs="Calibri"/>
          <w:sz w:val="20"/>
          <w:szCs w:val="20"/>
        </w:rPr>
        <w:t>September</w:t>
      </w:r>
      <w:r w:rsidR="0048417D" w:rsidRPr="001D375E">
        <w:rPr>
          <w:rFonts w:asciiTheme="majorHAnsi" w:hAnsiTheme="majorHAnsi" w:cs="Calibri"/>
          <w:sz w:val="20"/>
          <w:szCs w:val="20"/>
        </w:rPr>
        <w:t xml:space="preserve"> 2015, </w:t>
      </w:r>
      <w:r w:rsidR="00884EEE">
        <w:rPr>
          <w:rFonts w:asciiTheme="majorHAnsi" w:hAnsiTheme="majorHAnsi" w:cs="Calibri"/>
          <w:sz w:val="20"/>
          <w:szCs w:val="20"/>
        </w:rPr>
        <w:t xml:space="preserve">the </w:t>
      </w:r>
      <w:r>
        <w:rPr>
          <w:rFonts w:asciiTheme="majorHAnsi" w:hAnsiTheme="majorHAnsi" w:cs="Calibri"/>
          <w:sz w:val="20"/>
          <w:szCs w:val="20"/>
        </w:rPr>
        <w:t>Executive Secretariat</w:t>
      </w:r>
      <w:r w:rsidR="0048417D" w:rsidRPr="001D375E">
        <w:rPr>
          <w:rFonts w:asciiTheme="majorHAnsi" w:hAnsiTheme="majorHAnsi" w:cs="Calibri"/>
          <w:sz w:val="20"/>
          <w:szCs w:val="20"/>
        </w:rPr>
        <w:t xml:space="preserve"> </w:t>
      </w:r>
      <w:r>
        <w:rPr>
          <w:rFonts w:asciiTheme="majorHAnsi" w:hAnsiTheme="majorHAnsi" w:cs="Calibri"/>
          <w:sz w:val="20"/>
          <w:szCs w:val="20"/>
        </w:rPr>
        <w:t>has</w:t>
      </w:r>
      <w:r w:rsidR="00EB33BE">
        <w:rPr>
          <w:rFonts w:asciiTheme="majorHAnsi" w:hAnsiTheme="majorHAnsi" w:cs="Calibri"/>
          <w:sz w:val="20"/>
          <w:szCs w:val="20"/>
        </w:rPr>
        <w:t xml:space="preserve"> </w:t>
      </w:r>
      <w:r w:rsidR="00677228">
        <w:rPr>
          <w:rFonts w:asciiTheme="majorHAnsi" w:hAnsiTheme="majorHAnsi" w:cs="Calibri"/>
          <w:sz w:val="20"/>
          <w:szCs w:val="20"/>
        </w:rPr>
        <w:t xml:space="preserve">the following </w:t>
      </w:r>
      <w:r>
        <w:rPr>
          <w:rFonts w:asciiTheme="majorHAnsi" w:hAnsiTheme="majorHAnsi" w:cs="Calibri"/>
          <w:sz w:val="20"/>
          <w:szCs w:val="20"/>
        </w:rPr>
        <w:t>competitions in process</w:t>
      </w:r>
      <w:r w:rsidR="00283809">
        <w:rPr>
          <w:rFonts w:asciiTheme="majorHAnsi" w:hAnsiTheme="majorHAnsi" w:cs="Calibri"/>
          <w:sz w:val="20"/>
          <w:szCs w:val="20"/>
        </w:rPr>
        <w:t>: two P04s and two G05s.</w:t>
      </w:r>
      <w:r w:rsidR="00A31EA7">
        <w:rPr>
          <w:rFonts w:asciiTheme="majorHAnsi" w:hAnsiTheme="majorHAnsi" w:cs="Calibri"/>
          <w:sz w:val="20"/>
          <w:szCs w:val="20"/>
        </w:rPr>
        <w:t xml:space="preserve"> </w:t>
      </w:r>
      <w:r>
        <w:rPr>
          <w:rFonts w:asciiTheme="majorHAnsi" w:hAnsiTheme="majorHAnsi" w:cs="Calibri"/>
          <w:sz w:val="20"/>
          <w:szCs w:val="20"/>
        </w:rPr>
        <w:t>Accordingly</w:t>
      </w:r>
      <w:r w:rsidR="0048417D" w:rsidRPr="001D375E">
        <w:rPr>
          <w:rFonts w:asciiTheme="majorHAnsi" w:hAnsiTheme="majorHAnsi" w:cs="Calibri"/>
          <w:sz w:val="20"/>
          <w:szCs w:val="20"/>
        </w:rPr>
        <w:t xml:space="preserve">, </w:t>
      </w:r>
      <w:r w:rsidR="00677228">
        <w:rPr>
          <w:rFonts w:asciiTheme="majorHAnsi" w:hAnsiTheme="majorHAnsi" w:cs="Calibri"/>
          <w:sz w:val="20"/>
          <w:szCs w:val="20"/>
        </w:rPr>
        <w:t>in spite of having been unfrozen during the course of the year, those positions have not</w:t>
      </w:r>
      <w:r>
        <w:rPr>
          <w:rFonts w:asciiTheme="majorHAnsi" w:hAnsiTheme="majorHAnsi" w:cs="Calibri"/>
          <w:sz w:val="20"/>
          <w:szCs w:val="20"/>
        </w:rPr>
        <w:t xml:space="preserve"> yet</w:t>
      </w:r>
      <w:r w:rsidR="00677228">
        <w:rPr>
          <w:rFonts w:asciiTheme="majorHAnsi" w:hAnsiTheme="majorHAnsi" w:cs="Calibri"/>
          <w:sz w:val="20"/>
          <w:szCs w:val="20"/>
        </w:rPr>
        <w:t xml:space="preserve"> been filled.</w:t>
      </w:r>
    </w:p>
    <w:p w:rsidR="0048417D" w:rsidRPr="001D375E" w:rsidRDefault="0048417D">
      <w:pPr>
        <w:pStyle w:val="ListParagraph"/>
        <w:jc w:val="both"/>
        <w:rPr>
          <w:rFonts w:asciiTheme="majorHAnsi" w:hAnsiTheme="majorHAnsi" w:cs="Calibri"/>
          <w:sz w:val="20"/>
          <w:szCs w:val="20"/>
        </w:rPr>
      </w:pPr>
    </w:p>
    <w:p w:rsidR="0048417D" w:rsidRPr="001D375E" w:rsidRDefault="00283809">
      <w:pPr>
        <w:pStyle w:val="ListParagraph"/>
        <w:numPr>
          <w:ilvl w:val="0"/>
          <w:numId w:val="9"/>
        </w:numPr>
        <w:ind w:left="0" w:firstLine="720"/>
        <w:jc w:val="both"/>
        <w:rPr>
          <w:rFonts w:asciiTheme="majorHAnsi" w:hAnsiTheme="majorHAnsi" w:cs="Calibri"/>
          <w:sz w:val="20"/>
          <w:szCs w:val="20"/>
        </w:rPr>
      </w:pPr>
      <w:r>
        <w:rPr>
          <w:rFonts w:asciiTheme="majorHAnsi" w:hAnsiTheme="majorHAnsi" w:cs="Calibri"/>
          <w:sz w:val="20"/>
          <w:szCs w:val="20"/>
        </w:rPr>
        <w:t>Looking</w:t>
      </w:r>
      <w:r w:rsidR="00862950">
        <w:rPr>
          <w:rFonts w:asciiTheme="majorHAnsi" w:hAnsiTheme="majorHAnsi" w:cs="Calibri"/>
          <w:sz w:val="20"/>
          <w:szCs w:val="20"/>
        </w:rPr>
        <w:t xml:space="preserve"> ahead</w:t>
      </w:r>
      <w:r>
        <w:rPr>
          <w:rFonts w:asciiTheme="majorHAnsi" w:hAnsiTheme="majorHAnsi" w:cs="Calibri"/>
          <w:sz w:val="20"/>
          <w:szCs w:val="20"/>
        </w:rPr>
        <w:t xml:space="preserve"> to</w:t>
      </w:r>
      <w:r w:rsidR="0048417D" w:rsidRPr="001D375E">
        <w:rPr>
          <w:rFonts w:asciiTheme="majorHAnsi" w:hAnsiTheme="majorHAnsi" w:cs="Calibri"/>
          <w:sz w:val="20"/>
          <w:szCs w:val="20"/>
        </w:rPr>
        <w:t xml:space="preserve"> 2016, </w:t>
      </w:r>
      <w:r w:rsidR="00884EEE">
        <w:rPr>
          <w:rFonts w:asciiTheme="majorHAnsi" w:hAnsiTheme="majorHAnsi" w:cs="Calibri"/>
          <w:sz w:val="20"/>
          <w:szCs w:val="20"/>
        </w:rPr>
        <w:t xml:space="preserve">the </w:t>
      </w:r>
      <w:r w:rsidR="004F2569">
        <w:rPr>
          <w:rFonts w:asciiTheme="majorHAnsi" w:hAnsiTheme="majorHAnsi" w:cs="Calibri"/>
          <w:sz w:val="20"/>
          <w:szCs w:val="20"/>
        </w:rPr>
        <w:t>Executive Secretariat</w:t>
      </w:r>
      <w:r w:rsidR="0048417D" w:rsidRPr="001D375E">
        <w:rPr>
          <w:rFonts w:asciiTheme="majorHAnsi" w:hAnsiTheme="majorHAnsi" w:cs="Calibri"/>
          <w:sz w:val="20"/>
          <w:szCs w:val="20"/>
        </w:rPr>
        <w:t xml:space="preserve"> </w:t>
      </w:r>
      <w:r w:rsidR="00862950">
        <w:rPr>
          <w:rFonts w:asciiTheme="majorHAnsi" w:hAnsiTheme="majorHAnsi" w:cs="Calibri"/>
          <w:sz w:val="20"/>
          <w:szCs w:val="20"/>
        </w:rPr>
        <w:t>was able</w:t>
      </w:r>
      <w:r w:rsidR="00AC4321">
        <w:rPr>
          <w:rFonts w:asciiTheme="majorHAnsi" w:hAnsiTheme="majorHAnsi" w:cs="Calibri"/>
          <w:sz w:val="20"/>
          <w:szCs w:val="20"/>
        </w:rPr>
        <w:t xml:space="preserve"> to reinstate the</w:t>
      </w:r>
      <w:r w:rsidR="0048417D" w:rsidRPr="001D375E">
        <w:rPr>
          <w:rFonts w:asciiTheme="majorHAnsi" w:hAnsiTheme="majorHAnsi" w:cs="Calibri"/>
          <w:sz w:val="20"/>
          <w:szCs w:val="20"/>
        </w:rPr>
        <w:t xml:space="preserve"> P03 </w:t>
      </w:r>
      <w:r w:rsidR="00AC4321">
        <w:rPr>
          <w:rFonts w:asciiTheme="majorHAnsi" w:hAnsiTheme="majorHAnsi" w:cs="Calibri"/>
          <w:sz w:val="20"/>
          <w:szCs w:val="20"/>
        </w:rPr>
        <w:t>position of Head of the</w:t>
      </w:r>
      <w:r w:rsidR="0048417D" w:rsidRPr="001D375E">
        <w:rPr>
          <w:rFonts w:asciiTheme="majorHAnsi" w:hAnsiTheme="majorHAnsi" w:cs="Calibri"/>
          <w:sz w:val="20"/>
          <w:szCs w:val="20"/>
        </w:rPr>
        <w:t xml:space="preserve"> </w:t>
      </w:r>
      <w:r w:rsidR="00914F78">
        <w:rPr>
          <w:rFonts w:asciiTheme="majorHAnsi" w:hAnsiTheme="majorHAnsi" w:cs="Calibri"/>
          <w:sz w:val="20"/>
          <w:szCs w:val="20"/>
        </w:rPr>
        <w:t>Administrative Management Section</w:t>
      </w:r>
      <w:r w:rsidR="0048417D" w:rsidRPr="001D375E">
        <w:rPr>
          <w:rFonts w:asciiTheme="majorHAnsi" w:hAnsiTheme="majorHAnsi" w:cs="Calibri"/>
          <w:sz w:val="20"/>
          <w:szCs w:val="20"/>
        </w:rPr>
        <w:t xml:space="preserve">. </w:t>
      </w:r>
      <w:r w:rsidR="004F2569">
        <w:rPr>
          <w:rFonts w:asciiTheme="majorHAnsi" w:hAnsiTheme="majorHAnsi" w:cs="Calibri"/>
          <w:sz w:val="20"/>
          <w:szCs w:val="20"/>
        </w:rPr>
        <w:t xml:space="preserve"> </w:t>
      </w:r>
      <w:r w:rsidR="00914F78">
        <w:rPr>
          <w:rFonts w:asciiTheme="majorHAnsi" w:hAnsiTheme="majorHAnsi" w:cs="Calibri"/>
          <w:sz w:val="20"/>
          <w:szCs w:val="20"/>
        </w:rPr>
        <w:t>At a time when the</w:t>
      </w:r>
      <w:r w:rsidR="0048417D" w:rsidRPr="001D375E">
        <w:rPr>
          <w:rFonts w:asciiTheme="majorHAnsi" w:hAnsiTheme="majorHAnsi" w:cs="Calibri"/>
          <w:sz w:val="20"/>
          <w:szCs w:val="20"/>
        </w:rPr>
        <w:t xml:space="preserve"> </w:t>
      </w:r>
      <w:r w:rsidR="00914F78">
        <w:rPr>
          <w:rFonts w:asciiTheme="majorHAnsi" w:hAnsiTheme="majorHAnsi" w:cs="Calibri"/>
          <w:sz w:val="20"/>
          <w:szCs w:val="20"/>
        </w:rPr>
        <w:t>General Secretariat made personnel cuts through</w:t>
      </w:r>
      <w:r w:rsidR="00AC4321">
        <w:rPr>
          <w:rFonts w:asciiTheme="majorHAnsi" w:hAnsiTheme="majorHAnsi" w:cs="Calibri"/>
          <w:sz w:val="20"/>
          <w:szCs w:val="20"/>
        </w:rPr>
        <w:t>out</w:t>
      </w:r>
      <w:r w:rsidR="00914F78">
        <w:rPr>
          <w:rFonts w:asciiTheme="majorHAnsi" w:hAnsiTheme="majorHAnsi" w:cs="Calibri"/>
          <w:sz w:val="20"/>
          <w:szCs w:val="20"/>
        </w:rPr>
        <w:t xml:space="preserve"> the Organization—up to </w:t>
      </w:r>
      <w:r w:rsidR="0048417D" w:rsidRPr="001D375E">
        <w:rPr>
          <w:rFonts w:asciiTheme="majorHAnsi" w:hAnsiTheme="majorHAnsi" w:cs="Calibri"/>
          <w:sz w:val="20"/>
          <w:szCs w:val="20"/>
        </w:rPr>
        <w:t xml:space="preserve">25% </w:t>
      </w:r>
      <w:r w:rsidR="00914F78">
        <w:rPr>
          <w:rFonts w:asciiTheme="majorHAnsi" w:hAnsiTheme="majorHAnsi" w:cs="Calibri"/>
          <w:sz w:val="20"/>
          <w:szCs w:val="20"/>
        </w:rPr>
        <w:t xml:space="preserve">of the staff in some departments—it is a major </w:t>
      </w:r>
      <w:r w:rsidR="00AC4321">
        <w:rPr>
          <w:rFonts w:asciiTheme="majorHAnsi" w:hAnsiTheme="majorHAnsi" w:cs="Calibri"/>
          <w:sz w:val="20"/>
          <w:szCs w:val="20"/>
        </w:rPr>
        <w:t xml:space="preserve">achievement that </w:t>
      </w:r>
      <w:r w:rsidR="00884EEE">
        <w:rPr>
          <w:rFonts w:asciiTheme="majorHAnsi" w:hAnsiTheme="majorHAnsi" w:cs="Calibri"/>
          <w:sz w:val="20"/>
          <w:szCs w:val="20"/>
        </w:rPr>
        <w:t>the Office of the Executive Secretary</w:t>
      </w:r>
      <w:r w:rsidR="0048417D" w:rsidRPr="001D375E">
        <w:rPr>
          <w:rFonts w:asciiTheme="majorHAnsi" w:hAnsiTheme="majorHAnsi" w:cs="Calibri"/>
          <w:sz w:val="20"/>
          <w:szCs w:val="20"/>
        </w:rPr>
        <w:t xml:space="preserve"> </w:t>
      </w:r>
      <w:r w:rsidR="006B6DC1">
        <w:rPr>
          <w:rFonts w:asciiTheme="majorHAnsi" w:hAnsiTheme="majorHAnsi" w:cs="Calibri"/>
          <w:sz w:val="20"/>
          <w:szCs w:val="20"/>
        </w:rPr>
        <w:t xml:space="preserve">not only did </w:t>
      </w:r>
      <w:r w:rsidR="00AC4321">
        <w:rPr>
          <w:rFonts w:asciiTheme="majorHAnsi" w:hAnsiTheme="majorHAnsi" w:cs="Calibri"/>
          <w:sz w:val="20"/>
          <w:szCs w:val="20"/>
        </w:rPr>
        <w:t>not have its budget cut</w:t>
      </w:r>
      <w:r w:rsidR="0048417D" w:rsidRPr="001D375E">
        <w:rPr>
          <w:rFonts w:asciiTheme="majorHAnsi" w:hAnsiTheme="majorHAnsi" w:cs="Calibri"/>
          <w:sz w:val="20"/>
          <w:szCs w:val="20"/>
        </w:rPr>
        <w:t xml:space="preserve">, </w:t>
      </w:r>
      <w:r w:rsidR="00AC4321">
        <w:rPr>
          <w:rFonts w:asciiTheme="majorHAnsi" w:hAnsiTheme="majorHAnsi" w:cs="Calibri"/>
          <w:sz w:val="20"/>
          <w:szCs w:val="20"/>
        </w:rPr>
        <w:t xml:space="preserve">but </w:t>
      </w:r>
      <w:r w:rsidR="00862950">
        <w:rPr>
          <w:rFonts w:asciiTheme="majorHAnsi" w:hAnsiTheme="majorHAnsi" w:cs="Calibri"/>
          <w:sz w:val="20"/>
          <w:szCs w:val="20"/>
        </w:rPr>
        <w:t xml:space="preserve">also </w:t>
      </w:r>
      <w:r w:rsidR="00AC4321">
        <w:rPr>
          <w:rFonts w:asciiTheme="majorHAnsi" w:hAnsiTheme="majorHAnsi" w:cs="Calibri"/>
          <w:sz w:val="20"/>
          <w:szCs w:val="20"/>
        </w:rPr>
        <w:t>that the unfreezing of the positions and the addition of a</w:t>
      </w:r>
      <w:r w:rsidR="0048417D" w:rsidRPr="001D375E">
        <w:rPr>
          <w:rFonts w:asciiTheme="majorHAnsi" w:hAnsiTheme="majorHAnsi" w:cs="Calibri"/>
          <w:sz w:val="20"/>
          <w:szCs w:val="20"/>
        </w:rPr>
        <w:t xml:space="preserve"> P03</w:t>
      </w:r>
      <w:r w:rsidR="00AC4321">
        <w:rPr>
          <w:rFonts w:asciiTheme="majorHAnsi" w:hAnsiTheme="majorHAnsi" w:cs="Calibri"/>
          <w:sz w:val="20"/>
          <w:szCs w:val="20"/>
        </w:rPr>
        <w:t xml:space="preserve"> position w</w:t>
      </w:r>
      <w:r w:rsidR="00862950">
        <w:rPr>
          <w:rFonts w:asciiTheme="majorHAnsi" w:hAnsiTheme="majorHAnsi" w:cs="Calibri"/>
          <w:sz w:val="20"/>
          <w:szCs w:val="20"/>
        </w:rPr>
        <w:t>ere</w:t>
      </w:r>
      <w:r w:rsidR="00AC4321">
        <w:rPr>
          <w:rFonts w:asciiTheme="majorHAnsi" w:hAnsiTheme="majorHAnsi" w:cs="Calibri"/>
          <w:sz w:val="20"/>
          <w:szCs w:val="20"/>
        </w:rPr>
        <w:t xml:space="preserve"> maintained</w:t>
      </w:r>
      <w:r w:rsidR="0048417D" w:rsidRPr="001D375E">
        <w:rPr>
          <w:rFonts w:asciiTheme="majorHAnsi" w:hAnsiTheme="majorHAnsi" w:cs="Calibri"/>
          <w:sz w:val="20"/>
          <w:szCs w:val="20"/>
        </w:rPr>
        <w:t>.</w:t>
      </w:r>
    </w:p>
    <w:p w:rsidR="0048417D" w:rsidRPr="001D375E" w:rsidRDefault="0048417D">
      <w:pPr>
        <w:pStyle w:val="ListParagraph"/>
        <w:ind w:left="0"/>
        <w:jc w:val="both"/>
        <w:rPr>
          <w:rFonts w:asciiTheme="majorHAnsi" w:hAnsiTheme="majorHAnsi" w:cs="Calibri"/>
          <w:sz w:val="20"/>
          <w:szCs w:val="20"/>
        </w:rPr>
      </w:pPr>
    </w:p>
    <w:p w:rsidR="0048417D" w:rsidRPr="001D375E" w:rsidRDefault="00862950">
      <w:pPr>
        <w:pStyle w:val="ListParagraph"/>
        <w:numPr>
          <w:ilvl w:val="0"/>
          <w:numId w:val="9"/>
        </w:numPr>
        <w:ind w:left="0" w:firstLine="720"/>
        <w:jc w:val="both"/>
        <w:rPr>
          <w:rFonts w:asciiTheme="majorHAnsi" w:hAnsiTheme="majorHAnsi" w:cs="Calibri"/>
          <w:sz w:val="20"/>
          <w:szCs w:val="20"/>
        </w:rPr>
      </w:pPr>
      <w:r>
        <w:rPr>
          <w:rFonts w:asciiTheme="majorHAnsi" w:hAnsiTheme="majorHAnsi" w:cs="Calibri"/>
          <w:sz w:val="20"/>
          <w:szCs w:val="20"/>
        </w:rPr>
        <w:t>With respect to the execution of the</w:t>
      </w:r>
      <w:r w:rsidR="0048417D" w:rsidRPr="001D375E">
        <w:rPr>
          <w:rFonts w:asciiTheme="majorHAnsi" w:hAnsiTheme="majorHAnsi" w:cs="Calibri"/>
          <w:sz w:val="20"/>
          <w:szCs w:val="20"/>
        </w:rPr>
        <w:t xml:space="preserve"> 2015</w:t>
      </w:r>
      <w:r>
        <w:rPr>
          <w:rFonts w:asciiTheme="majorHAnsi" w:hAnsiTheme="majorHAnsi" w:cs="Calibri"/>
          <w:sz w:val="20"/>
          <w:szCs w:val="20"/>
        </w:rPr>
        <w:t xml:space="preserve"> budget allocation</w:t>
      </w:r>
      <w:r w:rsidR="0048417D" w:rsidRPr="001D375E">
        <w:rPr>
          <w:rFonts w:asciiTheme="majorHAnsi" w:hAnsiTheme="majorHAnsi" w:cs="Calibri"/>
          <w:sz w:val="20"/>
          <w:szCs w:val="20"/>
        </w:rPr>
        <w:t xml:space="preserve">, </w:t>
      </w:r>
      <w:r w:rsidR="00283809">
        <w:rPr>
          <w:rFonts w:asciiTheme="majorHAnsi" w:hAnsiTheme="majorHAnsi" w:cs="Calibri"/>
          <w:sz w:val="20"/>
          <w:szCs w:val="20"/>
        </w:rPr>
        <w:t>as of September</w:t>
      </w:r>
      <w:r w:rsidR="0048417D" w:rsidRPr="001D375E">
        <w:rPr>
          <w:rFonts w:asciiTheme="majorHAnsi" w:hAnsiTheme="majorHAnsi" w:cs="Calibri"/>
          <w:sz w:val="20"/>
          <w:szCs w:val="20"/>
        </w:rPr>
        <w:t xml:space="preserve"> 30</w:t>
      </w:r>
      <w:r w:rsidR="00283809">
        <w:rPr>
          <w:rFonts w:asciiTheme="majorHAnsi" w:hAnsiTheme="majorHAnsi" w:cs="Calibri"/>
          <w:sz w:val="20"/>
          <w:szCs w:val="20"/>
        </w:rPr>
        <w:t>,</w:t>
      </w:r>
      <w:r w:rsidR="0048417D" w:rsidRPr="001D375E">
        <w:rPr>
          <w:rFonts w:asciiTheme="majorHAnsi" w:hAnsiTheme="majorHAnsi" w:cs="Calibri"/>
          <w:sz w:val="20"/>
          <w:szCs w:val="20"/>
        </w:rPr>
        <w:t xml:space="preserve"> 2015,</w:t>
      </w:r>
      <w:r w:rsidR="0048417D" w:rsidRPr="001D375E">
        <w:rPr>
          <w:rStyle w:val="FootnoteReference"/>
          <w:rFonts w:asciiTheme="majorHAnsi" w:hAnsiTheme="majorHAnsi" w:cs="Calibri"/>
          <w:sz w:val="20"/>
          <w:szCs w:val="20"/>
        </w:rPr>
        <w:footnoteReference w:id="4"/>
      </w:r>
      <w:r w:rsidR="0048417D" w:rsidRPr="001D375E">
        <w:rPr>
          <w:rFonts w:asciiTheme="majorHAnsi" w:hAnsiTheme="majorHAnsi" w:cs="Calibri"/>
          <w:sz w:val="20"/>
          <w:szCs w:val="20"/>
        </w:rPr>
        <w:t xml:space="preserve"> </w:t>
      </w:r>
      <w:r w:rsidR="001D375E">
        <w:rPr>
          <w:rFonts w:asciiTheme="majorHAnsi" w:hAnsiTheme="majorHAnsi" w:cs="Calibri"/>
          <w:sz w:val="20"/>
          <w:szCs w:val="20"/>
        </w:rPr>
        <w:t>the IACHR</w:t>
      </w:r>
      <w:r w:rsidR="0048417D" w:rsidRPr="001D375E">
        <w:rPr>
          <w:rFonts w:asciiTheme="majorHAnsi" w:hAnsiTheme="majorHAnsi" w:cs="Calibri"/>
          <w:sz w:val="20"/>
          <w:szCs w:val="20"/>
        </w:rPr>
        <w:t xml:space="preserve"> </w:t>
      </w:r>
      <w:r>
        <w:rPr>
          <w:rFonts w:asciiTheme="majorHAnsi" w:hAnsiTheme="majorHAnsi" w:cs="Calibri"/>
          <w:sz w:val="20"/>
          <w:szCs w:val="20"/>
        </w:rPr>
        <w:t>had executed</w:t>
      </w:r>
      <w:r w:rsidR="00283809">
        <w:rPr>
          <w:rFonts w:asciiTheme="majorHAnsi" w:hAnsiTheme="majorHAnsi" w:cs="Calibri"/>
          <w:sz w:val="20"/>
          <w:szCs w:val="20"/>
        </w:rPr>
        <w:t xml:space="preserve"> 75%, </w:t>
      </w:r>
      <w:r>
        <w:rPr>
          <w:rFonts w:asciiTheme="majorHAnsi" w:hAnsiTheme="majorHAnsi" w:cs="Calibri"/>
          <w:sz w:val="20"/>
          <w:szCs w:val="20"/>
        </w:rPr>
        <w:t>with a balance of</w:t>
      </w:r>
      <w:r w:rsidR="00283809">
        <w:rPr>
          <w:rFonts w:asciiTheme="majorHAnsi" w:hAnsiTheme="majorHAnsi" w:cs="Calibri"/>
          <w:sz w:val="20"/>
          <w:szCs w:val="20"/>
        </w:rPr>
        <w:t xml:space="preserve"> US$1,230,</w:t>
      </w:r>
      <w:r w:rsidR="0048417D" w:rsidRPr="001D375E">
        <w:rPr>
          <w:rFonts w:asciiTheme="majorHAnsi" w:hAnsiTheme="majorHAnsi" w:cs="Calibri"/>
          <w:sz w:val="20"/>
          <w:szCs w:val="20"/>
        </w:rPr>
        <w:t xml:space="preserve">630, </w:t>
      </w:r>
      <w:r>
        <w:rPr>
          <w:rFonts w:asciiTheme="majorHAnsi" w:hAnsiTheme="majorHAnsi" w:cs="Calibri"/>
          <w:sz w:val="20"/>
          <w:szCs w:val="20"/>
        </w:rPr>
        <w:t xml:space="preserve">against which </w:t>
      </w:r>
      <w:r w:rsidR="004F2569">
        <w:rPr>
          <w:rFonts w:asciiTheme="majorHAnsi" w:hAnsiTheme="majorHAnsi" w:cs="Calibri"/>
          <w:sz w:val="20"/>
          <w:szCs w:val="20"/>
        </w:rPr>
        <w:t xml:space="preserve">obligations </w:t>
      </w:r>
      <w:r w:rsidR="006C2190">
        <w:rPr>
          <w:rFonts w:asciiTheme="majorHAnsi" w:hAnsiTheme="majorHAnsi" w:cs="Calibri"/>
          <w:sz w:val="20"/>
          <w:szCs w:val="20"/>
        </w:rPr>
        <w:t>totaling</w:t>
      </w:r>
      <w:r w:rsidR="00283809">
        <w:rPr>
          <w:rFonts w:asciiTheme="majorHAnsi" w:hAnsiTheme="majorHAnsi" w:cs="Calibri"/>
          <w:sz w:val="20"/>
          <w:szCs w:val="20"/>
        </w:rPr>
        <w:t xml:space="preserve"> US$1,226,</w:t>
      </w:r>
      <w:r w:rsidR="0048417D" w:rsidRPr="001D375E">
        <w:rPr>
          <w:rFonts w:asciiTheme="majorHAnsi" w:hAnsiTheme="majorHAnsi" w:cs="Calibri"/>
          <w:sz w:val="20"/>
          <w:szCs w:val="20"/>
        </w:rPr>
        <w:t>200</w:t>
      </w:r>
      <w:r>
        <w:rPr>
          <w:rFonts w:asciiTheme="majorHAnsi" w:hAnsiTheme="majorHAnsi" w:cs="Calibri"/>
          <w:sz w:val="20"/>
          <w:szCs w:val="20"/>
        </w:rPr>
        <w:t xml:space="preserve"> had already been entered</w:t>
      </w:r>
      <w:r w:rsidR="0048417D" w:rsidRPr="001D375E">
        <w:rPr>
          <w:rFonts w:asciiTheme="majorHAnsi" w:hAnsiTheme="majorHAnsi" w:cs="Calibri"/>
          <w:sz w:val="20"/>
          <w:szCs w:val="20"/>
        </w:rPr>
        <w:t>.</w:t>
      </w:r>
      <w:r>
        <w:rPr>
          <w:rFonts w:asciiTheme="majorHAnsi" w:hAnsiTheme="majorHAnsi" w:cs="Calibri"/>
          <w:sz w:val="20"/>
          <w:szCs w:val="20"/>
        </w:rPr>
        <w:t xml:space="preserve"> </w:t>
      </w:r>
    </w:p>
    <w:p w:rsidR="0048417D" w:rsidRPr="001D375E" w:rsidRDefault="0097096A">
      <w:pPr>
        <w:spacing w:after="0" w:line="240" w:lineRule="auto"/>
        <w:jc w:val="center"/>
        <w:rPr>
          <w:rFonts w:asciiTheme="majorHAnsi" w:hAnsiTheme="majorHAnsi" w:cs="Calibri"/>
          <w:sz w:val="20"/>
          <w:szCs w:val="20"/>
        </w:rPr>
      </w:pPr>
      <w:r>
        <w:rPr>
          <w:rFonts w:asciiTheme="majorHAnsi" w:hAnsiTheme="majorHAnsi" w:cs="Calibri"/>
          <w:noProof/>
          <w:sz w:val="20"/>
          <w:szCs w:val="20"/>
        </w:rPr>
        <w:drawing>
          <wp:inline distT="0" distB="0" distL="0" distR="0" wp14:anchorId="13FC02E0" wp14:editId="46070C6A">
            <wp:extent cx="5831202" cy="39677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33549" cy="3969298"/>
                    </a:xfrm>
                    <a:prstGeom prst="rect">
                      <a:avLst/>
                    </a:prstGeom>
                    <a:noFill/>
                  </pic:spPr>
                </pic:pic>
              </a:graphicData>
            </a:graphic>
          </wp:inline>
        </w:drawing>
      </w:r>
    </w:p>
    <w:p w:rsidR="0048417D" w:rsidRPr="001D375E" w:rsidRDefault="0048417D">
      <w:pPr>
        <w:pStyle w:val="ListParagraph"/>
        <w:jc w:val="center"/>
        <w:rPr>
          <w:rFonts w:asciiTheme="majorHAnsi" w:hAnsiTheme="majorHAnsi" w:cs="Calibri"/>
          <w:b/>
          <w:sz w:val="20"/>
          <w:szCs w:val="20"/>
        </w:rPr>
      </w:pPr>
    </w:p>
    <w:p w:rsidR="0048417D" w:rsidRPr="001D375E" w:rsidRDefault="0048417D">
      <w:pPr>
        <w:pStyle w:val="ListParagraph"/>
        <w:jc w:val="both"/>
        <w:rPr>
          <w:rFonts w:asciiTheme="majorHAnsi" w:hAnsiTheme="majorHAnsi" w:cs="Calibri"/>
          <w:b/>
          <w:sz w:val="20"/>
          <w:szCs w:val="20"/>
        </w:rPr>
      </w:pPr>
    </w:p>
    <w:p w:rsidR="0048417D" w:rsidRPr="001D375E" w:rsidRDefault="00CC246F" w:rsidP="00F5716D">
      <w:pPr>
        <w:pStyle w:val="Heading3"/>
      </w:pPr>
      <w:r>
        <w:t>S</w:t>
      </w:r>
      <w:r w:rsidR="00B31AE7">
        <w:t>pecific F</w:t>
      </w:r>
      <w:r>
        <w:t>unds</w:t>
      </w:r>
    </w:p>
    <w:p w:rsidR="0048417D" w:rsidRPr="001D375E" w:rsidRDefault="0048417D">
      <w:pPr>
        <w:pStyle w:val="ListParagraph"/>
        <w:ind w:left="1080"/>
        <w:jc w:val="both"/>
        <w:rPr>
          <w:rFonts w:asciiTheme="majorHAnsi" w:hAnsiTheme="majorHAnsi" w:cs="Calibri"/>
          <w:sz w:val="20"/>
          <w:szCs w:val="20"/>
        </w:rPr>
      </w:pPr>
    </w:p>
    <w:p w:rsidR="0048417D" w:rsidRPr="001D375E" w:rsidRDefault="00CC246F">
      <w:pPr>
        <w:pStyle w:val="ListParagraph"/>
        <w:numPr>
          <w:ilvl w:val="0"/>
          <w:numId w:val="9"/>
        </w:numPr>
        <w:ind w:left="0" w:firstLine="720"/>
        <w:jc w:val="both"/>
        <w:rPr>
          <w:rFonts w:asciiTheme="majorHAnsi" w:hAnsiTheme="majorHAnsi" w:cs="Calibri"/>
          <w:sz w:val="20"/>
          <w:szCs w:val="20"/>
        </w:rPr>
      </w:pPr>
      <w:r>
        <w:rPr>
          <w:rFonts w:asciiTheme="majorHAnsi" w:hAnsiTheme="majorHAnsi" w:cs="Calibri"/>
          <w:sz w:val="20"/>
          <w:szCs w:val="20"/>
        </w:rPr>
        <w:t xml:space="preserve">As of September 30, 2015, </w:t>
      </w:r>
      <w:r w:rsidR="000A74E2">
        <w:rPr>
          <w:rFonts w:asciiTheme="majorHAnsi" w:hAnsiTheme="majorHAnsi" w:cs="Calibri"/>
          <w:sz w:val="20"/>
          <w:szCs w:val="20"/>
        </w:rPr>
        <w:t xml:space="preserve">the ES/IACHR had received </w:t>
      </w:r>
      <w:r>
        <w:rPr>
          <w:rFonts w:asciiTheme="majorHAnsi" w:hAnsiTheme="majorHAnsi" w:cs="Calibri"/>
          <w:sz w:val="20"/>
          <w:szCs w:val="20"/>
        </w:rPr>
        <w:t>US$ 4,205,</w:t>
      </w:r>
      <w:r w:rsidR="0048417D" w:rsidRPr="001D375E">
        <w:rPr>
          <w:rFonts w:asciiTheme="majorHAnsi" w:hAnsiTheme="majorHAnsi" w:cs="Calibri"/>
          <w:sz w:val="20"/>
          <w:szCs w:val="20"/>
        </w:rPr>
        <w:t xml:space="preserve">100 </w:t>
      </w:r>
      <w:r>
        <w:rPr>
          <w:rFonts w:asciiTheme="majorHAnsi" w:hAnsiTheme="majorHAnsi" w:cs="Calibri"/>
          <w:sz w:val="20"/>
          <w:szCs w:val="20"/>
        </w:rPr>
        <w:t>in contributions from the following Member States:</w:t>
      </w:r>
      <w:r w:rsidR="0048417D" w:rsidRPr="001D375E">
        <w:rPr>
          <w:rFonts w:asciiTheme="majorHAnsi" w:hAnsiTheme="majorHAnsi" w:cs="Calibri"/>
          <w:sz w:val="20"/>
          <w:szCs w:val="20"/>
        </w:rPr>
        <w:t xml:space="preserve"> </w:t>
      </w:r>
      <w:r>
        <w:rPr>
          <w:rFonts w:asciiTheme="majorHAnsi" w:hAnsiTheme="majorHAnsi" w:cs="Calibri"/>
          <w:sz w:val="20"/>
          <w:szCs w:val="20"/>
        </w:rPr>
        <w:t>Argentina, Canada</w:t>
      </w:r>
      <w:r w:rsidR="0048417D" w:rsidRPr="001D375E">
        <w:rPr>
          <w:rFonts w:asciiTheme="majorHAnsi" w:hAnsiTheme="majorHAnsi" w:cs="Calibri"/>
          <w:sz w:val="20"/>
          <w:szCs w:val="20"/>
        </w:rPr>
        <w:t xml:space="preserve">, Chile, </w:t>
      </w:r>
      <w:r>
        <w:rPr>
          <w:rFonts w:asciiTheme="majorHAnsi" w:hAnsiTheme="majorHAnsi" w:cs="Calibri"/>
          <w:sz w:val="20"/>
          <w:szCs w:val="20"/>
        </w:rPr>
        <w:t>United States, Mexico, Paraguay, Peru, and</w:t>
      </w:r>
      <w:r w:rsidR="0048417D" w:rsidRPr="001D375E">
        <w:rPr>
          <w:rFonts w:asciiTheme="majorHAnsi" w:hAnsiTheme="majorHAnsi" w:cs="Calibri"/>
          <w:sz w:val="20"/>
          <w:szCs w:val="20"/>
        </w:rPr>
        <w:t xml:space="preserve"> Uruguay; </w:t>
      </w:r>
      <w:r w:rsidR="00B31AE7">
        <w:rPr>
          <w:rFonts w:asciiTheme="majorHAnsi" w:hAnsiTheme="majorHAnsi" w:cs="Calibri"/>
          <w:sz w:val="20"/>
          <w:szCs w:val="20"/>
        </w:rPr>
        <w:t>from Permanent Observers</w:t>
      </w:r>
      <w:r w:rsidR="0048417D" w:rsidRPr="001D375E">
        <w:rPr>
          <w:rFonts w:asciiTheme="majorHAnsi" w:hAnsiTheme="majorHAnsi" w:cs="Calibri"/>
          <w:sz w:val="20"/>
          <w:szCs w:val="20"/>
        </w:rPr>
        <w:t>: D</w:t>
      </w:r>
      <w:r w:rsidR="00B31AE7">
        <w:rPr>
          <w:rFonts w:asciiTheme="majorHAnsi" w:hAnsiTheme="majorHAnsi" w:cs="Calibri"/>
          <w:sz w:val="20"/>
          <w:szCs w:val="20"/>
        </w:rPr>
        <w:t>enmark</w:t>
      </w:r>
      <w:r w:rsidR="0048417D" w:rsidRPr="001D375E">
        <w:rPr>
          <w:rFonts w:asciiTheme="majorHAnsi" w:hAnsiTheme="majorHAnsi" w:cs="Calibri"/>
          <w:sz w:val="20"/>
          <w:szCs w:val="20"/>
        </w:rPr>
        <w:t xml:space="preserve">, </w:t>
      </w:r>
      <w:r w:rsidR="00B31AE7">
        <w:rPr>
          <w:rFonts w:asciiTheme="majorHAnsi" w:hAnsiTheme="majorHAnsi" w:cs="Calibri"/>
          <w:sz w:val="20"/>
          <w:szCs w:val="20"/>
        </w:rPr>
        <w:t>Spain</w:t>
      </w:r>
      <w:r w:rsidR="0048417D" w:rsidRPr="001D375E">
        <w:rPr>
          <w:rFonts w:asciiTheme="majorHAnsi" w:hAnsiTheme="majorHAnsi" w:cs="Calibri"/>
          <w:sz w:val="20"/>
          <w:szCs w:val="20"/>
        </w:rPr>
        <w:t>, Franc</w:t>
      </w:r>
      <w:r w:rsidR="00B31AE7">
        <w:rPr>
          <w:rFonts w:asciiTheme="majorHAnsi" w:hAnsiTheme="majorHAnsi" w:cs="Calibri"/>
          <w:sz w:val="20"/>
          <w:szCs w:val="20"/>
        </w:rPr>
        <w:t>e</w:t>
      </w:r>
      <w:r w:rsidR="0048417D" w:rsidRPr="001D375E">
        <w:rPr>
          <w:rFonts w:asciiTheme="majorHAnsi" w:hAnsiTheme="majorHAnsi" w:cs="Calibri"/>
          <w:sz w:val="20"/>
          <w:szCs w:val="20"/>
        </w:rPr>
        <w:t xml:space="preserve">, </w:t>
      </w:r>
      <w:r w:rsidR="00B31AE7">
        <w:rPr>
          <w:rFonts w:asciiTheme="majorHAnsi" w:hAnsiTheme="majorHAnsi" w:cs="Calibri"/>
          <w:sz w:val="20"/>
          <w:szCs w:val="20"/>
        </w:rPr>
        <w:t>Sweden</w:t>
      </w:r>
      <w:r w:rsidR="0048417D" w:rsidRPr="001D375E">
        <w:rPr>
          <w:rFonts w:asciiTheme="majorHAnsi" w:hAnsiTheme="majorHAnsi" w:cs="Calibri"/>
          <w:sz w:val="20"/>
          <w:szCs w:val="20"/>
        </w:rPr>
        <w:t xml:space="preserve">, </w:t>
      </w:r>
      <w:r w:rsidR="00B31AE7">
        <w:rPr>
          <w:rFonts w:asciiTheme="majorHAnsi" w:hAnsiTheme="majorHAnsi" w:cs="Calibri"/>
          <w:sz w:val="20"/>
          <w:szCs w:val="20"/>
        </w:rPr>
        <w:t>Switzerland, and the European Union</w:t>
      </w:r>
      <w:r w:rsidR="0048417D" w:rsidRPr="001D375E">
        <w:rPr>
          <w:rFonts w:asciiTheme="majorHAnsi" w:hAnsiTheme="majorHAnsi" w:cs="Calibri"/>
          <w:sz w:val="20"/>
          <w:szCs w:val="20"/>
        </w:rPr>
        <w:t xml:space="preserve">; </w:t>
      </w:r>
      <w:r w:rsidR="00B31AE7">
        <w:rPr>
          <w:rFonts w:asciiTheme="majorHAnsi" w:hAnsiTheme="majorHAnsi" w:cs="Calibri"/>
          <w:sz w:val="20"/>
          <w:szCs w:val="20"/>
        </w:rPr>
        <w:t>and from non-member States and others</w:t>
      </w:r>
      <w:r w:rsidR="0048417D" w:rsidRPr="001D375E">
        <w:rPr>
          <w:rFonts w:asciiTheme="majorHAnsi" w:hAnsiTheme="majorHAnsi" w:cs="Calibri"/>
          <w:sz w:val="20"/>
          <w:szCs w:val="20"/>
        </w:rPr>
        <w:t xml:space="preserve">: </w:t>
      </w:r>
      <w:r w:rsidR="003A12FB">
        <w:rPr>
          <w:rFonts w:asciiTheme="majorHAnsi" w:hAnsiTheme="majorHAnsi" w:cs="Calibri"/>
          <w:sz w:val="20"/>
          <w:szCs w:val="20"/>
        </w:rPr>
        <w:t>AVINA</w:t>
      </w:r>
      <w:r w:rsidR="0048417D" w:rsidRPr="001D375E">
        <w:rPr>
          <w:rFonts w:asciiTheme="majorHAnsi" w:hAnsiTheme="majorHAnsi" w:cs="Calibri"/>
          <w:sz w:val="20"/>
          <w:szCs w:val="20"/>
        </w:rPr>
        <w:t xml:space="preserve">, </w:t>
      </w:r>
      <w:r w:rsidR="008F46F7">
        <w:rPr>
          <w:rFonts w:asciiTheme="majorHAnsi" w:hAnsiTheme="majorHAnsi" w:cs="Calibri"/>
          <w:sz w:val="20"/>
          <w:szCs w:val="20"/>
        </w:rPr>
        <w:t xml:space="preserve">the </w:t>
      </w:r>
      <w:r w:rsidR="0048417D" w:rsidRPr="001D375E">
        <w:rPr>
          <w:rFonts w:asciiTheme="majorHAnsi" w:hAnsiTheme="majorHAnsi" w:cs="Calibri"/>
          <w:sz w:val="20"/>
          <w:szCs w:val="20"/>
        </w:rPr>
        <w:t>Arcus</w:t>
      </w:r>
      <w:r w:rsidR="00B31AE7">
        <w:rPr>
          <w:rFonts w:asciiTheme="majorHAnsi" w:hAnsiTheme="majorHAnsi" w:cs="Calibri"/>
          <w:sz w:val="20"/>
          <w:szCs w:val="20"/>
        </w:rPr>
        <w:t xml:space="preserve"> Foundation</w:t>
      </w:r>
      <w:r w:rsidR="0048417D" w:rsidRPr="001D375E">
        <w:rPr>
          <w:rFonts w:asciiTheme="majorHAnsi" w:hAnsiTheme="majorHAnsi" w:cs="Calibri"/>
          <w:sz w:val="20"/>
          <w:szCs w:val="20"/>
        </w:rPr>
        <w:t xml:space="preserve">, </w:t>
      </w:r>
      <w:r w:rsidR="00B31AE7">
        <w:rPr>
          <w:rFonts w:asciiTheme="majorHAnsi" w:hAnsiTheme="majorHAnsi" w:cs="Calibri"/>
          <w:sz w:val="20"/>
          <w:szCs w:val="20"/>
        </w:rPr>
        <w:t xml:space="preserve">the </w:t>
      </w:r>
      <w:r w:rsidR="00B31AE7" w:rsidRPr="00B31AE7">
        <w:rPr>
          <w:rFonts w:asciiTheme="majorHAnsi" w:hAnsiTheme="majorHAnsi" w:cs="Calibri"/>
          <w:sz w:val="20"/>
          <w:szCs w:val="20"/>
        </w:rPr>
        <w:t xml:space="preserve">International Work Group for Indigenous Affairs </w:t>
      </w:r>
      <w:r w:rsidR="00B31AE7">
        <w:rPr>
          <w:rFonts w:asciiTheme="majorHAnsi" w:hAnsiTheme="majorHAnsi" w:cs="Calibri"/>
          <w:sz w:val="20"/>
          <w:szCs w:val="20"/>
        </w:rPr>
        <w:t>(</w:t>
      </w:r>
      <w:r w:rsidR="0048417D" w:rsidRPr="001D375E">
        <w:rPr>
          <w:rFonts w:asciiTheme="majorHAnsi" w:hAnsiTheme="majorHAnsi" w:cs="Calibri"/>
          <w:sz w:val="20"/>
          <w:szCs w:val="20"/>
        </w:rPr>
        <w:t>IWGIA</w:t>
      </w:r>
      <w:r w:rsidR="00B31AE7">
        <w:rPr>
          <w:rFonts w:asciiTheme="majorHAnsi" w:hAnsiTheme="majorHAnsi" w:cs="Calibri"/>
          <w:sz w:val="20"/>
          <w:szCs w:val="20"/>
        </w:rPr>
        <w:t>), the</w:t>
      </w:r>
      <w:r w:rsidR="0048417D" w:rsidRPr="001D375E">
        <w:rPr>
          <w:rFonts w:asciiTheme="majorHAnsi" w:hAnsiTheme="majorHAnsi" w:cs="Calibri"/>
          <w:sz w:val="20"/>
          <w:szCs w:val="20"/>
        </w:rPr>
        <w:t xml:space="preserve"> </w:t>
      </w:r>
      <w:r w:rsidR="00B31AE7" w:rsidRPr="00B31AE7">
        <w:rPr>
          <w:rFonts w:asciiTheme="majorHAnsi" w:hAnsiTheme="majorHAnsi" w:cs="Calibri"/>
          <w:iCs/>
          <w:sz w:val="20"/>
          <w:szCs w:val="20"/>
        </w:rPr>
        <w:t>Office of the United Nations High Commissioner for Refugee</w:t>
      </w:r>
      <w:r w:rsidR="00B31AE7" w:rsidRPr="00B31AE7">
        <w:rPr>
          <w:rFonts w:asciiTheme="majorHAnsi" w:hAnsiTheme="majorHAnsi" w:cs="Calibri"/>
          <w:sz w:val="20"/>
          <w:szCs w:val="20"/>
        </w:rPr>
        <w:t>s</w:t>
      </w:r>
      <w:r w:rsidR="00B31AE7">
        <w:rPr>
          <w:rFonts w:asciiTheme="majorHAnsi" w:hAnsiTheme="majorHAnsi" w:cs="Calibri"/>
          <w:sz w:val="20"/>
          <w:szCs w:val="20"/>
        </w:rPr>
        <w:t xml:space="preserve"> </w:t>
      </w:r>
      <w:r w:rsidR="0048417D" w:rsidRPr="001D375E">
        <w:rPr>
          <w:rFonts w:asciiTheme="majorHAnsi" w:hAnsiTheme="majorHAnsi" w:cs="Calibri"/>
          <w:sz w:val="20"/>
          <w:szCs w:val="20"/>
        </w:rPr>
        <w:t>(</w:t>
      </w:r>
      <w:r w:rsidR="00B31AE7">
        <w:rPr>
          <w:rFonts w:asciiTheme="majorHAnsi" w:hAnsiTheme="majorHAnsi" w:cs="Calibri"/>
          <w:sz w:val="20"/>
          <w:szCs w:val="20"/>
        </w:rPr>
        <w:t>UNHCR</w:t>
      </w:r>
      <w:r w:rsidR="0048417D" w:rsidRPr="001D375E">
        <w:rPr>
          <w:rFonts w:asciiTheme="majorHAnsi" w:hAnsiTheme="majorHAnsi" w:cs="Calibri"/>
          <w:sz w:val="20"/>
          <w:szCs w:val="20"/>
        </w:rPr>
        <w:t>), Save the Children – S</w:t>
      </w:r>
      <w:r w:rsidR="00B31AE7">
        <w:rPr>
          <w:rFonts w:asciiTheme="majorHAnsi" w:hAnsiTheme="majorHAnsi" w:cs="Calibri"/>
          <w:sz w:val="20"/>
          <w:szCs w:val="20"/>
        </w:rPr>
        <w:t>weden</w:t>
      </w:r>
      <w:r w:rsidR="0048417D" w:rsidRPr="001D375E">
        <w:rPr>
          <w:rFonts w:asciiTheme="majorHAnsi" w:hAnsiTheme="majorHAnsi" w:cs="Calibri"/>
          <w:sz w:val="20"/>
          <w:szCs w:val="20"/>
        </w:rPr>
        <w:t xml:space="preserve">, </w:t>
      </w:r>
      <w:r w:rsidR="00B31AE7">
        <w:rPr>
          <w:rFonts w:asciiTheme="majorHAnsi" w:hAnsiTheme="majorHAnsi" w:cs="Calibri"/>
          <w:sz w:val="20"/>
          <w:szCs w:val="20"/>
        </w:rPr>
        <w:t>the University</w:t>
      </w:r>
      <w:r w:rsidR="00B31AE7" w:rsidRPr="001D375E">
        <w:rPr>
          <w:rFonts w:asciiTheme="majorHAnsi" w:hAnsiTheme="majorHAnsi" w:cs="Calibri"/>
          <w:sz w:val="20"/>
          <w:szCs w:val="20"/>
        </w:rPr>
        <w:t xml:space="preserve"> </w:t>
      </w:r>
      <w:r w:rsidR="00B31AE7">
        <w:rPr>
          <w:rFonts w:asciiTheme="majorHAnsi" w:hAnsiTheme="majorHAnsi" w:cs="Calibri"/>
          <w:sz w:val="20"/>
          <w:szCs w:val="20"/>
        </w:rPr>
        <w:t xml:space="preserve">of </w:t>
      </w:r>
      <w:r w:rsidR="0048417D" w:rsidRPr="001D375E">
        <w:rPr>
          <w:rFonts w:asciiTheme="majorHAnsi" w:hAnsiTheme="majorHAnsi" w:cs="Calibri"/>
          <w:sz w:val="20"/>
          <w:szCs w:val="20"/>
        </w:rPr>
        <w:t xml:space="preserve">Notre Dame, </w:t>
      </w:r>
      <w:r w:rsidR="00B31AE7">
        <w:rPr>
          <w:rFonts w:asciiTheme="majorHAnsi" w:hAnsiTheme="majorHAnsi" w:cs="Calibri"/>
          <w:sz w:val="20"/>
          <w:szCs w:val="20"/>
        </w:rPr>
        <w:t>and</w:t>
      </w:r>
      <w:r w:rsidR="0048417D" w:rsidRPr="001D375E">
        <w:rPr>
          <w:rFonts w:asciiTheme="majorHAnsi" w:hAnsiTheme="majorHAnsi" w:cs="Calibri"/>
          <w:sz w:val="20"/>
          <w:szCs w:val="20"/>
        </w:rPr>
        <w:t xml:space="preserve"> Stanford</w:t>
      </w:r>
      <w:r w:rsidR="00B31AE7">
        <w:rPr>
          <w:rFonts w:asciiTheme="majorHAnsi" w:hAnsiTheme="majorHAnsi" w:cs="Calibri"/>
          <w:sz w:val="20"/>
          <w:szCs w:val="20"/>
        </w:rPr>
        <w:t xml:space="preserve"> University</w:t>
      </w:r>
      <w:r w:rsidR="0048417D" w:rsidRPr="001D375E">
        <w:rPr>
          <w:rFonts w:asciiTheme="majorHAnsi" w:hAnsiTheme="majorHAnsi" w:cs="Calibri"/>
          <w:sz w:val="20"/>
          <w:szCs w:val="20"/>
        </w:rPr>
        <w:t xml:space="preserve">. </w:t>
      </w:r>
      <w:r w:rsidR="000A74E2">
        <w:rPr>
          <w:rFonts w:asciiTheme="majorHAnsi" w:hAnsiTheme="majorHAnsi" w:cs="Calibri"/>
          <w:sz w:val="20"/>
          <w:szCs w:val="20"/>
        </w:rPr>
        <w:t xml:space="preserve"> </w:t>
      </w:r>
      <w:r w:rsidR="00B31AE7" w:rsidRPr="00B31AE7">
        <w:rPr>
          <w:rFonts w:asciiTheme="majorHAnsi" w:hAnsiTheme="majorHAnsi" w:cs="Calibri"/>
          <w:sz w:val="20"/>
          <w:szCs w:val="20"/>
        </w:rPr>
        <w:t xml:space="preserve">Table 2 shows the contributions made to the IACHR’s specific funds between </w:t>
      </w:r>
      <w:r w:rsidR="00B31AE7">
        <w:rPr>
          <w:rFonts w:asciiTheme="majorHAnsi" w:hAnsiTheme="majorHAnsi" w:cs="Calibri"/>
          <w:sz w:val="20"/>
          <w:szCs w:val="20"/>
        </w:rPr>
        <w:t>January 1 and</w:t>
      </w:r>
      <w:r>
        <w:rPr>
          <w:rFonts w:asciiTheme="majorHAnsi" w:hAnsiTheme="majorHAnsi" w:cs="Calibri"/>
          <w:sz w:val="20"/>
          <w:szCs w:val="20"/>
        </w:rPr>
        <w:t xml:space="preserve"> September 30, </w:t>
      </w:r>
      <w:r w:rsidR="0048417D" w:rsidRPr="001D375E">
        <w:rPr>
          <w:rFonts w:asciiTheme="majorHAnsi" w:hAnsiTheme="majorHAnsi" w:cs="Calibri"/>
          <w:sz w:val="20"/>
          <w:szCs w:val="20"/>
        </w:rPr>
        <w:t xml:space="preserve">2015. </w:t>
      </w:r>
      <w:r w:rsidR="000A74E2">
        <w:rPr>
          <w:rFonts w:asciiTheme="majorHAnsi" w:hAnsiTheme="majorHAnsi" w:cs="Calibri"/>
          <w:sz w:val="20"/>
          <w:szCs w:val="20"/>
        </w:rPr>
        <w:t xml:space="preserve"> </w:t>
      </w:r>
      <w:r w:rsidR="00B31AE7">
        <w:rPr>
          <w:rFonts w:asciiTheme="majorHAnsi" w:hAnsiTheme="majorHAnsi" w:cs="Calibri"/>
          <w:sz w:val="20"/>
          <w:szCs w:val="20"/>
        </w:rPr>
        <w:t>The Specific Funds consist of donations outside the regular contributions of OAS Member States</w:t>
      </w:r>
      <w:r w:rsidR="004B1CA5" w:rsidRPr="001D375E">
        <w:rPr>
          <w:rFonts w:asciiTheme="majorHAnsi" w:hAnsiTheme="majorHAnsi" w:cs="Calibri"/>
          <w:sz w:val="20"/>
          <w:szCs w:val="20"/>
        </w:rPr>
        <w:t xml:space="preserve">, </w:t>
      </w:r>
      <w:r w:rsidR="00B31AE7">
        <w:rPr>
          <w:rFonts w:asciiTheme="majorHAnsi" w:hAnsiTheme="majorHAnsi" w:cs="Calibri"/>
          <w:sz w:val="20"/>
          <w:szCs w:val="20"/>
        </w:rPr>
        <w:t xml:space="preserve">and which are specifically earmarked for certain purposes, issues, or projects. </w:t>
      </w:r>
      <w:r w:rsidR="004B1CA5" w:rsidRPr="001D375E">
        <w:rPr>
          <w:rFonts w:asciiTheme="majorHAnsi" w:hAnsiTheme="majorHAnsi" w:cs="Calibri"/>
          <w:sz w:val="20"/>
          <w:szCs w:val="20"/>
        </w:rPr>
        <w:t xml:space="preserve"> </w:t>
      </w:r>
    </w:p>
    <w:p w:rsidR="0048417D" w:rsidRPr="001D375E" w:rsidRDefault="0048417D">
      <w:pPr>
        <w:spacing w:after="0" w:line="240" w:lineRule="auto"/>
        <w:ind w:firstLine="720"/>
        <w:jc w:val="both"/>
        <w:rPr>
          <w:rFonts w:asciiTheme="majorHAnsi" w:hAnsiTheme="majorHAnsi" w:cs="Calibri"/>
          <w:sz w:val="20"/>
          <w:szCs w:val="20"/>
        </w:rPr>
      </w:pPr>
    </w:p>
    <w:p w:rsidR="0048417D" w:rsidRPr="001D375E" w:rsidRDefault="0048417D">
      <w:pPr>
        <w:spacing w:after="0" w:line="240" w:lineRule="auto"/>
        <w:jc w:val="center"/>
        <w:rPr>
          <w:rFonts w:asciiTheme="majorHAnsi" w:hAnsiTheme="majorHAnsi" w:cs="Calibri"/>
          <w:sz w:val="20"/>
          <w:szCs w:val="20"/>
        </w:rPr>
      </w:pPr>
    </w:p>
    <w:p w:rsidR="0048417D" w:rsidRPr="001D375E" w:rsidRDefault="0048417D">
      <w:pPr>
        <w:spacing w:after="0" w:line="240" w:lineRule="auto"/>
        <w:jc w:val="both"/>
        <w:rPr>
          <w:rFonts w:asciiTheme="majorHAnsi" w:hAnsiTheme="majorHAnsi" w:cs="Calibri"/>
          <w:sz w:val="20"/>
          <w:szCs w:val="20"/>
        </w:rPr>
      </w:pPr>
    </w:p>
    <w:p w:rsidR="0048417D" w:rsidRPr="001D375E" w:rsidRDefault="0097096A">
      <w:pPr>
        <w:spacing w:after="0" w:line="240" w:lineRule="auto"/>
        <w:jc w:val="center"/>
        <w:rPr>
          <w:rFonts w:asciiTheme="majorHAnsi" w:hAnsiTheme="majorHAnsi" w:cs="Calibri"/>
          <w:sz w:val="20"/>
          <w:szCs w:val="20"/>
        </w:rPr>
      </w:pPr>
      <w:r w:rsidRPr="0097096A">
        <w:rPr>
          <w:noProof/>
        </w:rPr>
        <w:lastRenderedPageBreak/>
        <w:drawing>
          <wp:inline distT="0" distB="0" distL="0" distR="0" wp14:anchorId="460D3A8F" wp14:editId="048C5A77">
            <wp:extent cx="5266968" cy="7919499"/>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8710" cy="7922118"/>
                    </a:xfrm>
                    <a:prstGeom prst="rect">
                      <a:avLst/>
                    </a:prstGeom>
                    <a:noFill/>
                    <a:ln>
                      <a:noFill/>
                    </a:ln>
                  </pic:spPr>
                </pic:pic>
              </a:graphicData>
            </a:graphic>
          </wp:inline>
        </w:drawing>
      </w:r>
      <w:r w:rsidR="0048417D" w:rsidRPr="001D375E">
        <w:rPr>
          <w:rFonts w:asciiTheme="majorHAnsi" w:hAnsiTheme="majorHAnsi"/>
          <w:b/>
          <w:sz w:val="20"/>
          <w:szCs w:val="20"/>
        </w:rPr>
        <w:br w:type="page"/>
      </w:r>
    </w:p>
    <w:p w:rsidR="0048417D" w:rsidRPr="001D375E" w:rsidRDefault="00213598">
      <w:pPr>
        <w:pStyle w:val="ListParagraph"/>
        <w:numPr>
          <w:ilvl w:val="0"/>
          <w:numId w:val="9"/>
        </w:numPr>
        <w:ind w:left="0" w:firstLine="720"/>
        <w:jc w:val="both"/>
        <w:rPr>
          <w:rFonts w:asciiTheme="majorHAnsi" w:hAnsiTheme="majorHAnsi" w:cs="Calibri"/>
          <w:sz w:val="20"/>
          <w:szCs w:val="20"/>
        </w:rPr>
      </w:pPr>
      <w:r>
        <w:rPr>
          <w:rFonts w:asciiTheme="majorHAnsi" w:hAnsiTheme="majorHAnsi" w:cs="Calibri"/>
          <w:sz w:val="20"/>
          <w:szCs w:val="20"/>
        </w:rPr>
        <w:lastRenderedPageBreak/>
        <w:t xml:space="preserve">The following graph shows the distribution of execution by Object of Expenditure. It </w:t>
      </w:r>
      <w:r w:rsidR="00024B77">
        <w:rPr>
          <w:rFonts w:asciiTheme="majorHAnsi" w:hAnsiTheme="majorHAnsi" w:cs="Calibri"/>
          <w:sz w:val="20"/>
          <w:szCs w:val="20"/>
        </w:rPr>
        <w:t>should be noted</w:t>
      </w:r>
      <w:r>
        <w:rPr>
          <w:rFonts w:asciiTheme="majorHAnsi" w:hAnsiTheme="majorHAnsi" w:cs="Calibri"/>
          <w:sz w:val="20"/>
          <w:szCs w:val="20"/>
        </w:rPr>
        <w:t xml:space="preserve"> that</w:t>
      </w:r>
      <w:r w:rsidR="0048417D" w:rsidRPr="001D375E">
        <w:rPr>
          <w:rFonts w:asciiTheme="majorHAnsi" w:hAnsiTheme="majorHAnsi" w:cs="Calibri"/>
          <w:sz w:val="20"/>
          <w:szCs w:val="20"/>
        </w:rPr>
        <w:t xml:space="preserve">, </w:t>
      </w:r>
      <w:r>
        <w:rPr>
          <w:rFonts w:asciiTheme="majorHAnsi" w:hAnsiTheme="majorHAnsi" w:cs="Calibri"/>
          <w:sz w:val="20"/>
          <w:szCs w:val="20"/>
        </w:rPr>
        <w:t xml:space="preserve">even considering the commitment of the Member States to provide funding to </w:t>
      </w:r>
      <w:r w:rsidR="001D375E">
        <w:rPr>
          <w:rFonts w:asciiTheme="majorHAnsi" w:hAnsiTheme="majorHAnsi" w:cs="Calibri"/>
          <w:sz w:val="20"/>
          <w:szCs w:val="20"/>
        </w:rPr>
        <w:t>the IACHR</w:t>
      </w:r>
      <w:r w:rsidR="0048417D" w:rsidRPr="001D375E">
        <w:rPr>
          <w:rFonts w:asciiTheme="majorHAnsi" w:hAnsiTheme="majorHAnsi" w:cs="Calibri"/>
          <w:sz w:val="20"/>
          <w:szCs w:val="20"/>
        </w:rPr>
        <w:t xml:space="preserve">, </w:t>
      </w:r>
      <w:r w:rsidR="00E371FC">
        <w:rPr>
          <w:rFonts w:asciiTheme="majorHAnsi" w:hAnsiTheme="majorHAnsi" w:cs="Calibri"/>
          <w:sz w:val="20"/>
          <w:szCs w:val="20"/>
        </w:rPr>
        <w:t>t</w:t>
      </w:r>
      <w:r w:rsidR="00024B77">
        <w:rPr>
          <w:rFonts w:asciiTheme="majorHAnsi" w:hAnsiTheme="majorHAnsi" w:cs="Calibri"/>
          <w:sz w:val="20"/>
          <w:szCs w:val="20"/>
        </w:rPr>
        <w:t xml:space="preserve">he Regular Fund represents only about half of the annual execution of </w:t>
      </w:r>
      <w:r w:rsidR="00884EEE">
        <w:rPr>
          <w:rFonts w:asciiTheme="majorHAnsi" w:hAnsiTheme="majorHAnsi" w:cs="Calibri"/>
          <w:sz w:val="20"/>
          <w:szCs w:val="20"/>
        </w:rPr>
        <w:t>the Office of the Executive Secretary</w:t>
      </w:r>
      <w:r w:rsidR="0048417D" w:rsidRPr="001D375E">
        <w:rPr>
          <w:rFonts w:asciiTheme="majorHAnsi" w:hAnsiTheme="majorHAnsi" w:cs="Calibri"/>
          <w:sz w:val="20"/>
          <w:szCs w:val="20"/>
        </w:rPr>
        <w:t xml:space="preserve">.  </w:t>
      </w:r>
    </w:p>
    <w:p w:rsidR="0048417D" w:rsidRPr="001D375E" w:rsidRDefault="0048417D">
      <w:pPr>
        <w:spacing w:after="0" w:line="240" w:lineRule="auto"/>
        <w:ind w:left="-630"/>
        <w:jc w:val="both"/>
        <w:rPr>
          <w:rFonts w:asciiTheme="majorHAnsi" w:hAnsiTheme="majorHAnsi" w:cs="Calibri"/>
          <w:sz w:val="20"/>
          <w:szCs w:val="20"/>
        </w:rPr>
      </w:pPr>
    </w:p>
    <w:p w:rsidR="0048417D" w:rsidRPr="001D375E" w:rsidRDefault="0048417D">
      <w:pPr>
        <w:spacing w:after="0" w:line="240" w:lineRule="auto"/>
        <w:ind w:left="-630"/>
        <w:jc w:val="both"/>
        <w:rPr>
          <w:rFonts w:asciiTheme="majorHAnsi" w:hAnsiTheme="majorHAnsi" w:cs="Calibri"/>
          <w:sz w:val="20"/>
          <w:szCs w:val="20"/>
        </w:rPr>
      </w:pPr>
    </w:p>
    <w:p w:rsidR="0048417D" w:rsidRPr="001D375E" w:rsidRDefault="0097096A" w:rsidP="00F5716D">
      <w:pPr>
        <w:spacing w:after="0" w:line="240" w:lineRule="auto"/>
        <w:jc w:val="center"/>
        <w:rPr>
          <w:rFonts w:asciiTheme="majorHAnsi" w:hAnsiTheme="majorHAnsi" w:cs="Calibri"/>
          <w:sz w:val="20"/>
          <w:szCs w:val="20"/>
        </w:rPr>
      </w:pPr>
      <w:r>
        <w:rPr>
          <w:rFonts w:asciiTheme="majorHAnsi" w:hAnsiTheme="majorHAnsi" w:cs="Calibri"/>
          <w:noProof/>
          <w:sz w:val="20"/>
          <w:szCs w:val="20"/>
        </w:rPr>
        <w:drawing>
          <wp:inline distT="0" distB="0" distL="0" distR="0" wp14:anchorId="2A3D9E5F" wp14:editId="18F174F0">
            <wp:extent cx="5539057" cy="376891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45952" cy="3773609"/>
                    </a:xfrm>
                    <a:prstGeom prst="rect">
                      <a:avLst/>
                    </a:prstGeom>
                    <a:noFill/>
                  </pic:spPr>
                </pic:pic>
              </a:graphicData>
            </a:graphic>
          </wp:inline>
        </w:drawing>
      </w:r>
    </w:p>
    <w:p w:rsidR="0048417D" w:rsidRPr="001D375E" w:rsidRDefault="0048417D">
      <w:pPr>
        <w:spacing w:after="0" w:line="240" w:lineRule="auto"/>
        <w:ind w:firstLine="720"/>
        <w:jc w:val="both"/>
        <w:rPr>
          <w:rFonts w:asciiTheme="majorHAnsi" w:hAnsiTheme="majorHAnsi" w:cs="Calibri"/>
          <w:sz w:val="20"/>
          <w:szCs w:val="20"/>
        </w:rPr>
      </w:pPr>
    </w:p>
    <w:p w:rsidR="00A00F7B" w:rsidRPr="001D375E" w:rsidRDefault="00914F78">
      <w:pPr>
        <w:pStyle w:val="Heading2"/>
        <w:rPr>
          <w:lang w:val="en-US"/>
        </w:rPr>
      </w:pPr>
      <w:r>
        <w:rPr>
          <w:lang w:val="en-US"/>
        </w:rPr>
        <w:t xml:space="preserve">Resource Mobilization and </w:t>
      </w:r>
      <w:r w:rsidR="00024B77">
        <w:rPr>
          <w:lang w:val="en-US"/>
        </w:rPr>
        <w:t>Project Management</w:t>
      </w:r>
      <w:r w:rsidR="00A00F7B" w:rsidRPr="001D375E">
        <w:rPr>
          <w:lang w:val="en-US"/>
        </w:rPr>
        <w:t xml:space="preserve"> </w:t>
      </w:r>
    </w:p>
    <w:p w:rsidR="00A00F7B" w:rsidRPr="001D375E" w:rsidRDefault="00A00F7B">
      <w:pPr>
        <w:spacing w:after="0" w:line="240" w:lineRule="auto"/>
        <w:ind w:left="1080"/>
        <w:contextualSpacing/>
        <w:jc w:val="both"/>
        <w:rPr>
          <w:rFonts w:asciiTheme="majorHAnsi" w:eastAsia="Times New Roman" w:hAnsiTheme="majorHAnsi" w:cs="Calibri"/>
          <w:sz w:val="20"/>
          <w:szCs w:val="20"/>
        </w:rPr>
      </w:pPr>
    </w:p>
    <w:p w:rsidR="00A00F7B" w:rsidRPr="001D375E" w:rsidRDefault="00914F78" w:rsidP="00F5716D">
      <w:pPr>
        <w:numPr>
          <w:ilvl w:val="0"/>
          <w:numId w:val="9"/>
        </w:numPr>
        <w:spacing w:after="0" w:line="240" w:lineRule="auto"/>
        <w:ind w:left="0" w:firstLine="720"/>
        <w:contextualSpacing/>
        <w:jc w:val="both"/>
        <w:rPr>
          <w:rFonts w:asciiTheme="majorHAnsi" w:eastAsia="Times New Roman" w:hAnsiTheme="majorHAnsi" w:cs="Calibri"/>
          <w:sz w:val="20"/>
          <w:szCs w:val="20"/>
        </w:rPr>
      </w:pPr>
      <w:r>
        <w:rPr>
          <w:rFonts w:asciiTheme="majorHAnsi" w:eastAsia="Times New Roman" w:hAnsiTheme="majorHAnsi" w:cs="Calibri"/>
          <w:sz w:val="20"/>
          <w:szCs w:val="20"/>
        </w:rPr>
        <w:t xml:space="preserve">The </w:t>
      </w:r>
      <w:r w:rsidRPr="00914F78">
        <w:rPr>
          <w:rFonts w:asciiTheme="majorHAnsi" w:eastAsia="Times New Roman" w:hAnsiTheme="majorHAnsi" w:cs="Calibri"/>
          <w:sz w:val="20"/>
          <w:szCs w:val="20"/>
        </w:rPr>
        <w:t xml:space="preserve">Resource Mobilization and </w:t>
      </w:r>
      <w:r w:rsidR="00024B77">
        <w:rPr>
          <w:rFonts w:asciiTheme="majorHAnsi" w:eastAsia="Times New Roman" w:hAnsiTheme="majorHAnsi" w:cs="Calibri"/>
          <w:sz w:val="20"/>
          <w:szCs w:val="20"/>
        </w:rPr>
        <w:t>Project Management</w:t>
      </w:r>
      <w:r w:rsidRPr="00914F78">
        <w:rPr>
          <w:rFonts w:asciiTheme="majorHAnsi" w:eastAsia="Times New Roman" w:hAnsiTheme="majorHAnsi" w:cs="Calibri"/>
          <w:sz w:val="20"/>
          <w:szCs w:val="20"/>
        </w:rPr>
        <w:t xml:space="preserve"> Section </w:t>
      </w:r>
      <w:r w:rsidR="00A00F7B" w:rsidRPr="001D375E">
        <w:rPr>
          <w:rFonts w:asciiTheme="majorHAnsi" w:eastAsia="Times New Roman" w:hAnsiTheme="majorHAnsi" w:cs="Calibri"/>
          <w:sz w:val="20"/>
          <w:szCs w:val="20"/>
        </w:rPr>
        <w:t xml:space="preserve">(SMRAP) </w:t>
      </w:r>
      <w:r w:rsidR="00024B77">
        <w:rPr>
          <w:rFonts w:asciiTheme="majorHAnsi" w:eastAsia="Times New Roman" w:hAnsiTheme="majorHAnsi" w:cs="Calibri"/>
          <w:sz w:val="20"/>
          <w:szCs w:val="20"/>
        </w:rPr>
        <w:t>conducted an assessment to identify and overcome the challenges faced in the task of mobilizing external resources.</w:t>
      </w:r>
      <w:r w:rsidR="00E371FC">
        <w:rPr>
          <w:rFonts w:asciiTheme="majorHAnsi" w:eastAsia="Times New Roman" w:hAnsiTheme="majorHAnsi" w:cs="Calibri"/>
          <w:sz w:val="20"/>
          <w:szCs w:val="20"/>
        </w:rPr>
        <w:t xml:space="preserve"> </w:t>
      </w:r>
      <w:r w:rsidR="00024B77">
        <w:rPr>
          <w:rFonts w:asciiTheme="majorHAnsi" w:eastAsia="Times New Roman" w:hAnsiTheme="majorHAnsi" w:cs="Calibri"/>
          <w:sz w:val="20"/>
          <w:szCs w:val="20"/>
        </w:rPr>
        <w:t xml:space="preserve"> The assessment and the </w:t>
      </w:r>
      <w:r w:rsidR="00A00F7B" w:rsidRPr="001D375E">
        <w:rPr>
          <w:rFonts w:asciiTheme="majorHAnsi" w:eastAsia="Times New Roman" w:hAnsiTheme="majorHAnsi" w:cs="Calibri"/>
          <w:sz w:val="20"/>
          <w:szCs w:val="20"/>
        </w:rPr>
        <w:t xml:space="preserve">plan </w:t>
      </w:r>
      <w:r w:rsidR="00024B77">
        <w:rPr>
          <w:rFonts w:asciiTheme="majorHAnsi" w:eastAsia="Times New Roman" w:hAnsiTheme="majorHAnsi" w:cs="Calibri"/>
          <w:sz w:val="20"/>
          <w:szCs w:val="20"/>
        </w:rPr>
        <w:t>have served as the basis for developing the activities on which the office is currently working</w:t>
      </w:r>
      <w:r w:rsidR="00A00F7B" w:rsidRPr="001D375E">
        <w:rPr>
          <w:rFonts w:asciiTheme="majorHAnsi" w:eastAsia="Times New Roman" w:hAnsiTheme="majorHAnsi" w:cs="Calibri"/>
          <w:sz w:val="20"/>
          <w:szCs w:val="20"/>
        </w:rPr>
        <w:t xml:space="preserve">, </w:t>
      </w:r>
      <w:r w:rsidR="00024B77">
        <w:rPr>
          <w:rFonts w:asciiTheme="majorHAnsi" w:eastAsia="Times New Roman" w:hAnsiTheme="majorHAnsi" w:cs="Calibri"/>
          <w:sz w:val="20"/>
          <w:szCs w:val="20"/>
        </w:rPr>
        <w:t>such as the preparation of the 2016-2020 strategic plan</w:t>
      </w:r>
      <w:r w:rsidR="00A00F7B" w:rsidRPr="001D375E">
        <w:rPr>
          <w:rFonts w:asciiTheme="majorHAnsi" w:eastAsia="Times New Roman" w:hAnsiTheme="majorHAnsi" w:cs="Calibri"/>
          <w:sz w:val="20"/>
          <w:szCs w:val="20"/>
        </w:rPr>
        <w:t xml:space="preserve"> </w:t>
      </w:r>
      <w:r w:rsidR="00024B77">
        <w:rPr>
          <w:rFonts w:asciiTheme="majorHAnsi" w:eastAsia="Times New Roman" w:hAnsiTheme="majorHAnsi" w:cs="Calibri"/>
          <w:sz w:val="20"/>
          <w:szCs w:val="20"/>
        </w:rPr>
        <w:t>and the drafting of a manual of functions and procedures for project management at</w:t>
      </w:r>
      <w:r w:rsidR="00A00F7B" w:rsidRPr="001D375E">
        <w:rPr>
          <w:rFonts w:asciiTheme="majorHAnsi" w:eastAsia="Times New Roman" w:hAnsiTheme="majorHAnsi" w:cs="Calibri"/>
          <w:sz w:val="20"/>
          <w:szCs w:val="20"/>
        </w:rPr>
        <w:t xml:space="preserve"> </w:t>
      </w:r>
      <w:r w:rsidR="001D375E">
        <w:rPr>
          <w:rFonts w:asciiTheme="majorHAnsi" w:eastAsia="Times New Roman" w:hAnsiTheme="majorHAnsi" w:cs="Calibri"/>
          <w:sz w:val="20"/>
          <w:szCs w:val="20"/>
        </w:rPr>
        <w:t>the IACHR</w:t>
      </w:r>
      <w:r w:rsidR="00A00F7B" w:rsidRPr="001D375E">
        <w:rPr>
          <w:rFonts w:asciiTheme="majorHAnsi" w:eastAsia="Times New Roman" w:hAnsiTheme="majorHAnsi" w:cs="Calibri"/>
          <w:sz w:val="20"/>
          <w:szCs w:val="20"/>
        </w:rPr>
        <w:t xml:space="preserve">. </w:t>
      </w:r>
      <w:r w:rsidR="00E371FC">
        <w:rPr>
          <w:rFonts w:asciiTheme="majorHAnsi" w:eastAsia="Times New Roman" w:hAnsiTheme="majorHAnsi" w:cs="Calibri"/>
          <w:sz w:val="20"/>
          <w:szCs w:val="20"/>
        </w:rPr>
        <w:t xml:space="preserve"> </w:t>
      </w:r>
      <w:r w:rsidR="0087252B">
        <w:rPr>
          <w:rFonts w:asciiTheme="majorHAnsi" w:eastAsia="Times New Roman" w:hAnsiTheme="majorHAnsi" w:cs="Calibri"/>
          <w:sz w:val="20"/>
          <w:szCs w:val="20"/>
        </w:rPr>
        <w:t>The office is also working on</w:t>
      </w:r>
      <w:r w:rsidR="00A00F7B" w:rsidRPr="001D375E">
        <w:rPr>
          <w:rFonts w:asciiTheme="majorHAnsi" w:eastAsia="Times New Roman" w:hAnsiTheme="majorHAnsi" w:cs="Calibri"/>
          <w:sz w:val="20"/>
          <w:szCs w:val="20"/>
        </w:rPr>
        <w:t xml:space="preserve"> </w:t>
      </w:r>
      <w:r w:rsidR="0087252B">
        <w:rPr>
          <w:rFonts w:asciiTheme="majorHAnsi" w:eastAsia="Times New Roman" w:hAnsiTheme="majorHAnsi" w:cs="Calibri"/>
          <w:sz w:val="20"/>
          <w:szCs w:val="20"/>
        </w:rPr>
        <w:t xml:space="preserve">donor mapping, </w:t>
      </w:r>
      <w:r w:rsidR="00CD105B">
        <w:rPr>
          <w:rFonts w:asciiTheme="majorHAnsi" w:eastAsia="Times New Roman" w:hAnsiTheme="majorHAnsi" w:cs="Calibri"/>
          <w:sz w:val="20"/>
          <w:szCs w:val="20"/>
        </w:rPr>
        <w:t>which has identified potential donors, as well as on the formulation of projects for the mobilization of resources, which will be explained below.</w:t>
      </w:r>
      <w:r w:rsidR="00A00F7B" w:rsidRPr="001D375E">
        <w:rPr>
          <w:rFonts w:asciiTheme="majorHAnsi" w:eastAsia="Times New Roman" w:hAnsiTheme="majorHAnsi" w:cs="Calibri"/>
          <w:sz w:val="20"/>
          <w:szCs w:val="20"/>
        </w:rPr>
        <w:t xml:space="preserve"> </w:t>
      </w:r>
    </w:p>
    <w:p w:rsidR="00A00F7B" w:rsidRPr="001D375E" w:rsidRDefault="00A00F7B">
      <w:pPr>
        <w:spacing w:after="0" w:line="240" w:lineRule="auto"/>
        <w:ind w:left="720"/>
        <w:contextualSpacing/>
        <w:jc w:val="both"/>
        <w:rPr>
          <w:rFonts w:asciiTheme="majorHAnsi" w:eastAsia="Times New Roman" w:hAnsiTheme="majorHAnsi" w:cs="Calibri"/>
          <w:sz w:val="20"/>
          <w:szCs w:val="20"/>
        </w:rPr>
      </w:pPr>
    </w:p>
    <w:p w:rsidR="00A00F7B" w:rsidRPr="003946A8" w:rsidRDefault="00914F78" w:rsidP="00F5716D">
      <w:pPr>
        <w:pStyle w:val="Heading3"/>
        <w:numPr>
          <w:ilvl w:val="0"/>
          <w:numId w:val="28"/>
        </w:numPr>
        <w:ind w:hanging="720"/>
      </w:pPr>
      <w:r w:rsidRPr="003946A8">
        <w:t>Strategic Planning of</w:t>
      </w:r>
      <w:r w:rsidR="00A00F7B" w:rsidRPr="003946A8">
        <w:t xml:space="preserve"> </w:t>
      </w:r>
      <w:r w:rsidR="001D375E" w:rsidRPr="003946A8">
        <w:t>the IACHR</w:t>
      </w:r>
    </w:p>
    <w:p w:rsidR="0070285C" w:rsidRPr="001D375E" w:rsidRDefault="0070285C">
      <w:pPr>
        <w:widowControl w:val="0"/>
        <w:autoSpaceDE w:val="0"/>
        <w:autoSpaceDN w:val="0"/>
        <w:spacing w:after="0" w:line="240" w:lineRule="auto"/>
        <w:jc w:val="both"/>
        <w:rPr>
          <w:rFonts w:asciiTheme="majorHAnsi" w:eastAsia="MS Mincho" w:hAnsiTheme="majorHAnsi"/>
          <w:b/>
          <w:sz w:val="20"/>
          <w:szCs w:val="20"/>
        </w:rPr>
      </w:pPr>
    </w:p>
    <w:p w:rsidR="00A00F7B" w:rsidRPr="001D375E" w:rsidRDefault="00EA3E24" w:rsidP="00F5716D">
      <w:pPr>
        <w:numPr>
          <w:ilvl w:val="0"/>
          <w:numId w:val="9"/>
        </w:numPr>
        <w:spacing w:after="0" w:line="240" w:lineRule="auto"/>
        <w:ind w:left="0" w:firstLine="720"/>
        <w:contextualSpacing/>
        <w:jc w:val="both"/>
        <w:rPr>
          <w:rFonts w:asciiTheme="majorHAnsi" w:eastAsia="Times New Roman" w:hAnsiTheme="majorHAnsi"/>
          <w:sz w:val="20"/>
          <w:szCs w:val="20"/>
        </w:rPr>
      </w:pPr>
      <w:r>
        <w:rPr>
          <w:rFonts w:asciiTheme="majorHAnsi" w:eastAsia="Times New Roman" w:hAnsiTheme="majorHAnsi" w:cs="Calibri"/>
          <w:sz w:val="20"/>
          <w:szCs w:val="20"/>
        </w:rPr>
        <w:t xml:space="preserve">The preparation of the </w:t>
      </w:r>
      <w:r w:rsidR="001D375E">
        <w:rPr>
          <w:rFonts w:asciiTheme="majorHAnsi" w:eastAsia="Times New Roman" w:hAnsiTheme="majorHAnsi" w:cs="Calibri"/>
          <w:sz w:val="20"/>
          <w:szCs w:val="20"/>
        </w:rPr>
        <w:t>IACHR</w:t>
      </w:r>
      <w:r>
        <w:rPr>
          <w:rFonts w:asciiTheme="majorHAnsi" w:eastAsia="Times New Roman" w:hAnsiTheme="majorHAnsi" w:cs="Calibri"/>
          <w:sz w:val="20"/>
          <w:szCs w:val="20"/>
        </w:rPr>
        <w:t>’s</w:t>
      </w:r>
      <w:r w:rsidR="00A00F7B" w:rsidRPr="001D375E">
        <w:rPr>
          <w:rFonts w:asciiTheme="majorHAnsi" w:eastAsia="Times New Roman" w:hAnsiTheme="majorHAnsi" w:cs="Calibri"/>
          <w:sz w:val="20"/>
          <w:szCs w:val="20"/>
        </w:rPr>
        <w:t xml:space="preserve"> 2016-2020</w:t>
      </w:r>
      <w:r>
        <w:rPr>
          <w:rFonts w:asciiTheme="majorHAnsi" w:eastAsia="Times New Roman" w:hAnsiTheme="majorHAnsi" w:cs="Calibri"/>
          <w:sz w:val="20"/>
          <w:szCs w:val="20"/>
        </w:rPr>
        <w:t xml:space="preserve"> strategic plan began in July</w:t>
      </w:r>
      <w:r w:rsidR="00A00F7B" w:rsidRPr="001D375E">
        <w:rPr>
          <w:rFonts w:asciiTheme="majorHAnsi" w:eastAsia="Times New Roman" w:hAnsiTheme="majorHAnsi" w:cs="Calibri"/>
          <w:sz w:val="20"/>
          <w:szCs w:val="20"/>
        </w:rPr>
        <w:t xml:space="preserve">, </w:t>
      </w:r>
      <w:r>
        <w:rPr>
          <w:rFonts w:asciiTheme="majorHAnsi" w:eastAsia="Times New Roman" w:hAnsiTheme="majorHAnsi" w:cs="Calibri"/>
          <w:sz w:val="20"/>
          <w:szCs w:val="20"/>
        </w:rPr>
        <w:t xml:space="preserve">with an internal process for the assessment of strengths, opportunities for improvement, and lessons learned from the </w:t>
      </w:r>
      <w:r w:rsidR="00A00F7B" w:rsidRPr="001D375E">
        <w:rPr>
          <w:rFonts w:asciiTheme="majorHAnsi" w:eastAsia="Times New Roman" w:hAnsiTheme="majorHAnsi" w:cs="Calibri"/>
          <w:sz w:val="20"/>
          <w:szCs w:val="20"/>
        </w:rPr>
        <w:t>2011-2015</w:t>
      </w:r>
      <w:r>
        <w:rPr>
          <w:rFonts w:asciiTheme="majorHAnsi" w:eastAsia="Times New Roman" w:hAnsiTheme="majorHAnsi" w:cs="Calibri"/>
          <w:sz w:val="20"/>
          <w:szCs w:val="20"/>
        </w:rPr>
        <w:t xml:space="preserve"> strategic plan</w:t>
      </w:r>
      <w:r w:rsidR="00436C9C" w:rsidRPr="001D375E">
        <w:rPr>
          <w:rFonts w:asciiTheme="majorHAnsi" w:eastAsia="Times New Roman" w:hAnsiTheme="majorHAnsi" w:cs="Calibri"/>
          <w:sz w:val="20"/>
          <w:szCs w:val="20"/>
        </w:rPr>
        <w:t xml:space="preserve"> (</w:t>
      </w:r>
      <w:r w:rsidR="00366EB6">
        <w:rPr>
          <w:rFonts w:asciiTheme="majorHAnsi" w:eastAsia="Times New Roman" w:hAnsiTheme="majorHAnsi" w:cs="Calibri"/>
          <w:sz w:val="20"/>
          <w:szCs w:val="20"/>
        </w:rPr>
        <w:t>SP</w:t>
      </w:r>
      <w:r w:rsidR="00436C9C" w:rsidRPr="001D375E">
        <w:rPr>
          <w:rFonts w:asciiTheme="majorHAnsi" w:eastAsia="Times New Roman" w:hAnsiTheme="majorHAnsi" w:cs="Calibri"/>
          <w:sz w:val="20"/>
          <w:szCs w:val="20"/>
        </w:rPr>
        <w:t xml:space="preserve"> 2011-2015)</w:t>
      </w:r>
      <w:r>
        <w:rPr>
          <w:rFonts w:asciiTheme="majorHAnsi" w:eastAsia="Times New Roman" w:hAnsiTheme="majorHAnsi" w:cs="Calibri"/>
          <w:sz w:val="20"/>
          <w:szCs w:val="20"/>
        </w:rPr>
        <w:t xml:space="preserve">. </w:t>
      </w:r>
      <w:r w:rsidR="00260FF3">
        <w:rPr>
          <w:rFonts w:asciiTheme="majorHAnsi" w:eastAsia="Times New Roman" w:hAnsiTheme="majorHAnsi" w:cs="Calibri"/>
          <w:sz w:val="20"/>
          <w:szCs w:val="20"/>
        </w:rPr>
        <w:t xml:space="preserve"> </w:t>
      </w:r>
      <w:r>
        <w:rPr>
          <w:rFonts w:asciiTheme="majorHAnsi" w:eastAsia="Times New Roman" w:hAnsiTheme="majorHAnsi" w:cs="Calibri"/>
          <w:sz w:val="20"/>
          <w:szCs w:val="20"/>
        </w:rPr>
        <w:t>The</w:t>
      </w:r>
      <w:r w:rsidR="00A00F7B" w:rsidRPr="001D375E">
        <w:rPr>
          <w:rFonts w:asciiTheme="majorHAnsi" w:eastAsia="Times New Roman" w:hAnsiTheme="majorHAnsi" w:cs="Calibri"/>
          <w:sz w:val="20"/>
          <w:szCs w:val="20"/>
        </w:rPr>
        <w:t xml:space="preserve"> SMRAP </w:t>
      </w:r>
      <w:r>
        <w:rPr>
          <w:rFonts w:asciiTheme="majorHAnsi" w:eastAsia="Times New Roman" w:hAnsiTheme="majorHAnsi" w:cs="Calibri"/>
          <w:sz w:val="20"/>
          <w:szCs w:val="20"/>
        </w:rPr>
        <w:t>outlined a work program for the preparation of the new strategic plan.</w:t>
      </w:r>
      <w:r w:rsidR="00A00F7B" w:rsidRPr="001D375E">
        <w:rPr>
          <w:rFonts w:asciiTheme="majorHAnsi" w:eastAsia="Times New Roman" w:hAnsiTheme="majorHAnsi" w:cs="Calibri"/>
          <w:sz w:val="20"/>
          <w:szCs w:val="20"/>
        </w:rPr>
        <w:t xml:space="preserve"> </w:t>
      </w:r>
    </w:p>
    <w:p w:rsidR="00A00F7B" w:rsidRPr="001D375E" w:rsidRDefault="00A00F7B">
      <w:pPr>
        <w:spacing w:after="0" w:line="240" w:lineRule="auto"/>
        <w:ind w:left="360" w:right="72" w:firstLine="720"/>
        <w:jc w:val="both"/>
        <w:rPr>
          <w:rFonts w:asciiTheme="majorHAnsi" w:hAnsiTheme="majorHAnsi"/>
          <w:sz w:val="20"/>
          <w:szCs w:val="20"/>
        </w:rPr>
      </w:pPr>
    </w:p>
    <w:p w:rsidR="00A00F7B" w:rsidRPr="001D375E" w:rsidRDefault="00A00F7B" w:rsidP="00F5716D">
      <w:pPr>
        <w:numPr>
          <w:ilvl w:val="0"/>
          <w:numId w:val="9"/>
        </w:numPr>
        <w:spacing w:after="0" w:line="240" w:lineRule="auto"/>
        <w:ind w:left="0" w:firstLine="720"/>
        <w:contextualSpacing/>
        <w:jc w:val="both"/>
        <w:rPr>
          <w:rFonts w:asciiTheme="majorHAnsi" w:eastAsia="Times New Roman" w:hAnsiTheme="majorHAnsi"/>
          <w:sz w:val="20"/>
          <w:szCs w:val="20"/>
        </w:rPr>
      </w:pPr>
      <w:r w:rsidRPr="001D375E">
        <w:rPr>
          <w:rFonts w:asciiTheme="majorHAnsi" w:eastAsia="Times New Roman" w:hAnsiTheme="majorHAnsi"/>
          <w:sz w:val="20"/>
          <w:szCs w:val="20"/>
        </w:rPr>
        <w:t xml:space="preserve"> </w:t>
      </w:r>
      <w:r w:rsidR="002C3F35">
        <w:rPr>
          <w:rFonts w:asciiTheme="majorHAnsi" w:eastAsia="Times New Roman" w:hAnsiTheme="majorHAnsi"/>
          <w:sz w:val="20"/>
          <w:szCs w:val="20"/>
        </w:rPr>
        <w:t xml:space="preserve">In order to facilitate the external evaluation of </w:t>
      </w:r>
      <w:r w:rsidR="00366EB6">
        <w:rPr>
          <w:rFonts w:asciiTheme="majorHAnsi" w:eastAsia="Times New Roman" w:hAnsiTheme="majorHAnsi"/>
          <w:sz w:val="20"/>
          <w:szCs w:val="20"/>
        </w:rPr>
        <w:t xml:space="preserve">SP </w:t>
      </w:r>
      <w:r w:rsidR="00436C9C" w:rsidRPr="001D375E">
        <w:rPr>
          <w:rFonts w:asciiTheme="majorHAnsi" w:eastAsia="Times New Roman" w:hAnsiTheme="majorHAnsi"/>
          <w:sz w:val="20"/>
          <w:szCs w:val="20"/>
        </w:rPr>
        <w:t xml:space="preserve">2011-2015, </w:t>
      </w:r>
      <w:r w:rsidR="002C3F35">
        <w:rPr>
          <w:rFonts w:asciiTheme="majorHAnsi" w:eastAsia="Times New Roman" w:hAnsiTheme="majorHAnsi"/>
          <w:sz w:val="20"/>
          <w:szCs w:val="20"/>
        </w:rPr>
        <w:t>the</w:t>
      </w:r>
      <w:r w:rsidRPr="001D375E">
        <w:rPr>
          <w:rFonts w:asciiTheme="majorHAnsi" w:eastAsia="Times New Roman" w:hAnsiTheme="majorHAnsi" w:cs="Calibri"/>
          <w:sz w:val="20"/>
          <w:szCs w:val="20"/>
        </w:rPr>
        <w:t xml:space="preserve"> SMRAP ha</w:t>
      </w:r>
      <w:r w:rsidR="002C3F35">
        <w:rPr>
          <w:rFonts w:asciiTheme="majorHAnsi" w:eastAsia="Times New Roman" w:hAnsiTheme="majorHAnsi" w:cs="Calibri"/>
          <w:sz w:val="20"/>
          <w:szCs w:val="20"/>
        </w:rPr>
        <w:t xml:space="preserve">s also been compiling information about the scope of the plan’s objectives based on the IACHR’s annual reports and available information. </w:t>
      </w:r>
      <w:r w:rsidR="00260FF3">
        <w:rPr>
          <w:rFonts w:asciiTheme="majorHAnsi" w:eastAsia="Times New Roman" w:hAnsiTheme="majorHAnsi" w:cs="Calibri"/>
          <w:sz w:val="20"/>
          <w:szCs w:val="20"/>
        </w:rPr>
        <w:t xml:space="preserve"> </w:t>
      </w:r>
      <w:r w:rsidR="002C3F35">
        <w:rPr>
          <w:rFonts w:asciiTheme="majorHAnsi" w:eastAsia="Times New Roman" w:hAnsiTheme="majorHAnsi" w:cs="Calibri"/>
          <w:sz w:val="20"/>
          <w:szCs w:val="20"/>
        </w:rPr>
        <w:t xml:space="preserve">The office has also collected information relating to the impact and principal effects </w:t>
      </w:r>
      <w:r w:rsidR="004653D2">
        <w:rPr>
          <w:rFonts w:asciiTheme="majorHAnsi" w:eastAsia="Times New Roman" w:hAnsiTheme="majorHAnsi" w:cs="Calibri"/>
          <w:sz w:val="20"/>
          <w:szCs w:val="20"/>
        </w:rPr>
        <w:t>of</w:t>
      </w:r>
      <w:r w:rsidR="002C3F35">
        <w:rPr>
          <w:rFonts w:asciiTheme="majorHAnsi" w:eastAsia="Times New Roman" w:hAnsiTheme="majorHAnsi" w:cs="Calibri"/>
          <w:sz w:val="20"/>
          <w:szCs w:val="20"/>
        </w:rPr>
        <w:t xml:space="preserve"> the IACHR’s work over the past five years. </w:t>
      </w:r>
    </w:p>
    <w:p w:rsidR="00A00F7B" w:rsidRPr="001D375E" w:rsidRDefault="00A00F7B">
      <w:pPr>
        <w:spacing w:after="0" w:line="240" w:lineRule="auto"/>
        <w:ind w:left="720"/>
        <w:contextualSpacing/>
        <w:rPr>
          <w:rFonts w:asciiTheme="majorHAnsi" w:eastAsia="Times New Roman" w:hAnsiTheme="majorHAnsi"/>
          <w:sz w:val="20"/>
          <w:szCs w:val="20"/>
        </w:rPr>
      </w:pPr>
    </w:p>
    <w:p w:rsidR="00A00F7B" w:rsidRPr="001D375E" w:rsidRDefault="00366EB6" w:rsidP="00F5716D">
      <w:pPr>
        <w:numPr>
          <w:ilvl w:val="0"/>
          <w:numId w:val="9"/>
        </w:numPr>
        <w:spacing w:after="0" w:line="240" w:lineRule="auto"/>
        <w:ind w:left="0" w:firstLine="720"/>
        <w:contextualSpacing/>
        <w:jc w:val="both"/>
        <w:rPr>
          <w:rFonts w:asciiTheme="majorHAnsi" w:eastAsia="Times New Roman" w:hAnsiTheme="majorHAnsi"/>
          <w:sz w:val="20"/>
          <w:szCs w:val="20"/>
        </w:rPr>
      </w:pPr>
      <w:r>
        <w:rPr>
          <w:rFonts w:asciiTheme="majorHAnsi" w:eastAsia="Times New Roman" w:hAnsiTheme="majorHAnsi" w:cs="Calibri"/>
          <w:sz w:val="20"/>
          <w:szCs w:val="20"/>
        </w:rPr>
        <w:lastRenderedPageBreak/>
        <w:t>In addition, given the need for an external evaluation of</w:t>
      </w:r>
      <w:r w:rsidR="00A00F7B" w:rsidRPr="001D375E">
        <w:rPr>
          <w:rFonts w:asciiTheme="majorHAnsi" w:eastAsia="Times New Roman" w:hAnsiTheme="majorHAnsi" w:cs="Calibri"/>
          <w:sz w:val="20"/>
          <w:szCs w:val="20"/>
        </w:rPr>
        <w:t xml:space="preserve"> </w:t>
      </w:r>
      <w:r>
        <w:rPr>
          <w:rFonts w:asciiTheme="majorHAnsi" w:eastAsia="Times New Roman" w:hAnsiTheme="majorHAnsi" w:cs="Calibri"/>
          <w:sz w:val="20"/>
          <w:szCs w:val="20"/>
        </w:rPr>
        <w:t>SP</w:t>
      </w:r>
      <w:r w:rsidR="00A00F7B" w:rsidRPr="001D375E">
        <w:rPr>
          <w:rFonts w:asciiTheme="majorHAnsi" w:eastAsia="Times New Roman" w:hAnsiTheme="majorHAnsi" w:cs="Calibri"/>
          <w:sz w:val="20"/>
          <w:szCs w:val="20"/>
        </w:rPr>
        <w:t xml:space="preserve"> 2011-2015, </w:t>
      </w:r>
      <w:r>
        <w:rPr>
          <w:rFonts w:asciiTheme="majorHAnsi" w:eastAsia="Times New Roman" w:hAnsiTheme="majorHAnsi" w:cs="Calibri"/>
          <w:sz w:val="20"/>
          <w:szCs w:val="20"/>
        </w:rPr>
        <w:t xml:space="preserve">the terms of reference have been prepared and the necessary information has been gathered to perform this work. </w:t>
      </w:r>
      <w:r w:rsidR="001D375E">
        <w:rPr>
          <w:rFonts w:asciiTheme="majorHAnsi" w:eastAsia="Times New Roman" w:hAnsiTheme="majorHAnsi" w:cs="Calibri"/>
          <w:sz w:val="20"/>
          <w:szCs w:val="20"/>
        </w:rPr>
        <w:t>The IACHR</w:t>
      </w:r>
      <w:r w:rsidR="00A00F7B" w:rsidRPr="001D375E">
        <w:rPr>
          <w:rFonts w:asciiTheme="majorHAnsi" w:eastAsia="Times New Roman" w:hAnsiTheme="majorHAnsi" w:cs="Calibri"/>
          <w:sz w:val="20"/>
          <w:szCs w:val="20"/>
        </w:rPr>
        <w:t xml:space="preserve"> ha</w:t>
      </w:r>
      <w:r>
        <w:rPr>
          <w:rFonts w:asciiTheme="majorHAnsi" w:eastAsia="Times New Roman" w:hAnsiTheme="majorHAnsi" w:cs="Calibri"/>
          <w:sz w:val="20"/>
          <w:szCs w:val="20"/>
        </w:rPr>
        <w:t>s been exploring potential sources of funding for this evaluation.</w:t>
      </w:r>
    </w:p>
    <w:p w:rsidR="00A00F7B" w:rsidRPr="001D375E" w:rsidRDefault="00A00F7B">
      <w:pPr>
        <w:spacing w:after="0" w:line="240" w:lineRule="auto"/>
        <w:ind w:left="720"/>
        <w:contextualSpacing/>
        <w:rPr>
          <w:rFonts w:asciiTheme="majorHAnsi" w:eastAsia="Times New Roman" w:hAnsiTheme="majorHAnsi"/>
          <w:sz w:val="20"/>
          <w:szCs w:val="20"/>
        </w:rPr>
      </w:pPr>
    </w:p>
    <w:p w:rsidR="00A00F7B" w:rsidRPr="001D375E" w:rsidRDefault="00366EB6" w:rsidP="00F5716D">
      <w:pPr>
        <w:numPr>
          <w:ilvl w:val="0"/>
          <w:numId w:val="9"/>
        </w:numPr>
        <w:spacing w:after="0" w:line="240" w:lineRule="auto"/>
        <w:ind w:left="0" w:firstLine="720"/>
        <w:contextualSpacing/>
        <w:jc w:val="both"/>
        <w:rPr>
          <w:rFonts w:asciiTheme="majorHAnsi" w:eastAsia="Times New Roman" w:hAnsiTheme="majorHAnsi" w:cs="Calibri"/>
          <w:sz w:val="20"/>
          <w:szCs w:val="20"/>
        </w:rPr>
      </w:pPr>
      <w:r>
        <w:rPr>
          <w:rFonts w:asciiTheme="majorHAnsi" w:eastAsia="Times New Roman" w:hAnsiTheme="majorHAnsi" w:cs="Calibri"/>
          <w:sz w:val="20"/>
          <w:szCs w:val="20"/>
        </w:rPr>
        <w:t>During the September 8-</w:t>
      </w:r>
      <w:r w:rsidR="008A219A" w:rsidRPr="001D375E">
        <w:rPr>
          <w:rFonts w:asciiTheme="majorHAnsi" w:eastAsia="Times New Roman" w:hAnsiTheme="majorHAnsi" w:cs="Calibri"/>
          <w:sz w:val="20"/>
          <w:szCs w:val="20"/>
        </w:rPr>
        <w:t xml:space="preserve">9 </w:t>
      </w:r>
      <w:r>
        <w:rPr>
          <w:rFonts w:asciiTheme="majorHAnsi" w:eastAsia="Times New Roman" w:hAnsiTheme="majorHAnsi" w:cs="Calibri"/>
          <w:sz w:val="20"/>
          <w:szCs w:val="20"/>
        </w:rPr>
        <w:t xml:space="preserve">workshop </w:t>
      </w:r>
      <w:r w:rsidR="00A00F7B" w:rsidRPr="001D375E">
        <w:rPr>
          <w:rFonts w:asciiTheme="majorHAnsi" w:eastAsia="Times New Roman" w:hAnsiTheme="majorHAnsi" w:cs="Calibri"/>
          <w:sz w:val="20"/>
          <w:szCs w:val="20"/>
        </w:rPr>
        <w:t>“</w:t>
      </w:r>
      <w:r>
        <w:rPr>
          <w:rFonts w:asciiTheme="majorHAnsi" w:eastAsia="Times New Roman" w:hAnsiTheme="majorHAnsi" w:cs="Calibri"/>
          <w:sz w:val="20"/>
          <w:szCs w:val="20"/>
        </w:rPr>
        <w:t>Challenges in the</w:t>
      </w:r>
      <w:r w:rsidR="00A00F7B" w:rsidRPr="001D375E">
        <w:rPr>
          <w:rFonts w:asciiTheme="majorHAnsi" w:eastAsia="Times New Roman" w:hAnsiTheme="majorHAnsi" w:cs="Calibri"/>
          <w:sz w:val="20"/>
          <w:szCs w:val="20"/>
        </w:rPr>
        <w:t xml:space="preserve"> </w:t>
      </w:r>
      <w:r w:rsidR="00F623B6">
        <w:rPr>
          <w:rFonts w:asciiTheme="majorHAnsi" w:eastAsia="Times New Roman" w:hAnsiTheme="majorHAnsi" w:cs="Calibri"/>
          <w:sz w:val="20"/>
          <w:szCs w:val="20"/>
        </w:rPr>
        <w:t>Inter-American Human Rights System</w:t>
      </w:r>
      <w:r w:rsidR="00A00F7B" w:rsidRPr="001D375E">
        <w:rPr>
          <w:rFonts w:asciiTheme="majorHAnsi" w:eastAsia="Times New Roman" w:hAnsiTheme="majorHAnsi" w:cs="Calibri"/>
          <w:sz w:val="20"/>
          <w:szCs w:val="20"/>
        </w:rPr>
        <w:t xml:space="preserve">: </w:t>
      </w:r>
      <w:r>
        <w:rPr>
          <w:rFonts w:asciiTheme="majorHAnsi" w:eastAsia="Times New Roman" w:hAnsiTheme="majorHAnsi" w:cs="Calibri"/>
          <w:sz w:val="20"/>
          <w:szCs w:val="20"/>
        </w:rPr>
        <w:t>New times, old challenges,</w:t>
      </w:r>
      <w:r w:rsidR="00A00F7B" w:rsidRPr="001D375E">
        <w:rPr>
          <w:rFonts w:asciiTheme="majorHAnsi" w:eastAsia="Times New Roman" w:hAnsiTheme="majorHAnsi" w:cs="Calibri"/>
          <w:sz w:val="20"/>
          <w:szCs w:val="20"/>
        </w:rPr>
        <w:t xml:space="preserve">” </w:t>
      </w:r>
      <w:r>
        <w:rPr>
          <w:rFonts w:asciiTheme="majorHAnsi" w:eastAsia="Times New Roman" w:hAnsiTheme="majorHAnsi" w:cs="Calibri"/>
          <w:sz w:val="20"/>
          <w:szCs w:val="20"/>
        </w:rPr>
        <w:t xml:space="preserve">led by different members of civil society who took part in the IACHR strengthening period, </w:t>
      </w:r>
      <w:r w:rsidR="001D375E">
        <w:rPr>
          <w:rFonts w:asciiTheme="majorHAnsi" w:eastAsia="Times New Roman" w:hAnsiTheme="majorHAnsi" w:cs="Calibri"/>
          <w:sz w:val="20"/>
          <w:szCs w:val="20"/>
        </w:rPr>
        <w:t xml:space="preserve">the </w:t>
      </w:r>
      <w:r w:rsidR="00A440E9">
        <w:rPr>
          <w:rFonts w:asciiTheme="majorHAnsi" w:eastAsia="Times New Roman" w:hAnsiTheme="majorHAnsi" w:cs="Calibri"/>
          <w:sz w:val="20"/>
          <w:szCs w:val="20"/>
        </w:rPr>
        <w:t>Inter-American Commission</w:t>
      </w:r>
      <w:r w:rsidR="00A440E9" w:rsidRPr="001D375E">
        <w:rPr>
          <w:rFonts w:asciiTheme="majorHAnsi" w:eastAsia="Times New Roman" w:hAnsiTheme="majorHAnsi" w:cs="Calibri"/>
          <w:sz w:val="20"/>
          <w:szCs w:val="20"/>
        </w:rPr>
        <w:t xml:space="preserve"> </w:t>
      </w:r>
      <w:r>
        <w:rPr>
          <w:rFonts w:asciiTheme="majorHAnsi" w:eastAsia="Times New Roman" w:hAnsiTheme="majorHAnsi" w:cs="Calibri"/>
          <w:sz w:val="20"/>
          <w:szCs w:val="20"/>
        </w:rPr>
        <w:t xml:space="preserve">received valuable information on the assessment of its work and recommendations on the </w:t>
      </w:r>
      <w:r w:rsidR="00D00046">
        <w:rPr>
          <w:rFonts w:asciiTheme="majorHAnsi" w:eastAsia="Times New Roman" w:hAnsiTheme="majorHAnsi" w:cs="Calibri"/>
          <w:sz w:val="20"/>
          <w:szCs w:val="20"/>
        </w:rPr>
        <w:t>various</w:t>
      </w:r>
      <w:r>
        <w:rPr>
          <w:rFonts w:asciiTheme="majorHAnsi" w:eastAsia="Times New Roman" w:hAnsiTheme="majorHAnsi" w:cs="Calibri"/>
          <w:sz w:val="20"/>
          <w:szCs w:val="20"/>
        </w:rPr>
        <w:t xml:space="preserve"> pillars of </w:t>
      </w:r>
      <w:r w:rsidR="001D375E">
        <w:rPr>
          <w:rFonts w:asciiTheme="majorHAnsi" w:eastAsia="Times New Roman" w:hAnsiTheme="majorHAnsi" w:cs="Calibri"/>
          <w:sz w:val="20"/>
          <w:szCs w:val="20"/>
        </w:rPr>
        <w:t>the IACHR</w:t>
      </w:r>
      <w:r>
        <w:rPr>
          <w:rFonts w:asciiTheme="majorHAnsi" w:eastAsia="Times New Roman" w:hAnsiTheme="majorHAnsi" w:cs="Calibri"/>
          <w:sz w:val="20"/>
          <w:szCs w:val="20"/>
        </w:rPr>
        <w:t xml:space="preserve">. </w:t>
      </w:r>
      <w:r w:rsidR="00260FF3">
        <w:rPr>
          <w:rFonts w:asciiTheme="majorHAnsi" w:eastAsia="Times New Roman" w:hAnsiTheme="majorHAnsi" w:cs="Calibri"/>
          <w:sz w:val="20"/>
          <w:szCs w:val="20"/>
        </w:rPr>
        <w:t xml:space="preserve"> </w:t>
      </w:r>
      <w:r>
        <w:rPr>
          <w:rFonts w:asciiTheme="majorHAnsi" w:eastAsia="Times New Roman" w:hAnsiTheme="majorHAnsi" w:cs="Calibri"/>
          <w:sz w:val="20"/>
          <w:szCs w:val="20"/>
        </w:rPr>
        <w:t>Based on this feedback, the</w:t>
      </w:r>
      <w:r w:rsidR="00A00F7B" w:rsidRPr="001D375E">
        <w:rPr>
          <w:rFonts w:asciiTheme="majorHAnsi" w:eastAsia="Times New Roman" w:hAnsiTheme="majorHAnsi" w:cs="Calibri"/>
          <w:sz w:val="20"/>
          <w:szCs w:val="20"/>
        </w:rPr>
        <w:t xml:space="preserve"> SMRAP </w:t>
      </w:r>
      <w:r>
        <w:rPr>
          <w:rFonts w:asciiTheme="majorHAnsi" w:eastAsia="Times New Roman" w:hAnsiTheme="majorHAnsi" w:cs="Calibri"/>
          <w:sz w:val="20"/>
          <w:szCs w:val="20"/>
        </w:rPr>
        <w:t xml:space="preserve">prepared a questionnaire for consultation with civil society and the States, with which it hopes to receive inputs on priority issues and themes and recommendations on strategies for improving the impact of </w:t>
      </w:r>
      <w:r w:rsidR="009573C5">
        <w:rPr>
          <w:rFonts w:asciiTheme="majorHAnsi" w:eastAsia="Times New Roman" w:hAnsiTheme="majorHAnsi" w:cs="Calibri"/>
          <w:sz w:val="20"/>
          <w:szCs w:val="20"/>
        </w:rPr>
        <w:t>its mechanisms</w:t>
      </w:r>
      <w:r>
        <w:rPr>
          <w:rFonts w:asciiTheme="majorHAnsi" w:eastAsia="Times New Roman" w:hAnsiTheme="majorHAnsi" w:cs="Calibri"/>
          <w:sz w:val="20"/>
          <w:szCs w:val="20"/>
        </w:rPr>
        <w:t xml:space="preserve"> </w:t>
      </w:r>
      <w:r w:rsidR="00D00046">
        <w:rPr>
          <w:rFonts w:asciiTheme="majorHAnsi" w:eastAsia="Times New Roman" w:hAnsiTheme="majorHAnsi" w:cs="Calibri"/>
          <w:sz w:val="20"/>
          <w:szCs w:val="20"/>
        </w:rPr>
        <w:t>that it can include</w:t>
      </w:r>
      <w:r>
        <w:rPr>
          <w:rFonts w:asciiTheme="majorHAnsi" w:eastAsia="Times New Roman" w:hAnsiTheme="majorHAnsi" w:cs="Calibri"/>
          <w:sz w:val="20"/>
          <w:szCs w:val="20"/>
        </w:rPr>
        <w:t xml:space="preserve"> in</w:t>
      </w:r>
      <w:r w:rsidR="00A00F7B" w:rsidRPr="001D375E">
        <w:rPr>
          <w:rFonts w:asciiTheme="majorHAnsi" w:eastAsia="Times New Roman" w:hAnsiTheme="majorHAnsi" w:cs="Calibri"/>
          <w:sz w:val="20"/>
          <w:szCs w:val="20"/>
        </w:rPr>
        <w:t xml:space="preserve"> </w:t>
      </w:r>
      <w:r>
        <w:rPr>
          <w:rFonts w:asciiTheme="majorHAnsi" w:eastAsia="Times New Roman" w:hAnsiTheme="majorHAnsi" w:cs="Calibri"/>
          <w:sz w:val="20"/>
          <w:szCs w:val="20"/>
        </w:rPr>
        <w:t>SP</w:t>
      </w:r>
      <w:r w:rsidR="00A00F7B" w:rsidRPr="001D375E">
        <w:rPr>
          <w:rFonts w:asciiTheme="majorHAnsi" w:eastAsia="Times New Roman" w:hAnsiTheme="majorHAnsi" w:cs="Calibri"/>
          <w:sz w:val="20"/>
          <w:szCs w:val="20"/>
        </w:rPr>
        <w:t xml:space="preserve"> 2016-2020.</w:t>
      </w:r>
    </w:p>
    <w:p w:rsidR="00A00F7B" w:rsidRPr="001D375E" w:rsidRDefault="00A00F7B">
      <w:pPr>
        <w:spacing w:after="0" w:line="240" w:lineRule="auto"/>
        <w:ind w:left="360" w:hanging="360"/>
        <w:jc w:val="both"/>
        <w:rPr>
          <w:rFonts w:asciiTheme="majorHAnsi" w:hAnsiTheme="majorHAnsi"/>
          <w:sz w:val="20"/>
          <w:szCs w:val="20"/>
        </w:rPr>
      </w:pPr>
    </w:p>
    <w:p w:rsidR="00A00F7B" w:rsidRPr="00F5716D" w:rsidRDefault="00914F78" w:rsidP="00F5716D">
      <w:pPr>
        <w:pStyle w:val="Heading3"/>
        <w:rPr>
          <w:lang w:val="en-US"/>
        </w:rPr>
      </w:pPr>
      <w:r w:rsidRPr="00F5716D">
        <w:rPr>
          <w:lang w:val="en-US"/>
        </w:rPr>
        <w:t xml:space="preserve">Assistance and Support in the Review of Different Projects </w:t>
      </w:r>
      <w:r w:rsidR="00A00F7B" w:rsidRPr="00F5716D">
        <w:rPr>
          <w:lang w:val="en-US"/>
        </w:rPr>
        <w:t xml:space="preserve"> </w:t>
      </w:r>
    </w:p>
    <w:p w:rsidR="00A00F7B" w:rsidRPr="001D375E" w:rsidRDefault="00A00F7B">
      <w:pPr>
        <w:spacing w:after="0" w:line="240" w:lineRule="auto"/>
        <w:ind w:left="1080"/>
        <w:jc w:val="both"/>
        <w:rPr>
          <w:rFonts w:asciiTheme="majorHAnsi" w:eastAsia="MS Mincho" w:hAnsiTheme="majorHAnsi"/>
          <w:b/>
          <w:sz w:val="20"/>
          <w:szCs w:val="20"/>
        </w:rPr>
      </w:pPr>
    </w:p>
    <w:p w:rsidR="00A00F7B" w:rsidRPr="001D375E" w:rsidRDefault="00BB149E" w:rsidP="00F5716D">
      <w:pPr>
        <w:numPr>
          <w:ilvl w:val="0"/>
          <w:numId w:val="9"/>
        </w:numPr>
        <w:spacing w:after="0" w:line="240" w:lineRule="auto"/>
        <w:ind w:left="0" w:firstLine="720"/>
        <w:contextualSpacing/>
        <w:jc w:val="both"/>
        <w:rPr>
          <w:rFonts w:asciiTheme="majorHAnsi" w:eastAsia="Times New Roman" w:hAnsiTheme="majorHAnsi" w:cs="Calibri"/>
          <w:sz w:val="20"/>
          <w:szCs w:val="20"/>
        </w:rPr>
      </w:pPr>
      <w:r>
        <w:rPr>
          <w:rFonts w:asciiTheme="majorHAnsi" w:eastAsia="Times New Roman" w:hAnsiTheme="majorHAnsi" w:cs="Calibri"/>
          <w:sz w:val="20"/>
          <w:szCs w:val="20"/>
        </w:rPr>
        <w:t>The</w:t>
      </w:r>
      <w:r w:rsidR="00A00F7B" w:rsidRPr="001D375E">
        <w:rPr>
          <w:rFonts w:asciiTheme="majorHAnsi" w:eastAsia="Times New Roman" w:hAnsiTheme="majorHAnsi" w:cs="Calibri"/>
          <w:sz w:val="20"/>
          <w:szCs w:val="20"/>
        </w:rPr>
        <w:t xml:space="preserve"> SMRAP </w:t>
      </w:r>
      <w:r>
        <w:rPr>
          <w:rFonts w:asciiTheme="majorHAnsi" w:eastAsia="Times New Roman" w:hAnsiTheme="majorHAnsi" w:cs="Calibri"/>
          <w:sz w:val="20"/>
          <w:szCs w:val="20"/>
        </w:rPr>
        <w:t>has provided support to the areas that have requested it, in the form of technical assistance and review, concept notes, and project documents.</w:t>
      </w:r>
      <w:r w:rsidR="00A00F7B" w:rsidRPr="001D375E">
        <w:rPr>
          <w:rFonts w:asciiTheme="majorHAnsi" w:eastAsia="Times New Roman" w:hAnsiTheme="majorHAnsi" w:cs="Calibri"/>
          <w:sz w:val="20"/>
          <w:szCs w:val="20"/>
        </w:rPr>
        <w:t xml:space="preserve"> </w:t>
      </w:r>
      <w:r w:rsidR="00BA732F">
        <w:rPr>
          <w:rFonts w:asciiTheme="majorHAnsi" w:eastAsia="Times New Roman" w:hAnsiTheme="majorHAnsi" w:cs="Calibri"/>
          <w:sz w:val="20"/>
          <w:szCs w:val="20"/>
        </w:rPr>
        <w:t xml:space="preserve"> </w:t>
      </w:r>
      <w:r w:rsidR="00F44850">
        <w:rPr>
          <w:rFonts w:asciiTheme="majorHAnsi" w:eastAsia="Times New Roman" w:hAnsiTheme="majorHAnsi" w:cs="Calibri"/>
          <w:sz w:val="20"/>
          <w:szCs w:val="20"/>
        </w:rPr>
        <w:t>The formulation of the Pretrial Detention project was completed in the</w:t>
      </w:r>
      <w:r w:rsidR="00A00F7B" w:rsidRPr="001D375E">
        <w:rPr>
          <w:rFonts w:asciiTheme="majorHAnsi" w:eastAsia="Times New Roman" w:hAnsiTheme="majorHAnsi" w:cs="Calibri"/>
          <w:sz w:val="20"/>
          <w:szCs w:val="20"/>
        </w:rPr>
        <w:t xml:space="preserve"> </w:t>
      </w:r>
      <w:r w:rsidR="00F44850">
        <w:rPr>
          <w:rFonts w:asciiTheme="majorHAnsi" w:eastAsia="Times New Roman" w:hAnsiTheme="majorHAnsi" w:cs="Calibri"/>
          <w:sz w:val="20"/>
          <w:szCs w:val="20"/>
        </w:rPr>
        <w:t xml:space="preserve">OAS </w:t>
      </w:r>
      <w:r w:rsidR="00014AF9" w:rsidRPr="00014AF9">
        <w:rPr>
          <w:rFonts w:asciiTheme="majorHAnsi" w:eastAsia="Times New Roman" w:hAnsiTheme="majorHAnsi" w:cs="Calibri"/>
          <w:sz w:val="20"/>
          <w:szCs w:val="20"/>
        </w:rPr>
        <w:t xml:space="preserve">Project Management System </w:t>
      </w:r>
      <w:r w:rsidR="00014AF9">
        <w:rPr>
          <w:rFonts w:asciiTheme="majorHAnsi" w:eastAsia="Times New Roman" w:hAnsiTheme="majorHAnsi" w:cs="Calibri"/>
          <w:sz w:val="20"/>
          <w:szCs w:val="20"/>
        </w:rPr>
        <w:t xml:space="preserve">(PMS) </w:t>
      </w:r>
      <w:r w:rsidR="00F44850">
        <w:rPr>
          <w:rFonts w:asciiTheme="majorHAnsi" w:eastAsia="Times New Roman" w:hAnsiTheme="majorHAnsi" w:cs="Calibri"/>
          <w:sz w:val="20"/>
          <w:szCs w:val="20"/>
        </w:rPr>
        <w:t>based on the observations of the Planning and Evaluation Department.</w:t>
      </w:r>
      <w:r w:rsidR="00A00F7B" w:rsidRPr="001D375E">
        <w:rPr>
          <w:rFonts w:asciiTheme="majorHAnsi" w:eastAsia="Times New Roman" w:hAnsiTheme="majorHAnsi" w:cs="Calibri"/>
          <w:sz w:val="20"/>
          <w:szCs w:val="20"/>
        </w:rPr>
        <w:t xml:space="preserve"> </w:t>
      </w:r>
      <w:r w:rsidR="00BA732F">
        <w:rPr>
          <w:rFonts w:asciiTheme="majorHAnsi" w:eastAsia="Times New Roman" w:hAnsiTheme="majorHAnsi" w:cs="Calibri"/>
          <w:sz w:val="20"/>
          <w:szCs w:val="20"/>
        </w:rPr>
        <w:t xml:space="preserve"> </w:t>
      </w:r>
      <w:r w:rsidR="00F44850">
        <w:rPr>
          <w:rFonts w:asciiTheme="majorHAnsi" w:eastAsia="Times New Roman" w:hAnsiTheme="majorHAnsi" w:cs="Calibri"/>
          <w:sz w:val="20"/>
          <w:szCs w:val="20"/>
        </w:rPr>
        <w:t>It has also continued to comply with the observations of the OAS Spanish Fund</w:t>
      </w:r>
      <w:r w:rsidR="00A00F7B" w:rsidRPr="001D375E">
        <w:rPr>
          <w:rFonts w:asciiTheme="majorHAnsi" w:eastAsia="Times New Roman" w:hAnsiTheme="majorHAnsi" w:cs="Calibri"/>
          <w:sz w:val="20"/>
          <w:szCs w:val="20"/>
        </w:rPr>
        <w:t xml:space="preserve">.  </w:t>
      </w:r>
      <w:r w:rsidR="0079281D">
        <w:rPr>
          <w:rFonts w:asciiTheme="majorHAnsi" w:eastAsia="Times New Roman" w:hAnsiTheme="majorHAnsi" w:cs="Calibri"/>
          <w:sz w:val="20"/>
          <w:szCs w:val="20"/>
        </w:rPr>
        <w:t>In addition, it rev</w:t>
      </w:r>
      <w:r w:rsidR="00F44850">
        <w:rPr>
          <w:rFonts w:asciiTheme="majorHAnsi" w:eastAsia="Times New Roman" w:hAnsiTheme="majorHAnsi" w:cs="Calibri"/>
          <w:sz w:val="20"/>
          <w:szCs w:val="20"/>
        </w:rPr>
        <w:t xml:space="preserve">iewed </w:t>
      </w:r>
      <w:r w:rsidR="0079281D">
        <w:rPr>
          <w:rFonts w:asciiTheme="majorHAnsi" w:eastAsia="Times New Roman" w:hAnsiTheme="majorHAnsi" w:cs="Calibri"/>
          <w:sz w:val="20"/>
          <w:szCs w:val="20"/>
        </w:rPr>
        <w:t>a</w:t>
      </w:r>
      <w:r w:rsidR="00F44850">
        <w:rPr>
          <w:rFonts w:asciiTheme="majorHAnsi" w:eastAsia="Times New Roman" w:hAnsiTheme="majorHAnsi" w:cs="Calibri"/>
          <w:sz w:val="20"/>
          <w:szCs w:val="20"/>
        </w:rPr>
        <w:t xml:space="preserve"> draft of the agreement on the Strengthening of Human Rights and Legislative Bodies, a concept note about young p</w:t>
      </w:r>
      <w:r w:rsidR="00EA6484">
        <w:rPr>
          <w:rFonts w:asciiTheme="majorHAnsi" w:eastAsia="Times New Roman" w:hAnsiTheme="majorHAnsi" w:cs="Calibri"/>
          <w:sz w:val="20"/>
          <w:szCs w:val="20"/>
        </w:rPr>
        <w:t>eople in the criminal jus</w:t>
      </w:r>
      <w:r w:rsidR="00F44850">
        <w:rPr>
          <w:rFonts w:asciiTheme="majorHAnsi" w:eastAsia="Times New Roman" w:hAnsiTheme="majorHAnsi" w:cs="Calibri"/>
          <w:sz w:val="20"/>
          <w:szCs w:val="20"/>
        </w:rPr>
        <w:t>tice system</w:t>
      </w:r>
      <w:r w:rsidR="0079281D">
        <w:rPr>
          <w:rFonts w:asciiTheme="majorHAnsi" w:eastAsia="Times New Roman" w:hAnsiTheme="majorHAnsi" w:cs="Calibri"/>
          <w:sz w:val="20"/>
          <w:szCs w:val="20"/>
        </w:rPr>
        <w:t>,</w:t>
      </w:r>
      <w:r w:rsidR="00F44850">
        <w:rPr>
          <w:rFonts w:asciiTheme="majorHAnsi" w:eastAsia="Times New Roman" w:hAnsiTheme="majorHAnsi" w:cs="Calibri"/>
          <w:sz w:val="20"/>
          <w:szCs w:val="20"/>
        </w:rPr>
        <w:t xml:space="preserve"> and a concept note for the</w:t>
      </w:r>
      <w:r w:rsidR="00A00F7B" w:rsidRPr="001D375E">
        <w:rPr>
          <w:rFonts w:asciiTheme="majorHAnsi" w:eastAsia="Times New Roman" w:hAnsiTheme="majorHAnsi" w:cs="Calibri"/>
          <w:sz w:val="20"/>
          <w:szCs w:val="20"/>
        </w:rPr>
        <w:t xml:space="preserve"> MacArthur</w:t>
      </w:r>
      <w:r w:rsidR="00F44850">
        <w:rPr>
          <w:rFonts w:asciiTheme="majorHAnsi" w:eastAsia="Times New Roman" w:hAnsiTheme="majorHAnsi" w:cs="Calibri"/>
          <w:sz w:val="20"/>
          <w:szCs w:val="20"/>
        </w:rPr>
        <w:t xml:space="preserve"> Foundation</w:t>
      </w:r>
      <w:r w:rsidR="00A00F7B" w:rsidRPr="001D375E">
        <w:rPr>
          <w:rFonts w:asciiTheme="majorHAnsi" w:eastAsia="Times New Roman" w:hAnsiTheme="majorHAnsi" w:cs="Calibri"/>
          <w:sz w:val="20"/>
          <w:szCs w:val="20"/>
        </w:rPr>
        <w:t>.</w:t>
      </w:r>
    </w:p>
    <w:p w:rsidR="00A00F7B" w:rsidRPr="001D375E" w:rsidRDefault="00A00F7B">
      <w:pPr>
        <w:spacing w:after="0" w:line="240" w:lineRule="auto"/>
        <w:ind w:left="1080"/>
        <w:jc w:val="both"/>
        <w:rPr>
          <w:rFonts w:asciiTheme="majorHAnsi" w:eastAsia="MS Mincho" w:hAnsiTheme="majorHAnsi"/>
          <w:sz w:val="20"/>
          <w:szCs w:val="20"/>
        </w:rPr>
      </w:pPr>
    </w:p>
    <w:p w:rsidR="00A00F7B" w:rsidRPr="00746C83" w:rsidRDefault="00914F78">
      <w:pPr>
        <w:pStyle w:val="Heading3"/>
      </w:pPr>
      <w:r w:rsidRPr="00746C83">
        <w:t>Preparation of Project Proposals</w:t>
      </w:r>
    </w:p>
    <w:p w:rsidR="00A00F7B" w:rsidRPr="001D375E" w:rsidRDefault="00A00F7B">
      <w:pPr>
        <w:spacing w:after="0" w:line="240" w:lineRule="auto"/>
        <w:ind w:left="1080"/>
        <w:jc w:val="both"/>
        <w:rPr>
          <w:rFonts w:asciiTheme="majorHAnsi" w:eastAsia="MS Mincho" w:hAnsiTheme="majorHAnsi"/>
          <w:b/>
          <w:sz w:val="20"/>
          <w:szCs w:val="20"/>
        </w:rPr>
      </w:pPr>
    </w:p>
    <w:p w:rsidR="00A00F7B" w:rsidRPr="001D375E" w:rsidRDefault="00014AF9" w:rsidP="00F5716D">
      <w:pPr>
        <w:numPr>
          <w:ilvl w:val="0"/>
          <w:numId w:val="9"/>
        </w:numPr>
        <w:spacing w:after="0" w:line="240" w:lineRule="auto"/>
        <w:ind w:left="0" w:firstLine="720"/>
        <w:contextualSpacing/>
        <w:jc w:val="both"/>
        <w:rPr>
          <w:rFonts w:asciiTheme="majorHAnsi" w:eastAsia="Times New Roman" w:hAnsiTheme="majorHAnsi" w:cs="Calibri"/>
          <w:sz w:val="20"/>
          <w:szCs w:val="20"/>
        </w:rPr>
      </w:pPr>
      <w:r>
        <w:rPr>
          <w:rFonts w:asciiTheme="majorHAnsi" w:eastAsia="Times New Roman" w:hAnsiTheme="majorHAnsi" w:cs="Calibri"/>
          <w:sz w:val="20"/>
          <w:szCs w:val="20"/>
        </w:rPr>
        <w:t>During</w:t>
      </w:r>
      <w:r w:rsidR="00A00F7B" w:rsidRPr="001D375E">
        <w:rPr>
          <w:rFonts w:asciiTheme="majorHAnsi" w:eastAsia="Times New Roman" w:hAnsiTheme="majorHAnsi" w:cs="Calibri"/>
          <w:sz w:val="20"/>
          <w:szCs w:val="20"/>
        </w:rPr>
        <w:t xml:space="preserve"> 2015</w:t>
      </w:r>
      <w:r w:rsidR="0088546F" w:rsidRPr="001D375E">
        <w:rPr>
          <w:rFonts w:asciiTheme="majorHAnsi" w:eastAsia="Times New Roman" w:hAnsiTheme="majorHAnsi" w:cs="Calibri"/>
          <w:sz w:val="20"/>
          <w:szCs w:val="20"/>
        </w:rPr>
        <w:t xml:space="preserve">, </w:t>
      </w:r>
      <w:r>
        <w:rPr>
          <w:rFonts w:asciiTheme="majorHAnsi" w:eastAsia="Times New Roman" w:hAnsiTheme="majorHAnsi" w:cs="Calibri"/>
          <w:sz w:val="20"/>
          <w:szCs w:val="20"/>
        </w:rPr>
        <w:t>twelve project proposals were drafted or coordinated by the</w:t>
      </w:r>
      <w:r w:rsidR="0088546F" w:rsidRPr="001D375E">
        <w:rPr>
          <w:rFonts w:asciiTheme="majorHAnsi" w:eastAsia="Times New Roman" w:hAnsiTheme="majorHAnsi" w:cs="Calibri"/>
          <w:sz w:val="20"/>
          <w:szCs w:val="20"/>
        </w:rPr>
        <w:t xml:space="preserve"> </w:t>
      </w:r>
      <w:r w:rsidR="00A00F7B" w:rsidRPr="001D375E">
        <w:rPr>
          <w:rFonts w:asciiTheme="majorHAnsi" w:eastAsia="Times New Roman" w:hAnsiTheme="majorHAnsi" w:cs="Calibri"/>
          <w:sz w:val="20"/>
          <w:szCs w:val="20"/>
        </w:rPr>
        <w:t xml:space="preserve">SMRAP, </w:t>
      </w:r>
      <w:r w:rsidR="00837AA0">
        <w:rPr>
          <w:rFonts w:asciiTheme="majorHAnsi" w:eastAsia="Times New Roman" w:hAnsiTheme="majorHAnsi" w:cs="Calibri"/>
          <w:sz w:val="20"/>
          <w:szCs w:val="20"/>
        </w:rPr>
        <w:t>detailed below</w:t>
      </w:r>
      <w:r w:rsidR="00734812" w:rsidRPr="001D375E">
        <w:rPr>
          <w:rFonts w:asciiTheme="majorHAnsi" w:eastAsia="Times New Roman" w:hAnsiTheme="majorHAnsi" w:cs="Calibri"/>
          <w:sz w:val="20"/>
          <w:szCs w:val="20"/>
        </w:rPr>
        <w:t xml:space="preserve">, </w:t>
      </w:r>
      <w:r w:rsidR="00837AA0">
        <w:rPr>
          <w:rFonts w:asciiTheme="majorHAnsi" w:eastAsia="Times New Roman" w:hAnsiTheme="majorHAnsi" w:cs="Calibri"/>
          <w:sz w:val="20"/>
          <w:szCs w:val="20"/>
        </w:rPr>
        <w:t>with the</w:t>
      </w:r>
      <w:r w:rsidR="00734812" w:rsidRPr="001D375E">
        <w:rPr>
          <w:rFonts w:asciiTheme="majorHAnsi" w:eastAsia="Times New Roman" w:hAnsiTheme="majorHAnsi" w:cs="Calibri"/>
          <w:sz w:val="20"/>
          <w:szCs w:val="20"/>
        </w:rPr>
        <w:t xml:space="preserve"> </w:t>
      </w:r>
      <w:r w:rsidR="006C2190" w:rsidRPr="001D375E">
        <w:rPr>
          <w:rFonts w:asciiTheme="majorHAnsi" w:eastAsia="Times New Roman" w:hAnsiTheme="majorHAnsi" w:cs="Calibri"/>
          <w:sz w:val="20"/>
          <w:szCs w:val="20"/>
        </w:rPr>
        <w:t>o</w:t>
      </w:r>
      <w:r w:rsidR="006C2190">
        <w:rPr>
          <w:rFonts w:asciiTheme="majorHAnsi" w:eastAsia="Times New Roman" w:hAnsiTheme="majorHAnsi" w:cs="Calibri"/>
          <w:sz w:val="20"/>
          <w:szCs w:val="20"/>
        </w:rPr>
        <w:t>bjective</w:t>
      </w:r>
      <w:r w:rsidR="00837AA0">
        <w:rPr>
          <w:rFonts w:asciiTheme="majorHAnsi" w:eastAsia="Times New Roman" w:hAnsiTheme="majorHAnsi" w:cs="Calibri"/>
          <w:sz w:val="20"/>
          <w:szCs w:val="20"/>
        </w:rPr>
        <w:t xml:space="preserve"> of raising funds </w:t>
      </w:r>
      <w:r w:rsidR="00025B4A">
        <w:rPr>
          <w:rFonts w:asciiTheme="majorHAnsi" w:eastAsia="Times New Roman" w:hAnsiTheme="majorHAnsi" w:cs="Calibri"/>
          <w:sz w:val="20"/>
          <w:szCs w:val="20"/>
        </w:rPr>
        <w:t>in support of</w:t>
      </w:r>
      <w:r w:rsidR="00734812" w:rsidRPr="001D375E">
        <w:rPr>
          <w:rFonts w:asciiTheme="majorHAnsi" w:eastAsia="Times New Roman" w:hAnsiTheme="majorHAnsi" w:cs="Calibri"/>
          <w:sz w:val="20"/>
          <w:szCs w:val="20"/>
        </w:rPr>
        <w:t xml:space="preserve"> </w:t>
      </w:r>
      <w:r w:rsidR="00837AA0">
        <w:rPr>
          <w:rFonts w:asciiTheme="majorHAnsi" w:eastAsia="Times New Roman" w:hAnsiTheme="majorHAnsi" w:cs="Calibri"/>
          <w:sz w:val="20"/>
          <w:szCs w:val="20"/>
        </w:rPr>
        <w:t xml:space="preserve">the activities of the Rapporteurships and ES/IACHR areas: </w:t>
      </w:r>
      <w:r w:rsidR="00734812" w:rsidRPr="001D375E">
        <w:rPr>
          <w:rFonts w:asciiTheme="majorHAnsi" w:eastAsia="Times New Roman" w:hAnsiTheme="majorHAnsi" w:cs="Calibri"/>
          <w:sz w:val="20"/>
          <w:szCs w:val="20"/>
        </w:rPr>
        <w:t xml:space="preserve"> </w:t>
      </w:r>
    </w:p>
    <w:p w:rsidR="00A00F7B" w:rsidRPr="001D375E" w:rsidRDefault="00A00F7B">
      <w:pPr>
        <w:spacing w:after="0" w:line="240" w:lineRule="auto"/>
        <w:ind w:left="720"/>
        <w:contextualSpacing/>
        <w:jc w:val="both"/>
        <w:rPr>
          <w:rFonts w:asciiTheme="majorHAnsi" w:eastAsia="Times New Roman" w:hAnsiTheme="majorHAnsi" w:cs="Calibri"/>
          <w:sz w:val="20"/>
          <w:szCs w:val="20"/>
        </w:rPr>
      </w:pPr>
    </w:p>
    <w:p w:rsidR="00A00F7B" w:rsidRPr="001D375E" w:rsidRDefault="00025B4A">
      <w:pPr>
        <w:numPr>
          <w:ilvl w:val="0"/>
          <w:numId w:val="13"/>
        </w:numPr>
        <w:spacing w:after="0" w:line="240" w:lineRule="auto"/>
        <w:ind w:hanging="720"/>
        <w:jc w:val="both"/>
        <w:rPr>
          <w:rFonts w:asciiTheme="majorHAnsi" w:hAnsiTheme="majorHAnsi"/>
          <w:sz w:val="20"/>
          <w:szCs w:val="20"/>
        </w:rPr>
      </w:pPr>
      <w:r>
        <w:rPr>
          <w:rFonts w:asciiTheme="majorHAnsi" w:hAnsiTheme="majorHAnsi"/>
          <w:sz w:val="20"/>
          <w:szCs w:val="20"/>
        </w:rPr>
        <w:t>Preparation of the project indicators and documents</w:t>
      </w:r>
      <w:r w:rsidR="00A00F7B" w:rsidRPr="001D375E">
        <w:rPr>
          <w:rFonts w:asciiTheme="majorHAnsi" w:hAnsiTheme="majorHAnsi"/>
          <w:sz w:val="20"/>
          <w:szCs w:val="20"/>
        </w:rPr>
        <w:t xml:space="preserve"> </w:t>
      </w:r>
      <w:r>
        <w:rPr>
          <w:rFonts w:asciiTheme="majorHAnsi" w:hAnsiTheme="majorHAnsi"/>
          <w:sz w:val="20"/>
          <w:szCs w:val="20"/>
        </w:rPr>
        <w:t>to assist the</w:t>
      </w:r>
      <w:r w:rsidR="00A00F7B" w:rsidRPr="001D375E">
        <w:rPr>
          <w:rFonts w:asciiTheme="majorHAnsi" w:hAnsiTheme="majorHAnsi"/>
          <w:sz w:val="20"/>
          <w:szCs w:val="20"/>
        </w:rPr>
        <w:t xml:space="preserve"> </w:t>
      </w:r>
      <w:r w:rsidRPr="00025B4A">
        <w:rPr>
          <w:rFonts w:asciiTheme="majorHAnsi" w:hAnsiTheme="majorHAnsi"/>
          <w:iCs/>
          <w:sz w:val="20"/>
          <w:szCs w:val="20"/>
        </w:rPr>
        <w:t>Rapporteurship</w:t>
      </w:r>
      <w:r w:rsidRPr="00025B4A">
        <w:rPr>
          <w:rFonts w:asciiTheme="majorHAnsi" w:hAnsiTheme="majorHAnsi"/>
          <w:sz w:val="20"/>
          <w:szCs w:val="20"/>
        </w:rPr>
        <w:t xml:space="preserve"> on the Rights of LGBTI Persons</w:t>
      </w:r>
      <w:r w:rsidR="00A00F7B" w:rsidRPr="001D375E">
        <w:rPr>
          <w:rFonts w:asciiTheme="majorHAnsi" w:hAnsiTheme="majorHAnsi"/>
          <w:sz w:val="20"/>
          <w:szCs w:val="20"/>
        </w:rPr>
        <w:t xml:space="preserve">, </w:t>
      </w:r>
      <w:r>
        <w:rPr>
          <w:rFonts w:asciiTheme="majorHAnsi" w:hAnsiTheme="majorHAnsi"/>
          <w:sz w:val="20"/>
          <w:szCs w:val="20"/>
        </w:rPr>
        <w:t>as well as the negotiation and signing of agreements.</w:t>
      </w:r>
      <w:r w:rsidR="00BA732F">
        <w:rPr>
          <w:rFonts w:asciiTheme="majorHAnsi" w:hAnsiTheme="majorHAnsi"/>
          <w:sz w:val="20"/>
          <w:szCs w:val="20"/>
        </w:rPr>
        <w:t xml:space="preserve"> </w:t>
      </w:r>
      <w:r w:rsidR="00A00F7B" w:rsidRPr="001D375E">
        <w:rPr>
          <w:rFonts w:asciiTheme="majorHAnsi" w:hAnsiTheme="majorHAnsi"/>
          <w:sz w:val="20"/>
          <w:szCs w:val="20"/>
        </w:rPr>
        <w:t xml:space="preserve"> </w:t>
      </w:r>
      <w:r>
        <w:rPr>
          <w:rFonts w:asciiTheme="majorHAnsi" w:hAnsiTheme="majorHAnsi"/>
          <w:sz w:val="20"/>
          <w:szCs w:val="20"/>
        </w:rPr>
        <w:t>The cost is</w:t>
      </w:r>
      <w:r w:rsidR="00A00F7B" w:rsidRPr="001D375E">
        <w:rPr>
          <w:rFonts w:asciiTheme="majorHAnsi" w:hAnsiTheme="majorHAnsi"/>
          <w:sz w:val="20"/>
          <w:szCs w:val="20"/>
        </w:rPr>
        <w:t xml:space="preserve"> $100,000 </w:t>
      </w:r>
      <w:r>
        <w:rPr>
          <w:rFonts w:asciiTheme="majorHAnsi" w:hAnsiTheme="majorHAnsi"/>
          <w:sz w:val="20"/>
          <w:szCs w:val="20"/>
        </w:rPr>
        <w:t>for a two-year period</w:t>
      </w:r>
      <w:r w:rsidR="00A00F7B" w:rsidRPr="001D375E">
        <w:rPr>
          <w:rFonts w:asciiTheme="majorHAnsi" w:hAnsiTheme="majorHAnsi"/>
          <w:sz w:val="20"/>
          <w:szCs w:val="20"/>
        </w:rPr>
        <w:t>.</w:t>
      </w:r>
    </w:p>
    <w:p w:rsidR="00A00F7B" w:rsidRPr="001D375E" w:rsidRDefault="00014AF9">
      <w:pPr>
        <w:numPr>
          <w:ilvl w:val="0"/>
          <w:numId w:val="13"/>
        </w:numPr>
        <w:spacing w:after="0" w:line="240" w:lineRule="auto"/>
        <w:ind w:hanging="720"/>
        <w:jc w:val="both"/>
        <w:rPr>
          <w:rFonts w:asciiTheme="majorHAnsi" w:hAnsiTheme="majorHAnsi"/>
          <w:sz w:val="20"/>
          <w:szCs w:val="20"/>
        </w:rPr>
      </w:pPr>
      <w:r>
        <w:rPr>
          <w:rFonts w:asciiTheme="majorHAnsi" w:hAnsiTheme="majorHAnsi"/>
          <w:sz w:val="20"/>
          <w:szCs w:val="20"/>
        </w:rPr>
        <w:t>Proposal to the</w:t>
      </w:r>
      <w:r w:rsidR="00A00F7B" w:rsidRPr="001D375E">
        <w:rPr>
          <w:rFonts w:asciiTheme="majorHAnsi" w:hAnsiTheme="majorHAnsi"/>
          <w:sz w:val="20"/>
          <w:szCs w:val="20"/>
        </w:rPr>
        <w:t xml:space="preserve"> </w:t>
      </w:r>
      <w:r w:rsidR="00A00F7B" w:rsidRPr="00014AF9">
        <w:rPr>
          <w:rFonts w:asciiTheme="majorHAnsi" w:hAnsiTheme="majorHAnsi"/>
          <w:sz w:val="20"/>
          <w:szCs w:val="20"/>
        </w:rPr>
        <w:t>Open Society Foundation</w:t>
      </w:r>
      <w:r w:rsidR="00A00F7B" w:rsidRPr="001D375E">
        <w:rPr>
          <w:rFonts w:asciiTheme="majorHAnsi" w:hAnsiTheme="majorHAnsi"/>
          <w:sz w:val="20"/>
          <w:szCs w:val="20"/>
        </w:rPr>
        <w:t xml:space="preserve"> </w:t>
      </w:r>
      <w:r>
        <w:rPr>
          <w:rFonts w:asciiTheme="majorHAnsi" w:hAnsiTheme="majorHAnsi"/>
          <w:sz w:val="20"/>
          <w:szCs w:val="20"/>
        </w:rPr>
        <w:t>through the</w:t>
      </w:r>
      <w:r w:rsidR="00A00F7B" w:rsidRPr="001D375E">
        <w:rPr>
          <w:rFonts w:asciiTheme="majorHAnsi" w:hAnsiTheme="majorHAnsi"/>
          <w:sz w:val="20"/>
          <w:szCs w:val="20"/>
        </w:rPr>
        <w:t xml:space="preserve"> </w:t>
      </w:r>
      <w:r w:rsidR="00A00F7B" w:rsidRPr="00014AF9">
        <w:rPr>
          <w:rFonts w:asciiTheme="majorHAnsi" w:hAnsiTheme="majorHAnsi"/>
          <w:sz w:val="20"/>
          <w:szCs w:val="20"/>
        </w:rPr>
        <w:t>Trust for the Americas</w:t>
      </w:r>
      <w:r w:rsidR="00A00F7B" w:rsidRPr="001D375E">
        <w:rPr>
          <w:rFonts w:asciiTheme="majorHAnsi" w:hAnsiTheme="majorHAnsi"/>
          <w:sz w:val="20"/>
          <w:szCs w:val="20"/>
        </w:rPr>
        <w:t xml:space="preserve"> </w:t>
      </w:r>
      <w:r w:rsidR="00025B4A">
        <w:rPr>
          <w:rFonts w:asciiTheme="majorHAnsi" w:hAnsiTheme="majorHAnsi"/>
          <w:sz w:val="20"/>
          <w:szCs w:val="20"/>
        </w:rPr>
        <w:t>to assist the</w:t>
      </w:r>
      <w:r w:rsidR="00A00F7B" w:rsidRPr="001D375E">
        <w:rPr>
          <w:rFonts w:asciiTheme="majorHAnsi" w:hAnsiTheme="majorHAnsi"/>
          <w:sz w:val="20"/>
          <w:szCs w:val="20"/>
        </w:rPr>
        <w:t xml:space="preserve"> </w:t>
      </w:r>
      <w:r w:rsidR="00025B4A" w:rsidRPr="00025B4A">
        <w:rPr>
          <w:rFonts w:asciiTheme="majorHAnsi" w:hAnsiTheme="majorHAnsi"/>
          <w:sz w:val="20"/>
          <w:szCs w:val="20"/>
        </w:rPr>
        <w:t>Rapporteurship on Human Rights Defenders</w:t>
      </w:r>
      <w:r w:rsidR="00A00F7B" w:rsidRPr="001D375E">
        <w:rPr>
          <w:rFonts w:asciiTheme="majorHAnsi" w:hAnsiTheme="majorHAnsi"/>
          <w:sz w:val="20"/>
          <w:szCs w:val="20"/>
        </w:rPr>
        <w:t xml:space="preserve">, </w:t>
      </w:r>
      <w:r>
        <w:rPr>
          <w:rFonts w:asciiTheme="majorHAnsi" w:hAnsiTheme="majorHAnsi"/>
          <w:sz w:val="20"/>
          <w:szCs w:val="20"/>
        </w:rPr>
        <w:t>with a cost of</w:t>
      </w:r>
      <w:r w:rsidR="00A00F7B" w:rsidRPr="001D375E">
        <w:rPr>
          <w:rFonts w:asciiTheme="majorHAnsi" w:hAnsiTheme="majorHAnsi"/>
          <w:sz w:val="20"/>
          <w:szCs w:val="20"/>
        </w:rPr>
        <w:t xml:space="preserve"> $150,000. </w:t>
      </w:r>
    </w:p>
    <w:p w:rsidR="00A00F7B" w:rsidRPr="001D375E" w:rsidRDefault="00025B4A">
      <w:pPr>
        <w:numPr>
          <w:ilvl w:val="0"/>
          <w:numId w:val="13"/>
        </w:numPr>
        <w:spacing w:after="0" w:line="240" w:lineRule="auto"/>
        <w:ind w:hanging="720"/>
        <w:jc w:val="both"/>
        <w:rPr>
          <w:rFonts w:asciiTheme="majorHAnsi" w:hAnsiTheme="majorHAnsi"/>
          <w:sz w:val="20"/>
          <w:szCs w:val="20"/>
        </w:rPr>
      </w:pPr>
      <w:r>
        <w:rPr>
          <w:rFonts w:asciiTheme="majorHAnsi" w:hAnsiTheme="majorHAnsi"/>
          <w:sz w:val="20"/>
          <w:szCs w:val="20"/>
        </w:rPr>
        <w:t xml:space="preserve">Drafting of a project proposal for Finland with an emphasis on human rights defenders and journalists, for a three-year period </w:t>
      </w:r>
      <w:r w:rsidR="00014AF9">
        <w:rPr>
          <w:rFonts w:asciiTheme="majorHAnsi" w:hAnsiTheme="majorHAnsi"/>
          <w:sz w:val="20"/>
          <w:szCs w:val="20"/>
        </w:rPr>
        <w:t>(E</w:t>
      </w:r>
      <w:r>
        <w:rPr>
          <w:rFonts w:asciiTheme="majorHAnsi" w:hAnsiTheme="majorHAnsi"/>
          <w:sz w:val="20"/>
          <w:szCs w:val="20"/>
        </w:rPr>
        <w:t>uros</w:t>
      </w:r>
      <w:r w:rsidR="00A00F7B" w:rsidRPr="001D375E">
        <w:rPr>
          <w:rFonts w:asciiTheme="majorHAnsi" w:hAnsiTheme="majorHAnsi"/>
          <w:sz w:val="20"/>
          <w:szCs w:val="20"/>
        </w:rPr>
        <w:t xml:space="preserve"> </w:t>
      </w:r>
      <w:r w:rsidR="00014AF9">
        <w:rPr>
          <w:rFonts w:asciiTheme="majorHAnsi" w:hAnsiTheme="majorHAnsi"/>
          <w:sz w:val="20"/>
          <w:szCs w:val="20"/>
        </w:rPr>
        <w:t>€</w:t>
      </w:r>
      <w:r w:rsidR="00A00F7B" w:rsidRPr="001D375E">
        <w:rPr>
          <w:rFonts w:asciiTheme="majorHAnsi" w:hAnsiTheme="majorHAnsi"/>
          <w:sz w:val="20"/>
          <w:szCs w:val="20"/>
        </w:rPr>
        <w:t xml:space="preserve">600,000). </w:t>
      </w:r>
      <w:r w:rsidR="00BA732F">
        <w:rPr>
          <w:rFonts w:asciiTheme="majorHAnsi" w:hAnsiTheme="majorHAnsi"/>
          <w:sz w:val="20"/>
          <w:szCs w:val="20"/>
        </w:rPr>
        <w:t xml:space="preserve"> </w:t>
      </w:r>
      <w:r>
        <w:rPr>
          <w:rFonts w:asciiTheme="majorHAnsi" w:hAnsiTheme="majorHAnsi"/>
          <w:sz w:val="20"/>
          <w:szCs w:val="20"/>
        </w:rPr>
        <w:t>The donor has not reported on the status of the proposal.</w:t>
      </w:r>
      <w:r w:rsidR="00A00F7B" w:rsidRPr="001D375E">
        <w:rPr>
          <w:rFonts w:asciiTheme="majorHAnsi" w:hAnsiTheme="majorHAnsi"/>
          <w:sz w:val="20"/>
          <w:szCs w:val="20"/>
        </w:rPr>
        <w:t xml:space="preserve"> </w:t>
      </w:r>
    </w:p>
    <w:p w:rsidR="00A00F7B" w:rsidRPr="001D375E" w:rsidRDefault="00AF411E">
      <w:pPr>
        <w:numPr>
          <w:ilvl w:val="0"/>
          <w:numId w:val="13"/>
        </w:numPr>
        <w:spacing w:after="0" w:line="240" w:lineRule="auto"/>
        <w:ind w:hanging="720"/>
        <w:jc w:val="both"/>
        <w:rPr>
          <w:rFonts w:asciiTheme="majorHAnsi" w:hAnsiTheme="majorHAnsi"/>
          <w:sz w:val="20"/>
          <w:szCs w:val="20"/>
        </w:rPr>
      </w:pPr>
      <w:r>
        <w:rPr>
          <w:rFonts w:asciiTheme="majorHAnsi" w:hAnsiTheme="majorHAnsi"/>
          <w:sz w:val="20"/>
          <w:szCs w:val="20"/>
        </w:rPr>
        <w:t>Technical support for the preparation of a reflection document on racial discrimination in the United States and its presentation to various potential donors.</w:t>
      </w:r>
      <w:r w:rsidR="00A00F7B" w:rsidRPr="001D375E">
        <w:rPr>
          <w:rFonts w:asciiTheme="majorHAnsi" w:hAnsiTheme="majorHAnsi"/>
          <w:sz w:val="20"/>
          <w:szCs w:val="20"/>
        </w:rPr>
        <w:t xml:space="preserve"> </w:t>
      </w:r>
    </w:p>
    <w:p w:rsidR="00A00F7B" w:rsidRPr="001D375E" w:rsidRDefault="001B193D">
      <w:pPr>
        <w:numPr>
          <w:ilvl w:val="0"/>
          <w:numId w:val="13"/>
        </w:numPr>
        <w:spacing w:after="0" w:line="240" w:lineRule="auto"/>
        <w:ind w:hanging="720"/>
        <w:jc w:val="both"/>
        <w:rPr>
          <w:rFonts w:asciiTheme="majorHAnsi" w:hAnsiTheme="majorHAnsi"/>
          <w:b/>
          <w:sz w:val="20"/>
          <w:szCs w:val="20"/>
        </w:rPr>
      </w:pPr>
      <w:r>
        <w:rPr>
          <w:rFonts w:asciiTheme="majorHAnsi" w:hAnsiTheme="majorHAnsi"/>
          <w:sz w:val="20"/>
          <w:szCs w:val="20"/>
        </w:rPr>
        <w:t>Coordination and preparation of a proposal for the</w:t>
      </w:r>
      <w:r w:rsidR="00A00F7B" w:rsidRPr="001D375E">
        <w:rPr>
          <w:rFonts w:asciiTheme="majorHAnsi" w:hAnsiTheme="majorHAnsi"/>
          <w:sz w:val="20"/>
          <w:szCs w:val="20"/>
        </w:rPr>
        <w:t xml:space="preserve"> </w:t>
      </w:r>
      <w:r w:rsidRPr="001B193D">
        <w:rPr>
          <w:rFonts w:asciiTheme="majorHAnsi" w:hAnsiTheme="majorHAnsi"/>
          <w:iCs/>
          <w:sz w:val="20"/>
          <w:szCs w:val="20"/>
        </w:rPr>
        <w:t>Swedish International Development</w:t>
      </w:r>
      <w:r w:rsidRPr="001B193D">
        <w:rPr>
          <w:rFonts w:asciiTheme="majorHAnsi" w:hAnsiTheme="majorHAnsi"/>
          <w:sz w:val="20"/>
          <w:szCs w:val="20"/>
        </w:rPr>
        <w:t xml:space="preserve"> Cooperation </w:t>
      </w:r>
      <w:r w:rsidRPr="001B193D">
        <w:rPr>
          <w:rFonts w:asciiTheme="majorHAnsi" w:hAnsiTheme="majorHAnsi"/>
          <w:iCs/>
          <w:sz w:val="20"/>
          <w:szCs w:val="20"/>
        </w:rPr>
        <w:t>Agency</w:t>
      </w:r>
      <w:r w:rsidRPr="001B193D">
        <w:rPr>
          <w:rFonts w:asciiTheme="majorHAnsi" w:hAnsiTheme="majorHAnsi"/>
          <w:sz w:val="20"/>
          <w:szCs w:val="20"/>
        </w:rPr>
        <w:t xml:space="preserve"> (</w:t>
      </w:r>
      <w:r w:rsidRPr="001B193D">
        <w:rPr>
          <w:rFonts w:asciiTheme="majorHAnsi" w:hAnsiTheme="majorHAnsi"/>
          <w:iCs/>
          <w:sz w:val="20"/>
          <w:szCs w:val="20"/>
        </w:rPr>
        <w:t>ASDI</w:t>
      </w:r>
      <w:r w:rsidRPr="001B193D">
        <w:rPr>
          <w:rFonts w:asciiTheme="majorHAnsi" w:hAnsiTheme="majorHAnsi"/>
          <w:sz w:val="20"/>
          <w:szCs w:val="20"/>
        </w:rPr>
        <w:t>/SIDA)</w:t>
      </w:r>
      <w:r w:rsidR="00A00F7B" w:rsidRPr="001B193D">
        <w:rPr>
          <w:rFonts w:asciiTheme="majorHAnsi" w:hAnsiTheme="majorHAnsi"/>
          <w:sz w:val="20"/>
          <w:szCs w:val="20"/>
        </w:rPr>
        <w:t xml:space="preserve">, </w:t>
      </w:r>
      <w:r>
        <w:rPr>
          <w:rFonts w:asciiTheme="majorHAnsi" w:hAnsiTheme="majorHAnsi"/>
          <w:sz w:val="20"/>
          <w:szCs w:val="20"/>
        </w:rPr>
        <w:t xml:space="preserve">focusing on women </w:t>
      </w:r>
      <w:r w:rsidR="00BA732F">
        <w:rPr>
          <w:rFonts w:asciiTheme="majorHAnsi" w:hAnsiTheme="majorHAnsi"/>
          <w:sz w:val="20"/>
          <w:szCs w:val="20"/>
        </w:rPr>
        <w:t xml:space="preserve">who are </w:t>
      </w:r>
      <w:r>
        <w:rPr>
          <w:rFonts w:asciiTheme="majorHAnsi" w:hAnsiTheme="majorHAnsi"/>
          <w:sz w:val="20"/>
          <w:szCs w:val="20"/>
        </w:rPr>
        <w:t>human rights defenders,</w:t>
      </w:r>
      <w:r w:rsidR="00A00F7B" w:rsidRPr="001D375E">
        <w:rPr>
          <w:rFonts w:asciiTheme="majorHAnsi" w:hAnsiTheme="majorHAnsi"/>
          <w:sz w:val="20"/>
          <w:szCs w:val="20"/>
        </w:rPr>
        <w:t xml:space="preserve"> LGBTI</w:t>
      </w:r>
      <w:r>
        <w:rPr>
          <w:rFonts w:asciiTheme="majorHAnsi" w:hAnsiTheme="majorHAnsi"/>
          <w:sz w:val="20"/>
          <w:szCs w:val="20"/>
        </w:rPr>
        <w:t xml:space="preserve"> persons</w:t>
      </w:r>
      <w:r w:rsidR="00A00F7B" w:rsidRPr="001D375E">
        <w:rPr>
          <w:rFonts w:asciiTheme="majorHAnsi" w:hAnsiTheme="majorHAnsi"/>
          <w:sz w:val="20"/>
          <w:szCs w:val="20"/>
        </w:rPr>
        <w:t xml:space="preserve">, </w:t>
      </w:r>
      <w:r>
        <w:rPr>
          <w:rFonts w:asciiTheme="majorHAnsi" w:hAnsiTheme="majorHAnsi"/>
          <w:sz w:val="20"/>
          <w:szCs w:val="20"/>
        </w:rPr>
        <w:t>the protection of indigenous peoples, and access to justice</w:t>
      </w:r>
      <w:r w:rsidR="00A00F7B" w:rsidRPr="001D375E">
        <w:rPr>
          <w:rFonts w:asciiTheme="majorHAnsi" w:hAnsiTheme="majorHAnsi"/>
          <w:sz w:val="20"/>
          <w:szCs w:val="20"/>
        </w:rPr>
        <w:t xml:space="preserve"> ($385,000). </w:t>
      </w:r>
      <w:r>
        <w:rPr>
          <w:rFonts w:asciiTheme="majorHAnsi" w:hAnsiTheme="majorHAnsi"/>
          <w:sz w:val="20"/>
          <w:szCs w:val="20"/>
        </w:rPr>
        <w:t>Unfortunately, this proposal was turned down by the donor.</w:t>
      </w:r>
      <w:r w:rsidR="00A00F7B" w:rsidRPr="001D375E">
        <w:rPr>
          <w:rFonts w:asciiTheme="majorHAnsi" w:hAnsiTheme="majorHAnsi"/>
          <w:sz w:val="20"/>
          <w:szCs w:val="20"/>
        </w:rPr>
        <w:t xml:space="preserve"> </w:t>
      </w:r>
    </w:p>
    <w:p w:rsidR="007308C7" w:rsidRPr="001D375E" w:rsidRDefault="00EF0D87">
      <w:pPr>
        <w:numPr>
          <w:ilvl w:val="0"/>
          <w:numId w:val="13"/>
        </w:numPr>
        <w:spacing w:after="0" w:line="240" w:lineRule="auto"/>
        <w:ind w:hanging="720"/>
        <w:jc w:val="both"/>
        <w:rPr>
          <w:rFonts w:asciiTheme="majorHAnsi" w:hAnsiTheme="majorHAnsi"/>
          <w:b/>
          <w:sz w:val="20"/>
          <w:szCs w:val="20"/>
        </w:rPr>
      </w:pPr>
      <w:r>
        <w:rPr>
          <w:rFonts w:asciiTheme="majorHAnsi" w:hAnsiTheme="majorHAnsi"/>
          <w:sz w:val="20"/>
          <w:szCs w:val="20"/>
        </w:rPr>
        <w:t>Assistance with and finalization of a profile project on the promotion of the friendly settlement procedure to Ireland</w:t>
      </w:r>
      <w:r w:rsidR="00A00F7B" w:rsidRPr="001D375E">
        <w:rPr>
          <w:rFonts w:asciiTheme="majorHAnsi" w:hAnsiTheme="majorHAnsi"/>
          <w:sz w:val="20"/>
          <w:szCs w:val="20"/>
        </w:rPr>
        <w:t xml:space="preserve"> ($113,000) (</w:t>
      </w:r>
      <w:r>
        <w:rPr>
          <w:rFonts w:asciiTheme="majorHAnsi" w:hAnsiTheme="majorHAnsi"/>
          <w:sz w:val="20"/>
          <w:szCs w:val="20"/>
        </w:rPr>
        <w:t>No answer to date from the donor</w:t>
      </w:r>
      <w:r w:rsidR="007308C7" w:rsidRPr="001D375E">
        <w:rPr>
          <w:rFonts w:asciiTheme="majorHAnsi" w:hAnsiTheme="majorHAnsi"/>
          <w:sz w:val="20"/>
          <w:szCs w:val="20"/>
        </w:rPr>
        <w:t>).</w:t>
      </w:r>
    </w:p>
    <w:p w:rsidR="00A00F7B" w:rsidRPr="001D375E" w:rsidRDefault="00EF0D87">
      <w:pPr>
        <w:numPr>
          <w:ilvl w:val="0"/>
          <w:numId w:val="13"/>
        </w:numPr>
        <w:spacing w:after="0" w:line="240" w:lineRule="auto"/>
        <w:ind w:hanging="720"/>
        <w:jc w:val="both"/>
        <w:rPr>
          <w:rFonts w:asciiTheme="majorHAnsi" w:hAnsiTheme="majorHAnsi"/>
          <w:b/>
          <w:sz w:val="20"/>
          <w:szCs w:val="20"/>
        </w:rPr>
      </w:pPr>
      <w:r>
        <w:rPr>
          <w:rFonts w:asciiTheme="majorHAnsi" w:hAnsiTheme="majorHAnsi"/>
          <w:sz w:val="20"/>
          <w:szCs w:val="20"/>
        </w:rPr>
        <w:t xml:space="preserve">Request for additional financial support </w:t>
      </w:r>
      <w:r w:rsidR="003F22F2">
        <w:rPr>
          <w:rFonts w:asciiTheme="majorHAnsi" w:hAnsiTheme="majorHAnsi"/>
          <w:sz w:val="20"/>
          <w:szCs w:val="20"/>
        </w:rPr>
        <w:t xml:space="preserve">to follow </w:t>
      </w:r>
      <w:r>
        <w:rPr>
          <w:rFonts w:asciiTheme="majorHAnsi" w:hAnsiTheme="majorHAnsi"/>
          <w:sz w:val="20"/>
          <w:szCs w:val="20"/>
        </w:rPr>
        <w:t xml:space="preserve">up </w:t>
      </w:r>
      <w:r w:rsidR="003F22F2">
        <w:rPr>
          <w:rFonts w:asciiTheme="majorHAnsi" w:hAnsiTheme="majorHAnsi"/>
          <w:sz w:val="20"/>
          <w:szCs w:val="20"/>
        </w:rPr>
        <w:t>on</w:t>
      </w:r>
      <w:r>
        <w:rPr>
          <w:rFonts w:asciiTheme="majorHAnsi" w:hAnsiTheme="majorHAnsi"/>
          <w:sz w:val="20"/>
          <w:szCs w:val="20"/>
        </w:rPr>
        <w:t xml:space="preserve"> precautionary measures in Honduras, Guatemala, and</w:t>
      </w:r>
      <w:r w:rsidR="00A00F7B" w:rsidRPr="001D375E">
        <w:rPr>
          <w:rFonts w:asciiTheme="majorHAnsi" w:hAnsiTheme="majorHAnsi"/>
          <w:sz w:val="20"/>
          <w:szCs w:val="20"/>
        </w:rPr>
        <w:t xml:space="preserve"> Nicaragua </w:t>
      </w:r>
      <w:r>
        <w:rPr>
          <w:rFonts w:asciiTheme="majorHAnsi" w:hAnsiTheme="majorHAnsi"/>
          <w:sz w:val="20"/>
          <w:szCs w:val="20"/>
        </w:rPr>
        <w:t>in the context of Regional Projects in Central America – Proderechos ($34,000).</w:t>
      </w:r>
    </w:p>
    <w:p w:rsidR="00A00F7B" w:rsidRPr="001D375E" w:rsidRDefault="003F22F2">
      <w:pPr>
        <w:numPr>
          <w:ilvl w:val="0"/>
          <w:numId w:val="13"/>
        </w:numPr>
        <w:spacing w:after="0" w:line="240" w:lineRule="auto"/>
        <w:ind w:hanging="720"/>
        <w:jc w:val="both"/>
        <w:rPr>
          <w:rFonts w:asciiTheme="majorHAnsi" w:hAnsiTheme="majorHAnsi"/>
          <w:sz w:val="20"/>
          <w:szCs w:val="20"/>
        </w:rPr>
      </w:pPr>
      <w:r>
        <w:rPr>
          <w:rFonts w:asciiTheme="majorHAnsi" w:hAnsiTheme="majorHAnsi"/>
          <w:sz w:val="20"/>
          <w:szCs w:val="20"/>
        </w:rPr>
        <w:t>Development of a new proposal on the thematic issue of</w:t>
      </w:r>
      <w:r w:rsidR="00A00F7B" w:rsidRPr="001D375E">
        <w:rPr>
          <w:rFonts w:asciiTheme="majorHAnsi" w:hAnsiTheme="majorHAnsi"/>
          <w:sz w:val="20"/>
          <w:szCs w:val="20"/>
        </w:rPr>
        <w:t xml:space="preserve"> </w:t>
      </w:r>
      <w:r>
        <w:rPr>
          <w:rFonts w:asciiTheme="majorHAnsi" w:hAnsiTheme="majorHAnsi"/>
          <w:i/>
          <w:sz w:val="20"/>
          <w:szCs w:val="20"/>
        </w:rPr>
        <w:t xml:space="preserve">Migrants and their families, </w:t>
      </w:r>
      <w:r>
        <w:rPr>
          <w:rFonts w:asciiTheme="majorHAnsi" w:hAnsiTheme="majorHAnsi"/>
          <w:sz w:val="20"/>
          <w:szCs w:val="20"/>
        </w:rPr>
        <w:t>addressing in particular the right to access to justice and due process for asylum seekers. This would be for a two-year period, and was presented by Avinna/Camina</w:t>
      </w:r>
      <w:r w:rsidR="00A00F7B" w:rsidRPr="001D375E">
        <w:rPr>
          <w:rFonts w:asciiTheme="majorHAnsi" w:hAnsiTheme="majorHAnsi"/>
          <w:sz w:val="20"/>
          <w:szCs w:val="20"/>
        </w:rPr>
        <w:t xml:space="preserve"> ($100,000)</w:t>
      </w:r>
      <w:r>
        <w:rPr>
          <w:rFonts w:asciiTheme="majorHAnsi" w:hAnsiTheme="majorHAnsi"/>
          <w:sz w:val="20"/>
          <w:szCs w:val="20"/>
        </w:rPr>
        <w:t>.</w:t>
      </w:r>
      <w:r w:rsidR="00A00F7B" w:rsidRPr="001D375E">
        <w:rPr>
          <w:rFonts w:asciiTheme="majorHAnsi" w:hAnsiTheme="majorHAnsi"/>
          <w:sz w:val="20"/>
          <w:szCs w:val="20"/>
        </w:rPr>
        <w:t xml:space="preserve"> </w:t>
      </w:r>
    </w:p>
    <w:p w:rsidR="00A00F7B" w:rsidRPr="001D375E" w:rsidRDefault="005D2D74">
      <w:pPr>
        <w:numPr>
          <w:ilvl w:val="0"/>
          <w:numId w:val="13"/>
        </w:numPr>
        <w:spacing w:after="0" w:line="240" w:lineRule="auto"/>
        <w:ind w:hanging="720"/>
        <w:jc w:val="both"/>
        <w:rPr>
          <w:rFonts w:asciiTheme="majorHAnsi" w:hAnsiTheme="majorHAnsi"/>
          <w:sz w:val="20"/>
          <w:szCs w:val="20"/>
        </w:rPr>
      </w:pPr>
      <w:r>
        <w:rPr>
          <w:rFonts w:asciiTheme="majorHAnsi" w:hAnsiTheme="majorHAnsi"/>
          <w:sz w:val="20"/>
          <w:szCs w:val="20"/>
        </w:rPr>
        <w:t>Development of a new proposal on the initiation of the</w:t>
      </w:r>
      <w:r w:rsidR="00A00F7B" w:rsidRPr="001D375E">
        <w:rPr>
          <w:rFonts w:asciiTheme="majorHAnsi" w:hAnsiTheme="majorHAnsi"/>
          <w:sz w:val="20"/>
          <w:szCs w:val="20"/>
        </w:rPr>
        <w:t xml:space="preserve"> </w:t>
      </w:r>
      <w:r w:rsidR="001A630B">
        <w:rPr>
          <w:rFonts w:asciiTheme="majorHAnsi" w:hAnsiTheme="majorHAnsi"/>
          <w:sz w:val="20"/>
          <w:szCs w:val="20"/>
        </w:rPr>
        <w:t>Rapporteurship on Economic, Social, and Cultural Rights</w:t>
      </w:r>
      <w:r w:rsidR="00A00F7B" w:rsidRPr="001D375E">
        <w:rPr>
          <w:rFonts w:asciiTheme="majorHAnsi" w:hAnsiTheme="majorHAnsi"/>
          <w:sz w:val="20"/>
          <w:szCs w:val="20"/>
        </w:rPr>
        <w:t xml:space="preserve">, </w:t>
      </w:r>
      <w:r>
        <w:rPr>
          <w:rFonts w:asciiTheme="majorHAnsi" w:hAnsiTheme="majorHAnsi"/>
          <w:sz w:val="20"/>
          <w:szCs w:val="20"/>
        </w:rPr>
        <w:t>raising funds from different donors</w:t>
      </w:r>
      <w:r w:rsidR="00A00F7B" w:rsidRPr="001D375E">
        <w:rPr>
          <w:rFonts w:asciiTheme="majorHAnsi" w:hAnsiTheme="majorHAnsi"/>
          <w:sz w:val="20"/>
          <w:szCs w:val="20"/>
        </w:rPr>
        <w:t xml:space="preserve">. </w:t>
      </w:r>
    </w:p>
    <w:p w:rsidR="00A00F7B" w:rsidRPr="001D375E" w:rsidRDefault="00112EBE">
      <w:pPr>
        <w:numPr>
          <w:ilvl w:val="0"/>
          <w:numId w:val="13"/>
        </w:numPr>
        <w:spacing w:after="0" w:line="240" w:lineRule="auto"/>
        <w:ind w:hanging="720"/>
        <w:jc w:val="both"/>
        <w:rPr>
          <w:rFonts w:asciiTheme="majorHAnsi" w:hAnsiTheme="majorHAnsi"/>
          <w:sz w:val="20"/>
          <w:szCs w:val="20"/>
        </w:rPr>
      </w:pPr>
      <w:r>
        <w:rPr>
          <w:rFonts w:asciiTheme="majorHAnsi" w:hAnsiTheme="majorHAnsi"/>
          <w:sz w:val="20"/>
          <w:szCs w:val="20"/>
        </w:rPr>
        <w:lastRenderedPageBreak/>
        <w:t xml:space="preserve">Support for the development of a proposal that would address the issue of the use of the friendly settlement mechanism. </w:t>
      </w:r>
      <w:r w:rsidR="002B6444">
        <w:rPr>
          <w:rFonts w:asciiTheme="majorHAnsi" w:hAnsiTheme="majorHAnsi"/>
          <w:sz w:val="20"/>
          <w:szCs w:val="20"/>
        </w:rPr>
        <w:t xml:space="preserve"> </w:t>
      </w:r>
      <w:r>
        <w:rPr>
          <w:rFonts w:asciiTheme="majorHAnsi" w:hAnsiTheme="majorHAnsi"/>
          <w:sz w:val="20"/>
          <w:szCs w:val="20"/>
        </w:rPr>
        <w:t>This proposal will be financed by the Spanish Fund</w:t>
      </w:r>
      <w:r w:rsidR="00A00F7B" w:rsidRPr="001D375E">
        <w:rPr>
          <w:rFonts w:asciiTheme="majorHAnsi" w:hAnsiTheme="majorHAnsi"/>
          <w:sz w:val="20"/>
          <w:szCs w:val="20"/>
        </w:rPr>
        <w:t xml:space="preserve"> </w:t>
      </w:r>
      <w:r>
        <w:rPr>
          <w:rFonts w:asciiTheme="majorHAnsi" w:hAnsiTheme="majorHAnsi"/>
          <w:sz w:val="20"/>
          <w:szCs w:val="20"/>
        </w:rPr>
        <w:t>(</w:t>
      </w:r>
      <w:r w:rsidR="00A00F7B" w:rsidRPr="001D375E">
        <w:rPr>
          <w:rFonts w:asciiTheme="majorHAnsi" w:hAnsiTheme="majorHAnsi"/>
          <w:sz w:val="20"/>
          <w:szCs w:val="20"/>
        </w:rPr>
        <w:t>$203,800</w:t>
      </w:r>
      <w:r>
        <w:rPr>
          <w:rFonts w:asciiTheme="majorHAnsi" w:hAnsiTheme="majorHAnsi"/>
          <w:sz w:val="20"/>
          <w:szCs w:val="20"/>
        </w:rPr>
        <w:t>)</w:t>
      </w:r>
      <w:r w:rsidR="00A00F7B" w:rsidRPr="001D375E">
        <w:rPr>
          <w:rFonts w:asciiTheme="majorHAnsi" w:hAnsiTheme="majorHAnsi"/>
          <w:sz w:val="20"/>
          <w:szCs w:val="20"/>
        </w:rPr>
        <w:t>.</w:t>
      </w:r>
    </w:p>
    <w:p w:rsidR="00A00F7B" w:rsidRPr="001D375E" w:rsidRDefault="002E0522">
      <w:pPr>
        <w:numPr>
          <w:ilvl w:val="0"/>
          <w:numId w:val="13"/>
        </w:numPr>
        <w:spacing w:after="0" w:line="240" w:lineRule="auto"/>
        <w:ind w:hanging="720"/>
        <w:jc w:val="both"/>
        <w:rPr>
          <w:rFonts w:asciiTheme="majorHAnsi" w:hAnsiTheme="majorHAnsi"/>
          <w:sz w:val="20"/>
          <w:szCs w:val="20"/>
        </w:rPr>
      </w:pPr>
      <w:r>
        <w:rPr>
          <w:rFonts w:asciiTheme="majorHAnsi" w:hAnsiTheme="majorHAnsi"/>
          <w:sz w:val="20"/>
          <w:szCs w:val="20"/>
        </w:rPr>
        <w:t xml:space="preserve">Preparation of a proposal for an extension of </w:t>
      </w:r>
      <w:r w:rsidRPr="002E0522">
        <w:rPr>
          <w:rFonts w:asciiTheme="majorHAnsi" w:hAnsiTheme="majorHAnsi"/>
          <w:iCs/>
          <w:sz w:val="20"/>
          <w:szCs w:val="20"/>
        </w:rPr>
        <w:t>Norwegian</w:t>
      </w:r>
      <w:r w:rsidRPr="002E0522">
        <w:rPr>
          <w:rFonts w:asciiTheme="majorHAnsi" w:hAnsiTheme="majorHAnsi"/>
          <w:sz w:val="20"/>
          <w:szCs w:val="20"/>
        </w:rPr>
        <w:t xml:space="preserve"> </w:t>
      </w:r>
      <w:r>
        <w:rPr>
          <w:rFonts w:asciiTheme="majorHAnsi" w:hAnsiTheme="majorHAnsi"/>
          <w:sz w:val="20"/>
          <w:szCs w:val="20"/>
        </w:rPr>
        <w:t>cooperation to finance the promotion and defense of human rights in Latin America (</w:t>
      </w:r>
      <w:r w:rsidR="00A00F7B" w:rsidRPr="001D375E">
        <w:rPr>
          <w:rFonts w:asciiTheme="majorHAnsi" w:hAnsiTheme="majorHAnsi"/>
          <w:sz w:val="20"/>
          <w:szCs w:val="20"/>
        </w:rPr>
        <w:t>$800,000</w:t>
      </w:r>
      <w:r>
        <w:rPr>
          <w:rFonts w:asciiTheme="majorHAnsi" w:hAnsiTheme="majorHAnsi"/>
          <w:sz w:val="20"/>
          <w:szCs w:val="20"/>
        </w:rPr>
        <w:t>)</w:t>
      </w:r>
      <w:r w:rsidR="00A00F7B" w:rsidRPr="001D375E">
        <w:rPr>
          <w:rFonts w:asciiTheme="majorHAnsi" w:hAnsiTheme="majorHAnsi"/>
          <w:sz w:val="20"/>
          <w:szCs w:val="20"/>
        </w:rPr>
        <w:t>.</w:t>
      </w:r>
      <w:r w:rsidR="002B6444">
        <w:rPr>
          <w:rFonts w:asciiTheme="majorHAnsi" w:hAnsiTheme="majorHAnsi"/>
          <w:sz w:val="20"/>
          <w:szCs w:val="20"/>
        </w:rPr>
        <w:t xml:space="preserve"> </w:t>
      </w:r>
      <w:r w:rsidR="00A00F7B" w:rsidRPr="001D375E">
        <w:rPr>
          <w:rFonts w:asciiTheme="majorHAnsi" w:hAnsiTheme="majorHAnsi"/>
          <w:sz w:val="20"/>
          <w:szCs w:val="20"/>
        </w:rPr>
        <w:t xml:space="preserve"> </w:t>
      </w:r>
      <w:r>
        <w:rPr>
          <w:rFonts w:asciiTheme="majorHAnsi" w:hAnsiTheme="majorHAnsi"/>
          <w:sz w:val="20"/>
          <w:szCs w:val="20"/>
        </w:rPr>
        <w:t>In November</w:t>
      </w:r>
      <w:r w:rsidR="00A00F7B" w:rsidRPr="001D375E">
        <w:rPr>
          <w:rFonts w:asciiTheme="majorHAnsi" w:hAnsiTheme="majorHAnsi"/>
          <w:sz w:val="20"/>
          <w:szCs w:val="20"/>
        </w:rPr>
        <w:t xml:space="preserve"> 2015, </w:t>
      </w:r>
      <w:r>
        <w:rPr>
          <w:rFonts w:asciiTheme="majorHAnsi" w:hAnsiTheme="majorHAnsi"/>
          <w:sz w:val="20"/>
          <w:szCs w:val="20"/>
        </w:rPr>
        <w:t>Norway indicated that as a result of an internal policy change, it would not be supporting initiatives in the Americas in</w:t>
      </w:r>
      <w:r w:rsidR="00A00F7B" w:rsidRPr="001D375E">
        <w:rPr>
          <w:rFonts w:asciiTheme="majorHAnsi" w:hAnsiTheme="majorHAnsi"/>
          <w:sz w:val="20"/>
          <w:szCs w:val="20"/>
        </w:rPr>
        <w:t xml:space="preserve"> 2016.</w:t>
      </w:r>
    </w:p>
    <w:p w:rsidR="00A00F7B" w:rsidRPr="001D375E" w:rsidRDefault="002E0522">
      <w:pPr>
        <w:numPr>
          <w:ilvl w:val="0"/>
          <w:numId w:val="13"/>
        </w:numPr>
        <w:spacing w:after="0" w:line="240" w:lineRule="auto"/>
        <w:ind w:hanging="720"/>
        <w:jc w:val="both"/>
        <w:rPr>
          <w:rFonts w:asciiTheme="majorHAnsi" w:hAnsiTheme="majorHAnsi" w:cs="Calibri"/>
          <w:sz w:val="20"/>
          <w:szCs w:val="20"/>
        </w:rPr>
      </w:pPr>
      <w:r>
        <w:rPr>
          <w:rFonts w:asciiTheme="majorHAnsi" w:hAnsiTheme="majorHAnsi"/>
          <w:sz w:val="20"/>
          <w:szCs w:val="20"/>
        </w:rPr>
        <w:t xml:space="preserve">Preparation of a proposal for the promotion of rights in Central America within the framework of the </w:t>
      </w:r>
      <w:r w:rsidR="00A00F7B" w:rsidRPr="001D375E">
        <w:rPr>
          <w:rFonts w:asciiTheme="majorHAnsi" w:hAnsiTheme="majorHAnsi"/>
          <w:sz w:val="20"/>
          <w:szCs w:val="20"/>
        </w:rPr>
        <w:t xml:space="preserve">Proderechos </w:t>
      </w:r>
      <w:r>
        <w:rPr>
          <w:rFonts w:asciiTheme="majorHAnsi" w:hAnsiTheme="majorHAnsi"/>
          <w:sz w:val="20"/>
          <w:szCs w:val="20"/>
        </w:rPr>
        <w:t xml:space="preserve">project for 2016 </w:t>
      </w:r>
      <w:r w:rsidR="00A00F7B" w:rsidRPr="001D375E">
        <w:rPr>
          <w:rFonts w:asciiTheme="majorHAnsi" w:hAnsiTheme="majorHAnsi"/>
          <w:sz w:val="20"/>
          <w:szCs w:val="20"/>
        </w:rPr>
        <w:t>($206,000)</w:t>
      </w:r>
      <w:r>
        <w:rPr>
          <w:rFonts w:asciiTheme="majorHAnsi" w:hAnsiTheme="majorHAnsi"/>
          <w:sz w:val="20"/>
          <w:szCs w:val="20"/>
        </w:rPr>
        <w:t>.</w:t>
      </w:r>
    </w:p>
    <w:p w:rsidR="00A00F7B" w:rsidRPr="001D375E" w:rsidRDefault="00A00F7B">
      <w:pPr>
        <w:spacing w:after="0" w:line="240" w:lineRule="auto"/>
        <w:ind w:left="1440"/>
        <w:jc w:val="both"/>
        <w:rPr>
          <w:rFonts w:asciiTheme="majorHAnsi" w:eastAsia="Times New Roman" w:hAnsiTheme="majorHAnsi" w:cs="Calibri"/>
          <w:sz w:val="20"/>
          <w:szCs w:val="20"/>
        </w:rPr>
      </w:pPr>
    </w:p>
    <w:p w:rsidR="00A00F7B" w:rsidRPr="008D23A3" w:rsidRDefault="00014AF9">
      <w:pPr>
        <w:pStyle w:val="Heading3"/>
      </w:pPr>
      <w:r w:rsidRPr="008D23A3">
        <w:t>Project Reports</w:t>
      </w:r>
    </w:p>
    <w:p w:rsidR="00A00F7B" w:rsidRPr="001D375E" w:rsidRDefault="00A00F7B">
      <w:pPr>
        <w:spacing w:after="0" w:line="240" w:lineRule="auto"/>
        <w:ind w:left="1080"/>
        <w:jc w:val="both"/>
        <w:rPr>
          <w:rFonts w:asciiTheme="majorHAnsi" w:eastAsia="MS Mincho" w:hAnsiTheme="majorHAnsi"/>
          <w:b/>
          <w:sz w:val="20"/>
          <w:szCs w:val="20"/>
        </w:rPr>
      </w:pPr>
    </w:p>
    <w:p w:rsidR="00A00F7B" w:rsidRPr="001D375E" w:rsidRDefault="00014AF9" w:rsidP="00F5716D">
      <w:pPr>
        <w:numPr>
          <w:ilvl w:val="0"/>
          <w:numId w:val="9"/>
        </w:numPr>
        <w:spacing w:after="0" w:line="240" w:lineRule="auto"/>
        <w:ind w:left="0" w:firstLine="720"/>
        <w:contextualSpacing/>
        <w:jc w:val="both"/>
        <w:rPr>
          <w:rFonts w:asciiTheme="majorHAnsi" w:eastAsia="Times New Roman" w:hAnsiTheme="majorHAnsi" w:cs="Calibri"/>
          <w:sz w:val="20"/>
          <w:szCs w:val="20"/>
        </w:rPr>
      </w:pPr>
      <w:r>
        <w:rPr>
          <w:rFonts w:asciiTheme="majorHAnsi" w:eastAsia="Times New Roman" w:hAnsiTheme="majorHAnsi" w:cs="Calibri"/>
          <w:sz w:val="20"/>
          <w:szCs w:val="20"/>
        </w:rPr>
        <w:t>During</w:t>
      </w:r>
      <w:r w:rsidR="00FF3690" w:rsidRPr="001D375E">
        <w:rPr>
          <w:rFonts w:asciiTheme="majorHAnsi" w:eastAsia="Times New Roman" w:hAnsiTheme="majorHAnsi" w:cs="Calibri"/>
          <w:sz w:val="20"/>
          <w:szCs w:val="20"/>
        </w:rPr>
        <w:t xml:space="preserve"> 2015, </w:t>
      </w:r>
      <w:r>
        <w:rPr>
          <w:rFonts w:asciiTheme="majorHAnsi" w:eastAsia="Times New Roman" w:hAnsiTheme="majorHAnsi" w:cs="Calibri"/>
          <w:sz w:val="20"/>
          <w:szCs w:val="20"/>
        </w:rPr>
        <w:t>eleven project reports were drafted or coordinated by the</w:t>
      </w:r>
      <w:r w:rsidR="00A00F7B" w:rsidRPr="001D375E">
        <w:rPr>
          <w:rFonts w:asciiTheme="majorHAnsi" w:eastAsia="Times New Roman" w:hAnsiTheme="majorHAnsi" w:cs="Calibri"/>
          <w:sz w:val="20"/>
          <w:szCs w:val="20"/>
        </w:rPr>
        <w:t xml:space="preserve"> SMRAP </w:t>
      </w:r>
      <w:r>
        <w:rPr>
          <w:rFonts w:asciiTheme="majorHAnsi" w:eastAsia="Times New Roman" w:hAnsiTheme="majorHAnsi" w:cs="Calibri"/>
          <w:sz w:val="20"/>
          <w:szCs w:val="20"/>
        </w:rPr>
        <w:t>to be presented to the respective donors</w:t>
      </w:r>
      <w:r w:rsidR="00A00F7B" w:rsidRPr="001D375E">
        <w:rPr>
          <w:rFonts w:asciiTheme="majorHAnsi" w:eastAsia="Times New Roman" w:hAnsiTheme="majorHAnsi" w:cs="Calibri"/>
          <w:sz w:val="20"/>
          <w:szCs w:val="20"/>
        </w:rPr>
        <w:t>:</w:t>
      </w:r>
    </w:p>
    <w:p w:rsidR="00A00F7B" w:rsidRPr="001D375E" w:rsidRDefault="00A00F7B">
      <w:pPr>
        <w:spacing w:after="0" w:line="240" w:lineRule="auto"/>
        <w:ind w:left="720"/>
        <w:contextualSpacing/>
        <w:jc w:val="both"/>
        <w:rPr>
          <w:rFonts w:asciiTheme="majorHAnsi" w:eastAsia="Times New Roman" w:hAnsiTheme="majorHAnsi" w:cs="Calibri"/>
          <w:sz w:val="20"/>
          <w:szCs w:val="20"/>
        </w:rPr>
      </w:pPr>
    </w:p>
    <w:p w:rsidR="00A00F7B" w:rsidRPr="001D375E" w:rsidRDefault="00FC5EF3">
      <w:pPr>
        <w:numPr>
          <w:ilvl w:val="0"/>
          <w:numId w:val="14"/>
        </w:numPr>
        <w:spacing w:after="0" w:line="240" w:lineRule="auto"/>
        <w:ind w:hanging="720"/>
        <w:jc w:val="both"/>
        <w:rPr>
          <w:rFonts w:asciiTheme="majorHAnsi" w:hAnsiTheme="majorHAnsi"/>
          <w:sz w:val="20"/>
          <w:szCs w:val="20"/>
        </w:rPr>
      </w:pPr>
      <w:r>
        <w:rPr>
          <w:rFonts w:asciiTheme="majorHAnsi" w:hAnsiTheme="majorHAnsi"/>
          <w:sz w:val="20"/>
          <w:szCs w:val="20"/>
        </w:rPr>
        <w:t>Annual Report of the Central America Regional Human Rights Project –</w:t>
      </w:r>
      <w:r w:rsidR="00A00F7B" w:rsidRPr="001D375E">
        <w:rPr>
          <w:rFonts w:asciiTheme="majorHAnsi" w:hAnsiTheme="majorHAnsi"/>
          <w:sz w:val="20"/>
          <w:szCs w:val="20"/>
        </w:rPr>
        <w:t xml:space="preserve"> Proderechos, </w:t>
      </w:r>
      <w:r>
        <w:rPr>
          <w:rFonts w:asciiTheme="majorHAnsi" w:hAnsiTheme="majorHAnsi"/>
          <w:sz w:val="20"/>
          <w:szCs w:val="20"/>
        </w:rPr>
        <w:t xml:space="preserve">funded by Denmark, as well as the reports for the assessment, coordination, and </w:t>
      </w:r>
      <w:r w:rsidR="00616305">
        <w:rPr>
          <w:rFonts w:asciiTheme="majorHAnsi" w:hAnsiTheme="majorHAnsi"/>
          <w:sz w:val="20"/>
          <w:szCs w:val="20"/>
        </w:rPr>
        <w:t>assistance of</w:t>
      </w:r>
      <w:r>
        <w:rPr>
          <w:rFonts w:asciiTheme="majorHAnsi" w:hAnsiTheme="majorHAnsi"/>
          <w:sz w:val="20"/>
          <w:szCs w:val="20"/>
        </w:rPr>
        <w:t xml:space="preserve"> the review mission for this project.</w:t>
      </w:r>
      <w:r w:rsidR="00A00F7B" w:rsidRPr="001D375E">
        <w:rPr>
          <w:rFonts w:asciiTheme="majorHAnsi" w:hAnsiTheme="majorHAnsi"/>
          <w:sz w:val="20"/>
          <w:szCs w:val="20"/>
        </w:rPr>
        <w:t xml:space="preserve"> </w:t>
      </w:r>
    </w:p>
    <w:p w:rsidR="00A00F7B" w:rsidRPr="001D375E" w:rsidRDefault="009573C5">
      <w:pPr>
        <w:numPr>
          <w:ilvl w:val="0"/>
          <w:numId w:val="14"/>
        </w:numPr>
        <w:spacing w:after="0" w:line="240" w:lineRule="auto"/>
        <w:ind w:hanging="720"/>
        <w:jc w:val="both"/>
        <w:rPr>
          <w:rFonts w:asciiTheme="majorHAnsi" w:hAnsiTheme="majorHAnsi"/>
          <w:sz w:val="20"/>
          <w:szCs w:val="20"/>
        </w:rPr>
      </w:pPr>
      <w:r>
        <w:rPr>
          <w:rFonts w:asciiTheme="majorHAnsi" w:hAnsiTheme="majorHAnsi"/>
          <w:sz w:val="20"/>
          <w:szCs w:val="20"/>
        </w:rPr>
        <w:t>Final report on the 2014 contribution of the United States to the activities described in</w:t>
      </w:r>
      <w:r w:rsidR="00A00F7B" w:rsidRPr="001D375E">
        <w:rPr>
          <w:rFonts w:asciiTheme="majorHAnsi" w:hAnsiTheme="majorHAnsi"/>
          <w:sz w:val="20"/>
          <w:szCs w:val="20"/>
        </w:rPr>
        <w:t xml:space="preserve"> </w:t>
      </w:r>
      <w:r>
        <w:rPr>
          <w:rFonts w:asciiTheme="majorHAnsi" w:hAnsiTheme="majorHAnsi"/>
          <w:sz w:val="20"/>
          <w:szCs w:val="20"/>
        </w:rPr>
        <w:t>SP</w:t>
      </w:r>
      <w:r w:rsidR="00A00F7B" w:rsidRPr="001D375E">
        <w:rPr>
          <w:rFonts w:asciiTheme="majorHAnsi" w:hAnsiTheme="majorHAnsi"/>
          <w:sz w:val="20"/>
          <w:szCs w:val="20"/>
        </w:rPr>
        <w:t xml:space="preserve"> 2011-2015, </w:t>
      </w:r>
      <w:r>
        <w:rPr>
          <w:rFonts w:asciiTheme="majorHAnsi" w:hAnsiTheme="majorHAnsi"/>
          <w:sz w:val="20"/>
          <w:szCs w:val="20"/>
        </w:rPr>
        <w:t>carried out in</w:t>
      </w:r>
      <w:r w:rsidR="00A00F7B" w:rsidRPr="001D375E">
        <w:rPr>
          <w:rFonts w:asciiTheme="majorHAnsi" w:hAnsiTheme="majorHAnsi"/>
          <w:sz w:val="20"/>
          <w:szCs w:val="20"/>
        </w:rPr>
        <w:t xml:space="preserve"> 2014.  </w:t>
      </w:r>
    </w:p>
    <w:p w:rsidR="00A00F7B" w:rsidRPr="001D375E" w:rsidRDefault="009573C5">
      <w:pPr>
        <w:numPr>
          <w:ilvl w:val="0"/>
          <w:numId w:val="14"/>
        </w:numPr>
        <w:spacing w:after="0" w:line="240" w:lineRule="auto"/>
        <w:ind w:hanging="720"/>
        <w:jc w:val="both"/>
        <w:rPr>
          <w:rFonts w:asciiTheme="majorHAnsi" w:hAnsiTheme="majorHAnsi"/>
          <w:sz w:val="20"/>
          <w:szCs w:val="20"/>
        </w:rPr>
      </w:pPr>
      <w:r>
        <w:rPr>
          <w:rFonts w:asciiTheme="majorHAnsi" w:hAnsiTheme="majorHAnsi"/>
          <w:sz w:val="20"/>
          <w:szCs w:val="20"/>
        </w:rPr>
        <w:t>Project report on the</w:t>
      </w:r>
      <w:r w:rsidR="00A00F7B" w:rsidRPr="001D375E">
        <w:rPr>
          <w:rFonts w:asciiTheme="majorHAnsi" w:hAnsiTheme="majorHAnsi"/>
          <w:sz w:val="20"/>
          <w:szCs w:val="20"/>
        </w:rPr>
        <w:t xml:space="preserve"> “</w:t>
      </w:r>
      <w:r>
        <w:rPr>
          <w:rFonts w:asciiTheme="majorHAnsi" w:hAnsiTheme="majorHAnsi"/>
          <w:sz w:val="20"/>
          <w:szCs w:val="20"/>
        </w:rPr>
        <w:t>Promotion of the Standards of the</w:t>
      </w:r>
      <w:r w:rsidR="00A00F7B" w:rsidRPr="001D375E">
        <w:rPr>
          <w:rFonts w:asciiTheme="majorHAnsi" w:hAnsiTheme="majorHAnsi"/>
          <w:sz w:val="20"/>
          <w:szCs w:val="20"/>
        </w:rPr>
        <w:t xml:space="preserve"> </w:t>
      </w:r>
      <w:r w:rsidR="00F623B6">
        <w:rPr>
          <w:rFonts w:asciiTheme="majorHAnsi" w:hAnsiTheme="majorHAnsi"/>
          <w:sz w:val="20"/>
          <w:szCs w:val="20"/>
        </w:rPr>
        <w:t>Inter-American Human Rights System</w:t>
      </w:r>
      <w:r w:rsidR="00A00F7B" w:rsidRPr="001D375E">
        <w:rPr>
          <w:rFonts w:asciiTheme="majorHAnsi" w:hAnsiTheme="majorHAnsi"/>
          <w:sz w:val="20"/>
          <w:szCs w:val="20"/>
        </w:rPr>
        <w:t xml:space="preserve"> </w:t>
      </w:r>
      <w:r>
        <w:rPr>
          <w:rFonts w:asciiTheme="majorHAnsi" w:hAnsiTheme="majorHAnsi"/>
          <w:sz w:val="20"/>
          <w:szCs w:val="20"/>
        </w:rPr>
        <w:t xml:space="preserve">in the </w:t>
      </w:r>
      <w:r w:rsidR="005537D6">
        <w:rPr>
          <w:rFonts w:asciiTheme="majorHAnsi" w:hAnsiTheme="majorHAnsi"/>
          <w:sz w:val="20"/>
          <w:szCs w:val="20"/>
        </w:rPr>
        <w:t xml:space="preserve">Area of Pretrial Detention </w:t>
      </w:r>
      <w:r>
        <w:rPr>
          <w:rFonts w:asciiTheme="majorHAnsi" w:hAnsiTheme="majorHAnsi"/>
          <w:sz w:val="20"/>
          <w:szCs w:val="20"/>
        </w:rPr>
        <w:t>in the Americas, in the context of the IACHR’s Strategic Plan</w:t>
      </w:r>
      <w:r w:rsidR="005537D6">
        <w:rPr>
          <w:rFonts w:asciiTheme="majorHAnsi" w:hAnsiTheme="majorHAnsi"/>
          <w:sz w:val="20"/>
          <w:szCs w:val="20"/>
        </w:rPr>
        <w:t>—</w:t>
      </w:r>
      <w:r>
        <w:rPr>
          <w:rFonts w:asciiTheme="majorHAnsi" w:hAnsiTheme="majorHAnsi"/>
          <w:sz w:val="20"/>
          <w:szCs w:val="20"/>
        </w:rPr>
        <w:t>program</w:t>
      </w:r>
      <w:r w:rsidR="00A00F7B" w:rsidRPr="001D375E">
        <w:rPr>
          <w:rFonts w:asciiTheme="majorHAnsi" w:hAnsiTheme="majorHAnsi"/>
          <w:sz w:val="20"/>
          <w:szCs w:val="20"/>
        </w:rPr>
        <w:t xml:space="preserve"> 4. (CDH 1107)</w:t>
      </w:r>
      <w:r>
        <w:rPr>
          <w:rFonts w:asciiTheme="majorHAnsi" w:hAnsiTheme="majorHAnsi"/>
          <w:sz w:val="20"/>
          <w:szCs w:val="20"/>
        </w:rPr>
        <w:t>.</w:t>
      </w:r>
      <w:r w:rsidR="00A00F7B" w:rsidRPr="001D375E">
        <w:rPr>
          <w:rFonts w:asciiTheme="majorHAnsi" w:hAnsiTheme="majorHAnsi"/>
          <w:sz w:val="20"/>
          <w:szCs w:val="20"/>
        </w:rPr>
        <w:t xml:space="preserve">” </w:t>
      </w:r>
      <w:r>
        <w:rPr>
          <w:rFonts w:asciiTheme="majorHAnsi" w:hAnsiTheme="majorHAnsi"/>
          <w:sz w:val="20"/>
          <w:szCs w:val="20"/>
        </w:rPr>
        <w:t xml:space="preserve">The report was requested for the evaluation and launching of the new 2015 project with </w:t>
      </w:r>
      <w:r w:rsidR="00A00F7B" w:rsidRPr="001D375E">
        <w:rPr>
          <w:rFonts w:asciiTheme="majorHAnsi" w:hAnsiTheme="majorHAnsi"/>
          <w:sz w:val="20"/>
          <w:szCs w:val="20"/>
        </w:rPr>
        <w:t>AECID.</w:t>
      </w:r>
    </w:p>
    <w:p w:rsidR="00A00F7B" w:rsidRPr="001D375E" w:rsidRDefault="008702DD">
      <w:pPr>
        <w:numPr>
          <w:ilvl w:val="0"/>
          <w:numId w:val="14"/>
        </w:numPr>
        <w:spacing w:after="0" w:line="240" w:lineRule="auto"/>
        <w:ind w:hanging="720"/>
        <w:jc w:val="both"/>
        <w:rPr>
          <w:rFonts w:asciiTheme="majorHAnsi" w:hAnsiTheme="majorHAnsi"/>
          <w:sz w:val="20"/>
          <w:szCs w:val="20"/>
        </w:rPr>
      </w:pPr>
      <w:r>
        <w:rPr>
          <w:rFonts w:asciiTheme="majorHAnsi" w:hAnsiTheme="majorHAnsi"/>
          <w:sz w:val="20"/>
          <w:szCs w:val="20"/>
        </w:rPr>
        <w:t xml:space="preserve">Coordination, consolidation, and participation in the preparation of the report on the </w:t>
      </w:r>
      <w:r>
        <w:rPr>
          <w:rFonts w:asciiTheme="majorHAnsi" w:hAnsiTheme="majorHAnsi"/>
          <w:i/>
          <w:sz w:val="20"/>
          <w:szCs w:val="20"/>
        </w:rPr>
        <w:t xml:space="preserve">Program of </w:t>
      </w:r>
      <w:r w:rsidR="001D375E">
        <w:rPr>
          <w:rFonts w:asciiTheme="majorHAnsi" w:hAnsiTheme="majorHAnsi"/>
          <w:i/>
          <w:sz w:val="20"/>
          <w:szCs w:val="20"/>
        </w:rPr>
        <w:t xml:space="preserve">the </w:t>
      </w:r>
      <w:r>
        <w:rPr>
          <w:rFonts w:asciiTheme="majorHAnsi" w:hAnsiTheme="majorHAnsi"/>
          <w:i/>
          <w:sz w:val="20"/>
          <w:szCs w:val="20"/>
        </w:rPr>
        <w:t xml:space="preserve">Inter-American </w:t>
      </w:r>
      <w:r w:rsidR="001D375E">
        <w:rPr>
          <w:rFonts w:asciiTheme="majorHAnsi" w:hAnsiTheme="majorHAnsi"/>
          <w:i/>
          <w:sz w:val="20"/>
          <w:szCs w:val="20"/>
        </w:rPr>
        <w:t>Commission</w:t>
      </w:r>
      <w:r w:rsidR="00A00F7B" w:rsidRPr="001D375E">
        <w:rPr>
          <w:rFonts w:asciiTheme="majorHAnsi" w:hAnsiTheme="majorHAnsi"/>
          <w:i/>
          <w:sz w:val="20"/>
          <w:szCs w:val="20"/>
        </w:rPr>
        <w:t xml:space="preserve"> </w:t>
      </w:r>
      <w:r>
        <w:rPr>
          <w:rFonts w:asciiTheme="majorHAnsi" w:hAnsiTheme="majorHAnsi"/>
          <w:i/>
          <w:sz w:val="20"/>
          <w:szCs w:val="20"/>
        </w:rPr>
        <w:t>on Human Rights and Indigenous Peoples</w:t>
      </w:r>
      <w:r w:rsidR="00A00F7B" w:rsidRPr="001D375E">
        <w:rPr>
          <w:rFonts w:asciiTheme="majorHAnsi" w:hAnsiTheme="majorHAnsi"/>
          <w:i/>
          <w:sz w:val="20"/>
          <w:szCs w:val="20"/>
        </w:rPr>
        <w:t xml:space="preserve"> </w:t>
      </w:r>
      <w:r>
        <w:rPr>
          <w:rFonts w:asciiTheme="majorHAnsi" w:hAnsiTheme="majorHAnsi"/>
          <w:sz w:val="20"/>
          <w:szCs w:val="20"/>
        </w:rPr>
        <w:t>for the</w:t>
      </w:r>
      <w:r w:rsidR="00A00F7B" w:rsidRPr="001D375E">
        <w:rPr>
          <w:rFonts w:asciiTheme="majorHAnsi" w:hAnsiTheme="majorHAnsi"/>
          <w:sz w:val="20"/>
          <w:szCs w:val="20"/>
        </w:rPr>
        <w:t xml:space="preserve"> </w:t>
      </w:r>
      <w:r w:rsidRPr="008702DD">
        <w:rPr>
          <w:rFonts w:asciiTheme="majorHAnsi" w:hAnsiTheme="majorHAnsi"/>
          <w:sz w:val="20"/>
          <w:szCs w:val="20"/>
        </w:rPr>
        <w:t>International Wo</w:t>
      </w:r>
      <w:r>
        <w:rPr>
          <w:rFonts w:asciiTheme="majorHAnsi" w:hAnsiTheme="majorHAnsi"/>
          <w:sz w:val="20"/>
          <w:szCs w:val="20"/>
        </w:rPr>
        <w:t>rk Group for Indigenous Affairs</w:t>
      </w:r>
      <w:r w:rsidR="00A00F7B" w:rsidRPr="001D375E">
        <w:rPr>
          <w:rFonts w:asciiTheme="majorHAnsi" w:hAnsiTheme="majorHAnsi"/>
          <w:sz w:val="20"/>
          <w:szCs w:val="20"/>
        </w:rPr>
        <w:t xml:space="preserve"> </w:t>
      </w:r>
      <w:r>
        <w:rPr>
          <w:rFonts w:asciiTheme="majorHAnsi" w:hAnsiTheme="majorHAnsi"/>
          <w:sz w:val="20"/>
          <w:szCs w:val="20"/>
        </w:rPr>
        <w:t>(</w:t>
      </w:r>
      <w:r w:rsidR="00A00F7B" w:rsidRPr="001D375E">
        <w:rPr>
          <w:rFonts w:asciiTheme="majorHAnsi" w:hAnsiTheme="majorHAnsi"/>
          <w:sz w:val="20"/>
          <w:szCs w:val="20"/>
        </w:rPr>
        <w:t>IWGIA</w:t>
      </w:r>
      <w:r>
        <w:rPr>
          <w:rFonts w:asciiTheme="majorHAnsi" w:hAnsiTheme="majorHAnsi"/>
          <w:sz w:val="20"/>
          <w:szCs w:val="20"/>
        </w:rPr>
        <w:t>)</w:t>
      </w:r>
      <w:r w:rsidR="00A00F7B" w:rsidRPr="001D375E">
        <w:rPr>
          <w:rFonts w:asciiTheme="majorHAnsi" w:hAnsiTheme="majorHAnsi"/>
          <w:sz w:val="20"/>
          <w:szCs w:val="20"/>
        </w:rPr>
        <w:t>.</w:t>
      </w:r>
    </w:p>
    <w:p w:rsidR="00A00F7B" w:rsidRPr="001D375E" w:rsidRDefault="008702DD">
      <w:pPr>
        <w:numPr>
          <w:ilvl w:val="0"/>
          <w:numId w:val="14"/>
        </w:numPr>
        <w:spacing w:after="0" w:line="240" w:lineRule="auto"/>
        <w:ind w:hanging="720"/>
        <w:jc w:val="both"/>
        <w:rPr>
          <w:rFonts w:asciiTheme="majorHAnsi" w:hAnsiTheme="majorHAnsi"/>
          <w:sz w:val="20"/>
          <w:szCs w:val="20"/>
        </w:rPr>
      </w:pPr>
      <w:r>
        <w:rPr>
          <w:rFonts w:asciiTheme="majorHAnsi" w:hAnsiTheme="majorHAnsi"/>
          <w:sz w:val="20"/>
          <w:szCs w:val="20"/>
        </w:rPr>
        <w:t>Final report on activities undertaken in relation to the outline of the Strategic Plan during the</w:t>
      </w:r>
      <w:r w:rsidR="00A00F7B" w:rsidRPr="001D375E">
        <w:rPr>
          <w:rFonts w:asciiTheme="majorHAnsi" w:hAnsiTheme="majorHAnsi"/>
          <w:sz w:val="20"/>
          <w:szCs w:val="20"/>
        </w:rPr>
        <w:t xml:space="preserve"> 2014-2015 </w:t>
      </w:r>
      <w:r>
        <w:rPr>
          <w:rFonts w:asciiTheme="majorHAnsi" w:hAnsiTheme="majorHAnsi"/>
          <w:sz w:val="20"/>
          <w:szCs w:val="20"/>
        </w:rPr>
        <w:t xml:space="preserve">period funded by the </w:t>
      </w:r>
      <w:r w:rsidRPr="008702DD">
        <w:rPr>
          <w:rFonts w:asciiTheme="majorHAnsi" w:hAnsiTheme="majorHAnsi"/>
          <w:iCs/>
          <w:sz w:val="20"/>
          <w:szCs w:val="20"/>
        </w:rPr>
        <w:t>Kingdom of the Netherlands</w:t>
      </w:r>
      <w:r w:rsidR="00A00F7B" w:rsidRPr="008702DD">
        <w:rPr>
          <w:rFonts w:asciiTheme="majorHAnsi" w:hAnsiTheme="majorHAnsi"/>
          <w:sz w:val="20"/>
          <w:szCs w:val="20"/>
        </w:rPr>
        <w:t>.</w:t>
      </w:r>
      <w:r w:rsidR="00A00F7B" w:rsidRPr="001D375E">
        <w:rPr>
          <w:rFonts w:asciiTheme="majorHAnsi" w:hAnsiTheme="majorHAnsi"/>
          <w:sz w:val="20"/>
          <w:szCs w:val="20"/>
        </w:rPr>
        <w:t xml:space="preserve"> </w:t>
      </w:r>
    </w:p>
    <w:p w:rsidR="00A00F7B" w:rsidRPr="001D375E" w:rsidRDefault="005537D6">
      <w:pPr>
        <w:numPr>
          <w:ilvl w:val="0"/>
          <w:numId w:val="14"/>
        </w:numPr>
        <w:spacing w:after="0" w:line="240" w:lineRule="auto"/>
        <w:ind w:hanging="720"/>
        <w:jc w:val="both"/>
        <w:rPr>
          <w:rFonts w:asciiTheme="majorHAnsi" w:hAnsiTheme="majorHAnsi"/>
          <w:sz w:val="20"/>
          <w:szCs w:val="20"/>
        </w:rPr>
      </w:pPr>
      <w:r>
        <w:rPr>
          <w:rFonts w:asciiTheme="majorHAnsi" w:hAnsiTheme="majorHAnsi"/>
          <w:sz w:val="20"/>
          <w:szCs w:val="20"/>
        </w:rPr>
        <w:t>Presentation of a document on the systematization of information and the</w:t>
      </w:r>
      <w:r w:rsidR="00A00F7B" w:rsidRPr="001D375E">
        <w:rPr>
          <w:rFonts w:asciiTheme="majorHAnsi" w:hAnsiTheme="majorHAnsi"/>
          <w:sz w:val="20"/>
          <w:szCs w:val="20"/>
        </w:rPr>
        <w:t xml:space="preserve"> </w:t>
      </w:r>
      <w:r>
        <w:rPr>
          <w:rFonts w:asciiTheme="majorHAnsi" w:hAnsiTheme="majorHAnsi"/>
          <w:sz w:val="20"/>
          <w:szCs w:val="20"/>
        </w:rPr>
        <w:t>supplementing of a report related to the project</w:t>
      </w:r>
      <w:r w:rsidR="00A00F7B" w:rsidRPr="001D375E">
        <w:rPr>
          <w:rFonts w:asciiTheme="majorHAnsi" w:hAnsiTheme="majorHAnsi"/>
          <w:sz w:val="20"/>
          <w:szCs w:val="20"/>
        </w:rPr>
        <w:t xml:space="preserve"> “</w:t>
      </w:r>
      <w:r>
        <w:rPr>
          <w:rFonts w:asciiTheme="majorHAnsi" w:hAnsiTheme="majorHAnsi"/>
          <w:sz w:val="20"/>
          <w:szCs w:val="20"/>
        </w:rPr>
        <w:t>Promotion and Standards of the</w:t>
      </w:r>
      <w:r w:rsidR="00A00F7B" w:rsidRPr="001D375E">
        <w:rPr>
          <w:rFonts w:asciiTheme="majorHAnsi" w:hAnsiTheme="majorHAnsi"/>
          <w:sz w:val="20"/>
          <w:szCs w:val="20"/>
        </w:rPr>
        <w:t xml:space="preserve"> </w:t>
      </w:r>
      <w:r w:rsidR="00F623B6">
        <w:rPr>
          <w:rFonts w:asciiTheme="majorHAnsi" w:hAnsiTheme="majorHAnsi"/>
          <w:sz w:val="20"/>
          <w:szCs w:val="20"/>
        </w:rPr>
        <w:t>Inter-American Human Rights System</w:t>
      </w:r>
      <w:r w:rsidR="00A00F7B" w:rsidRPr="001D375E">
        <w:rPr>
          <w:rFonts w:asciiTheme="majorHAnsi" w:hAnsiTheme="majorHAnsi"/>
          <w:sz w:val="20"/>
          <w:szCs w:val="20"/>
        </w:rPr>
        <w:t xml:space="preserve"> </w:t>
      </w:r>
      <w:r>
        <w:rPr>
          <w:rFonts w:asciiTheme="majorHAnsi" w:hAnsiTheme="majorHAnsi"/>
          <w:sz w:val="20"/>
          <w:szCs w:val="20"/>
        </w:rPr>
        <w:t>in the Area of Pretrial Detention in the Americas, in the context of the</w:t>
      </w:r>
      <w:r w:rsidR="001D375E">
        <w:rPr>
          <w:rFonts w:asciiTheme="majorHAnsi" w:hAnsiTheme="majorHAnsi"/>
          <w:sz w:val="20"/>
          <w:szCs w:val="20"/>
        </w:rPr>
        <w:t xml:space="preserve"> IACHR</w:t>
      </w:r>
      <w:r>
        <w:rPr>
          <w:rFonts w:asciiTheme="majorHAnsi" w:hAnsiTheme="majorHAnsi"/>
          <w:sz w:val="20"/>
          <w:szCs w:val="20"/>
        </w:rPr>
        <w:t xml:space="preserve"> Strategic Plan—Program</w:t>
      </w:r>
      <w:r w:rsidR="00A00F7B" w:rsidRPr="001D375E">
        <w:rPr>
          <w:rFonts w:asciiTheme="majorHAnsi" w:hAnsiTheme="majorHAnsi"/>
          <w:sz w:val="20"/>
          <w:szCs w:val="20"/>
        </w:rPr>
        <w:t xml:space="preserve"> 4</w:t>
      </w:r>
      <w:r w:rsidR="003D4701" w:rsidRPr="001D375E">
        <w:rPr>
          <w:rFonts w:asciiTheme="majorHAnsi" w:hAnsiTheme="majorHAnsi"/>
          <w:sz w:val="20"/>
          <w:szCs w:val="20"/>
        </w:rPr>
        <w:t>.</w:t>
      </w:r>
      <w:r w:rsidR="00A00F7B" w:rsidRPr="001D375E">
        <w:rPr>
          <w:rFonts w:asciiTheme="majorHAnsi" w:hAnsiTheme="majorHAnsi"/>
          <w:sz w:val="20"/>
          <w:szCs w:val="20"/>
        </w:rPr>
        <w:t xml:space="preserve">” </w:t>
      </w:r>
      <w:r w:rsidRPr="005537D6">
        <w:rPr>
          <w:rFonts w:asciiTheme="majorHAnsi" w:hAnsiTheme="majorHAnsi"/>
          <w:sz w:val="20"/>
          <w:szCs w:val="20"/>
        </w:rPr>
        <w:t xml:space="preserve">The report was requested for the evaluation and launching of the new 2015 project with </w:t>
      </w:r>
      <w:r>
        <w:rPr>
          <w:rFonts w:asciiTheme="majorHAnsi" w:hAnsiTheme="majorHAnsi"/>
          <w:sz w:val="20"/>
          <w:szCs w:val="20"/>
        </w:rPr>
        <w:t xml:space="preserve">the Spanish Fund in response to the observations of the OAS Department of Planning and Evaluation. </w:t>
      </w:r>
      <w:r w:rsidR="00A00F7B" w:rsidRPr="001D375E">
        <w:rPr>
          <w:rFonts w:asciiTheme="majorHAnsi" w:hAnsiTheme="majorHAnsi"/>
          <w:sz w:val="20"/>
          <w:szCs w:val="20"/>
        </w:rPr>
        <w:t xml:space="preserve"> </w:t>
      </w:r>
    </w:p>
    <w:p w:rsidR="00A00F7B" w:rsidRPr="001D375E" w:rsidRDefault="00BE2EBE">
      <w:pPr>
        <w:numPr>
          <w:ilvl w:val="0"/>
          <w:numId w:val="14"/>
        </w:numPr>
        <w:spacing w:after="0" w:line="240" w:lineRule="auto"/>
        <w:ind w:hanging="720"/>
        <w:jc w:val="both"/>
        <w:rPr>
          <w:rFonts w:asciiTheme="majorHAnsi" w:hAnsiTheme="majorHAnsi"/>
          <w:sz w:val="20"/>
          <w:szCs w:val="20"/>
        </w:rPr>
      </w:pPr>
      <w:r>
        <w:rPr>
          <w:rFonts w:asciiTheme="majorHAnsi" w:hAnsiTheme="majorHAnsi"/>
          <w:sz w:val="20"/>
          <w:szCs w:val="20"/>
        </w:rPr>
        <w:t>Support for and coordination of the Midterm Report on the promotion of the use of friendly settlement procedures for the Spanish Fund.</w:t>
      </w:r>
      <w:r w:rsidR="00A00F7B" w:rsidRPr="001D375E">
        <w:rPr>
          <w:rFonts w:asciiTheme="majorHAnsi" w:hAnsiTheme="majorHAnsi"/>
          <w:sz w:val="20"/>
          <w:szCs w:val="20"/>
        </w:rPr>
        <w:t xml:space="preserve"> </w:t>
      </w:r>
    </w:p>
    <w:p w:rsidR="00A00F7B" w:rsidRPr="001D375E" w:rsidRDefault="00616305">
      <w:pPr>
        <w:numPr>
          <w:ilvl w:val="0"/>
          <w:numId w:val="14"/>
        </w:numPr>
        <w:spacing w:after="0" w:line="240" w:lineRule="auto"/>
        <w:ind w:hanging="720"/>
        <w:jc w:val="both"/>
        <w:rPr>
          <w:rFonts w:asciiTheme="majorHAnsi" w:hAnsiTheme="majorHAnsi"/>
          <w:sz w:val="20"/>
          <w:szCs w:val="20"/>
        </w:rPr>
      </w:pPr>
      <w:r>
        <w:rPr>
          <w:rFonts w:asciiTheme="majorHAnsi" w:hAnsiTheme="majorHAnsi"/>
          <w:sz w:val="20"/>
          <w:szCs w:val="20"/>
        </w:rPr>
        <w:t>Annual Report on the Project</w:t>
      </w:r>
      <w:r w:rsidR="00A00F7B" w:rsidRPr="001D375E">
        <w:rPr>
          <w:rFonts w:asciiTheme="majorHAnsi" w:hAnsiTheme="majorHAnsi"/>
          <w:sz w:val="20"/>
          <w:szCs w:val="20"/>
        </w:rPr>
        <w:t xml:space="preserve"> “</w:t>
      </w:r>
      <w:r>
        <w:rPr>
          <w:rFonts w:asciiTheme="majorHAnsi" w:hAnsiTheme="majorHAnsi"/>
          <w:sz w:val="20"/>
          <w:szCs w:val="20"/>
        </w:rPr>
        <w:t>Assistance for the Strengthening of the</w:t>
      </w:r>
      <w:r w:rsidR="00A00F7B" w:rsidRPr="001D375E">
        <w:rPr>
          <w:rFonts w:asciiTheme="majorHAnsi" w:hAnsiTheme="majorHAnsi"/>
          <w:sz w:val="20"/>
          <w:szCs w:val="20"/>
        </w:rPr>
        <w:t xml:space="preserve"> </w:t>
      </w:r>
      <w:r w:rsidRPr="00616305">
        <w:rPr>
          <w:rFonts w:asciiTheme="majorHAnsi" w:hAnsiTheme="majorHAnsi"/>
          <w:sz w:val="20"/>
          <w:szCs w:val="20"/>
        </w:rPr>
        <w:t xml:space="preserve">Rapporteurship on the Rights of the Child </w:t>
      </w:r>
      <w:r w:rsidR="00A00F7B" w:rsidRPr="001D375E">
        <w:rPr>
          <w:rFonts w:asciiTheme="majorHAnsi" w:hAnsiTheme="majorHAnsi"/>
          <w:sz w:val="20"/>
          <w:szCs w:val="20"/>
        </w:rPr>
        <w:t xml:space="preserve">-2015” </w:t>
      </w:r>
      <w:r>
        <w:rPr>
          <w:rFonts w:asciiTheme="majorHAnsi" w:hAnsiTheme="majorHAnsi"/>
          <w:sz w:val="20"/>
          <w:szCs w:val="20"/>
        </w:rPr>
        <w:t>funded by</w:t>
      </w:r>
      <w:r w:rsidR="00A00F7B" w:rsidRPr="001D375E">
        <w:rPr>
          <w:rFonts w:asciiTheme="majorHAnsi" w:hAnsiTheme="majorHAnsi"/>
          <w:sz w:val="20"/>
          <w:szCs w:val="20"/>
        </w:rPr>
        <w:t xml:space="preserve"> </w:t>
      </w:r>
      <w:r w:rsidR="00A00F7B" w:rsidRPr="00616305">
        <w:rPr>
          <w:rFonts w:asciiTheme="majorHAnsi" w:hAnsiTheme="majorHAnsi"/>
          <w:sz w:val="20"/>
          <w:szCs w:val="20"/>
        </w:rPr>
        <w:t>Save the Children.</w:t>
      </w:r>
      <w:r w:rsidR="00A00F7B" w:rsidRPr="001D375E">
        <w:rPr>
          <w:rFonts w:asciiTheme="majorHAnsi" w:hAnsiTheme="majorHAnsi"/>
          <w:sz w:val="20"/>
          <w:szCs w:val="20"/>
        </w:rPr>
        <w:t xml:space="preserve"> </w:t>
      </w:r>
    </w:p>
    <w:p w:rsidR="00A00F7B" w:rsidRPr="001D375E" w:rsidRDefault="00616305">
      <w:pPr>
        <w:numPr>
          <w:ilvl w:val="0"/>
          <w:numId w:val="14"/>
        </w:numPr>
        <w:spacing w:after="0" w:line="240" w:lineRule="auto"/>
        <w:ind w:hanging="720"/>
        <w:jc w:val="both"/>
        <w:rPr>
          <w:rFonts w:asciiTheme="majorHAnsi" w:hAnsiTheme="majorHAnsi"/>
          <w:sz w:val="20"/>
          <w:szCs w:val="20"/>
        </w:rPr>
      </w:pPr>
      <w:r>
        <w:rPr>
          <w:rFonts w:asciiTheme="majorHAnsi" w:hAnsiTheme="majorHAnsi"/>
          <w:sz w:val="20"/>
          <w:szCs w:val="20"/>
        </w:rPr>
        <w:t xml:space="preserve">Annual Report on the strategic plan programs funded by the contribution from the Kingdom of Norway in </w:t>
      </w:r>
      <w:r w:rsidR="00A00F7B" w:rsidRPr="001D375E">
        <w:rPr>
          <w:rFonts w:asciiTheme="majorHAnsi" w:hAnsiTheme="majorHAnsi"/>
          <w:sz w:val="20"/>
          <w:szCs w:val="20"/>
        </w:rPr>
        <w:t>2015.</w:t>
      </w:r>
      <w:r>
        <w:rPr>
          <w:rFonts w:asciiTheme="majorHAnsi" w:hAnsiTheme="majorHAnsi"/>
          <w:sz w:val="20"/>
          <w:szCs w:val="20"/>
        </w:rPr>
        <w:t xml:space="preserve"> </w:t>
      </w:r>
    </w:p>
    <w:p w:rsidR="00A00F7B" w:rsidRPr="001D375E" w:rsidRDefault="00E87DE2">
      <w:pPr>
        <w:numPr>
          <w:ilvl w:val="0"/>
          <w:numId w:val="14"/>
        </w:numPr>
        <w:spacing w:after="0" w:line="240" w:lineRule="auto"/>
        <w:ind w:hanging="720"/>
        <w:jc w:val="both"/>
        <w:rPr>
          <w:rFonts w:asciiTheme="majorHAnsi" w:eastAsia="Times New Roman" w:hAnsiTheme="majorHAnsi" w:cs="Calibri"/>
          <w:sz w:val="20"/>
          <w:szCs w:val="20"/>
        </w:rPr>
      </w:pPr>
      <w:r>
        <w:rPr>
          <w:rFonts w:asciiTheme="majorHAnsi" w:hAnsiTheme="majorHAnsi"/>
          <w:sz w:val="20"/>
          <w:szCs w:val="20"/>
        </w:rPr>
        <w:t>The</w:t>
      </w:r>
      <w:r w:rsidR="00A00F7B" w:rsidRPr="001D375E">
        <w:rPr>
          <w:rFonts w:asciiTheme="majorHAnsi" w:hAnsiTheme="majorHAnsi"/>
          <w:sz w:val="20"/>
          <w:szCs w:val="20"/>
        </w:rPr>
        <w:t xml:space="preserve"> SMRAP </w:t>
      </w:r>
      <w:r>
        <w:rPr>
          <w:rFonts w:asciiTheme="majorHAnsi" w:hAnsiTheme="majorHAnsi"/>
          <w:sz w:val="20"/>
          <w:szCs w:val="20"/>
        </w:rPr>
        <w:t>has coordinated the provision of inputs and prepared the report on the project funded by the</w:t>
      </w:r>
      <w:r w:rsidR="003D4701" w:rsidRPr="001D375E">
        <w:rPr>
          <w:rFonts w:asciiTheme="majorHAnsi" w:hAnsiTheme="majorHAnsi"/>
          <w:sz w:val="20"/>
          <w:szCs w:val="20"/>
        </w:rPr>
        <w:t xml:space="preserve"> </w:t>
      </w:r>
      <w:r w:rsidR="001D375E">
        <w:rPr>
          <w:rFonts w:asciiTheme="majorHAnsi" w:hAnsiTheme="majorHAnsi"/>
          <w:sz w:val="20"/>
          <w:szCs w:val="20"/>
        </w:rPr>
        <w:t>European Commission</w:t>
      </w:r>
      <w:r w:rsidR="00A00F7B" w:rsidRPr="001D375E">
        <w:rPr>
          <w:rFonts w:asciiTheme="majorHAnsi" w:hAnsiTheme="majorHAnsi"/>
          <w:sz w:val="20"/>
          <w:szCs w:val="20"/>
        </w:rPr>
        <w:t xml:space="preserve"> </w:t>
      </w:r>
      <w:r>
        <w:rPr>
          <w:rFonts w:asciiTheme="majorHAnsi" w:hAnsiTheme="majorHAnsi"/>
          <w:sz w:val="20"/>
          <w:szCs w:val="20"/>
        </w:rPr>
        <w:t>on the</w:t>
      </w:r>
      <w:r w:rsidR="00A00F7B" w:rsidRPr="001D375E">
        <w:rPr>
          <w:rFonts w:asciiTheme="majorHAnsi" w:hAnsiTheme="majorHAnsi"/>
          <w:sz w:val="20"/>
          <w:szCs w:val="20"/>
        </w:rPr>
        <w:t xml:space="preserve"> </w:t>
      </w:r>
      <w:r>
        <w:rPr>
          <w:rFonts w:asciiTheme="majorHAnsi" w:hAnsiTheme="majorHAnsi"/>
          <w:i/>
          <w:sz w:val="20"/>
          <w:szCs w:val="20"/>
        </w:rPr>
        <w:t>Promotion and Protection of the Rights of the Most At-Risk Populations in the Americas.</w:t>
      </w:r>
      <w:r w:rsidR="00A00F7B" w:rsidRPr="001D375E">
        <w:rPr>
          <w:rFonts w:asciiTheme="majorHAnsi" w:hAnsiTheme="majorHAnsi"/>
          <w:i/>
          <w:sz w:val="20"/>
          <w:szCs w:val="20"/>
        </w:rPr>
        <w:t xml:space="preserve"> </w:t>
      </w:r>
    </w:p>
    <w:p w:rsidR="00A00F7B" w:rsidRPr="001D375E" w:rsidRDefault="00A00F7B">
      <w:pPr>
        <w:spacing w:after="0" w:line="240" w:lineRule="auto"/>
        <w:ind w:left="1080"/>
        <w:jc w:val="both"/>
        <w:rPr>
          <w:rFonts w:asciiTheme="majorHAnsi" w:eastAsia="MS Mincho" w:hAnsiTheme="majorHAnsi"/>
          <w:b/>
          <w:sz w:val="20"/>
          <w:szCs w:val="20"/>
        </w:rPr>
      </w:pPr>
    </w:p>
    <w:p w:rsidR="00A00F7B" w:rsidRPr="00F5716D" w:rsidRDefault="00914F78">
      <w:pPr>
        <w:pStyle w:val="Heading3"/>
        <w:rPr>
          <w:lang w:val="en-US"/>
        </w:rPr>
      </w:pPr>
      <w:r w:rsidRPr="00F5716D">
        <w:rPr>
          <w:lang w:val="en-US"/>
        </w:rPr>
        <w:t xml:space="preserve">Exploration of New Sources and Opportunities </w:t>
      </w:r>
    </w:p>
    <w:p w:rsidR="00A00F7B" w:rsidRPr="001D375E" w:rsidRDefault="00A00F7B">
      <w:pPr>
        <w:spacing w:after="0" w:line="240" w:lineRule="auto"/>
        <w:ind w:left="1080"/>
        <w:jc w:val="both"/>
        <w:rPr>
          <w:rFonts w:asciiTheme="majorHAnsi" w:eastAsia="MS Mincho" w:hAnsiTheme="majorHAnsi"/>
          <w:b/>
          <w:sz w:val="20"/>
          <w:szCs w:val="20"/>
        </w:rPr>
      </w:pPr>
    </w:p>
    <w:p w:rsidR="00A00F7B" w:rsidRPr="001D375E" w:rsidRDefault="00E87DE2" w:rsidP="00F5716D">
      <w:pPr>
        <w:numPr>
          <w:ilvl w:val="0"/>
          <w:numId w:val="9"/>
        </w:numPr>
        <w:spacing w:after="0" w:line="240" w:lineRule="auto"/>
        <w:ind w:left="0" w:firstLine="720"/>
        <w:contextualSpacing/>
        <w:jc w:val="both"/>
        <w:rPr>
          <w:rFonts w:asciiTheme="majorHAnsi" w:eastAsia="Times New Roman" w:hAnsiTheme="majorHAnsi" w:cs="Calibri"/>
          <w:sz w:val="20"/>
          <w:szCs w:val="20"/>
        </w:rPr>
      </w:pPr>
      <w:r>
        <w:rPr>
          <w:rFonts w:asciiTheme="majorHAnsi" w:eastAsia="Times New Roman" w:hAnsiTheme="majorHAnsi" w:cs="Calibri"/>
          <w:sz w:val="20"/>
          <w:szCs w:val="20"/>
        </w:rPr>
        <w:t>In view of</w:t>
      </w:r>
      <w:r w:rsidR="00A00F7B" w:rsidRPr="001D375E">
        <w:rPr>
          <w:rFonts w:asciiTheme="majorHAnsi" w:eastAsia="Times New Roman" w:hAnsiTheme="majorHAnsi" w:cs="Calibri"/>
          <w:sz w:val="20"/>
          <w:szCs w:val="20"/>
        </w:rPr>
        <w:t xml:space="preserve"> </w:t>
      </w:r>
      <w:r w:rsidR="001D375E">
        <w:rPr>
          <w:rFonts w:asciiTheme="majorHAnsi" w:eastAsia="Times New Roman" w:hAnsiTheme="majorHAnsi" w:cs="Calibri"/>
          <w:sz w:val="20"/>
          <w:szCs w:val="20"/>
        </w:rPr>
        <w:t>the IACHR</w:t>
      </w:r>
      <w:r>
        <w:rPr>
          <w:rFonts w:asciiTheme="majorHAnsi" w:eastAsia="Times New Roman" w:hAnsiTheme="majorHAnsi" w:cs="Calibri"/>
          <w:sz w:val="20"/>
          <w:szCs w:val="20"/>
        </w:rPr>
        <w:t>’s instruction to request voluntary contributions for the development of the</w:t>
      </w:r>
      <w:r w:rsidR="00F33489" w:rsidRPr="001D375E">
        <w:rPr>
          <w:rFonts w:asciiTheme="majorHAnsi" w:eastAsia="Times New Roman" w:hAnsiTheme="majorHAnsi" w:cs="Calibri"/>
          <w:sz w:val="20"/>
          <w:szCs w:val="20"/>
        </w:rPr>
        <w:t xml:space="preserve"> </w:t>
      </w:r>
      <w:r w:rsidR="00597D30" w:rsidRPr="001D375E">
        <w:rPr>
          <w:rFonts w:asciiTheme="majorHAnsi" w:eastAsia="Times New Roman" w:hAnsiTheme="majorHAnsi" w:cs="Calibri"/>
          <w:sz w:val="20"/>
          <w:szCs w:val="20"/>
        </w:rPr>
        <w:t>2016-2020</w:t>
      </w:r>
      <w:r w:rsidR="00F33489" w:rsidRPr="001D375E">
        <w:rPr>
          <w:rFonts w:asciiTheme="majorHAnsi" w:eastAsia="Times New Roman" w:hAnsiTheme="majorHAnsi" w:cs="Calibri"/>
          <w:sz w:val="20"/>
          <w:szCs w:val="20"/>
        </w:rPr>
        <w:t xml:space="preserve"> </w:t>
      </w:r>
      <w:r>
        <w:rPr>
          <w:rFonts w:asciiTheme="majorHAnsi" w:eastAsia="Times New Roman" w:hAnsiTheme="majorHAnsi" w:cs="Calibri"/>
          <w:sz w:val="20"/>
          <w:szCs w:val="20"/>
        </w:rPr>
        <w:t xml:space="preserve">strategic plan as well as an extraordinary contribution for the creation of </w:t>
      </w:r>
      <w:r w:rsidR="00914F78">
        <w:rPr>
          <w:rFonts w:asciiTheme="majorHAnsi" w:eastAsia="Times New Roman" w:hAnsiTheme="majorHAnsi" w:cs="Calibri"/>
          <w:sz w:val="20"/>
          <w:szCs w:val="20"/>
        </w:rPr>
        <w:t>the Rapporteurship on Econom</w:t>
      </w:r>
      <w:r>
        <w:rPr>
          <w:rFonts w:asciiTheme="majorHAnsi" w:eastAsia="Times New Roman" w:hAnsiTheme="majorHAnsi" w:cs="Calibri"/>
          <w:sz w:val="20"/>
          <w:szCs w:val="20"/>
        </w:rPr>
        <w:t>ic, Social, and Cultural Rights</w:t>
      </w:r>
      <w:r w:rsidR="00A00F7B" w:rsidRPr="001D375E">
        <w:rPr>
          <w:rFonts w:asciiTheme="majorHAnsi" w:eastAsia="Times New Roman" w:hAnsiTheme="majorHAnsi" w:cs="Calibri"/>
          <w:sz w:val="20"/>
          <w:szCs w:val="20"/>
        </w:rPr>
        <w:t xml:space="preserve">, 33 </w:t>
      </w:r>
      <w:r>
        <w:rPr>
          <w:rFonts w:asciiTheme="majorHAnsi" w:eastAsia="Times New Roman" w:hAnsiTheme="majorHAnsi" w:cs="Calibri"/>
          <w:sz w:val="20"/>
          <w:szCs w:val="20"/>
        </w:rPr>
        <w:t>letters were sent to Member States</w:t>
      </w:r>
      <w:r w:rsidR="00A00F7B" w:rsidRPr="001D375E">
        <w:rPr>
          <w:rFonts w:asciiTheme="majorHAnsi" w:eastAsia="Times New Roman" w:hAnsiTheme="majorHAnsi" w:cs="Calibri"/>
          <w:sz w:val="20"/>
          <w:szCs w:val="20"/>
        </w:rPr>
        <w:t xml:space="preserve">. </w:t>
      </w:r>
      <w:r w:rsidR="002B6444">
        <w:rPr>
          <w:rFonts w:asciiTheme="majorHAnsi" w:eastAsia="Times New Roman" w:hAnsiTheme="majorHAnsi" w:cs="Calibri"/>
          <w:sz w:val="20"/>
          <w:szCs w:val="20"/>
        </w:rPr>
        <w:t xml:space="preserve"> </w:t>
      </w:r>
      <w:r>
        <w:rPr>
          <w:rFonts w:asciiTheme="majorHAnsi" w:eastAsia="Times New Roman" w:hAnsiTheme="majorHAnsi" w:cs="Calibri"/>
          <w:sz w:val="20"/>
          <w:szCs w:val="20"/>
        </w:rPr>
        <w:t>In addition, letters of introduction and letters of interest were drafted and sent to international organizations and donors such as</w:t>
      </w:r>
      <w:r w:rsidR="00A00F7B" w:rsidRPr="001D375E">
        <w:rPr>
          <w:rFonts w:asciiTheme="majorHAnsi" w:eastAsia="Times New Roman" w:hAnsiTheme="majorHAnsi" w:cs="Calibri"/>
          <w:sz w:val="20"/>
          <w:szCs w:val="20"/>
        </w:rPr>
        <w:t xml:space="preserve"> OXFAM UK, </w:t>
      </w:r>
      <w:r>
        <w:rPr>
          <w:rFonts w:asciiTheme="majorHAnsi" w:eastAsia="Times New Roman" w:hAnsiTheme="majorHAnsi" w:cs="Calibri"/>
          <w:sz w:val="20"/>
          <w:szCs w:val="20"/>
        </w:rPr>
        <w:t xml:space="preserve">the </w:t>
      </w:r>
      <w:r w:rsidR="00A00F7B" w:rsidRPr="001D375E">
        <w:rPr>
          <w:rFonts w:asciiTheme="majorHAnsi" w:eastAsia="Times New Roman" w:hAnsiTheme="majorHAnsi" w:cs="Calibri"/>
          <w:sz w:val="20"/>
          <w:szCs w:val="20"/>
        </w:rPr>
        <w:t>International Development Research Cente</w:t>
      </w:r>
      <w:r>
        <w:rPr>
          <w:rFonts w:asciiTheme="majorHAnsi" w:eastAsia="Times New Roman" w:hAnsiTheme="majorHAnsi" w:cs="Calibri"/>
          <w:sz w:val="20"/>
          <w:szCs w:val="20"/>
        </w:rPr>
        <w:t>r (IDRC) in Canada</w:t>
      </w:r>
      <w:r w:rsidR="00597D30" w:rsidRPr="001D375E">
        <w:rPr>
          <w:rFonts w:asciiTheme="majorHAnsi" w:eastAsia="Times New Roman" w:hAnsiTheme="majorHAnsi" w:cs="Calibri"/>
          <w:sz w:val="20"/>
          <w:szCs w:val="20"/>
        </w:rPr>
        <w:t xml:space="preserve">, </w:t>
      </w:r>
      <w:r>
        <w:rPr>
          <w:rFonts w:asciiTheme="majorHAnsi" w:eastAsia="Times New Roman" w:hAnsiTheme="majorHAnsi" w:cs="Calibri"/>
          <w:sz w:val="20"/>
          <w:szCs w:val="20"/>
        </w:rPr>
        <w:t xml:space="preserve">and the </w:t>
      </w:r>
      <w:r w:rsidR="00597D30" w:rsidRPr="001D375E">
        <w:rPr>
          <w:rFonts w:asciiTheme="majorHAnsi" w:eastAsia="Times New Roman" w:hAnsiTheme="majorHAnsi" w:cs="Calibri"/>
          <w:sz w:val="20"/>
          <w:szCs w:val="20"/>
        </w:rPr>
        <w:t>Oak</w:t>
      </w:r>
      <w:r>
        <w:rPr>
          <w:rFonts w:asciiTheme="majorHAnsi" w:eastAsia="Times New Roman" w:hAnsiTheme="majorHAnsi" w:cs="Calibri"/>
          <w:sz w:val="20"/>
          <w:szCs w:val="20"/>
        </w:rPr>
        <w:t xml:space="preserve"> Foundation</w:t>
      </w:r>
      <w:r w:rsidR="00A00F7B" w:rsidRPr="001D375E">
        <w:rPr>
          <w:rFonts w:asciiTheme="majorHAnsi" w:eastAsia="Times New Roman" w:hAnsiTheme="majorHAnsi" w:cs="Calibri"/>
          <w:sz w:val="20"/>
          <w:szCs w:val="20"/>
        </w:rPr>
        <w:t xml:space="preserve">, </w:t>
      </w:r>
      <w:r>
        <w:rPr>
          <w:rFonts w:asciiTheme="majorHAnsi" w:eastAsia="Times New Roman" w:hAnsiTheme="majorHAnsi" w:cs="Calibri"/>
          <w:sz w:val="20"/>
          <w:szCs w:val="20"/>
        </w:rPr>
        <w:t>as well as the governments of Korea and Japan.</w:t>
      </w:r>
      <w:r w:rsidR="00A00F7B" w:rsidRPr="001D375E">
        <w:rPr>
          <w:rFonts w:asciiTheme="majorHAnsi" w:eastAsia="Times New Roman" w:hAnsiTheme="majorHAnsi" w:cs="Calibri"/>
          <w:sz w:val="20"/>
          <w:szCs w:val="20"/>
        </w:rPr>
        <w:t xml:space="preserve"> </w:t>
      </w:r>
    </w:p>
    <w:p w:rsidR="00A00F7B" w:rsidRPr="001D375E" w:rsidRDefault="00A00F7B">
      <w:pPr>
        <w:spacing w:after="0" w:line="240" w:lineRule="auto"/>
        <w:ind w:firstLine="720"/>
        <w:contextualSpacing/>
        <w:jc w:val="both"/>
        <w:rPr>
          <w:rFonts w:asciiTheme="majorHAnsi" w:eastAsia="Times New Roman" w:hAnsiTheme="majorHAnsi" w:cs="Calibri"/>
          <w:sz w:val="20"/>
          <w:szCs w:val="20"/>
        </w:rPr>
      </w:pPr>
    </w:p>
    <w:p w:rsidR="00A00F7B" w:rsidRPr="001D375E" w:rsidRDefault="00051AAF" w:rsidP="00F5716D">
      <w:pPr>
        <w:numPr>
          <w:ilvl w:val="0"/>
          <w:numId w:val="9"/>
        </w:numPr>
        <w:spacing w:after="0" w:line="240" w:lineRule="auto"/>
        <w:ind w:left="0" w:firstLine="720"/>
        <w:contextualSpacing/>
        <w:jc w:val="both"/>
        <w:rPr>
          <w:rFonts w:asciiTheme="majorHAnsi" w:eastAsia="Times New Roman" w:hAnsiTheme="majorHAnsi" w:cs="Calibri"/>
          <w:sz w:val="20"/>
          <w:szCs w:val="20"/>
        </w:rPr>
      </w:pPr>
      <w:r>
        <w:rPr>
          <w:rFonts w:asciiTheme="majorHAnsi" w:eastAsia="Times New Roman" w:hAnsiTheme="majorHAnsi" w:cs="Calibri"/>
          <w:sz w:val="20"/>
          <w:szCs w:val="20"/>
        </w:rPr>
        <w:lastRenderedPageBreak/>
        <w:t>A partnership was established with the</w:t>
      </w:r>
      <w:r w:rsidR="00A00F7B" w:rsidRPr="001D375E">
        <w:rPr>
          <w:rFonts w:asciiTheme="majorHAnsi" w:eastAsia="Times New Roman" w:hAnsiTheme="majorHAnsi" w:cs="Calibri"/>
          <w:sz w:val="20"/>
          <w:szCs w:val="20"/>
        </w:rPr>
        <w:t xml:space="preserve"> </w:t>
      </w:r>
      <w:r w:rsidR="00597D30" w:rsidRPr="001D375E">
        <w:rPr>
          <w:rFonts w:asciiTheme="majorHAnsi" w:eastAsia="Times New Roman" w:hAnsiTheme="majorHAnsi" w:cs="Calibri"/>
          <w:sz w:val="20"/>
          <w:szCs w:val="20"/>
        </w:rPr>
        <w:t>Pan American Development Foundation</w:t>
      </w:r>
      <w:r>
        <w:rPr>
          <w:rFonts w:asciiTheme="majorHAnsi" w:eastAsia="Times New Roman" w:hAnsiTheme="majorHAnsi" w:cs="Calibri"/>
          <w:sz w:val="20"/>
          <w:szCs w:val="20"/>
        </w:rPr>
        <w:t xml:space="preserve"> (PADF</w:t>
      </w:r>
      <w:r w:rsidR="00A00F7B" w:rsidRPr="001D375E">
        <w:rPr>
          <w:rFonts w:asciiTheme="majorHAnsi" w:eastAsia="Times New Roman" w:hAnsiTheme="majorHAnsi" w:cs="Calibri"/>
          <w:sz w:val="20"/>
          <w:szCs w:val="20"/>
        </w:rPr>
        <w:t xml:space="preserve">) </w:t>
      </w:r>
      <w:r>
        <w:rPr>
          <w:rFonts w:asciiTheme="majorHAnsi" w:eastAsia="Times New Roman" w:hAnsiTheme="majorHAnsi" w:cs="Calibri"/>
          <w:sz w:val="20"/>
          <w:szCs w:val="20"/>
        </w:rPr>
        <w:t xml:space="preserve">for the presentation of joint proposals to donors to which </w:t>
      </w:r>
      <w:r w:rsidR="001D375E">
        <w:rPr>
          <w:rFonts w:asciiTheme="majorHAnsi" w:eastAsia="Times New Roman" w:hAnsiTheme="majorHAnsi" w:cs="Calibri"/>
          <w:sz w:val="20"/>
          <w:szCs w:val="20"/>
        </w:rPr>
        <w:t>the IACHR</w:t>
      </w:r>
      <w:r w:rsidR="00A00F7B" w:rsidRPr="001D375E">
        <w:rPr>
          <w:rFonts w:asciiTheme="majorHAnsi" w:eastAsia="Times New Roman" w:hAnsiTheme="majorHAnsi" w:cs="Calibri"/>
          <w:sz w:val="20"/>
          <w:szCs w:val="20"/>
        </w:rPr>
        <w:t xml:space="preserve"> </w:t>
      </w:r>
      <w:r>
        <w:rPr>
          <w:rFonts w:asciiTheme="majorHAnsi" w:eastAsia="Times New Roman" w:hAnsiTheme="majorHAnsi" w:cs="Calibri"/>
          <w:sz w:val="20"/>
          <w:szCs w:val="20"/>
        </w:rPr>
        <w:t>did not have direct access</w:t>
      </w:r>
      <w:r w:rsidR="00A00F7B" w:rsidRPr="001D375E">
        <w:rPr>
          <w:rFonts w:asciiTheme="majorHAnsi" w:eastAsia="Times New Roman" w:hAnsiTheme="majorHAnsi" w:cs="Calibri"/>
          <w:sz w:val="20"/>
          <w:szCs w:val="20"/>
        </w:rPr>
        <w:t xml:space="preserve">. </w:t>
      </w:r>
      <w:r w:rsidR="002B6444">
        <w:rPr>
          <w:rFonts w:asciiTheme="majorHAnsi" w:eastAsia="Times New Roman" w:hAnsiTheme="majorHAnsi" w:cs="Calibri"/>
          <w:sz w:val="20"/>
          <w:szCs w:val="20"/>
        </w:rPr>
        <w:t xml:space="preserve"> </w:t>
      </w:r>
      <w:r>
        <w:rPr>
          <w:rFonts w:asciiTheme="majorHAnsi" w:eastAsia="Times New Roman" w:hAnsiTheme="majorHAnsi" w:cs="Calibri"/>
          <w:sz w:val="20"/>
          <w:szCs w:val="20"/>
        </w:rPr>
        <w:t>One of them was partner support</w:t>
      </w:r>
      <w:r w:rsidR="00A00F7B" w:rsidRPr="001D375E">
        <w:rPr>
          <w:rFonts w:asciiTheme="majorHAnsi" w:eastAsia="Times New Roman" w:hAnsiTheme="majorHAnsi" w:cs="Calibri"/>
          <w:sz w:val="20"/>
          <w:szCs w:val="20"/>
        </w:rPr>
        <w:t xml:space="preserve"> </w:t>
      </w:r>
      <w:r>
        <w:rPr>
          <w:rFonts w:asciiTheme="majorHAnsi" w:eastAsia="Times New Roman" w:hAnsiTheme="majorHAnsi" w:cs="Calibri"/>
          <w:sz w:val="20"/>
          <w:szCs w:val="20"/>
        </w:rPr>
        <w:t>for a proposal to</w:t>
      </w:r>
      <w:r w:rsidR="00A00F7B" w:rsidRPr="001D375E">
        <w:rPr>
          <w:rFonts w:asciiTheme="majorHAnsi" w:eastAsia="Times New Roman" w:hAnsiTheme="majorHAnsi" w:cs="Calibri"/>
          <w:sz w:val="20"/>
          <w:szCs w:val="20"/>
        </w:rPr>
        <w:t xml:space="preserve"> USAID </w:t>
      </w:r>
      <w:r>
        <w:rPr>
          <w:rFonts w:asciiTheme="majorHAnsi" w:eastAsia="Times New Roman" w:hAnsiTheme="majorHAnsi" w:cs="Calibri"/>
          <w:sz w:val="20"/>
          <w:szCs w:val="20"/>
        </w:rPr>
        <w:t xml:space="preserve">in a competitive bidding process on public policy and human rights in Mexico. </w:t>
      </w:r>
      <w:r w:rsidR="002B6444">
        <w:rPr>
          <w:rFonts w:asciiTheme="majorHAnsi" w:eastAsia="Times New Roman" w:hAnsiTheme="majorHAnsi" w:cs="Calibri"/>
          <w:sz w:val="20"/>
          <w:szCs w:val="20"/>
        </w:rPr>
        <w:t xml:space="preserve"> </w:t>
      </w:r>
      <w:r>
        <w:rPr>
          <w:rFonts w:asciiTheme="majorHAnsi" w:eastAsia="Times New Roman" w:hAnsiTheme="majorHAnsi" w:cs="Calibri"/>
          <w:sz w:val="20"/>
          <w:szCs w:val="20"/>
        </w:rPr>
        <w:t>Unfortunately, another organization won the bid.</w:t>
      </w:r>
      <w:r w:rsidR="00A00F7B" w:rsidRPr="001D375E">
        <w:rPr>
          <w:rFonts w:asciiTheme="majorHAnsi" w:eastAsia="Times New Roman" w:hAnsiTheme="majorHAnsi" w:cs="Calibri"/>
          <w:sz w:val="20"/>
          <w:szCs w:val="20"/>
        </w:rPr>
        <w:t xml:space="preserve"> </w:t>
      </w:r>
    </w:p>
    <w:p w:rsidR="00A00F7B" w:rsidRPr="001D375E" w:rsidRDefault="00A00F7B">
      <w:pPr>
        <w:spacing w:after="0" w:line="240" w:lineRule="auto"/>
        <w:ind w:left="720"/>
        <w:contextualSpacing/>
        <w:jc w:val="both"/>
        <w:rPr>
          <w:rFonts w:asciiTheme="majorHAnsi" w:eastAsia="Times New Roman" w:hAnsiTheme="majorHAnsi" w:cs="Calibri"/>
          <w:sz w:val="20"/>
          <w:szCs w:val="20"/>
        </w:rPr>
      </w:pPr>
    </w:p>
    <w:p w:rsidR="0048417D" w:rsidRPr="001D375E" w:rsidRDefault="00914F78">
      <w:pPr>
        <w:pStyle w:val="Heading2"/>
        <w:rPr>
          <w:lang w:val="en-US"/>
        </w:rPr>
      </w:pPr>
      <w:r>
        <w:rPr>
          <w:lang w:val="en-US"/>
        </w:rPr>
        <w:t>Technolog</w:t>
      </w:r>
      <w:r w:rsidR="00FC5EF3">
        <w:rPr>
          <w:lang w:val="en-US"/>
        </w:rPr>
        <w:t>y</w:t>
      </w:r>
      <w:r>
        <w:rPr>
          <w:lang w:val="en-US"/>
        </w:rPr>
        <w:t xml:space="preserve"> Advances</w:t>
      </w:r>
    </w:p>
    <w:p w:rsidR="0048417D" w:rsidRPr="001D375E" w:rsidRDefault="0048417D">
      <w:pPr>
        <w:pStyle w:val="ListParagraph"/>
        <w:jc w:val="both"/>
        <w:rPr>
          <w:rFonts w:asciiTheme="majorHAnsi" w:hAnsiTheme="majorHAnsi" w:cs="Calibri"/>
          <w:sz w:val="20"/>
          <w:szCs w:val="20"/>
        </w:rPr>
      </w:pPr>
    </w:p>
    <w:p w:rsidR="0048417D" w:rsidRPr="001D375E" w:rsidRDefault="005D1B66">
      <w:pPr>
        <w:pStyle w:val="ListParagraph"/>
        <w:numPr>
          <w:ilvl w:val="0"/>
          <w:numId w:val="9"/>
        </w:numPr>
        <w:ind w:left="0" w:firstLine="720"/>
        <w:jc w:val="both"/>
        <w:rPr>
          <w:rFonts w:asciiTheme="majorHAnsi" w:hAnsiTheme="majorHAnsi" w:cs="Calibri"/>
          <w:sz w:val="20"/>
          <w:szCs w:val="20"/>
        </w:rPr>
      </w:pPr>
      <w:r w:rsidRPr="005D1B66">
        <w:rPr>
          <w:rFonts w:asciiTheme="majorHAnsi" w:hAnsiTheme="majorHAnsi" w:cs="Calibri"/>
          <w:sz w:val="20"/>
          <w:szCs w:val="20"/>
        </w:rPr>
        <w:t>The Technology and Systems Unit (</w:t>
      </w:r>
      <w:r w:rsidR="003C2655">
        <w:rPr>
          <w:rFonts w:asciiTheme="majorHAnsi" w:hAnsiTheme="majorHAnsi" w:cs="Calibri"/>
          <w:sz w:val="20"/>
          <w:szCs w:val="20"/>
        </w:rPr>
        <w:t>UTS</w:t>
      </w:r>
      <w:r w:rsidRPr="005D1B66">
        <w:rPr>
          <w:rFonts w:asciiTheme="majorHAnsi" w:hAnsiTheme="majorHAnsi" w:cs="Calibri"/>
          <w:sz w:val="20"/>
          <w:szCs w:val="20"/>
        </w:rPr>
        <w:t xml:space="preserve">) is responsible for managing information technology resources, projects, systems applications, and telecommunications </w:t>
      </w:r>
      <w:r>
        <w:rPr>
          <w:rFonts w:asciiTheme="majorHAnsi" w:hAnsiTheme="majorHAnsi" w:cs="Calibri"/>
          <w:sz w:val="20"/>
          <w:szCs w:val="20"/>
        </w:rPr>
        <w:t>for</w:t>
      </w:r>
      <w:r w:rsidRPr="005D1B66">
        <w:rPr>
          <w:rFonts w:asciiTheme="majorHAnsi" w:hAnsiTheme="majorHAnsi" w:cs="Calibri"/>
          <w:sz w:val="20"/>
          <w:szCs w:val="20"/>
        </w:rPr>
        <w:t xml:space="preserve"> the IACHR.  The </w:t>
      </w:r>
      <w:r w:rsidR="003C2655">
        <w:rPr>
          <w:rFonts w:asciiTheme="majorHAnsi" w:hAnsiTheme="majorHAnsi" w:cs="Calibri"/>
          <w:sz w:val="20"/>
          <w:szCs w:val="20"/>
        </w:rPr>
        <w:t>UTS</w:t>
      </w:r>
      <w:r w:rsidR="003C2655" w:rsidRPr="005D1B66">
        <w:rPr>
          <w:rFonts w:asciiTheme="majorHAnsi" w:hAnsiTheme="majorHAnsi" w:cs="Calibri"/>
          <w:sz w:val="20"/>
          <w:szCs w:val="20"/>
        </w:rPr>
        <w:t xml:space="preserve"> </w:t>
      </w:r>
      <w:r w:rsidRPr="005D1B66">
        <w:rPr>
          <w:rFonts w:asciiTheme="majorHAnsi" w:hAnsiTheme="majorHAnsi" w:cs="Calibri"/>
          <w:sz w:val="20"/>
          <w:szCs w:val="20"/>
        </w:rPr>
        <w:t>main functions are to promote</w:t>
      </w:r>
      <w:r>
        <w:rPr>
          <w:rFonts w:asciiTheme="majorHAnsi" w:hAnsiTheme="majorHAnsi" w:cs="Calibri"/>
          <w:sz w:val="20"/>
          <w:szCs w:val="20"/>
        </w:rPr>
        <w:t xml:space="preserve"> the</w:t>
      </w:r>
      <w:r w:rsidRPr="005D1B66">
        <w:rPr>
          <w:rFonts w:asciiTheme="majorHAnsi" w:hAnsiTheme="majorHAnsi" w:cs="Calibri"/>
          <w:sz w:val="20"/>
          <w:szCs w:val="20"/>
        </w:rPr>
        <w:t xml:space="preserve"> integrity and transparency of the Commission’s processes and work with technology a</w:t>
      </w:r>
      <w:r w:rsidR="0008197D">
        <w:rPr>
          <w:rFonts w:asciiTheme="majorHAnsi" w:hAnsiTheme="majorHAnsi" w:cs="Calibri"/>
          <w:sz w:val="20"/>
          <w:szCs w:val="20"/>
        </w:rPr>
        <w:t>nd automat</w:t>
      </w:r>
      <w:r w:rsidRPr="005D1B66">
        <w:rPr>
          <w:rFonts w:asciiTheme="majorHAnsi" w:hAnsiTheme="majorHAnsi" w:cs="Calibri"/>
          <w:sz w:val="20"/>
          <w:szCs w:val="20"/>
        </w:rPr>
        <w:t xml:space="preserve">ed tools </w:t>
      </w:r>
      <w:r w:rsidR="00D7316A">
        <w:rPr>
          <w:rFonts w:asciiTheme="majorHAnsi" w:hAnsiTheme="majorHAnsi" w:cs="Calibri"/>
          <w:sz w:val="20"/>
          <w:szCs w:val="20"/>
        </w:rPr>
        <w:t xml:space="preserve">to improve management </w:t>
      </w:r>
      <w:r w:rsidR="006C2190">
        <w:rPr>
          <w:rFonts w:asciiTheme="majorHAnsi" w:hAnsiTheme="majorHAnsi" w:cs="Calibri"/>
          <w:sz w:val="20"/>
          <w:szCs w:val="20"/>
        </w:rPr>
        <w:t>decision</w:t>
      </w:r>
      <w:r w:rsidR="006C2190" w:rsidRPr="005D1B66">
        <w:rPr>
          <w:rFonts w:asciiTheme="majorHAnsi" w:hAnsiTheme="majorHAnsi" w:cs="Calibri"/>
          <w:sz w:val="20"/>
          <w:szCs w:val="20"/>
        </w:rPr>
        <w:t>-making</w:t>
      </w:r>
      <w:r w:rsidRPr="005D1B66">
        <w:rPr>
          <w:rFonts w:asciiTheme="majorHAnsi" w:hAnsiTheme="majorHAnsi" w:cs="Calibri"/>
          <w:sz w:val="20"/>
          <w:szCs w:val="20"/>
        </w:rPr>
        <w:t xml:space="preserve">, </w:t>
      </w:r>
      <w:r>
        <w:rPr>
          <w:rFonts w:asciiTheme="majorHAnsi" w:hAnsiTheme="majorHAnsi" w:cs="Calibri"/>
          <w:sz w:val="20"/>
          <w:szCs w:val="20"/>
        </w:rPr>
        <w:t>internaliz</w:t>
      </w:r>
      <w:r w:rsidR="00D7316A">
        <w:rPr>
          <w:rFonts w:asciiTheme="majorHAnsi" w:hAnsiTheme="majorHAnsi" w:cs="Calibri"/>
          <w:sz w:val="20"/>
          <w:szCs w:val="20"/>
        </w:rPr>
        <w:t>e</w:t>
      </w:r>
      <w:r>
        <w:rPr>
          <w:rFonts w:asciiTheme="majorHAnsi" w:hAnsiTheme="majorHAnsi" w:cs="Calibri"/>
          <w:sz w:val="20"/>
          <w:szCs w:val="20"/>
        </w:rPr>
        <w:t xml:space="preserve"> </w:t>
      </w:r>
      <w:r w:rsidRPr="005D1B66">
        <w:rPr>
          <w:rFonts w:asciiTheme="majorHAnsi" w:hAnsiTheme="majorHAnsi" w:cs="Calibri"/>
          <w:sz w:val="20"/>
          <w:szCs w:val="20"/>
        </w:rPr>
        <w:t>management practices, streamlin</w:t>
      </w:r>
      <w:r w:rsidR="00D7316A">
        <w:rPr>
          <w:rFonts w:asciiTheme="majorHAnsi" w:hAnsiTheme="majorHAnsi" w:cs="Calibri"/>
          <w:sz w:val="20"/>
          <w:szCs w:val="20"/>
        </w:rPr>
        <w:t xml:space="preserve">e </w:t>
      </w:r>
      <w:r w:rsidRPr="005D1B66">
        <w:rPr>
          <w:rFonts w:asciiTheme="majorHAnsi" w:hAnsiTheme="majorHAnsi" w:cs="Calibri"/>
          <w:sz w:val="20"/>
          <w:szCs w:val="20"/>
        </w:rPr>
        <w:t xml:space="preserve">manual </w:t>
      </w:r>
      <w:r>
        <w:rPr>
          <w:rFonts w:asciiTheme="majorHAnsi" w:hAnsiTheme="majorHAnsi" w:cs="Calibri"/>
          <w:sz w:val="20"/>
          <w:szCs w:val="20"/>
        </w:rPr>
        <w:t xml:space="preserve">staff </w:t>
      </w:r>
      <w:r w:rsidRPr="005D1B66">
        <w:rPr>
          <w:rFonts w:asciiTheme="majorHAnsi" w:hAnsiTheme="majorHAnsi" w:cs="Calibri"/>
          <w:sz w:val="20"/>
          <w:szCs w:val="20"/>
        </w:rPr>
        <w:t>procedures, and</w:t>
      </w:r>
      <w:r>
        <w:rPr>
          <w:rFonts w:asciiTheme="majorHAnsi" w:hAnsiTheme="majorHAnsi" w:cs="Calibri"/>
          <w:sz w:val="20"/>
          <w:szCs w:val="20"/>
        </w:rPr>
        <w:t xml:space="preserve"> provid</w:t>
      </w:r>
      <w:r w:rsidR="00D7316A">
        <w:rPr>
          <w:rFonts w:asciiTheme="majorHAnsi" w:hAnsiTheme="majorHAnsi" w:cs="Calibri"/>
          <w:sz w:val="20"/>
          <w:szCs w:val="20"/>
        </w:rPr>
        <w:t>e</w:t>
      </w:r>
      <w:r w:rsidRPr="005D1B66">
        <w:rPr>
          <w:rFonts w:asciiTheme="majorHAnsi" w:hAnsiTheme="majorHAnsi" w:cs="Calibri"/>
          <w:sz w:val="20"/>
          <w:szCs w:val="20"/>
        </w:rPr>
        <w:t xml:space="preserve"> support </w:t>
      </w:r>
      <w:r>
        <w:rPr>
          <w:rFonts w:asciiTheme="majorHAnsi" w:hAnsiTheme="majorHAnsi" w:cs="Calibri"/>
          <w:sz w:val="20"/>
          <w:szCs w:val="20"/>
        </w:rPr>
        <w:t>to</w:t>
      </w:r>
      <w:r w:rsidRPr="005D1B66">
        <w:rPr>
          <w:rFonts w:asciiTheme="majorHAnsi" w:hAnsiTheme="majorHAnsi" w:cs="Calibri"/>
          <w:sz w:val="20"/>
          <w:szCs w:val="20"/>
        </w:rPr>
        <w:t xml:space="preserve"> victims, petitioners and States with innovati</w:t>
      </w:r>
      <w:r>
        <w:rPr>
          <w:rFonts w:asciiTheme="majorHAnsi" w:hAnsiTheme="majorHAnsi" w:cs="Calibri"/>
          <w:sz w:val="20"/>
          <w:szCs w:val="20"/>
        </w:rPr>
        <w:t>ve</w:t>
      </w:r>
      <w:r w:rsidRPr="005D1B66">
        <w:rPr>
          <w:rFonts w:asciiTheme="majorHAnsi" w:hAnsiTheme="majorHAnsi" w:cs="Calibri"/>
          <w:sz w:val="20"/>
          <w:szCs w:val="20"/>
        </w:rPr>
        <w:t xml:space="preserve"> technology</w:t>
      </w:r>
      <w:r w:rsidR="0048417D" w:rsidRPr="001D375E">
        <w:rPr>
          <w:rFonts w:asciiTheme="majorHAnsi" w:hAnsiTheme="majorHAnsi" w:cs="Calibri"/>
          <w:sz w:val="20"/>
          <w:szCs w:val="20"/>
        </w:rPr>
        <w:t>.</w:t>
      </w:r>
    </w:p>
    <w:p w:rsidR="0048417D" w:rsidRPr="001D375E" w:rsidRDefault="0048417D">
      <w:pPr>
        <w:pStyle w:val="ListParagraph"/>
        <w:jc w:val="both"/>
        <w:rPr>
          <w:rFonts w:asciiTheme="majorHAnsi" w:hAnsiTheme="majorHAnsi" w:cs="Calibri"/>
          <w:sz w:val="20"/>
          <w:szCs w:val="20"/>
        </w:rPr>
      </w:pPr>
    </w:p>
    <w:p w:rsidR="0048417D" w:rsidRPr="001D375E" w:rsidRDefault="00914F78">
      <w:pPr>
        <w:pStyle w:val="ListParagraph"/>
        <w:numPr>
          <w:ilvl w:val="0"/>
          <w:numId w:val="9"/>
        </w:numPr>
        <w:ind w:left="0" w:firstLine="720"/>
        <w:jc w:val="both"/>
        <w:rPr>
          <w:rFonts w:asciiTheme="majorHAnsi" w:hAnsiTheme="majorHAnsi" w:cs="Calibri"/>
          <w:sz w:val="20"/>
          <w:szCs w:val="20"/>
        </w:rPr>
      </w:pPr>
      <w:r>
        <w:rPr>
          <w:rFonts w:asciiTheme="majorHAnsi" w:hAnsiTheme="majorHAnsi" w:cs="Calibri"/>
          <w:sz w:val="20"/>
          <w:szCs w:val="20"/>
        </w:rPr>
        <w:t>During the</w:t>
      </w:r>
      <w:r w:rsidR="0048417D" w:rsidRPr="001D375E">
        <w:rPr>
          <w:rFonts w:asciiTheme="majorHAnsi" w:hAnsiTheme="majorHAnsi" w:cs="Calibri"/>
          <w:sz w:val="20"/>
          <w:szCs w:val="20"/>
        </w:rPr>
        <w:t xml:space="preserve"> </w:t>
      </w:r>
      <w:r w:rsidR="00F33489" w:rsidRPr="001D375E">
        <w:rPr>
          <w:rFonts w:asciiTheme="majorHAnsi" w:hAnsiTheme="majorHAnsi" w:cs="Calibri"/>
          <w:sz w:val="20"/>
          <w:szCs w:val="20"/>
        </w:rPr>
        <w:t>155</w:t>
      </w:r>
      <w:r w:rsidRPr="00914F78">
        <w:rPr>
          <w:rFonts w:asciiTheme="majorHAnsi" w:hAnsiTheme="majorHAnsi" w:cs="Calibri"/>
          <w:sz w:val="20"/>
          <w:szCs w:val="20"/>
          <w:vertAlign w:val="superscript"/>
        </w:rPr>
        <w:t>th</w:t>
      </w:r>
      <w:r w:rsidR="00F33489" w:rsidRPr="001D375E">
        <w:rPr>
          <w:rFonts w:asciiTheme="majorHAnsi" w:hAnsiTheme="majorHAnsi" w:cs="Calibri"/>
          <w:sz w:val="20"/>
          <w:szCs w:val="20"/>
        </w:rPr>
        <w:t xml:space="preserve"> </w:t>
      </w:r>
      <w:r w:rsidR="001D375E">
        <w:rPr>
          <w:rFonts w:asciiTheme="majorHAnsi" w:hAnsiTheme="majorHAnsi" w:cs="Calibri"/>
          <w:sz w:val="20"/>
          <w:szCs w:val="20"/>
        </w:rPr>
        <w:t>regular session</w:t>
      </w:r>
      <w:r w:rsidR="00F33489" w:rsidRPr="001D375E">
        <w:rPr>
          <w:rFonts w:asciiTheme="majorHAnsi" w:hAnsiTheme="majorHAnsi" w:cs="Calibri"/>
          <w:sz w:val="20"/>
          <w:szCs w:val="20"/>
        </w:rPr>
        <w:t xml:space="preserve"> </w:t>
      </w:r>
      <w:r w:rsidR="001D375E">
        <w:rPr>
          <w:rFonts w:asciiTheme="majorHAnsi" w:hAnsiTheme="majorHAnsi" w:cs="Calibri"/>
          <w:sz w:val="20"/>
          <w:szCs w:val="20"/>
        </w:rPr>
        <w:t>the IACHR</w:t>
      </w:r>
      <w:r w:rsidR="0048417D" w:rsidRPr="001D375E">
        <w:rPr>
          <w:rFonts w:asciiTheme="majorHAnsi" w:hAnsiTheme="majorHAnsi" w:cs="Calibri"/>
          <w:sz w:val="20"/>
          <w:szCs w:val="20"/>
        </w:rPr>
        <w:t xml:space="preserve"> </w:t>
      </w:r>
      <w:r w:rsidR="00CD5F87">
        <w:rPr>
          <w:rFonts w:asciiTheme="majorHAnsi" w:hAnsiTheme="majorHAnsi" w:cs="Calibri"/>
          <w:sz w:val="20"/>
          <w:szCs w:val="20"/>
        </w:rPr>
        <w:t>launched the</w:t>
      </w:r>
      <w:r w:rsidR="0048417D" w:rsidRPr="001D375E">
        <w:rPr>
          <w:rFonts w:asciiTheme="majorHAnsi" w:hAnsiTheme="majorHAnsi" w:cs="Calibri"/>
          <w:sz w:val="20"/>
          <w:szCs w:val="20"/>
        </w:rPr>
        <w:t xml:space="preserve"> </w:t>
      </w:r>
      <w:r w:rsidR="00CD5F87" w:rsidRPr="00CD5F87">
        <w:rPr>
          <w:rFonts w:asciiTheme="majorHAnsi" w:hAnsiTheme="majorHAnsi" w:cs="Calibri"/>
          <w:sz w:val="20"/>
          <w:szCs w:val="20"/>
        </w:rPr>
        <w:t>Individual Petition System Portal</w:t>
      </w:r>
      <w:r w:rsidR="0048417D" w:rsidRPr="001D375E">
        <w:rPr>
          <w:rFonts w:asciiTheme="majorHAnsi" w:hAnsiTheme="majorHAnsi" w:cs="Calibri"/>
          <w:sz w:val="20"/>
          <w:szCs w:val="20"/>
        </w:rPr>
        <w:t xml:space="preserve"> (</w:t>
      </w:r>
      <w:r w:rsidR="00CD5F87">
        <w:rPr>
          <w:rFonts w:asciiTheme="majorHAnsi" w:hAnsiTheme="majorHAnsi" w:cs="Calibri"/>
          <w:sz w:val="20"/>
          <w:szCs w:val="20"/>
        </w:rPr>
        <w:t>IPSP</w:t>
      </w:r>
      <w:r w:rsidR="0048417D" w:rsidRPr="001D375E">
        <w:rPr>
          <w:rFonts w:asciiTheme="majorHAnsi" w:hAnsiTheme="majorHAnsi" w:cs="Calibri"/>
          <w:sz w:val="20"/>
          <w:szCs w:val="20"/>
        </w:rPr>
        <w:t xml:space="preserve"> </w:t>
      </w:r>
      <w:r w:rsidR="00CD5F87">
        <w:rPr>
          <w:rFonts w:asciiTheme="majorHAnsi" w:hAnsiTheme="majorHAnsi" w:cs="Calibri"/>
          <w:sz w:val="20"/>
          <w:szCs w:val="20"/>
        </w:rPr>
        <w:t xml:space="preserve">or </w:t>
      </w:r>
      <w:r w:rsidR="00DD0256" w:rsidRPr="001D375E">
        <w:rPr>
          <w:rFonts w:asciiTheme="majorHAnsi" w:hAnsiTheme="majorHAnsi" w:cs="Calibri"/>
          <w:sz w:val="20"/>
          <w:szCs w:val="20"/>
        </w:rPr>
        <w:t xml:space="preserve"> Portal</w:t>
      </w:r>
      <w:r w:rsidR="00F85ED5">
        <w:rPr>
          <w:rFonts w:asciiTheme="majorHAnsi" w:hAnsiTheme="majorHAnsi" w:cs="Calibri"/>
          <w:sz w:val="20"/>
          <w:szCs w:val="20"/>
        </w:rPr>
        <w:t>)</w:t>
      </w:r>
      <w:r w:rsidR="0048417D" w:rsidRPr="001D375E">
        <w:rPr>
          <w:rFonts w:asciiTheme="majorHAnsi" w:hAnsiTheme="majorHAnsi" w:cs="Calibri"/>
          <w:sz w:val="20"/>
          <w:szCs w:val="20"/>
        </w:rPr>
        <w:t xml:space="preserve"> </w:t>
      </w:r>
      <w:r w:rsidR="00CD5F87">
        <w:rPr>
          <w:rFonts w:asciiTheme="majorHAnsi" w:hAnsiTheme="majorHAnsi" w:cs="Calibri"/>
          <w:sz w:val="20"/>
          <w:szCs w:val="20"/>
        </w:rPr>
        <w:t>on which the</w:t>
      </w:r>
      <w:r w:rsidR="0048417D" w:rsidRPr="001D375E">
        <w:rPr>
          <w:rFonts w:asciiTheme="majorHAnsi" w:hAnsiTheme="majorHAnsi" w:cs="Calibri"/>
          <w:sz w:val="20"/>
          <w:szCs w:val="20"/>
        </w:rPr>
        <w:t xml:space="preserve"> </w:t>
      </w:r>
      <w:r w:rsidR="003C2655">
        <w:rPr>
          <w:rFonts w:asciiTheme="majorHAnsi" w:hAnsiTheme="majorHAnsi" w:cs="Calibri"/>
          <w:sz w:val="20"/>
          <w:szCs w:val="20"/>
        </w:rPr>
        <w:t>UTS</w:t>
      </w:r>
      <w:r w:rsidR="003C2655" w:rsidRPr="001D375E">
        <w:rPr>
          <w:rFonts w:asciiTheme="majorHAnsi" w:hAnsiTheme="majorHAnsi" w:cs="Calibri"/>
          <w:sz w:val="20"/>
          <w:szCs w:val="20"/>
        </w:rPr>
        <w:t xml:space="preserve"> </w:t>
      </w:r>
      <w:r w:rsidR="00F85ED5">
        <w:rPr>
          <w:rFonts w:asciiTheme="majorHAnsi" w:hAnsiTheme="majorHAnsi" w:cs="Calibri"/>
          <w:sz w:val="20"/>
          <w:szCs w:val="20"/>
        </w:rPr>
        <w:t>has been working for some time</w:t>
      </w:r>
      <w:r w:rsidR="0048417D" w:rsidRPr="001D375E">
        <w:rPr>
          <w:rFonts w:asciiTheme="majorHAnsi" w:hAnsiTheme="majorHAnsi" w:cs="Calibri"/>
          <w:sz w:val="20"/>
          <w:szCs w:val="20"/>
        </w:rPr>
        <w:t xml:space="preserve">, </w:t>
      </w:r>
      <w:r w:rsidR="00F85ED5">
        <w:rPr>
          <w:rFonts w:asciiTheme="majorHAnsi" w:hAnsiTheme="majorHAnsi" w:cs="Calibri"/>
          <w:sz w:val="20"/>
          <w:szCs w:val="20"/>
        </w:rPr>
        <w:t xml:space="preserve">coordinating and implementing related activities within </w:t>
      </w:r>
      <w:r w:rsidR="00884EEE">
        <w:rPr>
          <w:rFonts w:asciiTheme="majorHAnsi" w:hAnsiTheme="majorHAnsi" w:cs="Calibri"/>
          <w:sz w:val="20"/>
          <w:szCs w:val="20"/>
        </w:rPr>
        <w:t>the Office of the Executive Secretary</w:t>
      </w:r>
      <w:r w:rsidR="0048417D" w:rsidRPr="001D375E">
        <w:rPr>
          <w:rFonts w:asciiTheme="majorHAnsi" w:hAnsiTheme="majorHAnsi" w:cs="Calibri"/>
          <w:sz w:val="20"/>
          <w:szCs w:val="20"/>
        </w:rPr>
        <w:t xml:space="preserve"> </w:t>
      </w:r>
      <w:r w:rsidR="00F85ED5">
        <w:rPr>
          <w:rFonts w:asciiTheme="majorHAnsi" w:hAnsiTheme="majorHAnsi" w:cs="Calibri"/>
          <w:sz w:val="20"/>
          <w:szCs w:val="20"/>
        </w:rPr>
        <w:t>of</w:t>
      </w:r>
      <w:r w:rsidR="0048417D" w:rsidRPr="001D375E">
        <w:rPr>
          <w:rFonts w:asciiTheme="majorHAnsi" w:hAnsiTheme="majorHAnsi" w:cs="Calibri"/>
          <w:sz w:val="20"/>
          <w:szCs w:val="20"/>
        </w:rPr>
        <w:t xml:space="preserve"> </w:t>
      </w:r>
      <w:r w:rsidR="001D375E">
        <w:rPr>
          <w:rFonts w:asciiTheme="majorHAnsi" w:hAnsiTheme="majorHAnsi" w:cs="Calibri"/>
          <w:sz w:val="20"/>
          <w:szCs w:val="20"/>
        </w:rPr>
        <w:t>the IACHR</w:t>
      </w:r>
      <w:r w:rsidR="002C01C6" w:rsidRPr="001D375E">
        <w:rPr>
          <w:rFonts w:asciiTheme="majorHAnsi" w:hAnsiTheme="majorHAnsi" w:cs="Calibri"/>
          <w:sz w:val="20"/>
          <w:szCs w:val="20"/>
        </w:rPr>
        <w:t xml:space="preserve">, </w:t>
      </w:r>
      <w:r w:rsidR="00F85ED5">
        <w:rPr>
          <w:rFonts w:asciiTheme="majorHAnsi" w:hAnsiTheme="majorHAnsi" w:cs="Calibri"/>
          <w:sz w:val="20"/>
          <w:szCs w:val="20"/>
        </w:rPr>
        <w:t>including</w:t>
      </w:r>
      <w:r w:rsidR="002C01C6" w:rsidRPr="001D375E">
        <w:rPr>
          <w:rFonts w:asciiTheme="majorHAnsi" w:hAnsiTheme="majorHAnsi" w:cs="Calibri"/>
          <w:sz w:val="20"/>
          <w:szCs w:val="20"/>
        </w:rPr>
        <w:t>:</w:t>
      </w:r>
    </w:p>
    <w:p w:rsidR="0048417D" w:rsidRPr="001D375E" w:rsidRDefault="0048417D">
      <w:pPr>
        <w:pStyle w:val="ListParagraph"/>
        <w:ind w:left="0"/>
        <w:jc w:val="both"/>
        <w:rPr>
          <w:rFonts w:asciiTheme="majorHAnsi" w:hAnsiTheme="majorHAnsi" w:cs="Calibri"/>
          <w:sz w:val="20"/>
          <w:szCs w:val="20"/>
        </w:rPr>
      </w:pPr>
    </w:p>
    <w:p w:rsidR="0048417D" w:rsidRPr="001D375E" w:rsidRDefault="00306F8F">
      <w:pPr>
        <w:numPr>
          <w:ilvl w:val="0"/>
          <w:numId w:val="17"/>
        </w:numPr>
        <w:tabs>
          <w:tab w:val="left" w:pos="1440"/>
        </w:tabs>
        <w:spacing w:after="0" w:line="240" w:lineRule="auto"/>
        <w:ind w:hanging="708"/>
        <w:jc w:val="both"/>
        <w:rPr>
          <w:rFonts w:asciiTheme="majorHAnsi" w:eastAsia="Arial Unicode MS" w:hAnsiTheme="majorHAnsi"/>
          <w:sz w:val="20"/>
          <w:szCs w:val="20"/>
          <w:u w:color="FF0000"/>
        </w:rPr>
      </w:pPr>
      <w:r>
        <w:rPr>
          <w:rFonts w:asciiTheme="majorHAnsi" w:eastAsia="Arial Unicode MS" w:hAnsiTheme="majorHAnsi"/>
          <w:sz w:val="20"/>
          <w:szCs w:val="20"/>
          <w:u w:color="FF0000"/>
        </w:rPr>
        <w:t xml:space="preserve">The inclusion, review, and approval of all of the texts on the </w:t>
      </w:r>
      <w:r w:rsidR="0048417D" w:rsidRPr="001D375E">
        <w:rPr>
          <w:rFonts w:asciiTheme="majorHAnsi" w:eastAsia="Arial Unicode MS" w:hAnsiTheme="majorHAnsi"/>
          <w:sz w:val="20"/>
          <w:szCs w:val="20"/>
          <w:u w:color="FF0000"/>
        </w:rPr>
        <w:t xml:space="preserve">Portal </w:t>
      </w:r>
      <w:r>
        <w:rPr>
          <w:rFonts w:asciiTheme="majorHAnsi" w:eastAsia="Arial Unicode MS" w:hAnsiTheme="majorHAnsi"/>
          <w:sz w:val="20"/>
          <w:szCs w:val="20"/>
          <w:u w:color="FF0000"/>
        </w:rPr>
        <w:t>for each official language</w:t>
      </w:r>
      <w:r w:rsidR="0048417D" w:rsidRPr="001D375E">
        <w:rPr>
          <w:rFonts w:asciiTheme="majorHAnsi" w:eastAsia="Arial Unicode MS" w:hAnsiTheme="majorHAnsi"/>
          <w:sz w:val="20"/>
          <w:szCs w:val="20"/>
          <w:u w:color="FF0000"/>
        </w:rPr>
        <w:t>.</w:t>
      </w:r>
    </w:p>
    <w:p w:rsidR="0048417D" w:rsidRPr="001D375E" w:rsidRDefault="0048417D">
      <w:pPr>
        <w:tabs>
          <w:tab w:val="left" w:pos="1440"/>
        </w:tabs>
        <w:spacing w:after="0" w:line="240" w:lineRule="auto"/>
        <w:ind w:left="1440" w:hanging="732"/>
        <w:jc w:val="both"/>
        <w:rPr>
          <w:rFonts w:asciiTheme="majorHAnsi" w:eastAsia="Arial Unicode MS" w:hAnsiTheme="majorHAnsi"/>
          <w:sz w:val="20"/>
          <w:szCs w:val="20"/>
          <w:u w:color="FF0000"/>
        </w:rPr>
      </w:pPr>
      <w:r w:rsidRPr="001D375E">
        <w:rPr>
          <w:rFonts w:asciiTheme="majorHAnsi" w:eastAsia="Arial Unicode MS" w:hAnsiTheme="majorHAnsi"/>
          <w:sz w:val="20"/>
          <w:szCs w:val="20"/>
          <w:u w:color="FF0000"/>
        </w:rPr>
        <w:t>•</w:t>
      </w:r>
      <w:r w:rsidRPr="001D375E">
        <w:rPr>
          <w:rFonts w:asciiTheme="majorHAnsi" w:eastAsia="Arial Unicode MS" w:hAnsiTheme="majorHAnsi"/>
          <w:sz w:val="20"/>
          <w:szCs w:val="20"/>
          <w:u w:color="FF0000"/>
        </w:rPr>
        <w:tab/>
      </w:r>
      <w:r w:rsidR="00306F8F">
        <w:rPr>
          <w:rFonts w:asciiTheme="majorHAnsi" w:eastAsia="Arial Unicode MS" w:hAnsiTheme="majorHAnsi"/>
          <w:sz w:val="20"/>
          <w:szCs w:val="20"/>
          <w:u w:color="FF0000"/>
        </w:rPr>
        <w:t xml:space="preserve">The creation, review, validation, and dissemination of the Portal’s Terms of Use and Agreement for users interested in registering and using the </w:t>
      </w:r>
      <w:r w:rsidRPr="001D375E">
        <w:rPr>
          <w:rFonts w:asciiTheme="majorHAnsi" w:eastAsia="Arial Unicode MS" w:hAnsiTheme="majorHAnsi"/>
          <w:sz w:val="20"/>
          <w:szCs w:val="20"/>
          <w:u w:color="FF0000"/>
        </w:rPr>
        <w:t xml:space="preserve">Portal </w:t>
      </w:r>
      <w:r w:rsidR="00306F8F">
        <w:rPr>
          <w:rFonts w:asciiTheme="majorHAnsi" w:eastAsia="Arial Unicode MS" w:hAnsiTheme="majorHAnsi"/>
          <w:sz w:val="20"/>
          <w:szCs w:val="20"/>
          <w:u w:color="FF0000"/>
        </w:rPr>
        <w:t>in the four official languages</w:t>
      </w:r>
      <w:r w:rsidRPr="001D375E">
        <w:rPr>
          <w:rFonts w:asciiTheme="majorHAnsi" w:eastAsia="Arial Unicode MS" w:hAnsiTheme="majorHAnsi"/>
          <w:sz w:val="20"/>
          <w:szCs w:val="20"/>
          <w:u w:color="FF0000"/>
        </w:rPr>
        <w:t xml:space="preserve">. </w:t>
      </w:r>
      <w:r w:rsidR="003C2655">
        <w:rPr>
          <w:rFonts w:asciiTheme="majorHAnsi" w:eastAsia="Arial Unicode MS" w:hAnsiTheme="majorHAnsi"/>
          <w:sz w:val="20"/>
          <w:szCs w:val="20"/>
          <w:u w:color="FF0000"/>
        </w:rPr>
        <w:t xml:space="preserve"> </w:t>
      </w:r>
      <w:r w:rsidR="00306F8F">
        <w:rPr>
          <w:rFonts w:asciiTheme="majorHAnsi" w:eastAsia="Arial Unicode MS" w:hAnsiTheme="majorHAnsi"/>
          <w:sz w:val="20"/>
          <w:szCs w:val="20"/>
          <w:u w:color="FF0000"/>
        </w:rPr>
        <w:t>At this time, we have received replies from</w:t>
      </w:r>
      <w:r w:rsidRPr="001D375E">
        <w:rPr>
          <w:rFonts w:asciiTheme="majorHAnsi" w:eastAsia="Arial Unicode MS" w:hAnsiTheme="majorHAnsi"/>
          <w:sz w:val="20"/>
          <w:szCs w:val="20"/>
          <w:u w:color="FF0000"/>
        </w:rPr>
        <w:t xml:space="preserve"> 18 </w:t>
      </w:r>
      <w:r w:rsidR="00306F8F">
        <w:rPr>
          <w:rFonts w:asciiTheme="majorHAnsi" w:eastAsia="Arial Unicode MS" w:hAnsiTheme="majorHAnsi"/>
          <w:sz w:val="20"/>
          <w:szCs w:val="20"/>
          <w:u w:color="FF0000"/>
        </w:rPr>
        <w:t>Member States</w:t>
      </w:r>
      <w:r w:rsidRPr="001D375E">
        <w:rPr>
          <w:rFonts w:asciiTheme="majorHAnsi" w:eastAsia="Arial Unicode MS" w:hAnsiTheme="majorHAnsi"/>
          <w:sz w:val="20"/>
          <w:szCs w:val="20"/>
          <w:u w:color="FF0000"/>
        </w:rPr>
        <w:t xml:space="preserve"> </w:t>
      </w:r>
      <w:r w:rsidR="00306F8F">
        <w:rPr>
          <w:rFonts w:asciiTheme="majorHAnsi" w:eastAsia="Arial Unicode MS" w:hAnsiTheme="majorHAnsi"/>
          <w:sz w:val="20"/>
          <w:szCs w:val="20"/>
          <w:u w:color="FF0000"/>
        </w:rPr>
        <w:t>who have submitted the information and expressed their interest in participating and using the system: Argentina, Bolivia, Braz</w:t>
      </w:r>
      <w:r w:rsidRPr="001D375E">
        <w:rPr>
          <w:rFonts w:asciiTheme="majorHAnsi" w:eastAsia="Arial Unicode MS" w:hAnsiTheme="majorHAnsi"/>
          <w:sz w:val="20"/>
          <w:szCs w:val="20"/>
          <w:u w:color="FF0000"/>
        </w:rPr>
        <w:t xml:space="preserve">il, Chile, Colombia, Costa Rica, El Salvador, </w:t>
      </w:r>
      <w:r w:rsidR="00306F8F">
        <w:rPr>
          <w:rFonts w:asciiTheme="majorHAnsi" w:eastAsia="Arial Unicode MS" w:hAnsiTheme="majorHAnsi"/>
          <w:sz w:val="20"/>
          <w:szCs w:val="20"/>
          <w:u w:color="FF0000"/>
        </w:rPr>
        <w:t>the United States</w:t>
      </w:r>
      <w:r w:rsidRPr="001D375E">
        <w:rPr>
          <w:rFonts w:asciiTheme="majorHAnsi" w:eastAsia="Arial Unicode MS" w:hAnsiTheme="majorHAnsi"/>
          <w:sz w:val="20"/>
          <w:szCs w:val="20"/>
          <w:u w:color="FF0000"/>
        </w:rPr>
        <w:t>, Guatemala, Guyana, Honduras, Jamai</w:t>
      </w:r>
      <w:r w:rsidR="00306F8F">
        <w:rPr>
          <w:rFonts w:asciiTheme="majorHAnsi" w:eastAsia="Arial Unicode MS" w:hAnsiTheme="majorHAnsi"/>
          <w:sz w:val="20"/>
          <w:szCs w:val="20"/>
          <w:u w:color="FF0000"/>
        </w:rPr>
        <w:t>ca, Mexico, Nicaragua, Panama, Paraguay, Peru, and</w:t>
      </w:r>
      <w:r w:rsidRPr="001D375E">
        <w:rPr>
          <w:rFonts w:asciiTheme="majorHAnsi" w:eastAsia="Arial Unicode MS" w:hAnsiTheme="majorHAnsi"/>
          <w:sz w:val="20"/>
          <w:szCs w:val="20"/>
          <w:u w:color="FF0000"/>
        </w:rPr>
        <w:t xml:space="preserve"> Uruguay.</w:t>
      </w:r>
    </w:p>
    <w:p w:rsidR="0048417D" w:rsidRPr="001D375E" w:rsidRDefault="0048417D">
      <w:pPr>
        <w:spacing w:after="0" w:line="240" w:lineRule="auto"/>
        <w:ind w:left="1440" w:hanging="732"/>
        <w:jc w:val="both"/>
        <w:rPr>
          <w:rFonts w:asciiTheme="majorHAnsi" w:eastAsia="Arial Unicode MS" w:hAnsiTheme="majorHAnsi"/>
          <w:sz w:val="20"/>
          <w:szCs w:val="20"/>
          <w:u w:color="FF0000"/>
        </w:rPr>
      </w:pPr>
      <w:r w:rsidRPr="001D375E">
        <w:rPr>
          <w:rFonts w:asciiTheme="majorHAnsi" w:eastAsia="Arial Unicode MS" w:hAnsiTheme="majorHAnsi"/>
          <w:sz w:val="20"/>
          <w:szCs w:val="20"/>
          <w:u w:color="FF0000"/>
        </w:rPr>
        <w:t>•</w:t>
      </w:r>
      <w:r w:rsidRPr="001D375E">
        <w:rPr>
          <w:rFonts w:asciiTheme="majorHAnsi" w:eastAsia="Arial Unicode MS" w:hAnsiTheme="majorHAnsi"/>
          <w:sz w:val="20"/>
          <w:szCs w:val="20"/>
          <w:u w:color="FF0000"/>
        </w:rPr>
        <w:tab/>
      </w:r>
      <w:r w:rsidR="00306F8F">
        <w:rPr>
          <w:rFonts w:asciiTheme="majorHAnsi" w:eastAsia="Arial Unicode MS" w:hAnsiTheme="majorHAnsi"/>
          <w:sz w:val="20"/>
          <w:szCs w:val="20"/>
          <w:u w:color="FF0000"/>
        </w:rPr>
        <w:t>Testing of the</w:t>
      </w:r>
      <w:r w:rsidRPr="001D375E">
        <w:rPr>
          <w:rFonts w:asciiTheme="majorHAnsi" w:eastAsia="Arial Unicode MS" w:hAnsiTheme="majorHAnsi"/>
          <w:sz w:val="20"/>
          <w:szCs w:val="20"/>
          <w:u w:color="FF0000"/>
        </w:rPr>
        <w:t xml:space="preserve"> Portal</w:t>
      </w:r>
      <w:r w:rsidR="00306F8F">
        <w:rPr>
          <w:rFonts w:asciiTheme="majorHAnsi" w:eastAsia="Arial Unicode MS" w:hAnsiTheme="majorHAnsi"/>
          <w:sz w:val="20"/>
          <w:szCs w:val="20"/>
          <w:u w:color="FF0000"/>
        </w:rPr>
        <w:t xml:space="preserve">’s operation in a test environment, including the creation of cases </w:t>
      </w:r>
      <w:r w:rsidR="00C333DE">
        <w:rPr>
          <w:rFonts w:asciiTheme="majorHAnsi" w:eastAsia="Arial Unicode MS" w:hAnsiTheme="majorHAnsi"/>
          <w:sz w:val="20"/>
          <w:szCs w:val="20"/>
          <w:u w:color="FF0000"/>
        </w:rPr>
        <w:t xml:space="preserve">with simulated information </w:t>
      </w:r>
      <w:r w:rsidR="00306F8F">
        <w:rPr>
          <w:rFonts w:asciiTheme="majorHAnsi" w:eastAsia="Arial Unicode MS" w:hAnsiTheme="majorHAnsi"/>
          <w:sz w:val="20"/>
          <w:szCs w:val="20"/>
          <w:u w:color="FF0000"/>
        </w:rPr>
        <w:t xml:space="preserve">for purposes of </w:t>
      </w:r>
      <w:r w:rsidR="00C333DE">
        <w:rPr>
          <w:rFonts w:asciiTheme="majorHAnsi" w:eastAsia="Arial Unicode MS" w:hAnsiTheme="majorHAnsi"/>
          <w:sz w:val="20"/>
          <w:szCs w:val="20"/>
          <w:u w:color="FF0000"/>
        </w:rPr>
        <w:t>rehearsing</w:t>
      </w:r>
      <w:r w:rsidR="00306F8F">
        <w:rPr>
          <w:rFonts w:asciiTheme="majorHAnsi" w:eastAsia="Arial Unicode MS" w:hAnsiTheme="majorHAnsi"/>
          <w:sz w:val="20"/>
          <w:szCs w:val="20"/>
          <w:u w:color="FF0000"/>
        </w:rPr>
        <w:t xml:space="preserve"> </w:t>
      </w:r>
      <w:r w:rsidR="00C333DE">
        <w:rPr>
          <w:rFonts w:asciiTheme="majorHAnsi" w:eastAsia="Arial Unicode MS" w:hAnsiTheme="majorHAnsi"/>
          <w:sz w:val="20"/>
          <w:szCs w:val="20"/>
          <w:u w:color="FF0000"/>
        </w:rPr>
        <w:t xml:space="preserve">various potential </w:t>
      </w:r>
      <w:r w:rsidR="00306F8F">
        <w:rPr>
          <w:rFonts w:asciiTheme="majorHAnsi" w:eastAsia="Arial Unicode MS" w:hAnsiTheme="majorHAnsi"/>
          <w:sz w:val="20"/>
          <w:szCs w:val="20"/>
          <w:u w:color="FF0000"/>
        </w:rPr>
        <w:t xml:space="preserve">scenarios. </w:t>
      </w:r>
      <w:r w:rsidR="003C2655">
        <w:rPr>
          <w:rFonts w:asciiTheme="majorHAnsi" w:eastAsia="Arial Unicode MS" w:hAnsiTheme="majorHAnsi"/>
          <w:sz w:val="20"/>
          <w:szCs w:val="20"/>
          <w:u w:color="FF0000"/>
        </w:rPr>
        <w:t xml:space="preserve"> </w:t>
      </w:r>
      <w:r w:rsidR="00306F8F">
        <w:rPr>
          <w:rFonts w:asciiTheme="majorHAnsi" w:eastAsia="Arial Unicode MS" w:hAnsiTheme="majorHAnsi"/>
          <w:sz w:val="20"/>
          <w:szCs w:val="20"/>
          <w:u w:color="FF0000"/>
        </w:rPr>
        <w:t>The respective follow-up and monitoring was conducted in order to validate the outcomes</w:t>
      </w:r>
      <w:r w:rsidRPr="001D375E">
        <w:rPr>
          <w:rFonts w:asciiTheme="majorHAnsi" w:eastAsia="Arial Unicode MS" w:hAnsiTheme="majorHAnsi"/>
          <w:sz w:val="20"/>
          <w:szCs w:val="20"/>
          <w:u w:color="FF0000"/>
        </w:rPr>
        <w:t>.</w:t>
      </w:r>
    </w:p>
    <w:p w:rsidR="0048417D" w:rsidRPr="001D375E" w:rsidRDefault="0048417D">
      <w:pPr>
        <w:spacing w:after="0" w:line="240" w:lineRule="auto"/>
        <w:ind w:left="1440" w:hanging="732"/>
        <w:jc w:val="both"/>
        <w:rPr>
          <w:rFonts w:asciiTheme="majorHAnsi" w:eastAsia="Arial Unicode MS" w:hAnsiTheme="majorHAnsi"/>
          <w:sz w:val="20"/>
          <w:szCs w:val="20"/>
          <w:u w:color="FF0000"/>
        </w:rPr>
      </w:pPr>
      <w:r w:rsidRPr="001D375E">
        <w:rPr>
          <w:rFonts w:asciiTheme="majorHAnsi" w:eastAsia="Arial Unicode MS" w:hAnsiTheme="majorHAnsi"/>
          <w:sz w:val="20"/>
          <w:szCs w:val="20"/>
          <w:u w:color="FF0000"/>
        </w:rPr>
        <w:t>•</w:t>
      </w:r>
      <w:r w:rsidRPr="001D375E">
        <w:rPr>
          <w:rFonts w:asciiTheme="majorHAnsi" w:eastAsia="Arial Unicode MS" w:hAnsiTheme="majorHAnsi"/>
          <w:sz w:val="20"/>
          <w:szCs w:val="20"/>
          <w:u w:color="FF0000"/>
        </w:rPr>
        <w:tab/>
      </w:r>
      <w:r w:rsidR="00306F8F">
        <w:rPr>
          <w:rFonts w:asciiTheme="majorHAnsi" w:eastAsia="Arial Unicode MS" w:hAnsiTheme="majorHAnsi"/>
          <w:sz w:val="20"/>
          <w:szCs w:val="20"/>
          <w:u w:color="FF0000"/>
        </w:rPr>
        <w:t>Reporting to the</w:t>
      </w:r>
      <w:r w:rsidRPr="001D375E">
        <w:rPr>
          <w:rFonts w:asciiTheme="majorHAnsi" w:eastAsia="Arial Unicode MS" w:hAnsiTheme="majorHAnsi"/>
          <w:sz w:val="20"/>
          <w:szCs w:val="20"/>
          <w:u w:color="FF0000"/>
        </w:rPr>
        <w:t xml:space="preserve"> </w:t>
      </w:r>
      <w:r w:rsidR="00306F8F" w:rsidRPr="00306F8F">
        <w:rPr>
          <w:rFonts w:asciiTheme="majorHAnsi" w:eastAsia="Arial Unicode MS" w:hAnsiTheme="majorHAnsi"/>
          <w:iCs/>
          <w:sz w:val="20"/>
          <w:szCs w:val="20"/>
          <w:u w:color="FF0000"/>
        </w:rPr>
        <w:t>Department</w:t>
      </w:r>
      <w:r w:rsidR="00306F8F" w:rsidRPr="00306F8F">
        <w:rPr>
          <w:rFonts w:asciiTheme="majorHAnsi" w:eastAsia="Arial Unicode MS" w:hAnsiTheme="majorHAnsi"/>
          <w:sz w:val="20"/>
          <w:szCs w:val="20"/>
          <w:u w:color="FF0000"/>
        </w:rPr>
        <w:t xml:space="preserve"> of </w:t>
      </w:r>
      <w:r w:rsidR="00306F8F" w:rsidRPr="00306F8F">
        <w:rPr>
          <w:rFonts w:asciiTheme="majorHAnsi" w:eastAsia="Arial Unicode MS" w:hAnsiTheme="majorHAnsi"/>
          <w:iCs/>
          <w:sz w:val="20"/>
          <w:szCs w:val="20"/>
          <w:u w:color="FF0000"/>
        </w:rPr>
        <w:t>Information</w:t>
      </w:r>
      <w:r w:rsidR="00306F8F" w:rsidRPr="00306F8F">
        <w:rPr>
          <w:rFonts w:asciiTheme="majorHAnsi" w:eastAsia="Arial Unicode MS" w:hAnsiTheme="majorHAnsi"/>
          <w:sz w:val="20"/>
          <w:szCs w:val="20"/>
          <w:u w:color="FF0000"/>
        </w:rPr>
        <w:t xml:space="preserve"> and </w:t>
      </w:r>
      <w:r w:rsidR="00306F8F" w:rsidRPr="00306F8F">
        <w:rPr>
          <w:rFonts w:asciiTheme="majorHAnsi" w:eastAsia="Arial Unicode MS" w:hAnsiTheme="majorHAnsi"/>
          <w:iCs/>
          <w:sz w:val="20"/>
          <w:szCs w:val="20"/>
          <w:u w:color="FF0000"/>
        </w:rPr>
        <w:t>Technology Services</w:t>
      </w:r>
      <w:r w:rsidR="00306F8F" w:rsidRPr="00306F8F">
        <w:rPr>
          <w:rFonts w:asciiTheme="majorHAnsi" w:eastAsia="Arial Unicode MS" w:hAnsiTheme="majorHAnsi"/>
          <w:sz w:val="20"/>
          <w:szCs w:val="20"/>
          <w:u w:color="FF0000"/>
        </w:rPr>
        <w:t xml:space="preserve"> </w:t>
      </w:r>
      <w:r w:rsidRPr="001D375E">
        <w:rPr>
          <w:rFonts w:asciiTheme="majorHAnsi" w:eastAsia="Arial Unicode MS" w:hAnsiTheme="majorHAnsi"/>
          <w:sz w:val="20"/>
          <w:szCs w:val="20"/>
          <w:u w:color="FF0000"/>
        </w:rPr>
        <w:t xml:space="preserve">(“DOITS”) </w:t>
      </w:r>
      <w:r w:rsidR="00306F8F">
        <w:rPr>
          <w:rFonts w:asciiTheme="majorHAnsi" w:eastAsia="Arial Unicode MS" w:hAnsiTheme="majorHAnsi"/>
          <w:sz w:val="20"/>
          <w:szCs w:val="20"/>
          <w:u w:color="FF0000"/>
        </w:rPr>
        <w:t>on discrepancies and problems in the features and operability of the system found during the testing, and the outcomes obtained.</w:t>
      </w:r>
      <w:r w:rsidRPr="001D375E">
        <w:rPr>
          <w:rFonts w:asciiTheme="majorHAnsi" w:eastAsia="Arial Unicode MS" w:hAnsiTheme="majorHAnsi"/>
          <w:sz w:val="20"/>
          <w:szCs w:val="20"/>
          <w:u w:color="FF0000"/>
        </w:rPr>
        <w:t xml:space="preserve"> </w:t>
      </w:r>
    </w:p>
    <w:p w:rsidR="0048417D" w:rsidRPr="001D375E" w:rsidRDefault="0048417D">
      <w:pPr>
        <w:spacing w:after="0" w:line="240" w:lineRule="auto"/>
        <w:ind w:left="1440" w:hanging="732"/>
        <w:jc w:val="both"/>
        <w:rPr>
          <w:rFonts w:asciiTheme="majorHAnsi" w:eastAsia="Arial Unicode MS" w:hAnsiTheme="majorHAnsi"/>
          <w:sz w:val="20"/>
          <w:szCs w:val="20"/>
          <w:u w:color="FF0000"/>
        </w:rPr>
      </w:pPr>
    </w:p>
    <w:p w:rsidR="0048417D" w:rsidRPr="001D375E" w:rsidRDefault="00F47F3D">
      <w:pPr>
        <w:pStyle w:val="ListParagraph"/>
        <w:numPr>
          <w:ilvl w:val="0"/>
          <w:numId w:val="9"/>
        </w:numPr>
        <w:ind w:left="0" w:firstLine="720"/>
        <w:jc w:val="both"/>
        <w:rPr>
          <w:rFonts w:asciiTheme="majorHAnsi" w:hAnsiTheme="majorHAnsi" w:cs="Calibri"/>
          <w:sz w:val="20"/>
          <w:szCs w:val="20"/>
        </w:rPr>
      </w:pPr>
      <w:r>
        <w:rPr>
          <w:rFonts w:asciiTheme="majorHAnsi" w:hAnsiTheme="majorHAnsi" w:cs="Calibri"/>
          <w:sz w:val="20"/>
          <w:szCs w:val="20"/>
        </w:rPr>
        <w:t xml:space="preserve">This system sets the standard for progress in the approach and transparency of the information available to users of </w:t>
      </w:r>
      <w:r w:rsidR="001D375E">
        <w:rPr>
          <w:rFonts w:asciiTheme="majorHAnsi" w:hAnsiTheme="majorHAnsi" w:cs="Calibri"/>
          <w:sz w:val="20"/>
          <w:szCs w:val="20"/>
        </w:rPr>
        <w:t>the IACHR</w:t>
      </w:r>
      <w:r w:rsidR="0048417D" w:rsidRPr="001D375E">
        <w:rPr>
          <w:rFonts w:asciiTheme="majorHAnsi" w:hAnsiTheme="majorHAnsi" w:cs="Calibri"/>
          <w:sz w:val="20"/>
          <w:szCs w:val="20"/>
        </w:rPr>
        <w:t xml:space="preserve"> </w:t>
      </w:r>
      <w:r>
        <w:rPr>
          <w:rFonts w:asciiTheme="majorHAnsi" w:hAnsiTheme="majorHAnsi" w:cs="Calibri"/>
          <w:sz w:val="20"/>
          <w:szCs w:val="20"/>
        </w:rPr>
        <w:t xml:space="preserve">with respect to their cases, in a manner that is innovative and unique in the region. </w:t>
      </w:r>
      <w:r w:rsidR="003C2655">
        <w:rPr>
          <w:rFonts w:asciiTheme="majorHAnsi" w:hAnsiTheme="majorHAnsi" w:cs="Calibri"/>
          <w:sz w:val="20"/>
          <w:szCs w:val="20"/>
        </w:rPr>
        <w:t xml:space="preserve"> </w:t>
      </w:r>
      <w:r w:rsidR="00716E19">
        <w:rPr>
          <w:rFonts w:asciiTheme="majorHAnsi" w:hAnsiTheme="majorHAnsi" w:cs="Calibri"/>
          <w:sz w:val="20"/>
          <w:szCs w:val="20"/>
        </w:rPr>
        <w:t>Th</w:t>
      </w:r>
      <w:r w:rsidR="00F1456E">
        <w:rPr>
          <w:rFonts w:asciiTheme="majorHAnsi" w:hAnsiTheme="majorHAnsi" w:cs="Calibri"/>
          <w:sz w:val="20"/>
          <w:szCs w:val="20"/>
        </w:rPr>
        <w:t>ere is no other</w:t>
      </w:r>
      <w:r w:rsidR="00716E19">
        <w:rPr>
          <w:rFonts w:asciiTheme="majorHAnsi" w:hAnsiTheme="majorHAnsi" w:cs="Calibri"/>
          <w:sz w:val="20"/>
          <w:szCs w:val="20"/>
        </w:rPr>
        <w:t xml:space="preserve"> </w:t>
      </w:r>
      <w:r>
        <w:rPr>
          <w:rFonts w:asciiTheme="majorHAnsi" w:hAnsiTheme="majorHAnsi" w:cs="Calibri"/>
          <w:sz w:val="20"/>
          <w:szCs w:val="20"/>
        </w:rPr>
        <w:t>system</w:t>
      </w:r>
      <w:r w:rsidR="00F1456E">
        <w:rPr>
          <w:rFonts w:asciiTheme="majorHAnsi" w:hAnsiTheme="majorHAnsi" w:cs="Calibri"/>
          <w:sz w:val="20"/>
          <w:szCs w:val="20"/>
        </w:rPr>
        <w:t xml:space="preserve"> in the hemisphere </w:t>
      </w:r>
      <w:r w:rsidR="00CF563F">
        <w:rPr>
          <w:rFonts w:asciiTheme="majorHAnsi" w:hAnsiTheme="majorHAnsi" w:cs="Calibri"/>
          <w:sz w:val="20"/>
          <w:szCs w:val="20"/>
        </w:rPr>
        <w:t>with</w:t>
      </w:r>
      <w:r>
        <w:rPr>
          <w:rFonts w:asciiTheme="majorHAnsi" w:hAnsiTheme="majorHAnsi" w:cs="Calibri"/>
          <w:sz w:val="20"/>
          <w:szCs w:val="20"/>
        </w:rPr>
        <w:t xml:space="preserve"> the particular </w:t>
      </w:r>
      <w:r>
        <w:rPr>
          <w:rFonts w:asciiTheme="majorHAnsi" w:eastAsia="Arial Unicode MS" w:hAnsiTheme="majorHAnsi"/>
          <w:sz w:val="20"/>
          <w:szCs w:val="20"/>
          <w:u w:color="FF0000"/>
        </w:rPr>
        <w:t xml:space="preserve">features and operability </w:t>
      </w:r>
      <w:r w:rsidR="00F1456E">
        <w:rPr>
          <w:rFonts w:asciiTheme="majorHAnsi" w:eastAsia="Arial Unicode MS" w:hAnsiTheme="majorHAnsi"/>
          <w:sz w:val="20"/>
          <w:szCs w:val="20"/>
          <w:u w:color="FF0000"/>
        </w:rPr>
        <w:t>that</w:t>
      </w:r>
      <w:r>
        <w:rPr>
          <w:rFonts w:asciiTheme="majorHAnsi" w:eastAsia="Arial Unicode MS" w:hAnsiTheme="majorHAnsi"/>
          <w:sz w:val="20"/>
          <w:szCs w:val="20"/>
          <w:u w:color="FF0000"/>
        </w:rPr>
        <w:t xml:space="preserve"> this </w:t>
      </w:r>
      <w:r w:rsidR="0048417D" w:rsidRPr="001D375E">
        <w:rPr>
          <w:rFonts w:asciiTheme="majorHAnsi" w:hAnsiTheme="majorHAnsi" w:cs="Calibri"/>
          <w:sz w:val="20"/>
          <w:szCs w:val="20"/>
        </w:rPr>
        <w:t xml:space="preserve">Portal </w:t>
      </w:r>
      <w:r w:rsidR="00F1456E">
        <w:rPr>
          <w:rFonts w:asciiTheme="majorHAnsi" w:hAnsiTheme="majorHAnsi" w:cs="Calibri"/>
          <w:sz w:val="20"/>
          <w:szCs w:val="20"/>
        </w:rPr>
        <w:t xml:space="preserve">provides to </w:t>
      </w:r>
      <w:r>
        <w:rPr>
          <w:rFonts w:asciiTheme="majorHAnsi" w:hAnsiTheme="majorHAnsi" w:cs="Calibri"/>
          <w:sz w:val="20"/>
          <w:szCs w:val="20"/>
        </w:rPr>
        <w:t>those who place their trust in the</w:t>
      </w:r>
      <w:r w:rsidR="0048417D" w:rsidRPr="001D375E">
        <w:rPr>
          <w:rFonts w:asciiTheme="majorHAnsi" w:hAnsiTheme="majorHAnsi" w:cs="Calibri"/>
          <w:sz w:val="20"/>
          <w:szCs w:val="20"/>
        </w:rPr>
        <w:t xml:space="preserve"> </w:t>
      </w:r>
      <w:r w:rsidR="001D375E">
        <w:rPr>
          <w:rFonts w:asciiTheme="majorHAnsi" w:hAnsiTheme="majorHAnsi" w:cs="Calibri"/>
          <w:sz w:val="20"/>
          <w:szCs w:val="20"/>
        </w:rPr>
        <w:t>IACHR</w:t>
      </w:r>
      <w:r>
        <w:rPr>
          <w:rFonts w:asciiTheme="majorHAnsi" w:hAnsiTheme="majorHAnsi" w:cs="Calibri"/>
          <w:sz w:val="20"/>
          <w:szCs w:val="20"/>
        </w:rPr>
        <w:t>.</w:t>
      </w:r>
    </w:p>
    <w:p w:rsidR="0048417D" w:rsidRPr="001D375E" w:rsidRDefault="0048417D">
      <w:pPr>
        <w:pStyle w:val="ListParagraph"/>
        <w:jc w:val="both"/>
        <w:rPr>
          <w:rFonts w:asciiTheme="majorHAnsi" w:hAnsiTheme="majorHAnsi" w:cs="Calibri"/>
          <w:sz w:val="20"/>
          <w:szCs w:val="20"/>
        </w:rPr>
      </w:pPr>
    </w:p>
    <w:p w:rsidR="0048417D" w:rsidRPr="001D375E" w:rsidRDefault="00F623B6">
      <w:pPr>
        <w:pStyle w:val="ListParagraph"/>
        <w:numPr>
          <w:ilvl w:val="0"/>
          <w:numId w:val="9"/>
        </w:numPr>
        <w:ind w:left="0" w:firstLine="720"/>
        <w:jc w:val="both"/>
        <w:rPr>
          <w:rFonts w:asciiTheme="majorHAnsi" w:hAnsiTheme="majorHAnsi" w:cs="Calibri"/>
          <w:sz w:val="20"/>
          <w:szCs w:val="20"/>
        </w:rPr>
      </w:pPr>
      <w:r>
        <w:rPr>
          <w:rFonts w:asciiTheme="majorHAnsi" w:hAnsiTheme="majorHAnsi" w:cs="Calibri"/>
          <w:sz w:val="20"/>
          <w:szCs w:val="20"/>
        </w:rPr>
        <w:t>Individuals, organizations, and States can access information on their petitions, cases, and precautionary measures pending before</w:t>
      </w:r>
      <w:r w:rsidR="007650EA" w:rsidRPr="001D375E">
        <w:rPr>
          <w:rFonts w:asciiTheme="majorHAnsi" w:hAnsiTheme="majorHAnsi" w:cs="Calibri"/>
          <w:sz w:val="20"/>
          <w:szCs w:val="20"/>
        </w:rPr>
        <w:t xml:space="preserve"> </w:t>
      </w:r>
      <w:r w:rsidR="001D375E">
        <w:rPr>
          <w:rFonts w:asciiTheme="majorHAnsi" w:hAnsiTheme="majorHAnsi" w:cs="Calibri"/>
          <w:sz w:val="20"/>
          <w:szCs w:val="20"/>
        </w:rPr>
        <w:t>the IACHR</w:t>
      </w:r>
      <w:r w:rsidR="007650EA" w:rsidRPr="001D375E">
        <w:rPr>
          <w:rFonts w:asciiTheme="majorHAnsi" w:hAnsiTheme="majorHAnsi" w:cs="Calibri"/>
          <w:sz w:val="20"/>
          <w:szCs w:val="20"/>
        </w:rPr>
        <w:t xml:space="preserve">, </w:t>
      </w:r>
      <w:r w:rsidR="00EA4A82">
        <w:rPr>
          <w:rFonts w:asciiTheme="majorHAnsi" w:hAnsiTheme="majorHAnsi" w:cs="Calibri"/>
          <w:sz w:val="20"/>
          <w:szCs w:val="20"/>
        </w:rPr>
        <w:t>thus contributing to the enhanced transparency of the procedures and expediting their processing through the use of technology and</w:t>
      </w:r>
      <w:r w:rsidR="007650EA" w:rsidRPr="001D375E">
        <w:rPr>
          <w:rFonts w:asciiTheme="majorHAnsi" w:hAnsiTheme="majorHAnsi" w:cs="Calibri"/>
          <w:sz w:val="20"/>
          <w:szCs w:val="20"/>
        </w:rPr>
        <w:t xml:space="preserve"> </w:t>
      </w:r>
      <w:r w:rsidR="0008197D">
        <w:rPr>
          <w:rFonts w:asciiTheme="majorHAnsi" w:hAnsiTheme="majorHAnsi" w:cs="Calibri"/>
          <w:sz w:val="20"/>
          <w:szCs w:val="20"/>
        </w:rPr>
        <w:t>automated management tools</w:t>
      </w:r>
      <w:r w:rsidR="007650EA" w:rsidRPr="001D375E">
        <w:rPr>
          <w:rFonts w:asciiTheme="majorHAnsi" w:hAnsiTheme="majorHAnsi" w:cs="Calibri"/>
          <w:sz w:val="20"/>
          <w:szCs w:val="20"/>
        </w:rPr>
        <w:t xml:space="preserve">. </w:t>
      </w:r>
      <w:r w:rsidR="003C2655">
        <w:rPr>
          <w:rFonts w:asciiTheme="majorHAnsi" w:hAnsiTheme="majorHAnsi" w:cs="Calibri"/>
          <w:sz w:val="20"/>
          <w:szCs w:val="20"/>
        </w:rPr>
        <w:t xml:space="preserve"> </w:t>
      </w:r>
      <w:r w:rsidR="009D78D1">
        <w:rPr>
          <w:rFonts w:asciiTheme="majorHAnsi" w:hAnsiTheme="majorHAnsi" w:cs="Calibri"/>
          <w:sz w:val="20"/>
          <w:szCs w:val="20"/>
        </w:rPr>
        <w:t xml:space="preserve">This launch is part of </w:t>
      </w:r>
      <w:r w:rsidR="001D375E">
        <w:rPr>
          <w:rFonts w:asciiTheme="majorHAnsi" w:hAnsiTheme="majorHAnsi" w:cs="Calibri"/>
          <w:sz w:val="20"/>
          <w:szCs w:val="20"/>
        </w:rPr>
        <w:t>the IACHR</w:t>
      </w:r>
      <w:r w:rsidR="009D78D1">
        <w:rPr>
          <w:rFonts w:asciiTheme="majorHAnsi" w:hAnsiTheme="majorHAnsi" w:cs="Calibri"/>
          <w:sz w:val="20"/>
          <w:szCs w:val="20"/>
        </w:rPr>
        <w:t xml:space="preserve">’s efforts to create mechanisms that facilitate access to information for persons who </w:t>
      </w:r>
      <w:r w:rsidR="006A15AD">
        <w:rPr>
          <w:rFonts w:asciiTheme="majorHAnsi" w:hAnsiTheme="majorHAnsi" w:cs="Calibri"/>
          <w:sz w:val="20"/>
          <w:szCs w:val="20"/>
        </w:rPr>
        <w:t>use</w:t>
      </w:r>
      <w:r w:rsidR="009D78D1">
        <w:rPr>
          <w:rFonts w:asciiTheme="majorHAnsi" w:hAnsiTheme="majorHAnsi" w:cs="Calibri"/>
          <w:sz w:val="20"/>
          <w:szCs w:val="20"/>
        </w:rPr>
        <w:t xml:space="preserve"> the</w:t>
      </w:r>
      <w:r w:rsidR="007650EA" w:rsidRPr="001D375E">
        <w:rPr>
          <w:rFonts w:asciiTheme="majorHAnsi" w:hAnsiTheme="majorHAnsi" w:cs="Calibri"/>
          <w:sz w:val="20"/>
          <w:szCs w:val="20"/>
        </w:rPr>
        <w:t xml:space="preserve"> </w:t>
      </w:r>
      <w:r>
        <w:rPr>
          <w:rFonts w:asciiTheme="majorHAnsi" w:hAnsiTheme="majorHAnsi" w:cs="Calibri"/>
          <w:sz w:val="20"/>
          <w:szCs w:val="20"/>
        </w:rPr>
        <w:t>Inter-American Human Rights System</w:t>
      </w:r>
      <w:r w:rsidR="005F1001">
        <w:rPr>
          <w:rFonts w:asciiTheme="majorHAnsi" w:hAnsiTheme="majorHAnsi" w:cs="Calibri"/>
          <w:sz w:val="20"/>
          <w:szCs w:val="20"/>
        </w:rPr>
        <w:t>.</w:t>
      </w:r>
      <w:r w:rsidR="007650EA" w:rsidRPr="001D375E">
        <w:rPr>
          <w:rFonts w:asciiTheme="majorHAnsi" w:hAnsiTheme="majorHAnsi" w:cs="Calibri"/>
          <w:sz w:val="20"/>
          <w:szCs w:val="20"/>
        </w:rPr>
        <w:t xml:space="preserve"> </w:t>
      </w:r>
      <w:r w:rsidR="003C2655">
        <w:rPr>
          <w:rFonts w:asciiTheme="majorHAnsi" w:hAnsiTheme="majorHAnsi" w:cs="Calibri"/>
          <w:sz w:val="20"/>
          <w:szCs w:val="20"/>
        </w:rPr>
        <w:t xml:space="preserve"> </w:t>
      </w:r>
      <w:r w:rsidR="009D78D1">
        <w:rPr>
          <w:rFonts w:asciiTheme="majorHAnsi" w:hAnsiTheme="majorHAnsi" w:cs="Calibri"/>
          <w:sz w:val="20"/>
          <w:szCs w:val="20"/>
        </w:rPr>
        <w:t xml:space="preserve">The design of these tools has taken account the need to safeguard the sensitive information in the possession of </w:t>
      </w:r>
      <w:r w:rsidR="001D375E">
        <w:rPr>
          <w:rFonts w:asciiTheme="majorHAnsi" w:hAnsiTheme="majorHAnsi" w:cs="Calibri"/>
          <w:sz w:val="20"/>
          <w:szCs w:val="20"/>
        </w:rPr>
        <w:t>the IACHR</w:t>
      </w:r>
      <w:r w:rsidR="0048417D" w:rsidRPr="001D375E">
        <w:rPr>
          <w:rFonts w:asciiTheme="majorHAnsi" w:hAnsiTheme="majorHAnsi" w:cs="Calibri"/>
          <w:sz w:val="20"/>
          <w:szCs w:val="20"/>
        </w:rPr>
        <w:t>.</w:t>
      </w:r>
    </w:p>
    <w:p w:rsidR="0048417D" w:rsidRPr="001D375E" w:rsidRDefault="0048417D">
      <w:pPr>
        <w:pStyle w:val="ListParagraph"/>
        <w:rPr>
          <w:rFonts w:asciiTheme="majorHAnsi" w:hAnsiTheme="majorHAnsi" w:cs="Calibri"/>
          <w:sz w:val="20"/>
          <w:szCs w:val="20"/>
        </w:rPr>
      </w:pPr>
    </w:p>
    <w:p w:rsidR="002C01C6" w:rsidRPr="001D375E" w:rsidRDefault="00334E58">
      <w:pPr>
        <w:pStyle w:val="ListParagraph"/>
        <w:numPr>
          <w:ilvl w:val="0"/>
          <w:numId w:val="9"/>
        </w:numPr>
        <w:ind w:left="0" w:firstLine="720"/>
        <w:jc w:val="both"/>
        <w:rPr>
          <w:rFonts w:asciiTheme="majorHAnsi" w:hAnsiTheme="majorHAnsi" w:cs="Calibri"/>
          <w:sz w:val="20"/>
          <w:szCs w:val="20"/>
        </w:rPr>
      </w:pPr>
      <w:r>
        <w:rPr>
          <w:rFonts w:asciiTheme="majorHAnsi" w:hAnsiTheme="majorHAnsi" w:cs="Calibri"/>
          <w:sz w:val="20"/>
          <w:szCs w:val="20"/>
        </w:rPr>
        <w:t xml:space="preserve">The </w:t>
      </w:r>
      <w:r w:rsidR="0048417D" w:rsidRPr="001D375E">
        <w:rPr>
          <w:rFonts w:asciiTheme="majorHAnsi" w:hAnsiTheme="majorHAnsi" w:cs="Calibri"/>
          <w:sz w:val="20"/>
          <w:szCs w:val="20"/>
        </w:rPr>
        <w:t xml:space="preserve">Portal </w:t>
      </w:r>
      <w:r>
        <w:rPr>
          <w:rFonts w:asciiTheme="majorHAnsi" w:hAnsiTheme="majorHAnsi" w:cs="Calibri"/>
          <w:sz w:val="20"/>
          <w:szCs w:val="20"/>
        </w:rPr>
        <w:t xml:space="preserve">not only contains efficiently structured and digitized information but also offers other benefits. </w:t>
      </w:r>
      <w:r w:rsidR="00CD3CD3">
        <w:rPr>
          <w:rFonts w:asciiTheme="majorHAnsi" w:hAnsiTheme="majorHAnsi" w:cs="Calibri"/>
          <w:sz w:val="20"/>
          <w:szCs w:val="20"/>
        </w:rPr>
        <w:t xml:space="preserve"> </w:t>
      </w:r>
      <w:r>
        <w:rPr>
          <w:rFonts w:asciiTheme="majorHAnsi" w:hAnsiTheme="majorHAnsi" w:cs="Calibri"/>
          <w:sz w:val="20"/>
          <w:szCs w:val="20"/>
        </w:rPr>
        <w:t>For instance,</w:t>
      </w:r>
      <w:r w:rsidR="006B091C">
        <w:rPr>
          <w:rFonts w:asciiTheme="majorHAnsi" w:hAnsiTheme="majorHAnsi" w:cs="Calibri"/>
          <w:sz w:val="20"/>
          <w:szCs w:val="20"/>
        </w:rPr>
        <w:t xml:space="preserve"> it offers</w:t>
      </w:r>
      <w:r>
        <w:rPr>
          <w:rFonts w:asciiTheme="majorHAnsi" w:hAnsiTheme="majorHAnsi" w:cs="Calibri"/>
          <w:sz w:val="20"/>
          <w:szCs w:val="20"/>
        </w:rPr>
        <w:t xml:space="preserve"> transparency </w:t>
      </w:r>
      <w:r w:rsidR="00BA7B54">
        <w:rPr>
          <w:rFonts w:asciiTheme="majorHAnsi" w:hAnsiTheme="majorHAnsi" w:cs="Calibri"/>
          <w:sz w:val="20"/>
          <w:szCs w:val="20"/>
        </w:rPr>
        <w:t>in</w:t>
      </w:r>
      <w:r>
        <w:rPr>
          <w:rFonts w:asciiTheme="majorHAnsi" w:hAnsiTheme="majorHAnsi" w:cs="Calibri"/>
          <w:sz w:val="20"/>
          <w:szCs w:val="20"/>
        </w:rPr>
        <w:t xml:space="preserve"> the IACHR’s work and proceedings through the use of technology and </w:t>
      </w:r>
      <w:r w:rsidR="0008197D">
        <w:rPr>
          <w:rFonts w:asciiTheme="majorHAnsi" w:hAnsiTheme="majorHAnsi" w:cs="Calibri"/>
          <w:sz w:val="20"/>
          <w:szCs w:val="20"/>
        </w:rPr>
        <w:t>automated management tools</w:t>
      </w:r>
      <w:r w:rsidR="0048417D" w:rsidRPr="001D375E">
        <w:rPr>
          <w:rFonts w:asciiTheme="majorHAnsi" w:hAnsiTheme="majorHAnsi" w:cs="Calibri"/>
          <w:sz w:val="20"/>
          <w:szCs w:val="20"/>
        </w:rPr>
        <w:t xml:space="preserve">, </w:t>
      </w:r>
      <w:r>
        <w:rPr>
          <w:rFonts w:asciiTheme="majorHAnsi" w:hAnsiTheme="majorHAnsi" w:cs="Calibri"/>
          <w:sz w:val="20"/>
          <w:szCs w:val="20"/>
        </w:rPr>
        <w:t xml:space="preserve">the expedited exchange of communications and documentation, access to information on the status and procedural stage of pending petitions, cases, and precautionary measures, and </w:t>
      </w:r>
      <w:r w:rsidR="00BA7B54">
        <w:rPr>
          <w:rFonts w:asciiTheme="majorHAnsi" w:hAnsiTheme="majorHAnsi" w:cs="Calibri"/>
          <w:sz w:val="20"/>
          <w:szCs w:val="20"/>
        </w:rPr>
        <w:t>an</w:t>
      </w:r>
      <w:r>
        <w:rPr>
          <w:rFonts w:asciiTheme="majorHAnsi" w:hAnsiTheme="majorHAnsi" w:cs="Calibri"/>
          <w:sz w:val="20"/>
          <w:szCs w:val="20"/>
        </w:rPr>
        <w:t xml:space="preserve"> easy, free, and instantaneous way </w:t>
      </w:r>
      <w:r w:rsidR="00BA7B54">
        <w:rPr>
          <w:rFonts w:asciiTheme="majorHAnsi" w:hAnsiTheme="majorHAnsi" w:cs="Calibri"/>
          <w:sz w:val="20"/>
          <w:szCs w:val="20"/>
        </w:rPr>
        <w:t>to send and receive</w:t>
      </w:r>
      <w:r>
        <w:rPr>
          <w:rFonts w:asciiTheme="majorHAnsi" w:hAnsiTheme="majorHAnsi" w:cs="Calibri"/>
          <w:sz w:val="20"/>
          <w:szCs w:val="20"/>
        </w:rPr>
        <w:t xml:space="preserve"> additional information on existing matters. </w:t>
      </w:r>
    </w:p>
    <w:p w:rsidR="0048417D" w:rsidRPr="001D375E" w:rsidRDefault="0048417D">
      <w:pPr>
        <w:spacing w:after="0" w:line="240" w:lineRule="auto"/>
        <w:jc w:val="both"/>
        <w:rPr>
          <w:rFonts w:asciiTheme="majorHAnsi" w:hAnsiTheme="majorHAnsi" w:cs="Calibri"/>
          <w:sz w:val="20"/>
          <w:szCs w:val="20"/>
        </w:rPr>
      </w:pPr>
    </w:p>
    <w:p w:rsidR="0048417D" w:rsidRPr="001D375E" w:rsidRDefault="001F21FD" w:rsidP="00F5716D">
      <w:pPr>
        <w:pStyle w:val="ListParagraph"/>
        <w:numPr>
          <w:ilvl w:val="0"/>
          <w:numId w:val="9"/>
        </w:numPr>
        <w:ind w:left="0" w:firstLine="720"/>
        <w:jc w:val="both"/>
        <w:rPr>
          <w:rFonts w:asciiTheme="majorHAnsi" w:hAnsiTheme="majorHAnsi" w:cs="Calibri"/>
          <w:sz w:val="20"/>
          <w:szCs w:val="20"/>
        </w:rPr>
      </w:pPr>
      <w:r w:rsidRPr="001F21FD">
        <w:rPr>
          <w:rFonts w:asciiTheme="majorHAnsi" w:hAnsiTheme="majorHAnsi" w:cs="Calibri"/>
          <w:sz w:val="20"/>
          <w:szCs w:val="20"/>
        </w:rPr>
        <w:t xml:space="preserve">Once the Portal went online, users immediately began to register and make use of the tool.  As of December 31, 2015, it had a total of 1,473 registered users, 45 of which are users accredited by Member States including: Argentina, Bolivia, Canada, Chile, Colombia, Costa Rica, Ecuador, El Salvador, Guatemala, Guyana, Honduras, Jamaica, Mexico, Nicaragua, Paraguay, Peru, Uruguay, and Venezuela. To date, 10,736 </w:t>
      </w:r>
      <w:r w:rsidRPr="001F21FD">
        <w:rPr>
          <w:rFonts w:asciiTheme="majorHAnsi" w:hAnsiTheme="majorHAnsi" w:cs="Calibri"/>
          <w:sz w:val="20"/>
          <w:szCs w:val="20"/>
        </w:rPr>
        <w:lastRenderedPageBreak/>
        <w:t>documents containing additional information have been processed through the automated system. In addition, we have received 483 new legal complaints through the Portal  A total of 19,705 documents have been processed through the system thus far.</w:t>
      </w:r>
    </w:p>
    <w:p w:rsidR="0048417D" w:rsidRPr="001D375E" w:rsidRDefault="0048417D">
      <w:pPr>
        <w:pStyle w:val="ListParagraph"/>
        <w:jc w:val="both"/>
        <w:rPr>
          <w:rFonts w:asciiTheme="majorHAnsi" w:hAnsiTheme="majorHAnsi" w:cs="Calibri"/>
          <w:sz w:val="20"/>
          <w:szCs w:val="20"/>
        </w:rPr>
      </w:pPr>
    </w:p>
    <w:p w:rsidR="0048417D" w:rsidRPr="001D375E" w:rsidRDefault="003829B5">
      <w:pPr>
        <w:pStyle w:val="ListParagraph"/>
        <w:numPr>
          <w:ilvl w:val="0"/>
          <w:numId w:val="9"/>
        </w:numPr>
        <w:ind w:left="0" w:firstLine="720"/>
        <w:jc w:val="both"/>
        <w:rPr>
          <w:rFonts w:asciiTheme="majorHAnsi" w:hAnsiTheme="majorHAnsi" w:cs="Calibri"/>
          <w:sz w:val="20"/>
          <w:szCs w:val="20"/>
        </w:rPr>
      </w:pPr>
      <w:r>
        <w:rPr>
          <w:rFonts w:asciiTheme="majorHAnsi" w:hAnsiTheme="majorHAnsi" w:cs="Calibri"/>
          <w:sz w:val="20"/>
          <w:szCs w:val="20"/>
        </w:rPr>
        <w:t>In order to</w:t>
      </w:r>
      <w:r w:rsidR="00E94B45">
        <w:rPr>
          <w:rFonts w:asciiTheme="majorHAnsi" w:hAnsiTheme="majorHAnsi" w:cs="Calibri"/>
          <w:sz w:val="20"/>
          <w:szCs w:val="20"/>
        </w:rPr>
        <w:t xml:space="preserve"> constant</w:t>
      </w:r>
      <w:r w:rsidR="0016774A">
        <w:rPr>
          <w:rFonts w:asciiTheme="majorHAnsi" w:hAnsiTheme="majorHAnsi" w:cs="Calibri"/>
          <w:sz w:val="20"/>
          <w:szCs w:val="20"/>
        </w:rPr>
        <w:t>ly</w:t>
      </w:r>
      <w:r w:rsidR="00E94B45">
        <w:rPr>
          <w:rFonts w:asciiTheme="majorHAnsi" w:hAnsiTheme="majorHAnsi" w:cs="Calibri"/>
          <w:sz w:val="20"/>
          <w:szCs w:val="20"/>
        </w:rPr>
        <w:t xml:space="preserve"> improv</w:t>
      </w:r>
      <w:r>
        <w:rPr>
          <w:rFonts w:asciiTheme="majorHAnsi" w:hAnsiTheme="majorHAnsi" w:cs="Calibri"/>
          <w:sz w:val="20"/>
          <w:szCs w:val="20"/>
        </w:rPr>
        <w:t>e</w:t>
      </w:r>
      <w:r w:rsidR="0016774A">
        <w:rPr>
          <w:rFonts w:asciiTheme="majorHAnsi" w:hAnsiTheme="majorHAnsi" w:cs="Calibri"/>
          <w:sz w:val="20"/>
          <w:szCs w:val="20"/>
        </w:rPr>
        <w:t xml:space="preserve"> </w:t>
      </w:r>
      <w:r w:rsidR="00E94B45">
        <w:rPr>
          <w:rFonts w:asciiTheme="majorHAnsi" w:hAnsiTheme="majorHAnsi" w:cs="Calibri"/>
          <w:sz w:val="20"/>
          <w:szCs w:val="20"/>
        </w:rPr>
        <w:t>the systems,</w:t>
      </w:r>
      <w:r w:rsidR="0048417D" w:rsidRPr="001D375E">
        <w:rPr>
          <w:rFonts w:asciiTheme="majorHAnsi" w:hAnsiTheme="majorHAnsi" w:cs="Calibri"/>
          <w:sz w:val="20"/>
          <w:szCs w:val="20"/>
        </w:rPr>
        <w:t xml:space="preserve"> </w:t>
      </w:r>
      <w:r w:rsidR="00E94B45">
        <w:rPr>
          <w:rFonts w:asciiTheme="majorHAnsi" w:hAnsiTheme="majorHAnsi" w:cs="Calibri"/>
          <w:sz w:val="20"/>
          <w:szCs w:val="20"/>
        </w:rPr>
        <w:t>the</w:t>
      </w:r>
      <w:r w:rsidR="0048417D" w:rsidRPr="001D375E">
        <w:rPr>
          <w:rFonts w:asciiTheme="majorHAnsi" w:hAnsiTheme="majorHAnsi" w:cs="Calibri"/>
          <w:sz w:val="20"/>
          <w:szCs w:val="20"/>
        </w:rPr>
        <w:t xml:space="preserve"> </w:t>
      </w:r>
      <w:r w:rsidR="003C2655">
        <w:rPr>
          <w:rFonts w:asciiTheme="majorHAnsi" w:hAnsiTheme="majorHAnsi" w:cs="Calibri"/>
          <w:sz w:val="20"/>
          <w:szCs w:val="20"/>
        </w:rPr>
        <w:t>UTS</w:t>
      </w:r>
      <w:r w:rsidR="003C2655" w:rsidRPr="001D375E">
        <w:rPr>
          <w:rFonts w:asciiTheme="majorHAnsi" w:hAnsiTheme="majorHAnsi" w:cs="Calibri"/>
          <w:sz w:val="20"/>
          <w:szCs w:val="20"/>
        </w:rPr>
        <w:t xml:space="preserve"> </w:t>
      </w:r>
      <w:r w:rsidR="003D4467">
        <w:rPr>
          <w:rFonts w:asciiTheme="majorHAnsi" w:hAnsiTheme="majorHAnsi" w:cs="Calibri"/>
          <w:sz w:val="20"/>
          <w:szCs w:val="20"/>
        </w:rPr>
        <w:t>carried out</w:t>
      </w:r>
      <w:r w:rsidR="00E94B45">
        <w:rPr>
          <w:rFonts w:asciiTheme="majorHAnsi" w:hAnsiTheme="majorHAnsi" w:cs="Calibri"/>
          <w:sz w:val="20"/>
          <w:szCs w:val="20"/>
        </w:rPr>
        <w:t xml:space="preserve"> the project to improve the performance of our </w:t>
      </w:r>
      <w:r w:rsidR="00E94B45" w:rsidRPr="00E94B45">
        <w:rPr>
          <w:rFonts w:asciiTheme="majorHAnsi" w:hAnsiTheme="majorHAnsi" w:cs="Calibri"/>
          <w:sz w:val="20"/>
          <w:szCs w:val="20"/>
        </w:rPr>
        <w:t xml:space="preserve">document management system </w:t>
      </w:r>
      <w:r w:rsidR="0048417D" w:rsidRPr="001D375E">
        <w:rPr>
          <w:rFonts w:asciiTheme="majorHAnsi" w:hAnsiTheme="majorHAnsi" w:cs="Calibri"/>
          <w:sz w:val="20"/>
          <w:szCs w:val="20"/>
        </w:rPr>
        <w:t>(DMS)</w:t>
      </w:r>
      <w:r w:rsidR="00F2376A" w:rsidRPr="001D375E">
        <w:rPr>
          <w:rFonts w:asciiTheme="majorHAnsi" w:hAnsiTheme="majorHAnsi" w:cs="Calibri"/>
          <w:sz w:val="20"/>
          <w:szCs w:val="20"/>
        </w:rPr>
        <w:t xml:space="preserve">, </w:t>
      </w:r>
      <w:r w:rsidR="00E94B45">
        <w:rPr>
          <w:rFonts w:asciiTheme="majorHAnsi" w:hAnsiTheme="majorHAnsi" w:cs="Calibri"/>
          <w:sz w:val="20"/>
          <w:szCs w:val="20"/>
        </w:rPr>
        <w:t xml:space="preserve">which is used to control the flow of documents received from and issued to petitioners and States. </w:t>
      </w:r>
      <w:r w:rsidR="00CD3CD3">
        <w:rPr>
          <w:rFonts w:asciiTheme="majorHAnsi" w:hAnsiTheme="majorHAnsi" w:cs="Calibri"/>
          <w:sz w:val="20"/>
          <w:szCs w:val="20"/>
        </w:rPr>
        <w:t xml:space="preserve"> </w:t>
      </w:r>
      <w:r w:rsidR="00E94B45">
        <w:rPr>
          <w:rFonts w:asciiTheme="majorHAnsi" w:hAnsiTheme="majorHAnsi" w:cs="Calibri"/>
          <w:sz w:val="20"/>
          <w:szCs w:val="20"/>
        </w:rPr>
        <w:t>The</w:t>
      </w:r>
      <w:r w:rsidR="0048417D" w:rsidRPr="001D375E">
        <w:rPr>
          <w:rFonts w:asciiTheme="majorHAnsi" w:hAnsiTheme="majorHAnsi" w:cs="Calibri"/>
          <w:sz w:val="20"/>
          <w:szCs w:val="20"/>
        </w:rPr>
        <w:t xml:space="preserve"> DMS </w:t>
      </w:r>
      <w:r w:rsidR="0016774A">
        <w:rPr>
          <w:rFonts w:asciiTheme="majorHAnsi" w:hAnsiTheme="majorHAnsi" w:cs="Calibri"/>
          <w:sz w:val="20"/>
          <w:szCs w:val="20"/>
        </w:rPr>
        <w:t xml:space="preserve">was showing </w:t>
      </w:r>
      <w:r w:rsidR="00BC22F1">
        <w:rPr>
          <w:rFonts w:asciiTheme="majorHAnsi" w:hAnsiTheme="majorHAnsi" w:cs="Calibri"/>
          <w:sz w:val="20"/>
          <w:szCs w:val="20"/>
        </w:rPr>
        <w:t xml:space="preserve">signs of </w:t>
      </w:r>
      <w:r w:rsidR="0016774A">
        <w:rPr>
          <w:rFonts w:asciiTheme="majorHAnsi" w:hAnsiTheme="majorHAnsi" w:cs="Calibri"/>
          <w:sz w:val="20"/>
          <w:szCs w:val="20"/>
        </w:rPr>
        <w:t xml:space="preserve">instability in response times and performance, due to the fact that the technological platform on which the system is based </w:t>
      </w:r>
      <w:r w:rsidR="003D4467">
        <w:rPr>
          <w:rFonts w:asciiTheme="majorHAnsi" w:hAnsiTheme="majorHAnsi" w:cs="Calibri"/>
          <w:sz w:val="20"/>
          <w:szCs w:val="20"/>
        </w:rPr>
        <w:t xml:space="preserve">needed to be updated and improved </w:t>
      </w:r>
      <w:r w:rsidR="0016774A">
        <w:rPr>
          <w:rFonts w:asciiTheme="majorHAnsi" w:hAnsiTheme="majorHAnsi" w:cs="Calibri"/>
          <w:sz w:val="20"/>
          <w:szCs w:val="20"/>
        </w:rPr>
        <w:t>with cutting-edge elements</w:t>
      </w:r>
      <w:r w:rsidR="0048417D" w:rsidRPr="001D375E">
        <w:rPr>
          <w:rFonts w:asciiTheme="majorHAnsi" w:hAnsiTheme="majorHAnsi" w:cs="Calibri"/>
          <w:sz w:val="20"/>
          <w:szCs w:val="20"/>
        </w:rPr>
        <w:t>.</w:t>
      </w:r>
      <w:r w:rsidR="00CD3CD3">
        <w:rPr>
          <w:rFonts w:asciiTheme="majorHAnsi" w:hAnsiTheme="majorHAnsi" w:cs="Calibri"/>
          <w:sz w:val="20"/>
          <w:szCs w:val="20"/>
        </w:rPr>
        <w:t xml:space="preserve"> </w:t>
      </w:r>
      <w:r w:rsidR="0048417D" w:rsidRPr="001D375E">
        <w:rPr>
          <w:rFonts w:asciiTheme="majorHAnsi" w:hAnsiTheme="majorHAnsi" w:cs="Calibri"/>
          <w:sz w:val="20"/>
          <w:szCs w:val="20"/>
        </w:rPr>
        <w:t xml:space="preserve"> </w:t>
      </w:r>
      <w:r w:rsidR="003D4467">
        <w:rPr>
          <w:rFonts w:asciiTheme="majorHAnsi" w:hAnsiTheme="majorHAnsi" w:cs="Calibri"/>
          <w:sz w:val="20"/>
          <w:szCs w:val="20"/>
        </w:rPr>
        <w:t xml:space="preserve">This project included phases </w:t>
      </w:r>
      <w:r w:rsidR="00DC22C5">
        <w:rPr>
          <w:rFonts w:asciiTheme="majorHAnsi" w:hAnsiTheme="majorHAnsi" w:cs="Calibri"/>
          <w:sz w:val="20"/>
          <w:szCs w:val="20"/>
        </w:rPr>
        <w:t>for the</w:t>
      </w:r>
      <w:r w:rsidR="003D4467">
        <w:rPr>
          <w:rFonts w:asciiTheme="majorHAnsi" w:hAnsiTheme="majorHAnsi" w:cs="Calibri"/>
          <w:sz w:val="20"/>
          <w:szCs w:val="20"/>
        </w:rPr>
        <w:t xml:space="preserve"> p</w:t>
      </w:r>
      <w:r w:rsidR="0016774A">
        <w:rPr>
          <w:rFonts w:asciiTheme="majorHAnsi" w:hAnsiTheme="majorHAnsi" w:cs="Calibri"/>
          <w:sz w:val="20"/>
          <w:szCs w:val="20"/>
        </w:rPr>
        <w:t>lanning, testing, monitoring,</w:t>
      </w:r>
      <w:r w:rsidR="00C5026B">
        <w:rPr>
          <w:rFonts w:asciiTheme="majorHAnsi" w:hAnsiTheme="majorHAnsi" w:cs="Calibri"/>
          <w:sz w:val="20"/>
          <w:szCs w:val="20"/>
        </w:rPr>
        <w:t xml:space="preserve"> implementation, and adjustment</w:t>
      </w:r>
      <w:r w:rsidR="0016774A">
        <w:rPr>
          <w:rFonts w:asciiTheme="majorHAnsi" w:hAnsiTheme="majorHAnsi" w:cs="Calibri"/>
          <w:sz w:val="20"/>
          <w:szCs w:val="20"/>
        </w:rPr>
        <w:t xml:space="preserve"> </w:t>
      </w:r>
      <w:r w:rsidR="00C5026B">
        <w:rPr>
          <w:rFonts w:asciiTheme="majorHAnsi" w:hAnsiTheme="majorHAnsi" w:cs="Calibri"/>
          <w:sz w:val="20"/>
          <w:szCs w:val="20"/>
        </w:rPr>
        <w:t>of</w:t>
      </w:r>
      <w:r w:rsidR="0016774A">
        <w:rPr>
          <w:rFonts w:asciiTheme="majorHAnsi" w:hAnsiTheme="majorHAnsi" w:cs="Calibri"/>
          <w:sz w:val="20"/>
          <w:szCs w:val="20"/>
        </w:rPr>
        <w:t xml:space="preserve"> the changes and</w:t>
      </w:r>
      <w:r w:rsidR="00C5026B">
        <w:rPr>
          <w:rFonts w:asciiTheme="majorHAnsi" w:hAnsiTheme="majorHAnsi" w:cs="Calibri"/>
          <w:sz w:val="20"/>
          <w:szCs w:val="20"/>
        </w:rPr>
        <w:t xml:space="preserve"> enhancements</w:t>
      </w:r>
      <w:r w:rsidR="0016774A">
        <w:rPr>
          <w:rFonts w:asciiTheme="majorHAnsi" w:hAnsiTheme="majorHAnsi" w:cs="Calibri"/>
          <w:sz w:val="20"/>
          <w:szCs w:val="20"/>
        </w:rPr>
        <w:t xml:space="preserve"> to the</w:t>
      </w:r>
      <w:r w:rsidR="0048417D" w:rsidRPr="001D375E">
        <w:rPr>
          <w:rFonts w:asciiTheme="majorHAnsi" w:hAnsiTheme="majorHAnsi" w:cs="Calibri"/>
          <w:sz w:val="20"/>
          <w:szCs w:val="20"/>
        </w:rPr>
        <w:t xml:space="preserve"> DMS. </w:t>
      </w:r>
      <w:r w:rsidR="00CD3CD3">
        <w:rPr>
          <w:rFonts w:asciiTheme="majorHAnsi" w:hAnsiTheme="majorHAnsi" w:cs="Calibri"/>
          <w:sz w:val="20"/>
          <w:szCs w:val="20"/>
        </w:rPr>
        <w:t xml:space="preserve"> </w:t>
      </w:r>
      <w:r w:rsidR="00733671">
        <w:rPr>
          <w:rFonts w:asciiTheme="majorHAnsi" w:hAnsiTheme="majorHAnsi" w:cs="Calibri"/>
          <w:sz w:val="20"/>
          <w:szCs w:val="20"/>
        </w:rPr>
        <w:t>At</w:t>
      </w:r>
      <w:r w:rsidR="0016774A">
        <w:rPr>
          <w:rFonts w:asciiTheme="majorHAnsi" w:hAnsiTheme="majorHAnsi" w:cs="Calibri"/>
          <w:sz w:val="20"/>
          <w:szCs w:val="20"/>
        </w:rPr>
        <w:t xml:space="preserve"> the </w:t>
      </w:r>
      <w:r w:rsidR="00051381">
        <w:rPr>
          <w:rFonts w:asciiTheme="majorHAnsi" w:hAnsiTheme="majorHAnsi" w:cs="Calibri"/>
          <w:sz w:val="20"/>
          <w:szCs w:val="20"/>
        </w:rPr>
        <w:t xml:space="preserve">trial </w:t>
      </w:r>
      <w:r w:rsidR="0016774A">
        <w:rPr>
          <w:rFonts w:asciiTheme="majorHAnsi" w:hAnsiTheme="majorHAnsi" w:cs="Calibri"/>
          <w:sz w:val="20"/>
          <w:szCs w:val="20"/>
        </w:rPr>
        <w:t>phase, in order to ensure that the proposed improvements worked properly in our actual work environment without causing adverse effects</w:t>
      </w:r>
      <w:r w:rsidR="0048417D" w:rsidRPr="001D375E">
        <w:rPr>
          <w:rFonts w:asciiTheme="majorHAnsi" w:hAnsiTheme="majorHAnsi" w:cs="Calibri"/>
          <w:sz w:val="20"/>
          <w:szCs w:val="20"/>
        </w:rPr>
        <w:t xml:space="preserve">, </w:t>
      </w:r>
      <w:r w:rsidR="0016774A">
        <w:rPr>
          <w:rFonts w:asciiTheme="majorHAnsi" w:hAnsiTheme="majorHAnsi" w:cs="Calibri"/>
          <w:sz w:val="20"/>
          <w:szCs w:val="20"/>
        </w:rPr>
        <w:t>the work flows and processes</w:t>
      </w:r>
      <w:r w:rsidR="00733671" w:rsidRPr="00733671">
        <w:rPr>
          <w:rFonts w:asciiTheme="majorHAnsi" w:hAnsiTheme="majorHAnsi" w:cs="Calibri"/>
          <w:sz w:val="20"/>
          <w:szCs w:val="20"/>
        </w:rPr>
        <w:t xml:space="preserve"> </w:t>
      </w:r>
      <w:r w:rsidR="00733671">
        <w:rPr>
          <w:rFonts w:asciiTheme="majorHAnsi" w:hAnsiTheme="majorHAnsi" w:cs="Calibri"/>
          <w:sz w:val="20"/>
          <w:szCs w:val="20"/>
        </w:rPr>
        <w:t>were simulated</w:t>
      </w:r>
      <w:r w:rsidR="0016774A">
        <w:rPr>
          <w:rFonts w:asciiTheme="majorHAnsi" w:hAnsiTheme="majorHAnsi" w:cs="Calibri"/>
          <w:sz w:val="20"/>
          <w:szCs w:val="20"/>
        </w:rPr>
        <w:t xml:space="preserve"> in a special, separate environment dedicated </w:t>
      </w:r>
      <w:r w:rsidR="00733671">
        <w:rPr>
          <w:rFonts w:asciiTheme="majorHAnsi" w:hAnsiTheme="majorHAnsi" w:cs="Calibri"/>
          <w:sz w:val="20"/>
          <w:szCs w:val="20"/>
        </w:rPr>
        <w:t>solely</w:t>
      </w:r>
      <w:r w:rsidR="0016774A">
        <w:rPr>
          <w:rFonts w:asciiTheme="majorHAnsi" w:hAnsiTheme="majorHAnsi" w:cs="Calibri"/>
          <w:sz w:val="20"/>
          <w:szCs w:val="20"/>
        </w:rPr>
        <w:t xml:space="preserve"> to testing</w:t>
      </w:r>
      <w:r w:rsidR="0048417D" w:rsidRPr="001D375E">
        <w:rPr>
          <w:rFonts w:asciiTheme="majorHAnsi" w:hAnsiTheme="majorHAnsi" w:cs="Calibri"/>
          <w:sz w:val="20"/>
          <w:szCs w:val="20"/>
        </w:rPr>
        <w:t xml:space="preserve">. </w:t>
      </w:r>
      <w:r w:rsidR="00CD3CD3">
        <w:rPr>
          <w:rFonts w:asciiTheme="majorHAnsi" w:hAnsiTheme="majorHAnsi" w:cs="Calibri"/>
          <w:sz w:val="20"/>
          <w:szCs w:val="20"/>
        </w:rPr>
        <w:t xml:space="preserve"> </w:t>
      </w:r>
      <w:r w:rsidR="00AC6A04">
        <w:rPr>
          <w:rFonts w:asciiTheme="majorHAnsi" w:hAnsiTheme="majorHAnsi" w:cs="Calibri"/>
          <w:sz w:val="20"/>
          <w:szCs w:val="20"/>
        </w:rPr>
        <w:t>E</w:t>
      </w:r>
      <w:r w:rsidR="0016774A">
        <w:rPr>
          <w:rFonts w:asciiTheme="majorHAnsi" w:hAnsiTheme="majorHAnsi" w:cs="Calibri"/>
          <w:sz w:val="20"/>
          <w:szCs w:val="20"/>
        </w:rPr>
        <w:t xml:space="preserve">xperiments </w:t>
      </w:r>
      <w:r w:rsidR="00AC6A04">
        <w:rPr>
          <w:rFonts w:asciiTheme="majorHAnsi" w:hAnsiTheme="majorHAnsi" w:cs="Calibri"/>
          <w:sz w:val="20"/>
          <w:szCs w:val="20"/>
        </w:rPr>
        <w:t xml:space="preserve">were conducted </w:t>
      </w:r>
      <w:r w:rsidR="0016774A">
        <w:rPr>
          <w:rFonts w:asciiTheme="majorHAnsi" w:hAnsiTheme="majorHAnsi" w:cs="Calibri"/>
          <w:sz w:val="20"/>
          <w:szCs w:val="20"/>
        </w:rPr>
        <w:t>with users from the different modules of petitions, ca</w:t>
      </w:r>
      <w:r w:rsidR="00AC6A04">
        <w:rPr>
          <w:rFonts w:asciiTheme="majorHAnsi" w:hAnsiTheme="majorHAnsi" w:cs="Calibri"/>
          <w:sz w:val="20"/>
          <w:szCs w:val="20"/>
        </w:rPr>
        <w:t>ses, and precautionary measures, playing out</w:t>
      </w:r>
      <w:r w:rsidR="0016774A">
        <w:rPr>
          <w:rFonts w:asciiTheme="majorHAnsi" w:hAnsiTheme="majorHAnsi" w:cs="Calibri"/>
          <w:sz w:val="20"/>
          <w:szCs w:val="20"/>
        </w:rPr>
        <w:t xml:space="preserve"> scenarios that included everything from the registration of the complaint to the electronic signature of a letter,</w:t>
      </w:r>
      <w:r w:rsidR="0048417D" w:rsidRPr="001D375E">
        <w:rPr>
          <w:rFonts w:asciiTheme="majorHAnsi" w:hAnsiTheme="majorHAnsi" w:cs="Calibri"/>
          <w:sz w:val="20"/>
          <w:szCs w:val="20"/>
        </w:rPr>
        <w:t xml:space="preserve"> </w:t>
      </w:r>
      <w:r w:rsidR="00AC6A04">
        <w:rPr>
          <w:rFonts w:asciiTheme="majorHAnsi" w:hAnsiTheme="majorHAnsi" w:cs="Calibri"/>
          <w:sz w:val="20"/>
          <w:szCs w:val="20"/>
        </w:rPr>
        <w:t>going</w:t>
      </w:r>
      <w:r w:rsidR="0016774A">
        <w:rPr>
          <w:rFonts w:asciiTheme="majorHAnsi" w:hAnsiTheme="majorHAnsi" w:cs="Calibri"/>
          <w:sz w:val="20"/>
          <w:szCs w:val="20"/>
        </w:rPr>
        <w:t xml:space="preserve"> through all of the work flows and all of the respective sectio</w:t>
      </w:r>
      <w:r w:rsidR="00AC6A04">
        <w:rPr>
          <w:rFonts w:asciiTheme="majorHAnsi" w:hAnsiTheme="majorHAnsi" w:cs="Calibri"/>
          <w:sz w:val="20"/>
          <w:szCs w:val="20"/>
        </w:rPr>
        <w:t xml:space="preserve">ns. </w:t>
      </w:r>
      <w:r w:rsidR="00051381">
        <w:rPr>
          <w:rFonts w:asciiTheme="majorHAnsi" w:hAnsiTheme="majorHAnsi" w:cs="Calibri"/>
          <w:sz w:val="20"/>
          <w:szCs w:val="20"/>
        </w:rPr>
        <w:t xml:space="preserve"> </w:t>
      </w:r>
      <w:r w:rsidR="00AC6A04">
        <w:rPr>
          <w:rFonts w:asciiTheme="majorHAnsi" w:hAnsiTheme="majorHAnsi" w:cs="Calibri"/>
          <w:sz w:val="20"/>
          <w:szCs w:val="20"/>
        </w:rPr>
        <w:t xml:space="preserve">The results were successful, </w:t>
      </w:r>
      <w:r w:rsidR="0016774A">
        <w:rPr>
          <w:rFonts w:asciiTheme="majorHAnsi" w:hAnsiTheme="majorHAnsi" w:cs="Calibri"/>
          <w:sz w:val="20"/>
          <w:szCs w:val="20"/>
        </w:rPr>
        <w:t>the system’s performance</w:t>
      </w:r>
      <w:r w:rsidR="00AC6A04">
        <w:rPr>
          <w:rFonts w:asciiTheme="majorHAnsi" w:hAnsiTheme="majorHAnsi" w:cs="Calibri"/>
          <w:sz w:val="20"/>
          <w:szCs w:val="20"/>
        </w:rPr>
        <w:t xml:space="preserve"> was stabilized</w:t>
      </w:r>
      <w:r w:rsidR="0016774A">
        <w:rPr>
          <w:rFonts w:asciiTheme="majorHAnsi" w:hAnsiTheme="majorHAnsi" w:cs="Calibri"/>
          <w:sz w:val="20"/>
          <w:szCs w:val="20"/>
        </w:rPr>
        <w:t xml:space="preserve">, </w:t>
      </w:r>
      <w:r w:rsidR="00AC6A04">
        <w:rPr>
          <w:rFonts w:asciiTheme="majorHAnsi" w:hAnsiTheme="majorHAnsi" w:cs="Calibri"/>
          <w:sz w:val="20"/>
          <w:szCs w:val="20"/>
        </w:rPr>
        <w:t>and there was</w:t>
      </w:r>
      <w:r w:rsidR="0016774A">
        <w:rPr>
          <w:rFonts w:asciiTheme="majorHAnsi" w:hAnsiTheme="majorHAnsi" w:cs="Calibri"/>
          <w:sz w:val="20"/>
          <w:szCs w:val="20"/>
        </w:rPr>
        <w:t xml:space="preserve"> a notable improvement in response times. </w:t>
      </w:r>
    </w:p>
    <w:p w:rsidR="0048417D" w:rsidRPr="001D375E" w:rsidRDefault="0048417D">
      <w:pPr>
        <w:pStyle w:val="ListParagraph"/>
        <w:jc w:val="both"/>
        <w:rPr>
          <w:rFonts w:asciiTheme="majorHAnsi" w:hAnsiTheme="majorHAnsi" w:cs="Calibri"/>
          <w:sz w:val="20"/>
          <w:szCs w:val="20"/>
        </w:rPr>
      </w:pPr>
    </w:p>
    <w:p w:rsidR="0048417D" w:rsidRPr="001D375E" w:rsidRDefault="0016774A">
      <w:pPr>
        <w:pStyle w:val="ListParagraph"/>
        <w:numPr>
          <w:ilvl w:val="0"/>
          <w:numId w:val="9"/>
        </w:numPr>
        <w:ind w:left="0" w:firstLine="720"/>
        <w:jc w:val="both"/>
        <w:rPr>
          <w:rFonts w:asciiTheme="majorHAnsi" w:hAnsiTheme="majorHAnsi" w:cs="Calibri"/>
          <w:sz w:val="20"/>
          <w:szCs w:val="20"/>
        </w:rPr>
      </w:pPr>
      <w:r>
        <w:rPr>
          <w:rFonts w:asciiTheme="majorHAnsi" w:hAnsiTheme="majorHAnsi" w:cs="Calibri"/>
          <w:sz w:val="20"/>
          <w:szCs w:val="20"/>
        </w:rPr>
        <w:t>The systems</w:t>
      </w:r>
      <w:r w:rsidR="00185816" w:rsidRPr="001D375E">
        <w:rPr>
          <w:rStyle w:val="FootnoteReference"/>
          <w:rFonts w:asciiTheme="majorHAnsi" w:hAnsiTheme="majorHAnsi"/>
          <w:sz w:val="20"/>
          <w:szCs w:val="20"/>
        </w:rPr>
        <w:footnoteReference w:id="5"/>
      </w:r>
      <w:r>
        <w:rPr>
          <w:rFonts w:asciiTheme="majorHAnsi" w:hAnsiTheme="majorHAnsi" w:cs="Calibri"/>
          <w:sz w:val="20"/>
          <w:szCs w:val="20"/>
        </w:rPr>
        <w:t xml:space="preserve"> of</w:t>
      </w:r>
      <w:r w:rsidR="0048417D" w:rsidRPr="001D375E">
        <w:rPr>
          <w:rFonts w:asciiTheme="majorHAnsi" w:hAnsiTheme="majorHAnsi" w:cs="Calibri"/>
          <w:sz w:val="20"/>
          <w:szCs w:val="20"/>
        </w:rPr>
        <w:t xml:space="preserve"> </w:t>
      </w:r>
      <w:r w:rsidR="001D375E">
        <w:rPr>
          <w:rFonts w:asciiTheme="majorHAnsi" w:hAnsiTheme="majorHAnsi" w:cs="Calibri"/>
          <w:sz w:val="20"/>
          <w:szCs w:val="20"/>
        </w:rPr>
        <w:t>the IACHR</w:t>
      </w:r>
      <w:r w:rsidR="0048417D" w:rsidRPr="001D375E">
        <w:rPr>
          <w:rFonts w:asciiTheme="majorHAnsi" w:hAnsiTheme="majorHAnsi" w:cs="Calibri"/>
          <w:sz w:val="20"/>
          <w:szCs w:val="20"/>
        </w:rPr>
        <w:t xml:space="preserve"> </w:t>
      </w:r>
      <w:r w:rsidR="00811E9F">
        <w:rPr>
          <w:rFonts w:asciiTheme="majorHAnsi" w:hAnsiTheme="majorHAnsi" w:cs="Calibri"/>
          <w:sz w:val="20"/>
          <w:szCs w:val="20"/>
        </w:rPr>
        <w:t>rely on</w:t>
      </w:r>
      <w:r w:rsidR="0055156F">
        <w:rPr>
          <w:rFonts w:asciiTheme="majorHAnsi" w:hAnsiTheme="majorHAnsi" w:cs="Calibri"/>
          <w:sz w:val="20"/>
          <w:szCs w:val="20"/>
        </w:rPr>
        <w:t xml:space="preserve"> the direct administration, monitoring, and support that the </w:t>
      </w:r>
      <w:r w:rsidR="002654CC">
        <w:rPr>
          <w:rFonts w:asciiTheme="majorHAnsi" w:hAnsiTheme="majorHAnsi" w:cs="Calibri"/>
          <w:sz w:val="20"/>
          <w:szCs w:val="20"/>
        </w:rPr>
        <w:t>UTS</w:t>
      </w:r>
      <w:r w:rsidR="002654CC" w:rsidRPr="001D375E">
        <w:rPr>
          <w:rFonts w:asciiTheme="majorHAnsi" w:hAnsiTheme="majorHAnsi" w:cs="Calibri"/>
          <w:sz w:val="20"/>
          <w:szCs w:val="20"/>
        </w:rPr>
        <w:t xml:space="preserve"> </w:t>
      </w:r>
      <w:r w:rsidR="0055156F">
        <w:rPr>
          <w:rFonts w:asciiTheme="majorHAnsi" w:hAnsiTheme="majorHAnsi" w:cs="Calibri"/>
          <w:sz w:val="20"/>
          <w:szCs w:val="20"/>
        </w:rPr>
        <w:t>provides to users inside and outside</w:t>
      </w:r>
      <w:r w:rsidR="0048417D" w:rsidRPr="001D375E">
        <w:rPr>
          <w:rFonts w:asciiTheme="majorHAnsi" w:hAnsiTheme="majorHAnsi" w:cs="Calibri"/>
          <w:sz w:val="20"/>
          <w:szCs w:val="20"/>
        </w:rPr>
        <w:t xml:space="preserve"> </w:t>
      </w:r>
      <w:r w:rsidR="00884EEE">
        <w:rPr>
          <w:rFonts w:asciiTheme="majorHAnsi" w:hAnsiTheme="majorHAnsi" w:cs="Calibri"/>
          <w:sz w:val="20"/>
          <w:szCs w:val="20"/>
        </w:rPr>
        <w:t xml:space="preserve">the </w:t>
      </w:r>
      <w:r w:rsidR="002654CC">
        <w:rPr>
          <w:rFonts w:asciiTheme="majorHAnsi" w:hAnsiTheme="majorHAnsi" w:cs="Calibri"/>
          <w:sz w:val="20"/>
          <w:szCs w:val="20"/>
        </w:rPr>
        <w:t>Executive Secretariat</w:t>
      </w:r>
      <w:r w:rsidR="0048417D" w:rsidRPr="001D375E">
        <w:rPr>
          <w:rFonts w:asciiTheme="majorHAnsi" w:hAnsiTheme="majorHAnsi" w:cs="Calibri"/>
          <w:sz w:val="20"/>
          <w:szCs w:val="20"/>
        </w:rPr>
        <w:t xml:space="preserve">. </w:t>
      </w:r>
      <w:r w:rsidR="002654CC">
        <w:rPr>
          <w:rFonts w:asciiTheme="majorHAnsi" w:hAnsiTheme="majorHAnsi" w:cs="Calibri"/>
          <w:sz w:val="20"/>
          <w:szCs w:val="20"/>
        </w:rPr>
        <w:t xml:space="preserve"> </w:t>
      </w:r>
      <w:r w:rsidR="0055156F">
        <w:rPr>
          <w:rFonts w:asciiTheme="majorHAnsi" w:hAnsiTheme="majorHAnsi" w:cs="Calibri"/>
          <w:sz w:val="20"/>
          <w:szCs w:val="20"/>
        </w:rPr>
        <w:t>It is responsible for constantly feeding the information received about new complaints and additional information for existing matters</w:t>
      </w:r>
      <w:r w:rsidR="00811E9F">
        <w:rPr>
          <w:rFonts w:asciiTheme="majorHAnsi" w:hAnsiTheme="majorHAnsi" w:cs="Calibri"/>
          <w:sz w:val="20"/>
          <w:szCs w:val="20"/>
        </w:rPr>
        <w:t xml:space="preserve"> into the systems</w:t>
      </w:r>
      <w:r w:rsidR="0055156F">
        <w:rPr>
          <w:rFonts w:asciiTheme="majorHAnsi" w:hAnsiTheme="majorHAnsi" w:cs="Calibri"/>
          <w:sz w:val="20"/>
          <w:szCs w:val="20"/>
        </w:rPr>
        <w:t>, in addition to reviewing and registering the information received through the Individual Petition System Portal</w:t>
      </w:r>
      <w:r w:rsidR="0048417D" w:rsidRPr="001D375E">
        <w:rPr>
          <w:rFonts w:asciiTheme="majorHAnsi" w:hAnsiTheme="majorHAnsi" w:cs="Calibri"/>
          <w:sz w:val="20"/>
          <w:szCs w:val="20"/>
        </w:rPr>
        <w:t>.</w:t>
      </w:r>
    </w:p>
    <w:p w:rsidR="0048417D" w:rsidRPr="001D375E" w:rsidRDefault="0048417D">
      <w:pPr>
        <w:pStyle w:val="ListParagraph"/>
        <w:ind w:left="0"/>
        <w:jc w:val="both"/>
        <w:rPr>
          <w:rFonts w:asciiTheme="majorHAnsi" w:hAnsiTheme="majorHAnsi" w:cs="Calibri"/>
          <w:sz w:val="20"/>
          <w:szCs w:val="20"/>
        </w:rPr>
      </w:pPr>
    </w:p>
    <w:p w:rsidR="0048417D" w:rsidRPr="001D375E" w:rsidRDefault="00811E9F">
      <w:pPr>
        <w:pStyle w:val="ListParagraph"/>
        <w:numPr>
          <w:ilvl w:val="0"/>
          <w:numId w:val="9"/>
        </w:numPr>
        <w:ind w:left="0" w:firstLine="720"/>
        <w:jc w:val="both"/>
        <w:rPr>
          <w:rFonts w:asciiTheme="majorHAnsi" w:hAnsiTheme="majorHAnsi" w:cs="Calibri"/>
          <w:sz w:val="20"/>
          <w:szCs w:val="20"/>
        </w:rPr>
      </w:pPr>
      <w:r>
        <w:rPr>
          <w:rFonts w:asciiTheme="majorHAnsi" w:hAnsiTheme="majorHAnsi" w:cs="Calibri"/>
          <w:sz w:val="20"/>
          <w:szCs w:val="20"/>
        </w:rPr>
        <w:t>The</w:t>
      </w:r>
      <w:r w:rsidR="0048417D" w:rsidRPr="001D375E">
        <w:rPr>
          <w:rFonts w:asciiTheme="majorHAnsi" w:hAnsiTheme="majorHAnsi" w:cs="Calibri"/>
          <w:sz w:val="20"/>
          <w:szCs w:val="20"/>
        </w:rPr>
        <w:t xml:space="preserve"> </w:t>
      </w:r>
      <w:r w:rsidR="00884EEE">
        <w:rPr>
          <w:rFonts w:asciiTheme="majorHAnsi" w:hAnsiTheme="majorHAnsi" w:cs="Calibri"/>
          <w:sz w:val="20"/>
          <w:szCs w:val="20"/>
        </w:rPr>
        <w:t>Office of the Executive Secretary</w:t>
      </w:r>
      <w:r w:rsidR="0048417D" w:rsidRPr="001D375E">
        <w:rPr>
          <w:rFonts w:asciiTheme="majorHAnsi" w:hAnsiTheme="majorHAnsi" w:cs="Calibri"/>
          <w:sz w:val="20"/>
          <w:szCs w:val="20"/>
        </w:rPr>
        <w:t xml:space="preserve"> </w:t>
      </w:r>
      <w:r>
        <w:rPr>
          <w:rFonts w:asciiTheme="majorHAnsi" w:hAnsiTheme="majorHAnsi" w:cs="Calibri"/>
          <w:sz w:val="20"/>
          <w:szCs w:val="20"/>
        </w:rPr>
        <w:t xml:space="preserve">asked the </w:t>
      </w:r>
      <w:r w:rsidR="003C2655">
        <w:rPr>
          <w:rFonts w:asciiTheme="majorHAnsi" w:hAnsiTheme="majorHAnsi" w:cs="Calibri"/>
          <w:sz w:val="20"/>
          <w:szCs w:val="20"/>
        </w:rPr>
        <w:t xml:space="preserve">UTS </w:t>
      </w:r>
      <w:r w:rsidR="0033196C">
        <w:rPr>
          <w:rFonts w:asciiTheme="majorHAnsi" w:hAnsiTheme="majorHAnsi" w:cs="Calibri"/>
          <w:sz w:val="20"/>
          <w:szCs w:val="20"/>
        </w:rPr>
        <w:t>to plan and execute a Comprehensive Digital Restructuring</w:t>
      </w:r>
      <w:r w:rsidR="0048417D" w:rsidRPr="001D375E">
        <w:rPr>
          <w:rFonts w:asciiTheme="majorHAnsi" w:hAnsiTheme="majorHAnsi" w:cs="Calibri"/>
          <w:sz w:val="20"/>
          <w:szCs w:val="20"/>
        </w:rPr>
        <w:t xml:space="preserve"> Plan </w:t>
      </w:r>
      <w:r w:rsidR="0033196C">
        <w:rPr>
          <w:rFonts w:asciiTheme="majorHAnsi" w:hAnsiTheme="majorHAnsi" w:cs="Calibri"/>
          <w:sz w:val="20"/>
          <w:szCs w:val="20"/>
        </w:rPr>
        <w:t>compatible with</w:t>
      </w:r>
      <w:r w:rsidR="0048417D" w:rsidRPr="001D375E">
        <w:rPr>
          <w:rFonts w:asciiTheme="majorHAnsi" w:hAnsiTheme="majorHAnsi" w:cs="Calibri"/>
          <w:sz w:val="20"/>
          <w:szCs w:val="20"/>
        </w:rPr>
        <w:t xml:space="preserve"> </w:t>
      </w:r>
      <w:r w:rsidR="001D375E">
        <w:rPr>
          <w:rFonts w:asciiTheme="majorHAnsi" w:hAnsiTheme="majorHAnsi" w:cs="Calibri"/>
          <w:sz w:val="20"/>
          <w:szCs w:val="20"/>
        </w:rPr>
        <w:t>the IACHR</w:t>
      </w:r>
      <w:r w:rsidR="0033196C">
        <w:rPr>
          <w:rFonts w:asciiTheme="majorHAnsi" w:hAnsiTheme="majorHAnsi" w:cs="Calibri"/>
          <w:sz w:val="20"/>
          <w:szCs w:val="20"/>
        </w:rPr>
        <w:t>’s new organizational structure</w:t>
      </w:r>
      <w:r w:rsidR="0048417D" w:rsidRPr="001D375E">
        <w:rPr>
          <w:rFonts w:asciiTheme="majorHAnsi" w:hAnsiTheme="majorHAnsi" w:cs="Calibri"/>
          <w:sz w:val="20"/>
          <w:szCs w:val="20"/>
        </w:rPr>
        <w:t xml:space="preserve">. </w:t>
      </w:r>
      <w:r w:rsidR="0033196C">
        <w:rPr>
          <w:rFonts w:asciiTheme="majorHAnsi" w:hAnsiTheme="majorHAnsi" w:cs="Calibri"/>
          <w:sz w:val="20"/>
          <w:szCs w:val="20"/>
        </w:rPr>
        <w:t xml:space="preserve">Following an initial assessment, it was </w:t>
      </w:r>
      <w:r w:rsidR="006746FA">
        <w:rPr>
          <w:rFonts w:asciiTheme="majorHAnsi" w:hAnsiTheme="majorHAnsi" w:cs="Calibri"/>
          <w:sz w:val="20"/>
          <w:szCs w:val="20"/>
        </w:rPr>
        <w:t>determined</w:t>
      </w:r>
      <w:r w:rsidR="0033196C">
        <w:rPr>
          <w:rFonts w:asciiTheme="majorHAnsi" w:hAnsiTheme="majorHAnsi" w:cs="Calibri"/>
          <w:sz w:val="20"/>
          <w:szCs w:val="20"/>
        </w:rPr>
        <w:t xml:space="preserve"> that updates and changes had to be made to the</w:t>
      </w:r>
      <w:r w:rsidR="0048417D" w:rsidRPr="001D375E">
        <w:rPr>
          <w:rFonts w:asciiTheme="majorHAnsi" w:hAnsiTheme="majorHAnsi" w:cs="Calibri"/>
          <w:sz w:val="20"/>
          <w:szCs w:val="20"/>
        </w:rPr>
        <w:t xml:space="preserve"> DMS, </w:t>
      </w:r>
      <w:r w:rsidR="0033196C">
        <w:rPr>
          <w:rFonts w:asciiTheme="majorHAnsi" w:hAnsiTheme="majorHAnsi" w:cs="Calibri"/>
          <w:sz w:val="20"/>
          <w:szCs w:val="20"/>
        </w:rPr>
        <w:t>the</w:t>
      </w:r>
      <w:r w:rsidR="00B27F7F" w:rsidRPr="001D375E">
        <w:rPr>
          <w:rFonts w:asciiTheme="majorHAnsi" w:hAnsiTheme="majorHAnsi" w:cs="Calibri"/>
          <w:sz w:val="20"/>
          <w:szCs w:val="20"/>
        </w:rPr>
        <w:t xml:space="preserve"> </w:t>
      </w:r>
      <w:r w:rsidR="004F3C6D" w:rsidRPr="001D375E">
        <w:rPr>
          <w:rFonts w:asciiTheme="majorHAnsi" w:hAnsiTheme="majorHAnsi" w:cs="Calibri"/>
          <w:sz w:val="20"/>
          <w:szCs w:val="20"/>
        </w:rPr>
        <w:t>PCMS</w:t>
      </w:r>
      <w:r w:rsidR="0048417D" w:rsidRPr="001D375E">
        <w:rPr>
          <w:rFonts w:asciiTheme="majorHAnsi" w:hAnsiTheme="majorHAnsi" w:cs="Calibri"/>
          <w:sz w:val="20"/>
          <w:szCs w:val="20"/>
        </w:rPr>
        <w:t xml:space="preserve">, </w:t>
      </w:r>
      <w:r w:rsidR="0033196C">
        <w:rPr>
          <w:rFonts w:asciiTheme="majorHAnsi" w:hAnsiTheme="majorHAnsi" w:cs="Calibri"/>
          <w:sz w:val="20"/>
          <w:szCs w:val="20"/>
        </w:rPr>
        <w:t>the digital information storage systems (G drive, I drive, and Public Folder), and the institutional email accounts for sending information to users of</w:t>
      </w:r>
      <w:r w:rsidR="0048417D" w:rsidRPr="001D375E">
        <w:rPr>
          <w:rFonts w:asciiTheme="majorHAnsi" w:hAnsiTheme="majorHAnsi" w:cs="Calibri"/>
          <w:sz w:val="20"/>
          <w:szCs w:val="20"/>
        </w:rPr>
        <w:t xml:space="preserve"> </w:t>
      </w:r>
      <w:r w:rsidR="001D375E">
        <w:rPr>
          <w:rFonts w:asciiTheme="majorHAnsi" w:hAnsiTheme="majorHAnsi" w:cs="Calibri"/>
          <w:sz w:val="20"/>
          <w:szCs w:val="20"/>
        </w:rPr>
        <w:t>the IACHR</w:t>
      </w:r>
      <w:r w:rsidR="0048417D" w:rsidRPr="001D375E">
        <w:rPr>
          <w:rFonts w:asciiTheme="majorHAnsi" w:hAnsiTheme="majorHAnsi" w:cs="Calibri"/>
          <w:sz w:val="20"/>
          <w:szCs w:val="20"/>
        </w:rPr>
        <w:t xml:space="preserve">. </w:t>
      </w:r>
      <w:r w:rsidR="0033196C">
        <w:rPr>
          <w:rFonts w:asciiTheme="majorHAnsi" w:hAnsiTheme="majorHAnsi" w:cs="Calibri"/>
          <w:sz w:val="20"/>
          <w:szCs w:val="20"/>
        </w:rPr>
        <w:t>With respect to the planning of matters pending in the systems to be transferred to the attorneys who received a new portfolio</w:t>
      </w:r>
      <w:r w:rsidR="002D2451">
        <w:rPr>
          <w:rFonts w:asciiTheme="majorHAnsi" w:hAnsiTheme="majorHAnsi" w:cs="Calibri"/>
          <w:sz w:val="20"/>
          <w:szCs w:val="20"/>
        </w:rPr>
        <w:t>,</w:t>
      </w:r>
      <w:r w:rsidR="0033196C">
        <w:rPr>
          <w:rFonts w:asciiTheme="majorHAnsi" w:hAnsiTheme="majorHAnsi" w:cs="Calibri"/>
          <w:sz w:val="20"/>
          <w:szCs w:val="20"/>
        </w:rPr>
        <w:t xml:space="preserve"> </w:t>
      </w:r>
      <w:r w:rsidR="002D2451">
        <w:rPr>
          <w:rFonts w:asciiTheme="majorHAnsi" w:hAnsiTheme="majorHAnsi" w:cs="Calibri"/>
          <w:sz w:val="20"/>
          <w:szCs w:val="20"/>
        </w:rPr>
        <w:t>in accordance with</w:t>
      </w:r>
      <w:r w:rsidR="0033196C">
        <w:rPr>
          <w:rFonts w:asciiTheme="majorHAnsi" w:hAnsiTheme="majorHAnsi" w:cs="Calibri"/>
          <w:sz w:val="20"/>
          <w:szCs w:val="20"/>
        </w:rPr>
        <w:t xml:space="preserve"> the new structure, we reassigned a total of 10,</w:t>
      </w:r>
      <w:r w:rsidR="0048417D" w:rsidRPr="001D375E">
        <w:rPr>
          <w:rFonts w:asciiTheme="majorHAnsi" w:hAnsiTheme="majorHAnsi" w:cs="Calibri"/>
          <w:sz w:val="20"/>
          <w:szCs w:val="20"/>
        </w:rPr>
        <w:t xml:space="preserve">367 </w:t>
      </w:r>
      <w:r w:rsidR="0033196C">
        <w:rPr>
          <w:rFonts w:asciiTheme="majorHAnsi" w:hAnsiTheme="majorHAnsi" w:cs="Calibri"/>
          <w:sz w:val="20"/>
          <w:szCs w:val="20"/>
        </w:rPr>
        <w:t xml:space="preserve">actions pending </w:t>
      </w:r>
      <w:r w:rsidR="002D2451">
        <w:rPr>
          <w:rFonts w:asciiTheme="majorHAnsi" w:hAnsiTheme="majorHAnsi" w:cs="Calibri"/>
          <w:sz w:val="20"/>
          <w:szCs w:val="20"/>
        </w:rPr>
        <w:t xml:space="preserve">in the </w:t>
      </w:r>
      <w:r w:rsidR="002D2451" w:rsidRPr="001D375E">
        <w:rPr>
          <w:rFonts w:asciiTheme="majorHAnsi" w:hAnsiTheme="majorHAnsi" w:cs="Calibri"/>
          <w:sz w:val="20"/>
          <w:szCs w:val="20"/>
        </w:rPr>
        <w:t xml:space="preserve">DMS </w:t>
      </w:r>
      <w:r w:rsidR="0033196C">
        <w:rPr>
          <w:rFonts w:asciiTheme="majorHAnsi" w:hAnsiTheme="majorHAnsi" w:cs="Calibri"/>
          <w:sz w:val="20"/>
          <w:szCs w:val="20"/>
        </w:rPr>
        <w:t>from one user to another</w:t>
      </w:r>
      <w:r w:rsidR="0048417D" w:rsidRPr="001D375E">
        <w:rPr>
          <w:rFonts w:asciiTheme="majorHAnsi" w:hAnsiTheme="majorHAnsi" w:cs="Calibri"/>
          <w:sz w:val="20"/>
          <w:szCs w:val="20"/>
        </w:rPr>
        <w:t xml:space="preserve">. </w:t>
      </w:r>
      <w:r w:rsidR="0033196C">
        <w:rPr>
          <w:rFonts w:asciiTheme="majorHAnsi" w:hAnsiTheme="majorHAnsi" w:cs="Calibri"/>
          <w:sz w:val="20"/>
          <w:szCs w:val="20"/>
        </w:rPr>
        <w:t>In the</w:t>
      </w:r>
      <w:r w:rsidR="0048417D" w:rsidRPr="001D375E">
        <w:rPr>
          <w:rFonts w:asciiTheme="majorHAnsi" w:hAnsiTheme="majorHAnsi" w:cs="Calibri"/>
          <w:sz w:val="20"/>
          <w:szCs w:val="20"/>
        </w:rPr>
        <w:t xml:space="preserve"> PCMS, </w:t>
      </w:r>
      <w:r w:rsidR="0033196C">
        <w:rPr>
          <w:rFonts w:asciiTheme="majorHAnsi" w:hAnsiTheme="majorHAnsi" w:cs="Calibri"/>
          <w:sz w:val="20"/>
          <w:szCs w:val="20"/>
        </w:rPr>
        <w:t>there were 2,</w:t>
      </w:r>
      <w:r w:rsidR="0048417D" w:rsidRPr="001D375E">
        <w:rPr>
          <w:rFonts w:asciiTheme="majorHAnsi" w:hAnsiTheme="majorHAnsi" w:cs="Calibri"/>
          <w:sz w:val="20"/>
          <w:szCs w:val="20"/>
        </w:rPr>
        <w:t xml:space="preserve">447 </w:t>
      </w:r>
      <w:r w:rsidR="0033196C">
        <w:rPr>
          <w:rFonts w:asciiTheme="majorHAnsi" w:hAnsiTheme="majorHAnsi" w:cs="Calibri"/>
          <w:sz w:val="20"/>
          <w:szCs w:val="20"/>
        </w:rPr>
        <w:t>matters that had to be reassigned respectively to the attorneys providing support to the new organizational structure.</w:t>
      </w:r>
    </w:p>
    <w:p w:rsidR="0048417D" w:rsidRPr="001D375E" w:rsidRDefault="0048417D">
      <w:pPr>
        <w:pStyle w:val="ListParagraph"/>
        <w:jc w:val="both"/>
        <w:rPr>
          <w:rFonts w:asciiTheme="majorHAnsi" w:hAnsiTheme="majorHAnsi" w:cs="Calibri"/>
          <w:sz w:val="20"/>
          <w:szCs w:val="20"/>
        </w:rPr>
      </w:pPr>
    </w:p>
    <w:p w:rsidR="0048417D" w:rsidRPr="001D375E" w:rsidRDefault="0034046E">
      <w:pPr>
        <w:pStyle w:val="ListParagraph"/>
        <w:numPr>
          <w:ilvl w:val="0"/>
          <w:numId w:val="9"/>
        </w:numPr>
        <w:ind w:left="0" w:firstLine="720"/>
        <w:jc w:val="both"/>
        <w:rPr>
          <w:rFonts w:asciiTheme="majorHAnsi" w:hAnsiTheme="majorHAnsi" w:cs="Calibri"/>
          <w:sz w:val="20"/>
          <w:szCs w:val="20"/>
        </w:rPr>
      </w:pPr>
      <w:r>
        <w:rPr>
          <w:rFonts w:asciiTheme="majorHAnsi" w:hAnsiTheme="majorHAnsi" w:cs="Calibri"/>
          <w:sz w:val="20"/>
          <w:szCs w:val="20"/>
        </w:rPr>
        <w:t>The activities undertaken and implemented by the</w:t>
      </w:r>
      <w:r w:rsidR="0048417D" w:rsidRPr="001D375E">
        <w:rPr>
          <w:rFonts w:asciiTheme="majorHAnsi" w:hAnsiTheme="majorHAnsi" w:cs="Calibri"/>
          <w:sz w:val="20"/>
          <w:szCs w:val="20"/>
        </w:rPr>
        <w:t xml:space="preserve"> </w:t>
      </w:r>
      <w:r w:rsidR="003C2655">
        <w:rPr>
          <w:rFonts w:asciiTheme="majorHAnsi" w:hAnsiTheme="majorHAnsi" w:cs="Calibri"/>
          <w:sz w:val="20"/>
          <w:szCs w:val="20"/>
        </w:rPr>
        <w:t>UTS</w:t>
      </w:r>
      <w:r w:rsidR="003C2655" w:rsidRPr="001D375E">
        <w:rPr>
          <w:rFonts w:asciiTheme="majorHAnsi" w:hAnsiTheme="majorHAnsi" w:cs="Calibri"/>
          <w:sz w:val="20"/>
          <w:szCs w:val="20"/>
        </w:rPr>
        <w:t xml:space="preserve"> </w:t>
      </w:r>
      <w:r>
        <w:rPr>
          <w:rFonts w:asciiTheme="majorHAnsi" w:hAnsiTheme="majorHAnsi" w:cs="Calibri"/>
          <w:sz w:val="20"/>
          <w:szCs w:val="20"/>
        </w:rPr>
        <w:t>for the</w:t>
      </w:r>
      <w:r w:rsidR="004F3C6D" w:rsidRPr="001D375E">
        <w:rPr>
          <w:rFonts w:asciiTheme="majorHAnsi" w:hAnsiTheme="majorHAnsi" w:cs="Calibri"/>
          <w:sz w:val="20"/>
          <w:szCs w:val="20"/>
        </w:rPr>
        <w:t xml:space="preserve"> </w:t>
      </w:r>
      <w:r>
        <w:rPr>
          <w:rFonts w:asciiTheme="majorHAnsi" w:hAnsiTheme="majorHAnsi" w:cs="Calibri"/>
          <w:sz w:val="20"/>
          <w:szCs w:val="20"/>
        </w:rPr>
        <w:t>Comprehensive Digital Restructuring Plan</w:t>
      </w:r>
      <w:r w:rsidR="0048417D" w:rsidRPr="001D375E">
        <w:rPr>
          <w:rFonts w:asciiTheme="majorHAnsi" w:hAnsiTheme="majorHAnsi" w:cs="Calibri"/>
          <w:sz w:val="20"/>
          <w:szCs w:val="20"/>
        </w:rPr>
        <w:t xml:space="preserve"> </w:t>
      </w:r>
      <w:r>
        <w:rPr>
          <w:rFonts w:asciiTheme="majorHAnsi" w:hAnsiTheme="majorHAnsi" w:cs="Calibri"/>
          <w:sz w:val="20"/>
          <w:szCs w:val="20"/>
        </w:rPr>
        <w:t>were</w:t>
      </w:r>
      <w:r w:rsidR="0048417D" w:rsidRPr="001D375E">
        <w:rPr>
          <w:rFonts w:asciiTheme="majorHAnsi" w:hAnsiTheme="majorHAnsi" w:cs="Calibri"/>
          <w:sz w:val="20"/>
          <w:szCs w:val="20"/>
        </w:rPr>
        <w:t>:</w:t>
      </w:r>
    </w:p>
    <w:p w:rsidR="0048417D" w:rsidRPr="001D375E" w:rsidRDefault="0048417D">
      <w:pPr>
        <w:pStyle w:val="ListParagraph"/>
        <w:ind w:left="0"/>
        <w:jc w:val="both"/>
        <w:rPr>
          <w:rFonts w:asciiTheme="majorHAnsi" w:hAnsiTheme="majorHAnsi" w:cs="Calibri"/>
          <w:sz w:val="20"/>
          <w:szCs w:val="20"/>
        </w:rPr>
      </w:pPr>
    </w:p>
    <w:p w:rsidR="0048417D" w:rsidRPr="001D375E" w:rsidRDefault="0034046E">
      <w:pPr>
        <w:numPr>
          <w:ilvl w:val="0"/>
          <w:numId w:val="18"/>
        </w:numPr>
        <w:spacing w:after="0" w:line="240" w:lineRule="auto"/>
        <w:ind w:left="1440" w:hanging="732"/>
        <w:jc w:val="both"/>
        <w:rPr>
          <w:rFonts w:asciiTheme="majorHAnsi" w:eastAsia="Arial Unicode MS" w:hAnsiTheme="majorHAnsi"/>
          <w:sz w:val="20"/>
          <w:szCs w:val="20"/>
          <w:u w:color="FF0000"/>
        </w:rPr>
      </w:pPr>
      <w:r>
        <w:rPr>
          <w:rFonts w:asciiTheme="majorHAnsi" w:eastAsia="Arial Unicode MS" w:hAnsiTheme="majorHAnsi"/>
          <w:sz w:val="20"/>
          <w:szCs w:val="20"/>
          <w:u w:color="FF0000"/>
        </w:rPr>
        <w:t>Development of a</w:t>
      </w:r>
      <w:r w:rsidR="0048417D" w:rsidRPr="001D375E">
        <w:rPr>
          <w:rFonts w:asciiTheme="majorHAnsi" w:eastAsia="Arial Unicode MS" w:hAnsiTheme="majorHAnsi"/>
          <w:sz w:val="20"/>
          <w:szCs w:val="20"/>
          <w:u w:color="FF0000"/>
        </w:rPr>
        <w:t xml:space="preserve"> plan </w:t>
      </w:r>
      <w:r w:rsidR="002D2451">
        <w:rPr>
          <w:rFonts w:asciiTheme="majorHAnsi" w:eastAsia="Arial Unicode MS" w:hAnsiTheme="majorHAnsi"/>
          <w:sz w:val="20"/>
          <w:szCs w:val="20"/>
          <w:u w:color="FF0000"/>
        </w:rPr>
        <w:t xml:space="preserve">for </w:t>
      </w:r>
      <w:r w:rsidR="001D375E">
        <w:rPr>
          <w:rFonts w:asciiTheme="majorHAnsi" w:eastAsia="Arial Unicode MS" w:hAnsiTheme="majorHAnsi"/>
          <w:sz w:val="20"/>
          <w:szCs w:val="20"/>
          <w:u w:color="FF0000"/>
        </w:rPr>
        <w:t>the IACHR</w:t>
      </w:r>
      <w:r w:rsidR="002D2451">
        <w:rPr>
          <w:rFonts w:asciiTheme="majorHAnsi" w:eastAsia="Arial Unicode MS" w:hAnsiTheme="majorHAnsi"/>
          <w:sz w:val="20"/>
          <w:szCs w:val="20"/>
          <w:u w:color="FF0000"/>
        </w:rPr>
        <w:t>’s digital systems based on the restructuring</w:t>
      </w:r>
      <w:r w:rsidR="0048417D" w:rsidRPr="001D375E">
        <w:rPr>
          <w:rFonts w:asciiTheme="majorHAnsi" w:eastAsia="Arial Unicode MS" w:hAnsiTheme="majorHAnsi"/>
          <w:sz w:val="20"/>
          <w:szCs w:val="20"/>
          <w:u w:color="FF0000"/>
        </w:rPr>
        <w:t>.</w:t>
      </w:r>
    </w:p>
    <w:p w:rsidR="0048417D" w:rsidRPr="001D375E" w:rsidRDefault="002D2451">
      <w:pPr>
        <w:numPr>
          <w:ilvl w:val="0"/>
          <w:numId w:val="18"/>
        </w:numPr>
        <w:spacing w:after="0" w:line="240" w:lineRule="auto"/>
        <w:ind w:left="1440" w:hanging="732"/>
        <w:jc w:val="both"/>
        <w:rPr>
          <w:rFonts w:asciiTheme="majorHAnsi" w:eastAsia="Arial Unicode MS" w:hAnsiTheme="majorHAnsi"/>
          <w:sz w:val="20"/>
          <w:szCs w:val="20"/>
          <w:u w:color="FF0000"/>
        </w:rPr>
      </w:pPr>
      <w:r>
        <w:rPr>
          <w:rFonts w:asciiTheme="majorHAnsi" w:eastAsia="Arial Unicode MS" w:hAnsiTheme="majorHAnsi"/>
          <w:sz w:val="20"/>
          <w:szCs w:val="20"/>
          <w:u w:color="FF0000"/>
        </w:rPr>
        <w:t xml:space="preserve">Inventory and mapping of pending cases and actions </w:t>
      </w:r>
      <w:r w:rsidR="00C814AB">
        <w:rPr>
          <w:rFonts w:asciiTheme="majorHAnsi" w:eastAsia="Arial Unicode MS" w:hAnsiTheme="majorHAnsi"/>
          <w:sz w:val="20"/>
          <w:szCs w:val="20"/>
          <w:u w:color="FF0000"/>
        </w:rPr>
        <w:t>by</w:t>
      </w:r>
      <w:r>
        <w:rPr>
          <w:rFonts w:asciiTheme="majorHAnsi" w:eastAsia="Arial Unicode MS" w:hAnsiTheme="majorHAnsi"/>
          <w:sz w:val="20"/>
          <w:szCs w:val="20"/>
          <w:u w:color="FF0000"/>
        </w:rPr>
        <w:t xml:space="preserve"> work area and responsible users. </w:t>
      </w:r>
    </w:p>
    <w:p w:rsidR="0048417D" w:rsidRPr="001D375E" w:rsidRDefault="00043832">
      <w:pPr>
        <w:numPr>
          <w:ilvl w:val="0"/>
          <w:numId w:val="18"/>
        </w:numPr>
        <w:spacing w:after="0" w:line="240" w:lineRule="auto"/>
        <w:ind w:left="1440" w:hanging="732"/>
        <w:jc w:val="both"/>
        <w:rPr>
          <w:rFonts w:asciiTheme="majorHAnsi" w:eastAsia="Arial Unicode MS" w:hAnsiTheme="majorHAnsi"/>
          <w:sz w:val="20"/>
          <w:szCs w:val="20"/>
          <w:u w:color="FF0000"/>
        </w:rPr>
      </w:pPr>
      <w:r>
        <w:rPr>
          <w:rFonts w:asciiTheme="majorHAnsi" w:eastAsia="Arial Unicode MS" w:hAnsiTheme="majorHAnsi"/>
          <w:sz w:val="20"/>
          <w:szCs w:val="20"/>
          <w:u w:color="FF0000"/>
        </w:rPr>
        <w:t>W</w:t>
      </w:r>
      <w:r w:rsidR="002D2451">
        <w:rPr>
          <w:rFonts w:asciiTheme="majorHAnsi" w:eastAsia="Arial Unicode MS" w:hAnsiTheme="majorHAnsi"/>
          <w:sz w:val="20"/>
          <w:szCs w:val="20"/>
          <w:u w:color="FF0000"/>
        </w:rPr>
        <w:t>ork flow</w:t>
      </w:r>
      <w:r>
        <w:rPr>
          <w:rFonts w:asciiTheme="majorHAnsi" w:eastAsia="Arial Unicode MS" w:hAnsiTheme="majorHAnsi"/>
          <w:sz w:val="20"/>
          <w:szCs w:val="20"/>
          <w:u w:color="FF0000"/>
        </w:rPr>
        <w:t xml:space="preserve"> proposal</w:t>
      </w:r>
      <w:r w:rsidR="00F8183F" w:rsidRPr="001D375E">
        <w:rPr>
          <w:rFonts w:asciiTheme="majorHAnsi" w:eastAsia="Arial Unicode MS" w:hAnsiTheme="majorHAnsi"/>
          <w:sz w:val="20"/>
          <w:szCs w:val="20"/>
          <w:u w:color="FF0000"/>
        </w:rPr>
        <w:t xml:space="preserve">, </w:t>
      </w:r>
      <w:r w:rsidR="002D2451">
        <w:rPr>
          <w:rFonts w:asciiTheme="majorHAnsi" w:eastAsia="Arial Unicode MS" w:hAnsiTheme="majorHAnsi"/>
          <w:sz w:val="20"/>
          <w:szCs w:val="20"/>
          <w:u w:color="FF0000"/>
        </w:rPr>
        <w:t>in consultation with</w:t>
      </w:r>
      <w:r w:rsidR="0075509E">
        <w:rPr>
          <w:rFonts w:asciiTheme="majorHAnsi" w:eastAsia="Arial Unicode MS" w:hAnsiTheme="majorHAnsi"/>
          <w:sz w:val="20"/>
          <w:szCs w:val="20"/>
          <w:u w:color="FF0000"/>
        </w:rPr>
        <w:t xml:space="preserve"> the</w:t>
      </w:r>
      <w:r w:rsidR="002D2451">
        <w:rPr>
          <w:rFonts w:asciiTheme="majorHAnsi" w:eastAsia="Arial Unicode MS" w:hAnsiTheme="majorHAnsi"/>
          <w:sz w:val="20"/>
          <w:szCs w:val="20"/>
          <w:u w:color="FF0000"/>
        </w:rPr>
        <w:t xml:space="preserve"> </w:t>
      </w:r>
      <w:r w:rsidR="0075509E">
        <w:rPr>
          <w:rFonts w:asciiTheme="majorHAnsi" w:eastAsia="Arial Unicode MS" w:hAnsiTheme="majorHAnsi"/>
          <w:sz w:val="20"/>
          <w:szCs w:val="20"/>
          <w:u w:color="FF0000"/>
        </w:rPr>
        <w:t>IACHR’s Board of Officers</w:t>
      </w:r>
      <w:r w:rsidR="00F8183F" w:rsidRPr="001D375E">
        <w:rPr>
          <w:rFonts w:asciiTheme="majorHAnsi" w:eastAsia="Arial Unicode MS" w:hAnsiTheme="majorHAnsi"/>
          <w:sz w:val="20"/>
          <w:szCs w:val="20"/>
          <w:u w:color="FF0000"/>
        </w:rPr>
        <w:t>,</w:t>
      </w:r>
      <w:r w:rsidR="00C814AB">
        <w:rPr>
          <w:rFonts w:asciiTheme="majorHAnsi" w:eastAsia="Arial Unicode MS" w:hAnsiTheme="majorHAnsi"/>
          <w:sz w:val="20"/>
          <w:szCs w:val="20"/>
          <w:u w:color="FF0000"/>
        </w:rPr>
        <w:t xml:space="preserve"> that allows for the continued use of </w:t>
      </w:r>
      <w:r w:rsidR="002D2451">
        <w:rPr>
          <w:rFonts w:asciiTheme="majorHAnsi" w:eastAsia="Arial Unicode MS" w:hAnsiTheme="majorHAnsi"/>
          <w:sz w:val="20"/>
          <w:szCs w:val="20"/>
          <w:u w:color="FF0000"/>
        </w:rPr>
        <w:t>the PCMS and</w:t>
      </w:r>
      <w:r w:rsidR="0048417D" w:rsidRPr="001D375E">
        <w:rPr>
          <w:rFonts w:asciiTheme="majorHAnsi" w:eastAsia="Arial Unicode MS" w:hAnsiTheme="majorHAnsi"/>
          <w:sz w:val="20"/>
          <w:szCs w:val="20"/>
          <w:u w:color="FF0000"/>
        </w:rPr>
        <w:t xml:space="preserve"> DMS</w:t>
      </w:r>
      <w:r w:rsidR="002D2451">
        <w:rPr>
          <w:rFonts w:asciiTheme="majorHAnsi" w:eastAsia="Arial Unicode MS" w:hAnsiTheme="majorHAnsi"/>
          <w:sz w:val="20"/>
          <w:szCs w:val="20"/>
          <w:u w:color="FF0000"/>
        </w:rPr>
        <w:t xml:space="preserve"> systems even </w:t>
      </w:r>
      <w:r w:rsidR="00C814AB">
        <w:rPr>
          <w:rFonts w:asciiTheme="majorHAnsi" w:eastAsia="Arial Unicode MS" w:hAnsiTheme="majorHAnsi"/>
          <w:sz w:val="20"/>
          <w:szCs w:val="20"/>
          <w:u w:color="FF0000"/>
        </w:rPr>
        <w:t>though</w:t>
      </w:r>
      <w:r w:rsidR="002D2451">
        <w:rPr>
          <w:rFonts w:asciiTheme="majorHAnsi" w:eastAsia="Arial Unicode MS" w:hAnsiTheme="majorHAnsi"/>
          <w:sz w:val="20"/>
          <w:szCs w:val="20"/>
          <w:u w:color="FF0000"/>
        </w:rPr>
        <w:t xml:space="preserve"> the</w:t>
      </w:r>
      <w:r w:rsidR="00C814AB">
        <w:rPr>
          <w:rFonts w:asciiTheme="majorHAnsi" w:eastAsia="Arial Unicode MS" w:hAnsiTheme="majorHAnsi"/>
          <w:sz w:val="20"/>
          <w:szCs w:val="20"/>
          <w:u w:color="FF0000"/>
        </w:rPr>
        <w:t>ir</w:t>
      </w:r>
      <w:r w:rsidR="002D2451">
        <w:rPr>
          <w:rFonts w:asciiTheme="majorHAnsi" w:eastAsia="Arial Unicode MS" w:hAnsiTheme="majorHAnsi"/>
          <w:sz w:val="20"/>
          <w:szCs w:val="20"/>
          <w:u w:color="FF0000"/>
        </w:rPr>
        <w:t xml:space="preserve"> features were designed under the criteria of the old organizational structure.</w:t>
      </w:r>
      <w:r w:rsidR="0048417D" w:rsidRPr="001D375E">
        <w:rPr>
          <w:rFonts w:asciiTheme="majorHAnsi" w:eastAsia="Arial Unicode MS" w:hAnsiTheme="majorHAnsi"/>
          <w:sz w:val="20"/>
          <w:szCs w:val="20"/>
          <w:u w:color="FF0000"/>
        </w:rPr>
        <w:t xml:space="preserve"> </w:t>
      </w:r>
      <w:r w:rsidR="002654CC">
        <w:rPr>
          <w:rFonts w:asciiTheme="majorHAnsi" w:eastAsia="Arial Unicode MS" w:hAnsiTheme="majorHAnsi"/>
          <w:sz w:val="20"/>
          <w:szCs w:val="20"/>
          <w:u w:color="FF0000"/>
        </w:rPr>
        <w:t xml:space="preserve"> </w:t>
      </w:r>
      <w:r w:rsidR="002D2451">
        <w:rPr>
          <w:rFonts w:asciiTheme="majorHAnsi" w:eastAsia="Arial Unicode MS" w:hAnsiTheme="majorHAnsi"/>
          <w:sz w:val="20"/>
          <w:szCs w:val="20"/>
          <w:u w:color="FF0000"/>
        </w:rPr>
        <w:t xml:space="preserve">It is suggested </w:t>
      </w:r>
      <w:r w:rsidR="00C814AB">
        <w:rPr>
          <w:rFonts w:asciiTheme="majorHAnsi" w:eastAsia="Arial Unicode MS" w:hAnsiTheme="majorHAnsi"/>
          <w:sz w:val="20"/>
          <w:szCs w:val="20"/>
          <w:u w:color="FF0000"/>
        </w:rPr>
        <w:t>that</w:t>
      </w:r>
      <w:r w:rsidR="002D2451">
        <w:rPr>
          <w:rFonts w:asciiTheme="majorHAnsi" w:eastAsia="Arial Unicode MS" w:hAnsiTheme="majorHAnsi"/>
          <w:sz w:val="20"/>
          <w:szCs w:val="20"/>
          <w:u w:color="FF0000"/>
        </w:rPr>
        <w:t xml:space="preserve"> the systems </w:t>
      </w:r>
      <w:r w:rsidR="00C814AB">
        <w:rPr>
          <w:rFonts w:asciiTheme="majorHAnsi" w:eastAsia="Arial Unicode MS" w:hAnsiTheme="majorHAnsi"/>
          <w:sz w:val="20"/>
          <w:szCs w:val="20"/>
          <w:u w:color="FF0000"/>
        </w:rPr>
        <w:t xml:space="preserve">be redesigned </w:t>
      </w:r>
      <w:r w:rsidR="0047718D">
        <w:rPr>
          <w:rFonts w:asciiTheme="majorHAnsi" w:eastAsia="Arial Unicode MS" w:hAnsiTheme="majorHAnsi"/>
          <w:sz w:val="20"/>
          <w:szCs w:val="20"/>
          <w:u w:color="FF0000"/>
        </w:rPr>
        <w:t>in order for</w:t>
      </w:r>
      <w:r w:rsidR="00C814AB">
        <w:rPr>
          <w:rFonts w:asciiTheme="majorHAnsi" w:eastAsia="Arial Unicode MS" w:hAnsiTheme="majorHAnsi"/>
          <w:sz w:val="20"/>
          <w:szCs w:val="20"/>
          <w:u w:color="FF0000"/>
        </w:rPr>
        <w:t xml:space="preserve"> their</w:t>
      </w:r>
      <w:r w:rsidR="002D2451">
        <w:rPr>
          <w:rFonts w:asciiTheme="majorHAnsi" w:eastAsia="Arial Unicode MS" w:hAnsiTheme="majorHAnsi"/>
          <w:sz w:val="20"/>
          <w:szCs w:val="20"/>
          <w:u w:color="FF0000"/>
        </w:rPr>
        <w:t xml:space="preserve"> features and operability </w:t>
      </w:r>
      <w:r w:rsidR="0047718D">
        <w:rPr>
          <w:rFonts w:asciiTheme="majorHAnsi" w:eastAsia="Arial Unicode MS" w:hAnsiTheme="majorHAnsi"/>
          <w:sz w:val="20"/>
          <w:szCs w:val="20"/>
          <w:u w:color="FF0000"/>
        </w:rPr>
        <w:t>to</w:t>
      </w:r>
      <w:r w:rsidR="00C814AB">
        <w:rPr>
          <w:rFonts w:asciiTheme="majorHAnsi" w:eastAsia="Arial Unicode MS" w:hAnsiTheme="majorHAnsi"/>
          <w:sz w:val="20"/>
          <w:szCs w:val="20"/>
          <w:u w:color="FF0000"/>
        </w:rPr>
        <w:t xml:space="preserve"> accommodate </w:t>
      </w:r>
      <w:r w:rsidR="002D2451">
        <w:rPr>
          <w:rFonts w:asciiTheme="majorHAnsi" w:eastAsia="Arial Unicode MS" w:hAnsiTheme="majorHAnsi"/>
          <w:sz w:val="20"/>
          <w:szCs w:val="20"/>
          <w:u w:color="FF0000"/>
        </w:rPr>
        <w:t xml:space="preserve">the </w:t>
      </w:r>
      <w:r w:rsidR="004E7A38">
        <w:rPr>
          <w:rFonts w:asciiTheme="majorHAnsi" w:eastAsia="Arial Unicode MS" w:hAnsiTheme="majorHAnsi"/>
          <w:sz w:val="20"/>
          <w:szCs w:val="20"/>
          <w:u w:color="FF0000"/>
        </w:rPr>
        <w:t xml:space="preserve">process </w:t>
      </w:r>
      <w:r w:rsidR="002D2451">
        <w:rPr>
          <w:rFonts w:asciiTheme="majorHAnsi" w:eastAsia="Arial Unicode MS" w:hAnsiTheme="majorHAnsi"/>
          <w:sz w:val="20"/>
          <w:szCs w:val="20"/>
          <w:u w:color="FF0000"/>
        </w:rPr>
        <w:t xml:space="preserve">changes </w:t>
      </w:r>
      <w:r w:rsidR="0047718D">
        <w:rPr>
          <w:rFonts w:asciiTheme="majorHAnsi" w:eastAsia="Arial Unicode MS" w:hAnsiTheme="majorHAnsi"/>
          <w:sz w:val="20"/>
          <w:szCs w:val="20"/>
          <w:u w:color="FF0000"/>
        </w:rPr>
        <w:t>resulting</w:t>
      </w:r>
      <w:r w:rsidR="00C814AB">
        <w:rPr>
          <w:rFonts w:asciiTheme="majorHAnsi" w:eastAsia="Arial Unicode MS" w:hAnsiTheme="majorHAnsi"/>
          <w:sz w:val="20"/>
          <w:szCs w:val="20"/>
          <w:u w:color="FF0000"/>
        </w:rPr>
        <w:t xml:space="preserve"> </w:t>
      </w:r>
      <w:r w:rsidR="002D2451">
        <w:rPr>
          <w:rFonts w:asciiTheme="majorHAnsi" w:eastAsia="Arial Unicode MS" w:hAnsiTheme="majorHAnsi"/>
          <w:sz w:val="20"/>
          <w:szCs w:val="20"/>
          <w:u w:color="FF0000"/>
        </w:rPr>
        <w:t xml:space="preserve">from the organizational restructuring of </w:t>
      </w:r>
      <w:r w:rsidR="001D375E">
        <w:rPr>
          <w:rFonts w:asciiTheme="majorHAnsi" w:eastAsia="Arial Unicode MS" w:hAnsiTheme="majorHAnsi"/>
          <w:sz w:val="20"/>
          <w:szCs w:val="20"/>
          <w:u w:color="FF0000"/>
        </w:rPr>
        <w:t>the IACHR</w:t>
      </w:r>
      <w:r w:rsidR="0048417D" w:rsidRPr="001D375E">
        <w:rPr>
          <w:rFonts w:asciiTheme="majorHAnsi" w:eastAsia="Arial Unicode MS" w:hAnsiTheme="majorHAnsi"/>
          <w:sz w:val="20"/>
          <w:szCs w:val="20"/>
          <w:u w:color="FF0000"/>
        </w:rPr>
        <w:t>.</w:t>
      </w:r>
    </w:p>
    <w:p w:rsidR="0048417D" w:rsidRPr="001D375E" w:rsidRDefault="00CE6DFD">
      <w:pPr>
        <w:numPr>
          <w:ilvl w:val="0"/>
          <w:numId w:val="18"/>
        </w:numPr>
        <w:spacing w:after="0" w:line="240" w:lineRule="auto"/>
        <w:ind w:left="1440" w:hanging="732"/>
        <w:jc w:val="both"/>
        <w:rPr>
          <w:rFonts w:asciiTheme="majorHAnsi" w:eastAsia="Arial Unicode MS" w:hAnsiTheme="majorHAnsi"/>
          <w:sz w:val="20"/>
          <w:szCs w:val="20"/>
          <w:u w:color="FF0000"/>
        </w:rPr>
      </w:pPr>
      <w:r>
        <w:rPr>
          <w:rFonts w:asciiTheme="majorHAnsi" w:eastAsia="Arial Unicode MS" w:hAnsiTheme="majorHAnsi"/>
          <w:sz w:val="20"/>
          <w:szCs w:val="20"/>
          <w:u w:color="FF0000"/>
        </w:rPr>
        <w:t>Implementation, in conjunction with</w:t>
      </w:r>
      <w:r w:rsidR="0048417D" w:rsidRPr="001D375E">
        <w:rPr>
          <w:rFonts w:asciiTheme="majorHAnsi" w:eastAsia="Arial Unicode MS" w:hAnsiTheme="majorHAnsi"/>
          <w:sz w:val="20"/>
          <w:szCs w:val="20"/>
          <w:u w:color="FF0000"/>
        </w:rPr>
        <w:t xml:space="preserve"> DOITS</w:t>
      </w:r>
      <w:r w:rsidR="00F8183F" w:rsidRPr="001D375E">
        <w:rPr>
          <w:rFonts w:asciiTheme="majorHAnsi" w:eastAsia="Arial Unicode MS" w:hAnsiTheme="majorHAnsi"/>
          <w:sz w:val="20"/>
          <w:szCs w:val="20"/>
          <w:u w:color="FF0000"/>
        </w:rPr>
        <w:t>,</w:t>
      </w:r>
      <w:r w:rsidR="0048417D" w:rsidRPr="001D375E">
        <w:rPr>
          <w:rFonts w:asciiTheme="majorHAnsi" w:eastAsia="Arial Unicode MS" w:hAnsiTheme="majorHAnsi"/>
          <w:sz w:val="20"/>
          <w:szCs w:val="20"/>
          <w:u w:color="FF0000"/>
        </w:rPr>
        <w:t xml:space="preserve"> </w:t>
      </w:r>
      <w:r>
        <w:rPr>
          <w:rFonts w:asciiTheme="majorHAnsi" w:eastAsia="Arial Unicode MS" w:hAnsiTheme="majorHAnsi"/>
          <w:sz w:val="20"/>
          <w:szCs w:val="20"/>
          <w:u w:color="FF0000"/>
        </w:rPr>
        <w:t>of the reassignment of pending cases, petitions, and actions</w:t>
      </w:r>
      <w:r w:rsidR="0048417D" w:rsidRPr="001D375E">
        <w:rPr>
          <w:rFonts w:asciiTheme="majorHAnsi" w:eastAsia="Arial Unicode MS" w:hAnsiTheme="majorHAnsi"/>
          <w:sz w:val="20"/>
          <w:szCs w:val="20"/>
          <w:u w:color="FF0000"/>
        </w:rPr>
        <w:t xml:space="preserve">, </w:t>
      </w:r>
      <w:r>
        <w:rPr>
          <w:rFonts w:asciiTheme="majorHAnsi" w:eastAsia="Arial Unicode MS" w:hAnsiTheme="majorHAnsi"/>
          <w:sz w:val="20"/>
          <w:szCs w:val="20"/>
          <w:u w:color="FF0000"/>
        </w:rPr>
        <w:t>following the established schedule</w:t>
      </w:r>
      <w:r w:rsidR="0048417D" w:rsidRPr="001D375E">
        <w:rPr>
          <w:rFonts w:asciiTheme="majorHAnsi" w:eastAsia="Arial Unicode MS" w:hAnsiTheme="majorHAnsi"/>
          <w:sz w:val="20"/>
          <w:szCs w:val="20"/>
          <w:u w:color="FF0000"/>
        </w:rPr>
        <w:t>.</w:t>
      </w:r>
    </w:p>
    <w:p w:rsidR="0048417D" w:rsidRPr="001D375E" w:rsidRDefault="00CE6DFD">
      <w:pPr>
        <w:numPr>
          <w:ilvl w:val="0"/>
          <w:numId w:val="18"/>
        </w:numPr>
        <w:spacing w:after="0" w:line="240" w:lineRule="auto"/>
        <w:ind w:left="1440" w:hanging="732"/>
        <w:jc w:val="both"/>
        <w:rPr>
          <w:rFonts w:asciiTheme="majorHAnsi" w:eastAsia="Arial Unicode MS" w:hAnsiTheme="majorHAnsi"/>
          <w:sz w:val="20"/>
          <w:szCs w:val="20"/>
          <w:u w:color="FF0000"/>
        </w:rPr>
      </w:pPr>
      <w:r>
        <w:rPr>
          <w:rFonts w:asciiTheme="majorHAnsi" w:eastAsia="Arial Unicode MS" w:hAnsiTheme="majorHAnsi"/>
          <w:sz w:val="20"/>
          <w:szCs w:val="20"/>
          <w:u w:color="FF0000"/>
        </w:rPr>
        <w:t xml:space="preserve">Ongoing adjustments and updates pertaining to access, responsibilities, and pending issues in the systems for the users. </w:t>
      </w:r>
    </w:p>
    <w:p w:rsidR="0048417D" w:rsidRPr="001D375E" w:rsidRDefault="0075509E">
      <w:pPr>
        <w:numPr>
          <w:ilvl w:val="0"/>
          <w:numId w:val="18"/>
        </w:numPr>
        <w:spacing w:after="0" w:line="240" w:lineRule="auto"/>
        <w:ind w:left="1440" w:hanging="732"/>
        <w:jc w:val="both"/>
        <w:rPr>
          <w:rFonts w:asciiTheme="majorHAnsi" w:eastAsia="Arial Unicode MS" w:hAnsiTheme="majorHAnsi"/>
          <w:sz w:val="20"/>
          <w:szCs w:val="20"/>
          <w:u w:color="FF0000"/>
        </w:rPr>
      </w:pPr>
      <w:r>
        <w:rPr>
          <w:rFonts w:asciiTheme="majorHAnsi" w:eastAsia="Arial Unicode MS" w:hAnsiTheme="majorHAnsi"/>
          <w:sz w:val="20"/>
          <w:szCs w:val="20"/>
          <w:u w:color="FF0000"/>
        </w:rPr>
        <w:t>Dissemination to users and documentation of the new work methodologies established for the use and operation of the systems, approved by the</w:t>
      </w:r>
      <w:r w:rsidR="0048417D" w:rsidRPr="001D375E">
        <w:rPr>
          <w:rFonts w:asciiTheme="majorHAnsi" w:eastAsia="Arial Unicode MS" w:hAnsiTheme="majorHAnsi"/>
          <w:sz w:val="20"/>
          <w:szCs w:val="20"/>
          <w:u w:color="FF0000"/>
        </w:rPr>
        <w:t xml:space="preserve"> </w:t>
      </w:r>
      <w:r w:rsidR="001D375E">
        <w:rPr>
          <w:rFonts w:asciiTheme="majorHAnsi" w:eastAsia="Arial Unicode MS" w:hAnsiTheme="majorHAnsi"/>
          <w:sz w:val="20"/>
          <w:szCs w:val="20"/>
          <w:u w:color="FF0000"/>
        </w:rPr>
        <w:t>IACHR</w:t>
      </w:r>
      <w:r>
        <w:rPr>
          <w:rFonts w:asciiTheme="majorHAnsi" w:eastAsia="Arial Unicode MS" w:hAnsiTheme="majorHAnsi"/>
          <w:sz w:val="20"/>
          <w:szCs w:val="20"/>
          <w:u w:color="FF0000"/>
        </w:rPr>
        <w:t>’s Board of Officers</w:t>
      </w:r>
      <w:r w:rsidR="0048417D" w:rsidRPr="001D375E">
        <w:rPr>
          <w:rFonts w:asciiTheme="majorHAnsi" w:eastAsia="Arial Unicode MS" w:hAnsiTheme="majorHAnsi"/>
          <w:sz w:val="20"/>
          <w:szCs w:val="20"/>
          <w:u w:color="FF0000"/>
        </w:rPr>
        <w:t>.</w:t>
      </w:r>
    </w:p>
    <w:p w:rsidR="0048417D" w:rsidRPr="001D375E" w:rsidRDefault="0075509E">
      <w:pPr>
        <w:numPr>
          <w:ilvl w:val="0"/>
          <w:numId w:val="18"/>
        </w:numPr>
        <w:spacing w:after="0" w:line="240" w:lineRule="auto"/>
        <w:ind w:left="1440" w:hanging="732"/>
        <w:jc w:val="both"/>
        <w:rPr>
          <w:rFonts w:asciiTheme="majorHAnsi" w:eastAsia="Arial Unicode MS" w:hAnsiTheme="majorHAnsi"/>
          <w:sz w:val="20"/>
          <w:szCs w:val="20"/>
          <w:u w:color="FF0000"/>
        </w:rPr>
      </w:pPr>
      <w:r>
        <w:rPr>
          <w:rFonts w:asciiTheme="majorHAnsi" w:eastAsia="Arial Unicode MS" w:hAnsiTheme="majorHAnsi"/>
          <w:sz w:val="20"/>
          <w:szCs w:val="20"/>
          <w:u w:color="FF0000"/>
        </w:rPr>
        <w:t>New, gen</w:t>
      </w:r>
      <w:r w:rsidR="007D33BB">
        <w:rPr>
          <w:rFonts w:asciiTheme="majorHAnsi" w:eastAsia="Arial Unicode MS" w:hAnsiTheme="majorHAnsi"/>
          <w:sz w:val="20"/>
          <w:szCs w:val="20"/>
          <w:u w:color="FF0000"/>
        </w:rPr>
        <w:t>eral</w:t>
      </w:r>
      <w:r>
        <w:rPr>
          <w:rFonts w:asciiTheme="majorHAnsi" w:eastAsia="Arial Unicode MS" w:hAnsiTheme="majorHAnsi"/>
          <w:sz w:val="20"/>
          <w:szCs w:val="20"/>
          <w:u w:color="FF0000"/>
        </w:rPr>
        <w:t xml:space="preserve"> email inboxes </w:t>
      </w:r>
      <w:r w:rsidR="00B317F8">
        <w:rPr>
          <w:rFonts w:asciiTheme="majorHAnsi" w:eastAsia="Arial Unicode MS" w:hAnsiTheme="majorHAnsi"/>
          <w:sz w:val="20"/>
          <w:szCs w:val="20"/>
          <w:u w:color="FF0000"/>
        </w:rPr>
        <w:t>with</w:t>
      </w:r>
      <w:r>
        <w:rPr>
          <w:rFonts w:asciiTheme="majorHAnsi" w:eastAsia="Arial Unicode MS" w:hAnsiTheme="majorHAnsi"/>
          <w:sz w:val="20"/>
          <w:szCs w:val="20"/>
          <w:u w:color="FF0000"/>
        </w:rPr>
        <w:t xml:space="preserve"> the new </w:t>
      </w:r>
      <w:r w:rsidR="00B317F8">
        <w:rPr>
          <w:rFonts w:asciiTheme="majorHAnsi" w:eastAsia="Arial Unicode MS" w:hAnsiTheme="majorHAnsi"/>
          <w:sz w:val="20"/>
          <w:szCs w:val="20"/>
          <w:u w:color="FF0000"/>
        </w:rPr>
        <w:t xml:space="preserve">area </w:t>
      </w:r>
      <w:r>
        <w:rPr>
          <w:rFonts w:asciiTheme="majorHAnsi" w:eastAsia="Arial Unicode MS" w:hAnsiTheme="majorHAnsi"/>
          <w:sz w:val="20"/>
          <w:szCs w:val="20"/>
          <w:u w:color="FF0000"/>
        </w:rPr>
        <w:t xml:space="preserve">names requested and assigned to the users responsible for </w:t>
      </w:r>
      <w:r w:rsidR="00B317F8">
        <w:rPr>
          <w:rFonts w:asciiTheme="majorHAnsi" w:eastAsia="Arial Unicode MS" w:hAnsiTheme="majorHAnsi"/>
          <w:sz w:val="20"/>
          <w:szCs w:val="20"/>
          <w:u w:color="FF0000"/>
        </w:rPr>
        <w:t>them</w:t>
      </w:r>
      <w:r>
        <w:rPr>
          <w:rFonts w:asciiTheme="majorHAnsi" w:eastAsia="Arial Unicode MS" w:hAnsiTheme="majorHAnsi"/>
          <w:sz w:val="20"/>
          <w:szCs w:val="20"/>
          <w:u w:color="FF0000"/>
        </w:rPr>
        <w:t>.</w:t>
      </w:r>
    </w:p>
    <w:p w:rsidR="0048417D" w:rsidRPr="001D375E" w:rsidRDefault="0075509E">
      <w:pPr>
        <w:numPr>
          <w:ilvl w:val="0"/>
          <w:numId w:val="18"/>
        </w:numPr>
        <w:spacing w:after="0" w:line="240" w:lineRule="auto"/>
        <w:ind w:left="1440" w:hanging="732"/>
        <w:jc w:val="both"/>
        <w:rPr>
          <w:rFonts w:asciiTheme="majorHAnsi" w:eastAsia="Arial Unicode MS" w:hAnsiTheme="majorHAnsi"/>
          <w:sz w:val="20"/>
          <w:szCs w:val="20"/>
          <w:u w:color="FF0000"/>
        </w:rPr>
      </w:pPr>
      <w:r>
        <w:rPr>
          <w:rFonts w:asciiTheme="majorHAnsi" w:eastAsia="Arial Unicode MS" w:hAnsiTheme="majorHAnsi"/>
          <w:sz w:val="20"/>
          <w:szCs w:val="20"/>
          <w:u w:color="FF0000"/>
        </w:rPr>
        <w:lastRenderedPageBreak/>
        <w:t xml:space="preserve">Assessment of the space, use, and organization of the digital information storage systems. </w:t>
      </w:r>
      <w:r w:rsidR="00E848CE">
        <w:rPr>
          <w:rFonts w:asciiTheme="majorHAnsi" w:eastAsia="Arial Unicode MS" w:hAnsiTheme="majorHAnsi"/>
          <w:sz w:val="20"/>
          <w:szCs w:val="20"/>
          <w:u w:color="FF0000"/>
        </w:rPr>
        <w:t xml:space="preserve">The need </w:t>
      </w:r>
      <w:r>
        <w:rPr>
          <w:rFonts w:asciiTheme="majorHAnsi" w:eastAsia="Arial Unicode MS" w:hAnsiTheme="majorHAnsi"/>
          <w:sz w:val="20"/>
          <w:szCs w:val="20"/>
          <w:u w:color="FF0000"/>
        </w:rPr>
        <w:t>to implement a more robust access and security</w:t>
      </w:r>
      <w:r w:rsidR="00E848CE">
        <w:rPr>
          <w:rFonts w:asciiTheme="majorHAnsi" w:eastAsia="Arial Unicode MS" w:hAnsiTheme="majorHAnsi"/>
          <w:sz w:val="20"/>
          <w:szCs w:val="20"/>
          <w:u w:color="FF0000"/>
        </w:rPr>
        <w:t xml:space="preserve"> design was identified</w:t>
      </w:r>
      <w:r>
        <w:rPr>
          <w:rFonts w:asciiTheme="majorHAnsi" w:eastAsia="Arial Unicode MS" w:hAnsiTheme="majorHAnsi"/>
          <w:sz w:val="20"/>
          <w:szCs w:val="20"/>
          <w:u w:color="FF0000"/>
        </w:rPr>
        <w:t>.</w:t>
      </w:r>
    </w:p>
    <w:p w:rsidR="0048417D" w:rsidRPr="001D375E" w:rsidRDefault="0075509E">
      <w:pPr>
        <w:numPr>
          <w:ilvl w:val="0"/>
          <w:numId w:val="18"/>
        </w:numPr>
        <w:spacing w:after="0" w:line="240" w:lineRule="auto"/>
        <w:ind w:left="1440" w:hanging="732"/>
        <w:jc w:val="both"/>
        <w:rPr>
          <w:rFonts w:asciiTheme="majorHAnsi" w:eastAsia="Arial Unicode MS" w:hAnsiTheme="majorHAnsi"/>
          <w:sz w:val="20"/>
          <w:szCs w:val="20"/>
          <w:u w:color="FF0000"/>
        </w:rPr>
      </w:pPr>
      <w:r>
        <w:rPr>
          <w:rFonts w:asciiTheme="majorHAnsi" w:eastAsia="Arial Unicode MS" w:hAnsiTheme="majorHAnsi"/>
          <w:sz w:val="20"/>
          <w:szCs w:val="20"/>
          <w:u w:color="FF0000"/>
        </w:rPr>
        <w:t xml:space="preserve">Initial development of the new structure </w:t>
      </w:r>
      <w:r w:rsidR="00E848CE">
        <w:rPr>
          <w:rFonts w:asciiTheme="majorHAnsi" w:eastAsia="Arial Unicode MS" w:hAnsiTheme="majorHAnsi"/>
          <w:sz w:val="20"/>
          <w:szCs w:val="20"/>
          <w:u w:color="FF0000"/>
        </w:rPr>
        <w:t>of</w:t>
      </w:r>
      <w:r>
        <w:rPr>
          <w:rFonts w:asciiTheme="majorHAnsi" w:eastAsia="Arial Unicode MS" w:hAnsiTheme="majorHAnsi"/>
          <w:sz w:val="20"/>
          <w:szCs w:val="20"/>
          <w:u w:color="FF0000"/>
        </w:rPr>
        <w:t xml:space="preserve"> these storage systems to expedite the location of information</w:t>
      </w:r>
      <w:r w:rsidR="00674E5A">
        <w:rPr>
          <w:rFonts w:asciiTheme="majorHAnsi" w:eastAsia="Arial Unicode MS" w:hAnsiTheme="majorHAnsi"/>
          <w:sz w:val="20"/>
          <w:szCs w:val="20"/>
          <w:u w:color="FF0000"/>
        </w:rPr>
        <w:t xml:space="preserve"> and have</w:t>
      </w:r>
      <w:r>
        <w:rPr>
          <w:rFonts w:asciiTheme="majorHAnsi" w:eastAsia="Arial Unicode MS" w:hAnsiTheme="majorHAnsi"/>
          <w:sz w:val="20"/>
          <w:szCs w:val="20"/>
          <w:u w:color="FF0000"/>
        </w:rPr>
        <w:t xml:space="preserve"> information </w:t>
      </w:r>
      <w:r w:rsidR="00674E5A">
        <w:rPr>
          <w:rFonts w:asciiTheme="majorHAnsi" w:eastAsia="Arial Unicode MS" w:hAnsiTheme="majorHAnsi"/>
          <w:sz w:val="20"/>
          <w:szCs w:val="20"/>
          <w:u w:color="FF0000"/>
        </w:rPr>
        <w:t>readily available to share</w:t>
      </w:r>
      <w:r w:rsidR="00E848CE">
        <w:rPr>
          <w:rFonts w:asciiTheme="majorHAnsi" w:eastAsia="Arial Unicode MS" w:hAnsiTheme="majorHAnsi"/>
          <w:sz w:val="20"/>
          <w:szCs w:val="20"/>
          <w:u w:color="FF0000"/>
        </w:rPr>
        <w:t>,</w:t>
      </w:r>
      <w:r>
        <w:rPr>
          <w:rFonts w:asciiTheme="majorHAnsi" w:eastAsia="Arial Unicode MS" w:hAnsiTheme="majorHAnsi"/>
          <w:sz w:val="20"/>
          <w:szCs w:val="20"/>
          <w:u w:color="FF0000"/>
        </w:rPr>
        <w:t xml:space="preserve"> and the adjustment of access to information as appropriate. </w:t>
      </w:r>
      <w:r w:rsidR="0048417D" w:rsidRPr="001D375E">
        <w:rPr>
          <w:rFonts w:asciiTheme="majorHAnsi" w:eastAsia="Arial Unicode MS" w:hAnsiTheme="majorHAnsi"/>
          <w:sz w:val="20"/>
          <w:szCs w:val="20"/>
          <w:u w:color="FF0000"/>
        </w:rPr>
        <w:t xml:space="preserve"> </w:t>
      </w:r>
    </w:p>
    <w:p w:rsidR="0048417D" w:rsidRPr="001D375E" w:rsidRDefault="0048417D">
      <w:pPr>
        <w:pStyle w:val="ListParagraph"/>
        <w:ind w:left="0"/>
        <w:jc w:val="both"/>
        <w:rPr>
          <w:rFonts w:asciiTheme="majorHAnsi" w:hAnsiTheme="majorHAnsi" w:cs="Calibri"/>
          <w:sz w:val="20"/>
          <w:szCs w:val="20"/>
        </w:rPr>
      </w:pPr>
    </w:p>
    <w:p w:rsidR="0048417D" w:rsidRPr="001D375E" w:rsidRDefault="00D4736B">
      <w:pPr>
        <w:pStyle w:val="ListParagraph"/>
        <w:numPr>
          <w:ilvl w:val="0"/>
          <w:numId w:val="9"/>
        </w:numPr>
        <w:ind w:left="0" w:firstLine="720"/>
        <w:jc w:val="both"/>
        <w:rPr>
          <w:rFonts w:asciiTheme="majorHAnsi" w:hAnsiTheme="majorHAnsi" w:cs="Calibri"/>
          <w:sz w:val="20"/>
          <w:szCs w:val="20"/>
        </w:rPr>
      </w:pPr>
      <w:r>
        <w:rPr>
          <w:rFonts w:asciiTheme="majorHAnsi" w:hAnsiTheme="majorHAnsi" w:cs="Calibri"/>
          <w:sz w:val="20"/>
          <w:szCs w:val="20"/>
        </w:rPr>
        <w:t xml:space="preserve">This technological unit prepared statistical reports on the information obtained </w:t>
      </w:r>
      <w:r w:rsidR="00A35473">
        <w:rPr>
          <w:rFonts w:asciiTheme="majorHAnsi" w:hAnsiTheme="majorHAnsi" w:cs="Calibri"/>
          <w:sz w:val="20"/>
          <w:szCs w:val="20"/>
        </w:rPr>
        <w:t>on</w:t>
      </w:r>
      <w:r>
        <w:rPr>
          <w:rFonts w:asciiTheme="majorHAnsi" w:hAnsiTheme="majorHAnsi" w:cs="Calibri"/>
          <w:sz w:val="20"/>
          <w:szCs w:val="20"/>
        </w:rPr>
        <w:t xml:space="preserve"> requests for hearings and work meetings for the</w:t>
      </w:r>
      <w:r w:rsidR="0048417D" w:rsidRPr="001D375E">
        <w:rPr>
          <w:rFonts w:asciiTheme="majorHAnsi" w:hAnsiTheme="majorHAnsi" w:cs="Calibri"/>
          <w:sz w:val="20"/>
          <w:szCs w:val="20"/>
        </w:rPr>
        <w:t xml:space="preserve"> 1</w:t>
      </w:r>
      <w:r>
        <w:rPr>
          <w:rFonts w:asciiTheme="majorHAnsi" w:hAnsiTheme="majorHAnsi" w:cs="Calibri"/>
          <w:sz w:val="20"/>
          <w:szCs w:val="20"/>
        </w:rPr>
        <w:t>54</w:t>
      </w:r>
      <w:r w:rsidRPr="00D4736B">
        <w:rPr>
          <w:rFonts w:asciiTheme="majorHAnsi" w:hAnsiTheme="majorHAnsi" w:cs="Calibri"/>
          <w:sz w:val="20"/>
          <w:szCs w:val="20"/>
          <w:vertAlign w:val="superscript"/>
        </w:rPr>
        <w:t>th</w:t>
      </w:r>
      <w:r>
        <w:rPr>
          <w:rFonts w:asciiTheme="majorHAnsi" w:hAnsiTheme="majorHAnsi" w:cs="Calibri"/>
          <w:sz w:val="20"/>
          <w:szCs w:val="20"/>
        </w:rPr>
        <w:t xml:space="preserve"> and 156</w:t>
      </w:r>
      <w:r w:rsidRPr="00D4736B">
        <w:rPr>
          <w:rFonts w:asciiTheme="majorHAnsi" w:hAnsiTheme="majorHAnsi" w:cs="Calibri"/>
          <w:sz w:val="20"/>
          <w:szCs w:val="20"/>
          <w:vertAlign w:val="superscript"/>
        </w:rPr>
        <w:t>th</w:t>
      </w:r>
      <w:r w:rsidR="0048417D" w:rsidRPr="001D375E">
        <w:rPr>
          <w:rFonts w:asciiTheme="majorHAnsi" w:hAnsiTheme="majorHAnsi" w:cs="Calibri"/>
          <w:sz w:val="20"/>
          <w:szCs w:val="20"/>
        </w:rPr>
        <w:t xml:space="preserve"> </w:t>
      </w:r>
      <w:r>
        <w:rPr>
          <w:rFonts w:asciiTheme="majorHAnsi" w:hAnsiTheme="majorHAnsi" w:cs="Calibri"/>
          <w:sz w:val="20"/>
          <w:szCs w:val="20"/>
        </w:rPr>
        <w:t>sessions</w:t>
      </w:r>
      <w:r w:rsidR="0048417D" w:rsidRPr="001D375E">
        <w:rPr>
          <w:rFonts w:asciiTheme="majorHAnsi" w:hAnsiTheme="majorHAnsi" w:cs="Calibri"/>
          <w:sz w:val="20"/>
          <w:szCs w:val="20"/>
        </w:rPr>
        <w:t xml:space="preserve">. </w:t>
      </w:r>
      <w:r w:rsidR="002654CC">
        <w:rPr>
          <w:rFonts w:asciiTheme="majorHAnsi" w:hAnsiTheme="majorHAnsi" w:cs="Calibri"/>
          <w:sz w:val="20"/>
          <w:szCs w:val="20"/>
        </w:rPr>
        <w:t xml:space="preserve"> </w:t>
      </w:r>
      <w:r>
        <w:rPr>
          <w:rFonts w:asciiTheme="majorHAnsi" w:hAnsiTheme="majorHAnsi" w:cs="Calibri"/>
          <w:sz w:val="20"/>
          <w:szCs w:val="20"/>
        </w:rPr>
        <w:t xml:space="preserve">The reports included the total </w:t>
      </w:r>
      <w:r w:rsidR="00A35473">
        <w:rPr>
          <w:rFonts w:asciiTheme="majorHAnsi" w:hAnsiTheme="majorHAnsi" w:cs="Calibri"/>
          <w:sz w:val="20"/>
          <w:szCs w:val="20"/>
        </w:rPr>
        <w:t>number</w:t>
      </w:r>
      <w:r>
        <w:rPr>
          <w:rFonts w:asciiTheme="majorHAnsi" w:hAnsiTheme="majorHAnsi" w:cs="Calibri"/>
          <w:sz w:val="20"/>
          <w:szCs w:val="20"/>
        </w:rPr>
        <w:t xml:space="preserve"> </w:t>
      </w:r>
      <w:r w:rsidR="002654CC">
        <w:rPr>
          <w:rFonts w:asciiTheme="majorHAnsi" w:hAnsiTheme="majorHAnsi" w:cs="Calibri"/>
          <w:sz w:val="20"/>
          <w:szCs w:val="20"/>
        </w:rPr>
        <w:t xml:space="preserve">of </w:t>
      </w:r>
      <w:r>
        <w:rPr>
          <w:rFonts w:asciiTheme="majorHAnsi" w:hAnsiTheme="majorHAnsi" w:cs="Calibri"/>
          <w:sz w:val="20"/>
          <w:szCs w:val="20"/>
        </w:rPr>
        <w:t>visits to the system, requests that include hearings and work meetings by country,</w:t>
      </w:r>
      <w:r w:rsidR="00A35473">
        <w:rPr>
          <w:rFonts w:asciiTheme="majorHAnsi" w:hAnsiTheme="majorHAnsi" w:cs="Calibri"/>
          <w:sz w:val="20"/>
          <w:szCs w:val="20"/>
        </w:rPr>
        <w:t xml:space="preserve"> requester typ</w:t>
      </w:r>
      <w:r>
        <w:rPr>
          <w:rFonts w:asciiTheme="majorHAnsi" w:hAnsiTheme="majorHAnsi" w:cs="Calibri"/>
          <w:sz w:val="20"/>
          <w:szCs w:val="20"/>
        </w:rPr>
        <w:t xml:space="preserve">e, </w:t>
      </w:r>
      <w:r w:rsidR="00A35473">
        <w:rPr>
          <w:rFonts w:asciiTheme="majorHAnsi" w:hAnsiTheme="majorHAnsi" w:cs="Calibri"/>
          <w:sz w:val="20"/>
          <w:szCs w:val="20"/>
        </w:rPr>
        <w:t xml:space="preserve">and </w:t>
      </w:r>
      <w:r>
        <w:rPr>
          <w:rFonts w:asciiTheme="majorHAnsi" w:hAnsiTheme="majorHAnsi" w:cs="Calibri"/>
          <w:sz w:val="20"/>
          <w:szCs w:val="20"/>
        </w:rPr>
        <w:t xml:space="preserve">rapporteurship, as well as statistics and tables </w:t>
      </w:r>
      <w:r w:rsidR="00A35473">
        <w:rPr>
          <w:rFonts w:asciiTheme="majorHAnsi" w:hAnsiTheme="majorHAnsi" w:cs="Calibri"/>
          <w:sz w:val="20"/>
          <w:szCs w:val="20"/>
        </w:rPr>
        <w:t>pertaining</w:t>
      </w:r>
      <w:r>
        <w:rPr>
          <w:rFonts w:asciiTheme="majorHAnsi" w:hAnsiTheme="majorHAnsi" w:cs="Calibri"/>
          <w:sz w:val="20"/>
          <w:szCs w:val="20"/>
        </w:rPr>
        <w:t xml:space="preserve"> to the approved requests. </w:t>
      </w:r>
      <w:r w:rsidR="002654CC">
        <w:rPr>
          <w:rFonts w:asciiTheme="majorHAnsi" w:hAnsiTheme="majorHAnsi" w:cs="Calibri"/>
          <w:sz w:val="20"/>
          <w:szCs w:val="20"/>
        </w:rPr>
        <w:t xml:space="preserve"> </w:t>
      </w:r>
      <w:r>
        <w:rPr>
          <w:rFonts w:asciiTheme="majorHAnsi" w:hAnsiTheme="majorHAnsi" w:cs="Calibri"/>
          <w:sz w:val="20"/>
          <w:szCs w:val="20"/>
        </w:rPr>
        <w:t xml:space="preserve">These tools enable and facilitate senior management’s </w:t>
      </w:r>
      <w:r w:rsidR="006C2190">
        <w:rPr>
          <w:rFonts w:asciiTheme="majorHAnsi" w:hAnsiTheme="majorHAnsi" w:cs="Calibri"/>
          <w:sz w:val="20"/>
          <w:szCs w:val="20"/>
        </w:rPr>
        <w:t>decision-making</w:t>
      </w:r>
      <w:r>
        <w:rPr>
          <w:rFonts w:asciiTheme="majorHAnsi" w:hAnsiTheme="majorHAnsi" w:cs="Calibri"/>
          <w:sz w:val="20"/>
          <w:szCs w:val="20"/>
        </w:rPr>
        <w:t xml:space="preserve"> processes.</w:t>
      </w:r>
    </w:p>
    <w:p w:rsidR="0048417D" w:rsidRPr="001D375E" w:rsidRDefault="0048417D">
      <w:pPr>
        <w:pStyle w:val="ListParagraph"/>
        <w:jc w:val="both"/>
        <w:rPr>
          <w:rFonts w:asciiTheme="majorHAnsi" w:hAnsiTheme="majorHAnsi" w:cs="Calibri"/>
          <w:sz w:val="20"/>
          <w:szCs w:val="20"/>
        </w:rPr>
      </w:pPr>
    </w:p>
    <w:p w:rsidR="0048417D" w:rsidRPr="001D375E" w:rsidRDefault="00AB4F74">
      <w:pPr>
        <w:pStyle w:val="ListParagraph"/>
        <w:numPr>
          <w:ilvl w:val="0"/>
          <w:numId w:val="9"/>
        </w:numPr>
        <w:ind w:left="0" w:firstLine="720"/>
        <w:jc w:val="both"/>
        <w:rPr>
          <w:rFonts w:asciiTheme="majorHAnsi" w:hAnsiTheme="majorHAnsi" w:cs="Calibri"/>
          <w:sz w:val="20"/>
          <w:szCs w:val="20"/>
        </w:rPr>
      </w:pPr>
      <w:r>
        <w:rPr>
          <w:rFonts w:asciiTheme="majorHAnsi" w:hAnsiTheme="majorHAnsi" w:cs="Calibri"/>
          <w:sz w:val="20"/>
          <w:szCs w:val="20"/>
        </w:rPr>
        <w:t>The</w:t>
      </w:r>
      <w:r w:rsidR="0048417D" w:rsidRPr="001D375E">
        <w:rPr>
          <w:rFonts w:asciiTheme="majorHAnsi" w:hAnsiTheme="majorHAnsi" w:cs="Calibri"/>
          <w:sz w:val="20"/>
          <w:szCs w:val="20"/>
        </w:rPr>
        <w:t xml:space="preserve"> </w:t>
      </w:r>
      <w:r w:rsidR="002654CC">
        <w:rPr>
          <w:rFonts w:asciiTheme="majorHAnsi" w:hAnsiTheme="majorHAnsi" w:cs="Calibri"/>
          <w:sz w:val="20"/>
          <w:szCs w:val="20"/>
        </w:rPr>
        <w:t>UTS</w:t>
      </w:r>
      <w:r w:rsidR="002654CC" w:rsidRPr="001D375E">
        <w:rPr>
          <w:rFonts w:asciiTheme="majorHAnsi" w:hAnsiTheme="majorHAnsi" w:cs="Calibri"/>
          <w:sz w:val="20"/>
          <w:szCs w:val="20"/>
        </w:rPr>
        <w:t xml:space="preserve"> </w:t>
      </w:r>
      <w:r>
        <w:rPr>
          <w:rFonts w:asciiTheme="majorHAnsi" w:hAnsiTheme="majorHAnsi" w:cs="Calibri"/>
          <w:sz w:val="20"/>
          <w:szCs w:val="20"/>
        </w:rPr>
        <w:t>designed and implemented an application to automate the process for inviting civil society to the sessions for hearings requested by</w:t>
      </w:r>
      <w:r w:rsidR="0048417D" w:rsidRPr="001D375E">
        <w:rPr>
          <w:rFonts w:asciiTheme="majorHAnsi" w:hAnsiTheme="majorHAnsi" w:cs="Calibri"/>
          <w:sz w:val="20"/>
          <w:szCs w:val="20"/>
        </w:rPr>
        <w:t xml:space="preserve"> </w:t>
      </w:r>
      <w:r w:rsidR="00306F8F">
        <w:rPr>
          <w:rFonts w:asciiTheme="majorHAnsi" w:hAnsiTheme="majorHAnsi" w:cs="Calibri"/>
          <w:sz w:val="20"/>
          <w:szCs w:val="20"/>
        </w:rPr>
        <w:t>Member States</w:t>
      </w:r>
      <w:r w:rsidR="0048417D" w:rsidRPr="001D375E">
        <w:rPr>
          <w:rFonts w:asciiTheme="majorHAnsi" w:hAnsiTheme="majorHAnsi" w:cs="Calibri"/>
          <w:sz w:val="20"/>
          <w:szCs w:val="20"/>
        </w:rPr>
        <w:t>.</w:t>
      </w:r>
      <w:r w:rsidR="002654CC">
        <w:rPr>
          <w:rFonts w:asciiTheme="majorHAnsi" w:hAnsiTheme="majorHAnsi" w:cs="Calibri"/>
          <w:sz w:val="20"/>
          <w:szCs w:val="20"/>
        </w:rPr>
        <w:t xml:space="preserve"> </w:t>
      </w:r>
      <w:r w:rsidR="0048417D" w:rsidRPr="001D375E">
        <w:rPr>
          <w:rFonts w:asciiTheme="majorHAnsi" w:hAnsiTheme="majorHAnsi" w:cs="Calibri"/>
          <w:sz w:val="20"/>
          <w:szCs w:val="20"/>
        </w:rPr>
        <w:t xml:space="preserve"> </w:t>
      </w:r>
      <w:r w:rsidR="005B2CFD">
        <w:rPr>
          <w:rFonts w:asciiTheme="majorHAnsi" w:hAnsiTheme="majorHAnsi" w:cs="Calibri"/>
          <w:sz w:val="20"/>
          <w:szCs w:val="20"/>
        </w:rPr>
        <w:t>In this way</w:t>
      </w:r>
      <w:r w:rsidR="0048417D" w:rsidRPr="001D375E">
        <w:rPr>
          <w:rFonts w:asciiTheme="majorHAnsi" w:hAnsiTheme="majorHAnsi" w:cs="Calibri"/>
          <w:sz w:val="20"/>
          <w:szCs w:val="20"/>
        </w:rPr>
        <w:t xml:space="preserve">, </w:t>
      </w:r>
      <w:r w:rsidR="005B2CFD">
        <w:rPr>
          <w:rFonts w:asciiTheme="majorHAnsi" w:hAnsiTheme="majorHAnsi" w:cs="Calibri"/>
          <w:sz w:val="20"/>
          <w:szCs w:val="20"/>
        </w:rPr>
        <w:t xml:space="preserve">we were able to provide the </w:t>
      </w:r>
      <w:r w:rsidR="00884EEE">
        <w:rPr>
          <w:rFonts w:asciiTheme="majorHAnsi" w:hAnsiTheme="majorHAnsi" w:cs="Calibri"/>
          <w:sz w:val="20"/>
          <w:szCs w:val="20"/>
        </w:rPr>
        <w:t xml:space="preserve">Executive </w:t>
      </w:r>
      <w:r w:rsidR="002654CC">
        <w:rPr>
          <w:rFonts w:asciiTheme="majorHAnsi" w:hAnsiTheme="majorHAnsi" w:cs="Calibri"/>
          <w:sz w:val="20"/>
          <w:szCs w:val="20"/>
        </w:rPr>
        <w:t>Secretariat</w:t>
      </w:r>
      <w:r w:rsidR="002654CC" w:rsidRPr="001D375E">
        <w:rPr>
          <w:rFonts w:asciiTheme="majorHAnsi" w:hAnsiTheme="majorHAnsi" w:cs="Calibri"/>
          <w:sz w:val="20"/>
          <w:szCs w:val="20"/>
        </w:rPr>
        <w:t xml:space="preserve"> </w:t>
      </w:r>
      <w:r w:rsidR="005B2CFD">
        <w:rPr>
          <w:rFonts w:asciiTheme="majorHAnsi" w:hAnsiTheme="majorHAnsi" w:cs="Calibri"/>
          <w:sz w:val="20"/>
          <w:szCs w:val="20"/>
        </w:rPr>
        <w:t xml:space="preserve">with </w:t>
      </w:r>
      <w:r w:rsidR="00FC3E97">
        <w:rPr>
          <w:rFonts w:asciiTheme="majorHAnsi" w:hAnsiTheme="majorHAnsi" w:cs="Calibri"/>
          <w:sz w:val="20"/>
          <w:szCs w:val="20"/>
        </w:rPr>
        <w:t xml:space="preserve">user-friendly </w:t>
      </w:r>
      <w:r w:rsidR="005B2CFD">
        <w:rPr>
          <w:rFonts w:asciiTheme="majorHAnsi" w:hAnsiTheme="majorHAnsi" w:cs="Calibri"/>
          <w:sz w:val="20"/>
          <w:szCs w:val="20"/>
        </w:rPr>
        <w:t>reports for the systematization of information, analysis</w:t>
      </w:r>
      <w:r w:rsidR="00FC3E97">
        <w:rPr>
          <w:rFonts w:asciiTheme="majorHAnsi" w:hAnsiTheme="majorHAnsi" w:cs="Calibri"/>
          <w:sz w:val="20"/>
          <w:szCs w:val="20"/>
        </w:rPr>
        <w:t>,</w:t>
      </w:r>
      <w:r w:rsidR="005B2CFD">
        <w:rPr>
          <w:rFonts w:asciiTheme="majorHAnsi" w:hAnsiTheme="majorHAnsi" w:cs="Calibri"/>
          <w:sz w:val="20"/>
          <w:szCs w:val="20"/>
        </w:rPr>
        <w:t xml:space="preserve"> and </w:t>
      </w:r>
      <w:r w:rsidR="00FC3E97">
        <w:rPr>
          <w:rFonts w:asciiTheme="majorHAnsi" w:hAnsiTheme="majorHAnsi" w:cs="Calibri"/>
          <w:sz w:val="20"/>
          <w:szCs w:val="20"/>
        </w:rPr>
        <w:t xml:space="preserve">the </w:t>
      </w:r>
      <w:r w:rsidR="005B2CFD">
        <w:rPr>
          <w:rFonts w:asciiTheme="majorHAnsi" w:hAnsiTheme="majorHAnsi" w:cs="Calibri"/>
          <w:sz w:val="20"/>
          <w:szCs w:val="20"/>
        </w:rPr>
        <w:t xml:space="preserve">selection of organizations </w:t>
      </w:r>
      <w:r w:rsidR="00FC3E97">
        <w:rPr>
          <w:rFonts w:asciiTheme="majorHAnsi" w:hAnsiTheme="majorHAnsi" w:cs="Calibri"/>
          <w:sz w:val="20"/>
          <w:szCs w:val="20"/>
        </w:rPr>
        <w:t>to</w:t>
      </w:r>
      <w:r w:rsidR="005B2CFD">
        <w:rPr>
          <w:rFonts w:asciiTheme="majorHAnsi" w:hAnsiTheme="majorHAnsi" w:cs="Calibri"/>
          <w:sz w:val="20"/>
          <w:szCs w:val="20"/>
        </w:rPr>
        <w:t xml:space="preserve"> participate in the aforementioned hearings. </w:t>
      </w:r>
      <w:r w:rsidR="0048417D" w:rsidRPr="001D375E">
        <w:rPr>
          <w:rFonts w:asciiTheme="majorHAnsi" w:hAnsiTheme="majorHAnsi" w:cs="Calibri"/>
          <w:sz w:val="20"/>
          <w:szCs w:val="20"/>
        </w:rPr>
        <w:t xml:space="preserve"> </w:t>
      </w:r>
    </w:p>
    <w:p w:rsidR="0048417D" w:rsidRPr="001D375E" w:rsidRDefault="0048417D">
      <w:pPr>
        <w:pStyle w:val="ListParagraph"/>
        <w:ind w:left="0"/>
        <w:jc w:val="both"/>
        <w:rPr>
          <w:rFonts w:asciiTheme="majorHAnsi" w:hAnsiTheme="majorHAnsi" w:cs="Calibri"/>
          <w:sz w:val="20"/>
          <w:szCs w:val="20"/>
        </w:rPr>
      </w:pPr>
    </w:p>
    <w:p w:rsidR="0048417D" w:rsidRPr="001D375E" w:rsidRDefault="00A86BCA">
      <w:pPr>
        <w:pStyle w:val="ListParagraph"/>
        <w:numPr>
          <w:ilvl w:val="0"/>
          <w:numId w:val="9"/>
        </w:numPr>
        <w:ind w:left="0" w:firstLine="720"/>
        <w:jc w:val="both"/>
        <w:rPr>
          <w:rFonts w:asciiTheme="majorHAnsi" w:hAnsiTheme="majorHAnsi" w:cs="Calibri"/>
          <w:sz w:val="20"/>
          <w:szCs w:val="20"/>
        </w:rPr>
      </w:pPr>
      <w:r>
        <w:rPr>
          <w:rFonts w:asciiTheme="majorHAnsi" w:hAnsiTheme="majorHAnsi" w:cs="Calibri"/>
          <w:sz w:val="20"/>
          <w:szCs w:val="20"/>
        </w:rPr>
        <w:t>In preparation for and during the sessions, the</w:t>
      </w:r>
      <w:r w:rsidR="00510FF9" w:rsidRPr="001D375E">
        <w:rPr>
          <w:rFonts w:asciiTheme="majorHAnsi" w:hAnsiTheme="majorHAnsi" w:cs="Calibri"/>
          <w:sz w:val="20"/>
          <w:szCs w:val="20"/>
        </w:rPr>
        <w:t xml:space="preserve"> </w:t>
      </w:r>
      <w:r w:rsidR="003C2655">
        <w:rPr>
          <w:rFonts w:asciiTheme="majorHAnsi" w:hAnsiTheme="majorHAnsi" w:cs="Calibri"/>
          <w:sz w:val="20"/>
          <w:szCs w:val="20"/>
        </w:rPr>
        <w:t>UTS</w:t>
      </w:r>
      <w:r w:rsidR="003C2655" w:rsidRPr="001D375E">
        <w:rPr>
          <w:rFonts w:asciiTheme="majorHAnsi" w:hAnsiTheme="majorHAnsi" w:cs="Calibri"/>
          <w:sz w:val="20"/>
          <w:szCs w:val="20"/>
        </w:rPr>
        <w:t xml:space="preserve"> </w:t>
      </w:r>
      <w:r w:rsidR="0048417D" w:rsidRPr="001D375E">
        <w:rPr>
          <w:rFonts w:asciiTheme="majorHAnsi" w:hAnsiTheme="majorHAnsi" w:cs="Calibri"/>
          <w:sz w:val="20"/>
          <w:szCs w:val="20"/>
        </w:rPr>
        <w:t>coordin</w:t>
      </w:r>
      <w:r>
        <w:rPr>
          <w:rFonts w:asciiTheme="majorHAnsi" w:hAnsiTheme="majorHAnsi" w:cs="Calibri"/>
          <w:sz w:val="20"/>
          <w:szCs w:val="20"/>
        </w:rPr>
        <w:t>ates</w:t>
      </w:r>
      <w:r w:rsidR="00E53C7D">
        <w:rPr>
          <w:rFonts w:asciiTheme="majorHAnsi" w:hAnsiTheme="majorHAnsi" w:cs="Calibri"/>
          <w:sz w:val="20"/>
          <w:szCs w:val="20"/>
        </w:rPr>
        <w:t xml:space="preserve"> and</w:t>
      </w:r>
      <w:r w:rsidR="0048417D" w:rsidRPr="001D375E">
        <w:rPr>
          <w:rFonts w:asciiTheme="majorHAnsi" w:hAnsiTheme="majorHAnsi" w:cs="Calibri"/>
          <w:sz w:val="20"/>
          <w:szCs w:val="20"/>
        </w:rPr>
        <w:t xml:space="preserve"> </w:t>
      </w:r>
      <w:r>
        <w:rPr>
          <w:rFonts w:asciiTheme="majorHAnsi" w:hAnsiTheme="majorHAnsi" w:cs="Calibri"/>
          <w:sz w:val="20"/>
          <w:szCs w:val="20"/>
        </w:rPr>
        <w:t xml:space="preserve">manages the logistics, scheduling, monitoring, and follow-up of the technological and telecommunications services in direct contact with the respective areas of services in order to ensure the success of the meetings and events. </w:t>
      </w:r>
      <w:r w:rsidR="002654CC">
        <w:rPr>
          <w:rFonts w:asciiTheme="majorHAnsi" w:hAnsiTheme="majorHAnsi" w:cs="Calibri"/>
          <w:sz w:val="20"/>
          <w:szCs w:val="20"/>
        </w:rPr>
        <w:t xml:space="preserve"> </w:t>
      </w:r>
      <w:r>
        <w:rPr>
          <w:rFonts w:asciiTheme="majorHAnsi" w:hAnsiTheme="majorHAnsi" w:cs="Calibri"/>
          <w:sz w:val="20"/>
          <w:szCs w:val="20"/>
        </w:rPr>
        <w:t xml:space="preserve">For the </w:t>
      </w:r>
      <w:r w:rsidR="0048417D" w:rsidRPr="001D375E">
        <w:rPr>
          <w:rFonts w:asciiTheme="majorHAnsi" w:hAnsiTheme="majorHAnsi" w:cs="Calibri"/>
          <w:sz w:val="20"/>
          <w:szCs w:val="20"/>
        </w:rPr>
        <w:t>154</w:t>
      </w:r>
      <w:r w:rsidRPr="00A86BCA">
        <w:rPr>
          <w:rFonts w:asciiTheme="majorHAnsi" w:hAnsiTheme="majorHAnsi" w:cs="Calibri"/>
          <w:sz w:val="20"/>
          <w:szCs w:val="20"/>
          <w:vertAlign w:val="superscript"/>
        </w:rPr>
        <w:t>th</w:t>
      </w:r>
      <w:r>
        <w:rPr>
          <w:rFonts w:asciiTheme="majorHAnsi" w:hAnsiTheme="majorHAnsi" w:cs="Calibri"/>
          <w:sz w:val="20"/>
          <w:szCs w:val="20"/>
        </w:rPr>
        <w:t xml:space="preserve"> session, the </w:t>
      </w:r>
      <w:r w:rsidR="003C2655">
        <w:rPr>
          <w:rFonts w:asciiTheme="majorHAnsi" w:hAnsiTheme="majorHAnsi" w:cs="Calibri"/>
          <w:sz w:val="20"/>
          <w:szCs w:val="20"/>
        </w:rPr>
        <w:t>UTS</w:t>
      </w:r>
      <w:r w:rsidR="003C2655" w:rsidRPr="001D375E">
        <w:rPr>
          <w:rFonts w:asciiTheme="majorHAnsi" w:hAnsiTheme="majorHAnsi" w:cs="Calibri"/>
          <w:sz w:val="20"/>
          <w:szCs w:val="20"/>
        </w:rPr>
        <w:t xml:space="preserve"> </w:t>
      </w:r>
      <w:r w:rsidR="00E53C7D">
        <w:rPr>
          <w:rFonts w:asciiTheme="majorHAnsi" w:hAnsiTheme="majorHAnsi" w:cs="Calibri"/>
          <w:sz w:val="20"/>
          <w:szCs w:val="20"/>
        </w:rPr>
        <w:t xml:space="preserve">was able, </w:t>
      </w:r>
      <w:r>
        <w:rPr>
          <w:rFonts w:asciiTheme="majorHAnsi" w:hAnsiTheme="majorHAnsi" w:cs="Calibri"/>
          <w:sz w:val="20"/>
          <w:szCs w:val="20"/>
        </w:rPr>
        <w:t>for the first time</w:t>
      </w:r>
      <w:r w:rsidR="00E53C7D">
        <w:rPr>
          <w:rFonts w:asciiTheme="majorHAnsi" w:hAnsiTheme="majorHAnsi" w:cs="Calibri"/>
          <w:sz w:val="20"/>
          <w:szCs w:val="20"/>
        </w:rPr>
        <w:t>, to provide</w:t>
      </w:r>
      <w:r>
        <w:rPr>
          <w:rFonts w:asciiTheme="majorHAnsi" w:hAnsiTheme="majorHAnsi" w:cs="Calibri"/>
          <w:sz w:val="20"/>
          <w:szCs w:val="20"/>
        </w:rPr>
        <w:t xml:space="preserve"> a broadband </w:t>
      </w:r>
      <w:r w:rsidR="0048417D" w:rsidRPr="001D375E">
        <w:rPr>
          <w:rFonts w:asciiTheme="majorHAnsi" w:hAnsiTheme="majorHAnsi" w:cs="Calibri"/>
          <w:sz w:val="20"/>
          <w:szCs w:val="20"/>
        </w:rPr>
        <w:t>Internet co</w:t>
      </w:r>
      <w:r>
        <w:rPr>
          <w:rFonts w:asciiTheme="majorHAnsi" w:hAnsiTheme="majorHAnsi" w:cs="Calibri"/>
          <w:sz w:val="20"/>
          <w:szCs w:val="20"/>
        </w:rPr>
        <w:t>nnection in the press hall for the journalists</w:t>
      </w:r>
      <w:r w:rsidR="00E53C7D">
        <w:rPr>
          <w:rFonts w:asciiTheme="majorHAnsi" w:hAnsiTheme="majorHAnsi" w:cs="Calibri"/>
          <w:sz w:val="20"/>
          <w:szCs w:val="20"/>
        </w:rPr>
        <w:t xml:space="preserve"> to be able to</w:t>
      </w:r>
      <w:r>
        <w:rPr>
          <w:rFonts w:asciiTheme="majorHAnsi" w:hAnsiTheme="majorHAnsi" w:cs="Calibri"/>
          <w:sz w:val="20"/>
          <w:szCs w:val="20"/>
        </w:rPr>
        <w:t xml:space="preserve"> transmit multimedia </w:t>
      </w:r>
      <w:r w:rsidR="0048417D" w:rsidRPr="001D375E">
        <w:rPr>
          <w:rFonts w:asciiTheme="majorHAnsi" w:hAnsiTheme="majorHAnsi" w:cs="Calibri"/>
          <w:sz w:val="20"/>
          <w:szCs w:val="20"/>
        </w:rPr>
        <w:t xml:space="preserve">material </w:t>
      </w:r>
      <w:r>
        <w:rPr>
          <w:rFonts w:asciiTheme="majorHAnsi" w:hAnsiTheme="majorHAnsi" w:cs="Calibri"/>
          <w:sz w:val="20"/>
          <w:szCs w:val="20"/>
        </w:rPr>
        <w:t xml:space="preserve">without restriction through the web while the hearings were being held. </w:t>
      </w:r>
      <w:r w:rsidR="0048417D" w:rsidRPr="001D375E">
        <w:rPr>
          <w:rFonts w:asciiTheme="majorHAnsi" w:hAnsiTheme="majorHAnsi" w:cs="Calibri"/>
          <w:sz w:val="20"/>
          <w:szCs w:val="20"/>
        </w:rPr>
        <w:t xml:space="preserve"> </w:t>
      </w:r>
    </w:p>
    <w:p w:rsidR="0048417D" w:rsidRPr="001D375E" w:rsidRDefault="0048417D">
      <w:pPr>
        <w:pStyle w:val="ListParagraph"/>
        <w:ind w:left="0"/>
        <w:jc w:val="both"/>
        <w:rPr>
          <w:rFonts w:asciiTheme="majorHAnsi" w:hAnsiTheme="majorHAnsi" w:cs="Calibri"/>
          <w:sz w:val="20"/>
          <w:szCs w:val="20"/>
        </w:rPr>
      </w:pPr>
    </w:p>
    <w:p w:rsidR="0048417D" w:rsidRPr="001D375E" w:rsidRDefault="000D5FF6">
      <w:pPr>
        <w:pStyle w:val="ListParagraph"/>
        <w:numPr>
          <w:ilvl w:val="0"/>
          <w:numId w:val="9"/>
        </w:numPr>
        <w:ind w:left="0" w:firstLine="720"/>
        <w:jc w:val="both"/>
        <w:rPr>
          <w:rFonts w:asciiTheme="majorHAnsi" w:hAnsiTheme="majorHAnsi" w:cs="Calibri"/>
          <w:sz w:val="20"/>
          <w:szCs w:val="20"/>
        </w:rPr>
      </w:pPr>
      <w:r>
        <w:rPr>
          <w:rFonts w:asciiTheme="majorHAnsi" w:hAnsiTheme="majorHAnsi" w:cs="Calibri"/>
          <w:sz w:val="20"/>
          <w:szCs w:val="20"/>
        </w:rPr>
        <w:t>In the ongoing process of state-of-the-art technological innovation,</w:t>
      </w:r>
      <w:r w:rsidR="0048417D" w:rsidRPr="001D375E">
        <w:rPr>
          <w:rFonts w:asciiTheme="majorHAnsi" w:hAnsiTheme="majorHAnsi" w:cs="Calibri"/>
          <w:sz w:val="20"/>
          <w:szCs w:val="20"/>
        </w:rPr>
        <w:t xml:space="preserve"> </w:t>
      </w:r>
      <w:r>
        <w:rPr>
          <w:rFonts w:asciiTheme="majorHAnsi" w:hAnsiTheme="majorHAnsi" w:cs="Calibri"/>
          <w:sz w:val="20"/>
          <w:szCs w:val="20"/>
        </w:rPr>
        <w:t>the</w:t>
      </w:r>
      <w:r w:rsidR="0048417D" w:rsidRPr="001D375E">
        <w:rPr>
          <w:rFonts w:asciiTheme="majorHAnsi" w:hAnsiTheme="majorHAnsi" w:cs="Calibri"/>
          <w:sz w:val="20"/>
          <w:szCs w:val="20"/>
        </w:rPr>
        <w:t xml:space="preserve"> </w:t>
      </w:r>
      <w:r w:rsidR="003C2655">
        <w:rPr>
          <w:rFonts w:asciiTheme="majorHAnsi" w:hAnsiTheme="majorHAnsi" w:cs="Calibri"/>
          <w:sz w:val="20"/>
          <w:szCs w:val="20"/>
        </w:rPr>
        <w:t>UTS</w:t>
      </w:r>
      <w:r w:rsidR="003C2655" w:rsidRPr="001D375E">
        <w:rPr>
          <w:rFonts w:asciiTheme="majorHAnsi" w:hAnsiTheme="majorHAnsi" w:cs="Calibri"/>
          <w:sz w:val="20"/>
          <w:szCs w:val="20"/>
        </w:rPr>
        <w:t xml:space="preserve"> </w:t>
      </w:r>
      <w:r>
        <w:rPr>
          <w:rFonts w:asciiTheme="majorHAnsi" w:hAnsiTheme="majorHAnsi" w:cs="Calibri"/>
          <w:sz w:val="20"/>
          <w:szCs w:val="20"/>
        </w:rPr>
        <w:t xml:space="preserve">analyzed, designed, and implemented the online systems to receive fellowship applications for: </w:t>
      </w:r>
    </w:p>
    <w:p w:rsidR="0048417D" w:rsidRPr="001D375E" w:rsidRDefault="0048417D">
      <w:pPr>
        <w:pStyle w:val="ListParagraph"/>
        <w:ind w:left="0"/>
        <w:jc w:val="both"/>
        <w:rPr>
          <w:rFonts w:asciiTheme="majorHAnsi" w:hAnsiTheme="majorHAnsi" w:cs="Calibri"/>
          <w:sz w:val="20"/>
          <w:szCs w:val="20"/>
        </w:rPr>
      </w:pPr>
    </w:p>
    <w:p w:rsidR="0048417D" w:rsidRPr="001D375E" w:rsidRDefault="0048417D">
      <w:pPr>
        <w:pStyle w:val="ListParagraph"/>
        <w:rPr>
          <w:rFonts w:asciiTheme="majorHAnsi" w:hAnsiTheme="majorHAnsi" w:cs="Calibri"/>
          <w:sz w:val="20"/>
          <w:szCs w:val="20"/>
        </w:rPr>
      </w:pPr>
      <w:r w:rsidRPr="001D375E">
        <w:rPr>
          <w:rFonts w:asciiTheme="majorHAnsi" w:hAnsiTheme="majorHAnsi" w:cs="Calibri"/>
          <w:sz w:val="20"/>
          <w:szCs w:val="20"/>
        </w:rPr>
        <w:t>•</w:t>
      </w:r>
      <w:r w:rsidRPr="001D375E">
        <w:rPr>
          <w:rFonts w:asciiTheme="majorHAnsi" w:hAnsiTheme="majorHAnsi" w:cs="Calibri"/>
          <w:sz w:val="20"/>
          <w:szCs w:val="20"/>
        </w:rPr>
        <w:tab/>
      </w:r>
      <w:r w:rsidR="000D5FF6" w:rsidRPr="000D5FF6">
        <w:rPr>
          <w:rFonts w:asciiTheme="majorHAnsi" w:hAnsiTheme="majorHAnsi" w:cs="Calibri"/>
          <w:sz w:val="20"/>
          <w:szCs w:val="20"/>
        </w:rPr>
        <w:t>Lawyers from English-Speaking Countries of the Caribbean</w:t>
      </w:r>
    </w:p>
    <w:p w:rsidR="0048417D" w:rsidRPr="001D375E" w:rsidRDefault="0048417D">
      <w:pPr>
        <w:pStyle w:val="ListParagraph"/>
        <w:rPr>
          <w:rFonts w:asciiTheme="majorHAnsi" w:hAnsiTheme="majorHAnsi" w:cs="Calibri"/>
          <w:sz w:val="20"/>
          <w:szCs w:val="20"/>
        </w:rPr>
      </w:pPr>
      <w:r w:rsidRPr="001D375E">
        <w:rPr>
          <w:rFonts w:asciiTheme="majorHAnsi" w:hAnsiTheme="majorHAnsi" w:cs="Calibri"/>
          <w:sz w:val="20"/>
          <w:szCs w:val="20"/>
        </w:rPr>
        <w:t>•</w:t>
      </w:r>
      <w:r w:rsidRPr="001D375E">
        <w:rPr>
          <w:rFonts w:asciiTheme="majorHAnsi" w:hAnsiTheme="majorHAnsi" w:cs="Calibri"/>
          <w:sz w:val="20"/>
          <w:szCs w:val="20"/>
        </w:rPr>
        <w:tab/>
        <w:t xml:space="preserve">Rómulo Gallegos </w:t>
      </w:r>
      <w:r w:rsidR="000D5FF6">
        <w:rPr>
          <w:rFonts w:asciiTheme="majorHAnsi" w:hAnsiTheme="majorHAnsi" w:cs="Calibri"/>
          <w:sz w:val="20"/>
          <w:szCs w:val="20"/>
        </w:rPr>
        <w:t xml:space="preserve">Fellowship </w:t>
      </w:r>
      <w:r w:rsidRPr="001D375E">
        <w:rPr>
          <w:rFonts w:asciiTheme="majorHAnsi" w:hAnsiTheme="majorHAnsi" w:cs="Calibri"/>
          <w:sz w:val="20"/>
          <w:szCs w:val="20"/>
        </w:rPr>
        <w:t>2016</w:t>
      </w:r>
    </w:p>
    <w:p w:rsidR="0048417D" w:rsidRPr="001D375E" w:rsidRDefault="0048417D">
      <w:pPr>
        <w:pStyle w:val="ListParagraph"/>
        <w:rPr>
          <w:rFonts w:asciiTheme="majorHAnsi" w:hAnsiTheme="majorHAnsi" w:cs="Calibri"/>
          <w:sz w:val="20"/>
          <w:szCs w:val="20"/>
        </w:rPr>
      </w:pPr>
      <w:r w:rsidRPr="001D375E">
        <w:rPr>
          <w:rFonts w:asciiTheme="majorHAnsi" w:hAnsiTheme="majorHAnsi" w:cs="Calibri"/>
          <w:sz w:val="20"/>
          <w:szCs w:val="20"/>
        </w:rPr>
        <w:t>•</w:t>
      </w:r>
      <w:r w:rsidRPr="001D375E">
        <w:rPr>
          <w:rFonts w:asciiTheme="majorHAnsi" w:hAnsiTheme="majorHAnsi" w:cs="Calibri"/>
          <w:sz w:val="20"/>
          <w:szCs w:val="20"/>
        </w:rPr>
        <w:tab/>
      </w:r>
      <w:r w:rsidR="000D5FF6" w:rsidRPr="000D5FF6">
        <w:rPr>
          <w:rFonts w:asciiTheme="majorHAnsi" w:hAnsiTheme="majorHAnsi" w:cs="Calibri"/>
          <w:sz w:val="20"/>
          <w:szCs w:val="20"/>
        </w:rPr>
        <w:t xml:space="preserve">International Protection and Internal Displacement </w:t>
      </w:r>
      <w:r w:rsidRPr="001D375E">
        <w:rPr>
          <w:rFonts w:asciiTheme="majorHAnsi" w:hAnsiTheme="majorHAnsi" w:cs="Calibri"/>
          <w:sz w:val="20"/>
          <w:szCs w:val="20"/>
        </w:rPr>
        <w:t>2015</w:t>
      </w:r>
    </w:p>
    <w:p w:rsidR="0048417D" w:rsidRPr="001D375E" w:rsidRDefault="0048417D">
      <w:pPr>
        <w:pStyle w:val="ListParagraph"/>
        <w:rPr>
          <w:rFonts w:asciiTheme="majorHAnsi" w:hAnsiTheme="majorHAnsi" w:cs="Calibri"/>
          <w:sz w:val="20"/>
          <w:szCs w:val="20"/>
        </w:rPr>
      </w:pPr>
      <w:r w:rsidRPr="001D375E">
        <w:rPr>
          <w:rFonts w:asciiTheme="majorHAnsi" w:hAnsiTheme="majorHAnsi" w:cs="Calibri"/>
          <w:sz w:val="20"/>
          <w:szCs w:val="20"/>
        </w:rPr>
        <w:t>•</w:t>
      </w:r>
      <w:r w:rsidRPr="001D375E">
        <w:rPr>
          <w:rFonts w:asciiTheme="majorHAnsi" w:hAnsiTheme="majorHAnsi" w:cs="Calibri"/>
          <w:sz w:val="20"/>
          <w:szCs w:val="20"/>
        </w:rPr>
        <w:tab/>
      </w:r>
      <w:r w:rsidR="000D5FF6">
        <w:rPr>
          <w:rFonts w:asciiTheme="majorHAnsi" w:hAnsiTheme="majorHAnsi" w:cs="Calibri"/>
          <w:sz w:val="20"/>
          <w:szCs w:val="20"/>
        </w:rPr>
        <w:t>Human Rights Defenders</w:t>
      </w:r>
    </w:p>
    <w:p w:rsidR="0048417D" w:rsidRPr="001D375E" w:rsidRDefault="0048417D">
      <w:pPr>
        <w:pStyle w:val="ListParagraph"/>
        <w:rPr>
          <w:rFonts w:asciiTheme="majorHAnsi" w:hAnsiTheme="majorHAnsi" w:cs="Calibri"/>
          <w:sz w:val="20"/>
          <w:szCs w:val="20"/>
        </w:rPr>
      </w:pPr>
      <w:r w:rsidRPr="001D375E">
        <w:rPr>
          <w:rFonts w:asciiTheme="majorHAnsi" w:hAnsiTheme="majorHAnsi" w:cs="Calibri"/>
          <w:sz w:val="20"/>
          <w:szCs w:val="20"/>
        </w:rPr>
        <w:t>•</w:t>
      </w:r>
      <w:r w:rsidRPr="001D375E">
        <w:rPr>
          <w:rFonts w:asciiTheme="majorHAnsi" w:hAnsiTheme="majorHAnsi" w:cs="Calibri"/>
          <w:sz w:val="20"/>
          <w:szCs w:val="20"/>
        </w:rPr>
        <w:tab/>
      </w:r>
      <w:r w:rsidR="000D5FF6">
        <w:rPr>
          <w:rFonts w:asciiTheme="majorHAnsi" w:hAnsiTheme="majorHAnsi" w:cs="Calibri"/>
          <w:sz w:val="20"/>
          <w:szCs w:val="20"/>
        </w:rPr>
        <w:t>Rights of Indigenous Peoples</w:t>
      </w:r>
    </w:p>
    <w:p w:rsidR="0048417D" w:rsidRPr="001D375E" w:rsidRDefault="0048417D">
      <w:pPr>
        <w:pStyle w:val="ListParagraph"/>
        <w:rPr>
          <w:rFonts w:asciiTheme="majorHAnsi" w:hAnsiTheme="majorHAnsi" w:cs="Calibri"/>
          <w:sz w:val="20"/>
          <w:szCs w:val="20"/>
        </w:rPr>
      </w:pPr>
      <w:r w:rsidRPr="001D375E">
        <w:rPr>
          <w:rFonts w:asciiTheme="majorHAnsi" w:hAnsiTheme="majorHAnsi" w:cs="Calibri"/>
          <w:sz w:val="20"/>
          <w:szCs w:val="20"/>
        </w:rPr>
        <w:t>•</w:t>
      </w:r>
      <w:r w:rsidRPr="001D375E">
        <w:rPr>
          <w:rFonts w:asciiTheme="majorHAnsi" w:hAnsiTheme="majorHAnsi" w:cs="Calibri"/>
          <w:sz w:val="20"/>
          <w:szCs w:val="20"/>
        </w:rPr>
        <w:tab/>
      </w:r>
      <w:r w:rsidR="000D5FF6" w:rsidRPr="000D5FF6">
        <w:rPr>
          <w:rFonts w:asciiTheme="majorHAnsi" w:hAnsiTheme="majorHAnsi" w:cs="Calibri"/>
          <w:sz w:val="20"/>
          <w:szCs w:val="20"/>
        </w:rPr>
        <w:t>Rights of Persons of African Descent and against Racial Discrimination</w:t>
      </w:r>
    </w:p>
    <w:p w:rsidR="0048417D" w:rsidRPr="001D375E" w:rsidRDefault="0048417D">
      <w:pPr>
        <w:pStyle w:val="ListParagraph"/>
        <w:rPr>
          <w:rFonts w:asciiTheme="majorHAnsi" w:hAnsiTheme="majorHAnsi" w:cs="Calibri"/>
          <w:sz w:val="20"/>
          <w:szCs w:val="20"/>
        </w:rPr>
      </w:pPr>
      <w:r w:rsidRPr="001D375E">
        <w:rPr>
          <w:rFonts w:asciiTheme="majorHAnsi" w:hAnsiTheme="majorHAnsi" w:cs="Calibri"/>
          <w:sz w:val="20"/>
          <w:szCs w:val="20"/>
        </w:rPr>
        <w:t>•</w:t>
      </w:r>
      <w:r w:rsidRPr="001D375E">
        <w:rPr>
          <w:rFonts w:asciiTheme="majorHAnsi" w:hAnsiTheme="majorHAnsi" w:cs="Calibri"/>
          <w:sz w:val="20"/>
          <w:szCs w:val="20"/>
        </w:rPr>
        <w:tab/>
      </w:r>
      <w:r w:rsidR="000D5FF6" w:rsidRPr="000D5FF6">
        <w:rPr>
          <w:rFonts w:asciiTheme="majorHAnsi" w:hAnsiTheme="majorHAnsi" w:cs="Calibri"/>
          <w:sz w:val="20"/>
          <w:szCs w:val="20"/>
        </w:rPr>
        <w:t>Rights of Lesbian, Gay, Bisexual, Trans and Intersex Persons (LGBTI)</w:t>
      </w:r>
    </w:p>
    <w:p w:rsidR="0048417D" w:rsidRPr="001D375E" w:rsidRDefault="0048417D">
      <w:pPr>
        <w:pStyle w:val="ListParagraph"/>
        <w:rPr>
          <w:rFonts w:asciiTheme="majorHAnsi" w:hAnsiTheme="majorHAnsi" w:cs="Calibri"/>
          <w:sz w:val="20"/>
          <w:szCs w:val="20"/>
        </w:rPr>
      </w:pPr>
      <w:r w:rsidRPr="001D375E">
        <w:rPr>
          <w:rFonts w:asciiTheme="majorHAnsi" w:hAnsiTheme="majorHAnsi" w:cs="Calibri"/>
          <w:sz w:val="20"/>
          <w:szCs w:val="20"/>
        </w:rPr>
        <w:t>•</w:t>
      </w:r>
      <w:r w:rsidRPr="001D375E">
        <w:rPr>
          <w:rFonts w:asciiTheme="majorHAnsi" w:hAnsiTheme="majorHAnsi" w:cs="Calibri"/>
          <w:sz w:val="20"/>
          <w:szCs w:val="20"/>
        </w:rPr>
        <w:tab/>
      </w:r>
      <w:r w:rsidR="000D5FF6" w:rsidRPr="000D5FF6">
        <w:rPr>
          <w:rFonts w:asciiTheme="majorHAnsi" w:hAnsiTheme="majorHAnsi" w:cs="Calibri"/>
          <w:sz w:val="20"/>
          <w:szCs w:val="20"/>
        </w:rPr>
        <w:t>Public Policy with a Human Rights Approach from the Work of the IACHR</w:t>
      </w:r>
    </w:p>
    <w:p w:rsidR="0048417D" w:rsidRPr="001D375E" w:rsidRDefault="0048417D">
      <w:pPr>
        <w:pStyle w:val="ListParagraph"/>
        <w:ind w:left="0"/>
        <w:jc w:val="both"/>
        <w:rPr>
          <w:rFonts w:asciiTheme="majorHAnsi" w:hAnsiTheme="majorHAnsi" w:cs="Calibri"/>
          <w:sz w:val="20"/>
          <w:szCs w:val="20"/>
        </w:rPr>
      </w:pPr>
    </w:p>
    <w:p w:rsidR="003A4802" w:rsidRPr="001D375E" w:rsidRDefault="003A4802">
      <w:pPr>
        <w:spacing w:after="0" w:line="240" w:lineRule="auto"/>
        <w:rPr>
          <w:rFonts w:asciiTheme="majorHAnsi" w:hAnsiTheme="majorHAnsi"/>
          <w:sz w:val="20"/>
          <w:szCs w:val="20"/>
        </w:rPr>
      </w:pPr>
    </w:p>
    <w:sectPr w:rsidR="003A4802" w:rsidRPr="001D375E" w:rsidSect="004B44F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83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A01296" w15:done="0"/>
  <w15:commentEx w15:paraId="7DF5CBBF" w15:done="0"/>
  <w15:commentEx w15:paraId="5996549F" w15:done="0"/>
  <w15:commentEx w15:paraId="773949E0" w15:done="0"/>
  <w15:commentEx w15:paraId="6BD408B7" w15:done="0"/>
  <w15:commentEx w15:paraId="405F3583" w15:done="0"/>
  <w15:commentEx w15:paraId="1F94C5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FBC" w:rsidRDefault="00E62FBC" w:rsidP="00A343FF">
      <w:pPr>
        <w:spacing w:after="0" w:line="240" w:lineRule="auto"/>
      </w:pPr>
      <w:r>
        <w:separator/>
      </w:r>
    </w:p>
  </w:endnote>
  <w:endnote w:type="continuationSeparator" w:id="0">
    <w:p w:rsidR="00E62FBC" w:rsidRDefault="00E62FBC"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16D" w:rsidRDefault="00F571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CC" w:rsidRPr="00A72869" w:rsidRDefault="002654CC">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F5716D">
      <w:rPr>
        <w:noProof/>
        <w:color w:val="7F7F7F"/>
        <w:sz w:val="16"/>
      </w:rPr>
      <w:t>835</w:t>
    </w:r>
    <w:r w:rsidRPr="00A72869">
      <w:rPr>
        <w:noProof/>
        <w:color w:val="7F7F7F"/>
        <w:sz w:val="16"/>
      </w:rPr>
      <w:fldChar w:fldCharType="end"/>
    </w:r>
  </w:p>
  <w:p w:rsidR="002654CC" w:rsidRDefault="002654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CC" w:rsidRPr="003A4802" w:rsidRDefault="002654CC" w:rsidP="003A4802">
    <w:pPr>
      <w:pStyle w:val="Footer"/>
      <w:spacing w:line="360" w:lineRule="auto"/>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FBC" w:rsidRDefault="00E62FBC" w:rsidP="00A343FF">
      <w:pPr>
        <w:spacing w:after="0" w:line="240" w:lineRule="auto"/>
      </w:pPr>
      <w:r>
        <w:separator/>
      </w:r>
    </w:p>
  </w:footnote>
  <w:footnote w:type="continuationSeparator" w:id="0">
    <w:p w:rsidR="00E62FBC" w:rsidRDefault="00E62FBC" w:rsidP="00A343FF">
      <w:pPr>
        <w:spacing w:after="0" w:line="240" w:lineRule="auto"/>
      </w:pPr>
      <w:r>
        <w:continuationSeparator/>
      </w:r>
    </w:p>
  </w:footnote>
  <w:footnote w:id="1">
    <w:p w:rsidR="002654CC" w:rsidRPr="00B260D1" w:rsidRDefault="002654CC" w:rsidP="004F2C3A">
      <w:pPr>
        <w:pStyle w:val="FootnoteText"/>
        <w:spacing w:after="120"/>
        <w:ind w:firstLine="720"/>
        <w:jc w:val="both"/>
        <w:rPr>
          <w:rFonts w:asciiTheme="majorHAnsi" w:hAnsiTheme="majorHAnsi"/>
          <w:sz w:val="16"/>
          <w:szCs w:val="16"/>
        </w:rPr>
      </w:pPr>
      <w:r w:rsidRPr="00B260D1">
        <w:rPr>
          <w:rFonts w:asciiTheme="majorHAnsi" w:hAnsiTheme="majorHAnsi"/>
          <w:sz w:val="16"/>
          <w:szCs w:val="16"/>
        </w:rPr>
        <w:footnoteRef/>
      </w:r>
      <w:r w:rsidRPr="00B260D1">
        <w:rPr>
          <w:rFonts w:asciiTheme="majorHAnsi" w:hAnsiTheme="majorHAnsi"/>
          <w:sz w:val="16"/>
          <w:szCs w:val="16"/>
        </w:rPr>
        <w:t xml:space="preserve"> </w:t>
      </w:r>
      <w:r>
        <w:rPr>
          <w:rFonts w:asciiTheme="majorHAnsi" w:hAnsiTheme="majorHAnsi"/>
          <w:sz w:val="16"/>
          <w:szCs w:val="16"/>
        </w:rPr>
        <w:t>The information will be updated to December</w:t>
      </w:r>
      <w:r w:rsidRPr="00B260D1">
        <w:rPr>
          <w:rFonts w:asciiTheme="majorHAnsi" w:hAnsiTheme="majorHAnsi"/>
          <w:sz w:val="16"/>
          <w:szCs w:val="16"/>
        </w:rPr>
        <w:t xml:space="preserve"> 31</w:t>
      </w:r>
      <w:r>
        <w:rPr>
          <w:rFonts w:asciiTheme="majorHAnsi" w:hAnsiTheme="majorHAnsi"/>
          <w:sz w:val="16"/>
          <w:szCs w:val="16"/>
        </w:rPr>
        <w:t xml:space="preserve"> once the year has closed.</w:t>
      </w:r>
      <w:r w:rsidRPr="00B260D1">
        <w:rPr>
          <w:rFonts w:asciiTheme="majorHAnsi" w:hAnsiTheme="majorHAnsi"/>
          <w:sz w:val="16"/>
          <w:szCs w:val="16"/>
        </w:rPr>
        <w:t xml:space="preserve"> </w:t>
      </w:r>
    </w:p>
  </w:footnote>
  <w:footnote w:id="2">
    <w:p w:rsidR="002654CC" w:rsidRPr="0012293F" w:rsidRDefault="002654CC">
      <w:pPr>
        <w:pStyle w:val="FootnoteText"/>
      </w:pPr>
      <w:r>
        <w:rPr>
          <w:rStyle w:val="FootnoteReference"/>
        </w:rPr>
        <w:footnoteRef/>
      </w:r>
      <w:r>
        <w:t xml:space="preserve"> Abbreviations used are from Spanish titles</w:t>
      </w:r>
    </w:p>
  </w:footnote>
  <w:footnote w:id="3">
    <w:p w:rsidR="002654CC" w:rsidRPr="00B260D1" w:rsidRDefault="002654CC" w:rsidP="004F2C3A">
      <w:pPr>
        <w:pStyle w:val="FootnoteText"/>
        <w:spacing w:after="120"/>
        <w:ind w:firstLine="720"/>
        <w:jc w:val="both"/>
        <w:rPr>
          <w:rFonts w:asciiTheme="majorHAnsi" w:hAnsiTheme="majorHAnsi"/>
          <w:sz w:val="16"/>
          <w:szCs w:val="16"/>
        </w:rPr>
      </w:pPr>
      <w:r w:rsidRPr="00B260D1">
        <w:rPr>
          <w:rStyle w:val="FootnoteReference"/>
          <w:rFonts w:asciiTheme="majorHAnsi" w:hAnsiTheme="majorHAnsi"/>
          <w:sz w:val="16"/>
          <w:szCs w:val="16"/>
        </w:rPr>
        <w:footnoteRef/>
      </w:r>
      <w:r>
        <w:rPr>
          <w:rFonts w:asciiTheme="majorHAnsi" w:hAnsiTheme="majorHAnsi"/>
          <w:sz w:val="16"/>
          <w:szCs w:val="16"/>
        </w:rPr>
        <w:t xml:space="preserve"> The Commission approved the process for the creation of the Rapporteurship on Economic, Social, and Cultural Rights</w:t>
      </w:r>
      <w:r w:rsidRPr="00B260D1">
        <w:rPr>
          <w:rFonts w:asciiTheme="majorHAnsi" w:hAnsiTheme="majorHAnsi"/>
          <w:sz w:val="16"/>
          <w:szCs w:val="16"/>
        </w:rPr>
        <w:t xml:space="preserve"> </w:t>
      </w:r>
      <w:r>
        <w:rPr>
          <w:rFonts w:asciiTheme="majorHAnsi" w:hAnsiTheme="majorHAnsi"/>
          <w:sz w:val="16"/>
          <w:szCs w:val="16"/>
        </w:rPr>
        <w:t>and the Office of the Executive Secretary established a special fund to receive donations from the Member States to this end.</w:t>
      </w:r>
      <w:r w:rsidRPr="00B260D1">
        <w:rPr>
          <w:rFonts w:asciiTheme="majorHAnsi" w:hAnsiTheme="majorHAnsi"/>
          <w:sz w:val="16"/>
          <w:szCs w:val="16"/>
        </w:rPr>
        <w:t xml:space="preserve"> </w:t>
      </w:r>
      <w:r>
        <w:rPr>
          <w:rFonts w:asciiTheme="majorHAnsi" w:hAnsiTheme="majorHAnsi"/>
          <w:sz w:val="16"/>
          <w:szCs w:val="16"/>
        </w:rPr>
        <w:t>As of the date of this report</w:t>
      </w:r>
      <w:r w:rsidRPr="00B260D1">
        <w:rPr>
          <w:rFonts w:asciiTheme="majorHAnsi" w:hAnsiTheme="majorHAnsi"/>
          <w:sz w:val="16"/>
          <w:szCs w:val="16"/>
        </w:rPr>
        <w:t xml:space="preserve">, </w:t>
      </w:r>
      <w:r>
        <w:rPr>
          <w:rFonts w:asciiTheme="majorHAnsi" w:hAnsiTheme="majorHAnsi"/>
          <w:sz w:val="16"/>
          <w:szCs w:val="16"/>
        </w:rPr>
        <w:t xml:space="preserve">a donation of </w:t>
      </w:r>
      <w:r w:rsidRPr="00B260D1">
        <w:rPr>
          <w:rFonts w:asciiTheme="majorHAnsi" w:hAnsiTheme="majorHAnsi"/>
          <w:sz w:val="16"/>
          <w:szCs w:val="16"/>
        </w:rPr>
        <w:t xml:space="preserve">$8,000 </w:t>
      </w:r>
      <w:r>
        <w:rPr>
          <w:rFonts w:asciiTheme="majorHAnsi" w:hAnsiTheme="majorHAnsi"/>
          <w:sz w:val="16"/>
          <w:szCs w:val="16"/>
        </w:rPr>
        <w:t>was received from Peru</w:t>
      </w:r>
      <w:r w:rsidRPr="00B260D1">
        <w:rPr>
          <w:rFonts w:asciiTheme="majorHAnsi" w:hAnsiTheme="majorHAnsi"/>
          <w:sz w:val="16"/>
          <w:szCs w:val="16"/>
        </w:rPr>
        <w:t>.</w:t>
      </w:r>
    </w:p>
  </w:footnote>
  <w:footnote w:id="4">
    <w:p w:rsidR="002654CC" w:rsidRPr="00B260D1" w:rsidRDefault="002654CC" w:rsidP="004F2C3A">
      <w:pPr>
        <w:pStyle w:val="ListParagraph"/>
        <w:spacing w:after="120"/>
        <w:ind w:left="0" w:firstLine="720"/>
        <w:jc w:val="both"/>
        <w:rPr>
          <w:rFonts w:asciiTheme="majorHAnsi" w:hAnsiTheme="majorHAnsi" w:cs="Calibri"/>
          <w:sz w:val="16"/>
          <w:szCs w:val="16"/>
        </w:rPr>
      </w:pPr>
      <w:r w:rsidRPr="00B260D1">
        <w:rPr>
          <w:rFonts w:asciiTheme="majorHAnsi" w:hAnsiTheme="majorHAnsi" w:cs="Calibri"/>
          <w:sz w:val="16"/>
          <w:szCs w:val="16"/>
          <w:vertAlign w:val="superscript"/>
        </w:rPr>
        <w:footnoteRef/>
      </w:r>
      <w:r w:rsidRPr="00B260D1">
        <w:rPr>
          <w:rFonts w:asciiTheme="majorHAnsi" w:hAnsiTheme="majorHAnsi" w:cs="Calibri"/>
          <w:sz w:val="16"/>
          <w:szCs w:val="16"/>
        </w:rPr>
        <w:t xml:space="preserve"> </w:t>
      </w:r>
      <w:r w:rsidRPr="00283809">
        <w:rPr>
          <w:rFonts w:asciiTheme="majorHAnsi" w:hAnsiTheme="majorHAnsi" w:cs="Calibri"/>
          <w:sz w:val="16"/>
          <w:szCs w:val="16"/>
        </w:rPr>
        <w:t>Reporting on year-end execution will be provided once the GS/OAS has concluded its</w:t>
      </w:r>
      <w:r>
        <w:rPr>
          <w:rFonts w:asciiTheme="majorHAnsi" w:hAnsiTheme="majorHAnsi" w:cs="Calibri"/>
          <w:sz w:val="16"/>
          <w:szCs w:val="16"/>
        </w:rPr>
        <w:t xml:space="preserve"> financial closing procedures.  </w:t>
      </w:r>
      <w:r w:rsidRPr="00283809">
        <w:rPr>
          <w:rFonts w:asciiTheme="majorHAnsi" w:hAnsiTheme="majorHAnsi" w:cs="Calibri"/>
          <w:sz w:val="16"/>
          <w:szCs w:val="16"/>
        </w:rPr>
        <w:t xml:space="preserve">We anticipate this update to be furnished by the </w:t>
      </w:r>
      <w:r>
        <w:rPr>
          <w:rFonts w:asciiTheme="majorHAnsi" w:hAnsiTheme="majorHAnsi" w:cs="Calibri"/>
          <w:sz w:val="16"/>
          <w:szCs w:val="16"/>
        </w:rPr>
        <w:t>end</w:t>
      </w:r>
      <w:r w:rsidRPr="00283809">
        <w:rPr>
          <w:rFonts w:asciiTheme="majorHAnsi" w:hAnsiTheme="majorHAnsi" w:cs="Calibri"/>
          <w:sz w:val="16"/>
          <w:szCs w:val="16"/>
        </w:rPr>
        <w:t xml:space="preserve"> of the first quarter of 201</w:t>
      </w:r>
      <w:r>
        <w:rPr>
          <w:rFonts w:asciiTheme="majorHAnsi" w:hAnsiTheme="majorHAnsi" w:cs="Calibri"/>
          <w:sz w:val="16"/>
          <w:szCs w:val="16"/>
        </w:rPr>
        <w:t>6</w:t>
      </w:r>
      <w:r w:rsidRPr="00283809">
        <w:rPr>
          <w:rFonts w:asciiTheme="majorHAnsi" w:hAnsiTheme="majorHAnsi" w:cs="Calibri"/>
          <w:sz w:val="16"/>
          <w:szCs w:val="16"/>
        </w:rPr>
        <w:t xml:space="preserve"> and uploaded to the IACHR website.</w:t>
      </w:r>
    </w:p>
  </w:footnote>
  <w:footnote w:id="5">
    <w:p w:rsidR="002654CC" w:rsidRPr="00B260D1" w:rsidRDefault="002654CC" w:rsidP="004F2C3A">
      <w:pPr>
        <w:pStyle w:val="FootnoteText"/>
        <w:spacing w:after="120"/>
        <w:ind w:firstLine="720"/>
        <w:jc w:val="both"/>
        <w:rPr>
          <w:rFonts w:asciiTheme="majorHAnsi" w:hAnsiTheme="majorHAnsi"/>
          <w:sz w:val="16"/>
          <w:szCs w:val="16"/>
        </w:rPr>
      </w:pPr>
      <w:r w:rsidRPr="00B260D1">
        <w:rPr>
          <w:rStyle w:val="FootnoteReference"/>
          <w:rFonts w:asciiTheme="majorHAnsi" w:hAnsiTheme="majorHAnsi"/>
          <w:sz w:val="16"/>
          <w:szCs w:val="16"/>
        </w:rPr>
        <w:footnoteRef/>
      </w:r>
      <w:r w:rsidRPr="00B260D1">
        <w:rPr>
          <w:rFonts w:asciiTheme="majorHAnsi" w:hAnsiTheme="majorHAnsi"/>
          <w:sz w:val="16"/>
          <w:szCs w:val="16"/>
        </w:rPr>
        <w:t xml:space="preserve"> </w:t>
      </w:r>
      <w:r>
        <w:rPr>
          <w:rFonts w:asciiTheme="majorHAnsi" w:hAnsiTheme="majorHAnsi"/>
          <w:sz w:val="16"/>
          <w:szCs w:val="16"/>
        </w:rPr>
        <w:t>The systems include the Portal; the</w:t>
      </w:r>
      <w:r w:rsidRPr="00B260D1">
        <w:rPr>
          <w:rFonts w:asciiTheme="majorHAnsi" w:hAnsiTheme="majorHAnsi"/>
          <w:sz w:val="16"/>
          <w:szCs w:val="16"/>
        </w:rPr>
        <w:t xml:space="preserve"> DMS; </w:t>
      </w:r>
      <w:r>
        <w:rPr>
          <w:rFonts w:asciiTheme="majorHAnsi" w:hAnsiTheme="majorHAnsi"/>
          <w:sz w:val="16"/>
          <w:szCs w:val="16"/>
        </w:rPr>
        <w:t xml:space="preserve">the </w:t>
      </w:r>
      <w:r w:rsidRPr="00B260D1">
        <w:rPr>
          <w:rFonts w:asciiTheme="majorHAnsi" w:hAnsiTheme="majorHAnsi"/>
          <w:sz w:val="16"/>
          <w:szCs w:val="16"/>
        </w:rPr>
        <w:t>Petition and Case Management System</w:t>
      </w:r>
      <w:r>
        <w:rPr>
          <w:rFonts w:asciiTheme="majorHAnsi" w:hAnsiTheme="majorHAnsi"/>
          <w:sz w:val="16"/>
          <w:szCs w:val="16"/>
        </w:rPr>
        <w:t xml:space="preserve"> (</w:t>
      </w:r>
      <w:r w:rsidRPr="00B260D1">
        <w:rPr>
          <w:rFonts w:asciiTheme="majorHAnsi" w:hAnsiTheme="majorHAnsi"/>
          <w:sz w:val="16"/>
          <w:szCs w:val="16"/>
        </w:rPr>
        <w:t>PCMS</w:t>
      </w:r>
      <w:r>
        <w:rPr>
          <w:rFonts w:asciiTheme="majorHAnsi" w:hAnsiTheme="majorHAnsi"/>
          <w:sz w:val="16"/>
          <w:szCs w:val="16"/>
        </w:rPr>
        <w:t>); the Hearing Request System (HRS)</w:t>
      </w:r>
      <w:r w:rsidRPr="00B260D1">
        <w:rPr>
          <w:rFonts w:asciiTheme="majorHAnsi" w:hAnsiTheme="majorHAnsi"/>
          <w:sz w:val="16"/>
          <w:szCs w:val="16"/>
        </w:rPr>
        <w:t xml:space="preserve">; </w:t>
      </w:r>
      <w:r>
        <w:rPr>
          <w:rFonts w:asciiTheme="majorHAnsi" w:hAnsiTheme="majorHAnsi"/>
          <w:sz w:val="16"/>
          <w:szCs w:val="16"/>
        </w:rPr>
        <w:t xml:space="preserve">and the </w:t>
      </w:r>
      <w:r w:rsidRPr="00B260D1">
        <w:rPr>
          <w:rFonts w:asciiTheme="majorHAnsi" w:hAnsiTheme="majorHAnsi"/>
          <w:sz w:val="16"/>
          <w:szCs w:val="16"/>
        </w:rPr>
        <w:t>Fellowship Application System</w:t>
      </w:r>
      <w:r>
        <w:rPr>
          <w:rFonts w:asciiTheme="majorHAnsi" w:hAnsiTheme="majorHAnsi"/>
          <w:sz w:val="16"/>
          <w:szCs w:val="16"/>
        </w:rPr>
        <w:t xml:space="preserve"> (FAS</w:t>
      </w:r>
      <w:r w:rsidRPr="00B260D1">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16D" w:rsidRDefault="00F571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CC" w:rsidRPr="0058688A" w:rsidRDefault="002654CC" w:rsidP="00ED4C58">
    <w:pPr>
      <w:pStyle w:val="Header"/>
      <w:jc w:val="center"/>
      <w:rPr>
        <w:lang w:val="es-ES_tradnl"/>
      </w:rPr>
    </w:pPr>
    <w:r>
      <w:rPr>
        <w:noProof/>
      </w:rPr>
      <w:drawing>
        <wp:inline distT="0" distB="0" distL="0" distR="0" wp14:anchorId="782DB515" wp14:editId="0C88CEDC">
          <wp:extent cx="2212975" cy="1155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115570"/>
                  </a:xfrm>
                  <a:prstGeom prst="rect">
                    <a:avLst/>
                  </a:prstGeom>
                  <a:noFill/>
                </pic:spPr>
              </pic:pic>
            </a:graphicData>
          </a:graphic>
        </wp:inline>
      </w:drawing>
    </w:r>
  </w:p>
  <w:p w:rsidR="002654CC" w:rsidRDefault="00E62FBC">
    <w:pPr>
      <w:pStyle w:val="Header"/>
    </w:pPr>
    <w:r>
      <w:pict w14:anchorId="050D401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CC" w:rsidRDefault="002654CC" w:rsidP="003526D4">
    <w:pPr>
      <w:pStyle w:val="Header"/>
    </w:pPr>
    <w:r>
      <w:rPr>
        <w:noProof/>
      </w:rPr>
      <w:drawing>
        <wp:anchor distT="0" distB="0" distL="114300" distR="114300" simplePos="0" relativeHeight="251660288" behindDoc="1" locked="0" layoutInCell="1" allowOverlap="1" wp14:anchorId="77747482" wp14:editId="49A68DF8">
          <wp:simplePos x="0" y="0"/>
          <wp:positionH relativeFrom="column">
            <wp:posOffset>-137795</wp:posOffset>
          </wp:positionH>
          <wp:positionV relativeFrom="paragraph">
            <wp:posOffset>-107950</wp:posOffset>
          </wp:positionV>
          <wp:extent cx="1852295" cy="408940"/>
          <wp:effectExtent l="0" t="0" r="0" b="0"/>
          <wp:wrapThrough wrapText="bothSides">
            <wp:wrapPolygon edited="0">
              <wp:start x="0" y="0"/>
              <wp:lineTo x="0" y="20124"/>
              <wp:lineTo x="21326" y="20124"/>
              <wp:lineTo x="21326" y="0"/>
              <wp:lineTo x="0" y="0"/>
            </wp:wrapPolygon>
          </wp:wrapThrough>
          <wp:docPr id="7" name="Picture 7" descr="IA2015-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2015-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295"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5A14EC5" wp14:editId="68578FB7">
          <wp:simplePos x="0" y="0"/>
          <wp:positionH relativeFrom="column">
            <wp:posOffset>4093845</wp:posOffset>
          </wp:positionH>
          <wp:positionV relativeFrom="paragraph">
            <wp:posOffset>-107950</wp:posOffset>
          </wp:positionV>
          <wp:extent cx="1860550" cy="410845"/>
          <wp:effectExtent l="0" t="0" r="0" b="0"/>
          <wp:wrapThrough wrapText="bothSides">
            <wp:wrapPolygon edited="0">
              <wp:start x="0" y="0"/>
              <wp:lineTo x="0" y="21032"/>
              <wp:lineTo x="21453" y="21032"/>
              <wp:lineTo x="21453" y="0"/>
              <wp:lineTo x="0" y="0"/>
            </wp:wrapPolygon>
          </wp:wrapThrough>
          <wp:docPr id="10" name="Picture 10"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0550" cy="4108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2654CC" w:rsidRDefault="002654CC" w:rsidP="003526D4">
    <w:pPr>
      <w:pStyle w:val="Header"/>
    </w:pPr>
  </w:p>
  <w:p w:rsidR="002654CC" w:rsidRDefault="00E62FBC" w:rsidP="00D13990">
    <w:pPr>
      <w:pStyle w:val="Header"/>
    </w:pPr>
    <w:r>
      <w:pict w14:anchorId="5729B161">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7E4"/>
    <w:multiLevelType w:val="hybridMultilevel"/>
    <w:tmpl w:val="AAAACE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5F2208"/>
    <w:multiLevelType w:val="hybridMultilevel"/>
    <w:tmpl w:val="6E12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86326"/>
    <w:multiLevelType w:val="hybridMultilevel"/>
    <w:tmpl w:val="E42C1BD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B647105"/>
    <w:multiLevelType w:val="hybridMultilevel"/>
    <w:tmpl w:val="2900675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D7C66F9"/>
    <w:multiLevelType w:val="hybridMultilevel"/>
    <w:tmpl w:val="EF5C3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D46B85"/>
    <w:multiLevelType w:val="hybridMultilevel"/>
    <w:tmpl w:val="B1908778"/>
    <w:lvl w:ilvl="0" w:tplc="7A385774">
      <w:start w:val="1"/>
      <w:numFmt w:val="bullet"/>
      <w:lvlText w:val=""/>
      <w:lvlJc w:val="left"/>
      <w:pPr>
        <w:ind w:left="1428"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99728F"/>
    <w:multiLevelType w:val="hybridMultilevel"/>
    <w:tmpl w:val="AE0A2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A71D08"/>
    <w:multiLevelType w:val="hybridMultilevel"/>
    <w:tmpl w:val="00A4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357FF9"/>
    <w:multiLevelType w:val="hybridMultilevel"/>
    <w:tmpl w:val="78C0F87A"/>
    <w:lvl w:ilvl="0" w:tplc="11266586">
      <w:start w:val="1"/>
      <w:numFmt w:val="decimal"/>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6312A89"/>
    <w:multiLevelType w:val="hybridMultilevel"/>
    <w:tmpl w:val="87F67F5E"/>
    <w:lvl w:ilvl="0" w:tplc="7B70E6D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366A2C88"/>
    <w:multiLevelType w:val="hybridMultilevel"/>
    <w:tmpl w:val="76844066"/>
    <w:lvl w:ilvl="0" w:tplc="FE78EB2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40EA18E3"/>
    <w:multiLevelType w:val="hybridMultilevel"/>
    <w:tmpl w:val="CAA6B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37B14C8"/>
    <w:multiLevelType w:val="hybridMultilevel"/>
    <w:tmpl w:val="77DCB822"/>
    <w:lvl w:ilvl="0" w:tplc="04090001">
      <w:start w:val="1"/>
      <w:numFmt w:val="bullet"/>
      <w:lvlText w:val=""/>
      <w:lvlJc w:val="left"/>
      <w:pPr>
        <w:tabs>
          <w:tab w:val="num" w:pos="360"/>
        </w:tabs>
        <w:ind w:left="360" w:hanging="360"/>
      </w:pPr>
      <w:rPr>
        <w:rFonts w:ascii="Symbol" w:hAnsi="Symbol" w:hint="default"/>
      </w:rPr>
    </w:lvl>
    <w:lvl w:ilvl="1" w:tplc="BED6A236">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5D409EB"/>
    <w:multiLevelType w:val="hybridMultilevel"/>
    <w:tmpl w:val="7C52C29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B037ECA"/>
    <w:multiLevelType w:val="hybridMultilevel"/>
    <w:tmpl w:val="D276A968"/>
    <w:lvl w:ilvl="0" w:tplc="7BD2B8C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4BC207BA"/>
    <w:multiLevelType w:val="hybridMultilevel"/>
    <w:tmpl w:val="C664A284"/>
    <w:lvl w:ilvl="0" w:tplc="D9C4C39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530072BB"/>
    <w:multiLevelType w:val="hybridMultilevel"/>
    <w:tmpl w:val="F8022E1E"/>
    <w:lvl w:ilvl="0" w:tplc="64A0DDB4">
      <w:start w:val="1"/>
      <w:numFmt w:val="decimal"/>
      <w:lvlText w:val="%1."/>
      <w:lvlJc w:val="left"/>
      <w:pPr>
        <w:ind w:left="126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55015B10"/>
    <w:multiLevelType w:val="hybridMultilevel"/>
    <w:tmpl w:val="721A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A809D0"/>
    <w:multiLevelType w:val="hybridMultilevel"/>
    <w:tmpl w:val="62525142"/>
    <w:lvl w:ilvl="0" w:tplc="BB5ADFC8">
      <w:start w:val="1"/>
      <w:numFmt w:val="decimal"/>
      <w:pStyle w:val="Heading3"/>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D635BF3"/>
    <w:multiLevelType w:val="hybridMultilevel"/>
    <w:tmpl w:val="408C902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E79204B"/>
    <w:multiLevelType w:val="hybridMultilevel"/>
    <w:tmpl w:val="54CA439C"/>
    <w:lvl w:ilvl="0" w:tplc="1674BE04">
      <w:start w:val="1"/>
      <w:numFmt w:val="upperLetter"/>
      <w:pStyle w:val="Heading2"/>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5F267681"/>
    <w:multiLevelType w:val="hybridMultilevel"/>
    <w:tmpl w:val="18361E0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nsid w:val="656D4CBA"/>
    <w:multiLevelType w:val="hybridMultilevel"/>
    <w:tmpl w:val="34646BA8"/>
    <w:lvl w:ilvl="0" w:tplc="411E8D4C">
      <w:numFmt w:val="bullet"/>
      <w:lvlText w:val="•"/>
      <w:lvlJc w:val="left"/>
      <w:pPr>
        <w:ind w:left="2148" w:hanging="1440"/>
      </w:pPr>
      <w:rPr>
        <w:rFonts w:ascii="Calibri" w:eastAsia="Arial Unicode MS" w:hAnsi="Calibri"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nsid w:val="6A3013AD"/>
    <w:multiLevelType w:val="hybridMultilevel"/>
    <w:tmpl w:val="1EECC23C"/>
    <w:lvl w:ilvl="0" w:tplc="FD787EF4">
      <w:start w:val="4"/>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A01523"/>
    <w:multiLevelType w:val="hybridMultilevel"/>
    <w:tmpl w:val="3FC62356"/>
    <w:lvl w:ilvl="0" w:tplc="5FEC6812">
      <w:start w:val="18"/>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8A03FB"/>
    <w:multiLevelType w:val="hybridMultilevel"/>
    <w:tmpl w:val="D77AF00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nsid w:val="7B972E5C"/>
    <w:multiLevelType w:val="hybridMultilevel"/>
    <w:tmpl w:val="1EFC1326"/>
    <w:lvl w:ilvl="0" w:tplc="FD787EF4">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0"/>
  </w:num>
  <w:num w:numId="3">
    <w:abstractNumId w:val="4"/>
  </w:num>
  <w:num w:numId="4">
    <w:abstractNumId w:val="8"/>
  </w:num>
  <w:num w:numId="5">
    <w:abstractNumId w:val="10"/>
  </w:num>
  <w:num w:numId="6">
    <w:abstractNumId w:val="15"/>
  </w:num>
  <w:num w:numId="7">
    <w:abstractNumId w:val="9"/>
  </w:num>
  <w:num w:numId="8">
    <w:abstractNumId w:val="12"/>
  </w:num>
  <w:num w:numId="9">
    <w:abstractNumId w:val="16"/>
  </w:num>
  <w:num w:numId="10">
    <w:abstractNumId w:val="14"/>
  </w:num>
  <w:num w:numId="11">
    <w:abstractNumId w:val="24"/>
  </w:num>
  <w:num w:numId="12">
    <w:abstractNumId w:val="23"/>
  </w:num>
  <w:num w:numId="13">
    <w:abstractNumId w:val="11"/>
  </w:num>
  <w:num w:numId="14">
    <w:abstractNumId w:val="0"/>
  </w:num>
  <w:num w:numId="15">
    <w:abstractNumId w:val="21"/>
  </w:num>
  <w:num w:numId="16">
    <w:abstractNumId w:val="25"/>
  </w:num>
  <w:num w:numId="17">
    <w:abstractNumId w:val="5"/>
  </w:num>
  <w:num w:numId="18">
    <w:abstractNumId w:val="22"/>
  </w:num>
  <w:num w:numId="19">
    <w:abstractNumId w:val="26"/>
  </w:num>
  <w:num w:numId="20">
    <w:abstractNumId w:val="3"/>
  </w:num>
  <w:num w:numId="21">
    <w:abstractNumId w:val="7"/>
  </w:num>
  <w:num w:numId="22">
    <w:abstractNumId w:val="1"/>
  </w:num>
  <w:num w:numId="23">
    <w:abstractNumId w:val="6"/>
  </w:num>
  <w:num w:numId="24">
    <w:abstractNumId w:val="17"/>
  </w:num>
  <w:num w:numId="25">
    <w:abstractNumId w:val="19"/>
  </w:num>
  <w:num w:numId="26">
    <w:abstractNumId w:val="13"/>
  </w:num>
  <w:num w:numId="27">
    <w:abstractNumId w:val="18"/>
  </w:num>
  <w:num w:numId="28">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0F"/>
    <w:rsid w:val="00014AF9"/>
    <w:rsid w:val="000160B5"/>
    <w:rsid w:val="00016109"/>
    <w:rsid w:val="0001720F"/>
    <w:rsid w:val="00024B77"/>
    <w:rsid w:val="00025B4A"/>
    <w:rsid w:val="00040C39"/>
    <w:rsid w:val="00042116"/>
    <w:rsid w:val="00042C64"/>
    <w:rsid w:val="00043832"/>
    <w:rsid w:val="00046EBC"/>
    <w:rsid w:val="00051381"/>
    <w:rsid w:val="00051AAF"/>
    <w:rsid w:val="0005228B"/>
    <w:rsid w:val="0006625E"/>
    <w:rsid w:val="00075852"/>
    <w:rsid w:val="0008197D"/>
    <w:rsid w:val="000932BA"/>
    <w:rsid w:val="00093433"/>
    <w:rsid w:val="00093862"/>
    <w:rsid w:val="000A176D"/>
    <w:rsid w:val="000A1D48"/>
    <w:rsid w:val="000A74E2"/>
    <w:rsid w:val="000B4394"/>
    <w:rsid w:val="000B4406"/>
    <w:rsid w:val="000B4CB9"/>
    <w:rsid w:val="000C016F"/>
    <w:rsid w:val="000C1303"/>
    <w:rsid w:val="000D5FF6"/>
    <w:rsid w:val="000D76BD"/>
    <w:rsid w:val="000D7B8D"/>
    <w:rsid w:val="001013C1"/>
    <w:rsid w:val="001017F7"/>
    <w:rsid w:val="00112EBE"/>
    <w:rsid w:val="0012293F"/>
    <w:rsid w:val="001449BA"/>
    <w:rsid w:val="001612A0"/>
    <w:rsid w:val="0016774A"/>
    <w:rsid w:val="00181A89"/>
    <w:rsid w:val="0018209B"/>
    <w:rsid w:val="00185816"/>
    <w:rsid w:val="001A0A67"/>
    <w:rsid w:val="001A4446"/>
    <w:rsid w:val="001A630B"/>
    <w:rsid w:val="001B193D"/>
    <w:rsid w:val="001C0A6D"/>
    <w:rsid w:val="001C25B4"/>
    <w:rsid w:val="001D375E"/>
    <w:rsid w:val="001F21FD"/>
    <w:rsid w:val="001F495A"/>
    <w:rsid w:val="00213598"/>
    <w:rsid w:val="0021669C"/>
    <w:rsid w:val="00217A39"/>
    <w:rsid w:val="002214F6"/>
    <w:rsid w:val="00250058"/>
    <w:rsid w:val="00255CD9"/>
    <w:rsid w:val="00260FF3"/>
    <w:rsid w:val="002654CC"/>
    <w:rsid w:val="00283809"/>
    <w:rsid w:val="002867E3"/>
    <w:rsid w:val="002A39B2"/>
    <w:rsid w:val="002A4B21"/>
    <w:rsid w:val="002A7053"/>
    <w:rsid w:val="002B0B2A"/>
    <w:rsid w:val="002B27F9"/>
    <w:rsid w:val="002B6444"/>
    <w:rsid w:val="002C01C6"/>
    <w:rsid w:val="002C3F35"/>
    <w:rsid w:val="002C5873"/>
    <w:rsid w:val="002C7128"/>
    <w:rsid w:val="002D2451"/>
    <w:rsid w:val="002E0522"/>
    <w:rsid w:val="00301425"/>
    <w:rsid w:val="00303A46"/>
    <w:rsid w:val="003058E0"/>
    <w:rsid w:val="00306F8F"/>
    <w:rsid w:val="0031431C"/>
    <w:rsid w:val="0033081E"/>
    <w:rsid w:val="0033196C"/>
    <w:rsid w:val="00333DA3"/>
    <w:rsid w:val="00334E58"/>
    <w:rsid w:val="0033579F"/>
    <w:rsid w:val="0034046E"/>
    <w:rsid w:val="00346B32"/>
    <w:rsid w:val="0035212F"/>
    <w:rsid w:val="003526D4"/>
    <w:rsid w:val="00364033"/>
    <w:rsid w:val="00366EB6"/>
    <w:rsid w:val="00370457"/>
    <w:rsid w:val="003829B5"/>
    <w:rsid w:val="003912AD"/>
    <w:rsid w:val="00393310"/>
    <w:rsid w:val="003946A8"/>
    <w:rsid w:val="003A0E3C"/>
    <w:rsid w:val="003A12FB"/>
    <w:rsid w:val="003A4802"/>
    <w:rsid w:val="003B549F"/>
    <w:rsid w:val="003B7A9B"/>
    <w:rsid w:val="003C1F29"/>
    <w:rsid w:val="003C2655"/>
    <w:rsid w:val="003D276E"/>
    <w:rsid w:val="003D4467"/>
    <w:rsid w:val="003D4701"/>
    <w:rsid w:val="003E3690"/>
    <w:rsid w:val="003F22F2"/>
    <w:rsid w:val="00405787"/>
    <w:rsid w:val="00405AD5"/>
    <w:rsid w:val="00411484"/>
    <w:rsid w:val="0041408A"/>
    <w:rsid w:val="00417B4B"/>
    <w:rsid w:val="00435CFE"/>
    <w:rsid w:val="00436C9C"/>
    <w:rsid w:val="00461D4F"/>
    <w:rsid w:val="004653D2"/>
    <w:rsid w:val="0047058B"/>
    <w:rsid w:val="0047718D"/>
    <w:rsid w:val="00477BC6"/>
    <w:rsid w:val="0048417D"/>
    <w:rsid w:val="0049070E"/>
    <w:rsid w:val="004A15BA"/>
    <w:rsid w:val="004B1CA5"/>
    <w:rsid w:val="004B44FA"/>
    <w:rsid w:val="004C05C7"/>
    <w:rsid w:val="004C0EEB"/>
    <w:rsid w:val="004D7999"/>
    <w:rsid w:val="004E137B"/>
    <w:rsid w:val="004E7A38"/>
    <w:rsid w:val="004F2569"/>
    <w:rsid w:val="004F2C3A"/>
    <w:rsid w:val="004F3C6D"/>
    <w:rsid w:val="004F4EB8"/>
    <w:rsid w:val="00504477"/>
    <w:rsid w:val="00510FF9"/>
    <w:rsid w:val="0051765B"/>
    <w:rsid w:val="00531FDE"/>
    <w:rsid w:val="005437CD"/>
    <w:rsid w:val="00543D35"/>
    <w:rsid w:val="0055156F"/>
    <w:rsid w:val="005522EC"/>
    <w:rsid w:val="005537D6"/>
    <w:rsid w:val="00554383"/>
    <w:rsid w:val="00565791"/>
    <w:rsid w:val="0058688A"/>
    <w:rsid w:val="00590BCD"/>
    <w:rsid w:val="00597D30"/>
    <w:rsid w:val="005A35F8"/>
    <w:rsid w:val="005B209B"/>
    <w:rsid w:val="005B23B6"/>
    <w:rsid w:val="005B2CFD"/>
    <w:rsid w:val="005B50D4"/>
    <w:rsid w:val="005C5563"/>
    <w:rsid w:val="005D1B66"/>
    <w:rsid w:val="005D2D74"/>
    <w:rsid w:val="005D30E3"/>
    <w:rsid w:val="005F1001"/>
    <w:rsid w:val="005F23E9"/>
    <w:rsid w:val="005F4AAA"/>
    <w:rsid w:val="00604132"/>
    <w:rsid w:val="00604F1C"/>
    <w:rsid w:val="0061157C"/>
    <w:rsid w:val="00614D2A"/>
    <w:rsid w:val="00616305"/>
    <w:rsid w:val="006439DD"/>
    <w:rsid w:val="00655D61"/>
    <w:rsid w:val="00657FC0"/>
    <w:rsid w:val="00667A67"/>
    <w:rsid w:val="00672AE1"/>
    <w:rsid w:val="006746FA"/>
    <w:rsid w:val="00674E5A"/>
    <w:rsid w:val="006750FA"/>
    <w:rsid w:val="00675F0A"/>
    <w:rsid w:val="00677228"/>
    <w:rsid w:val="006829C9"/>
    <w:rsid w:val="00695F14"/>
    <w:rsid w:val="006964C0"/>
    <w:rsid w:val="006966E3"/>
    <w:rsid w:val="006A15AD"/>
    <w:rsid w:val="006B091C"/>
    <w:rsid w:val="006B4E31"/>
    <w:rsid w:val="006B6DC1"/>
    <w:rsid w:val="006C2190"/>
    <w:rsid w:val="006E51F3"/>
    <w:rsid w:val="006E5AA9"/>
    <w:rsid w:val="006F0429"/>
    <w:rsid w:val="0070165A"/>
    <w:rsid w:val="0070285C"/>
    <w:rsid w:val="00710649"/>
    <w:rsid w:val="00716E19"/>
    <w:rsid w:val="007308C7"/>
    <w:rsid w:val="00733671"/>
    <w:rsid w:val="00734812"/>
    <w:rsid w:val="007359D8"/>
    <w:rsid w:val="00744EE0"/>
    <w:rsid w:val="00745F96"/>
    <w:rsid w:val="00746C83"/>
    <w:rsid w:val="007472D1"/>
    <w:rsid w:val="00752F1C"/>
    <w:rsid w:val="0075509E"/>
    <w:rsid w:val="00757591"/>
    <w:rsid w:val="00761445"/>
    <w:rsid w:val="00762EEC"/>
    <w:rsid w:val="007643AA"/>
    <w:rsid w:val="007650EA"/>
    <w:rsid w:val="00774769"/>
    <w:rsid w:val="0079281D"/>
    <w:rsid w:val="00793A44"/>
    <w:rsid w:val="0079583E"/>
    <w:rsid w:val="007A4006"/>
    <w:rsid w:val="007C2CC3"/>
    <w:rsid w:val="007C351D"/>
    <w:rsid w:val="007C4077"/>
    <w:rsid w:val="007C59DC"/>
    <w:rsid w:val="007D33BB"/>
    <w:rsid w:val="007D543E"/>
    <w:rsid w:val="007D658F"/>
    <w:rsid w:val="007E2073"/>
    <w:rsid w:val="007E4ED5"/>
    <w:rsid w:val="007E730D"/>
    <w:rsid w:val="007F3010"/>
    <w:rsid w:val="007F5F4E"/>
    <w:rsid w:val="007F79D4"/>
    <w:rsid w:val="00801299"/>
    <w:rsid w:val="00807BAA"/>
    <w:rsid w:val="00811E9F"/>
    <w:rsid w:val="008269E0"/>
    <w:rsid w:val="00826AC8"/>
    <w:rsid w:val="008366FA"/>
    <w:rsid w:val="00836718"/>
    <w:rsid w:val="00837AA0"/>
    <w:rsid w:val="00842D1F"/>
    <w:rsid w:val="00843E1E"/>
    <w:rsid w:val="00846D70"/>
    <w:rsid w:val="008550EF"/>
    <w:rsid w:val="00862950"/>
    <w:rsid w:val="00863D8A"/>
    <w:rsid w:val="00870176"/>
    <w:rsid w:val="008702DD"/>
    <w:rsid w:val="00870FDF"/>
    <w:rsid w:val="0087252B"/>
    <w:rsid w:val="00884EEE"/>
    <w:rsid w:val="0088546F"/>
    <w:rsid w:val="0088591A"/>
    <w:rsid w:val="00886558"/>
    <w:rsid w:val="00886B44"/>
    <w:rsid w:val="00887196"/>
    <w:rsid w:val="008A219A"/>
    <w:rsid w:val="008D059C"/>
    <w:rsid w:val="008D23A3"/>
    <w:rsid w:val="008D2FB8"/>
    <w:rsid w:val="008D376B"/>
    <w:rsid w:val="008D6F7F"/>
    <w:rsid w:val="008F46F7"/>
    <w:rsid w:val="0090290B"/>
    <w:rsid w:val="009073F1"/>
    <w:rsid w:val="009076C5"/>
    <w:rsid w:val="00914F78"/>
    <w:rsid w:val="009208AC"/>
    <w:rsid w:val="0092483B"/>
    <w:rsid w:val="009331A5"/>
    <w:rsid w:val="0094485E"/>
    <w:rsid w:val="0094493D"/>
    <w:rsid w:val="00951039"/>
    <w:rsid w:val="00952B6D"/>
    <w:rsid w:val="009573C5"/>
    <w:rsid w:val="00960550"/>
    <w:rsid w:val="009641AD"/>
    <w:rsid w:val="009655D2"/>
    <w:rsid w:val="0097096A"/>
    <w:rsid w:val="00995C10"/>
    <w:rsid w:val="009A2086"/>
    <w:rsid w:val="009A6301"/>
    <w:rsid w:val="009B6904"/>
    <w:rsid w:val="009C0492"/>
    <w:rsid w:val="009C4D87"/>
    <w:rsid w:val="009D25C6"/>
    <w:rsid w:val="009D44DB"/>
    <w:rsid w:val="009D78D1"/>
    <w:rsid w:val="009E261E"/>
    <w:rsid w:val="009F41A2"/>
    <w:rsid w:val="009F69EA"/>
    <w:rsid w:val="00A00BCB"/>
    <w:rsid w:val="00A00F7B"/>
    <w:rsid w:val="00A12467"/>
    <w:rsid w:val="00A25CA7"/>
    <w:rsid w:val="00A309EA"/>
    <w:rsid w:val="00A30B8E"/>
    <w:rsid w:val="00A310D1"/>
    <w:rsid w:val="00A31EA7"/>
    <w:rsid w:val="00A343FF"/>
    <w:rsid w:val="00A35425"/>
    <w:rsid w:val="00A35473"/>
    <w:rsid w:val="00A3587E"/>
    <w:rsid w:val="00A422BA"/>
    <w:rsid w:val="00A440E9"/>
    <w:rsid w:val="00A50E0D"/>
    <w:rsid w:val="00A631E0"/>
    <w:rsid w:val="00A63228"/>
    <w:rsid w:val="00A678AA"/>
    <w:rsid w:val="00A72869"/>
    <w:rsid w:val="00A81E51"/>
    <w:rsid w:val="00A826AB"/>
    <w:rsid w:val="00A86BCA"/>
    <w:rsid w:val="00A92903"/>
    <w:rsid w:val="00A942B8"/>
    <w:rsid w:val="00AA6376"/>
    <w:rsid w:val="00AB4F74"/>
    <w:rsid w:val="00AB7DF1"/>
    <w:rsid w:val="00AC4321"/>
    <w:rsid w:val="00AC56D1"/>
    <w:rsid w:val="00AC6A04"/>
    <w:rsid w:val="00AE1B0F"/>
    <w:rsid w:val="00AF411E"/>
    <w:rsid w:val="00AF72F0"/>
    <w:rsid w:val="00B056D9"/>
    <w:rsid w:val="00B109D6"/>
    <w:rsid w:val="00B2161A"/>
    <w:rsid w:val="00B260D1"/>
    <w:rsid w:val="00B2751E"/>
    <w:rsid w:val="00B27F7F"/>
    <w:rsid w:val="00B317F8"/>
    <w:rsid w:val="00B31AE7"/>
    <w:rsid w:val="00B530FC"/>
    <w:rsid w:val="00B62C91"/>
    <w:rsid w:val="00B64B10"/>
    <w:rsid w:val="00B76F46"/>
    <w:rsid w:val="00B806AC"/>
    <w:rsid w:val="00B829CC"/>
    <w:rsid w:val="00B93993"/>
    <w:rsid w:val="00BA142B"/>
    <w:rsid w:val="00BA732F"/>
    <w:rsid w:val="00BA7B54"/>
    <w:rsid w:val="00BB149E"/>
    <w:rsid w:val="00BB29D0"/>
    <w:rsid w:val="00BC22F1"/>
    <w:rsid w:val="00BC6B47"/>
    <w:rsid w:val="00BE0D9B"/>
    <w:rsid w:val="00BE2EBE"/>
    <w:rsid w:val="00BE4C71"/>
    <w:rsid w:val="00BE611D"/>
    <w:rsid w:val="00BF1FAD"/>
    <w:rsid w:val="00BF379C"/>
    <w:rsid w:val="00C04C07"/>
    <w:rsid w:val="00C1518A"/>
    <w:rsid w:val="00C22E85"/>
    <w:rsid w:val="00C333DE"/>
    <w:rsid w:val="00C34A2D"/>
    <w:rsid w:val="00C5026B"/>
    <w:rsid w:val="00C5488D"/>
    <w:rsid w:val="00C619A2"/>
    <w:rsid w:val="00C630CE"/>
    <w:rsid w:val="00C77986"/>
    <w:rsid w:val="00C814AB"/>
    <w:rsid w:val="00C94790"/>
    <w:rsid w:val="00C96FDA"/>
    <w:rsid w:val="00CA2777"/>
    <w:rsid w:val="00CA2BC2"/>
    <w:rsid w:val="00CB62AB"/>
    <w:rsid w:val="00CC246F"/>
    <w:rsid w:val="00CC4274"/>
    <w:rsid w:val="00CC75D3"/>
    <w:rsid w:val="00CD105B"/>
    <w:rsid w:val="00CD3CD3"/>
    <w:rsid w:val="00CD5F87"/>
    <w:rsid w:val="00CE03DE"/>
    <w:rsid w:val="00CE6DFD"/>
    <w:rsid w:val="00CF4C37"/>
    <w:rsid w:val="00CF563F"/>
    <w:rsid w:val="00D00046"/>
    <w:rsid w:val="00D05BCC"/>
    <w:rsid w:val="00D12613"/>
    <w:rsid w:val="00D13990"/>
    <w:rsid w:val="00D16529"/>
    <w:rsid w:val="00D222B7"/>
    <w:rsid w:val="00D33A9D"/>
    <w:rsid w:val="00D4736B"/>
    <w:rsid w:val="00D5166A"/>
    <w:rsid w:val="00D604BF"/>
    <w:rsid w:val="00D64BE5"/>
    <w:rsid w:val="00D65709"/>
    <w:rsid w:val="00D65E50"/>
    <w:rsid w:val="00D7316A"/>
    <w:rsid w:val="00D75898"/>
    <w:rsid w:val="00D82E91"/>
    <w:rsid w:val="00D83743"/>
    <w:rsid w:val="00D87C2B"/>
    <w:rsid w:val="00DC22C5"/>
    <w:rsid w:val="00DD0256"/>
    <w:rsid w:val="00DD3364"/>
    <w:rsid w:val="00DD7400"/>
    <w:rsid w:val="00DF0FE5"/>
    <w:rsid w:val="00DF58B2"/>
    <w:rsid w:val="00E0039F"/>
    <w:rsid w:val="00E04605"/>
    <w:rsid w:val="00E1264E"/>
    <w:rsid w:val="00E213FA"/>
    <w:rsid w:val="00E24DFC"/>
    <w:rsid w:val="00E3040C"/>
    <w:rsid w:val="00E3490A"/>
    <w:rsid w:val="00E371FC"/>
    <w:rsid w:val="00E53C7D"/>
    <w:rsid w:val="00E62FBC"/>
    <w:rsid w:val="00E6665F"/>
    <w:rsid w:val="00E848CE"/>
    <w:rsid w:val="00E87DE2"/>
    <w:rsid w:val="00E919DA"/>
    <w:rsid w:val="00E94B45"/>
    <w:rsid w:val="00EA3E24"/>
    <w:rsid w:val="00EA4A82"/>
    <w:rsid w:val="00EA6484"/>
    <w:rsid w:val="00EB33BE"/>
    <w:rsid w:val="00EB43F7"/>
    <w:rsid w:val="00EB6B29"/>
    <w:rsid w:val="00EC25A2"/>
    <w:rsid w:val="00ED4850"/>
    <w:rsid w:val="00ED4C58"/>
    <w:rsid w:val="00EF0D87"/>
    <w:rsid w:val="00EF1BD7"/>
    <w:rsid w:val="00F06E69"/>
    <w:rsid w:val="00F11BEC"/>
    <w:rsid w:val="00F1456E"/>
    <w:rsid w:val="00F2376A"/>
    <w:rsid w:val="00F33489"/>
    <w:rsid w:val="00F35AAB"/>
    <w:rsid w:val="00F44850"/>
    <w:rsid w:val="00F47F3D"/>
    <w:rsid w:val="00F50845"/>
    <w:rsid w:val="00F51EFA"/>
    <w:rsid w:val="00F52F31"/>
    <w:rsid w:val="00F53468"/>
    <w:rsid w:val="00F54F60"/>
    <w:rsid w:val="00F5716D"/>
    <w:rsid w:val="00F623B6"/>
    <w:rsid w:val="00F65FA3"/>
    <w:rsid w:val="00F66FEE"/>
    <w:rsid w:val="00F710D4"/>
    <w:rsid w:val="00F8183F"/>
    <w:rsid w:val="00F83E4A"/>
    <w:rsid w:val="00F85ED5"/>
    <w:rsid w:val="00F90123"/>
    <w:rsid w:val="00F92F33"/>
    <w:rsid w:val="00F93089"/>
    <w:rsid w:val="00F957DE"/>
    <w:rsid w:val="00F95E5D"/>
    <w:rsid w:val="00FA11E3"/>
    <w:rsid w:val="00FB0D10"/>
    <w:rsid w:val="00FC3E97"/>
    <w:rsid w:val="00FC5EF3"/>
    <w:rsid w:val="00FC66C2"/>
    <w:rsid w:val="00FC738C"/>
    <w:rsid w:val="00FC763E"/>
    <w:rsid w:val="00FD33E8"/>
    <w:rsid w:val="00FE5161"/>
    <w:rsid w:val="00FE6C1D"/>
    <w:rsid w:val="00FF3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8417D"/>
    <w:pPr>
      <w:keepNext/>
      <w:spacing w:before="240" w:after="60"/>
      <w:outlineLvl w:val="0"/>
    </w:pPr>
    <w:rPr>
      <w:rFonts w:ascii="Cambria" w:eastAsia="Times New Roman" w:hAnsi="Cambria"/>
      <w:b/>
      <w:bCs/>
      <w:kern w:val="32"/>
      <w:sz w:val="32"/>
      <w:szCs w:val="32"/>
    </w:rPr>
  </w:style>
  <w:style w:type="paragraph" w:styleId="Heading2">
    <w:name w:val="heading 2"/>
    <w:basedOn w:val="ListParagraph"/>
    <w:next w:val="Normal"/>
    <w:link w:val="Heading2Char"/>
    <w:uiPriority w:val="9"/>
    <w:unhideWhenUsed/>
    <w:qFormat/>
    <w:rsid w:val="004F2C3A"/>
    <w:pPr>
      <w:numPr>
        <w:numId w:val="2"/>
      </w:numPr>
      <w:ind w:left="1440" w:hanging="720"/>
      <w:jc w:val="both"/>
      <w:outlineLvl w:val="1"/>
    </w:pPr>
    <w:rPr>
      <w:rFonts w:asciiTheme="majorHAnsi" w:hAnsiTheme="majorHAnsi" w:cs="Calibri"/>
      <w:b/>
      <w:sz w:val="22"/>
      <w:szCs w:val="20"/>
      <w:lang w:val="es-ES_tradnl"/>
    </w:rPr>
  </w:style>
  <w:style w:type="paragraph" w:styleId="Heading3">
    <w:name w:val="heading 3"/>
    <w:basedOn w:val="Normal"/>
    <w:next w:val="Normal"/>
    <w:link w:val="Heading3Char"/>
    <w:uiPriority w:val="9"/>
    <w:unhideWhenUsed/>
    <w:qFormat/>
    <w:rsid w:val="00F957DE"/>
    <w:pPr>
      <w:widowControl w:val="0"/>
      <w:numPr>
        <w:numId w:val="27"/>
      </w:numPr>
      <w:autoSpaceDE w:val="0"/>
      <w:autoSpaceDN w:val="0"/>
      <w:spacing w:after="0" w:line="240" w:lineRule="auto"/>
      <w:ind w:hanging="720"/>
      <w:jc w:val="both"/>
      <w:outlineLvl w:val="2"/>
    </w:pPr>
    <w:rPr>
      <w:rFonts w:asciiTheme="majorHAnsi" w:eastAsia="MS Mincho" w:hAnsiTheme="majorHAnsi"/>
      <w:b/>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aliases w:val="encabezado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48417D"/>
    <w:pPr>
      <w:spacing w:after="0" w:line="240" w:lineRule="auto"/>
      <w:ind w:left="720"/>
      <w:contextualSpacing/>
    </w:pPr>
    <w:rPr>
      <w:rFonts w:ascii="Times New Roman" w:eastAsia="Times New Roman" w:hAnsi="Times New Roman"/>
      <w:sz w:val="24"/>
      <w:szCs w:val="24"/>
    </w:rPr>
  </w:style>
  <w:style w:type="character" w:styleId="CommentReference">
    <w:name w:val="annotation reference"/>
    <w:uiPriority w:val="99"/>
    <w:rsid w:val="0048417D"/>
    <w:rPr>
      <w:rFonts w:cs="Times New Roman"/>
      <w:sz w:val="16"/>
      <w:szCs w:val="16"/>
    </w:rPr>
  </w:style>
  <w:style w:type="paragraph" w:styleId="CommentText">
    <w:name w:val="annotation text"/>
    <w:basedOn w:val="Normal"/>
    <w:link w:val="CommentTextChar"/>
    <w:uiPriority w:val="99"/>
    <w:rsid w:val="0048417D"/>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rsid w:val="0048417D"/>
    <w:rPr>
      <w:rFonts w:ascii="Times New Roman" w:eastAsia="Times New Roman" w:hAnsi="Times New Roman"/>
    </w:rPr>
  </w:style>
  <w:style w:type="paragraph" w:styleId="CommentSubject">
    <w:name w:val="annotation subject"/>
    <w:basedOn w:val="CommentText"/>
    <w:next w:val="CommentText"/>
    <w:link w:val="CommentSubjectChar"/>
    <w:uiPriority w:val="99"/>
    <w:rsid w:val="0048417D"/>
    <w:rPr>
      <w:b/>
      <w:bCs/>
    </w:rPr>
  </w:style>
  <w:style w:type="character" w:customStyle="1" w:styleId="CommentSubjectChar">
    <w:name w:val="Comment Subject Char"/>
    <w:link w:val="CommentSubject"/>
    <w:uiPriority w:val="99"/>
    <w:rsid w:val="0048417D"/>
    <w:rPr>
      <w:rFonts w:ascii="Times New Roman" w:eastAsia="Times New Roman" w:hAnsi="Times New Roman"/>
      <w:b/>
      <w:bCs/>
    </w:rPr>
  </w:style>
  <w:style w:type="paragraph" w:styleId="FootnoteText">
    <w:name w:val="footnote text"/>
    <w:aliases w:val="footnote,fn,Footnote Text Char1 Char,Footnote Text Char Char Char,Footnote Text Char Char Char Char Char Char,ADB,Char1,Footnote,12pt"/>
    <w:basedOn w:val="Normal"/>
    <w:link w:val="FootnoteTextChar"/>
    <w:uiPriority w:val="99"/>
    <w:rsid w:val="0048417D"/>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Char,fn Char,Footnote Text Char1 Char Char,Footnote Text Char Char Char Char,Footnote Text Char Char Char Char Char Char Char,ADB Char,Char1 Char,Footnote Char,12pt Char"/>
    <w:link w:val="FootnoteText"/>
    <w:uiPriority w:val="99"/>
    <w:rsid w:val="0048417D"/>
    <w:rPr>
      <w:rFonts w:ascii="Times New Roman" w:eastAsia="Times New Roman" w:hAnsi="Times New Roman"/>
    </w:rPr>
  </w:style>
  <w:style w:type="character" w:styleId="FootnoteReference">
    <w:name w:val="footnote reference"/>
    <w:uiPriority w:val="99"/>
    <w:rsid w:val="0048417D"/>
    <w:rPr>
      <w:rFonts w:cs="Times New Roman"/>
      <w:vertAlign w:val="superscript"/>
    </w:rPr>
  </w:style>
  <w:style w:type="table" w:styleId="TableClassic2">
    <w:name w:val="Table Classic 2"/>
    <w:basedOn w:val="TableNormal"/>
    <w:uiPriority w:val="99"/>
    <w:rsid w:val="0048417D"/>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paragraph" w:customStyle="1" w:styleId="Style1">
    <w:name w:val="Style 1"/>
    <w:basedOn w:val="Normal"/>
    <w:uiPriority w:val="99"/>
    <w:rsid w:val="0048417D"/>
    <w:pPr>
      <w:widowControl w:val="0"/>
      <w:autoSpaceDE w:val="0"/>
      <w:autoSpaceDN w:val="0"/>
      <w:adjustRightInd w:val="0"/>
      <w:spacing w:after="0" w:line="240" w:lineRule="auto"/>
    </w:pPr>
    <w:rPr>
      <w:rFonts w:ascii="Times New Roman" w:eastAsia="MS Mincho" w:hAnsi="Times New Roman"/>
      <w:sz w:val="24"/>
      <w:szCs w:val="24"/>
    </w:rPr>
  </w:style>
  <w:style w:type="paragraph" w:customStyle="1" w:styleId="Body1">
    <w:name w:val="Body 1"/>
    <w:uiPriority w:val="99"/>
    <w:rsid w:val="0048417D"/>
    <w:pPr>
      <w:outlineLvl w:val="0"/>
    </w:pPr>
    <w:rPr>
      <w:rFonts w:ascii="Times New Roman" w:eastAsia="Times New Roman" w:hAnsi="Times New Roman"/>
      <w:color w:val="000000"/>
      <w:sz w:val="24"/>
      <w:u w:color="000000"/>
    </w:rPr>
  </w:style>
  <w:style w:type="character" w:customStyle="1" w:styleId="TextoNormalChar">
    <w:name w:val="Texto Normal Char"/>
    <w:link w:val="TextoNormal"/>
    <w:locked/>
    <w:rsid w:val="0048417D"/>
    <w:rPr>
      <w:rFonts w:eastAsia="MS Mincho"/>
      <w:sz w:val="24"/>
      <w:lang w:val="es-MX" w:eastAsia="es-ES"/>
    </w:rPr>
  </w:style>
  <w:style w:type="paragraph" w:customStyle="1" w:styleId="TextoNormal">
    <w:name w:val="Texto Normal"/>
    <w:basedOn w:val="Normal"/>
    <w:link w:val="TextoNormalChar"/>
    <w:rsid w:val="0048417D"/>
    <w:pPr>
      <w:spacing w:after="0" w:line="240" w:lineRule="auto"/>
      <w:jc w:val="both"/>
    </w:pPr>
    <w:rPr>
      <w:rFonts w:eastAsia="MS Mincho"/>
      <w:sz w:val="24"/>
      <w:szCs w:val="20"/>
      <w:lang w:val="es-MX" w:eastAsia="es-ES"/>
    </w:rPr>
  </w:style>
  <w:style w:type="paragraph" w:styleId="EndnoteText">
    <w:name w:val="endnote text"/>
    <w:basedOn w:val="Normal"/>
    <w:link w:val="EndnoteTextChar"/>
    <w:uiPriority w:val="99"/>
    <w:semiHidden/>
    <w:unhideWhenUsed/>
    <w:rsid w:val="0048417D"/>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uiPriority w:val="99"/>
    <w:semiHidden/>
    <w:rsid w:val="0048417D"/>
    <w:rPr>
      <w:rFonts w:ascii="Times New Roman" w:eastAsia="Times New Roman" w:hAnsi="Times New Roman"/>
    </w:rPr>
  </w:style>
  <w:style w:type="character" w:styleId="EndnoteReference">
    <w:name w:val="endnote reference"/>
    <w:uiPriority w:val="99"/>
    <w:semiHidden/>
    <w:unhideWhenUsed/>
    <w:rsid w:val="0048417D"/>
    <w:rPr>
      <w:vertAlign w:val="superscript"/>
    </w:rPr>
  </w:style>
  <w:style w:type="character" w:styleId="Hyperlink">
    <w:name w:val="Hyperlink"/>
    <w:uiPriority w:val="99"/>
    <w:rsid w:val="0048417D"/>
    <w:rPr>
      <w:rFonts w:cs="Times New Roman"/>
      <w:color w:val="0000FF"/>
      <w:u w:val="single"/>
    </w:rPr>
  </w:style>
  <w:style w:type="paragraph" w:customStyle="1" w:styleId="Cuerpo">
    <w:name w:val="Cuerpo"/>
    <w:uiPriority w:val="99"/>
    <w:rsid w:val="0048417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character" w:customStyle="1" w:styleId="Heading1Char">
    <w:name w:val="Heading 1 Char"/>
    <w:link w:val="Heading1"/>
    <w:uiPriority w:val="9"/>
    <w:rsid w:val="0048417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4F2C3A"/>
    <w:rPr>
      <w:rFonts w:asciiTheme="majorHAnsi" w:eastAsia="Times New Roman" w:hAnsiTheme="majorHAnsi" w:cs="Calibri"/>
      <w:b/>
      <w:sz w:val="22"/>
      <w:lang w:val="es-ES_tradnl"/>
    </w:rPr>
  </w:style>
  <w:style w:type="character" w:customStyle="1" w:styleId="Heading3Char">
    <w:name w:val="Heading 3 Char"/>
    <w:basedOn w:val="DefaultParagraphFont"/>
    <w:link w:val="Heading3"/>
    <w:uiPriority w:val="9"/>
    <w:rsid w:val="00F957DE"/>
    <w:rPr>
      <w:rFonts w:asciiTheme="majorHAnsi" w:eastAsia="MS Mincho" w:hAnsiTheme="majorHAnsi"/>
      <w:b/>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8417D"/>
    <w:pPr>
      <w:keepNext/>
      <w:spacing w:before="240" w:after="60"/>
      <w:outlineLvl w:val="0"/>
    </w:pPr>
    <w:rPr>
      <w:rFonts w:ascii="Cambria" w:eastAsia="Times New Roman" w:hAnsi="Cambria"/>
      <w:b/>
      <w:bCs/>
      <w:kern w:val="32"/>
      <w:sz w:val="32"/>
      <w:szCs w:val="32"/>
    </w:rPr>
  </w:style>
  <w:style w:type="paragraph" w:styleId="Heading2">
    <w:name w:val="heading 2"/>
    <w:basedOn w:val="ListParagraph"/>
    <w:next w:val="Normal"/>
    <w:link w:val="Heading2Char"/>
    <w:uiPriority w:val="9"/>
    <w:unhideWhenUsed/>
    <w:qFormat/>
    <w:rsid w:val="004F2C3A"/>
    <w:pPr>
      <w:numPr>
        <w:numId w:val="2"/>
      </w:numPr>
      <w:ind w:left="1440" w:hanging="720"/>
      <w:jc w:val="both"/>
      <w:outlineLvl w:val="1"/>
    </w:pPr>
    <w:rPr>
      <w:rFonts w:asciiTheme="majorHAnsi" w:hAnsiTheme="majorHAnsi" w:cs="Calibri"/>
      <w:b/>
      <w:sz w:val="22"/>
      <w:szCs w:val="20"/>
      <w:lang w:val="es-ES_tradnl"/>
    </w:rPr>
  </w:style>
  <w:style w:type="paragraph" w:styleId="Heading3">
    <w:name w:val="heading 3"/>
    <w:basedOn w:val="Normal"/>
    <w:next w:val="Normal"/>
    <w:link w:val="Heading3Char"/>
    <w:uiPriority w:val="9"/>
    <w:unhideWhenUsed/>
    <w:qFormat/>
    <w:rsid w:val="00F957DE"/>
    <w:pPr>
      <w:widowControl w:val="0"/>
      <w:numPr>
        <w:numId w:val="27"/>
      </w:numPr>
      <w:autoSpaceDE w:val="0"/>
      <w:autoSpaceDN w:val="0"/>
      <w:spacing w:after="0" w:line="240" w:lineRule="auto"/>
      <w:ind w:hanging="720"/>
      <w:jc w:val="both"/>
      <w:outlineLvl w:val="2"/>
    </w:pPr>
    <w:rPr>
      <w:rFonts w:asciiTheme="majorHAnsi" w:eastAsia="MS Mincho" w:hAnsiTheme="majorHAnsi"/>
      <w:b/>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aliases w:val="encabezado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48417D"/>
    <w:pPr>
      <w:spacing w:after="0" w:line="240" w:lineRule="auto"/>
      <w:ind w:left="720"/>
      <w:contextualSpacing/>
    </w:pPr>
    <w:rPr>
      <w:rFonts w:ascii="Times New Roman" w:eastAsia="Times New Roman" w:hAnsi="Times New Roman"/>
      <w:sz w:val="24"/>
      <w:szCs w:val="24"/>
    </w:rPr>
  </w:style>
  <w:style w:type="character" w:styleId="CommentReference">
    <w:name w:val="annotation reference"/>
    <w:uiPriority w:val="99"/>
    <w:rsid w:val="0048417D"/>
    <w:rPr>
      <w:rFonts w:cs="Times New Roman"/>
      <w:sz w:val="16"/>
      <w:szCs w:val="16"/>
    </w:rPr>
  </w:style>
  <w:style w:type="paragraph" w:styleId="CommentText">
    <w:name w:val="annotation text"/>
    <w:basedOn w:val="Normal"/>
    <w:link w:val="CommentTextChar"/>
    <w:uiPriority w:val="99"/>
    <w:rsid w:val="0048417D"/>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rsid w:val="0048417D"/>
    <w:rPr>
      <w:rFonts w:ascii="Times New Roman" w:eastAsia="Times New Roman" w:hAnsi="Times New Roman"/>
    </w:rPr>
  </w:style>
  <w:style w:type="paragraph" w:styleId="CommentSubject">
    <w:name w:val="annotation subject"/>
    <w:basedOn w:val="CommentText"/>
    <w:next w:val="CommentText"/>
    <w:link w:val="CommentSubjectChar"/>
    <w:uiPriority w:val="99"/>
    <w:rsid w:val="0048417D"/>
    <w:rPr>
      <w:b/>
      <w:bCs/>
    </w:rPr>
  </w:style>
  <w:style w:type="character" w:customStyle="1" w:styleId="CommentSubjectChar">
    <w:name w:val="Comment Subject Char"/>
    <w:link w:val="CommentSubject"/>
    <w:uiPriority w:val="99"/>
    <w:rsid w:val="0048417D"/>
    <w:rPr>
      <w:rFonts w:ascii="Times New Roman" w:eastAsia="Times New Roman" w:hAnsi="Times New Roman"/>
      <w:b/>
      <w:bCs/>
    </w:rPr>
  </w:style>
  <w:style w:type="paragraph" w:styleId="FootnoteText">
    <w:name w:val="footnote text"/>
    <w:aliases w:val="footnote,fn,Footnote Text Char1 Char,Footnote Text Char Char Char,Footnote Text Char Char Char Char Char Char,ADB,Char1,Footnote,12pt"/>
    <w:basedOn w:val="Normal"/>
    <w:link w:val="FootnoteTextChar"/>
    <w:uiPriority w:val="99"/>
    <w:rsid w:val="0048417D"/>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Char,fn Char,Footnote Text Char1 Char Char,Footnote Text Char Char Char Char,Footnote Text Char Char Char Char Char Char Char,ADB Char,Char1 Char,Footnote Char,12pt Char"/>
    <w:link w:val="FootnoteText"/>
    <w:uiPriority w:val="99"/>
    <w:rsid w:val="0048417D"/>
    <w:rPr>
      <w:rFonts w:ascii="Times New Roman" w:eastAsia="Times New Roman" w:hAnsi="Times New Roman"/>
    </w:rPr>
  </w:style>
  <w:style w:type="character" w:styleId="FootnoteReference">
    <w:name w:val="footnote reference"/>
    <w:uiPriority w:val="99"/>
    <w:rsid w:val="0048417D"/>
    <w:rPr>
      <w:rFonts w:cs="Times New Roman"/>
      <w:vertAlign w:val="superscript"/>
    </w:rPr>
  </w:style>
  <w:style w:type="table" w:styleId="TableClassic2">
    <w:name w:val="Table Classic 2"/>
    <w:basedOn w:val="TableNormal"/>
    <w:uiPriority w:val="99"/>
    <w:rsid w:val="0048417D"/>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paragraph" w:customStyle="1" w:styleId="Style1">
    <w:name w:val="Style 1"/>
    <w:basedOn w:val="Normal"/>
    <w:uiPriority w:val="99"/>
    <w:rsid w:val="0048417D"/>
    <w:pPr>
      <w:widowControl w:val="0"/>
      <w:autoSpaceDE w:val="0"/>
      <w:autoSpaceDN w:val="0"/>
      <w:adjustRightInd w:val="0"/>
      <w:spacing w:after="0" w:line="240" w:lineRule="auto"/>
    </w:pPr>
    <w:rPr>
      <w:rFonts w:ascii="Times New Roman" w:eastAsia="MS Mincho" w:hAnsi="Times New Roman"/>
      <w:sz w:val="24"/>
      <w:szCs w:val="24"/>
    </w:rPr>
  </w:style>
  <w:style w:type="paragraph" w:customStyle="1" w:styleId="Body1">
    <w:name w:val="Body 1"/>
    <w:uiPriority w:val="99"/>
    <w:rsid w:val="0048417D"/>
    <w:pPr>
      <w:outlineLvl w:val="0"/>
    </w:pPr>
    <w:rPr>
      <w:rFonts w:ascii="Times New Roman" w:eastAsia="Times New Roman" w:hAnsi="Times New Roman"/>
      <w:color w:val="000000"/>
      <w:sz w:val="24"/>
      <w:u w:color="000000"/>
    </w:rPr>
  </w:style>
  <w:style w:type="character" w:customStyle="1" w:styleId="TextoNormalChar">
    <w:name w:val="Texto Normal Char"/>
    <w:link w:val="TextoNormal"/>
    <w:locked/>
    <w:rsid w:val="0048417D"/>
    <w:rPr>
      <w:rFonts w:eastAsia="MS Mincho"/>
      <w:sz w:val="24"/>
      <w:lang w:val="es-MX" w:eastAsia="es-ES"/>
    </w:rPr>
  </w:style>
  <w:style w:type="paragraph" w:customStyle="1" w:styleId="TextoNormal">
    <w:name w:val="Texto Normal"/>
    <w:basedOn w:val="Normal"/>
    <w:link w:val="TextoNormalChar"/>
    <w:rsid w:val="0048417D"/>
    <w:pPr>
      <w:spacing w:after="0" w:line="240" w:lineRule="auto"/>
      <w:jc w:val="both"/>
    </w:pPr>
    <w:rPr>
      <w:rFonts w:eastAsia="MS Mincho"/>
      <w:sz w:val="24"/>
      <w:szCs w:val="20"/>
      <w:lang w:val="es-MX" w:eastAsia="es-ES"/>
    </w:rPr>
  </w:style>
  <w:style w:type="paragraph" w:styleId="EndnoteText">
    <w:name w:val="endnote text"/>
    <w:basedOn w:val="Normal"/>
    <w:link w:val="EndnoteTextChar"/>
    <w:uiPriority w:val="99"/>
    <w:semiHidden/>
    <w:unhideWhenUsed/>
    <w:rsid w:val="0048417D"/>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uiPriority w:val="99"/>
    <w:semiHidden/>
    <w:rsid w:val="0048417D"/>
    <w:rPr>
      <w:rFonts w:ascii="Times New Roman" w:eastAsia="Times New Roman" w:hAnsi="Times New Roman"/>
    </w:rPr>
  </w:style>
  <w:style w:type="character" w:styleId="EndnoteReference">
    <w:name w:val="endnote reference"/>
    <w:uiPriority w:val="99"/>
    <w:semiHidden/>
    <w:unhideWhenUsed/>
    <w:rsid w:val="0048417D"/>
    <w:rPr>
      <w:vertAlign w:val="superscript"/>
    </w:rPr>
  </w:style>
  <w:style w:type="character" w:styleId="Hyperlink">
    <w:name w:val="Hyperlink"/>
    <w:uiPriority w:val="99"/>
    <w:rsid w:val="0048417D"/>
    <w:rPr>
      <w:rFonts w:cs="Times New Roman"/>
      <w:color w:val="0000FF"/>
      <w:u w:val="single"/>
    </w:rPr>
  </w:style>
  <w:style w:type="paragraph" w:customStyle="1" w:styleId="Cuerpo">
    <w:name w:val="Cuerpo"/>
    <w:uiPriority w:val="99"/>
    <w:rsid w:val="0048417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character" w:customStyle="1" w:styleId="Heading1Char">
    <w:name w:val="Heading 1 Char"/>
    <w:link w:val="Heading1"/>
    <w:uiPriority w:val="9"/>
    <w:rsid w:val="0048417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4F2C3A"/>
    <w:rPr>
      <w:rFonts w:asciiTheme="majorHAnsi" w:eastAsia="Times New Roman" w:hAnsiTheme="majorHAnsi" w:cs="Calibri"/>
      <w:b/>
      <w:sz w:val="22"/>
      <w:lang w:val="es-ES_tradnl"/>
    </w:rPr>
  </w:style>
  <w:style w:type="character" w:customStyle="1" w:styleId="Heading3Char">
    <w:name w:val="Heading 3 Char"/>
    <w:basedOn w:val="DefaultParagraphFont"/>
    <w:link w:val="Heading3"/>
    <w:uiPriority w:val="9"/>
    <w:rsid w:val="00F957DE"/>
    <w:rPr>
      <w:rFonts w:asciiTheme="majorHAnsi" w:eastAsia="MS Mincho" w:hAnsiTheme="majorHAnsi"/>
      <w:b/>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1865">
      <w:bodyDiv w:val="1"/>
      <w:marLeft w:val="0"/>
      <w:marRight w:val="0"/>
      <w:marTop w:val="0"/>
      <w:marBottom w:val="0"/>
      <w:divBdr>
        <w:top w:val="none" w:sz="0" w:space="0" w:color="auto"/>
        <w:left w:val="none" w:sz="0" w:space="0" w:color="auto"/>
        <w:bottom w:val="none" w:sz="0" w:space="0" w:color="auto"/>
        <w:right w:val="none" w:sz="0" w:space="0" w:color="auto"/>
      </w:divBdr>
    </w:div>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2.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Otr@s%20profesionale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ghansen\Documents\3.ANUAL%202015\Copy%20of%20110915_informacion_Anual_SEP%202015.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es-ES"/>
              <a:t>Comparison regular fund approved and provided for 2015</a:t>
            </a:r>
          </a:p>
        </c:rich>
      </c:tx>
      <c:overlay val="0"/>
    </c:title>
    <c:autoTitleDeleted val="0"/>
    <c:plotArea>
      <c:layout/>
      <c:barChart>
        <c:barDir val="col"/>
        <c:grouping val="stacked"/>
        <c:varyColors val="0"/>
        <c:ser>
          <c:idx val="0"/>
          <c:order val="0"/>
          <c:tx>
            <c:strRef>
              <c:f>'Resumen 2015'!$A$49</c:f>
              <c:strCache>
                <c:ptCount val="1"/>
                <c:pt idx="0">
                  <c:v>Personnel </c:v>
                </c:pt>
              </c:strCache>
            </c:strRef>
          </c:tx>
          <c:invertIfNegative val="0"/>
          <c:dLbls>
            <c:txPr>
              <a:bodyPr/>
              <a:lstStyle/>
              <a:p>
                <a:pPr>
                  <a:defRPr sz="1100" b="0" i="0" u="none" strike="noStrike" baseline="0">
                    <a:solidFill>
                      <a:srgbClr val="000000"/>
                    </a:solidFill>
                    <a:latin typeface="Calibri"/>
                    <a:ea typeface="Calibri"/>
                    <a:cs typeface="Calibri"/>
                  </a:defRPr>
                </a:pPr>
                <a:endParaRPr lang="en-US"/>
              </a:p>
            </c:txPr>
            <c:dLblPos val="ctr"/>
            <c:showLegendKey val="0"/>
            <c:showVal val="1"/>
            <c:showCatName val="0"/>
            <c:showSerName val="0"/>
            <c:showPercent val="0"/>
            <c:showBubbleSize val="0"/>
            <c:showLeaderLines val="0"/>
          </c:dLbls>
          <c:cat>
            <c:strRef>
              <c:f>'Resumen 2015'!$B$48:$C$48</c:f>
              <c:strCache>
                <c:ptCount val="2"/>
                <c:pt idx="0">
                  <c:v>Funds approved by the OAS for 2015</c:v>
                </c:pt>
                <c:pt idx="1">
                  <c:v>Funds Provided by the OAS as of September 30, 2015</c:v>
                </c:pt>
              </c:strCache>
            </c:strRef>
          </c:cat>
          <c:val>
            <c:numRef>
              <c:f>'Resumen 2015'!$B$49:$C$49</c:f>
              <c:numCache>
                <c:formatCode>_(* #,##0.0_);_(* \(#,##0.0\);_(* "-"??_);_(@_)</c:formatCode>
                <c:ptCount val="2"/>
                <c:pt idx="0">
                  <c:v>4455.1000000000004</c:v>
                </c:pt>
                <c:pt idx="1">
                  <c:v>3959.9</c:v>
                </c:pt>
              </c:numCache>
            </c:numRef>
          </c:val>
        </c:ser>
        <c:ser>
          <c:idx val="1"/>
          <c:order val="1"/>
          <c:tx>
            <c:strRef>
              <c:f>'Resumen 2015'!$A$50</c:f>
              <c:strCache>
                <c:ptCount val="1"/>
                <c:pt idx="0">
                  <c:v>Operational</c:v>
                </c:pt>
              </c:strCache>
            </c:strRef>
          </c:tx>
          <c:invertIfNegative val="0"/>
          <c:dLbls>
            <c:txPr>
              <a:bodyPr/>
              <a:lstStyle/>
              <a:p>
                <a:pPr>
                  <a:defRPr sz="1100" b="0" i="0" u="none" strike="noStrike" baseline="0">
                    <a:solidFill>
                      <a:srgbClr val="000000"/>
                    </a:solidFill>
                    <a:latin typeface="Calibri"/>
                    <a:ea typeface="Calibri"/>
                    <a:cs typeface="Calibri"/>
                  </a:defRPr>
                </a:pPr>
                <a:endParaRPr lang="en-US"/>
              </a:p>
            </c:txPr>
            <c:dLblPos val="inBase"/>
            <c:showLegendKey val="0"/>
            <c:showVal val="1"/>
            <c:showCatName val="0"/>
            <c:showSerName val="0"/>
            <c:showPercent val="0"/>
            <c:showBubbleSize val="0"/>
            <c:showLeaderLines val="0"/>
          </c:dLbls>
          <c:cat>
            <c:strRef>
              <c:f>'Resumen 2015'!$B$48:$C$48</c:f>
              <c:strCache>
                <c:ptCount val="2"/>
                <c:pt idx="0">
                  <c:v>Funds approved by the OAS for 2015</c:v>
                </c:pt>
                <c:pt idx="1">
                  <c:v>Funds Provided by the OAS as of September 30, 2015</c:v>
                </c:pt>
              </c:strCache>
            </c:strRef>
          </c:cat>
          <c:val>
            <c:numRef>
              <c:f>'Resumen 2015'!$B$50:$C$50</c:f>
              <c:numCache>
                <c:formatCode>_(* #,##0.0_);_(* \(#,##0.0\);_(* "-"??_);_(@_)</c:formatCode>
                <c:ptCount val="2"/>
                <c:pt idx="0">
                  <c:v>972.8</c:v>
                </c:pt>
                <c:pt idx="1">
                  <c:v>987.8</c:v>
                </c:pt>
              </c:numCache>
            </c:numRef>
          </c:val>
        </c:ser>
        <c:ser>
          <c:idx val="2"/>
          <c:order val="2"/>
          <c:tx>
            <c:strRef>
              <c:f>'Resumen 2015'!$A$51</c:f>
              <c:strCache>
                <c:ptCount val="1"/>
                <c:pt idx="0">
                  <c:v>Total</c:v>
                </c:pt>
              </c:strCache>
            </c:strRef>
          </c:tx>
          <c:spPr>
            <a:noFill/>
          </c:spPr>
          <c:invertIfNegative val="0"/>
          <c:dLbls>
            <c:txPr>
              <a:bodyPr/>
              <a:lstStyle/>
              <a:p>
                <a:pPr>
                  <a:defRPr sz="1100" b="1" i="0" u="none" strike="noStrike" baseline="0">
                    <a:solidFill>
                      <a:srgbClr val="000000"/>
                    </a:solidFill>
                    <a:latin typeface="Calibri"/>
                    <a:ea typeface="Calibri"/>
                    <a:cs typeface="Calibri"/>
                  </a:defRPr>
                </a:pPr>
                <a:endParaRPr lang="en-US"/>
              </a:p>
            </c:txPr>
            <c:dLblPos val="inBase"/>
            <c:showLegendKey val="0"/>
            <c:showVal val="1"/>
            <c:showCatName val="0"/>
            <c:showSerName val="0"/>
            <c:showPercent val="0"/>
            <c:showBubbleSize val="0"/>
            <c:showLeaderLines val="0"/>
          </c:dLbls>
          <c:cat>
            <c:strRef>
              <c:f>'Resumen 2015'!$B$48:$C$48</c:f>
              <c:strCache>
                <c:ptCount val="2"/>
                <c:pt idx="0">
                  <c:v>Funds approved by the OAS for 2015</c:v>
                </c:pt>
                <c:pt idx="1">
                  <c:v>Funds Provided by the OAS as of September 30, 2015</c:v>
                </c:pt>
              </c:strCache>
            </c:strRef>
          </c:cat>
          <c:val>
            <c:numRef>
              <c:f>'Resumen 2015'!$B$51:$C$51</c:f>
              <c:numCache>
                <c:formatCode>_(* #,##0.0_);_(* \(#,##0.0\);_(* "-"??_);_(@_)</c:formatCode>
                <c:ptCount val="2"/>
                <c:pt idx="0">
                  <c:v>5427.9000000000005</c:v>
                </c:pt>
                <c:pt idx="1">
                  <c:v>4947.7</c:v>
                </c:pt>
              </c:numCache>
            </c:numRef>
          </c:val>
        </c:ser>
        <c:dLbls>
          <c:showLegendKey val="0"/>
          <c:showVal val="0"/>
          <c:showCatName val="0"/>
          <c:showSerName val="0"/>
          <c:showPercent val="0"/>
          <c:showBubbleSize val="0"/>
        </c:dLbls>
        <c:gapWidth val="150"/>
        <c:overlap val="100"/>
        <c:serLines/>
        <c:axId val="142568064"/>
        <c:axId val="142582144"/>
      </c:barChart>
      <c:catAx>
        <c:axId val="142568064"/>
        <c:scaling>
          <c:orientation val="minMax"/>
        </c:scaling>
        <c:delete val="0"/>
        <c:axPos val="b"/>
        <c:numFmt formatCode="General" sourceLinked="1"/>
        <c:majorTickMark val="out"/>
        <c:minorTickMark val="none"/>
        <c:tickLblPos val="nextTo"/>
        <c:txPr>
          <a:bodyPr rot="0" vert="horz"/>
          <a:lstStyle/>
          <a:p>
            <a:pPr>
              <a:defRPr sz="1100" b="0" i="0" u="none" strike="noStrike" baseline="0">
                <a:solidFill>
                  <a:srgbClr val="000000"/>
                </a:solidFill>
                <a:latin typeface="Calibri"/>
                <a:ea typeface="Calibri"/>
                <a:cs typeface="Calibri"/>
              </a:defRPr>
            </a:pPr>
            <a:endParaRPr lang="en-US"/>
          </a:p>
        </c:txPr>
        <c:crossAx val="142582144"/>
        <c:crosses val="autoZero"/>
        <c:auto val="1"/>
        <c:lblAlgn val="ctr"/>
        <c:lblOffset val="100"/>
        <c:noMultiLvlLbl val="0"/>
      </c:catAx>
      <c:valAx>
        <c:axId val="142582144"/>
        <c:scaling>
          <c:orientation val="minMax"/>
          <c:max val="6000"/>
        </c:scaling>
        <c:delete val="0"/>
        <c:axPos val="l"/>
        <c:majorGridlines/>
        <c:title>
          <c:tx>
            <c:rich>
              <a:bodyPr/>
              <a:lstStyle/>
              <a:p>
                <a:pPr>
                  <a:defRPr sz="1000" b="1" i="0" u="none" strike="noStrike" baseline="0">
                    <a:solidFill>
                      <a:srgbClr val="000000"/>
                    </a:solidFill>
                    <a:latin typeface="Calibri"/>
                    <a:ea typeface="Calibri"/>
                    <a:cs typeface="Calibri"/>
                  </a:defRPr>
                </a:pPr>
                <a:r>
                  <a:rPr lang="es-ES"/>
                  <a:t>In thousands of USD </a:t>
                </a:r>
              </a:p>
            </c:rich>
          </c:tx>
          <c:overlay val="0"/>
        </c:title>
        <c:numFmt formatCode="_(* #,##0.0_);_(* \(#,##0.0\);_(* &quot;-&quot;??_);_(@_)" sourceLinked="1"/>
        <c:majorTickMark val="out"/>
        <c:minorTickMark val="none"/>
        <c:tickLblPos val="nextTo"/>
        <c:txPr>
          <a:bodyPr rot="0" vert="horz"/>
          <a:lstStyle/>
          <a:p>
            <a:pPr>
              <a:defRPr sz="1100" b="0" i="0" u="none" strike="noStrike" baseline="0">
                <a:solidFill>
                  <a:srgbClr val="000000"/>
                </a:solidFill>
                <a:latin typeface="Calibri"/>
                <a:ea typeface="Calibri"/>
                <a:cs typeface="Calibri"/>
              </a:defRPr>
            </a:pPr>
            <a:endParaRPr lang="en-US"/>
          </a:p>
        </c:txPr>
        <c:crossAx val="142568064"/>
        <c:crosses val="autoZero"/>
        <c:crossBetween val="between"/>
      </c:valAx>
    </c:plotArea>
    <c:legend>
      <c:legendPos val="r"/>
      <c:legendEntry>
        <c:idx val="0"/>
        <c:delete val="1"/>
      </c:legendEntry>
      <c:overlay val="0"/>
      <c:txPr>
        <a:bodyPr/>
        <a:lstStyle/>
        <a:p>
          <a:pPr>
            <a:defRPr sz="110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4F866-B5FD-4530-A5B0-3B6CD4AA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5142</Words>
  <Characters>29316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34390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2015 - Chapter VI</dc:title>
  <dc:creator/>
  <cp:lastModifiedBy/>
  <cp:revision>1</cp:revision>
  <dcterms:created xsi:type="dcterms:W3CDTF">2016-03-10T17:10:00Z</dcterms:created>
  <dcterms:modified xsi:type="dcterms:W3CDTF">2016-03-10T17:10:00Z</dcterms:modified>
</cp:coreProperties>
</file>