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9D62B" w14:textId="77777777" w:rsidR="00BA4056" w:rsidRDefault="00BA4056" w:rsidP="00BA4056">
      <w:pPr>
        <w:rPr>
          <w:rFonts w:ascii="Cambria" w:hAnsi="Cambria"/>
          <w:b/>
          <w:sz w:val="32"/>
          <w:szCs w:val="28"/>
        </w:rPr>
      </w:pPr>
      <w:r>
        <w:rPr>
          <w:rFonts w:ascii="Cambria" w:hAnsi="Cambria"/>
          <w:b/>
          <w:sz w:val="32"/>
          <w:szCs w:val="28"/>
        </w:rPr>
        <w:t>CHAPTER VI</w:t>
      </w:r>
      <w:r>
        <w:rPr>
          <w:rFonts w:ascii="Cambria" w:hAnsi="Cambria"/>
          <w:b/>
          <w:sz w:val="32"/>
          <w:szCs w:val="28"/>
        </w:rPr>
        <w:br/>
        <w:t>INSTITUTIONAL DEVELOPMENT</w:t>
      </w:r>
    </w:p>
    <w:p w14:paraId="5B7A09E9" w14:textId="77777777" w:rsidR="00BA4056" w:rsidRDefault="00BA4056" w:rsidP="00BA4056">
      <w:pPr>
        <w:ind w:firstLine="851"/>
        <w:rPr>
          <w:rFonts w:ascii="Cambria" w:hAnsi="Cambria"/>
          <w:b/>
          <w:sz w:val="20"/>
          <w:szCs w:val="20"/>
        </w:rPr>
      </w:pPr>
    </w:p>
    <w:p w14:paraId="73DB04C3" w14:textId="77777777" w:rsidR="00BA4056" w:rsidRDefault="00BA4056" w:rsidP="00BA4056">
      <w:pPr>
        <w:pStyle w:val="Heading1"/>
        <w:rPr>
          <w:rFonts w:eastAsiaTheme="minorHAnsi"/>
        </w:rPr>
      </w:pPr>
      <w:r>
        <w:rPr>
          <w:rFonts w:eastAsiaTheme="minorHAnsi"/>
        </w:rPr>
        <w:t>Structure and Personnel of the IACHR</w:t>
      </w:r>
    </w:p>
    <w:p w14:paraId="345293DE" w14:textId="77777777" w:rsidR="00BA4056" w:rsidRDefault="00BA4056" w:rsidP="00BA4056">
      <w:pPr>
        <w:pStyle w:val="paragraphs"/>
        <w:ind w:left="0" w:firstLine="720"/>
        <w:rPr>
          <w:lang w:val="en-US"/>
        </w:rPr>
      </w:pPr>
      <w:r>
        <w:rPr>
          <w:lang w:val="en-US"/>
        </w:rPr>
        <w:t xml:space="preserve">In 2020, the Executive Secretariat continued to bring its staffing and resources into line with the mandates issued to the IACHR. Thus, as of December 31, 2020, the IACHR Executive Secretariat was composed of 140 members (54 regular staff, 83 consultants, and 3 associate professionals). The IACHR is further assisted by 7 fellows.  </w:t>
      </w:r>
    </w:p>
    <w:p w14:paraId="5EFF7C32" w14:textId="77777777" w:rsidR="00BA4056" w:rsidRDefault="00BA4056" w:rsidP="00BA4056">
      <w:pPr>
        <w:pStyle w:val="paragraphs"/>
        <w:ind w:left="0" w:firstLine="720"/>
        <w:rPr>
          <w:lang w:val="en-US"/>
        </w:rPr>
      </w:pPr>
      <w:r>
        <w:rPr>
          <w:lang w:val="en-US"/>
        </w:rPr>
        <w:t xml:space="preserve">The table below indicates the distribution of staff by funding source as of December 31, 2020. </w:t>
      </w:r>
      <w:r>
        <w:rPr>
          <w:rFonts w:eastAsia="Times New Roman" w:cs="Arial"/>
          <w:b/>
          <w:bCs/>
          <w:lang w:val="en-US" w:eastAsia="es-CO"/>
        </w:rPr>
        <w:t xml:space="preserve"> </w:t>
      </w:r>
    </w:p>
    <w:tbl>
      <w:tblPr>
        <w:tblW w:w="9072" w:type="dxa"/>
        <w:tblInd w:w="-10" w:type="dxa"/>
        <w:tblCellMar>
          <w:left w:w="70" w:type="dxa"/>
          <w:right w:w="70" w:type="dxa"/>
        </w:tblCellMar>
        <w:tblLook w:val="04A0" w:firstRow="1" w:lastRow="0" w:firstColumn="1" w:lastColumn="0" w:noHBand="0" w:noVBand="1"/>
      </w:tblPr>
      <w:tblGrid>
        <w:gridCol w:w="3261"/>
        <w:gridCol w:w="992"/>
        <w:gridCol w:w="1559"/>
        <w:gridCol w:w="2126"/>
        <w:gridCol w:w="1134"/>
      </w:tblGrid>
      <w:tr w:rsidR="00BA4056" w14:paraId="31295A94" w14:textId="77777777" w:rsidTr="00BA4056">
        <w:trPr>
          <w:trHeight w:val="795"/>
        </w:trPr>
        <w:tc>
          <w:tcPr>
            <w:tcW w:w="9072" w:type="dxa"/>
            <w:gridSpan w:val="5"/>
            <w:tcBorders>
              <w:top w:val="single" w:sz="8" w:space="0" w:color="4F81BD"/>
              <w:left w:val="single" w:sz="8" w:space="0" w:color="4F81BD"/>
              <w:bottom w:val="single" w:sz="8" w:space="0" w:color="4F81BD"/>
              <w:right w:val="single" w:sz="8" w:space="0" w:color="4F81BD"/>
            </w:tcBorders>
            <w:shd w:val="clear" w:color="auto" w:fill="4F81BD"/>
            <w:noWrap/>
            <w:vAlign w:val="center"/>
            <w:hideMark/>
          </w:tcPr>
          <w:p w14:paraId="0A4C6E1F" w14:textId="77777777" w:rsidR="00BA4056" w:rsidRDefault="00BA4056" w:rsidP="00BA4056">
            <w:pPr>
              <w:ind w:firstLine="851"/>
              <w:jc w:val="center"/>
              <w:rPr>
                <w:rFonts w:ascii="Cambria" w:eastAsia="Times New Roman" w:hAnsi="Cambria" w:cs="Arial"/>
                <w:b/>
                <w:bCs/>
                <w:color w:val="FFFFFF"/>
                <w:sz w:val="20"/>
                <w:szCs w:val="20"/>
                <w:lang w:eastAsia="es-CO"/>
              </w:rPr>
            </w:pPr>
            <w:r>
              <w:rPr>
                <w:rFonts w:ascii="Cambria" w:eastAsia="Times New Roman" w:hAnsi="Cambria" w:cs="Arial"/>
                <w:b/>
                <w:bCs/>
                <w:color w:val="FFFFFF"/>
                <w:sz w:val="20"/>
                <w:szCs w:val="20"/>
                <w:lang w:eastAsia="es-CO"/>
              </w:rPr>
              <w:t>Source of funding by group</w:t>
            </w:r>
          </w:p>
        </w:tc>
      </w:tr>
      <w:tr w:rsidR="00BA4056" w14:paraId="6061B4E3" w14:textId="77777777" w:rsidTr="00BA4056">
        <w:trPr>
          <w:trHeight w:hRule="exact" w:val="780"/>
        </w:trPr>
        <w:tc>
          <w:tcPr>
            <w:tcW w:w="3261" w:type="dxa"/>
            <w:tcBorders>
              <w:top w:val="nil"/>
              <w:left w:val="single" w:sz="8" w:space="0" w:color="95B3D7"/>
              <w:bottom w:val="single" w:sz="8" w:space="0" w:color="95B3D7"/>
              <w:right w:val="single" w:sz="8" w:space="0" w:color="95B3D7"/>
            </w:tcBorders>
            <w:shd w:val="clear" w:color="auto" w:fill="DBE5F1"/>
            <w:noWrap/>
            <w:vAlign w:val="center"/>
            <w:hideMark/>
          </w:tcPr>
          <w:p w14:paraId="1A84A5E7" w14:textId="77777777" w:rsidR="00BA4056" w:rsidRDefault="00BA4056">
            <w:pPr>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Category</w:t>
            </w:r>
          </w:p>
        </w:tc>
        <w:tc>
          <w:tcPr>
            <w:tcW w:w="992" w:type="dxa"/>
            <w:tcBorders>
              <w:top w:val="nil"/>
              <w:left w:val="nil"/>
              <w:bottom w:val="single" w:sz="8" w:space="0" w:color="95B3D7"/>
              <w:right w:val="single" w:sz="8" w:space="0" w:color="95B3D7"/>
            </w:tcBorders>
            <w:shd w:val="clear" w:color="auto" w:fill="DBE5F1"/>
            <w:noWrap/>
            <w:vAlign w:val="center"/>
            <w:hideMark/>
          </w:tcPr>
          <w:p w14:paraId="6DDD42FE" w14:textId="77777777" w:rsidR="00BA4056" w:rsidRDefault="00BA4056">
            <w:pPr>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Regular Fund</w:t>
            </w:r>
          </w:p>
        </w:tc>
        <w:tc>
          <w:tcPr>
            <w:tcW w:w="1559" w:type="dxa"/>
            <w:tcBorders>
              <w:top w:val="nil"/>
              <w:left w:val="nil"/>
              <w:bottom w:val="single" w:sz="8" w:space="0" w:color="95B3D7"/>
              <w:right w:val="single" w:sz="8" w:space="0" w:color="95B3D7"/>
            </w:tcBorders>
            <w:shd w:val="clear" w:color="auto" w:fill="DBE5F1"/>
            <w:vAlign w:val="center"/>
            <w:hideMark/>
          </w:tcPr>
          <w:p w14:paraId="5C5FED54" w14:textId="77777777" w:rsidR="00BA4056" w:rsidRDefault="00BA4056">
            <w:pPr>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Specific Fund</w:t>
            </w:r>
          </w:p>
        </w:tc>
        <w:tc>
          <w:tcPr>
            <w:tcW w:w="2126" w:type="dxa"/>
            <w:tcBorders>
              <w:top w:val="nil"/>
              <w:left w:val="nil"/>
              <w:bottom w:val="single" w:sz="8" w:space="0" w:color="95B3D7"/>
              <w:right w:val="single" w:sz="8" w:space="0" w:color="95B3D7"/>
            </w:tcBorders>
            <w:shd w:val="clear" w:color="auto" w:fill="DBE5F1"/>
            <w:vAlign w:val="center"/>
            <w:hideMark/>
          </w:tcPr>
          <w:p w14:paraId="67208E73" w14:textId="77777777" w:rsidR="00BA4056" w:rsidRDefault="00BA4056">
            <w:pPr>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At no cost to the IACHR</w:t>
            </w:r>
          </w:p>
        </w:tc>
        <w:tc>
          <w:tcPr>
            <w:tcW w:w="1134" w:type="dxa"/>
            <w:tcBorders>
              <w:top w:val="nil"/>
              <w:left w:val="nil"/>
              <w:bottom w:val="single" w:sz="8" w:space="0" w:color="95B3D7"/>
              <w:right w:val="single" w:sz="8" w:space="0" w:color="95B3D7"/>
            </w:tcBorders>
            <w:shd w:val="clear" w:color="auto" w:fill="DBE5F1"/>
            <w:vAlign w:val="center"/>
            <w:hideMark/>
          </w:tcPr>
          <w:p w14:paraId="6705B0EF" w14:textId="77777777" w:rsidR="00BA4056" w:rsidRDefault="00BA4056">
            <w:pPr>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Total</w:t>
            </w:r>
          </w:p>
        </w:tc>
      </w:tr>
      <w:tr w:rsidR="00BA4056" w14:paraId="7BB8D8C6" w14:textId="77777777" w:rsidTr="00BA4056">
        <w:trPr>
          <w:trHeight w:hRule="exact" w:val="270"/>
        </w:trPr>
        <w:tc>
          <w:tcPr>
            <w:tcW w:w="3261" w:type="dxa"/>
            <w:tcBorders>
              <w:top w:val="nil"/>
              <w:left w:val="single" w:sz="8" w:space="0" w:color="95B3D7"/>
              <w:bottom w:val="single" w:sz="8" w:space="0" w:color="95B3D7"/>
              <w:right w:val="single" w:sz="8" w:space="0" w:color="95B3D7"/>
            </w:tcBorders>
            <w:noWrap/>
            <w:vAlign w:val="center"/>
            <w:hideMark/>
          </w:tcPr>
          <w:p w14:paraId="1F65502B" w14:textId="77777777" w:rsidR="00BA4056" w:rsidRDefault="00BA4056">
            <w:pPr>
              <w:rPr>
                <w:rFonts w:ascii="Cambria" w:eastAsia="Times New Roman" w:hAnsi="Cambria" w:cs="Arial"/>
                <w:sz w:val="20"/>
                <w:szCs w:val="20"/>
                <w:lang w:eastAsia="es-CO"/>
              </w:rPr>
            </w:pPr>
            <w:r>
              <w:rPr>
                <w:rFonts w:ascii="Cambria" w:eastAsia="Times New Roman" w:hAnsi="Cambria" w:cs="Arial"/>
                <w:sz w:val="20"/>
                <w:szCs w:val="20"/>
                <w:lang w:eastAsia="es-CO"/>
              </w:rPr>
              <w:t xml:space="preserve">Acting Executive Secretary* </w:t>
            </w:r>
          </w:p>
        </w:tc>
        <w:tc>
          <w:tcPr>
            <w:tcW w:w="992" w:type="dxa"/>
            <w:tcBorders>
              <w:top w:val="nil"/>
              <w:left w:val="nil"/>
              <w:bottom w:val="single" w:sz="8" w:space="0" w:color="95B3D7"/>
              <w:right w:val="single" w:sz="8" w:space="0" w:color="95B3D7"/>
            </w:tcBorders>
            <w:noWrap/>
            <w:vAlign w:val="center"/>
            <w:hideMark/>
          </w:tcPr>
          <w:p w14:paraId="0CC14416"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1</w:t>
            </w:r>
          </w:p>
        </w:tc>
        <w:tc>
          <w:tcPr>
            <w:tcW w:w="1559" w:type="dxa"/>
            <w:tcBorders>
              <w:top w:val="nil"/>
              <w:left w:val="nil"/>
              <w:bottom w:val="single" w:sz="8" w:space="0" w:color="95B3D7"/>
              <w:right w:val="single" w:sz="8" w:space="0" w:color="95B3D7"/>
            </w:tcBorders>
            <w:vAlign w:val="center"/>
            <w:hideMark/>
          </w:tcPr>
          <w:p w14:paraId="6D5DB7E3"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0</w:t>
            </w:r>
          </w:p>
        </w:tc>
        <w:tc>
          <w:tcPr>
            <w:tcW w:w="2126" w:type="dxa"/>
            <w:tcBorders>
              <w:top w:val="nil"/>
              <w:left w:val="nil"/>
              <w:bottom w:val="single" w:sz="8" w:space="0" w:color="95B3D7"/>
              <w:right w:val="single" w:sz="8" w:space="0" w:color="95B3D7"/>
            </w:tcBorders>
            <w:vAlign w:val="center"/>
            <w:hideMark/>
          </w:tcPr>
          <w:p w14:paraId="3F646CA3"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0</w:t>
            </w:r>
          </w:p>
        </w:tc>
        <w:tc>
          <w:tcPr>
            <w:tcW w:w="1134" w:type="dxa"/>
            <w:tcBorders>
              <w:top w:val="nil"/>
              <w:left w:val="nil"/>
              <w:bottom w:val="single" w:sz="8" w:space="0" w:color="95B3D7"/>
              <w:right w:val="single" w:sz="8" w:space="0" w:color="95B3D7"/>
            </w:tcBorders>
            <w:vAlign w:val="center"/>
            <w:hideMark/>
          </w:tcPr>
          <w:p w14:paraId="0AA875B8"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1</w:t>
            </w:r>
          </w:p>
        </w:tc>
      </w:tr>
      <w:tr w:rsidR="00BA4056" w14:paraId="583B2AD0" w14:textId="77777777" w:rsidTr="00BA4056">
        <w:trPr>
          <w:trHeight w:hRule="exact" w:val="542"/>
        </w:trPr>
        <w:tc>
          <w:tcPr>
            <w:tcW w:w="3261" w:type="dxa"/>
            <w:tcBorders>
              <w:top w:val="nil"/>
              <w:left w:val="single" w:sz="8" w:space="0" w:color="95B3D7"/>
              <w:bottom w:val="single" w:sz="8" w:space="0" w:color="95B3D7"/>
              <w:right w:val="single" w:sz="8" w:space="0" w:color="95B3D7"/>
            </w:tcBorders>
            <w:shd w:val="clear" w:color="auto" w:fill="DBE5F1"/>
            <w:noWrap/>
            <w:vAlign w:val="center"/>
            <w:hideMark/>
          </w:tcPr>
          <w:p w14:paraId="7D612853" w14:textId="77777777" w:rsidR="00BA4056" w:rsidRDefault="00BA4056">
            <w:pPr>
              <w:rPr>
                <w:rFonts w:ascii="Cambria" w:eastAsia="Times New Roman" w:hAnsi="Cambria" w:cs="Arial"/>
                <w:sz w:val="20"/>
                <w:szCs w:val="20"/>
                <w:lang w:eastAsia="es-CO"/>
              </w:rPr>
            </w:pPr>
            <w:r>
              <w:rPr>
                <w:rFonts w:ascii="Cambria" w:eastAsia="Times New Roman" w:hAnsi="Cambria" w:cs="Arial"/>
                <w:sz w:val="20"/>
                <w:szCs w:val="20"/>
                <w:lang w:eastAsia="es-CO"/>
              </w:rPr>
              <w:t>Assistant Executive Secretaries</w:t>
            </w:r>
          </w:p>
        </w:tc>
        <w:tc>
          <w:tcPr>
            <w:tcW w:w="992" w:type="dxa"/>
            <w:tcBorders>
              <w:top w:val="nil"/>
              <w:left w:val="nil"/>
              <w:bottom w:val="single" w:sz="8" w:space="0" w:color="95B3D7"/>
              <w:right w:val="single" w:sz="8" w:space="0" w:color="95B3D7"/>
            </w:tcBorders>
            <w:shd w:val="clear" w:color="auto" w:fill="DBE5F1"/>
            <w:noWrap/>
            <w:vAlign w:val="center"/>
            <w:hideMark/>
          </w:tcPr>
          <w:p w14:paraId="1354F6DC"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1</w:t>
            </w:r>
          </w:p>
        </w:tc>
        <w:tc>
          <w:tcPr>
            <w:tcW w:w="1559" w:type="dxa"/>
            <w:tcBorders>
              <w:top w:val="nil"/>
              <w:left w:val="nil"/>
              <w:bottom w:val="single" w:sz="8" w:space="0" w:color="95B3D7"/>
              <w:right w:val="single" w:sz="8" w:space="0" w:color="95B3D7"/>
            </w:tcBorders>
            <w:shd w:val="clear" w:color="auto" w:fill="DBE5F1"/>
            <w:vAlign w:val="center"/>
            <w:hideMark/>
          </w:tcPr>
          <w:p w14:paraId="3D8F0F64"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0</w:t>
            </w:r>
          </w:p>
        </w:tc>
        <w:tc>
          <w:tcPr>
            <w:tcW w:w="2126" w:type="dxa"/>
            <w:tcBorders>
              <w:top w:val="nil"/>
              <w:left w:val="nil"/>
              <w:bottom w:val="single" w:sz="8" w:space="0" w:color="95B3D7"/>
              <w:right w:val="single" w:sz="8" w:space="0" w:color="95B3D7"/>
            </w:tcBorders>
            <w:shd w:val="clear" w:color="auto" w:fill="DBE5F1"/>
            <w:vAlign w:val="center"/>
            <w:hideMark/>
          </w:tcPr>
          <w:p w14:paraId="344E5562"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0</w:t>
            </w:r>
          </w:p>
        </w:tc>
        <w:tc>
          <w:tcPr>
            <w:tcW w:w="1134" w:type="dxa"/>
            <w:tcBorders>
              <w:top w:val="nil"/>
              <w:left w:val="nil"/>
              <w:bottom w:val="single" w:sz="8" w:space="0" w:color="95B3D7"/>
              <w:right w:val="single" w:sz="8" w:space="0" w:color="95B3D7"/>
            </w:tcBorders>
            <w:shd w:val="clear" w:color="auto" w:fill="DBE5F1"/>
            <w:vAlign w:val="center"/>
            <w:hideMark/>
          </w:tcPr>
          <w:p w14:paraId="3C2E5337"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lang w:val="es-ES_tradnl" w:eastAsia="es-CO"/>
              </w:rPr>
              <w:t>1</w:t>
            </w:r>
          </w:p>
        </w:tc>
      </w:tr>
      <w:tr w:rsidR="00BA4056" w14:paraId="0FB501EC" w14:textId="77777777" w:rsidTr="00BA4056">
        <w:trPr>
          <w:trHeight w:hRule="exact" w:val="270"/>
        </w:trPr>
        <w:tc>
          <w:tcPr>
            <w:tcW w:w="3261" w:type="dxa"/>
            <w:tcBorders>
              <w:top w:val="nil"/>
              <w:left w:val="single" w:sz="8" w:space="0" w:color="95B3D7"/>
              <w:bottom w:val="single" w:sz="8" w:space="0" w:color="95B3D7"/>
              <w:right w:val="single" w:sz="8" w:space="0" w:color="95B3D7"/>
            </w:tcBorders>
            <w:noWrap/>
            <w:vAlign w:val="center"/>
            <w:hideMark/>
          </w:tcPr>
          <w:p w14:paraId="70E6527D" w14:textId="77777777" w:rsidR="00BA4056" w:rsidRDefault="00BA4056">
            <w:pPr>
              <w:rPr>
                <w:rFonts w:ascii="Cambria" w:eastAsia="Times New Roman" w:hAnsi="Cambria" w:cs="Arial"/>
                <w:sz w:val="20"/>
                <w:szCs w:val="20"/>
                <w:lang w:eastAsia="es-CO"/>
              </w:rPr>
            </w:pPr>
            <w:r>
              <w:rPr>
                <w:rFonts w:ascii="Cambria" w:eastAsia="Times New Roman" w:hAnsi="Cambria" w:cs="Arial"/>
                <w:sz w:val="20"/>
                <w:szCs w:val="20"/>
                <w:lang w:eastAsia="es-CO"/>
              </w:rPr>
              <w:t>Special Rapporteurs</w:t>
            </w:r>
          </w:p>
        </w:tc>
        <w:tc>
          <w:tcPr>
            <w:tcW w:w="992" w:type="dxa"/>
            <w:tcBorders>
              <w:top w:val="nil"/>
              <w:left w:val="nil"/>
              <w:bottom w:val="single" w:sz="8" w:space="0" w:color="95B3D7"/>
              <w:right w:val="single" w:sz="8" w:space="0" w:color="95B3D7"/>
            </w:tcBorders>
            <w:noWrap/>
            <w:vAlign w:val="center"/>
            <w:hideMark/>
          </w:tcPr>
          <w:p w14:paraId="4EF778F3"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0</w:t>
            </w:r>
          </w:p>
        </w:tc>
        <w:tc>
          <w:tcPr>
            <w:tcW w:w="1559" w:type="dxa"/>
            <w:tcBorders>
              <w:top w:val="nil"/>
              <w:left w:val="nil"/>
              <w:bottom w:val="single" w:sz="8" w:space="0" w:color="95B3D7"/>
              <w:right w:val="single" w:sz="8" w:space="0" w:color="95B3D7"/>
            </w:tcBorders>
            <w:vAlign w:val="center"/>
            <w:hideMark/>
          </w:tcPr>
          <w:p w14:paraId="06E7DFB7"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2</w:t>
            </w:r>
          </w:p>
        </w:tc>
        <w:tc>
          <w:tcPr>
            <w:tcW w:w="2126" w:type="dxa"/>
            <w:tcBorders>
              <w:top w:val="nil"/>
              <w:left w:val="nil"/>
              <w:bottom w:val="single" w:sz="8" w:space="0" w:color="95B3D7"/>
              <w:right w:val="single" w:sz="8" w:space="0" w:color="95B3D7"/>
            </w:tcBorders>
            <w:vAlign w:val="center"/>
            <w:hideMark/>
          </w:tcPr>
          <w:p w14:paraId="087E365E"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0</w:t>
            </w:r>
          </w:p>
        </w:tc>
        <w:tc>
          <w:tcPr>
            <w:tcW w:w="1134" w:type="dxa"/>
            <w:tcBorders>
              <w:top w:val="nil"/>
              <w:left w:val="nil"/>
              <w:bottom w:val="single" w:sz="8" w:space="0" w:color="95B3D7"/>
              <w:right w:val="single" w:sz="8" w:space="0" w:color="95B3D7"/>
            </w:tcBorders>
            <w:vAlign w:val="center"/>
            <w:hideMark/>
          </w:tcPr>
          <w:p w14:paraId="6CF8612E"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CO" w:eastAsia="es-CO"/>
              </w:rPr>
              <w:t>2</w:t>
            </w:r>
          </w:p>
        </w:tc>
      </w:tr>
      <w:tr w:rsidR="00BA4056" w14:paraId="2B06F625" w14:textId="77777777" w:rsidTr="00BA4056">
        <w:trPr>
          <w:trHeight w:hRule="exact" w:val="270"/>
        </w:trPr>
        <w:tc>
          <w:tcPr>
            <w:tcW w:w="3261" w:type="dxa"/>
            <w:tcBorders>
              <w:top w:val="nil"/>
              <w:left w:val="single" w:sz="8" w:space="0" w:color="95B3D7"/>
              <w:bottom w:val="single" w:sz="8" w:space="0" w:color="95B3D7"/>
              <w:right w:val="single" w:sz="8" w:space="0" w:color="95B3D7"/>
            </w:tcBorders>
            <w:shd w:val="clear" w:color="auto" w:fill="DBE5F1"/>
            <w:noWrap/>
            <w:vAlign w:val="center"/>
            <w:hideMark/>
          </w:tcPr>
          <w:p w14:paraId="2E1776E7" w14:textId="77777777" w:rsidR="00BA4056" w:rsidRDefault="00BA4056">
            <w:pPr>
              <w:rPr>
                <w:rFonts w:ascii="Cambria" w:eastAsia="Times New Roman" w:hAnsi="Cambria" w:cs="Arial"/>
                <w:sz w:val="20"/>
                <w:szCs w:val="20"/>
                <w:lang w:eastAsia="es-CO"/>
              </w:rPr>
            </w:pPr>
            <w:r>
              <w:rPr>
                <w:rFonts w:ascii="Cambria" w:eastAsia="Times New Roman" w:hAnsi="Cambria" w:cs="Arial"/>
                <w:sz w:val="20"/>
                <w:szCs w:val="20"/>
                <w:lang w:eastAsia="es-CO"/>
              </w:rPr>
              <w:t>Professionals</w:t>
            </w:r>
          </w:p>
        </w:tc>
        <w:tc>
          <w:tcPr>
            <w:tcW w:w="992" w:type="dxa"/>
            <w:tcBorders>
              <w:top w:val="nil"/>
              <w:left w:val="nil"/>
              <w:bottom w:val="single" w:sz="8" w:space="0" w:color="95B3D7"/>
              <w:right w:val="single" w:sz="8" w:space="0" w:color="95B3D7"/>
            </w:tcBorders>
            <w:shd w:val="clear" w:color="auto" w:fill="DBE5F1"/>
            <w:noWrap/>
            <w:hideMark/>
          </w:tcPr>
          <w:p w14:paraId="55395049"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34</w:t>
            </w:r>
          </w:p>
        </w:tc>
        <w:tc>
          <w:tcPr>
            <w:tcW w:w="1559" w:type="dxa"/>
            <w:tcBorders>
              <w:top w:val="nil"/>
              <w:left w:val="nil"/>
              <w:bottom w:val="single" w:sz="8" w:space="0" w:color="95B3D7"/>
              <w:right w:val="single" w:sz="8" w:space="0" w:color="95B3D7"/>
            </w:tcBorders>
            <w:shd w:val="clear" w:color="auto" w:fill="DBE5F1"/>
            <w:hideMark/>
          </w:tcPr>
          <w:p w14:paraId="12C9EE98"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2</w:t>
            </w:r>
          </w:p>
        </w:tc>
        <w:tc>
          <w:tcPr>
            <w:tcW w:w="2126" w:type="dxa"/>
            <w:tcBorders>
              <w:top w:val="nil"/>
              <w:left w:val="nil"/>
              <w:bottom w:val="single" w:sz="8" w:space="0" w:color="95B3D7"/>
              <w:right w:val="single" w:sz="8" w:space="0" w:color="95B3D7"/>
            </w:tcBorders>
            <w:shd w:val="clear" w:color="auto" w:fill="DBE5F1"/>
            <w:hideMark/>
          </w:tcPr>
          <w:p w14:paraId="67D2EA2C"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0</w:t>
            </w:r>
          </w:p>
        </w:tc>
        <w:tc>
          <w:tcPr>
            <w:tcW w:w="1134" w:type="dxa"/>
            <w:tcBorders>
              <w:top w:val="nil"/>
              <w:left w:val="nil"/>
              <w:bottom w:val="single" w:sz="8" w:space="0" w:color="95B3D7"/>
              <w:right w:val="single" w:sz="8" w:space="0" w:color="95B3D7"/>
            </w:tcBorders>
            <w:shd w:val="clear" w:color="auto" w:fill="DBE5F1"/>
            <w:hideMark/>
          </w:tcPr>
          <w:p w14:paraId="216E9997"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bCs/>
                <w:sz w:val="20"/>
                <w:szCs w:val="20"/>
              </w:rPr>
              <w:t>36</w:t>
            </w:r>
          </w:p>
        </w:tc>
      </w:tr>
      <w:tr w:rsidR="00BA4056" w14:paraId="291A3BF6" w14:textId="77777777" w:rsidTr="00BA4056">
        <w:trPr>
          <w:trHeight w:hRule="exact" w:val="270"/>
        </w:trPr>
        <w:tc>
          <w:tcPr>
            <w:tcW w:w="3261" w:type="dxa"/>
            <w:tcBorders>
              <w:top w:val="nil"/>
              <w:left w:val="single" w:sz="8" w:space="0" w:color="95B3D7"/>
              <w:bottom w:val="single" w:sz="8" w:space="0" w:color="95B3D7"/>
              <w:right w:val="single" w:sz="8" w:space="0" w:color="95B3D7"/>
            </w:tcBorders>
            <w:noWrap/>
            <w:vAlign w:val="center"/>
            <w:hideMark/>
          </w:tcPr>
          <w:p w14:paraId="451DBD70" w14:textId="77777777" w:rsidR="00BA4056" w:rsidRDefault="00BA4056">
            <w:pPr>
              <w:rPr>
                <w:rFonts w:ascii="Cambria" w:eastAsia="Times New Roman" w:hAnsi="Cambria" w:cs="Arial"/>
                <w:sz w:val="20"/>
                <w:szCs w:val="20"/>
                <w:lang w:eastAsia="es-CO"/>
              </w:rPr>
            </w:pPr>
            <w:r>
              <w:rPr>
                <w:rFonts w:ascii="Cambria" w:eastAsia="Times New Roman" w:hAnsi="Cambria" w:cs="Arial"/>
                <w:sz w:val="20"/>
                <w:szCs w:val="20"/>
                <w:lang w:eastAsia="es-CO"/>
              </w:rPr>
              <w:t>Administrative Staff</w:t>
            </w:r>
          </w:p>
        </w:tc>
        <w:tc>
          <w:tcPr>
            <w:tcW w:w="992" w:type="dxa"/>
            <w:tcBorders>
              <w:top w:val="nil"/>
              <w:left w:val="nil"/>
              <w:bottom w:val="single" w:sz="8" w:space="0" w:color="95B3D7"/>
              <w:right w:val="single" w:sz="8" w:space="0" w:color="95B3D7"/>
            </w:tcBorders>
            <w:noWrap/>
            <w:hideMark/>
          </w:tcPr>
          <w:p w14:paraId="20F93CEB"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13</w:t>
            </w:r>
          </w:p>
        </w:tc>
        <w:tc>
          <w:tcPr>
            <w:tcW w:w="1559" w:type="dxa"/>
            <w:tcBorders>
              <w:top w:val="nil"/>
              <w:left w:val="nil"/>
              <w:bottom w:val="single" w:sz="8" w:space="0" w:color="95B3D7"/>
              <w:right w:val="single" w:sz="8" w:space="0" w:color="95B3D7"/>
            </w:tcBorders>
            <w:hideMark/>
          </w:tcPr>
          <w:p w14:paraId="14A2C4F0"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1</w:t>
            </w:r>
          </w:p>
        </w:tc>
        <w:tc>
          <w:tcPr>
            <w:tcW w:w="2126" w:type="dxa"/>
            <w:tcBorders>
              <w:top w:val="nil"/>
              <w:left w:val="nil"/>
              <w:bottom w:val="single" w:sz="8" w:space="0" w:color="95B3D7"/>
              <w:right w:val="single" w:sz="8" w:space="0" w:color="95B3D7"/>
            </w:tcBorders>
            <w:hideMark/>
          </w:tcPr>
          <w:p w14:paraId="4369DC31"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0</w:t>
            </w:r>
          </w:p>
        </w:tc>
        <w:tc>
          <w:tcPr>
            <w:tcW w:w="1134" w:type="dxa"/>
            <w:tcBorders>
              <w:top w:val="nil"/>
              <w:left w:val="nil"/>
              <w:bottom w:val="single" w:sz="8" w:space="0" w:color="95B3D7"/>
              <w:right w:val="single" w:sz="8" w:space="0" w:color="95B3D7"/>
            </w:tcBorders>
            <w:hideMark/>
          </w:tcPr>
          <w:p w14:paraId="4F3115B2"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bCs/>
                <w:sz w:val="20"/>
                <w:szCs w:val="20"/>
              </w:rPr>
              <w:t>14</w:t>
            </w:r>
          </w:p>
        </w:tc>
      </w:tr>
      <w:tr w:rsidR="00BA4056" w14:paraId="0CAAB6B7" w14:textId="77777777" w:rsidTr="00BA4056">
        <w:trPr>
          <w:trHeight w:hRule="exact" w:val="270"/>
        </w:trPr>
        <w:tc>
          <w:tcPr>
            <w:tcW w:w="3261" w:type="dxa"/>
            <w:tcBorders>
              <w:top w:val="nil"/>
              <w:left w:val="single" w:sz="8" w:space="0" w:color="95B3D7"/>
              <w:bottom w:val="single" w:sz="8" w:space="0" w:color="95B3D7"/>
              <w:right w:val="single" w:sz="8" w:space="0" w:color="95B3D7"/>
            </w:tcBorders>
            <w:shd w:val="clear" w:color="auto" w:fill="DBE5F1"/>
            <w:noWrap/>
            <w:vAlign w:val="center"/>
            <w:hideMark/>
          </w:tcPr>
          <w:p w14:paraId="6E7B0E3A"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Subtotal for Staff</w:t>
            </w:r>
          </w:p>
        </w:tc>
        <w:tc>
          <w:tcPr>
            <w:tcW w:w="992" w:type="dxa"/>
            <w:tcBorders>
              <w:top w:val="nil"/>
              <w:left w:val="nil"/>
              <w:bottom w:val="single" w:sz="8" w:space="0" w:color="95B3D7"/>
              <w:right w:val="single" w:sz="8" w:space="0" w:color="95B3D7"/>
            </w:tcBorders>
            <w:shd w:val="clear" w:color="auto" w:fill="DBE5F1"/>
            <w:noWrap/>
            <w:hideMark/>
          </w:tcPr>
          <w:p w14:paraId="01DDBA50" w14:textId="77777777" w:rsidR="00BA4056" w:rsidRDefault="00BA4056">
            <w:pPr>
              <w:jc w:val="center"/>
              <w:rPr>
                <w:rFonts w:ascii="Cambria" w:eastAsia="Times New Roman" w:hAnsi="Cambria" w:cs="Arial"/>
                <w:b/>
                <w:bCs/>
                <w:color w:val="000000"/>
                <w:sz w:val="20"/>
                <w:szCs w:val="20"/>
                <w:lang w:eastAsia="es-CO"/>
              </w:rPr>
            </w:pPr>
            <w:r>
              <w:rPr>
                <w:rFonts w:ascii="Cambria" w:eastAsia="Times New Roman" w:hAnsi="Cambria" w:cs="Arial"/>
                <w:b/>
                <w:bCs/>
                <w:sz w:val="20"/>
                <w:szCs w:val="20"/>
              </w:rPr>
              <w:t>49</w:t>
            </w:r>
          </w:p>
        </w:tc>
        <w:tc>
          <w:tcPr>
            <w:tcW w:w="1559" w:type="dxa"/>
            <w:tcBorders>
              <w:top w:val="nil"/>
              <w:left w:val="nil"/>
              <w:bottom w:val="single" w:sz="8" w:space="0" w:color="95B3D7"/>
              <w:right w:val="single" w:sz="8" w:space="0" w:color="95B3D7"/>
            </w:tcBorders>
            <w:shd w:val="clear" w:color="auto" w:fill="DBE5F1"/>
            <w:noWrap/>
            <w:hideMark/>
          </w:tcPr>
          <w:p w14:paraId="324150A0" w14:textId="77777777" w:rsidR="00BA4056" w:rsidRDefault="00BA4056">
            <w:pPr>
              <w:jc w:val="center"/>
              <w:rPr>
                <w:rFonts w:ascii="Cambria" w:eastAsia="Times New Roman" w:hAnsi="Cambria" w:cs="Arial"/>
                <w:b/>
                <w:bCs/>
                <w:color w:val="000000"/>
                <w:sz w:val="20"/>
                <w:szCs w:val="20"/>
                <w:lang w:eastAsia="es-CO"/>
              </w:rPr>
            </w:pPr>
            <w:r>
              <w:rPr>
                <w:rFonts w:ascii="Cambria" w:eastAsia="Times New Roman" w:hAnsi="Cambria" w:cs="Arial"/>
                <w:b/>
                <w:bCs/>
                <w:sz w:val="20"/>
                <w:szCs w:val="20"/>
              </w:rPr>
              <w:t>5</w:t>
            </w:r>
          </w:p>
        </w:tc>
        <w:tc>
          <w:tcPr>
            <w:tcW w:w="2126" w:type="dxa"/>
            <w:tcBorders>
              <w:top w:val="nil"/>
              <w:left w:val="nil"/>
              <w:bottom w:val="single" w:sz="8" w:space="0" w:color="95B3D7"/>
              <w:right w:val="single" w:sz="8" w:space="0" w:color="95B3D7"/>
            </w:tcBorders>
            <w:shd w:val="clear" w:color="auto" w:fill="DBE5F1"/>
            <w:noWrap/>
            <w:hideMark/>
          </w:tcPr>
          <w:p w14:paraId="0EBEE17F" w14:textId="77777777" w:rsidR="00BA4056" w:rsidRDefault="00BA4056">
            <w:pPr>
              <w:jc w:val="center"/>
              <w:rPr>
                <w:rFonts w:ascii="Cambria" w:eastAsia="Times New Roman" w:hAnsi="Cambria" w:cs="Arial"/>
                <w:b/>
                <w:bCs/>
                <w:color w:val="000000"/>
                <w:sz w:val="20"/>
                <w:szCs w:val="20"/>
                <w:lang w:eastAsia="es-CO"/>
              </w:rPr>
            </w:pPr>
            <w:r>
              <w:rPr>
                <w:rFonts w:ascii="Cambria" w:eastAsia="Times New Roman" w:hAnsi="Cambria" w:cs="Arial"/>
                <w:b/>
                <w:bCs/>
                <w:sz w:val="20"/>
                <w:szCs w:val="20"/>
              </w:rPr>
              <w:t>0</w:t>
            </w:r>
          </w:p>
        </w:tc>
        <w:tc>
          <w:tcPr>
            <w:tcW w:w="1134" w:type="dxa"/>
            <w:tcBorders>
              <w:top w:val="nil"/>
              <w:left w:val="nil"/>
              <w:bottom w:val="single" w:sz="8" w:space="0" w:color="95B3D7"/>
              <w:right w:val="single" w:sz="8" w:space="0" w:color="95B3D7"/>
            </w:tcBorders>
            <w:shd w:val="clear" w:color="auto" w:fill="DBE5F1"/>
            <w:noWrap/>
            <w:hideMark/>
          </w:tcPr>
          <w:p w14:paraId="4BDD87AC" w14:textId="77777777" w:rsidR="00BA4056" w:rsidRDefault="00BA4056">
            <w:pPr>
              <w:jc w:val="center"/>
              <w:rPr>
                <w:rFonts w:ascii="Cambria" w:eastAsia="Times New Roman" w:hAnsi="Cambria" w:cs="Arial"/>
                <w:b/>
                <w:bCs/>
                <w:color w:val="000000"/>
                <w:sz w:val="20"/>
                <w:szCs w:val="20"/>
                <w:lang w:eastAsia="es-CO"/>
              </w:rPr>
            </w:pPr>
            <w:r>
              <w:rPr>
                <w:rFonts w:ascii="Cambria" w:eastAsia="Times New Roman" w:hAnsi="Cambria" w:cs="Arial"/>
                <w:b/>
                <w:bCs/>
                <w:sz w:val="20"/>
                <w:szCs w:val="20"/>
              </w:rPr>
              <w:t>54</w:t>
            </w:r>
          </w:p>
        </w:tc>
      </w:tr>
      <w:tr w:rsidR="00BA4056" w14:paraId="4E252AC6" w14:textId="77777777" w:rsidTr="00BA4056">
        <w:trPr>
          <w:trHeight w:hRule="exact" w:val="560"/>
        </w:trPr>
        <w:tc>
          <w:tcPr>
            <w:tcW w:w="3261" w:type="dxa"/>
            <w:tcBorders>
              <w:top w:val="nil"/>
              <w:left w:val="single" w:sz="8" w:space="0" w:color="95B3D7"/>
              <w:bottom w:val="single" w:sz="8" w:space="0" w:color="95B3D7"/>
              <w:right w:val="single" w:sz="8" w:space="0" w:color="95B3D7"/>
            </w:tcBorders>
            <w:noWrap/>
            <w:hideMark/>
          </w:tcPr>
          <w:p w14:paraId="0C304D2C" w14:textId="77777777" w:rsidR="00BA4056" w:rsidRDefault="00BA4056">
            <w:pPr>
              <w:rPr>
                <w:rFonts w:ascii="Cambria" w:eastAsia="Times New Roman" w:hAnsi="Cambria" w:cs="Arial"/>
                <w:sz w:val="20"/>
                <w:szCs w:val="20"/>
                <w:lang w:eastAsia="es-CO"/>
              </w:rPr>
            </w:pPr>
            <w:r>
              <w:rPr>
                <w:rFonts w:ascii="Cambria" w:eastAsia="Times New Roman" w:hAnsi="Cambria" w:cs="Arial"/>
                <w:sz w:val="20"/>
                <w:szCs w:val="20"/>
                <w:lang w:eastAsia="es-CO"/>
              </w:rPr>
              <w:t>Human Rights Professionals – Consultants</w:t>
            </w:r>
          </w:p>
        </w:tc>
        <w:tc>
          <w:tcPr>
            <w:tcW w:w="992" w:type="dxa"/>
            <w:tcBorders>
              <w:top w:val="nil"/>
              <w:left w:val="nil"/>
              <w:bottom w:val="single" w:sz="8" w:space="0" w:color="95B3D7"/>
              <w:right w:val="single" w:sz="8" w:space="0" w:color="95B3D7"/>
            </w:tcBorders>
            <w:noWrap/>
            <w:hideMark/>
          </w:tcPr>
          <w:p w14:paraId="340D376C"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5</w:t>
            </w:r>
          </w:p>
        </w:tc>
        <w:tc>
          <w:tcPr>
            <w:tcW w:w="1559" w:type="dxa"/>
            <w:tcBorders>
              <w:top w:val="nil"/>
              <w:left w:val="nil"/>
              <w:bottom w:val="single" w:sz="8" w:space="0" w:color="95B3D7"/>
              <w:right w:val="single" w:sz="8" w:space="0" w:color="95B3D7"/>
            </w:tcBorders>
            <w:hideMark/>
          </w:tcPr>
          <w:p w14:paraId="7A140B0A"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42</w:t>
            </w:r>
          </w:p>
        </w:tc>
        <w:tc>
          <w:tcPr>
            <w:tcW w:w="2126" w:type="dxa"/>
            <w:tcBorders>
              <w:top w:val="nil"/>
              <w:left w:val="nil"/>
              <w:bottom w:val="single" w:sz="8" w:space="0" w:color="95B3D7"/>
              <w:right w:val="single" w:sz="8" w:space="0" w:color="95B3D7"/>
            </w:tcBorders>
            <w:hideMark/>
          </w:tcPr>
          <w:p w14:paraId="6DF8728B"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0</w:t>
            </w:r>
          </w:p>
        </w:tc>
        <w:tc>
          <w:tcPr>
            <w:tcW w:w="1134" w:type="dxa"/>
            <w:tcBorders>
              <w:top w:val="nil"/>
              <w:left w:val="nil"/>
              <w:bottom w:val="single" w:sz="8" w:space="0" w:color="95B3D7"/>
              <w:right w:val="single" w:sz="8" w:space="0" w:color="95B3D7"/>
            </w:tcBorders>
            <w:hideMark/>
          </w:tcPr>
          <w:p w14:paraId="6F4F3EB2"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bCs/>
                <w:sz w:val="20"/>
                <w:szCs w:val="20"/>
              </w:rPr>
              <w:t>47</w:t>
            </w:r>
          </w:p>
        </w:tc>
      </w:tr>
      <w:tr w:rsidR="00BA4056" w14:paraId="76358E95" w14:textId="77777777" w:rsidTr="00BA4056">
        <w:trPr>
          <w:trHeight w:hRule="exact" w:val="270"/>
        </w:trPr>
        <w:tc>
          <w:tcPr>
            <w:tcW w:w="3261" w:type="dxa"/>
            <w:tcBorders>
              <w:top w:val="nil"/>
              <w:left w:val="single" w:sz="8" w:space="0" w:color="95B3D7"/>
              <w:bottom w:val="single" w:sz="8" w:space="0" w:color="95B3D7"/>
              <w:right w:val="single" w:sz="8" w:space="0" w:color="95B3D7"/>
            </w:tcBorders>
            <w:shd w:val="clear" w:color="auto" w:fill="DBE5F1"/>
            <w:noWrap/>
            <w:hideMark/>
          </w:tcPr>
          <w:p w14:paraId="02E6CE5E" w14:textId="77777777" w:rsidR="00BA4056" w:rsidRDefault="00BA4056">
            <w:pPr>
              <w:rPr>
                <w:rFonts w:ascii="Cambria" w:eastAsia="Times New Roman" w:hAnsi="Cambria" w:cs="Arial"/>
                <w:sz w:val="20"/>
                <w:szCs w:val="20"/>
                <w:lang w:eastAsia="es-CO"/>
              </w:rPr>
            </w:pPr>
            <w:r>
              <w:rPr>
                <w:rFonts w:ascii="Cambria" w:eastAsia="Times New Roman" w:hAnsi="Cambria" w:cs="Arial"/>
                <w:sz w:val="20"/>
                <w:szCs w:val="20"/>
                <w:lang w:eastAsia="es-CO"/>
              </w:rPr>
              <w:t>Administrative Staff – Consultants</w:t>
            </w:r>
          </w:p>
        </w:tc>
        <w:tc>
          <w:tcPr>
            <w:tcW w:w="992" w:type="dxa"/>
            <w:tcBorders>
              <w:top w:val="nil"/>
              <w:left w:val="nil"/>
              <w:bottom w:val="single" w:sz="8" w:space="0" w:color="95B3D7"/>
              <w:right w:val="single" w:sz="8" w:space="0" w:color="95B3D7"/>
            </w:tcBorders>
            <w:shd w:val="clear" w:color="auto" w:fill="DBE5F1"/>
            <w:noWrap/>
            <w:hideMark/>
          </w:tcPr>
          <w:p w14:paraId="6B8796DB"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3</w:t>
            </w:r>
          </w:p>
        </w:tc>
        <w:tc>
          <w:tcPr>
            <w:tcW w:w="1559" w:type="dxa"/>
            <w:tcBorders>
              <w:top w:val="nil"/>
              <w:left w:val="nil"/>
              <w:bottom w:val="single" w:sz="8" w:space="0" w:color="95B3D7"/>
              <w:right w:val="single" w:sz="8" w:space="0" w:color="95B3D7"/>
            </w:tcBorders>
            <w:shd w:val="clear" w:color="auto" w:fill="DBE5F1"/>
            <w:hideMark/>
          </w:tcPr>
          <w:p w14:paraId="4BB33DEE"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15</w:t>
            </w:r>
          </w:p>
        </w:tc>
        <w:tc>
          <w:tcPr>
            <w:tcW w:w="2126" w:type="dxa"/>
            <w:tcBorders>
              <w:top w:val="nil"/>
              <w:left w:val="nil"/>
              <w:bottom w:val="single" w:sz="8" w:space="0" w:color="95B3D7"/>
              <w:right w:val="single" w:sz="8" w:space="0" w:color="95B3D7"/>
            </w:tcBorders>
            <w:shd w:val="clear" w:color="auto" w:fill="DBE5F1"/>
            <w:hideMark/>
          </w:tcPr>
          <w:p w14:paraId="365BB34C"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0</w:t>
            </w:r>
          </w:p>
        </w:tc>
        <w:tc>
          <w:tcPr>
            <w:tcW w:w="1134" w:type="dxa"/>
            <w:tcBorders>
              <w:top w:val="nil"/>
              <w:left w:val="nil"/>
              <w:bottom w:val="single" w:sz="8" w:space="0" w:color="95B3D7"/>
              <w:right w:val="single" w:sz="8" w:space="0" w:color="95B3D7"/>
            </w:tcBorders>
            <w:shd w:val="clear" w:color="auto" w:fill="DBE5F1"/>
            <w:hideMark/>
          </w:tcPr>
          <w:p w14:paraId="76FA2A4C"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bCs/>
                <w:sz w:val="20"/>
                <w:szCs w:val="20"/>
              </w:rPr>
              <w:t>18</w:t>
            </w:r>
          </w:p>
        </w:tc>
      </w:tr>
      <w:tr w:rsidR="00BA4056" w14:paraId="68525E0B" w14:textId="77777777" w:rsidTr="00BA4056">
        <w:trPr>
          <w:trHeight w:hRule="exact" w:val="270"/>
        </w:trPr>
        <w:tc>
          <w:tcPr>
            <w:tcW w:w="3261" w:type="dxa"/>
            <w:tcBorders>
              <w:top w:val="nil"/>
              <w:left w:val="single" w:sz="8" w:space="0" w:color="95B3D7"/>
              <w:bottom w:val="single" w:sz="8" w:space="0" w:color="95B3D7"/>
              <w:right w:val="single" w:sz="8" w:space="0" w:color="95B3D7"/>
            </w:tcBorders>
            <w:noWrap/>
            <w:hideMark/>
          </w:tcPr>
          <w:p w14:paraId="7FABD666" w14:textId="77777777" w:rsidR="00BA4056" w:rsidRDefault="00BA4056">
            <w:pPr>
              <w:rPr>
                <w:rFonts w:ascii="Cambria" w:eastAsia="Times New Roman" w:hAnsi="Cambria" w:cs="Arial"/>
                <w:sz w:val="20"/>
                <w:szCs w:val="20"/>
                <w:lang w:eastAsia="es-CO"/>
              </w:rPr>
            </w:pPr>
            <w:r>
              <w:rPr>
                <w:rFonts w:ascii="Cambria" w:eastAsia="Times New Roman" w:hAnsi="Cambria" w:cs="Arial"/>
                <w:sz w:val="20"/>
                <w:szCs w:val="20"/>
                <w:lang w:eastAsia="es-CO"/>
              </w:rPr>
              <w:t>Other Professionals – Consultants</w:t>
            </w:r>
          </w:p>
        </w:tc>
        <w:tc>
          <w:tcPr>
            <w:tcW w:w="992" w:type="dxa"/>
            <w:tcBorders>
              <w:top w:val="nil"/>
              <w:left w:val="nil"/>
              <w:bottom w:val="single" w:sz="8" w:space="0" w:color="95B3D7"/>
              <w:right w:val="single" w:sz="8" w:space="0" w:color="95B3D7"/>
            </w:tcBorders>
            <w:noWrap/>
            <w:hideMark/>
          </w:tcPr>
          <w:p w14:paraId="7E4CF306" w14:textId="77777777" w:rsidR="00BA4056" w:rsidRDefault="00BA4056">
            <w:pPr>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6</w:t>
            </w:r>
          </w:p>
        </w:tc>
        <w:tc>
          <w:tcPr>
            <w:tcW w:w="1559" w:type="dxa"/>
            <w:tcBorders>
              <w:top w:val="nil"/>
              <w:left w:val="nil"/>
              <w:bottom w:val="single" w:sz="8" w:space="0" w:color="95B3D7"/>
              <w:right w:val="single" w:sz="8" w:space="0" w:color="95B3D7"/>
            </w:tcBorders>
            <w:hideMark/>
          </w:tcPr>
          <w:p w14:paraId="691423A4" w14:textId="77777777" w:rsidR="00BA4056" w:rsidRDefault="00BA4056">
            <w:pPr>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12</w:t>
            </w:r>
          </w:p>
        </w:tc>
        <w:tc>
          <w:tcPr>
            <w:tcW w:w="2126" w:type="dxa"/>
            <w:tcBorders>
              <w:top w:val="nil"/>
              <w:left w:val="nil"/>
              <w:bottom w:val="single" w:sz="8" w:space="0" w:color="95B3D7"/>
              <w:right w:val="single" w:sz="8" w:space="0" w:color="95B3D7"/>
            </w:tcBorders>
            <w:hideMark/>
          </w:tcPr>
          <w:p w14:paraId="44A82B29" w14:textId="77777777" w:rsidR="00BA4056" w:rsidRDefault="00BA4056">
            <w:pPr>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0</w:t>
            </w:r>
          </w:p>
        </w:tc>
        <w:tc>
          <w:tcPr>
            <w:tcW w:w="1134" w:type="dxa"/>
            <w:tcBorders>
              <w:top w:val="nil"/>
              <w:left w:val="nil"/>
              <w:bottom w:val="single" w:sz="8" w:space="0" w:color="95B3D7"/>
              <w:right w:val="single" w:sz="8" w:space="0" w:color="95B3D7"/>
            </w:tcBorders>
            <w:hideMark/>
          </w:tcPr>
          <w:p w14:paraId="028CA2E8" w14:textId="77777777" w:rsidR="00BA4056" w:rsidRDefault="00BA4056">
            <w:pPr>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18</w:t>
            </w:r>
          </w:p>
        </w:tc>
      </w:tr>
      <w:tr w:rsidR="00BA4056" w14:paraId="0A886DB3" w14:textId="77777777" w:rsidTr="00BA4056">
        <w:trPr>
          <w:trHeight w:hRule="exact" w:val="270"/>
        </w:trPr>
        <w:tc>
          <w:tcPr>
            <w:tcW w:w="3261" w:type="dxa"/>
            <w:tcBorders>
              <w:top w:val="nil"/>
              <w:left w:val="single" w:sz="8" w:space="0" w:color="95B3D7"/>
              <w:bottom w:val="single" w:sz="8" w:space="0" w:color="95B3D7"/>
              <w:right w:val="single" w:sz="8" w:space="0" w:color="95B3D7"/>
            </w:tcBorders>
            <w:noWrap/>
            <w:vAlign w:val="center"/>
            <w:hideMark/>
          </w:tcPr>
          <w:p w14:paraId="3AEEBBF1" w14:textId="77777777" w:rsidR="00BA4056" w:rsidRDefault="00BA4056">
            <w:pPr>
              <w:rPr>
                <w:rFonts w:ascii="Cambria" w:eastAsia="Times New Roman" w:hAnsi="Cambria" w:cs="Arial"/>
                <w:sz w:val="20"/>
                <w:szCs w:val="20"/>
                <w:lang w:eastAsia="es-CO"/>
              </w:rPr>
            </w:pPr>
            <w:r>
              <w:rPr>
                <w:rFonts w:ascii="Cambria" w:eastAsia="Times New Roman" w:hAnsi="Cambria" w:cs="Arial"/>
                <w:b/>
                <w:bCs/>
                <w:sz w:val="20"/>
                <w:szCs w:val="20"/>
                <w:lang w:eastAsia="es-CO"/>
              </w:rPr>
              <w:t xml:space="preserve">Subtotal Consultants </w:t>
            </w:r>
          </w:p>
        </w:tc>
        <w:tc>
          <w:tcPr>
            <w:tcW w:w="992" w:type="dxa"/>
            <w:tcBorders>
              <w:top w:val="nil"/>
              <w:left w:val="nil"/>
              <w:bottom w:val="single" w:sz="8" w:space="0" w:color="95B3D7"/>
              <w:right w:val="single" w:sz="8" w:space="0" w:color="95B3D7"/>
            </w:tcBorders>
            <w:noWrap/>
            <w:hideMark/>
          </w:tcPr>
          <w:p w14:paraId="73ACE543" w14:textId="77777777" w:rsidR="00BA4056" w:rsidRDefault="00BA4056">
            <w:pPr>
              <w:jc w:val="center"/>
              <w:rPr>
                <w:rFonts w:ascii="Cambria" w:eastAsia="Times New Roman" w:hAnsi="Cambria" w:cs="Arial"/>
                <w:sz w:val="20"/>
                <w:szCs w:val="20"/>
                <w:lang w:eastAsia="es-CO"/>
              </w:rPr>
            </w:pPr>
            <w:r>
              <w:rPr>
                <w:rFonts w:ascii="Cambria" w:eastAsia="Times New Roman" w:hAnsi="Cambria" w:cs="Arial"/>
                <w:b/>
                <w:bCs/>
                <w:sz w:val="20"/>
                <w:szCs w:val="20"/>
              </w:rPr>
              <w:t>14</w:t>
            </w:r>
          </w:p>
        </w:tc>
        <w:tc>
          <w:tcPr>
            <w:tcW w:w="1559" w:type="dxa"/>
            <w:tcBorders>
              <w:top w:val="nil"/>
              <w:left w:val="nil"/>
              <w:bottom w:val="single" w:sz="8" w:space="0" w:color="95B3D7"/>
              <w:right w:val="single" w:sz="8" w:space="0" w:color="95B3D7"/>
            </w:tcBorders>
            <w:hideMark/>
          </w:tcPr>
          <w:p w14:paraId="4AE43DF1" w14:textId="77777777" w:rsidR="00BA4056" w:rsidRDefault="00BA4056">
            <w:pPr>
              <w:jc w:val="center"/>
              <w:rPr>
                <w:rFonts w:ascii="Cambria" w:eastAsia="Times New Roman" w:hAnsi="Cambria" w:cs="Arial"/>
                <w:b/>
                <w:sz w:val="20"/>
                <w:szCs w:val="20"/>
                <w:lang w:eastAsia="es-CO"/>
              </w:rPr>
            </w:pPr>
            <w:r>
              <w:rPr>
                <w:rFonts w:ascii="Cambria" w:eastAsia="Times New Roman" w:hAnsi="Cambria" w:cs="Arial"/>
                <w:b/>
                <w:sz w:val="20"/>
                <w:szCs w:val="20"/>
                <w:lang w:val="es-ES_tradnl" w:eastAsia="es-CO"/>
              </w:rPr>
              <w:t>69</w:t>
            </w:r>
          </w:p>
        </w:tc>
        <w:tc>
          <w:tcPr>
            <w:tcW w:w="2126" w:type="dxa"/>
            <w:tcBorders>
              <w:top w:val="nil"/>
              <w:left w:val="nil"/>
              <w:bottom w:val="single" w:sz="8" w:space="0" w:color="95B3D7"/>
              <w:right w:val="single" w:sz="8" w:space="0" w:color="95B3D7"/>
            </w:tcBorders>
            <w:hideMark/>
          </w:tcPr>
          <w:p w14:paraId="3129111B" w14:textId="77777777" w:rsidR="00BA4056" w:rsidRDefault="00BA4056">
            <w:pPr>
              <w:jc w:val="center"/>
              <w:rPr>
                <w:rFonts w:ascii="Cambria" w:eastAsia="Times New Roman" w:hAnsi="Cambria" w:cs="Arial"/>
                <w:sz w:val="20"/>
                <w:szCs w:val="20"/>
                <w:lang w:eastAsia="es-CO"/>
              </w:rPr>
            </w:pPr>
            <w:r>
              <w:rPr>
                <w:rFonts w:ascii="Cambria" w:eastAsia="Times New Roman" w:hAnsi="Cambria" w:cs="Arial"/>
                <w:b/>
                <w:bCs/>
                <w:sz w:val="20"/>
                <w:szCs w:val="20"/>
              </w:rPr>
              <w:t>0</w:t>
            </w:r>
          </w:p>
        </w:tc>
        <w:tc>
          <w:tcPr>
            <w:tcW w:w="1134" w:type="dxa"/>
            <w:tcBorders>
              <w:top w:val="nil"/>
              <w:left w:val="nil"/>
              <w:bottom w:val="single" w:sz="8" w:space="0" w:color="95B3D7"/>
              <w:right w:val="single" w:sz="8" w:space="0" w:color="95B3D7"/>
            </w:tcBorders>
            <w:hideMark/>
          </w:tcPr>
          <w:p w14:paraId="0F820863" w14:textId="77777777" w:rsidR="00BA4056" w:rsidRDefault="00BA4056">
            <w:pPr>
              <w:jc w:val="center"/>
              <w:rPr>
                <w:rFonts w:ascii="Cambria" w:eastAsia="Times New Roman" w:hAnsi="Cambria" w:cs="Arial"/>
                <w:sz w:val="20"/>
                <w:szCs w:val="20"/>
                <w:lang w:eastAsia="es-CO"/>
              </w:rPr>
            </w:pPr>
            <w:r>
              <w:rPr>
                <w:rFonts w:ascii="Cambria" w:eastAsia="Times New Roman" w:hAnsi="Cambria" w:cs="Arial"/>
                <w:b/>
                <w:bCs/>
                <w:sz w:val="20"/>
                <w:szCs w:val="20"/>
              </w:rPr>
              <w:t>83</w:t>
            </w:r>
          </w:p>
        </w:tc>
      </w:tr>
      <w:tr w:rsidR="00BA4056" w14:paraId="00F96490" w14:textId="77777777" w:rsidTr="00BA4056">
        <w:trPr>
          <w:trHeight w:hRule="exact" w:val="270"/>
        </w:trPr>
        <w:tc>
          <w:tcPr>
            <w:tcW w:w="3261" w:type="dxa"/>
            <w:tcBorders>
              <w:top w:val="nil"/>
              <w:left w:val="single" w:sz="8" w:space="0" w:color="95B3D7"/>
              <w:bottom w:val="single" w:sz="8" w:space="0" w:color="95B3D7"/>
              <w:right w:val="single" w:sz="8" w:space="0" w:color="95B3D7"/>
            </w:tcBorders>
            <w:shd w:val="clear" w:color="auto" w:fill="DBE5F1"/>
            <w:noWrap/>
            <w:vAlign w:val="center"/>
            <w:hideMark/>
          </w:tcPr>
          <w:p w14:paraId="2EE51431" w14:textId="77777777" w:rsidR="00BA4056" w:rsidRDefault="00BA4056">
            <w:pPr>
              <w:rPr>
                <w:rFonts w:ascii="Cambria" w:eastAsia="Times New Roman" w:hAnsi="Cambria" w:cs="Arial"/>
                <w:sz w:val="20"/>
                <w:szCs w:val="20"/>
                <w:lang w:eastAsia="es-CO"/>
              </w:rPr>
            </w:pPr>
            <w:r>
              <w:rPr>
                <w:rFonts w:ascii="Cambria" w:eastAsia="Times New Roman" w:hAnsi="Cambria" w:cs="Arial"/>
                <w:sz w:val="20"/>
                <w:szCs w:val="20"/>
                <w:lang w:eastAsia="es-CO"/>
              </w:rPr>
              <w:t>Associate Staff</w:t>
            </w:r>
          </w:p>
        </w:tc>
        <w:tc>
          <w:tcPr>
            <w:tcW w:w="992" w:type="dxa"/>
            <w:tcBorders>
              <w:top w:val="nil"/>
              <w:left w:val="nil"/>
              <w:bottom w:val="single" w:sz="8" w:space="0" w:color="95B3D7"/>
              <w:right w:val="single" w:sz="8" w:space="0" w:color="95B3D7"/>
            </w:tcBorders>
            <w:shd w:val="clear" w:color="auto" w:fill="DBE5F1"/>
            <w:noWrap/>
            <w:vAlign w:val="center"/>
            <w:hideMark/>
          </w:tcPr>
          <w:p w14:paraId="25445D11"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0</w:t>
            </w:r>
          </w:p>
        </w:tc>
        <w:tc>
          <w:tcPr>
            <w:tcW w:w="1559" w:type="dxa"/>
            <w:tcBorders>
              <w:top w:val="nil"/>
              <w:left w:val="nil"/>
              <w:bottom w:val="single" w:sz="8" w:space="0" w:color="95B3D7"/>
              <w:right w:val="single" w:sz="8" w:space="0" w:color="95B3D7"/>
            </w:tcBorders>
            <w:shd w:val="clear" w:color="auto" w:fill="DBE5F1"/>
            <w:vAlign w:val="center"/>
            <w:hideMark/>
          </w:tcPr>
          <w:p w14:paraId="4AB310AB"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ES_tradnl" w:eastAsia="es-CO"/>
              </w:rPr>
              <w:t>2</w:t>
            </w:r>
          </w:p>
        </w:tc>
        <w:tc>
          <w:tcPr>
            <w:tcW w:w="2126" w:type="dxa"/>
            <w:tcBorders>
              <w:top w:val="nil"/>
              <w:left w:val="nil"/>
              <w:bottom w:val="single" w:sz="8" w:space="0" w:color="95B3D7"/>
              <w:right w:val="single" w:sz="8" w:space="0" w:color="95B3D7"/>
            </w:tcBorders>
            <w:shd w:val="clear" w:color="auto" w:fill="DBE5F1"/>
            <w:vAlign w:val="center"/>
            <w:hideMark/>
          </w:tcPr>
          <w:p w14:paraId="52935280"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CO" w:eastAsia="es-CO"/>
              </w:rPr>
              <w:t>1</w:t>
            </w:r>
          </w:p>
        </w:tc>
        <w:tc>
          <w:tcPr>
            <w:tcW w:w="1134" w:type="dxa"/>
            <w:tcBorders>
              <w:top w:val="nil"/>
              <w:left w:val="nil"/>
              <w:bottom w:val="single" w:sz="8" w:space="0" w:color="95B3D7"/>
              <w:right w:val="single" w:sz="8" w:space="0" w:color="95B3D7"/>
            </w:tcBorders>
            <w:shd w:val="clear" w:color="auto" w:fill="DBE5F1"/>
            <w:vAlign w:val="center"/>
            <w:hideMark/>
          </w:tcPr>
          <w:p w14:paraId="78D0E54B"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color w:val="000000"/>
                <w:sz w:val="20"/>
                <w:szCs w:val="20"/>
                <w:lang w:val="es-CO" w:eastAsia="es-CO"/>
              </w:rPr>
              <w:t>3</w:t>
            </w:r>
          </w:p>
        </w:tc>
      </w:tr>
      <w:tr w:rsidR="00BA4056" w14:paraId="4146AF38" w14:textId="77777777" w:rsidTr="00BA4056">
        <w:trPr>
          <w:trHeight w:hRule="exact" w:val="270"/>
        </w:trPr>
        <w:tc>
          <w:tcPr>
            <w:tcW w:w="3261" w:type="dxa"/>
            <w:tcBorders>
              <w:top w:val="nil"/>
              <w:left w:val="single" w:sz="8" w:space="0" w:color="95B3D7"/>
              <w:bottom w:val="single" w:sz="8" w:space="0" w:color="95B3D7"/>
              <w:right w:val="single" w:sz="8" w:space="0" w:color="95B3D7"/>
            </w:tcBorders>
            <w:noWrap/>
            <w:hideMark/>
          </w:tcPr>
          <w:p w14:paraId="7A939498" w14:textId="77777777" w:rsidR="00BA4056" w:rsidRDefault="00BA4056">
            <w:pPr>
              <w:rPr>
                <w:rFonts w:ascii="Cambria" w:eastAsia="Times New Roman" w:hAnsi="Cambria" w:cs="Arial"/>
                <w:b/>
                <w:sz w:val="20"/>
                <w:szCs w:val="20"/>
                <w:lang w:eastAsia="es-CO"/>
              </w:rPr>
            </w:pPr>
            <w:r>
              <w:rPr>
                <w:rFonts w:ascii="Cambria" w:eastAsia="Times New Roman" w:hAnsi="Cambria" w:cs="Arial"/>
                <w:b/>
                <w:sz w:val="20"/>
                <w:szCs w:val="20"/>
                <w:lang w:eastAsia="es-CO"/>
              </w:rPr>
              <w:t>Total Staff</w:t>
            </w:r>
          </w:p>
        </w:tc>
        <w:tc>
          <w:tcPr>
            <w:tcW w:w="992" w:type="dxa"/>
            <w:tcBorders>
              <w:top w:val="nil"/>
              <w:left w:val="nil"/>
              <w:bottom w:val="single" w:sz="8" w:space="0" w:color="95B3D7"/>
              <w:right w:val="single" w:sz="8" w:space="0" w:color="95B3D7"/>
            </w:tcBorders>
            <w:noWrap/>
            <w:hideMark/>
          </w:tcPr>
          <w:p w14:paraId="0AB8727A" w14:textId="77777777" w:rsidR="00BA4056" w:rsidRDefault="00BA4056">
            <w:pPr>
              <w:jc w:val="center"/>
              <w:rPr>
                <w:rFonts w:ascii="Cambria" w:eastAsia="Times New Roman" w:hAnsi="Cambria" w:cs="Arial"/>
                <w:b/>
                <w:sz w:val="20"/>
                <w:szCs w:val="20"/>
              </w:rPr>
            </w:pPr>
            <w:r>
              <w:rPr>
                <w:rFonts w:ascii="Cambria" w:eastAsia="Times New Roman" w:hAnsi="Cambria" w:cs="Arial"/>
                <w:b/>
                <w:sz w:val="20"/>
                <w:szCs w:val="20"/>
              </w:rPr>
              <w:t>63</w:t>
            </w:r>
          </w:p>
        </w:tc>
        <w:tc>
          <w:tcPr>
            <w:tcW w:w="1559" w:type="dxa"/>
            <w:tcBorders>
              <w:top w:val="nil"/>
              <w:left w:val="nil"/>
              <w:bottom w:val="single" w:sz="8" w:space="0" w:color="95B3D7"/>
              <w:right w:val="single" w:sz="8" w:space="0" w:color="95B3D7"/>
            </w:tcBorders>
            <w:hideMark/>
          </w:tcPr>
          <w:p w14:paraId="610C5682" w14:textId="77777777" w:rsidR="00BA4056" w:rsidRDefault="00BA4056">
            <w:pPr>
              <w:jc w:val="center"/>
              <w:rPr>
                <w:rFonts w:ascii="Cambria" w:eastAsia="Times New Roman" w:hAnsi="Cambria" w:cs="Arial"/>
                <w:b/>
                <w:sz w:val="20"/>
                <w:szCs w:val="20"/>
              </w:rPr>
            </w:pPr>
            <w:r>
              <w:rPr>
                <w:rFonts w:ascii="Cambria" w:eastAsia="Times New Roman" w:hAnsi="Cambria" w:cs="Arial"/>
                <w:b/>
                <w:sz w:val="20"/>
                <w:szCs w:val="20"/>
              </w:rPr>
              <w:t>76</w:t>
            </w:r>
          </w:p>
        </w:tc>
        <w:tc>
          <w:tcPr>
            <w:tcW w:w="2126" w:type="dxa"/>
            <w:tcBorders>
              <w:top w:val="nil"/>
              <w:left w:val="nil"/>
              <w:bottom w:val="single" w:sz="8" w:space="0" w:color="95B3D7"/>
              <w:right w:val="single" w:sz="8" w:space="0" w:color="95B3D7"/>
            </w:tcBorders>
            <w:hideMark/>
          </w:tcPr>
          <w:p w14:paraId="315FAF2A" w14:textId="77777777" w:rsidR="00BA4056" w:rsidRDefault="00BA4056">
            <w:pPr>
              <w:jc w:val="center"/>
              <w:rPr>
                <w:rFonts w:ascii="Cambria" w:eastAsia="Times New Roman" w:hAnsi="Cambria" w:cs="Arial"/>
                <w:b/>
                <w:sz w:val="20"/>
                <w:szCs w:val="20"/>
              </w:rPr>
            </w:pPr>
            <w:r>
              <w:rPr>
                <w:rFonts w:ascii="Cambria" w:eastAsia="Times New Roman" w:hAnsi="Cambria" w:cs="Arial"/>
                <w:b/>
                <w:sz w:val="20"/>
                <w:szCs w:val="20"/>
              </w:rPr>
              <w:t>1</w:t>
            </w:r>
          </w:p>
        </w:tc>
        <w:tc>
          <w:tcPr>
            <w:tcW w:w="1134" w:type="dxa"/>
            <w:tcBorders>
              <w:top w:val="nil"/>
              <w:left w:val="nil"/>
              <w:bottom w:val="single" w:sz="8" w:space="0" w:color="95B3D7"/>
              <w:right w:val="single" w:sz="8" w:space="0" w:color="95B3D7"/>
            </w:tcBorders>
            <w:hideMark/>
          </w:tcPr>
          <w:p w14:paraId="3ECFB45A" w14:textId="77777777" w:rsidR="00BA4056" w:rsidRDefault="00BA4056">
            <w:pPr>
              <w:jc w:val="center"/>
              <w:rPr>
                <w:rFonts w:ascii="Cambria" w:eastAsia="Times New Roman" w:hAnsi="Cambria" w:cs="Arial"/>
                <w:b/>
                <w:bCs/>
                <w:sz w:val="20"/>
                <w:szCs w:val="20"/>
              </w:rPr>
            </w:pPr>
            <w:r>
              <w:rPr>
                <w:rFonts w:ascii="Cambria" w:eastAsia="Times New Roman" w:hAnsi="Cambria" w:cs="Arial"/>
                <w:b/>
                <w:bCs/>
                <w:sz w:val="20"/>
                <w:szCs w:val="20"/>
              </w:rPr>
              <w:t>140</w:t>
            </w:r>
          </w:p>
        </w:tc>
      </w:tr>
      <w:tr w:rsidR="00BA4056" w14:paraId="7F3A384C" w14:textId="77777777" w:rsidTr="00BA4056">
        <w:trPr>
          <w:trHeight w:hRule="exact" w:val="270"/>
        </w:trPr>
        <w:tc>
          <w:tcPr>
            <w:tcW w:w="3261" w:type="dxa"/>
            <w:tcBorders>
              <w:top w:val="nil"/>
              <w:left w:val="single" w:sz="8" w:space="0" w:color="95B3D7"/>
              <w:bottom w:val="single" w:sz="8" w:space="0" w:color="95B3D7"/>
              <w:right w:val="single" w:sz="8" w:space="0" w:color="95B3D7"/>
            </w:tcBorders>
            <w:noWrap/>
            <w:hideMark/>
          </w:tcPr>
          <w:p w14:paraId="4FBCDEF8" w14:textId="77777777" w:rsidR="00BA4056" w:rsidRDefault="00BA4056">
            <w:pPr>
              <w:rPr>
                <w:rFonts w:ascii="Cambria" w:eastAsia="Times New Roman" w:hAnsi="Cambria" w:cs="Arial"/>
                <w:sz w:val="20"/>
                <w:szCs w:val="20"/>
                <w:lang w:eastAsia="es-CO"/>
              </w:rPr>
            </w:pPr>
            <w:r>
              <w:rPr>
                <w:rFonts w:ascii="Cambria" w:eastAsia="Times New Roman" w:hAnsi="Cambria" w:cs="Arial"/>
                <w:sz w:val="20"/>
                <w:szCs w:val="20"/>
                <w:lang w:eastAsia="es-CO"/>
              </w:rPr>
              <w:t>Fellows</w:t>
            </w:r>
          </w:p>
        </w:tc>
        <w:tc>
          <w:tcPr>
            <w:tcW w:w="992" w:type="dxa"/>
            <w:tcBorders>
              <w:top w:val="nil"/>
              <w:left w:val="nil"/>
              <w:bottom w:val="single" w:sz="8" w:space="0" w:color="95B3D7"/>
              <w:right w:val="single" w:sz="8" w:space="0" w:color="95B3D7"/>
            </w:tcBorders>
            <w:noWrap/>
            <w:hideMark/>
          </w:tcPr>
          <w:p w14:paraId="1BC2B1F4"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0</w:t>
            </w:r>
          </w:p>
        </w:tc>
        <w:tc>
          <w:tcPr>
            <w:tcW w:w="1559" w:type="dxa"/>
            <w:tcBorders>
              <w:top w:val="nil"/>
              <w:left w:val="nil"/>
              <w:bottom w:val="single" w:sz="8" w:space="0" w:color="95B3D7"/>
              <w:right w:val="single" w:sz="8" w:space="0" w:color="95B3D7"/>
            </w:tcBorders>
            <w:hideMark/>
          </w:tcPr>
          <w:p w14:paraId="173199A9"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3</w:t>
            </w:r>
          </w:p>
        </w:tc>
        <w:tc>
          <w:tcPr>
            <w:tcW w:w="2126" w:type="dxa"/>
            <w:tcBorders>
              <w:top w:val="nil"/>
              <w:left w:val="nil"/>
              <w:bottom w:val="single" w:sz="8" w:space="0" w:color="95B3D7"/>
              <w:right w:val="single" w:sz="8" w:space="0" w:color="95B3D7"/>
            </w:tcBorders>
            <w:hideMark/>
          </w:tcPr>
          <w:p w14:paraId="64E0AED3"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sz w:val="20"/>
                <w:szCs w:val="20"/>
              </w:rPr>
              <w:t>4</w:t>
            </w:r>
          </w:p>
        </w:tc>
        <w:tc>
          <w:tcPr>
            <w:tcW w:w="1134" w:type="dxa"/>
            <w:tcBorders>
              <w:top w:val="nil"/>
              <w:left w:val="nil"/>
              <w:bottom w:val="single" w:sz="8" w:space="0" w:color="95B3D7"/>
              <w:right w:val="single" w:sz="8" w:space="0" w:color="95B3D7"/>
            </w:tcBorders>
            <w:hideMark/>
          </w:tcPr>
          <w:p w14:paraId="1A9FCAF7" w14:textId="77777777" w:rsidR="00BA4056" w:rsidRDefault="00BA4056">
            <w:pPr>
              <w:jc w:val="center"/>
              <w:rPr>
                <w:rFonts w:ascii="Cambria" w:eastAsia="Times New Roman" w:hAnsi="Cambria" w:cs="Arial"/>
                <w:color w:val="000000"/>
                <w:sz w:val="20"/>
                <w:szCs w:val="20"/>
                <w:lang w:eastAsia="es-CO"/>
              </w:rPr>
            </w:pPr>
            <w:r>
              <w:rPr>
                <w:rFonts w:ascii="Cambria" w:eastAsia="Times New Roman" w:hAnsi="Cambria" w:cs="Arial"/>
                <w:bCs/>
                <w:sz w:val="20"/>
                <w:szCs w:val="20"/>
              </w:rPr>
              <w:t>7</w:t>
            </w:r>
          </w:p>
        </w:tc>
      </w:tr>
      <w:tr w:rsidR="00BA4056" w14:paraId="32143618" w14:textId="77777777" w:rsidTr="00BA4056">
        <w:trPr>
          <w:trHeight w:hRule="exact" w:val="270"/>
        </w:trPr>
        <w:tc>
          <w:tcPr>
            <w:tcW w:w="3261" w:type="dxa"/>
            <w:tcBorders>
              <w:top w:val="nil"/>
              <w:left w:val="single" w:sz="8" w:space="0" w:color="95B3D7"/>
              <w:bottom w:val="single" w:sz="8" w:space="0" w:color="95B3D7"/>
              <w:right w:val="single" w:sz="8" w:space="0" w:color="95B3D7"/>
            </w:tcBorders>
            <w:shd w:val="clear" w:color="auto" w:fill="D9E2F3" w:themeFill="accent1" w:themeFillTint="33"/>
            <w:noWrap/>
            <w:hideMark/>
          </w:tcPr>
          <w:p w14:paraId="778EC241"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sz w:val="20"/>
                <w:szCs w:val="20"/>
                <w:lang w:eastAsia="es-CO"/>
              </w:rPr>
              <w:t>Total</w:t>
            </w:r>
          </w:p>
        </w:tc>
        <w:tc>
          <w:tcPr>
            <w:tcW w:w="992" w:type="dxa"/>
            <w:tcBorders>
              <w:top w:val="nil"/>
              <w:left w:val="nil"/>
              <w:bottom w:val="single" w:sz="8" w:space="0" w:color="95B3D7"/>
              <w:right w:val="single" w:sz="8" w:space="0" w:color="95B3D7"/>
            </w:tcBorders>
            <w:shd w:val="clear" w:color="auto" w:fill="D9E2F3" w:themeFill="accent1" w:themeFillTint="33"/>
            <w:noWrap/>
            <w:hideMark/>
          </w:tcPr>
          <w:p w14:paraId="3ABF2130" w14:textId="77777777" w:rsidR="00BA4056" w:rsidRDefault="00BA4056">
            <w:pPr>
              <w:jc w:val="center"/>
              <w:rPr>
                <w:rFonts w:ascii="Cambria" w:eastAsia="Times New Roman" w:hAnsi="Cambria" w:cs="Arial"/>
                <w:b/>
                <w:bCs/>
                <w:color w:val="000000"/>
                <w:sz w:val="20"/>
                <w:szCs w:val="20"/>
                <w:lang w:eastAsia="es-CO"/>
              </w:rPr>
            </w:pPr>
            <w:r>
              <w:rPr>
                <w:rFonts w:ascii="Cambria" w:eastAsia="Times New Roman" w:hAnsi="Cambria" w:cs="Arial"/>
                <w:b/>
                <w:bCs/>
                <w:sz w:val="20"/>
                <w:szCs w:val="20"/>
              </w:rPr>
              <w:t>63</w:t>
            </w:r>
          </w:p>
        </w:tc>
        <w:tc>
          <w:tcPr>
            <w:tcW w:w="1559" w:type="dxa"/>
            <w:tcBorders>
              <w:top w:val="nil"/>
              <w:left w:val="nil"/>
              <w:bottom w:val="single" w:sz="8" w:space="0" w:color="95B3D7"/>
              <w:right w:val="single" w:sz="8" w:space="0" w:color="95B3D7"/>
            </w:tcBorders>
            <w:shd w:val="clear" w:color="auto" w:fill="D9E2F3" w:themeFill="accent1" w:themeFillTint="33"/>
            <w:noWrap/>
            <w:hideMark/>
          </w:tcPr>
          <w:p w14:paraId="516905BA" w14:textId="77777777" w:rsidR="00BA4056" w:rsidRDefault="00BA4056">
            <w:pPr>
              <w:jc w:val="center"/>
              <w:rPr>
                <w:rFonts w:ascii="Cambria" w:eastAsia="Times New Roman" w:hAnsi="Cambria" w:cs="Arial"/>
                <w:b/>
                <w:bCs/>
                <w:color w:val="000000"/>
                <w:sz w:val="20"/>
                <w:szCs w:val="20"/>
                <w:lang w:eastAsia="es-CO"/>
              </w:rPr>
            </w:pPr>
            <w:r>
              <w:rPr>
                <w:rFonts w:ascii="Cambria" w:eastAsia="Times New Roman" w:hAnsi="Cambria" w:cs="Arial"/>
                <w:b/>
                <w:bCs/>
                <w:sz w:val="20"/>
                <w:szCs w:val="20"/>
              </w:rPr>
              <w:t>79</w:t>
            </w:r>
          </w:p>
        </w:tc>
        <w:tc>
          <w:tcPr>
            <w:tcW w:w="2126" w:type="dxa"/>
            <w:tcBorders>
              <w:top w:val="nil"/>
              <w:left w:val="nil"/>
              <w:bottom w:val="single" w:sz="8" w:space="0" w:color="95B3D7"/>
              <w:right w:val="single" w:sz="8" w:space="0" w:color="95B3D7"/>
            </w:tcBorders>
            <w:shd w:val="clear" w:color="auto" w:fill="D9E2F3" w:themeFill="accent1" w:themeFillTint="33"/>
            <w:noWrap/>
            <w:hideMark/>
          </w:tcPr>
          <w:p w14:paraId="450DA1DD" w14:textId="77777777" w:rsidR="00BA4056" w:rsidRDefault="00BA4056">
            <w:pPr>
              <w:jc w:val="center"/>
              <w:rPr>
                <w:rFonts w:ascii="Cambria" w:eastAsia="Times New Roman" w:hAnsi="Cambria" w:cs="Arial"/>
                <w:b/>
                <w:bCs/>
                <w:color w:val="000000"/>
                <w:sz w:val="20"/>
                <w:szCs w:val="20"/>
                <w:lang w:eastAsia="es-CO"/>
              </w:rPr>
            </w:pPr>
            <w:r>
              <w:rPr>
                <w:rFonts w:ascii="Cambria" w:eastAsia="Times New Roman" w:hAnsi="Cambria" w:cs="Arial"/>
                <w:b/>
                <w:bCs/>
                <w:sz w:val="20"/>
                <w:szCs w:val="20"/>
              </w:rPr>
              <w:t>5</w:t>
            </w:r>
          </w:p>
        </w:tc>
        <w:tc>
          <w:tcPr>
            <w:tcW w:w="1134" w:type="dxa"/>
            <w:tcBorders>
              <w:top w:val="nil"/>
              <w:left w:val="nil"/>
              <w:bottom w:val="single" w:sz="8" w:space="0" w:color="95B3D7"/>
              <w:right w:val="single" w:sz="8" w:space="0" w:color="95B3D7"/>
            </w:tcBorders>
            <w:shd w:val="clear" w:color="auto" w:fill="D9E2F3" w:themeFill="accent1" w:themeFillTint="33"/>
            <w:noWrap/>
            <w:hideMark/>
          </w:tcPr>
          <w:p w14:paraId="37076757" w14:textId="77777777" w:rsidR="00BA4056" w:rsidRDefault="00BA4056">
            <w:pPr>
              <w:jc w:val="center"/>
              <w:rPr>
                <w:rFonts w:ascii="Cambria" w:eastAsia="Times New Roman" w:hAnsi="Cambria" w:cs="Arial"/>
                <w:b/>
                <w:bCs/>
                <w:color w:val="000000"/>
                <w:sz w:val="20"/>
                <w:szCs w:val="20"/>
                <w:lang w:eastAsia="es-CO"/>
              </w:rPr>
            </w:pPr>
            <w:r>
              <w:rPr>
                <w:rFonts w:ascii="Cambria" w:eastAsia="Times New Roman" w:hAnsi="Cambria" w:cs="Arial"/>
                <w:b/>
                <w:bCs/>
                <w:sz w:val="20"/>
                <w:szCs w:val="20"/>
              </w:rPr>
              <w:t>147</w:t>
            </w:r>
          </w:p>
        </w:tc>
      </w:tr>
    </w:tbl>
    <w:p w14:paraId="7F58843E" w14:textId="77777777" w:rsidR="00BA4056" w:rsidRDefault="00BA4056" w:rsidP="00BA4056">
      <w:pPr>
        <w:pStyle w:val="paragraphs"/>
        <w:numPr>
          <w:ilvl w:val="0"/>
          <w:numId w:val="0"/>
        </w:numPr>
        <w:ind w:left="1080"/>
        <w:rPr>
          <w:i/>
          <w:lang w:val="en-US"/>
        </w:rPr>
      </w:pPr>
    </w:p>
    <w:p w14:paraId="4C6C071E" w14:textId="5B62FB88" w:rsidR="00BA4056" w:rsidRDefault="00BA4056" w:rsidP="00BA4056">
      <w:pPr>
        <w:pStyle w:val="paragraphs"/>
        <w:numPr>
          <w:ilvl w:val="0"/>
          <w:numId w:val="0"/>
        </w:numPr>
        <w:ind w:left="1080"/>
        <w:rPr>
          <w:i/>
          <w:lang w:val="en-US"/>
        </w:rPr>
      </w:pPr>
      <w:r>
        <w:rPr>
          <w:i/>
          <w:lang w:val="en-US"/>
        </w:rPr>
        <w:t>*As of December 31, 2020, the Assistant Executive Secretary for Monitoring, Technical Cooperation, and Promotion has been serving as Acting Executive Secretary</w:t>
      </w:r>
    </w:p>
    <w:p w14:paraId="7DF001ED" w14:textId="46A42B0C" w:rsidR="00BA4056" w:rsidRPr="00BA4056" w:rsidRDefault="00BA4056" w:rsidP="00BA4056">
      <w:pPr>
        <w:pStyle w:val="paragraphs"/>
        <w:ind w:left="0" w:firstLine="720"/>
        <w:rPr>
          <w:lang w:val="en-US"/>
        </w:rPr>
      </w:pPr>
      <w:r>
        <w:rPr>
          <w:lang w:val="en-US"/>
        </w:rPr>
        <w:t xml:space="preserve">In terms of geographic representation and diversity, the 140 members mentioned in paragraph 1 (regular staff, consultants, and associate professionals), 61% of whom are women and 39% men, hail from 24 different States. The table below shows staff distribution by nationality and type of contract. </w:t>
      </w:r>
    </w:p>
    <w:tbl>
      <w:tblPr>
        <w:tblW w:w="9057" w:type="dxa"/>
        <w:jc w:val="center"/>
        <w:tblCellMar>
          <w:left w:w="70" w:type="dxa"/>
          <w:right w:w="70" w:type="dxa"/>
        </w:tblCellMar>
        <w:tblLook w:val="04A0" w:firstRow="1" w:lastRow="0" w:firstColumn="1" w:lastColumn="0" w:noHBand="0" w:noVBand="1"/>
      </w:tblPr>
      <w:tblGrid>
        <w:gridCol w:w="1011"/>
        <w:gridCol w:w="3261"/>
        <w:gridCol w:w="2460"/>
        <w:gridCol w:w="2700"/>
      </w:tblGrid>
      <w:tr w:rsidR="00BA4056" w14:paraId="299477FE" w14:textId="77777777" w:rsidTr="00A35AD3">
        <w:trPr>
          <w:trHeight w:val="548"/>
          <w:jc w:val="center"/>
        </w:trPr>
        <w:tc>
          <w:tcPr>
            <w:tcW w:w="636" w:type="dxa"/>
            <w:tcBorders>
              <w:top w:val="single" w:sz="8" w:space="0" w:color="4472C4"/>
              <w:left w:val="nil"/>
              <w:bottom w:val="single" w:sz="8" w:space="0" w:color="4472C4"/>
              <w:right w:val="nil"/>
            </w:tcBorders>
            <w:shd w:val="clear" w:color="auto" w:fill="4F81BD"/>
            <w:noWrap/>
            <w:vAlign w:val="center"/>
            <w:hideMark/>
          </w:tcPr>
          <w:p w14:paraId="7B86CCD7" w14:textId="77777777" w:rsidR="00BA4056" w:rsidRDefault="00BA4056" w:rsidP="00BA4056">
            <w:pPr>
              <w:rPr>
                <w:rFonts w:ascii="Cambria" w:eastAsia="Times New Roman" w:hAnsi="Cambria" w:cs="Arial"/>
                <w:b/>
                <w:bCs/>
                <w:color w:val="FFFFFF"/>
                <w:sz w:val="20"/>
                <w:szCs w:val="20"/>
                <w:lang w:eastAsia="es-CO"/>
              </w:rPr>
            </w:pPr>
            <w:r>
              <w:rPr>
                <w:rFonts w:ascii="Cambria" w:eastAsia="Times New Roman" w:hAnsi="Cambria" w:cs="Arial"/>
                <w:b/>
                <w:bCs/>
                <w:color w:val="FFFFFF"/>
                <w:sz w:val="20"/>
                <w:szCs w:val="20"/>
                <w:lang w:eastAsia="es-CO"/>
              </w:rPr>
              <w:lastRenderedPageBreak/>
              <w:t>Type of contract</w:t>
            </w:r>
          </w:p>
        </w:tc>
        <w:tc>
          <w:tcPr>
            <w:tcW w:w="3261" w:type="dxa"/>
            <w:tcBorders>
              <w:top w:val="single" w:sz="8" w:space="0" w:color="4472C4"/>
              <w:left w:val="nil"/>
              <w:bottom w:val="single" w:sz="8" w:space="0" w:color="4472C4"/>
              <w:right w:val="nil"/>
            </w:tcBorders>
            <w:shd w:val="clear" w:color="auto" w:fill="4F81BD"/>
            <w:noWrap/>
            <w:vAlign w:val="center"/>
            <w:hideMark/>
          </w:tcPr>
          <w:p w14:paraId="7D6D5C19" w14:textId="77777777" w:rsidR="00BA4056" w:rsidRDefault="00BA4056">
            <w:pPr>
              <w:ind w:left="92" w:hanging="20"/>
              <w:rPr>
                <w:rFonts w:ascii="Cambria" w:eastAsia="Times New Roman" w:hAnsi="Cambria" w:cs="Arial"/>
                <w:b/>
                <w:bCs/>
                <w:color w:val="FFFFFF"/>
                <w:sz w:val="20"/>
                <w:szCs w:val="20"/>
                <w:lang w:eastAsia="es-CO"/>
              </w:rPr>
            </w:pPr>
            <w:r>
              <w:rPr>
                <w:rFonts w:ascii="Cambria" w:eastAsia="Times New Roman" w:hAnsi="Cambria" w:cs="Arial"/>
                <w:b/>
                <w:bCs/>
                <w:color w:val="FFFFFF"/>
                <w:sz w:val="20"/>
                <w:szCs w:val="20"/>
                <w:lang w:eastAsia="es-CO"/>
              </w:rPr>
              <w:t>Country</w:t>
            </w:r>
          </w:p>
        </w:tc>
        <w:tc>
          <w:tcPr>
            <w:tcW w:w="2460" w:type="dxa"/>
            <w:tcBorders>
              <w:top w:val="single" w:sz="8" w:space="0" w:color="4472C4"/>
              <w:left w:val="nil"/>
              <w:bottom w:val="single" w:sz="8" w:space="0" w:color="4472C4"/>
              <w:right w:val="nil"/>
            </w:tcBorders>
            <w:shd w:val="clear" w:color="auto" w:fill="4F81BD"/>
            <w:noWrap/>
            <w:vAlign w:val="center"/>
            <w:hideMark/>
          </w:tcPr>
          <w:p w14:paraId="67731EFE" w14:textId="77777777" w:rsidR="00BA4056" w:rsidRDefault="00BA4056">
            <w:pPr>
              <w:jc w:val="center"/>
              <w:rPr>
                <w:rFonts w:ascii="Cambria" w:eastAsia="Times New Roman" w:hAnsi="Cambria" w:cs="Arial"/>
                <w:b/>
                <w:bCs/>
                <w:color w:val="FFFFFF"/>
                <w:sz w:val="20"/>
                <w:szCs w:val="20"/>
                <w:lang w:eastAsia="es-CO"/>
              </w:rPr>
            </w:pPr>
            <w:r>
              <w:rPr>
                <w:rFonts w:ascii="Cambria" w:eastAsia="Times New Roman" w:hAnsi="Cambria" w:cs="Arial"/>
                <w:b/>
                <w:bCs/>
                <w:color w:val="FFFFFF"/>
                <w:sz w:val="20"/>
                <w:szCs w:val="20"/>
                <w:lang w:eastAsia="es-CO"/>
              </w:rPr>
              <w:t>Nationality on joining the OAS</w:t>
            </w:r>
          </w:p>
        </w:tc>
        <w:tc>
          <w:tcPr>
            <w:tcW w:w="2700" w:type="dxa"/>
            <w:tcBorders>
              <w:top w:val="single" w:sz="8" w:space="0" w:color="4472C4"/>
              <w:left w:val="nil"/>
              <w:bottom w:val="single" w:sz="8" w:space="0" w:color="4472C4"/>
              <w:right w:val="nil"/>
            </w:tcBorders>
            <w:shd w:val="clear" w:color="auto" w:fill="4F81BD"/>
            <w:noWrap/>
            <w:vAlign w:val="center"/>
            <w:hideMark/>
          </w:tcPr>
          <w:p w14:paraId="4678F67A" w14:textId="77777777" w:rsidR="00BA4056" w:rsidRDefault="00BA4056">
            <w:pPr>
              <w:jc w:val="center"/>
              <w:rPr>
                <w:rFonts w:ascii="Cambria" w:eastAsia="Times New Roman" w:hAnsi="Cambria" w:cs="Arial"/>
                <w:b/>
                <w:bCs/>
                <w:color w:val="FFFFFF"/>
                <w:sz w:val="20"/>
                <w:szCs w:val="20"/>
                <w:lang w:eastAsia="es-CO"/>
              </w:rPr>
            </w:pPr>
            <w:r>
              <w:rPr>
                <w:rFonts w:ascii="Cambria" w:eastAsia="Times New Roman" w:hAnsi="Cambria" w:cs="Arial"/>
                <w:b/>
                <w:bCs/>
                <w:color w:val="FFFFFF"/>
                <w:sz w:val="20"/>
                <w:szCs w:val="20"/>
                <w:lang w:eastAsia="es-CO"/>
              </w:rPr>
              <w:t>Current nationality</w:t>
            </w:r>
          </w:p>
        </w:tc>
      </w:tr>
      <w:tr w:rsidR="00BA4056" w14:paraId="1B483A2A" w14:textId="77777777" w:rsidTr="00A35AD3">
        <w:trPr>
          <w:trHeight w:val="306"/>
          <w:jc w:val="center"/>
        </w:trPr>
        <w:tc>
          <w:tcPr>
            <w:tcW w:w="636" w:type="dxa"/>
            <w:noWrap/>
            <w:vAlign w:val="center"/>
            <w:hideMark/>
          </w:tcPr>
          <w:p w14:paraId="3FCC24AA"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Staff</w:t>
            </w:r>
          </w:p>
        </w:tc>
        <w:tc>
          <w:tcPr>
            <w:tcW w:w="3261" w:type="dxa"/>
            <w:noWrap/>
            <w:vAlign w:val="center"/>
            <w:hideMark/>
          </w:tcPr>
          <w:p w14:paraId="15A75BFC"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Antigua and Barbuda</w:t>
            </w:r>
          </w:p>
        </w:tc>
        <w:tc>
          <w:tcPr>
            <w:tcW w:w="2460" w:type="dxa"/>
            <w:noWrap/>
            <w:vAlign w:val="bottom"/>
            <w:hideMark/>
          </w:tcPr>
          <w:p w14:paraId="50809E4C"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w:t>
            </w:r>
          </w:p>
        </w:tc>
        <w:tc>
          <w:tcPr>
            <w:tcW w:w="2700" w:type="dxa"/>
            <w:noWrap/>
            <w:vAlign w:val="bottom"/>
            <w:hideMark/>
          </w:tcPr>
          <w:p w14:paraId="7145BBF2"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w:t>
            </w:r>
          </w:p>
        </w:tc>
      </w:tr>
      <w:tr w:rsidR="00BA4056" w14:paraId="1D4EB881" w14:textId="77777777" w:rsidTr="00A35AD3">
        <w:trPr>
          <w:trHeight w:val="306"/>
          <w:jc w:val="center"/>
        </w:trPr>
        <w:tc>
          <w:tcPr>
            <w:tcW w:w="636" w:type="dxa"/>
            <w:shd w:val="clear" w:color="auto" w:fill="D0DBF0"/>
            <w:noWrap/>
            <w:vAlign w:val="center"/>
            <w:hideMark/>
          </w:tcPr>
          <w:p w14:paraId="3CEC0B7D" w14:textId="77777777" w:rsidR="00BA4056" w:rsidRDefault="00BA4056">
            <w:pPr>
              <w:rPr>
                <w:rFonts w:ascii="Cambria" w:eastAsia="Times New Roman" w:hAnsi="Cambria" w:cs="Arial"/>
                <w:sz w:val="20"/>
                <w:szCs w:val="20"/>
                <w:lang w:eastAsia="es-CO"/>
              </w:rPr>
            </w:pPr>
          </w:p>
        </w:tc>
        <w:tc>
          <w:tcPr>
            <w:tcW w:w="3261" w:type="dxa"/>
            <w:shd w:val="clear" w:color="auto" w:fill="D0DBF0"/>
            <w:noWrap/>
            <w:vAlign w:val="center"/>
            <w:hideMark/>
          </w:tcPr>
          <w:p w14:paraId="46819705"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Argentina</w:t>
            </w:r>
          </w:p>
        </w:tc>
        <w:tc>
          <w:tcPr>
            <w:tcW w:w="2460" w:type="dxa"/>
            <w:shd w:val="clear" w:color="auto" w:fill="D0DBF0"/>
            <w:noWrap/>
            <w:vAlign w:val="bottom"/>
            <w:hideMark/>
          </w:tcPr>
          <w:p w14:paraId="748B8822"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3</w:t>
            </w:r>
          </w:p>
        </w:tc>
        <w:tc>
          <w:tcPr>
            <w:tcW w:w="2700" w:type="dxa"/>
            <w:shd w:val="clear" w:color="auto" w:fill="D0DBF0"/>
            <w:noWrap/>
            <w:vAlign w:val="bottom"/>
            <w:hideMark/>
          </w:tcPr>
          <w:p w14:paraId="27F28115"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2</w:t>
            </w:r>
          </w:p>
        </w:tc>
      </w:tr>
      <w:tr w:rsidR="00BA4056" w14:paraId="695F26E5" w14:textId="77777777" w:rsidTr="00A35AD3">
        <w:trPr>
          <w:trHeight w:val="247"/>
          <w:jc w:val="center"/>
        </w:trPr>
        <w:tc>
          <w:tcPr>
            <w:tcW w:w="636" w:type="dxa"/>
            <w:noWrap/>
            <w:vAlign w:val="center"/>
            <w:hideMark/>
          </w:tcPr>
          <w:p w14:paraId="7008F757"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2305B394"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Barbados</w:t>
            </w:r>
          </w:p>
        </w:tc>
        <w:tc>
          <w:tcPr>
            <w:tcW w:w="2460" w:type="dxa"/>
            <w:noWrap/>
            <w:vAlign w:val="bottom"/>
            <w:hideMark/>
          </w:tcPr>
          <w:p w14:paraId="2CC6E8B1"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w:t>
            </w:r>
          </w:p>
        </w:tc>
        <w:tc>
          <w:tcPr>
            <w:tcW w:w="2700" w:type="dxa"/>
            <w:noWrap/>
            <w:vAlign w:val="bottom"/>
            <w:hideMark/>
          </w:tcPr>
          <w:p w14:paraId="65D9A36B"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w:t>
            </w:r>
          </w:p>
        </w:tc>
      </w:tr>
      <w:tr w:rsidR="00BA4056" w14:paraId="3ABCE254" w14:textId="77777777" w:rsidTr="00A35AD3">
        <w:trPr>
          <w:trHeight w:val="255"/>
          <w:jc w:val="center"/>
        </w:trPr>
        <w:tc>
          <w:tcPr>
            <w:tcW w:w="636" w:type="dxa"/>
            <w:shd w:val="clear" w:color="auto" w:fill="D0DBF0"/>
            <w:noWrap/>
            <w:vAlign w:val="center"/>
            <w:hideMark/>
          </w:tcPr>
          <w:p w14:paraId="02641608"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shd w:val="clear" w:color="auto" w:fill="D0DBF0"/>
            <w:noWrap/>
            <w:vAlign w:val="center"/>
            <w:hideMark/>
          </w:tcPr>
          <w:p w14:paraId="54ADE787"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Bolivia</w:t>
            </w:r>
          </w:p>
        </w:tc>
        <w:tc>
          <w:tcPr>
            <w:tcW w:w="2460" w:type="dxa"/>
            <w:shd w:val="clear" w:color="auto" w:fill="D0DBF0"/>
            <w:noWrap/>
            <w:vAlign w:val="bottom"/>
            <w:hideMark/>
          </w:tcPr>
          <w:p w14:paraId="2E980FD8"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w:t>
            </w:r>
          </w:p>
        </w:tc>
        <w:tc>
          <w:tcPr>
            <w:tcW w:w="2700" w:type="dxa"/>
            <w:shd w:val="clear" w:color="auto" w:fill="D0DBF0"/>
            <w:noWrap/>
            <w:vAlign w:val="bottom"/>
            <w:hideMark/>
          </w:tcPr>
          <w:p w14:paraId="1AA4AE3C"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0</w:t>
            </w:r>
          </w:p>
        </w:tc>
      </w:tr>
      <w:tr w:rsidR="00BA4056" w14:paraId="3392A2E0" w14:textId="77777777" w:rsidTr="00A35AD3">
        <w:trPr>
          <w:trHeight w:val="255"/>
          <w:jc w:val="center"/>
        </w:trPr>
        <w:tc>
          <w:tcPr>
            <w:tcW w:w="636" w:type="dxa"/>
            <w:noWrap/>
            <w:vAlign w:val="center"/>
            <w:hideMark/>
          </w:tcPr>
          <w:p w14:paraId="7B4382A2"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67F7840D"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Brazil</w:t>
            </w:r>
          </w:p>
        </w:tc>
        <w:tc>
          <w:tcPr>
            <w:tcW w:w="2460" w:type="dxa"/>
            <w:noWrap/>
            <w:vAlign w:val="bottom"/>
            <w:hideMark/>
          </w:tcPr>
          <w:p w14:paraId="1D91C2A9"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7</w:t>
            </w:r>
          </w:p>
        </w:tc>
        <w:tc>
          <w:tcPr>
            <w:tcW w:w="2700" w:type="dxa"/>
            <w:noWrap/>
            <w:vAlign w:val="bottom"/>
            <w:hideMark/>
          </w:tcPr>
          <w:p w14:paraId="7BE5A25C"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6</w:t>
            </w:r>
          </w:p>
        </w:tc>
      </w:tr>
      <w:tr w:rsidR="00BA4056" w14:paraId="55AC0A4E" w14:textId="77777777" w:rsidTr="00A35AD3">
        <w:trPr>
          <w:trHeight w:val="255"/>
          <w:jc w:val="center"/>
        </w:trPr>
        <w:tc>
          <w:tcPr>
            <w:tcW w:w="636" w:type="dxa"/>
            <w:shd w:val="clear" w:color="auto" w:fill="D0DBF0"/>
            <w:noWrap/>
            <w:vAlign w:val="center"/>
            <w:hideMark/>
          </w:tcPr>
          <w:p w14:paraId="1B7F442B"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shd w:val="clear" w:color="auto" w:fill="D0DBF0"/>
            <w:noWrap/>
            <w:vAlign w:val="center"/>
            <w:hideMark/>
          </w:tcPr>
          <w:p w14:paraId="7C66E276"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Chile</w:t>
            </w:r>
          </w:p>
        </w:tc>
        <w:tc>
          <w:tcPr>
            <w:tcW w:w="2460" w:type="dxa"/>
            <w:shd w:val="clear" w:color="auto" w:fill="D0DBF0"/>
            <w:noWrap/>
            <w:vAlign w:val="bottom"/>
            <w:hideMark/>
          </w:tcPr>
          <w:p w14:paraId="120AB597"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2</w:t>
            </w:r>
          </w:p>
        </w:tc>
        <w:tc>
          <w:tcPr>
            <w:tcW w:w="2700" w:type="dxa"/>
            <w:shd w:val="clear" w:color="auto" w:fill="D0DBF0"/>
            <w:noWrap/>
            <w:vAlign w:val="bottom"/>
            <w:hideMark/>
          </w:tcPr>
          <w:p w14:paraId="3FE52AE9"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2</w:t>
            </w:r>
          </w:p>
        </w:tc>
      </w:tr>
      <w:tr w:rsidR="00BA4056" w14:paraId="53085A07" w14:textId="77777777" w:rsidTr="00A35AD3">
        <w:trPr>
          <w:trHeight w:val="255"/>
          <w:jc w:val="center"/>
        </w:trPr>
        <w:tc>
          <w:tcPr>
            <w:tcW w:w="636" w:type="dxa"/>
            <w:noWrap/>
            <w:vAlign w:val="center"/>
            <w:hideMark/>
          </w:tcPr>
          <w:p w14:paraId="44142E20"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553A48A8"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Colombia</w:t>
            </w:r>
          </w:p>
        </w:tc>
        <w:tc>
          <w:tcPr>
            <w:tcW w:w="2460" w:type="dxa"/>
            <w:noWrap/>
            <w:vAlign w:val="bottom"/>
            <w:hideMark/>
          </w:tcPr>
          <w:p w14:paraId="3802365D"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7</w:t>
            </w:r>
          </w:p>
        </w:tc>
        <w:tc>
          <w:tcPr>
            <w:tcW w:w="2700" w:type="dxa"/>
            <w:noWrap/>
            <w:vAlign w:val="bottom"/>
            <w:hideMark/>
          </w:tcPr>
          <w:p w14:paraId="47EC65C0"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5</w:t>
            </w:r>
          </w:p>
        </w:tc>
      </w:tr>
      <w:tr w:rsidR="00BA4056" w14:paraId="1AA67F56" w14:textId="77777777" w:rsidTr="00A35AD3">
        <w:trPr>
          <w:trHeight w:val="255"/>
          <w:jc w:val="center"/>
        </w:trPr>
        <w:tc>
          <w:tcPr>
            <w:tcW w:w="636" w:type="dxa"/>
            <w:shd w:val="clear" w:color="auto" w:fill="D0DBF0"/>
            <w:noWrap/>
            <w:vAlign w:val="center"/>
            <w:hideMark/>
          </w:tcPr>
          <w:p w14:paraId="0272B23D"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shd w:val="clear" w:color="auto" w:fill="D0DBF0"/>
            <w:noWrap/>
            <w:vAlign w:val="center"/>
            <w:hideMark/>
          </w:tcPr>
          <w:p w14:paraId="052C6CA9"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Guatemala</w:t>
            </w:r>
          </w:p>
        </w:tc>
        <w:tc>
          <w:tcPr>
            <w:tcW w:w="2460" w:type="dxa"/>
            <w:shd w:val="clear" w:color="auto" w:fill="D0DBF0"/>
            <w:noWrap/>
            <w:vAlign w:val="bottom"/>
            <w:hideMark/>
          </w:tcPr>
          <w:p w14:paraId="1451401A"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w:t>
            </w:r>
          </w:p>
        </w:tc>
        <w:tc>
          <w:tcPr>
            <w:tcW w:w="2700" w:type="dxa"/>
            <w:shd w:val="clear" w:color="auto" w:fill="D0DBF0"/>
            <w:noWrap/>
            <w:vAlign w:val="bottom"/>
            <w:hideMark/>
          </w:tcPr>
          <w:p w14:paraId="0C14F277"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w:t>
            </w:r>
          </w:p>
        </w:tc>
      </w:tr>
      <w:tr w:rsidR="00BA4056" w14:paraId="5ABF5874" w14:textId="77777777" w:rsidTr="00A35AD3">
        <w:trPr>
          <w:trHeight w:val="255"/>
          <w:jc w:val="center"/>
        </w:trPr>
        <w:tc>
          <w:tcPr>
            <w:tcW w:w="636" w:type="dxa"/>
            <w:noWrap/>
            <w:vAlign w:val="center"/>
            <w:hideMark/>
          </w:tcPr>
          <w:p w14:paraId="006FB5A3"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5897F090"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Mexico</w:t>
            </w:r>
          </w:p>
        </w:tc>
        <w:tc>
          <w:tcPr>
            <w:tcW w:w="2460" w:type="dxa"/>
            <w:noWrap/>
            <w:vAlign w:val="bottom"/>
            <w:hideMark/>
          </w:tcPr>
          <w:p w14:paraId="57F4AB4D"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3</w:t>
            </w:r>
          </w:p>
        </w:tc>
        <w:tc>
          <w:tcPr>
            <w:tcW w:w="2700" w:type="dxa"/>
            <w:noWrap/>
            <w:vAlign w:val="bottom"/>
            <w:hideMark/>
          </w:tcPr>
          <w:p w14:paraId="605C94A5"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3</w:t>
            </w:r>
          </w:p>
        </w:tc>
      </w:tr>
      <w:tr w:rsidR="00BA4056" w14:paraId="3F0C4740" w14:textId="77777777" w:rsidTr="00A35AD3">
        <w:trPr>
          <w:trHeight w:val="255"/>
          <w:jc w:val="center"/>
        </w:trPr>
        <w:tc>
          <w:tcPr>
            <w:tcW w:w="636" w:type="dxa"/>
            <w:shd w:val="clear" w:color="auto" w:fill="D0DBF0"/>
            <w:noWrap/>
            <w:vAlign w:val="center"/>
            <w:hideMark/>
          </w:tcPr>
          <w:p w14:paraId="79B14429"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shd w:val="clear" w:color="auto" w:fill="D0DBF0"/>
            <w:noWrap/>
            <w:vAlign w:val="center"/>
            <w:hideMark/>
          </w:tcPr>
          <w:p w14:paraId="2090D9EC"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Panama</w:t>
            </w:r>
          </w:p>
        </w:tc>
        <w:tc>
          <w:tcPr>
            <w:tcW w:w="2460" w:type="dxa"/>
            <w:shd w:val="clear" w:color="auto" w:fill="D0DBF0"/>
            <w:noWrap/>
            <w:vAlign w:val="bottom"/>
            <w:hideMark/>
          </w:tcPr>
          <w:p w14:paraId="7005047B"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w:t>
            </w:r>
          </w:p>
        </w:tc>
        <w:tc>
          <w:tcPr>
            <w:tcW w:w="2700" w:type="dxa"/>
            <w:shd w:val="clear" w:color="auto" w:fill="D0DBF0"/>
            <w:noWrap/>
            <w:vAlign w:val="bottom"/>
            <w:hideMark/>
          </w:tcPr>
          <w:p w14:paraId="0B89C30B"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w:t>
            </w:r>
          </w:p>
        </w:tc>
      </w:tr>
      <w:tr w:rsidR="00BA4056" w14:paraId="53EB2495" w14:textId="77777777" w:rsidTr="00A35AD3">
        <w:trPr>
          <w:trHeight w:val="255"/>
          <w:jc w:val="center"/>
        </w:trPr>
        <w:tc>
          <w:tcPr>
            <w:tcW w:w="636" w:type="dxa"/>
            <w:noWrap/>
            <w:vAlign w:val="center"/>
            <w:hideMark/>
          </w:tcPr>
          <w:p w14:paraId="55163C50"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5114AFA3"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Paraguay</w:t>
            </w:r>
          </w:p>
        </w:tc>
        <w:tc>
          <w:tcPr>
            <w:tcW w:w="2460" w:type="dxa"/>
            <w:noWrap/>
            <w:vAlign w:val="bottom"/>
            <w:hideMark/>
          </w:tcPr>
          <w:p w14:paraId="21A2F39B"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2</w:t>
            </w:r>
          </w:p>
        </w:tc>
        <w:tc>
          <w:tcPr>
            <w:tcW w:w="2700" w:type="dxa"/>
            <w:noWrap/>
            <w:vAlign w:val="bottom"/>
            <w:hideMark/>
          </w:tcPr>
          <w:p w14:paraId="036850A9"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2</w:t>
            </w:r>
          </w:p>
        </w:tc>
      </w:tr>
      <w:tr w:rsidR="00BA4056" w14:paraId="1E77B956" w14:textId="77777777" w:rsidTr="00A35AD3">
        <w:trPr>
          <w:trHeight w:val="255"/>
          <w:jc w:val="center"/>
        </w:trPr>
        <w:tc>
          <w:tcPr>
            <w:tcW w:w="636" w:type="dxa"/>
            <w:shd w:val="clear" w:color="auto" w:fill="D0DBF0"/>
            <w:noWrap/>
            <w:vAlign w:val="center"/>
            <w:hideMark/>
          </w:tcPr>
          <w:p w14:paraId="7EE74303"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shd w:val="clear" w:color="auto" w:fill="D0DBF0"/>
            <w:noWrap/>
            <w:vAlign w:val="center"/>
            <w:hideMark/>
          </w:tcPr>
          <w:p w14:paraId="0902D6F5"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Peru</w:t>
            </w:r>
          </w:p>
        </w:tc>
        <w:tc>
          <w:tcPr>
            <w:tcW w:w="2460" w:type="dxa"/>
            <w:shd w:val="clear" w:color="auto" w:fill="D0DBF0"/>
            <w:noWrap/>
            <w:vAlign w:val="bottom"/>
            <w:hideMark/>
          </w:tcPr>
          <w:p w14:paraId="4CFD3B10"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7</w:t>
            </w:r>
          </w:p>
        </w:tc>
        <w:tc>
          <w:tcPr>
            <w:tcW w:w="2700" w:type="dxa"/>
            <w:shd w:val="clear" w:color="auto" w:fill="D0DBF0"/>
            <w:noWrap/>
            <w:vAlign w:val="bottom"/>
            <w:hideMark/>
          </w:tcPr>
          <w:p w14:paraId="29CFA849"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3</w:t>
            </w:r>
          </w:p>
        </w:tc>
      </w:tr>
      <w:tr w:rsidR="00BA4056" w14:paraId="60286377" w14:textId="77777777" w:rsidTr="00A35AD3">
        <w:trPr>
          <w:trHeight w:val="255"/>
          <w:jc w:val="center"/>
        </w:trPr>
        <w:tc>
          <w:tcPr>
            <w:tcW w:w="636" w:type="dxa"/>
            <w:noWrap/>
            <w:vAlign w:val="center"/>
            <w:hideMark/>
          </w:tcPr>
          <w:p w14:paraId="720DD049"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16FC7BA1"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Uruguay</w:t>
            </w:r>
          </w:p>
        </w:tc>
        <w:tc>
          <w:tcPr>
            <w:tcW w:w="2460" w:type="dxa"/>
            <w:noWrap/>
            <w:vAlign w:val="bottom"/>
            <w:hideMark/>
          </w:tcPr>
          <w:p w14:paraId="6F1F93BF"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4</w:t>
            </w:r>
          </w:p>
        </w:tc>
        <w:tc>
          <w:tcPr>
            <w:tcW w:w="2700" w:type="dxa"/>
            <w:noWrap/>
            <w:vAlign w:val="bottom"/>
            <w:hideMark/>
          </w:tcPr>
          <w:p w14:paraId="2973F26F"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3</w:t>
            </w:r>
          </w:p>
        </w:tc>
      </w:tr>
      <w:tr w:rsidR="00BA4056" w14:paraId="79F3F954" w14:textId="77777777" w:rsidTr="00A35AD3">
        <w:trPr>
          <w:trHeight w:val="255"/>
          <w:jc w:val="center"/>
        </w:trPr>
        <w:tc>
          <w:tcPr>
            <w:tcW w:w="636" w:type="dxa"/>
            <w:shd w:val="clear" w:color="auto" w:fill="D0DBF0"/>
            <w:noWrap/>
            <w:vAlign w:val="center"/>
            <w:hideMark/>
          </w:tcPr>
          <w:p w14:paraId="087CAF97" w14:textId="77777777" w:rsidR="00BA4056" w:rsidRDefault="00BA4056">
            <w:pPr>
              <w:rPr>
                <w:rFonts w:ascii="Cambria" w:eastAsia="Times New Roman" w:hAnsi="Cambria" w:cs="Arial"/>
                <w:sz w:val="20"/>
                <w:szCs w:val="20"/>
                <w:lang w:eastAsia="es-CO"/>
              </w:rPr>
            </w:pPr>
          </w:p>
        </w:tc>
        <w:tc>
          <w:tcPr>
            <w:tcW w:w="3261" w:type="dxa"/>
            <w:shd w:val="clear" w:color="auto" w:fill="D0DBF0"/>
            <w:noWrap/>
            <w:vAlign w:val="center"/>
            <w:hideMark/>
          </w:tcPr>
          <w:p w14:paraId="3268E1CA"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United States</w:t>
            </w:r>
          </w:p>
        </w:tc>
        <w:tc>
          <w:tcPr>
            <w:tcW w:w="2460" w:type="dxa"/>
            <w:shd w:val="clear" w:color="auto" w:fill="D0DBF0"/>
            <w:noWrap/>
            <w:vAlign w:val="bottom"/>
            <w:hideMark/>
          </w:tcPr>
          <w:p w14:paraId="7CAAC31E"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11</w:t>
            </w:r>
          </w:p>
        </w:tc>
        <w:tc>
          <w:tcPr>
            <w:tcW w:w="2700" w:type="dxa"/>
            <w:shd w:val="clear" w:color="auto" w:fill="D0DBF0"/>
            <w:noWrap/>
            <w:vAlign w:val="bottom"/>
            <w:hideMark/>
          </w:tcPr>
          <w:p w14:paraId="3E0C53B4"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22</w:t>
            </w:r>
          </w:p>
        </w:tc>
      </w:tr>
      <w:tr w:rsidR="00BA4056" w14:paraId="20E56F28" w14:textId="77777777" w:rsidTr="00A35AD3">
        <w:trPr>
          <w:trHeight w:val="255"/>
          <w:jc w:val="center"/>
        </w:trPr>
        <w:tc>
          <w:tcPr>
            <w:tcW w:w="636" w:type="dxa"/>
            <w:noWrap/>
            <w:vAlign w:val="center"/>
            <w:hideMark/>
          </w:tcPr>
          <w:p w14:paraId="1FB0FCA9"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63D99DA8"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Venezuela</w:t>
            </w:r>
          </w:p>
        </w:tc>
        <w:tc>
          <w:tcPr>
            <w:tcW w:w="2460" w:type="dxa"/>
            <w:noWrap/>
            <w:vAlign w:val="bottom"/>
            <w:hideMark/>
          </w:tcPr>
          <w:p w14:paraId="2E823410"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2</w:t>
            </w:r>
          </w:p>
        </w:tc>
        <w:tc>
          <w:tcPr>
            <w:tcW w:w="2700" w:type="dxa"/>
            <w:noWrap/>
            <w:vAlign w:val="bottom"/>
            <w:hideMark/>
          </w:tcPr>
          <w:p w14:paraId="54141138"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val="es-ES_tradnl" w:eastAsia="es-CO"/>
              </w:rPr>
              <w:t>1</w:t>
            </w:r>
          </w:p>
        </w:tc>
      </w:tr>
      <w:tr w:rsidR="00BA4056" w14:paraId="12948D90" w14:textId="77777777" w:rsidTr="00A35AD3">
        <w:trPr>
          <w:trHeight w:val="255"/>
          <w:jc w:val="center"/>
        </w:trPr>
        <w:tc>
          <w:tcPr>
            <w:tcW w:w="636" w:type="dxa"/>
            <w:shd w:val="clear" w:color="auto" w:fill="8EAADB"/>
            <w:noWrap/>
            <w:vAlign w:val="center"/>
            <w:hideMark/>
          </w:tcPr>
          <w:p w14:paraId="1CE614E5"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Staff Total</w:t>
            </w:r>
          </w:p>
        </w:tc>
        <w:tc>
          <w:tcPr>
            <w:tcW w:w="3261" w:type="dxa"/>
            <w:shd w:val="clear" w:color="auto" w:fill="8EAADB"/>
            <w:noWrap/>
            <w:vAlign w:val="center"/>
            <w:hideMark/>
          </w:tcPr>
          <w:p w14:paraId="41BC53FB" w14:textId="77777777" w:rsidR="00BA4056" w:rsidRDefault="00BA4056">
            <w:pPr>
              <w:ind w:left="92" w:hanging="20"/>
              <w:jc w:val="right"/>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2460" w:type="dxa"/>
            <w:shd w:val="clear" w:color="auto" w:fill="8EAADB"/>
            <w:noWrap/>
            <w:vAlign w:val="center"/>
            <w:hideMark/>
          </w:tcPr>
          <w:p w14:paraId="70EEA643" w14:textId="77777777" w:rsidR="00BA4056" w:rsidRDefault="00BA4056">
            <w:pPr>
              <w:ind w:firstLine="42"/>
              <w:jc w:val="center"/>
              <w:rPr>
                <w:rFonts w:ascii="Cambria" w:eastAsia="Times New Roman" w:hAnsi="Cambria" w:cs="Arial"/>
                <w:b/>
                <w:bCs/>
                <w:sz w:val="20"/>
                <w:szCs w:val="20"/>
                <w:lang w:eastAsia="es-CO"/>
              </w:rPr>
            </w:pPr>
            <w:r>
              <w:rPr>
                <w:rFonts w:ascii="Cambria" w:eastAsia="Times New Roman" w:hAnsi="Cambria" w:cs="Arial"/>
                <w:b/>
                <w:bCs/>
                <w:sz w:val="20"/>
                <w:szCs w:val="20"/>
                <w:lang w:val="es-ES_tradnl" w:eastAsia="es-CO"/>
              </w:rPr>
              <w:t>54</w:t>
            </w:r>
          </w:p>
        </w:tc>
        <w:tc>
          <w:tcPr>
            <w:tcW w:w="2700" w:type="dxa"/>
            <w:shd w:val="clear" w:color="auto" w:fill="8EAADB"/>
            <w:noWrap/>
            <w:vAlign w:val="center"/>
            <w:hideMark/>
          </w:tcPr>
          <w:p w14:paraId="0E6D4FA1" w14:textId="77777777" w:rsidR="00BA4056" w:rsidRDefault="00BA4056">
            <w:pPr>
              <w:ind w:firstLine="42"/>
              <w:jc w:val="center"/>
              <w:rPr>
                <w:rFonts w:ascii="Cambria" w:eastAsia="Times New Roman" w:hAnsi="Cambria" w:cs="Arial"/>
                <w:b/>
                <w:bCs/>
                <w:sz w:val="20"/>
                <w:szCs w:val="20"/>
                <w:lang w:eastAsia="es-CO"/>
              </w:rPr>
            </w:pPr>
            <w:r>
              <w:rPr>
                <w:rFonts w:ascii="Cambria" w:eastAsia="Times New Roman" w:hAnsi="Cambria" w:cs="Arial"/>
                <w:b/>
                <w:bCs/>
                <w:sz w:val="20"/>
                <w:szCs w:val="20"/>
                <w:lang w:val="es-ES_tradnl" w:eastAsia="es-CO"/>
              </w:rPr>
              <w:t>54</w:t>
            </w:r>
          </w:p>
        </w:tc>
      </w:tr>
      <w:tr w:rsidR="00BA4056" w14:paraId="7A0356F0" w14:textId="77777777" w:rsidTr="00A35AD3">
        <w:trPr>
          <w:trHeight w:val="255"/>
          <w:jc w:val="center"/>
        </w:trPr>
        <w:tc>
          <w:tcPr>
            <w:tcW w:w="636" w:type="dxa"/>
            <w:shd w:val="clear" w:color="auto" w:fill="D0DBF0"/>
            <w:noWrap/>
            <w:vAlign w:val="center"/>
            <w:hideMark/>
          </w:tcPr>
          <w:p w14:paraId="68077805"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RBC</w:t>
            </w:r>
          </w:p>
        </w:tc>
        <w:tc>
          <w:tcPr>
            <w:tcW w:w="3261" w:type="dxa"/>
            <w:shd w:val="clear" w:color="auto" w:fill="D0DBF0"/>
            <w:noWrap/>
            <w:vAlign w:val="center"/>
            <w:hideMark/>
          </w:tcPr>
          <w:p w14:paraId="01944631"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Argentina</w:t>
            </w:r>
          </w:p>
        </w:tc>
        <w:tc>
          <w:tcPr>
            <w:tcW w:w="2460" w:type="dxa"/>
            <w:shd w:val="clear" w:color="auto" w:fill="D0DBF0"/>
            <w:noWrap/>
            <w:vAlign w:val="bottom"/>
            <w:hideMark/>
          </w:tcPr>
          <w:p w14:paraId="30556845"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5</w:t>
            </w:r>
          </w:p>
        </w:tc>
        <w:tc>
          <w:tcPr>
            <w:tcW w:w="2700" w:type="dxa"/>
            <w:shd w:val="clear" w:color="auto" w:fill="D0DBF0"/>
            <w:noWrap/>
            <w:vAlign w:val="center"/>
            <w:hideMark/>
          </w:tcPr>
          <w:p w14:paraId="578DE7D2"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5</w:t>
            </w:r>
          </w:p>
        </w:tc>
      </w:tr>
      <w:tr w:rsidR="00BA4056" w14:paraId="7940D007" w14:textId="77777777" w:rsidTr="00A35AD3">
        <w:trPr>
          <w:trHeight w:val="255"/>
          <w:jc w:val="center"/>
        </w:trPr>
        <w:tc>
          <w:tcPr>
            <w:tcW w:w="636" w:type="dxa"/>
            <w:noWrap/>
            <w:vAlign w:val="center"/>
            <w:hideMark/>
          </w:tcPr>
          <w:p w14:paraId="6D2B3011"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2CDFF82F"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Bolivia</w:t>
            </w:r>
          </w:p>
        </w:tc>
        <w:tc>
          <w:tcPr>
            <w:tcW w:w="2460" w:type="dxa"/>
            <w:noWrap/>
            <w:vAlign w:val="bottom"/>
            <w:hideMark/>
          </w:tcPr>
          <w:p w14:paraId="2740EE3B"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4</w:t>
            </w:r>
          </w:p>
        </w:tc>
        <w:tc>
          <w:tcPr>
            <w:tcW w:w="2700" w:type="dxa"/>
            <w:noWrap/>
            <w:vAlign w:val="center"/>
            <w:hideMark/>
          </w:tcPr>
          <w:p w14:paraId="01000808"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4</w:t>
            </w:r>
          </w:p>
        </w:tc>
      </w:tr>
      <w:tr w:rsidR="00BA4056" w14:paraId="1338FCE7" w14:textId="77777777" w:rsidTr="00A35AD3">
        <w:trPr>
          <w:trHeight w:val="255"/>
          <w:jc w:val="center"/>
        </w:trPr>
        <w:tc>
          <w:tcPr>
            <w:tcW w:w="636" w:type="dxa"/>
            <w:shd w:val="clear" w:color="auto" w:fill="D0DBF0"/>
            <w:noWrap/>
            <w:vAlign w:val="center"/>
            <w:hideMark/>
          </w:tcPr>
          <w:p w14:paraId="4679946E"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shd w:val="clear" w:color="auto" w:fill="D0DBF0"/>
            <w:noWrap/>
            <w:vAlign w:val="center"/>
            <w:hideMark/>
          </w:tcPr>
          <w:p w14:paraId="414016F4"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Brazil</w:t>
            </w:r>
          </w:p>
        </w:tc>
        <w:tc>
          <w:tcPr>
            <w:tcW w:w="2460" w:type="dxa"/>
            <w:shd w:val="clear" w:color="auto" w:fill="D0DBF0"/>
            <w:noWrap/>
            <w:vAlign w:val="bottom"/>
            <w:hideMark/>
          </w:tcPr>
          <w:p w14:paraId="52BD640F"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11</w:t>
            </w:r>
          </w:p>
        </w:tc>
        <w:tc>
          <w:tcPr>
            <w:tcW w:w="2700" w:type="dxa"/>
            <w:shd w:val="clear" w:color="auto" w:fill="D0DBF0"/>
            <w:noWrap/>
            <w:vAlign w:val="center"/>
            <w:hideMark/>
          </w:tcPr>
          <w:p w14:paraId="46B46FFC"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11</w:t>
            </w:r>
          </w:p>
        </w:tc>
      </w:tr>
      <w:tr w:rsidR="00BA4056" w14:paraId="3A9ADA09" w14:textId="77777777" w:rsidTr="00A35AD3">
        <w:trPr>
          <w:trHeight w:val="255"/>
          <w:jc w:val="center"/>
        </w:trPr>
        <w:tc>
          <w:tcPr>
            <w:tcW w:w="636" w:type="dxa"/>
            <w:noWrap/>
            <w:vAlign w:val="center"/>
            <w:hideMark/>
          </w:tcPr>
          <w:p w14:paraId="0C4AE20B"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2FCE7559"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Canada</w:t>
            </w:r>
          </w:p>
        </w:tc>
        <w:tc>
          <w:tcPr>
            <w:tcW w:w="2460" w:type="dxa"/>
            <w:noWrap/>
            <w:vAlign w:val="bottom"/>
            <w:hideMark/>
          </w:tcPr>
          <w:p w14:paraId="1E789766"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2</w:t>
            </w:r>
          </w:p>
        </w:tc>
        <w:tc>
          <w:tcPr>
            <w:tcW w:w="2700" w:type="dxa"/>
            <w:noWrap/>
            <w:vAlign w:val="center"/>
            <w:hideMark/>
          </w:tcPr>
          <w:p w14:paraId="1354E326"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2</w:t>
            </w:r>
          </w:p>
        </w:tc>
      </w:tr>
      <w:tr w:rsidR="00BA4056" w14:paraId="5D72EC77" w14:textId="77777777" w:rsidTr="00A35AD3">
        <w:trPr>
          <w:trHeight w:val="255"/>
          <w:jc w:val="center"/>
        </w:trPr>
        <w:tc>
          <w:tcPr>
            <w:tcW w:w="636" w:type="dxa"/>
            <w:shd w:val="clear" w:color="auto" w:fill="D0DBF0"/>
            <w:noWrap/>
            <w:vAlign w:val="center"/>
            <w:hideMark/>
          </w:tcPr>
          <w:p w14:paraId="61AB4BB5"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shd w:val="clear" w:color="auto" w:fill="D0DBF0"/>
            <w:noWrap/>
            <w:vAlign w:val="center"/>
            <w:hideMark/>
          </w:tcPr>
          <w:p w14:paraId="038440B0"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Chile</w:t>
            </w:r>
          </w:p>
        </w:tc>
        <w:tc>
          <w:tcPr>
            <w:tcW w:w="2460" w:type="dxa"/>
            <w:shd w:val="clear" w:color="auto" w:fill="D0DBF0"/>
            <w:noWrap/>
            <w:vAlign w:val="bottom"/>
            <w:hideMark/>
          </w:tcPr>
          <w:p w14:paraId="03B262ED"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3</w:t>
            </w:r>
          </w:p>
        </w:tc>
        <w:tc>
          <w:tcPr>
            <w:tcW w:w="2700" w:type="dxa"/>
            <w:shd w:val="clear" w:color="auto" w:fill="D0DBF0"/>
            <w:noWrap/>
            <w:vAlign w:val="center"/>
            <w:hideMark/>
          </w:tcPr>
          <w:p w14:paraId="6D89E068"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3</w:t>
            </w:r>
          </w:p>
        </w:tc>
      </w:tr>
      <w:tr w:rsidR="00BA4056" w14:paraId="0FFB8E30" w14:textId="77777777" w:rsidTr="00A35AD3">
        <w:trPr>
          <w:trHeight w:val="255"/>
          <w:jc w:val="center"/>
        </w:trPr>
        <w:tc>
          <w:tcPr>
            <w:tcW w:w="636" w:type="dxa"/>
            <w:noWrap/>
            <w:vAlign w:val="center"/>
            <w:hideMark/>
          </w:tcPr>
          <w:p w14:paraId="1CE686A5"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52C8339E"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Colombia</w:t>
            </w:r>
          </w:p>
        </w:tc>
        <w:tc>
          <w:tcPr>
            <w:tcW w:w="2460" w:type="dxa"/>
            <w:noWrap/>
            <w:vAlign w:val="bottom"/>
            <w:hideMark/>
          </w:tcPr>
          <w:p w14:paraId="65711FC5"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14</w:t>
            </w:r>
          </w:p>
        </w:tc>
        <w:tc>
          <w:tcPr>
            <w:tcW w:w="2700" w:type="dxa"/>
            <w:noWrap/>
            <w:vAlign w:val="center"/>
            <w:hideMark/>
          </w:tcPr>
          <w:p w14:paraId="3FDCAD92"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14</w:t>
            </w:r>
          </w:p>
        </w:tc>
      </w:tr>
      <w:tr w:rsidR="00BA4056" w14:paraId="0F6F3B6B" w14:textId="77777777" w:rsidTr="00A35AD3">
        <w:trPr>
          <w:trHeight w:val="255"/>
          <w:jc w:val="center"/>
        </w:trPr>
        <w:tc>
          <w:tcPr>
            <w:tcW w:w="636" w:type="dxa"/>
            <w:shd w:val="clear" w:color="auto" w:fill="D0DBF0"/>
            <w:noWrap/>
            <w:vAlign w:val="center"/>
            <w:hideMark/>
          </w:tcPr>
          <w:p w14:paraId="408A7A3D"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shd w:val="clear" w:color="auto" w:fill="D0DBF0"/>
            <w:noWrap/>
            <w:vAlign w:val="center"/>
            <w:hideMark/>
          </w:tcPr>
          <w:p w14:paraId="1B8055D9"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Costa Rica</w:t>
            </w:r>
          </w:p>
        </w:tc>
        <w:tc>
          <w:tcPr>
            <w:tcW w:w="2460" w:type="dxa"/>
            <w:shd w:val="clear" w:color="auto" w:fill="D0DBF0"/>
            <w:noWrap/>
            <w:vAlign w:val="bottom"/>
            <w:hideMark/>
          </w:tcPr>
          <w:p w14:paraId="256A1796"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2</w:t>
            </w:r>
          </w:p>
        </w:tc>
        <w:tc>
          <w:tcPr>
            <w:tcW w:w="2700" w:type="dxa"/>
            <w:shd w:val="clear" w:color="auto" w:fill="D0DBF0"/>
            <w:noWrap/>
            <w:vAlign w:val="center"/>
            <w:hideMark/>
          </w:tcPr>
          <w:p w14:paraId="7217A058"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2</w:t>
            </w:r>
          </w:p>
        </w:tc>
      </w:tr>
      <w:tr w:rsidR="00BA4056" w14:paraId="46CFA743" w14:textId="77777777" w:rsidTr="00A35AD3">
        <w:trPr>
          <w:trHeight w:val="255"/>
          <w:jc w:val="center"/>
        </w:trPr>
        <w:tc>
          <w:tcPr>
            <w:tcW w:w="636" w:type="dxa"/>
            <w:noWrap/>
            <w:vAlign w:val="center"/>
            <w:hideMark/>
          </w:tcPr>
          <w:p w14:paraId="39473DA1"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7D142772"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Ecuador</w:t>
            </w:r>
          </w:p>
        </w:tc>
        <w:tc>
          <w:tcPr>
            <w:tcW w:w="2460" w:type="dxa"/>
            <w:noWrap/>
            <w:vAlign w:val="bottom"/>
            <w:hideMark/>
          </w:tcPr>
          <w:p w14:paraId="093A3814"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2</w:t>
            </w:r>
          </w:p>
        </w:tc>
        <w:tc>
          <w:tcPr>
            <w:tcW w:w="2700" w:type="dxa"/>
            <w:noWrap/>
            <w:vAlign w:val="center"/>
            <w:hideMark/>
          </w:tcPr>
          <w:p w14:paraId="19860DE4"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2</w:t>
            </w:r>
          </w:p>
        </w:tc>
      </w:tr>
      <w:tr w:rsidR="00BA4056" w14:paraId="40C1FB4A" w14:textId="77777777" w:rsidTr="00A35AD3">
        <w:trPr>
          <w:trHeight w:val="255"/>
          <w:jc w:val="center"/>
        </w:trPr>
        <w:tc>
          <w:tcPr>
            <w:tcW w:w="636" w:type="dxa"/>
            <w:shd w:val="clear" w:color="auto" w:fill="D0DBF0"/>
            <w:noWrap/>
            <w:vAlign w:val="center"/>
            <w:hideMark/>
          </w:tcPr>
          <w:p w14:paraId="2750A177"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shd w:val="clear" w:color="auto" w:fill="D0DBF0"/>
            <w:noWrap/>
            <w:vAlign w:val="center"/>
            <w:hideMark/>
          </w:tcPr>
          <w:p w14:paraId="5B4F09D3"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El Salvador</w:t>
            </w:r>
          </w:p>
        </w:tc>
        <w:tc>
          <w:tcPr>
            <w:tcW w:w="2460" w:type="dxa"/>
            <w:shd w:val="clear" w:color="auto" w:fill="D0DBF0"/>
            <w:noWrap/>
            <w:vAlign w:val="bottom"/>
            <w:hideMark/>
          </w:tcPr>
          <w:p w14:paraId="0238DB51"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3</w:t>
            </w:r>
          </w:p>
        </w:tc>
        <w:tc>
          <w:tcPr>
            <w:tcW w:w="2700" w:type="dxa"/>
            <w:shd w:val="clear" w:color="auto" w:fill="D0DBF0"/>
            <w:noWrap/>
            <w:vAlign w:val="center"/>
            <w:hideMark/>
          </w:tcPr>
          <w:p w14:paraId="5A4268F9"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2</w:t>
            </w:r>
          </w:p>
        </w:tc>
      </w:tr>
      <w:tr w:rsidR="00BA4056" w14:paraId="1D52B86C" w14:textId="77777777" w:rsidTr="00A35AD3">
        <w:trPr>
          <w:trHeight w:val="255"/>
          <w:jc w:val="center"/>
        </w:trPr>
        <w:tc>
          <w:tcPr>
            <w:tcW w:w="636" w:type="dxa"/>
            <w:noWrap/>
            <w:vAlign w:val="center"/>
            <w:hideMark/>
          </w:tcPr>
          <w:p w14:paraId="6CD226C3" w14:textId="77777777" w:rsidR="00BA4056" w:rsidRDefault="00BA4056">
            <w:pPr>
              <w:rPr>
                <w:rFonts w:ascii="Cambria" w:eastAsia="Times New Roman" w:hAnsi="Cambria" w:cs="Arial"/>
                <w:sz w:val="20"/>
                <w:szCs w:val="20"/>
                <w:lang w:eastAsia="es-CO"/>
              </w:rPr>
            </w:pPr>
          </w:p>
        </w:tc>
        <w:tc>
          <w:tcPr>
            <w:tcW w:w="3261" w:type="dxa"/>
            <w:noWrap/>
            <w:vAlign w:val="center"/>
            <w:hideMark/>
          </w:tcPr>
          <w:p w14:paraId="552601B9"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Guatemala</w:t>
            </w:r>
          </w:p>
        </w:tc>
        <w:tc>
          <w:tcPr>
            <w:tcW w:w="2460" w:type="dxa"/>
            <w:noWrap/>
            <w:vAlign w:val="bottom"/>
            <w:hideMark/>
          </w:tcPr>
          <w:p w14:paraId="2E1CEBDA"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c>
          <w:tcPr>
            <w:tcW w:w="2700" w:type="dxa"/>
            <w:noWrap/>
            <w:vAlign w:val="center"/>
            <w:hideMark/>
          </w:tcPr>
          <w:p w14:paraId="2690D546"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r>
      <w:tr w:rsidR="00BA4056" w14:paraId="16F5BEB3" w14:textId="77777777" w:rsidTr="00A35AD3">
        <w:trPr>
          <w:trHeight w:val="255"/>
          <w:jc w:val="center"/>
        </w:trPr>
        <w:tc>
          <w:tcPr>
            <w:tcW w:w="636" w:type="dxa"/>
            <w:shd w:val="clear" w:color="auto" w:fill="DEEAF6" w:themeFill="accent5" w:themeFillTint="33"/>
            <w:noWrap/>
            <w:vAlign w:val="center"/>
            <w:hideMark/>
          </w:tcPr>
          <w:p w14:paraId="0979C07C" w14:textId="77777777" w:rsidR="00BA4056" w:rsidRDefault="00BA4056">
            <w:pPr>
              <w:rPr>
                <w:rFonts w:ascii="Cambria" w:eastAsia="Times New Roman" w:hAnsi="Cambria" w:cs="Arial"/>
                <w:sz w:val="20"/>
                <w:szCs w:val="20"/>
                <w:lang w:eastAsia="es-CO"/>
              </w:rPr>
            </w:pPr>
          </w:p>
        </w:tc>
        <w:tc>
          <w:tcPr>
            <w:tcW w:w="3261" w:type="dxa"/>
            <w:shd w:val="clear" w:color="auto" w:fill="DEEAF6" w:themeFill="accent5" w:themeFillTint="33"/>
            <w:noWrap/>
            <w:vAlign w:val="center"/>
            <w:hideMark/>
          </w:tcPr>
          <w:p w14:paraId="1ED9FFD5"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Honduras</w:t>
            </w:r>
          </w:p>
        </w:tc>
        <w:tc>
          <w:tcPr>
            <w:tcW w:w="2460" w:type="dxa"/>
            <w:shd w:val="clear" w:color="auto" w:fill="DEEAF6" w:themeFill="accent5" w:themeFillTint="33"/>
            <w:noWrap/>
            <w:vAlign w:val="bottom"/>
            <w:hideMark/>
          </w:tcPr>
          <w:p w14:paraId="2C385D5B"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2</w:t>
            </w:r>
          </w:p>
        </w:tc>
        <w:tc>
          <w:tcPr>
            <w:tcW w:w="2700" w:type="dxa"/>
            <w:shd w:val="clear" w:color="auto" w:fill="DEEAF6" w:themeFill="accent5" w:themeFillTint="33"/>
            <w:noWrap/>
            <w:vAlign w:val="center"/>
            <w:hideMark/>
          </w:tcPr>
          <w:p w14:paraId="096230C6"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2</w:t>
            </w:r>
          </w:p>
        </w:tc>
      </w:tr>
      <w:tr w:rsidR="00BA4056" w14:paraId="4F65E3EE" w14:textId="77777777" w:rsidTr="00A35AD3">
        <w:trPr>
          <w:trHeight w:val="255"/>
          <w:jc w:val="center"/>
        </w:trPr>
        <w:tc>
          <w:tcPr>
            <w:tcW w:w="636" w:type="dxa"/>
            <w:noWrap/>
            <w:vAlign w:val="center"/>
            <w:hideMark/>
          </w:tcPr>
          <w:p w14:paraId="6CA1974A"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lastRenderedPageBreak/>
              <w:t> </w:t>
            </w:r>
          </w:p>
        </w:tc>
        <w:tc>
          <w:tcPr>
            <w:tcW w:w="3261" w:type="dxa"/>
            <w:noWrap/>
            <w:vAlign w:val="center"/>
            <w:hideMark/>
          </w:tcPr>
          <w:p w14:paraId="0E35EFEA"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Mexico</w:t>
            </w:r>
          </w:p>
        </w:tc>
        <w:tc>
          <w:tcPr>
            <w:tcW w:w="2460" w:type="dxa"/>
            <w:noWrap/>
            <w:vAlign w:val="bottom"/>
            <w:hideMark/>
          </w:tcPr>
          <w:p w14:paraId="4641AB90"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6</w:t>
            </w:r>
          </w:p>
        </w:tc>
        <w:tc>
          <w:tcPr>
            <w:tcW w:w="2700" w:type="dxa"/>
            <w:noWrap/>
            <w:vAlign w:val="center"/>
            <w:hideMark/>
          </w:tcPr>
          <w:p w14:paraId="605F9F0F"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6</w:t>
            </w:r>
          </w:p>
        </w:tc>
      </w:tr>
      <w:tr w:rsidR="00BA4056" w14:paraId="0979E5F9" w14:textId="77777777" w:rsidTr="00A35AD3">
        <w:trPr>
          <w:trHeight w:val="255"/>
          <w:jc w:val="center"/>
        </w:trPr>
        <w:tc>
          <w:tcPr>
            <w:tcW w:w="636" w:type="dxa"/>
            <w:shd w:val="clear" w:color="auto" w:fill="DEEAF6" w:themeFill="accent5" w:themeFillTint="33"/>
            <w:noWrap/>
            <w:vAlign w:val="center"/>
            <w:hideMark/>
          </w:tcPr>
          <w:p w14:paraId="12E6075E" w14:textId="77777777" w:rsidR="00BA4056" w:rsidRDefault="00BA4056">
            <w:pPr>
              <w:rPr>
                <w:rFonts w:ascii="Cambria" w:eastAsia="Times New Roman" w:hAnsi="Cambria" w:cs="Arial"/>
                <w:sz w:val="20"/>
                <w:szCs w:val="20"/>
                <w:lang w:eastAsia="es-CO"/>
              </w:rPr>
            </w:pPr>
          </w:p>
        </w:tc>
        <w:tc>
          <w:tcPr>
            <w:tcW w:w="3261" w:type="dxa"/>
            <w:shd w:val="clear" w:color="auto" w:fill="DEEAF6" w:themeFill="accent5" w:themeFillTint="33"/>
            <w:noWrap/>
            <w:vAlign w:val="center"/>
            <w:hideMark/>
          </w:tcPr>
          <w:p w14:paraId="1DB555D3"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Panama</w:t>
            </w:r>
          </w:p>
        </w:tc>
        <w:tc>
          <w:tcPr>
            <w:tcW w:w="2460" w:type="dxa"/>
            <w:shd w:val="clear" w:color="auto" w:fill="DEEAF6" w:themeFill="accent5" w:themeFillTint="33"/>
            <w:noWrap/>
            <w:vAlign w:val="bottom"/>
            <w:hideMark/>
          </w:tcPr>
          <w:p w14:paraId="50AA4DBA"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c>
          <w:tcPr>
            <w:tcW w:w="2700" w:type="dxa"/>
            <w:shd w:val="clear" w:color="auto" w:fill="DEEAF6" w:themeFill="accent5" w:themeFillTint="33"/>
            <w:noWrap/>
            <w:vAlign w:val="center"/>
            <w:hideMark/>
          </w:tcPr>
          <w:p w14:paraId="3074BCC0"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r>
      <w:tr w:rsidR="00BA4056" w14:paraId="6DEA59D0" w14:textId="77777777" w:rsidTr="00A35AD3">
        <w:trPr>
          <w:trHeight w:val="255"/>
          <w:jc w:val="center"/>
        </w:trPr>
        <w:tc>
          <w:tcPr>
            <w:tcW w:w="636" w:type="dxa"/>
            <w:noWrap/>
            <w:vAlign w:val="center"/>
            <w:hideMark/>
          </w:tcPr>
          <w:p w14:paraId="24783B3B"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noWrap/>
            <w:vAlign w:val="center"/>
            <w:hideMark/>
          </w:tcPr>
          <w:p w14:paraId="3384FBA2"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Peru</w:t>
            </w:r>
          </w:p>
        </w:tc>
        <w:tc>
          <w:tcPr>
            <w:tcW w:w="2460" w:type="dxa"/>
            <w:noWrap/>
            <w:vAlign w:val="bottom"/>
            <w:hideMark/>
          </w:tcPr>
          <w:p w14:paraId="0FB64E58"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6</w:t>
            </w:r>
          </w:p>
        </w:tc>
        <w:tc>
          <w:tcPr>
            <w:tcW w:w="2700" w:type="dxa"/>
            <w:noWrap/>
            <w:vAlign w:val="center"/>
            <w:hideMark/>
          </w:tcPr>
          <w:p w14:paraId="5FE84D4D"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6</w:t>
            </w:r>
          </w:p>
        </w:tc>
      </w:tr>
      <w:tr w:rsidR="00BA4056" w14:paraId="577ACDB7" w14:textId="77777777" w:rsidTr="00A35AD3">
        <w:trPr>
          <w:trHeight w:val="255"/>
          <w:jc w:val="center"/>
        </w:trPr>
        <w:tc>
          <w:tcPr>
            <w:tcW w:w="636" w:type="dxa"/>
            <w:shd w:val="clear" w:color="auto" w:fill="DEEAF6" w:themeFill="accent5" w:themeFillTint="33"/>
            <w:noWrap/>
            <w:vAlign w:val="center"/>
            <w:hideMark/>
          </w:tcPr>
          <w:p w14:paraId="52846E68" w14:textId="77777777" w:rsidR="00BA4056" w:rsidRDefault="00BA4056">
            <w:pPr>
              <w:rPr>
                <w:rFonts w:ascii="Cambria" w:eastAsia="Times New Roman" w:hAnsi="Cambria" w:cs="Arial"/>
                <w:sz w:val="20"/>
                <w:szCs w:val="20"/>
                <w:lang w:eastAsia="es-CO"/>
              </w:rPr>
            </w:pPr>
          </w:p>
        </w:tc>
        <w:tc>
          <w:tcPr>
            <w:tcW w:w="3261" w:type="dxa"/>
            <w:shd w:val="clear" w:color="auto" w:fill="DEEAF6" w:themeFill="accent5" w:themeFillTint="33"/>
            <w:noWrap/>
            <w:vAlign w:val="center"/>
            <w:hideMark/>
          </w:tcPr>
          <w:p w14:paraId="3D8C70B6"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Portugal</w:t>
            </w:r>
          </w:p>
        </w:tc>
        <w:tc>
          <w:tcPr>
            <w:tcW w:w="2460" w:type="dxa"/>
            <w:shd w:val="clear" w:color="auto" w:fill="DEEAF6" w:themeFill="accent5" w:themeFillTint="33"/>
            <w:noWrap/>
            <w:vAlign w:val="bottom"/>
            <w:hideMark/>
          </w:tcPr>
          <w:p w14:paraId="4FCCC34B"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c>
          <w:tcPr>
            <w:tcW w:w="2700" w:type="dxa"/>
            <w:shd w:val="clear" w:color="auto" w:fill="DEEAF6" w:themeFill="accent5" w:themeFillTint="33"/>
            <w:noWrap/>
            <w:vAlign w:val="center"/>
            <w:hideMark/>
          </w:tcPr>
          <w:p w14:paraId="7D6CF187"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r>
      <w:tr w:rsidR="00BA4056" w14:paraId="4410AF80" w14:textId="77777777" w:rsidTr="00A35AD3">
        <w:trPr>
          <w:trHeight w:val="255"/>
          <w:jc w:val="center"/>
        </w:trPr>
        <w:tc>
          <w:tcPr>
            <w:tcW w:w="636" w:type="dxa"/>
            <w:noWrap/>
            <w:vAlign w:val="center"/>
            <w:hideMark/>
          </w:tcPr>
          <w:p w14:paraId="1D32C11F"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vAlign w:val="center"/>
            <w:hideMark/>
          </w:tcPr>
          <w:p w14:paraId="3F277B5C"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Saint Lucia</w:t>
            </w:r>
          </w:p>
        </w:tc>
        <w:tc>
          <w:tcPr>
            <w:tcW w:w="2460" w:type="dxa"/>
            <w:noWrap/>
            <w:vAlign w:val="bottom"/>
            <w:hideMark/>
          </w:tcPr>
          <w:p w14:paraId="68B43BA1"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c>
          <w:tcPr>
            <w:tcW w:w="2700" w:type="dxa"/>
            <w:noWrap/>
            <w:vAlign w:val="center"/>
            <w:hideMark/>
          </w:tcPr>
          <w:p w14:paraId="65608D11"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r>
      <w:tr w:rsidR="00BA4056" w14:paraId="661F9B1F" w14:textId="77777777" w:rsidTr="00A35AD3">
        <w:trPr>
          <w:trHeight w:val="255"/>
          <w:jc w:val="center"/>
        </w:trPr>
        <w:tc>
          <w:tcPr>
            <w:tcW w:w="636" w:type="dxa"/>
            <w:shd w:val="clear" w:color="auto" w:fill="DEEAF6" w:themeFill="accent5" w:themeFillTint="33"/>
            <w:noWrap/>
            <w:vAlign w:val="center"/>
            <w:hideMark/>
          </w:tcPr>
          <w:p w14:paraId="4F2991AC" w14:textId="77777777" w:rsidR="00BA4056" w:rsidRDefault="00BA4056">
            <w:pPr>
              <w:rPr>
                <w:rFonts w:ascii="Cambria" w:eastAsia="Times New Roman" w:hAnsi="Cambria" w:cs="Arial"/>
                <w:sz w:val="20"/>
                <w:szCs w:val="20"/>
                <w:lang w:eastAsia="es-CO"/>
              </w:rPr>
            </w:pPr>
          </w:p>
        </w:tc>
        <w:tc>
          <w:tcPr>
            <w:tcW w:w="3261" w:type="dxa"/>
            <w:shd w:val="clear" w:color="auto" w:fill="DEEAF6" w:themeFill="accent5" w:themeFillTint="33"/>
            <w:noWrap/>
            <w:vAlign w:val="center"/>
            <w:hideMark/>
          </w:tcPr>
          <w:p w14:paraId="08C65AF7"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 xml:space="preserve">Spain </w:t>
            </w:r>
          </w:p>
        </w:tc>
        <w:tc>
          <w:tcPr>
            <w:tcW w:w="2460" w:type="dxa"/>
            <w:shd w:val="clear" w:color="auto" w:fill="DEEAF6" w:themeFill="accent5" w:themeFillTint="33"/>
            <w:noWrap/>
            <w:vAlign w:val="bottom"/>
            <w:hideMark/>
          </w:tcPr>
          <w:p w14:paraId="3C9C634A"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c>
          <w:tcPr>
            <w:tcW w:w="2700" w:type="dxa"/>
            <w:shd w:val="clear" w:color="auto" w:fill="DEEAF6" w:themeFill="accent5" w:themeFillTint="33"/>
            <w:noWrap/>
            <w:vAlign w:val="center"/>
            <w:hideMark/>
          </w:tcPr>
          <w:p w14:paraId="5699D224"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r>
      <w:tr w:rsidR="00BA4056" w14:paraId="04E5CCFB" w14:textId="77777777" w:rsidTr="00A35AD3">
        <w:trPr>
          <w:trHeight w:val="261"/>
          <w:jc w:val="center"/>
        </w:trPr>
        <w:tc>
          <w:tcPr>
            <w:tcW w:w="636" w:type="dxa"/>
            <w:noWrap/>
            <w:vAlign w:val="center"/>
            <w:hideMark/>
          </w:tcPr>
          <w:p w14:paraId="658EF19D" w14:textId="77777777" w:rsidR="00BA4056" w:rsidRDefault="00BA4056">
            <w:pPr>
              <w:rPr>
                <w:rFonts w:ascii="Cambria" w:eastAsia="Times New Roman" w:hAnsi="Cambria" w:cs="Arial"/>
                <w:sz w:val="20"/>
                <w:szCs w:val="20"/>
                <w:lang w:eastAsia="es-CO"/>
              </w:rPr>
            </w:pPr>
          </w:p>
        </w:tc>
        <w:tc>
          <w:tcPr>
            <w:tcW w:w="3261" w:type="dxa"/>
            <w:vAlign w:val="center"/>
            <w:hideMark/>
          </w:tcPr>
          <w:p w14:paraId="37D80FD1"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Trinidad and Tobago</w:t>
            </w:r>
          </w:p>
        </w:tc>
        <w:tc>
          <w:tcPr>
            <w:tcW w:w="2460" w:type="dxa"/>
            <w:noWrap/>
            <w:vAlign w:val="bottom"/>
            <w:hideMark/>
          </w:tcPr>
          <w:p w14:paraId="76E3A176"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c>
          <w:tcPr>
            <w:tcW w:w="2700" w:type="dxa"/>
            <w:noWrap/>
            <w:vAlign w:val="center"/>
            <w:hideMark/>
          </w:tcPr>
          <w:p w14:paraId="15B61239"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r>
      <w:tr w:rsidR="00BA4056" w14:paraId="2BE1F06C" w14:textId="77777777" w:rsidTr="00A35AD3">
        <w:trPr>
          <w:trHeight w:val="255"/>
          <w:jc w:val="center"/>
        </w:trPr>
        <w:tc>
          <w:tcPr>
            <w:tcW w:w="636" w:type="dxa"/>
            <w:shd w:val="clear" w:color="auto" w:fill="DEEAF6" w:themeFill="accent5" w:themeFillTint="33"/>
            <w:noWrap/>
            <w:vAlign w:val="center"/>
            <w:hideMark/>
          </w:tcPr>
          <w:p w14:paraId="7EF57C77" w14:textId="77777777" w:rsidR="00BA4056" w:rsidRDefault="00BA4056">
            <w:pPr>
              <w:rPr>
                <w:rFonts w:ascii="Cambria" w:eastAsia="Times New Roman" w:hAnsi="Cambria" w:cs="Arial"/>
                <w:sz w:val="20"/>
                <w:szCs w:val="20"/>
                <w:lang w:eastAsia="es-CO"/>
              </w:rPr>
            </w:pPr>
          </w:p>
        </w:tc>
        <w:tc>
          <w:tcPr>
            <w:tcW w:w="3261" w:type="dxa"/>
            <w:shd w:val="clear" w:color="auto" w:fill="DEEAF6" w:themeFill="accent5" w:themeFillTint="33"/>
            <w:noWrap/>
            <w:vAlign w:val="center"/>
            <w:hideMark/>
          </w:tcPr>
          <w:p w14:paraId="2AB4E5C8"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Uruguay</w:t>
            </w:r>
          </w:p>
        </w:tc>
        <w:tc>
          <w:tcPr>
            <w:tcW w:w="2460" w:type="dxa"/>
            <w:shd w:val="clear" w:color="auto" w:fill="DEEAF6" w:themeFill="accent5" w:themeFillTint="33"/>
            <w:noWrap/>
            <w:vAlign w:val="bottom"/>
            <w:hideMark/>
          </w:tcPr>
          <w:p w14:paraId="78DFE991"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5</w:t>
            </w:r>
          </w:p>
        </w:tc>
        <w:tc>
          <w:tcPr>
            <w:tcW w:w="2700" w:type="dxa"/>
            <w:shd w:val="clear" w:color="auto" w:fill="DEEAF6" w:themeFill="accent5" w:themeFillTint="33"/>
            <w:noWrap/>
            <w:vAlign w:val="center"/>
            <w:hideMark/>
          </w:tcPr>
          <w:p w14:paraId="41105D8E"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5</w:t>
            </w:r>
          </w:p>
        </w:tc>
      </w:tr>
      <w:tr w:rsidR="00BA4056" w14:paraId="08B4F06F" w14:textId="77777777" w:rsidTr="00A35AD3">
        <w:trPr>
          <w:trHeight w:val="255"/>
          <w:jc w:val="center"/>
        </w:trPr>
        <w:tc>
          <w:tcPr>
            <w:tcW w:w="636" w:type="dxa"/>
            <w:noWrap/>
            <w:vAlign w:val="center"/>
            <w:hideMark/>
          </w:tcPr>
          <w:p w14:paraId="15D11EED"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3261" w:type="dxa"/>
            <w:vAlign w:val="center"/>
            <w:hideMark/>
          </w:tcPr>
          <w:p w14:paraId="129C2CB6"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USA</w:t>
            </w:r>
          </w:p>
        </w:tc>
        <w:tc>
          <w:tcPr>
            <w:tcW w:w="2460" w:type="dxa"/>
            <w:noWrap/>
            <w:vAlign w:val="bottom"/>
            <w:hideMark/>
          </w:tcPr>
          <w:p w14:paraId="0C6C07F4"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8</w:t>
            </w:r>
          </w:p>
        </w:tc>
        <w:tc>
          <w:tcPr>
            <w:tcW w:w="2700" w:type="dxa"/>
            <w:noWrap/>
            <w:vAlign w:val="center"/>
            <w:hideMark/>
          </w:tcPr>
          <w:p w14:paraId="2779DA35"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9</w:t>
            </w:r>
          </w:p>
        </w:tc>
      </w:tr>
      <w:tr w:rsidR="00BA4056" w14:paraId="2995B930" w14:textId="77777777" w:rsidTr="00A35AD3">
        <w:trPr>
          <w:trHeight w:val="255"/>
          <w:jc w:val="center"/>
        </w:trPr>
        <w:tc>
          <w:tcPr>
            <w:tcW w:w="636" w:type="dxa"/>
            <w:shd w:val="clear" w:color="auto" w:fill="DEEAF6" w:themeFill="accent5" w:themeFillTint="33"/>
            <w:noWrap/>
            <w:vAlign w:val="center"/>
            <w:hideMark/>
          </w:tcPr>
          <w:p w14:paraId="20788940" w14:textId="77777777" w:rsidR="00BA4056" w:rsidRDefault="00BA4056">
            <w:pPr>
              <w:rPr>
                <w:rFonts w:ascii="Cambria" w:eastAsia="Times New Roman" w:hAnsi="Cambria" w:cs="Arial"/>
                <w:sz w:val="20"/>
                <w:szCs w:val="20"/>
                <w:lang w:eastAsia="es-CO"/>
              </w:rPr>
            </w:pPr>
          </w:p>
        </w:tc>
        <w:tc>
          <w:tcPr>
            <w:tcW w:w="3261" w:type="dxa"/>
            <w:shd w:val="clear" w:color="auto" w:fill="DEEAF6" w:themeFill="accent5" w:themeFillTint="33"/>
            <w:noWrap/>
            <w:vAlign w:val="center"/>
            <w:hideMark/>
          </w:tcPr>
          <w:p w14:paraId="4B361532"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Venezuela</w:t>
            </w:r>
          </w:p>
        </w:tc>
        <w:tc>
          <w:tcPr>
            <w:tcW w:w="2460" w:type="dxa"/>
            <w:shd w:val="clear" w:color="auto" w:fill="DEEAF6" w:themeFill="accent5" w:themeFillTint="33"/>
            <w:noWrap/>
            <w:vAlign w:val="bottom"/>
            <w:hideMark/>
          </w:tcPr>
          <w:p w14:paraId="74D7FACC"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4</w:t>
            </w:r>
          </w:p>
        </w:tc>
        <w:tc>
          <w:tcPr>
            <w:tcW w:w="2700" w:type="dxa"/>
            <w:shd w:val="clear" w:color="auto" w:fill="DEEAF6" w:themeFill="accent5" w:themeFillTint="33"/>
            <w:noWrap/>
            <w:vAlign w:val="center"/>
            <w:hideMark/>
          </w:tcPr>
          <w:p w14:paraId="1CBD69EF"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4</w:t>
            </w:r>
          </w:p>
        </w:tc>
      </w:tr>
      <w:tr w:rsidR="00BA4056" w14:paraId="478A0F59" w14:textId="77777777" w:rsidTr="00A35AD3">
        <w:trPr>
          <w:trHeight w:val="255"/>
          <w:jc w:val="center"/>
        </w:trPr>
        <w:tc>
          <w:tcPr>
            <w:tcW w:w="636" w:type="dxa"/>
            <w:shd w:val="clear" w:color="auto" w:fill="8EAADB"/>
            <w:noWrap/>
            <w:vAlign w:val="center"/>
            <w:hideMark/>
          </w:tcPr>
          <w:p w14:paraId="6FEE253A"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xml:space="preserve">RBC Total </w:t>
            </w:r>
          </w:p>
        </w:tc>
        <w:tc>
          <w:tcPr>
            <w:tcW w:w="3261" w:type="dxa"/>
            <w:shd w:val="clear" w:color="auto" w:fill="8EAADB"/>
            <w:noWrap/>
            <w:vAlign w:val="center"/>
            <w:hideMark/>
          </w:tcPr>
          <w:p w14:paraId="1E170427" w14:textId="77777777" w:rsidR="00BA4056" w:rsidRDefault="00BA4056">
            <w:pPr>
              <w:ind w:left="92" w:hanging="20"/>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2460" w:type="dxa"/>
            <w:shd w:val="clear" w:color="auto" w:fill="8EAADB"/>
            <w:noWrap/>
            <w:vAlign w:val="center"/>
            <w:hideMark/>
          </w:tcPr>
          <w:p w14:paraId="74071D2A" w14:textId="77777777" w:rsidR="00BA4056" w:rsidRDefault="00BA4056">
            <w:pPr>
              <w:ind w:firstLine="42"/>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83</w:t>
            </w:r>
          </w:p>
        </w:tc>
        <w:tc>
          <w:tcPr>
            <w:tcW w:w="2700" w:type="dxa"/>
            <w:shd w:val="clear" w:color="auto" w:fill="8EAADB"/>
            <w:noWrap/>
            <w:vAlign w:val="center"/>
            <w:hideMark/>
          </w:tcPr>
          <w:p w14:paraId="4FF6BBA9" w14:textId="77777777" w:rsidR="00BA4056" w:rsidRDefault="00BA4056">
            <w:pPr>
              <w:ind w:firstLine="42"/>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83</w:t>
            </w:r>
          </w:p>
        </w:tc>
      </w:tr>
      <w:tr w:rsidR="00BA4056" w14:paraId="4D0734A5" w14:textId="77777777" w:rsidTr="00A35AD3">
        <w:trPr>
          <w:trHeight w:val="255"/>
          <w:jc w:val="center"/>
        </w:trPr>
        <w:tc>
          <w:tcPr>
            <w:tcW w:w="636" w:type="dxa"/>
            <w:shd w:val="clear" w:color="auto" w:fill="D0DBF0"/>
            <w:noWrap/>
            <w:vAlign w:val="center"/>
            <w:hideMark/>
          </w:tcPr>
          <w:p w14:paraId="167B91B7"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Associate Staff</w:t>
            </w:r>
          </w:p>
        </w:tc>
        <w:tc>
          <w:tcPr>
            <w:tcW w:w="3261" w:type="dxa"/>
            <w:shd w:val="clear" w:color="auto" w:fill="D0DBF0"/>
            <w:noWrap/>
            <w:vAlign w:val="center"/>
            <w:hideMark/>
          </w:tcPr>
          <w:p w14:paraId="1D91DECB"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Argentina</w:t>
            </w:r>
          </w:p>
        </w:tc>
        <w:tc>
          <w:tcPr>
            <w:tcW w:w="2460" w:type="dxa"/>
            <w:shd w:val="clear" w:color="auto" w:fill="D0DBF0"/>
            <w:noWrap/>
            <w:vAlign w:val="center"/>
            <w:hideMark/>
          </w:tcPr>
          <w:p w14:paraId="001CC5E7"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c>
          <w:tcPr>
            <w:tcW w:w="2700" w:type="dxa"/>
            <w:shd w:val="clear" w:color="auto" w:fill="D0DBF0"/>
            <w:noWrap/>
            <w:vAlign w:val="center"/>
            <w:hideMark/>
          </w:tcPr>
          <w:p w14:paraId="6AE0CC36"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r>
      <w:tr w:rsidR="00BA4056" w14:paraId="16D78D3D" w14:textId="77777777" w:rsidTr="00A35AD3">
        <w:trPr>
          <w:trHeight w:val="255"/>
          <w:jc w:val="center"/>
        </w:trPr>
        <w:tc>
          <w:tcPr>
            <w:tcW w:w="636" w:type="dxa"/>
            <w:noWrap/>
            <w:vAlign w:val="center"/>
          </w:tcPr>
          <w:p w14:paraId="287B7DED" w14:textId="77777777" w:rsidR="00BA4056" w:rsidRDefault="00BA4056">
            <w:pPr>
              <w:rPr>
                <w:rFonts w:ascii="Cambria" w:eastAsia="Times New Roman" w:hAnsi="Cambria" w:cs="Arial"/>
                <w:b/>
                <w:bCs/>
                <w:sz w:val="20"/>
                <w:szCs w:val="20"/>
                <w:lang w:eastAsia="es-CO"/>
              </w:rPr>
            </w:pPr>
          </w:p>
        </w:tc>
        <w:tc>
          <w:tcPr>
            <w:tcW w:w="3261" w:type="dxa"/>
            <w:noWrap/>
            <w:vAlign w:val="center"/>
            <w:hideMark/>
          </w:tcPr>
          <w:p w14:paraId="249ABABA"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Chile</w:t>
            </w:r>
          </w:p>
        </w:tc>
        <w:tc>
          <w:tcPr>
            <w:tcW w:w="2460" w:type="dxa"/>
            <w:noWrap/>
            <w:vAlign w:val="center"/>
            <w:hideMark/>
          </w:tcPr>
          <w:p w14:paraId="5EFA2BF0"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c>
          <w:tcPr>
            <w:tcW w:w="2700" w:type="dxa"/>
            <w:noWrap/>
            <w:vAlign w:val="center"/>
            <w:hideMark/>
          </w:tcPr>
          <w:p w14:paraId="3E748322"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r>
      <w:tr w:rsidR="00BA4056" w14:paraId="418BD00F" w14:textId="77777777" w:rsidTr="00A35AD3">
        <w:trPr>
          <w:trHeight w:val="255"/>
          <w:jc w:val="center"/>
        </w:trPr>
        <w:tc>
          <w:tcPr>
            <w:tcW w:w="636" w:type="dxa"/>
            <w:shd w:val="clear" w:color="auto" w:fill="D0DBF0"/>
            <w:noWrap/>
            <w:vAlign w:val="center"/>
            <w:hideMark/>
          </w:tcPr>
          <w:p w14:paraId="6652277D" w14:textId="77777777" w:rsidR="00BA4056" w:rsidRDefault="00BA4056">
            <w:pPr>
              <w:rPr>
                <w:rFonts w:ascii="Cambria" w:eastAsia="Times New Roman" w:hAnsi="Cambria" w:cs="Arial"/>
                <w:sz w:val="20"/>
                <w:szCs w:val="20"/>
                <w:lang w:eastAsia="es-CO"/>
              </w:rPr>
            </w:pPr>
          </w:p>
        </w:tc>
        <w:tc>
          <w:tcPr>
            <w:tcW w:w="3261" w:type="dxa"/>
            <w:shd w:val="clear" w:color="auto" w:fill="D0DBF0"/>
            <w:noWrap/>
            <w:vAlign w:val="center"/>
            <w:hideMark/>
          </w:tcPr>
          <w:p w14:paraId="78C1C770"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Guatemala</w:t>
            </w:r>
          </w:p>
        </w:tc>
        <w:tc>
          <w:tcPr>
            <w:tcW w:w="2460" w:type="dxa"/>
            <w:shd w:val="clear" w:color="auto" w:fill="D0DBF0"/>
            <w:noWrap/>
            <w:vAlign w:val="center"/>
            <w:hideMark/>
          </w:tcPr>
          <w:p w14:paraId="3D0D1C82"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c>
          <w:tcPr>
            <w:tcW w:w="2700" w:type="dxa"/>
            <w:shd w:val="clear" w:color="auto" w:fill="D0DBF0"/>
            <w:noWrap/>
            <w:vAlign w:val="center"/>
            <w:hideMark/>
          </w:tcPr>
          <w:p w14:paraId="3B0B74C7" w14:textId="77777777" w:rsidR="00BA4056" w:rsidRDefault="00BA4056">
            <w:pPr>
              <w:ind w:firstLine="42"/>
              <w:jc w:val="center"/>
              <w:rPr>
                <w:rFonts w:ascii="Cambria" w:eastAsia="Times New Roman" w:hAnsi="Cambria" w:cs="Arial"/>
                <w:sz w:val="20"/>
                <w:szCs w:val="20"/>
                <w:lang w:eastAsia="es-CO"/>
              </w:rPr>
            </w:pPr>
            <w:r>
              <w:rPr>
                <w:rFonts w:ascii="Cambria" w:eastAsia="Times New Roman" w:hAnsi="Cambria" w:cs="Arial"/>
                <w:sz w:val="20"/>
                <w:szCs w:val="20"/>
                <w:lang w:eastAsia="es-CO"/>
              </w:rPr>
              <w:t>1</w:t>
            </w:r>
          </w:p>
        </w:tc>
      </w:tr>
      <w:tr w:rsidR="00BA4056" w14:paraId="095A59BA" w14:textId="77777777" w:rsidTr="00A35AD3">
        <w:trPr>
          <w:trHeight w:val="255"/>
          <w:jc w:val="center"/>
        </w:trPr>
        <w:tc>
          <w:tcPr>
            <w:tcW w:w="636" w:type="dxa"/>
            <w:shd w:val="clear" w:color="auto" w:fill="8EAADB"/>
            <w:noWrap/>
            <w:vAlign w:val="center"/>
            <w:hideMark/>
          </w:tcPr>
          <w:p w14:paraId="2BB99A27"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 xml:space="preserve">Associate Staff </w:t>
            </w:r>
          </w:p>
        </w:tc>
        <w:tc>
          <w:tcPr>
            <w:tcW w:w="3261" w:type="dxa"/>
            <w:shd w:val="clear" w:color="auto" w:fill="8EAADB"/>
            <w:noWrap/>
            <w:vAlign w:val="center"/>
            <w:hideMark/>
          </w:tcPr>
          <w:p w14:paraId="0A5BA7AF" w14:textId="77777777" w:rsidR="00BA4056" w:rsidRDefault="00BA4056">
            <w:pPr>
              <w:ind w:left="92" w:hanging="20"/>
              <w:rPr>
                <w:rFonts w:ascii="Cambria" w:eastAsia="Times New Roman" w:hAnsi="Cambria" w:cs="Arial"/>
                <w:b/>
                <w:bCs/>
                <w:sz w:val="20"/>
                <w:szCs w:val="20"/>
                <w:lang w:eastAsia="es-CO"/>
              </w:rPr>
            </w:pPr>
            <w:r>
              <w:rPr>
                <w:rFonts w:ascii="Cambria" w:eastAsia="Times New Roman" w:hAnsi="Cambria" w:cs="Arial"/>
                <w:b/>
                <w:bCs/>
                <w:sz w:val="20"/>
                <w:szCs w:val="20"/>
                <w:lang w:eastAsia="es-CO"/>
              </w:rPr>
              <w:t> </w:t>
            </w:r>
          </w:p>
        </w:tc>
        <w:tc>
          <w:tcPr>
            <w:tcW w:w="2460" w:type="dxa"/>
            <w:shd w:val="clear" w:color="auto" w:fill="8EAADB"/>
            <w:noWrap/>
            <w:vAlign w:val="center"/>
            <w:hideMark/>
          </w:tcPr>
          <w:p w14:paraId="793C8C0F" w14:textId="77777777" w:rsidR="00BA4056" w:rsidRDefault="00BA4056">
            <w:pPr>
              <w:ind w:firstLine="42"/>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3</w:t>
            </w:r>
          </w:p>
        </w:tc>
        <w:tc>
          <w:tcPr>
            <w:tcW w:w="2700" w:type="dxa"/>
            <w:shd w:val="clear" w:color="auto" w:fill="8EAADB"/>
            <w:noWrap/>
            <w:vAlign w:val="center"/>
            <w:hideMark/>
          </w:tcPr>
          <w:p w14:paraId="22D61117" w14:textId="77777777" w:rsidR="00BA4056" w:rsidRDefault="00BA4056">
            <w:pPr>
              <w:ind w:firstLine="42"/>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3</w:t>
            </w:r>
          </w:p>
        </w:tc>
      </w:tr>
      <w:tr w:rsidR="00BA4056" w14:paraId="41551B97" w14:textId="77777777" w:rsidTr="00A35AD3">
        <w:trPr>
          <w:trHeight w:val="270"/>
          <w:jc w:val="center"/>
        </w:trPr>
        <w:tc>
          <w:tcPr>
            <w:tcW w:w="636" w:type="dxa"/>
            <w:tcBorders>
              <w:top w:val="nil"/>
              <w:left w:val="nil"/>
              <w:bottom w:val="single" w:sz="8" w:space="0" w:color="4472C4"/>
              <w:right w:val="nil"/>
            </w:tcBorders>
            <w:noWrap/>
            <w:vAlign w:val="center"/>
            <w:hideMark/>
          </w:tcPr>
          <w:p w14:paraId="6A30FB27" w14:textId="77777777" w:rsidR="00BA4056" w:rsidRDefault="00BA4056">
            <w:pPr>
              <w:rPr>
                <w:rFonts w:ascii="Cambria" w:eastAsia="Times New Roman" w:hAnsi="Cambria" w:cs="Arial"/>
                <w:b/>
                <w:bCs/>
                <w:sz w:val="20"/>
                <w:szCs w:val="20"/>
                <w:lang w:eastAsia="es-CO"/>
              </w:rPr>
            </w:pPr>
            <w:r>
              <w:rPr>
                <w:rFonts w:ascii="Cambria" w:eastAsia="Times New Roman" w:hAnsi="Cambria" w:cs="Arial"/>
                <w:b/>
                <w:bCs/>
                <w:sz w:val="20"/>
                <w:szCs w:val="20"/>
                <w:lang w:eastAsia="es-CO"/>
              </w:rPr>
              <w:t>Grand Total</w:t>
            </w:r>
          </w:p>
        </w:tc>
        <w:tc>
          <w:tcPr>
            <w:tcW w:w="3261" w:type="dxa"/>
            <w:tcBorders>
              <w:top w:val="nil"/>
              <w:left w:val="nil"/>
              <w:bottom w:val="single" w:sz="8" w:space="0" w:color="4472C4"/>
              <w:right w:val="nil"/>
            </w:tcBorders>
            <w:noWrap/>
            <w:vAlign w:val="center"/>
            <w:hideMark/>
          </w:tcPr>
          <w:p w14:paraId="741FE50D" w14:textId="77777777" w:rsidR="00BA4056" w:rsidRDefault="00BA4056">
            <w:pPr>
              <w:ind w:left="92" w:hanging="20"/>
              <w:rPr>
                <w:rFonts w:ascii="Cambria" w:eastAsia="Times New Roman" w:hAnsi="Cambria" w:cs="Arial"/>
                <w:sz w:val="20"/>
                <w:szCs w:val="20"/>
                <w:lang w:eastAsia="es-CO"/>
              </w:rPr>
            </w:pPr>
            <w:r>
              <w:rPr>
                <w:rFonts w:ascii="Cambria" w:eastAsia="Times New Roman" w:hAnsi="Cambria" w:cs="Arial"/>
                <w:sz w:val="20"/>
                <w:szCs w:val="20"/>
                <w:lang w:eastAsia="es-CO"/>
              </w:rPr>
              <w:t> </w:t>
            </w:r>
          </w:p>
        </w:tc>
        <w:tc>
          <w:tcPr>
            <w:tcW w:w="2460" w:type="dxa"/>
            <w:tcBorders>
              <w:top w:val="nil"/>
              <w:left w:val="nil"/>
              <w:bottom w:val="single" w:sz="8" w:space="0" w:color="4472C4"/>
              <w:right w:val="nil"/>
            </w:tcBorders>
            <w:noWrap/>
            <w:vAlign w:val="center"/>
            <w:hideMark/>
          </w:tcPr>
          <w:p w14:paraId="06A3146B" w14:textId="77777777" w:rsidR="00BA4056" w:rsidRDefault="00BA4056">
            <w:pPr>
              <w:ind w:firstLine="42"/>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140</w:t>
            </w:r>
          </w:p>
        </w:tc>
        <w:tc>
          <w:tcPr>
            <w:tcW w:w="2700" w:type="dxa"/>
            <w:tcBorders>
              <w:top w:val="nil"/>
              <w:left w:val="nil"/>
              <w:bottom w:val="single" w:sz="8" w:space="0" w:color="4472C4"/>
              <w:right w:val="nil"/>
            </w:tcBorders>
            <w:noWrap/>
            <w:vAlign w:val="center"/>
            <w:hideMark/>
          </w:tcPr>
          <w:p w14:paraId="3953078A" w14:textId="77777777" w:rsidR="00BA4056" w:rsidRDefault="00BA4056">
            <w:pPr>
              <w:ind w:firstLine="42"/>
              <w:jc w:val="center"/>
              <w:rPr>
                <w:rFonts w:ascii="Cambria" w:eastAsia="Times New Roman" w:hAnsi="Cambria" w:cs="Arial"/>
                <w:b/>
                <w:bCs/>
                <w:sz w:val="20"/>
                <w:szCs w:val="20"/>
                <w:lang w:eastAsia="es-CO"/>
              </w:rPr>
            </w:pPr>
            <w:r>
              <w:rPr>
                <w:rFonts w:ascii="Cambria" w:eastAsia="Times New Roman" w:hAnsi="Cambria" w:cs="Arial"/>
                <w:b/>
                <w:bCs/>
                <w:sz w:val="20"/>
                <w:szCs w:val="20"/>
                <w:lang w:eastAsia="es-CO"/>
              </w:rPr>
              <w:t>140</w:t>
            </w:r>
          </w:p>
        </w:tc>
      </w:tr>
    </w:tbl>
    <w:p w14:paraId="79103D41" w14:textId="77777777" w:rsidR="00BA4056" w:rsidRDefault="00BA4056" w:rsidP="00BA4056">
      <w:pPr>
        <w:pStyle w:val="paragraphs"/>
        <w:numPr>
          <w:ilvl w:val="0"/>
          <w:numId w:val="0"/>
        </w:numPr>
        <w:spacing w:after="0"/>
        <w:ind w:left="720"/>
        <w:rPr>
          <w:lang w:val="en-US"/>
        </w:rPr>
      </w:pPr>
    </w:p>
    <w:p w14:paraId="7F0AD8CD" w14:textId="77777777" w:rsidR="00BA4056" w:rsidRDefault="00BA4056" w:rsidP="00BA4056">
      <w:pPr>
        <w:pStyle w:val="paragraphs"/>
        <w:numPr>
          <w:ilvl w:val="0"/>
          <w:numId w:val="0"/>
        </w:numPr>
        <w:spacing w:after="0"/>
        <w:ind w:left="720"/>
        <w:rPr>
          <w:lang w:val="en-US"/>
        </w:rPr>
      </w:pPr>
    </w:p>
    <w:p w14:paraId="5E2C29C8" w14:textId="77777777" w:rsidR="00BA4056" w:rsidRDefault="00BA4056" w:rsidP="00BA4056">
      <w:pPr>
        <w:pStyle w:val="paragraphs"/>
        <w:numPr>
          <w:ilvl w:val="0"/>
          <w:numId w:val="0"/>
        </w:numPr>
        <w:spacing w:after="0"/>
        <w:ind w:left="720"/>
        <w:rPr>
          <w:lang w:val="en-US"/>
        </w:rPr>
      </w:pPr>
    </w:p>
    <w:p w14:paraId="5F4BBA7E" w14:textId="77777777" w:rsidR="00BA4056" w:rsidRDefault="00BA4056" w:rsidP="00BA4056">
      <w:pPr>
        <w:pStyle w:val="paragraphs"/>
        <w:numPr>
          <w:ilvl w:val="0"/>
          <w:numId w:val="0"/>
        </w:numPr>
        <w:spacing w:after="0"/>
        <w:ind w:left="720"/>
        <w:rPr>
          <w:lang w:val="en-US"/>
        </w:rPr>
      </w:pPr>
    </w:p>
    <w:p w14:paraId="773E4FA2" w14:textId="77777777" w:rsidR="00BA4056" w:rsidRDefault="00BA4056" w:rsidP="00BA4056">
      <w:pPr>
        <w:pStyle w:val="paragraphs"/>
        <w:ind w:left="0" w:firstLine="720"/>
        <w:rPr>
          <w:lang w:val="en-US"/>
        </w:rPr>
      </w:pPr>
      <w:r>
        <w:rPr>
          <w:lang w:val="en-US"/>
        </w:rPr>
        <w:t xml:space="preserve">The Inter-American Commission on Human Rights (IACHR) held its first internal session of the year on January 8 and 9. On that occasion, it distributed thematic and country reports, renewed the mandate of its Executive Secretary, and decided to hold a competition to select the individual to head its Special </w:t>
      </w:r>
      <w:proofErr w:type="spellStart"/>
      <w:r>
        <w:rPr>
          <w:lang w:val="en-US"/>
        </w:rPr>
        <w:t>Rapporteurship</w:t>
      </w:r>
      <w:proofErr w:type="spellEnd"/>
      <w:r>
        <w:rPr>
          <w:lang w:val="en-US"/>
        </w:rPr>
        <w:t xml:space="preserve"> for Freedom of Expression. </w:t>
      </w:r>
    </w:p>
    <w:p w14:paraId="2C81EE37" w14:textId="77777777" w:rsidR="00BA4056" w:rsidRDefault="00BA4056" w:rsidP="00BA4056">
      <w:pPr>
        <w:pStyle w:val="paragraphs"/>
        <w:ind w:left="0" w:firstLine="720"/>
        <w:rPr>
          <w:lang w:val="en-US"/>
        </w:rPr>
      </w:pPr>
      <w:r>
        <w:rPr>
          <w:lang w:val="en-US"/>
        </w:rPr>
        <w:t>During the first quarter of 2020, it published a call for candidates for the position of Special Rapporteur for Freedom of Expression. On September 15, the IACHR selected Pedro José Vaca Villarreal for the position of Special Rapporteur for Freedom of Expression. The Commission forwarded the name of that individual to the Secretary General of the Organization of American States (OAS), who agreed to the appointment. Pursuant to Article 15 of the IACHR Rules of Procedure, Pedro Vaca was appointed for a three</w:t>
      </w:r>
      <w:r>
        <w:rPr>
          <w:lang w:val="en-US"/>
        </w:rPr>
        <w:noBreakHyphen/>
        <w:t xml:space="preserve">year term, renewable once, and commenced his duties on October 6, 2020. </w:t>
      </w:r>
    </w:p>
    <w:p w14:paraId="0F9C9145" w14:textId="77777777" w:rsidR="00BA4056" w:rsidRDefault="00BA4056" w:rsidP="00BA4056">
      <w:pPr>
        <w:pStyle w:val="paragraphs"/>
        <w:ind w:left="0" w:firstLine="720"/>
        <w:rPr>
          <w:lang w:val="en-US"/>
        </w:rPr>
      </w:pPr>
      <w:r>
        <w:rPr>
          <w:lang w:val="en-US"/>
        </w:rPr>
        <w:t>The IACHR also decided to renew the mandate of the Special Rapporteur on Economic Social, Cultural, and Environmental Rights (DESCA), Soledad García Muñoz, from August 28, 2020 to August 28, 2023.</w:t>
      </w:r>
    </w:p>
    <w:p w14:paraId="047DBD04" w14:textId="77777777" w:rsidR="00BA4056" w:rsidRDefault="00BA4056" w:rsidP="00BA4056">
      <w:pPr>
        <w:pStyle w:val="paragraphs"/>
        <w:ind w:left="0" w:firstLine="720"/>
        <w:rPr>
          <w:lang w:val="en-US"/>
        </w:rPr>
      </w:pPr>
      <w:r>
        <w:rPr>
          <w:lang w:val="en-US"/>
        </w:rPr>
        <w:lastRenderedPageBreak/>
        <w:t xml:space="preserve">At the beginning of the year, the Department of Human Resources of the GS/OAS was asked to publish competitions for three vacant posts at the P02 level and one at the G05 level under the regular fund. In addition, in April it was sent a proposal to convert one vacant post at the P03 level to lower-level posts. Due to over a 12-month delay by the GS/OAS in issuing a decision on the competition for the P05 post of Principal Specialist in Human Rights, it was requested to convert this position to lower-level positions. During the course of the year, despite its repeated requests, the ES/IACHR received no response from the GS/OAS. In October, with the approval of the Program-Budget for 2021, the ES/IACHR saw its budget reduced by US$546,000. The IACHR decided to offset this budget cut with funds from vacant posts to avoid terminating the contract of any staff member. </w:t>
      </w:r>
    </w:p>
    <w:p w14:paraId="66C8F7BA" w14:textId="77777777" w:rsidR="00BA4056" w:rsidRDefault="00BA4056" w:rsidP="00BA4056">
      <w:pPr>
        <w:pStyle w:val="paragraphs"/>
        <w:ind w:left="0" w:firstLine="720"/>
        <w:rPr>
          <w:lang w:val="en-US"/>
        </w:rPr>
      </w:pPr>
      <w:r>
        <w:rPr>
          <w:lang w:val="en-US"/>
        </w:rPr>
        <w:t xml:space="preserve">On August 15, 2020, the last day of Executive Secretary Paulo </w:t>
      </w:r>
      <w:proofErr w:type="spellStart"/>
      <w:r>
        <w:rPr>
          <w:lang w:val="en-US"/>
        </w:rPr>
        <w:t>Abrão’s</w:t>
      </w:r>
      <w:proofErr w:type="spellEnd"/>
      <w:r>
        <w:rPr>
          <w:lang w:val="en-US"/>
        </w:rPr>
        <w:t xml:space="preserve"> contract, the OAS General Secretariat communicated to the IACHR its decision to abstain from moving forward with the naming of the IACHR Executive Secretary, which in practice was a refusal to extend his contract – a requirement for administrative continuity of the Executive Secretary’s mandate. </w:t>
      </w:r>
    </w:p>
    <w:p w14:paraId="46D47A07" w14:textId="77777777" w:rsidR="00BA4056" w:rsidRDefault="00BA4056" w:rsidP="00BA4056">
      <w:pPr>
        <w:pStyle w:val="paragraphs"/>
        <w:ind w:left="0" w:firstLine="720"/>
        <w:rPr>
          <w:lang w:val="en-US"/>
        </w:rPr>
      </w:pPr>
      <w:r>
        <w:rPr>
          <w:lang w:val="en-US"/>
        </w:rPr>
        <w:t xml:space="preserve">On September 17, 2020, the IACHR announced its decision to hold a competition to select the person who would take the helm of its Executive Secretariat, having failed to secure an extension of Executive Secretary Paulo </w:t>
      </w:r>
      <w:proofErr w:type="spellStart"/>
      <w:r>
        <w:rPr>
          <w:lang w:val="en-US"/>
        </w:rPr>
        <w:t>Abrão’s</w:t>
      </w:r>
      <w:proofErr w:type="spellEnd"/>
      <w:r>
        <w:rPr>
          <w:lang w:val="en-US"/>
        </w:rPr>
        <w:t xml:space="preserve"> contract. The IACHR appointed Assistant Executive Secretary for Monitoring, Technical Cooperation María Claudia Pulido to serve as Acting Executive Secretary until the selection and appointment of the head of the new Executive Secretariat. </w:t>
      </w:r>
    </w:p>
    <w:p w14:paraId="605A481E" w14:textId="77777777" w:rsidR="00BA4056" w:rsidRDefault="00BA4056" w:rsidP="00BA4056">
      <w:pPr>
        <w:pStyle w:val="paragraphs"/>
        <w:ind w:left="0" w:firstLine="720"/>
        <w:rPr>
          <w:lang w:val="en-US"/>
        </w:rPr>
      </w:pPr>
      <w:r>
        <w:rPr>
          <w:lang w:val="en-US"/>
        </w:rPr>
        <w:t xml:space="preserve">On September 25, the call for candidates for the post of Executive Secretary was published, following the procedures stipulated in Article 11 of the IACHR Rules of Procedure. The deadline for the submission of candidacies was November 19. On December 14, 2020, the IACHR selected a group of ten (10) finalists. On December 15, 2020, the names and curricula vitae of the candidates selected as finalists for the post were published on the IACHR website so that the OAS member states and civil society could comment on the candidates. Once the comments have been received, five (5) finalists will be interviewed in person by the Commission’s plenary in February 2021 at a location and on a date to be determined, as the public health situation permits. The IACHR will select the most qualified candidate and forward his or her name to the Secretary General, proposing a four-year term, renewable once, pursuant to Art. 21 of its Statute and Art. 11 of its Rules of Procedure. </w:t>
      </w:r>
    </w:p>
    <w:p w14:paraId="028D7E1E" w14:textId="77777777" w:rsidR="00BA4056" w:rsidRDefault="00BA4056" w:rsidP="00BA4056">
      <w:pPr>
        <w:pStyle w:val="paragraphs"/>
        <w:ind w:left="0" w:firstLine="720"/>
        <w:rPr>
          <w:lang w:val="en-US"/>
        </w:rPr>
      </w:pPr>
      <w:r>
        <w:rPr>
          <w:lang w:val="en-US"/>
        </w:rPr>
        <w:t xml:space="preserve">Concerning the request to the Department of Human Resources for post reclassifications in September 2019 and January 2020, the required post audits were performed in March and April. All the requests are currently pending approval by the GS/OAS. </w:t>
      </w:r>
    </w:p>
    <w:p w14:paraId="092C08DD" w14:textId="77777777" w:rsidR="00BA4056" w:rsidRDefault="00BA4056" w:rsidP="00BA4056">
      <w:pPr>
        <w:pStyle w:val="paragraphs"/>
        <w:ind w:left="0" w:firstLine="720"/>
        <w:rPr>
          <w:lang w:val="en-US"/>
        </w:rPr>
      </w:pPr>
      <w:r>
        <w:rPr>
          <w:lang w:val="en-US"/>
        </w:rPr>
        <w:t>In August, three vacant posts at the P02 level financed by Specific Funds were advertised, to be filled competitively. The appointments of the individuals selected are expected to take place in early 2021.</w:t>
      </w:r>
    </w:p>
    <w:p w14:paraId="795CB018" w14:textId="77777777" w:rsidR="00BA4056" w:rsidRDefault="00BA4056" w:rsidP="00BA4056">
      <w:pPr>
        <w:pStyle w:val="paragraphs"/>
        <w:numPr>
          <w:ilvl w:val="0"/>
          <w:numId w:val="0"/>
        </w:numPr>
        <w:ind w:left="720"/>
        <w:rPr>
          <w:rFonts w:eastAsia="Cambria" w:cstheme="minorHAnsi"/>
          <w:b/>
          <w:lang w:val="en-US"/>
        </w:rPr>
      </w:pPr>
      <w:r>
        <w:rPr>
          <w:rFonts w:eastAsia="Cambria" w:cstheme="minorHAnsi"/>
          <w:b/>
          <w:lang w:val="en-US"/>
        </w:rPr>
        <w:t>Consultants, Interns, Fellows, and Associate staff</w:t>
      </w:r>
    </w:p>
    <w:p w14:paraId="73DC872F" w14:textId="77777777" w:rsidR="00BA4056" w:rsidRDefault="00BA4056" w:rsidP="00BA4056">
      <w:pPr>
        <w:pStyle w:val="paragraphs"/>
        <w:ind w:left="0" w:firstLine="720"/>
        <w:rPr>
          <w:lang w:val="en-US"/>
        </w:rPr>
      </w:pPr>
      <w:r>
        <w:rPr>
          <w:lang w:val="en-US"/>
        </w:rPr>
        <w:t>In 2020, the renewal of consultant contracts continued and new consultants were hired, strengthening the different sections of the ES/IACHR. As of December 31, 2020, the ES/IACHR has 83 consultants.</w:t>
      </w:r>
    </w:p>
    <w:p w14:paraId="6E3B1E84" w14:textId="77777777" w:rsidR="00BA4056" w:rsidRDefault="00BA4056" w:rsidP="00BA4056">
      <w:pPr>
        <w:pStyle w:val="paragraphs"/>
        <w:ind w:left="0" w:firstLine="720"/>
        <w:rPr>
          <w:lang w:val="en-US"/>
        </w:rPr>
      </w:pPr>
      <w:r>
        <w:rPr>
          <w:lang w:val="en-US"/>
        </w:rPr>
        <w:lastRenderedPageBreak/>
        <w:t xml:space="preserve">Due to the COVID-19 pandemic, in 2020, through two Remote Internship Cycles coordinated by the GS/OAS Department of Human Resources, a total of 47 interns joined the IACHR Executive Secretariat. </w:t>
      </w:r>
    </w:p>
    <w:p w14:paraId="6D0EA550" w14:textId="77777777" w:rsidR="00BA4056" w:rsidRDefault="00BA4056" w:rsidP="00BA4056">
      <w:pPr>
        <w:pStyle w:val="paragraphs"/>
        <w:ind w:left="0" w:firstLine="720"/>
        <w:rPr>
          <w:lang w:val="en-US"/>
        </w:rPr>
      </w:pPr>
      <w:r>
        <w:rPr>
          <w:lang w:val="en-US"/>
        </w:rPr>
        <w:t xml:space="preserve">Thanks to the support of several institutions, the ES/IACHR received nine new fellows, who have been working remotely during the year: </w:t>
      </w:r>
    </w:p>
    <w:tbl>
      <w:tblPr>
        <w:tblW w:w="7968" w:type="dxa"/>
        <w:jc w:val="center"/>
        <w:tblLook w:val="04A0" w:firstRow="1" w:lastRow="0" w:firstColumn="1" w:lastColumn="0" w:noHBand="0" w:noVBand="1"/>
      </w:tblPr>
      <w:tblGrid>
        <w:gridCol w:w="840"/>
        <w:gridCol w:w="1428"/>
        <w:gridCol w:w="2940"/>
        <w:gridCol w:w="2760"/>
      </w:tblGrid>
      <w:tr w:rsidR="00BA4056" w14:paraId="4DD2E0A6" w14:textId="77777777" w:rsidTr="00BA4056">
        <w:trPr>
          <w:trHeight w:val="615"/>
          <w:jc w:val="center"/>
        </w:trPr>
        <w:tc>
          <w:tcPr>
            <w:tcW w:w="840" w:type="dxa"/>
            <w:tcBorders>
              <w:top w:val="single" w:sz="8" w:space="0" w:color="auto"/>
              <w:left w:val="single" w:sz="8" w:space="0" w:color="auto"/>
              <w:bottom w:val="single" w:sz="8" w:space="0" w:color="auto"/>
              <w:right w:val="single" w:sz="4" w:space="0" w:color="auto"/>
            </w:tcBorders>
            <w:shd w:val="clear" w:color="auto" w:fill="C5D9F1"/>
            <w:noWrap/>
            <w:vAlign w:val="center"/>
            <w:hideMark/>
          </w:tcPr>
          <w:p w14:paraId="65E8D589" w14:textId="77777777" w:rsidR="00BA4056" w:rsidRDefault="00BA4056">
            <w:pPr>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No.</w:t>
            </w:r>
          </w:p>
        </w:tc>
        <w:tc>
          <w:tcPr>
            <w:tcW w:w="1428" w:type="dxa"/>
            <w:tcBorders>
              <w:top w:val="single" w:sz="8" w:space="0" w:color="auto"/>
              <w:left w:val="nil"/>
              <w:bottom w:val="single" w:sz="8" w:space="0" w:color="auto"/>
              <w:right w:val="single" w:sz="4" w:space="0" w:color="auto"/>
            </w:tcBorders>
            <w:shd w:val="clear" w:color="auto" w:fill="C5D9F1"/>
            <w:noWrap/>
            <w:vAlign w:val="center"/>
            <w:hideMark/>
          </w:tcPr>
          <w:p w14:paraId="3054E321" w14:textId="77777777" w:rsidR="00BA4056" w:rsidRDefault="00BA4056">
            <w:pPr>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Nationality</w:t>
            </w:r>
          </w:p>
        </w:tc>
        <w:tc>
          <w:tcPr>
            <w:tcW w:w="2940" w:type="dxa"/>
            <w:tcBorders>
              <w:top w:val="single" w:sz="8" w:space="0" w:color="auto"/>
              <w:left w:val="nil"/>
              <w:bottom w:val="single" w:sz="8" w:space="0" w:color="auto"/>
              <w:right w:val="single" w:sz="4" w:space="0" w:color="auto"/>
            </w:tcBorders>
            <w:shd w:val="clear" w:color="auto" w:fill="C5D9F1"/>
            <w:noWrap/>
            <w:vAlign w:val="center"/>
            <w:hideMark/>
          </w:tcPr>
          <w:p w14:paraId="439A3437" w14:textId="77777777" w:rsidR="00BA4056" w:rsidRDefault="00BA4056">
            <w:pPr>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Fellowship</w:t>
            </w:r>
          </w:p>
        </w:tc>
        <w:tc>
          <w:tcPr>
            <w:tcW w:w="2760" w:type="dxa"/>
            <w:tcBorders>
              <w:top w:val="single" w:sz="8" w:space="0" w:color="auto"/>
              <w:left w:val="nil"/>
              <w:bottom w:val="single" w:sz="8" w:space="0" w:color="auto"/>
              <w:right w:val="single" w:sz="4" w:space="0" w:color="auto"/>
            </w:tcBorders>
            <w:shd w:val="clear" w:color="auto" w:fill="C5D9F1"/>
            <w:noWrap/>
            <w:vAlign w:val="center"/>
            <w:hideMark/>
          </w:tcPr>
          <w:p w14:paraId="0DD209E9" w14:textId="77777777" w:rsidR="00BA4056" w:rsidRDefault="00BA4056">
            <w:pPr>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Assignment</w:t>
            </w:r>
          </w:p>
        </w:tc>
      </w:tr>
      <w:tr w:rsidR="00BA4056" w14:paraId="31493CAA" w14:textId="77777777" w:rsidTr="00BA4056">
        <w:trPr>
          <w:trHeight w:val="600"/>
          <w:jc w:val="center"/>
        </w:trPr>
        <w:tc>
          <w:tcPr>
            <w:tcW w:w="84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011234" w14:textId="77777777" w:rsidR="00BA4056" w:rsidRDefault="00BA4056">
            <w:pPr>
              <w:jc w:val="center"/>
              <w:rPr>
                <w:rFonts w:ascii="Cambria" w:eastAsia="Times New Roman" w:hAnsi="Cambria" w:cs="Calibri"/>
                <w:bCs/>
                <w:sz w:val="20"/>
                <w:szCs w:val="20"/>
              </w:rPr>
            </w:pPr>
            <w:r>
              <w:rPr>
                <w:rFonts w:ascii="Cambria" w:eastAsia="Times New Roman" w:hAnsi="Cambria" w:cs="Calibri"/>
                <w:bCs/>
                <w:sz w:val="20"/>
                <w:szCs w:val="20"/>
              </w:rPr>
              <w:t>1</w:t>
            </w:r>
          </w:p>
        </w:tc>
        <w:tc>
          <w:tcPr>
            <w:tcW w:w="1428" w:type="dxa"/>
            <w:tcBorders>
              <w:top w:val="single" w:sz="4" w:space="0" w:color="auto"/>
              <w:left w:val="nil"/>
              <w:bottom w:val="single" w:sz="4" w:space="0" w:color="auto"/>
              <w:right w:val="single" w:sz="4" w:space="0" w:color="auto"/>
            </w:tcBorders>
            <w:noWrap/>
            <w:vAlign w:val="center"/>
            <w:hideMark/>
          </w:tcPr>
          <w:p w14:paraId="7A241CD2" w14:textId="77777777" w:rsidR="00BA4056" w:rsidRDefault="00BA4056">
            <w:pPr>
              <w:rPr>
                <w:rFonts w:ascii="Cambria" w:eastAsia="Times New Roman" w:hAnsi="Cambria" w:cs="Calibri"/>
                <w:color w:val="000000"/>
                <w:sz w:val="20"/>
                <w:szCs w:val="20"/>
              </w:rPr>
            </w:pPr>
            <w:r>
              <w:rPr>
                <w:rFonts w:ascii="Cambria" w:eastAsia="Times New Roman" w:hAnsi="Cambria" w:cs="Calibri"/>
                <w:color w:val="000000"/>
                <w:sz w:val="20"/>
                <w:szCs w:val="20"/>
              </w:rPr>
              <w:t>Venezuela</w:t>
            </w:r>
          </w:p>
        </w:tc>
        <w:tc>
          <w:tcPr>
            <w:tcW w:w="2940" w:type="dxa"/>
            <w:tcBorders>
              <w:top w:val="single" w:sz="4" w:space="0" w:color="auto"/>
              <w:left w:val="nil"/>
              <w:bottom w:val="single" w:sz="4" w:space="0" w:color="auto"/>
              <w:right w:val="single" w:sz="4" w:space="0" w:color="auto"/>
            </w:tcBorders>
            <w:vAlign w:val="center"/>
            <w:hideMark/>
          </w:tcPr>
          <w:p w14:paraId="56728C83" w14:textId="77777777" w:rsidR="00BA4056" w:rsidRDefault="00BA4056">
            <w:pPr>
              <w:rPr>
                <w:rFonts w:ascii="Cambria" w:eastAsia="Times New Roman" w:hAnsi="Cambria" w:cs="Calibri"/>
                <w:sz w:val="20"/>
                <w:szCs w:val="20"/>
              </w:rPr>
            </w:pPr>
            <w:r>
              <w:rPr>
                <w:rFonts w:ascii="Cambria" w:eastAsia="Times New Roman" w:hAnsi="Cambria" w:cs="Calibri"/>
                <w:sz w:val="20"/>
                <w:szCs w:val="20"/>
              </w:rPr>
              <w:t>Save the Children</w:t>
            </w:r>
          </w:p>
        </w:tc>
        <w:tc>
          <w:tcPr>
            <w:tcW w:w="2760" w:type="dxa"/>
            <w:tcBorders>
              <w:top w:val="single" w:sz="4" w:space="0" w:color="auto"/>
              <w:left w:val="nil"/>
              <w:bottom w:val="single" w:sz="4" w:space="0" w:color="auto"/>
              <w:right w:val="single" w:sz="4" w:space="0" w:color="auto"/>
            </w:tcBorders>
            <w:vAlign w:val="center"/>
            <w:hideMark/>
          </w:tcPr>
          <w:p w14:paraId="038570E9" w14:textId="77777777" w:rsidR="00BA4056" w:rsidRDefault="00BA4056">
            <w:pPr>
              <w:rPr>
                <w:rFonts w:ascii="Cambria" w:eastAsia="Times New Roman" w:hAnsi="Cambria" w:cs="Calibri"/>
                <w:color w:val="000000"/>
                <w:sz w:val="20"/>
                <w:szCs w:val="20"/>
              </w:rPr>
            </w:pPr>
            <w:r>
              <w:rPr>
                <w:rFonts w:ascii="Cambria" w:eastAsia="Times New Roman" w:hAnsi="Cambria" w:cs="Calibri"/>
                <w:color w:val="000000"/>
                <w:sz w:val="20"/>
                <w:szCs w:val="20"/>
              </w:rPr>
              <w:t>Monitoring III</w:t>
            </w:r>
          </w:p>
        </w:tc>
      </w:tr>
      <w:tr w:rsidR="00BA4056" w14:paraId="66972680" w14:textId="77777777" w:rsidTr="00BA4056">
        <w:trPr>
          <w:trHeight w:val="900"/>
          <w:jc w:val="center"/>
        </w:trPr>
        <w:tc>
          <w:tcPr>
            <w:tcW w:w="840" w:type="dxa"/>
            <w:tcBorders>
              <w:top w:val="nil"/>
              <w:left w:val="single" w:sz="4" w:space="0" w:color="auto"/>
              <w:bottom w:val="single" w:sz="4" w:space="0" w:color="auto"/>
              <w:right w:val="single" w:sz="4" w:space="0" w:color="auto"/>
            </w:tcBorders>
            <w:shd w:val="clear" w:color="auto" w:fill="FFFFFF"/>
            <w:noWrap/>
            <w:vAlign w:val="center"/>
            <w:hideMark/>
          </w:tcPr>
          <w:p w14:paraId="61A90B11" w14:textId="77777777" w:rsidR="00BA4056" w:rsidRDefault="00BA4056">
            <w:pPr>
              <w:jc w:val="center"/>
              <w:rPr>
                <w:rFonts w:ascii="Cambria" w:eastAsia="Times New Roman" w:hAnsi="Cambria" w:cs="Calibri"/>
                <w:bCs/>
                <w:sz w:val="20"/>
                <w:szCs w:val="20"/>
              </w:rPr>
            </w:pPr>
            <w:r>
              <w:rPr>
                <w:rFonts w:ascii="Cambria" w:eastAsia="Times New Roman" w:hAnsi="Cambria" w:cs="Calibri"/>
                <w:bCs/>
                <w:sz w:val="20"/>
                <w:szCs w:val="20"/>
              </w:rPr>
              <w:t>2</w:t>
            </w:r>
          </w:p>
        </w:tc>
        <w:tc>
          <w:tcPr>
            <w:tcW w:w="1428" w:type="dxa"/>
            <w:tcBorders>
              <w:top w:val="nil"/>
              <w:left w:val="nil"/>
              <w:bottom w:val="single" w:sz="4" w:space="0" w:color="auto"/>
              <w:right w:val="single" w:sz="4" w:space="0" w:color="auto"/>
            </w:tcBorders>
            <w:noWrap/>
            <w:vAlign w:val="center"/>
            <w:hideMark/>
          </w:tcPr>
          <w:p w14:paraId="2D1A65B1" w14:textId="77777777" w:rsidR="00BA4056" w:rsidRDefault="00BA4056">
            <w:pPr>
              <w:rPr>
                <w:rFonts w:ascii="Cambria" w:eastAsia="Times New Roman" w:hAnsi="Cambria" w:cs="Calibri"/>
                <w:color w:val="000000"/>
                <w:sz w:val="20"/>
                <w:szCs w:val="20"/>
              </w:rPr>
            </w:pPr>
            <w:r>
              <w:rPr>
                <w:rFonts w:ascii="Cambria" w:eastAsia="Times New Roman" w:hAnsi="Cambria" w:cs="Calibri"/>
                <w:color w:val="000000"/>
                <w:sz w:val="20"/>
                <w:szCs w:val="20"/>
              </w:rPr>
              <w:t>Argentina</w:t>
            </w:r>
          </w:p>
        </w:tc>
        <w:tc>
          <w:tcPr>
            <w:tcW w:w="2940" w:type="dxa"/>
            <w:tcBorders>
              <w:top w:val="nil"/>
              <w:left w:val="nil"/>
              <w:bottom w:val="single" w:sz="4" w:space="0" w:color="auto"/>
              <w:right w:val="single" w:sz="4" w:space="0" w:color="auto"/>
            </w:tcBorders>
            <w:vAlign w:val="center"/>
            <w:hideMark/>
          </w:tcPr>
          <w:p w14:paraId="68BBFAF5" w14:textId="77777777" w:rsidR="00BA4056" w:rsidRDefault="00BA4056">
            <w:pPr>
              <w:rPr>
                <w:rFonts w:ascii="Cambria" w:eastAsia="Times New Roman" w:hAnsi="Cambria" w:cs="Calibri"/>
                <w:sz w:val="20"/>
                <w:szCs w:val="20"/>
              </w:rPr>
            </w:pPr>
            <w:r>
              <w:rPr>
                <w:rFonts w:ascii="Cambria" w:eastAsia="Times New Roman" w:hAnsi="Cambria" w:cs="Calibri"/>
                <w:sz w:val="20"/>
                <w:szCs w:val="20"/>
              </w:rPr>
              <w:t>Orlando Sierra</w:t>
            </w:r>
          </w:p>
        </w:tc>
        <w:tc>
          <w:tcPr>
            <w:tcW w:w="2760" w:type="dxa"/>
            <w:tcBorders>
              <w:top w:val="nil"/>
              <w:left w:val="nil"/>
              <w:bottom w:val="single" w:sz="4" w:space="0" w:color="auto"/>
              <w:right w:val="single" w:sz="4" w:space="0" w:color="auto"/>
            </w:tcBorders>
            <w:vAlign w:val="center"/>
            <w:hideMark/>
          </w:tcPr>
          <w:p w14:paraId="0E978A09" w14:textId="77777777" w:rsidR="00BA4056" w:rsidRDefault="00BA4056">
            <w:pPr>
              <w:rPr>
                <w:rFonts w:ascii="Cambria" w:eastAsia="Times New Roman" w:hAnsi="Cambria" w:cs="Calibri"/>
                <w:color w:val="000000"/>
                <w:sz w:val="20"/>
                <w:szCs w:val="20"/>
              </w:rPr>
            </w:pPr>
            <w:r>
              <w:rPr>
                <w:rFonts w:ascii="Cambria" w:eastAsia="Times New Roman" w:hAnsi="Cambria" w:cs="Calibri"/>
                <w:color w:val="000000"/>
                <w:sz w:val="20"/>
                <w:szCs w:val="20"/>
              </w:rPr>
              <w:t>RELE/Freedom of Expression</w:t>
            </w:r>
          </w:p>
        </w:tc>
      </w:tr>
      <w:tr w:rsidR="00BA4056" w14:paraId="0687C020" w14:textId="77777777" w:rsidTr="00BA4056">
        <w:trPr>
          <w:trHeight w:val="900"/>
          <w:jc w:val="center"/>
        </w:trPr>
        <w:tc>
          <w:tcPr>
            <w:tcW w:w="840" w:type="dxa"/>
            <w:tcBorders>
              <w:top w:val="nil"/>
              <w:left w:val="single" w:sz="4" w:space="0" w:color="auto"/>
              <w:bottom w:val="single" w:sz="4" w:space="0" w:color="auto"/>
              <w:right w:val="single" w:sz="4" w:space="0" w:color="auto"/>
            </w:tcBorders>
            <w:shd w:val="clear" w:color="auto" w:fill="FFFFFF"/>
            <w:noWrap/>
            <w:vAlign w:val="center"/>
            <w:hideMark/>
          </w:tcPr>
          <w:p w14:paraId="4FACF549" w14:textId="77777777" w:rsidR="00BA4056" w:rsidRDefault="00BA4056">
            <w:pPr>
              <w:jc w:val="center"/>
              <w:rPr>
                <w:rFonts w:ascii="Cambria" w:eastAsia="Times New Roman" w:hAnsi="Cambria" w:cs="Calibri"/>
                <w:bCs/>
                <w:sz w:val="20"/>
                <w:szCs w:val="20"/>
              </w:rPr>
            </w:pPr>
            <w:r>
              <w:rPr>
                <w:rFonts w:ascii="Cambria" w:eastAsia="Times New Roman" w:hAnsi="Cambria" w:cs="Calibri"/>
                <w:bCs/>
                <w:sz w:val="20"/>
                <w:szCs w:val="20"/>
              </w:rPr>
              <w:t>3</w:t>
            </w:r>
          </w:p>
        </w:tc>
        <w:tc>
          <w:tcPr>
            <w:tcW w:w="1428" w:type="dxa"/>
            <w:tcBorders>
              <w:top w:val="nil"/>
              <w:left w:val="nil"/>
              <w:bottom w:val="single" w:sz="4" w:space="0" w:color="auto"/>
              <w:right w:val="single" w:sz="4" w:space="0" w:color="auto"/>
            </w:tcBorders>
            <w:noWrap/>
            <w:vAlign w:val="center"/>
            <w:hideMark/>
          </w:tcPr>
          <w:p w14:paraId="394AC3DE" w14:textId="77777777" w:rsidR="00BA4056" w:rsidRDefault="00BA4056">
            <w:pPr>
              <w:rPr>
                <w:rFonts w:ascii="Cambria" w:eastAsia="Times New Roman" w:hAnsi="Cambria" w:cs="Calibri"/>
                <w:color w:val="000000"/>
                <w:sz w:val="20"/>
                <w:szCs w:val="20"/>
              </w:rPr>
            </w:pPr>
            <w:r>
              <w:rPr>
                <w:rFonts w:ascii="Cambria" w:eastAsia="Times New Roman" w:hAnsi="Cambria" w:cs="Calibri"/>
                <w:color w:val="000000"/>
                <w:sz w:val="20"/>
                <w:szCs w:val="20"/>
              </w:rPr>
              <w:t>Colombia</w:t>
            </w:r>
          </w:p>
        </w:tc>
        <w:tc>
          <w:tcPr>
            <w:tcW w:w="2940" w:type="dxa"/>
            <w:tcBorders>
              <w:top w:val="nil"/>
              <w:left w:val="nil"/>
              <w:bottom w:val="single" w:sz="4" w:space="0" w:color="auto"/>
              <w:right w:val="single" w:sz="4" w:space="0" w:color="auto"/>
            </w:tcBorders>
            <w:vAlign w:val="center"/>
            <w:hideMark/>
          </w:tcPr>
          <w:p w14:paraId="0448E708" w14:textId="77777777" w:rsidR="00BA4056" w:rsidRDefault="00BA4056">
            <w:pPr>
              <w:rPr>
                <w:rFonts w:ascii="Cambria" w:eastAsia="Times New Roman" w:hAnsi="Cambria" w:cs="Calibri"/>
                <w:sz w:val="20"/>
                <w:szCs w:val="20"/>
              </w:rPr>
            </w:pPr>
            <w:r>
              <w:rPr>
                <w:rFonts w:ascii="Cambria" w:eastAsia="Times New Roman" w:hAnsi="Cambria" w:cs="Calibri"/>
                <w:sz w:val="20"/>
                <w:szCs w:val="20"/>
              </w:rPr>
              <w:t>UCLA</w:t>
            </w:r>
          </w:p>
        </w:tc>
        <w:tc>
          <w:tcPr>
            <w:tcW w:w="2760" w:type="dxa"/>
            <w:tcBorders>
              <w:top w:val="nil"/>
              <w:left w:val="nil"/>
              <w:bottom w:val="single" w:sz="4" w:space="0" w:color="auto"/>
              <w:right w:val="single" w:sz="4" w:space="0" w:color="auto"/>
            </w:tcBorders>
            <w:vAlign w:val="center"/>
            <w:hideMark/>
          </w:tcPr>
          <w:p w14:paraId="7BD3C70A" w14:textId="77777777" w:rsidR="00BA4056" w:rsidRDefault="00BA4056">
            <w:pPr>
              <w:rPr>
                <w:rFonts w:ascii="Cambria" w:eastAsia="Times New Roman" w:hAnsi="Cambria" w:cs="Calibri"/>
                <w:color w:val="000000"/>
                <w:sz w:val="20"/>
                <w:szCs w:val="20"/>
              </w:rPr>
            </w:pPr>
            <w:r>
              <w:rPr>
                <w:rFonts w:ascii="Cambria" w:eastAsia="Times New Roman" w:hAnsi="Cambria" w:cs="Calibri"/>
                <w:color w:val="000000"/>
                <w:sz w:val="20"/>
                <w:szCs w:val="20"/>
              </w:rPr>
              <w:t>REDESCA/ESCER</w:t>
            </w:r>
          </w:p>
        </w:tc>
      </w:tr>
      <w:tr w:rsidR="00BA4056" w14:paraId="645C8580" w14:textId="77777777" w:rsidTr="00BA4056">
        <w:trPr>
          <w:trHeight w:val="690"/>
          <w:jc w:val="center"/>
        </w:trPr>
        <w:tc>
          <w:tcPr>
            <w:tcW w:w="840" w:type="dxa"/>
            <w:tcBorders>
              <w:top w:val="nil"/>
              <w:left w:val="single" w:sz="4" w:space="0" w:color="auto"/>
              <w:bottom w:val="single" w:sz="4" w:space="0" w:color="auto"/>
              <w:right w:val="single" w:sz="4" w:space="0" w:color="auto"/>
            </w:tcBorders>
            <w:shd w:val="clear" w:color="auto" w:fill="FFFFFF"/>
            <w:noWrap/>
            <w:vAlign w:val="center"/>
            <w:hideMark/>
          </w:tcPr>
          <w:p w14:paraId="20E237E9" w14:textId="77777777" w:rsidR="00BA4056" w:rsidRDefault="00BA4056">
            <w:pPr>
              <w:jc w:val="center"/>
              <w:rPr>
                <w:rFonts w:ascii="Cambria" w:eastAsia="Times New Roman" w:hAnsi="Cambria" w:cs="Calibri"/>
                <w:bCs/>
                <w:sz w:val="20"/>
                <w:szCs w:val="20"/>
              </w:rPr>
            </w:pPr>
            <w:r>
              <w:rPr>
                <w:rFonts w:ascii="Cambria" w:eastAsia="Times New Roman" w:hAnsi="Cambria" w:cs="Calibri"/>
                <w:bCs/>
                <w:sz w:val="20"/>
                <w:szCs w:val="20"/>
              </w:rPr>
              <w:t>4</w:t>
            </w:r>
          </w:p>
        </w:tc>
        <w:tc>
          <w:tcPr>
            <w:tcW w:w="1428" w:type="dxa"/>
            <w:tcBorders>
              <w:top w:val="nil"/>
              <w:left w:val="nil"/>
              <w:bottom w:val="single" w:sz="4" w:space="0" w:color="auto"/>
              <w:right w:val="single" w:sz="4" w:space="0" w:color="auto"/>
            </w:tcBorders>
            <w:noWrap/>
            <w:vAlign w:val="center"/>
            <w:hideMark/>
          </w:tcPr>
          <w:p w14:paraId="2187A689" w14:textId="77777777" w:rsidR="00BA4056" w:rsidRDefault="00BA4056">
            <w:pPr>
              <w:rPr>
                <w:rFonts w:ascii="Cambria" w:eastAsia="Times New Roman" w:hAnsi="Cambria" w:cs="Calibri"/>
                <w:color w:val="000000"/>
                <w:sz w:val="20"/>
                <w:szCs w:val="20"/>
              </w:rPr>
            </w:pPr>
            <w:r>
              <w:rPr>
                <w:rFonts w:ascii="Cambria" w:eastAsia="Times New Roman" w:hAnsi="Cambria" w:cs="Calibri"/>
                <w:color w:val="000000"/>
                <w:sz w:val="20"/>
                <w:szCs w:val="20"/>
              </w:rPr>
              <w:t>Bolivia</w:t>
            </w:r>
          </w:p>
        </w:tc>
        <w:tc>
          <w:tcPr>
            <w:tcW w:w="2940" w:type="dxa"/>
            <w:tcBorders>
              <w:top w:val="nil"/>
              <w:left w:val="nil"/>
              <w:bottom w:val="single" w:sz="4" w:space="0" w:color="auto"/>
              <w:right w:val="single" w:sz="4" w:space="0" w:color="auto"/>
            </w:tcBorders>
            <w:vAlign w:val="center"/>
            <w:hideMark/>
          </w:tcPr>
          <w:p w14:paraId="6C0C94C8" w14:textId="77777777" w:rsidR="00BA4056" w:rsidRDefault="00BA4056">
            <w:pPr>
              <w:rPr>
                <w:rFonts w:ascii="Cambria" w:eastAsia="Times New Roman" w:hAnsi="Cambria" w:cs="Calibri"/>
                <w:sz w:val="20"/>
                <w:szCs w:val="20"/>
              </w:rPr>
            </w:pPr>
            <w:r>
              <w:rPr>
                <w:rFonts w:ascii="Cambria" w:eastAsia="Times New Roman" w:hAnsi="Cambria" w:cs="Calibri"/>
                <w:sz w:val="20"/>
                <w:szCs w:val="20"/>
              </w:rPr>
              <w:t xml:space="preserve">Follow-up of Recommendations </w:t>
            </w:r>
          </w:p>
        </w:tc>
        <w:tc>
          <w:tcPr>
            <w:tcW w:w="2760" w:type="dxa"/>
            <w:tcBorders>
              <w:top w:val="nil"/>
              <w:left w:val="nil"/>
              <w:bottom w:val="single" w:sz="4" w:space="0" w:color="auto"/>
              <w:right w:val="single" w:sz="4" w:space="0" w:color="auto"/>
            </w:tcBorders>
            <w:vAlign w:val="center"/>
            <w:hideMark/>
          </w:tcPr>
          <w:p w14:paraId="39B4B3A5" w14:textId="77777777" w:rsidR="00BA4056" w:rsidRDefault="00BA4056">
            <w:pPr>
              <w:rPr>
                <w:rFonts w:ascii="Cambria" w:eastAsia="Times New Roman" w:hAnsi="Cambria" w:cs="Calibri"/>
                <w:color w:val="000000"/>
                <w:sz w:val="20"/>
                <w:szCs w:val="20"/>
              </w:rPr>
            </w:pPr>
            <w:r>
              <w:rPr>
                <w:rFonts w:ascii="Cambria" w:eastAsia="Times New Roman" w:hAnsi="Cambria" w:cs="Calibri"/>
                <w:sz w:val="20"/>
                <w:szCs w:val="20"/>
              </w:rPr>
              <w:t>Follow-up of Recommendations</w:t>
            </w:r>
          </w:p>
        </w:tc>
      </w:tr>
      <w:tr w:rsidR="00BA4056" w14:paraId="733FE6CE" w14:textId="77777777" w:rsidTr="00BA4056">
        <w:trPr>
          <w:trHeight w:val="690"/>
          <w:jc w:val="center"/>
        </w:trPr>
        <w:tc>
          <w:tcPr>
            <w:tcW w:w="840" w:type="dxa"/>
            <w:tcBorders>
              <w:top w:val="nil"/>
              <w:left w:val="single" w:sz="4" w:space="0" w:color="auto"/>
              <w:bottom w:val="single" w:sz="4" w:space="0" w:color="auto"/>
              <w:right w:val="single" w:sz="4" w:space="0" w:color="auto"/>
            </w:tcBorders>
            <w:shd w:val="clear" w:color="auto" w:fill="FFFFFF"/>
            <w:noWrap/>
            <w:vAlign w:val="center"/>
            <w:hideMark/>
          </w:tcPr>
          <w:p w14:paraId="4C7A610E" w14:textId="77777777" w:rsidR="00BA4056" w:rsidRDefault="00BA4056">
            <w:pPr>
              <w:jc w:val="center"/>
              <w:rPr>
                <w:rFonts w:ascii="Cambria" w:eastAsia="Times New Roman" w:hAnsi="Cambria" w:cs="Calibri"/>
                <w:bCs/>
                <w:sz w:val="20"/>
                <w:szCs w:val="20"/>
              </w:rPr>
            </w:pPr>
            <w:r>
              <w:rPr>
                <w:rFonts w:ascii="Cambria" w:eastAsia="Times New Roman" w:hAnsi="Cambria" w:cs="Calibri"/>
                <w:bCs/>
                <w:sz w:val="20"/>
                <w:szCs w:val="20"/>
                <w:lang w:val="es-ES_tradnl"/>
              </w:rPr>
              <w:t>5</w:t>
            </w:r>
          </w:p>
        </w:tc>
        <w:tc>
          <w:tcPr>
            <w:tcW w:w="1428" w:type="dxa"/>
            <w:tcBorders>
              <w:top w:val="nil"/>
              <w:left w:val="nil"/>
              <w:bottom w:val="single" w:sz="4" w:space="0" w:color="auto"/>
              <w:right w:val="single" w:sz="4" w:space="0" w:color="auto"/>
            </w:tcBorders>
            <w:noWrap/>
            <w:vAlign w:val="center"/>
            <w:hideMark/>
          </w:tcPr>
          <w:p w14:paraId="0DEA42F6" w14:textId="77777777" w:rsidR="00BA4056" w:rsidRDefault="00BA4056">
            <w:pPr>
              <w:rPr>
                <w:rFonts w:ascii="Cambria" w:eastAsia="Times New Roman" w:hAnsi="Cambria" w:cs="Calibri"/>
                <w:color w:val="000000"/>
                <w:sz w:val="20"/>
                <w:szCs w:val="20"/>
              </w:rPr>
            </w:pPr>
            <w:r>
              <w:rPr>
                <w:rFonts w:ascii="Cambria" w:eastAsia="Times New Roman" w:hAnsi="Cambria" w:cs="Calibri"/>
                <w:color w:val="000000"/>
                <w:sz w:val="20"/>
                <w:szCs w:val="20"/>
                <w:lang w:val="es-ES_tradnl"/>
              </w:rPr>
              <w:t>Costa Rica</w:t>
            </w:r>
          </w:p>
        </w:tc>
        <w:tc>
          <w:tcPr>
            <w:tcW w:w="2940" w:type="dxa"/>
            <w:tcBorders>
              <w:top w:val="nil"/>
              <w:left w:val="nil"/>
              <w:bottom w:val="single" w:sz="4" w:space="0" w:color="auto"/>
              <w:right w:val="single" w:sz="4" w:space="0" w:color="auto"/>
            </w:tcBorders>
            <w:vAlign w:val="center"/>
            <w:hideMark/>
          </w:tcPr>
          <w:p w14:paraId="6F1787EB" w14:textId="77777777" w:rsidR="00BA4056" w:rsidRDefault="00BA4056">
            <w:pPr>
              <w:rPr>
                <w:rFonts w:ascii="Cambria" w:eastAsia="Times New Roman" w:hAnsi="Cambria" w:cs="Calibri"/>
                <w:sz w:val="20"/>
                <w:szCs w:val="20"/>
              </w:rPr>
            </w:pPr>
            <w:r>
              <w:rPr>
                <w:rFonts w:ascii="Cambria" w:eastAsia="Times New Roman" w:hAnsi="Cambria" w:cs="Calibri"/>
                <w:sz w:val="20"/>
                <w:szCs w:val="20"/>
                <w:lang w:val="es-ES_tradnl"/>
              </w:rPr>
              <w:t>ARCUS</w:t>
            </w:r>
          </w:p>
        </w:tc>
        <w:tc>
          <w:tcPr>
            <w:tcW w:w="2760" w:type="dxa"/>
            <w:tcBorders>
              <w:top w:val="nil"/>
              <w:left w:val="nil"/>
              <w:bottom w:val="single" w:sz="4" w:space="0" w:color="auto"/>
              <w:right w:val="single" w:sz="4" w:space="0" w:color="auto"/>
            </w:tcBorders>
            <w:vAlign w:val="center"/>
            <w:hideMark/>
          </w:tcPr>
          <w:p w14:paraId="74C6372E" w14:textId="77777777" w:rsidR="00BA4056" w:rsidRDefault="00BA4056">
            <w:pPr>
              <w:rPr>
                <w:rFonts w:ascii="Cambria" w:eastAsia="Times New Roman" w:hAnsi="Cambria" w:cs="Calibri"/>
                <w:color w:val="000000"/>
                <w:sz w:val="20"/>
                <w:szCs w:val="20"/>
              </w:rPr>
            </w:pPr>
            <w:r>
              <w:rPr>
                <w:rFonts w:ascii="Cambria" w:eastAsia="Times New Roman" w:hAnsi="Cambria" w:cs="Calibri"/>
                <w:color w:val="000000"/>
                <w:sz w:val="20"/>
                <w:szCs w:val="20"/>
                <w:lang w:val="es-ES_tradnl"/>
              </w:rPr>
              <w:t xml:space="preserve">LGBTI </w:t>
            </w:r>
            <w:proofErr w:type="spellStart"/>
            <w:r>
              <w:rPr>
                <w:rFonts w:ascii="Cambria" w:eastAsia="Times New Roman" w:hAnsi="Cambria" w:cs="Calibri"/>
                <w:color w:val="000000"/>
                <w:sz w:val="20"/>
                <w:szCs w:val="20"/>
                <w:lang w:val="es-ES_tradnl"/>
              </w:rPr>
              <w:t>Rapporteurship</w:t>
            </w:r>
            <w:proofErr w:type="spellEnd"/>
          </w:p>
        </w:tc>
      </w:tr>
      <w:tr w:rsidR="00BA4056" w14:paraId="0FEDB57F" w14:textId="77777777" w:rsidTr="00BA4056">
        <w:trPr>
          <w:trHeight w:val="690"/>
          <w:jc w:val="center"/>
        </w:trPr>
        <w:tc>
          <w:tcPr>
            <w:tcW w:w="840" w:type="dxa"/>
            <w:tcBorders>
              <w:top w:val="nil"/>
              <w:left w:val="single" w:sz="4" w:space="0" w:color="auto"/>
              <w:bottom w:val="single" w:sz="4" w:space="0" w:color="auto"/>
              <w:right w:val="single" w:sz="4" w:space="0" w:color="auto"/>
            </w:tcBorders>
            <w:shd w:val="clear" w:color="auto" w:fill="FFFFFF"/>
            <w:noWrap/>
            <w:vAlign w:val="center"/>
            <w:hideMark/>
          </w:tcPr>
          <w:p w14:paraId="758659DB" w14:textId="77777777" w:rsidR="00BA4056" w:rsidRDefault="00BA4056">
            <w:pPr>
              <w:jc w:val="center"/>
              <w:rPr>
                <w:rFonts w:ascii="Cambria" w:eastAsia="Times New Roman" w:hAnsi="Cambria" w:cs="Calibri"/>
                <w:bCs/>
                <w:sz w:val="20"/>
                <w:szCs w:val="20"/>
              </w:rPr>
            </w:pPr>
            <w:r>
              <w:rPr>
                <w:rFonts w:ascii="Cambria" w:eastAsia="Times New Roman" w:hAnsi="Cambria" w:cs="Calibri"/>
                <w:bCs/>
                <w:sz w:val="20"/>
                <w:szCs w:val="20"/>
                <w:lang w:val="es-ES_tradnl"/>
              </w:rPr>
              <w:t>6</w:t>
            </w:r>
          </w:p>
        </w:tc>
        <w:tc>
          <w:tcPr>
            <w:tcW w:w="1428" w:type="dxa"/>
            <w:tcBorders>
              <w:top w:val="nil"/>
              <w:left w:val="nil"/>
              <w:bottom w:val="single" w:sz="4" w:space="0" w:color="auto"/>
              <w:right w:val="single" w:sz="4" w:space="0" w:color="auto"/>
            </w:tcBorders>
            <w:noWrap/>
            <w:vAlign w:val="center"/>
            <w:hideMark/>
          </w:tcPr>
          <w:p w14:paraId="3E320B7D" w14:textId="77777777" w:rsidR="00BA4056" w:rsidRDefault="00BA4056">
            <w:pPr>
              <w:rPr>
                <w:rFonts w:ascii="Cambria" w:eastAsia="Times New Roman" w:hAnsi="Cambria" w:cs="Calibri"/>
                <w:color w:val="000000"/>
                <w:sz w:val="20"/>
                <w:szCs w:val="20"/>
              </w:rPr>
            </w:pPr>
            <w:proofErr w:type="spellStart"/>
            <w:r>
              <w:rPr>
                <w:rFonts w:ascii="Cambria" w:eastAsia="Times New Roman" w:hAnsi="Cambria" w:cs="Calibri"/>
                <w:color w:val="000000"/>
                <w:sz w:val="20"/>
                <w:szCs w:val="20"/>
                <w:lang w:val="es-ES_tradnl"/>
              </w:rPr>
              <w:t>Mexico</w:t>
            </w:r>
            <w:proofErr w:type="spellEnd"/>
          </w:p>
        </w:tc>
        <w:tc>
          <w:tcPr>
            <w:tcW w:w="2940" w:type="dxa"/>
            <w:tcBorders>
              <w:top w:val="nil"/>
              <w:left w:val="nil"/>
              <w:bottom w:val="single" w:sz="4" w:space="0" w:color="auto"/>
              <w:right w:val="single" w:sz="4" w:space="0" w:color="auto"/>
            </w:tcBorders>
            <w:vAlign w:val="center"/>
            <w:hideMark/>
          </w:tcPr>
          <w:p w14:paraId="20EF87AA" w14:textId="77777777" w:rsidR="00BA4056" w:rsidRDefault="00BA4056">
            <w:pPr>
              <w:rPr>
                <w:rFonts w:ascii="Cambria" w:eastAsia="Times New Roman" w:hAnsi="Cambria" w:cs="Calibri"/>
                <w:sz w:val="20"/>
                <w:szCs w:val="20"/>
              </w:rPr>
            </w:pPr>
            <w:r>
              <w:rPr>
                <w:rFonts w:ascii="Cambria" w:eastAsia="Times New Roman" w:hAnsi="Cambria" w:cs="Calibri"/>
                <w:sz w:val="20"/>
                <w:szCs w:val="20"/>
                <w:lang w:val="es-ES_tradnl"/>
              </w:rPr>
              <w:t>UNAM</w:t>
            </w:r>
          </w:p>
        </w:tc>
        <w:tc>
          <w:tcPr>
            <w:tcW w:w="2760" w:type="dxa"/>
            <w:tcBorders>
              <w:top w:val="nil"/>
              <w:left w:val="nil"/>
              <w:bottom w:val="single" w:sz="4" w:space="0" w:color="auto"/>
              <w:right w:val="single" w:sz="4" w:space="0" w:color="auto"/>
            </w:tcBorders>
            <w:vAlign w:val="center"/>
            <w:hideMark/>
          </w:tcPr>
          <w:p w14:paraId="203442A7" w14:textId="77777777" w:rsidR="00BA4056" w:rsidRDefault="00BA4056">
            <w:pPr>
              <w:rPr>
                <w:rFonts w:ascii="Cambria" w:eastAsia="Times New Roman" w:hAnsi="Cambria" w:cs="Calibri"/>
                <w:color w:val="000000"/>
                <w:sz w:val="20"/>
                <w:szCs w:val="20"/>
              </w:rPr>
            </w:pPr>
            <w:r>
              <w:rPr>
                <w:rFonts w:ascii="Cambria" w:eastAsia="Times New Roman" w:hAnsi="Cambria" w:cs="Calibri"/>
                <w:color w:val="000000"/>
                <w:sz w:val="20"/>
                <w:szCs w:val="20"/>
                <w:lang w:val="es-ES_tradnl"/>
              </w:rPr>
              <w:t>Cases</w:t>
            </w:r>
          </w:p>
        </w:tc>
      </w:tr>
      <w:tr w:rsidR="00BA4056" w14:paraId="1A0D9B94" w14:textId="77777777" w:rsidTr="00BA4056">
        <w:trPr>
          <w:trHeight w:val="690"/>
          <w:jc w:val="center"/>
        </w:trPr>
        <w:tc>
          <w:tcPr>
            <w:tcW w:w="840" w:type="dxa"/>
            <w:tcBorders>
              <w:top w:val="nil"/>
              <w:left w:val="single" w:sz="4" w:space="0" w:color="auto"/>
              <w:bottom w:val="single" w:sz="4" w:space="0" w:color="auto"/>
              <w:right w:val="single" w:sz="4" w:space="0" w:color="auto"/>
            </w:tcBorders>
            <w:shd w:val="clear" w:color="auto" w:fill="FFFFFF"/>
            <w:noWrap/>
            <w:vAlign w:val="center"/>
            <w:hideMark/>
          </w:tcPr>
          <w:p w14:paraId="2D587EC9" w14:textId="77777777" w:rsidR="00BA4056" w:rsidRDefault="00BA4056">
            <w:pPr>
              <w:jc w:val="center"/>
              <w:rPr>
                <w:rFonts w:ascii="Cambria" w:eastAsia="Times New Roman" w:hAnsi="Cambria" w:cs="Calibri"/>
                <w:bCs/>
                <w:sz w:val="20"/>
                <w:szCs w:val="20"/>
                <w:lang w:val="es-ES_tradnl"/>
              </w:rPr>
            </w:pPr>
            <w:r>
              <w:rPr>
                <w:rFonts w:ascii="Cambria" w:eastAsia="Times New Roman" w:hAnsi="Cambria" w:cs="Calibri"/>
                <w:bCs/>
                <w:sz w:val="20"/>
                <w:szCs w:val="20"/>
                <w:lang w:val="es-ES_tradnl"/>
              </w:rPr>
              <w:t>7</w:t>
            </w:r>
          </w:p>
        </w:tc>
        <w:tc>
          <w:tcPr>
            <w:tcW w:w="1428" w:type="dxa"/>
            <w:tcBorders>
              <w:top w:val="nil"/>
              <w:left w:val="nil"/>
              <w:bottom w:val="single" w:sz="4" w:space="0" w:color="auto"/>
              <w:right w:val="single" w:sz="4" w:space="0" w:color="auto"/>
            </w:tcBorders>
            <w:noWrap/>
            <w:vAlign w:val="center"/>
            <w:hideMark/>
          </w:tcPr>
          <w:p w14:paraId="3704C0F5" w14:textId="77777777" w:rsidR="00BA4056" w:rsidRDefault="00BA4056">
            <w:pPr>
              <w:rPr>
                <w:rFonts w:ascii="Cambria" w:eastAsia="Times New Roman" w:hAnsi="Cambria" w:cs="Calibri"/>
                <w:color w:val="000000"/>
                <w:sz w:val="20"/>
                <w:szCs w:val="20"/>
                <w:lang w:val="es-ES_tradnl"/>
              </w:rPr>
            </w:pPr>
            <w:proofErr w:type="spellStart"/>
            <w:r>
              <w:rPr>
                <w:rFonts w:ascii="Cambria" w:eastAsia="Times New Roman" w:hAnsi="Cambria" w:cs="Calibri"/>
                <w:color w:val="000000"/>
                <w:sz w:val="20"/>
                <w:szCs w:val="20"/>
                <w:lang w:val="es-ES_tradnl"/>
              </w:rPr>
              <w:t>Mexico</w:t>
            </w:r>
            <w:proofErr w:type="spellEnd"/>
            <w:r>
              <w:rPr>
                <w:rFonts w:ascii="Cambria" w:eastAsia="Times New Roman" w:hAnsi="Cambria" w:cs="Calibri"/>
                <w:color w:val="000000"/>
                <w:sz w:val="20"/>
                <w:szCs w:val="20"/>
                <w:lang w:val="es-ES_tradnl"/>
              </w:rPr>
              <w:t>/USA.</w:t>
            </w:r>
          </w:p>
        </w:tc>
        <w:tc>
          <w:tcPr>
            <w:tcW w:w="2940" w:type="dxa"/>
            <w:tcBorders>
              <w:top w:val="nil"/>
              <w:left w:val="nil"/>
              <w:bottom w:val="single" w:sz="4" w:space="0" w:color="auto"/>
              <w:right w:val="single" w:sz="4" w:space="0" w:color="auto"/>
            </w:tcBorders>
            <w:vAlign w:val="center"/>
            <w:hideMark/>
          </w:tcPr>
          <w:p w14:paraId="4C6B4BF9" w14:textId="77777777" w:rsidR="00BA4056" w:rsidRDefault="00BA4056">
            <w:pPr>
              <w:rPr>
                <w:rFonts w:ascii="Cambria" w:eastAsia="Times New Roman" w:hAnsi="Cambria" w:cs="Calibri"/>
                <w:sz w:val="20"/>
                <w:szCs w:val="20"/>
                <w:lang w:val="es-ES_tradnl"/>
              </w:rPr>
            </w:pPr>
            <w:r>
              <w:rPr>
                <w:rFonts w:ascii="Cambria" w:eastAsia="Times New Roman" w:hAnsi="Cambria" w:cs="Calibri"/>
                <w:sz w:val="20"/>
                <w:szCs w:val="20"/>
                <w:lang w:val="es-ES_tradnl"/>
              </w:rPr>
              <w:t>Universidad de Monterrey</w:t>
            </w:r>
          </w:p>
        </w:tc>
        <w:tc>
          <w:tcPr>
            <w:tcW w:w="2760" w:type="dxa"/>
            <w:tcBorders>
              <w:top w:val="nil"/>
              <w:left w:val="nil"/>
              <w:bottom w:val="single" w:sz="4" w:space="0" w:color="auto"/>
              <w:right w:val="single" w:sz="4" w:space="0" w:color="auto"/>
            </w:tcBorders>
            <w:vAlign w:val="center"/>
            <w:hideMark/>
          </w:tcPr>
          <w:p w14:paraId="4B4E688C" w14:textId="77777777" w:rsidR="00BA4056" w:rsidRDefault="00BA4056">
            <w:pPr>
              <w:rPr>
                <w:rFonts w:ascii="Cambria" w:eastAsia="Times New Roman" w:hAnsi="Cambria" w:cs="Calibri"/>
                <w:color w:val="000000"/>
                <w:sz w:val="20"/>
                <w:szCs w:val="20"/>
                <w:lang w:val="es-ES_tradnl"/>
              </w:rPr>
            </w:pPr>
            <w:r>
              <w:rPr>
                <w:rFonts w:ascii="Cambria" w:eastAsia="Times New Roman" w:hAnsi="Cambria" w:cs="Calibri"/>
                <w:color w:val="000000"/>
                <w:sz w:val="20"/>
                <w:szCs w:val="20"/>
                <w:lang w:val="es-ES_tradnl"/>
              </w:rPr>
              <w:t xml:space="preserve">REDESCA/ESCER </w:t>
            </w:r>
          </w:p>
        </w:tc>
      </w:tr>
      <w:tr w:rsidR="00BA4056" w14:paraId="31B58F20" w14:textId="77777777" w:rsidTr="00BA4056">
        <w:trPr>
          <w:trHeight w:val="690"/>
          <w:jc w:val="center"/>
        </w:trPr>
        <w:tc>
          <w:tcPr>
            <w:tcW w:w="840" w:type="dxa"/>
            <w:tcBorders>
              <w:top w:val="nil"/>
              <w:left w:val="single" w:sz="4" w:space="0" w:color="auto"/>
              <w:bottom w:val="single" w:sz="4" w:space="0" w:color="auto"/>
              <w:right w:val="single" w:sz="4" w:space="0" w:color="auto"/>
            </w:tcBorders>
            <w:shd w:val="clear" w:color="auto" w:fill="FFFFFF"/>
            <w:noWrap/>
            <w:vAlign w:val="center"/>
            <w:hideMark/>
          </w:tcPr>
          <w:p w14:paraId="171632A4" w14:textId="77777777" w:rsidR="00BA4056" w:rsidRDefault="00BA4056">
            <w:pPr>
              <w:jc w:val="center"/>
              <w:rPr>
                <w:rFonts w:ascii="Cambria" w:eastAsia="Times New Roman" w:hAnsi="Cambria" w:cs="Calibri"/>
                <w:bCs/>
                <w:sz w:val="20"/>
                <w:szCs w:val="20"/>
                <w:lang w:val="es-ES_tradnl"/>
              </w:rPr>
            </w:pPr>
            <w:r>
              <w:rPr>
                <w:rFonts w:ascii="Cambria" w:eastAsia="Times New Roman" w:hAnsi="Cambria" w:cs="Calibri"/>
                <w:bCs/>
                <w:sz w:val="20"/>
                <w:szCs w:val="20"/>
                <w:lang w:val="es-ES_tradnl"/>
              </w:rPr>
              <w:t>8</w:t>
            </w:r>
          </w:p>
        </w:tc>
        <w:tc>
          <w:tcPr>
            <w:tcW w:w="1428" w:type="dxa"/>
            <w:tcBorders>
              <w:top w:val="nil"/>
              <w:left w:val="nil"/>
              <w:bottom w:val="single" w:sz="4" w:space="0" w:color="auto"/>
              <w:right w:val="single" w:sz="4" w:space="0" w:color="auto"/>
            </w:tcBorders>
            <w:noWrap/>
            <w:vAlign w:val="center"/>
            <w:hideMark/>
          </w:tcPr>
          <w:p w14:paraId="49A1880E" w14:textId="77777777" w:rsidR="00BA4056" w:rsidRDefault="00BA4056">
            <w:pPr>
              <w:rPr>
                <w:rFonts w:ascii="Cambria" w:eastAsia="Times New Roman" w:hAnsi="Cambria" w:cs="Calibri"/>
                <w:color w:val="000000"/>
                <w:sz w:val="20"/>
                <w:szCs w:val="20"/>
                <w:lang w:val="es-ES_tradnl"/>
              </w:rPr>
            </w:pPr>
            <w:proofErr w:type="spellStart"/>
            <w:r>
              <w:rPr>
                <w:rFonts w:ascii="Cambria" w:eastAsia="Times New Roman" w:hAnsi="Cambria" w:cs="Calibri"/>
                <w:color w:val="000000"/>
                <w:sz w:val="20"/>
                <w:szCs w:val="20"/>
                <w:lang w:val="es-ES_tradnl"/>
              </w:rPr>
              <w:t>Peru</w:t>
            </w:r>
            <w:proofErr w:type="spellEnd"/>
          </w:p>
        </w:tc>
        <w:tc>
          <w:tcPr>
            <w:tcW w:w="2940" w:type="dxa"/>
            <w:tcBorders>
              <w:top w:val="nil"/>
              <w:left w:val="nil"/>
              <w:bottom w:val="single" w:sz="4" w:space="0" w:color="auto"/>
              <w:right w:val="single" w:sz="4" w:space="0" w:color="auto"/>
            </w:tcBorders>
            <w:vAlign w:val="center"/>
            <w:hideMark/>
          </w:tcPr>
          <w:p w14:paraId="54ED700E" w14:textId="77777777" w:rsidR="00BA4056" w:rsidRDefault="00BA4056">
            <w:pPr>
              <w:rPr>
                <w:rFonts w:ascii="Cambria" w:eastAsia="Times New Roman" w:hAnsi="Cambria" w:cs="Calibri"/>
                <w:sz w:val="20"/>
                <w:szCs w:val="20"/>
                <w:lang w:val="es-ES_tradnl"/>
              </w:rPr>
            </w:pPr>
            <w:r>
              <w:rPr>
                <w:rFonts w:ascii="Cambria" w:eastAsia="Times New Roman" w:hAnsi="Cambria" w:cs="Calibri"/>
                <w:sz w:val="20"/>
                <w:szCs w:val="20"/>
                <w:lang w:val="es-ES_tradnl"/>
              </w:rPr>
              <w:t>Pontificia Universidad Católica del Perú</w:t>
            </w:r>
          </w:p>
        </w:tc>
        <w:tc>
          <w:tcPr>
            <w:tcW w:w="2760" w:type="dxa"/>
            <w:tcBorders>
              <w:top w:val="nil"/>
              <w:left w:val="nil"/>
              <w:bottom w:val="single" w:sz="4" w:space="0" w:color="auto"/>
              <w:right w:val="single" w:sz="4" w:space="0" w:color="auto"/>
            </w:tcBorders>
            <w:vAlign w:val="center"/>
            <w:hideMark/>
          </w:tcPr>
          <w:p w14:paraId="33F0A34D" w14:textId="77777777" w:rsidR="00BA4056" w:rsidRDefault="00BA4056">
            <w:pPr>
              <w:rPr>
                <w:rFonts w:ascii="Cambria" w:eastAsia="Times New Roman" w:hAnsi="Cambria" w:cs="Calibri"/>
                <w:color w:val="000000"/>
                <w:sz w:val="20"/>
                <w:szCs w:val="20"/>
                <w:lang w:val="es-ES_tradnl"/>
              </w:rPr>
            </w:pPr>
            <w:r>
              <w:rPr>
                <w:rFonts w:ascii="Cambria" w:eastAsia="Times New Roman" w:hAnsi="Cambria" w:cs="Calibri"/>
                <w:color w:val="000000"/>
                <w:sz w:val="20"/>
                <w:szCs w:val="20"/>
                <w:lang w:val="es-ES_tradnl"/>
              </w:rPr>
              <w:t>Cases</w:t>
            </w:r>
          </w:p>
        </w:tc>
      </w:tr>
      <w:tr w:rsidR="00BA4056" w14:paraId="2B3C422A" w14:textId="77777777" w:rsidTr="00BA4056">
        <w:trPr>
          <w:trHeight w:val="690"/>
          <w:jc w:val="center"/>
        </w:trPr>
        <w:tc>
          <w:tcPr>
            <w:tcW w:w="840" w:type="dxa"/>
            <w:tcBorders>
              <w:top w:val="nil"/>
              <w:left w:val="single" w:sz="4" w:space="0" w:color="auto"/>
              <w:bottom w:val="single" w:sz="4" w:space="0" w:color="auto"/>
              <w:right w:val="single" w:sz="4" w:space="0" w:color="auto"/>
            </w:tcBorders>
            <w:shd w:val="clear" w:color="auto" w:fill="FFFFFF"/>
            <w:noWrap/>
            <w:vAlign w:val="center"/>
            <w:hideMark/>
          </w:tcPr>
          <w:p w14:paraId="1D408369" w14:textId="77777777" w:rsidR="00BA4056" w:rsidRDefault="00BA4056">
            <w:pPr>
              <w:jc w:val="center"/>
              <w:rPr>
                <w:rFonts w:ascii="Cambria" w:eastAsia="Times New Roman" w:hAnsi="Cambria" w:cs="Calibri"/>
                <w:bCs/>
                <w:sz w:val="20"/>
                <w:szCs w:val="20"/>
                <w:lang w:val="es-ES_tradnl"/>
              </w:rPr>
            </w:pPr>
            <w:r>
              <w:rPr>
                <w:rFonts w:ascii="Cambria" w:eastAsia="Times New Roman" w:hAnsi="Cambria" w:cs="Calibri"/>
                <w:bCs/>
                <w:sz w:val="20"/>
                <w:szCs w:val="20"/>
                <w:lang w:val="es-ES_tradnl"/>
              </w:rPr>
              <w:t>9</w:t>
            </w:r>
          </w:p>
        </w:tc>
        <w:tc>
          <w:tcPr>
            <w:tcW w:w="1428" w:type="dxa"/>
            <w:tcBorders>
              <w:top w:val="nil"/>
              <w:left w:val="nil"/>
              <w:bottom w:val="single" w:sz="4" w:space="0" w:color="auto"/>
              <w:right w:val="single" w:sz="4" w:space="0" w:color="auto"/>
            </w:tcBorders>
            <w:noWrap/>
            <w:vAlign w:val="center"/>
            <w:hideMark/>
          </w:tcPr>
          <w:p w14:paraId="4EFE233E" w14:textId="77777777" w:rsidR="00BA4056" w:rsidRDefault="00BA4056">
            <w:pPr>
              <w:rPr>
                <w:rFonts w:ascii="Cambria" w:eastAsia="Times New Roman" w:hAnsi="Cambria" w:cs="Calibri"/>
                <w:color w:val="000000"/>
                <w:sz w:val="20"/>
                <w:szCs w:val="20"/>
                <w:lang w:val="es-ES_tradnl"/>
              </w:rPr>
            </w:pPr>
            <w:proofErr w:type="spellStart"/>
            <w:r>
              <w:rPr>
                <w:rFonts w:ascii="Cambria" w:eastAsia="Times New Roman" w:hAnsi="Cambria" w:cs="Calibri"/>
                <w:color w:val="000000"/>
                <w:sz w:val="20"/>
                <w:szCs w:val="20"/>
                <w:lang w:val="es-ES_tradnl"/>
              </w:rPr>
              <w:t>Peru</w:t>
            </w:r>
            <w:proofErr w:type="spellEnd"/>
          </w:p>
        </w:tc>
        <w:tc>
          <w:tcPr>
            <w:tcW w:w="2940" w:type="dxa"/>
            <w:tcBorders>
              <w:top w:val="nil"/>
              <w:left w:val="nil"/>
              <w:bottom w:val="single" w:sz="4" w:space="0" w:color="auto"/>
              <w:right w:val="single" w:sz="4" w:space="0" w:color="auto"/>
            </w:tcBorders>
            <w:vAlign w:val="center"/>
            <w:hideMark/>
          </w:tcPr>
          <w:p w14:paraId="069AE209" w14:textId="77777777" w:rsidR="00BA4056" w:rsidRDefault="00BA4056">
            <w:pPr>
              <w:rPr>
                <w:rFonts w:ascii="Cambria" w:eastAsia="Times New Roman" w:hAnsi="Cambria" w:cs="Calibri"/>
                <w:sz w:val="20"/>
                <w:szCs w:val="20"/>
                <w:lang w:val="es-ES_tradnl"/>
              </w:rPr>
            </w:pPr>
            <w:r>
              <w:rPr>
                <w:rFonts w:ascii="Cambria" w:eastAsia="Times New Roman" w:hAnsi="Cambria" w:cs="Calibri"/>
                <w:sz w:val="20"/>
                <w:szCs w:val="20"/>
                <w:lang w:val="es-ES_tradnl"/>
              </w:rPr>
              <w:t>Pontificia Universidad Católica del Perú</w:t>
            </w:r>
          </w:p>
        </w:tc>
        <w:tc>
          <w:tcPr>
            <w:tcW w:w="2760" w:type="dxa"/>
            <w:tcBorders>
              <w:top w:val="nil"/>
              <w:left w:val="nil"/>
              <w:bottom w:val="single" w:sz="4" w:space="0" w:color="auto"/>
              <w:right w:val="single" w:sz="4" w:space="0" w:color="auto"/>
            </w:tcBorders>
            <w:vAlign w:val="center"/>
            <w:hideMark/>
          </w:tcPr>
          <w:p w14:paraId="7EDE24F2" w14:textId="77777777" w:rsidR="00BA4056" w:rsidRDefault="00BA4056">
            <w:pPr>
              <w:rPr>
                <w:rFonts w:ascii="Cambria" w:eastAsia="Times New Roman" w:hAnsi="Cambria" w:cs="Calibri"/>
                <w:color w:val="000000"/>
                <w:sz w:val="20"/>
                <w:szCs w:val="20"/>
                <w:lang w:val="es-ES_tradnl"/>
              </w:rPr>
            </w:pPr>
            <w:r>
              <w:rPr>
                <w:rFonts w:ascii="Cambria" w:eastAsia="Times New Roman" w:hAnsi="Cambria" w:cs="Calibri"/>
                <w:color w:val="000000"/>
                <w:sz w:val="20"/>
                <w:szCs w:val="20"/>
                <w:lang w:val="es-ES_tradnl"/>
              </w:rPr>
              <w:t>Cases</w:t>
            </w:r>
          </w:p>
        </w:tc>
      </w:tr>
    </w:tbl>
    <w:p w14:paraId="41C30E9D" w14:textId="77777777" w:rsidR="00BA4056" w:rsidRDefault="00BA4056" w:rsidP="00BA4056">
      <w:pPr>
        <w:pStyle w:val="paragraphs"/>
        <w:numPr>
          <w:ilvl w:val="0"/>
          <w:numId w:val="0"/>
        </w:numPr>
        <w:rPr>
          <w:rFonts w:eastAsia="Cambria" w:cs="Calibri Light"/>
          <w:lang w:val="en-US"/>
        </w:rPr>
      </w:pPr>
    </w:p>
    <w:p w14:paraId="73147034" w14:textId="77777777" w:rsidR="00BA4056" w:rsidRDefault="00BA4056" w:rsidP="00BA4056">
      <w:pPr>
        <w:pStyle w:val="paragraphs"/>
        <w:ind w:left="0" w:firstLine="720"/>
        <w:rPr>
          <w:lang w:val="en-US"/>
        </w:rPr>
      </w:pPr>
      <w:r>
        <w:rPr>
          <w:lang w:val="en-US"/>
        </w:rPr>
        <w:t xml:space="preserve">In addition, thanks to the support of the following institutions, the ES/IACHR welcomed three members of their staff as associate staff in 2020: </w:t>
      </w:r>
    </w:p>
    <w:tbl>
      <w:tblPr>
        <w:tblW w:w="82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73"/>
        <w:gridCol w:w="4770"/>
        <w:gridCol w:w="2620"/>
      </w:tblGrid>
      <w:tr w:rsidR="00BA4056" w14:paraId="3C3BE57E" w14:textId="77777777" w:rsidTr="00BA4056">
        <w:trPr>
          <w:trHeight w:val="300"/>
          <w:jc w:val="center"/>
        </w:trPr>
        <w:tc>
          <w:tcPr>
            <w:tcW w:w="873"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bottom"/>
            <w:hideMark/>
          </w:tcPr>
          <w:p w14:paraId="72216C8E" w14:textId="77777777" w:rsidR="00BA4056" w:rsidRDefault="00BA4056">
            <w:pPr>
              <w:pStyle w:val="paragraphs"/>
              <w:numPr>
                <w:ilvl w:val="0"/>
                <w:numId w:val="0"/>
              </w:numPr>
              <w:ind w:left="360"/>
              <w:rPr>
                <w:rFonts w:eastAsia="Cambria" w:cs="Calibri"/>
                <w:b/>
                <w:lang w:val="en-US"/>
              </w:rPr>
            </w:pPr>
            <w:r>
              <w:rPr>
                <w:rFonts w:eastAsia="Cambria" w:cs="Calibri"/>
                <w:b/>
                <w:lang w:val="en-US"/>
              </w:rPr>
              <w:t>No.</w:t>
            </w:r>
          </w:p>
        </w:tc>
        <w:tc>
          <w:tcPr>
            <w:tcW w:w="4770"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bottom"/>
            <w:hideMark/>
          </w:tcPr>
          <w:p w14:paraId="074E728F" w14:textId="77777777" w:rsidR="00BA4056" w:rsidRDefault="00BA4056">
            <w:pPr>
              <w:pStyle w:val="paragraphs"/>
              <w:numPr>
                <w:ilvl w:val="0"/>
                <w:numId w:val="0"/>
              </w:numPr>
              <w:ind w:left="360"/>
              <w:jc w:val="center"/>
              <w:rPr>
                <w:rFonts w:eastAsia="Cambria" w:cs="Calibri"/>
                <w:b/>
                <w:lang w:val="en-US"/>
              </w:rPr>
            </w:pPr>
            <w:r>
              <w:rPr>
                <w:rFonts w:eastAsia="Cambria" w:cs="Calibri"/>
                <w:b/>
                <w:lang w:val="en-US"/>
              </w:rPr>
              <w:t>Institution</w:t>
            </w:r>
          </w:p>
        </w:tc>
        <w:tc>
          <w:tcPr>
            <w:tcW w:w="2620"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tcMar>
              <w:top w:w="0" w:type="dxa"/>
              <w:left w:w="108" w:type="dxa"/>
              <w:bottom w:w="0" w:type="dxa"/>
              <w:right w:w="108" w:type="dxa"/>
            </w:tcMar>
            <w:vAlign w:val="bottom"/>
            <w:hideMark/>
          </w:tcPr>
          <w:p w14:paraId="678D8BDF" w14:textId="77777777" w:rsidR="00BA4056" w:rsidRDefault="00BA4056">
            <w:pPr>
              <w:pStyle w:val="paragraphs"/>
              <w:numPr>
                <w:ilvl w:val="0"/>
                <w:numId w:val="0"/>
              </w:numPr>
              <w:ind w:left="360"/>
              <w:jc w:val="center"/>
              <w:rPr>
                <w:rFonts w:eastAsia="Cambria" w:cs="Calibri"/>
                <w:b/>
                <w:lang w:val="en-US"/>
              </w:rPr>
            </w:pPr>
            <w:r>
              <w:rPr>
                <w:rFonts w:eastAsia="Cambria" w:cs="Calibri"/>
                <w:b/>
                <w:lang w:val="en-US"/>
              </w:rPr>
              <w:t>Assignment</w:t>
            </w:r>
          </w:p>
        </w:tc>
      </w:tr>
      <w:tr w:rsidR="00BA4056" w14:paraId="5145A65A" w14:textId="77777777" w:rsidTr="00BA4056">
        <w:trPr>
          <w:trHeight w:val="300"/>
          <w:jc w:val="center"/>
        </w:trPr>
        <w:tc>
          <w:tcPr>
            <w:tcW w:w="87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DFF9CC" w14:textId="77777777" w:rsidR="00BA4056" w:rsidRDefault="00BA4056">
            <w:pPr>
              <w:pStyle w:val="paragraphs"/>
              <w:numPr>
                <w:ilvl w:val="0"/>
                <w:numId w:val="0"/>
              </w:numPr>
              <w:ind w:left="360"/>
              <w:jc w:val="left"/>
              <w:rPr>
                <w:rFonts w:eastAsia="Cambria" w:cs="Calibri"/>
                <w:lang w:val="en-US"/>
              </w:rPr>
            </w:pPr>
            <w:r>
              <w:rPr>
                <w:rFonts w:eastAsia="Cambria" w:cs="Calibri"/>
                <w:lang w:val="en-US"/>
              </w:rPr>
              <w:t>1</w:t>
            </w:r>
          </w:p>
        </w:tc>
        <w:tc>
          <w:tcPr>
            <w:tcW w:w="47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B7EFDF3" w14:textId="77777777" w:rsidR="00BA4056" w:rsidRDefault="00BA4056">
            <w:pPr>
              <w:pStyle w:val="paragraphs"/>
              <w:numPr>
                <w:ilvl w:val="0"/>
                <w:numId w:val="0"/>
              </w:numPr>
              <w:ind w:left="360"/>
              <w:jc w:val="left"/>
              <w:rPr>
                <w:rFonts w:eastAsia="Cambria" w:cs="Calibri"/>
                <w:lang w:val="en-US"/>
              </w:rPr>
            </w:pPr>
            <w:r>
              <w:rPr>
                <w:rFonts w:eastAsia="Cambria" w:cs="Calibri"/>
                <w:lang w:val="en-US"/>
              </w:rPr>
              <w:t>The Trust for the Americas</w:t>
            </w:r>
          </w:p>
        </w:tc>
        <w:tc>
          <w:tcPr>
            <w:tcW w:w="2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E109E7" w14:textId="77777777" w:rsidR="00BA4056" w:rsidRDefault="00BA4056">
            <w:pPr>
              <w:pStyle w:val="paragraphs"/>
              <w:numPr>
                <w:ilvl w:val="0"/>
                <w:numId w:val="0"/>
              </w:numPr>
              <w:ind w:left="360"/>
              <w:jc w:val="center"/>
              <w:rPr>
                <w:rFonts w:eastAsia="Cambria" w:cs="Calibri"/>
                <w:lang w:val="en-US"/>
              </w:rPr>
            </w:pPr>
            <w:r>
              <w:rPr>
                <w:rFonts w:eastAsia="Cambria" w:cs="Calibri"/>
                <w:lang w:val="en-US"/>
              </w:rPr>
              <w:t>RELE</w:t>
            </w:r>
          </w:p>
        </w:tc>
      </w:tr>
      <w:tr w:rsidR="00BA4056" w14:paraId="749FAB90" w14:textId="77777777" w:rsidTr="00BA4056">
        <w:trPr>
          <w:trHeight w:val="300"/>
          <w:jc w:val="center"/>
        </w:trPr>
        <w:tc>
          <w:tcPr>
            <w:tcW w:w="87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0BB6D0" w14:textId="77777777" w:rsidR="00BA4056" w:rsidRDefault="00BA4056">
            <w:pPr>
              <w:pStyle w:val="paragraphs"/>
              <w:numPr>
                <w:ilvl w:val="0"/>
                <w:numId w:val="0"/>
              </w:numPr>
              <w:ind w:left="360"/>
              <w:jc w:val="left"/>
              <w:rPr>
                <w:rFonts w:eastAsia="Cambria" w:cs="Calibri"/>
                <w:lang w:val="en-US"/>
              </w:rPr>
            </w:pPr>
            <w:r>
              <w:rPr>
                <w:rFonts w:eastAsia="Cambria" w:cs="Calibri"/>
                <w:lang w:val="en-US"/>
              </w:rPr>
              <w:t>2</w:t>
            </w:r>
          </w:p>
        </w:tc>
        <w:tc>
          <w:tcPr>
            <w:tcW w:w="47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714DE2" w14:textId="77777777" w:rsidR="00BA4056" w:rsidRDefault="00BA4056">
            <w:pPr>
              <w:pStyle w:val="paragraphs"/>
              <w:numPr>
                <w:ilvl w:val="0"/>
                <w:numId w:val="0"/>
              </w:numPr>
              <w:ind w:left="360"/>
              <w:jc w:val="left"/>
              <w:rPr>
                <w:rFonts w:eastAsia="Cambria" w:cs="Calibri"/>
                <w:lang w:val="en-US"/>
              </w:rPr>
            </w:pPr>
            <w:r>
              <w:rPr>
                <w:rFonts w:eastAsia="Cambria" w:cs="Calibri"/>
                <w:lang w:val="en-US"/>
              </w:rPr>
              <w:t>The Trust for the Americas</w:t>
            </w:r>
          </w:p>
        </w:tc>
        <w:tc>
          <w:tcPr>
            <w:tcW w:w="2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C5CEEA" w14:textId="77777777" w:rsidR="00BA4056" w:rsidRDefault="00BA4056">
            <w:pPr>
              <w:pStyle w:val="paragraphs"/>
              <w:numPr>
                <w:ilvl w:val="0"/>
                <w:numId w:val="0"/>
              </w:numPr>
              <w:ind w:left="360"/>
              <w:jc w:val="center"/>
              <w:rPr>
                <w:rFonts w:eastAsia="Cambria" w:cs="Calibri"/>
                <w:lang w:val="en-US"/>
              </w:rPr>
            </w:pPr>
            <w:r>
              <w:rPr>
                <w:rFonts w:eastAsia="Cambria" w:cs="Calibri"/>
                <w:lang w:val="en-US"/>
              </w:rPr>
              <w:t>Monitoring II</w:t>
            </w:r>
          </w:p>
        </w:tc>
      </w:tr>
      <w:tr w:rsidR="00BA4056" w14:paraId="7F15F5D7" w14:textId="77777777" w:rsidTr="00BA4056">
        <w:trPr>
          <w:trHeight w:val="300"/>
          <w:jc w:val="center"/>
        </w:trPr>
        <w:tc>
          <w:tcPr>
            <w:tcW w:w="87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85BB3C" w14:textId="77777777" w:rsidR="00BA4056" w:rsidRDefault="00BA4056">
            <w:pPr>
              <w:pStyle w:val="paragraphs"/>
              <w:numPr>
                <w:ilvl w:val="0"/>
                <w:numId w:val="0"/>
              </w:numPr>
              <w:ind w:left="360"/>
              <w:jc w:val="left"/>
              <w:rPr>
                <w:rFonts w:eastAsia="Cambria" w:cs="Calibri"/>
                <w:lang w:val="en-US"/>
              </w:rPr>
            </w:pPr>
            <w:r>
              <w:rPr>
                <w:rFonts w:eastAsia="Cambria" w:cs="Calibri"/>
                <w:lang w:val="en-US"/>
              </w:rPr>
              <w:t>3</w:t>
            </w:r>
          </w:p>
        </w:tc>
        <w:tc>
          <w:tcPr>
            <w:tcW w:w="47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6CB375" w14:textId="77777777" w:rsidR="00BA4056" w:rsidRDefault="00BA4056">
            <w:pPr>
              <w:pStyle w:val="paragraphs"/>
              <w:numPr>
                <w:ilvl w:val="0"/>
                <w:numId w:val="0"/>
              </w:numPr>
              <w:ind w:left="360"/>
              <w:jc w:val="left"/>
              <w:rPr>
                <w:rFonts w:eastAsia="Cambria" w:cs="Calibri"/>
                <w:lang w:val="en-US"/>
              </w:rPr>
            </w:pPr>
            <w:r>
              <w:rPr>
                <w:lang w:val="en-US"/>
              </w:rPr>
              <w:t>Criminal Public Defender’s Office of Chile</w:t>
            </w:r>
          </w:p>
        </w:tc>
        <w:tc>
          <w:tcPr>
            <w:tcW w:w="2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22D4DFE" w14:textId="77777777" w:rsidR="00BA4056" w:rsidRDefault="00BA4056">
            <w:pPr>
              <w:pStyle w:val="paragraphs"/>
              <w:numPr>
                <w:ilvl w:val="0"/>
                <w:numId w:val="0"/>
              </w:numPr>
              <w:ind w:left="360"/>
              <w:jc w:val="center"/>
              <w:rPr>
                <w:rFonts w:eastAsia="Cambria" w:cs="Calibri"/>
                <w:lang w:val="en-US"/>
              </w:rPr>
            </w:pPr>
            <w:r>
              <w:rPr>
                <w:rFonts w:eastAsia="Cambria" w:cs="Calibri"/>
                <w:lang w:val="en-US"/>
              </w:rPr>
              <w:t>Admissibility</w:t>
            </w:r>
          </w:p>
        </w:tc>
      </w:tr>
      <w:tr w:rsidR="00BA4056" w14:paraId="52C5B6C6" w14:textId="77777777" w:rsidTr="00BA4056">
        <w:trPr>
          <w:trHeight w:val="300"/>
          <w:jc w:val="center"/>
        </w:trPr>
        <w:tc>
          <w:tcPr>
            <w:tcW w:w="87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8540E1" w14:textId="77777777" w:rsidR="00BA4056" w:rsidRDefault="00BA4056">
            <w:pPr>
              <w:pStyle w:val="paragraphs"/>
              <w:numPr>
                <w:ilvl w:val="0"/>
                <w:numId w:val="0"/>
              </w:numPr>
              <w:ind w:left="360"/>
              <w:jc w:val="left"/>
              <w:rPr>
                <w:rFonts w:eastAsia="Cambria" w:cs="Calibri"/>
                <w:lang w:val="en-US"/>
              </w:rPr>
            </w:pPr>
            <w:r>
              <w:rPr>
                <w:rFonts w:eastAsia="Cambria" w:cs="Calibri"/>
                <w:lang w:val="en-US"/>
              </w:rPr>
              <w:lastRenderedPageBreak/>
              <w:t>4</w:t>
            </w:r>
          </w:p>
        </w:tc>
        <w:tc>
          <w:tcPr>
            <w:tcW w:w="477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16B04E" w14:textId="77777777" w:rsidR="00BA4056" w:rsidRDefault="00BA4056">
            <w:pPr>
              <w:pStyle w:val="paragraphs"/>
              <w:numPr>
                <w:ilvl w:val="0"/>
                <w:numId w:val="0"/>
              </w:numPr>
              <w:ind w:left="360"/>
              <w:jc w:val="left"/>
              <w:rPr>
                <w:lang w:val="en-US"/>
              </w:rPr>
            </w:pPr>
            <w:r>
              <w:rPr>
                <w:lang w:val="en-US"/>
              </w:rPr>
              <w:t>Criminal Public Defender’s Office of Chile</w:t>
            </w:r>
          </w:p>
        </w:tc>
        <w:tc>
          <w:tcPr>
            <w:tcW w:w="2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76A5DC" w14:textId="77777777" w:rsidR="00BA4056" w:rsidRDefault="00BA4056">
            <w:pPr>
              <w:pStyle w:val="paragraphs"/>
              <w:numPr>
                <w:ilvl w:val="0"/>
                <w:numId w:val="0"/>
              </w:numPr>
              <w:ind w:left="360"/>
              <w:jc w:val="center"/>
              <w:rPr>
                <w:rFonts w:eastAsia="Cambria" w:cs="Calibri"/>
                <w:lang w:val="en-US"/>
              </w:rPr>
            </w:pPr>
            <w:r>
              <w:rPr>
                <w:rFonts w:eastAsia="Cambria" w:cs="Calibri"/>
                <w:lang w:val="en-US"/>
              </w:rPr>
              <w:t>Cases</w:t>
            </w:r>
          </w:p>
        </w:tc>
      </w:tr>
    </w:tbl>
    <w:p w14:paraId="06019935" w14:textId="77777777" w:rsidR="00BA4056" w:rsidRDefault="00BA4056" w:rsidP="00BA4056">
      <w:pPr>
        <w:rPr>
          <w:rFonts w:ascii="Cambria" w:hAnsi="Cambria"/>
          <w:sz w:val="20"/>
          <w:szCs w:val="20"/>
        </w:rPr>
      </w:pPr>
    </w:p>
    <w:p w14:paraId="065F407A" w14:textId="77777777" w:rsidR="00BA4056" w:rsidRDefault="00BA4056" w:rsidP="00BA4056">
      <w:pPr>
        <w:spacing w:before="240" w:after="240"/>
        <w:ind w:firstLine="720"/>
        <w:rPr>
          <w:rFonts w:ascii="Cambria" w:hAnsi="Cambria"/>
          <w:b/>
          <w:sz w:val="20"/>
          <w:szCs w:val="20"/>
        </w:rPr>
      </w:pPr>
      <w:r>
        <w:rPr>
          <w:rFonts w:ascii="Cambria" w:hAnsi="Cambria"/>
          <w:b/>
          <w:sz w:val="20"/>
          <w:szCs w:val="20"/>
        </w:rPr>
        <w:t>Staff training</w:t>
      </w:r>
    </w:p>
    <w:p w14:paraId="0F3940F8" w14:textId="77777777" w:rsidR="00BA4056" w:rsidRPr="00451F13" w:rsidRDefault="00BA4056" w:rsidP="00BA4056">
      <w:pPr>
        <w:pStyle w:val="paragraphs"/>
        <w:ind w:left="0" w:firstLine="720"/>
        <w:rPr>
          <w:lang w:val="en-US"/>
        </w:rPr>
      </w:pPr>
      <w:r>
        <w:rPr>
          <w:lang w:val="en-US"/>
        </w:rPr>
        <w:t xml:space="preserve">Over the course of the year, the online version of Module #1 of the Leadership School was offered and made available to all personnel. Additionally, in December, a virtual workshop was held for all ES/ IACHR personnel on promoting diversity and preventing </w:t>
      </w:r>
      <w:r w:rsidRPr="00451F13">
        <w:rPr>
          <w:lang w:val="en-US"/>
        </w:rPr>
        <w:t>discrimination in the workplace.</w:t>
      </w:r>
    </w:p>
    <w:p w14:paraId="227E29DC" w14:textId="77777777" w:rsidR="00BA4056" w:rsidRPr="00451F13" w:rsidRDefault="00BA4056" w:rsidP="00BA4056">
      <w:pPr>
        <w:pStyle w:val="paragraphs"/>
        <w:ind w:left="0" w:firstLine="720"/>
        <w:rPr>
          <w:lang w:val="en-US"/>
        </w:rPr>
      </w:pPr>
      <w:r w:rsidRPr="00451F13">
        <w:rPr>
          <w:lang w:val="en-US"/>
        </w:rPr>
        <w:t xml:space="preserve">The COVID-19 crisis made it necessary to reprogram the following courses, in coordination with the SG/OAS Department of Human Resources: </w:t>
      </w:r>
    </w:p>
    <w:p w14:paraId="5D18A680" w14:textId="77777777" w:rsidR="00BA4056" w:rsidRPr="00451F13" w:rsidRDefault="00BA4056" w:rsidP="00BA4056">
      <w:pPr>
        <w:numPr>
          <w:ilvl w:val="1"/>
          <w:numId w:val="4"/>
        </w:numPr>
        <w:spacing w:after="0" w:line="240" w:lineRule="auto"/>
        <w:ind w:hanging="720"/>
        <w:rPr>
          <w:rFonts w:ascii="Cambria" w:hAnsi="Cambria"/>
          <w:sz w:val="20"/>
          <w:szCs w:val="20"/>
        </w:rPr>
      </w:pPr>
      <w:r w:rsidRPr="00451F13">
        <w:rPr>
          <w:rFonts w:ascii="Cambria" w:hAnsi="Cambria"/>
          <w:sz w:val="20"/>
          <w:szCs w:val="20"/>
        </w:rPr>
        <w:t>Leadership School - Module #2 Inspiring Others. For individuals who manage and coordinate teams.</w:t>
      </w:r>
    </w:p>
    <w:p w14:paraId="15B86494" w14:textId="77777777" w:rsidR="00BA4056" w:rsidRPr="00451F13" w:rsidRDefault="00BA4056" w:rsidP="00BA4056">
      <w:pPr>
        <w:numPr>
          <w:ilvl w:val="1"/>
          <w:numId w:val="4"/>
        </w:numPr>
        <w:spacing w:after="0" w:line="240" w:lineRule="auto"/>
        <w:ind w:hanging="720"/>
        <w:rPr>
          <w:rFonts w:ascii="Cambria" w:hAnsi="Cambria"/>
          <w:sz w:val="20"/>
          <w:szCs w:val="20"/>
        </w:rPr>
      </w:pPr>
      <w:r w:rsidRPr="00451F13">
        <w:rPr>
          <w:rFonts w:ascii="Cambria" w:hAnsi="Cambria"/>
          <w:sz w:val="20"/>
          <w:szCs w:val="20"/>
        </w:rPr>
        <w:t>Resilience Course for all ES/IACHR staff.</w:t>
      </w:r>
    </w:p>
    <w:p w14:paraId="5DF740B4" w14:textId="77777777" w:rsidR="00BA4056" w:rsidRPr="00451F13" w:rsidRDefault="00BA4056" w:rsidP="00BA4056">
      <w:pPr>
        <w:numPr>
          <w:ilvl w:val="1"/>
          <w:numId w:val="4"/>
        </w:numPr>
        <w:spacing w:after="0" w:line="240" w:lineRule="auto"/>
        <w:ind w:hanging="720"/>
        <w:rPr>
          <w:rFonts w:ascii="Cambria" w:hAnsi="Cambria"/>
          <w:sz w:val="20"/>
          <w:szCs w:val="20"/>
        </w:rPr>
      </w:pPr>
      <w:r w:rsidRPr="00451F13">
        <w:rPr>
          <w:rFonts w:ascii="Cambria" w:hAnsi="Cambria"/>
          <w:sz w:val="20"/>
          <w:szCs w:val="20"/>
        </w:rPr>
        <w:t>Workplace Harassment and Sexual Harassment Policy Course for all ES/IACHR staff.</w:t>
      </w:r>
    </w:p>
    <w:p w14:paraId="717A2968" w14:textId="77777777" w:rsidR="00BA4056" w:rsidRPr="00451F13" w:rsidRDefault="00BA4056" w:rsidP="00BA4056">
      <w:pPr>
        <w:numPr>
          <w:ilvl w:val="1"/>
          <w:numId w:val="4"/>
        </w:numPr>
        <w:spacing w:after="0" w:line="240" w:lineRule="auto"/>
        <w:ind w:hanging="720"/>
        <w:rPr>
          <w:rFonts w:ascii="Cambria" w:hAnsi="Cambria"/>
          <w:sz w:val="20"/>
          <w:szCs w:val="20"/>
        </w:rPr>
      </w:pPr>
      <w:r w:rsidRPr="00451F13">
        <w:rPr>
          <w:rFonts w:ascii="Cambria" w:hAnsi="Cambria"/>
          <w:sz w:val="20"/>
          <w:szCs w:val="20"/>
        </w:rPr>
        <w:t>Code of Ethics Course for all ES/IACHR staff.</w:t>
      </w:r>
    </w:p>
    <w:p w14:paraId="769369D2" w14:textId="77777777" w:rsidR="00BA4056" w:rsidRDefault="00BA4056" w:rsidP="00BA4056">
      <w:pPr>
        <w:spacing w:before="240" w:after="240"/>
        <w:ind w:left="720"/>
        <w:rPr>
          <w:rFonts w:ascii="Cambria" w:hAnsi="Cambria"/>
          <w:b/>
          <w:sz w:val="20"/>
          <w:szCs w:val="20"/>
        </w:rPr>
      </w:pPr>
      <w:r>
        <w:rPr>
          <w:rFonts w:ascii="Cambria" w:hAnsi="Cambria"/>
          <w:b/>
          <w:sz w:val="20"/>
          <w:szCs w:val="20"/>
        </w:rPr>
        <w:t>Jointly drafted workplace environment plan in the process of implementation</w:t>
      </w:r>
    </w:p>
    <w:p w14:paraId="104FA4FD" w14:textId="77777777" w:rsidR="00BA4056" w:rsidRDefault="00BA4056" w:rsidP="00BA4056">
      <w:pPr>
        <w:pStyle w:val="paragraphs"/>
        <w:ind w:left="0" w:firstLine="720"/>
        <w:rPr>
          <w:lang w:val="en-US"/>
        </w:rPr>
      </w:pPr>
      <w:r>
        <w:rPr>
          <w:lang w:val="en-US"/>
        </w:rPr>
        <w:t xml:space="preserve">Based on the ES/IACHR initiative under its Care by Caring Program, in May, the Department of Human Resources launched the Employee Assistance Program (EAP). All OAS personnel, including consultants, fellows, interns and members of their households will have access to EAP services. </w:t>
      </w:r>
    </w:p>
    <w:p w14:paraId="5A792F96" w14:textId="77777777" w:rsidR="00BA4056" w:rsidRDefault="00BA4056" w:rsidP="00BA4056">
      <w:pPr>
        <w:pStyle w:val="paragraphs"/>
        <w:ind w:left="0" w:firstLine="720"/>
        <w:rPr>
          <w:lang w:val="en-US"/>
        </w:rPr>
      </w:pPr>
      <w:r>
        <w:rPr>
          <w:lang w:val="en-US"/>
        </w:rPr>
        <w:t xml:space="preserve">The Open-Door Policy continued, giving personnel the opportunity to meet with the Executive Secretary and now, the Acting Executive Secretary, to discuss issues of concern to them. </w:t>
      </w:r>
    </w:p>
    <w:p w14:paraId="762377BD" w14:textId="77777777" w:rsidR="00BA4056" w:rsidRDefault="00BA4056" w:rsidP="00BA4056">
      <w:pPr>
        <w:pStyle w:val="paragraphs"/>
        <w:ind w:left="0" w:firstLine="720"/>
        <w:rPr>
          <w:lang w:val="en-US"/>
        </w:rPr>
      </w:pPr>
      <w:r>
        <w:rPr>
          <w:lang w:val="en-US"/>
        </w:rPr>
        <w:t>In October, the meetings of the Workplace Environment Committee resumed. This committee, comprised of IACHR Executive Secretariat staff and consultants, works on initiatives to improve the ES/IACHR workplace environment.</w:t>
      </w:r>
    </w:p>
    <w:p w14:paraId="49B57D3A" w14:textId="77777777" w:rsidR="00BA4056" w:rsidRDefault="00BA4056" w:rsidP="00BA4056">
      <w:pPr>
        <w:pStyle w:val="paragraphs"/>
        <w:ind w:left="0" w:firstLine="720"/>
        <w:rPr>
          <w:lang w:val="en-US"/>
        </w:rPr>
      </w:pPr>
      <w:r>
        <w:rPr>
          <w:lang w:val="en-US"/>
        </w:rPr>
        <w:t>The Subcommittee on Diversity, under the ES/IACHR Workplace Environment Committee, made progress in December, holding its first workshop on the promotion of diversity and the prevention of workplace discrimination. The Subcommittee will continue to work on the deployment of a questionnaire on self</w:t>
      </w:r>
      <w:r>
        <w:rPr>
          <w:lang w:val="en-US"/>
        </w:rPr>
        <w:noBreakHyphen/>
        <w:t>definition and the design of an inclusion and diversity policy for the ES/IACHR.</w:t>
      </w:r>
    </w:p>
    <w:p w14:paraId="529205BE" w14:textId="77777777" w:rsidR="00BA4056" w:rsidRDefault="00BA4056" w:rsidP="00BA4056">
      <w:pPr>
        <w:pStyle w:val="paragraphs"/>
        <w:ind w:left="0" w:firstLine="720"/>
        <w:rPr>
          <w:lang w:val="en-US"/>
        </w:rPr>
      </w:pPr>
      <w:r>
        <w:rPr>
          <w:lang w:val="en-US"/>
        </w:rPr>
        <w:t>As part of the IACHR’s plan to improve the workplace environment, efforts will be made to learn about the current work climate in the ES/IACHR so that joint action can be taken to achieve a healthy, safe, participatory, and transparent workplace environment for all. At the IACHR’s request, a consulting firm specializing in the workplace environment was hired. This firm began working in November, meeting with the management team of the Executive Secretariat and the Ombudsperson. A virtual event was held with all ES/IACHR personnel informing them about the study’s objective and the use of different methodologies and measurement tools. The consulting firm will also hold a meeting with the members of the Workplace Environment Committee. A diagnostic report with recommendations is expected to be ready by the end of January 2021.</w:t>
      </w:r>
    </w:p>
    <w:p w14:paraId="46F32489" w14:textId="77777777" w:rsidR="00BA4056" w:rsidRDefault="00BA4056" w:rsidP="00BA4056">
      <w:pPr>
        <w:pStyle w:val="Heading1"/>
        <w:rPr>
          <w:rFonts w:eastAsiaTheme="minorHAnsi"/>
        </w:rPr>
      </w:pPr>
      <w:r>
        <w:rPr>
          <w:rFonts w:eastAsiaTheme="minorHAnsi"/>
        </w:rPr>
        <w:lastRenderedPageBreak/>
        <w:t>Financial Resources and Budget Execution</w:t>
      </w:r>
    </w:p>
    <w:p w14:paraId="78CD85CA" w14:textId="77777777" w:rsidR="00BA4056" w:rsidRDefault="00BA4056" w:rsidP="00BA4056">
      <w:pPr>
        <w:pStyle w:val="paragraphs"/>
        <w:ind w:left="0" w:firstLine="720"/>
        <w:rPr>
          <w:b/>
          <w:lang w:val="en-US"/>
        </w:rPr>
      </w:pPr>
      <w:r>
        <w:rPr>
          <w:lang w:val="en-US"/>
        </w:rPr>
        <w:t>The General Assembly approved an IACHR budget for 2020 in the amount of $10,627,900, $7,741,200 of which was for staff expenses and $2,886,700 for operating expenses. The increase in the budget for 2020 marks the culmination of the final phase of the doubling of the regular budget allocated following the Cancún Agreement of 2017.</w:t>
      </w:r>
    </w:p>
    <w:p w14:paraId="7F929768" w14:textId="77777777" w:rsidR="00BA4056" w:rsidRDefault="00BA4056" w:rsidP="00061F9E">
      <w:pPr>
        <w:pStyle w:val="paragraphs"/>
        <w:numPr>
          <w:ilvl w:val="0"/>
          <w:numId w:val="0"/>
        </w:numPr>
        <w:spacing w:after="0"/>
        <w:ind w:left="720"/>
        <w:jc w:val="center"/>
        <w:rPr>
          <w:b/>
          <w:lang w:val="en-US"/>
        </w:rPr>
      </w:pPr>
      <w:r>
        <w:rPr>
          <w:b/>
          <w:lang w:val="en-US"/>
        </w:rPr>
        <w:t>Figure 1.   Distribution of the Approved Budget from the OAS Regular Fund as of</w:t>
      </w:r>
    </w:p>
    <w:p w14:paraId="35C768E4" w14:textId="06726B99" w:rsidR="00BA4056" w:rsidRDefault="00BA4056" w:rsidP="00061F9E">
      <w:pPr>
        <w:pStyle w:val="Default"/>
        <w:ind w:firstLine="851"/>
        <w:jc w:val="center"/>
        <w:rPr>
          <w:rFonts w:ascii="Cambria" w:hAnsi="Cambria"/>
          <w:b/>
          <w:color w:val="auto"/>
          <w:sz w:val="20"/>
          <w:szCs w:val="20"/>
        </w:rPr>
      </w:pPr>
      <w:r>
        <w:rPr>
          <w:rFonts w:ascii="Cambria" w:hAnsi="Cambria"/>
          <w:b/>
          <w:color w:val="auto"/>
          <w:sz w:val="20"/>
          <w:szCs w:val="20"/>
        </w:rPr>
        <w:t>December 31, 2020 (in thousands of US$)</w:t>
      </w:r>
      <w:r>
        <w:rPr>
          <w:rStyle w:val="FootnoteReference"/>
          <w:rFonts w:ascii="Cambria" w:hAnsi="Cambria"/>
          <w:b/>
          <w:color w:val="auto"/>
          <w:sz w:val="20"/>
          <w:szCs w:val="20"/>
        </w:rPr>
        <w:footnoteReference w:id="1"/>
      </w:r>
    </w:p>
    <w:p w14:paraId="3E0FD343" w14:textId="58E98709" w:rsidR="00BA4056" w:rsidRDefault="00724E1D" w:rsidP="00BA4056">
      <w:pPr>
        <w:pStyle w:val="Default"/>
        <w:ind w:firstLine="851"/>
        <w:rPr>
          <w:rFonts w:ascii="Cambria" w:hAnsi="Cambria"/>
          <w:b/>
          <w:sz w:val="20"/>
          <w:szCs w:val="20"/>
        </w:rPr>
      </w:pPr>
      <w:r>
        <w:rPr>
          <w:noProof/>
          <w:lang w:val="es-CO" w:eastAsia="es-CO"/>
        </w:rPr>
        <w:drawing>
          <wp:inline distT="0" distB="0" distL="0" distR="0" wp14:anchorId="11EE52F1" wp14:editId="7EF0A5E3">
            <wp:extent cx="4924324" cy="4122420"/>
            <wp:effectExtent l="0" t="0" r="3810"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028826B" w14:textId="77777777" w:rsidR="00BA4056" w:rsidRDefault="00BA4056" w:rsidP="00BA4056">
      <w:pPr>
        <w:pStyle w:val="Default"/>
        <w:ind w:firstLine="851"/>
        <w:rPr>
          <w:rFonts w:ascii="Cambria" w:hAnsi="Cambria"/>
          <w:b/>
          <w:sz w:val="20"/>
          <w:szCs w:val="20"/>
        </w:rPr>
      </w:pPr>
    </w:p>
    <w:p w14:paraId="2D1FE484" w14:textId="77777777" w:rsidR="00BA4056" w:rsidRDefault="00BA4056" w:rsidP="00BA4056">
      <w:pPr>
        <w:pStyle w:val="Default"/>
        <w:ind w:firstLine="851"/>
        <w:rPr>
          <w:rFonts w:ascii="Cambria" w:hAnsi="Cambria"/>
          <w:b/>
          <w:sz w:val="20"/>
          <w:szCs w:val="20"/>
        </w:rPr>
      </w:pPr>
    </w:p>
    <w:p w14:paraId="3B8E64C9" w14:textId="79B2582D" w:rsidR="00BA4056" w:rsidRDefault="00BA4056" w:rsidP="00BA4056">
      <w:pPr>
        <w:pStyle w:val="paragraphs"/>
        <w:ind w:left="0" w:firstLine="720"/>
        <w:rPr>
          <w:lang w:val="en-US"/>
        </w:rPr>
      </w:pPr>
      <w:r>
        <w:rPr>
          <w:lang w:val="en-US"/>
        </w:rPr>
        <w:t>As of December 31, 2020, the original Regular Fund budget was modified to a</w:t>
      </w:r>
      <w:r w:rsidR="00724E1D">
        <w:rPr>
          <w:lang w:val="en-US"/>
        </w:rPr>
        <w:t xml:space="preserve"> total of $9,119,129</w:t>
      </w:r>
      <w:r>
        <w:rPr>
          <w:lang w:val="en-US"/>
        </w:rPr>
        <w:t xml:space="preserve"> distributed as follows: $6,223,100 for staff expenses and $</w:t>
      </w:r>
      <w:r w:rsidR="00724E1D" w:rsidRPr="00724E1D">
        <w:rPr>
          <w:lang w:val="en-US"/>
        </w:rPr>
        <w:t xml:space="preserve">2,896,029 </w:t>
      </w:r>
      <w:r>
        <w:rPr>
          <w:lang w:val="en-US"/>
        </w:rPr>
        <w:t xml:space="preserve">for non-staff expenses. The staff expense portion was </w:t>
      </w:r>
      <w:proofErr w:type="spellStart"/>
      <w:r>
        <w:rPr>
          <w:lang w:val="en-US"/>
        </w:rPr>
        <w:t>underexecuted</w:t>
      </w:r>
      <w:proofErr w:type="spellEnd"/>
      <w:r>
        <w:rPr>
          <w:lang w:val="en-US"/>
        </w:rPr>
        <w:t xml:space="preserve"> because in 2020, the ES/IACHR failed to receive approval from the GS/OAS to launch a competition for vacant posts. In light of this, the IACHR Executive Secretariat submitted several requests to the GS/OAS Secretariat for Administration and Finance for greater availability of funds in the budget line for non-staff expenses. Unfortunately, these requests for additional funding were denied.</w:t>
      </w:r>
    </w:p>
    <w:p w14:paraId="60BD4A29" w14:textId="4A457A1F" w:rsidR="00BA4056" w:rsidRDefault="00BA4056" w:rsidP="00BA4056">
      <w:pPr>
        <w:pStyle w:val="paragraphs"/>
        <w:ind w:left="0" w:firstLine="720"/>
        <w:rPr>
          <w:lang w:val="en-US"/>
        </w:rPr>
      </w:pPr>
      <w:r>
        <w:rPr>
          <w:lang w:val="en-US"/>
        </w:rPr>
        <w:lastRenderedPageBreak/>
        <w:t xml:space="preserve">Concerning fundraising for specific funds, thanks to the confidence vested in the IACHR, we have managed to raise </w:t>
      </w:r>
      <w:r w:rsidR="00A64005" w:rsidRPr="00061F9E">
        <w:rPr>
          <w:lang w:val="en-US"/>
        </w:rPr>
        <w:t xml:space="preserve">USD $6,845,659 </w:t>
      </w:r>
      <w:r>
        <w:rPr>
          <w:lang w:val="en-US"/>
        </w:rPr>
        <w:t xml:space="preserve">in 2020 through the resource mobilization strategy. The chart below shows the distribution of funds received by the IACHR, by source of funding. </w:t>
      </w:r>
    </w:p>
    <w:p w14:paraId="58D2EA40" w14:textId="173256EC" w:rsidR="00BA4056" w:rsidRDefault="00BA4056" w:rsidP="00BA4056">
      <w:pPr>
        <w:rPr>
          <w:rFonts w:ascii="Cambria" w:eastAsia="Calibri" w:hAnsi="Cambria" w:cs="Times New Roman"/>
          <w:sz w:val="20"/>
          <w:szCs w:val="20"/>
        </w:rPr>
      </w:pPr>
    </w:p>
    <w:p w14:paraId="2E716D8C" w14:textId="77777777" w:rsidR="00BA4056" w:rsidRDefault="00BA4056" w:rsidP="00BA4056">
      <w:pPr>
        <w:pStyle w:val="Default"/>
        <w:ind w:left="2127" w:hanging="2127"/>
        <w:jc w:val="center"/>
        <w:rPr>
          <w:rFonts w:ascii="Cambria" w:hAnsi="Cambria"/>
          <w:b/>
          <w:sz w:val="20"/>
          <w:szCs w:val="20"/>
        </w:rPr>
      </w:pPr>
      <w:r>
        <w:rPr>
          <w:rFonts w:ascii="Cambria" w:hAnsi="Cambria"/>
          <w:b/>
          <w:sz w:val="20"/>
          <w:szCs w:val="20"/>
        </w:rPr>
        <w:t>Figure 2.     Funding received by the IACHR in 2020 by source of funding</w:t>
      </w:r>
    </w:p>
    <w:p w14:paraId="50845499" w14:textId="77777777" w:rsidR="00BA4056" w:rsidRDefault="00BA4056" w:rsidP="00BA4056">
      <w:pPr>
        <w:pStyle w:val="Default"/>
        <w:ind w:left="2127" w:hanging="2127"/>
        <w:jc w:val="center"/>
        <w:rPr>
          <w:rFonts w:ascii="Cambria" w:hAnsi="Cambria"/>
          <w:b/>
          <w:color w:val="auto"/>
          <w:sz w:val="20"/>
          <w:szCs w:val="20"/>
        </w:rPr>
      </w:pPr>
      <w:r>
        <w:rPr>
          <w:rFonts w:ascii="Cambria" w:hAnsi="Cambria"/>
          <w:b/>
          <w:color w:val="auto"/>
          <w:sz w:val="20"/>
          <w:szCs w:val="20"/>
        </w:rPr>
        <w:t>(preliminary and unaudited figures in thousands of US$)</w:t>
      </w:r>
    </w:p>
    <w:p w14:paraId="7FAE4905" w14:textId="77777777" w:rsidR="00BA4056" w:rsidRDefault="00BA4056" w:rsidP="00BA4056">
      <w:pPr>
        <w:pStyle w:val="Default"/>
        <w:ind w:left="2127" w:hanging="2127"/>
        <w:jc w:val="center"/>
        <w:rPr>
          <w:rFonts w:ascii="Cambria" w:hAnsi="Cambria"/>
          <w:b/>
          <w:color w:val="auto"/>
          <w:sz w:val="20"/>
          <w:szCs w:val="20"/>
        </w:rPr>
      </w:pPr>
    </w:p>
    <w:p w14:paraId="5C34440B" w14:textId="608410C0" w:rsidR="00BA4056" w:rsidRDefault="00061F9E" w:rsidP="00BA4056">
      <w:pPr>
        <w:pStyle w:val="Default"/>
        <w:ind w:left="2127" w:hanging="2127"/>
        <w:jc w:val="center"/>
        <w:rPr>
          <w:rFonts w:ascii="Cambria" w:hAnsi="Cambria"/>
          <w:b/>
          <w:color w:val="auto"/>
          <w:sz w:val="20"/>
          <w:szCs w:val="20"/>
        </w:rPr>
      </w:pPr>
      <w:r>
        <w:rPr>
          <w:noProof/>
          <w:lang w:val="es-CO" w:eastAsia="es-CO"/>
        </w:rPr>
        <mc:AlternateContent>
          <mc:Choice Requires="wps">
            <w:drawing>
              <wp:anchor distT="0" distB="0" distL="114300" distR="114300" simplePos="0" relativeHeight="251659264" behindDoc="1" locked="0" layoutInCell="1" allowOverlap="1" wp14:anchorId="4684F551" wp14:editId="72D3E25D">
                <wp:simplePos x="0" y="0"/>
                <wp:positionH relativeFrom="column">
                  <wp:posOffset>3623945</wp:posOffset>
                </wp:positionH>
                <wp:positionV relativeFrom="paragraph">
                  <wp:posOffset>3205480</wp:posOffset>
                </wp:positionV>
                <wp:extent cx="1538605" cy="572135"/>
                <wp:effectExtent l="0" t="0" r="0" b="0"/>
                <wp:wrapNone/>
                <wp:docPr id="16" name="TextBox 1"/>
                <wp:cNvGraphicFramePr/>
                <a:graphic xmlns:a="http://schemas.openxmlformats.org/drawingml/2006/main">
                  <a:graphicData uri="http://schemas.microsoft.com/office/word/2010/wordprocessingShape">
                    <wps:wsp>
                      <wps:cNvSpPr txBox="1"/>
                      <wps:spPr>
                        <a:xfrm>
                          <a:off x="0" y="0"/>
                          <a:ext cx="1538605" cy="572135"/>
                        </a:xfrm>
                        <a:prstGeom prst="rect">
                          <a:avLst/>
                        </a:prstGeom>
                        <a:noFill/>
                      </wps:spPr>
                      <wps:txbx>
                        <w:txbxContent>
                          <w:p w14:paraId="7BCB6BEB" w14:textId="77777777" w:rsidR="00061F9E" w:rsidRDefault="00061F9E" w:rsidP="00061F9E">
                            <w:pPr>
                              <w:pStyle w:val="NormalWeb"/>
                              <w:spacing w:before="0" w:beforeAutospacing="0" w:after="0" w:afterAutospacing="0"/>
                            </w:pPr>
                            <w:r>
                              <w:rPr>
                                <w:rFonts w:asciiTheme="minorHAnsi" w:hAnsi="Calibri" w:cstheme="minorBidi"/>
                                <w:b/>
                                <w:bCs/>
                                <w:sz w:val="22"/>
                                <w:szCs w:val="22"/>
                              </w:rPr>
                              <w:t>Total: USD 15,964.8</w:t>
                            </w:r>
                          </w:p>
                        </w:txbxContent>
                      </wps:txbx>
                      <wps:bodyPr vertOverflow="clip" wrap="square" rtlCol="0"/>
                    </wps:wsp>
                  </a:graphicData>
                </a:graphic>
              </wp:anchor>
            </w:drawing>
          </mc:Choice>
          <mc:Fallback>
            <w:pict>
              <v:shapetype w14:anchorId="4684F551" id="_x0000_t202" coordsize="21600,21600" o:spt="202" path="m,l,21600r21600,l21600,xe">
                <v:stroke joinstyle="miter"/>
                <v:path gradientshapeok="t" o:connecttype="rect"/>
              </v:shapetype>
              <v:shape id="TextBox 1" o:spid="_x0000_s1026" type="#_x0000_t202" style="position:absolute;left:0;text-align:left;margin-left:285.35pt;margin-top:252.4pt;width:121.15pt;height:45.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NBkwEAAAgDAAAOAAAAZHJzL2Uyb0RvYy54bWysUstOKzEM3V+Jf4iypzMtai8adYoECDYI&#10;kOB+QJpJOpGSODihM/17nPQBuuwQGyexnePjYy+vRmfZVmE04Fs+ndScKS+hM37T8n+vd+eXnMUk&#10;fCcseNXynYr8anX2ZzmERs2gB9spZATiYzOElvcphaaqouyVE3ECQXkKakAnEj1xU3UoBkJ3tprV&#10;9aIaALuAIFWM5L3dB/mq4GutZHrSOqrEbMuJWyoWi11nW62WotmgCL2RBxriByycMJ6KnqBuRRLs&#10;Hc03KGckQgSdJhJcBVobqUoP1M20/q+bl14EVXohcWI4yRR/D1Y+bp+RmY5mt+DMC0czelVjuoaR&#10;TbM6Q4gNJb0ESksjuSnz6I/kzE2PGl0+qR1GcdJ5d9KWsJjMn+YXl4t6zpmk2PzvbHoxzzDV5++A&#10;Md0rcCxfWo40uyKp2D7EtE89puRiHu6MtdmfKe6p5Fsa1+OB9xq6HdGm9UxPZLSFoeXSmsDZQCNv&#10;eXx7F6g4w2RvoGzIEY/kLuQOq5Hn+fVdqn4u8OoDAAD//wMAUEsDBBQABgAIAAAAIQCfgGlB3wAA&#10;AAsBAAAPAAAAZHJzL2Rvd25yZXYueG1sTI9BT8MwDIXvSPsPkSdxY8mgY2tpOiEQV9AGm8Qta7y2&#10;onGqJlvLv593gpvt9/T8vXw9ulacsQ+NJw3zmQKBVHrbUKXh6/PtbgUiREPWtJ5Qwy8GWBeTm9xk&#10;1g+0wfM2VoJDKGRGQx1jl0kZyhqdCTPfIbF29L0zkde+krY3A4e7Vt4r9SidaYg/1KbDlxrLn+3J&#10;adi9H7/3ifqoXt2iG/yoJLlUan07HZ+fQEQc458ZrviMDgUzHfyJbBCthsVSLdnKg0q4AztW8wdu&#10;d+BLmqQgi1z+71BcAAAA//8DAFBLAQItABQABgAIAAAAIQC2gziS/gAAAOEBAAATAAAAAAAAAAAA&#10;AAAAAAAAAABbQ29udGVudF9UeXBlc10ueG1sUEsBAi0AFAAGAAgAAAAhADj9If/WAAAAlAEAAAsA&#10;AAAAAAAAAAAAAAAALwEAAF9yZWxzLy5yZWxzUEsBAi0AFAAGAAgAAAAhAEwnw0GTAQAACAMAAA4A&#10;AAAAAAAAAAAAAAAALgIAAGRycy9lMm9Eb2MueG1sUEsBAi0AFAAGAAgAAAAhAJ+AaUHfAAAACwEA&#10;AA8AAAAAAAAAAAAAAAAA7QMAAGRycy9kb3ducmV2LnhtbFBLBQYAAAAABAAEAPMAAAD5BAAAAAA=&#10;" filled="f" stroked="f">
                <v:textbox>
                  <w:txbxContent>
                    <w:p w14:paraId="7BCB6BEB" w14:textId="77777777" w:rsidR="00061F9E" w:rsidRDefault="00061F9E" w:rsidP="00061F9E">
                      <w:pPr>
                        <w:pStyle w:val="NormalWeb"/>
                        <w:spacing w:before="0" w:beforeAutospacing="0" w:after="0" w:afterAutospacing="0"/>
                      </w:pPr>
                      <w:r>
                        <w:rPr>
                          <w:rFonts w:asciiTheme="minorHAnsi" w:hAnsi="Calibri" w:cstheme="minorBidi"/>
                          <w:b/>
                          <w:bCs/>
                          <w:sz w:val="22"/>
                          <w:szCs w:val="22"/>
                        </w:rPr>
                        <w:t>Total: USD 15,964.8</w:t>
                      </w:r>
                    </w:p>
                  </w:txbxContent>
                </v:textbox>
              </v:shape>
            </w:pict>
          </mc:Fallback>
        </mc:AlternateContent>
      </w:r>
      <w:r>
        <w:rPr>
          <w:noProof/>
          <w:lang w:val="es-CO" w:eastAsia="es-CO"/>
        </w:rPr>
        <w:drawing>
          <wp:inline distT="0" distB="0" distL="0" distR="0" wp14:anchorId="2BDCEA32" wp14:editId="6DA88F69">
            <wp:extent cx="4562475" cy="3287869"/>
            <wp:effectExtent l="0" t="0" r="9525" b="8255"/>
            <wp:docPr id="14" name="Chart 14">
              <a:extLst xmlns:a="http://schemas.openxmlformats.org/drawingml/2006/main">
                <a:ext uri="{FF2B5EF4-FFF2-40B4-BE49-F238E27FC236}">
                  <a16:creationId xmlns:a16="http://schemas.microsoft.com/office/drawing/2014/main" id="{A828A714-7D8D-430A-ADD4-FF60CF3DD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4F392AE" w14:textId="1F4F04C4" w:rsidR="00A35AD3" w:rsidRDefault="00A35AD3" w:rsidP="00A35AD3">
      <w:pPr>
        <w:pStyle w:val="Default"/>
        <w:rPr>
          <w:rFonts w:ascii="Cambria" w:hAnsi="Cambria"/>
          <w:b/>
          <w:color w:val="auto"/>
          <w:sz w:val="20"/>
          <w:szCs w:val="20"/>
        </w:rPr>
      </w:pPr>
    </w:p>
    <w:p w14:paraId="357687BB" w14:textId="1F41D113" w:rsidR="00A35AD3" w:rsidRDefault="00A35AD3" w:rsidP="00BA4056">
      <w:pPr>
        <w:pStyle w:val="Default"/>
        <w:ind w:left="2127" w:hanging="2127"/>
        <w:jc w:val="center"/>
        <w:rPr>
          <w:rFonts w:ascii="Cambria" w:hAnsi="Cambria"/>
          <w:b/>
          <w:color w:val="auto"/>
          <w:sz w:val="20"/>
          <w:szCs w:val="20"/>
        </w:rPr>
      </w:pPr>
    </w:p>
    <w:p w14:paraId="3A535B64" w14:textId="77777777" w:rsidR="00BA4056" w:rsidRDefault="00BA4056" w:rsidP="00BA4056">
      <w:pPr>
        <w:pStyle w:val="Default"/>
        <w:ind w:left="2127" w:hanging="2127"/>
        <w:jc w:val="center"/>
        <w:rPr>
          <w:rFonts w:ascii="Cambria" w:hAnsi="Cambria"/>
          <w:b/>
          <w:sz w:val="20"/>
          <w:szCs w:val="20"/>
        </w:rPr>
      </w:pPr>
    </w:p>
    <w:p w14:paraId="44FEC4F8" w14:textId="1656223A" w:rsidR="00BA4056" w:rsidRDefault="00BA4056" w:rsidP="00A35AD3">
      <w:pPr>
        <w:pStyle w:val="paragraphs"/>
        <w:ind w:left="0" w:firstLine="720"/>
        <w:rPr>
          <w:lang w:val="en-US"/>
        </w:rPr>
      </w:pPr>
      <w:r>
        <w:rPr>
          <w:lang w:val="en-US"/>
        </w:rPr>
        <w:t>The table below shows the contributions of funds received by the IACHR by source of funding.</w:t>
      </w:r>
    </w:p>
    <w:p w14:paraId="016BD6AD" w14:textId="211768E4" w:rsidR="00A35AD3" w:rsidRDefault="00A35AD3" w:rsidP="00A35AD3">
      <w:pPr>
        <w:pStyle w:val="paragraphs"/>
        <w:numPr>
          <w:ilvl w:val="0"/>
          <w:numId w:val="0"/>
        </w:numPr>
        <w:ind w:left="720" w:hanging="360"/>
        <w:rPr>
          <w:lang w:val="en-US"/>
        </w:rPr>
      </w:pPr>
    </w:p>
    <w:p w14:paraId="1A1FB598" w14:textId="4D864120" w:rsidR="00A35AD3" w:rsidRDefault="00A35AD3" w:rsidP="00A35AD3">
      <w:pPr>
        <w:pStyle w:val="paragraphs"/>
        <w:numPr>
          <w:ilvl w:val="0"/>
          <w:numId w:val="0"/>
        </w:numPr>
        <w:ind w:left="720" w:hanging="360"/>
        <w:rPr>
          <w:lang w:val="en-US"/>
        </w:rPr>
      </w:pPr>
    </w:p>
    <w:p w14:paraId="327D53F6" w14:textId="0D0AD2BF" w:rsidR="00A35AD3" w:rsidRDefault="00A35AD3" w:rsidP="00A35AD3">
      <w:pPr>
        <w:pStyle w:val="paragraphs"/>
        <w:numPr>
          <w:ilvl w:val="0"/>
          <w:numId w:val="0"/>
        </w:numPr>
        <w:ind w:left="720" w:hanging="360"/>
        <w:rPr>
          <w:lang w:val="en-US"/>
        </w:rPr>
      </w:pPr>
    </w:p>
    <w:p w14:paraId="73439CB6" w14:textId="03DFDC38" w:rsidR="00A35AD3" w:rsidRDefault="00A35AD3" w:rsidP="00A35AD3">
      <w:pPr>
        <w:pStyle w:val="paragraphs"/>
        <w:numPr>
          <w:ilvl w:val="0"/>
          <w:numId w:val="0"/>
        </w:numPr>
        <w:ind w:left="720" w:hanging="360"/>
        <w:rPr>
          <w:lang w:val="en-US"/>
        </w:rPr>
      </w:pPr>
    </w:p>
    <w:p w14:paraId="3E100B9D" w14:textId="089A5384" w:rsidR="00A35AD3" w:rsidRDefault="00A35AD3" w:rsidP="00A35AD3">
      <w:pPr>
        <w:pStyle w:val="paragraphs"/>
        <w:numPr>
          <w:ilvl w:val="0"/>
          <w:numId w:val="0"/>
        </w:numPr>
        <w:ind w:left="720" w:hanging="360"/>
        <w:rPr>
          <w:lang w:val="en-US"/>
        </w:rPr>
      </w:pPr>
    </w:p>
    <w:p w14:paraId="23829B63" w14:textId="648FF3CA" w:rsidR="00A35AD3" w:rsidRDefault="00A35AD3" w:rsidP="00A35AD3">
      <w:pPr>
        <w:pStyle w:val="paragraphs"/>
        <w:numPr>
          <w:ilvl w:val="0"/>
          <w:numId w:val="0"/>
        </w:numPr>
        <w:ind w:left="720" w:hanging="360"/>
        <w:rPr>
          <w:lang w:val="en-US"/>
        </w:rPr>
      </w:pPr>
    </w:p>
    <w:p w14:paraId="130617D2" w14:textId="77777777" w:rsidR="00A35AD3" w:rsidRPr="00A35AD3" w:rsidRDefault="00A35AD3" w:rsidP="00A35AD3">
      <w:pPr>
        <w:pStyle w:val="paragraphs"/>
        <w:numPr>
          <w:ilvl w:val="0"/>
          <w:numId w:val="0"/>
        </w:numPr>
        <w:ind w:left="720" w:hanging="360"/>
        <w:rPr>
          <w:lang w:val="en-US"/>
        </w:rPr>
      </w:pPr>
    </w:p>
    <w:p w14:paraId="1455D471" w14:textId="77777777" w:rsidR="00BA4056" w:rsidRDefault="00BA4056" w:rsidP="00061F9E">
      <w:pPr>
        <w:spacing w:after="0"/>
        <w:jc w:val="center"/>
        <w:rPr>
          <w:rFonts w:ascii="Cambria" w:hAnsi="Cambria"/>
          <w:b/>
          <w:sz w:val="20"/>
          <w:szCs w:val="20"/>
        </w:rPr>
      </w:pPr>
      <w:r>
        <w:rPr>
          <w:rFonts w:ascii="Cambria" w:hAnsi="Cambria"/>
          <w:b/>
          <w:sz w:val="20"/>
          <w:szCs w:val="20"/>
        </w:rPr>
        <w:lastRenderedPageBreak/>
        <w:t>Table 1.  Contributions of Funds Received by the IACHR in 2020</w:t>
      </w:r>
    </w:p>
    <w:p w14:paraId="3BC3A0C2" w14:textId="77777777" w:rsidR="00BA4056" w:rsidRDefault="00BA4056" w:rsidP="00061F9E">
      <w:pPr>
        <w:pStyle w:val="Default"/>
        <w:jc w:val="center"/>
        <w:rPr>
          <w:rFonts w:ascii="Cambria" w:hAnsi="Cambria"/>
          <w:b/>
          <w:sz w:val="20"/>
          <w:szCs w:val="20"/>
        </w:rPr>
      </w:pPr>
      <w:r>
        <w:rPr>
          <w:rFonts w:ascii="Cambria" w:hAnsi="Cambria"/>
          <w:b/>
          <w:sz w:val="20"/>
          <w:szCs w:val="20"/>
        </w:rPr>
        <w:t>By source of funding and special theme</w:t>
      </w:r>
    </w:p>
    <w:p w14:paraId="5AFB04AC" w14:textId="222C4B80" w:rsidR="00BA4056" w:rsidRDefault="00BA4056" w:rsidP="00061F9E">
      <w:pPr>
        <w:pStyle w:val="Default"/>
        <w:jc w:val="center"/>
        <w:rPr>
          <w:rFonts w:ascii="Cambria" w:hAnsi="Cambria"/>
          <w:b/>
          <w:sz w:val="20"/>
          <w:szCs w:val="20"/>
        </w:rPr>
      </w:pPr>
      <w:r>
        <w:rPr>
          <w:rFonts w:ascii="Cambria" w:hAnsi="Cambria"/>
          <w:b/>
          <w:sz w:val="20"/>
          <w:szCs w:val="20"/>
        </w:rPr>
        <w:t>(Preliminary and unaudited figures in US$)</w:t>
      </w:r>
      <w:bookmarkStart w:id="0" w:name="OLE_LINK1"/>
      <w:r>
        <w:rPr>
          <w:rStyle w:val="FootnoteReference"/>
          <w:rFonts w:ascii="Cambria" w:hAnsi="Cambria"/>
          <w:b/>
          <w:sz w:val="20"/>
          <w:szCs w:val="20"/>
        </w:rPr>
        <w:footnoteReference w:id="2"/>
      </w:r>
    </w:p>
    <w:p w14:paraId="6AEF1E49" w14:textId="6F6EA206" w:rsidR="00BA4056" w:rsidRDefault="00061F9E" w:rsidP="00BA4056">
      <w:pPr>
        <w:pStyle w:val="paragraphs"/>
        <w:numPr>
          <w:ilvl w:val="0"/>
          <w:numId w:val="0"/>
        </w:numPr>
        <w:jc w:val="center"/>
        <w:rPr>
          <w:lang w:val="en-US"/>
        </w:rPr>
      </w:pPr>
      <w:r w:rsidRPr="00061F9E">
        <w:rPr>
          <w:noProof/>
        </w:rPr>
        <w:drawing>
          <wp:inline distT="0" distB="0" distL="0" distR="0" wp14:anchorId="4F0B2791" wp14:editId="7F3CE530">
            <wp:extent cx="5071938" cy="6560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3445" cy="6562769"/>
                    </a:xfrm>
                    <a:prstGeom prst="rect">
                      <a:avLst/>
                    </a:prstGeom>
                    <a:noFill/>
                    <a:ln>
                      <a:noFill/>
                    </a:ln>
                  </pic:spPr>
                </pic:pic>
              </a:graphicData>
            </a:graphic>
          </wp:inline>
        </w:drawing>
      </w:r>
    </w:p>
    <w:p w14:paraId="7269D49F" w14:textId="77777777" w:rsidR="00BA4056" w:rsidRDefault="00BA4056" w:rsidP="00BA4056">
      <w:pPr>
        <w:pStyle w:val="paragraphs"/>
        <w:ind w:left="0" w:firstLine="720"/>
        <w:rPr>
          <w:rFonts w:eastAsia="Times New Roman" w:cs="Calibri"/>
          <w:b/>
          <w:lang w:val="en-US"/>
        </w:rPr>
      </w:pPr>
      <w:r>
        <w:rPr>
          <w:lang w:val="en-US"/>
        </w:rPr>
        <w:lastRenderedPageBreak/>
        <w:t>The table below shows the statement of changes in the fund balance of projects financed with specific funds of the IACHR as of December 31, 2020.</w:t>
      </w:r>
    </w:p>
    <w:p w14:paraId="610ECC93" w14:textId="77777777" w:rsidR="00BA4056" w:rsidRDefault="00BA4056" w:rsidP="00061F9E">
      <w:pPr>
        <w:pStyle w:val="Default"/>
        <w:jc w:val="center"/>
        <w:rPr>
          <w:rFonts w:ascii="Cambria" w:hAnsi="Cambria"/>
          <w:b/>
          <w:color w:val="auto"/>
          <w:sz w:val="20"/>
          <w:szCs w:val="20"/>
        </w:rPr>
      </w:pPr>
      <w:r>
        <w:rPr>
          <w:rFonts w:ascii="Cambria" w:hAnsi="Cambria"/>
          <w:b/>
          <w:color w:val="auto"/>
          <w:sz w:val="20"/>
          <w:szCs w:val="20"/>
        </w:rPr>
        <w:t>Table 2. Report of Variations in the Balance of Funding for Projects Paid from Specific Funds of the IACHR</w:t>
      </w:r>
    </w:p>
    <w:p w14:paraId="0FCB0423" w14:textId="77777777" w:rsidR="00BA4056" w:rsidRDefault="00BA4056" w:rsidP="00061F9E">
      <w:pPr>
        <w:pStyle w:val="Default"/>
        <w:jc w:val="center"/>
        <w:rPr>
          <w:rFonts w:ascii="Cambria" w:hAnsi="Cambria"/>
          <w:b/>
          <w:sz w:val="20"/>
          <w:szCs w:val="20"/>
        </w:rPr>
      </w:pPr>
      <w:r>
        <w:rPr>
          <w:rFonts w:ascii="Cambria" w:hAnsi="Cambria"/>
          <w:b/>
          <w:color w:val="auto"/>
          <w:sz w:val="20"/>
          <w:szCs w:val="20"/>
        </w:rPr>
        <w:t>Information as of December 31, 2020</w:t>
      </w:r>
      <w:r>
        <w:rPr>
          <w:rStyle w:val="FootnoteReference"/>
          <w:rFonts w:ascii="Cambria" w:hAnsi="Cambria"/>
          <w:b/>
          <w:color w:val="auto"/>
          <w:sz w:val="20"/>
          <w:szCs w:val="20"/>
        </w:rPr>
        <w:footnoteReference w:id="3"/>
      </w:r>
      <w:r>
        <w:rPr>
          <w:rFonts w:ascii="Cambria" w:hAnsi="Cambria"/>
          <w:b/>
          <w:color w:val="auto"/>
          <w:sz w:val="20"/>
          <w:szCs w:val="20"/>
          <w:vertAlign w:val="superscript"/>
        </w:rPr>
        <w:t xml:space="preserve">, </w:t>
      </w:r>
      <w:r>
        <w:rPr>
          <w:rStyle w:val="FootnoteReference"/>
          <w:rFonts w:ascii="Cambria" w:hAnsi="Cambria"/>
          <w:b/>
          <w:color w:val="auto"/>
          <w:sz w:val="20"/>
          <w:szCs w:val="20"/>
        </w:rPr>
        <w:footnoteReference w:id="4"/>
      </w:r>
    </w:p>
    <w:bookmarkEnd w:id="0"/>
    <w:p w14:paraId="7A6A794B" w14:textId="77777777" w:rsidR="00BA4056" w:rsidRDefault="00BA4056" w:rsidP="00061F9E">
      <w:pPr>
        <w:pStyle w:val="Default"/>
        <w:jc w:val="center"/>
        <w:rPr>
          <w:rFonts w:ascii="Cambria" w:hAnsi="Cambria"/>
          <w:b/>
          <w:color w:val="auto"/>
          <w:sz w:val="20"/>
          <w:szCs w:val="20"/>
        </w:rPr>
      </w:pPr>
      <w:r>
        <w:rPr>
          <w:rFonts w:ascii="Cambria" w:hAnsi="Cambria"/>
          <w:b/>
          <w:color w:val="auto"/>
          <w:sz w:val="20"/>
          <w:szCs w:val="20"/>
        </w:rPr>
        <w:t>(Preliminary unaudited figures in US$)</w:t>
      </w:r>
    </w:p>
    <w:p w14:paraId="61BC367E" w14:textId="77777777" w:rsidR="00BA4056" w:rsidRDefault="00BA4056" w:rsidP="00BA4056">
      <w:pPr>
        <w:pStyle w:val="Default"/>
        <w:ind w:firstLine="993"/>
        <w:jc w:val="center"/>
        <w:rPr>
          <w:rFonts w:ascii="Cambria" w:hAnsi="Cambria"/>
          <w:sz w:val="20"/>
          <w:szCs w:val="20"/>
        </w:rPr>
      </w:pPr>
    </w:p>
    <w:p w14:paraId="0C83708B" w14:textId="6008D786" w:rsidR="00BA4056" w:rsidRDefault="00BA4056" w:rsidP="00BA4056">
      <w:pPr>
        <w:pStyle w:val="Default"/>
        <w:tabs>
          <w:tab w:val="left" w:pos="6600"/>
        </w:tabs>
        <w:ind w:firstLine="90"/>
        <w:rPr>
          <w:rFonts w:ascii="Cambria" w:hAnsi="Cambria"/>
          <w:b/>
          <w:sz w:val="20"/>
          <w:szCs w:val="20"/>
        </w:rPr>
      </w:pPr>
      <w:r>
        <w:rPr>
          <w:rFonts w:ascii="Cambria" w:hAnsi="Cambria"/>
          <w:noProof/>
          <w:sz w:val="20"/>
          <w:szCs w:val="20"/>
          <w:lang w:val="es-CO" w:eastAsia="es-CO"/>
        </w:rPr>
        <w:drawing>
          <wp:inline distT="0" distB="0" distL="0" distR="0" wp14:anchorId="5F54B5AE" wp14:editId="4CBBE9E5">
            <wp:extent cx="5212080" cy="27539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080" cy="2753995"/>
                    </a:xfrm>
                    <a:prstGeom prst="rect">
                      <a:avLst/>
                    </a:prstGeom>
                    <a:noFill/>
                    <a:ln>
                      <a:noFill/>
                    </a:ln>
                  </pic:spPr>
                </pic:pic>
              </a:graphicData>
            </a:graphic>
          </wp:inline>
        </w:drawing>
      </w:r>
    </w:p>
    <w:p w14:paraId="29814623" w14:textId="77777777" w:rsidR="00BA4056" w:rsidRDefault="00BA4056" w:rsidP="00BA4056">
      <w:pPr>
        <w:pStyle w:val="Default"/>
        <w:tabs>
          <w:tab w:val="left" w:pos="6600"/>
        </w:tabs>
        <w:ind w:firstLine="851"/>
        <w:rPr>
          <w:rFonts w:ascii="Cambria" w:hAnsi="Cambria"/>
          <w:b/>
          <w:sz w:val="20"/>
          <w:szCs w:val="20"/>
        </w:rPr>
      </w:pPr>
    </w:p>
    <w:p w14:paraId="5F6C64AF" w14:textId="77777777" w:rsidR="00BA4056" w:rsidRDefault="00BA4056" w:rsidP="00BA4056">
      <w:pPr>
        <w:pStyle w:val="Default"/>
        <w:tabs>
          <w:tab w:val="left" w:pos="6600"/>
        </w:tabs>
        <w:ind w:firstLine="851"/>
        <w:rPr>
          <w:rFonts w:ascii="Cambria" w:hAnsi="Cambria"/>
          <w:b/>
          <w:sz w:val="20"/>
          <w:szCs w:val="20"/>
        </w:rPr>
      </w:pPr>
    </w:p>
    <w:p w14:paraId="47DFE882" w14:textId="73E79366" w:rsidR="00BA4056" w:rsidRDefault="00BA4056" w:rsidP="00A35AD3">
      <w:pPr>
        <w:pStyle w:val="Default"/>
        <w:tabs>
          <w:tab w:val="left" w:pos="6600"/>
        </w:tabs>
        <w:rPr>
          <w:rFonts w:ascii="Cambria" w:hAnsi="Cambria"/>
          <w:b/>
          <w:sz w:val="20"/>
          <w:szCs w:val="20"/>
        </w:rPr>
      </w:pPr>
    </w:p>
    <w:p w14:paraId="160E9789" w14:textId="77777777" w:rsidR="00BA4056" w:rsidRDefault="00BA4056" w:rsidP="00BA4056">
      <w:pPr>
        <w:pStyle w:val="Default"/>
        <w:tabs>
          <w:tab w:val="left" w:pos="6600"/>
        </w:tabs>
        <w:ind w:firstLine="851"/>
        <w:rPr>
          <w:rFonts w:ascii="Cambria" w:hAnsi="Cambria"/>
          <w:b/>
          <w:sz w:val="20"/>
          <w:szCs w:val="20"/>
        </w:rPr>
      </w:pPr>
    </w:p>
    <w:p w14:paraId="38B730B9" w14:textId="6BCC9719" w:rsidR="00BA4056" w:rsidRDefault="00BA4056" w:rsidP="00BA4056">
      <w:pPr>
        <w:pStyle w:val="paragraphs"/>
        <w:ind w:left="0" w:firstLine="720"/>
        <w:rPr>
          <w:lang w:val="en-US"/>
        </w:rPr>
      </w:pPr>
      <w:r>
        <w:rPr>
          <w:lang w:val="en-US"/>
        </w:rPr>
        <w:t>The figure below shows the distribution of IACHR expenditure by source of funding as of December 31, 2020. Expenses financed with specific funds account for 45% and with the regular fund, 55%.</w:t>
      </w:r>
    </w:p>
    <w:p w14:paraId="22CD82AF" w14:textId="411B3CEE" w:rsidR="00A35AD3" w:rsidRDefault="00A35AD3" w:rsidP="00A35AD3">
      <w:pPr>
        <w:pStyle w:val="paragraphs"/>
        <w:numPr>
          <w:ilvl w:val="0"/>
          <w:numId w:val="0"/>
        </w:numPr>
        <w:ind w:left="720" w:hanging="360"/>
        <w:rPr>
          <w:lang w:val="en-US"/>
        </w:rPr>
      </w:pPr>
    </w:p>
    <w:p w14:paraId="4CFD49A2" w14:textId="2BFE9728" w:rsidR="00A35AD3" w:rsidRDefault="00A35AD3" w:rsidP="00A35AD3">
      <w:pPr>
        <w:pStyle w:val="paragraphs"/>
        <w:numPr>
          <w:ilvl w:val="0"/>
          <w:numId w:val="0"/>
        </w:numPr>
        <w:ind w:left="720" w:hanging="360"/>
        <w:rPr>
          <w:lang w:val="en-US"/>
        </w:rPr>
      </w:pPr>
    </w:p>
    <w:p w14:paraId="60F9A20F" w14:textId="63CB130E" w:rsidR="00A35AD3" w:rsidRDefault="00A35AD3" w:rsidP="00A35AD3">
      <w:pPr>
        <w:pStyle w:val="paragraphs"/>
        <w:numPr>
          <w:ilvl w:val="0"/>
          <w:numId w:val="0"/>
        </w:numPr>
        <w:ind w:left="720" w:hanging="360"/>
        <w:rPr>
          <w:lang w:val="en-US"/>
        </w:rPr>
      </w:pPr>
    </w:p>
    <w:p w14:paraId="00A6F8BA" w14:textId="20A0959E" w:rsidR="00A35AD3" w:rsidRDefault="00A35AD3" w:rsidP="00A35AD3">
      <w:pPr>
        <w:pStyle w:val="paragraphs"/>
        <w:numPr>
          <w:ilvl w:val="0"/>
          <w:numId w:val="0"/>
        </w:numPr>
        <w:ind w:left="720" w:hanging="360"/>
        <w:rPr>
          <w:lang w:val="en-US"/>
        </w:rPr>
      </w:pPr>
    </w:p>
    <w:p w14:paraId="4B98A205" w14:textId="398C7411" w:rsidR="00A35AD3" w:rsidRDefault="00A35AD3" w:rsidP="00A35AD3">
      <w:pPr>
        <w:pStyle w:val="paragraphs"/>
        <w:numPr>
          <w:ilvl w:val="0"/>
          <w:numId w:val="0"/>
        </w:numPr>
        <w:ind w:left="720" w:hanging="360"/>
        <w:rPr>
          <w:lang w:val="en-US"/>
        </w:rPr>
      </w:pPr>
    </w:p>
    <w:p w14:paraId="5C4D9507" w14:textId="77777777" w:rsidR="00A35AD3" w:rsidRDefault="00A35AD3" w:rsidP="00A35AD3">
      <w:pPr>
        <w:pStyle w:val="paragraphs"/>
        <w:numPr>
          <w:ilvl w:val="0"/>
          <w:numId w:val="0"/>
        </w:numPr>
        <w:ind w:left="720" w:hanging="360"/>
        <w:rPr>
          <w:lang w:val="en-US"/>
        </w:rPr>
      </w:pPr>
    </w:p>
    <w:p w14:paraId="159AACC2" w14:textId="23FA0AA6" w:rsidR="00BA4056" w:rsidRDefault="00BA4056" w:rsidP="00BA4056">
      <w:pPr>
        <w:rPr>
          <w:rFonts w:ascii="Cambria" w:eastAsia="Times New Roman" w:hAnsi="Cambria" w:cs="Calibri"/>
          <w:b/>
          <w:sz w:val="20"/>
          <w:szCs w:val="20"/>
        </w:rPr>
      </w:pPr>
      <w:r>
        <w:rPr>
          <w:rFonts w:ascii="Cambria" w:hAnsi="Cambria"/>
          <w:b/>
          <w:sz w:val="20"/>
          <w:szCs w:val="20"/>
        </w:rPr>
        <w:lastRenderedPageBreak/>
        <w:t>Figure 3. Distribution of IACHR Expenses by Source of Funding as of December 31, 2020</w:t>
      </w:r>
    </w:p>
    <w:p w14:paraId="69E2464C" w14:textId="77777777" w:rsidR="00BA4056" w:rsidRDefault="00BA4056" w:rsidP="00BA4056">
      <w:pPr>
        <w:pStyle w:val="Default"/>
        <w:ind w:left="1985" w:hanging="992"/>
        <w:jc w:val="center"/>
        <w:rPr>
          <w:rFonts w:ascii="Cambria" w:hAnsi="Cambria"/>
          <w:b/>
          <w:color w:val="auto"/>
          <w:sz w:val="20"/>
          <w:szCs w:val="20"/>
        </w:rPr>
      </w:pPr>
      <w:r>
        <w:rPr>
          <w:rFonts w:ascii="Cambria" w:hAnsi="Cambria"/>
          <w:b/>
          <w:color w:val="auto"/>
          <w:sz w:val="20"/>
          <w:szCs w:val="20"/>
        </w:rPr>
        <w:t>(preliminary and unaudited figures in thousands of US$)</w:t>
      </w:r>
    </w:p>
    <w:p w14:paraId="28AFB7D0" w14:textId="1695DF44" w:rsidR="00BA4056" w:rsidRDefault="00BA4056" w:rsidP="00BA4056">
      <w:pPr>
        <w:pStyle w:val="Default"/>
        <w:jc w:val="center"/>
        <w:rPr>
          <w:rFonts w:ascii="Cambria" w:hAnsi="Cambria"/>
          <w:b/>
          <w:color w:val="auto"/>
          <w:sz w:val="20"/>
          <w:szCs w:val="20"/>
        </w:rPr>
      </w:pPr>
      <w:r>
        <w:rPr>
          <w:noProof/>
          <w:lang w:val="es-CO" w:eastAsia="es-CO"/>
        </w:rPr>
        <w:drawing>
          <wp:inline distT="0" distB="0" distL="0" distR="0" wp14:anchorId="4FCABFCF" wp14:editId="53C70EF6">
            <wp:extent cx="4363720" cy="3769995"/>
            <wp:effectExtent l="0" t="0" r="5080"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2EE7A9" w14:textId="77777777" w:rsidR="00BA4056" w:rsidRDefault="00BA4056" w:rsidP="00BA4056">
      <w:pPr>
        <w:pStyle w:val="Default"/>
        <w:ind w:firstLine="851"/>
        <w:jc w:val="center"/>
        <w:rPr>
          <w:rFonts w:ascii="Cambria" w:hAnsi="Cambria"/>
          <w:sz w:val="20"/>
          <w:szCs w:val="20"/>
        </w:rPr>
      </w:pPr>
    </w:p>
    <w:p w14:paraId="36855121" w14:textId="77777777" w:rsidR="00BA4056" w:rsidRDefault="00BA4056" w:rsidP="00BA4056">
      <w:pPr>
        <w:pStyle w:val="paragraphs"/>
        <w:ind w:left="0" w:firstLine="720"/>
        <w:rPr>
          <w:lang w:val="en-US"/>
        </w:rPr>
      </w:pPr>
      <w:r>
        <w:rPr>
          <w:lang w:val="en-US"/>
        </w:rPr>
        <w:t>The table and figure below show the distribution of IACHR expenses by source of financing and object of expenditure.</w:t>
      </w:r>
    </w:p>
    <w:p w14:paraId="33861E74" w14:textId="77777777" w:rsidR="00BA4056" w:rsidRDefault="00BA4056" w:rsidP="00BA4056">
      <w:pPr>
        <w:pStyle w:val="Default"/>
        <w:jc w:val="center"/>
        <w:rPr>
          <w:rFonts w:ascii="Cambria" w:hAnsi="Cambria"/>
          <w:b/>
          <w:color w:val="FF0000"/>
          <w:sz w:val="20"/>
          <w:szCs w:val="20"/>
        </w:rPr>
      </w:pPr>
      <w:r>
        <w:rPr>
          <w:rFonts w:ascii="Cambria" w:hAnsi="Cambria"/>
          <w:b/>
          <w:sz w:val="20"/>
          <w:szCs w:val="20"/>
        </w:rPr>
        <w:t xml:space="preserve">Table 3. Distribution of IACHR Expenses by Source of Funding in </w:t>
      </w:r>
      <w:r>
        <w:rPr>
          <w:rFonts w:ascii="Cambria" w:hAnsi="Cambria"/>
          <w:b/>
          <w:color w:val="auto"/>
          <w:sz w:val="20"/>
          <w:szCs w:val="20"/>
        </w:rPr>
        <w:t>2020 and Object of Expenditure (preliminary unaudited figures in US$, rounded) as of December 31, 2020.</w:t>
      </w:r>
    </w:p>
    <w:p w14:paraId="3B4B1C36" w14:textId="77777777" w:rsidR="00BA4056" w:rsidRDefault="00BA4056" w:rsidP="00BA4056">
      <w:pPr>
        <w:pStyle w:val="Default"/>
        <w:jc w:val="center"/>
        <w:rPr>
          <w:rFonts w:ascii="Cambria" w:hAnsi="Cambria"/>
          <w:b/>
          <w:color w:val="FF0000"/>
          <w:sz w:val="20"/>
          <w:szCs w:val="20"/>
        </w:rPr>
      </w:pPr>
    </w:p>
    <w:tbl>
      <w:tblPr>
        <w:tblStyle w:val="GridTable4-Accent5"/>
        <w:tblW w:w="8541" w:type="dxa"/>
        <w:jc w:val="center"/>
        <w:tblInd w:w="0" w:type="dxa"/>
        <w:tblLook w:val="04A0" w:firstRow="1" w:lastRow="0" w:firstColumn="1" w:lastColumn="0" w:noHBand="0" w:noVBand="1"/>
      </w:tblPr>
      <w:tblGrid>
        <w:gridCol w:w="3076"/>
        <w:gridCol w:w="1935"/>
        <w:gridCol w:w="1886"/>
        <w:gridCol w:w="1644"/>
      </w:tblGrid>
      <w:tr w:rsidR="00BA4056" w14:paraId="7BB97E86" w14:textId="77777777" w:rsidTr="00BA405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6" w:type="dxa"/>
            <w:noWrap/>
            <w:hideMark/>
          </w:tcPr>
          <w:p w14:paraId="4B8615D0" w14:textId="77777777" w:rsidR="00BA4056" w:rsidRDefault="00BA4056">
            <w:pPr>
              <w:rPr>
                <w:rFonts w:ascii="Cambria" w:hAnsi="Cambria" w:cs="Calibri"/>
              </w:rPr>
            </w:pPr>
            <w:r>
              <w:rPr>
                <w:rFonts w:ascii="Cambria" w:eastAsia="Times New Roman" w:hAnsi="Cambria" w:cs="Calibri"/>
                <w:bCs w:val="0"/>
                <w:color w:val="FFFFFF"/>
                <w:lang w:eastAsia="es-CO"/>
              </w:rPr>
              <w:t xml:space="preserve">Object of Expenditure </w:t>
            </w:r>
          </w:p>
        </w:tc>
        <w:tc>
          <w:tcPr>
            <w:tcW w:w="1935" w:type="dxa"/>
            <w:noWrap/>
            <w:hideMark/>
          </w:tcPr>
          <w:p w14:paraId="71FFB05D" w14:textId="77777777" w:rsidR="00BA4056" w:rsidRDefault="00BA4056">
            <w:pPr>
              <w:cnfStyle w:val="100000000000" w:firstRow="1" w:lastRow="0" w:firstColumn="0" w:lastColumn="0" w:oddVBand="0" w:evenVBand="0" w:oddHBand="0" w:evenHBand="0" w:firstRowFirstColumn="0" w:firstRowLastColumn="0" w:lastRowFirstColumn="0" w:lastRowLastColumn="0"/>
              <w:rPr>
                <w:rFonts w:ascii="Cambria" w:hAnsi="Cambria" w:cs="Calibri"/>
                <w:bCs w:val="0"/>
              </w:rPr>
            </w:pPr>
            <w:r>
              <w:rPr>
                <w:rFonts w:ascii="Cambria" w:eastAsia="Times New Roman" w:hAnsi="Cambria" w:cs="Calibri"/>
                <w:bCs w:val="0"/>
                <w:color w:val="FFFFFF"/>
                <w:lang w:eastAsia="es-CO"/>
              </w:rPr>
              <w:t>Regular Fund</w:t>
            </w:r>
          </w:p>
        </w:tc>
        <w:tc>
          <w:tcPr>
            <w:tcW w:w="1886" w:type="dxa"/>
            <w:noWrap/>
            <w:hideMark/>
          </w:tcPr>
          <w:p w14:paraId="791DDDE3" w14:textId="77777777" w:rsidR="00BA4056" w:rsidRDefault="00BA4056">
            <w:pPr>
              <w:cnfStyle w:val="100000000000" w:firstRow="1" w:lastRow="0" w:firstColumn="0" w:lastColumn="0" w:oddVBand="0" w:evenVBand="0" w:oddHBand="0" w:evenHBand="0" w:firstRowFirstColumn="0" w:firstRowLastColumn="0" w:lastRowFirstColumn="0" w:lastRowLastColumn="0"/>
              <w:rPr>
                <w:rFonts w:ascii="Cambria" w:hAnsi="Cambria" w:cs="Calibri"/>
                <w:bCs w:val="0"/>
              </w:rPr>
            </w:pPr>
            <w:r>
              <w:rPr>
                <w:rFonts w:ascii="Cambria" w:eastAsia="Times New Roman" w:hAnsi="Cambria" w:cs="Calibri"/>
                <w:bCs w:val="0"/>
                <w:color w:val="FFFFFF"/>
                <w:lang w:eastAsia="es-CO"/>
              </w:rPr>
              <w:t>Specific Funds</w:t>
            </w:r>
          </w:p>
        </w:tc>
        <w:tc>
          <w:tcPr>
            <w:tcW w:w="1644" w:type="dxa"/>
            <w:noWrap/>
            <w:hideMark/>
          </w:tcPr>
          <w:p w14:paraId="09D64248" w14:textId="77777777" w:rsidR="00BA4056" w:rsidRDefault="00BA4056">
            <w:pPr>
              <w:jc w:val="center"/>
              <w:cnfStyle w:val="100000000000" w:firstRow="1" w:lastRow="0" w:firstColumn="0" w:lastColumn="0" w:oddVBand="0" w:evenVBand="0" w:oddHBand="0" w:evenHBand="0" w:firstRowFirstColumn="0" w:firstRowLastColumn="0" w:lastRowFirstColumn="0" w:lastRowLastColumn="0"/>
              <w:rPr>
                <w:rFonts w:ascii="Cambria" w:hAnsi="Cambria" w:cs="Calibri"/>
                <w:bCs w:val="0"/>
              </w:rPr>
            </w:pPr>
            <w:r>
              <w:rPr>
                <w:rFonts w:ascii="Cambria" w:eastAsia="Times New Roman" w:hAnsi="Cambria" w:cs="Calibri"/>
                <w:bCs w:val="0"/>
                <w:color w:val="FFFFFF"/>
                <w:lang w:eastAsia="es-CO"/>
              </w:rPr>
              <w:t>Total</w:t>
            </w:r>
          </w:p>
        </w:tc>
      </w:tr>
      <w:tr w:rsidR="00BA4056" w14:paraId="19651986" w14:textId="77777777" w:rsidTr="00BA40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637C7A1" w14:textId="77777777" w:rsidR="00BA4056" w:rsidRDefault="00BA4056">
            <w:pPr>
              <w:rPr>
                <w:rFonts w:ascii="Cambria" w:hAnsi="Cambria" w:cs="Calibri"/>
                <w:b w:val="0"/>
                <w:bCs w:val="0"/>
              </w:rPr>
            </w:pPr>
            <w:r>
              <w:rPr>
                <w:rFonts w:ascii="Cambria" w:hAnsi="Cambria" w:cs="Calibri"/>
                <w:b w:val="0"/>
                <w:bCs w:val="0"/>
              </w:rPr>
              <w:t>Personnel Contracts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4F22328" w14:textId="0F771298" w:rsidR="00BA4056" w:rsidRDefault="00F43505">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F43505">
              <w:rPr>
                <w:rFonts w:ascii="Cambria" w:hAnsi="Cambria" w:cs="Calibri"/>
              </w:rPr>
              <w:t>6,223,100.0</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83BB42A"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cstheme="minorHAnsi"/>
              </w:rPr>
              <w:t>883,572.2</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57B61D5" w14:textId="192BD214" w:rsidR="00BA4056" w:rsidRDefault="00F43505">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sidRPr="00F43505">
              <w:rPr>
                <w:rFonts w:ascii="Cambria" w:hAnsi="Cambria" w:cs="Calibri"/>
              </w:rPr>
              <w:t>7,106,672.2</w:t>
            </w:r>
          </w:p>
        </w:tc>
      </w:tr>
      <w:tr w:rsidR="00F43505" w14:paraId="5C84DC11" w14:textId="77777777" w:rsidTr="00BA4056">
        <w:trPr>
          <w:trHeight w:val="30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04365D36" w14:textId="5765C31A" w:rsidR="00F43505" w:rsidRDefault="00F43505">
            <w:pPr>
              <w:rPr>
                <w:rFonts w:ascii="Cambria" w:hAnsi="Cambria" w:cs="Calibri"/>
                <w:b w:val="0"/>
                <w:bCs w:val="0"/>
              </w:rPr>
            </w:pPr>
            <w:r w:rsidRPr="00F43505">
              <w:rPr>
                <w:rFonts w:ascii="Cambria" w:hAnsi="Cambria" w:cs="Calibri"/>
                <w:b w:val="0"/>
                <w:bCs w:val="0"/>
              </w:rPr>
              <w:t>Non-recurring expenses (Personnel)</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34A2A45A" w14:textId="21A274B5" w:rsidR="00F43505" w:rsidRDefault="00F43505">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sidRPr="00F43505">
              <w:rPr>
                <w:rFonts w:ascii="Cambria" w:hAnsi="Cambria" w:cstheme="minorHAnsi"/>
              </w:rPr>
              <w:t>23,478.6</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5E87F253" w14:textId="4B012B34" w:rsidR="00F43505" w:rsidRDefault="00F43505">
            <w:pPr>
              <w:jc w:val="center"/>
              <w:cnfStyle w:val="000000000000" w:firstRow="0" w:lastRow="0" w:firstColumn="0" w:lastColumn="0" w:oddVBand="0" w:evenVBand="0" w:oddHBand="0" w:evenHBand="0" w:firstRowFirstColumn="0" w:firstRowLastColumn="0" w:lastRowFirstColumn="0" w:lastRowLastColumn="0"/>
              <w:rPr>
                <w:rFonts w:ascii="Cambria" w:hAnsi="Cambria" w:cstheme="minorHAnsi"/>
              </w:rPr>
            </w:pPr>
            <w:r>
              <w:rPr>
                <w:rFonts w:ascii="Cambria" w:hAnsi="Cambria" w:cstheme="minorHAnsi"/>
              </w:rPr>
              <w: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tcPr>
          <w:p w14:paraId="20684DFE" w14:textId="3DFB3CD5" w:rsidR="00F43505" w:rsidRDefault="00F43505">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F43505">
              <w:rPr>
                <w:rFonts w:ascii="Cambria" w:hAnsi="Cambria"/>
              </w:rPr>
              <w:t>23,478.6</w:t>
            </w:r>
          </w:p>
        </w:tc>
      </w:tr>
      <w:tr w:rsidR="00BA4056" w14:paraId="490D197D" w14:textId="77777777" w:rsidTr="00BA40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690E7F2" w14:textId="77777777" w:rsidR="00BA4056" w:rsidRDefault="00BA4056">
            <w:pPr>
              <w:rPr>
                <w:rFonts w:ascii="Cambria" w:hAnsi="Cambria" w:cs="Calibri"/>
                <w:b w:val="0"/>
                <w:color w:val="000000"/>
              </w:rPr>
            </w:pPr>
            <w:r>
              <w:rPr>
                <w:rFonts w:ascii="Cambria" w:eastAsia="Times New Roman" w:hAnsi="Cambria" w:cs="Calibri"/>
                <w:b w:val="0"/>
                <w:bCs w:val="0"/>
                <w:color w:val="000000"/>
                <w:lang w:eastAsia="es-CO"/>
              </w:rPr>
              <w:t>Performance Contract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01F0695"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cstheme="minorHAnsi"/>
              </w:rPr>
              <w:t>1,991,747.0</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14C498A"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cstheme="minorHAnsi"/>
              </w:rPr>
              <w:t>4,851,115.0</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6ADEA95"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rPr>
              <w:t>6,842,862.0</w:t>
            </w:r>
          </w:p>
        </w:tc>
      </w:tr>
      <w:tr w:rsidR="00BA4056" w14:paraId="688515AA" w14:textId="77777777" w:rsidTr="00BA4056">
        <w:trPr>
          <w:trHeight w:val="30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697B591" w14:textId="77777777" w:rsidR="00BA4056" w:rsidRDefault="00BA4056">
            <w:pPr>
              <w:rPr>
                <w:rFonts w:ascii="Cambria" w:hAnsi="Cambria" w:cs="Calibri"/>
                <w:b w:val="0"/>
              </w:rPr>
            </w:pPr>
            <w:r>
              <w:rPr>
                <w:rFonts w:ascii="Cambria" w:hAnsi="Cambria" w:cs="Calibri"/>
                <w:b w:val="0"/>
              </w:rPr>
              <w:t>Fellowships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51D3765" w14:textId="77777777" w:rsidR="00BA4056" w:rsidRDefault="00BA405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cstheme="minorHAnsi"/>
              </w:rPr>
              <w: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CE2EE9D" w14:textId="77777777" w:rsidR="00BA4056" w:rsidRDefault="00BA405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cstheme="minorHAnsi"/>
              </w:rPr>
              <w:t>86,676.0</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8E8DD79" w14:textId="77777777" w:rsidR="00BA4056" w:rsidRDefault="00BA405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rPr>
              <w:t>86,676.0</w:t>
            </w:r>
          </w:p>
        </w:tc>
      </w:tr>
      <w:tr w:rsidR="00BA4056" w14:paraId="2AA811B7" w14:textId="77777777" w:rsidTr="00BA40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49D0920" w14:textId="77777777" w:rsidR="00BA4056" w:rsidRDefault="00BA4056">
            <w:pPr>
              <w:rPr>
                <w:rFonts w:ascii="Cambria" w:hAnsi="Cambria" w:cs="Calibri"/>
                <w:b w:val="0"/>
              </w:rPr>
            </w:pPr>
            <w:r>
              <w:rPr>
                <w:rFonts w:ascii="Cambria" w:hAnsi="Cambria" w:cs="Calibri"/>
                <w:b w:val="0"/>
              </w:rPr>
              <w:t>Travel</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773FFD2"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cstheme="minorHAnsi"/>
              </w:rPr>
              <w:t>202,520.8</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829E40C"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cstheme="minorHAnsi"/>
              </w:rPr>
              <w:t>231,840.1</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A1E6225"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rPr>
              <w:t>434,360.9</w:t>
            </w:r>
          </w:p>
        </w:tc>
      </w:tr>
      <w:tr w:rsidR="00BA4056" w14:paraId="179075A6" w14:textId="77777777" w:rsidTr="00BA4056">
        <w:trPr>
          <w:trHeight w:val="30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0CBC5F04" w14:textId="77777777" w:rsidR="00BA4056" w:rsidRDefault="00BA4056">
            <w:pPr>
              <w:rPr>
                <w:rFonts w:ascii="Cambria" w:hAnsi="Cambria" w:cs="Calibri"/>
                <w:b w:val="0"/>
                <w:color w:val="000000"/>
              </w:rPr>
            </w:pPr>
            <w:r>
              <w:rPr>
                <w:rFonts w:ascii="Cambria" w:eastAsia="Times New Roman" w:hAnsi="Cambria" w:cs="Calibri"/>
                <w:b w:val="0"/>
                <w:bCs w:val="0"/>
                <w:color w:val="000000"/>
                <w:lang w:eastAsia="es-CO"/>
              </w:rPr>
              <w:t>Publications and Documents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195E582" w14:textId="77777777" w:rsidR="00BA4056" w:rsidRDefault="00BA405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cstheme="minorHAnsi"/>
              </w:rPr>
              <w:t>24,106.0</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E9289E3" w14:textId="77777777" w:rsidR="00BA4056" w:rsidRDefault="00BA405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cstheme="minorHAnsi"/>
              </w:rPr>
              <w:t>8,899.8</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6C0A541" w14:textId="09C5DBC7" w:rsidR="00BA4056" w:rsidRDefault="00F43505">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rPr>
              <w:t>33,005.8</w:t>
            </w:r>
          </w:p>
        </w:tc>
      </w:tr>
      <w:tr w:rsidR="00BA4056" w14:paraId="08F6BEC1" w14:textId="77777777" w:rsidTr="00BA40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BFE1C47" w14:textId="77777777" w:rsidR="00BA4056" w:rsidRDefault="00BA4056">
            <w:pPr>
              <w:rPr>
                <w:rFonts w:ascii="Cambria" w:hAnsi="Cambria" w:cs="Calibri"/>
                <w:b w:val="0"/>
                <w:color w:val="000000"/>
              </w:rPr>
            </w:pPr>
            <w:r>
              <w:rPr>
                <w:rFonts w:ascii="Cambria" w:eastAsia="Times New Roman" w:hAnsi="Cambria" w:cs="Calibri"/>
                <w:b w:val="0"/>
                <w:bCs w:val="0"/>
                <w:color w:val="000000"/>
                <w:lang w:eastAsia="es-CO"/>
              </w:rPr>
              <w:t>Equipment and supplies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E8F8164"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cstheme="minorHAnsi"/>
              </w:rPr>
              <w:t>198,362.6</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263E2F8"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cstheme="minorHAnsi"/>
              </w:rPr>
              <w:t>44,802.0</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D0737DC"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rPr>
              <w:t>243,164.6</w:t>
            </w:r>
          </w:p>
        </w:tc>
      </w:tr>
      <w:tr w:rsidR="00BA4056" w14:paraId="119AADD0" w14:textId="77777777" w:rsidTr="00BA4056">
        <w:trPr>
          <w:trHeight w:val="30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D009EB1" w14:textId="77777777" w:rsidR="00BA4056" w:rsidRDefault="00BA4056">
            <w:pPr>
              <w:rPr>
                <w:rFonts w:ascii="Cambria" w:hAnsi="Cambria" w:cs="Calibri"/>
                <w:b w:val="0"/>
                <w:color w:val="000000"/>
              </w:rPr>
            </w:pPr>
            <w:r>
              <w:rPr>
                <w:rFonts w:ascii="Cambria" w:eastAsia="Times New Roman" w:hAnsi="Cambria" w:cs="Calibri"/>
                <w:b w:val="0"/>
                <w:bCs w:val="0"/>
                <w:color w:val="000000"/>
                <w:lang w:eastAsia="es-CO"/>
              </w:rPr>
              <w:t>Building and maintenance</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BD4EF6E" w14:textId="77777777" w:rsidR="00BA4056" w:rsidRDefault="00BA405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cstheme="minorHAnsi"/>
              </w:rPr>
              <w:t>25,258.5</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2F1FDA4" w14:textId="77777777" w:rsidR="00BA4056" w:rsidRDefault="00BA405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cstheme="minorHAnsi"/>
              </w:rPr>
              <w:t>18,040.2</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89C5CA3" w14:textId="77777777" w:rsidR="00BA4056" w:rsidRDefault="00BA405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rPr>
              <w:t>43,298.7</w:t>
            </w:r>
          </w:p>
        </w:tc>
      </w:tr>
      <w:tr w:rsidR="00BA4056" w14:paraId="28E61F68" w14:textId="77777777" w:rsidTr="00BA40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760ABACF" w14:textId="77777777" w:rsidR="00BA4056" w:rsidRDefault="00BA4056">
            <w:pPr>
              <w:rPr>
                <w:rFonts w:ascii="Cambria" w:hAnsi="Cambria" w:cs="Calibri"/>
                <w:b w:val="0"/>
              </w:rPr>
            </w:pPr>
            <w:r>
              <w:rPr>
                <w:rFonts w:ascii="Cambria" w:eastAsia="Times New Roman" w:hAnsi="Cambria" w:cs="Calibri"/>
                <w:b w:val="0"/>
                <w:bCs w:val="0"/>
                <w:lang w:eastAsia="es-CO"/>
              </w:rPr>
              <w:t>Other expenses</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4AD8486"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cstheme="minorHAnsi"/>
              </w:rPr>
              <w:t>86,626.6</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5FC1BCC1"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cstheme="minorHAnsi"/>
              </w:rPr>
              <w:t>89,073.4</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6731B2C"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ascii="Cambria" w:hAnsi="Cambria" w:cs="Calibri"/>
              </w:rPr>
            </w:pPr>
            <w:r>
              <w:rPr>
                <w:rFonts w:ascii="Cambria" w:hAnsi="Cambria"/>
              </w:rPr>
              <w:t>175,700.0</w:t>
            </w:r>
          </w:p>
        </w:tc>
      </w:tr>
      <w:tr w:rsidR="00BA4056" w14:paraId="52625C12" w14:textId="77777777" w:rsidTr="00BA4056">
        <w:trPr>
          <w:trHeight w:val="33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F4FAA01" w14:textId="77777777" w:rsidR="00BA4056" w:rsidRDefault="00BA4056">
            <w:pPr>
              <w:rPr>
                <w:rFonts w:ascii="Cambria" w:hAnsi="Cambria" w:cs="Calibri"/>
                <w:b w:val="0"/>
                <w:color w:val="000000"/>
              </w:rPr>
            </w:pPr>
            <w:r>
              <w:rPr>
                <w:rFonts w:ascii="Cambria" w:eastAsia="Times New Roman" w:hAnsi="Cambria" w:cs="Calibri"/>
                <w:b w:val="0"/>
                <w:bCs w:val="0"/>
                <w:color w:val="000000"/>
                <w:lang w:eastAsia="es-CO"/>
              </w:rPr>
              <w:t>Indirect cost recovery (ICR)</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E39BE4E" w14:textId="77777777" w:rsidR="00BA4056" w:rsidRDefault="00BA405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cstheme="minorHAnsi"/>
              </w:rPr>
              <w:t>-</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8469D4A" w14:textId="77777777" w:rsidR="00BA4056" w:rsidRDefault="00BA405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cstheme="minorHAnsi"/>
              </w:rPr>
              <w:t>1,088,931.2</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680CE963" w14:textId="77777777" w:rsidR="00BA4056" w:rsidRDefault="00BA4056">
            <w:pPr>
              <w:jc w:val="center"/>
              <w:cnfStyle w:val="000000000000" w:firstRow="0" w:lastRow="0" w:firstColumn="0" w:lastColumn="0" w:oddVBand="0" w:evenVBand="0" w:oddHBand="0" w:evenHBand="0" w:firstRowFirstColumn="0" w:firstRowLastColumn="0" w:lastRowFirstColumn="0" w:lastRowLastColumn="0"/>
              <w:rPr>
                <w:rFonts w:ascii="Cambria" w:hAnsi="Cambria" w:cs="Calibri"/>
              </w:rPr>
            </w:pPr>
            <w:r>
              <w:rPr>
                <w:rFonts w:ascii="Cambria" w:hAnsi="Cambria"/>
              </w:rPr>
              <w:t>1,088,931.2</w:t>
            </w:r>
          </w:p>
        </w:tc>
      </w:tr>
      <w:tr w:rsidR="00BA4056" w14:paraId="396F19A4" w14:textId="77777777" w:rsidTr="00BA40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7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227307F7" w14:textId="77777777" w:rsidR="00BA4056" w:rsidRDefault="00BA4056">
            <w:pPr>
              <w:rPr>
                <w:rFonts w:cs="Calibri"/>
                <w:color w:val="000000"/>
              </w:rPr>
            </w:pPr>
            <w:r>
              <w:rPr>
                <w:rFonts w:cs="Calibri"/>
                <w:bCs w:val="0"/>
                <w:color w:val="000000"/>
              </w:rPr>
              <w:t xml:space="preserve">Total </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32055803"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ascii="Cambria" w:hAnsi="Cambria" w:cstheme="minorHAnsi"/>
                <w:b/>
              </w:rPr>
              <w:t>8,775,200.0</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120E374C" w14:textId="77777777" w:rsidR="00BA4056" w:rsidRDefault="00BA4056">
            <w:pPr>
              <w:jc w:val="cente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ascii="Cambria" w:hAnsi="Cambria" w:cstheme="minorHAnsi"/>
                <w:b/>
              </w:rPr>
              <w:t>7,302,949.9</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14:paraId="466C07AC" w14:textId="73108214" w:rsidR="00BA4056" w:rsidRDefault="00BA4056" w:rsidP="00F43505">
            <w:pPr>
              <w:jc w:val="cente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ascii="Cambria" w:hAnsi="Cambria"/>
                <w:b/>
              </w:rPr>
              <w:t>16,078,1</w:t>
            </w:r>
            <w:r w:rsidR="00F43505">
              <w:rPr>
                <w:rFonts w:ascii="Cambria" w:hAnsi="Cambria"/>
                <w:b/>
              </w:rPr>
              <w:t>50.0</w:t>
            </w:r>
          </w:p>
        </w:tc>
      </w:tr>
    </w:tbl>
    <w:p w14:paraId="5018A7EA" w14:textId="77777777" w:rsidR="00BA4056" w:rsidRDefault="00BA4056" w:rsidP="00BA4056">
      <w:pPr>
        <w:rPr>
          <w:rFonts w:ascii="Cambria" w:hAnsi="Cambria"/>
          <w:b/>
          <w:sz w:val="20"/>
          <w:szCs w:val="20"/>
        </w:rPr>
      </w:pPr>
    </w:p>
    <w:p w14:paraId="2DFE4FB9" w14:textId="16BF9DE2" w:rsidR="00BA4056" w:rsidRPr="00BA4056" w:rsidRDefault="00BA4056" w:rsidP="00061F9E">
      <w:pPr>
        <w:jc w:val="center"/>
        <w:rPr>
          <w:rFonts w:ascii="Cambria" w:eastAsia="Times New Roman" w:hAnsi="Cambria" w:cs="Calibri"/>
          <w:b/>
          <w:sz w:val="20"/>
          <w:szCs w:val="20"/>
        </w:rPr>
      </w:pPr>
      <w:r>
        <w:rPr>
          <w:rFonts w:ascii="Cambria" w:hAnsi="Cambria"/>
          <w:b/>
          <w:sz w:val="20"/>
          <w:szCs w:val="20"/>
        </w:rPr>
        <w:t>Figure 4. Distribution of IACHR Expenses by Object of Expenditure as of December 2020 (preliminary unaudited figure in thousands of US$)</w:t>
      </w:r>
      <w:r>
        <w:rPr>
          <w:rStyle w:val="FootnoteReference"/>
          <w:rFonts w:ascii="Cambria" w:hAnsi="Cambria"/>
          <w:b/>
          <w:sz w:val="20"/>
          <w:szCs w:val="20"/>
          <w:lang w:val="es-ES_tradnl"/>
        </w:rPr>
        <w:footnoteReference w:id="5"/>
      </w:r>
      <w:r>
        <w:rPr>
          <w:rStyle w:val="FootnoteReference"/>
          <w:rFonts w:ascii="Cambria" w:hAnsi="Cambria"/>
          <w:b/>
          <w:sz w:val="20"/>
          <w:szCs w:val="20"/>
          <w:lang w:val="es-ES_tradnl"/>
        </w:rPr>
        <w:footnoteReference w:id="6"/>
      </w:r>
      <w:r>
        <w:rPr>
          <w:rStyle w:val="FootnoteReference"/>
          <w:rFonts w:ascii="Cambria" w:hAnsi="Cambria"/>
          <w:b/>
          <w:sz w:val="20"/>
          <w:szCs w:val="20"/>
          <w:lang w:val="es-ES_tradnl"/>
        </w:rPr>
        <w:footnoteReference w:id="7"/>
      </w:r>
      <w:r>
        <w:rPr>
          <w:rStyle w:val="FootnoteReference"/>
          <w:rFonts w:ascii="Cambria" w:hAnsi="Cambria"/>
          <w:b/>
          <w:sz w:val="20"/>
          <w:szCs w:val="20"/>
          <w:lang w:val="es-ES_tradnl"/>
        </w:rPr>
        <w:footnoteReference w:id="8"/>
      </w:r>
    </w:p>
    <w:p w14:paraId="1045412E" w14:textId="6EF8F380" w:rsidR="00BA4056" w:rsidRDefault="00505DF5" w:rsidP="00BA4056">
      <w:pPr>
        <w:pStyle w:val="Default"/>
        <w:ind w:left="1843" w:hanging="992"/>
        <w:rPr>
          <w:rFonts w:ascii="Cambria" w:hAnsi="Cambria"/>
          <w:b/>
          <w:sz w:val="20"/>
          <w:szCs w:val="20"/>
        </w:rPr>
      </w:pPr>
      <w:r>
        <w:rPr>
          <w:rFonts w:ascii="Cambria" w:hAnsi="Cambria"/>
          <w:noProof/>
          <w:sz w:val="20"/>
          <w:szCs w:val="20"/>
          <w:lang w:val="es-CO" w:eastAsia="es-CO"/>
        </w:rPr>
        <w:drawing>
          <wp:inline distT="0" distB="0" distL="0" distR="0" wp14:anchorId="5FA26B83" wp14:editId="56653C85">
            <wp:extent cx="5212080" cy="415743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4157439"/>
                    </a:xfrm>
                    <a:prstGeom prst="rect">
                      <a:avLst/>
                    </a:prstGeom>
                    <a:noFill/>
                  </pic:spPr>
                </pic:pic>
              </a:graphicData>
            </a:graphic>
          </wp:inline>
        </w:drawing>
      </w:r>
    </w:p>
    <w:p w14:paraId="4BE23FF0" w14:textId="6B1E0C4D" w:rsidR="00BA4056" w:rsidRDefault="00BA4056" w:rsidP="00505DF5">
      <w:pPr>
        <w:pStyle w:val="Default"/>
        <w:ind w:firstLine="851"/>
        <w:rPr>
          <w:rFonts w:ascii="Cambria" w:hAnsi="Cambria"/>
          <w:sz w:val="20"/>
          <w:szCs w:val="20"/>
        </w:rPr>
      </w:pPr>
    </w:p>
    <w:p w14:paraId="41BBC18D" w14:textId="4B182151" w:rsidR="00BA4056" w:rsidRDefault="00BA4056" w:rsidP="00BA4056">
      <w:pPr>
        <w:pStyle w:val="Default"/>
        <w:jc w:val="center"/>
        <w:rPr>
          <w:rFonts w:ascii="Cambria" w:hAnsi="Cambria"/>
          <w:sz w:val="20"/>
          <w:szCs w:val="20"/>
        </w:rPr>
      </w:pPr>
    </w:p>
    <w:p w14:paraId="5AFD1AD5" w14:textId="77777777" w:rsidR="00BA4056" w:rsidRDefault="00BA4056" w:rsidP="00BA4056">
      <w:pPr>
        <w:rPr>
          <w:sz w:val="20"/>
          <w:szCs w:val="20"/>
        </w:rPr>
      </w:pPr>
    </w:p>
    <w:p w14:paraId="3AFB4AB3" w14:textId="77777777" w:rsidR="00BA4056" w:rsidRDefault="00BA4056" w:rsidP="00BA4056">
      <w:pPr>
        <w:rPr>
          <w:sz w:val="20"/>
          <w:szCs w:val="20"/>
        </w:rPr>
      </w:pPr>
      <w:r>
        <w:rPr>
          <w:sz w:val="20"/>
          <w:szCs w:val="20"/>
        </w:rPr>
        <w:br w:type="page"/>
      </w:r>
    </w:p>
    <w:p w14:paraId="556D8F64" w14:textId="77777777" w:rsidR="00BA4056" w:rsidRDefault="00BA4056" w:rsidP="00BA4056">
      <w:pPr>
        <w:pStyle w:val="Heading1"/>
        <w:rPr>
          <w:rFonts w:eastAsiaTheme="minorHAnsi"/>
        </w:rPr>
      </w:pPr>
      <w:r>
        <w:rPr>
          <w:rFonts w:eastAsiaTheme="minorHAnsi"/>
        </w:rPr>
        <w:lastRenderedPageBreak/>
        <w:t>Planning, Resource Mobilization, and Project Administration</w:t>
      </w:r>
    </w:p>
    <w:p w14:paraId="6722CB6A" w14:textId="77777777" w:rsidR="00BA4056" w:rsidRDefault="00BA4056" w:rsidP="00BA4056">
      <w:pPr>
        <w:pStyle w:val="Heading2"/>
      </w:pPr>
      <w:r>
        <w:t xml:space="preserve">Financial Planning of the IACHR </w:t>
      </w:r>
    </w:p>
    <w:p w14:paraId="3CE2846A" w14:textId="77777777" w:rsidR="00BA4056" w:rsidRDefault="00BA4056" w:rsidP="00BA4056">
      <w:pPr>
        <w:pStyle w:val="paragraphs"/>
        <w:ind w:left="0" w:firstLine="720"/>
        <w:rPr>
          <w:lang w:val="en-US"/>
        </w:rPr>
      </w:pPr>
      <w:r>
        <w:rPr>
          <w:lang w:val="en-US"/>
        </w:rPr>
        <w:t xml:space="preserve">The Executive Secretariat moved forward with annual financial planning for 2021 based on funding sources from the Regular Fund (total of $10 million) and specific funds (estimated at $6.3 million), for a total of $16.3 million. For this purpose, the execution status of ongoing projects, the projected potential income based on multi-year projects, and ongoing negotiations were reviewed. </w:t>
      </w:r>
    </w:p>
    <w:p w14:paraId="58FEA75B" w14:textId="77777777" w:rsidR="00BA4056" w:rsidRDefault="00BA4056" w:rsidP="00BA4056">
      <w:pPr>
        <w:pStyle w:val="Heading2"/>
      </w:pPr>
      <w:r>
        <w:t>Projects Implemented in 2020</w:t>
      </w:r>
    </w:p>
    <w:p w14:paraId="3C672786" w14:textId="77777777" w:rsidR="00BA4056" w:rsidRDefault="00BA4056" w:rsidP="00BA4056">
      <w:pPr>
        <w:pStyle w:val="paragraphs"/>
        <w:ind w:left="0" w:firstLine="720"/>
        <w:rPr>
          <w:lang w:val="en-US"/>
        </w:rPr>
      </w:pPr>
      <w:r>
        <w:rPr>
          <w:lang w:val="en-US"/>
        </w:rPr>
        <w:t>In 2020, the IACHR Executive Secretariat drafted and submitted 34 mid-term or final narrative reports for 21 projects. A list of completed and ongoing projects in 2020 and their respective donors appears below:</w:t>
      </w:r>
    </w:p>
    <w:tbl>
      <w:tblPr>
        <w:tblW w:w="947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468"/>
        <w:gridCol w:w="4387"/>
        <w:gridCol w:w="1505"/>
        <w:gridCol w:w="1464"/>
        <w:gridCol w:w="1655"/>
      </w:tblGrid>
      <w:tr w:rsidR="00BA4056" w14:paraId="7D670CEE" w14:textId="77777777" w:rsidTr="00BA4056">
        <w:trPr>
          <w:trHeight w:val="710"/>
          <w:jc w:val="center"/>
        </w:trPr>
        <w:tc>
          <w:tcPr>
            <w:tcW w:w="468" w:type="dxa"/>
            <w:tcBorders>
              <w:top w:val="single" w:sz="4" w:space="0" w:color="FFFFFF"/>
              <w:left w:val="single" w:sz="4" w:space="0" w:color="FFFFFF"/>
              <w:bottom w:val="single" w:sz="4" w:space="0" w:color="FFFFFF"/>
              <w:right w:val="nil"/>
            </w:tcBorders>
            <w:shd w:val="clear" w:color="auto" w:fill="5B9BD5"/>
            <w:vAlign w:val="center"/>
            <w:hideMark/>
          </w:tcPr>
          <w:p w14:paraId="5C6414DF" w14:textId="77777777" w:rsidR="00BA4056" w:rsidRDefault="00BA4056">
            <w:pPr>
              <w:jc w:val="center"/>
              <w:rPr>
                <w:rFonts w:ascii="Cambria" w:eastAsia="Times New Roman" w:hAnsi="Cambria" w:cs="Arial"/>
                <w:b/>
                <w:bCs/>
                <w:color w:val="FFFFFF"/>
                <w:sz w:val="20"/>
                <w:szCs w:val="20"/>
              </w:rPr>
            </w:pPr>
            <w:r>
              <w:rPr>
                <w:rFonts w:ascii="Cambria" w:eastAsia="Times New Roman" w:hAnsi="Cambria" w:cs="Arial"/>
                <w:b/>
                <w:bCs/>
                <w:color w:val="FFFFFF"/>
                <w:sz w:val="20"/>
                <w:szCs w:val="20"/>
              </w:rPr>
              <w:t>Nº</w:t>
            </w:r>
          </w:p>
        </w:tc>
        <w:tc>
          <w:tcPr>
            <w:tcW w:w="4387" w:type="dxa"/>
            <w:tcBorders>
              <w:top w:val="single" w:sz="4" w:space="0" w:color="FFFFFF"/>
              <w:left w:val="nil"/>
              <w:bottom w:val="single" w:sz="4" w:space="0" w:color="FFFFFF"/>
              <w:right w:val="nil"/>
            </w:tcBorders>
            <w:shd w:val="clear" w:color="auto" w:fill="5B9BD5"/>
            <w:vAlign w:val="center"/>
            <w:hideMark/>
          </w:tcPr>
          <w:p w14:paraId="06819D03" w14:textId="77777777" w:rsidR="00BA4056" w:rsidRDefault="00BA4056">
            <w:pPr>
              <w:jc w:val="center"/>
              <w:rPr>
                <w:rFonts w:ascii="Cambria" w:eastAsia="Times New Roman" w:hAnsi="Cambria" w:cs="Arial"/>
                <w:b/>
                <w:bCs/>
                <w:color w:val="FFFFFF"/>
                <w:sz w:val="20"/>
                <w:szCs w:val="20"/>
              </w:rPr>
            </w:pPr>
            <w:r>
              <w:rPr>
                <w:rFonts w:ascii="Cambria" w:eastAsia="Times New Roman" w:hAnsi="Cambria" w:cs="Arial"/>
                <w:b/>
                <w:bCs/>
                <w:color w:val="FFFFFF"/>
                <w:sz w:val="20"/>
                <w:szCs w:val="20"/>
              </w:rPr>
              <w:t>PROJECT</w:t>
            </w:r>
          </w:p>
        </w:tc>
        <w:tc>
          <w:tcPr>
            <w:tcW w:w="1505" w:type="dxa"/>
            <w:tcBorders>
              <w:top w:val="single" w:sz="4" w:space="0" w:color="FFFFFF"/>
              <w:left w:val="nil"/>
              <w:bottom w:val="single" w:sz="4" w:space="0" w:color="FFFFFF"/>
              <w:right w:val="nil"/>
            </w:tcBorders>
            <w:shd w:val="clear" w:color="auto" w:fill="5B9BD5"/>
            <w:vAlign w:val="center"/>
            <w:hideMark/>
          </w:tcPr>
          <w:p w14:paraId="35712214" w14:textId="77777777" w:rsidR="00BA4056" w:rsidRDefault="00BA4056">
            <w:pPr>
              <w:jc w:val="center"/>
              <w:rPr>
                <w:rFonts w:ascii="Cambria" w:eastAsia="Times New Roman" w:hAnsi="Cambria" w:cs="Arial"/>
                <w:b/>
                <w:bCs/>
                <w:color w:val="FFFFFF"/>
                <w:sz w:val="20"/>
                <w:szCs w:val="20"/>
              </w:rPr>
            </w:pPr>
            <w:r>
              <w:rPr>
                <w:rFonts w:ascii="Cambria" w:eastAsia="Times New Roman" w:hAnsi="Cambria" w:cs="Arial"/>
                <w:b/>
                <w:bCs/>
                <w:color w:val="FFFFFF"/>
                <w:sz w:val="20"/>
                <w:szCs w:val="20"/>
              </w:rPr>
              <w:t>TOTAL PROJECT AMOUNT</w:t>
            </w:r>
          </w:p>
        </w:tc>
        <w:tc>
          <w:tcPr>
            <w:tcW w:w="1464" w:type="dxa"/>
            <w:tcBorders>
              <w:top w:val="single" w:sz="4" w:space="0" w:color="FFFFFF"/>
              <w:left w:val="nil"/>
              <w:bottom w:val="single" w:sz="4" w:space="0" w:color="FFFFFF"/>
              <w:right w:val="nil"/>
            </w:tcBorders>
            <w:shd w:val="clear" w:color="auto" w:fill="5B9BD5"/>
            <w:vAlign w:val="center"/>
            <w:hideMark/>
          </w:tcPr>
          <w:p w14:paraId="503536A0" w14:textId="77777777" w:rsidR="00BA4056" w:rsidRDefault="00BA4056">
            <w:pPr>
              <w:jc w:val="center"/>
              <w:rPr>
                <w:rFonts w:ascii="Cambria" w:eastAsia="Times New Roman" w:hAnsi="Cambria" w:cs="Arial"/>
                <w:b/>
                <w:bCs/>
                <w:color w:val="FFFFFF"/>
                <w:sz w:val="20"/>
                <w:szCs w:val="20"/>
              </w:rPr>
            </w:pPr>
            <w:r>
              <w:rPr>
                <w:rFonts w:ascii="Cambria" w:eastAsia="Times New Roman" w:hAnsi="Cambria" w:cs="Arial"/>
                <w:b/>
                <w:bCs/>
                <w:color w:val="FFFFFF"/>
                <w:sz w:val="20"/>
                <w:szCs w:val="20"/>
              </w:rPr>
              <w:t>DONOR</w:t>
            </w:r>
          </w:p>
        </w:tc>
        <w:tc>
          <w:tcPr>
            <w:tcW w:w="1655" w:type="dxa"/>
            <w:tcBorders>
              <w:top w:val="single" w:sz="4" w:space="0" w:color="FFFFFF"/>
              <w:left w:val="nil"/>
              <w:bottom w:val="single" w:sz="4" w:space="0" w:color="FFFFFF"/>
              <w:right w:val="single" w:sz="4" w:space="0" w:color="FFFFFF"/>
            </w:tcBorders>
            <w:shd w:val="clear" w:color="auto" w:fill="5B9BD5"/>
            <w:vAlign w:val="center"/>
            <w:hideMark/>
          </w:tcPr>
          <w:p w14:paraId="247D7E67" w14:textId="77777777" w:rsidR="00BA4056" w:rsidRDefault="00BA4056">
            <w:pPr>
              <w:jc w:val="center"/>
              <w:rPr>
                <w:rFonts w:ascii="Cambria" w:eastAsia="Times New Roman" w:hAnsi="Cambria" w:cs="Arial"/>
                <w:b/>
                <w:bCs/>
                <w:color w:val="FFFFFF"/>
                <w:sz w:val="20"/>
                <w:szCs w:val="20"/>
              </w:rPr>
            </w:pPr>
            <w:r>
              <w:rPr>
                <w:rFonts w:ascii="Cambria" w:eastAsia="Times New Roman" w:hAnsi="Cambria" w:cs="Arial"/>
                <w:b/>
                <w:bCs/>
                <w:color w:val="FFFFFF"/>
                <w:sz w:val="20"/>
                <w:szCs w:val="20"/>
              </w:rPr>
              <w:t>REPORTS SUBMITTED</w:t>
            </w:r>
          </w:p>
        </w:tc>
      </w:tr>
      <w:tr w:rsidR="00BA4056" w14:paraId="4EFD0879" w14:textId="77777777" w:rsidTr="00BA4056">
        <w:trPr>
          <w:trHeight w:val="540"/>
          <w:jc w:val="center"/>
        </w:trPr>
        <w:tc>
          <w:tcPr>
            <w:tcW w:w="468" w:type="dxa"/>
            <w:tcBorders>
              <w:top w:val="single" w:sz="4" w:space="0" w:color="FFFFFF"/>
              <w:left w:val="single" w:sz="4" w:space="0" w:color="FFFFFF"/>
              <w:bottom w:val="single" w:sz="4" w:space="0" w:color="FFFFFF"/>
              <w:right w:val="single" w:sz="4" w:space="0" w:color="FFFFFF"/>
            </w:tcBorders>
            <w:shd w:val="clear" w:color="auto" w:fill="BDD6EE"/>
            <w:vAlign w:val="center"/>
          </w:tcPr>
          <w:p w14:paraId="75680CA8" w14:textId="77777777" w:rsidR="00BA4056" w:rsidRDefault="00BA4056" w:rsidP="00451F13">
            <w:pPr>
              <w:numPr>
                <w:ilvl w:val="0"/>
                <w:numId w:val="4"/>
              </w:numPr>
              <w:spacing w:after="200" w:line="276" w:lineRule="auto"/>
              <w:ind w:left="360" w:right="-388"/>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33BA6F29" w14:textId="77777777" w:rsidR="00BA4056" w:rsidRDefault="00BA4056">
            <w:pPr>
              <w:rPr>
                <w:rFonts w:ascii="Cambria" w:eastAsia="Times New Roman" w:hAnsi="Cambria" w:cs="Arial"/>
                <w:sz w:val="20"/>
                <w:szCs w:val="20"/>
              </w:rPr>
            </w:pPr>
            <w:r>
              <w:rPr>
                <w:rFonts w:ascii="Cambria" w:eastAsia="Times New Roman" w:hAnsi="Cambria" w:cs="Arial"/>
                <w:sz w:val="20"/>
                <w:szCs w:val="20"/>
              </w:rPr>
              <w:t>“Fellowship on international protection and internal displacement and support for institutional capacity-building 2019”</w:t>
            </w:r>
          </w:p>
        </w:tc>
        <w:tc>
          <w:tcPr>
            <w:tcW w:w="150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1247418D" w14:textId="77777777" w:rsidR="00BA4056" w:rsidRDefault="00BA4056">
            <w:pPr>
              <w:tabs>
                <w:tab w:val="center" w:pos="948"/>
                <w:tab w:val="right" w:pos="1896"/>
              </w:tabs>
              <w:jc w:val="center"/>
              <w:rPr>
                <w:rFonts w:ascii="Cambria" w:eastAsia="Times New Roman" w:hAnsi="Cambria" w:cs="Arial"/>
                <w:sz w:val="20"/>
                <w:szCs w:val="20"/>
              </w:rPr>
            </w:pPr>
            <w:r>
              <w:rPr>
                <w:rFonts w:ascii="Cambria" w:hAnsi="Cambria" w:cs="Arial"/>
                <w:sz w:val="20"/>
                <w:szCs w:val="20"/>
              </w:rPr>
              <w:t>US$141,650</w:t>
            </w:r>
          </w:p>
        </w:tc>
        <w:tc>
          <w:tcPr>
            <w:tcW w:w="146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52AA86E7"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t>UNHCR</w:t>
            </w:r>
          </w:p>
        </w:tc>
        <w:tc>
          <w:tcPr>
            <w:tcW w:w="165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73062D19"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 xml:space="preserve">Final Report </w:t>
            </w:r>
          </w:p>
        </w:tc>
      </w:tr>
      <w:tr w:rsidR="00BA4056" w14:paraId="5E1856C9" w14:textId="77777777" w:rsidTr="00BA4056">
        <w:trPr>
          <w:trHeight w:val="540"/>
          <w:jc w:val="center"/>
        </w:trPr>
        <w:tc>
          <w:tcPr>
            <w:tcW w:w="468"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5C3AF57A"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5CE83C42" w14:textId="77777777" w:rsidR="00BA4056" w:rsidRDefault="00BA4056">
            <w:pPr>
              <w:rPr>
                <w:rFonts w:ascii="Cambria" w:eastAsia="Times New Roman" w:hAnsi="Cambria" w:cs="Arial"/>
                <w:sz w:val="20"/>
                <w:szCs w:val="20"/>
              </w:rPr>
            </w:pPr>
            <w:r>
              <w:rPr>
                <w:rFonts w:ascii="Cambria" w:eastAsia="Times New Roman" w:hAnsi="Cambria" w:cs="Arial"/>
                <w:sz w:val="20"/>
                <w:szCs w:val="20"/>
              </w:rPr>
              <w:t>“Strengthening the international protection of asylum seekers, refugees, stateless persons, internally displaced persons, as well as other persons and groups in situations of human mobility in countries of origin, transit, destination, and return in the Americas. UNHCR 2020”</w:t>
            </w:r>
          </w:p>
        </w:tc>
        <w:tc>
          <w:tcPr>
            <w:tcW w:w="150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545CA23E" w14:textId="77777777" w:rsidR="00BA4056" w:rsidRDefault="00BA4056">
            <w:pPr>
              <w:tabs>
                <w:tab w:val="center" w:pos="948"/>
                <w:tab w:val="right" w:pos="1896"/>
              </w:tabs>
              <w:jc w:val="center"/>
              <w:rPr>
                <w:rFonts w:ascii="Cambria" w:eastAsia="Times New Roman" w:hAnsi="Cambria" w:cs="Arial"/>
                <w:sz w:val="20"/>
                <w:szCs w:val="20"/>
              </w:rPr>
            </w:pPr>
            <w:r>
              <w:rPr>
                <w:rFonts w:ascii="Cambria" w:eastAsia="Times New Roman" w:hAnsi="Cambria" w:cs="Arial"/>
                <w:sz w:val="20"/>
                <w:szCs w:val="20"/>
              </w:rPr>
              <w:t>US$80,000</w:t>
            </w:r>
          </w:p>
        </w:tc>
        <w:tc>
          <w:tcPr>
            <w:tcW w:w="146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00C8FE71"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t>UNHCR</w:t>
            </w:r>
          </w:p>
        </w:tc>
        <w:tc>
          <w:tcPr>
            <w:tcW w:w="165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39D5E754"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Mid-term Report</w:t>
            </w:r>
          </w:p>
        </w:tc>
      </w:tr>
      <w:tr w:rsidR="00BA4056" w14:paraId="11E11766" w14:textId="77777777" w:rsidTr="00BA4056">
        <w:trPr>
          <w:trHeight w:val="525"/>
          <w:jc w:val="center"/>
        </w:trPr>
        <w:tc>
          <w:tcPr>
            <w:tcW w:w="468" w:type="dxa"/>
            <w:tcBorders>
              <w:top w:val="single" w:sz="4" w:space="0" w:color="FFFFFF"/>
              <w:left w:val="single" w:sz="4" w:space="0" w:color="FFFFFF"/>
              <w:bottom w:val="single" w:sz="4" w:space="0" w:color="FFFFFF"/>
              <w:right w:val="single" w:sz="4" w:space="0" w:color="FFFFFF"/>
            </w:tcBorders>
            <w:shd w:val="clear" w:color="auto" w:fill="BDD6EE"/>
            <w:vAlign w:val="center"/>
          </w:tcPr>
          <w:p w14:paraId="66C63715" w14:textId="77777777" w:rsidR="00BA4056" w:rsidRDefault="00BA4056" w:rsidP="00451F13">
            <w:pPr>
              <w:numPr>
                <w:ilvl w:val="0"/>
                <w:numId w:val="4"/>
              </w:numPr>
              <w:spacing w:after="200" w:line="276" w:lineRule="auto"/>
              <w:ind w:left="360"/>
              <w:jc w:val="center"/>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5D3C0734" w14:textId="77777777" w:rsidR="00BA4056" w:rsidRDefault="00BA4056">
            <w:pPr>
              <w:rPr>
                <w:rFonts w:ascii="Cambria" w:eastAsia="Times New Roman" w:hAnsi="Cambria" w:cs="Arial"/>
                <w:sz w:val="20"/>
                <w:szCs w:val="20"/>
              </w:rPr>
            </w:pPr>
            <w:r>
              <w:rPr>
                <w:rFonts w:ascii="Cambria" w:hAnsi="Cambria" w:cs="Arial"/>
                <w:sz w:val="20"/>
                <w:szCs w:val="20"/>
              </w:rPr>
              <w:t>Protection and promotion of the Rights of Lesbian, Gay, Bisexual, Trans, and Intersex Persons</w:t>
            </w:r>
          </w:p>
        </w:tc>
        <w:tc>
          <w:tcPr>
            <w:tcW w:w="150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62ED4947" w14:textId="77777777" w:rsidR="00BA4056" w:rsidRDefault="00BA4056">
            <w:pPr>
              <w:jc w:val="center"/>
              <w:rPr>
                <w:rFonts w:ascii="Cambria" w:eastAsia="Times New Roman" w:hAnsi="Cambria" w:cs="Arial"/>
                <w:sz w:val="20"/>
                <w:szCs w:val="20"/>
              </w:rPr>
            </w:pPr>
            <w:r>
              <w:rPr>
                <w:rFonts w:ascii="Cambria" w:hAnsi="Cambria" w:cs="Arial"/>
                <w:sz w:val="20"/>
                <w:szCs w:val="20"/>
              </w:rPr>
              <w:t>US$100,000</w:t>
            </w:r>
          </w:p>
        </w:tc>
        <w:tc>
          <w:tcPr>
            <w:tcW w:w="146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44211E81"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t>ARCUS</w:t>
            </w:r>
          </w:p>
        </w:tc>
        <w:tc>
          <w:tcPr>
            <w:tcW w:w="165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459C226A"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 xml:space="preserve">Final Report </w:t>
            </w:r>
          </w:p>
        </w:tc>
      </w:tr>
      <w:tr w:rsidR="00BA4056" w14:paraId="3D0D6F6D" w14:textId="77777777" w:rsidTr="00BA4056">
        <w:trPr>
          <w:trHeight w:val="780"/>
          <w:jc w:val="center"/>
        </w:trPr>
        <w:tc>
          <w:tcPr>
            <w:tcW w:w="468"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034B6433"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7E4F9838" w14:textId="77777777" w:rsidR="00BA4056" w:rsidRDefault="00BA4056">
            <w:pPr>
              <w:rPr>
                <w:rFonts w:ascii="Cambria" w:eastAsia="Times New Roman" w:hAnsi="Cambria" w:cs="Arial"/>
                <w:sz w:val="20"/>
                <w:szCs w:val="20"/>
              </w:rPr>
            </w:pPr>
            <w:r>
              <w:rPr>
                <w:rFonts w:ascii="Cambria" w:eastAsia="Times New Roman" w:hAnsi="Cambria" w:cs="Arial"/>
                <w:sz w:val="20"/>
                <w:szCs w:val="20"/>
              </w:rPr>
              <w:t>“Promoting compliance with recommendations and decisions on the rights of women and girls by the IACHR in the member states of Latin America and the Caribbean”</w:t>
            </w:r>
          </w:p>
        </w:tc>
        <w:tc>
          <w:tcPr>
            <w:tcW w:w="150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4E8F962E" w14:textId="77777777" w:rsidR="00BA4056" w:rsidRDefault="00BA4056">
            <w:pPr>
              <w:jc w:val="center"/>
              <w:rPr>
                <w:rFonts w:ascii="Cambria" w:eastAsia="Times New Roman" w:hAnsi="Cambria" w:cs="Arial"/>
                <w:sz w:val="20"/>
                <w:szCs w:val="20"/>
              </w:rPr>
            </w:pPr>
            <w:r>
              <w:rPr>
                <w:rFonts w:ascii="Cambria" w:eastAsia="Times New Roman" w:hAnsi="Cambria" w:cs="Arial"/>
                <w:sz w:val="20"/>
                <w:szCs w:val="20"/>
              </w:rPr>
              <w:t>Can$2,988,609</w:t>
            </w:r>
          </w:p>
        </w:tc>
        <w:tc>
          <w:tcPr>
            <w:tcW w:w="146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75813A99"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t>Canada</w:t>
            </w:r>
          </w:p>
        </w:tc>
        <w:tc>
          <w:tcPr>
            <w:tcW w:w="165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79B20241"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 xml:space="preserve">Annual Report and Semiannual Report </w:t>
            </w:r>
          </w:p>
        </w:tc>
      </w:tr>
      <w:tr w:rsidR="00BA4056" w14:paraId="3CAB2727" w14:textId="77777777" w:rsidTr="00BA4056">
        <w:trPr>
          <w:trHeight w:val="270"/>
          <w:jc w:val="center"/>
        </w:trPr>
        <w:tc>
          <w:tcPr>
            <w:tcW w:w="468" w:type="dxa"/>
            <w:tcBorders>
              <w:top w:val="single" w:sz="4" w:space="0" w:color="FFFFFF"/>
              <w:left w:val="single" w:sz="4" w:space="0" w:color="FFFFFF"/>
              <w:bottom w:val="single" w:sz="4" w:space="0" w:color="FFFFFF"/>
              <w:right w:val="single" w:sz="4" w:space="0" w:color="FFFFFF"/>
            </w:tcBorders>
            <w:shd w:val="clear" w:color="auto" w:fill="BDD6EE"/>
            <w:vAlign w:val="center"/>
          </w:tcPr>
          <w:p w14:paraId="47786D28"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72007916" w14:textId="77777777" w:rsidR="00BA4056" w:rsidRDefault="00BA4056">
            <w:pPr>
              <w:rPr>
                <w:rFonts w:ascii="Cambria" w:hAnsi="Cambria" w:cs="Arial"/>
                <w:sz w:val="20"/>
                <w:szCs w:val="20"/>
              </w:rPr>
            </w:pPr>
            <w:r>
              <w:rPr>
                <w:rFonts w:ascii="Cambria" w:hAnsi="Cambria" w:cs="Arial"/>
                <w:sz w:val="20"/>
                <w:szCs w:val="20"/>
              </w:rPr>
              <w:t xml:space="preserve">Access to international justice through individual petitions submitted to the IACHR by alleged victims of human rights violations in the hemisphere </w:t>
            </w:r>
          </w:p>
        </w:tc>
        <w:tc>
          <w:tcPr>
            <w:tcW w:w="150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17322DDE" w14:textId="77777777" w:rsidR="00BA4056" w:rsidRDefault="00BA4056">
            <w:pPr>
              <w:jc w:val="center"/>
              <w:rPr>
                <w:rFonts w:ascii="Cambria" w:hAnsi="Cambria" w:cs="Arial"/>
                <w:sz w:val="20"/>
                <w:szCs w:val="20"/>
              </w:rPr>
            </w:pPr>
            <w:r>
              <w:rPr>
                <w:rFonts w:ascii="Cambria" w:hAnsi="Cambria" w:cs="Arial"/>
                <w:sz w:val="20"/>
                <w:szCs w:val="20"/>
              </w:rPr>
              <w:t>€1,000,000</w:t>
            </w:r>
          </w:p>
        </w:tc>
        <w:tc>
          <w:tcPr>
            <w:tcW w:w="146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7B164E46"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t>European Commission</w:t>
            </w:r>
          </w:p>
        </w:tc>
        <w:tc>
          <w:tcPr>
            <w:tcW w:w="165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21C5CF37" w14:textId="77777777" w:rsidR="00BA4056" w:rsidRDefault="00BA4056">
            <w:pPr>
              <w:jc w:val="right"/>
              <w:rPr>
                <w:rFonts w:ascii="Cambria" w:eastAsia="Times New Roman" w:hAnsi="Cambria" w:cs="Calibri Light"/>
                <w:sz w:val="20"/>
                <w:szCs w:val="20"/>
              </w:rPr>
            </w:pPr>
            <w:r>
              <w:rPr>
                <w:rFonts w:ascii="Cambria" w:eastAsia="Times New Roman" w:hAnsi="Cambria" w:cs="Calibri Light"/>
                <w:sz w:val="20"/>
                <w:szCs w:val="20"/>
              </w:rPr>
              <w:t>Annual Report</w:t>
            </w:r>
          </w:p>
        </w:tc>
      </w:tr>
      <w:tr w:rsidR="00BA4056" w14:paraId="21DCAD3C" w14:textId="77777777" w:rsidTr="00BA4056">
        <w:trPr>
          <w:trHeight w:val="358"/>
          <w:jc w:val="center"/>
        </w:trPr>
        <w:tc>
          <w:tcPr>
            <w:tcW w:w="468"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0D09E986"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505071CD" w14:textId="77777777" w:rsidR="00BA4056" w:rsidRDefault="00BA4056">
            <w:pPr>
              <w:tabs>
                <w:tab w:val="left" w:pos="1634"/>
              </w:tabs>
              <w:jc w:val="both"/>
              <w:rPr>
                <w:rFonts w:ascii="Cambria" w:eastAsia="Times New Roman" w:hAnsi="Cambria" w:cs="Arial"/>
                <w:sz w:val="20"/>
                <w:szCs w:val="20"/>
              </w:rPr>
            </w:pPr>
            <w:r>
              <w:rPr>
                <w:rFonts w:ascii="Cambria" w:eastAsia="Times New Roman" w:hAnsi="Cambria" w:cs="Arial"/>
                <w:sz w:val="20"/>
                <w:szCs w:val="20"/>
              </w:rPr>
              <w:t xml:space="preserve">Protecting and Defending Human Rights in Nicaragua </w:t>
            </w:r>
          </w:p>
        </w:tc>
        <w:tc>
          <w:tcPr>
            <w:tcW w:w="150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392AA130" w14:textId="77777777" w:rsidR="00BA4056" w:rsidRDefault="00BA4056">
            <w:pPr>
              <w:jc w:val="center"/>
              <w:rPr>
                <w:rFonts w:ascii="Cambria" w:eastAsia="Times New Roman" w:hAnsi="Cambria" w:cs="Arial"/>
                <w:sz w:val="20"/>
                <w:szCs w:val="20"/>
              </w:rPr>
            </w:pPr>
            <w:r>
              <w:rPr>
                <w:rFonts w:ascii="Cambria" w:hAnsi="Cambria" w:cs="Arial"/>
                <w:sz w:val="20"/>
                <w:szCs w:val="20"/>
              </w:rPr>
              <w:t>€739,317</w:t>
            </w:r>
          </w:p>
        </w:tc>
        <w:tc>
          <w:tcPr>
            <w:tcW w:w="146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33766E81"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t>European Commission</w:t>
            </w:r>
          </w:p>
        </w:tc>
        <w:tc>
          <w:tcPr>
            <w:tcW w:w="165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617A09F4"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 xml:space="preserve">Interim Report </w:t>
            </w:r>
          </w:p>
        </w:tc>
      </w:tr>
      <w:tr w:rsidR="00BA4056" w14:paraId="4E248D90" w14:textId="77777777" w:rsidTr="00BA4056">
        <w:trPr>
          <w:trHeight w:val="270"/>
          <w:jc w:val="center"/>
        </w:trPr>
        <w:tc>
          <w:tcPr>
            <w:tcW w:w="468" w:type="dxa"/>
            <w:tcBorders>
              <w:top w:val="single" w:sz="4" w:space="0" w:color="FFFFFF"/>
              <w:left w:val="single" w:sz="4" w:space="0" w:color="FFFFFF"/>
              <w:bottom w:val="single" w:sz="4" w:space="0" w:color="FFFFFF"/>
              <w:right w:val="single" w:sz="4" w:space="0" w:color="FFFFFF"/>
            </w:tcBorders>
            <w:shd w:val="clear" w:color="auto" w:fill="BDD6EE"/>
            <w:vAlign w:val="center"/>
          </w:tcPr>
          <w:p w14:paraId="29EE973D"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412CBABA" w14:textId="77777777" w:rsidR="00BA4056" w:rsidRDefault="00BA4056">
            <w:pPr>
              <w:rPr>
                <w:rFonts w:ascii="Cambria" w:hAnsi="Cambria" w:cs="Arial"/>
                <w:sz w:val="20"/>
                <w:szCs w:val="20"/>
              </w:rPr>
            </w:pPr>
            <w:r>
              <w:rPr>
                <w:rFonts w:ascii="Cambria" w:hAnsi="Cambria" w:cs="Arial"/>
                <w:sz w:val="20"/>
                <w:szCs w:val="20"/>
              </w:rPr>
              <w:t>Increasing the effectiveness of the IACHR’s work in 2018-2021.</w:t>
            </w:r>
          </w:p>
        </w:tc>
        <w:tc>
          <w:tcPr>
            <w:tcW w:w="150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6C045AEB" w14:textId="77777777" w:rsidR="00BA4056" w:rsidRDefault="00BA4056">
            <w:pPr>
              <w:jc w:val="center"/>
              <w:rPr>
                <w:rFonts w:ascii="Cambria" w:eastAsia="Times New Roman" w:hAnsi="Cambria" w:cs="Arial"/>
                <w:sz w:val="20"/>
                <w:szCs w:val="20"/>
              </w:rPr>
            </w:pPr>
            <w:r>
              <w:rPr>
                <w:rFonts w:ascii="Cambria" w:hAnsi="Cambria" w:cs="Arial"/>
                <w:sz w:val="20"/>
                <w:szCs w:val="20"/>
              </w:rPr>
              <w:t>US$9,338,888</w:t>
            </w:r>
          </w:p>
          <w:p w14:paraId="7E20D20B" w14:textId="77777777" w:rsidR="00BA4056" w:rsidRDefault="00BA4056">
            <w:pPr>
              <w:jc w:val="center"/>
              <w:rPr>
                <w:rFonts w:ascii="Cambria" w:hAnsi="Cambria"/>
                <w:sz w:val="20"/>
                <w:szCs w:val="20"/>
              </w:rPr>
            </w:pPr>
            <w:r>
              <w:rPr>
                <w:rFonts w:ascii="Cambria" w:eastAsia="Times New Roman" w:hAnsi="Cambria" w:cs="Arial"/>
                <w:sz w:val="20"/>
                <w:szCs w:val="20"/>
              </w:rPr>
              <w:lastRenderedPageBreak/>
              <w:t>Additional US</w:t>
            </w:r>
            <w:r>
              <w:rPr>
                <w:rFonts w:ascii="Cambria" w:hAnsi="Cambria"/>
                <w:sz w:val="20"/>
                <w:szCs w:val="20"/>
              </w:rPr>
              <w:t>$4,924,999</w:t>
            </w:r>
          </w:p>
        </w:tc>
        <w:tc>
          <w:tcPr>
            <w:tcW w:w="146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4C26E6C2"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lastRenderedPageBreak/>
              <w:t>United States</w:t>
            </w:r>
          </w:p>
        </w:tc>
        <w:tc>
          <w:tcPr>
            <w:tcW w:w="165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0B6F7693" w14:textId="77777777" w:rsidR="00BA4056" w:rsidRDefault="00BA4056">
            <w:pPr>
              <w:jc w:val="right"/>
              <w:rPr>
                <w:rFonts w:ascii="Cambria" w:eastAsia="Times New Roman" w:hAnsi="Cambria" w:cs="Calibri Light"/>
                <w:sz w:val="20"/>
                <w:szCs w:val="20"/>
              </w:rPr>
            </w:pPr>
            <w:r>
              <w:rPr>
                <w:rFonts w:ascii="Cambria" w:eastAsia="Times New Roman" w:hAnsi="Cambria" w:cs="Calibri Light"/>
                <w:sz w:val="20"/>
                <w:szCs w:val="20"/>
              </w:rPr>
              <w:t xml:space="preserve">4 Quarterly reports </w:t>
            </w:r>
          </w:p>
        </w:tc>
      </w:tr>
      <w:tr w:rsidR="00BA4056" w14:paraId="4EA0D636" w14:textId="77777777" w:rsidTr="00BA4056">
        <w:trPr>
          <w:trHeight w:val="270"/>
          <w:jc w:val="center"/>
        </w:trPr>
        <w:tc>
          <w:tcPr>
            <w:tcW w:w="468"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6B57B4F0"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1EC53D0C" w14:textId="77777777" w:rsidR="00BA4056" w:rsidRDefault="00BA4056">
            <w:pPr>
              <w:rPr>
                <w:rFonts w:ascii="Cambria" w:hAnsi="Cambria" w:cs="Arial"/>
                <w:sz w:val="20"/>
                <w:szCs w:val="20"/>
              </w:rPr>
            </w:pPr>
            <w:r>
              <w:rPr>
                <w:rFonts w:ascii="Cambria" w:hAnsi="Cambria" w:cs="Arial"/>
                <w:sz w:val="20"/>
                <w:szCs w:val="20"/>
              </w:rPr>
              <w:t>MESENI Nicaragua</w:t>
            </w:r>
          </w:p>
        </w:tc>
        <w:tc>
          <w:tcPr>
            <w:tcW w:w="150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0FC3B188" w14:textId="77777777" w:rsidR="00BA4056" w:rsidRDefault="00BA4056">
            <w:pPr>
              <w:jc w:val="center"/>
              <w:rPr>
                <w:rFonts w:ascii="Cambria" w:hAnsi="Cambria" w:cs="Arial"/>
                <w:sz w:val="20"/>
                <w:szCs w:val="20"/>
              </w:rPr>
            </w:pPr>
            <w:r>
              <w:rPr>
                <w:rFonts w:ascii="Cambria" w:hAnsi="Cambria" w:cs="Arial"/>
                <w:sz w:val="20"/>
                <w:szCs w:val="20"/>
              </w:rPr>
              <w:t>US$300,000</w:t>
            </w:r>
          </w:p>
        </w:tc>
        <w:tc>
          <w:tcPr>
            <w:tcW w:w="146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617E5C69" w14:textId="77777777" w:rsidR="00BA4056" w:rsidRDefault="00BA4056">
            <w:pPr>
              <w:rPr>
                <w:rFonts w:ascii="Cambria" w:eastAsia="Times New Roman" w:hAnsi="Cambria" w:cs="Arial"/>
                <w:sz w:val="20"/>
                <w:szCs w:val="20"/>
              </w:rPr>
            </w:pPr>
            <w:r>
              <w:rPr>
                <w:rFonts w:ascii="Cambria" w:eastAsia="Times New Roman" w:hAnsi="Cambria" w:cs="Arial"/>
                <w:sz w:val="20"/>
                <w:szCs w:val="20"/>
              </w:rPr>
              <w:t>United States DOS-CSO</w:t>
            </w:r>
          </w:p>
        </w:tc>
        <w:tc>
          <w:tcPr>
            <w:tcW w:w="165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47AC1637" w14:textId="77777777" w:rsidR="00BA4056" w:rsidRDefault="00BA4056">
            <w:pPr>
              <w:jc w:val="right"/>
              <w:rPr>
                <w:rFonts w:ascii="Cambria" w:eastAsia="Times New Roman" w:hAnsi="Cambria" w:cs="Calibri Light"/>
                <w:sz w:val="20"/>
                <w:szCs w:val="20"/>
              </w:rPr>
            </w:pPr>
            <w:r>
              <w:rPr>
                <w:rFonts w:ascii="Cambria" w:eastAsia="Times New Roman" w:hAnsi="Cambria" w:cs="Calibri Light"/>
                <w:sz w:val="20"/>
                <w:szCs w:val="20"/>
              </w:rPr>
              <w:t xml:space="preserve">1 Quarterly Report </w:t>
            </w:r>
          </w:p>
          <w:p w14:paraId="2FDD0F4D" w14:textId="77777777" w:rsidR="00BA4056" w:rsidRDefault="00BA4056">
            <w:pPr>
              <w:jc w:val="right"/>
              <w:rPr>
                <w:rFonts w:ascii="Cambria" w:eastAsia="Times New Roman" w:hAnsi="Cambria" w:cs="Calibri Light"/>
                <w:sz w:val="20"/>
                <w:szCs w:val="20"/>
              </w:rPr>
            </w:pPr>
            <w:r>
              <w:rPr>
                <w:rFonts w:ascii="Cambria" w:eastAsia="Times New Roman" w:hAnsi="Cambria" w:cs="Calibri Light"/>
                <w:sz w:val="20"/>
                <w:szCs w:val="20"/>
              </w:rPr>
              <w:t xml:space="preserve">Final Report </w:t>
            </w:r>
          </w:p>
        </w:tc>
      </w:tr>
      <w:tr w:rsidR="00BA4056" w14:paraId="4EEE9515" w14:textId="77777777" w:rsidTr="00BA4056">
        <w:trPr>
          <w:trHeight w:val="270"/>
          <w:jc w:val="center"/>
        </w:trPr>
        <w:tc>
          <w:tcPr>
            <w:tcW w:w="468" w:type="dxa"/>
            <w:tcBorders>
              <w:top w:val="single" w:sz="4" w:space="0" w:color="FFFFFF"/>
              <w:left w:val="single" w:sz="4" w:space="0" w:color="FFFFFF"/>
              <w:bottom w:val="single" w:sz="4" w:space="0" w:color="FFFFFF"/>
              <w:right w:val="single" w:sz="4" w:space="0" w:color="FFFFFF"/>
            </w:tcBorders>
            <w:shd w:val="clear" w:color="auto" w:fill="BDD6EE"/>
            <w:vAlign w:val="center"/>
          </w:tcPr>
          <w:p w14:paraId="0B46BC46"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33B17710" w14:textId="77777777" w:rsidR="00BA4056" w:rsidRDefault="00BA4056">
            <w:pPr>
              <w:rPr>
                <w:rFonts w:ascii="Cambria" w:eastAsia="Times New Roman" w:hAnsi="Cambria" w:cs="Arial"/>
                <w:sz w:val="20"/>
                <w:szCs w:val="20"/>
              </w:rPr>
            </w:pPr>
            <w:r>
              <w:rPr>
                <w:rFonts w:ascii="Cambria" w:hAnsi="Cambria" w:cs="Arial"/>
                <w:sz w:val="20"/>
                <w:szCs w:val="20"/>
              </w:rPr>
              <w:t>Strengthening Legal Standards and Recommendations to Combat Structural Racial Discrimination in the Americas</w:t>
            </w:r>
          </w:p>
        </w:tc>
        <w:tc>
          <w:tcPr>
            <w:tcW w:w="150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3A316C0B" w14:textId="77777777" w:rsidR="00BA4056" w:rsidRDefault="00BA4056">
            <w:pPr>
              <w:jc w:val="center"/>
              <w:rPr>
                <w:rFonts w:ascii="Cambria" w:eastAsia="Times New Roman" w:hAnsi="Cambria" w:cs="Arial"/>
                <w:sz w:val="20"/>
                <w:szCs w:val="20"/>
              </w:rPr>
            </w:pPr>
            <w:r>
              <w:rPr>
                <w:rFonts w:ascii="Cambria" w:hAnsi="Cambria" w:cs="Arial"/>
                <w:sz w:val="20"/>
                <w:szCs w:val="20"/>
              </w:rPr>
              <w:t>US$289,468</w:t>
            </w:r>
          </w:p>
        </w:tc>
        <w:tc>
          <w:tcPr>
            <w:tcW w:w="146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150AA390" w14:textId="77777777" w:rsidR="00BA4056" w:rsidRDefault="00BA4056">
            <w:pPr>
              <w:rPr>
                <w:rFonts w:ascii="Cambria" w:eastAsia="Times New Roman" w:hAnsi="Cambria" w:cs="Arial"/>
                <w:sz w:val="20"/>
                <w:szCs w:val="20"/>
              </w:rPr>
            </w:pPr>
            <w:r>
              <w:rPr>
                <w:rFonts w:ascii="Cambria" w:eastAsia="Times New Roman" w:hAnsi="Cambria" w:cs="Arial"/>
                <w:sz w:val="20"/>
                <w:szCs w:val="20"/>
              </w:rPr>
              <w:t>Spanish Fund for the OAS</w:t>
            </w:r>
          </w:p>
        </w:tc>
        <w:tc>
          <w:tcPr>
            <w:tcW w:w="165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54317C51" w14:textId="77777777" w:rsidR="00BA4056" w:rsidRDefault="00BA4056">
            <w:pPr>
              <w:jc w:val="right"/>
              <w:rPr>
                <w:rFonts w:ascii="Cambria" w:eastAsia="Times New Roman" w:hAnsi="Cambria" w:cs="Calibri Light"/>
                <w:sz w:val="20"/>
                <w:szCs w:val="20"/>
              </w:rPr>
            </w:pPr>
            <w:r>
              <w:rPr>
                <w:rFonts w:ascii="Cambria" w:eastAsia="Times New Roman" w:hAnsi="Cambria" w:cs="Calibri Light"/>
                <w:sz w:val="20"/>
                <w:szCs w:val="20"/>
              </w:rPr>
              <w:t xml:space="preserve">Half-yearly Report </w:t>
            </w:r>
          </w:p>
          <w:p w14:paraId="097B0153" w14:textId="77777777" w:rsidR="00BA4056" w:rsidRDefault="00BA4056">
            <w:pPr>
              <w:jc w:val="right"/>
              <w:rPr>
                <w:rFonts w:ascii="Cambria" w:eastAsia="Times New Roman" w:hAnsi="Cambria" w:cs="Arial"/>
                <w:sz w:val="20"/>
                <w:szCs w:val="20"/>
              </w:rPr>
            </w:pPr>
            <w:r>
              <w:rPr>
                <w:rFonts w:ascii="Cambria" w:eastAsia="Times New Roman" w:hAnsi="Cambria" w:cs="Calibri Light"/>
                <w:sz w:val="20"/>
                <w:szCs w:val="20"/>
              </w:rPr>
              <w:t xml:space="preserve">Final Report  </w:t>
            </w:r>
          </w:p>
        </w:tc>
      </w:tr>
      <w:tr w:rsidR="00BA4056" w14:paraId="1269D1A0" w14:textId="77777777" w:rsidTr="00BA4056">
        <w:trPr>
          <w:trHeight w:val="525"/>
          <w:jc w:val="center"/>
        </w:trPr>
        <w:tc>
          <w:tcPr>
            <w:tcW w:w="468"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31DA2EDB"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1A445470" w14:textId="77777777" w:rsidR="00BA4056" w:rsidRDefault="00BA4056">
            <w:pPr>
              <w:tabs>
                <w:tab w:val="left" w:pos="1882"/>
              </w:tabs>
              <w:rPr>
                <w:rFonts w:ascii="Cambria" w:eastAsia="Times New Roman" w:hAnsi="Cambria" w:cs="Arial"/>
                <w:sz w:val="20"/>
                <w:szCs w:val="20"/>
              </w:rPr>
            </w:pPr>
            <w:r>
              <w:rPr>
                <w:rFonts w:ascii="Cambria" w:hAnsi="Cambria" w:cs="Arial"/>
                <w:sz w:val="20"/>
                <w:szCs w:val="20"/>
              </w:rPr>
              <w:t>MESENI Nicaragua (CDH1707)</w:t>
            </w:r>
          </w:p>
        </w:tc>
        <w:tc>
          <w:tcPr>
            <w:tcW w:w="150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4A680E19" w14:textId="77777777" w:rsidR="00BA4056" w:rsidRDefault="00BA4056">
            <w:pPr>
              <w:jc w:val="center"/>
              <w:rPr>
                <w:rFonts w:ascii="Cambria" w:eastAsia="Times New Roman" w:hAnsi="Cambria" w:cs="Arial"/>
                <w:sz w:val="20"/>
                <w:szCs w:val="20"/>
              </w:rPr>
            </w:pPr>
            <w:r>
              <w:rPr>
                <w:rFonts w:ascii="Cambria" w:hAnsi="Cambria" w:cs="Arial"/>
                <w:sz w:val="20"/>
                <w:szCs w:val="20"/>
              </w:rPr>
              <w:t>US$116,160</w:t>
            </w:r>
          </w:p>
        </w:tc>
        <w:tc>
          <w:tcPr>
            <w:tcW w:w="146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14F1C4E1" w14:textId="77777777" w:rsidR="00BA4056" w:rsidRDefault="00BA4056">
            <w:pPr>
              <w:rPr>
                <w:rFonts w:ascii="Cambria" w:eastAsia="Times New Roman" w:hAnsi="Cambria" w:cs="Arial"/>
                <w:sz w:val="20"/>
                <w:szCs w:val="20"/>
              </w:rPr>
            </w:pPr>
            <w:r>
              <w:rPr>
                <w:rFonts w:ascii="Cambria" w:eastAsia="Times New Roman" w:hAnsi="Cambria" w:cs="Arial"/>
                <w:sz w:val="20"/>
                <w:szCs w:val="20"/>
              </w:rPr>
              <w:t>Spanish Fund for the OAS</w:t>
            </w:r>
          </w:p>
        </w:tc>
        <w:tc>
          <w:tcPr>
            <w:tcW w:w="165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1A1A9F84"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Mid-term Report</w:t>
            </w:r>
          </w:p>
          <w:p w14:paraId="0A665223"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 xml:space="preserve">Final Report </w:t>
            </w:r>
          </w:p>
        </w:tc>
      </w:tr>
      <w:tr w:rsidR="00BA4056" w14:paraId="0A0D985F" w14:textId="77777777" w:rsidTr="00BA4056">
        <w:trPr>
          <w:trHeight w:val="525"/>
          <w:jc w:val="center"/>
        </w:trPr>
        <w:tc>
          <w:tcPr>
            <w:tcW w:w="468" w:type="dxa"/>
            <w:tcBorders>
              <w:top w:val="single" w:sz="4" w:space="0" w:color="FFFFFF"/>
              <w:left w:val="single" w:sz="4" w:space="0" w:color="FFFFFF"/>
              <w:bottom w:val="single" w:sz="4" w:space="0" w:color="FFFFFF"/>
              <w:right w:val="single" w:sz="4" w:space="0" w:color="FFFFFF"/>
            </w:tcBorders>
            <w:shd w:val="clear" w:color="auto" w:fill="BDD6EE"/>
            <w:vAlign w:val="center"/>
          </w:tcPr>
          <w:p w14:paraId="009B907D"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6B02C913" w14:textId="77777777" w:rsidR="00BA4056" w:rsidRDefault="00BA4056">
            <w:pPr>
              <w:tabs>
                <w:tab w:val="left" w:pos="1246"/>
              </w:tabs>
              <w:rPr>
                <w:rFonts w:ascii="Cambria" w:hAnsi="Cambria" w:cs="Arial"/>
                <w:sz w:val="20"/>
                <w:szCs w:val="20"/>
              </w:rPr>
            </w:pPr>
            <w:r>
              <w:rPr>
                <w:rFonts w:ascii="Cambria" w:hAnsi="Cambria" w:cs="Arial"/>
                <w:sz w:val="20"/>
                <w:szCs w:val="20"/>
              </w:rPr>
              <w:t xml:space="preserve">Improving available tools to enhance protection of the right to life and humane treatment of human rights defenders in Latin America  </w:t>
            </w:r>
          </w:p>
        </w:tc>
        <w:tc>
          <w:tcPr>
            <w:tcW w:w="150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64E8CA8C" w14:textId="77777777" w:rsidR="00BA4056" w:rsidRDefault="00BA4056">
            <w:pPr>
              <w:tabs>
                <w:tab w:val="left" w:pos="1060"/>
              </w:tabs>
              <w:jc w:val="center"/>
              <w:rPr>
                <w:rFonts w:ascii="Cambria" w:eastAsia="Times New Roman" w:hAnsi="Cambria" w:cs="Arial"/>
                <w:sz w:val="20"/>
                <w:szCs w:val="20"/>
              </w:rPr>
            </w:pPr>
            <w:r>
              <w:rPr>
                <w:rFonts w:ascii="Cambria" w:eastAsia="Times New Roman" w:hAnsi="Cambria" w:cs="Arial"/>
                <w:sz w:val="20"/>
                <w:szCs w:val="20"/>
              </w:rPr>
              <w:t>US$131,675</w:t>
            </w:r>
          </w:p>
        </w:tc>
        <w:tc>
          <w:tcPr>
            <w:tcW w:w="146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51AF50C6" w14:textId="77777777" w:rsidR="00BA4056" w:rsidRDefault="00BA4056">
            <w:pPr>
              <w:rPr>
                <w:rFonts w:ascii="Cambria" w:eastAsia="Times New Roman" w:hAnsi="Cambria" w:cs="Arial"/>
                <w:sz w:val="20"/>
                <w:szCs w:val="20"/>
              </w:rPr>
            </w:pPr>
            <w:r>
              <w:rPr>
                <w:rFonts w:ascii="Cambria" w:eastAsia="Times New Roman" w:hAnsi="Cambria" w:cs="Arial"/>
                <w:sz w:val="20"/>
                <w:szCs w:val="20"/>
              </w:rPr>
              <w:t>Spanish Fund for the OAS</w:t>
            </w:r>
          </w:p>
        </w:tc>
        <w:tc>
          <w:tcPr>
            <w:tcW w:w="165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4DBA95B1"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2 Mid-term Reports</w:t>
            </w:r>
          </w:p>
        </w:tc>
      </w:tr>
      <w:tr w:rsidR="00BA4056" w14:paraId="72E694A4" w14:textId="77777777" w:rsidTr="00BA4056">
        <w:trPr>
          <w:trHeight w:val="525"/>
          <w:jc w:val="center"/>
        </w:trPr>
        <w:tc>
          <w:tcPr>
            <w:tcW w:w="468"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469B2BA9"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49E6C03F" w14:textId="77777777" w:rsidR="00BA4056" w:rsidRDefault="00BA4056">
            <w:pPr>
              <w:tabs>
                <w:tab w:val="left" w:pos="1246"/>
              </w:tabs>
              <w:rPr>
                <w:rFonts w:ascii="Cambria" w:hAnsi="Cambria" w:cs="Arial"/>
                <w:sz w:val="20"/>
                <w:szCs w:val="20"/>
              </w:rPr>
            </w:pPr>
            <w:r>
              <w:rPr>
                <w:rFonts w:ascii="Cambria" w:hAnsi="Cambria" w:cs="Arial"/>
                <w:sz w:val="20"/>
                <w:szCs w:val="20"/>
              </w:rPr>
              <w:t>Promoting and protecting economic, social and cultural rights in the Inter-American human rights system (Phase II)</w:t>
            </w:r>
          </w:p>
        </w:tc>
        <w:tc>
          <w:tcPr>
            <w:tcW w:w="150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346A0029" w14:textId="77777777" w:rsidR="00BA4056" w:rsidRDefault="00BA4056">
            <w:pPr>
              <w:tabs>
                <w:tab w:val="left" w:pos="1060"/>
              </w:tabs>
              <w:jc w:val="center"/>
              <w:rPr>
                <w:rFonts w:ascii="Cambria" w:eastAsia="Times New Roman" w:hAnsi="Cambria" w:cs="Arial"/>
                <w:sz w:val="20"/>
                <w:szCs w:val="20"/>
              </w:rPr>
            </w:pPr>
            <w:r>
              <w:rPr>
                <w:rFonts w:ascii="Cambria" w:eastAsia="Times New Roman" w:hAnsi="Cambria" w:cs="Arial"/>
                <w:sz w:val="20"/>
                <w:szCs w:val="20"/>
              </w:rPr>
              <w:t xml:space="preserve">US$131,675 </w:t>
            </w:r>
          </w:p>
        </w:tc>
        <w:tc>
          <w:tcPr>
            <w:tcW w:w="146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6195057A" w14:textId="77777777" w:rsidR="00BA4056" w:rsidRDefault="00BA4056">
            <w:pPr>
              <w:rPr>
                <w:rFonts w:ascii="Cambria" w:eastAsia="Times New Roman" w:hAnsi="Cambria" w:cs="Arial"/>
                <w:sz w:val="20"/>
                <w:szCs w:val="20"/>
              </w:rPr>
            </w:pPr>
            <w:r>
              <w:rPr>
                <w:rFonts w:ascii="Cambria" w:eastAsia="Times New Roman" w:hAnsi="Cambria" w:cs="Arial"/>
                <w:sz w:val="20"/>
                <w:szCs w:val="20"/>
              </w:rPr>
              <w:t>Spanish Fund for the OAS</w:t>
            </w:r>
          </w:p>
        </w:tc>
        <w:tc>
          <w:tcPr>
            <w:tcW w:w="165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2CFFF855" w14:textId="77777777" w:rsidR="00BA4056" w:rsidRDefault="00BA4056">
            <w:pPr>
              <w:jc w:val="right"/>
              <w:rPr>
                <w:rFonts w:ascii="Cambria" w:eastAsia="Times New Roman" w:hAnsi="Cambria" w:cs="Arial"/>
                <w:sz w:val="20"/>
                <w:szCs w:val="20"/>
                <w:highlight w:val="yellow"/>
              </w:rPr>
            </w:pPr>
            <w:r>
              <w:rPr>
                <w:rFonts w:ascii="Cambria" w:eastAsia="Times New Roman" w:hAnsi="Cambria" w:cs="Arial"/>
                <w:sz w:val="20"/>
                <w:szCs w:val="20"/>
              </w:rPr>
              <w:t xml:space="preserve">Mid-term Report and Final report </w:t>
            </w:r>
          </w:p>
        </w:tc>
      </w:tr>
      <w:tr w:rsidR="00BA4056" w14:paraId="74F6F112" w14:textId="77777777" w:rsidTr="00BA4056">
        <w:trPr>
          <w:trHeight w:val="270"/>
          <w:jc w:val="center"/>
        </w:trPr>
        <w:tc>
          <w:tcPr>
            <w:tcW w:w="468" w:type="dxa"/>
            <w:tcBorders>
              <w:top w:val="single" w:sz="4" w:space="0" w:color="FFFFFF"/>
              <w:left w:val="single" w:sz="4" w:space="0" w:color="FFFFFF"/>
              <w:bottom w:val="single" w:sz="4" w:space="0" w:color="FFFFFF"/>
              <w:right w:val="single" w:sz="4" w:space="0" w:color="FFFFFF"/>
            </w:tcBorders>
            <w:shd w:val="clear" w:color="auto" w:fill="BDD6EE"/>
            <w:vAlign w:val="center"/>
          </w:tcPr>
          <w:p w14:paraId="12E14786"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6781A18A" w14:textId="77777777" w:rsidR="00BA4056" w:rsidRDefault="00BA4056">
            <w:pPr>
              <w:rPr>
                <w:rFonts w:ascii="Cambria" w:hAnsi="Cambria" w:cs="Arial"/>
                <w:sz w:val="20"/>
                <w:szCs w:val="20"/>
              </w:rPr>
            </w:pPr>
            <w:r>
              <w:rPr>
                <w:rFonts w:ascii="Cambria" w:hAnsi="Cambria" w:cs="Arial"/>
                <w:sz w:val="20"/>
                <w:szCs w:val="20"/>
              </w:rPr>
              <w:t>Supporting the Special Group for the Supervision of Precautionary Measures, aimed at protecting social leaders and human rights defenders in Colombia, Brazil, Mexico, Guatemala, Haiti and Honduras and implementation of the SACROI COVID-19</w:t>
            </w:r>
          </w:p>
        </w:tc>
        <w:tc>
          <w:tcPr>
            <w:tcW w:w="150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731F1E5F" w14:textId="77777777" w:rsidR="00BA4056" w:rsidRDefault="00BA4056">
            <w:pPr>
              <w:jc w:val="center"/>
              <w:rPr>
                <w:rFonts w:ascii="Cambria" w:hAnsi="Cambria" w:cs="Arial"/>
                <w:sz w:val="20"/>
                <w:szCs w:val="20"/>
              </w:rPr>
            </w:pPr>
            <w:r>
              <w:rPr>
                <w:rFonts w:ascii="Cambria" w:hAnsi="Cambria" w:cs="Arial"/>
                <w:sz w:val="20"/>
                <w:szCs w:val="20"/>
              </w:rPr>
              <w:t>US$350,000</w:t>
            </w:r>
          </w:p>
        </w:tc>
        <w:tc>
          <w:tcPr>
            <w:tcW w:w="146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0BDD0A4A" w14:textId="77777777" w:rsidR="00BA4056" w:rsidRDefault="00BA4056">
            <w:pPr>
              <w:rPr>
                <w:rFonts w:ascii="Cambria" w:eastAsia="Times New Roman" w:hAnsi="Cambria" w:cs="Arial"/>
                <w:sz w:val="20"/>
                <w:szCs w:val="20"/>
              </w:rPr>
            </w:pPr>
            <w:r>
              <w:rPr>
                <w:rFonts w:ascii="Cambria" w:eastAsia="Times New Roman" w:hAnsi="Cambria" w:cs="Arial"/>
                <w:sz w:val="20"/>
                <w:szCs w:val="20"/>
              </w:rPr>
              <w:t>Ford Foundation</w:t>
            </w:r>
          </w:p>
        </w:tc>
        <w:tc>
          <w:tcPr>
            <w:tcW w:w="165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39E08263" w14:textId="77777777" w:rsidR="00BA4056" w:rsidRDefault="00BA4056">
            <w:pPr>
              <w:jc w:val="right"/>
              <w:rPr>
                <w:rFonts w:ascii="Cambria" w:eastAsia="Times New Roman" w:hAnsi="Cambria" w:cs="Arial"/>
                <w:sz w:val="20"/>
                <w:szCs w:val="20"/>
                <w:highlight w:val="yellow"/>
              </w:rPr>
            </w:pPr>
            <w:r>
              <w:rPr>
                <w:rFonts w:ascii="Cambria" w:eastAsia="Times New Roman" w:hAnsi="Cambria" w:cs="Arial"/>
                <w:sz w:val="20"/>
                <w:szCs w:val="20"/>
              </w:rPr>
              <w:t>Mid-term Report</w:t>
            </w:r>
          </w:p>
        </w:tc>
      </w:tr>
      <w:tr w:rsidR="00BA4056" w14:paraId="7F6AE3B6" w14:textId="77777777" w:rsidTr="00BA4056">
        <w:trPr>
          <w:trHeight w:val="270"/>
          <w:jc w:val="center"/>
        </w:trPr>
        <w:tc>
          <w:tcPr>
            <w:tcW w:w="468"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408B28F7"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35AF5516" w14:textId="77777777" w:rsidR="00BA4056" w:rsidRDefault="00BA4056">
            <w:pPr>
              <w:rPr>
                <w:rFonts w:ascii="Cambria" w:eastAsia="Times New Roman" w:hAnsi="Cambria" w:cs="Arial"/>
                <w:sz w:val="20"/>
                <w:szCs w:val="20"/>
              </w:rPr>
            </w:pPr>
            <w:r>
              <w:rPr>
                <w:rFonts w:ascii="Cambria" w:hAnsi="Cambria" w:cs="Arial"/>
                <w:sz w:val="20"/>
                <w:szCs w:val="20"/>
              </w:rPr>
              <w:t xml:space="preserve">Support for the work of the IACHR </w:t>
            </w:r>
            <w:proofErr w:type="spellStart"/>
            <w:r>
              <w:rPr>
                <w:rFonts w:ascii="Cambria" w:hAnsi="Cambria" w:cs="Arial"/>
                <w:sz w:val="20"/>
                <w:szCs w:val="20"/>
              </w:rPr>
              <w:t>Rapporteurship</w:t>
            </w:r>
            <w:proofErr w:type="spellEnd"/>
            <w:r>
              <w:rPr>
                <w:rFonts w:ascii="Cambria" w:hAnsi="Cambria" w:cs="Arial"/>
                <w:sz w:val="20"/>
                <w:szCs w:val="20"/>
              </w:rPr>
              <w:t xml:space="preserve"> on the Rights of Lesbian, Gay, Bisexual, Trans, and Intersex Persons (2018)</w:t>
            </w:r>
          </w:p>
        </w:tc>
        <w:tc>
          <w:tcPr>
            <w:tcW w:w="150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2260002A" w14:textId="77777777" w:rsidR="00BA4056" w:rsidRDefault="00BA4056">
            <w:pPr>
              <w:jc w:val="center"/>
              <w:rPr>
                <w:rFonts w:ascii="Cambria" w:eastAsia="Times New Roman" w:hAnsi="Cambria" w:cs="Arial"/>
                <w:sz w:val="20"/>
                <w:szCs w:val="20"/>
              </w:rPr>
            </w:pPr>
            <w:r>
              <w:rPr>
                <w:rFonts w:ascii="Cambria" w:hAnsi="Cambria" w:cs="Arial"/>
                <w:sz w:val="20"/>
                <w:szCs w:val="20"/>
              </w:rPr>
              <w:t>US$250,000</w:t>
            </w:r>
          </w:p>
        </w:tc>
        <w:tc>
          <w:tcPr>
            <w:tcW w:w="146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57F3168F" w14:textId="77777777" w:rsidR="00BA4056" w:rsidRDefault="00BA4056">
            <w:pPr>
              <w:rPr>
                <w:rFonts w:ascii="Cambria" w:eastAsia="Times New Roman" w:hAnsi="Cambria" w:cs="Arial"/>
                <w:sz w:val="20"/>
                <w:szCs w:val="20"/>
              </w:rPr>
            </w:pPr>
            <w:r>
              <w:rPr>
                <w:rFonts w:ascii="Cambria" w:eastAsia="Times New Roman" w:hAnsi="Cambria" w:cs="Arial"/>
                <w:sz w:val="20"/>
                <w:szCs w:val="20"/>
              </w:rPr>
              <w:t>Foundation of the Americas</w:t>
            </w:r>
          </w:p>
        </w:tc>
        <w:tc>
          <w:tcPr>
            <w:tcW w:w="165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23B55AD8" w14:textId="77777777" w:rsidR="00BA4056" w:rsidRDefault="00BA4056">
            <w:pPr>
              <w:jc w:val="right"/>
              <w:rPr>
                <w:rFonts w:ascii="Cambria" w:eastAsia="Times New Roman" w:hAnsi="Cambria" w:cs="Arial"/>
                <w:sz w:val="20"/>
                <w:szCs w:val="20"/>
                <w:highlight w:val="yellow"/>
              </w:rPr>
            </w:pPr>
            <w:r>
              <w:rPr>
                <w:rFonts w:ascii="Cambria" w:eastAsia="Times New Roman" w:hAnsi="Cambria" w:cs="Arial"/>
                <w:sz w:val="20"/>
                <w:szCs w:val="20"/>
              </w:rPr>
              <w:t>Mid-term Report</w:t>
            </w:r>
          </w:p>
        </w:tc>
      </w:tr>
      <w:tr w:rsidR="00BA4056" w14:paraId="68CEBB1B" w14:textId="77777777" w:rsidTr="00BA4056">
        <w:trPr>
          <w:trHeight w:val="270"/>
          <w:jc w:val="center"/>
        </w:trPr>
        <w:tc>
          <w:tcPr>
            <w:tcW w:w="468" w:type="dxa"/>
            <w:tcBorders>
              <w:top w:val="single" w:sz="4" w:space="0" w:color="FFFFFF"/>
              <w:left w:val="single" w:sz="4" w:space="0" w:color="FFFFFF"/>
              <w:bottom w:val="single" w:sz="4" w:space="0" w:color="FFFFFF"/>
              <w:right w:val="single" w:sz="4" w:space="0" w:color="FFFFFF"/>
            </w:tcBorders>
            <w:shd w:val="clear" w:color="auto" w:fill="BDD6EE"/>
            <w:vAlign w:val="center"/>
          </w:tcPr>
          <w:p w14:paraId="42AEB5C0"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437F71AC" w14:textId="77777777" w:rsidR="00BA4056" w:rsidRDefault="00BA4056">
            <w:pPr>
              <w:rPr>
                <w:rFonts w:ascii="Cambria" w:hAnsi="Cambria" w:cs="Arial"/>
                <w:sz w:val="20"/>
                <w:szCs w:val="20"/>
              </w:rPr>
            </w:pPr>
            <w:r>
              <w:rPr>
                <w:rFonts w:ascii="Cambria" w:hAnsi="Cambria" w:cs="Arial"/>
                <w:sz w:val="20"/>
                <w:szCs w:val="20"/>
              </w:rPr>
              <w:t xml:space="preserve">Support for the work of the IACHR </w:t>
            </w:r>
            <w:proofErr w:type="spellStart"/>
            <w:r>
              <w:rPr>
                <w:rFonts w:ascii="Cambria" w:hAnsi="Cambria" w:cs="Arial"/>
                <w:sz w:val="20"/>
                <w:szCs w:val="20"/>
              </w:rPr>
              <w:t>Rapporteurship</w:t>
            </w:r>
            <w:proofErr w:type="spellEnd"/>
            <w:r>
              <w:rPr>
                <w:rFonts w:ascii="Cambria" w:hAnsi="Cambria" w:cs="Arial"/>
                <w:sz w:val="20"/>
                <w:szCs w:val="20"/>
              </w:rPr>
              <w:t xml:space="preserve"> on the Rights of Lesbian, Gay, Bisexual, Trans, and Intersex Persons.</w:t>
            </w:r>
          </w:p>
        </w:tc>
        <w:tc>
          <w:tcPr>
            <w:tcW w:w="150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0B38B50B" w14:textId="77777777" w:rsidR="00BA4056" w:rsidRDefault="00BA4056">
            <w:pPr>
              <w:jc w:val="center"/>
              <w:rPr>
                <w:rFonts w:ascii="Cambria" w:hAnsi="Cambria" w:cs="Arial"/>
                <w:sz w:val="20"/>
                <w:szCs w:val="20"/>
              </w:rPr>
            </w:pPr>
            <w:r>
              <w:rPr>
                <w:rFonts w:ascii="Cambria" w:hAnsi="Cambria" w:cs="Arial"/>
                <w:sz w:val="20"/>
                <w:szCs w:val="20"/>
              </w:rPr>
              <w:t xml:space="preserve">US$450,000 </w:t>
            </w:r>
          </w:p>
        </w:tc>
        <w:tc>
          <w:tcPr>
            <w:tcW w:w="146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19862D82" w14:textId="77777777" w:rsidR="00BA4056" w:rsidRDefault="00BA4056">
            <w:pPr>
              <w:rPr>
                <w:rFonts w:ascii="Cambria" w:eastAsia="Times New Roman" w:hAnsi="Cambria" w:cs="Arial"/>
                <w:sz w:val="20"/>
                <w:szCs w:val="20"/>
              </w:rPr>
            </w:pPr>
            <w:r>
              <w:rPr>
                <w:rFonts w:ascii="Cambria" w:eastAsia="Times New Roman" w:hAnsi="Cambria" w:cs="Arial"/>
                <w:sz w:val="20"/>
                <w:szCs w:val="20"/>
              </w:rPr>
              <w:t>Foundation of the Americas</w:t>
            </w:r>
          </w:p>
        </w:tc>
        <w:tc>
          <w:tcPr>
            <w:tcW w:w="165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4B8C84C8"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Ongoing</w:t>
            </w:r>
          </w:p>
        </w:tc>
      </w:tr>
      <w:tr w:rsidR="00BA4056" w14:paraId="28F48352" w14:textId="77777777" w:rsidTr="00BA4056">
        <w:trPr>
          <w:trHeight w:val="525"/>
          <w:jc w:val="center"/>
        </w:trPr>
        <w:tc>
          <w:tcPr>
            <w:tcW w:w="468"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5DECDB77"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62AC4A35" w14:textId="77777777" w:rsidR="00BA4056" w:rsidRDefault="00BA4056">
            <w:pPr>
              <w:rPr>
                <w:rFonts w:ascii="Cambria" w:eastAsia="Times New Roman" w:hAnsi="Cambria" w:cs="Arial"/>
                <w:sz w:val="20"/>
                <w:szCs w:val="20"/>
              </w:rPr>
            </w:pPr>
            <w:r>
              <w:rPr>
                <w:rFonts w:ascii="Cambria" w:eastAsia="Times New Roman" w:hAnsi="Cambria" w:cs="Arial"/>
                <w:sz w:val="20"/>
                <w:szCs w:val="20"/>
              </w:rPr>
              <w:t>“Supporting the IACHR in implementing its Strategic Plan 2017-2021”</w:t>
            </w:r>
          </w:p>
        </w:tc>
        <w:tc>
          <w:tcPr>
            <w:tcW w:w="150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06A7B544" w14:textId="77777777" w:rsidR="00BA4056" w:rsidRDefault="00BA4056">
            <w:pPr>
              <w:jc w:val="center"/>
              <w:rPr>
                <w:rFonts w:ascii="Cambria" w:eastAsia="Times New Roman" w:hAnsi="Cambria" w:cs="Arial"/>
                <w:sz w:val="20"/>
                <w:szCs w:val="20"/>
              </w:rPr>
            </w:pPr>
            <w:r>
              <w:rPr>
                <w:rFonts w:ascii="Cambria" w:eastAsia="Times New Roman" w:hAnsi="Cambria" w:cs="Arial"/>
                <w:sz w:val="20"/>
                <w:szCs w:val="20"/>
              </w:rPr>
              <w:t>US$1,120,000</w:t>
            </w:r>
          </w:p>
        </w:tc>
        <w:tc>
          <w:tcPr>
            <w:tcW w:w="146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6AE1954B" w14:textId="77777777" w:rsidR="00BA4056" w:rsidRDefault="00BA4056">
            <w:pPr>
              <w:rPr>
                <w:rFonts w:ascii="Cambria" w:eastAsia="Times New Roman" w:hAnsi="Cambria" w:cs="Arial"/>
                <w:sz w:val="20"/>
                <w:szCs w:val="20"/>
              </w:rPr>
            </w:pPr>
            <w:r>
              <w:rPr>
                <w:rFonts w:ascii="Cambria" w:eastAsia="Times New Roman" w:hAnsi="Cambria" w:cs="Arial"/>
                <w:sz w:val="20"/>
                <w:szCs w:val="20"/>
              </w:rPr>
              <w:t>Netherlands</w:t>
            </w:r>
          </w:p>
        </w:tc>
        <w:tc>
          <w:tcPr>
            <w:tcW w:w="165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6B2942CC"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Mid-term Report</w:t>
            </w:r>
          </w:p>
        </w:tc>
      </w:tr>
      <w:tr w:rsidR="00BA4056" w14:paraId="71081159" w14:textId="77777777" w:rsidTr="00BA4056">
        <w:trPr>
          <w:trHeight w:val="525"/>
          <w:jc w:val="center"/>
        </w:trPr>
        <w:tc>
          <w:tcPr>
            <w:tcW w:w="468" w:type="dxa"/>
            <w:tcBorders>
              <w:top w:val="single" w:sz="4" w:space="0" w:color="FFFFFF"/>
              <w:left w:val="single" w:sz="4" w:space="0" w:color="FFFFFF"/>
              <w:bottom w:val="single" w:sz="4" w:space="0" w:color="FFFFFF"/>
              <w:right w:val="single" w:sz="4" w:space="0" w:color="FFFFFF"/>
            </w:tcBorders>
            <w:shd w:val="clear" w:color="auto" w:fill="BDD6EE"/>
            <w:vAlign w:val="center"/>
          </w:tcPr>
          <w:p w14:paraId="475EBA54"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181F04AE" w14:textId="77777777" w:rsidR="00BA4056" w:rsidRDefault="00BA4056">
            <w:pPr>
              <w:rPr>
                <w:rFonts w:ascii="Cambria" w:eastAsia="Times New Roman" w:hAnsi="Cambria" w:cs="Arial"/>
                <w:sz w:val="20"/>
                <w:szCs w:val="20"/>
              </w:rPr>
            </w:pPr>
            <w:r>
              <w:rPr>
                <w:rFonts w:ascii="Cambria" w:eastAsia="Times New Roman" w:hAnsi="Cambria" w:cs="Arial"/>
                <w:sz w:val="20"/>
                <w:szCs w:val="20"/>
              </w:rPr>
              <w:t>MESEVE Venezuela</w:t>
            </w:r>
          </w:p>
        </w:tc>
        <w:tc>
          <w:tcPr>
            <w:tcW w:w="150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79034AB8" w14:textId="77777777" w:rsidR="00BA4056" w:rsidRDefault="00BA4056">
            <w:pPr>
              <w:jc w:val="center"/>
              <w:rPr>
                <w:rFonts w:ascii="Cambria" w:eastAsia="Times New Roman" w:hAnsi="Cambria" w:cs="Arial"/>
                <w:sz w:val="20"/>
                <w:szCs w:val="20"/>
              </w:rPr>
            </w:pPr>
            <w:r>
              <w:rPr>
                <w:rFonts w:ascii="Cambria" w:eastAsia="Times New Roman" w:hAnsi="Cambria" w:cs="Arial"/>
                <w:sz w:val="20"/>
                <w:szCs w:val="20"/>
              </w:rPr>
              <w:t xml:space="preserve">US$29,410 </w:t>
            </w:r>
          </w:p>
          <w:p w14:paraId="0E5667F0" w14:textId="77777777" w:rsidR="00BA4056" w:rsidRDefault="00BA4056">
            <w:pPr>
              <w:ind w:left="-30" w:right="-144"/>
              <w:jc w:val="center"/>
              <w:rPr>
                <w:rFonts w:ascii="Cambria" w:eastAsia="Times New Roman" w:hAnsi="Cambria" w:cs="Arial"/>
                <w:sz w:val="20"/>
                <w:szCs w:val="20"/>
              </w:rPr>
            </w:pPr>
            <w:r>
              <w:rPr>
                <w:rFonts w:ascii="Cambria" w:eastAsia="Times New Roman" w:hAnsi="Cambria" w:cs="Arial"/>
                <w:sz w:val="20"/>
                <w:szCs w:val="20"/>
              </w:rPr>
              <w:t xml:space="preserve">Additional US$108,500  </w:t>
            </w:r>
          </w:p>
        </w:tc>
        <w:tc>
          <w:tcPr>
            <w:tcW w:w="146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23DE15AA" w14:textId="77777777" w:rsidR="00BA4056" w:rsidRDefault="00BA4056">
            <w:pPr>
              <w:rPr>
                <w:rFonts w:ascii="Cambria" w:eastAsia="Times New Roman" w:hAnsi="Cambria" w:cs="Arial"/>
                <w:sz w:val="20"/>
                <w:szCs w:val="20"/>
              </w:rPr>
            </w:pPr>
            <w:r>
              <w:rPr>
                <w:rFonts w:ascii="Cambria" w:eastAsia="Times New Roman" w:hAnsi="Cambria" w:cs="Arial"/>
                <w:sz w:val="20"/>
                <w:szCs w:val="20"/>
              </w:rPr>
              <w:t>Netherlands</w:t>
            </w:r>
          </w:p>
        </w:tc>
        <w:tc>
          <w:tcPr>
            <w:tcW w:w="165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19F1EC6F"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Mid-term Report</w:t>
            </w:r>
          </w:p>
        </w:tc>
      </w:tr>
      <w:tr w:rsidR="00BA4056" w14:paraId="7D17D456" w14:textId="77777777" w:rsidTr="00BA4056">
        <w:trPr>
          <w:trHeight w:val="780"/>
          <w:jc w:val="center"/>
        </w:trPr>
        <w:tc>
          <w:tcPr>
            <w:tcW w:w="468"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5D8E77EB"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3D9B647D" w14:textId="77777777" w:rsidR="00BA4056" w:rsidRDefault="00BA4056">
            <w:pPr>
              <w:rPr>
                <w:rFonts w:ascii="Cambria" w:eastAsia="Times New Roman" w:hAnsi="Cambria" w:cs="Arial"/>
                <w:sz w:val="20"/>
                <w:szCs w:val="20"/>
              </w:rPr>
            </w:pPr>
            <w:r>
              <w:rPr>
                <w:rFonts w:ascii="Cambria" w:eastAsia="Times New Roman" w:hAnsi="Cambria" w:cs="Arial"/>
                <w:sz w:val="20"/>
                <w:szCs w:val="20"/>
              </w:rPr>
              <w:t xml:space="preserve">“Access to international justice by processing petitions submitted to the IACHR for persons discriminated against in the Hemisphere” </w:t>
            </w:r>
          </w:p>
        </w:tc>
        <w:tc>
          <w:tcPr>
            <w:tcW w:w="150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0D6ADB64" w14:textId="77777777" w:rsidR="00BA4056" w:rsidRDefault="00BA4056">
            <w:pPr>
              <w:jc w:val="center"/>
              <w:rPr>
                <w:rFonts w:ascii="Cambria" w:eastAsia="Times New Roman" w:hAnsi="Cambria" w:cs="Arial"/>
                <w:sz w:val="20"/>
                <w:szCs w:val="20"/>
              </w:rPr>
            </w:pPr>
            <w:r>
              <w:rPr>
                <w:rFonts w:ascii="Cambria" w:hAnsi="Cambria" w:cs="Arial"/>
                <w:sz w:val="20"/>
                <w:szCs w:val="20"/>
              </w:rPr>
              <w:t xml:space="preserve">€50,000 </w:t>
            </w:r>
          </w:p>
        </w:tc>
        <w:tc>
          <w:tcPr>
            <w:tcW w:w="146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576F45D9"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t>Ireland</w:t>
            </w:r>
          </w:p>
        </w:tc>
        <w:tc>
          <w:tcPr>
            <w:tcW w:w="165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62D76A59"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 xml:space="preserve">Interim Report Final report </w:t>
            </w:r>
          </w:p>
        </w:tc>
      </w:tr>
      <w:tr w:rsidR="00BA4056" w14:paraId="0EFB23B7" w14:textId="77777777" w:rsidTr="00BA4056">
        <w:trPr>
          <w:trHeight w:val="525"/>
          <w:jc w:val="center"/>
        </w:trPr>
        <w:tc>
          <w:tcPr>
            <w:tcW w:w="468" w:type="dxa"/>
            <w:tcBorders>
              <w:top w:val="single" w:sz="4" w:space="0" w:color="FFFFFF"/>
              <w:left w:val="single" w:sz="4" w:space="0" w:color="FFFFFF"/>
              <w:bottom w:val="single" w:sz="4" w:space="0" w:color="FFFFFF"/>
              <w:right w:val="single" w:sz="4" w:space="0" w:color="FFFFFF"/>
            </w:tcBorders>
            <w:shd w:val="clear" w:color="auto" w:fill="BDD6EE"/>
            <w:vAlign w:val="center"/>
          </w:tcPr>
          <w:p w14:paraId="1639D8B0"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443A8BB7" w14:textId="77777777" w:rsidR="00BA4056" w:rsidRDefault="00BA4056">
            <w:pPr>
              <w:rPr>
                <w:rFonts w:ascii="Cambria" w:eastAsia="Times New Roman" w:hAnsi="Cambria" w:cs="Arial"/>
                <w:sz w:val="20"/>
                <w:szCs w:val="20"/>
              </w:rPr>
            </w:pPr>
            <w:r>
              <w:rPr>
                <w:rFonts w:ascii="Cambria" w:eastAsia="Times New Roman" w:hAnsi="Cambria" w:cs="Arial"/>
                <w:sz w:val="20"/>
                <w:szCs w:val="20"/>
              </w:rPr>
              <w:t>MESENI- Nicaragua</w:t>
            </w:r>
          </w:p>
        </w:tc>
        <w:tc>
          <w:tcPr>
            <w:tcW w:w="150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150EB2AA" w14:textId="77777777" w:rsidR="00BA4056" w:rsidRDefault="00BA4056">
            <w:pPr>
              <w:jc w:val="center"/>
              <w:rPr>
                <w:rFonts w:ascii="Cambria" w:eastAsia="Times New Roman" w:hAnsi="Cambria" w:cs="Arial"/>
                <w:sz w:val="20"/>
                <w:szCs w:val="20"/>
              </w:rPr>
            </w:pPr>
            <w:r>
              <w:rPr>
                <w:rFonts w:ascii="Cambria" w:eastAsia="Times New Roman" w:hAnsi="Cambria" w:cs="Arial"/>
                <w:sz w:val="20"/>
                <w:szCs w:val="20"/>
              </w:rPr>
              <w:t>US$80,000</w:t>
            </w:r>
          </w:p>
        </w:tc>
        <w:tc>
          <w:tcPr>
            <w:tcW w:w="146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6FE8ECA9"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t>Italy</w:t>
            </w:r>
          </w:p>
        </w:tc>
        <w:tc>
          <w:tcPr>
            <w:tcW w:w="165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55CC057B"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 xml:space="preserve">Final Report </w:t>
            </w:r>
          </w:p>
        </w:tc>
      </w:tr>
      <w:tr w:rsidR="00BA4056" w14:paraId="14B97B7E" w14:textId="77777777" w:rsidTr="00BA4056">
        <w:trPr>
          <w:trHeight w:val="525"/>
          <w:jc w:val="center"/>
        </w:trPr>
        <w:tc>
          <w:tcPr>
            <w:tcW w:w="468"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5395E9C3"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3935C637" w14:textId="77777777" w:rsidR="00BA4056" w:rsidRDefault="00BA4056">
            <w:pPr>
              <w:rPr>
                <w:rFonts w:ascii="Cambria" w:eastAsia="Times New Roman" w:hAnsi="Cambria" w:cs="Arial"/>
                <w:sz w:val="20"/>
                <w:szCs w:val="20"/>
              </w:rPr>
            </w:pPr>
            <w:r>
              <w:rPr>
                <w:rFonts w:ascii="Cambria" w:eastAsia="Times New Roman" w:hAnsi="Cambria" w:cs="Arial"/>
                <w:sz w:val="20"/>
                <w:szCs w:val="20"/>
              </w:rPr>
              <w:t xml:space="preserve">“Promoting and protecting human rights in the Northern Triangle of Central America”  </w:t>
            </w:r>
          </w:p>
        </w:tc>
        <w:tc>
          <w:tcPr>
            <w:tcW w:w="150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5F0206CB" w14:textId="77777777" w:rsidR="00BA4056" w:rsidRDefault="00BA4056">
            <w:pPr>
              <w:jc w:val="center"/>
              <w:rPr>
                <w:rFonts w:ascii="Cambria" w:eastAsia="Times New Roman" w:hAnsi="Cambria" w:cs="Arial"/>
                <w:sz w:val="20"/>
                <w:szCs w:val="20"/>
              </w:rPr>
            </w:pPr>
            <w:r>
              <w:rPr>
                <w:rFonts w:ascii="Cambria" w:eastAsia="Times New Roman" w:hAnsi="Cambria" w:cs="Arial"/>
                <w:sz w:val="20"/>
                <w:szCs w:val="20"/>
              </w:rPr>
              <w:t>US$835,976</w:t>
            </w:r>
          </w:p>
        </w:tc>
        <w:tc>
          <w:tcPr>
            <w:tcW w:w="146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6BCB7947"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t>PADF</w:t>
            </w:r>
          </w:p>
        </w:tc>
        <w:tc>
          <w:tcPr>
            <w:tcW w:w="165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77F88955"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 xml:space="preserve">4 Quarterly Reports </w:t>
            </w:r>
          </w:p>
        </w:tc>
      </w:tr>
      <w:tr w:rsidR="00BA4056" w14:paraId="35CF019D" w14:textId="77777777" w:rsidTr="00BA4056">
        <w:trPr>
          <w:trHeight w:val="525"/>
          <w:jc w:val="center"/>
        </w:trPr>
        <w:tc>
          <w:tcPr>
            <w:tcW w:w="468" w:type="dxa"/>
            <w:tcBorders>
              <w:top w:val="single" w:sz="4" w:space="0" w:color="FFFFFF"/>
              <w:left w:val="single" w:sz="4" w:space="0" w:color="FFFFFF"/>
              <w:bottom w:val="single" w:sz="4" w:space="0" w:color="FFFFFF"/>
              <w:right w:val="single" w:sz="4" w:space="0" w:color="FFFFFF"/>
            </w:tcBorders>
            <w:shd w:val="clear" w:color="auto" w:fill="BDD6EE"/>
            <w:vAlign w:val="center"/>
          </w:tcPr>
          <w:p w14:paraId="2AC33CC2"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1EFEA9DB" w14:textId="77777777" w:rsidR="00BA4056" w:rsidRDefault="00BA4056">
            <w:pPr>
              <w:rPr>
                <w:rFonts w:ascii="Cambria" w:eastAsia="Times New Roman" w:hAnsi="Cambria" w:cs="Arial"/>
                <w:sz w:val="20"/>
                <w:szCs w:val="20"/>
                <w:highlight w:val="yellow"/>
              </w:rPr>
            </w:pPr>
            <w:r>
              <w:rPr>
                <w:rFonts w:ascii="Cambria" w:eastAsia="Times New Roman" w:hAnsi="Cambria" w:cs="Arial"/>
                <w:sz w:val="20"/>
                <w:szCs w:val="20"/>
              </w:rPr>
              <w:t>Bases for Transitional Justice in Nicaragua</w:t>
            </w:r>
          </w:p>
        </w:tc>
        <w:tc>
          <w:tcPr>
            <w:tcW w:w="150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2AC7060F" w14:textId="77777777" w:rsidR="00BA4056" w:rsidRDefault="00BA4056">
            <w:pPr>
              <w:jc w:val="center"/>
              <w:rPr>
                <w:rFonts w:ascii="Cambria" w:eastAsia="Times New Roman" w:hAnsi="Cambria" w:cs="Arial"/>
                <w:sz w:val="20"/>
                <w:szCs w:val="20"/>
              </w:rPr>
            </w:pPr>
            <w:r>
              <w:rPr>
                <w:rFonts w:ascii="Cambria" w:eastAsia="Times New Roman" w:hAnsi="Cambria" w:cs="Arial"/>
                <w:sz w:val="20"/>
                <w:szCs w:val="20"/>
              </w:rPr>
              <w:t>US$260,875</w:t>
            </w:r>
          </w:p>
        </w:tc>
        <w:tc>
          <w:tcPr>
            <w:tcW w:w="1464"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30403C93"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t>PADF</w:t>
            </w:r>
          </w:p>
        </w:tc>
        <w:tc>
          <w:tcPr>
            <w:tcW w:w="1655" w:type="dxa"/>
            <w:tcBorders>
              <w:top w:val="single" w:sz="4" w:space="0" w:color="FFFFFF"/>
              <w:left w:val="single" w:sz="4" w:space="0" w:color="FFFFFF"/>
              <w:bottom w:val="single" w:sz="4" w:space="0" w:color="FFFFFF"/>
              <w:right w:val="single" w:sz="4" w:space="0" w:color="FFFFFF"/>
            </w:tcBorders>
            <w:shd w:val="clear" w:color="auto" w:fill="BDD6EE"/>
            <w:vAlign w:val="center"/>
            <w:hideMark/>
          </w:tcPr>
          <w:p w14:paraId="2B60A60D" w14:textId="77777777" w:rsidR="00BA4056" w:rsidRDefault="00BA4056">
            <w:pPr>
              <w:jc w:val="right"/>
              <w:rPr>
                <w:rFonts w:ascii="Cambria" w:eastAsia="Times New Roman" w:hAnsi="Cambria" w:cs="Arial"/>
                <w:sz w:val="20"/>
                <w:szCs w:val="20"/>
                <w:highlight w:val="green"/>
              </w:rPr>
            </w:pPr>
            <w:r>
              <w:rPr>
                <w:rFonts w:ascii="Cambria" w:eastAsia="Times New Roman" w:hAnsi="Cambria" w:cs="Arial"/>
                <w:sz w:val="20"/>
                <w:szCs w:val="20"/>
              </w:rPr>
              <w:t>Quarterly Report</w:t>
            </w:r>
          </w:p>
        </w:tc>
      </w:tr>
      <w:tr w:rsidR="00BA4056" w14:paraId="61BBDBD3" w14:textId="77777777" w:rsidTr="00BA4056">
        <w:trPr>
          <w:trHeight w:val="358"/>
          <w:jc w:val="center"/>
        </w:trPr>
        <w:tc>
          <w:tcPr>
            <w:tcW w:w="468"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617DA30C" w14:textId="77777777" w:rsidR="00BA4056" w:rsidRDefault="00BA4056" w:rsidP="00451F13">
            <w:pPr>
              <w:numPr>
                <w:ilvl w:val="0"/>
                <w:numId w:val="4"/>
              </w:numPr>
              <w:spacing w:after="200" w:line="276" w:lineRule="auto"/>
              <w:ind w:left="360"/>
              <w:jc w:val="right"/>
              <w:rPr>
                <w:rFonts w:ascii="Cambria" w:eastAsia="Times New Roman" w:hAnsi="Cambria" w:cs="Arial"/>
                <w:sz w:val="20"/>
                <w:szCs w:val="20"/>
              </w:rPr>
            </w:pPr>
          </w:p>
        </w:tc>
        <w:tc>
          <w:tcPr>
            <w:tcW w:w="4387"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2BE4FA59" w14:textId="77777777" w:rsidR="00BA4056" w:rsidRDefault="00BA4056">
            <w:pPr>
              <w:rPr>
                <w:rFonts w:ascii="Cambria" w:eastAsia="Times New Roman" w:hAnsi="Cambria" w:cs="Arial"/>
                <w:sz w:val="20"/>
                <w:szCs w:val="20"/>
              </w:rPr>
            </w:pPr>
            <w:r>
              <w:rPr>
                <w:rFonts w:ascii="Cambria" w:eastAsia="Times New Roman" w:hAnsi="Cambria" w:cs="Arial"/>
                <w:sz w:val="20"/>
                <w:szCs w:val="20"/>
              </w:rPr>
              <w:t>“Strengthening governance and human rights in Central America” Phase II</w:t>
            </w:r>
          </w:p>
        </w:tc>
        <w:tc>
          <w:tcPr>
            <w:tcW w:w="150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0A64ECE5" w14:textId="77777777" w:rsidR="00BA4056" w:rsidRDefault="00BA4056">
            <w:pPr>
              <w:jc w:val="center"/>
              <w:rPr>
                <w:rFonts w:ascii="Cambria" w:eastAsia="Times New Roman" w:hAnsi="Cambria" w:cs="Arial"/>
                <w:sz w:val="20"/>
                <w:szCs w:val="20"/>
              </w:rPr>
            </w:pPr>
            <w:r>
              <w:rPr>
                <w:rFonts w:ascii="Cambria" w:eastAsia="Times New Roman" w:hAnsi="Cambria" w:cs="Arial"/>
                <w:sz w:val="20"/>
                <w:szCs w:val="20"/>
              </w:rPr>
              <w:t>US$2,600,000</w:t>
            </w:r>
          </w:p>
        </w:tc>
        <w:tc>
          <w:tcPr>
            <w:tcW w:w="1464"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5CE0C862" w14:textId="77777777" w:rsidR="00BA4056" w:rsidRDefault="00BA4056">
            <w:pPr>
              <w:jc w:val="both"/>
              <w:rPr>
                <w:rFonts w:ascii="Cambria" w:eastAsia="Times New Roman" w:hAnsi="Cambria" w:cs="Arial"/>
                <w:sz w:val="20"/>
                <w:szCs w:val="20"/>
              </w:rPr>
            </w:pPr>
            <w:r>
              <w:rPr>
                <w:rFonts w:ascii="Cambria" w:eastAsia="Times New Roman" w:hAnsi="Cambria" w:cs="Arial"/>
                <w:sz w:val="20"/>
                <w:szCs w:val="20"/>
              </w:rPr>
              <w:t>Switzerland</w:t>
            </w:r>
          </w:p>
        </w:tc>
        <w:tc>
          <w:tcPr>
            <w:tcW w:w="1655" w:type="dxa"/>
            <w:tcBorders>
              <w:top w:val="single" w:sz="4" w:space="0" w:color="FFFFFF"/>
              <w:left w:val="single" w:sz="4" w:space="0" w:color="FFFFFF"/>
              <w:bottom w:val="single" w:sz="4" w:space="0" w:color="FFFFFF"/>
              <w:right w:val="single" w:sz="4" w:space="0" w:color="FFFFFF"/>
            </w:tcBorders>
            <w:shd w:val="clear" w:color="auto" w:fill="DEEAF6"/>
            <w:vAlign w:val="center"/>
            <w:hideMark/>
          </w:tcPr>
          <w:p w14:paraId="36744479"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 xml:space="preserve">Bimonthly Reports </w:t>
            </w:r>
          </w:p>
          <w:p w14:paraId="2573ACE0" w14:textId="77777777" w:rsidR="00BA4056" w:rsidRDefault="00BA4056">
            <w:pPr>
              <w:jc w:val="right"/>
              <w:rPr>
                <w:rFonts w:ascii="Cambria" w:eastAsia="Times New Roman" w:hAnsi="Cambria" w:cs="Arial"/>
                <w:sz w:val="20"/>
                <w:szCs w:val="20"/>
              </w:rPr>
            </w:pPr>
            <w:r>
              <w:rPr>
                <w:rFonts w:ascii="Cambria" w:eastAsia="Times New Roman" w:hAnsi="Cambria" w:cs="Arial"/>
                <w:sz w:val="20"/>
                <w:szCs w:val="20"/>
              </w:rPr>
              <w:t>Mid-term Report</w:t>
            </w:r>
          </w:p>
        </w:tc>
      </w:tr>
    </w:tbl>
    <w:p w14:paraId="7EED0E4E" w14:textId="77777777" w:rsidR="00BA4056" w:rsidRDefault="00BA4056" w:rsidP="00BA4056">
      <w:pPr>
        <w:pStyle w:val="ListParagraph1"/>
        <w:ind w:left="1440"/>
        <w:jc w:val="both"/>
        <w:rPr>
          <w:rFonts w:ascii="Cambria" w:eastAsia="Calibri" w:hAnsi="Cambria"/>
          <w:b/>
          <w:sz w:val="20"/>
          <w:szCs w:val="20"/>
        </w:rPr>
      </w:pPr>
    </w:p>
    <w:p w14:paraId="674AD2AD" w14:textId="77777777" w:rsidR="00BA4056" w:rsidRDefault="00BA4056" w:rsidP="00BA4056">
      <w:pPr>
        <w:pStyle w:val="Heading2"/>
      </w:pPr>
      <w:r>
        <w:t>Project Funding Proposals</w:t>
      </w:r>
    </w:p>
    <w:p w14:paraId="3C8118EE" w14:textId="77777777" w:rsidR="00BA4056" w:rsidRDefault="00BA4056" w:rsidP="00BA4056">
      <w:pPr>
        <w:pStyle w:val="paragraphs"/>
        <w:ind w:left="0" w:firstLine="720"/>
        <w:rPr>
          <w:lang w:val="en-US"/>
        </w:rPr>
      </w:pPr>
      <w:r>
        <w:rPr>
          <w:lang w:val="en-US"/>
        </w:rPr>
        <w:t>In 2020, the IACHR Executive Secretariat drafted 16 project funding proposals for submission to donors. Most of the proposals were approved.</w:t>
      </w:r>
    </w:p>
    <w:p w14:paraId="3FA63362"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Reformulation and submission of the project proposal “Promoting and Training on the Inter</w:t>
      </w:r>
      <w:r>
        <w:rPr>
          <w:rFonts w:ascii="Cambria" w:hAnsi="Cambria"/>
          <w:sz w:val="20"/>
          <w:szCs w:val="20"/>
        </w:rPr>
        <w:noBreakHyphen/>
        <w:t>American Human Rights System and Public Policy Making with a human rights approach in the Americas” to the Autonomous Community of the Balearic Islands. The project has been postponed due to the COVID-19 pandemic.</w:t>
      </w:r>
    </w:p>
    <w:p w14:paraId="660E1708"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 xml:space="preserve">Drafting and submission of a proposal to Canada containing a logical framework and indicator monitoring plan for a one-year extension of the project to combat violence and discrimination against women and girls in Latin America and the Caribbean – an additional CAN$1,000,000. The request was approved and the project is under way. </w:t>
      </w:r>
    </w:p>
    <w:p w14:paraId="45968558"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 xml:space="preserve">Drafting and submission of the proposal on the MESEVE Mechanism to Canada and other donors. The project is in the process of mobilizing funds and has been submitted to the donor roundtable. </w:t>
      </w:r>
    </w:p>
    <w:p w14:paraId="3A8648FA"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Drafting and submission of a proposal for launching the GIEI Bolivia. The proposal is being disseminated to mobilize funds. First donor roundtable has been held.</w:t>
      </w:r>
    </w:p>
    <w:p w14:paraId="4CAA67A6"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 xml:space="preserve">Drafting and submission of a proposal to the Government of Canada for strengthening IACHR capacities in the protection of human rights in during crises. In the review and redefinition process. </w:t>
      </w:r>
    </w:p>
    <w:p w14:paraId="40573A6C"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 xml:space="preserve">Drafting and submission of a project on COVID-19 and human rights for submission to the donor roundtable. The proposal is being distributed to mobilize funds. </w:t>
      </w:r>
    </w:p>
    <w:p w14:paraId="6D692962"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 xml:space="preserve">Drafting and submission of the Project to Strengthen the </w:t>
      </w:r>
      <w:proofErr w:type="spellStart"/>
      <w:r>
        <w:rPr>
          <w:rFonts w:ascii="Cambria" w:hAnsi="Cambria"/>
          <w:sz w:val="20"/>
          <w:szCs w:val="20"/>
        </w:rPr>
        <w:t>Rapporteurship</w:t>
      </w:r>
      <w:proofErr w:type="spellEnd"/>
      <w:r>
        <w:rPr>
          <w:rFonts w:ascii="Cambria" w:hAnsi="Cambria"/>
          <w:sz w:val="20"/>
          <w:szCs w:val="20"/>
        </w:rPr>
        <w:t xml:space="preserve"> on the Rights of LGBTI Persons for Wellspring.</w:t>
      </w:r>
    </w:p>
    <w:p w14:paraId="766580DF"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 xml:space="preserve">Drafting and submission of a Project to Strengthen International Protection for Migrants, Displaced Persons, and Refugees in Countries of Origin, Destination, and Return in the Americas for UNHCR. The $80,000 project completed its execution.  </w:t>
      </w:r>
    </w:p>
    <w:p w14:paraId="2F0DD6FC"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Drafting and submission of a project for the Kingdom of the Netherlands for additional funds in the amount of $108,500 for the Special Follow-up Mechanism for Venezuela (MESEVE).</w:t>
      </w:r>
    </w:p>
    <w:p w14:paraId="40FD51A5"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lastRenderedPageBreak/>
        <w:t>Drafting and submission of a project proposal to the Government of Spain for the Special Follow-up Mechanism for Nicaragua – Phase II. The project for $119,870 was approved and will commence in 2021.</w:t>
      </w:r>
    </w:p>
    <w:p w14:paraId="51320773"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Drafting and submission a project proposal to the Government of Spain for Strengthening Legal Standards and Recommendations to Combat Structural Racial Discrimination in the Americas – Phase II. The project in the amount of $299,675.00 was approved and will commence in 2021.</w:t>
      </w:r>
    </w:p>
    <w:p w14:paraId="07549ED2"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Drafting and submission of the Concept Note “Worker’s Rights in Cuba” for the submission of a joint proposal with PADF. The proposal in the amount of $470,000 was approved.</w:t>
      </w:r>
    </w:p>
    <w:p w14:paraId="545DA22C"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Drafting and submission of a proposal to the United States Department of State for an additional $4,924,999 for the project “Boosting the Effectiveness of the IACHR’s Work in 2018</w:t>
      </w:r>
      <w:r>
        <w:rPr>
          <w:rFonts w:ascii="Cambria" w:hAnsi="Cambria"/>
          <w:sz w:val="20"/>
          <w:szCs w:val="20"/>
        </w:rPr>
        <w:noBreakHyphen/>
        <w:t xml:space="preserve">2020”. The project was approved and is under way. </w:t>
      </w:r>
    </w:p>
    <w:p w14:paraId="2723618E"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 xml:space="preserve">Drafting and submission to PADF of Proposed Activities and Addition to the Project for Strengthening Democracy and Human Rights in the Northern </w:t>
      </w:r>
      <w:proofErr w:type="gramStart"/>
      <w:r>
        <w:rPr>
          <w:rFonts w:ascii="Cambria" w:hAnsi="Cambria"/>
          <w:sz w:val="20"/>
          <w:szCs w:val="20"/>
        </w:rPr>
        <w:t>Triangle.“</w:t>
      </w:r>
      <w:proofErr w:type="gramEnd"/>
      <w:r>
        <w:rPr>
          <w:rFonts w:ascii="Cambria" w:hAnsi="Cambria"/>
          <w:sz w:val="20"/>
          <w:szCs w:val="20"/>
        </w:rPr>
        <w:t xml:space="preserve"> The proposal was approved and is under way.</w:t>
      </w:r>
    </w:p>
    <w:p w14:paraId="136249D3"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 xml:space="preserve">Drafting and submission of the proposal to the Government of Ireland for the project “Access to International Justice through Processing of Petitions Filed with the IACHR whose Admissibility Review is Pending” in the amount of €150.000. The project, in the amount of €50,000, was approved for one year, with implementation beginning on December 1, 2020. </w:t>
      </w:r>
    </w:p>
    <w:p w14:paraId="3CB6D0D6" w14:textId="77777777" w:rsidR="00BA4056" w:rsidRDefault="00BA4056" w:rsidP="00BA4056">
      <w:pPr>
        <w:pStyle w:val="ListParagraph1"/>
        <w:numPr>
          <w:ilvl w:val="0"/>
          <w:numId w:val="5"/>
        </w:numPr>
        <w:ind w:left="1440" w:hanging="720"/>
        <w:jc w:val="both"/>
        <w:rPr>
          <w:rFonts w:ascii="Cambria" w:hAnsi="Cambria"/>
          <w:sz w:val="20"/>
          <w:szCs w:val="20"/>
        </w:rPr>
      </w:pPr>
      <w:r>
        <w:rPr>
          <w:rFonts w:ascii="Cambria" w:hAnsi="Cambria"/>
          <w:sz w:val="20"/>
          <w:szCs w:val="20"/>
        </w:rPr>
        <w:t>Drafting and submission of the joint ILO, FAO, IOM initiative with IACHR assistance to promote the rights of migrants impacted by COVID-19. The proposal is currently under review.</w:t>
      </w:r>
    </w:p>
    <w:p w14:paraId="4C766986" w14:textId="77777777" w:rsidR="00BA4056" w:rsidRDefault="00BA4056" w:rsidP="00BA4056">
      <w:pPr>
        <w:rPr>
          <w:rFonts w:ascii="Cambria" w:hAnsi="Cambria"/>
          <w:b/>
          <w:sz w:val="20"/>
          <w:szCs w:val="20"/>
        </w:rPr>
      </w:pPr>
    </w:p>
    <w:p w14:paraId="75BB13F7" w14:textId="77777777" w:rsidR="00BA4056" w:rsidRDefault="00BA4056" w:rsidP="00BA4056">
      <w:pPr>
        <w:pStyle w:val="Heading1"/>
        <w:rPr>
          <w:rFonts w:eastAsiaTheme="minorHAnsi"/>
        </w:rPr>
      </w:pPr>
      <w:r>
        <w:rPr>
          <w:rFonts w:eastAsiaTheme="minorHAnsi"/>
        </w:rPr>
        <w:t>Technological Breakthroughs</w:t>
      </w:r>
    </w:p>
    <w:p w14:paraId="24F9E637" w14:textId="77777777" w:rsidR="00BA4056" w:rsidRDefault="00BA4056" w:rsidP="00BA4056">
      <w:pPr>
        <w:pStyle w:val="paragraphs"/>
        <w:ind w:left="0" w:firstLine="720"/>
        <w:rPr>
          <w:lang w:val="en-US"/>
        </w:rPr>
      </w:pPr>
      <w:r>
        <w:rPr>
          <w:lang w:val="en-US"/>
        </w:rPr>
        <w:t xml:space="preserve">In view of the COVID-19 pandemic, one of the Commission’s main objectives has been to maintain and develop new tools for optimal interconnection, with the aid of cutting-edge technologies, to enable Executive Secretariat members and staff to work without interruption and maintain direct contact with those who rely on and reach out to the Inter-American System of Human Rights System (IASHR). The continuity of remote work has been maintained thanks to the leadership of the Executive Secretariat (Technology and Systems Section) in its role as innovator and its capacity to adapt to the new work modality, providing the necessary supervision and assistance to improve and maintain constantly evolving virtual work processes. To </w:t>
      </w:r>
      <w:proofErr w:type="spellStart"/>
      <w:r>
        <w:rPr>
          <w:lang w:val="en-US"/>
        </w:rPr>
        <w:t>transformatively</w:t>
      </w:r>
      <w:proofErr w:type="spellEnd"/>
      <w:r>
        <w:rPr>
          <w:lang w:val="en-US"/>
        </w:rPr>
        <w:t xml:space="preserve"> and efficiently hold distance meetings and seminars, the TSS has provided the necessary support for research, evidence, and the creation of real scenarios via different platforms and configurations, functions, and uses for the Commission’s entire series of internal and external webinars during these pandemic times for both the SACROID COVID-19 and other matters requiring distance meetings, training, and seminars. It has provided assistance to more than 140 panelists specializing in human rights in 23 virtual thematic seminars attended by more than 1 million participants. All this has been made possible by the use of technologies and methodologies, accompanied by ceaseless research and recommendations concerning the functions that can be integrated into videoconferencing technology platforms. </w:t>
      </w:r>
    </w:p>
    <w:p w14:paraId="22018CA5" w14:textId="77777777" w:rsidR="00BA4056" w:rsidRDefault="00BA4056" w:rsidP="00BA4056">
      <w:pPr>
        <w:pStyle w:val="paragraphs"/>
        <w:ind w:left="0" w:firstLine="720"/>
        <w:rPr>
          <w:lang w:val="en-US"/>
        </w:rPr>
      </w:pPr>
      <w:r>
        <w:rPr>
          <w:lang w:val="en-US"/>
        </w:rPr>
        <w:t xml:space="preserve">This was the first time that that so many telecommunications technologies had been combined in the Commission, serving as pilot projects such as working meetings by videoconference, which clearly represent progress that provides great experience for tackling the problems of today. Technology has played a significant role in many activities during the pandemic, helping to secure many benefits. Among the processes in which technology has helped </w:t>
      </w:r>
      <w:r>
        <w:rPr>
          <w:lang w:val="en-US"/>
        </w:rPr>
        <w:lastRenderedPageBreak/>
        <w:t>us advance, we can cite: • optimum processes; • higher productivity; • lowering of communication barriers; • competitiveness in the work performed; and • improved decision-making.</w:t>
      </w:r>
    </w:p>
    <w:p w14:paraId="307D666A" w14:textId="77777777" w:rsidR="00BA4056" w:rsidRDefault="00BA4056" w:rsidP="00BA4056">
      <w:pPr>
        <w:pStyle w:val="paragraphs"/>
        <w:ind w:left="0" w:firstLine="720"/>
        <w:rPr>
          <w:lang w:val="en-US"/>
        </w:rPr>
      </w:pPr>
      <w:r>
        <w:rPr>
          <w:lang w:val="en-US"/>
        </w:rPr>
        <w:t>Connectivity is essential and must be properly utilized to improve digital skills. We have been learning a great deal more about what we call “remote work,” as it is not only an effective solution in our day</w:t>
      </w:r>
      <w:r>
        <w:rPr>
          <w:lang w:val="en-US"/>
        </w:rPr>
        <w:noBreakHyphen/>
        <w:t>to</w:t>
      </w:r>
      <w:r>
        <w:rPr>
          <w:lang w:val="en-US"/>
        </w:rPr>
        <w:noBreakHyphen/>
        <w:t>day work but critical in pandemics. Digital transformation implies the development of internal organizational capacity leveraged with the use of new technologies to meet the needs of users currently working in a digital environment, whose numbers have risen as a result of the confinement caused by the pandemic – a situation that involves much nimbler information processing. COVID-19 has produced a marked acceleration in the use of organizational management tools, demonstrating once again that information technology is more than a basic element but a key strategic area that serves as the foundation for the execution of work and administrative processes. The immediacy facilitated by the speed of technology has enabled our IASHR users from different sectors to follow the Commission’s activities in record time.</w:t>
      </w:r>
    </w:p>
    <w:p w14:paraId="55CECD7E" w14:textId="77777777" w:rsidR="00BA4056" w:rsidRDefault="00BA4056" w:rsidP="00BA4056">
      <w:pPr>
        <w:pStyle w:val="paragraphs"/>
        <w:ind w:left="0" w:firstLine="720"/>
        <w:rPr>
          <w:lang w:val="en-US"/>
        </w:rPr>
      </w:pPr>
      <w:r>
        <w:rPr>
          <w:lang w:val="en-US"/>
        </w:rPr>
        <w:t xml:space="preserve">The Commission has constantly sought to promote technological innovation in the special circumstances in which we find ourselves today. It has searched for the most secure and best performing technology platforms to use in our virtual meetings and seminars. It has also integrated functions to hold efficient videoconferences with the necessary tools to support them. To ensure the availability of more functions and constant innovation, it has updated the subscription and procurement of our virtual videoconferencing services. This has allowed for more planning and holding of side meetings, during which staff from the Executive Secretariat have capitalized on to program different virtual meetings and/or seminars. </w:t>
      </w:r>
    </w:p>
    <w:p w14:paraId="79AE4492" w14:textId="77777777" w:rsidR="00BA4056" w:rsidRDefault="00BA4056" w:rsidP="00BA4056">
      <w:pPr>
        <w:pStyle w:val="paragraphs"/>
        <w:ind w:left="0" w:firstLine="720"/>
        <w:rPr>
          <w:lang w:val="en-US"/>
        </w:rPr>
      </w:pPr>
      <w:r>
        <w:rPr>
          <w:lang w:val="en-US"/>
        </w:rPr>
        <w:t xml:space="preserve">The 176th, 177th, and 178th Periods of Sessions have been historic and unprecedented events with all processes virtualized, with its distance sessions and hearings representing a special moment for the Commission. To ensure proper execution of the Periods of Sessions, numerous tests of the videoconferencing platforms were run to tailor work methodologies to our practices. For the first time, virtual hearings were held, marking a before and after with respect to the modalities and versatility offered by the Commission to continue meeting the expectations of our IASHR users. Efforts were made to ensure that the hearings had the right configuration for the interpretation of several languages and live subtitles and that the live transmission was well and efficiently executed simultaneously on several platforms to guarantee greater outreach to our users. Thanks to the virtual implementation, 46 hearings were seen by 202,024 people during the Period of Sessions.     </w:t>
      </w:r>
    </w:p>
    <w:p w14:paraId="2D898129" w14:textId="77777777" w:rsidR="00BA4056" w:rsidRDefault="00BA4056" w:rsidP="00BA4056">
      <w:pPr>
        <w:pStyle w:val="paragraphs"/>
        <w:ind w:left="0" w:firstLine="720"/>
        <w:rPr>
          <w:lang w:val="en-US"/>
        </w:rPr>
      </w:pPr>
      <w:r>
        <w:rPr>
          <w:lang w:val="en-US"/>
        </w:rPr>
        <w:t xml:space="preserve">Implementation of the live subtitles function was used for the participation of persons with disabilities, giving our online seminars and hearings greater reach and accessibility for people who connect to monitor compliance with our mandates. This function was implemented simultaneously in several languages for all hearings of the 178th Period of Sessions, constituting an unprecedented moment on the very day of the observance of International Day of Persons with Disabilities.  A digital timer was created and used to keep track of the time allotted by the Commission to the parties during the hearings. It should be noted that during the 178th Period of Sessions, an interpretation channel for the indigenous Nahuatl language was created for the hearing on Case 13.425 - Ernestina </w:t>
      </w:r>
      <w:proofErr w:type="spellStart"/>
      <w:r>
        <w:rPr>
          <w:lang w:val="en-US"/>
        </w:rPr>
        <w:t>Ascencio</w:t>
      </w:r>
      <w:proofErr w:type="spellEnd"/>
      <w:r>
        <w:rPr>
          <w:lang w:val="en-US"/>
        </w:rPr>
        <w:t xml:space="preserve"> Rosario et al. v. Mexico, providing live interpretation of a hearing in this language for the first time and permitting greater outreach to people from this community through this medium. The creation and configuration of this interpretation channel will facilitate its use in future hearings or meeting where this native language is needed, thus improving access. </w:t>
      </w:r>
    </w:p>
    <w:p w14:paraId="0F2CDFEF" w14:textId="77777777" w:rsidR="00BA4056" w:rsidRDefault="00BA4056" w:rsidP="00BA4056">
      <w:pPr>
        <w:pStyle w:val="paragraphs"/>
        <w:ind w:left="0" w:firstLine="720"/>
        <w:rPr>
          <w:lang w:val="en-US"/>
        </w:rPr>
      </w:pPr>
      <w:r>
        <w:rPr>
          <w:lang w:val="en-US"/>
        </w:rPr>
        <w:lastRenderedPageBreak/>
        <w:t>Continuing this line of technological innovation, a system was procured that facilitates data utilization and management with different types of classifications, filters, and reports. This tool helps Executive Secretariat teams to work more seamlessly and efficiently with new technologies. One of the most outstanding benefits of this tool is its platform for collaboration, where inputs in multimedia format, texts, data files and different types of information, photos, etc. can be shared. The Executive Secretariat’s staff were trained in the use of this collaborative tool.</w:t>
      </w:r>
    </w:p>
    <w:p w14:paraId="479785BA" w14:textId="77777777" w:rsidR="00BA4056" w:rsidRDefault="00BA4056" w:rsidP="00BA4056">
      <w:pPr>
        <w:pStyle w:val="paragraphs"/>
        <w:ind w:left="0" w:firstLine="720"/>
        <w:rPr>
          <w:lang w:val="en-US"/>
        </w:rPr>
      </w:pPr>
      <w:r>
        <w:rPr>
          <w:lang w:val="en-US"/>
        </w:rPr>
        <w:t xml:space="preserve">The electronic voting system (E-Vote) was successfully launched for Executive Secretariat queries to the Commission. Through E-Vote, we have automated communication for our members’ queries and decision-making, further increasing its efficiency. Prior to the advent of the system, voting was done through the exchange of multiple e-mails, and the votes were recorded and monitored manually. This required care and attention by the individuals responsible to guarantee that the information reached election participants, as well as reminders to complete voting processes that remained open or pending. The results of the vote were not entered in a centralized system. Likewise, each question by each commissioner in each e-mail had to be translated into several languages. The system now offers automatic translation of the participants’ questions and comments. The system even has automatic vote counting on consultations, deadline monitoring and alerts, automatic notifications, advanced searches, and electronic generation of smart reports, resulting in greater transparency and efficiency for the Commission. With the introduction of this automated system, the Commission is making better use of information technology solutions and boosting productivity and efficiency in vote monitoring. </w:t>
      </w:r>
    </w:p>
    <w:p w14:paraId="1AF2095D" w14:textId="77777777" w:rsidR="00BA4056" w:rsidRDefault="00BA4056" w:rsidP="00BA4056">
      <w:pPr>
        <w:pStyle w:val="paragraphs"/>
        <w:ind w:left="0" w:firstLine="720"/>
        <w:rPr>
          <w:lang w:val="en-US"/>
        </w:rPr>
      </w:pPr>
      <w:r>
        <w:rPr>
          <w:lang w:val="en-US"/>
        </w:rPr>
        <w:t>The Inter-American System for Monitoring Recommendations (SIMORE), was also launched this year and is fully operational for all our users, member States, and civil society. The system offers recommendations through its various mechanisms such as friendly settlement agreements, Chapter IV.B of the Mid-term Report, Published Merits Reports, Country Reports, and Resolutions. Users can search for the desired information and download it in different formats. Furthermore, the creation of Member State and civil society accounts permits greater participation by remitting information linked with the monitoring of the Commission’s recommendations. SIMORE’s implementation was therefore essential for simplifying the organization of recommendations to the States through merits and thematic reports, period of session’s hearings, press releases, etc. These recommendations used to be communicated through different channels and were not classified or systematized, making them unavailable to users wishing to search for and monitor them. This new tool makes it possible to monitor Commission decisions and recommendations to boost IASHR effectiveness. Once SIMORE was fully implemented, training was provided to the member States and civil society, describing the system’s information security, creating and activating accounts, and issuing important recommendations about the use, advantages, and functions of the system. This project is truly a milestone in the history of the Commission and offers real assistance to all of our users, member States, and civil society.</w:t>
      </w:r>
    </w:p>
    <w:p w14:paraId="525DF1A0" w14:textId="77777777" w:rsidR="00BA4056" w:rsidRDefault="00BA4056" w:rsidP="00BA4056">
      <w:pPr>
        <w:pStyle w:val="paragraphs"/>
        <w:ind w:left="0" w:firstLine="720"/>
        <w:rPr>
          <w:lang w:val="en-US"/>
        </w:rPr>
      </w:pPr>
      <w:r>
        <w:rPr>
          <w:lang w:val="en-US"/>
        </w:rPr>
        <w:t xml:space="preserve">Analysis continued for the implementation of the Integrated Information Analysis and Management Platform (IIAMP). The definition of the scope of the project has been furthered, as well as the analysis regarding the registration, management and production of the information within the platform. Additionally, the goals and objectives of the platform and its technological requirements were reviewed. The proposed logical framework for the project has been developed thanks to the joint participation and collaboration between the different areas of the ES/IACHR involved. </w:t>
      </w:r>
    </w:p>
    <w:p w14:paraId="790B73D8" w14:textId="77777777" w:rsidR="00BA4056" w:rsidRDefault="00BA4056" w:rsidP="00BA4056">
      <w:pPr>
        <w:pStyle w:val="paragraphs"/>
        <w:ind w:left="0" w:firstLine="720"/>
        <w:rPr>
          <w:lang w:val="en-US"/>
        </w:rPr>
      </w:pPr>
      <w:r>
        <w:rPr>
          <w:lang w:val="en-US"/>
        </w:rPr>
        <w:lastRenderedPageBreak/>
        <w:t xml:space="preserve">We also completed the modernization of the Executive Secretariat’s technology, installing 69 new computers. The modernization of equipment and technology is essential for ongoing technological improvement and staying on top of trends that will help the Executive Secretariat to innovate and keep up to date. </w:t>
      </w:r>
    </w:p>
    <w:p w14:paraId="476814D0" w14:textId="77777777" w:rsidR="00BA4056" w:rsidRDefault="00BA4056" w:rsidP="00BA4056">
      <w:pPr>
        <w:pStyle w:val="paragraphs"/>
        <w:ind w:left="0" w:firstLine="720"/>
        <w:rPr>
          <w:lang w:val="en-US"/>
        </w:rPr>
      </w:pPr>
      <w:r>
        <w:rPr>
          <w:lang w:val="en-US"/>
        </w:rPr>
        <w:t xml:space="preserve">We continued to move forward with the project to revamp the Commission’s main systems. Progress was made in the collection, analysis, and consolidation of information. With the information obtained, we continued working on the diagramming of inputs and advancing in the design and development of the system. The project will offer staff a better experience when they interact with the system and enable them to process information more quickly. It will streamline the processing of information for internal use and for our external users, the main purpose being to stabilize and improve automated work. </w:t>
      </w:r>
    </w:p>
    <w:p w14:paraId="7EF34667" w14:textId="77777777" w:rsidR="00BA4056" w:rsidRDefault="00BA4056" w:rsidP="00BA4056">
      <w:pPr>
        <w:pStyle w:val="paragraphs"/>
        <w:ind w:left="0" w:firstLine="720"/>
        <w:rPr>
          <w:lang w:val="en-US"/>
        </w:rPr>
      </w:pPr>
      <w:r>
        <w:rPr>
          <w:lang w:val="en-US"/>
        </w:rPr>
        <w:t xml:space="preserve">Five training events on the Commission’s main systems and technology resources were held for 65 users, including regular staff, consultants, fellows, and interns. These events also provided training and presentation materials and additional documentation on protocols and user’s manuals. </w:t>
      </w:r>
    </w:p>
    <w:p w14:paraId="55E0CB43" w14:textId="77777777" w:rsidR="00BA4056" w:rsidRDefault="00BA4056" w:rsidP="00BA4056">
      <w:pPr>
        <w:pStyle w:val="paragraphs"/>
        <w:ind w:left="0" w:firstLine="720"/>
        <w:rPr>
          <w:lang w:val="en-US"/>
        </w:rPr>
      </w:pPr>
      <w:r>
        <w:rPr>
          <w:lang w:val="en-US"/>
        </w:rPr>
        <w:t xml:space="preserve">In 2020, 4,355 new accounts in the Individual Petition System Portal were created, 2,308 of which are active. Furthermore, the IACHR replied to more than 5,000 user queries submitted to the mailbox of the system’s Portal this year. Replying to our users is essential, and we are continuing this effort to provide technical assistance and monitoring of Portal operations and use. We also supported the campaign to promote use of the Portal, especially in today’s circumstances, automating more processes to provide our users with a rapid and effective response. We added two new States, Panama and the Dominican Republic, representing one more achievement for direct automated communication between States, Petitioners, and the Commission. </w:t>
      </w:r>
    </w:p>
    <w:p w14:paraId="2BE2AE45" w14:textId="77777777" w:rsidR="00BA4056" w:rsidRDefault="00BA4056" w:rsidP="00BA4056">
      <w:pPr>
        <w:pStyle w:val="paragraphs"/>
        <w:ind w:left="0" w:firstLine="720"/>
        <w:rPr>
          <w:lang w:val="en-US"/>
        </w:rPr>
      </w:pPr>
      <w:r>
        <w:rPr>
          <w:lang w:val="en-US"/>
        </w:rPr>
        <w:t>The following automated systems were brought online to aid in free, easy-to-access digital information gathering for our users. This has been helping us improve data management and response times in the different areas of the IACHR Executive Secretariat:</w:t>
      </w:r>
    </w:p>
    <w:p w14:paraId="32445A3E" w14:textId="77777777" w:rsidR="00BA4056" w:rsidRDefault="00BA4056" w:rsidP="00BA4056">
      <w:pPr>
        <w:pStyle w:val="paragraphs"/>
        <w:ind w:left="0" w:firstLine="720"/>
        <w:rPr>
          <w:lang w:val="en-US"/>
        </w:rPr>
      </w:pPr>
      <w:r>
        <w:rPr>
          <w:lang w:val="en-US"/>
        </w:rPr>
        <w:t xml:space="preserve">Requests for Hearings/Working Meetings – 175th PS, in the four official languages. The system was designed to receive requests for hearings and/or working meetings during the 175th Period of Sessions. The information was organized, and a report was prepared to select the hearings and working meetings to be held during this Period of Sessions, which was held in Haiti. </w:t>
      </w:r>
    </w:p>
    <w:p w14:paraId="0346D9D0" w14:textId="77777777" w:rsidR="00BA4056" w:rsidRDefault="00BA4056" w:rsidP="00BA4056">
      <w:pPr>
        <w:pStyle w:val="paragraphs"/>
        <w:ind w:left="0" w:firstLine="720"/>
        <w:rPr>
          <w:lang w:val="en-US"/>
        </w:rPr>
      </w:pPr>
      <w:r>
        <w:rPr>
          <w:lang w:val="en-US"/>
        </w:rPr>
        <w:t xml:space="preserve">Call to participate in hearings requested by the State – 175th PS. This system issued a call to civil society organizations wishing to participate in the hearing held in the 175th PS on: Human Rights Violations during the Elections in Bolivia. </w:t>
      </w:r>
    </w:p>
    <w:p w14:paraId="501EB982" w14:textId="77777777" w:rsidR="00BA4056" w:rsidRDefault="00BA4056" w:rsidP="00BA4056">
      <w:pPr>
        <w:pStyle w:val="paragraphs"/>
        <w:ind w:left="0" w:firstLine="720"/>
        <w:rPr>
          <w:lang w:val="en-US"/>
        </w:rPr>
      </w:pPr>
      <w:r>
        <w:rPr>
          <w:lang w:val="en-US"/>
        </w:rPr>
        <w:t xml:space="preserve">Requests for Hearings/Working Meetings – 176th, 177th, and 178th virtual PS’s in the four official languages. Given the COVID-19 pandemic, the 176th PS’s request-for-hearing system was opened in two stages. The second stage was reopened only for working meetings, since this Period of Sessions was switched to the virtual mode. The report of the 176th PS was prepared, and the requests received in the first and second stage were considered for the reports. Reports were subsequently prepared with the information obtained on the requests for the 177th and 178th virtual PS’s, facilitating the IACHR’s decision-making in the selection of the hearings and working meetings to be held during these Periods of Sessions. </w:t>
      </w:r>
    </w:p>
    <w:p w14:paraId="45BF8BDE" w14:textId="77777777" w:rsidR="00BA4056" w:rsidRDefault="00BA4056" w:rsidP="00BA4056">
      <w:pPr>
        <w:pStyle w:val="paragraphs"/>
        <w:ind w:left="0" w:firstLine="720"/>
        <w:rPr>
          <w:lang w:val="en-US"/>
        </w:rPr>
      </w:pPr>
      <w:r>
        <w:rPr>
          <w:lang w:val="en-US"/>
        </w:rPr>
        <w:lastRenderedPageBreak/>
        <w:t xml:space="preserve">Application form in English and Spanish for participation in the meetings with civil society during the Commission’s 176th, 177th, and 178th Period of Sessions. This system called on civil society organizations in the Americas to participate in the meetings held during the 176th, 177th, and 178th Period of Sessions, which were held virtually. Final reports were also prepared in which the information from interested organizations was included and organized, thereby facilitating notices to participants on how to connect to the meetings. </w:t>
      </w:r>
    </w:p>
    <w:p w14:paraId="606593BF" w14:textId="77777777" w:rsidR="00BA4056" w:rsidRDefault="00BA4056" w:rsidP="00BA4056">
      <w:pPr>
        <w:pStyle w:val="paragraphs"/>
        <w:ind w:left="0" w:firstLine="720"/>
        <w:rPr>
          <w:lang w:val="en-US"/>
        </w:rPr>
      </w:pPr>
      <w:r>
        <w:rPr>
          <w:lang w:val="en-US"/>
        </w:rPr>
        <w:t xml:space="preserve">Comments on the Finalists for Special Rapporteur for Freedom of Expression (RELE). Through this system, the Commission received comments regarding the finalists in the competition for the position of Special Rapporteur for Freedom of Express. These comments were received and retained until the preparation of the final report that organizes the information and contributes to more efficient delivery of this input to the Commission for decision-making. </w:t>
      </w:r>
    </w:p>
    <w:p w14:paraId="33E1E6E5" w14:textId="77777777" w:rsidR="00BA4056" w:rsidRDefault="00BA4056" w:rsidP="00BA4056">
      <w:pPr>
        <w:pStyle w:val="paragraphs"/>
        <w:ind w:left="0" w:firstLine="720"/>
        <w:rPr>
          <w:lang w:val="en-US"/>
        </w:rPr>
      </w:pPr>
      <w:r>
        <w:rPr>
          <w:lang w:val="en-US"/>
        </w:rPr>
        <w:t xml:space="preserve">IACHR Recommendation Monitoring Fellowship. This system offered the option of applying for a fellowship to join the team for Monitoring Recommendations and Impact, where the awardee will support the work of the Executive Secretariat under the supervision of experts during the fellowship period. Through this system, applicants sent the required information, enabling the IACHR to receive it strategically and accessibly to decide on and select the individual to be awarded the fellowship. </w:t>
      </w:r>
    </w:p>
    <w:p w14:paraId="7C63B73B" w14:textId="77777777" w:rsidR="00BA4056" w:rsidRDefault="00BA4056" w:rsidP="00BA4056">
      <w:pPr>
        <w:pStyle w:val="paragraphs"/>
        <w:ind w:left="0" w:firstLine="720"/>
        <w:rPr>
          <w:lang w:val="en-US"/>
        </w:rPr>
      </w:pPr>
      <w:r>
        <w:rPr>
          <w:lang w:val="en-US"/>
        </w:rPr>
        <w:t xml:space="preserve">Rights of LGBTI Persons Fellowship. With this automated tool, users could submit an application to join the IACHR </w:t>
      </w:r>
      <w:proofErr w:type="spellStart"/>
      <w:r>
        <w:rPr>
          <w:lang w:val="en-US"/>
        </w:rPr>
        <w:t>Rapporteurship</w:t>
      </w:r>
      <w:proofErr w:type="spellEnd"/>
      <w:r>
        <w:rPr>
          <w:lang w:val="en-US"/>
        </w:rPr>
        <w:t xml:space="preserve"> on the Rights of Lesbian, Gay, Bisexual, Trans, and Intersex (LGBTI) Persons, putting the option to apply for this fellowship online and making it accessible to many people interested in this issue. We compiled the information from the applicants and shared it with the team of the </w:t>
      </w:r>
      <w:proofErr w:type="spellStart"/>
      <w:r>
        <w:rPr>
          <w:lang w:val="en-US"/>
        </w:rPr>
        <w:t>Rapporteurship</w:t>
      </w:r>
      <w:proofErr w:type="spellEnd"/>
      <w:r>
        <w:rPr>
          <w:lang w:val="en-US"/>
        </w:rPr>
        <w:t xml:space="preserve"> on the Rights of LGBTI Persons in a report containing all the information received electronically to facilitate the awarding of the fellowship to the right person, thanks to the summarized information received. </w:t>
      </w:r>
    </w:p>
    <w:p w14:paraId="18793CAF" w14:textId="77777777" w:rsidR="00BA4056" w:rsidRDefault="00BA4056" w:rsidP="00BA4056">
      <w:pPr>
        <w:pStyle w:val="paragraphs"/>
        <w:ind w:left="0" w:firstLine="720"/>
        <w:rPr>
          <w:lang w:val="en-US"/>
        </w:rPr>
      </w:pPr>
      <w:r>
        <w:rPr>
          <w:lang w:val="en-US"/>
        </w:rPr>
        <w:t xml:space="preserve">Call to participate in a hearing officially requested by the Commission in the 177th PS. Through this online application, the Commission issued a call to civil society organizations interested in participating in the following hearing, to be held during the 177th Period of Sessions: The Overall Human Rights Situation in Bolivia. </w:t>
      </w:r>
    </w:p>
    <w:p w14:paraId="1309BF12" w14:textId="34FDB813" w:rsidR="003558E5" w:rsidRPr="00451F13" w:rsidRDefault="00BA4056" w:rsidP="00BA4056">
      <w:pPr>
        <w:pStyle w:val="paragraphs"/>
        <w:ind w:left="0" w:firstLine="720"/>
        <w:rPr>
          <w:lang w:val="en-US"/>
        </w:rPr>
      </w:pPr>
      <w:r>
        <w:rPr>
          <w:lang w:val="en-US"/>
        </w:rPr>
        <w:t xml:space="preserve">Comments on Finalists for the position of IACHR Executive Secretary. Through this system, the Commission will receive comments on the finalists in the competition for the position of Executive Secretary. The comments will be received and organized for the preparation of the final report that will support the Commission in its decision-making.  </w:t>
      </w:r>
    </w:p>
    <w:sectPr w:rsidR="003558E5" w:rsidRPr="00451F13" w:rsidSect="00BA4056">
      <w:headerReference w:type="even" r:id="rId13"/>
      <w:headerReference w:type="default" r:id="rId14"/>
      <w:footerReference w:type="even" r:id="rId15"/>
      <w:footerReference w:type="default" r:id="rId16"/>
      <w:headerReference w:type="first" r:id="rId17"/>
      <w:pgSz w:w="12240" w:h="15840"/>
      <w:pgMar w:top="1440" w:right="1440" w:bottom="1440" w:left="2592" w:header="720" w:footer="720" w:gutter="0"/>
      <w:pgNumType w:start="11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FF090" w14:textId="77777777" w:rsidR="00F22ECD" w:rsidRDefault="00F22ECD" w:rsidP="00D01007">
      <w:pPr>
        <w:spacing w:after="0" w:line="240" w:lineRule="auto"/>
      </w:pPr>
      <w:r>
        <w:separator/>
      </w:r>
    </w:p>
  </w:endnote>
  <w:endnote w:type="continuationSeparator" w:id="0">
    <w:p w14:paraId="128540A4" w14:textId="77777777" w:rsidR="00F22ECD" w:rsidRDefault="00F22ECD" w:rsidP="00D01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5707701"/>
      <w:docPartObj>
        <w:docPartGallery w:val="Page Numbers (Bottom of Page)"/>
        <w:docPartUnique/>
      </w:docPartObj>
    </w:sdtPr>
    <w:sdtEndPr>
      <w:rPr>
        <w:noProof/>
      </w:rPr>
    </w:sdtEndPr>
    <w:sdtContent>
      <w:p w14:paraId="720CA930" w14:textId="77777777" w:rsidR="00451F13" w:rsidRDefault="00451F13">
        <w:pPr>
          <w:pStyle w:val="Footer"/>
          <w:jc w:val="center"/>
        </w:pPr>
        <w:r w:rsidRPr="00D01007">
          <w:rPr>
            <w:sz w:val="16"/>
            <w:szCs w:val="16"/>
          </w:rPr>
          <w:fldChar w:fldCharType="begin"/>
        </w:r>
        <w:r w:rsidRPr="00D01007">
          <w:rPr>
            <w:sz w:val="16"/>
            <w:szCs w:val="16"/>
          </w:rPr>
          <w:instrText xml:space="preserve"> PAGE   \* MERGEFORMAT </w:instrText>
        </w:r>
        <w:r w:rsidRPr="00D01007">
          <w:rPr>
            <w:sz w:val="16"/>
            <w:szCs w:val="16"/>
          </w:rPr>
          <w:fldChar w:fldCharType="separate"/>
        </w:r>
        <w:r w:rsidR="00505DF5">
          <w:rPr>
            <w:noProof/>
            <w:sz w:val="16"/>
            <w:szCs w:val="16"/>
          </w:rPr>
          <w:t>1116</w:t>
        </w:r>
        <w:r w:rsidRPr="00D01007">
          <w:rPr>
            <w:noProof/>
            <w:sz w:val="16"/>
            <w:szCs w:val="16"/>
          </w:rPr>
          <w:fldChar w:fldCharType="end"/>
        </w:r>
      </w:p>
    </w:sdtContent>
  </w:sdt>
  <w:p w14:paraId="6AC38F98" w14:textId="77777777" w:rsidR="00451F13" w:rsidRDefault="00451F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7979851"/>
      <w:docPartObj>
        <w:docPartGallery w:val="Page Numbers (Bottom of Page)"/>
        <w:docPartUnique/>
      </w:docPartObj>
    </w:sdtPr>
    <w:sdtEndPr>
      <w:rPr>
        <w:noProof/>
        <w:sz w:val="16"/>
        <w:szCs w:val="16"/>
      </w:rPr>
    </w:sdtEndPr>
    <w:sdtContent>
      <w:p w14:paraId="4A109E44" w14:textId="2B83381C" w:rsidR="00451F13" w:rsidRPr="00065A80" w:rsidRDefault="00451F13">
        <w:pPr>
          <w:pStyle w:val="Footer"/>
          <w:jc w:val="center"/>
          <w:rPr>
            <w:sz w:val="16"/>
            <w:szCs w:val="16"/>
          </w:rPr>
        </w:pPr>
        <w:r w:rsidRPr="00065A80">
          <w:rPr>
            <w:sz w:val="16"/>
            <w:szCs w:val="16"/>
          </w:rPr>
          <w:fldChar w:fldCharType="begin"/>
        </w:r>
        <w:r w:rsidRPr="00065A80">
          <w:rPr>
            <w:sz w:val="16"/>
            <w:szCs w:val="16"/>
          </w:rPr>
          <w:instrText xml:space="preserve"> PAGE   \* MERGEFORMAT </w:instrText>
        </w:r>
        <w:r w:rsidRPr="00065A80">
          <w:rPr>
            <w:sz w:val="16"/>
            <w:szCs w:val="16"/>
          </w:rPr>
          <w:fldChar w:fldCharType="separate"/>
        </w:r>
        <w:r w:rsidR="00505DF5">
          <w:rPr>
            <w:noProof/>
            <w:sz w:val="16"/>
            <w:szCs w:val="16"/>
          </w:rPr>
          <w:t>1117</w:t>
        </w:r>
        <w:r w:rsidRPr="00065A80">
          <w:rPr>
            <w:noProof/>
            <w:sz w:val="16"/>
            <w:szCs w:val="16"/>
          </w:rPr>
          <w:fldChar w:fldCharType="end"/>
        </w:r>
      </w:p>
    </w:sdtContent>
  </w:sdt>
  <w:p w14:paraId="393C348F" w14:textId="77777777" w:rsidR="00451F13" w:rsidRDefault="00451F13" w:rsidP="00065A8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057A3" w14:textId="77777777" w:rsidR="00F22ECD" w:rsidRDefault="00F22ECD" w:rsidP="00D01007">
      <w:pPr>
        <w:spacing w:after="0" w:line="240" w:lineRule="auto"/>
      </w:pPr>
      <w:r>
        <w:separator/>
      </w:r>
    </w:p>
  </w:footnote>
  <w:footnote w:type="continuationSeparator" w:id="0">
    <w:p w14:paraId="7EB5C56B" w14:textId="77777777" w:rsidR="00F22ECD" w:rsidRDefault="00F22ECD" w:rsidP="00D01007">
      <w:pPr>
        <w:spacing w:after="0" w:line="240" w:lineRule="auto"/>
      </w:pPr>
      <w:r>
        <w:continuationSeparator/>
      </w:r>
    </w:p>
  </w:footnote>
  <w:footnote w:id="1">
    <w:p w14:paraId="6FA9394D" w14:textId="77777777" w:rsidR="00451F13" w:rsidRDefault="00451F13" w:rsidP="00BA4056">
      <w:pPr>
        <w:pStyle w:val="FootnoteText"/>
        <w:spacing w:after="120"/>
        <w:ind w:firstLine="720"/>
        <w:jc w:val="both"/>
        <w:rPr>
          <w:rFonts w:ascii="Cambria" w:eastAsia="Calibri" w:hAnsi="Cambria"/>
          <w:sz w:val="16"/>
          <w:szCs w:val="16"/>
        </w:rPr>
      </w:pPr>
      <w:r>
        <w:rPr>
          <w:rStyle w:val="FootnoteReference"/>
          <w:rFonts w:ascii="Cambria" w:hAnsi="Cambria"/>
          <w:sz w:val="16"/>
          <w:szCs w:val="16"/>
        </w:rPr>
        <w:footnoteRef/>
      </w:r>
      <w:r>
        <w:rPr>
          <w:rFonts w:ascii="Cambria" w:hAnsi="Cambria"/>
          <w:sz w:val="16"/>
          <w:szCs w:val="16"/>
        </w:rPr>
        <w:t xml:space="preserve"> The figures show the distribution of the program budget approved on June 27, 2019 through </w:t>
      </w:r>
      <w:r>
        <w:rPr>
          <w:rFonts w:ascii="Cambria" w:eastAsia="Calibri" w:hAnsi="Cambria"/>
          <w:sz w:val="16"/>
          <w:szCs w:val="16"/>
        </w:rPr>
        <w:t xml:space="preserve">AG/RES. 2940 (XLIX-O/19) for the period January 1 through December 31, 2020. The figure under Administration corresponds to the Secretariat for Administration and Finance (Chapter 11). </w:t>
      </w:r>
    </w:p>
  </w:footnote>
  <w:footnote w:id="2">
    <w:p w14:paraId="4A083BCE" w14:textId="77777777" w:rsidR="00451F13" w:rsidRDefault="00451F13" w:rsidP="00BA4056">
      <w:pPr>
        <w:pStyle w:val="FootnoteText"/>
        <w:ind w:firstLine="720"/>
        <w:jc w:val="both"/>
        <w:rPr>
          <w:rStyle w:val="FootnoteReference"/>
        </w:rPr>
      </w:pPr>
      <w:r>
        <w:rPr>
          <w:rStyle w:val="FootnoteReference"/>
          <w:rFonts w:ascii="Cambria" w:hAnsi="Cambria"/>
          <w:sz w:val="16"/>
          <w:szCs w:val="16"/>
        </w:rPr>
        <w:footnoteRef/>
      </w:r>
      <w:r>
        <w:rPr>
          <w:rStyle w:val="FootnoteReference"/>
          <w:rFonts w:ascii="Cambria" w:hAnsi="Cambria"/>
          <w:sz w:val="16"/>
          <w:szCs w:val="16"/>
        </w:rPr>
        <w:t xml:space="preserve"> </w:t>
      </w:r>
      <w:r>
        <w:rPr>
          <w:rFonts w:ascii="Cambria" w:hAnsi="Cambria"/>
          <w:sz w:val="16"/>
          <w:szCs w:val="16"/>
        </w:rPr>
        <w:t xml:space="preserve">The IACHR entered into an assistance agreement with the United States in the amount of US$14.2 million for the period 2018-2022. Under this agreement, funds are disbursed as the project budget is executed. The Special </w:t>
      </w:r>
      <w:proofErr w:type="spellStart"/>
      <w:r>
        <w:rPr>
          <w:rFonts w:ascii="Cambria" w:hAnsi="Cambria"/>
          <w:sz w:val="16"/>
          <w:szCs w:val="16"/>
        </w:rPr>
        <w:t>Rapporteurship</w:t>
      </w:r>
      <w:proofErr w:type="spellEnd"/>
      <w:r>
        <w:rPr>
          <w:rFonts w:ascii="Cambria" w:hAnsi="Cambria"/>
          <w:sz w:val="16"/>
          <w:szCs w:val="16"/>
        </w:rPr>
        <w:t xml:space="preserve"> for Freedom of Expression has been allocated USS1.2 million under this agreement.</w:t>
      </w:r>
    </w:p>
  </w:footnote>
  <w:footnote w:id="3">
    <w:p w14:paraId="2E2A82DE" w14:textId="77777777" w:rsidR="00451F13" w:rsidRDefault="00451F13" w:rsidP="00BA4056">
      <w:pPr>
        <w:pStyle w:val="FootnoteText"/>
        <w:spacing w:after="120"/>
        <w:ind w:firstLine="720"/>
        <w:jc w:val="both"/>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This table summarizes the “Report of Changes in Fund Balance of Projects Financed by Specific Funds of the IACHR” by activity and donor, published by the GS/OAS Department of Financial Services on December 31, 2020.</w:t>
      </w:r>
    </w:p>
  </w:footnote>
  <w:footnote w:id="4">
    <w:p w14:paraId="2FEB5A23" w14:textId="77777777" w:rsidR="00451F13" w:rsidRDefault="00451F13" w:rsidP="00BA4056">
      <w:pPr>
        <w:pStyle w:val="FootnoteText"/>
        <w:spacing w:after="120"/>
        <w:ind w:firstLine="720"/>
        <w:jc w:val="both"/>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The final negative balances are presented, since some agreements are implemented under the modality of disbursement against the financial execution of the project. </w:t>
      </w:r>
    </w:p>
  </w:footnote>
  <w:footnote w:id="5">
    <w:p w14:paraId="72EDC23C" w14:textId="77777777" w:rsidR="00451F13" w:rsidRDefault="00451F13" w:rsidP="00BA4056">
      <w:pPr>
        <w:pStyle w:val="FootnoteText"/>
        <w:spacing w:after="120"/>
        <w:ind w:firstLine="720"/>
        <w:jc w:val="both"/>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The distribution includes only expenses as of December 31, 2020, which were financed with contributions received in 2020 and previous years (in the case of specific funds).</w:t>
      </w:r>
    </w:p>
  </w:footnote>
  <w:footnote w:id="6">
    <w:p w14:paraId="2641699D" w14:textId="77777777" w:rsidR="00451F13" w:rsidRDefault="00451F13" w:rsidP="00BA4056">
      <w:pPr>
        <w:pStyle w:val="FootnoteText"/>
        <w:spacing w:after="120"/>
        <w:ind w:firstLine="720"/>
        <w:jc w:val="both"/>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Personnel/Staff expenses are included under Personnel Contracts.</w:t>
      </w:r>
    </w:p>
  </w:footnote>
  <w:footnote w:id="7">
    <w:p w14:paraId="367D8294" w14:textId="77777777" w:rsidR="00451F13" w:rsidRDefault="00451F13" w:rsidP="00BA4056">
      <w:pPr>
        <w:pStyle w:val="FootnoteText"/>
        <w:spacing w:after="120"/>
        <w:ind w:firstLine="720"/>
        <w:jc w:val="both"/>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Performance Contracts include conference services, fees, special services of the commissioners, interpretation, translation, administrative and professional support, and consultants.</w:t>
      </w:r>
    </w:p>
  </w:footnote>
  <w:footnote w:id="8">
    <w:p w14:paraId="080739BE" w14:textId="77777777" w:rsidR="00451F13" w:rsidRDefault="00451F13" w:rsidP="00BA4056">
      <w:pPr>
        <w:pStyle w:val="FootnoteText"/>
        <w:spacing w:after="120"/>
        <w:ind w:firstLine="720"/>
        <w:jc w:val="both"/>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Other Expenses include office and equipment rental, courier fees, other conference services, local area network (LAN), telephones, transportation, and office expenses.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5028B" w14:textId="088370A0" w:rsidR="00451F13" w:rsidRDefault="00451F13" w:rsidP="00D01007">
    <w:pPr>
      <w:ind w:hanging="2"/>
    </w:pPr>
    <w:r>
      <w:rPr>
        <w:noProof/>
        <w:lang w:val="es-CO" w:eastAsia="es-CO"/>
      </w:rPr>
      <mc:AlternateContent>
        <mc:Choice Requires="wps">
          <w:drawing>
            <wp:anchor distT="45720" distB="45720" distL="114300" distR="114300" simplePos="0" relativeHeight="251677696" behindDoc="0" locked="0" layoutInCell="1" allowOverlap="1" wp14:anchorId="35846565" wp14:editId="6252593C">
              <wp:simplePos x="0" y="0"/>
              <wp:positionH relativeFrom="column">
                <wp:posOffset>847725</wp:posOffset>
              </wp:positionH>
              <wp:positionV relativeFrom="paragraph">
                <wp:posOffset>266700</wp:posOffset>
              </wp:positionV>
              <wp:extent cx="3133725" cy="1404620"/>
              <wp:effectExtent l="0" t="0" r="952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noFill/>
                        <a:miter lim="800000"/>
                        <a:headEnd/>
                        <a:tailEnd/>
                      </a:ln>
                    </wps:spPr>
                    <wps:txbx>
                      <w:txbxContent>
                        <w:p w14:paraId="44F4BCFA" w14:textId="62E129DC" w:rsidR="00451F13" w:rsidRDefault="00451F13">
                          <w:r w:rsidRPr="00ED1EBA">
                            <w:rPr>
                              <w:rFonts w:ascii="Arial" w:hAnsi="Arial" w:cs="Arial"/>
                              <w:noProof/>
                              <w:color w:val="3B3838" w:themeColor="background2" w:themeShade="40"/>
                              <w:szCs w:val="28"/>
                            </w:rPr>
                            <w:t>Inter-American Commission on Human Rights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846565" id="_x0000_t202" coordsize="21600,21600" o:spt="202" path="m,l,21600r21600,l21600,xe">
              <v:stroke joinstyle="miter"/>
              <v:path gradientshapeok="t" o:connecttype="rect"/>
            </v:shapetype>
            <v:shape id="Text Box 2" o:spid="_x0000_s1027" type="#_x0000_t202" style="position:absolute;margin-left:66.75pt;margin-top:21pt;width:246.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NqZIgIAAB4EAAAOAAAAZHJzL2Uyb0RvYy54bWysU9tu2zAMfR+wfxD0vtjOpWmNOEWXLsOA&#10;7gK0+wBZlmNhkqhJSuzs60vJaRp0b8P0IEgieXR4SK5uB63IQTgvwVS0mOSUCMOhkWZX0Z9P2w/X&#10;lPjATMMUGFHRo/D0dv3+3aq3pZhCB6oRjiCI8WVvK9qFYMss87wTmvkJWGHQ2ILTLODV7bLGsR7R&#10;tcqmeX6V9eAa64AL7/H1fjTSdcJvW8HD97b1IhBVUeQW0u7SXsc9W69YuXPMdpKfaLB/YKGZNPjp&#10;GeqeBUb2Tv4FpSV34KENEw46g7aVXKQcMJsif5PNY8esSLmgON6eZfL/D5Z/O/xwRDYVnRZLSgzT&#10;WKQnMQTyEQYyjfr01pfo9mjRMQz4jHVOuXr7APyXJwY2HTM7cecc9J1gDfIrYmR2ETri+AhS91+h&#10;wW/YPkACGlqno3goB0F0rNPxXJtIhePjrJjNltMFJRxtxTyfX01T9TJWvoRb58NnAZrEQ0UdFj/B&#10;s8ODD5EOK19c4m8elGy2Uql0cbt6oxw5MGyUbVopgzduypC+ojcLJBKjDMT41ENaBmxkJXVFr/O4&#10;xtaKcnwyTXIJTKrxjEyUOekTJRnFCUM9oGMUrYbmiEo5GBsWBwwPHbg/lPTYrBX1v/fMCUrUF4Nq&#10;3xTzeezudJkvligNcZeW+tLCDEeoigZKxuMmpIlIOtg7rMpWJr1emZy4YhMmGU8DE7v88p68Xsd6&#10;/QwAAP//AwBQSwMEFAAGAAgAAAAhAGegyhndAAAACgEAAA8AAABkcnMvZG93bnJldi54bWxMj8tO&#10;wzAQRfdI/IM1SOyog0MDCnGqiooNCyQKEizdeBJHxA/Zbhr+nmFFd3M1R/fRbBY7sRljGr2TcLsq&#10;gKHrvB7dIOHj/fnmAVjKymk1eYcSfjDBpr28aFSt/cm94bzPAyMTl2olweQcas5TZ9CqtPIBHf16&#10;H63KJOPAdVQnMrcTF0VRcatGRwlGBXwy2H3vj1bCpzWj3sXXr15P8+6l367DEoOU11fL9hFYxiX/&#10;w/BXn6pDS50O/uh0YhPpslwTKuFO0CYCKnFPx0GCqEoBvG34+YT2FwAA//8DAFBLAQItABQABgAI&#10;AAAAIQC2gziS/gAAAOEBAAATAAAAAAAAAAAAAAAAAAAAAABbQ29udGVudF9UeXBlc10ueG1sUEsB&#10;Ai0AFAAGAAgAAAAhADj9If/WAAAAlAEAAAsAAAAAAAAAAAAAAAAALwEAAF9yZWxzLy5yZWxzUEsB&#10;Ai0AFAAGAAgAAAAhALro2pkiAgAAHgQAAA4AAAAAAAAAAAAAAAAALgIAAGRycy9lMm9Eb2MueG1s&#10;UEsBAi0AFAAGAAgAAAAhAGegyhndAAAACgEAAA8AAAAAAAAAAAAAAAAAfAQAAGRycy9kb3ducmV2&#10;LnhtbFBLBQYAAAAABAAEAPMAAACGBQAAAAA=&#10;" stroked="f">
              <v:textbox style="mso-fit-shape-to-text:t">
                <w:txbxContent>
                  <w:p w14:paraId="44F4BCFA" w14:textId="62E129DC" w:rsidR="00451F13" w:rsidRDefault="00451F13">
                    <w:r w:rsidRPr="00ED1EBA">
                      <w:rPr>
                        <w:rFonts w:ascii="Arial" w:hAnsi="Arial" w:cs="Arial"/>
                        <w:noProof/>
                        <w:color w:val="3B3838" w:themeColor="background2" w:themeShade="40"/>
                        <w:szCs w:val="28"/>
                      </w:rPr>
                      <w:t>Inter-American Commission on Human Rights</w:t>
                    </w:r>
                  </w:p>
                </w:txbxContent>
              </v:textbox>
              <w10:wrap type="square"/>
            </v:shape>
          </w:pict>
        </mc:Fallback>
      </mc:AlternateContent>
    </w:r>
    <w:r>
      <w:rPr>
        <w:noProof/>
        <w:sz w:val="24"/>
        <w:szCs w:val="24"/>
        <w:lang w:val="es-CO" w:eastAsia="es-CO"/>
      </w:rPr>
      <w:drawing>
        <wp:anchor distT="0" distB="0" distL="114300" distR="114300" simplePos="0" relativeHeight="251675648" behindDoc="0" locked="0" layoutInCell="1" allowOverlap="1" wp14:anchorId="6AAAF3CC" wp14:editId="62389570">
          <wp:simplePos x="0" y="0"/>
          <wp:positionH relativeFrom="margin">
            <wp:align>left</wp:align>
          </wp:positionH>
          <wp:positionV relativeFrom="paragraph">
            <wp:posOffset>209550</wp:posOffset>
          </wp:positionV>
          <wp:extent cx="809625" cy="339725"/>
          <wp:effectExtent l="0" t="0" r="9525" b="0"/>
          <wp:wrapSquare wrapText="bothSides"/>
          <wp:docPr id="7" name="Picture 7" descr="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n"/>
                  <pic:cNvPicPr>
                    <a:picLocks noChangeAspect="1" noChangeArrowheads="1"/>
                  </pic:cNvPicPr>
                </pic:nvPicPr>
                <pic:blipFill rotWithShape="1">
                  <a:blip r:embed="rId1">
                    <a:extLst>
                      <a:ext uri="{28A0092B-C50C-407E-A947-70E740481C1C}">
                        <a14:useLocalDpi xmlns:a14="http://schemas.microsoft.com/office/drawing/2010/main" val="0"/>
                      </a:ext>
                    </a:extLst>
                  </a:blip>
                  <a:srcRect t="-2885" r="42177"/>
                  <a:stretch/>
                </pic:blipFill>
                <pic:spPr bwMode="auto">
                  <a:xfrm>
                    <a:off x="0" y="0"/>
                    <a:ext cx="809625"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F7166" w14:textId="53EE214F" w:rsidR="00451F13" w:rsidRPr="00E21FA4" w:rsidRDefault="00451F13" w:rsidP="00D01007">
    <w:pPr>
      <w:pStyle w:val="Header"/>
      <w:ind w:left="1" w:hanging="3"/>
      <w:jc w:val="center"/>
      <w:rPr>
        <w:rFonts w:ascii="Arial" w:hAnsi="Arial" w:cs="Arial"/>
        <w:i/>
        <w:color w:val="3B3838" w:themeColor="background2" w:themeShade="40"/>
        <w:sz w:val="28"/>
        <w:szCs w:val="28"/>
        <w:lang w:val="es-ES"/>
      </w:rPr>
    </w:pPr>
    <w:r>
      <w:rPr>
        <w:rFonts w:ascii="Arial" w:hAnsi="Arial" w:cs="Arial"/>
        <w:color w:val="3B3838" w:themeColor="background2" w:themeShade="40"/>
        <w:sz w:val="28"/>
        <w:szCs w:val="28"/>
        <w:lang w:val="es-ES"/>
      </w:rPr>
      <w:t xml:space="preserve">   </w:t>
    </w:r>
  </w:p>
  <w:p w14:paraId="2FCE4D44" w14:textId="77777777" w:rsidR="00451F13" w:rsidRPr="00E21FA4" w:rsidRDefault="00451F13" w:rsidP="00D01007">
    <w:pPr>
      <w:pStyle w:val="Header"/>
      <w:ind w:left="2" w:hanging="4"/>
      <w:rPr>
        <w:rFonts w:ascii="Arial" w:hAnsi="Arial" w:cs="Arial"/>
        <w:b/>
        <w:bCs/>
        <w:i/>
        <w:color w:val="404040" w:themeColor="text1" w:themeTint="BF"/>
        <w:sz w:val="24"/>
        <w:szCs w:val="44"/>
        <w:lang w:val="es-ES"/>
      </w:rPr>
    </w:pPr>
    <w:r w:rsidRPr="00E21FA4">
      <w:rPr>
        <w:rFonts w:ascii="Arial" w:hAnsi="Arial" w:cs="Arial"/>
        <w:b/>
        <w:bCs/>
        <w:i/>
        <w:noProof/>
        <w:color w:val="000000" w:themeColor="text1"/>
        <w:sz w:val="44"/>
        <w:szCs w:val="44"/>
        <w:lang w:val="es-CO" w:eastAsia="es-CO"/>
      </w:rPr>
      <mc:AlternateContent>
        <mc:Choice Requires="wps">
          <w:drawing>
            <wp:anchor distT="0" distB="0" distL="114300" distR="114300" simplePos="0" relativeHeight="251667456" behindDoc="0" locked="0" layoutInCell="1" allowOverlap="1" wp14:anchorId="3B409DBE" wp14:editId="38F05605">
              <wp:simplePos x="0" y="0"/>
              <wp:positionH relativeFrom="margin">
                <wp:align>left</wp:align>
              </wp:positionH>
              <wp:positionV relativeFrom="paragraph">
                <wp:posOffset>166370</wp:posOffset>
              </wp:positionV>
              <wp:extent cx="5162550" cy="9525"/>
              <wp:effectExtent l="0" t="0" r="19050" b="28575"/>
              <wp:wrapNone/>
              <wp:docPr id="34" name="Straight Connector 34"/>
              <wp:cNvGraphicFramePr/>
              <a:graphic xmlns:a="http://schemas.openxmlformats.org/drawingml/2006/main">
                <a:graphicData uri="http://schemas.microsoft.com/office/word/2010/wordprocessingShape">
                  <wps:wsp>
                    <wps:cNvCnPr/>
                    <wps:spPr>
                      <a:xfrm>
                        <a:off x="0" y="0"/>
                        <a:ext cx="5162550" cy="9525"/>
                      </a:xfrm>
                      <a:prstGeom prst="lin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6E1AD" id="Straight Connector 34"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pt" to="40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Ma8wEAADYEAAAOAAAAZHJzL2Uyb0RvYy54bWysU02P2yAQvVfqf0DcG9tpvbu14uwhq+2l&#10;H1G3/QEEg40EDAI2dv59B5w4249Lq16wYebNvPcYNveT0eQofFBgW1qtSkqE5dAp27f0+7fHN3eU&#10;hMhsxzRY0dKTCPR++/rVZnSNWMMAuhOeYBEbmtG1dIjRNUUR+CAMCytwwmJQgjcs4tb3RefZiNWN&#10;LtZleVOM4DvngYsQ8PRhDtJtri+l4PGLlEFEoluK3GJefV4PaS22G9b0nrlB8TMN9g8sDFMWmy6l&#10;Hlhk5Nmr30oZxT0EkHHFwRQgpeIia0A1VfmLmqeBOZG1oDnBLTaF/1eWfz7uPVFdS9++o8Qyg3f0&#10;FD1T/RDJDqxFB8ETDKJTowsNAnZ278+74PY+yZ6kN+mLgsiU3T0t7oopEo6HdXWzrmu8BI6x9/W6&#10;TiWLK9b5ED8IMCT9tFQrm7Szhh0/hjinXlLSsbZkxImr727rnBZAq+5RaZ2CeX7ETntyZHjzh77K&#10;OfrZfIJuPrutyzLfP1JY0jOhF5Uwpi0eJuWz1vwXT1rMHL4Kie6hurnBUmjuwTgXNlZnodpidoJJ&#10;ZLkAy5l9Gvgr4Z+B5/wEFXmm/wa8IHJnsHEBG2XB/6l7nC6U5Zx/cWDWnSw4QHfKU5CtweHMzp0f&#10;Upr+l/sMvz737Q8AAAD//wMAUEsDBBQABgAIAAAAIQAuAqDE2gAAAAYBAAAPAAAAZHJzL2Rvd25y&#10;ZXYueG1sTI/BTsMwEETvSPyDtUjcqJMgNSXEqQCp5cSBlt7deEki7HVku635e5YTHGdmNfO2XWdn&#10;xRlDnDwpKBcFCKTem4kGBR/7zd0KREyajLaeUME3Rlh311etboy/0Dued2kQXEKx0QrGlOZGytiP&#10;6HRc+BmJs08fnE4swyBN0Bcud1ZWRbGUTk/EC6Oe8WXE/mt3cgoOzymEN7+p9/bhNW9zf9jSVCp1&#10;e5OfHkEkzOnvGH7xGR06Zjr6E5korAJ+JCmolhUITlflPRtHNuoaZNfK//jdDwAAAP//AwBQSwEC&#10;LQAUAAYACAAAACEAtoM4kv4AAADhAQAAEwAAAAAAAAAAAAAAAAAAAAAAW0NvbnRlbnRfVHlwZXNd&#10;LnhtbFBLAQItABQABgAIAAAAIQA4/SH/1gAAAJQBAAALAAAAAAAAAAAAAAAAAC8BAABfcmVscy8u&#10;cmVsc1BLAQItABQABgAIAAAAIQBn9wMa8wEAADYEAAAOAAAAAAAAAAAAAAAAAC4CAABkcnMvZTJv&#10;RG9jLnhtbFBLAQItABQABgAIAAAAIQAuAqDE2gAAAAYBAAAPAAAAAAAAAAAAAAAAAE0EAABkcnMv&#10;ZG93bnJldi54bWxQSwUGAAAAAAQABADzAAAAVAUAAAAA&#10;" strokecolor="#bfbfbf [2412]" strokeweight="1.25pt">
              <v:stroke joinstyle="miter"/>
              <w10:wrap anchorx="margin"/>
            </v:line>
          </w:pict>
        </mc:Fallback>
      </mc:AlternateContent>
    </w:r>
    <w:r w:rsidRPr="00E21FA4">
      <w:rPr>
        <w:rFonts w:ascii="Arial" w:hAnsi="Arial" w:cs="Arial"/>
        <w:b/>
        <w:bCs/>
        <w:i/>
        <w:color w:val="404040" w:themeColor="text1" w:themeTint="BF"/>
        <w:sz w:val="44"/>
        <w:szCs w:val="44"/>
        <w:lang w:val="es-ES"/>
      </w:rPr>
      <w:t xml:space="preserve">  </w:t>
    </w:r>
  </w:p>
  <w:p w14:paraId="1877033F" w14:textId="77777777" w:rsidR="00451F13" w:rsidRPr="00D01007" w:rsidRDefault="00451F13" w:rsidP="00D010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F4C74" w14:textId="7EEEF4CE" w:rsidR="00451F13" w:rsidRDefault="00451F13" w:rsidP="00D01007">
    <w:r w:rsidRPr="00065A80">
      <w:rPr>
        <w:rFonts w:ascii="Arial" w:hAnsi="Arial" w:cs="Arial"/>
        <w:noProof/>
        <w:color w:val="3B3838" w:themeColor="background2" w:themeShade="40"/>
        <w:sz w:val="28"/>
        <w:szCs w:val="28"/>
        <w:lang w:val="es-CO" w:eastAsia="es-CO"/>
      </w:rPr>
      <w:drawing>
        <wp:anchor distT="0" distB="0" distL="114300" distR="114300" simplePos="0" relativeHeight="251679744" behindDoc="0" locked="0" layoutInCell="1" allowOverlap="1" wp14:anchorId="3FAE19B2" wp14:editId="074B14BF">
          <wp:simplePos x="0" y="0"/>
          <wp:positionH relativeFrom="margin">
            <wp:posOffset>1362075</wp:posOffset>
          </wp:positionH>
          <wp:positionV relativeFrom="paragraph">
            <wp:posOffset>224155</wp:posOffset>
          </wp:positionV>
          <wp:extent cx="809625" cy="339725"/>
          <wp:effectExtent l="0" t="0" r="9525" b="0"/>
          <wp:wrapSquare wrapText="bothSides"/>
          <wp:docPr id="9" name="Picture 9" descr="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n"/>
                  <pic:cNvPicPr>
                    <a:picLocks noChangeAspect="1" noChangeArrowheads="1"/>
                  </pic:cNvPicPr>
                </pic:nvPicPr>
                <pic:blipFill rotWithShape="1">
                  <a:blip r:embed="rId1">
                    <a:extLst>
                      <a:ext uri="{28A0092B-C50C-407E-A947-70E740481C1C}">
                        <a14:useLocalDpi xmlns:a14="http://schemas.microsoft.com/office/drawing/2010/main" val="0"/>
                      </a:ext>
                    </a:extLst>
                  </a:blip>
                  <a:srcRect t="-2885" r="42177"/>
                  <a:stretch/>
                </pic:blipFill>
                <pic:spPr bwMode="auto">
                  <a:xfrm>
                    <a:off x="0" y="0"/>
                    <a:ext cx="809625" cy="33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5A80">
      <w:rPr>
        <w:rFonts w:ascii="Arial" w:hAnsi="Arial" w:cs="Arial"/>
        <w:noProof/>
        <w:color w:val="3B3838" w:themeColor="background2" w:themeShade="40"/>
        <w:sz w:val="28"/>
        <w:szCs w:val="28"/>
        <w:lang w:val="es-CO" w:eastAsia="es-CO"/>
      </w:rPr>
      <mc:AlternateContent>
        <mc:Choice Requires="wps">
          <w:drawing>
            <wp:anchor distT="45720" distB="45720" distL="114300" distR="114300" simplePos="0" relativeHeight="251680768" behindDoc="0" locked="0" layoutInCell="1" allowOverlap="1" wp14:anchorId="06556C3A" wp14:editId="080C5D95">
              <wp:simplePos x="0" y="0"/>
              <wp:positionH relativeFrom="column">
                <wp:posOffset>2173605</wp:posOffset>
              </wp:positionH>
              <wp:positionV relativeFrom="paragraph">
                <wp:posOffset>285750</wp:posOffset>
              </wp:positionV>
              <wp:extent cx="3133725" cy="244475"/>
              <wp:effectExtent l="0" t="0" r="9525"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44475"/>
                      </a:xfrm>
                      <a:prstGeom prst="rect">
                        <a:avLst/>
                      </a:prstGeom>
                      <a:solidFill>
                        <a:srgbClr val="FFFFFF"/>
                      </a:solidFill>
                      <a:ln w="9525">
                        <a:noFill/>
                        <a:miter lim="800000"/>
                        <a:headEnd/>
                        <a:tailEnd/>
                      </a:ln>
                    </wps:spPr>
                    <wps:txbx>
                      <w:txbxContent>
                        <w:p w14:paraId="14515D64" w14:textId="77777777" w:rsidR="00451F13" w:rsidRDefault="00451F13" w:rsidP="00065A80">
                          <w:r w:rsidRPr="00ED1EBA">
                            <w:rPr>
                              <w:rFonts w:ascii="Arial" w:hAnsi="Arial" w:cs="Arial"/>
                              <w:noProof/>
                              <w:color w:val="3B3838" w:themeColor="background2" w:themeShade="40"/>
                              <w:szCs w:val="28"/>
                            </w:rPr>
                            <w:t>Inter-American Commission on Human Rights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56C3A" id="_x0000_t202" coordsize="21600,21600" o:spt="202" path="m,l,21600r21600,l21600,xe">
              <v:stroke joinstyle="miter"/>
              <v:path gradientshapeok="t" o:connecttype="rect"/>
            </v:shapetype>
            <v:shape id="_x0000_s1028" type="#_x0000_t202" style="position:absolute;margin-left:171.15pt;margin-top:22.5pt;width:246.75pt;height:19.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0hIQIAACIEAAAOAAAAZHJzL2Uyb0RvYy54bWysU9tu2zAMfR+wfxD0vjhxknU14hRdugwD&#10;ugvQ7gNoWY6FSaInKbGzry8lp2m2vQ3TgyCK5NHhIbW6GYxmB+m8Qlvy2WTKmbQCa2V3Jf/+uH3z&#10;jjMfwNag0cqSH6XnN+vXr1Z9V8gcW9S1dIxArC/6ruRtCF2RZV600oCfYCctORt0BgKZbpfVDnpC&#10;NzrLp9O3WY+u7hwK6T3d3o1Ovk74TSNF+No0XgamS07cQtpd2qu4Z+sVFDsHXavEiQb8AwsDytKj&#10;Z6g7CMD2Tv0FZZRw6LEJE4Emw6ZRQqYaqJrZ9I9qHlroZKqFxPHdWSb//2DFl8M3x1RdcmqUBUMt&#10;epRDYO9xYHlUp+98QUEPHYWFga6py6lS392j+OGZxU0LdidvncO+lVATu1nMzC5SRxwfQar+M9b0&#10;DOwDJqChcSZKR2IwQqcuHc+diVQEXc5n8/lVvuRMkC9fLBZXy/QEFM/ZnfPho0TD4qHkjjqf0OFw&#10;70NkA8VzSHzMo1b1VmmdDLerNtqxA9CUbNM6of8Wpi3rS369JB4xy2LMTwNkVKAp1sqQjNO4YjoU&#10;UY0Ptk7nAEqPZ2Ki7UmeqMioTRiqIfUhaRelq7A+kl4Ox6GlT0aHFt0vznoa2JL7n3twkjP9yZLm&#10;17PFIk54MhbLq5wMd+mpLj1gBUGVPHA2Hjch/YqxsFvqTaOSbC9MTpRpEJOap08TJ/3STlEvX3v9&#10;BAAA//8DAFBLAwQUAAYACAAAACEA7Ii1/d0AAAAJAQAADwAAAGRycy9kb3ducmV2LnhtbEyPwU6D&#10;QBCG7ya+w2ZMvBi7WKCtyNKoicZrax9ggCkQ2VnCbgt9e0cvepvJfPnn+/PtbHt1ptF3jg08LCJQ&#10;xJWrO24MHD7f7jegfECusXdMBi7kYVtcX+WY1W7iHZ33oVESwj5DA20IQ6a1r1qy6BduIJbb0Y0W&#10;g6xjo+sRJwm3vV5G0Upb7Fg+tDjQa0vV1/5kDRw/prv0cSrfw2G9S1Yv2K1LdzHm9mZ+fgIVaA5/&#10;MPzoizoU4lS6E9de9QbiZBkLaiBJpZMAmziVLuXvALrI9f8GxTcAAAD//wMAUEsBAi0AFAAGAAgA&#10;AAAhALaDOJL+AAAA4QEAABMAAAAAAAAAAAAAAAAAAAAAAFtDb250ZW50X1R5cGVzXS54bWxQSwEC&#10;LQAUAAYACAAAACEAOP0h/9YAAACUAQAACwAAAAAAAAAAAAAAAAAvAQAAX3JlbHMvLnJlbHNQSwEC&#10;LQAUAAYACAAAACEAVCftISECAAAiBAAADgAAAAAAAAAAAAAAAAAuAgAAZHJzL2Uyb0RvYy54bWxQ&#10;SwECLQAUAAYACAAAACEA7Ii1/d0AAAAJAQAADwAAAAAAAAAAAAAAAAB7BAAAZHJzL2Rvd25yZXYu&#10;eG1sUEsFBgAAAAAEAAQA8wAAAIUFAAAAAA==&#10;" stroked="f">
              <v:textbox>
                <w:txbxContent>
                  <w:p w14:paraId="14515D64" w14:textId="77777777" w:rsidR="00451F13" w:rsidRDefault="00451F13" w:rsidP="00065A80">
                    <w:r w:rsidRPr="00ED1EBA">
                      <w:rPr>
                        <w:rFonts w:ascii="Arial" w:hAnsi="Arial" w:cs="Arial"/>
                        <w:noProof/>
                        <w:color w:val="3B3838" w:themeColor="background2" w:themeShade="40"/>
                        <w:szCs w:val="28"/>
                      </w:rPr>
                      <w:t>Inter-American Commission on Human Rights</w:t>
                    </w:r>
                  </w:p>
                </w:txbxContent>
              </v:textbox>
              <w10:wrap type="square"/>
            </v:shape>
          </w:pict>
        </mc:Fallback>
      </mc:AlternateContent>
    </w:r>
  </w:p>
  <w:p w14:paraId="2DA4A481" w14:textId="6661EE13" w:rsidR="00451F13" w:rsidRPr="00E21FA4" w:rsidRDefault="00451F13" w:rsidP="00D01007">
    <w:pPr>
      <w:pStyle w:val="Header"/>
      <w:ind w:left="1" w:hanging="3"/>
      <w:jc w:val="center"/>
      <w:rPr>
        <w:rFonts w:ascii="Arial" w:hAnsi="Arial" w:cs="Arial"/>
        <w:i/>
        <w:color w:val="3B3838" w:themeColor="background2" w:themeShade="40"/>
        <w:sz w:val="28"/>
        <w:szCs w:val="28"/>
        <w:lang w:val="es-ES"/>
      </w:rPr>
    </w:pPr>
    <w:r>
      <w:rPr>
        <w:rFonts w:ascii="Arial" w:hAnsi="Arial" w:cs="Arial"/>
        <w:color w:val="3B3838" w:themeColor="background2" w:themeShade="40"/>
        <w:sz w:val="28"/>
        <w:szCs w:val="28"/>
        <w:lang w:val="es-ES"/>
      </w:rPr>
      <w:t xml:space="preserve">   </w:t>
    </w:r>
  </w:p>
  <w:p w14:paraId="2047C2B4" w14:textId="77777777" w:rsidR="00451F13" w:rsidRPr="00E70D07" w:rsidRDefault="00451F13" w:rsidP="00D01007">
    <w:pPr>
      <w:pStyle w:val="Header"/>
      <w:ind w:left="2" w:hanging="4"/>
      <w:rPr>
        <w:rFonts w:ascii="Arial" w:hAnsi="Arial" w:cs="Arial"/>
        <w:b/>
        <w:bCs/>
        <w:i/>
        <w:color w:val="404040" w:themeColor="text1" w:themeTint="BF"/>
        <w:sz w:val="24"/>
        <w:szCs w:val="44"/>
        <w:lang w:val="es-ES"/>
      </w:rPr>
    </w:pPr>
    <w:r w:rsidRPr="00E21FA4">
      <w:rPr>
        <w:rFonts w:ascii="Arial" w:hAnsi="Arial" w:cs="Arial"/>
        <w:b/>
        <w:bCs/>
        <w:i/>
        <w:noProof/>
        <w:color w:val="000000" w:themeColor="text1"/>
        <w:sz w:val="44"/>
        <w:szCs w:val="44"/>
        <w:lang w:val="es-CO" w:eastAsia="es-CO"/>
      </w:rPr>
      <mc:AlternateContent>
        <mc:Choice Requires="wps">
          <w:drawing>
            <wp:anchor distT="0" distB="0" distL="114300" distR="114300" simplePos="0" relativeHeight="251670528" behindDoc="0" locked="0" layoutInCell="1" allowOverlap="1" wp14:anchorId="4C8A3F2D" wp14:editId="6EA67A36">
              <wp:simplePos x="0" y="0"/>
              <wp:positionH relativeFrom="margin">
                <wp:align>left</wp:align>
              </wp:positionH>
              <wp:positionV relativeFrom="paragraph">
                <wp:posOffset>166370</wp:posOffset>
              </wp:positionV>
              <wp:extent cx="51625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5162550" cy="9525"/>
                      </a:xfrm>
                      <a:prstGeom prst="lin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E97BD" id="Straight Connector 5"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pt" to="40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be8QEAADQEAAAOAAAAZHJzL2Uyb0RvYy54bWysU8lu2zAQvRfoPxC815IMKEkFyzk4SC9d&#10;jKb9AJoiJQIkhyAZS/77DilbTpdLgl4ocZY3894MN/eT0eQofFBgW1qtSkqE5dAp27f054/HD3eU&#10;hMhsxzRY0dKTCPR++/7dZnSNWMMAuhOeIIgNzehaOsTomqIIfBCGhRU4YdEpwRsW8er7ovNsRHSj&#10;i3VZ3hQj+M554CIEtD7MTrrN+FIKHr9JGUQkuqXYW8ynz+chncV2w5reMzcofm6DvaELw5TFogvU&#10;A4uMPHv1F5RR3EMAGVccTAFSKi4yB2RTlX+weRqYE5kLihPcIlP4f7D863HviepaWlNimcERPUXP&#10;VD9EsgNrUUDwpE46jS40GL6ze3++Bbf3ifQkvUlfpEOmrO1p0VZMkXA01tXNuq5xBBx9H+t1hiyu&#10;uc6H+EmAIemnpVrZxJw17Pg5RKyHoZeQZNaWjLhv9d1tncMCaNU9Kq2TM2+P2GlPjgznfuirHKOf&#10;zRfoZtttXZZ5+oi7hOcqL5DQpy0aE/OZa/6LJy3mHr4Lidohu7nAAjTXYJwLG6ukXUbC6JQmscsl&#10;sZy7T+t+bfj3xHN8ShV5o1+TvGTkymDjkmyUBf+v6nG6tCzn+IsCM+8kwQG6U96CLA2uZmZ4fkZp&#10;91/ec/r1sW9/AQAA//8DAFBLAwQUAAYACAAAACEALgKgxNoAAAAGAQAADwAAAGRycy9kb3ducmV2&#10;LnhtbEyPwU7DMBBE70j8g7VI3KiTIDUlxKkAqeXEgZbe3XhJIux1ZLut+XuWExxnZjXztl1nZ8UZ&#10;Q5w8KSgXBQik3puJBgUf+83dCkRMmoy2nlDBN0ZYd9dXrW6Mv9A7nndpEFxCsdEKxpTmRsrYj+h0&#10;XPgZibNPH5xOLMMgTdAXLndWVkWxlE5PxAujnvFlxP5rd3IKDs8phDe/qff24TVvc3/Y0lQqdXuT&#10;nx5BJMzp7xh+8RkdOmY6+hOZKKwCfiQpqJYVCE5X5T0bRzbqGmTXyv/43Q8AAAD//wMAUEsBAi0A&#10;FAAGAAgAAAAhALaDOJL+AAAA4QEAABMAAAAAAAAAAAAAAAAAAAAAAFtDb250ZW50X1R5cGVzXS54&#10;bWxQSwECLQAUAAYACAAAACEAOP0h/9YAAACUAQAACwAAAAAAAAAAAAAAAAAvAQAAX3JlbHMvLnJl&#10;bHNQSwECLQAUAAYACAAAACEAS6WW3vEBAAA0BAAADgAAAAAAAAAAAAAAAAAuAgAAZHJzL2Uyb0Rv&#10;Yy54bWxQSwECLQAUAAYACAAAACEALgKgxNoAAAAGAQAADwAAAAAAAAAAAAAAAABLBAAAZHJzL2Rv&#10;d25yZXYueG1sUEsFBgAAAAAEAAQA8wAAAFIFAAAAAA==&#10;" strokecolor="#bfbfbf [2412]" strokeweight="1.25pt">
              <v:stroke joinstyle="miter"/>
              <w10:wrap anchorx="margin"/>
            </v:line>
          </w:pict>
        </mc:Fallback>
      </mc:AlternateContent>
    </w:r>
    <w:r w:rsidRPr="00E21FA4">
      <w:rPr>
        <w:rFonts w:ascii="Arial" w:hAnsi="Arial" w:cs="Arial"/>
        <w:b/>
        <w:bCs/>
        <w:i/>
        <w:color w:val="404040" w:themeColor="text1" w:themeTint="BF"/>
        <w:sz w:val="44"/>
        <w:szCs w:val="44"/>
        <w:lang w:val="es-ES"/>
      </w:rPr>
      <w:t xml:space="preserve">  </w:t>
    </w:r>
    <w:r>
      <w:rPr>
        <w:rFonts w:ascii="Arial" w:hAnsi="Arial" w:cs="Arial"/>
        <w:color w:val="3B3838" w:themeColor="background2" w:themeShade="40"/>
        <w:sz w:val="28"/>
        <w:szCs w:val="28"/>
        <w:lang w:val="es-ES"/>
      </w:rPr>
      <w:t xml:space="preserve">   </w:t>
    </w:r>
  </w:p>
  <w:p w14:paraId="7C05450F" w14:textId="77777777" w:rsidR="00451F13" w:rsidRDefault="00451F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0E5CA" w14:textId="1595EB26" w:rsidR="00451F13" w:rsidRPr="00065A80" w:rsidRDefault="00451F13" w:rsidP="00D01007">
    <w:pPr>
      <w:pStyle w:val="Header"/>
      <w:ind w:left="1" w:hanging="3"/>
      <w:rPr>
        <w:rFonts w:ascii="Arial" w:hAnsi="Arial" w:cs="Arial"/>
        <w:color w:val="3B3838" w:themeColor="background2" w:themeShade="40"/>
        <w:sz w:val="36"/>
        <w:szCs w:val="36"/>
        <w:lang w:val="es-ES"/>
      </w:rPr>
    </w:pPr>
    <w:r>
      <w:rPr>
        <w:noProof/>
        <w:sz w:val="24"/>
        <w:szCs w:val="24"/>
        <w:lang w:val="es-CO" w:eastAsia="es-CO"/>
      </w:rPr>
      <w:drawing>
        <wp:anchor distT="0" distB="0" distL="114300" distR="114300" simplePos="0" relativeHeight="251673600" behindDoc="0" locked="0" layoutInCell="1" allowOverlap="1" wp14:anchorId="285ED679" wp14:editId="336ACEB2">
          <wp:simplePos x="0" y="0"/>
          <wp:positionH relativeFrom="margin">
            <wp:align>right</wp:align>
          </wp:positionH>
          <wp:positionV relativeFrom="paragraph">
            <wp:posOffset>-19050</wp:posOffset>
          </wp:positionV>
          <wp:extent cx="2381250" cy="561975"/>
          <wp:effectExtent l="0" t="0" r="0" b="0"/>
          <wp:wrapSquare wrapText="bothSides"/>
          <wp:docPr id="10" name="Picture 10" descr="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H-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561975"/>
                  </a:xfrm>
                  <a:prstGeom prst="rect">
                    <a:avLst/>
                  </a:prstGeom>
                  <a:noFill/>
                </pic:spPr>
              </pic:pic>
            </a:graphicData>
          </a:graphic>
          <wp14:sizeRelH relativeFrom="page">
            <wp14:pctWidth>0</wp14:pctWidth>
          </wp14:sizeRelH>
          <wp14:sizeRelV relativeFrom="page">
            <wp14:pctHeight>0</wp14:pctHeight>
          </wp14:sizeRelV>
        </wp:anchor>
      </w:drawing>
    </w:r>
    <w:r w:rsidRPr="00065A80">
      <w:rPr>
        <w:rFonts w:ascii="Arial" w:hAnsi="Arial" w:cs="Arial"/>
        <w:noProof/>
        <w:color w:val="3B3838" w:themeColor="background2" w:themeShade="40"/>
        <w:sz w:val="36"/>
        <w:szCs w:val="36"/>
        <w:lang w:val="es-CO" w:eastAsia="es-CO"/>
      </w:rPr>
      <mc:AlternateContent>
        <mc:Choice Requires="wps">
          <w:drawing>
            <wp:anchor distT="0" distB="0" distL="114300" distR="114300" simplePos="0" relativeHeight="251663360" behindDoc="1" locked="0" layoutInCell="1" allowOverlap="1" wp14:anchorId="2D5DF0C6" wp14:editId="2E7CFE95">
              <wp:simplePos x="0" y="0"/>
              <wp:positionH relativeFrom="column">
                <wp:posOffset>976630</wp:posOffset>
              </wp:positionH>
              <wp:positionV relativeFrom="paragraph">
                <wp:posOffset>-44450</wp:posOffset>
              </wp:positionV>
              <wp:extent cx="1447332" cy="605918"/>
              <wp:effectExtent l="0" t="0" r="635" b="3810"/>
              <wp:wrapNone/>
              <wp:docPr id="1" name="Text Box 1"/>
              <wp:cNvGraphicFramePr/>
              <a:graphic xmlns:a="http://schemas.openxmlformats.org/drawingml/2006/main">
                <a:graphicData uri="http://schemas.microsoft.com/office/word/2010/wordprocessingShape">
                  <wps:wsp>
                    <wps:cNvSpPr txBox="1"/>
                    <wps:spPr>
                      <a:xfrm>
                        <a:off x="0" y="0"/>
                        <a:ext cx="1447332" cy="605918"/>
                      </a:xfrm>
                      <a:prstGeom prst="rect">
                        <a:avLst/>
                      </a:prstGeom>
                      <a:solidFill>
                        <a:schemeClr val="lt1"/>
                      </a:solidFill>
                      <a:ln w="6350">
                        <a:noFill/>
                      </a:ln>
                    </wps:spPr>
                    <wps:txbx>
                      <w:txbxContent>
                        <w:p w14:paraId="0E369341" w14:textId="77777777" w:rsidR="00451F13" w:rsidRPr="00384068" w:rsidRDefault="00451F13" w:rsidP="00D01007">
                          <w:pPr>
                            <w:ind w:left="6" w:hanging="8"/>
                            <w:rPr>
                              <w:rFonts w:ascii="Arial" w:hAnsi="Arial" w:cs="Arial"/>
                              <w:b/>
                              <w:bCs/>
                              <w:color w:val="0070C0"/>
                              <w:sz w:val="76"/>
                              <w:szCs w:val="76"/>
                              <w:lang w:val="es-ES"/>
                            </w:rPr>
                          </w:pPr>
                          <w:r w:rsidRPr="00384068">
                            <w:rPr>
                              <w:rFonts w:ascii="Arial" w:hAnsi="Arial" w:cs="Arial"/>
                              <w:b/>
                              <w:bCs/>
                              <w:color w:val="0070C0"/>
                              <w:sz w:val="76"/>
                              <w:szCs w:val="76"/>
                              <w:lang w:val="es-ES"/>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DF0C6" id="_x0000_t202" coordsize="21600,21600" o:spt="202" path="m,l,21600r21600,l21600,xe">
              <v:stroke joinstyle="miter"/>
              <v:path gradientshapeok="t" o:connecttype="rect"/>
            </v:shapetype>
            <v:shape id="Text Box 1" o:spid="_x0000_s1029" type="#_x0000_t202" style="position:absolute;left:0;text-align:left;margin-left:76.9pt;margin-top:-3.5pt;width:113.95pt;height:4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VLQgIAAIAEAAAOAAAAZHJzL2Uyb0RvYy54bWysVE1v2zAMvQ/YfxB0X+x89cOIU2QpMgwI&#10;2gLJ0LMiS7EBWdQkJXb260fJTpp2Ow27yJJIPZLvkZ49tLUiR2FdBTqnw0FKidAcikrvc/pju/py&#10;R4nzTBdMgRY5PQlHH+afP80ak4kRlKAKYQmCaJc1Jqel9yZLEsdLUTM3ACM0GiXYmnk82n1SWNYg&#10;eq2SUZreJA3Ywljgwjm8feyMdB7xpRTcP0vphCcqp5ibj6uN6y6syXzGsr1lpqx4nwb7hyxqVmkM&#10;eoF6ZJ6Rg63+gKorbsGB9AMOdQJSVlzEGrCaYfqhmk3JjIi1IDnOXGhy/w+WPx1fLKkK1I4SzWqU&#10;aCtaT75CS4aBnca4DJ02Bt18i9fBs793eBmKbqWtwxfLIWhHnk8XbgMYD48mk9vxeEQJR9tNOr0f&#10;3gWY5O21sc5/E1CTsMmpRe0ipey4dr5zPbuEYA5UVawqpeIh9ItYKkuODJVWPuaI4O+8lCYNBh9P&#10;0wisITzvkJXGXEKtXU1h59tdG5kZnevdQXFCGix0beQMX1WY65o5/8Is9g1WjrPgn3GRCjAW9DtK&#10;SrC//nYf/FFOtFLSYB/m1P08MCsoUd81Cn2PxIXGjYfJ9HaEB3tt2V1b9KFeAhKAYmJ2cRv8vTpv&#10;pYX6FUdmEaKiiWmOsXPqz9ul76YDR46LxSI6Yasa5td6Y3iADoQHJbbtK7Oml8uj0E9w7liWfVCt&#10;8w0vNSwOHmQVJQ08d6z29GObx6boRzLM0fU5er39OOa/AQAA//8DAFBLAwQUAAYACAAAACEARS5s&#10;zuAAAAAJAQAADwAAAGRycy9kb3ducmV2LnhtbEyPT0+DQBTE7yZ+h80z8WLapWKFIEtjjH+S3iyt&#10;xtuWfQKRfUvYLeC393nS42QmM7/JN7PtxIiDbx0pWC0jEEiVMy3VCvbl0yIF4YMmoztHqOAbPWyK&#10;87NcZ8ZN9IrjLtSCS8hnWkETQp9J6asGrfZL1yOx9+kGqwPLoZZm0BOX205eR9GttLolXmh0jw8N&#10;Vl+7k1XwcVW/b/38fJjiddw/voxl8mZKpS4v5vs7EAHn8BeGX3xGh4KZju5ExouO9Tpm9KBgkfAn&#10;DsTpKgFxVJCmNyCLXP5/UPwAAAD//wMAUEsBAi0AFAAGAAgAAAAhALaDOJL+AAAA4QEAABMAAAAA&#10;AAAAAAAAAAAAAAAAAFtDb250ZW50X1R5cGVzXS54bWxQSwECLQAUAAYACAAAACEAOP0h/9YAAACU&#10;AQAACwAAAAAAAAAAAAAAAAAvAQAAX3JlbHMvLnJlbHNQSwECLQAUAAYACAAAACEADTnVS0ICAACA&#10;BAAADgAAAAAAAAAAAAAAAAAuAgAAZHJzL2Uyb0RvYy54bWxQSwECLQAUAAYACAAAACEARS5szuAA&#10;AAAJAQAADwAAAAAAAAAAAAAAAACcBAAAZHJzL2Rvd25yZXYueG1sUEsFBgAAAAAEAAQA8wAAAKkF&#10;AAAAAA==&#10;" fillcolor="white [3201]" stroked="f" strokeweight=".5pt">
              <v:textbox>
                <w:txbxContent>
                  <w:p w14:paraId="0E369341" w14:textId="77777777" w:rsidR="00451F13" w:rsidRPr="00384068" w:rsidRDefault="00451F13" w:rsidP="00D01007">
                    <w:pPr>
                      <w:ind w:left="6" w:hanging="8"/>
                      <w:rPr>
                        <w:rFonts w:ascii="Arial" w:hAnsi="Arial" w:cs="Arial"/>
                        <w:b/>
                        <w:bCs/>
                        <w:color w:val="0070C0"/>
                        <w:sz w:val="76"/>
                        <w:szCs w:val="76"/>
                        <w:lang w:val="es-ES"/>
                      </w:rPr>
                    </w:pPr>
                    <w:r w:rsidRPr="00384068">
                      <w:rPr>
                        <w:rFonts w:ascii="Arial" w:hAnsi="Arial" w:cs="Arial"/>
                        <w:b/>
                        <w:bCs/>
                        <w:color w:val="0070C0"/>
                        <w:sz w:val="76"/>
                        <w:szCs w:val="76"/>
                        <w:lang w:val="es-ES"/>
                      </w:rPr>
                      <w:t>2020</w:t>
                    </w:r>
                  </w:p>
                </w:txbxContent>
              </v:textbox>
            </v:shape>
          </w:pict>
        </mc:Fallback>
      </mc:AlternateContent>
    </w:r>
    <w:r w:rsidRPr="00065A80">
      <w:rPr>
        <w:rFonts w:ascii="Arial" w:hAnsi="Arial" w:cs="Arial"/>
        <w:color w:val="3B3838" w:themeColor="background2" w:themeShade="40"/>
        <w:sz w:val="36"/>
        <w:szCs w:val="36"/>
        <w:lang w:val="es-ES"/>
      </w:rPr>
      <w:t>ANNUAL</w:t>
    </w:r>
  </w:p>
  <w:p w14:paraId="4B1C43A2" w14:textId="534F07B4" w:rsidR="00451F13" w:rsidRPr="00065A80" w:rsidRDefault="00451F13" w:rsidP="00D01007">
    <w:pPr>
      <w:pStyle w:val="Header"/>
      <w:tabs>
        <w:tab w:val="left" w:pos="1925"/>
      </w:tabs>
      <w:ind w:left="2" w:hanging="4"/>
      <w:rPr>
        <w:rFonts w:ascii="Arial" w:hAnsi="Arial" w:cs="Arial"/>
        <w:b/>
        <w:bCs/>
        <w:color w:val="92D050"/>
        <w:sz w:val="28"/>
        <w:szCs w:val="28"/>
        <w:lang w:val="es-ES"/>
      </w:rPr>
    </w:pPr>
    <w:r w:rsidRPr="00065A80">
      <w:rPr>
        <w:rFonts w:ascii="Arial" w:hAnsi="Arial" w:cs="Arial"/>
        <w:b/>
        <w:bCs/>
        <w:color w:val="92D050"/>
        <w:sz w:val="36"/>
        <w:szCs w:val="36"/>
        <w:lang w:val="es-ES"/>
      </w:rPr>
      <w:t>REPORT</w:t>
    </w:r>
    <w:r w:rsidRPr="00065A80">
      <w:rPr>
        <w:rFonts w:ascii="Arial" w:hAnsi="Arial" w:cs="Arial"/>
        <w:b/>
        <w:bCs/>
        <w:color w:val="92D050"/>
        <w:sz w:val="28"/>
        <w:szCs w:val="28"/>
        <w:lang w:val="es-ES"/>
      </w:rPr>
      <w:tab/>
    </w:r>
  </w:p>
  <w:p w14:paraId="165B821C" w14:textId="77777777" w:rsidR="00451F13" w:rsidRPr="00566CD0" w:rsidRDefault="00451F13" w:rsidP="00D01007">
    <w:pPr>
      <w:pStyle w:val="Header"/>
      <w:ind w:left="2" w:hanging="4"/>
      <w:rPr>
        <w:rFonts w:ascii="Arial" w:hAnsi="Arial" w:cs="Arial"/>
        <w:b/>
        <w:bCs/>
        <w:color w:val="404040" w:themeColor="text1" w:themeTint="BF"/>
        <w:sz w:val="44"/>
        <w:szCs w:val="44"/>
        <w:lang w:val="es-ES"/>
      </w:rPr>
    </w:pPr>
    <w:r>
      <w:rPr>
        <w:rFonts w:ascii="Arial" w:hAnsi="Arial" w:cs="Arial"/>
        <w:b/>
        <w:bCs/>
        <w:noProof/>
        <w:color w:val="000000" w:themeColor="text1"/>
        <w:sz w:val="44"/>
        <w:szCs w:val="44"/>
        <w:lang w:val="es-CO" w:eastAsia="es-CO"/>
      </w:rPr>
      <mc:AlternateContent>
        <mc:Choice Requires="wps">
          <w:drawing>
            <wp:anchor distT="0" distB="0" distL="114300" distR="114300" simplePos="0" relativeHeight="251664384" behindDoc="0" locked="0" layoutInCell="1" allowOverlap="1" wp14:anchorId="50AE2ADC" wp14:editId="44AF254B">
              <wp:simplePos x="0" y="0"/>
              <wp:positionH relativeFrom="margin">
                <wp:align>right</wp:align>
              </wp:positionH>
              <wp:positionV relativeFrom="paragraph">
                <wp:posOffset>165099</wp:posOffset>
              </wp:positionV>
              <wp:extent cx="519112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5191125" cy="9525"/>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F6DF5" id="Straight Connector 2"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7.55pt,13pt" to="766.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C9+QEAAEsEAAAOAAAAZHJzL2Uyb0RvYy54bWysVE2P2yAQvVfqf0DcG9uR3GatOHvIanvp&#10;R9Td/gAWQ4wEDAI2Tv59B/A6249Lq14wzMybmfcYvL09G01OwgcFtqfNqqZEWA6Dsseefn+8f7eh&#10;JERmB6bBip5eRKC3u7dvtpPrxBpG0IPwBJPY0E2up2OMrquqwEdhWFiBExadErxhEY/+WA2eTZjd&#10;6Gpd1++rCfzgPHARAlrvipPucn4pBY9fpQwiEt1T7C3m1ef1Ka3Vbsu6o2duVHxug/1DF4Ypi0WX&#10;VHcsMvLs1W+pjOIeAsi44mAqkFJxkTkgm6b+hc3DyJzIXFCc4BaZwv9Ly7+cDp6ooadrSiwzeEUP&#10;0TN1HCPZg7UoIHiyTjpNLnQYvrcHP5+CO/hE+iy9SV+kQ85Z28uirThHwtHYNjdNs24p4ei7aXGH&#10;Saor1vkQPwowJG16qpVNzFnHTp9CLKEvIcmsLZlw3trNhzaHBdBquFdaJ2eeHrHXnpwY3ns8NzlG&#10;P5vPMBTbpq3r+fbRjDNSzM2LGTtbsuQ+XxVAn7ZoTIIUCfIuXrQorX0TEiVF0qXukqjUYJwLG5uZ&#10;v7YYnWASm1+AdSGVXsGVx8/AOT5BRR70vwEviFwZbFzARlnwf6qeVCz3IEv8iwKFd5LgCYZLHo4s&#10;DU5sVm5+XelJvD5n+PUfsPsBAAD//wMAUEsDBBQABgAIAAAAIQAkYRa43AAAAAYBAAAPAAAAZHJz&#10;L2Rvd25yZXYueG1sTI9BT8MwDIXvSPyHyEhcEEtXaWMqTSeENG5DMODAzWtMU61xSpNu5d9jTuz0&#10;ZD/r+XvlevKdOtIQ28AG5rMMFHEdbMuNgfe3ze0KVEzIFrvAZOCHIqyry4sSCxtO/ErHXWqUhHAs&#10;0IBLqS+0jrUjj3EWemLxvsLgMck4NNoOeJJw3+k8y5baY8vywWFPj47qw270BpC2oR8XLs+eNh9p&#10;+jzcvHxvn425vpoe7kElmtL/MfzhCzpUwrQPI9uoOgNSJBnIl6LiruZ3C1B7WYjqqtTn+NUvAAAA&#10;//8DAFBLAQItABQABgAIAAAAIQC2gziS/gAAAOEBAAATAAAAAAAAAAAAAAAAAAAAAABbQ29udGVu&#10;dF9UeXBlc10ueG1sUEsBAi0AFAAGAAgAAAAhADj9If/WAAAAlAEAAAsAAAAAAAAAAAAAAAAALwEA&#10;AF9yZWxzLy5yZWxzUEsBAi0AFAAGAAgAAAAhAJQJAL35AQAASwQAAA4AAAAAAAAAAAAAAAAALgIA&#10;AGRycy9lMm9Eb2MueG1sUEsBAi0AFAAGAAgAAAAhACRhFrjcAAAABgEAAA8AAAAAAAAAAAAAAAAA&#10;UwQAAGRycy9kb3ducmV2LnhtbFBLBQYAAAAABAAEAPMAAABcBQAAAAA=&#10;" strokecolor="#272727 [2749]" strokeweight="1.25pt">
              <v:stroke joinstyle="miter"/>
              <w10:wrap anchorx="margin"/>
            </v:line>
          </w:pict>
        </mc:Fallback>
      </mc:AlternateContent>
    </w:r>
  </w:p>
  <w:p w14:paraId="4F9B20FF" w14:textId="77777777" w:rsidR="00451F13" w:rsidRPr="00D01007" w:rsidRDefault="00451F13" w:rsidP="00D010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42EA2"/>
    <w:multiLevelType w:val="hybridMultilevel"/>
    <w:tmpl w:val="423EBC6C"/>
    <w:lvl w:ilvl="0" w:tplc="ECA04804">
      <w:start w:val="1"/>
      <w:numFmt w:val="upperLetter"/>
      <w:pStyle w:val="Heading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E7A58A3"/>
    <w:multiLevelType w:val="hybridMultilevel"/>
    <w:tmpl w:val="F8821538"/>
    <w:lvl w:ilvl="0" w:tplc="5998A7F6">
      <w:start w:val="1"/>
      <w:numFmt w:val="decimal"/>
      <w:pStyle w:val="Heading2"/>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BE7674D"/>
    <w:multiLevelType w:val="hybridMultilevel"/>
    <w:tmpl w:val="C3764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614300F"/>
    <w:multiLevelType w:val="hybridMultilevel"/>
    <w:tmpl w:val="9FC039F8"/>
    <w:lvl w:ilvl="0" w:tplc="2C3A13DA">
      <w:start w:val="1"/>
      <w:numFmt w:val="decimal"/>
      <w:pStyle w:val="paragraphs"/>
      <w:lvlText w:val="%1."/>
      <w:lvlJc w:val="left"/>
      <w:pPr>
        <w:ind w:left="720" w:hanging="360"/>
      </w:pPr>
      <w:rPr>
        <w:b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F635860"/>
    <w:multiLevelType w:val="hybridMultilevel"/>
    <w:tmpl w:val="23E438F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mirrorMargin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A80"/>
    <w:rsid w:val="00061F9E"/>
    <w:rsid w:val="00065A80"/>
    <w:rsid w:val="00135D1A"/>
    <w:rsid w:val="00254799"/>
    <w:rsid w:val="003548DA"/>
    <w:rsid w:val="003558E5"/>
    <w:rsid w:val="00451F13"/>
    <w:rsid w:val="00486CE3"/>
    <w:rsid w:val="00505DF5"/>
    <w:rsid w:val="00724E1D"/>
    <w:rsid w:val="008C54B1"/>
    <w:rsid w:val="00A35AD3"/>
    <w:rsid w:val="00A548D3"/>
    <w:rsid w:val="00A64005"/>
    <w:rsid w:val="00BA4056"/>
    <w:rsid w:val="00D01007"/>
    <w:rsid w:val="00F22ECD"/>
    <w:rsid w:val="00F43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79CA4"/>
  <w15:chartTrackingRefBased/>
  <w15:docId w15:val="{75C34651-76D2-4A3A-99BD-8C8B3642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1"/>
    <w:next w:val="Normal"/>
    <w:link w:val="Heading1Char"/>
    <w:uiPriority w:val="9"/>
    <w:qFormat/>
    <w:rsid w:val="00BA4056"/>
    <w:pPr>
      <w:numPr>
        <w:numId w:val="2"/>
      </w:numPr>
      <w:tabs>
        <w:tab w:val="num" w:pos="360"/>
      </w:tabs>
      <w:spacing w:before="240" w:after="240"/>
      <w:ind w:left="0" w:firstLine="720"/>
      <w:contextualSpacing w:val="0"/>
      <w:outlineLvl w:val="0"/>
    </w:pPr>
    <w:rPr>
      <w:rFonts w:ascii="Cambria" w:eastAsia="Times New Roman" w:hAnsi="Cambria" w:cs="Times New Roman"/>
      <w:b/>
      <w:szCs w:val="20"/>
    </w:rPr>
  </w:style>
  <w:style w:type="paragraph" w:styleId="Heading2">
    <w:name w:val="heading 2"/>
    <w:basedOn w:val="ListParagraph1"/>
    <w:next w:val="Normal"/>
    <w:link w:val="Heading2Char"/>
    <w:uiPriority w:val="9"/>
    <w:semiHidden/>
    <w:unhideWhenUsed/>
    <w:qFormat/>
    <w:rsid w:val="00BA4056"/>
    <w:pPr>
      <w:numPr>
        <w:numId w:val="3"/>
      </w:numPr>
      <w:tabs>
        <w:tab w:val="num" w:pos="360"/>
      </w:tabs>
      <w:spacing w:after="240"/>
      <w:ind w:left="1440" w:hanging="720"/>
      <w:jc w:val="both"/>
      <w:outlineLvl w:val="1"/>
    </w:pPr>
    <w:rPr>
      <w:rFonts w:ascii="Cambria" w:eastAsia="Calibri" w:hAnsi="Cambria"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0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007"/>
  </w:style>
  <w:style w:type="paragraph" w:styleId="Footer">
    <w:name w:val="footer"/>
    <w:basedOn w:val="Normal"/>
    <w:link w:val="FooterChar"/>
    <w:uiPriority w:val="99"/>
    <w:unhideWhenUsed/>
    <w:rsid w:val="00D010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007"/>
  </w:style>
  <w:style w:type="character" w:customStyle="1" w:styleId="Heading1Char">
    <w:name w:val="Heading 1 Char"/>
    <w:basedOn w:val="DefaultParagraphFont"/>
    <w:link w:val="Heading1"/>
    <w:uiPriority w:val="9"/>
    <w:rsid w:val="00BA4056"/>
    <w:rPr>
      <w:rFonts w:ascii="Cambria" w:eastAsia="Times New Roman" w:hAnsi="Cambria" w:cs="Times New Roman"/>
      <w:b/>
      <w:szCs w:val="20"/>
    </w:rPr>
  </w:style>
  <w:style w:type="character" w:customStyle="1" w:styleId="Heading2Char">
    <w:name w:val="Heading 2 Char"/>
    <w:basedOn w:val="DefaultParagraphFont"/>
    <w:link w:val="Heading2"/>
    <w:uiPriority w:val="9"/>
    <w:semiHidden/>
    <w:rsid w:val="00BA4056"/>
    <w:rPr>
      <w:rFonts w:ascii="Cambria" w:eastAsia="Calibri" w:hAnsi="Cambria" w:cs="Times New Roman"/>
      <w:b/>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basedOn w:val="DefaultParagraphFont"/>
    <w:link w:val="FootnoteText"/>
    <w:uiPriority w:val="99"/>
    <w:semiHidden/>
    <w:qFormat/>
    <w:locked/>
    <w:rsid w:val="00BA4056"/>
    <w:rPr>
      <w:sz w:val="20"/>
      <w:szCs w:val="20"/>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iPriority w:val="99"/>
    <w:semiHidden/>
    <w:unhideWhenUsed/>
    <w:qFormat/>
    <w:rsid w:val="00BA4056"/>
    <w:pPr>
      <w:spacing w:after="0" w:line="240" w:lineRule="auto"/>
    </w:pPr>
    <w:rPr>
      <w:sz w:val="20"/>
      <w:szCs w:val="20"/>
    </w:rPr>
  </w:style>
  <w:style w:type="character" w:customStyle="1" w:styleId="FootnoteTextChar1">
    <w:name w:val="Footnote Text Char1"/>
    <w:basedOn w:val="DefaultParagraphFont"/>
    <w:uiPriority w:val="99"/>
    <w:semiHidden/>
    <w:rsid w:val="00BA4056"/>
    <w:rPr>
      <w:sz w:val="20"/>
      <w:szCs w:val="20"/>
    </w:rPr>
  </w:style>
  <w:style w:type="character" w:customStyle="1" w:styleId="ListParagraphChar">
    <w:name w:val="List Paragraph Char"/>
    <w:aliases w:val="List Char,Segundo nivel de viñetas Char,List Paragraph1 Char,titulo 3 Char,Bullets Char,Llista Nivell1 Char,Párrafo de lista1 Char,Ha Char,Párrafo de lista2 Char,Lista vistosa - Énfasis 11 Char,Cuadrícula clara - Énfasis 31 Char"/>
    <w:link w:val="ListParagraph1"/>
    <w:uiPriority w:val="34"/>
    <w:locked/>
    <w:rsid w:val="00BA4056"/>
  </w:style>
  <w:style w:type="paragraph" w:customStyle="1" w:styleId="ListParagraph1">
    <w:name w:val="List Paragraph1"/>
    <w:aliases w:val="List,Segundo nivel de viñetas,titulo 3,Bullets,Llista Nivell1,Párrafo de lista1,Ha,Párrafo de lista2,Lista vistosa - Énfasis 11,Cuadrícula clara - Énfasis 31,Dot pt,F5 List Paragraph,No Spacing1,Indicator Text,Bullet 1"/>
    <w:basedOn w:val="Normal"/>
    <w:link w:val="ListParagraphChar"/>
    <w:uiPriority w:val="34"/>
    <w:qFormat/>
    <w:rsid w:val="00BA4056"/>
    <w:pPr>
      <w:spacing w:after="0" w:line="240" w:lineRule="auto"/>
      <w:ind w:left="720"/>
      <w:contextualSpacing/>
    </w:pPr>
  </w:style>
  <w:style w:type="character" w:customStyle="1" w:styleId="paragraphsChar">
    <w:name w:val="paragraphs Char"/>
    <w:link w:val="paragraphs"/>
    <w:locked/>
    <w:rsid w:val="00BA4056"/>
    <w:rPr>
      <w:rFonts w:ascii="Cambria" w:eastAsia="Calibri" w:hAnsi="Cambria" w:cs="Times New Roman"/>
      <w:sz w:val="20"/>
      <w:szCs w:val="20"/>
      <w:lang w:val="es-ES_tradnl"/>
    </w:rPr>
  </w:style>
  <w:style w:type="paragraph" w:customStyle="1" w:styleId="paragraphs">
    <w:name w:val="paragraphs"/>
    <w:basedOn w:val="Normal"/>
    <w:link w:val="paragraphsChar"/>
    <w:qFormat/>
    <w:rsid w:val="00BA4056"/>
    <w:pPr>
      <w:numPr>
        <w:numId w:val="1"/>
      </w:numPr>
      <w:spacing w:after="240" w:line="240" w:lineRule="auto"/>
      <w:jc w:val="both"/>
    </w:pPr>
    <w:rPr>
      <w:rFonts w:ascii="Cambria" w:eastAsia="Calibri" w:hAnsi="Cambria" w:cs="Times New Roman"/>
      <w:sz w:val="20"/>
      <w:szCs w:val="20"/>
      <w:lang w:val="es-ES_tradnl"/>
    </w:rPr>
  </w:style>
  <w:style w:type="paragraph" w:customStyle="1" w:styleId="Default">
    <w:name w:val="Default"/>
    <w:rsid w:val="00BA4056"/>
    <w:pPr>
      <w:autoSpaceDE w:val="0"/>
      <w:autoSpaceDN w:val="0"/>
      <w:adjustRightInd w:val="0"/>
      <w:spacing w:after="0" w:line="240" w:lineRule="auto"/>
    </w:pPr>
    <w:rPr>
      <w:rFonts w:ascii="Calibri" w:eastAsia="Times New Roman" w:hAnsi="Calibri" w:cs="Calibri"/>
      <w:color w:val="000000"/>
      <w:sz w:val="24"/>
      <w:szCs w:val="24"/>
    </w:rPr>
  </w:style>
  <w:style w:type="character" w:styleId="FootnoteReference">
    <w:name w:val="footnote reference"/>
    <w:aliases w:val="Texto de nota al pie,Footnotes refss,referencia nota al pie,BVI fnr,Appel note de bas de page,Footnote number,f,Ref. de nota al pie.,Footnote symbol,Footnote,4_G,16 Point,Superscript 6 Point,Texto nota al pie,Ref. de nota al pi,Ref,f1"/>
    <w:basedOn w:val="DefaultParagraphFont"/>
    <w:link w:val="Char2"/>
    <w:uiPriority w:val="99"/>
    <w:unhideWhenUsed/>
    <w:qFormat/>
    <w:rsid w:val="00BA4056"/>
    <w:rPr>
      <w:vertAlign w:val="superscript"/>
    </w:rPr>
  </w:style>
  <w:style w:type="paragraph" w:customStyle="1" w:styleId="Char2">
    <w:name w:val="Char2"/>
    <w:basedOn w:val="Normal"/>
    <w:link w:val="FootnoteReference"/>
    <w:uiPriority w:val="99"/>
    <w:rsid w:val="00BA4056"/>
    <w:pPr>
      <w:spacing w:line="240" w:lineRule="exact"/>
    </w:pPr>
    <w:rPr>
      <w:vertAlign w:val="superscript"/>
    </w:rPr>
  </w:style>
  <w:style w:type="table" w:styleId="GridTable4-Accent5">
    <w:name w:val="Grid Table 4 Accent 5"/>
    <w:basedOn w:val="TableNormal"/>
    <w:uiPriority w:val="49"/>
    <w:rsid w:val="00BA4056"/>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semiHidden/>
    <w:unhideWhenUsed/>
    <w:rsid w:val="00061F9E"/>
    <w:pPr>
      <w:spacing w:before="100" w:beforeAutospacing="1" w:after="100" w:afterAutospacing="1" w:line="240" w:lineRule="auto"/>
    </w:pPr>
    <w:rPr>
      <w:rFonts w:ascii="Times New Roman" w:eastAsiaTheme="minorEastAsia"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85215">
      <w:bodyDiv w:val="1"/>
      <w:marLeft w:val="0"/>
      <w:marRight w:val="0"/>
      <w:marTop w:val="0"/>
      <w:marBottom w:val="0"/>
      <w:divBdr>
        <w:top w:val="none" w:sz="0" w:space="0" w:color="auto"/>
        <w:left w:val="none" w:sz="0" w:space="0" w:color="auto"/>
        <w:bottom w:val="none" w:sz="0" w:space="0" w:color="auto"/>
        <w:right w:val="none" w:sz="0" w:space="0" w:color="auto"/>
      </w:divBdr>
    </w:div>
    <w:div w:id="78185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orras\Documents\Custom%20Office%20Templates\TP_InformeAnual2020.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ICifuentes\Documents\CIDH-Ivonne\Informe%20Anual\2020\021121-CIDH%20Report%20Ejecucion%20Informe%20Anual%20al%2031-DEC-2020-IC.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ICifuentes\AppData\Local\Microsoft\Windows\INetCache\Content.Outlook\WBDLB0F7\021121-CIDH%20Report%20Ejecucion%20Informe%20Anual%20al%2031-DEC-2020-IC-fin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6862162534251747E-2"/>
          <c:y val="0.12148492414057997"/>
          <c:w val="0.75368728655111006"/>
          <c:h val="0.71584175148838103"/>
        </c:manualLayout>
      </c:layout>
      <c:pie3DChart>
        <c:varyColors val="1"/>
        <c:ser>
          <c:idx val="0"/>
          <c:order val="0"/>
          <c:explosion val="2"/>
          <c:dPt>
            <c:idx val="0"/>
            <c:bubble3D val="0"/>
            <c:extLst>
              <c:ext xmlns:c16="http://schemas.microsoft.com/office/drawing/2014/chart" uri="{C3380CC4-5D6E-409C-BE32-E72D297353CC}">
                <c16:uniqueId val="{00000000-CB85-0746-A19E-5470114F11F2}"/>
              </c:ext>
            </c:extLst>
          </c:dPt>
          <c:dPt>
            <c:idx val="1"/>
            <c:bubble3D val="0"/>
            <c:extLst>
              <c:ext xmlns:c16="http://schemas.microsoft.com/office/drawing/2014/chart" uri="{C3380CC4-5D6E-409C-BE32-E72D297353CC}">
                <c16:uniqueId val="{00000001-CB85-0746-A19E-5470114F11F2}"/>
              </c:ext>
            </c:extLst>
          </c:dPt>
          <c:dPt>
            <c:idx val="2"/>
            <c:bubble3D val="0"/>
            <c:extLst>
              <c:ext xmlns:c16="http://schemas.microsoft.com/office/drawing/2014/chart" uri="{C3380CC4-5D6E-409C-BE32-E72D297353CC}">
                <c16:uniqueId val="{00000002-CB85-0746-A19E-5470114F11F2}"/>
              </c:ext>
            </c:extLst>
          </c:dPt>
          <c:dPt>
            <c:idx val="3"/>
            <c:bubble3D val="0"/>
            <c:extLst>
              <c:ext xmlns:c16="http://schemas.microsoft.com/office/drawing/2014/chart" uri="{C3380CC4-5D6E-409C-BE32-E72D297353CC}">
                <c16:uniqueId val="{00000003-CB85-0746-A19E-5470114F11F2}"/>
              </c:ext>
            </c:extLst>
          </c:dPt>
          <c:dPt>
            <c:idx val="4"/>
            <c:bubble3D val="0"/>
            <c:explosion val="6"/>
            <c:extLst>
              <c:ext xmlns:c16="http://schemas.microsoft.com/office/drawing/2014/chart" uri="{C3380CC4-5D6E-409C-BE32-E72D297353CC}">
                <c16:uniqueId val="{00000005-CB85-0746-A19E-5470114F11F2}"/>
              </c:ext>
            </c:extLst>
          </c:dPt>
          <c:dLbls>
            <c:dLbl>
              <c:idx val="4"/>
              <c:layout>
                <c:manualLayout>
                  <c:x val="0.19125748875299217"/>
                  <c:y val="-0.10604263491453812"/>
                </c:manualLayout>
              </c:layout>
              <c:spPr>
                <a:noFill/>
                <a:ln w="25400">
                  <a:noFill/>
                </a:ln>
              </c:spPr>
              <c:txPr>
                <a:bodyPr wrap="square" lIns="38100" tIns="19050" rIns="38100" bIns="19050" anchor="ctr">
                  <a:spAutoFit/>
                </a:bodyPr>
                <a:lstStyle/>
                <a:p>
                  <a:pPr>
                    <a:defRPr/>
                  </a:pPr>
                  <a:endParaRPr lang="en-CR"/>
                </a:p>
              </c:txPr>
              <c:dLblPos val="bestFi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B85-0746-A19E-5470114F11F2}"/>
                </c:ext>
              </c:extLst>
            </c:dLbl>
            <c:spPr>
              <a:noFill/>
              <a:ln w="25400">
                <a:noFill/>
              </a:ln>
            </c:spPr>
            <c:dLblPos val="outEnd"/>
            <c:showLegendKey val="1"/>
            <c:showVal val="1"/>
            <c:showCatName val="1"/>
            <c:showSerName val="0"/>
            <c:showPercent val="1"/>
            <c:showBubbleSize val="0"/>
            <c:showLeaderLines val="1"/>
            <c:extLst>
              <c:ext xmlns:c15="http://schemas.microsoft.com/office/drawing/2012/chart" uri="{CE6537A1-D6FC-4f65-9D91-7224C49458BB}"/>
            </c:extLst>
          </c:dLbls>
          <c:cat>
            <c:strRef>
              <c:f>'Figura 1. FR 2020 OEA-CIDH'!$A$4:$A$8</c:f>
              <c:strCache>
                <c:ptCount val="5"/>
                <c:pt idx="0">
                  <c:v>Administration (1)</c:v>
                </c:pt>
                <c:pt idx="1">
                  <c:v>IACHR</c:v>
                </c:pt>
                <c:pt idx="2">
                  <c:v>Court IDH</c:v>
                </c:pt>
                <c:pt idx="3">
                  <c:v>Infrastructure and Common Costs</c:v>
                </c:pt>
                <c:pt idx="4">
                  <c:v>Other Programs</c:v>
                </c:pt>
              </c:strCache>
            </c:strRef>
          </c:cat>
          <c:val>
            <c:numRef>
              <c:f>'Figura 1. FR 2020 OEA-CIDH'!$B$4:$B$8</c:f>
              <c:numCache>
                <c:formatCode>_("$"* #,##0.00_);_("$"* \(#,##0.00\);_("$"* "-"??_);_(@_)</c:formatCode>
                <c:ptCount val="5"/>
                <c:pt idx="0">
                  <c:v>9709.5</c:v>
                </c:pt>
                <c:pt idx="1">
                  <c:v>10627.9</c:v>
                </c:pt>
                <c:pt idx="2">
                  <c:v>5296.1</c:v>
                </c:pt>
                <c:pt idx="3">
                  <c:v>10451.6</c:v>
                </c:pt>
                <c:pt idx="4">
                  <c:v>46614.9</c:v>
                </c:pt>
              </c:numCache>
            </c:numRef>
          </c:val>
          <c:extLst>
            <c:ext xmlns:c16="http://schemas.microsoft.com/office/drawing/2014/chart" uri="{C3380CC4-5D6E-409C-BE32-E72D297353CC}">
              <c16:uniqueId val="{00000006-CB85-0746-A19E-5470114F11F2}"/>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3"/>
          <c:dPt>
            <c:idx val="0"/>
            <c:bubble3D val="0"/>
            <c:extLst>
              <c:ext xmlns:c16="http://schemas.microsoft.com/office/drawing/2014/chart" uri="{C3380CC4-5D6E-409C-BE32-E72D297353CC}">
                <c16:uniqueId val="{00000000-9011-5A48-98B3-42FCEFC2E3BA}"/>
              </c:ext>
            </c:extLst>
          </c:dPt>
          <c:dPt>
            <c:idx val="1"/>
            <c:bubble3D val="0"/>
            <c:extLst>
              <c:ext xmlns:c16="http://schemas.microsoft.com/office/drawing/2014/chart" uri="{C3380CC4-5D6E-409C-BE32-E72D297353CC}">
                <c16:uniqueId val="{00000001-9011-5A48-98B3-42FCEFC2E3BA}"/>
              </c:ext>
            </c:extLst>
          </c:dPt>
          <c:dLbls>
            <c:dLbl>
              <c:idx val="0"/>
              <c:layout>
                <c:manualLayout>
                  <c:x val="0.11312489063867007"/>
                  <c:y val="-0.25722167677077845"/>
                </c:manualLayout>
              </c:layout>
              <c:spPr>
                <a:noFill/>
                <a:ln w="25400">
                  <a:noFill/>
                </a:ln>
              </c:spPr>
              <c:txPr>
                <a:bodyPr wrap="square" lIns="38100" tIns="19050" rIns="38100" bIns="19050" anchor="ctr">
                  <a:spAutoFit/>
                </a:bodyPr>
                <a:lstStyle/>
                <a:p>
                  <a:pPr>
                    <a:defRPr/>
                  </a:pPr>
                  <a:endParaRPr lang="en-C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9011-5A48-98B3-42FCEFC2E3BA}"/>
                </c:ext>
              </c:extLst>
            </c:dLbl>
            <c:dLbl>
              <c:idx val="1"/>
              <c:layout>
                <c:manualLayout>
                  <c:x val="-6.2446412948381443E-2"/>
                  <c:y val="6.7918595995081904E-2"/>
                </c:manualLayout>
              </c:layout>
              <c:spPr>
                <a:noFill/>
                <a:ln w="25400">
                  <a:noFill/>
                </a:ln>
              </c:spPr>
              <c:txPr>
                <a:bodyPr wrap="square" lIns="38100" tIns="19050" rIns="38100" bIns="19050" anchor="ctr">
                  <a:spAutoFit/>
                </a:bodyPr>
                <a:lstStyle/>
                <a:p>
                  <a:pPr>
                    <a:defRPr/>
                  </a:pPr>
                  <a:endParaRPr lang="en-CR"/>
                </a:p>
              </c:txPr>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011-5A48-98B3-42FCEFC2E3BA}"/>
                </c:ext>
              </c:extLst>
            </c:dLbl>
            <c:spPr>
              <a:noFill/>
              <a:ln w="25400">
                <a:noFill/>
              </a:ln>
            </c:sp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'[021121-CIDH Report Ejecucion Informe Anual al 31-DEC-2020-IC.xls]Figura 2-Fondos recibidos OCT20'!$K$3:$L$3</c:f>
              <c:strCache>
                <c:ptCount val="2"/>
                <c:pt idx="0">
                  <c:v>Regular Fund</c:v>
                </c:pt>
                <c:pt idx="1">
                  <c:v>Specific Funds</c:v>
                </c:pt>
              </c:strCache>
            </c:strRef>
          </c:cat>
          <c:val>
            <c:numRef>
              <c:f>'[021121-CIDH Report Ejecucion Informe Anual al 31-DEC-2020-IC.xls]Figura 2-Fondos recibidos OCT20'!$K$4:$L$4</c:f>
              <c:numCache>
                <c:formatCode>_(* #,##0.0_);_(* \(#,##0.0\);_(* "-"??_);_(@_)</c:formatCode>
                <c:ptCount val="2"/>
                <c:pt idx="0">
                  <c:v>9119.1290000000008</c:v>
                </c:pt>
                <c:pt idx="1">
                  <c:v>6845.6587</c:v>
                </c:pt>
              </c:numCache>
            </c:numRef>
          </c:val>
          <c:extLst>
            <c:ext xmlns:c16="http://schemas.microsoft.com/office/drawing/2014/chart" uri="{C3380CC4-5D6E-409C-BE32-E72D297353CC}">
              <c16:uniqueId val="{00000002-9011-5A48-98B3-42FCEFC2E3BA}"/>
            </c:ext>
          </c:extLst>
        </c:ser>
        <c:dLbls>
          <c:showLegendKey val="0"/>
          <c:showVal val="0"/>
          <c:showCatName val="0"/>
          <c:showSerName val="0"/>
          <c:showPercent val="0"/>
          <c:showBubbleSize val="0"/>
          <c:showLeaderLines val="0"/>
        </c:dLbls>
        <c:firstSliceAng val="0"/>
      </c:pieChart>
      <c:spPr>
        <a:noFill/>
        <a:ln w="25400">
          <a:noFill/>
        </a:ln>
      </c:spPr>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pie3DChart>
        <c:varyColors val="1"/>
        <c:ser>
          <c:idx val="0"/>
          <c:order val="0"/>
          <c:explosion val="3"/>
          <c:dPt>
            <c:idx val="0"/>
            <c:bubble3D val="0"/>
            <c:extLst>
              <c:ext xmlns:c16="http://schemas.microsoft.com/office/drawing/2014/chart" uri="{C3380CC4-5D6E-409C-BE32-E72D297353CC}">
                <c16:uniqueId val="{00000000-3F22-7D4B-B7EF-517B30B99DEF}"/>
              </c:ext>
            </c:extLst>
          </c:dPt>
          <c:dPt>
            <c:idx val="1"/>
            <c:bubble3D val="0"/>
            <c:explosion val="8"/>
            <c:extLst>
              <c:ext xmlns:c16="http://schemas.microsoft.com/office/drawing/2014/chart" uri="{C3380CC4-5D6E-409C-BE32-E72D297353CC}">
                <c16:uniqueId val="{00000002-3F22-7D4B-B7EF-517B30B99DEF}"/>
              </c:ext>
            </c:extLst>
          </c:dPt>
          <c:dLbls>
            <c:dLbl>
              <c:idx val="0"/>
              <c:layout>
                <c:manualLayout>
                  <c:x val="-5.4799777387036612E-2"/>
                  <c:y val="-0.3503330379776371"/>
                </c:manualLayout>
              </c:layout>
              <c:spPr>
                <a:noFill/>
                <a:ln w="25400">
                  <a:noFill/>
                </a:ln>
              </c:spPr>
              <c:txPr>
                <a:bodyPr wrap="square" lIns="38100" tIns="19050" rIns="38100" bIns="19050" anchor="ctr">
                  <a:spAutoFit/>
                </a:bodyPr>
                <a:lstStyle/>
                <a:p>
                  <a:pPr>
                    <a:defRPr/>
                  </a:pPr>
                  <a:endParaRPr lang="en-CR"/>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3F22-7D4B-B7EF-517B30B99DEF}"/>
                </c:ext>
              </c:extLst>
            </c:dLbl>
            <c:dLbl>
              <c:idx val="1"/>
              <c:layout>
                <c:manualLayout>
                  <c:x val="8.3332258949768579E-3"/>
                  <c:y val="-0.28269907199770028"/>
                </c:manualLayout>
              </c:layout>
              <c:spPr>
                <a:noFill/>
                <a:ln w="25400">
                  <a:noFill/>
                </a:ln>
              </c:spPr>
              <c:txPr>
                <a:bodyPr wrap="square" lIns="38100" tIns="19050" rIns="38100" bIns="19050" anchor="ctr">
                  <a:spAutoFit/>
                </a:bodyPr>
                <a:lstStyle/>
                <a:p>
                  <a:pPr>
                    <a:defRPr/>
                  </a:pPr>
                  <a:endParaRPr lang="en-CR"/>
                </a:p>
              </c:txPr>
              <c:dLblPos val="bestFit"/>
              <c:showLegendKey val="1"/>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3F22-7D4B-B7EF-517B30B99DEF}"/>
                </c:ext>
              </c:extLst>
            </c:dLbl>
            <c:spPr>
              <a:noFill/>
              <a:ln w="25400">
                <a:noFill/>
              </a:ln>
            </c:spPr>
            <c:dLblPos val="outEnd"/>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'Figure 3'!$G$15:$H$15</c:f>
              <c:strCache>
                <c:ptCount val="2"/>
                <c:pt idx="0">
                  <c:v>Regular Fund</c:v>
                </c:pt>
                <c:pt idx="1">
                  <c:v>Specific Funds</c:v>
                </c:pt>
              </c:strCache>
            </c:strRef>
          </c:cat>
          <c:val>
            <c:numRef>
              <c:f>'Figure 3'!$G$16:$H$16</c:f>
              <c:numCache>
                <c:formatCode>_("$"* #,##0.0_);_("$"* \(#,##0.0\);_("$"* "-"??_);_(@_)</c:formatCode>
                <c:ptCount val="2"/>
                <c:pt idx="0">
                  <c:v>8775.2000000000025</c:v>
                </c:pt>
                <c:pt idx="1">
                  <c:v>7302.9498499999991</c:v>
                </c:pt>
              </c:numCache>
            </c:numRef>
          </c:val>
          <c:extLst>
            <c:ext xmlns:c16="http://schemas.microsoft.com/office/drawing/2014/chart" uri="{C3380CC4-5D6E-409C-BE32-E72D297353CC}">
              <c16:uniqueId val="{00000003-3F22-7D4B-B7EF-517B30B99DEF}"/>
            </c:ext>
          </c:extLst>
        </c:ser>
        <c:dLbls>
          <c:showLegendKey val="0"/>
          <c:showVal val="0"/>
          <c:showCatName val="0"/>
          <c:showSerName val="0"/>
          <c:showPercent val="0"/>
          <c:showBubbleSize val="0"/>
          <c:showLeaderLines val="0"/>
        </c:dLbls>
      </c:pie3DChart>
      <c:spPr>
        <a:noFill/>
        <a:ln w="25400">
          <a:no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0.75127</cdr:x>
      <cdr:y>0.90598</cdr:y>
    </cdr:from>
    <cdr:to>
      <cdr:x>1</cdr:x>
      <cdr:y>1</cdr:y>
    </cdr:to>
    <cdr:sp macro="" textlink="">
      <cdr:nvSpPr>
        <cdr:cNvPr id="3" name="TextBox 1"/>
        <cdr:cNvSpPr txBox="1"/>
      </cdr:nvSpPr>
      <cdr:spPr>
        <a:xfrm xmlns:a="http://schemas.openxmlformats.org/drawingml/2006/main">
          <a:off x="4229100" y="4038600"/>
          <a:ext cx="1400175" cy="4191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t>Total:</a:t>
          </a:r>
          <a:r>
            <a:rPr lang="es-CO" sz="1100" b="1" baseline="0"/>
            <a:t> US$ 82,700.00</a:t>
          </a:r>
          <a:endParaRPr lang="es-CO"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0.687</cdr:x>
      <cdr:y>0.82875</cdr:y>
    </cdr:from>
    <cdr:to>
      <cdr:x>0.687</cdr:x>
      <cdr:y>0.82923</cdr:y>
    </cdr:to>
    <cdr:sp macro="" textlink="">
      <cdr:nvSpPr>
        <cdr:cNvPr id="3" name="TextBox 1"/>
        <cdr:cNvSpPr txBox="1"/>
      </cdr:nvSpPr>
      <cdr:spPr>
        <a:xfrm xmlns:a="http://schemas.openxmlformats.org/drawingml/2006/main">
          <a:off x="3124200" y="2547939"/>
          <a:ext cx="1447800" cy="552449"/>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b="1">
              <a:effectLst/>
              <a:latin typeface="+mn-lt"/>
              <a:ea typeface="+mn-ea"/>
              <a:cs typeface="+mn-cs"/>
            </a:rPr>
            <a:t>Total: USD 15,950.5</a:t>
          </a:r>
          <a:endParaRPr lang="es-CO">
            <a:effectLst/>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0.61714</cdr:x>
      <cdr:y>0.87718</cdr:y>
    </cdr:from>
    <cdr:to>
      <cdr:x>1</cdr:x>
      <cdr:y>0.97109</cdr:y>
    </cdr:to>
    <cdr:sp macro="" textlink="">
      <cdr:nvSpPr>
        <cdr:cNvPr id="3" name="TextBox 2"/>
        <cdr:cNvSpPr txBox="1"/>
      </cdr:nvSpPr>
      <cdr:spPr>
        <a:xfrm xmlns:a="http://schemas.openxmlformats.org/drawingml/2006/main">
          <a:off x="2675286" y="3251757"/>
          <a:ext cx="1664803" cy="38928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CO" sz="1100" b="1"/>
            <a:t>Total: US$ 16,078.1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C:\Users\JPorras\Documents\Custom Office Templates\TP_InformeAnual2020.dotx</Template>
  <TotalTime>109</TotalTime>
  <Pages>20</Pages>
  <Words>5741</Words>
  <Characters>32728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jospofe24@estudiantec.cr</cp:lastModifiedBy>
  <cp:revision>5</cp:revision>
  <dcterms:created xsi:type="dcterms:W3CDTF">2021-04-14T23:08:00Z</dcterms:created>
  <dcterms:modified xsi:type="dcterms:W3CDTF">2021-04-15T20:12:00Z</dcterms:modified>
</cp:coreProperties>
</file>