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B2C5" w14:textId="083D16DA" w:rsidR="00BD17B0" w:rsidRPr="00746761" w:rsidRDefault="00BD17B0" w:rsidP="007C4DCE">
      <w:pPr>
        <w:rPr>
          <w:rFonts w:ascii="Cambria" w:hAnsi="Cambria"/>
          <w:sz w:val="22"/>
          <w:szCs w:val="22"/>
          <w:lang w:val="es-ES"/>
        </w:rPr>
      </w:pPr>
    </w:p>
    <w:p w14:paraId="01441CD3" w14:textId="7FE1EBAE" w:rsidR="00706CD2" w:rsidRPr="008A7BD7" w:rsidRDefault="00681EEC" w:rsidP="00706CD2">
      <w:pPr>
        <w:jc w:val="center"/>
        <w:outlineLvl w:val="0"/>
        <w:rPr>
          <w:rFonts w:ascii="Cambria" w:eastAsia="Times New Roman" w:hAnsi="Cambria" w:cs="Times New Roman"/>
          <w:b/>
          <w:bCs/>
          <w:color w:val="000000"/>
          <w:sz w:val="32"/>
          <w:szCs w:val="32"/>
          <w:lang w:eastAsia="es-ES_tradnl"/>
        </w:rPr>
      </w:pPr>
      <w:r w:rsidRPr="008A7BD7">
        <w:rPr>
          <w:rFonts w:ascii="Cambria" w:eastAsia="Times New Roman" w:hAnsi="Cambria" w:cs="Times New Roman"/>
          <w:b/>
          <w:bCs/>
          <w:color w:val="000000"/>
          <w:sz w:val="32"/>
          <w:szCs w:val="32"/>
          <w:lang w:eastAsia="es-ES_tradnl"/>
        </w:rPr>
        <w:t>CHAPTER</w:t>
      </w:r>
      <w:r w:rsidR="00706CD2" w:rsidRPr="008A7BD7">
        <w:rPr>
          <w:rFonts w:ascii="Cambria" w:eastAsia="Times New Roman" w:hAnsi="Cambria" w:cs="Times New Roman"/>
          <w:b/>
          <w:bCs/>
          <w:color w:val="000000"/>
          <w:sz w:val="32"/>
          <w:szCs w:val="32"/>
          <w:lang w:eastAsia="es-ES_tradnl"/>
        </w:rPr>
        <w:t xml:space="preserve"> IV. B </w:t>
      </w:r>
    </w:p>
    <w:p w14:paraId="191B7F3B" w14:textId="77777777" w:rsidR="009F4E76" w:rsidRPr="008A7BD7" w:rsidRDefault="009F4E76" w:rsidP="00706CD2">
      <w:pPr>
        <w:jc w:val="center"/>
        <w:outlineLvl w:val="0"/>
        <w:rPr>
          <w:rFonts w:ascii="Cambria" w:eastAsia="Times New Roman" w:hAnsi="Cambria" w:cs="Times New Roman"/>
          <w:b/>
          <w:bCs/>
          <w:color w:val="000000"/>
          <w:sz w:val="32"/>
          <w:szCs w:val="32"/>
          <w:lang w:eastAsia="es-ES_tradnl"/>
        </w:rPr>
      </w:pPr>
    </w:p>
    <w:p w14:paraId="2D127763" w14:textId="77777777" w:rsidR="00706CD2" w:rsidRPr="008A7BD7" w:rsidRDefault="00706CD2" w:rsidP="00706CD2">
      <w:pPr>
        <w:jc w:val="center"/>
        <w:outlineLvl w:val="0"/>
        <w:rPr>
          <w:rFonts w:ascii="Cambria" w:eastAsia="Times New Roman" w:hAnsi="Cambria" w:cs="Times New Roman"/>
          <w:b/>
          <w:bCs/>
          <w:color w:val="000000"/>
          <w:sz w:val="32"/>
          <w:szCs w:val="32"/>
          <w:lang w:eastAsia="es-ES_tradnl"/>
        </w:rPr>
      </w:pPr>
      <w:r w:rsidRPr="008A7BD7">
        <w:rPr>
          <w:rFonts w:ascii="Cambria" w:eastAsia="Times New Roman" w:hAnsi="Cambria" w:cs="Times New Roman"/>
          <w:b/>
          <w:bCs/>
          <w:color w:val="000000"/>
          <w:sz w:val="32"/>
          <w:szCs w:val="32"/>
          <w:lang w:eastAsia="es-ES_tradnl"/>
        </w:rPr>
        <w:t>GUATEMALA</w:t>
      </w:r>
    </w:p>
    <w:p w14:paraId="387AD54D" w14:textId="295D0732" w:rsidR="00706CD2" w:rsidRPr="008A7BD7" w:rsidRDefault="00706CD2" w:rsidP="008A7BD7">
      <w:pPr>
        <w:pStyle w:val="Title"/>
        <w:ind w:left="1080"/>
        <w:rPr>
          <w:rFonts w:ascii="Cambria" w:hAnsi="Cambria"/>
          <w:b/>
          <w:bCs/>
          <w:sz w:val="20"/>
          <w:szCs w:val="20"/>
          <w:lang w:eastAsia="es-ES"/>
        </w:rPr>
      </w:pPr>
    </w:p>
    <w:p w14:paraId="70E9E001" w14:textId="77777777" w:rsidR="008A7BD7" w:rsidRPr="008A7BD7" w:rsidRDefault="008A7BD7" w:rsidP="008A7BD7">
      <w:pPr>
        <w:rPr>
          <w:lang w:eastAsia="es-ES"/>
        </w:rPr>
      </w:pPr>
    </w:p>
    <w:p w14:paraId="48225427" w14:textId="004B5868" w:rsidR="00832A52" w:rsidRPr="00F0442F" w:rsidRDefault="00461F95" w:rsidP="00F0442F">
      <w:pPr>
        <w:pStyle w:val="Heading1"/>
      </w:pPr>
      <w:r w:rsidRPr="00F0442F">
        <w:t>INTRODUCTION</w:t>
      </w:r>
    </w:p>
    <w:p w14:paraId="78B54CAA" w14:textId="77777777" w:rsidR="00DE6537" w:rsidRPr="008A7BD7" w:rsidRDefault="00DE6537" w:rsidP="00DE6537">
      <w:pPr>
        <w:suppressAutoHyphens/>
        <w:ind w:left="720"/>
        <w:jc w:val="both"/>
        <w:rPr>
          <w:rFonts w:ascii="Cambria" w:eastAsia="Times New Roman" w:hAnsi="Cambria" w:cs="Times New Roman"/>
          <w:color w:val="000000" w:themeColor="text1"/>
          <w:sz w:val="20"/>
          <w:szCs w:val="20"/>
          <w:lang w:val="es-US" w:eastAsia="es-ES"/>
        </w:rPr>
      </w:pPr>
    </w:p>
    <w:p w14:paraId="6D38D450" w14:textId="6A5E36E7" w:rsidR="0050425D" w:rsidRPr="008A7BD7" w:rsidRDefault="00DF2566" w:rsidP="00BB65D3">
      <w:pPr>
        <w:numPr>
          <w:ilvl w:val="0"/>
          <w:numId w:val="2"/>
        </w:numPr>
        <w:suppressAutoHyphens/>
        <w:ind w:left="0" w:firstLine="720"/>
        <w:jc w:val="both"/>
        <w:rPr>
          <w:rFonts w:ascii="Cambria" w:eastAsia="Times New Roman" w:hAnsi="Cambria" w:cs="Times New Roman"/>
          <w:color w:val="000000" w:themeColor="text1"/>
          <w:sz w:val="20"/>
          <w:szCs w:val="20"/>
          <w:lang w:eastAsia="es-ES"/>
        </w:rPr>
      </w:pPr>
      <w:r w:rsidRPr="008A7BD7">
        <w:rPr>
          <w:rFonts w:ascii="Cambria" w:eastAsia="Times New Roman" w:hAnsi="Cambria" w:cs="Times New Roman"/>
          <w:color w:val="000000" w:themeColor="text1"/>
          <w:sz w:val="20"/>
          <w:szCs w:val="20"/>
          <w:lang w:eastAsia="es-ES"/>
        </w:rPr>
        <w:t>Within the framework of</w:t>
      </w:r>
      <w:r w:rsidR="00461F95" w:rsidRPr="008A7BD7">
        <w:rPr>
          <w:rFonts w:ascii="Cambria" w:eastAsia="Times New Roman" w:hAnsi="Cambria" w:cs="Times New Roman"/>
          <w:color w:val="000000" w:themeColor="text1"/>
          <w:sz w:val="20"/>
          <w:szCs w:val="20"/>
          <w:lang w:eastAsia="es-ES"/>
        </w:rPr>
        <w:t xml:space="preserve"> its </w:t>
      </w:r>
      <w:r w:rsidR="00E9377D" w:rsidRPr="008A7BD7">
        <w:rPr>
          <w:rFonts w:ascii="Cambria" w:eastAsia="Times New Roman" w:hAnsi="Cambria" w:cs="Times New Roman"/>
          <w:color w:val="000000" w:themeColor="text1"/>
          <w:sz w:val="20"/>
          <w:szCs w:val="20"/>
          <w:lang w:eastAsia="es-ES"/>
        </w:rPr>
        <w:t xml:space="preserve">treaty </w:t>
      </w:r>
      <w:r w:rsidR="00461F95" w:rsidRPr="008A7BD7">
        <w:rPr>
          <w:rFonts w:ascii="Cambria" w:eastAsia="Times New Roman" w:hAnsi="Cambria" w:cs="Times New Roman"/>
          <w:color w:val="000000" w:themeColor="text1"/>
          <w:sz w:val="20"/>
          <w:szCs w:val="20"/>
          <w:lang w:eastAsia="es-ES"/>
        </w:rPr>
        <w:t xml:space="preserve">mandate </w:t>
      </w:r>
      <w:r w:rsidR="00E9377D" w:rsidRPr="008A7BD7">
        <w:rPr>
          <w:rFonts w:ascii="Cambria" w:eastAsia="Times New Roman" w:hAnsi="Cambria" w:cs="Times New Roman"/>
          <w:color w:val="000000" w:themeColor="text1"/>
          <w:sz w:val="20"/>
          <w:szCs w:val="20"/>
          <w:lang w:eastAsia="es-ES"/>
        </w:rPr>
        <w:t xml:space="preserve">and </w:t>
      </w:r>
      <w:r w:rsidR="000B6E7C" w:rsidRPr="008A7BD7">
        <w:rPr>
          <w:rFonts w:ascii="Cambria" w:eastAsia="Times New Roman" w:hAnsi="Cambria" w:cs="Times New Roman"/>
          <w:color w:val="000000" w:themeColor="text1"/>
          <w:sz w:val="20"/>
          <w:szCs w:val="20"/>
          <w:lang w:eastAsia="es-ES"/>
        </w:rPr>
        <w:t>rules of procedure</w:t>
      </w:r>
      <w:r w:rsidR="00461F95" w:rsidRPr="008A7BD7">
        <w:rPr>
          <w:rFonts w:ascii="Cambria" w:eastAsia="Times New Roman" w:hAnsi="Cambria" w:cs="Times New Roman"/>
          <w:color w:val="000000" w:themeColor="text1"/>
          <w:sz w:val="20"/>
          <w:szCs w:val="20"/>
          <w:lang w:eastAsia="es-ES"/>
        </w:rPr>
        <w:t>,</w:t>
      </w:r>
      <w:r w:rsidR="00706CD2" w:rsidRPr="008A7BD7">
        <w:rPr>
          <w:rFonts w:ascii="Cambria" w:eastAsia="Times New Roman" w:hAnsi="Cambria" w:cs="Times New Roman"/>
          <w:color w:val="000000" w:themeColor="text1"/>
          <w:sz w:val="20"/>
          <w:szCs w:val="20"/>
          <w:lang w:eastAsia="es-ES"/>
        </w:rPr>
        <w:t xml:space="preserve"> </w:t>
      </w:r>
      <w:r w:rsidR="00461F95" w:rsidRPr="008A7BD7">
        <w:rPr>
          <w:rFonts w:ascii="Cambria" w:eastAsia="Times New Roman" w:hAnsi="Cambria" w:cs="Times New Roman"/>
          <w:color w:val="000000" w:themeColor="text1"/>
          <w:sz w:val="20"/>
          <w:szCs w:val="20"/>
          <w:lang w:eastAsia="es-ES"/>
        </w:rPr>
        <w:t xml:space="preserve">the Inter-American Commission on Human Rights </w:t>
      </w:r>
      <w:r w:rsidR="00706CD2" w:rsidRPr="008A7BD7">
        <w:rPr>
          <w:rFonts w:ascii="Cambria" w:eastAsia="Times New Roman" w:hAnsi="Cambria" w:cs="Times New Roman"/>
          <w:color w:val="000000" w:themeColor="text1"/>
          <w:sz w:val="20"/>
          <w:szCs w:val="20"/>
          <w:lang w:eastAsia="es-ES"/>
        </w:rPr>
        <w:t>(“</w:t>
      </w:r>
      <w:r w:rsidR="00461F95" w:rsidRPr="008A7BD7">
        <w:rPr>
          <w:rFonts w:ascii="Cambria" w:eastAsia="Times New Roman" w:hAnsi="Cambria" w:cs="Times New Roman"/>
          <w:color w:val="000000" w:themeColor="text1"/>
          <w:sz w:val="20"/>
          <w:szCs w:val="20"/>
          <w:lang w:eastAsia="es-ES"/>
        </w:rPr>
        <w:t>the Commission,</w:t>
      </w:r>
      <w:r w:rsidR="00706CD2" w:rsidRPr="008A7BD7">
        <w:rPr>
          <w:rFonts w:ascii="Cambria" w:eastAsia="Times New Roman" w:hAnsi="Cambria" w:cs="Times New Roman"/>
          <w:color w:val="000000" w:themeColor="text1"/>
          <w:sz w:val="20"/>
          <w:szCs w:val="20"/>
          <w:lang w:eastAsia="es-ES"/>
        </w:rPr>
        <w:t>” “</w:t>
      </w:r>
      <w:r w:rsidR="00461F95" w:rsidRPr="008A7BD7">
        <w:rPr>
          <w:rFonts w:ascii="Cambria" w:eastAsia="Times New Roman" w:hAnsi="Cambria" w:cs="Times New Roman"/>
          <w:color w:val="000000" w:themeColor="text1"/>
          <w:sz w:val="20"/>
          <w:szCs w:val="20"/>
          <w:lang w:eastAsia="es-ES"/>
        </w:rPr>
        <w:t xml:space="preserve">the Inter-American Commission,” or “the IACHR”) </w:t>
      </w:r>
      <w:r w:rsidR="00706CD2" w:rsidRPr="008A7BD7">
        <w:rPr>
          <w:rFonts w:ascii="Cambria" w:eastAsia="Times New Roman" w:hAnsi="Cambria" w:cs="Times New Roman"/>
          <w:color w:val="000000" w:themeColor="text1"/>
          <w:sz w:val="20"/>
          <w:szCs w:val="20"/>
          <w:lang w:eastAsia="es-ES"/>
        </w:rPr>
        <w:t>ha</w:t>
      </w:r>
      <w:r w:rsidR="00461F95" w:rsidRPr="008A7BD7">
        <w:rPr>
          <w:rFonts w:ascii="Cambria" w:eastAsia="Times New Roman" w:hAnsi="Cambria" w:cs="Times New Roman"/>
          <w:color w:val="000000" w:themeColor="text1"/>
          <w:sz w:val="20"/>
          <w:szCs w:val="20"/>
          <w:lang w:eastAsia="es-ES"/>
        </w:rPr>
        <w:t>s closely followed the human rights situation in</w:t>
      </w:r>
      <w:r w:rsidR="00706CD2" w:rsidRPr="008A7BD7">
        <w:rPr>
          <w:rFonts w:ascii="Cambria" w:eastAsia="Times New Roman" w:hAnsi="Cambria" w:cs="Times New Roman"/>
          <w:color w:val="000000" w:themeColor="text1"/>
          <w:sz w:val="20"/>
          <w:szCs w:val="20"/>
          <w:lang w:eastAsia="es-ES"/>
        </w:rPr>
        <w:t xml:space="preserve"> Guatemala </w:t>
      </w:r>
      <w:r w:rsidR="00461F95" w:rsidRPr="008A7BD7">
        <w:rPr>
          <w:rFonts w:ascii="Cambria" w:eastAsia="Times New Roman" w:hAnsi="Cambria" w:cs="Times New Roman"/>
          <w:color w:val="000000" w:themeColor="text1"/>
          <w:sz w:val="20"/>
          <w:szCs w:val="20"/>
          <w:lang w:eastAsia="es-ES"/>
        </w:rPr>
        <w:t>and has observed structural challenges that have a serious impact on the enjoyment and exercise of human rights</w:t>
      </w:r>
      <w:r w:rsidR="00D81DBF" w:rsidRPr="008A7BD7">
        <w:rPr>
          <w:rFonts w:ascii="Cambria" w:eastAsia="Times New Roman" w:hAnsi="Cambria" w:cs="Times New Roman"/>
          <w:color w:val="000000" w:themeColor="text1"/>
          <w:sz w:val="20"/>
          <w:szCs w:val="20"/>
          <w:lang w:eastAsia="es-ES"/>
        </w:rPr>
        <w:t xml:space="preserve">. These challenges stem </w:t>
      </w:r>
      <w:proofErr w:type="gramStart"/>
      <w:r w:rsidR="001B20F5" w:rsidRPr="008A7BD7">
        <w:rPr>
          <w:rFonts w:ascii="Cambria" w:eastAsia="Times New Roman" w:hAnsi="Cambria" w:cs="Times New Roman"/>
          <w:color w:val="000000" w:themeColor="text1"/>
          <w:sz w:val="20"/>
          <w:szCs w:val="20"/>
          <w:lang w:eastAsia="es-ES"/>
        </w:rPr>
        <w:t>in particular from</w:t>
      </w:r>
      <w:proofErr w:type="gramEnd"/>
      <w:r w:rsidR="001B20F5" w:rsidRPr="008A7BD7">
        <w:rPr>
          <w:rFonts w:ascii="Cambria" w:eastAsia="Times New Roman" w:hAnsi="Cambria" w:cs="Times New Roman"/>
          <w:color w:val="000000" w:themeColor="text1"/>
          <w:sz w:val="20"/>
          <w:szCs w:val="20"/>
          <w:lang w:eastAsia="es-ES"/>
        </w:rPr>
        <w:t xml:space="preserve"> </w:t>
      </w:r>
      <w:r w:rsidR="00461F95" w:rsidRPr="008A7BD7">
        <w:rPr>
          <w:rFonts w:ascii="Cambria" w:eastAsia="Times New Roman" w:hAnsi="Cambria" w:cs="Times New Roman"/>
          <w:color w:val="000000" w:themeColor="text1"/>
          <w:sz w:val="20"/>
          <w:szCs w:val="20"/>
          <w:lang w:eastAsia="es-ES"/>
        </w:rPr>
        <w:t xml:space="preserve">State actions that </w:t>
      </w:r>
      <w:r w:rsidR="000B6E7C" w:rsidRPr="008A7BD7">
        <w:rPr>
          <w:rFonts w:ascii="Cambria" w:eastAsia="Times New Roman" w:hAnsi="Cambria" w:cs="Times New Roman"/>
          <w:color w:val="000000" w:themeColor="text1"/>
          <w:sz w:val="20"/>
          <w:szCs w:val="20"/>
          <w:lang w:eastAsia="es-ES"/>
        </w:rPr>
        <w:t>undermine</w:t>
      </w:r>
      <w:r w:rsidR="00461F95" w:rsidRPr="008A7BD7">
        <w:rPr>
          <w:rFonts w:ascii="Cambria" w:eastAsia="Times New Roman" w:hAnsi="Cambria" w:cs="Times New Roman"/>
          <w:color w:val="000000" w:themeColor="text1"/>
          <w:sz w:val="20"/>
          <w:szCs w:val="20"/>
          <w:lang w:eastAsia="es-ES"/>
        </w:rPr>
        <w:t xml:space="preserve"> judicial independence and </w:t>
      </w:r>
      <w:r w:rsidR="001B20F5" w:rsidRPr="008A7BD7">
        <w:rPr>
          <w:rFonts w:ascii="Cambria" w:eastAsia="Times New Roman" w:hAnsi="Cambria" w:cs="Times New Roman"/>
          <w:color w:val="000000" w:themeColor="text1"/>
          <w:sz w:val="20"/>
          <w:szCs w:val="20"/>
          <w:lang w:eastAsia="es-ES"/>
        </w:rPr>
        <w:t xml:space="preserve">call into question the fight against impunity and corruption, </w:t>
      </w:r>
      <w:r w:rsidR="00D81DBF" w:rsidRPr="008A7BD7">
        <w:rPr>
          <w:rFonts w:ascii="Cambria" w:eastAsia="Times New Roman" w:hAnsi="Cambria" w:cs="Times New Roman"/>
          <w:color w:val="000000" w:themeColor="text1"/>
          <w:sz w:val="20"/>
          <w:szCs w:val="20"/>
          <w:lang w:eastAsia="es-ES"/>
        </w:rPr>
        <w:t>as well as</w:t>
      </w:r>
      <w:r w:rsidR="001B20F5" w:rsidRPr="008A7BD7">
        <w:rPr>
          <w:rFonts w:ascii="Cambria" w:eastAsia="Times New Roman" w:hAnsi="Cambria" w:cs="Times New Roman"/>
          <w:color w:val="000000" w:themeColor="text1"/>
          <w:sz w:val="20"/>
          <w:szCs w:val="20"/>
          <w:lang w:eastAsia="es-ES"/>
        </w:rPr>
        <w:t xml:space="preserve"> </w:t>
      </w:r>
      <w:r w:rsidR="00D81DBF" w:rsidRPr="008A7BD7">
        <w:rPr>
          <w:rFonts w:ascii="Cambria" w:eastAsia="Times New Roman" w:hAnsi="Cambria" w:cs="Times New Roman"/>
          <w:color w:val="000000" w:themeColor="text1"/>
          <w:sz w:val="20"/>
          <w:szCs w:val="20"/>
          <w:lang w:eastAsia="es-ES"/>
        </w:rPr>
        <w:t xml:space="preserve">from </w:t>
      </w:r>
      <w:r w:rsidR="001B20F5" w:rsidRPr="008A7BD7">
        <w:rPr>
          <w:rFonts w:ascii="Cambria" w:eastAsia="Times New Roman" w:hAnsi="Cambria" w:cs="Times New Roman"/>
          <w:color w:val="000000" w:themeColor="text1"/>
          <w:sz w:val="20"/>
          <w:szCs w:val="20"/>
          <w:lang w:eastAsia="es-ES"/>
        </w:rPr>
        <w:t>the progressive weakening of democratic institutions and the institutional framework for human rights</w:t>
      </w:r>
      <w:r w:rsidR="003A34FE" w:rsidRPr="008A7BD7">
        <w:rPr>
          <w:rFonts w:ascii="Cambria" w:eastAsia="Times New Roman" w:hAnsi="Cambria" w:cs="Times"/>
          <w:color w:val="000000" w:themeColor="text1"/>
          <w:sz w:val="20"/>
          <w:szCs w:val="20"/>
          <w:lang w:eastAsia="es-ES"/>
        </w:rPr>
        <w:t>.</w:t>
      </w:r>
    </w:p>
    <w:p w14:paraId="15A0CF08" w14:textId="77777777" w:rsidR="00EB6F5C" w:rsidRPr="008A7BD7" w:rsidRDefault="00EB6F5C" w:rsidP="0058654B">
      <w:pPr>
        <w:suppressAutoHyphens/>
        <w:ind w:left="720"/>
        <w:jc w:val="both"/>
        <w:rPr>
          <w:rFonts w:ascii="Cambria" w:eastAsia="Times New Roman" w:hAnsi="Cambria" w:cs="Times New Roman"/>
          <w:color w:val="000000" w:themeColor="text1"/>
          <w:sz w:val="20"/>
          <w:szCs w:val="20"/>
          <w:lang w:eastAsia="es-ES"/>
        </w:rPr>
      </w:pPr>
    </w:p>
    <w:p w14:paraId="5533284B" w14:textId="4A65D3B0" w:rsidR="00EB6F5C" w:rsidRPr="008A7BD7" w:rsidRDefault="00686514" w:rsidP="00BB65D3">
      <w:pPr>
        <w:numPr>
          <w:ilvl w:val="0"/>
          <w:numId w:val="2"/>
        </w:numPr>
        <w:suppressAutoHyphens/>
        <w:ind w:left="0" w:firstLine="720"/>
        <w:jc w:val="both"/>
        <w:rPr>
          <w:rFonts w:ascii="Cambria" w:eastAsia="Calibri" w:hAnsi="Cambria" w:cs="Times New Roman"/>
          <w:sz w:val="20"/>
          <w:szCs w:val="20"/>
          <w:lang w:eastAsia="es-ES"/>
        </w:rPr>
      </w:pPr>
      <w:r w:rsidRPr="008A7BD7">
        <w:rPr>
          <w:rFonts w:ascii="Cambria" w:eastAsia="Times New Roman" w:hAnsi="Cambria" w:cs="Times New Roman"/>
          <w:sz w:val="20"/>
          <w:szCs w:val="20"/>
          <w:lang w:eastAsia="es-ES"/>
        </w:rPr>
        <w:t>Over</w:t>
      </w:r>
      <w:r w:rsidR="000B6E7C" w:rsidRPr="008A7BD7">
        <w:rPr>
          <w:rFonts w:ascii="Cambria" w:eastAsia="Times New Roman" w:hAnsi="Cambria" w:cs="Times New Roman"/>
          <w:sz w:val="20"/>
          <w:szCs w:val="20"/>
          <w:lang w:eastAsia="es-ES"/>
        </w:rPr>
        <w:t xml:space="preserve"> the course of</w:t>
      </w:r>
      <w:r w:rsidR="00D81DBF" w:rsidRPr="008A7BD7">
        <w:rPr>
          <w:rFonts w:ascii="Cambria" w:eastAsia="Times New Roman" w:hAnsi="Cambria" w:cs="Times New Roman"/>
          <w:sz w:val="20"/>
          <w:szCs w:val="20"/>
          <w:lang w:eastAsia="es-ES"/>
        </w:rPr>
        <w:t xml:space="preserve"> </w:t>
      </w:r>
      <w:r w:rsidR="00EB6F5C" w:rsidRPr="008A7BD7">
        <w:rPr>
          <w:rFonts w:ascii="Cambria" w:eastAsia="Times New Roman" w:hAnsi="Cambria" w:cs="Times New Roman"/>
          <w:sz w:val="20"/>
          <w:szCs w:val="20"/>
          <w:lang w:eastAsia="es-ES"/>
        </w:rPr>
        <w:t xml:space="preserve">2021, </w:t>
      </w:r>
      <w:r w:rsidR="00D81DBF" w:rsidRPr="008A7BD7">
        <w:rPr>
          <w:rFonts w:ascii="Cambria" w:eastAsia="Times New Roman" w:hAnsi="Cambria" w:cs="Times New Roman"/>
          <w:sz w:val="20"/>
          <w:szCs w:val="20"/>
          <w:lang w:eastAsia="es-ES"/>
        </w:rPr>
        <w:t xml:space="preserve">the IACHR observed </w:t>
      </w:r>
      <w:r w:rsidR="009644A1" w:rsidRPr="008A7BD7">
        <w:rPr>
          <w:rFonts w:ascii="Cambria" w:eastAsia="Times New Roman" w:hAnsi="Cambria" w:cs="Times New Roman"/>
          <w:sz w:val="20"/>
          <w:szCs w:val="20"/>
          <w:lang w:eastAsia="es-ES"/>
        </w:rPr>
        <w:t>that</w:t>
      </w:r>
      <w:r w:rsidR="00D81DBF" w:rsidRPr="008A7BD7">
        <w:rPr>
          <w:rFonts w:ascii="Cambria" w:eastAsia="Times New Roman" w:hAnsi="Cambria" w:cs="Times New Roman"/>
          <w:sz w:val="20"/>
          <w:szCs w:val="20"/>
          <w:lang w:eastAsia="es-ES"/>
        </w:rPr>
        <w:t xml:space="preserve"> systematic actions and interference against the independence of the justice system</w:t>
      </w:r>
      <w:r w:rsidR="009644A1" w:rsidRPr="008A7BD7">
        <w:rPr>
          <w:rFonts w:ascii="Cambria" w:eastAsia="Times New Roman" w:hAnsi="Cambria" w:cs="Times New Roman"/>
          <w:sz w:val="20"/>
          <w:szCs w:val="20"/>
          <w:lang w:eastAsia="es-ES"/>
        </w:rPr>
        <w:t xml:space="preserve"> have intensified</w:t>
      </w:r>
      <w:r w:rsidRPr="008A7BD7">
        <w:rPr>
          <w:rFonts w:ascii="Cambria" w:eastAsia="Times New Roman" w:hAnsi="Cambria" w:cs="Times New Roman"/>
          <w:sz w:val="20"/>
          <w:szCs w:val="20"/>
          <w:lang w:eastAsia="es-ES"/>
        </w:rPr>
        <w:t xml:space="preserve">. </w:t>
      </w:r>
      <w:r w:rsidR="009644A1" w:rsidRPr="008A7BD7">
        <w:rPr>
          <w:rFonts w:ascii="Cambria" w:eastAsia="Times New Roman" w:hAnsi="Cambria" w:cs="Times New Roman"/>
          <w:sz w:val="20"/>
          <w:szCs w:val="20"/>
          <w:lang w:eastAsia="es-ES"/>
        </w:rPr>
        <w:t>This has</w:t>
      </w:r>
      <w:r w:rsidR="00D81DBF" w:rsidRPr="008A7BD7">
        <w:rPr>
          <w:rFonts w:ascii="Cambria" w:eastAsia="Times New Roman" w:hAnsi="Cambria" w:cs="Times New Roman"/>
          <w:sz w:val="20"/>
          <w:szCs w:val="20"/>
          <w:lang w:eastAsia="es-ES"/>
        </w:rPr>
        <w:t xml:space="preserve"> </w:t>
      </w:r>
      <w:r w:rsidR="00400DD5" w:rsidRPr="008A7BD7">
        <w:rPr>
          <w:rFonts w:ascii="Cambria" w:eastAsia="Times New Roman" w:hAnsi="Cambria" w:cs="Times New Roman"/>
          <w:sz w:val="20"/>
          <w:szCs w:val="20"/>
          <w:lang w:eastAsia="es-ES"/>
        </w:rPr>
        <w:t xml:space="preserve">reportedly had </w:t>
      </w:r>
      <w:r w:rsidR="00D81DBF" w:rsidRPr="008A7BD7">
        <w:rPr>
          <w:rFonts w:ascii="Cambria" w:eastAsia="Times New Roman" w:hAnsi="Cambria" w:cs="Times New Roman"/>
          <w:sz w:val="20"/>
          <w:szCs w:val="20"/>
          <w:lang w:eastAsia="es-ES"/>
        </w:rPr>
        <w:t>the effect of weakening and hampering the work of institutions that, since the departure of the International Commission against Impunity in Guatemala</w:t>
      </w:r>
      <w:r w:rsidR="003F06BF" w:rsidRPr="008A7BD7">
        <w:rPr>
          <w:rFonts w:ascii="Cambria" w:eastAsia="Times New Roman" w:hAnsi="Cambria" w:cs="Times New Roman"/>
          <w:sz w:val="20"/>
          <w:szCs w:val="20"/>
          <w:lang w:eastAsia="es-ES"/>
        </w:rPr>
        <w:t xml:space="preserve"> (CICIG)</w:t>
      </w:r>
      <w:r w:rsidR="0089045A" w:rsidRPr="008A7BD7">
        <w:rPr>
          <w:rFonts w:ascii="Cambria" w:eastAsia="Times New Roman" w:hAnsi="Cambria" w:cs="Times New Roman"/>
          <w:sz w:val="20"/>
          <w:szCs w:val="20"/>
          <w:lang w:eastAsia="es-ES"/>
        </w:rPr>
        <w:t>,</w:t>
      </w:r>
      <w:r w:rsidR="003F06BF" w:rsidRPr="008A7BD7">
        <w:rPr>
          <w:rFonts w:ascii="Cambria" w:eastAsia="Times New Roman" w:hAnsi="Cambria" w:cs="Times New Roman"/>
          <w:sz w:val="20"/>
          <w:szCs w:val="20"/>
          <w:lang w:eastAsia="es-ES"/>
        </w:rPr>
        <w:t xml:space="preserve"> </w:t>
      </w:r>
      <w:r w:rsidR="00196D2E" w:rsidRPr="008A7BD7">
        <w:rPr>
          <w:rFonts w:ascii="Cambria" w:eastAsia="Times New Roman" w:hAnsi="Cambria" w:cs="Times New Roman"/>
          <w:sz w:val="20"/>
          <w:szCs w:val="20"/>
          <w:lang w:eastAsia="es-ES"/>
        </w:rPr>
        <w:t xml:space="preserve">had </w:t>
      </w:r>
      <w:r w:rsidR="00632175" w:rsidRPr="008A7BD7">
        <w:rPr>
          <w:rFonts w:ascii="Cambria" w:eastAsia="Times New Roman" w:hAnsi="Cambria" w:cs="Times New Roman"/>
          <w:sz w:val="20"/>
          <w:szCs w:val="20"/>
          <w:lang w:eastAsia="es-ES"/>
        </w:rPr>
        <w:t>stood out</w:t>
      </w:r>
      <w:r w:rsidR="003F06BF" w:rsidRPr="008A7BD7">
        <w:rPr>
          <w:rFonts w:ascii="Cambria" w:eastAsia="Times New Roman" w:hAnsi="Cambria" w:cs="Times New Roman"/>
          <w:sz w:val="20"/>
          <w:szCs w:val="20"/>
          <w:lang w:eastAsia="es-ES"/>
        </w:rPr>
        <w:t xml:space="preserve"> for their independent and impartial efforts to combat corruption and impunity, and </w:t>
      </w:r>
      <w:r w:rsidR="00632175" w:rsidRPr="008A7BD7">
        <w:rPr>
          <w:rFonts w:ascii="Cambria" w:eastAsia="Times New Roman" w:hAnsi="Cambria" w:cs="Times New Roman"/>
          <w:sz w:val="20"/>
          <w:szCs w:val="20"/>
          <w:lang w:eastAsia="es-ES"/>
        </w:rPr>
        <w:t xml:space="preserve">for the </w:t>
      </w:r>
      <w:r w:rsidR="0089045A" w:rsidRPr="008A7BD7">
        <w:rPr>
          <w:rFonts w:ascii="Cambria" w:eastAsia="Times New Roman" w:hAnsi="Cambria" w:cs="Times New Roman"/>
          <w:sz w:val="20"/>
          <w:szCs w:val="20"/>
          <w:lang w:eastAsia="es-ES"/>
        </w:rPr>
        <w:t xml:space="preserve">investigation and prosecution of </w:t>
      </w:r>
      <w:r w:rsidR="00632175" w:rsidRPr="008A7BD7">
        <w:rPr>
          <w:rFonts w:ascii="Cambria" w:eastAsia="Times New Roman" w:hAnsi="Cambria" w:cs="Times New Roman"/>
          <w:sz w:val="20"/>
          <w:szCs w:val="20"/>
          <w:lang w:eastAsia="es-ES"/>
        </w:rPr>
        <w:t xml:space="preserve">emblematic cases of serious human rights violations </w:t>
      </w:r>
      <w:r w:rsidR="00196D2E" w:rsidRPr="008A7BD7">
        <w:rPr>
          <w:rFonts w:ascii="Cambria" w:eastAsia="Times New Roman" w:hAnsi="Cambria" w:cs="Times New Roman"/>
          <w:sz w:val="20"/>
          <w:szCs w:val="20"/>
          <w:lang w:eastAsia="es-ES"/>
        </w:rPr>
        <w:t>connected</w:t>
      </w:r>
      <w:r w:rsidR="00632175" w:rsidRPr="008A7BD7">
        <w:rPr>
          <w:rFonts w:ascii="Cambria" w:eastAsia="Times New Roman" w:hAnsi="Cambria" w:cs="Times New Roman"/>
          <w:sz w:val="20"/>
          <w:szCs w:val="20"/>
          <w:lang w:eastAsia="es-ES"/>
        </w:rPr>
        <w:t xml:space="preserve"> to the </w:t>
      </w:r>
      <w:r w:rsidR="00196D2E" w:rsidRPr="008A7BD7">
        <w:rPr>
          <w:rFonts w:ascii="Cambria" w:eastAsia="Times New Roman" w:hAnsi="Cambria" w:cs="Times New Roman"/>
          <w:sz w:val="20"/>
          <w:szCs w:val="20"/>
          <w:lang w:eastAsia="es-ES"/>
        </w:rPr>
        <w:t xml:space="preserve">internal </w:t>
      </w:r>
      <w:r w:rsidR="00632175" w:rsidRPr="008A7BD7">
        <w:rPr>
          <w:rFonts w:ascii="Cambria" w:eastAsia="Times New Roman" w:hAnsi="Cambria" w:cs="Times New Roman"/>
          <w:sz w:val="20"/>
          <w:szCs w:val="20"/>
          <w:lang w:eastAsia="es-ES"/>
        </w:rPr>
        <w:t xml:space="preserve">armed conflict, as well as other cases involving corruption on a large scale and at high levels of government. These include the Constitutional Court (CC), the </w:t>
      </w:r>
      <w:bookmarkStart w:id="0" w:name="_Hlk94093819"/>
      <w:r w:rsidR="00D86119" w:rsidRPr="008A7BD7">
        <w:rPr>
          <w:rFonts w:ascii="Cambria" w:eastAsia="Times New Roman" w:hAnsi="Cambria" w:cs="Times New Roman"/>
          <w:sz w:val="20"/>
          <w:szCs w:val="20"/>
          <w:lang w:eastAsia="es-ES"/>
        </w:rPr>
        <w:t xml:space="preserve">Office of the </w:t>
      </w:r>
      <w:r w:rsidR="00D84BFE" w:rsidRPr="008A7BD7">
        <w:rPr>
          <w:rFonts w:ascii="Cambria" w:eastAsia="Times New Roman" w:hAnsi="Cambria" w:cs="Times New Roman"/>
          <w:sz w:val="20"/>
          <w:szCs w:val="20"/>
          <w:lang w:eastAsia="es-ES"/>
        </w:rPr>
        <w:t>Special Prosecutor</w:t>
      </w:r>
      <w:r w:rsidR="00D86119" w:rsidRPr="008A7BD7">
        <w:rPr>
          <w:rFonts w:ascii="Cambria" w:eastAsia="Times New Roman" w:hAnsi="Cambria" w:cs="Times New Roman"/>
          <w:sz w:val="20"/>
          <w:szCs w:val="20"/>
          <w:lang w:eastAsia="es-ES"/>
        </w:rPr>
        <w:t xml:space="preserve"> against</w:t>
      </w:r>
      <w:r w:rsidR="00D84BFE" w:rsidRPr="008A7BD7">
        <w:rPr>
          <w:rFonts w:ascii="Cambria" w:eastAsia="Times New Roman" w:hAnsi="Cambria" w:cs="Times New Roman"/>
          <w:sz w:val="20"/>
          <w:szCs w:val="20"/>
          <w:lang w:eastAsia="es-ES"/>
        </w:rPr>
        <w:t xml:space="preserve"> Impunity (</w:t>
      </w:r>
      <w:r w:rsidR="00EB6F5C" w:rsidRPr="008A7BD7">
        <w:rPr>
          <w:rFonts w:ascii="Cambria" w:eastAsia="Times New Roman" w:hAnsi="Cambria" w:cs="Times New Roman"/>
          <w:color w:val="000000" w:themeColor="text1"/>
          <w:sz w:val="20"/>
          <w:szCs w:val="20"/>
          <w:lang w:eastAsia="es-ES"/>
        </w:rPr>
        <w:t>FECI</w:t>
      </w:r>
      <w:r w:rsidR="00C95B8E" w:rsidRPr="008A7BD7">
        <w:rPr>
          <w:rFonts w:ascii="Cambria" w:eastAsia="Times New Roman" w:hAnsi="Cambria" w:cs="Times New Roman"/>
          <w:color w:val="000000" w:themeColor="text1"/>
          <w:sz w:val="20"/>
          <w:szCs w:val="20"/>
          <w:lang w:eastAsia="es-ES"/>
        </w:rPr>
        <w:t>)</w:t>
      </w:r>
      <w:bookmarkEnd w:id="0"/>
      <w:r w:rsidR="00D84BFE" w:rsidRPr="008A7BD7">
        <w:rPr>
          <w:rFonts w:ascii="Cambria" w:eastAsia="Times New Roman" w:hAnsi="Cambria" w:cs="Times New Roman"/>
          <w:color w:val="000000" w:themeColor="text1"/>
          <w:sz w:val="20"/>
          <w:szCs w:val="20"/>
          <w:lang w:eastAsia="es-ES"/>
        </w:rPr>
        <w:t xml:space="preserve">, and judges </w:t>
      </w:r>
      <w:r w:rsidR="003878B9" w:rsidRPr="008A7BD7">
        <w:rPr>
          <w:rFonts w:ascii="Cambria" w:eastAsia="Times New Roman" w:hAnsi="Cambria" w:cs="Times New Roman"/>
          <w:color w:val="000000" w:themeColor="text1"/>
          <w:sz w:val="20"/>
          <w:szCs w:val="20"/>
          <w:lang w:eastAsia="es-ES"/>
        </w:rPr>
        <w:t>on</w:t>
      </w:r>
      <w:r w:rsidR="00D84BFE" w:rsidRPr="008A7BD7">
        <w:rPr>
          <w:rFonts w:ascii="Cambria" w:eastAsia="Times New Roman" w:hAnsi="Cambria" w:cs="Times New Roman"/>
          <w:color w:val="000000" w:themeColor="text1"/>
          <w:sz w:val="20"/>
          <w:szCs w:val="20"/>
          <w:lang w:eastAsia="es-ES"/>
        </w:rPr>
        <w:t xml:space="preserve"> </w:t>
      </w:r>
      <w:proofErr w:type="gramStart"/>
      <w:r w:rsidR="00D84BFE" w:rsidRPr="008A7BD7">
        <w:rPr>
          <w:rFonts w:ascii="Cambria" w:eastAsia="Times New Roman" w:hAnsi="Cambria" w:cs="Times New Roman"/>
          <w:color w:val="000000" w:themeColor="text1"/>
          <w:sz w:val="20"/>
          <w:szCs w:val="20"/>
          <w:lang w:eastAsia="es-ES"/>
        </w:rPr>
        <w:t>High Risk</w:t>
      </w:r>
      <w:proofErr w:type="gramEnd"/>
      <w:r w:rsidR="00D84BFE" w:rsidRPr="008A7BD7">
        <w:rPr>
          <w:rFonts w:ascii="Cambria" w:eastAsia="Times New Roman" w:hAnsi="Cambria" w:cs="Times New Roman"/>
          <w:color w:val="000000" w:themeColor="text1"/>
          <w:sz w:val="20"/>
          <w:szCs w:val="20"/>
          <w:lang w:eastAsia="es-ES"/>
        </w:rPr>
        <w:t xml:space="preserve"> </w:t>
      </w:r>
      <w:r w:rsidR="003878B9" w:rsidRPr="008A7BD7">
        <w:rPr>
          <w:rFonts w:ascii="Cambria" w:eastAsia="Times New Roman" w:hAnsi="Cambria" w:cs="Times New Roman"/>
          <w:color w:val="000000" w:themeColor="text1"/>
          <w:sz w:val="20"/>
          <w:szCs w:val="20"/>
          <w:lang w:eastAsia="es-ES"/>
        </w:rPr>
        <w:t>Courts</w:t>
      </w:r>
      <w:r w:rsidR="00D84BFE" w:rsidRPr="008A7BD7">
        <w:rPr>
          <w:rFonts w:ascii="Cambria" w:eastAsia="Times New Roman" w:hAnsi="Cambria" w:cs="Times New Roman"/>
          <w:color w:val="000000" w:themeColor="text1"/>
          <w:sz w:val="20"/>
          <w:szCs w:val="20"/>
          <w:lang w:eastAsia="es-ES"/>
        </w:rPr>
        <w:t xml:space="preserve"> in </w:t>
      </w:r>
      <w:r w:rsidR="00EB6F5C" w:rsidRPr="008A7BD7">
        <w:rPr>
          <w:rFonts w:ascii="Cambria" w:eastAsia="Times New Roman" w:hAnsi="Cambria" w:cs="Times New Roman"/>
          <w:color w:val="000000" w:themeColor="text1"/>
          <w:sz w:val="20"/>
          <w:szCs w:val="20"/>
          <w:lang w:eastAsia="es-ES"/>
        </w:rPr>
        <w:t xml:space="preserve">Guatemala. </w:t>
      </w:r>
      <w:r w:rsidR="00D84BFE" w:rsidRPr="008A7BD7">
        <w:rPr>
          <w:rFonts w:ascii="Cambria" w:eastAsia="Times New Roman" w:hAnsi="Cambria" w:cs="Times New Roman"/>
          <w:color w:val="000000" w:themeColor="text1"/>
          <w:sz w:val="20"/>
          <w:szCs w:val="20"/>
          <w:lang w:eastAsia="es-ES"/>
        </w:rPr>
        <w:t xml:space="preserve">Specifically, the IACHR received information </w:t>
      </w:r>
      <w:r w:rsidR="00857E47" w:rsidRPr="008A7BD7">
        <w:rPr>
          <w:rFonts w:ascii="Cambria" w:eastAsia="Times New Roman" w:hAnsi="Cambria" w:cs="Times New Roman"/>
          <w:color w:val="000000" w:themeColor="text1"/>
          <w:sz w:val="20"/>
          <w:szCs w:val="20"/>
          <w:lang w:eastAsia="es-ES"/>
        </w:rPr>
        <w:t>concerning</w:t>
      </w:r>
      <w:r w:rsidR="00D84BFE" w:rsidRPr="008A7BD7">
        <w:rPr>
          <w:rFonts w:ascii="Cambria" w:eastAsia="Times New Roman" w:hAnsi="Cambria" w:cs="Times New Roman"/>
          <w:color w:val="000000" w:themeColor="text1"/>
          <w:sz w:val="20"/>
          <w:szCs w:val="20"/>
          <w:lang w:eastAsia="es-ES"/>
        </w:rPr>
        <w:t xml:space="preserve"> irregularities in the process to </w:t>
      </w:r>
      <w:r w:rsidR="00857E47" w:rsidRPr="008A7BD7">
        <w:rPr>
          <w:rFonts w:ascii="Cambria" w:eastAsia="Times New Roman" w:hAnsi="Cambria" w:cs="Times New Roman"/>
          <w:color w:val="000000" w:themeColor="text1"/>
          <w:sz w:val="20"/>
          <w:szCs w:val="20"/>
          <w:lang w:eastAsia="es-ES"/>
        </w:rPr>
        <w:t>s</w:t>
      </w:r>
      <w:r w:rsidR="00D84BFE" w:rsidRPr="008A7BD7">
        <w:rPr>
          <w:rFonts w:ascii="Cambria" w:eastAsia="Times New Roman" w:hAnsi="Cambria" w:cs="Times New Roman"/>
          <w:color w:val="000000" w:themeColor="text1"/>
          <w:sz w:val="20"/>
          <w:szCs w:val="20"/>
          <w:lang w:eastAsia="es-ES"/>
        </w:rPr>
        <w:t xml:space="preserve">elect </w:t>
      </w:r>
      <w:r w:rsidR="00A963C8" w:rsidRPr="008A7BD7">
        <w:rPr>
          <w:rFonts w:ascii="Cambria" w:eastAsia="Times New Roman" w:hAnsi="Cambria" w:cs="Times New Roman"/>
          <w:color w:val="000000" w:themeColor="text1"/>
          <w:sz w:val="20"/>
          <w:szCs w:val="20"/>
          <w:lang w:eastAsia="es-ES"/>
        </w:rPr>
        <w:t xml:space="preserve">Constitutional Court </w:t>
      </w:r>
      <w:r w:rsidR="003878B9" w:rsidRPr="008A7BD7">
        <w:rPr>
          <w:rFonts w:ascii="Cambria" w:eastAsia="Times New Roman" w:hAnsi="Cambria" w:cs="Times New Roman"/>
          <w:color w:val="000000" w:themeColor="text1"/>
          <w:sz w:val="20"/>
          <w:szCs w:val="20"/>
          <w:lang w:eastAsia="es-ES"/>
        </w:rPr>
        <w:t>judges</w:t>
      </w:r>
      <w:r w:rsidR="00A963C8" w:rsidRPr="008A7BD7">
        <w:rPr>
          <w:rFonts w:ascii="Cambria" w:eastAsia="Times New Roman" w:hAnsi="Cambria" w:cs="Times New Roman"/>
          <w:color w:val="000000" w:themeColor="text1"/>
          <w:sz w:val="20"/>
          <w:szCs w:val="20"/>
          <w:lang w:eastAsia="es-ES"/>
        </w:rPr>
        <w:t xml:space="preserve"> f</w:t>
      </w:r>
      <w:r w:rsidR="00D84BFE" w:rsidRPr="008A7BD7">
        <w:rPr>
          <w:rFonts w:ascii="Cambria" w:eastAsia="Times New Roman" w:hAnsi="Cambria" w:cs="Times New Roman"/>
          <w:color w:val="000000" w:themeColor="text1"/>
          <w:sz w:val="20"/>
          <w:szCs w:val="20"/>
          <w:lang w:eastAsia="es-ES"/>
        </w:rPr>
        <w:t xml:space="preserve">or the </w:t>
      </w:r>
      <w:r w:rsidR="00EB6F5C" w:rsidRPr="008A7BD7">
        <w:rPr>
          <w:rFonts w:ascii="Cambria" w:eastAsia="Times New Roman" w:hAnsi="Cambria" w:cs="Times New Roman"/>
          <w:sz w:val="20"/>
          <w:szCs w:val="20"/>
          <w:lang w:eastAsia="es-ES"/>
        </w:rPr>
        <w:t>2021-2026</w:t>
      </w:r>
      <w:r w:rsidR="00D84BFE" w:rsidRPr="008A7BD7">
        <w:rPr>
          <w:rFonts w:ascii="Cambria" w:eastAsia="Times New Roman" w:hAnsi="Cambria" w:cs="Times New Roman"/>
          <w:sz w:val="20"/>
          <w:szCs w:val="20"/>
          <w:lang w:eastAsia="es-ES"/>
        </w:rPr>
        <w:t xml:space="preserve"> term</w:t>
      </w:r>
      <w:r w:rsidR="00EB6F5C" w:rsidRPr="008A7BD7">
        <w:rPr>
          <w:rFonts w:ascii="Cambria" w:eastAsia="Times New Roman" w:hAnsi="Cambria" w:cs="Times New Roman"/>
          <w:sz w:val="20"/>
          <w:szCs w:val="20"/>
          <w:lang w:eastAsia="es-ES"/>
        </w:rPr>
        <w:t xml:space="preserve">; </w:t>
      </w:r>
      <w:r w:rsidR="00D84BFE" w:rsidRPr="008A7BD7">
        <w:rPr>
          <w:rFonts w:ascii="Cambria" w:eastAsia="Times New Roman" w:hAnsi="Cambria" w:cs="Times New Roman"/>
          <w:sz w:val="20"/>
          <w:szCs w:val="20"/>
          <w:lang w:eastAsia="es-ES"/>
        </w:rPr>
        <w:t>the refusal to swear in a</w:t>
      </w:r>
      <w:r w:rsidR="00225402" w:rsidRPr="008A7BD7">
        <w:rPr>
          <w:rFonts w:ascii="Cambria" w:eastAsia="Times New Roman" w:hAnsi="Cambria" w:cs="Times New Roman"/>
          <w:sz w:val="20"/>
          <w:szCs w:val="20"/>
          <w:lang w:eastAsia="es-ES"/>
        </w:rPr>
        <w:t xml:space="preserve"> </w:t>
      </w:r>
      <w:r w:rsidR="00854E89" w:rsidRPr="008A7BD7">
        <w:rPr>
          <w:rFonts w:ascii="Cambria" w:eastAsia="Times New Roman" w:hAnsi="Cambria" w:cs="Times New Roman"/>
          <w:sz w:val="20"/>
          <w:szCs w:val="20"/>
          <w:lang w:eastAsia="es-ES"/>
        </w:rPr>
        <w:t>judge</w:t>
      </w:r>
      <w:r w:rsidR="00857E47" w:rsidRPr="008A7BD7">
        <w:rPr>
          <w:rFonts w:ascii="Cambria" w:eastAsia="Times New Roman" w:hAnsi="Cambria" w:cs="Times New Roman"/>
          <w:sz w:val="20"/>
          <w:szCs w:val="20"/>
          <w:lang w:eastAsia="es-ES"/>
        </w:rPr>
        <w:t xml:space="preserve"> who had been selected </w:t>
      </w:r>
      <w:r w:rsidR="00225402" w:rsidRPr="008A7BD7">
        <w:rPr>
          <w:rFonts w:ascii="Cambria" w:eastAsia="Times New Roman" w:hAnsi="Cambria" w:cs="Times New Roman"/>
          <w:sz w:val="20"/>
          <w:szCs w:val="20"/>
          <w:lang w:eastAsia="es-ES"/>
        </w:rPr>
        <w:t xml:space="preserve">to </w:t>
      </w:r>
      <w:r w:rsidR="00857E47" w:rsidRPr="008A7BD7">
        <w:rPr>
          <w:rFonts w:ascii="Cambria" w:eastAsia="Times New Roman" w:hAnsi="Cambria" w:cs="Times New Roman"/>
          <w:sz w:val="20"/>
          <w:szCs w:val="20"/>
          <w:lang w:eastAsia="es-ES"/>
        </w:rPr>
        <w:t>serve on the Constitutional Court</w:t>
      </w:r>
      <w:r w:rsidR="00EB6F5C" w:rsidRPr="008A7BD7">
        <w:rPr>
          <w:rFonts w:ascii="Cambria" w:eastAsia="Times New Roman" w:hAnsi="Cambria" w:cs="Times New Roman"/>
          <w:sz w:val="20"/>
          <w:szCs w:val="20"/>
          <w:lang w:eastAsia="es-ES"/>
        </w:rPr>
        <w:t xml:space="preserve">; </w:t>
      </w:r>
      <w:r w:rsidR="009D32A0" w:rsidRPr="008A7BD7">
        <w:rPr>
          <w:rFonts w:ascii="Cambria" w:eastAsia="Times New Roman" w:hAnsi="Cambria" w:cs="Times New Roman"/>
          <w:sz w:val="20"/>
          <w:szCs w:val="20"/>
          <w:lang w:eastAsia="es-ES"/>
        </w:rPr>
        <w:t xml:space="preserve">the </w:t>
      </w:r>
      <w:r w:rsidR="00225402" w:rsidRPr="008A7BD7">
        <w:rPr>
          <w:rFonts w:ascii="Cambria" w:eastAsia="Times New Roman" w:hAnsi="Cambria" w:cs="Times New Roman"/>
          <w:sz w:val="20"/>
          <w:szCs w:val="20"/>
          <w:lang w:eastAsia="es-ES"/>
        </w:rPr>
        <w:t>delay</w:t>
      </w:r>
      <w:r w:rsidR="009D32A0" w:rsidRPr="008A7BD7">
        <w:rPr>
          <w:rFonts w:ascii="Cambria" w:eastAsia="Times New Roman" w:hAnsi="Cambria" w:cs="Times New Roman"/>
          <w:sz w:val="20"/>
          <w:szCs w:val="20"/>
          <w:lang w:eastAsia="es-ES"/>
        </w:rPr>
        <w:t xml:space="preserve"> by</w:t>
      </w:r>
      <w:r w:rsidR="00225402" w:rsidRPr="008A7BD7">
        <w:rPr>
          <w:rFonts w:ascii="Cambria" w:eastAsia="Times New Roman" w:hAnsi="Cambria" w:cs="Times New Roman"/>
          <w:sz w:val="20"/>
          <w:szCs w:val="20"/>
          <w:lang w:eastAsia="es-ES"/>
        </w:rPr>
        <w:t xml:space="preserve"> </w:t>
      </w:r>
      <w:r w:rsidR="009D32A0" w:rsidRPr="008A7BD7">
        <w:rPr>
          <w:rFonts w:ascii="Cambria" w:eastAsia="Times New Roman" w:hAnsi="Cambria" w:cs="Times New Roman"/>
          <w:sz w:val="20"/>
          <w:szCs w:val="20"/>
          <w:lang w:eastAsia="es-ES"/>
        </w:rPr>
        <w:t xml:space="preserve">the </w:t>
      </w:r>
      <w:r w:rsidR="00225402" w:rsidRPr="008A7BD7">
        <w:rPr>
          <w:rFonts w:ascii="Cambria" w:eastAsia="Times New Roman" w:hAnsi="Cambria" w:cs="Times New Roman"/>
          <w:sz w:val="20"/>
          <w:szCs w:val="20"/>
          <w:lang w:eastAsia="es-ES"/>
        </w:rPr>
        <w:t xml:space="preserve">Congress </w:t>
      </w:r>
      <w:r w:rsidR="009D32A0" w:rsidRPr="008A7BD7">
        <w:rPr>
          <w:rFonts w:ascii="Cambria" w:eastAsia="Times New Roman" w:hAnsi="Cambria" w:cs="Times New Roman"/>
          <w:sz w:val="20"/>
          <w:szCs w:val="20"/>
          <w:lang w:eastAsia="es-ES"/>
        </w:rPr>
        <w:t>of the Republic in</w:t>
      </w:r>
      <w:r w:rsidR="00225402" w:rsidRPr="008A7BD7">
        <w:rPr>
          <w:rFonts w:ascii="Cambria" w:eastAsia="Times New Roman" w:hAnsi="Cambria" w:cs="Times New Roman"/>
          <w:sz w:val="20"/>
          <w:szCs w:val="20"/>
          <w:lang w:eastAsia="es-ES"/>
        </w:rPr>
        <w:t xml:space="preserve"> continu</w:t>
      </w:r>
      <w:r w:rsidR="009D32A0" w:rsidRPr="008A7BD7">
        <w:rPr>
          <w:rFonts w:ascii="Cambria" w:eastAsia="Times New Roman" w:hAnsi="Cambria" w:cs="Times New Roman"/>
          <w:sz w:val="20"/>
          <w:szCs w:val="20"/>
          <w:lang w:eastAsia="es-ES"/>
        </w:rPr>
        <w:t>ing</w:t>
      </w:r>
      <w:r w:rsidR="00225402" w:rsidRPr="008A7BD7">
        <w:rPr>
          <w:rFonts w:ascii="Cambria" w:eastAsia="Times New Roman" w:hAnsi="Cambria" w:cs="Times New Roman"/>
          <w:sz w:val="20"/>
          <w:szCs w:val="20"/>
          <w:lang w:eastAsia="es-ES"/>
        </w:rPr>
        <w:t xml:space="preserve"> with the process of selection and </w:t>
      </w:r>
      <w:r w:rsidR="009D32A0" w:rsidRPr="008A7BD7">
        <w:rPr>
          <w:rFonts w:ascii="Cambria" w:eastAsia="Times New Roman" w:hAnsi="Cambria" w:cs="Times New Roman"/>
          <w:sz w:val="20"/>
          <w:szCs w:val="20"/>
          <w:lang w:eastAsia="es-ES"/>
        </w:rPr>
        <w:t>nomination to</w:t>
      </w:r>
      <w:r w:rsidR="00225402" w:rsidRPr="008A7BD7">
        <w:rPr>
          <w:rFonts w:ascii="Cambria" w:eastAsia="Times New Roman" w:hAnsi="Cambria" w:cs="Times New Roman"/>
          <w:sz w:val="20"/>
          <w:szCs w:val="20"/>
          <w:lang w:eastAsia="es-ES"/>
        </w:rPr>
        <w:t xml:space="preserve"> the High Courts; the dismissal of the head of the</w:t>
      </w:r>
      <w:r w:rsidR="006C1FBE" w:rsidRPr="008A7BD7">
        <w:rPr>
          <w:rFonts w:ascii="Cambria" w:eastAsia="Times New Roman" w:hAnsi="Cambria" w:cs="Times New Roman"/>
          <w:sz w:val="20"/>
          <w:szCs w:val="20"/>
          <w:lang w:eastAsia="es-ES"/>
        </w:rPr>
        <w:t xml:space="preserve"> FECI</w:t>
      </w:r>
      <w:r w:rsidR="00EB6F5C" w:rsidRPr="008A7BD7">
        <w:rPr>
          <w:rFonts w:ascii="Cambria" w:eastAsia="Times New Roman" w:hAnsi="Cambria" w:cs="Times New Roman"/>
          <w:sz w:val="20"/>
          <w:szCs w:val="20"/>
          <w:lang w:eastAsia="es-ES"/>
        </w:rPr>
        <w:t xml:space="preserve">; </w:t>
      </w:r>
      <w:r w:rsidR="00225402" w:rsidRPr="008A7BD7">
        <w:rPr>
          <w:rFonts w:ascii="Cambria" w:eastAsia="Times New Roman" w:hAnsi="Cambria" w:cs="Times New Roman"/>
          <w:sz w:val="20"/>
          <w:szCs w:val="20"/>
          <w:lang w:eastAsia="es-ES"/>
        </w:rPr>
        <w:t xml:space="preserve">and the alleged abuse of </w:t>
      </w:r>
      <w:r w:rsidR="004A06C5" w:rsidRPr="008A7BD7">
        <w:rPr>
          <w:rFonts w:ascii="Cambria" w:eastAsia="Times New Roman" w:hAnsi="Cambria" w:cs="Times New Roman"/>
          <w:sz w:val="20"/>
          <w:szCs w:val="20"/>
          <w:lang w:eastAsia="es-ES"/>
        </w:rPr>
        <w:t>motions for impeachment (</w:t>
      </w:r>
      <w:proofErr w:type="spellStart"/>
      <w:r w:rsidR="00124C6F" w:rsidRPr="008A7BD7">
        <w:rPr>
          <w:rFonts w:ascii="Cambria" w:eastAsia="Times New Roman" w:hAnsi="Cambria" w:cs="Times New Roman"/>
          <w:i/>
          <w:iCs/>
          <w:color w:val="000000" w:themeColor="text1"/>
          <w:sz w:val="20"/>
          <w:szCs w:val="20"/>
          <w:lang w:eastAsia="es-ES"/>
        </w:rPr>
        <w:t>antejuicio</w:t>
      </w:r>
      <w:proofErr w:type="spellEnd"/>
      <w:r w:rsidR="004A06C5" w:rsidRPr="008A7BD7">
        <w:rPr>
          <w:rFonts w:ascii="Cambria" w:eastAsia="Times New Roman" w:hAnsi="Cambria" w:cs="Times New Roman"/>
          <w:color w:val="000000" w:themeColor="text1"/>
          <w:sz w:val="20"/>
          <w:szCs w:val="20"/>
          <w:lang w:eastAsia="es-ES"/>
        </w:rPr>
        <w:t xml:space="preserve"> proceedings)</w:t>
      </w:r>
      <w:r w:rsidR="00124C6F" w:rsidRPr="008A7BD7">
        <w:rPr>
          <w:rFonts w:ascii="Cambria" w:eastAsia="Times New Roman" w:hAnsi="Cambria" w:cs="Times New Roman"/>
          <w:sz w:val="20"/>
          <w:szCs w:val="20"/>
          <w:lang w:eastAsia="es-ES"/>
        </w:rPr>
        <w:t xml:space="preserve"> </w:t>
      </w:r>
      <w:r w:rsidR="00225402" w:rsidRPr="008A7BD7">
        <w:rPr>
          <w:rFonts w:ascii="Cambria" w:eastAsia="Times New Roman" w:hAnsi="Cambria" w:cs="Times New Roman"/>
          <w:color w:val="000000" w:themeColor="text1"/>
          <w:sz w:val="20"/>
          <w:szCs w:val="20"/>
          <w:lang w:eastAsia="es-ES"/>
        </w:rPr>
        <w:t xml:space="preserve">to intimidate or eventually remove </w:t>
      </w:r>
      <w:r w:rsidR="006C1FBE" w:rsidRPr="008A7BD7">
        <w:rPr>
          <w:rFonts w:ascii="Cambria" w:eastAsia="Times New Roman" w:hAnsi="Cambria" w:cs="Times New Roman"/>
          <w:color w:val="000000" w:themeColor="text1"/>
          <w:sz w:val="20"/>
          <w:szCs w:val="20"/>
          <w:lang w:eastAsia="es-ES"/>
        </w:rPr>
        <w:t>judges</w:t>
      </w:r>
      <w:r w:rsidR="00225402" w:rsidRPr="008A7BD7">
        <w:rPr>
          <w:rFonts w:ascii="Cambria" w:eastAsia="Times New Roman" w:hAnsi="Cambria" w:cs="Times New Roman"/>
          <w:color w:val="000000" w:themeColor="text1"/>
          <w:sz w:val="20"/>
          <w:szCs w:val="20"/>
          <w:lang w:eastAsia="es-ES"/>
        </w:rPr>
        <w:t xml:space="preserve"> from office. </w:t>
      </w:r>
    </w:p>
    <w:p w14:paraId="269D9C8A" w14:textId="77777777" w:rsidR="00EB6F5C" w:rsidRPr="008A7BD7" w:rsidRDefault="00EB6F5C" w:rsidP="00EB6F5C">
      <w:pPr>
        <w:suppressAutoHyphens/>
        <w:ind w:left="720"/>
        <w:jc w:val="both"/>
        <w:rPr>
          <w:rFonts w:ascii="Cambria" w:eastAsia="Calibri" w:hAnsi="Cambria" w:cs="Times New Roman"/>
          <w:sz w:val="20"/>
          <w:szCs w:val="20"/>
          <w:lang w:eastAsia="es-ES"/>
        </w:rPr>
      </w:pPr>
    </w:p>
    <w:p w14:paraId="70D2F410" w14:textId="10655DC5" w:rsidR="00EB6F5C" w:rsidRPr="008A7BD7" w:rsidRDefault="001921FC" w:rsidP="00BB65D3">
      <w:pPr>
        <w:numPr>
          <w:ilvl w:val="0"/>
          <w:numId w:val="2"/>
        </w:numPr>
        <w:suppressAutoHyphens/>
        <w:ind w:left="0" w:firstLine="720"/>
        <w:jc w:val="both"/>
        <w:rPr>
          <w:rFonts w:ascii="Cambria" w:eastAsia="Times New Roman" w:hAnsi="Cambria" w:cs="Times New Roman"/>
          <w:color w:val="000000" w:themeColor="text1"/>
          <w:sz w:val="20"/>
          <w:szCs w:val="20"/>
          <w:lang w:eastAsia="es-ES"/>
        </w:rPr>
      </w:pPr>
      <w:r w:rsidRPr="008A7BD7">
        <w:rPr>
          <w:rFonts w:ascii="Cambria" w:eastAsia="Times New Roman" w:hAnsi="Cambria" w:cs="Tahoma"/>
          <w:color w:val="000000" w:themeColor="text1"/>
          <w:sz w:val="20"/>
          <w:szCs w:val="20"/>
          <w:lang w:eastAsia="es-ES"/>
        </w:rPr>
        <w:t>The</w:t>
      </w:r>
      <w:r w:rsidR="00115F5F" w:rsidRPr="008A7BD7">
        <w:rPr>
          <w:rFonts w:ascii="Cambria" w:eastAsia="Times New Roman" w:hAnsi="Cambria" w:cs="Tahoma"/>
          <w:color w:val="000000" w:themeColor="text1"/>
          <w:sz w:val="20"/>
          <w:szCs w:val="20"/>
          <w:lang w:eastAsia="es-ES"/>
        </w:rPr>
        <w:t xml:space="preserve"> IACHR </w:t>
      </w:r>
      <w:r w:rsidRPr="008A7BD7">
        <w:rPr>
          <w:rFonts w:ascii="Cambria" w:eastAsia="Times New Roman" w:hAnsi="Cambria" w:cs="Tahoma"/>
          <w:color w:val="000000" w:themeColor="text1"/>
          <w:sz w:val="20"/>
          <w:szCs w:val="20"/>
          <w:lang w:eastAsia="es-ES"/>
        </w:rPr>
        <w:t xml:space="preserve">also </w:t>
      </w:r>
      <w:r w:rsidR="00115F5F" w:rsidRPr="008A7BD7">
        <w:rPr>
          <w:rFonts w:ascii="Cambria" w:eastAsia="Times New Roman" w:hAnsi="Cambria" w:cs="Tahoma"/>
          <w:color w:val="000000" w:themeColor="text1"/>
          <w:sz w:val="20"/>
          <w:szCs w:val="20"/>
          <w:lang w:eastAsia="es-ES"/>
        </w:rPr>
        <w:t xml:space="preserve">received information </w:t>
      </w:r>
      <w:r w:rsidRPr="008A7BD7">
        <w:rPr>
          <w:rFonts w:ascii="Cambria" w:eastAsia="Times New Roman" w:hAnsi="Cambria" w:cs="Tahoma"/>
          <w:color w:val="000000" w:themeColor="text1"/>
          <w:sz w:val="20"/>
          <w:szCs w:val="20"/>
          <w:lang w:eastAsia="es-ES"/>
        </w:rPr>
        <w:t xml:space="preserve">this year </w:t>
      </w:r>
      <w:r w:rsidR="00115F5F" w:rsidRPr="008A7BD7">
        <w:rPr>
          <w:rFonts w:ascii="Cambria" w:eastAsia="Times New Roman" w:hAnsi="Cambria" w:cs="Tahoma"/>
          <w:color w:val="000000" w:themeColor="text1"/>
          <w:sz w:val="20"/>
          <w:szCs w:val="20"/>
          <w:lang w:eastAsia="es-ES"/>
        </w:rPr>
        <w:t xml:space="preserve">regarding the intensified criminalization and stigmatization of </w:t>
      </w:r>
      <w:r w:rsidR="004A06C5" w:rsidRPr="008A7BD7">
        <w:rPr>
          <w:rFonts w:ascii="Cambria" w:eastAsia="Times New Roman" w:hAnsi="Cambria" w:cs="Tahoma"/>
          <w:color w:val="000000" w:themeColor="text1"/>
          <w:sz w:val="20"/>
          <w:szCs w:val="20"/>
          <w:lang w:eastAsia="es-ES"/>
        </w:rPr>
        <w:t>magistrates</w:t>
      </w:r>
      <w:r w:rsidR="00115F5F" w:rsidRPr="008A7BD7">
        <w:rPr>
          <w:rFonts w:ascii="Cambria" w:eastAsia="Times New Roman" w:hAnsi="Cambria" w:cs="Tahoma"/>
          <w:color w:val="000000" w:themeColor="text1"/>
          <w:sz w:val="20"/>
          <w:szCs w:val="20"/>
          <w:lang w:eastAsia="es-ES"/>
        </w:rPr>
        <w:t xml:space="preserve">, judges, and other </w:t>
      </w:r>
      <w:r w:rsidR="00944A58" w:rsidRPr="008A7BD7">
        <w:rPr>
          <w:rFonts w:ascii="Cambria" w:eastAsia="Times New Roman" w:hAnsi="Cambria" w:cs="Tahoma"/>
          <w:color w:val="000000" w:themeColor="text1"/>
          <w:sz w:val="20"/>
          <w:szCs w:val="20"/>
          <w:lang w:eastAsia="es-ES"/>
        </w:rPr>
        <w:t xml:space="preserve">independent </w:t>
      </w:r>
      <w:r w:rsidR="00115F5F" w:rsidRPr="008A7BD7">
        <w:rPr>
          <w:rFonts w:ascii="Cambria" w:eastAsia="Times New Roman" w:hAnsi="Cambria" w:cs="Tahoma"/>
          <w:color w:val="000000" w:themeColor="text1"/>
          <w:sz w:val="20"/>
          <w:szCs w:val="20"/>
          <w:lang w:eastAsia="es-ES"/>
        </w:rPr>
        <w:t>justice operators in the country</w:t>
      </w:r>
      <w:r w:rsidR="00944A58" w:rsidRPr="008A7BD7">
        <w:rPr>
          <w:rFonts w:ascii="Cambria" w:eastAsia="Times New Roman" w:hAnsi="Cambria" w:cs="Tahoma"/>
          <w:color w:val="000000" w:themeColor="text1"/>
          <w:sz w:val="20"/>
          <w:szCs w:val="20"/>
          <w:lang w:eastAsia="es-ES"/>
        </w:rPr>
        <w:t>—d</w:t>
      </w:r>
      <w:r w:rsidR="00115F5F" w:rsidRPr="008A7BD7">
        <w:rPr>
          <w:rFonts w:ascii="Cambria" w:eastAsia="Times New Roman" w:hAnsi="Cambria" w:cs="Tahoma"/>
          <w:color w:val="000000" w:themeColor="text1"/>
          <w:sz w:val="20"/>
          <w:szCs w:val="20"/>
          <w:lang w:eastAsia="es-ES"/>
        </w:rPr>
        <w:t>ue to, among other reasons, an apparent lack of independence of the Public Prosecutor</w:t>
      </w:r>
      <w:r w:rsidR="00944A58" w:rsidRPr="008A7BD7">
        <w:rPr>
          <w:rFonts w:ascii="Cambria" w:eastAsia="Times New Roman" w:hAnsi="Cambria" w:cs="Tahoma"/>
          <w:color w:val="000000" w:themeColor="text1"/>
          <w:sz w:val="20"/>
          <w:szCs w:val="20"/>
          <w:lang w:eastAsia="es-ES"/>
        </w:rPr>
        <w:t>’s Office</w:t>
      </w:r>
      <w:r w:rsidR="00115F5F" w:rsidRPr="008A7BD7">
        <w:rPr>
          <w:rFonts w:ascii="Cambria" w:eastAsia="Times New Roman" w:hAnsi="Cambria" w:cs="Tahoma"/>
          <w:color w:val="000000" w:themeColor="text1"/>
          <w:sz w:val="20"/>
          <w:szCs w:val="20"/>
          <w:lang w:eastAsia="es-ES"/>
        </w:rPr>
        <w:t xml:space="preserve"> (</w:t>
      </w:r>
      <w:proofErr w:type="spellStart"/>
      <w:r w:rsidR="00EB6F5C" w:rsidRPr="008A7BD7">
        <w:rPr>
          <w:rFonts w:ascii="Cambria" w:eastAsia="Times New Roman" w:hAnsi="Cambria" w:cs="Tahoma"/>
          <w:color w:val="000000" w:themeColor="text1"/>
          <w:sz w:val="20"/>
          <w:szCs w:val="20"/>
          <w:lang w:eastAsia="es-ES"/>
        </w:rPr>
        <w:t>Ministerio</w:t>
      </w:r>
      <w:proofErr w:type="spellEnd"/>
      <w:r w:rsidR="00EB6F5C" w:rsidRPr="008A7BD7">
        <w:rPr>
          <w:rFonts w:ascii="Cambria" w:eastAsia="Times New Roman" w:hAnsi="Cambria" w:cs="Tahoma"/>
          <w:color w:val="000000" w:themeColor="text1"/>
          <w:sz w:val="20"/>
          <w:szCs w:val="20"/>
          <w:lang w:eastAsia="es-ES"/>
        </w:rPr>
        <w:t xml:space="preserve"> </w:t>
      </w:r>
      <w:proofErr w:type="spellStart"/>
      <w:r w:rsidR="00EB6F5C" w:rsidRPr="008A7BD7">
        <w:rPr>
          <w:rFonts w:ascii="Cambria" w:eastAsia="Times New Roman" w:hAnsi="Cambria" w:cs="Tahoma"/>
          <w:color w:val="000000" w:themeColor="text1"/>
          <w:sz w:val="20"/>
          <w:szCs w:val="20"/>
          <w:lang w:eastAsia="es-ES"/>
        </w:rPr>
        <w:t>Público</w:t>
      </w:r>
      <w:proofErr w:type="spellEnd"/>
      <w:r w:rsidR="00115F5F" w:rsidRPr="008A7BD7">
        <w:rPr>
          <w:rFonts w:ascii="Cambria" w:eastAsia="Times New Roman" w:hAnsi="Cambria" w:cs="Tahoma"/>
          <w:color w:val="000000" w:themeColor="text1"/>
          <w:sz w:val="20"/>
          <w:szCs w:val="20"/>
          <w:lang w:eastAsia="es-ES"/>
        </w:rPr>
        <w:t>)</w:t>
      </w:r>
      <w:r w:rsidR="00944A58" w:rsidRPr="008A7BD7">
        <w:rPr>
          <w:rFonts w:ascii="Cambria" w:eastAsia="Times New Roman" w:hAnsi="Cambria" w:cs="Tahoma"/>
          <w:color w:val="000000" w:themeColor="text1"/>
          <w:sz w:val="20"/>
          <w:szCs w:val="20"/>
          <w:lang w:eastAsia="es-ES"/>
        </w:rPr>
        <w:t>—</w:t>
      </w:r>
      <w:r w:rsidR="00115F5F" w:rsidRPr="008A7BD7">
        <w:rPr>
          <w:rFonts w:ascii="Cambria" w:eastAsia="Times New Roman" w:hAnsi="Cambria" w:cs="Tahoma"/>
          <w:color w:val="000000" w:themeColor="text1"/>
          <w:sz w:val="20"/>
          <w:szCs w:val="20"/>
          <w:lang w:eastAsia="es-ES"/>
        </w:rPr>
        <w:t xml:space="preserve">which is said </w:t>
      </w:r>
      <w:r w:rsidR="00A42E49" w:rsidRPr="008A7BD7">
        <w:rPr>
          <w:rFonts w:ascii="Cambria" w:eastAsia="Times New Roman" w:hAnsi="Cambria" w:cs="Tahoma"/>
          <w:color w:val="000000" w:themeColor="text1"/>
          <w:sz w:val="20"/>
          <w:szCs w:val="20"/>
          <w:lang w:eastAsia="es-ES"/>
        </w:rPr>
        <w:t xml:space="preserve">to facilitate the manipulation of </w:t>
      </w:r>
      <w:r w:rsidR="00115F5F" w:rsidRPr="008A7BD7">
        <w:rPr>
          <w:rFonts w:ascii="Cambria" w:eastAsia="Times New Roman" w:hAnsi="Cambria" w:cs="Tahoma"/>
          <w:color w:val="000000" w:themeColor="text1"/>
          <w:sz w:val="20"/>
          <w:szCs w:val="20"/>
          <w:lang w:eastAsia="es-ES"/>
        </w:rPr>
        <w:t xml:space="preserve">criminal law against them. </w:t>
      </w:r>
    </w:p>
    <w:p w14:paraId="080F9FBB" w14:textId="77777777" w:rsidR="0050425D" w:rsidRPr="008A7BD7" w:rsidRDefault="0050425D" w:rsidP="0050425D">
      <w:pPr>
        <w:suppressAutoHyphens/>
        <w:ind w:left="720"/>
        <w:jc w:val="both"/>
        <w:rPr>
          <w:rFonts w:ascii="Cambria" w:eastAsia="Times New Roman" w:hAnsi="Cambria" w:cs="Times New Roman"/>
          <w:color w:val="000000" w:themeColor="text1"/>
          <w:sz w:val="20"/>
          <w:szCs w:val="20"/>
          <w:lang w:eastAsia="es-ES"/>
        </w:rPr>
      </w:pPr>
    </w:p>
    <w:p w14:paraId="27A97A36" w14:textId="2FB23951" w:rsidR="00261A30" w:rsidRPr="008A7BD7" w:rsidRDefault="00160C5A" w:rsidP="00BB65D3">
      <w:pPr>
        <w:numPr>
          <w:ilvl w:val="0"/>
          <w:numId w:val="2"/>
        </w:numPr>
        <w:suppressAutoHyphens/>
        <w:ind w:left="0" w:firstLine="720"/>
        <w:jc w:val="both"/>
        <w:rPr>
          <w:rFonts w:ascii="Cambria" w:eastAsia="Times New Roman" w:hAnsi="Cambria" w:cs="Times New Roman"/>
          <w:color w:val="000000" w:themeColor="text1"/>
          <w:sz w:val="20"/>
          <w:szCs w:val="20"/>
          <w:lang w:eastAsia="es-ES"/>
        </w:rPr>
      </w:pPr>
      <w:r w:rsidRPr="008A7BD7">
        <w:rPr>
          <w:rFonts w:ascii="Cambria" w:eastAsia="Times New Roman" w:hAnsi="Cambria" w:cs="Times"/>
          <w:color w:val="000000" w:themeColor="text1"/>
          <w:sz w:val="20"/>
          <w:szCs w:val="20"/>
          <w:lang w:eastAsia="es-ES"/>
        </w:rPr>
        <w:t>In the report on</w:t>
      </w:r>
      <w:r w:rsidR="005E1985" w:rsidRPr="008A7BD7">
        <w:rPr>
          <w:rFonts w:ascii="Cambria" w:eastAsia="Times New Roman" w:hAnsi="Cambria" w:cs="Times"/>
          <w:color w:val="000000" w:themeColor="text1"/>
          <w:sz w:val="20"/>
          <w:szCs w:val="20"/>
          <w:lang w:eastAsia="es-ES"/>
        </w:rPr>
        <w:t xml:space="preserve"> </w:t>
      </w:r>
      <w:r w:rsidRPr="008A7BD7">
        <w:rPr>
          <w:rFonts w:ascii="Cambria" w:eastAsia="Times New Roman" w:hAnsi="Cambria" w:cs="Times"/>
          <w:color w:val="000000" w:themeColor="text1"/>
          <w:sz w:val="20"/>
          <w:szCs w:val="20"/>
          <w:lang w:eastAsia="es-ES"/>
        </w:rPr>
        <w:t xml:space="preserve">its country visit to Guatemala, published in </w:t>
      </w:r>
      <w:r w:rsidR="005E1985" w:rsidRPr="008A7BD7">
        <w:rPr>
          <w:rFonts w:ascii="Cambria" w:eastAsia="Times New Roman" w:hAnsi="Cambria" w:cs="Times"/>
          <w:color w:val="000000" w:themeColor="text1"/>
          <w:sz w:val="20"/>
          <w:szCs w:val="20"/>
          <w:lang w:eastAsia="es-ES"/>
        </w:rPr>
        <w:t xml:space="preserve">2017, </w:t>
      </w:r>
      <w:r w:rsidRPr="008A7BD7">
        <w:rPr>
          <w:rFonts w:ascii="Cambria" w:eastAsia="Times New Roman" w:hAnsi="Cambria" w:cs="Times"/>
          <w:color w:val="000000" w:themeColor="text1"/>
          <w:sz w:val="20"/>
          <w:szCs w:val="20"/>
          <w:lang w:eastAsia="es-ES"/>
        </w:rPr>
        <w:t xml:space="preserve">the Inter-American Commission noted that the problem of impunity derives from the State’s lack of capacity to provide an adequate and efficient system of administration of justice and an independent and impartial justice in cases from the past as well as the present. </w:t>
      </w:r>
      <w:r w:rsidR="00152455" w:rsidRPr="008A7BD7">
        <w:rPr>
          <w:rFonts w:ascii="Cambria" w:eastAsia="Times New Roman" w:hAnsi="Cambria" w:cs="Times"/>
          <w:color w:val="000000" w:themeColor="text1"/>
          <w:sz w:val="20"/>
          <w:szCs w:val="20"/>
          <w:lang w:eastAsia="es-ES"/>
        </w:rPr>
        <w:t>T</w:t>
      </w:r>
      <w:r w:rsidR="00AD3683" w:rsidRPr="008A7BD7">
        <w:rPr>
          <w:rFonts w:ascii="Cambria" w:eastAsia="Times New Roman" w:hAnsi="Cambria" w:cs="Times"/>
          <w:color w:val="000000" w:themeColor="text1"/>
          <w:sz w:val="20"/>
          <w:szCs w:val="20"/>
          <w:lang w:eastAsia="es-ES"/>
        </w:rPr>
        <w:t xml:space="preserve">he IACHR </w:t>
      </w:r>
      <w:r w:rsidR="00152455" w:rsidRPr="008A7BD7">
        <w:rPr>
          <w:rFonts w:ascii="Cambria" w:eastAsia="Times New Roman" w:hAnsi="Cambria" w:cs="Times"/>
          <w:color w:val="000000" w:themeColor="text1"/>
          <w:sz w:val="20"/>
          <w:szCs w:val="20"/>
          <w:lang w:eastAsia="es-ES"/>
        </w:rPr>
        <w:t xml:space="preserve">also repeatedly </w:t>
      </w:r>
      <w:r w:rsidR="00AD3683" w:rsidRPr="008A7BD7">
        <w:rPr>
          <w:rFonts w:ascii="Cambria" w:eastAsia="Times New Roman" w:hAnsi="Cambria" w:cs="Times"/>
          <w:color w:val="000000" w:themeColor="text1"/>
          <w:sz w:val="20"/>
          <w:szCs w:val="20"/>
          <w:lang w:eastAsia="es-ES"/>
        </w:rPr>
        <w:t xml:space="preserve">received information </w:t>
      </w:r>
      <w:r w:rsidR="00152455" w:rsidRPr="008A7BD7">
        <w:rPr>
          <w:rFonts w:ascii="Cambria" w:eastAsia="Times New Roman" w:hAnsi="Cambria" w:cs="Times"/>
          <w:color w:val="000000" w:themeColor="text1"/>
          <w:sz w:val="20"/>
          <w:szCs w:val="20"/>
          <w:lang w:eastAsia="es-ES"/>
        </w:rPr>
        <w:t>regarding</w:t>
      </w:r>
      <w:r w:rsidR="00AD3683" w:rsidRPr="008A7BD7">
        <w:rPr>
          <w:rFonts w:ascii="Cambria" w:eastAsia="Times New Roman" w:hAnsi="Cambria" w:cs="Times"/>
          <w:color w:val="000000" w:themeColor="text1"/>
          <w:sz w:val="20"/>
          <w:szCs w:val="20"/>
          <w:lang w:eastAsia="es-ES"/>
        </w:rPr>
        <w:t xml:space="preserve"> the persistence of parallel power structures </w:t>
      </w:r>
      <w:r w:rsidR="00152455" w:rsidRPr="008A7BD7">
        <w:rPr>
          <w:rFonts w:ascii="Cambria" w:eastAsia="Times New Roman" w:hAnsi="Cambria" w:cs="Times"/>
          <w:color w:val="000000" w:themeColor="text1"/>
          <w:sz w:val="20"/>
          <w:szCs w:val="20"/>
          <w:lang w:eastAsia="es-ES"/>
        </w:rPr>
        <w:t>hindering</w:t>
      </w:r>
      <w:r w:rsidR="00AD3683" w:rsidRPr="008A7BD7">
        <w:rPr>
          <w:rFonts w:ascii="Cambria" w:eastAsia="Times New Roman" w:hAnsi="Cambria" w:cs="Times"/>
          <w:color w:val="000000" w:themeColor="text1"/>
          <w:sz w:val="20"/>
          <w:szCs w:val="20"/>
          <w:lang w:eastAsia="es-ES"/>
        </w:rPr>
        <w:t xml:space="preserve"> the fight against impunity and corruption and the consolidation of the rule of law.</w:t>
      </w:r>
      <w:r w:rsidR="00BD46D3">
        <w:rPr>
          <w:rStyle w:val="FootnoteReference"/>
          <w:rFonts w:ascii="Cambria" w:eastAsia="Times New Roman" w:hAnsi="Cambria" w:cs="Times"/>
          <w:color w:val="000000" w:themeColor="text1"/>
          <w:sz w:val="20"/>
          <w:szCs w:val="20"/>
          <w:lang w:eastAsia="es-ES"/>
        </w:rPr>
        <w:footnoteReference w:id="2"/>
      </w:r>
      <w:r w:rsidR="00451334" w:rsidRPr="008A7BD7">
        <w:rPr>
          <w:rStyle w:val="FootnoteReference"/>
          <w:rFonts w:ascii="Cambria" w:eastAsia="Times New Roman" w:hAnsi="Cambria" w:cs="Times"/>
          <w:color w:val="000000" w:themeColor="text1"/>
          <w:sz w:val="20"/>
          <w:szCs w:val="20"/>
          <w:lang w:val="es-ES" w:eastAsia="es-ES"/>
        </w:rPr>
        <w:footnoteReference w:id="3"/>
      </w:r>
      <w:r w:rsidR="000F00E3" w:rsidRPr="008A7BD7">
        <w:rPr>
          <w:rFonts w:ascii="Cambria" w:eastAsia="Times New Roman" w:hAnsi="Cambria" w:cs="Times"/>
          <w:color w:val="000000" w:themeColor="text1"/>
          <w:sz w:val="20"/>
          <w:szCs w:val="20"/>
          <w:lang w:eastAsia="es-ES"/>
        </w:rPr>
        <w:t xml:space="preserve"> </w:t>
      </w:r>
      <w:r w:rsidR="00A31025" w:rsidRPr="008A7BD7">
        <w:rPr>
          <w:rFonts w:ascii="Cambria" w:eastAsia="Times New Roman" w:hAnsi="Cambria" w:cs="Times"/>
          <w:color w:val="000000" w:themeColor="text1"/>
          <w:sz w:val="20"/>
          <w:szCs w:val="20"/>
          <w:lang w:eastAsia="es-ES"/>
        </w:rPr>
        <w:t>A</w:t>
      </w:r>
      <w:r w:rsidR="00F15316" w:rsidRPr="008A7BD7">
        <w:rPr>
          <w:rFonts w:ascii="Cambria" w:eastAsia="Times New Roman" w:hAnsi="Cambria" w:cs="Times"/>
          <w:color w:val="000000" w:themeColor="text1"/>
          <w:sz w:val="20"/>
          <w:szCs w:val="20"/>
          <w:lang w:eastAsia="es-ES"/>
        </w:rPr>
        <w:t xml:space="preserve">t the end of its visit, the Commission indicated that Guatemala was </w:t>
      </w:r>
      <w:r w:rsidR="00986F64" w:rsidRPr="008A7BD7">
        <w:rPr>
          <w:rFonts w:ascii="Cambria" w:eastAsia="Times New Roman" w:hAnsi="Cambria" w:cs="Times"/>
          <w:color w:val="000000" w:themeColor="text1"/>
          <w:sz w:val="20"/>
          <w:szCs w:val="20"/>
          <w:lang w:eastAsia="es-ES"/>
        </w:rPr>
        <w:t>at</w:t>
      </w:r>
      <w:r w:rsidR="00F15316" w:rsidRPr="008A7BD7">
        <w:rPr>
          <w:rFonts w:ascii="Cambria" w:eastAsia="Times New Roman" w:hAnsi="Cambria" w:cs="Times"/>
          <w:color w:val="000000" w:themeColor="text1"/>
          <w:sz w:val="20"/>
          <w:szCs w:val="20"/>
          <w:lang w:eastAsia="es-ES"/>
        </w:rPr>
        <w:t xml:space="preserve"> a crossroads in terms of adopting measures to solve these structural problems and protect the human rights of the Guatemalan people; otherwise, it risked losing ground in this area and repeating episodes of serious human rights violations of the past.</w:t>
      </w:r>
      <w:r w:rsidR="00261A30" w:rsidRPr="008A7BD7">
        <w:rPr>
          <w:rFonts w:ascii="Cambria" w:eastAsia="Cambria" w:hAnsi="Cambria" w:cs="Cambria"/>
          <w:color w:val="000000" w:themeColor="text1"/>
          <w:sz w:val="20"/>
          <w:szCs w:val="20"/>
          <w:vertAlign w:val="superscript"/>
          <w:lang w:val="es-US"/>
        </w:rPr>
        <w:footnoteReference w:id="4"/>
      </w:r>
    </w:p>
    <w:p w14:paraId="2BC23F30" w14:textId="77777777" w:rsidR="00261A30" w:rsidRPr="008A7BD7" w:rsidRDefault="00261A30" w:rsidP="00E031AA">
      <w:pPr>
        <w:pStyle w:val="ListParagraph"/>
        <w:jc w:val="both"/>
        <w:rPr>
          <w:rFonts w:ascii="Cambria" w:eastAsia="Times New Roman" w:hAnsi="Cambria" w:cs="Times"/>
          <w:color w:val="000000" w:themeColor="text1"/>
          <w:sz w:val="20"/>
          <w:szCs w:val="20"/>
          <w:lang w:eastAsia="es-ES"/>
        </w:rPr>
      </w:pPr>
    </w:p>
    <w:p w14:paraId="208FF14A" w14:textId="0AC06C93" w:rsidR="00350989" w:rsidRPr="008A7BD7" w:rsidRDefault="008A4125" w:rsidP="00BB65D3">
      <w:pPr>
        <w:numPr>
          <w:ilvl w:val="0"/>
          <w:numId w:val="2"/>
        </w:numPr>
        <w:suppressAutoHyphens/>
        <w:ind w:left="0" w:firstLine="720"/>
        <w:jc w:val="both"/>
        <w:rPr>
          <w:rFonts w:ascii="Cambria" w:eastAsia="Times New Roman" w:hAnsi="Cambria" w:cs="Times"/>
          <w:color w:val="000000" w:themeColor="text1"/>
          <w:sz w:val="20"/>
          <w:szCs w:val="20"/>
          <w:lang w:eastAsia="es-ES"/>
        </w:rPr>
      </w:pPr>
      <w:r w:rsidRPr="008A7BD7">
        <w:rPr>
          <w:rFonts w:ascii="Cambria" w:eastAsia="Times New Roman" w:hAnsi="Cambria" w:cs="Times"/>
          <w:color w:val="000000" w:themeColor="text1"/>
          <w:sz w:val="20"/>
          <w:szCs w:val="20"/>
          <w:lang w:eastAsia="es-ES"/>
        </w:rPr>
        <w:t>After its 2017 country visit</w:t>
      </w:r>
      <w:r w:rsidR="00C43633" w:rsidRPr="008A7BD7">
        <w:rPr>
          <w:rFonts w:ascii="Cambria" w:eastAsia="Times New Roman" w:hAnsi="Cambria" w:cs="Times"/>
          <w:color w:val="000000" w:themeColor="text1"/>
          <w:sz w:val="20"/>
          <w:szCs w:val="20"/>
          <w:lang w:eastAsia="es-ES"/>
        </w:rPr>
        <w:t xml:space="preserve">, </w:t>
      </w:r>
      <w:r w:rsidRPr="008A7BD7">
        <w:rPr>
          <w:rFonts w:ascii="Cambria" w:eastAsia="Times New Roman" w:hAnsi="Cambria" w:cs="Times"/>
          <w:color w:val="000000" w:themeColor="text1"/>
          <w:sz w:val="20"/>
          <w:szCs w:val="20"/>
          <w:lang w:eastAsia="es-ES"/>
        </w:rPr>
        <w:t xml:space="preserve">the IACHR expressed its concern regarding events that unleashed “institutional instability” in the country and jeopardized the progress made in recent years in the fight against impunity; in particular, it referred to the declaration of </w:t>
      </w:r>
      <w:r w:rsidR="00261A30" w:rsidRPr="008A7BD7">
        <w:rPr>
          <w:rFonts w:ascii="Cambria" w:eastAsia="Times New Roman" w:hAnsi="Cambria" w:cs="Times"/>
          <w:i/>
          <w:iCs/>
          <w:color w:val="000000" w:themeColor="text1"/>
          <w:sz w:val="20"/>
          <w:szCs w:val="20"/>
          <w:lang w:eastAsia="es-ES"/>
        </w:rPr>
        <w:t>persona non grata</w:t>
      </w:r>
      <w:r w:rsidR="00261A30" w:rsidRPr="008A7BD7">
        <w:rPr>
          <w:rFonts w:ascii="Cambria" w:eastAsia="Times New Roman" w:hAnsi="Cambria" w:cs="Times"/>
          <w:color w:val="000000" w:themeColor="text1"/>
          <w:sz w:val="20"/>
          <w:szCs w:val="20"/>
          <w:lang w:eastAsia="es-ES"/>
        </w:rPr>
        <w:t xml:space="preserve"> </w:t>
      </w:r>
      <w:r w:rsidRPr="008A7BD7">
        <w:rPr>
          <w:rFonts w:ascii="Cambria" w:eastAsia="Times New Roman" w:hAnsi="Cambria" w:cs="Times"/>
          <w:color w:val="000000" w:themeColor="text1"/>
          <w:sz w:val="20"/>
          <w:szCs w:val="20"/>
          <w:lang w:eastAsia="es-ES"/>
        </w:rPr>
        <w:t xml:space="preserve">against the CICIG </w:t>
      </w:r>
      <w:r w:rsidR="005B6FCB" w:rsidRPr="008A7BD7">
        <w:rPr>
          <w:rFonts w:ascii="Cambria" w:eastAsia="Times New Roman" w:hAnsi="Cambria" w:cs="Times"/>
          <w:color w:val="000000" w:themeColor="text1"/>
          <w:sz w:val="20"/>
          <w:szCs w:val="20"/>
          <w:lang w:eastAsia="es-ES"/>
        </w:rPr>
        <w:t>Commissioner and</w:t>
      </w:r>
      <w:r w:rsidRPr="008A7BD7">
        <w:rPr>
          <w:rFonts w:ascii="Cambria" w:eastAsia="Times New Roman" w:hAnsi="Cambria" w:cs="Times"/>
          <w:color w:val="000000" w:themeColor="text1"/>
          <w:sz w:val="20"/>
          <w:szCs w:val="20"/>
          <w:lang w:eastAsia="es-ES"/>
        </w:rPr>
        <w:t xml:space="preserve"> the order for his immediate expulsion from the country, issued by then-President </w:t>
      </w:r>
      <w:r w:rsidR="00AD7059" w:rsidRPr="008A7BD7">
        <w:rPr>
          <w:rFonts w:ascii="Cambria" w:eastAsia="Times New Roman" w:hAnsi="Cambria" w:cs="Times"/>
          <w:color w:val="000000" w:themeColor="text1"/>
          <w:sz w:val="20"/>
          <w:szCs w:val="20"/>
          <w:lang w:eastAsia="es-ES"/>
        </w:rPr>
        <w:t>Jimmy Morales</w:t>
      </w:r>
      <w:r w:rsidRPr="008A7BD7">
        <w:rPr>
          <w:rFonts w:ascii="Cambria" w:eastAsia="Times New Roman" w:hAnsi="Cambria" w:cs="Times"/>
          <w:color w:val="000000" w:themeColor="text1"/>
          <w:sz w:val="20"/>
          <w:szCs w:val="20"/>
          <w:lang w:eastAsia="es-ES"/>
        </w:rPr>
        <w:t>.</w:t>
      </w:r>
      <w:r w:rsidR="00451334" w:rsidRPr="008A7BD7">
        <w:rPr>
          <w:rStyle w:val="FootnoteReference"/>
          <w:rFonts w:ascii="Cambria" w:eastAsia="Times New Roman" w:hAnsi="Cambria" w:cs="Times"/>
          <w:color w:val="000000" w:themeColor="text1"/>
          <w:sz w:val="20"/>
          <w:szCs w:val="20"/>
          <w:lang w:val="es-ES" w:eastAsia="es-ES"/>
        </w:rPr>
        <w:footnoteReference w:id="5"/>
      </w:r>
      <w:r w:rsidR="00261A30" w:rsidRPr="008A7BD7">
        <w:rPr>
          <w:rFonts w:ascii="Cambria" w:hAnsi="Cambria"/>
          <w:sz w:val="20"/>
          <w:szCs w:val="20"/>
        </w:rPr>
        <w:t xml:space="preserve"> </w:t>
      </w:r>
      <w:r w:rsidRPr="008A7BD7">
        <w:rPr>
          <w:rFonts w:ascii="Cambria" w:eastAsia="Times New Roman" w:hAnsi="Cambria" w:cs="Times New Roman"/>
          <w:sz w:val="20"/>
          <w:szCs w:val="20"/>
          <w:lang w:eastAsia="es-ES_tradnl"/>
        </w:rPr>
        <w:t xml:space="preserve">This grave situation led the IACHR to issue Resolution </w:t>
      </w:r>
      <w:r w:rsidR="00261A30" w:rsidRPr="008A7BD7">
        <w:rPr>
          <w:rFonts w:ascii="Cambria" w:eastAsia="Times New Roman" w:hAnsi="Cambria" w:cs="Times New Roman"/>
          <w:sz w:val="20"/>
          <w:szCs w:val="20"/>
          <w:lang w:eastAsia="es-ES_tradnl"/>
        </w:rPr>
        <w:t>1/17</w:t>
      </w:r>
      <w:r w:rsidR="004B12B8" w:rsidRPr="008A7BD7">
        <w:rPr>
          <w:rFonts w:ascii="Cambria" w:eastAsia="Times New Roman" w:hAnsi="Cambria" w:cs="Times New Roman"/>
          <w:sz w:val="20"/>
          <w:szCs w:val="20"/>
          <w:lang w:eastAsia="es-ES_tradnl"/>
        </w:rPr>
        <w:t>,</w:t>
      </w:r>
      <w:r w:rsidR="00261A30" w:rsidRPr="008A7BD7">
        <w:rPr>
          <w:rFonts w:ascii="Cambria" w:eastAsia="Times New Roman" w:hAnsi="Cambria" w:cs="Times New Roman"/>
          <w:sz w:val="20"/>
          <w:szCs w:val="20"/>
          <w:lang w:eastAsia="es-ES_tradnl"/>
        </w:rPr>
        <w:t xml:space="preserve"> “</w:t>
      </w:r>
      <w:r w:rsidR="004B12B8" w:rsidRPr="008A7BD7">
        <w:rPr>
          <w:rFonts w:ascii="Cambria" w:eastAsia="Times New Roman" w:hAnsi="Cambria" w:cs="Times New Roman"/>
          <w:sz w:val="20"/>
          <w:szCs w:val="20"/>
          <w:lang w:eastAsia="es-ES_tradnl"/>
        </w:rPr>
        <w:t>Human Rights and the Fight against Impunity and Corruption,</w:t>
      </w:r>
      <w:r w:rsidR="00261A30" w:rsidRPr="008A7BD7">
        <w:rPr>
          <w:rFonts w:ascii="Cambria" w:eastAsia="Times New Roman" w:hAnsi="Cambria" w:cs="Times New Roman"/>
          <w:sz w:val="20"/>
          <w:szCs w:val="20"/>
          <w:lang w:eastAsia="es-ES_tradnl"/>
        </w:rPr>
        <w:t>”</w:t>
      </w:r>
      <w:r w:rsidR="00350989" w:rsidRPr="008A7BD7">
        <w:rPr>
          <w:rFonts w:ascii="Cambria" w:eastAsia="Times New Roman" w:hAnsi="Cambria" w:cs="Times New Roman"/>
          <w:sz w:val="20"/>
          <w:szCs w:val="20"/>
          <w:lang w:eastAsia="es-ES_tradnl"/>
        </w:rPr>
        <w:t xml:space="preserve"> </w:t>
      </w:r>
      <w:r w:rsidR="004B12B8" w:rsidRPr="008A7BD7">
        <w:rPr>
          <w:rFonts w:ascii="Cambria" w:eastAsia="Times New Roman" w:hAnsi="Cambria" w:cs="Times New Roman"/>
          <w:sz w:val="20"/>
          <w:szCs w:val="20"/>
          <w:lang w:eastAsia="es-ES_tradnl"/>
        </w:rPr>
        <w:t>in which it reaffirmed the importance of the fight against corruption to combat impunity through a strengthened, independent, and impartial judiciary</w:t>
      </w:r>
      <w:r w:rsidR="005B6FCB" w:rsidRPr="008A7BD7">
        <w:rPr>
          <w:rFonts w:ascii="Cambria" w:eastAsia="Times New Roman" w:hAnsi="Cambria" w:cs="Times New Roman"/>
          <w:sz w:val="20"/>
          <w:szCs w:val="20"/>
          <w:lang w:eastAsia="es-ES_tradnl"/>
        </w:rPr>
        <w:t xml:space="preserve">, and reaffirmed </w:t>
      </w:r>
      <w:r w:rsidR="004B12B8" w:rsidRPr="008A7BD7">
        <w:rPr>
          <w:rFonts w:ascii="Cambria" w:eastAsia="Times New Roman" w:hAnsi="Cambria" w:cs="Times New Roman"/>
          <w:sz w:val="20"/>
          <w:szCs w:val="20"/>
          <w:lang w:eastAsia="es-ES_tradnl"/>
        </w:rPr>
        <w:t>the fundamental importance of the full exercise of the rights to freedom of expression and access to public information</w:t>
      </w:r>
      <w:r w:rsidR="005B6FCB" w:rsidRPr="008A7BD7">
        <w:rPr>
          <w:rFonts w:ascii="Cambria" w:eastAsia="Times New Roman" w:hAnsi="Cambria" w:cs="Times New Roman"/>
          <w:sz w:val="20"/>
          <w:szCs w:val="20"/>
          <w:lang w:eastAsia="es-ES_tradnl"/>
        </w:rPr>
        <w:t xml:space="preserve">, as well as </w:t>
      </w:r>
      <w:r w:rsidR="00AA7DD7" w:rsidRPr="008A7BD7">
        <w:rPr>
          <w:rFonts w:ascii="Cambria" w:eastAsia="Times New Roman" w:hAnsi="Cambria" w:cs="Times New Roman"/>
          <w:sz w:val="20"/>
          <w:szCs w:val="20"/>
          <w:lang w:eastAsia="es-ES_tradnl"/>
        </w:rPr>
        <w:t>the rights to association</w:t>
      </w:r>
      <w:r w:rsidR="00350989" w:rsidRPr="008A7BD7">
        <w:rPr>
          <w:rFonts w:ascii="Cambria" w:eastAsia="Times New Roman" w:hAnsi="Cambria" w:cs="Times New Roman"/>
          <w:sz w:val="20"/>
          <w:szCs w:val="20"/>
          <w:lang w:eastAsia="es-ES_tradnl"/>
        </w:rPr>
        <w:t xml:space="preserve"> </w:t>
      </w:r>
      <w:r w:rsidR="00AA7DD7" w:rsidRPr="008A7BD7">
        <w:rPr>
          <w:rFonts w:ascii="Cambria" w:eastAsia="Times New Roman" w:hAnsi="Cambria" w:cs="Times New Roman"/>
          <w:sz w:val="20"/>
          <w:szCs w:val="20"/>
          <w:lang w:eastAsia="es-ES_tradnl"/>
        </w:rPr>
        <w:t>and peaceful assembly</w:t>
      </w:r>
      <w:r w:rsidR="005F7B06" w:rsidRPr="008A7BD7">
        <w:rPr>
          <w:rFonts w:ascii="Cambria" w:eastAsia="Times New Roman" w:hAnsi="Cambria" w:cs="Times New Roman"/>
          <w:sz w:val="20"/>
          <w:szCs w:val="20"/>
          <w:lang w:eastAsia="es-ES_tradnl"/>
        </w:rPr>
        <w:t>, for the investigation and denunciation of corruption.</w:t>
      </w:r>
      <w:r w:rsidR="00FA08CE" w:rsidRPr="008A7BD7">
        <w:rPr>
          <w:rFonts w:ascii="Cambria" w:eastAsia="Times New Roman" w:hAnsi="Cambria" w:cs="Times New Roman"/>
          <w:sz w:val="20"/>
          <w:szCs w:val="20"/>
          <w:lang w:eastAsia="es-ES_tradnl"/>
        </w:rPr>
        <w:t xml:space="preserve"> In that resolution, the IACHR called </w:t>
      </w:r>
      <w:r w:rsidR="005B6FCB" w:rsidRPr="008A7BD7">
        <w:rPr>
          <w:rFonts w:ascii="Cambria" w:eastAsia="Times New Roman" w:hAnsi="Cambria" w:cs="Times New Roman"/>
          <w:sz w:val="20"/>
          <w:szCs w:val="20"/>
          <w:lang w:eastAsia="es-ES_tradnl"/>
        </w:rPr>
        <w:t>on</w:t>
      </w:r>
      <w:r w:rsidR="00FA08CE" w:rsidRPr="008A7BD7">
        <w:rPr>
          <w:rFonts w:ascii="Cambria" w:eastAsia="Times New Roman" w:hAnsi="Cambria" w:cs="Times New Roman"/>
          <w:sz w:val="20"/>
          <w:szCs w:val="20"/>
          <w:lang w:eastAsia="es-ES_tradnl"/>
        </w:rPr>
        <w:t xml:space="preserve"> the </w:t>
      </w:r>
      <w:r w:rsidR="005B6FCB" w:rsidRPr="008A7BD7">
        <w:rPr>
          <w:rFonts w:ascii="Cambria" w:eastAsia="Times New Roman" w:hAnsi="Cambria" w:cs="Times New Roman"/>
          <w:sz w:val="20"/>
          <w:szCs w:val="20"/>
          <w:lang w:eastAsia="es-ES_tradnl"/>
        </w:rPr>
        <w:t xml:space="preserve">independent </w:t>
      </w:r>
      <w:r w:rsidR="00FA08CE" w:rsidRPr="008A7BD7">
        <w:rPr>
          <w:rFonts w:ascii="Cambria" w:eastAsia="Times New Roman" w:hAnsi="Cambria" w:cs="Times New Roman"/>
          <w:sz w:val="20"/>
          <w:szCs w:val="20"/>
          <w:lang w:eastAsia="es-ES_tradnl"/>
        </w:rPr>
        <w:t>branches of government</w:t>
      </w:r>
      <w:r w:rsidR="005B6FCB" w:rsidRPr="008A7BD7">
        <w:rPr>
          <w:rFonts w:ascii="Cambria" w:eastAsia="Times New Roman" w:hAnsi="Cambria" w:cs="Times New Roman"/>
          <w:sz w:val="20"/>
          <w:szCs w:val="20"/>
          <w:lang w:eastAsia="es-ES_tradnl"/>
        </w:rPr>
        <w:t xml:space="preserve"> to act to guarantee the rule of law.</w:t>
      </w:r>
      <w:r w:rsidR="00E031AA" w:rsidRPr="008A7BD7">
        <w:rPr>
          <w:rStyle w:val="FootnoteReference"/>
          <w:rFonts w:ascii="Cambria" w:eastAsia="Times New Roman" w:hAnsi="Cambria" w:cs="Times New Roman"/>
          <w:sz w:val="20"/>
          <w:szCs w:val="20"/>
          <w:lang w:val="es-US" w:eastAsia="es-ES_tradnl"/>
        </w:rPr>
        <w:footnoteReference w:id="6"/>
      </w:r>
      <w:r w:rsidR="005B6FCB" w:rsidRPr="008A7BD7">
        <w:rPr>
          <w:rFonts w:ascii="Cambria" w:eastAsia="Times New Roman" w:hAnsi="Cambria" w:cs="Times New Roman"/>
          <w:sz w:val="20"/>
          <w:szCs w:val="20"/>
          <w:lang w:eastAsia="es-ES_tradnl"/>
        </w:rPr>
        <w:t xml:space="preserve"> </w:t>
      </w:r>
    </w:p>
    <w:p w14:paraId="5AB43401" w14:textId="77777777" w:rsidR="0077261F" w:rsidRPr="008A7BD7" w:rsidRDefault="0077261F" w:rsidP="00E031AA">
      <w:pPr>
        <w:suppressAutoHyphens/>
        <w:jc w:val="both"/>
        <w:rPr>
          <w:rFonts w:ascii="Cambria" w:eastAsia="Calibri" w:hAnsi="Cambria" w:cs="Times New Roman"/>
          <w:sz w:val="20"/>
          <w:szCs w:val="20"/>
          <w:lang w:eastAsia="es-ES"/>
        </w:rPr>
      </w:pPr>
    </w:p>
    <w:p w14:paraId="5AC5D022" w14:textId="4C875E47" w:rsidR="00E445EB" w:rsidRPr="008A7BD7" w:rsidRDefault="00CA6285" w:rsidP="00BB65D3">
      <w:pPr>
        <w:numPr>
          <w:ilvl w:val="0"/>
          <w:numId w:val="2"/>
        </w:numPr>
        <w:ind w:left="0" w:firstLine="720"/>
        <w:jc w:val="both"/>
        <w:rPr>
          <w:rFonts w:ascii="Cambria" w:eastAsiaTheme="minorEastAsia" w:hAnsi="Cambria"/>
          <w:color w:val="000000" w:themeColor="text1"/>
          <w:sz w:val="20"/>
          <w:szCs w:val="20"/>
        </w:rPr>
      </w:pPr>
      <w:r w:rsidRPr="008A7BD7">
        <w:rPr>
          <w:rFonts w:ascii="Cambria" w:eastAsia="Calibri" w:hAnsi="Cambria" w:cs="Times New Roman"/>
          <w:sz w:val="20"/>
          <w:szCs w:val="20"/>
          <w:lang w:eastAsia="es-ES"/>
        </w:rPr>
        <w:t>Between</w:t>
      </w:r>
      <w:r w:rsidR="0077261F" w:rsidRPr="008A7BD7">
        <w:rPr>
          <w:rFonts w:ascii="Cambria" w:eastAsia="Calibri" w:hAnsi="Cambria" w:cs="Times New Roman"/>
          <w:sz w:val="20"/>
          <w:szCs w:val="20"/>
          <w:lang w:eastAsia="es-ES"/>
        </w:rPr>
        <w:t xml:space="preserve"> 2018 </w:t>
      </w:r>
      <w:r w:rsidRPr="008A7BD7">
        <w:rPr>
          <w:rFonts w:ascii="Cambria" w:eastAsia="Calibri" w:hAnsi="Cambria" w:cs="Times New Roman"/>
          <w:sz w:val="20"/>
          <w:szCs w:val="20"/>
          <w:lang w:eastAsia="es-ES"/>
        </w:rPr>
        <w:t>and</w:t>
      </w:r>
      <w:r w:rsidR="0077261F" w:rsidRPr="008A7BD7">
        <w:rPr>
          <w:rFonts w:ascii="Cambria" w:eastAsia="Calibri" w:hAnsi="Cambria" w:cs="Times New Roman"/>
          <w:sz w:val="20"/>
          <w:szCs w:val="20"/>
          <w:lang w:eastAsia="es-ES"/>
        </w:rPr>
        <w:t xml:space="preserve"> 20</w:t>
      </w:r>
      <w:r w:rsidR="00A95358" w:rsidRPr="008A7BD7">
        <w:rPr>
          <w:rFonts w:ascii="Cambria" w:eastAsia="Calibri" w:hAnsi="Cambria" w:cs="Times New Roman"/>
          <w:sz w:val="20"/>
          <w:szCs w:val="20"/>
          <w:lang w:eastAsia="es-ES"/>
        </w:rPr>
        <w:t>20</w:t>
      </w:r>
      <w:r w:rsidR="0077261F" w:rsidRPr="008A7BD7">
        <w:rPr>
          <w:rFonts w:ascii="Cambria" w:eastAsia="Calibri" w:hAnsi="Cambria" w:cs="Times New Roman"/>
          <w:sz w:val="20"/>
          <w:szCs w:val="20"/>
          <w:lang w:eastAsia="es-ES"/>
        </w:rPr>
        <w:t xml:space="preserve">, </w:t>
      </w:r>
      <w:r w:rsidRPr="008A7BD7">
        <w:rPr>
          <w:rFonts w:ascii="Cambria" w:eastAsia="Calibri" w:hAnsi="Cambria" w:cs="Times New Roman"/>
          <w:sz w:val="20"/>
          <w:szCs w:val="20"/>
          <w:lang w:eastAsia="es-ES"/>
        </w:rPr>
        <w:t xml:space="preserve">the IACHR presented three reports to follow up on </w:t>
      </w:r>
      <w:r w:rsidR="00E20598" w:rsidRPr="008A7BD7">
        <w:rPr>
          <w:rFonts w:ascii="Cambria" w:eastAsia="Calibri" w:hAnsi="Cambria" w:cs="Times New Roman"/>
          <w:sz w:val="20"/>
          <w:szCs w:val="20"/>
          <w:lang w:eastAsia="es-ES"/>
        </w:rPr>
        <w:t xml:space="preserve">the </w:t>
      </w:r>
      <w:r w:rsidRPr="008A7BD7">
        <w:rPr>
          <w:rFonts w:ascii="Cambria" w:eastAsia="Calibri" w:hAnsi="Cambria" w:cs="Times New Roman"/>
          <w:sz w:val="20"/>
          <w:szCs w:val="20"/>
          <w:lang w:eastAsia="es-ES"/>
        </w:rPr>
        <w:t xml:space="preserve">recommendations </w:t>
      </w:r>
      <w:r w:rsidR="00E20598" w:rsidRPr="008A7BD7">
        <w:rPr>
          <w:rFonts w:ascii="Cambria" w:eastAsia="Calibri" w:hAnsi="Cambria" w:cs="Times New Roman"/>
          <w:sz w:val="20"/>
          <w:szCs w:val="20"/>
          <w:lang w:eastAsia="es-ES"/>
        </w:rPr>
        <w:t xml:space="preserve">it had </w:t>
      </w:r>
      <w:r w:rsidRPr="008A7BD7">
        <w:rPr>
          <w:rFonts w:ascii="Cambria" w:eastAsia="Calibri" w:hAnsi="Cambria" w:cs="Times New Roman"/>
          <w:sz w:val="20"/>
          <w:szCs w:val="20"/>
          <w:lang w:eastAsia="es-ES"/>
        </w:rPr>
        <w:t xml:space="preserve">issued in its country report. In these follow-up reports, the IACHR noted the lack of progress in compliance with </w:t>
      </w:r>
      <w:r w:rsidR="00597E05" w:rsidRPr="008A7BD7">
        <w:rPr>
          <w:rFonts w:ascii="Cambria" w:eastAsia="Calibri" w:hAnsi="Cambria" w:cs="Times New Roman"/>
          <w:sz w:val="20"/>
          <w:szCs w:val="20"/>
          <w:lang w:eastAsia="es-ES"/>
        </w:rPr>
        <w:t>its</w:t>
      </w:r>
      <w:r w:rsidRPr="008A7BD7">
        <w:rPr>
          <w:rFonts w:ascii="Cambria" w:eastAsia="Calibri" w:hAnsi="Cambria" w:cs="Times New Roman"/>
          <w:sz w:val="20"/>
          <w:szCs w:val="20"/>
          <w:lang w:eastAsia="es-ES"/>
        </w:rPr>
        <w:t xml:space="preserve"> recommendations regarding the fight against corruption and impunity, due to other </w:t>
      </w:r>
      <w:r w:rsidR="00D86119" w:rsidRPr="008A7BD7">
        <w:rPr>
          <w:rFonts w:ascii="Cambria" w:eastAsia="Calibri" w:hAnsi="Cambria" w:cs="Times New Roman"/>
          <w:sz w:val="20"/>
          <w:szCs w:val="20"/>
          <w:lang w:eastAsia="es-ES"/>
        </w:rPr>
        <w:t>steps</w:t>
      </w:r>
      <w:r w:rsidRPr="008A7BD7">
        <w:rPr>
          <w:rFonts w:ascii="Cambria" w:eastAsia="Calibri" w:hAnsi="Cambria" w:cs="Times New Roman"/>
          <w:sz w:val="20"/>
          <w:szCs w:val="20"/>
          <w:lang w:eastAsia="es-ES"/>
        </w:rPr>
        <w:t xml:space="preserve"> the Guatemalan State </w:t>
      </w:r>
      <w:r w:rsidR="00D86119" w:rsidRPr="008A7BD7">
        <w:rPr>
          <w:rFonts w:ascii="Cambria" w:eastAsia="Calibri" w:hAnsi="Cambria" w:cs="Times New Roman"/>
          <w:sz w:val="20"/>
          <w:szCs w:val="20"/>
          <w:lang w:eastAsia="es-ES"/>
        </w:rPr>
        <w:t>took</w:t>
      </w:r>
      <w:r w:rsidR="00E20598" w:rsidRPr="008A7BD7">
        <w:rPr>
          <w:rFonts w:ascii="Cambria" w:eastAsia="Calibri" w:hAnsi="Cambria" w:cs="Times New Roman"/>
          <w:sz w:val="20"/>
          <w:szCs w:val="20"/>
          <w:lang w:eastAsia="es-ES"/>
        </w:rPr>
        <w:t xml:space="preserve"> </w:t>
      </w:r>
      <w:r w:rsidRPr="008A7BD7">
        <w:rPr>
          <w:rFonts w:ascii="Cambria" w:eastAsia="Calibri" w:hAnsi="Cambria" w:cs="Times New Roman"/>
          <w:sz w:val="20"/>
          <w:szCs w:val="20"/>
          <w:lang w:eastAsia="es-ES"/>
        </w:rPr>
        <w:t xml:space="preserve">to </w:t>
      </w:r>
      <w:r w:rsidR="00065B38" w:rsidRPr="008A7BD7">
        <w:rPr>
          <w:rFonts w:ascii="Cambria" w:eastAsia="Calibri" w:hAnsi="Cambria" w:cs="Times New Roman"/>
          <w:sz w:val="20"/>
          <w:szCs w:val="20"/>
          <w:lang w:eastAsia="es-ES"/>
        </w:rPr>
        <w:t xml:space="preserve">undermine the CICIG’s capacity before unilaterally and prematurely ending its mandate in </w:t>
      </w:r>
      <w:r w:rsidR="00B1523B" w:rsidRPr="008A7BD7">
        <w:rPr>
          <w:rFonts w:ascii="Cambria" w:eastAsia="Calibri" w:hAnsi="Cambria" w:cs="Times New Roman"/>
          <w:sz w:val="20"/>
          <w:szCs w:val="20"/>
          <w:lang w:eastAsia="es-ES"/>
        </w:rPr>
        <w:t xml:space="preserve">2019. </w:t>
      </w:r>
      <w:r w:rsidR="00CB49E1" w:rsidRPr="008A7BD7">
        <w:rPr>
          <w:rFonts w:ascii="Cambria" w:eastAsia="Calibri" w:hAnsi="Cambria" w:cs="Times New Roman"/>
          <w:sz w:val="20"/>
          <w:szCs w:val="20"/>
          <w:lang w:eastAsia="es-ES"/>
        </w:rPr>
        <w:t xml:space="preserve">At the same time, since </w:t>
      </w:r>
      <w:r w:rsidR="002139E1" w:rsidRPr="008A7BD7">
        <w:rPr>
          <w:rFonts w:ascii="Cambria" w:eastAsia="Calibri" w:hAnsi="Cambria" w:cs="Times New Roman"/>
          <w:sz w:val="20"/>
          <w:szCs w:val="20"/>
          <w:lang w:eastAsia="es-ES"/>
        </w:rPr>
        <w:t>2017</w:t>
      </w:r>
      <w:r w:rsidR="00CB49E1" w:rsidRPr="008A7BD7">
        <w:rPr>
          <w:rFonts w:ascii="Cambria" w:eastAsia="Calibri" w:hAnsi="Cambria" w:cs="Times New Roman"/>
          <w:sz w:val="20"/>
          <w:szCs w:val="20"/>
          <w:lang w:eastAsia="es-ES"/>
        </w:rPr>
        <w:t xml:space="preserve"> the IACHR has observe</w:t>
      </w:r>
      <w:r w:rsidR="00D86119" w:rsidRPr="008A7BD7">
        <w:rPr>
          <w:rFonts w:ascii="Cambria" w:eastAsia="Calibri" w:hAnsi="Cambria" w:cs="Times New Roman"/>
          <w:sz w:val="20"/>
          <w:szCs w:val="20"/>
          <w:lang w:eastAsia="es-ES"/>
        </w:rPr>
        <w:t>d with concern</w:t>
      </w:r>
      <w:r w:rsidR="00CB49E1" w:rsidRPr="008A7BD7">
        <w:rPr>
          <w:rFonts w:ascii="Cambria" w:eastAsia="Calibri" w:hAnsi="Cambria" w:cs="Times New Roman"/>
          <w:sz w:val="20"/>
          <w:szCs w:val="20"/>
          <w:lang w:eastAsia="es-ES"/>
        </w:rPr>
        <w:t xml:space="preserve"> that systematic actions have </w:t>
      </w:r>
      <w:r w:rsidR="00D86119" w:rsidRPr="008A7BD7">
        <w:rPr>
          <w:rFonts w:ascii="Cambria" w:eastAsia="Calibri" w:hAnsi="Cambria" w:cs="Times New Roman"/>
          <w:sz w:val="20"/>
          <w:szCs w:val="20"/>
          <w:lang w:eastAsia="es-ES"/>
        </w:rPr>
        <w:t>continued to be</w:t>
      </w:r>
      <w:r w:rsidR="00CB49E1" w:rsidRPr="008A7BD7">
        <w:rPr>
          <w:rFonts w:ascii="Cambria" w:eastAsia="Calibri" w:hAnsi="Cambria" w:cs="Times New Roman"/>
          <w:sz w:val="20"/>
          <w:szCs w:val="20"/>
          <w:lang w:eastAsia="es-ES"/>
        </w:rPr>
        <w:t xml:space="preserve"> taken to dismantle the country’s anti-corruption institutions, culminating this year with the dismissal of the head of the </w:t>
      </w:r>
      <w:r w:rsidR="00D86119" w:rsidRPr="008A7BD7">
        <w:rPr>
          <w:rFonts w:ascii="Cambria" w:eastAsia="Calibri" w:hAnsi="Cambria" w:cs="Times New Roman"/>
          <w:sz w:val="20"/>
          <w:szCs w:val="20"/>
          <w:lang w:eastAsia="es-ES"/>
        </w:rPr>
        <w:t xml:space="preserve">Office of the </w:t>
      </w:r>
      <w:r w:rsidR="00CB49E1" w:rsidRPr="008A7BD7">
        <w:rPr>
          <w:rFonts w:ascii="Cambria" w:eastAsia="Times New Roman" w:hAnsi="Cambria" w:cs="Times New Roman"/>
          <w:sz w:val="20"/>
          <w:szCs w:val="20"/>
          <w:lang w:eastAsia="es-ES"/>
        </w:rPr>
        <w:t>Special Prosecutor</w:t>
      </w:r>
      <w:r w:rsidR="00D86119" w:rsidRPr="008A7BD7">
        <w:rPr>
          <w:rFonts w:ascii="Cambria" w:eastAsia="Times New Roman" w:hAnsi="Cambria" w:cs="Times New Roman"/>
          <w:sz w:val="20"/>
          <w:szCs w:val="20"/>
          <w:lang w:eastAsia="es-ES"/>
        </w:rPr>
        <w:t xml:space="preserve"> against </w:t>
      </w:r>
      <w:r w:rsidR="00CB49E1" w:rsidRPr="008A7BD7">
        <w:rPr>
          <w:rFonts w:ascii="Cambria" w:eastAsia="Times New Roman" w:hAnsi="Cambria" w:cs="Times New Roman"/>
          <w:sz w:val="20"/>
          <w:szCs w:val="20"/>
          <w:lang w:eastAsia="es-ES"/>
        </w:rPr>
        <w:t>Impunity (</w:t>
      </w:r>
      <w:r w:rsidR="00CB49E1" w:rsidRPr="008A7BD7">
        <w:rPr>
          <w:rFonts w:ascii="Cambria" w:eastAsia="Times New Roman" w:hAnsi="Cambria" w:cs="Times New Roman"/>
          <w:color w:val="000000" w:themeColor="text1"/>
          <w:sz w:val="20"/>
          <w:szCs w:val="20"/>
          <w:lang w:eastAsia="es-ES"/>
        </w:rPr>
        <w:t>FECI)</w:t>
      </w:r>
      <w:r w:rsidR="00A31025" w:rsidRPr="008A7BD7">
        <w:rPr>
          <w:rFonts w:ascii="Cambria" w:eastAsia="Calibri" w:hAnsi="Cambria" w:cs="Times New Roman"/>
          <w:sz w:val="20"/>
          <w:szCs w:val="20"/>
          <w:lang w:eastAsia="es-ES"/>
        </w:rPr>
        <w:t>.</w:t>
      </w:r>
      <w:r w:rsidR="00E445EB" w:rsidRPr="008A7BD7">
        <w:rPr>
          <w:rFonts w:ascii="Cambria" w:eastAsia="Calibri" w:hAnsi="Cambria" w:cs="Times New Roman"/>
          <w:sz w:val="20"/>
          <w:szCs w:val="20"/>
          <w:lang w:eastAsia="es-ES"/>
        </w:rPr>
        <w:t xml:space="preserve"> </w:t>
      </w:r>
      <w:r w:rsidR="00CB49E1" w:rsidRPr="008A7BD7">
        <w:rPr>
          <w:rFonts w:ascii="Cambria" w:eastAsia="Calibri" w:hAnsi="Cambria" w:cs="Times New Roman"/>
          <w:sz w:val="20"/>
          <w:szCs w:val="20"/>
          <w:lang w:eastAsia="es-ES"/>
        </w:rPr>
        <w:t>On various occasions, the IACHR</w:t>
      </w:r>
      <w:r w:rsidR="004100D2" w:rsidRPr="008A7BD7">
        <w:rPr>
          <w:rFonts w:ascii="Cambria" w:eastAsia="Calibri" w:hAnsi="Cambria" w:cs="Times New Roman"/>
          <w:sz w:val="20"/>
          <w:szCs w:val="20"/>
          <w:lang w:eastAsia="es-ES"/>
        </w:rPr>
        <w:t xml:space="preserve"> expressed regret over the termination of the </w:t>
      </w:r>
      <w:r w:rsidR="00A31025" w:rsidRPr="008A7BD7">
        <w:rPr>
          <w:rFonts w:ascii="Cambria" w:eastAsia="Cambria" w:hAnsi="Cambria" w:cs="Cambria"/>
          <w:sz w:val="20"/>
          <w:szCs w:val="20"/>
        </w:rPr>
        <w:t>CICIG</w:t>
      </w:r>
      <w:r w:rsidR="004100D2" w:rsidRPr="008A7BD7">
        <w:rPr>
          <w:rFonts w:ascii="Cambria" w:eastAsia="Cambria" w:hAnsi="Cambria" w:cs="Cambria"/>
          <w:sz w:val="20"/>
          <w:szCs w:val="20"/>
        </w:rPr>
        <w:t>’s mandate and the weakening fight against corruption. It also indicated that these actions demonstrated the State’s lack of willingness to fulfill its international obligations.</w:t>
      </w:r>
      <w:r w:rsidR="00E031AA" w:rsidRPr="008A7BD7">
        <w:rPr>
          <w:rStyle w:val="FootnoteReference"/>
          <w:rFonts w:ascii="Cambria" w:eastAsia="Calibri" w:hAnsi="Cambria" w:cs="Times New Roman"/>
          <w:sz w:val="20"/>
          <w:szCs w:val="20"/>
          <w:lang w:val="es-US" w:eastAsia="es-ES"/>
        </w:rPr>
        <w:footnoteReference w:id="7"/>
      </w:r>
    </w:p>
    <w:p w14:paraId="2DD7F36D" w14:textId="77777777" w:rsidR="002139E1" w:rsidRPr="008A7BD7" w:rsidRDefault="002139E1" w:rsidP="00E031AA">
      <w:pPr>
        <w:pStyle w:val="ListParagraph"/>
        <w:jc w:val="both"/>
        <w:rPr>
          <w:rFonts w:ascii="Cambria" w:eastAsiaTheme="minorEastAsia" w:hAnsi="Cambria"/>
          <w:color w:val="000000" w:themeColor="text1"/>
          <w:sz w:val="20"/>
          <w:szCs w:val="20"/>
        </w:rPr>
      </w:pPr>
    </w:p>
    <w:p w14:paraId="59D2A9A6" w14:textId="410B3178" w:rsidR="002139E1" w:rsidRPr="008A7BD7" w:rsidRDefault="004100D2" w:rsidP="00BB65D3">
      <w:pPr>
        <w:numPr>
          <w:ilvl w:val="0"/>
          <w:numId w:val="2"/>
        </w:numPr>
        <w:ind w:left="0" w:firstLine="720"/>
        <w:jc w:val="both"/>
        <w:rPr>
          <w:rFonts w:ascii="Cambria" w:eastAsiaTheme="minorEastAsia" w:hAnsi="Cambria"/>
          <w:color w:val="000000" w:themeColor="text1"/>
          <w:sz w:val="20"/>
          <w:szCs w:val="20"/>
        </w:rPr>
      </w:pPr>
      <w:r w:rsidRPr="008A7BD7">
        <w:rPr>
          <w:rFonts w:ascii="Cambria" w:eastAsia="Calibri" w:hAnsi="Cambria" w:cs="Times New Roman"/>
          <w:sz w:val="20"/>
          <w:szCs w:val="20"/>
          <w:lang w:eastAsia="es-ES"/>
        </w:rPr>
        <w:t xml:space="preserve">In November </w:t>
      </w:r>
      <w:r w:rsidR="002139E1" w:rsidRPr="008A7BD7">
        <w:rPr>
          <w:rFonts w:ascii="Cambria" w:eastAsia="Calibri" w:hAnsi="Cambria" w:cs="Times New Roman"/>
          <w:sz w:val="20"/>
          <w:szCs w:val="20"/>
          <w:lang w:eastAsia="es-ES"/>
        </w:rPr>
        <w:t xml:space="preserve">2020, </w:t>
      </w:r>
      <w:r w:rsidRPr="008A7BD7">
        <w:rPr>
          <w:rFonts w:ascii="Cambria" w:eastAsia="Calibri" w:hAnsi="Cambria" w:cs="Times New Roman"/>
          <w:sz w:val="20"/>
          <w:szCs w:val="20"/>
          <w:lang w:eastAsia="es-ES"/>
        </w:rPr>
        <w:t xml:space="preserve">the IACHR </w:t>
      </w:r>
      <w:r w:rsidR="00EF096C" w:rsidRPr="008A7BD7">
        <w:rPr>
          <w:rFonts w:ascii="Cambria" w:eastAsia="Calibri" w:hAnsi="Cambria" w:cs="Times New Roman"/>
          <w:sz w:val="20"/>
          <w:szCs w:val="20"/>
          <w:lang w:eastAsia="es-ES"/>
        </w:rPr>
        <w:t>noted</w:t>
      </w:r>
      <w:r w:rsidR="006C18DC" w:rsidRPr="008A7BD7">
        <w:rPr>
          <w:rFonts w:ascii="Cambria" w:eastAsia="Calibri" w:hAnsi="Cambria" w:cs="Times New Roman"/>
          <w:sz w:val="20"/>
          <w:szCs w:val="20"/>
          <w:lang w:eastAsia="es-ES"/>
        </w:rPr>
        <w:t xml:space="preserve"> </w:t>
      </w:r>
      <w:r w:rsidR="001C7740" w:rsidRPr="008A7BD7">
        <w:rPr>
          <w:rFonts w:ascii="Cambria" w:eastAsia="Calibri" w:hAnsi="Cambria" w:cs="Times New Roman"/>
          <w:sz w:val="20"/>
          <w:szCs w:val="20"/>
          <w:lang w:eastAsia="es-ES"/>
        </w:rPr>
        <w:t xml:space="preserve">that the Guatemalan President had activated the </w:t>
      </w:r>
      <w:r w:rsidR="006C18DC" w:rsidRPr="008A7BD7">
        <w:rPr>
          <w:rFonts w:ascii="Cambria" w:eastAsia="Calibri" w:hAnsi="Cambria" w:cs="Times New Roman"/>
          <w:sz w:val="20"/>
          <w:szCs w:val="20"/>
          <w:lang w:eastAsia="es-ES"/>
        </w:rPr>
        <w:t>Inter-American Democratic Charter</w:t>
      </w:r>
      <w:r w:rsidR="001C7740" w:rsidRPr="008A7BD7">
        <w:rPr>
          <w:rFonts w:ascii="Cambria" w:eastAsia="Calibri" w:hAnsi="Cambria" w:cs="Times New Roman"/>
          <w:sz w:val="20"/>
          <w:szCs w:val="20"/>
          <w:lang w:eastAsia="es-ES"/>
        </w:rPr>
        <w:t>,</w:t>
      </w:r>
      <w:r w:rsidR="006C18DC" w:rsidRPr="008A7BD7">
        <w:rPr>
          <w:rFonts w:ascii="Cambria" w:eastAsia="Calibri" w:hAnsi="Cambria" w:cs="Times New Roman"/>
          <w:sz w:val="20"/>
          <w:szCs w:val="20"/>
          <w:lang w:eastAsia="es-ES"/>
        </w:rPr>
        <w:t xml:space="preserve"> in response to the social protests that began on November 21</w:t>
      </w:r>
      <w:r w:rsidR="009A2353" w:rsidRPr="008A7BD7">
        <w:rPr>
          <w:rFonts w:ascii="Cambria" w:eastAsia="Calibri" w:hAnsi="Cambria" w:cs="Times New Roman"/>
          <w:sz w:val="20"/>
          <w:szCs w:val="20"/>
          <w:lang w:eastAsia="es-ES"/>
        </w:rPr>
        <w:t xml:space="preserve"> and</w:t>
      </w:r>
      <w:r w:rsidR="006C18DC" w:rsidRPr="008A7BD7">
        <w:rPr>
          <w:rFonts w:ascii="Cambria" w:eastAsia="Calibri" w:hAnsi="Cambria" w:cs="Times New Roman"/>
          <w:sz w:val="20"/>
          <w:szCs w:val="20"/>
          <w:lang w:eastAsia="es-ES"/>
        </w:rPr>
        <w:t xml:space="preserve"> to the “</w:t>
      </w:r>
      <w:r w:rsidR="00F524F3" w:rsidRPr="008A7BD7">
        <w:rPr>
          <w:rFonts w:ascii="Cambria" w:eastAsia="Calibri" w:hAnsi="Cambria" w:cs="Times New Roman"/>
          <w:sz w:val="20"/>
          <w:szCs w:val="20"/>
          <w:lang w:eastAsia="es-ES"/>
        </w:rPr>
        <w:t xml:space="preserve">coordinated </w:t>
      </w:r>
      <w:r w:rsidR="006C18DC" w:rsidRPr="008A7BD7">
        <w:rPr>
          <w:rFonts w:ascii="Cambria" w:eastAsia="Calibri" w:hAnsi="Cambria" w:cs="Times New Roman"/>
          <w:sz w:val="20"/>
          <w:szCs w:val="20"/>
          <w:lang w:eastAsia="es-ES"/>
        </w:rPr>
        <w:t xml:space="preserve">acts of violence” </w:t>
      </w:r>
      <w:r w:rsidR="001A790D" w:rsidRPr="008A7BD7">
        <w:rPr>
          <w:rFonts w:ascii="Cambria" w:eastAsia="Calibri" w:hAnsi="Cambria" w:cs="Times New Roman"/>
          <w:sz w:val="20"/>
          <w:szCs w:val="20"/>
          <w:lang w:eastAsia="es-ES"/>
        </w:rPr>
        <w:t>said to have</w:t>
      </w:r>
      <w:r w:rsidR="00F524F3" w:rsidRPr="008A7BD7">
        <w:rPr>
          <w:rFonts w:ascii="Cambria" w:eastAsia="Calibri" w:hAnsi="Cambria" w:cs="Times New Roman"/>
          <w:sz w:val="20"/>
          <w:szCs w:val="20"/>
          <w:lang w:eastAsia="es-ES"/>
        </w:rPr>
        <w:t xml:space="preserve"> </w:t>
      </w:r>
      <w:r w:rsidR="001A790D" w:rsidRPr="008A7BD7">
        <w:rPr>
          <w:rFonts w:ascii="Cambria" w:eastAsia="Calibri" w:hAnsi="Cambria" w:cs="Times New Roman"/>
          <w:sz w:val="20"/>
          <w:szCs w:val="20"/>
          <w:lang w:eastAsia="es-ES"/>
        </w:rPr>
        <w:t>disturbed</w:t>
      </w:r>
      <w:r w:rsidR="006C18DC" w:rsidRPr="008A7BD7">
        <w:rPr>
          <w:rFonts w:ascii="Cambria" w:eastAsia="Calibri" w:hAnsi="Cambria" w:cs="Times New Roman"/>
          <w:sz w:val="20"/>
          <w:szCs w:val="20"/>
          <w:lang w:eastAsia="es-ES"/>
        </w:rPr>
        <w:t xml:space="preserve"> the public peace and</w:t>
      </w:r>
      <w:r w:rsidR="00A05005" w:rsidRPr="008A7BD7">
        <w:rPr>
          <w:rFonts w:ascii="Cambria" w:eastAsia="Calibri" w:hAnsi="Cambria" w:cs="Times New Roman"/>
          <w:sz w:val="20"/>
          <w:szCs w:val="20"/>
          <w:lang w:eastAsia="es-ES"/>
        </w:rPr>
        <w:t xml:space="preserve"> “</w:t>
      </w:r>
      <w:r w:rsidR="009A2353" w:rsidRPr="008A7BD7">
        <w:rPr>
          <w:rFonts w:ascii="Cambria" w:eastAsia="Calibri" w:hAnsi="Cambria" w:cs="Times New Roman"/>
          <w:sz w:val="20"/>
          <w:szCs w:val="20"/>
          <w:lang w:eastAsia="es-ES"/>
        </w:rPr>
        <w:t xml:space="preserve">jeopardized </w:t>
      </w:r>
      <w:r w:rsidR="00A05005" w:rsidRPr="008A7BD7">
        <w:rPr>
          <w:rFonts w:ascii="Cambria" w:eastAsia="Calibri" w:hAnsi="Cambria" w:cs="Times New Roman"/>
          <w:sz w:val="20"/>
          <w:szCs w:val="20"/>
          <w:lang w:eastAsia="es-ES"/>
        </w:rPr>
        <w:t xml:space="preserve">democratic institutions” </w:t>
      </w:r>
      <w:r w:rsidR="009A2353" w:rsidRPr="008A7BD7">
        <w:rPr>
          <w:rFonts w:ascii="Cambria" w:eastAsia="Calibri" w:hAnsi="Cambria" w:cs="Times New Roman"/>
          <w:sz w:val="20"/>
          <w:szCs w:val="20"/>
          <w:lang w:eastAsia="es-ES"/>
        </w:rPr>
        <w:t>and</w:t>
      </w:r>
      <w:r w:rsidR="00A05005" w:rsidRPr="008A7BD7">
        <w:rPr>
          <w:rFonts w:ascii="Cambria" w:eastAsia="Calibri" w:hAnsi="Cambria" w:cs="Times New Roman"/>
          <w:sz w:val="20"/>
          <w:szCs w:val="20"/>
          <w:lang w:eastAsia="es-ES"/>
        </w:rPr>
        <w:t xml:space="preserve"> the “legitimate exercise of power by the democratically elected authorities.”</w:t>
      </w:r>
      <w:r w:rsidR="002139E1" w:rsidRPr="008A7BD7">
        <w:rPr>
          <w:rFonts w:ascii="Cambria" w:eastAsia="Times New Roman" w:hAnsi="Cambria" w:cs="Times New Roman"/>
          <w:sz w:val="20"/>
          <w:szCs w:val="20"/>
          <w:vertAlign w:val="superscript"/>
          <w:lang w:val="es-US" w:eastAsia="es-ES"/>
        </w:rPr>
        <w:footnoteReference w:id="8"/>
      </w:r>
      <w:r w:rsidR="002139E1" w:rsidRPr="008A7BD7">
        <w:rPr>
          <w:rFonts w:ascii="Cambria" w:eastAsia="Times New Roman" w:hAnsi="Cambria" w:cs="Times New Roman"/>
          <w:sz w:val="20"/>
          <w:szCs w:val="20"/>
          <w:lang w:eastAsia="es-ES"/>
        </w:rPr>
        <w:t xml:space="preserve"> </w:t>
      </w:r>
      <w:r w:rsidR="00974718" w:rsidRPr="008A7BD7">
        <w:rPr>
          <w:rFonts w:ascii="Cambria" w:eastAsia="Times New Roman" w:hAnsi="Cambria" w:cs="Times New Roman"/>
          <w:sz w:val="20"/>
          <w:szCs w:val="20"/>
          <w:lang w:eastAsia="es-ES"/>
        </w:rPr>
        <w:t xml:space="preserve">According to publicly available information, these protests were convened peacefully, initially </w:t>
      </w:r>
      <w:r w:rsidR="001A7C2A" w:rsidRPr="008A7BD7">
        <w:rPr>
          <w:rFonts w:ascii="Cambria" w:eastAsia="Times New Roman" w:hAnsi="Cambria" w:cs="Times New Roman"/>
          <w:sz w:val="20"/>
          <w:szCs w:val="20"/>
          <w:lang w:eastAsia="es-ES"/>
        </w:rPr>
        <w:t>in opposition to</w:t>
      </w:r>
      <w:r w:rsidR="00974718" w:rsidRPr="008A7BD7">
        <w:rPr>
          <w:rFonts w:ascii="Cambria" w:eastAsia="Times New Roman" w:hAnsi="Cambria" w:cs="Times New Roman"/>
          <w:sz w:val="20"/>
          <w:szCs w:val="20"/>
          <w:lang w:eastAsia="es-ES"/>
        </w:rPr>
        <w:t xml:space="preserve"> </w:t>
      </w:r>
      <w:r w:rsidR="00972E05" w:rsidRPr="008A7BD7">
        <w:rPr>
          <w:rFonts w:ascii="Cambria" w:eastAsia="Times New Roman" w:hAnsi="Cambria" w:cs="Times New Roman"/>
          <w:sz w:val="20"/>
          <w:szCs w:val="20"/>
          <w:lang w:eastAsia="es-ES"/>
        </w:rPr>
        <w:t xml:space="preserve">congressional </w:t>
      </w:r>
      <w:r w:rsidR="00974718" w:rsidRPr="008A7BD7">
        <w:rPr>
          <w:rFonts w:ascii="Cambria" w:eastAsia="Times New Roman" w:hAnsi="Cambria" w:cs="Times New Roman"/>
          <w:sz w:val="20"/>
          <w:szCs w:val="20"/>
          <w:lang w:eastAsia="es-ES"/>
        </w:rPr>
        <w:t>approval</w:t>
      </w:r>
      <w:r w:rsidR="00972E05" w:rsidRPr="008A7BD7">
        <w:rPr>
          <w:rFonts w:ascii="Cambria" w:eastAsia="Times New Roman" w:hAnsi="Cambria" w:cs="Times New Roman"/>
          <w:sz w:val="20"/>
          <w:szCs w:val="20"/>
          <w:lang w:eastAsia="es-ES"/>
        </w:rPr>
        <w:t xml:space="preserve"> </w:t>
      </w:r>
      <w:r w:rsidR="00974718" w:rsidRPr="008A7BD7">
        <w:rPr>
          <w:rFonts w:ascii="Cambria" w:eastAsia="Times New Roman" w:hAnsi="Cambria" w:cs="Times New Roman"/>
          <w:sz w:val="20"/>
          <w:szCs w:val="20"/>
          <w:lang w:eastAsia="es-ES"/>
        </w:rPr>
        <w:t>of the 2021 budget</w:t>
      </w:r>
      <w:r w:rsidR="00D10630" w:rsidRPr="008A7BD7">
        <w:rPr>
          <w:rFonts w:ascii="Cambria" w:eastAsia="Times New Roman" w:hAnsi="Cambria" w:cs="Times New Roman"/>
          <w:sz w:val="20"/>
          <w:szCs w:val="20"/>
          <w:lang w:eastAsia="es-ES"/>
        </w:rPr>
        <w:t>; subsequently</w:t>
      </w:r>
      <w:r w:rsidR="005F156B" w:rsidRPr="008A7BD7">
        <w:rPr>
          <w:rFonts w:ascii="Cambria" w:eastAsia="Times New Roman" w:hAnsi="Cambria" w:cs="Times New Roman"/>
          <w:sz w:val="20"/>
          <w:szCs w:val="20"/>
          <w:lang w:eastAsia="es-ES"/>
        </w:rPr>
        <w:t>, they included other social demands related to</w:t>
      </w:r>
      <w:r w:rsidR="009A2353" w:rsidRPr="008A7BD7">
        <w:rPr>
          <w:rFonts w:ascii="Cambria" w:eastAsia="Times New Roman" w:hAnsi="Cambria" w:cs="Times New Roman"/>
          <w:sz w:val="20"/>
          <w:szCs w:val="20"/>
          <w:lang w:eastAsia="es-ES"/>
        </w:rPr>
        <w:t xml:space="preserve"> </w:t>
      </w:r>
      <w:r w:rsidR="001A7C2A" w:rsidRPr="008A7BD7">
        <w:rPr>
          <w:rFonts w:ascii="Cambria" w:eastAsia="Times New Roman" w:hAnsi="Cambria" w:cs="Times New Roman"/>
          <w:sz w:val="20"/>
          <w:szCs w:val="20"/>
          <w:lang w:eastAsia="es-ES"/>
        </w:rPr>
        <w:t>rejecting</w:t>
      </w:r>
      <w:r w:rsidR="00713BF1" w:rsidRPr="008A7BD7">
        <w:rPr>
          <w:rFonts w:ascii="Cambria" w:eastAsia="Times New Roman" w:hAnsi="Cambria" w:cs="Times New Roman"/>
          <w:sz w:val="20"/>
          <w:szCs w:val="20"/>
          <w:lang w:eastAsia="es-ES"/>
        </w:rPr>
        <w:t xml:space="preserve"> </w:t>
      </w:r>
      <w:r w:rsidR="005F156B" w:rsidRPr="008A7BD7">
        <w:rPr>
          <w:rFonts w:ascii="Cambria" w:eastAsia="Times New Roman" w:hAnsi="Cambria" w:cs="Times New Roman"/>
          <w:sz w:val="20"/>
          <w:szCs w:val="20"/>
          <w:lang w:eastAsia="es-ES"/>
        </w:rPr>
        <w:t>corruption, question</w:t>
      </w:r>
      <w:r w:rsidR="001A7C2A" w:rsidRPr="008A7BD7">
        <w:rPr>
          <w:rFonts w:ascii="Cambria" w:eastAsia="Times New Roman" w:hAnsi="Cambria" w:cs="Times New Roman"/>
          <w:sz w:val="20"/>
          <w:szCs w:val="20"/>
          <w:lang w:eastAsia="es-ES"/>
        </w:rPr>
        <w:t>ing</w:t>
      </w:r>
      <w:r w:rsidR="006A0534" w:rsidRPr="008A7BD7">
        <w:rPr>
          <w:rFonts w:ascii="Cambria" w:eastAsia="Times New Roman" w:hAnsi="Cambria" w:cs="Times New Roman"/>
          <w:sz w:val="20"/>
          <w:szCs w:val="20"/>
          <w:lang w:eastAsia="es-ES"/>
        </w:rPr>
        <w:t xml:space="preserve"> the use of resources</w:t>
      </w:r>
      <w:r w:rsidR="005F156B" w:rsidRPr="008A7BD7">
        <w:rPr>
          <w:rFonts w:ascii="Cambria" w:eastAsia="Times New Roman" w:hAnsi="Cambria" w:cs="Times New Roman"/>
          <w:sz w:val="20"/>
          <w:szCs w:val="20"/>
          <w:lang w:eastAsia="es-ES"/>
        </w:rPr>
        <w:t xml:space="preserve"> to </w:t>
      </w:r>
      <w:r w:rsidR="00D10630" w:rsidRPr="008A7BD7">
        <w:rPr>
          <w:rFonts w:ascii="Cambria" w:eastAsia="Times New Roman" w:hAnsi="Cambria" w:cs="Times New Roman"/>
          <w:sz w:val="20"/>
          <w:szCs w:val="20"/>
          <w:lang w:eastAsia="es-ES"/>
        </w:rPr>
        <w:t>address</w:t>
      </w:r>
      <w:r w:rsidR="005F156B" w:rsidRPr="008A7BD7">
        <w:rPr>
          <w:rFonts w:ascii="Cambria" w:eastAsia="Times New Roman" w:hAnsi="Cambria" w:cs="Times New Roman"/>
          <w:sz w:val="20"/>
          <w:szCs w:val="20"/>
          <w:lang w:eastAsia="es-ES"/>
        </w:rPr>
        <w:t xml:space="preserve"> the </w:t>
      </w:r>
      <w:r w:rsidR="002139E1" w:rsidRPr="008A7BD7">
        <w:rPr>
          <w:rFonts w:ascii="Cambria" w:eastAsia="Times New Roman" w:hAnsi="Cambria" w:cs="Times New Roman"/>
          <w:sz w:val="20"/>
          <w:szCs w:val="20"/>
          <w:lang w:eastAsia="es-ES_tradnl"/>
        </w:rPr>
        <w:t xml:space="preserve">COVID-19 </w:t>
      </w:r>
      <w:r w:rsidR="005F156B" w:rsidRPr="008A7BD7">
        <w:rPr>
          <w:rFonts w:ascii="Cambria" w:eastAsia="Times New Roman" w:hAnsi="Cambria" w:cs="Times New Roman"/>
          <w:sz w:val="20"/>
          <w:szCs w:val="20"/>
          <w:lang w:eastAsia="es-ES_tradnl"/>
        </w:rPr>
        <w:t>pandemic, and in ge</w:t>
      </w:r>
      <w:r w:rsidR="002139E1" w:rsidRPr="008A7BD7">
        <w:rPr>
          <w:rFonts w:ascii="Cambria" w:eastAsia="Times New Roman" w:hAnsi="Cambria" w:cs="Times New Roman"/>
          <w:sz w:val="20"/>
          <w:szCs w:val="20"/>
          <w:lang w:eastAsia="es-ES_tradnl"/>
        </w:rPr>
        <w:t xml:space="preserve">neral, </w:t>
      </w:r>
      <w:r w:rsidR="006A0534" w:rsidRPr="008A7BD7">
        <w:rPr>
          <w:rFonts w:ascii="Cambria" w:eastAsia="Times New Roman" w:hAnsi="Cambria" w:cs="Times New Roman"/>
          <w:sz w:val="20"/>
          <w:szCs w:val="20"/>
          <w:lang w:eastAsia="es-ES_tradnl"/>
        </w:rPr>
        <w:t>rejecti</w:t>
      </w:r>
      <w:r w:rsidR="001A7C2A" w:rsidRPr="008A7BD7">
        <w:rPr>
          <w:rFonts w:ascii="Cambria" w:eastAsia="Times New Roman" w:hAnsi="Cambria" w:cs="Times New Roman"/>
          <w:sz w:val="20"/>
          <w:szCs w:val="20"/>
          <w:lang w:eastAsia="es-ES_tradnl"/>
        </w:rPr>
        <w:t xml:space="preserve">ng </w:t>
      </w:r>
      <w:r w:rsidR="005F156B" w:rsidRPr="008A7BD7">
        <w:rPr>
          <w:rFonts w:ascii="Cambria" w:eastAsia="Times New Roman" w:hAnsi="Cambria" w:cs="Times New Roman"/>
          <w:sz w:val="20"/>
          <w:szCs w:val="20"/>
          <w:lang w:eastAsia="es-ES_tradnl"/>
        </w:rPr>
        <w:t xml:space="preserve">the </w:t>
      </w:r>
      <w:r w:rsidR="00160A33" w:rsidRPr="008A7BD7">
        <w:rPr>
          <w:rFonts w:ascii="Cambria" w:eastAsia="Times New Roman" w:hAnsi="Cambria" w:cs="Times New Roman"/>
          <w:sz w:val="20"/>
          <w:szCs w:val="20"/>
          <w:lang w:eastAsia="es-ES_tradnl"/>
        </w:rPr>
        <w:t xml:space="preserve">State’s response to the social, economic, and political crisis in the country, which </w:t>
      </w:r>
      <w:r w:rsidR="00D10630" w:rsidRPr="008A7BD7">
        <w:rPr>
          <w:rFonts w:ascii="Cambria" w:eastAsia="Times New Roman" w:hAnsi="Cambria" w:cs="Times New Roman"/>
          <w:sz w:val="20"/>
          <w:szCs w:val="20"/>
          <w:lang w:eastAsia="es-ES_tradnl"/>
        </w:rPr>
        <w:t>worsened with</w:t>
      </w:r>
      <w:r w:rsidR="00160A33" w:rsidRPr="008A7BD7">
        <w:rPr>
          <w:rFonts w:ascii="Cambria" w:eastAsia="Times New Roman" w:hAnsi="Cambria" w:cs="Times New Roman"/>
          <w:sz w:val="20"/>
          <w:szCs w:val="20"/>
          <w:lang w:eastAsia="es-ES_tradnl"/>
        </w:rPr>
        <w:t xml:space="preserve"> the hurricane season.</w:t>
      </w:r>
      <w:r w:rsidR="002139E1" w:rsidRPr="008A7BD7">
        <w:rPr>
          <w:rFonts w:ascii="Cambria" w:eastAsia="Times New Roman" w:hAnsi="Cambria" w:cs="Times New Roman"/>
          <w:sz w:val="20"/>
          <w:szCs w:val="20"/>
          <w:vertAlign w:val="superscript"/>
          <w:lang w:val="es-US" w:eastAsia="es-ES_tradnl"/>
        </w:rPr>
        <w:footnoteReference w:id="9"/>
      </w:r>
      <w:r w:rsidR="002139E1" w:rsidRPr="008A7BD7">
        <w:rPr>
          <w:rFonts w:ascii="Cambria" w:eastAsia="Times New Roman" w:hAnsi="Cambria" w:cs="Times New Roman"/>
          <w:sz w:val="20"/>
          <w:szCs w:val="20"/>
          <w:lang w:eastAsia="es-ES_tradnl"/>
        </w:rPr>
        <w:t xml:space="preserve"> </w:t>
      </w:r>
    </w:p>
    <w:p w14:paraId="01C3242B" w14:textId="77777777" w:rsidR="002139E1" w:rsidRPr="008A7BD7" w:rsidRDefault="002139E1" w:rsidP="00E031AA">
      <w:pPr>
        <w:suppressAutoHyphens/>
        <w:ind w:left="720"/>
        <w:jc w:val="both"/>
        <w:rPr>
          <w:rFonts w:ascii="Cambria" w:eastAsia="Times New Roman" w:hAnsi="Cambria" w:cs="Times New Roman"/>
          <w:sz w:val="20"/>
          <w:szCs w:val="20"/>
          <w:lang w:eastAsia="es-ES_tradnl"/>
        </w:rPr>
      </w:pPr>
    </w:p>
    <w:p w14:paraId="364F3773" w14:textId="1868B422" w:rsidR="002139E1" w:rsidRPr="008A7BD7" w:rsidRDefault="009A2353" w:rsidP="00BB65D3">
      <w:pPr>
        <w:numPr>
          <w:ilvl w:val="0"/>
          <w:numId w:val="2"/>
        </w:numPr>
        <w:suppressAutoHyphens/>
        <w:ind w:left="0" w:firstLine="720"/>
        <w:jc w:val="both"/>
        <w:rPr>
          <w:rFonts w:ascii="Cambria" w:eastAsia="Calibri" w:hAnsi="Cambria" w:cs="Times New Roman"/>
          <w:sz w:val="20"/>
          <w:szCs w:val="20"/>
          <w:lang w:eastAsia="es-ES"/>
        </w:rPr>
      </w:pPr>
      <w:r w:rsidRPr="008A7BD7">
        <w:rPr>
          <w:rFonts w:ascii="Cambria" w:eastAsia="Calibri" w:hAnsi="Cambria" w:cs="Times New Roman"/>
          <w:sz w:val="20"/>
          <w:szCs w:val="20"/>
          <w:lang w:eastAsia="es-ES"/>
        </w:rPr>
        <w:t xml:space="preserve">In a report published in January </w:t>
      </w:r>
      <w:r w:rsidR="002139E1" w:rsidRPr="008A7BD7">
        <w:rPr>
          <w:rFonts w:ascii="Cambria" w:eastAsia="Times New Roman" w:hAnsi="Cambria" w:cs="Times New Roman"/>
          <w:sz w:val="20"/>
          <w:szCs w:val="20"/>
          <w:lang w:eastAsia="es-ES"/>
        </w:rPr>
        <w:t>2021,</w:t>
      </w:r>
      <w:r w:rsidR="005A5C8C" w:rsidRPr="008A7BD7">
        <w:rPr>
          <w:rFonts w:ascii="Cambria" w:eastAsia="Times New Roman" w:hAnsi="Cambria" w:cs="Times New Roman"/>
          <w:sz w:val="20"/>
          <w:szCs w:val="20"/>
          <w:lang w:eastAsia="es-ES"/>
        </w:rPr>
        <w:t xml:space="preserve"> the </w:t>
      </w:r>
      <w:r w:rsidR="00D155BA" w:rsidRPr="008A7BD7">
        <w:rPr>
          <w:rFonts w:ascii="Cambria" w:eastAsia="Times New Roman" w:hAnsi="Cambria" w:cs="Times New Roman"/>
          <w:sz w:val="20"/>
          <w:szCs w:val="20"/>
          <w:lang w:eastAsia="es-ES"/>
        </w:rPr>
        <w:t xml:space="preserve">Special Mission of the </w:t>
      </w:r>
      <w:r w:rsidR="005A5C8C" w:rsidRPr="008A7BD7">
        <w:rPr>
          <w:rFonts w:ascii="Cambria" w:eastAsia="Times New Roman" w:hAnsi="Cambria" w:cs="Times New Roman"/>
          <w:sz w:val="20"/>
          <w:szCs w:val="20"/>
          <w:lang w:eastAsia="es-ES"/>
        </w:rPr>
        <w:t xml:space="preserve">General Secretariat </w:t>
      </w:r>
      <w:r w:rsidR="00117C1A" w:rsidRPr="008A7BD7">
        <w:rPr>
          <w:rFonts w:ascii="Cambria" w:eastAsia="Times New Roman" w:hAnsi="Cambria" w:cs="Times New Roman"/>
          <w:sz w:val="20"/>
          <w:szCs w:val="20"/>
          <w:lang w:eastAsia="es-ES"/>
        </w:rPr>
        <w:t xml:space="preserve">of the Organization of American States (OAS) sent to </w:t>
      </w:r>
      <w:r w:rsidR="005A5C8C" w:rsidRPr="008A7BD7">
        <w:rPr>
          <w:rFonts w:ascii="Cambria" w:eastAsia="Times New Roman" w:hAnsi="Cambria" w:cs="Times New Roman"/>
          <w:sz w:val="20"/>
          <w:szCs w:val="20"/>
          <w:lang w:eastAsia="es-ES"/>
        </w:rPr>
        <w:t xml:space="preserve">Guatemala by the </w:t>
      </w:r>
      <w:r w:rsidR="00117C1A" w:rsidRPr="008A7BD7">
        <w:rPr>
          <w:rFonts w:ascii="Cambria" w:eastAsia="Times New Roman" w:hAnsi="Cambria" w:cs="Times New Roman"/>
          <w:sz w:val="20"/>
          <w:szCs w:val="20"/>
          <w:lang w:eastAsia="es-ES"/>
        </w:rPr>
        <w:t xml:space="preserve">OAS </w:t>
      </w:r>
      <w:r w:rsidR="005A5C8C" w:rsidRPr="008A7BD7">
        <w:rPr>
          <w:rFonts w:ascii="Cambria" w:eastAsia="Times New Roman" w:hAnsi="Cambria" w:cs="Times New Roman"/>
          <w:sz w:val="20"/>
          <w:szCs w:val="20"/>
          <w:lang w:eastAsia="es-ES"/>
        </w:rPr>
        <w:t>Secretary General</w:t>
      </w:r>
      <w:r w:rsidR="00814F23" w:rsidRPr="008A7BD7">
        <w:rPr>
          <w:rFonts w:ascii="Cambria" w:eastAsia="Times New Roman" w:hAnsi="Cambria" w:cs="Times New Roman"/>
          <w:sz w:val="20"/>
          <w:szCs w:val="20"/>
          <w:vertAlign w:val="superscript"/>
          <w:lang w:val="es-US" w:eastAsia="es-ES"/>
        </w:rPr>
        <w:footnoteReference w:id="10"/>
      </w:r>
      <w:r w:rsidR="002139E1" w:rsidRPr="008A7BD7">
        <w:rPr>
          <w:rFonts w:ascii="Cambria" w:eastAsia="Times New Roman" w:hAnsi="Cambria" w:cs="Times New Roman"/>
          <w:sz w:val="20"/>
          <w:szCs w:val="20"/>
          <w:lang w:eastAsia="es-ES"/>
        </w:rPr>
        <w:t xml:space="preserve"> </w:t>
      </w:r>
      <w:r w:rsidR="004339C5" w:rsidRPr="008A7BD7">
        <w:rPr>
          <w:rFonts w:ascii="Cambria" w:eastAsia="Times New Roman" w:hAnsi="Cambria" w:cs="Times New Roman"/>
          <w:sz w:val="20"/>
          <w:szCs w:val="20"/>
          <w:lang w:eastAsia="es-ES"/>
        </w:rPr>
        <w:t xml:space="preserve">emphasized its concern regarding factors that could </w:t>
      </w:r>
      <w:r w:rsidR="00D155BA" w:rsidRPr="008A7BD7">
        <w:rPr>
          <w:rFonts w:ascii="Cambria" w:eastAsia="Times New Roman" w:hAnsi="Cambria" w:cs="Times New Roman"/>
          <w:sz w:val="20"/>
          <w:szCs w:val="20"/>
          <w:lang w:eastAsia="es-ES"/>
        </w:rPr>
        <w:t>undermine</w:t>
      </w:r>
      <w:r w:rsidR="004339C5" w:rsidRPr="008A7BD7">
        <w:rPr>
          <w:rFonts w:ascii="Cambria" w:eastAsia="Times New Roman" w:hAnsi="Cambria" w:cs="Times New Roman"/>
          <w:sz w:val="20"/>
          <w:szCs w:val="20"/>
          <w:lang w:eastAsia="es-ES"/>
        </w:rPr>
        <w:t xml:space="preserve"> the rule of law and </w:t>
      </w:r>
      <w:r w:rsidR="00D155BA" w:rsidRPr="008A7BD7">
        <w:rPr>
          <w:rFonts w:ascii="Cambria" w:eastAsia="Times New Roman" w:hAnsi="Cambria" w:cs="Times New Roman"/>
          <w:sz w:val="20"/>
          <w:szCs w:val="20"/>
          <w:lang w:eastAsia="es-ES"/>
        </w:rPr>
        <w:t xml:space="preserve">the country’s </w:t>
      </w:r>
      <w:r w:rsidR="004339C5" w:rsidRPr="008A7BD7">
        <w:rPr>
          <w:rFonts w:ascii="Cambria" w:eastAsia="Times New Roman" w:hAnsi="Cambria" w:cs="Times New Roman"/>
          <w:sz w:val="20"/>
          <w:szCs w:val="20"/>
          <w:lang w:eastAsia="es-ES"/>
        </w:rPr>
        <w:t>democratic institutions.</w:t>
      </w:r>
      <w:r w:rsidR="005A5F3E" w:rsidRPr="008A7BD7">
        <w:rPr>
          <w:rFonts w:ascii="Cambria" w:eastAsia="Times New Roman" w:hAnsi="Cambria" w:cs="Times New Roman"/>
          <w:sz w:val="20"/>
          <w:szCs w:val="20"/>
          <w:lang w:eastAsia="es-ES"/>
        </w:rPr>
        <w:t xml:space="preserve"> </w:t>
      </w:r>
      <w:r w:rsidR="004339C5" w:rsidRPr="008A7BD7">
        <w:rPr>
          <w:rFonts w:ascii="Cambria" w:eastAsia="Times New Roman" w:hAnsi="Cambria" w:cs="Times New Roman"/>
          <w:sz w:val="20"/>
          <w:szCs w:val="20"/>
          <w:lang w:eastAsia="es-ES"/>
        </w:rPr>
        <w:t>These include</w:t>
      </w:r>
      <w:r w:rsidR="00117C1A" w:rsidRPr="008A7BD7">
        <w:rPr>
          <w:rFonts w:ascii="Cambria" w:eastAsia="Times New Roman" w:hAnsi="Cambria" w:cs="Times New Roman"/>
          <w:sz w:val="20"/>
          <w:szCs w:val="20"/>
          <w:lang w:eastAsia="es-ES"/>
        </w:rPr>
        <w:t>d</w:t>
      </w:r>
      <w:r w:rsidR="004339C5" w:rsidRPr="008A7BD7">
        <w:rPr>
          <w:rFonts w:ascii="Cambria" w:eastAsia="Times New Roman" w:hAnsi="Cambria" w:cs="Times New Roman"/>
          <w:sz w:val="20"/>
          <w:szCs w:val="20"/>
          <w:lang w:eastAsia="es-ES"/>
        </w:rPr>
        <w:t>, among others</w:t>
      </w:r>
      <w:r w:rsidR="004D4A94" w:rsidRPr="008A7BD7">
        <w:rPr>
          <w:rFonts w:ascii="Cambria" w:eastAsia="Times New Roman" w:hAnsi="Cambria" w:cs="Times New Roman"/>
          <w:sz w:val="20"/>
          <w:szCs w:val="20"/>
          <w:lang w:eastAsia="es-ES"/>
        </w:rPr>
        <w:t xml:space="preserve">, </w:t>
      </w:r>
      <w:r w:rsidR="004339C5" w:rsidRPr="008A7BD7">
        <w:rPr>
          <w:rFonts w:ascii="Cambria" w:eastAsia="Times New Roman" w:hAnsi="Cambria" w:cs="Times New Roman"/>
          <w:sz w:val="20"/>
          <w:szCs w:val="20"/>
          <w:lang w:eastAsia="es-ES"/>
        </w:rPr>
        <w:t xml:space="preserve">the perception of corruption and impunity; the lack of transparency in public matters; the </w:t>
      </w:r>
      <w:r w:rsidR="00117C1A" w:rsidRPr="008A7BD7">
        <w:rPr>
          <w:rFonts w:ascii="Cambria" w:eastAsia="Times New Roman" w:hAnsi="Cambria" w:cs="Times New Roman"/>
          <w:sz w:val="20"/>
          <w:szCs w:val="20"/>
          <w:lang w:eastAsia="es-ES"/>
        </w:rPr>
        <w:t xml:space="preserve">legislature’s </w:t>
      </w:r>
      <w:r w:rsidR="00D155BA" w:rsidRPr="008A7BD7">
        <w:rPr>
          <w:rFonts w:ascii="Cambria" w:eastAsia="Times New Roman" w:hAnsi="Cambria" w:cs="Times New Roman"/>
          <w:sz w:val="20"/>
          <w:szCs w:val="20"/>
          <w:lang w:eastAsia="es-ES"/>
        </w:rPr>
        <w:t>failure</w:t>
      </w:r>
      <w:r w:rsidR="00117C1A" w:rsidRPr="008A7BD7">
        <w:rPr>
          <w:rFonts w:ascii="Cambria" w:eastAsia="Times New Roman" w:hAnsi="Cambria" w:cs="Times New Roman"/>
          <w:sz w:val="20"/>
          <w:szCs w:val="20"/>
          <w:lang w:eastAsia="es-ES"/>
        </w:rPr>
        <w:t xml:space="preserve"> </w:t>
      </w:r>
      <w:r w:rsidR="004339C5" w:rsidRPr="008A7BD7">
        <w:rPr>
          <w:rFonts w:ascii="Cambria" w:eastAsia="Times New Roman" w:hAnsi="Cambria" w:cs="Times New Roman"/>
          <w:sz w:val="20"/>
          <w:szCs w:val="20"/>
          <w:lang w:eastAsia="es-ES"/>
        </w:rPr>
        <w:t xml:space="preserve">to </w:t>
      </w:r>
      <w:r w:rsidR="005A5F3E" w:rsidRPr="008A7BD7">
        <w:rPr>
          <w:rFonts w:ascii="Cambria" w:eastAsia="Times New Roman" w:hAnsi="Cambria" w:cs="Times New Roman"/>
          <w:sz w:val="20"/>
          <w:szCs w:val="20"/>
          <w:lang w:eastAsia="es-ES"/>
        </w:rPr>
        <w:t>appoint</w:t>
      </w:r>
      <w:r w:rsidR="004339C5" w:rsidRPr="008A7BD7">
        <w:rPr>
          <w:rFonts w:ascii="Cambria" w:eastAsia="Times New Roman" w:hAnsi="Cambria" w:cs="Times New Roman"/>
          <w:sz w:val="20"/>
          <w:szCs w:val="20"/>
          <w:lang w:eastAsia="es-ES"/>
        </w:rPr>
        <w:t xml:space="preserve"> </w:t>
      </w:r>
      <w:r w:rsidR="00D155BA" w:rsidRPr="008A7BD7">
        <w:rPr>
          <w:rFonts w:ascii="Cambria" w:eastAsia="Times New Roman" w:hAnsi="Cambria" w:cs="Times New Roman"/>
          <w:sz w:val="20"/>
          <w:szCs w:val="20"/>
          <w:lang w:eastAsia="es-ES"/>
        </w:rPr>
        <w:t>judges to</w:t>
      </w:r>
      <w:r w:rsidR="004339C5" w:rsidRPr="008A7BD7">
        <w:rPr>
          <w:rFonts w:ascii="Cambria" w:eastAsia="Times New Roman" w:hAnsi="Cambria" w:cs="Times New Roman"/>
          <w:sz w:val="20"/>
          <w:szCs w:val="20"/>
          <w:lang w:eastAsia="es-ES"/>
        </w:rPr>
        <w:t xml:space="preserve"> the Supreme Court and High </w:t>
      </w:r>
      <w:r w:rsidR="005A5F3E" w:rsidRPr="008A7BD7">
        <w:rPr>
          <w:rFonts w:ascii="Cambria" w:eastAsia="Times New Roman" w:hAnsi="Cambria" w:cs="Times New Roman"/>
          <w:sz w:val="20"/>
          <w:szCs w:val="20"/>
          <w:lang w:eastAsia="es-ES"/>
        </w:rPr>
        <w:t>C</w:t>
      </w:r>
      <w:r w:rsidR="004339C5" w:rsidRPr="008A7BD7">
        <w:rPr>
          <w:rFonts w:ascii="Cambria" w:eastAsia="Times New Roman" w:hAnsi="Cambria" w:cs="Times New Roman"/>
          <w:sz w:val="20"/>
          <w:szCs w:val="20"/>
          <w:lang w:eastAsia="es-ES"/>
        </w:rPr>
        <w:t xml:space="preserve">ourts; and the need to ensure a transparent </w:t>
      </w:r>
      <w:r w:rsidR="00D155BA" w:rsidRPr="008A7BD7">
        <w:rPr>
          <w:rFonts w:ascii="Cambria" w:eastAsia="Times New Roman" w:hAnsi="Cambria" w:cs="Times New Roman"/>
          <w:sz w:val="20"/>
          <w:szCs w:val="20"/>
          <w:lang w:eastAsia="es-ES"/>
        </w:rPr>
        <w:t xml:space="preserve">process for </w:t>
      </w:r>
      <w:r w:rsidR="00F4777C" w:rsidRPr="008A7BD7">
        <w:rPr>
          <w:rFonts w:ascii="Cambria" w:eastAsia="Times New Roman" w:hAnsi="Cambria" w:cs="Times New Roman"/>
          <w:sz w:val="20"/>
          <w:szCs w:val="20"/>
          <w:lang w:eastAsia="es-ES"/>
        </w:rPr>
        <w:t>the renewal of</w:t>
      </w:r>
      <w:r w:rsidR="005A5F3E" w:rsidRPr="008A7BD7">
        <w:rPr>
          <w:rFonts w:ascii="Cambria" w:eastAsia="Times New Roman" w:hAnsi="Cambria" w:cs="Times New Roman"/>
          <w:sz w:val="20"/>
          <w:szCs w:val="20"/>
          <w:lang w:eastAsia="es-ES"/>
        </w:rPr>
        <w:t xml:space="preserve"> the Constitutional Court.</w:t>
      </w:r>
      <w:r w:rsidR="002139E1" w:rsidRPr="008A7BD7">
        <w:rPr>
          <w:rFonts w:ascii="Cambria" w:eastAsia="Times New Roman" w:hAnsi="Cambria" w:cs="Times New Roman"/>
          <w:sz w:val="20"/>
          <w:szCs w:val="20"/>
          <w:vertAlign w:val="superscript"/>
          <w:lang w:val="es-US" w:eastAsia="es-ES"/>
        </w:rPr>
        <w:footnoteReference w:id="11"/>
      </w:r>
      <w:r w:rsidR="005A5F3E" w:rsidRPr="008A7BD7">
        <w:rPr>
          <w:rFonts w:ascii="Cambria" w:eastAsia="Times New Roman" w:hAnsi="Cambria" w:cs="Times New Roman"/>
          <w:sz w:val="20"/>
          <w:szCs w:val="20"/>
          <w:lang w:eastAsia="es-ES"/>
        </w:rPr>
        <w:t xml:space="preserve"> </w:t>
      </w:r>
    </w:p>
    <w:p w14:paraId="6455AEB6" w14:textId="77777777" w:rsidR="006134E2" w:rsidRPr="008A7BD7" w:rsidRDefault="006134E2" w:rsidP="00E031AA">
      <w:pPr>
        <w:jc w:val="both"/>
        <w:rPr>
          <w:rFonts w:ascii="Cambria" w:eastAsia="Calibri" w:hAnsi="Cambria" w:cs="Times New Roman"/>
          <w:sz w:val="20"/>
          <w:szCs w:val="20"/>
          <w:lang w:eastAsia="es-ES"/>
        </w:rPr>
      </w:pPr>
    </w:p>
    <w:p w14:paraId="6E4681AF" w14:textId="2BC3706B" w:rsidR="006134E2" w:rsidRPr="008A7BD7" w:rsidRDefault="005A5F3E" w:rsidP="00BB65D3">
      <w:pPr>
        <w:numPr>
          <w:ilvl w:val="0"/>
          <w:numId w:val="2"/>
        </w:numPr>
        <w:suppressAutoHyphens/>
        <w:ind w:left="0" w:firstLine="720"/>
        <w:jc w:val="both"/>
        <w:rPr>
          <w:rFonts w:ascii="Cambria" w:eastAsia="Times New Roman" w:hAnsi="Cambria" w:cs="Arial"/>
          <w:sz w:val="20"/>
          <w:szCs w:val="20"/>
          <w:lang w:eastAsia="es-ES_tradnl"/>
        </w:rPr>
      </w:pPr>
      <w:r w:rsidRPr="008A7BD7">
        <w:rPr>
          <w:rFonts w:ascii="Cambria" w:eastAsia="Calibri" w:hAnsi="Cambria" w:cs="Times New Roman"/>
          <w:sz w:val="20"/>
          <w:szCs w:val="20"/>
          <w:lang w:eastAsia="es-ES"/>
        </w:rPr>
        <w:t xml:space="preserve">In this context, and as </w:t>
      </w:r>
      <w:r w:rsidR="004A14C2" w:rsidRPr="008A7BD7">
        <w:rPr>
          <w:rFonts w:ascii="Cambria" w:eastAsia="Calibri" w:hAnsi="Cambria" w:cs="Times New Roman"/>
          <w:sz w:val="20"/>
          <w:szCs w:val="20"/>
          <w:lang w:eastAsia="es-ES"/>
        </w:rPr>
        <w:t xml:space="preserve">analyzed in </w:t>
      </w:r>
      <w:r w:rsidR="00E757CC" w:rsidRPr="008A7BD7">
        <w:rPr>
          <w:rFonts w:ascii="Cambria" w:eastAsia="Calibri" w:hAnsi="Cambria" w:cs="Times New Roman"/>
          <w:sz w:val="20"/>
          <w:szCs w:val="20"/>
          <w:lang w:eastAsia="es-ES"/>
        </w:rPr>
        <w:t>the</w:t>
      </w:r>
      <w:r w:rsidRPr="008A7BD7">
        <w:rPr>
          <w:rFonts w:ascii="Cambria" w:eastAsia="Calibri" w:hAnsi="Cambria" w:cs="Times New Roman"/>
          <w:sz w:val="20"/>
          <w:szCs w:val="20"/>
          <w:lang w:eastAsia="es-ES"/>
        </w:rPr>
        <w:t xml:space="preserve"> report </w:t>
      </w:r>
      <w:r w:rsidR="00E757CC" w:rsidRPr="008A7BD7">
        <w:rPr>
          <w:rFonts w:ascii="Cambria" w:eastAsia="Calibri" w:hAnsi="Cambria" w:cs="Times New Roman"/>
          <w:sz w:val="20"/>
          <w:szCs w:val="20"/>
          <w:lang w:eastAsia="es-ES"/>
        </w:rPr>
        <w:t>at hand</w:t>
      </w:r>
      <w:r w:rsidRPr="008A7BD7">
        <w:rPr>
          <w:rFonts w:ascii="Cambria" w:eastAsia="Calibri" w:hAnsi="Cambria" w:cs="Times New Roman"/>
          <w:sz w:val="20"/>
          <w:szCs w:val="20"/>
          <w:lang w:eastAsia="es-ES"/>
        </w:rPr>
        <w:t xml:space="preserve">, the IACHR cautions that interference </w:t>
      </w:r>
      <w:r w:rsidR="00E757CC" w:rsidRPr="008A7BD7">
        <w:rPr>
          <w:rFonts w:ascii="Cambria" w:eastAsia="Calibri" w:hAnsi="Cambria" w:cs="Times New Roman"/>
          <w:sz w:val="20"/>
          <w:szCs w:val="20"/>
          <w:lang w:eastAsia="es-ES"/>
        </w:rPr>
        <w:t>with</w:t>
      </w:r>
      <w:r w:rsidRPr="008A7BD7">
        <w:rPr>
          <w:rFonts w:ascii="Cambria" w:eastAsia="Calibri" w:hAnsi="Cambria" w:cs="Times New Roman"/>
          <w:sz w:val="20"/>
          <w:szCs w:val="20"/>
          <w:lang w:eastAsia="es-ES"/>
        </w:rPr>
        <w:t xml:space="preserve"> the independence of the judiciary </w:t>
      </w:r>
      <w:r w:rsidR="00E757CC" w:rsidRPr="008A7BD7">
        <w:rPr>
          <w:rFonts w:ascii="Cambria" w:eastAsia="Calibri" w:hAnsi="Cambria" w:cs="Times New Roman"/>
          <w:sz w:val="20"/>
          <w:szCs w:val="20"/>
          <w:lang w:eastAsia="es-ES"/>
        </w:rPr>
        <w:t>affects the principle of separation of powers recognized in the Guatemalan Constitution and</w:t>
      </w:r>
      <w:r w:rsidR="00A34E87" w:rsidRPr="008A7BD7">
        <w:rPr>
          <w:rFonts w:ascii="Cambria" w:eastAsia="Calibri" w:hAnsi="Cambria" w:cs="Times New Roman"/>
          <w:sz w:val="20"/>
          <w:szCs w:val="20"/>
          <w:lang w:eastAsia="es-ES"/>
        </w:rPr>
        <w:t xml:space="preserve"> thus </w:t>
      </w:r>
      <w:r w:rsidR="00E757CC" w:rsidRPr="008A7BD7">
        <w:rPr>
          <w:rFonts w:ascii="Cambria" w:eastAsia="Calibri" w:hAnsi="Cambria" w:cs="Times New Roman"/>
          <w:sz w:val="20"/>
          <w:szCs w:val="20"/>
          <w:lang w:eastAsia="es-ES"/>
        </w:rPr>
        <w:t>the rule of law itself. Moreover, such acts of interference occur in a context in which human rights institutions in the country are being progressively weakened</w:t>
      </w:r>
      <w:r w:rsidR="00957D45" w:rsidRPr="008A7BD7">
        <w:rPr>
          <w:rFonts w:ascii="Cambria" w:eastAsia="Times New Roman" w:hAnsi="Cambria" w:cs="Arial"/>
          <w:sz w:val="20"/>
          <w:szCs w:val="20"/>
          <w:lang w:eastAsia="es-ES"/>
        </w:rPr>
        <w:t>.</w:t>
      </w:r>
      <w:r w:rsidR="00A85B42" w:rsidRPr="008A7BD7">
        <w:rPr>
          <w:rFonts w:ascii="Cambria" w:eastAsia="Times New Roman" w:hAnsi="Cambria" w:cs="Arial"/>
          <w:sz w:val="20"/>
          <w:szCs w:val="20"/>
          <w:lang w:eastAsia="es-ES"/>
        </w:rPr>
        <w:t xml:space="preserve"> </w:t>
      </w:r>
      <w:r w:rsidR="00E757CC" w:rsidRPr="008A7BD7">
        <w:rPr>
          <w:rFonts w:ascii="Cambria" w:eastAsia="Times New Roman" w:hAnsi="Cambria" w:cs="Arial"/>
          <w:sz w:val="20"/>
          <w:szCs w:val="20"/>
          <w:lang w:eastAsia="es-ES"/>
        </w:rPr>
        <w:t>The IACHR is particularly concerned about information it received regarding</w:t>
      </w:r>
      <w:r w:rsidR="00A85B42" w:rsidRPr="008A7BD7">
        <w:rPr>
          <w:rFonts w:ascii="Cambria" w:eastAsia="Times New Roman" w:hAnsi="Cambria" w:cs="Arial"/>
          <w:sz w:val="20"/>
          <w:szCs w:val="20"/>
          <w:lang w:eastAsia="es-ES"/>
        </w:rPr>
        <w:t xml:space="preserve"> persistent actions to </w:t>
      </w:r>
      <w:r w:rsidR="005A7394" w:rsidRPr="008A7BD7">
        <w:rPr>
          <w:rFonts w:ascii="Cambria" w:eastAsia="Times New Roman" w:hAnsi="Cambria" w:cs="Arial"/>
          <w:sz w:val="20"/>
          <w:szCs w:val="20"/>
          <w:lang w:eastAsia="es-ES"/>
        </w:rPr>
        <w:t>obstruct</w:t>
      </w:r>
      <w:r w:rsidR="00A85B42" w:rsidRPr="008A7BD7">
        <w:rPr>
          <w:rFonts w:ascii="Cambria" w:eastAsia="Times New Roman" w:hAnsi="Cambria" w:cs="Arial"/>
          <w:sz w:val="20"/>
          <w:szCs w:val="20"/>
          <w:lang w:eastAsia="es-ES"/>
        </w:rPr>
        <w:t xml:space="preserve"> the work of the Office of the Human Rights Ombudsman</w:t>
      </w:r>
      <w:r w:rsidR="004620E3" w:rsidRPr="008A7BD7">
        <w:rPr>
          <w:rFonts w:ascii="Cambria" w:eastAsia="Times New Roman" w:hAnsi="Cambria" w:cs="Arial"/>
          <w:sz w:val="20"/>
          <w:szCs w:val="20"/>
          <w:lang w:eastAsia="es-ES"/>
        </w:rPr>
        <w:t xml:space="preserve"> (</w:t>
      </w:r>
      <w:proofErr w:type="spellStart"/>
      <w:r w:rsidR="005A7394" w:rsidRPr="008A7BD7">
        <w:rPr>
          <w:rFonts w:ascii="Cambria" w:eastAsia="Times New Roman" w:hAnsi="Cambria" w:cs="Arial"/>
          <w:sz w:val="20"/>
          <w:szCs w:val="20"/>
          <w:lang w:eastAsia="es-ES"/>
        </w:rPr>
        <w:t>Procuraduría</w:t>
      </w:r>
      <w:proofErr w:type="spellEnd"/>
      <w:r w:rsidR="005A7394" w:rsidRPr="008A7BD7">
        <w:rPr>
          <w:rFonts w:ascii="Cambria" w:eastAsia="Times New Roman" w:hAnsi="Cambria" w:cs="Arial"/>
          <w:sz w:val="20"/>
          <w:szCs w:val="20"/>
          <w:lang w:eastAsia="es-ES"/>
        </w:rPr>
        <w:t xml:space="preserve"> de Derechos Humanos, </w:t>
      </w:r>
      <w:r w:rsidR="004620E3" w:rsidRPr="008A7BD7">
        <w:rPr>
          <w:rFonts w:ascii="Cambria" w:eastAsia="Times New Roman" w:hAnsi="Cambria" w:cs="Arial"/>
          <w:sz w:val="20"/>
          <w:szCs w:val="20"/>
          <w:lang w:eastAsia="es-ES"/>
        </w:rPr>
        <w:t>PDH)</w:t>
      </w:r>
      <w:r w:rsidR="00957D45" w:rsidRPr="008A7BD7">
        <w:rPr>
          <w:rFonts w:ascii="Cambria" w:eastAsia="Times New Roman" w:hAnsi="Cambria" w:cs="Arial"/>
          <w:sz w:val="20"/>
          <w:szCs w:val="20"/>
          <w:lang w:eastAsia="es-ES"/>
        </w:rPr>
        <w:t xml:space="preserve">, </w:t>
      </w:r>
      <w:r w:rsidR="00A85B42" w:rsidRPr="008A7BD7">
        <w:rPr>
          <w:rFonts w:ascii="Cambria" w:eastAsia="Times New Roman" w:hAnsi="Cambria" w:cs="Arial"/>
          <w:sz w:val="20"/>
          <w:szCs w:val="20"/>
          <w:lang w:eastAsia="es-ES"/>
        </w:rPr>
        <w:t xml:space="preserve">as well as the ongoing threats and stigmatization of </w:t>
      </w:r>
      <w:r w:rsidR="000F4F08" w:rsidRPr="008A7BD7">
        <w:rPr>
          <w:rFonts w:ascii="Cambria" w:eastAsia="Times New Roman" w:hAnsi="Cambria" w:cs="Arial"/>
          <w:sz w:val="20"/>
          <w:szCs w:val="20"/>
          <w:lang w:eastAsia="es-ES"/>
        </w:rPr>
        <w:t>Ombudsman</w:t>
      </w:r>
      <w:r w:rsidR="00A85B42" w:rsidRPr="008A7BD7">
        <w:rPr>
          <w:rFonts w:ascii="Cambria" w:eastAsia="Times New Roman" w:hAnsi="Cambria" w:cs="Arial"/>
          <w:sz w:val="20"/>
          <w:szCs w:val="20"/>
          <w:lang w:eastAsia="es-ES"/>
        </w:rPr>
        <w:t xml:space="preserve"> </w:t>
      </w:r>
      <w:proofErr w:type="spellStart"/>
      <w:r w:rsidR="00957D45" w:rsidRPr="008A7BD7">
        <w:rPr>
          <w:rFonts w:ascii="Cambria" w:eastAsia="Times New Roman" w:hAnsi="Cambria" w:cs="Arial"/>
          <w:sz w:val="20"/>
          <w:szCs w:val="20"/>
          <w:lang w:eastAsia="es-ES"/>
        </w:rPr>
        <w:t>Jordán</w:t>
      </w:r>
      <w:proofErr w:type="spellEnd"/>
      <w:r w:rsidR="00957D45" w:rsidRPr="008A7BD7">
        <w:rPr>
          <w:rFonts w:ascii="Cambria" w:eastAsia="Times New Roman" w:hAnsi="Cambria" w:cs="Arial"/>
          <w:sz w:val="20"/>
          <w:szCs w:val="20"/>
          <w:lang w:eastAsia="es-ES"/>
        </w:rPr>
        <w:t xml:space="preserve"> </w:t>
      </w:r>
      <w:proofErr w:type="spellStart"/>
      <w:r w:rsidR="00957D45" w:rsidRPr="008A7BD7">
        <w:rPr>
          <w:rFonts w:ascii="Cambria" w:eastAsia="Times New Roman" w:hAnsi="Cambria" w:cs="Arial"/>
          <w:sz w:val="20"/>
          <w:szCs w:val="20"/>
          <w:lang w:eastAsia="es-ES"/>
        </w:rPr>
        <w:t>Rodas</w:t>
      </w:r>
      <w:proofErr w:type="spellEnd"/>
      <w:r w:rsidR="004620E3" w:rsidRPr="008A7BD7">
        <w:rPr>
          <w:rFonts w:ascii="Cambria" w:eastAsia="Times New Roman" w:hAnsi="Cambria" w:cs="Arial"/>
          <w:sz w:val="20"/>
          <w:szCs w:val="20"/>
          <w:lang w:eastAsia="es-ES"/>
        </w:rPr>
        <w:t xml:space="preserve">, </w:t>
      </w:r>
      <w:r w:rsidR="00A85B42" w:rsidRPr="008A7BD7">
        <w:rPr>
          <w:rFonts w:ascii="Cambria" w:eastAsia="Times New Roman" w:hAnsi="Cambria" w:cs="Arial"/>
          <w:sz w:val="20"/>
          <w:szCs w:val="20"/>
          <w:lang w:eastAsia="es-ES"/>
        </w:rPr>
        <w:t xml:space="preserve">who has stood out for defending anti-corruption institutions, independent justice operators, and in general, the human rights of the Guatemalan people. </w:t>
      </w:r>
    </w:p>
    <w:p w14:paraId="21EA046C" w14:textId="77777777" w:rsidR="006134E2" w:rsidRPr="008A7BD7" w:rsidRDefault="006134E2" w:rsidP="00E031AA">
      <w:pPr>
        <w:pStyle w:val="ListParagraph"/>
        <w:jc w:val="both"/>
        <w:rPr>
          <w:rFonts w:ascii="Cambria" w:eastAsia="Calibri" w:hAnsi="Cambria"/>
          <w:sz w:val="20"/>
          <w:szCs w:val="20"/>
          <w:lang w:eastAsia="es-ES"/>
        </w:rPr>
      </w:pPr>
    </w:p>
    <w:p w14:paraId="2BE548A6" w14:textId="68E5F8DE" w:rsidR="006134E2" w:rsidRPr="008A7BD7" w:rsidRDefault="00A17AF3" w:rsidP="00BB65D3">
      <w:pPr>
        <w:numPr>
          <w:ilvl w:val="0"/>
          <w:numId w:val="2"/>
        </w:numPr>
        <w:suppressAutoHyphens/>
        <w:ind w:left="0" w:firstLine="720"/>
        <w:jc w:val="both"/>
        <w:rPr>
          <w:rFonts w:ascii="Cambria" w:eastAsia="Times New Roman" w:hAnsi="Cambria" w:cs="Arial"/>
          <w:sz w:val="20"/>
          <w:szCs w:val="20"/>
          <w:lang w:eastAsia="es-ES_tradnl"/>
        </w:rPr>
      </w:pPr>
      <w:r w:rsidRPr="008A7BD7">
        <w:rPr>
          <w:rFonts w:ascii="Cambria" w:eastAsia="Calibri" w:hAnsi="Cambria"/>
          <w:sz w:val="20"/>
          <w:szCs w:val="20"/>
          <w:lang w:eastAsia="es-ES"/>
        </w:rPr>
        <w:t xml:space="preserve">Having evaluated the human rights situation in Guatemala, the IACHR decided to </w:t>
      </w:r>
      <w:r w:rsidR="0079171A" w:rsidRPr="008A7BD7">
        <w:rPr>
          <w:rFonts w:ascii="Cambria" w:eastAsia="Calibri" w:hAnsi="Cambria"/>
          <w:sz w:val="20"/>
          <w:szCs w:val="20"/>
          <w:lang w:eastAsia="es-ES"/>
        </w:rPr>
        <w:t>include</w:t>
      </w:r>
      <w:r w:rsidRPr="008A7BD7">
        <w:rPr>
          <w:rFonts w:ascii="Cambria" w:eastAsia="Calibri" w:hAnsi="Cambria"/>
          <w:sz w:val="20"/>
          <w:szCs w:val="20"/>
          <w:lang w:eastAsia="es-ES"/>
        </w:rPr>
        <w:t xml:space="preserve"> the Guatemalan State </w:t>
      </w:r>
      <w:r w:rsidR="0079171A" w:rsidRPr="008A7BD7">
        <w:rPr>
          <w:rFonts w:ascii="Cambria" w:eastAsia="Calibri" w:hAnsi="Cambria"/>
          <w:sz w:val="20"/>
          <w:szCs w:val="20"/>
          <w:lang w:eastAsia="es-ES"/>
        </w:rPr>
        <w:t>in this chapter</w:t>
      </w:r>
      <w:r w:rsidRPr="008A7BD7">
        <w:rPr>
          <w:rFonts w:ascii="Cambria" w:eastAsia="Calibri" w:hAnsi="Cambria"/>
          <w:sz w:val="20"/>
          <w:szCs w:val="20"/>
          <w:lang w:eastAsia="es-ES"/>
        </w:rPr>
        <w:t xml:space="preserve"> because it</w:t>
      </w:r>
      <w:r w:rsidR="00501315" w:rsidRPr="008A7BD7">
        <w:rPr>
          <w:rFonts w:ascii="Cambria" w:eastAsia="Calibri" w:hAnsi="Cambria"/>
          <w:sz w:val="20"/>
          <w:szCs w:val="20"/>
          <w:lang w:eastAsia="es-ES"/>
        </w:rPr>
        <w:t xml:space="preserve"> </w:t>
      </w:r>
      <w:r w:rsidR="0079171A" w:rsidRPr="008A7BD7">
        <w:rPr>
          <w:rFonts w:ascii="Cambria" w:eastAsia="Calibri" w:hAnsi="Cambria"/>
          <w:sz w:val="20"/>
          <w:szCs w:val="20"/>
          <w:lang w:eastAsia="es-ES"/>
        </w:rPr>
        <w:t xml:space="preserve">believes </w:t>
      </w:r>
      <w:r w:rsidR="00501315" w:rsidRPr="008A7BD7">
        <w:rPr>
          <w:rFonts w:ascii="Cambria" w:eastAsia="Calibri" w:hAnsi="Cambria"/>
          <w:sz w:val="20"/>
          <w:szCs w:val="20"/>
          <w:lang w:eastAsia="es-ES"/>
        </w:rPr>
        <w:t>that</w:t>
      </w:r>
      <w:r w:rsidR="006134E2" w:rsidRPr="008A7BD7">
        <w:rPr>
          <w:rFonts w:ascii="Cambria" w:eastAsia="Calibri" w:hAnsi="Cambria"/>
          <w:sz w:val="20"/>
          <w:szCs w:val="20"/>
          <w:lang w:eastAsia="es-ES"/>
        </w:rPr>
        <w:t xml:space="preserve"> </w:t>
      </w:r>
      <w:r w:rsidR="00501315" w:rsidRPr="008A7BD7">
        <w:rPr>
          <w:rFonts w:ascii="Cambria" w:eastAsia="Calibri" w:hAnsi="Cambria"/>
          <w:sz w:val="20"/>
          <w:szCs w:val="20"/>
          <w:lang w:eastAsia="es-ES"/>
        </w:rPr>
        <w:t>th</w:t>
      </w:r>
      <w:r w:rsidR="0079171A" w:rsidRPr="008A7BD7">
        <w:rPr>
          <w:rFonts w:ascii="Cambria" w:eastAsia="Calibri" w:hAnsi="Cambria"/>
          <w:sz w:val="20"/>
          <w:szCs w:val="20"/>
          <w:lang w:eastAsia="es-ES"/>
        </w:rPr>
        <w:t>e situation</w:t>
      </w:r>
      <w:r w:rsidR="00501315" w:rsidRPr="008A7BD7">
        <w:rPr>
          <w:rFonts w:ascii="Cambria" w:eastAsia="Calibri" w:hAnsi="Cambria"/>
          <w:sz w:val="20"/>
          <w:szCs w:val="20"/>
          <w:lang w:eastAsia="es-ES"/>
        </w:rPr>
        <w:t xml:space="preserve"> falls under Article </w:t>
      </w:r>
      <w:r w:rsidR="006134E2" w:rsidRPr="008A7BD7">
        <w:rPr>
          <w:rFonts w:ascii="Cambria" w:hAnsi="Cambria"/>
          <w:color w:val="000000" w:themeColor="text1"/>
          <w:sz w:val="20"/>
          <w:szCs w:val="20"/>
        </w:rPr>
        <w:t xml:space="preserve">59, </w:t>
      </w:r>
      <w:r w:rsidR="00501315" w:rsidRPr="008A7BD7">
        <w:rPr>
          <w:rFonts w:ascii="Cambria" w:hAnsi="Cambria"/>
          <w:color w:val="000000" w:themeColor="text1"/>
          <w:sz w:val="20"/>
          <w:szCs w:val="20"/>
        </w:rPr>
        <w:t xml:space="preserve">paragraph </w:t>
      </w:r>
      <w:r w:rsidR="006134E2" w:rsidRPr="008A7BD7">
        <w:rPr>
          <w:rFonts w:ascii="Cambria" w:hAnsi="Cambria"/>
          <w:color w:val="000000" w:themeColor="text1"/>
          <w:sz w:val="20"/>
          <w:szCs w:val="20"/>
        </w:rPr>
        <w:t>6</w:t>
      </w:r>
      <w:r w:rsidR="00501315" w:rsidRPr="008A7BD7">
        <w:rPr>
          <w:rFonts w:ascii="Cambria" w:hAnsi="Cambria"/>
          <w:color w:val="000000" w:themeColor="text1"/>
          <w:sz w:val="20"/>
          <w:szCs w:val="20"/>
        </w:rPr>
        <w:t>(</w:t>
      </w:r>
      <w:r w:rsidR="00057B16" w:rsidRPr="008A7BD7">
        <w:rPr>
          <w:rFonts w:ascii="Cambria" w:hAnsi="Cambria"/>
          <w:color w:val="000000" w:themeColor="text1"/>
          <w:sz w:val="20"/>
          <w:szCs w:val="20"/>
        </w:rPr>
        <w:t>d</w:t>
      </w:r>
      <w:r w:rsidR="006134E2" w:rsidRPr="008A7BD7">
        <w:rPr>
          <w:rFonts w:ascii="Cambria" w:hAnsi="Cambria"/>
          <w:color w:val="000000" w:themeColor="text1"/>
          <w:sz w:val="20"/>
          <w:szCs w:val="20"/>
        </w:rPr>
        <w:t xml:space="preserve">) </w:t>
      </w:r>
      <w:r w:rsidR="00501315" w:rsidRPr="008A7BD7">
        <w:rPr>
          <w:rFonts w:ascii="Cambria" w:hAnsi="Cambria"/>
          <w:color w:val="000000" w:themeColor="text1"/>
          <w:sz w:val="20"/>
          <w:szCs w:val="20"/>
        </w:rPr>
        <w:t xml:space="preserve">of the IACHR Rules of Procedure, which establishes </w:t>
      </w:r>
      <w:r w:rsidR="0079171A" w:rsidRPr="008A7BD7">
        <w:rPr>
          <w:rFonts w:ascii="Cambria" w:hAnsi="Cambria"/>
          <w:color w:val="000000" w:themeColor="text1"/>
          <w:sz w:val="20"/>
          <w:szCs w:val="20"/>
        </w:rPr>
        <w:t>the following</w:t>
      </w:r>
      <w:r w:rsidR="009A639E" w:rsidRPr="008A7BD7">
        <w:rPr>
          <w:rFonts w:ascii="Cambria" w:hAnsi="Cambria"/>
          <w:color w:val="000000" w:themeColor="text1"/>
          <w:sz w:val="20"/>
          <w:szCs w:val="20"/>
        </w:rPr>
        <w:t xml:space="preserve"> as one of </w:t>
      </w:r>
      <w:r w:rsidR="00501315" w:rsidRPr="008A7BD7">
        <w:rPr>
          <w:rFonts w:ascii="Cambria" w:hAnsi="Cambria"/>
          <w:color w:val="000000" w:themeColor="text1"/>
          <w:sz w:val="20"/>
          <w:szCs w:val="20"/>
        </w:rPr>
        <w:t>the criteria for including a Member State in this chapter</w:t>
      </w:r>
      <w:r w:rsidR="006134E2" w:rsidRPr="008A7BD7">
        <w:rPr>
          <w:rFonts w:ascii="Cambria" w:hAnsi="Cambria"/>
          <w:color w:val="000000" w:themeColor="text1"/>
          <w:sz w:val="20"/>
          <w:szCs w:val="20"/>
        </w:rPr>
        <w:t>:</w:t>
      </w:r>
    </w:p>
    <w:p w14:paraId="1620C2E7" w14:textId="77777777" w:rsidR="006134E2" w:rsidRPr="008A7BD7" w:rsidRDefault="006134E2" w:rsidP="00E031AA">
      <w:pPr>
        <w:pStyle w:val="ListParagraph"/>
        <w:jc w:val="both"/>
        <w:rPr>
          <w:rFonts w:ascii="Cambria" w:eastAsia="Cambria" w:hAnsi="Cambria" w:cs="Cambria"/>
          <w:color w:val="000000" w:themeColor="text1"/>
          <w:sz w:val="20"/>
          <w:szCs w:val="20"/>
        </w:rPr>
      </w:pPr>
    </w:p>
    <w:p w14:paraId="39A59EA4" w14:textId="4B1F5C19" w:rsidR="00057B16" w:rsidRPr="008A7BD7" w:rsidRDefault="00C95B8E" w:rsidP="00CA667F">
      <w:pPr>
        <w:shd w:val="clear" w:color="auto" w:fill="FFFFFF"/>
        <w:ind w:left="720"/>
        <w:jc w:val="both"/>
        <w:rPr>
          <w:rFonts w:ascii="Cambria" w:eastAsia="Times New Roman" w:hAnsi="Cambria" w:cs="Tahoma"/>
          <w:color w:val="000000" w:themeColor="text1"/>
          <w:sz w:val="20"/>
          <w:szCs w:val="20"/>
        </w:rPr>
      </w:pPr>
      <w:r w:rsidRPr="008A7BD7">
        <w:rPr>
          <w:rFonts w:ascii="Cambria" w:eastAsia="Times New Roman" w:hAnsi="Cambria" w:cs="Tahoma"/>
          <w:color w:val="000000" w:themeColor="text1"/>
          <w:sz w:val="20"/>
          <w:szCs w:val="20"/>
        </w:rPr>
        <w:t xml:space="preserve">d. </w:t>
      </w:r>
      <w:r w:rsidR="004A188F" w:rsidRPr="008A7BD7">
        <w:rPr>
          <w:rFonts w:ascii="Cambria" w:eastAsia="Times New Roman" w:hAnsi="Cambria" w:cs="Tahoma"/>
          <w:color w:val="000000" w:themeColor="text1"/>
          <w:sz w:val="20"/>
          <w:szCs w:val="20"/>
        </w:rPr>
        <w:t>The presence of other structural situations that seriously</w:t>
      </w:r>
      <w:r w:rsidR="00057B16" w:rsidRPr="008A7BD7">
        <w:rPr>
          <w:rFonts w:ascii="Cambria" w:eastAsia="Times New Roman" w:hAnsi="Cambria" w:cs="Tahoma"/>
          <w:color w:val="000000" w:themeColor="text1"/>
          <w:sz w:val="20"/>
          <w:szCs w:val="20"/>
        </w:rPr>
        <w:t xml:space="preserve"> </w:t>
      </w:r>
      <w:r w:rsidR="004A188F" w:rsidRPr="008A7BD7">
        <w:rPr>
          <w:rFonts w:ascii="Cambria" w:eastAsia="Times New Roman" w:hAnsi="Cambria" w:cs="Tahoma"/>
          <w:color w:val="000000" w:themeColor="text1"/>
          <w:sz w:val="20"/>
          <w:szCs w:val="20"/>
        </w:rPr>
        <w:t xml:space="preserve">affect the use and enjoyment of fundamental rights recognized in the American Declaration, the American </w:t>
      </w:r>
      <w:proofErr w:type="gramStart"/>
      <w:r w:rsidR="004A188F" w:rsidRPr="008A7BD7">
        <w:rPr>
          <w:rFonts w:ascii="Cambria" w:eastAsia="Times New Roman" w:hAnsi="Cambria" w:cs="Tahoma"/>
          <w:color w:val="000000" w:themeColor="text1"/>
          <w:sz w:val="20"/>
          <w:szCs w:val="20"/>
        </w:rPr>
        <w:t>Convention</w:t>
      </w:r>
      <w:proofErr w:type="gramEnd"/>
      <w:r w:rsidR="004A188F" w:rsidRPr="008A7BD7">
        <w:rPr>
          <w:rFonts w:ascii="Cambria" w:eastAsia="Times New Roman" w:hAnsi="Cambria" w:cs="Tahoma"/>
          <w:color w:val="000000" w:themeColor="text1"/>
          <w:sz w:val="20"/>
          <w:szCs w:val="20"/>
        </w:rPr>
        <w:t xml:space="preserve"> or other applicable instruments. Factors to be considered shall include the following</w:t>
      </w:r>
      <w:r w:rsidR="009A639E" w:rsidRPr="008A7BD7">
        <w:rPr>
          <w:rFonts w:ascii="Cambria" w:eastAsia="Times New Roman" w:hAnsi="Cambria" w:cs="Tahoma"/>
          <w:color w:val="000000" w:themeColor="text1"/>
          <w:sz w:val="20"/>
          <w:szCs w:val="20"/>
        </w:rPr>
        <w:t>,</w:t>
      </w:r>
      <w:r w:rsidR="004A188F" w:rsidRPr="008A7BD7">
        <w:rPr>
          <w:rFonts w:ascii="Cambria" w:eastAsia="Times New Roman" w:hAnsi="Cambria" w:cs="Tahoma"/>
          <w:color w:val="000000" w:themeColor="text1"/>
          <w:sz w:val="20"/>
          <w:szCs w:val="20"/>
        </w:rPr>
        <w:t xml:space="preserve"> among others</w:t>
      </w:r>
      <w:r w:rsidR="00057B16" w:rsidRPr="008A7BD7">
        <w:rPr>
          <w:rFonts w:ascii="Cambria" w:eastAsia="Times New Roman" w:hAnsi="Cambria" w:cs="Tahoma"/>
          <w:color w:val="000000" w:themeColor="text1"/>
          <w:sz w:val="20"/>
          <w:szCs w:val="20"/>
        </w:rPr>
        <w:t>:</w:t>
      </w:r>
    </w:p>
    <w:p w14:paraId="21C3C5A2" w14:textId="77777777" w:rsidR="00057B16" w:rsidRPr="008A7BD7" w:rsidRDefault="00057B16" w:rsidP="0058654B">
      <w:pPr>
        <w:shd w:val="clear" w:color="auto" w:fill="FFFFFF"/>
        <w:ind w:left="720"/>
        <w:rPr>
          <w:rFonts w:ascii="Cambria" w:eastAsia="Times New Roman" w:hAnsi="Cambria" w:cs="Tahoma"/>
          <w:color w:val="000000" w:themeColor="text1"/>
          <w:sz w:val="20"/>
          <w:szCs w:val="20"/>
        </w:rPr>
      </w:pPr>
      <w:r w:rsidRPr="008A7BD7">
        <w:rPr>
          <w:rFonts w:ascii="Cambria" w:eastAsia="Times New Roman" w:hAnsi="Cambria" w:cs="Tahoma"/>
          <w:color w:val="000000" w:themeColor="text1"/>
          <w:sz w:val="20"/>
          <w:szCs w:val="20"/>
        </w:rPr>
        <w:t> </w:t>
      </w:r>
    </w:p>
    <w:p w14:paraId="6E819956" w14:textId="5A6B8BA2" w:rsidR="00057B16" w:rsidRPr="008A7BD7" w:rsidRDefault="00057B16" w:rsidP="0058654B">
      <w:pPr>
        <w:shd w:val="clear" w:color="auto" w:fill="FFFFFF"/>
        <w:ind w:left="720"/>
        <w:rPr>
          <w:rFonts w:ascii="Cambria" w:eastAsia="Times New Roman" w:hAnsi="Cambria" w:cs="Tahoma"/>
          <w:color w:val="000000" w:themeColor="text1"/>
          <w:sz w:val="20"/>
          <w:szCs w:val="20"/>
        </w:rPr>
      </w:pPr>
      <w:r w:rsidRPr="008A7BD7">
        <w:rPr>
          <w:rFonts w:ascii="Cambria" w:eastAsia="Times New Roman" w:hAnsi="Cambria" w:cs="Tahoma"/>
          <w:color w:val="000000" w:themeColor="text1"/>
          <w:sz w:val="20"/>
          <w:szCs w:val="20"/>
        </w:rPr>
        <w:t>[…]</w:t>
      </w:r>
    </w:p>
    <w:p w14:paraId="7CE46F00" w14:textId="77777777" w:rsidR="00057B16" w:rsidRPr="008A7BD7" w:rsidRDefault="00057B16" w:rsidP="0058654B">
      <w:pPr>
        <w:shd w:val="clear" w:color="auto" w:fill="FFFFFF"/>
        <w:ind w:left="720"/>
        <w:rPr>
          <w:rFonts w:ascii="Cambria" w:eastAsia="Times New Roman" w:hAnsi="Cambria" w:cs="Tahoma"/>
          <w:color w:val="000000" w:themeColor="text1"/>
          <w:sz w:val="20"/>
          <w:szCs w:val="20"/>
        </w:rPr>
      </w:pPr>
      <w:r w:rsidRPr="008A7BD7">
        <w:rPr>
          <w:rFonts w:ascii="Cambria" w:eastAsia="Times New Roman" w:hAnsi="Cambria" w:cs="Tahoma"/>
          <w:color w:val="000000" w:themeColor="text1"/>
          <w:sz w:val="20"/>
          <w:szCs w:val="20"/>
        </w:rPr>
        <w:t> </w:t>
      </w:r>
    </w:p>
    <w:p w14:paraId="62834F74" w14:textId="6BE8555A" w:rsidR="00057B16" w:rsidRPr="008A7BD7" w:rsidRDefault="00057B16" w:rsidP="0058654B">
      <w:pPr>
        <w:shd w:val="clear" w:color="auto" w:fill="FFFFFF"/>
        <w:ind w:left="720"/>
        <w:rPr>
          <w:rFonts w:ascii="Cambria" w:eastAsia="Times New Roman" w:hAnsi="Cambria" w:cs="Tahoma"/>
          <w:color w:val="000000" w:themeColor="text1"/>
          <w:sz w:val="20"/>
          <w:szCs w:val="20"/>
        </w:rPr>
      </w:pPr>
      <w:r w:rsidRPr="008A7BD7">
        <w:rPr>
          <w:rFonts w:ascii="Cambria" w:eastAsia="Times New Roman" w:hAnsi="Cambria" w:cs="Tahoma"/>
          <w:color w:val="000000" w:themeColor="text1"/>
          <w:sz w:val="20"/>
          <w:szCs w:val="20"/>
        </w:rPr>
        <w:t xml:space="preserve">ii. </w:t>
      </w:r>
      <w:r w:rsidR="004A188F" w:rsidRPr="008A7BD7">
        <w:rPr>
          <w:rFonts w:ascii="Cambria" w:eastAsia="Times New Roman" w:hAnsi="Cambria" w:cs="Tahoma"/>
          <w:color w:val="000000" w:themeColor="text1"/>
          <w:sz w:val="20"/>
          <w:szCs w:val="20"/>
        </w:rPr>
        <w:t xml:space="preserve">systematic noncompliance of the State with its obligation to combat impunity, attributable to a manifest lack of </w:t>
      </w:r>
      <w:proofErr w:type="gramStart"/>
      <w:r w:rsidR="004A188F" w:rsidRPr="008A7BD7">
        <w:rPr>
          <w:rFonts w:ascii="Cambria" w:eastAsia="Times New Roman" w:hAnsi="Cambria" w:cs="Tahoma"/>
          <w:color w:val="000000" w:themeColor="text1"/>
          <w:sz w:val="20"/>
          <w:szCs w:val="20"/>
        </w:rPr>
        <w:t>will</w:t>
      </w:r>
      <w:r w:rsidR="009A639E" w:rsidRPr="008A7BD7">
        <w:rPr>
          <w:rFonts w:ascii="Cambria" w:eastAsia="Times New Roman" w:hAnsi="Cambria" w:cs="Tahoma"/>
          <w:color w:val="000000" w:themeColor="text1"/>
          <w:sz w:val="20"/>
          <w:szCs w:val="20"/>
        </w:rPr>
        <w:t>;</w:t>
      </w:r>
      <w:proofErr w:type="gramEnd"/>
    </w:p>
    <w:p w14:paraId="1819256F" w14:textId="17BDDA95" w:rsidR="00057B16" w:rsidRPr="008A7BD7" w:rsidRDefault="00057B16" w:rsidP="00057B16">
      <w:pPr>
        <w:shd w:val="clear" w:color="auto" w:fill="FFFFFF"/>
        <w:rPr>
          <w:rFonts w:ascii="Cambria" w:eastAsia="Times New Roman" w:hAnsi="Cambria" w:cs="Tahoma"/>
          <w:color w:val="333333"/>
          <w:sz w:val="20"/>
          <w:szCs w:val="20"/>
        </w:rPr>
      </w:pPr>
    </w:p>
    <w:p w14:paraId="1C6BE64E" w14:textId="6D61948C" w:rsidR="006134E2" w:rsidRPr="008A7BD7" w:rsidRDefault="0058654B" w:rsidP="0058654B">
      <w:pPr>
        <w:suppressAutoHyphens/>
        <w:jc w:val="both"/>
        <w:rPr>
          <w:rFonts w:ascii="Cambria" w:eastAsia="Times New Roman" w:hAnsi="Cambria" w:cs="Times New Roman"/>
          <w:color w:val="000000" w:themeColor="text1"/>
          <w:sz w:val="20"/>
          <w:szCs w:val="20"/>
          <w:lang w:val="es-US" w:eastAsia="es-ES_tradnl"/>
        </w:rPr>
      </w:pPr>
      <w:r w:rsidRPr="008A7BD7">
        <w:rPr>
          <w:rFonts w:ascii="Cambria" w:eastAsia="Cambria" w:hAnsi="Cambria" w:cs="Cambria"/>
          <w:color w:val="000000" w:themeColor="text1"/>
          <w:sz w:val="20"/>
          <w:szCs w:val="20"/>
        </w:rPr>
        <w:tab/>
      </w:r>
      <w:r w:rsidR="006134E2" w:rsidRPr="008A7BD7">
        <w:rPr>
          <w:rFonts w:ascii="Cambria" w:hAnsi="Cambria" w:cs="Tahoma"/>
          <w:color w:val="000000" w:themeColor="text1"/>
          <w:sz w:val="20"/>
          <w:szCs w:val="20"/>
          <w:lang w:val="es-US"/>
        </w:rPr>
        <w:t>[…]</w:t>
      </w:r>
    </w:p>
    <w:p w14:paraId="47E97F26" w14:textId="77777777" w:rsidR="005D076F" w:rsidRPr="008A7BD7" w:rsidRDefault="005D076F" w:rsidP="0058654B">
      <w:pPr>
        <w:suppressAutoHyphens/>
        <w:jc w:val="both"/>
        <w:rPr>
          <w:rFonts w:ascii="Cambria" w:eastAsia="Times New Roman" w:hAnsi="Cambria" w:cs="Times New Roman"/>
          <w:sz w:val="20"/>
          <w:szCs w:val="20"/>
          <w:lang w:val="es-US" w:eastAsia="es-ES_tradnl"/>
        </w:rPr>
      </w:pPr>
    </w:p>
    <w:p w14:paraId="1B8CDE63" w14:textId="35A1B58A" w:rsidR="001530F1" w:rsidRPr="008A7BD7" w:rsidRDefault="00005F08" w:rsidP="00BB65D3">
      <w:pPr>
        <w:numPr>
          <w:ilvl w:val="0"/>
          <w:numId w:val="2"/>
        </w:numPr>
        <w:suppressAutoHyphens/>
        <w:ind w:left="0" w:firstLine="720"/>
        <w:jc w:val="both"/>
        <w:rPr>
          <w:rFonts w:ascii="Cambria" w:eastAsia="Times New Roman" w:hAnsi="Cambria" w:cs="Times New Roman"/>
          <w:sz w:val="20"/>
          <w:szCs w:val="20"/>
          <w:lang w:eastAsia="es-ES"/>
        </w:rPr>
      </w:pPr>
      <w:r w:rsidRPr="008A7BD7">
        <w:rPr>
          <w:rFonts w:ascii="Cambria" w:eastAsia="Times New Roman" w:hAnsi="Cambria" w:cs="Times New Roman"/>
          <w:sz w:val="20"/>
          <w:szCs w:val="20"/>
          <w:lang w:eastAsia="es-ES"/>
        </w:rPr>
        <w:t xml:space="preserve">The IACHR </w:t>
      </w:r>
      <w:r w:rsidR="009A639E" w:rsidRPr="008A7BD7">
        <w:rPr>
          <w:rFonts w:ascii="Cambria" w:eastAsia="Times New Roman" w:hAnsi="Cambria" w:cs="Times New Roman"/>
          <w:sz w:val="20"/>
          <w:szCs w:val="20"/>
          <w:lang w:eastAsia="es-ES"/>
        </w:rPr>
        <w:t>warns</w:t>
      </w:r>
      <w:r w:rsidRPr="008A7BD7">
        <w:rPr>
          <w:rFonts w:ascii="Cambria" w:eastAsia="Times New Roman" w:hAnsi="Cambria" w:cs="Times New Roman"/>
          <w:sz w:val="20"/>
          <w:szCs w:val="20"/>
          <w:lang w:eastAsia="es-ES"/>
        </w:rPr>
        <w:t xml:space="preserve"> that the systematic interference in the independence of the judiciary, the weakening of human rights institutions, and the increasingly </w:t>
      </w:r>
      <w:r w:rsidR="009A639E" w:rsidRPr="008A7BD7">
        <w:rPr>
          <w:rFonts w:ascii="Cambria" w:eastAsia="Times New Roman" w:hAnsi="Cambria" w:cs="Times New Roman"/>
          <w:sz w:val="20"/>
          <w:szCs w:val="20"/>
          <w:lang w:eastAsia="es-ES"/>
        </w:rPr>
        <w:t>evident</w:t>
      </w:r>
      <w:r w:rsidRPr="008A7BD7">
        <w:rPr>
          <w:rFonts w:ascii="Cambria" w:eastAsia="Times New Roman" w:hAnsi="Cambria" w:cs="Times New Roman"/>
          <w:sz w:val="20"/>
          <w:szCs w:val="20"/>
          <w:lang w:eastAsia="es-ES"/>
        </w:rPr>
        <w:t xml:space="preserve"> setbacks in the fight against corruption and impunity</w:t>
      </w:r>
      <w:r w:rsidR="00033BBC" w:rsidRPr="008A7BD7">
        <w:rPr>
          <w:rFonts w:ascii="Cambria" w:eastAsia="Times New Roman" w:hAnsi="Cambria" w:cs="Times New Roman"/>
          <w:sz w:val="20"/>
          <w:szCs w:val="20"/>
          <w:lang w:eastAsia="es-ES"/>
        </w:rPr>
        <w:t xml:space="preserve"> </w:t>
      </w:r>
      <w:r w:rsidR="003F0CD7" w:rsidRPr="008A7BD7">
        <w:rPr>
          <w:rFonts w:ascii="Cambria" w:eastAsia="Times New Roman" w:hAnsi="Cambria" w:cs="Times New Roman"/>
          <w:sz w:val="20"/>
          <w:szCs w:val="20"/>
          <w:lang w:eastAsia="es-ES"/>
        </w:rPr>
        <w:t>have an impact</w:t>
      </w:r>
      <w:r w:rsidR="000F4F08" w:rsidRPr="008A7BD7">
        <w:rPr>
          <w:rFonts w:ascii="Cambria" w:eastAsia="Times New Roman" w:hAnsi="Cambria" w:cs="Times New Roman"/>
          <w:sz w:val="20"/>
          <w:szCs w:val="20"/>
          <w:lang w:eastAsia="es-ES"/>
        </w:rPr>
        <w:t>,</w:t>
      </w:r>
      <w:r w:rsidR="00F26772" w:rsidRPr="008A7BD7">
        <w:rPr>
          <w:rFonts w:ascii="Cambria" w:eastAsia="Times New Roman" w:hAnsi="Cambria" w:cs="Times New Roman"/>
          <w:sz w:val="20"/>
          <w:szCs w:val="20"/>
          <w:lang w:eastAsia="es-ES"/>
        </w:rPr>
        <w:t xml:space="preserve"> in turn</w:t>
      </w:r>
      <w:r w:rsidR="000F4F08" w:rsidRPr="008A7BD7">
        <w:rPr>
          <w:rFonts w:ascii="Cambria" w:eastAsia="Times New Roman" w:hAnsi="Cambria" w:cs="Times New Roman"/>
          <w:sz w:val="20"/>
          <w:szCs w:val="20"/>
          <w:lang w:eastAsia="es-ES"/>
        </w:rPr>
        <w:t>,</w:t>
      </w:r>
      <w:r w:rsidR="003F0CD7" w:rsidRPr="008A7BD7">
        <w:rPr>
          <w:rFonts w:ascii="Cambria" w:eastAsia="Times New Roman" w:hAnsi="Cambria" w:cs="Times New Roman"/>
          <w:sz w:val="20"/>
          <w:szCs w:val="20"/>
          <w:lang w:eastAsia="es-ES"/>
        </w:rPr>
        <w:t xml:space="preserve"> on</w:t>
      </w:r>
      <w:r w:rsidR="00033BBC" w:rsidRPr="008A7BD7">
        <w:rPr>
          <w:rFonts w:ascii="Cambria" w:eastAsia="Times New Roman" w:hAnsi="Cambria" w:cs="Times New Roman"/>
          <w:sz w:val="20"/>
          <w:szCs w:val="20"/>
          <w:lang w:eastAsia="es-ES"/>
        </w:rPr>
        <w:t xml:space="preserve"> democratic stability and the </w:t>
      </w:r>
      <w:r w:rsidR="00431D67" w:rsidRPr="008A7BD7">
        <w:rPr>
          <w:rFonts w:ascii="Cambria" w:eastAsia="Times New Roman" w:hAnsi="Cambria" w:cs="Times New Roman"/>
          <w:sz w:val="20"/>
          <w:szCs w:val="20"/>
          <w:lang w:eastAsia="es-ES"/>
        </w:rPr>
        <w:t>very exercise</w:t>
      </w:r>
      <w:r w:rsidR="003F0CD7" w:rsidRPr="008A7BD7">
        <w:rPr>
          <w:rFonts w:ascii="Cambria" w:eastAsia="Times New Roman" w:hAnsi="Cambria" w:cs="Times New Roman"/>
          <w:sz w:val="20"/>
          <w:szCs w:val="20"/>
          <w:lang w:eastAsia="es-ES"/>
        </w:rPr>
        <w:t xml:space="preserve"> of human rights </w:t>
      </w:r>
      <w:r w:rsidR="00992E26" w:rsidRPr="008A7BD7">
        <w:rPr>
          <w:rFonts w:ascii="Cambria" w:eastAsia="Times New Roman" w:hAnsi="Cambria" w:cs="Times New Roman"/>
          <w:sz w:val="20"/>
          <w:szCs w:val="20"/>
          <w:lang w:eastAsia="es-ES"/>
        </w:rPr>
        <w:t>by</w:t>
      </w:r>
      <w:r w:rsidR="003F0CD7" w:rsidRPr="008A7BD7">
        <w:rPr>
          <w:rFonts w:ascii="Cambria" w:eastAsia="Times New Roman" w:hAnsi="Cambria" w:cs="Times New Roman"/>
          <w:sz w:val="20"/>
          <w:szCs w:val="20"/>
          <w:lang w:eastAsia="es-ES"/>
        </w:rPr>
        <w:t xml:space="preserve"> the Guatemalan </w:t>
      </w:r>
      <w:r w:rsidR="00431D67" w:rsidRPr="008A7BD7">
        <w:rPr>
          <w:rFonts w:ascii="Cambria" w:eastAsia="Times New Roman" w:hAnsi="Cambria" w:cs="Times New Roman"/>
          <w:sz w:val="20"/>
          <w:szCs w:val="20"/>
          <w:lang w:eastAsia="es-ES"/>
        </w:rPr>
        <w:t>people</w:t>
      </w:r>
      <w:r w:rsidR="00957D45" w:rsidRPr="008A7BD7">
        <w:rPr>
          <w:rFonts w:ascii="Cambria" w:eastAsia="Times New Roman" w:hAnsi="Cambria" w:cs="Times New Roman"/>
          <w:sz w:val="20"/>
          <w:szCs w:val="20"/>
          <w:lang w:eastAsia="es-ES"/>
        </w:rPr>
        <w:t>,</w:t>
      </w:r>
      <w:r w:rsidR="00431D67" w:rsidRPr="008A7BD7">
        <w:rPr>
          <w:rFonts w:ascii="Cambria" w:eastAsia="Times New Roman" w:hAnsi="Cambria" w:cs="Times New Roman"/>
          <w:sz w:val="20"/>
          <w:szCs w:val="20"/>
          <w:lang w:eastAsia="es-ES"/>
        </w:rPr>
        <w:t xml:space="preserve"> especially groups that have historically been excluded and discriminated against, such as women, indigenous peoples, children and adolescents, and victims of the internal armed conflict, among others</w:t>
      </w:r>
      <w:r w:rsidR="00957D45" w:rsidRPr="008A7BD7">
        <w:rPr>
          <w:rFonts w:ascii="Cambria" w:eastAsia="Times New Roman" w:hAnsi="Cambria" w:cs="Times New Roman"/>
          <w:sz w:val="20"/>
          <w:szCs w:val="20"/>
          <w:lang w:eastAsia="es-ES"/>
        </w:rPr>
        <w:t>.</w:t>
      </w:r>
    </w:p>
    <w:p w14:paraId="51532CED" w14:textId="77777777" w:rsidR="001530F1" w:rsidRPr="008A7BD7" w:rsidRDefault="001530F1" w:rsidP="001530F1">
      <w:pPr>
        <w:suppressAutoHyphens/>
        <w:ind w:left="720"/>
        <w:jc w:val="both"/>
        <w:rPr>
          <w:rFonts w:ascii="Cambria" w:eastAsia="Times New Roman" w:hAnsi="Cambria" w:cs="Times New Roman"/>
          <w:sz w:val="20"/>
          <w:szCs w:val="20"/>
          <w:lang w:eastAsia="es-ES"/>
        </w:rPr>
      </w:pPr>
    </w:p>
    <w:p w14:paraId="7A9253F7" w14:textId="7D463C79" w:rsidR="00375BA0" w:rsidRPr="008A7BD7" w:rsidRDefault="00957D45" w:rsidP="00BB65D3">
      <w:pPr>
        <w:numPr>
          <w:ilvl w:val="0"/>
          <w:numId w:val="2"/>
        </w:numPr>
        <w:suppressAutoHyphens/>
        <w:ind w:left="0" w:firstLine="720"/>
        <w:jc w:val="both"/>
        <w:rPr>
          <w:rFonts w:ascii="Cambria" w:eastAsia="Times New Roman" w:hAnsi="Cambria" w:cs="Times New Roman"/>
          <w:sz w:val="20"/>
          <w:szCs w:val="20"/>
          <w:lang w:eastAsia="es-ES"/>
        </w:rPr>
      </w:pPr>
      <w:r w:rsidRPr="008A7BD7">
        <w:rPr>
          <w:rFonts w:ascii="Cambria" w:eastAsia="Times New Roman" w:hAnsi="Cambria" w:cs="Times New Roman"/>
          <w:sz w:val="20"/>
          <w:szCs w:val="20"/>
          <w:lang w:eastAsia="es-ES"/>
        </w:rPr>
        <w:t xml:space="preserve"> </w:t>
      </w:r>
      <w:r w:rsidR="00992E26" w:rsidRPr="008A7BD7">
        <w:rPr>
          <w:rFonts w:ascii="Cambria" w:eastAsia="Times New Roman" w:hAnsi="Cambria" w:cs="Times New Roman"/>
          <w:sz w:val="20"/>
          <w:szCs w:val="20"/>
          <w:lang w:eastAsia="es-ES"/>
        </w:rPr>
        <w:t xml:space="preserve">Moreover, the growing distrust in State institutions in the face of </w:t>
      </w:r>
      <w:r w:rsidR="000F4F08" w:rsidRPr="008A7BD7">
        <w:rPr>
          <w:rFonts w:ascii="Cambria" w:eastAsia="Times New Roman" w:hAnsi="Cambria" w:cs="Times New Roman"/>
          <w:sz w:val="20"/>
          <w:szCs w:val="20"/>
          <w:lang w:eastAsia="es-ES"/>
        </w:rPr>
        <w:t>allegations of</w:t>
      </w:r>
      <w:r w:rsidR="00992E26" w:rsidRPr="008A7BD7">
        <w:rPr>
          <w:rFonts w:ascii="Cambria" w:eastAsia="Times New Roman" w:hAnsi="Cambria" w:cs="Times New Roman"/>
          <w:sz w:val="20"/>
          <w:szCs w:val="20"/>
          <w:lang w:eastAsia="es-ES"/>
        </w:rPr>
        <w:t xml:space="preserve"> corruption</w:t>
      </w:r>
      <w:r w:rsidR="00707F0B" w:rsidRPr="008A7BD7">
        <w:rPr>
          <w:rFonts w:ascii="Cambria" w:eastAsia="Times New Roman" w:hAnsi="Cambria" w:cs="Times New Roman"/>
          <w:sz w:val="20"/>
          <w:szCs w:val="20"/>
          <w:lang w:eastAsia="es-ES"/>
        </w:rPr>
        <w:t xml:space="preserve"> </w:t>
      </w:r>
      <w:r w:rsidR="000F4F08" w:rsidRPr="008A7BD7">
        <w:rPr>
          <w:rFonts w:ascii="Cambria" w:eastAsia="Times New Roman" w:hAnsi="Cambria" w:cs="Times New Roman"/>
          <w:sz w:val="20"/>
          <w:szCs w:val="20"/>
          <w:lang w:eastAsia="es-ES"/>
        </w:rPr>
        <w:t>starting with</w:t>
      </w:r>
      <w:r w:rsidR="00707F0B" w:rsidRPr="008A7BD7">
        <w:rPr>
          <w:rFonts w:ascii="Cambria" w:eastAsia="Times New Roman" w:hAnsi="Cambria" w:cs="Times New Roman"/>
          <w:sz w:val="20"/>
          <w:szCs w:val="20"/>
          <w:lang w:eastAsia="es-ES"/>
        </w:rPr>
        <w:t xml:space="preserve"> the highest-level </w:t>
      </w:r>
      <w:r w:rsidR="00F92EF8" w:rsidRPr="008A7BD7">
        <w:rPr>
          <w:rFonts w:ascii="Cambria" w:eastAsia="Times New Roman" w:hAnsi="Cambria" w:cs="Times New Roman"/>
          <w:sz w:val="20"/>
          <w:szCs w:val="20"/>
          <w:lang w:eastAsia="es-ES"/>
        </w:rPr>
        <w:t>authorities</w:t>
      </w:r>
      <w:r w:rsidR="00707F0B" w:rsidRPr="008A7BD7">
        <w:rPr>
          <w:rFonts w:ascii="Cambria" w:eastAsia="Times New Roman" w:hAnsi="Cambria" w:cs="Times New Roman"/>
          <w:sz w:val="20"/>
          <w:szCs w:val="20"/>
          <w:lang w:eastAsia="es-ES"/>
        </w:rPr>
        <w:t xml:space="preserve"> of the State</w:t>
      </w:r>
      <w:r w:rsidR="000B2759" w:rsidRPr="008A7BD7">
        <w:rPr>
          <w:rFonts w:ascii="Cambria" w:eastAsia="Times New Roman" w:hAnsi="Cambria" w:cs="Times New Roman"/>
          <w:sz w:val="20"/>
          <w:szCs w:val="20"/>
          <w:lang w:eastAsia="es-ES"/>
        </w:rPr>
        <w:t>,</w:t>
      </w:r>
      <w:r w:rsidR="00707F0B" w:rsidRPr="008A7BD7">
        <w:rPr>
          <w:rFonts w:ascii="Cambria" w:eastAsia="Times New Roman" w:hAnsi="Cambria" w:cs="Times New Roman"/>
          <w:sz w:val="20"/>
          <w:szCs w:val="20"/>
          <w:lang w:eastAsia="es-ES"/>
        </w:rPr>
        <w:t xml:space="preserve"> the perception of impunity</w:t>
      </w:r>
      <w:r w:rsidR="000B2759" w:rsidRPr="008A7BD7">
        <w:rPr>
          <w:rFonts w:ascii="Cambria" w:eastAsia="Times New Roman" w:hAnsi="Cambria" w:cs="Times New Roman"/>
          <w:sz w:val="20"/>
          <w:szCs w:val="20"/>
          <w:lang w:eastAsia="es-ES"/>
        </w:rPr>
        <w:t>,</w:t>
      </w:r>
      <w:r w:rsidR="00707F0B" w:rsidRPr="008A7BD7">
        <w:rPr>
          <w:rFonts w:ascii="Cambria" w:eastAsia="Times New Roman" w:hAnsi="Cambria" w:cs="Times New Roman"/>
          <w:sz w:val="20"/>
          <w:szCs w:val="20"/>
          <w:lang w:eastAsia="es-ES"/>
        </w:rPr>
        <w:t xml:space="preserve"> and the co-opt</w:t>
      </w:r>
      <w:r w:rsidR="006C43B7" w:rsidRPr="008A7BD7">
        <w:rPr>
          <w:rFonts w:ascii="Cambria" w:eastAsia="Times New Roman" w:hAnsi="Cambria" w:cs="Times New Roman"/>
          <w:sz w:val="20"/>
          <w:szCs w:val="20"/>
          <w:lang w:eastAsia="es-ES"/>
        </w:rPr>
        <w:t>at</w:t>
      </w:r>
      <w:r w:rsidR="00707F0B" w:rsidRPr="008A7BD7">
        <w:rPr>
          <w:rFonts w:ascii="Cambria" w:eastAsia="Times New Roman" w:hAnsi="Cambria" w:cs="Times New Roman"/>
          <w:sz w:val="20"/>
          <w:szCs w:val="20"/>
          <w:lang w:eastAsia="es-ES"/>
        </w:rPr>
        <w:t xml:space="preserve">ion or weakening of independent institutions have </w:t>
      </w:r>
      <w:r w:rsidR="000B2759" w:rsidRPr="008A7BD7">
        <w:rPr>
          <w:rFonts w:ascii="Cambria" w:eastAsia="Times New Roman" w:hAnsi="Cambria" w:cs="Times New Roman"/>
          <w:sz w:val="20"/>
          <w:szCs w:val="20"/>
          <w:lang w:eastAsia="es-ES"/>
        </w:rPr>
        <w:t xml:space="preserve">all </w:t>
      </w:r>
      <w:r w:rsidR="00707F0B" w:rsidRPr="008A7BD7">
        <w:rPr>
          <w:rFonts w:ascii="Cambria" w:eastAsia="Times New Roman" w:hAnsi="Cambria" w:cs="Times New Roman"/>
          <w:sz w:val="20"/>
          <w:szCs w:val="20"/>
          <w:lang w:eastAsia="es-ES"/>
        </w:rPr>
        <w:t>contribute</w:t>
      </w:r>
      <w:r w:rsidR="00AB1F08" w:rsidRPr="008A7BD7">
        <w:rPr>
          <w:rFonts w:ascii="Cambria" w:eastAsia="Times New Roman" w:hAnsi="Cambria" w:cs="Times New Roman"/>
          <w:sz w:val="20"/>
          <w:szCs w:val="20"/>
          <w:lang w:eastAsia="es-ES"/>
        </w:rPr>
        <w:t>d</w:t>
      </w:r>
      <w:r w:rsidR="00707F0B" w:rsidRPr="008A7BD7">
        <w:rPr>
          <w:rFonts w:ascii="Cambria" w:eastAsia="Times New Roman" w:hAnsi="Cambria" w:cs="Times New Roman"/>
          <w:sz w:val="20"/>
          <w:szCs w:val="20"/>
          <w:lang w:eastAsia="es-ES"/>
        </w:rPr>
        <w:t xml:space="preserve"> to a</w:t>
      </w:r>
      <w:r w:rsidR="00860468" w:rsidRPr="008A7BD7">
        <w:rPr>
          <w:rFonts w:ascii="Cambria" w:eastAsia="Times New Roman" w:hAnsi="Cambria" w:cs="Times New Roman"/>
          <w:sz w:val="20"/>
          <w:szCs w:val="20"/>
          <w:lang w:eastAsia="es-ES"/>
        </w:rPr>
        <w:t xml:space="preserve"> growing</w:t>
      </w:r>
      <w:r w:rsidR="00707F0B" w:rsidRPr="008A7BD7">
        <w:rPr>
          <w:rFonts w:ascii="Cambria" w:eastAsia="Times New Roman" w:hAnsi="Cambria" w:cs="Times New Roman"/>
          <w:sz w:val="20"/>
          <w:szCs w:val="20"/>
          <w:lang w:eastAsia="es-ES"/>
        </w:rPr>
        <w:t xml:space="preserve"> </w:t>
      </w:r>
      <w:r w:rsidR="009D62C1" w:rsidRPr="008A7BD7">
        <w:rPr>
          <w:rFonts w:ascii="Cambria" w:eastAsia="Times New Roman" w:hAnsi="Cambria" w:cs="Times New Roman"/>
          <w:sz w:val="20"/>
          <w:szCs w:val="20"/>
          <w:lang w:eastAsia="es-ES"/>
        </w:rPr>
        <w:t>climate</w:t>
      </w:r>
      <w:r w:rsidR="00707F0B" w:rsidRPr="008A7BD7">
        <w:rPr>
          <w:rFonts w:ascii="Cambria" w:eastAsia="Times New Roman" w:hAnsi="Cambria" w:cs="Times New Roman"/>
          <w:sz w:val="20"/>
          <w:szCs w:val="20"/>
          <w:lang w:eastAsia="es-ES"/>
        </w:rPr>
        <w:t xml:space="preserve"> of social discontent that has been manifested through protests and social demonstrations against the current government</w:t>
      </w:r>
      <w:r w:rsidR="00860468" w:rsidRPr="008A7BD7">
        <w:rPr>
          <w:rFonts w:ascii="Cambria" w:eastAsia="Times New Roman" w:hAnsi="Cambria" w:cs="Times New Roman"/>
          <w:sz w:val="20"/>
          <w:szCs w:val="20"/>
          <w:lang w:eastAsia="es-ES"/>
        </w:rPr>
        <w:t>.</w:t>
      </w:r>
    </w:p>
    <w:p w14:paraId="1AEC3982" w14:textId="77777777" w:rsidR="00375BA0" w:rsidRPr="008A7BD7" w:rsidRDefault="00375BA0" w:rsidP="00375BA0">
      <w:pPr>
        <w:suppressAutoHyphens/>
        <w:ind w:left="720"/>
        <w:jc w:val="both"/>
        <w:rPr>
          <w:rFonts w:ascii="Cambria" w:eastAsia="Times New Roman" w:hAnsi="Cambria" w:cs="Times New Roman"/>
          <w:sz w:val="20"/>
          <w:szCs w:val="20"/>
          <w:lang w:eastAsia="es-ES"/>
        </w:rPr>
      </w:pPr>
    </w:p>
    <w:p w14:paraId="77DABB45" w14:textId="0CA3B6BE" w:rsidR="00375BA0" w:rsidRPr="008A7BD7" w:rsidRDefault="009D62C1" w:rsidP="00BB65D3">
      <w:pPr>
        <w:numPr>
          <w:ilvl w:val="0"/>
          <w:numId w:val="2"/>
        </w:numPr>
        <w:suppressAutoHyphens/>
        <w:ind w:left="0" w:firstLine="720"/>
        <w:jc w:val="both"/>
        <w:rPr>
          <w:rFonts w:ascii="Cambria" w:eastAsia="Times New Roman" w:hAnsi="Cambria" w:cs="Times New Roman"/>
          <w:sz w:val="20"/>
          <w:szCs w:val="20"/>
          <w:lang w:eastAsia="es-ES"/>
        </w:rPr>
      </w:pPr>
      <w:r w:rsidRPr="008A7BD7">
        <w:rPr>
          <w:rFonts w:ascii="Cambria" w:eastAsia="Times New Roman" w:hAnsi="Cambria" w:cs="Tahoma"/>
          <w:color w:val="000000" w:themeColor="text1"/>
          <w:sz w:val="20"/>
          <w:szCs w:val="20"/>
          <w:lang w:eastAsia="es-ES"/>
        </w:rPr>
        <w:t xml:space="preserve">In addition, the IACHR and its Office of the Special Rapporteur </w:t>
      </w:r>
      <w:r w:rsidR="00AB1F08" w:rsidRPr="008A7BD7">
        <w:rPr>
          <w:rFonts w:ascii="Cambria" w:eastAsia="Times New Roman" w:hAnsi="Cambria" w:cs="Tahoma"/>
          <w:color w:val="000000" w:themeColor="text1"/>
          <w:sz w:val="20"/>
          <w:szCs w:val="20"/>
          <w:lang w:eastAsia="es-ES"/>
        </w:rPr>
        <w:t>for</w:t>
      </w:r>
      <w:r w:rsidRPr="008A7BD7">
        <w:rPr>
          <w:rFonts w:ascii="Cambria" w:eastAsia="Times New Roman" w:hAnsi="Cambria" w:cs="Tahoma"/>
          <w:color w:val="000000" w:themeColor="text1"/>
          <w:sz w:val="20"/>
          <w:szCs w:val="20"/>
          <w:lang w:eastAsia="es-ES"/>
        </w:rPr>
        <w:t xml:space="preserve"> Freedom of Expression </w:t>
      </w:r>
      <w:r w:rsidR="00702915" w:rsidRPr="008A7BD7">
        <w:rPr>
          <w:rFonts w:ascii="Cambria" w:eastAsia="Times New Roman" w:hAnsi="Cambria" w:cs="Tahoma"/>
          <w:color w:val="000000" w:themeColor="text1"/>
          <w:sz w:val="20"/>
          <w:szCs w:val="20"/>
          <w:lang w:eastAsia="es-ES"/>
        </w:rPr>
        <w:t xml:space="preserve">pointed to the serious risks </w:t>
      </w:r>
      <w:r w:rsidR="00620621" w:rsidRPr="008A7BD7">
        <w:rPr>
          <w:rFonts w:ascii="Cambria" w:eastAsia="Times New Roman" w:hAnsi="Cambria" w:cs="Tahoma"/>
          <w:color w:val="000000" w:themeColor="text1"/>
          <w:sz w:val="20"/>
          <w:szCs w:val="20"/>
          <w:lang w:eastAsia="es-ES"/>
        </w:rPr>
        <w:t>related to</w:t>
      </w:r>
      <w:r w:rsidR="00702915" w:rsidRPr="008A7BD7">
        <w:rPr>
          <w:rFonts w:ascii="Cambria" w:eastAsia="Times New Roman" w:hAnsi="Cambria" w:cs="Tahoma"/>
          <w:color w:val="000000" w:themeColor="text1"/>
          <w:sz w:val="20"/>
          <w:szCs w:val="20"/>
          <w:lang w:eastAsia="es-ES"/>
        </w:rPr>
        <w:t xml:space="preserve"> the work of journalism in </w:t>
      </w:r>
      <w:r w:rsidR="00C43633" w:rsidRPr="008A7BD7">
        <w:rPr>
          <w:rFonts w:ascii="Cambria" w:eastAsia="Times New Roman" w:hAnsi="Cambria" w:cs="Tahoma"/>
          <w:color w:val="000000" w:themeColor="text1"/>
          <w:sz w:val="20"/>
          <w:szCs w:val="20"/>
          <w:lang w:eastAsia="es-ES"/>
        </w:rPr>
        <w:t xml:space="preserve">Guatemala, </w:t>
      </w:r>
      <w:r w:rsidR="00702915" w:rsidRPr="008A7BD7">
        <w:rPr>
          <w:rFonts w:ascii="Cambria" w:eastAsia="Times New Roman" w:hAnsi="Cambria" w:cs="Tahoma"/>
          <w:color w:val="000000" w:themeColor="text1"/>
          <w:sz w:val="20"/>
          <w:szCs w:val="20"/>
          <w:lang w:eastAsia="es-ES"/>
        </w:rPr>
        <w:t xml:space="preserve">given such </w:t>
      </w:r>
      <w:r w:rsidR="00620621" w:rsidRPr="008A7BD7">
        <w:rPr>
          <w:rFonts w:ascii="Cambria" w:eastAsia="Times New Roman" w:hAnsi="Cambria" w:cs="Tahoma"/>
          <w:color w:val="000000" w:themeColor="text1"/>
          <w:sz w:val="20"/>
          <w:szCs w:val="20"/>
          <w:lang w:eastAsia="es-ES"/>
        </w:rPr>
        <w:t xml:space="preserve">incidents </w:t>
      </w:r>
      <w:r w:rsidR="00702915" w:rsidRPr="008A7BD7">
        <w:rPr>
          <w:rFonts w:ascii="Cambria" w:eastAsia="Times New Roman" w:hAnsi="Cambria" w:cs="Tahoma"/>
          <w:color w:val="000000" w:themeColor="text1"/>
          <w:sz w:val="20"/>
          <w:szCs w:val="20"/>
          <w:lang w:eastAsia="es-ES"/>
        </w:rPr>
        <w:t xml:space="preserve">as the </w:t>
      </w:r>
      <w:r w:rsidR="00843E83" w:rsidRPr="008A7BD7">
        <w:rPr>
          <w:rFonts w:ascii="Cambria" w:eastAsia="Times New Roman" w:hAnsi="Cambria" w:cs="Tahoma"/>
          <w:color w:val="000000" w:themeColor="text1"/>
          <w:sz w:val="20"/>
          <w:szCs w:val="20"/>
          <w:lang w:eastAsia="es-ES"/>
        </w:rPr>
        <w:t>murder</w:t>
      </w:r>
      <w:r w:rsidR="00702915" w:rsidRPr="008A7BD7">
        <w:rPr>
          <w:rFonts w:ascii="Cambria" w:eastAsia="Times New Roman" w:hAnsi="Cambria" w:cs="Tahoma"/>
          <w:color w:val="000000" w:themeColor="text1"/>
          <w:sz w:val="20"/>
          <w:szCs w:val="20"/>
          <w:lang w:eastAsia="es-ES"/>
        </w:rPr>
        <w:t xml:space="preserve"> of two media</w:t>
      </w:r>
      <w:r w:rsidR="009670EA" w:rsidRPr="008A7BD7">
        <w:rPr>
          <w:rFonts w:ascii="Cambria" w:eastAsia="Times New Roman" w:hAnsi="Cambria" w:cs="Tahoma"/>
          <w:color w:val="000000" w:themeColor="text1"/>
          <w:sz w:val="20"/>
          <w:szCs w:val="20"/>
          <w:lang w:eastAsia="es-ES"/>
        </w:rPr>
        <w:t xml:space="preserve"> workers</w:t>
      </w:r>
      <w:r w:rsidR="00702915" w:rsidRPr="008A7BD7">
        <w:rPr>
          <w:rFonts w:ascii="Cambria" w:eastAsia="Times New Roman" w:hAnsi="Cambria" w:cs="Tahoma"/>
          <w:color w:val="000000" w:themeColor="text1"/>
          <w:sz w:val="20"/>
          <w:szCs w:val="20"/>
          <w:lang w:eastAsia="es-ES"/>
        </w:rPr>
        <w:t xml:space="preserve">, acts of harassment and intimidation, </w:t>
      </w:r>
      <w:r w:rsidR="00620621" w:rsidRPr="008A7BD7">
        <w:rPr>
          <w:rFonts w:ascii="Cambria" w:eastAsia="Times New Roman" w:hAnsi="Cambria" w:cs="Tahoma"/>
          <w:color w:val="000000" w:themeColor="text1"/>
          <w:sz w:val="20"/>
          <w:szCs w:val="20"/>
          <w:lang w:eastAsia="es-ES"/>
        </w:rPr>
        <w:t xml:space="preserve">attacks in the context of social </w:t>
      </w:r>
      <w:r w:rsidR="00843E83" w:rsidRPr="008A7BD7">
        <w:rPr>
          <w:rFonts w:ascii="Cambria" w:eastAsia="Times New Roman" w:hAnsi="Cambria" w:cs="Tahoma"/>
          <w:color w:val="000000" w:themeColor="text1"/>
          <w:sz w:val="20"/>
          <w:szCs w:val="20"/>
          <w:lang w:eastAsia="es-ES"/>
        </w:rPr>
        <w:t>protests</w:t>
      </w:r>
      <w:r w:rsidR="00620621" w:rsidRPr="008A7BD7">
        <w:rPr>
          <w:rFonts w:ascii="Cambria" w:eastAsia="Times New Roman" w:hAnsi="Cambria" w:cs="Tahoma"/>
          <w:color w:val="000000" w:themeColor="text1"/>
          <w:sz w:val="20"/>
          <w:szCs w:val="20"/>
          <w:lang w:eastAsia="es-ES"/>
        </w:rPr>
        <w:t xml:space="preserve">, and obstruction of press coverage of official </w:t>
      </w:r>
      <w:r w:rsidR="000D2D6B" w:rsidRPr="008A7BD7">
        <w:rPr>
          <w:rFonts w:ascii="Cambria" w:eastAsia="Times New Roman" w:hAnsi="Cambria" w:cs="Tahoma"/>
          <w:color w:val="000000" w:themeColor="text1"/>
          <w:sz w:val="20"/>
          <w:szCs w:val="20"/>
          <w:lang w:eastAsia="es-ES"/>
        </w:rPr>
        <w:t xml:space="preserve">public </w:t>
      </w:r>
      <w:r w:rsidR="00620621" w:rsidRPr="008A7BD7">
        <w:rPr>
          <w:rFonts w:ascii="Cambria" w:eastAsia="Times New Roman" w:hAnsi="Cambria" w:cs="Tahoma"/>
          <w:color w:val="000000" w:themeColor="text1"/>
          <w:sz w:val="20"/>
          <w:szCs w:val="20"/>
          <w:lang w:eastAsia="es-ES"/>
        </w:rPr>
        <w:t>act</w:t>
      </w:r>
      <w:r w:rsidR="000D2D6B" w:rsidRPr="008A7BD7">
        <w:rPr>
          <w:rFonts w:ascii="Cambria" w:eastAsia="Times New Roman" w:hAnsi="Cambria" w:cs="Tahoma"/>
          <w:color w:val="000000" w:themeColor="text1"/>
          <w:sz w:val="20"/>
          <w:szCs w:val="20"/>
          <w:lang w:eastAsia="es-ES"/>
        </w:rPr>
        <w:t>s</w:t>
      </w:r>
      <w:r w:rsidR="00C43633" w:rsidRPr="008A7BD7">
        <w:rPr>
          <w:rFonts w:ascii="Cambria" w:eastAsia="Times New Roman" w:hAnsi="Cambria" w:cs="Tahoma"/>
          <w:color w:val="000000" w:themeColor="text1"/>
          <w:sz w:val="20"/>
          <w:szCs w:val="20"/>
          <w:lang w:eastAsia="es-ES"/>
        </w:rPr>
        <w:t xml:space="preserve">. </w:t>
      </w:r>
      <w:r w:rsidR="00025184" w:rsidRPr="008A7BD7">
        <w:rPr>
          <w:rFonts w:ascii="Cambria" w:eastAsia="Times New Roman" w:hAnsi="Cambria" w:cs="Tahoma"/>
          <w:color w:val="000000" w:themeColor="text1"/>
          <w:sz w:val="20"/>
          <w:szCs w:val="20"/>
          <w:lang w:eastAsia="es-ES"/>
        </w:rPr>
        <w:t>The IACHR also learned that judicial proceedings ha</w:t>
      </w:r>
      <w:r w:rsidR="00843E83" w:rsidRPr="008A7BD7">
        <w:rPr>
          <w:rFonts w:ascii="Cambria" w:eastAsia="Times New Roman" w:hAnsi="Cambria" w:cs="Tahoma"/>
          <w:color w:val="000000" w:themeColor="text1"/>
          <w:sz w:val="20"/>
          <w:szCs w:val="20"/>
          <w:lang w:eastAsia="es-ES"/>
        </w:rPr>
        <w:t>ve</w:t>
      </w:r>
      <w:r w:rsidR="00025184" w:rsidRPr="008A7BD7">
        <w:rPr>
          <w:rFonts w:ascii="Cambria" w:eastAsia="Times New Roman" w:hAnsi="Cambria" w:cs="Tahoma"/>
          <w:color w:val="000000" w:themeColor="text1"/>
          <w:sz w:val="20"/>
          <w:szCs w:val="20"/>
          <w:lang w:eastAsia="es-ES"/>
        </w:rPr>
        <w:t xml:space="preserve"> been opened and threats of investigations made agains</w:t>
      </w:r>
      <w:r w:rsidR="00357A6E" w:rsidRPr="008A7BD7">
        <w:rPr>
          <w:rFonts w:ascii="Cambria" w:eastAsia="Times New Roman" w:hAnsi="Cambria" w:cs="Tahoma"/>
          <w:color w:val="000000" w:themeColor="text1"/>
          <w:sz w:val="20"/>
          <w:szCs w:val="20"/>
          <w:lang w:eastAsia="es-ES"/>
        </w:rPr>
        <w:t>t</w:t>
      </w:r>
      <w:r w:rsidR="00025184" w:rsidRPr="008A7BD7">
        <w:rPr>
          <w:rFonts w:ascii="Cambria" w:eastAsia="Times New Roman" w:hAnsi="Cambria" w:cs="Tahoma"/>
          <w:color w:val="000000" w:themeColor="text1"/>
          <w:sz w:val="20"/>
          <w:szCs w:val="20"/>
          <w:lang w:eastAsia="es-ES"/>
        </w:rPr>
        <w:t xml:space="preserve"> journalists, especially from the media outlet </w:t>
      </w:r>
      <w:r w:rsidR="00C43633" w:rsidRPr="008A7BD7">
        <w:rPr>
          <w:rFonts w:ascii="Cambria" w:eastAsia="Times New Roman" w:hAnsi="Cambria" w:cs="Tahoma"/>
          <w:i/>
          <w:iCs/>
          <w:color w:val="000000" w:themeColor="text1"/>
          <w:sz w:val="20"/>
          <w:szCs w:val="20"/>
          <w:lang w:eastAsia="es-ES"/>
        </w:rPr>
        <w:t xml:space="preserve">El </w:t>
      </w:r>
      <w:proofErr w:type="spellStart"/>
      <w:r w:rsidR="00C43633" w:rsidRPr="008A7BD7">
        <w:rPr>
          <w:rFonts w:ascii="Cambria" w:eastAsia="Times New Roman" w:hAnsi="Cambria" w:cs="Tahoma"/>
          <w:i/>
          <w:iCs/>
          <w:color w:val="000000" w:themeColor="text1"/>
          <w:sz w:val="20"/>
          <w:szCs w:val="20"/>
          <w:lang w:eastAsia="es-ES"/>
        </w:rPr>
        <w:t>Peri</w:t>
      </w:r>
      <w:r w:rsidR="000B2759" w:rsidRPr="008A7BD7">
        <w:rPr>
          <w:rFonts w:ascii="Cambria" w:eastAsia="Times New Roman" w:hAnsi="Cambria" w:cs="Tahoma"/>
          <w:i/>
          <w:iCs/>
          <w:color w:val="000000" w:themeColor="text1"/>
          <w:sz w:val="20"/>
          <w:szCs w:val="20"/>
          <w:lang w:eastAsia="es-ES"/>
        </w:rPr>
        <w:t>ó</w:t>
      </w:r>
      <w:r w:rsidR="00C43633" w:rsidRPr="008A7BD7">
        <w:rPr>
          <w:rFonts w:ascii="Cambria" w:eastAsia="Times New Roman" w:hAnsi="Cambria" w:cs="Tahoma"/>
          <w:i/>
          <w:iCs/>
          <w:color w:val="000000" w:themeColor="text1"/>
          <w:sz w:val="20"/>
          <w:szCs w:val="20"/>
          <w:lang w:eastAsia="es-ES"/>
        </w:rPr>
        <w:t>dico</w:t>
      </w:r>
      <w:proofErr w:type="spellEnd"/>
      <w:r w:rsidR="00C43633" w:rsidRPr="008A7BD7">
        <w:rPr>
          <w:rFonts w:ascii="Cambria" w:eastAsia="Times New Roman" w:hAnsi="Cambria" w:cs="Tahoma"/>
          <w:color w:val="000000" w:themeColor="text1"/>
          <w:sz w:val="20"/>
          <w:szCs w:val="20"/>
          <w:lang w:eastAsia="es-ES"/>
        </w:rPr>
        <w:t xml:space="preserve">. </w:t>
      </w:r>
      <w:r w:rsidR="00357A6E" w:rsidRPr="008A7BD7">
        <w:rPr>
          <w:rFonts w:ascii="Cambria" w:eastAsia="Times New Roman" w:hAnsi="Cambria" w:cs="Tahoma"/>
          <w:color w:val="000000" w:themeColor="text1"/>
          <w:sz w:val="20"/>
          <w:szCs w:val="20"/>
          <w:lang w:eastAsia="es-ES"/>
        </w:rPr>
        <w:t xml:space="preserve">The IACHR is likewise concerned about restrictions to freedom of expression and other rights through the establishment of decrees declaring states of emergency, as well as the entry into force of the new </w:t>
      </w:r>
      <w:r w:rsidR="0015594F" w:rsidRPr="008A7BD7">
        <w:rPr>
          <w:rFonts w:ascii="Cambria" w:eastAsia="Times New Roman" w:hAnsi="Cambria" w:cs="Tahoma"/>
          <w:color w:val="000000" w:themeColor="text1"/>
          <w:sz w:val="20"/>
          <w:szCs w:val="20"/>
          <w:lang w:eastAsia="es-ES"/>
        </w:rPr>
        <w:t>law on nongovernmental organizations (NGOs)</w:t>
      </w:r>
      <w:r w:rsidR="00357A6E" w:rsidRPr="008A7BD7">
        <w:rPr>
          <w:rFonts w:ascii="Cambria" w:eastAsia="Times New Roman" w:hAnsi="Cambria" w:cs="Tahoma"/>
          <w:color w:val="000000" w:themeColor="text1"/>
          <w:sz w:val="20"/>
          <w:szCs w:val="20"/>
          <w:lang w:eastAsia="es-ES"/>
        </w:rPr>
        <w:t>, which has been described as “</w:t>
      </w:r>
      <w:r w:rsidR="0015594F" w:rsidRPr="008A7BD7">
        <w:rPr>
          <w:rFonts w:ascii="Cambria" w:eastAsia="Times New Roman" w:hAnsi="Cambria" w:cs="Tahoma"/>
          <w:color w:val="000000" w:themeColor="text1"/>
          <w:sz w:val="20"/>
          <w:szCs w:val="20"/>
          <w:lang w:eastAsia="es-ES"/>
        </w:rPr>
        <w:t>choking</w:t>
      </w:r>
      <w:r w:rsidR="00357A6E" w:rsidRPr="008A7BD7">
        <w:rPr>
          <w:rFonts w:ascii="Cambria" w:eastAsia="Times New Roman" w:hAnsi="Cambria" w:cs="Tahoma"/>
          <w:color w:val="000000" w:themeColor="text1"/>
          <w:sz w:val="20"/>
          <w:szCs w:val="20"/>
          <w:lang w:eastAsia="es-ES"/>
        </w:rPr>
        <w:t xml:space="preserve">” </w:t>
      </w:r>
      <w:r w:rsidR="0015594F" w:rsidRPr="008A7BD7">
        <w:rPr>
          <w:rFonts w:ascii="Cambria" w:eastAsia="Times New Roman" w:hAnsi="Cambria" w:cs="Tahoma"/>
          <w:color w:val="000000" w:themeColor="text1"/>
          <w:sz w:val="20"/>
          <w:szCs w:val="20"/>
          <w:lang w:eastAsia="es-ES"/>
        </w:rPr>
        <w:t>the work of</w:t>
      </w:r>
      <w:r w:rsidR="00357A6E" w:rsidRPr="008A7BD7">
        <w:rPr>
          <w:rFonts w:ascii="Cambria" w:eastAsia="Times New Roman" w:hAnsi="Cambria" w:cs="Tahoma"/>
          <w:color w:val="000000" w:themeColor="text1"/>
          <w:sz w:val="20"/>
          <w:szCs w:val="20"/>
          <w:lang w:eastAsia="es-ES"/>
        </w:rPr>
        <w:t xml:space="preserve"> civil society</w:t>
      </w:r>
      <w:r w:rsidR="00C43633" w:rsidRPr="008A7BD7">
        <w:rPr>
          <w:rFonts w:ascii="Cambria" w:eastAsia="Times New Roman" w:hAnsi="Cambria" w:cs="Tahoma"/>
          <w:color w:val="000000" w:themeColor="text1"/>
          <w:sz w:val="20"/>
          <w:szCs w:val="20"/>
          <w:lang w:eastAsia="es-ES"/>
        </w:rPr>
        <w:t>.</w:t>
      </w:r>
      <w:r w:rsidR="00357A6E" w:rsidRPr="008A7BD7">
        <w:rPr>
          <w:rFonts w:ascii="Cambria" w:eastAsia="Times New Roman" w:hAnsi="Cambria" w:cs="Tahoma"/>
          <w:color w:val="000000" w:themeColor="text1"/>
          <w:sz w:val="20"/>
          <w:szCs w:val="20"/>
          <w:lang w:eastAsia="es-ES"/>
        </w:rPr>
        <w:t xml:space="preserve"> </w:t>
      </w:r>
      <w:r w:rsidR="00C43633" w:rsidRPr="008A7BD7">
        <w:rPr>
          <w:rFonts w:ascii="Cambria" w:eastAsia="Times New Roman" w:hAnsi="Cambria" w:cs="Tahoma"/>
          <w:color w:val="000000" w:themeColor="text1"/>
          <w:sz w:val="20"/>
          <w:szCs w:val="20"/>
          <w:lang w:eastAsia="es-ES"/>
        </w:rPr>
        <w:t xml:space="preserve"> </w:t>
      </w:r>
    </w:p>
    <w:p w14:paraId="1D4F2BAC" w14:textId="77777777" w:rsidR="00375BA0" w:rsidRPr="008A7BD7" w:rsidRDefault="00375BA0" w:rsidP="00375BA0">
      <w:pPr>
        <w:pStyle w:val="ListParagraph"/>
        <w:rPr>
          <w:rFonts w:ascii="Cambria" w:hAnsi="Cambria"/>
          <w:sz w:val="20"/>
          <w:szCs w:val="20"/>
        </w:rPr>
      </w:pPr>
    </w:p>
    <w:p w14:paraId="118EDBAF" w14:textId="38BDBB1A" w:rsidR="00832A52" w:rsidRPr="008A7BD7" w:rsidRDefault="001B6AC0" w:rsidP="00BB65D3">
      <w:pPr>
        <w:numPr>
          <w:ilvl w:val="0"/>
          <w:numId w:val="2"/>
        </w:numPr>
        <w:suppressAutoHyphens/>
        <w:ind w:left="0" w:firstLine="720"/>
        <w:jc w:val="both"/>
        <w:rPr>
          <w:rFonts w:ascii="Cambria" w:eastAsia="Times New Roman" w:hAnsi="Cambria" w:cs="Times New Roman"/>
          <w:sz w:val="20"/>
          <w:szCs w:val="20"/>
          <w:lang w:eastAsia="es-ES"/>
        </w:rPr>
      </w:pPr>
      <w:r w:rsidRPr="008A7BD7">
        <w:rPr>
          <w:rFonts w:ascii="Cambria" w:hAnsi="Cambria"/>
          <w:sz w:val="20"/>
          <w:szCs w:val="20"/>
        </w:rPr>
        <w:t xml:space="preserve">Similarly, in terms of structural issues of concern, in </w:t>
      </w:r>
      <w:r w:rsidR="00C43633" w:rsidRPr="008A7BD7">
        <w:rPr>
          <w:rFonts w:ascii="Cambria" w:hAnsi="Cambria"/>
          <w:sz w:val="20"/>
          <w:szCs w:val="20"/>
        </w:rPr>
        <w:t>2021</w:t>
      </w:r>
      <w:r w:rsidRPr="008A7BD7">
        <w:rPr>
          <w:rFonts w:ascii="Cambria" w:hAnsi="Cambria"/>
          <w:sz w:val="20"/>
          <w:szCs w:val="20"/>
        </w:rPr>
        <w:t xml:space="preserve"> the Inter-American Commission observed that the situation of human rights defenders in </w:t>
      </w:r>
      <w:r w:rsidR="00C43633" w:rsidRPr="008A7BD7">
        <w:rPr>
          <w:rFonts w:ascii="Cambria" w:hAnsi="Cambria"/>
          <w:sz w:val="20"/>
          <w:szCs w:val="20"/>
        </w:rPr>
        <w:t>Guatemala</w:t>
      </w:r>
      <w:r w:rsidR="00451334" w:rsidRPr="008A7BD7">
        <w:rPr>
          <w:rFonts w:ascii="Cambria" w:hAnsi="Cambria"/>
          <w:sz w:val="20"/>
          <w:szCs w:val="20"/>
        </w:rPr>
        <w:t xml:space="preserve"> </w:t>
      </w:r>
      <w:r w:rsidRPr="008A7BD7">
        <w:rPr>
          <w:rFonts w:ascii="Cambria" w:hAnsi="Cambria"/>
          <w:sz w:val="20"/>
          <w:szCs w:val="20"/>
        </w:rPr>
        <w:t xml:space="preserve">has deteriorated, due to continuing acts of violence and proceedings to criminalize those who defend human rights in the country. The IACHR </w:t>
      </w:r>
      <w:r w:rsidR="00236D63" w:rsidRPr="008A7BD7">
        <w:rPr>
          <w:rFonts w:ascii="Cambria" w:hAnsi="Cambria"/>
          <w:sz w:val="20"/>
          <w:szCs w:val="20"/>
        </w:rPr>
        <w:t>also</w:t>
      </w:r>
      <w:r w:rsidRPr="008A7BD7">
        <w:rPr>
          <w:rFonts w:ascii="Cambria" w:hAnsi="Cambria"/>
          <w:sz w:val="20"/>
          <w:szCs w:val="20"/>
        </w:rPr>
        <w:t xml:space="preserve"> examines the situation of persons deprived of liberty, migrants, asylum seekers, refugees, persons </w:t>
      </w:r>
      <w:r w:rsidR="004205DB" w:rsidRPr="008A7BD7">
        <w:rPr>
          <w:rFonts w:ascii="Cambria" w:hAnsi="Cambria"/>
          <w:sz w:val="20"/>
          <w:szCs w:val="20"/>
        </w:rPr>
        <w:t>in</w:t>
      </w:r>
      <w:r w:rsidRPr="008A7BD7">
        <w:rPr>
          <w:rFonts w:ascii="Cambria" w:hAnsi="Cambria"/>
          <w:sz w:val="20"/>
          <w:szCs w:val="20"/>
        </w:rPr>
        <w:t xml:space="preserve"> need </w:t>
      </w:r>
      <w:r w:rsidR="004205DB" w:rsidRPr="008A7BD7">
        <w:rPr>
          <w:rFonts w:ascii="Cambria" w:hAnsi="Cambria"/>
          <w:sz w:val="20"/>
          <w:szCs w:val="20"/>
        </w:rPr>
        <w:t>of</w:t>
      </w:r>
      <w:r w:rsidRPr="008A7BD7">
        <w:rPr>
          <w:rFonts w:ascii="Cambria" w:hAnsi="Cambria"/>
          <w:sz w:val="20"/>
          <w:szCs w:val="20"/>
        </w:rPr>
        <w:t xml:space="preserve"> </w:t>
      </w:r>
      <w:r w:rsidR="004205DB" w:rsidRPr="008A7BD7">
        <w:rPr>
          <w:rFonts w:ascii="Cambria" w:hAnsi="Cambria"/>
          <w:sz w:val="20"/>
          <w:szCs w:val="20"/>
        </w:rPr>
        <w:t>complementary</w:t>
      </w:r>
      <w:r w:rsidRPr="008A7BD7">
        <w:rPr>
          <w:rFonts w:ascii="Cambria" w:hAnsi="Cambria"/>
          <w:sz w:val="20"/>
          <w:szCs w:val="20"/>
        </w:rPr>
        <w:t xml:space="preserve"> protection, returnees, internally displa</w:t>
      </w:r>
      <w:r w:rsidR="007460A5" w:rsidRPr="008A7BD7">
        <w:rPr>
          <w:rFonts w:ascii="Cambria" w:hAnsi="Cambria"/>
          <w:sz w:val="20"/>
          <w:szCs w:val="20"/>
        </w:rPr>
        <w:t>c</w:t>
      </w:r>
      <w:r w:rsidRPr="008A7BD7">
        <w:rPr>
          <w:rFonts w:ascii="Cambria" w:hAnsi="Cambria"/>
          <w:sz w:val="20"/>
          <w:szCs w:val="20"/>
        </w:rPr>
        <w:t>ed persons, and victims of human trafficking in Guatemala</w:t>
      </w:r>
      <w:r w:rsidR="004205DB" w:rsidRPr="008A7BD7">
        <w:rPr>
          <w:rFonts w:ascii="Cambria" w:hAnsi="Cambria"/>
          <w:sz w:val="20"/>
          <w:szCs w:val="20"/>
        </w:rPr>
        <w:t xml:space="preserve">, as well as </w:t>
      </w:r>
      <w:r w:rsidR="007460A5" w:rsidRPr="008A7BD7">
        <w:rPr>
          <w:rFonts w:ascii="Cambria" w:hAnsi="Cambria"/>
          <w:sz w:val="20"/>
          <w:szCs w:val="20"/>
        </w:rPr>
        <w:t xml:space="preserve">the situation regarding the rights of women and indigenous peoples. </w:t>
      </w:r>
      <w:r w:rsidR="00360C00" w:rsidRPr="008A7BD7">
        <w:rPr>
          <w:rFonts w:ascii="Cambria" w:eastAsia="Cambria" w:hAnsi="Cambria" w:cs="Cambria"/>
          <w:color w:val="000000" w:themeColor="text1"/>
          <w:sz w:val="20"/>
          <w:szCs w:val="20"/>
        </w:rPr>
        <w:t xml:space="preserve"> </w:t>
      </w:r>
    </w:p>
    <w:p w14:paraId="59CFEFC1" w14:textId="77777777" w:rsidR="001530F1" w:rsidRPr="008A7BD7" w:rsidRDefault="001530F1" w:rsidP="001530F1">
      <w:pPr>
        <w:suppressAutoHyphens/>
        <w:jc w:val="both"/>
        <w:rPr>
          <w:rFonts w:ascii="Cambria" w:eastAsia="Cambria" w:hAnsi="Cambria" w:cs="Cambria"/>
          <w:color w:val="000000" w:themeColor="text1"/>
          <w:sz w:val="20"/>
          <w:szCs w:val="20"/>
        </w:rPr>
      </w:pPr>
    </w:p>
    <w:p w14:paraId="120598F9" w14:textId="0F7BEB31" w:rsidR="00375BA0" w:rsidRPr="008A7BD7" w:rsidRDefault="007460A5" w:rsidP="00BB65D3">
      <w:pPr>
        <w:numPr>
          <w:ilvl w:val="0"/>
          <w:numId w:val="2"/>
        </w:numPr>
        <w:suppressAutoHyphens/>
        <w:ind w:left="0" w:firstLine="720"/>
        <w:jc w:val="both"/>
        <w:rPr>
          <w:rFonts w:ascii="Cambria" w:eastAsia="Times New Roman" w:hAnsi="Cambria" w:cs="Times New Roman"/>
          <w:sz w:val="20"/>
          <w:szCs w:val="20"/>
          <w:lang w:eastAsia="es-ES_tradnl"/>
        </w:rPr>
      </w:pPr>
      <w:r w:rsidRPr="008A7BD7">
        <w:rPr>
          <w:rFonts w:ascii="Cambria" w:hAnsi="Cambria"/>
          <w:color w:val="000000" w:themeColor="text1"/>
          <w:sz w:val="20"/>
          <w:szCs w:val="20"/>
        </w:rPr>
        <w:lastRenderedPageBreak/>
        <w:t>The Commission has used various mechanisms to monitor the human rights situation in Guatemala</w:t>
      </w:r>
      <w:r w:rsidR="00CD12FD" w:rsidRPr="008A7BD7">
        <w:rPr>
          <w:rFonts w:ascii="Cambria" w:hAnsi="Cambria"/>
          <w:color w:val="000000" w:themeColor="text1"/>
          <w:sz w:val="20"/>
          <w:szCs w:val="20"/>
        </w:rPr>
        <w:t xml:space="preserve">, </w:t>
      </w:r>
      <w:proofErr w:type="gramStart"/>
      <w:r w:rsidR="00404DA3" w:rsidRPr="008A7BD7">
        <w:rPr>
          <w:rFonts w:ascii="Cambria" w:hAnsi="Cambria"/>
          <w:color w:val="000000" w:themeColor="text1"/>
          <w:sz w:val="20"/>
          <w:szCs w:val="20"/>
        </w:rPr>
        <w:t>including:</w:t>
      </w:r>
      <w:proofErr w:type="gramEnd"/>
      <w:r w:rsidR="00CD12FD" w:rsidRPr="008A7BD7">
        <w:rPr>
          <w:rFonts w:ascii="Cambria" w:hAnsi="Cambria"/>
          <w:color w:val="000000" w:themeColor="text1"/>
          <w:sz w:val="20"/>
          <w:szCs w:val="20"/>
        </w:rPr>
        <w:t xml:space="preserve"> </w:t>
      </w:r>
      <w:r w:rsidRPr="008A7BD7">
        <w:rPr>
          <w:rFonts w:ascii="Cambria" w:hAnsi="Cambria"/>
          <w:color w:val="000000" w:themeColor="text1"/>
          <w:sz w:val="20"/>
          <w:szCs w:val="20"/>
        </w:rPr>
        <w:t>public hearings</w:t>
      </w:r>
      <w:r w:rsidR="00404DA3" w:rsidRPr="008A7BD7">
        <w:rPr>
          <w:rFonts w:ascii="Cambria" w:hAnsi="Cambria"/>
          <w:color w:val="000000" w:themeColor="text1"/>
          <w:sz w:val="20"/>
          <w:szCs w:val="20"/>
        </w:rPr>
        <w:t>;</w:t>
      </w:r>
      <w:r w:rsidRPr="008A7BD7">
        <w:rPr>
          <w:rFonts w:ascii="Cambria" w:hAnsi="Cambria"/>
          <w:color w:val="000000" w:themeColor="text1"/>
          <w:sz w:val="20"/>
          <w:szCs w:val="20"/>
        </w:rPr>
        <w:t xml:space="preserve"> press releases</w:t>
      </w:r>
      <w:r w:rsidR="00404DA3" w:rsidRPr="008A7BD7">
        <w:rPr>
          <w:rFonts w:ascii="Cambria" w:hAnsi="Cambria"/>
          <w:color w:val="000000" w:themeColor="text1"/>
          <w:sz w:val="20"/>
          <w:szCs w:val="20"/>
        </w:rPr>
        <w:t xml:space="preserve">; </w:t>
      </w:r>
      <w:r w:rsidRPr="008A7BD7">
        <w:rPr>
          <w:rFonts w:ascii="Cambria" w:hAnsi="Cambria"/>
          <w:color w:val="000000" w:themeColor="text1"/>
          <w:sz w:val="20"/>
          <w:szCs w:val="20"/>
        </w:rPr>
        <w:t>requests for information from the State based on Article 41 of the American Convention</w:t>
      </w:r>
      <w:r w:rsidR="00404DA3" w:rsidRPr="008A7BD7">
        <w:rPr>
          <w:rFonts w:ascii="Cambria" w:hAnsi="Cambria"/>
          <w:color w:val="000000" w:themeColor="text1"/>
          <w:sz w:val="20"/>
          <w:szCs w:val="20"/>
        </w:rPr>
        <w:t xml:space="preserve">; </w:t>
      </w:r>
      <w:r w:rsidRPr="008A7BD7">
        <w:rPr>
          <w:rFonts w:ascii="Cambria" w:hAnsi="Cambria"/>
          <w:color w:val="000000" w:themeColor="text1"/>
          <w:sz w:val="20"/>
          <w:szCs w:val="20"/>
        </w:rPr>
        <w:t xml:space="preserve">information provided by the State, the </w:t>
      </w:r>
      <w:r w:rsidR="00E62403" w:rsidRPr="008A7BD7">
        <w:rPr>
          <w:rFonts w:ascii="Cambria" w:eastAsia="Times New Roman" w:hAnsi="Cambria" w:cs="Arial"/>
          <w:sz w:val="20"/>
          <w:szCs w:val="20"/>
          <w:lang w:eastAsia="es-ES"/>
        </w:rPr>
        <w:t>Office of the Human Rights Ombudsman, and civil society</w:t>
      </w:r>
      <w:r w:rsidR="00404DA3" w:rsidRPr="008A7BD7">
        <w:rPr>
          <w:rFonts w:ascii="Cambria" w:eastAsia="Times New Roman" w:hAnsi="Cambria" w:cs="Arial"/>
          <w:sz w:val="20"/>
          <w:szCs w:val="20"/>
          <w:lang w:eastAsia="es-ES"/>
        </w:rPr>
        <w:t>;</w:t>
      </w:r>
      <w:r w:rsidR="00E62403" w:rsidRPr="008A7BD7">
        <w:rPr>
          <w:rFonts w:ascii="Cambria" w:eastAsia="Times New Roman" w:hAnsi="Cambria" w:cs="Arial"/>
          <w:sz w:val="20"/>
          <w:szCs w:val="20"/>
          <w:lang w:eastAsia="es-ES"/>
        </w:rPr>
        <w:t xml:space="preserve"> </w:t>
      </w:r>
      <w:r w:rsidR="00E62403" w:rsidRPr="008A7BD7">
        <w:rPr>
          <w:rFonts w:ascii="Cambria" w:eastAsia="Times New Roman" w:hAnsi="Cambria" w:cs="Times New Roman"/>
          <w:sz w:val="20"/>
          <w:szCs w:val="20"/>
          <w:lang w:eastAsia="es-ES_tradnl"/>
        </w:rPr>
        <w:t>and information from international organizations</w:t>
      </w:r>
      <w:r w:rsidR="00404DA3" w:rsidRPr="008A7BD7">
        <w:rPr>
          <w:rFonts w:ascii="Cambria" w:eastAsia="Times New Roman" w:hAnsi="Cambria" w:cs="Times New Roman"/>
          <w:sz w:val="20"/>
          <w:szCs w:val="20"/>
          <w:lang w:eastAsia="es-ES_tradnl"/>
        </w:rPr>
        <w:t xml:space="preserve">, all </w:t>
      </w:r>
      <w:r w:rsidR="00C21D7F" w:rsidRPr="008A7BD7">
        <w:rPr>
          <w:rFonts w:ascii="Cambria" w:eastAsia="Times New Roman" w:hAnsi="Cambria" w:cs="Times New Roman"/>
          <w:sz w:val="20"/>
          <w:szCs w:val="20"/>
          <w:lang w:eastAsia="es-ES_tradnl"/>
        </w:rPr>
        <w:t xml:space="preserve">in </w:t>
      </w:r>
      <w:r w:rsidR="00404DA3" w:rsidRPr="008A7BD7">
        <w:rPr>
          <w:rFonts w:ascii="Cambria" w:eastAsia="Times New Roman" w:hAnsi="Cambria" w:cs="Times New Roman"/>
          <w:sz w:val="20"/>
          <w:szCs w:val="20"/>
          <w:lang w:eastAsia="es-ES_tradnl"/>
        </w:rPr>
        <w:t>keeping</w:t>
      </w:r>
      <w:r w:rsidR="00C21D7F" w:rsidRPr="008A7BD7">
        <w:rPr>
          <w:rFonts w:ascii="Cambria" w:eastAsia="Times New Roman" w:hAnsi="Cambria" w:cs="Times New Roman"/>
          <w:sz w:val="20"/>
          <w:szCs w:val="20"/>
          <w:lang w:eastAsia="es-ES_tradnl"/>
        </w:rPr>
        <w:t xml:space="preserve"> with the provisions </w:t>
      </w:r>
      <w:r w:rsidR="00404DA3" w:rsidRPr="008A7BD7">
        <w:rPr>
          <w:rFonts w:ascii="Cambria" w:eastAsia="Times New Roman" w:hAnsi="Cambria" w:cs="Times New Roman"/>
          <w:sz w:val="20"/>
          <w:szCs w:val="20"/>
          <w:lang w:eastAsia="es-ES_tradnl"/>
        </w:rPr>
        <w:t>established</w:t>
      </w:r>
      <w:r w:rsidR="00C21D7F" w:rsidRPr="008A7BD7">
        <w:rPr>
          <w:rFonts w:ascii="Cambria" w:eastAsia="Times New Roman" w:hAnsi="Cambria" w:cs="Times New Roman"/>
          <w:sz w:val="20"/>
          <w:szCs w:val="20"/>
          <w:lang w:eastAsia="es-ES_tradnl"/>
        </w:rPr>
        <w:t xml:space="preserve"> </w:t>
      </w:r>
      <w:r w:rsidR="009C2423" w:rsidRPr="008A7BD7">
        <w:rPr>
          <w:rFonts w:ascii="Cambria" w:eastAsia="Times New Roman" w:hAnsi="Cambria" w:cs="Times New Roman"/>
          <w:sz w:val="20"/>
          <w:szCs w:val="20"/>
          <w:lang w:eastAsia="es-ES_tradnl"/>
        </w:rPr>
        <w:t xml:space="preserve">in </w:t>
      </w:r>
      <w:r w:rsidR="00C21D7F" w:rsidRPr="008A7BD7">
        <w:rPr>
          <w:rFonts w:ascii="Cambria" w:eastAsia="Times New Roman" w:hAnsi="Cambria" w:cs="Times New Roman"/>
          <w:sz w:val="20"/>
          <w:szCs w:val="20"/>
          <w:lang w:eastAsia="es-ES_tradnl"/>
        </w:rPr>
        <w:t xml:space="preserve">Article </w:t>
      </w:r>
      <w:r w:rsidR="00023A23" w:rsidRPr="008A7BD7">
        <w:rPr>
          <w:rFonts w:ascii="Cambria" w:eastAsia="Times New Roman" w:hAnsi="Cambria" w:cs="Times New Roman"/>
          <w:sz w:val="20"/>
          <w:szCs w:val="20"/>
          <w:lang w:eastAsia="es-ES_tradnl"/>
        </w:rPr>
        <w:t>59</w:t>
      </w:r>
      <w:r w:rsidR="00C21D7F" w:rsidRPr="008A7BD7">
        <w:rPr>
          <w:rFonts w:ascii="Cambria" w:eastAsia="Times New Roman" w:hAnsi="Cambria" w:cs="Times New Roman"/>
          <w:sz w:val="20"/>
          <w:szCs w:val="20"/>
          <w:lang w:eastAsia="es-ES_tradnl"/>
        </w:rPr>
        <w:t>(</w:t>
      </w:r>
      <w:r w:rsidR="00023A23" w:rsidRPr="008A7BD7">
        <w:rPr>
          <w:rFonts w:ascii="Cambria" w:eastAsia="Times New Roman" w:hAnsi="Cambria" w:cs="Times New Roman"/>
          <w:sz w:val="20"/>
          <w:szCs w:val="20"/>
          <w:lang w:eastAsia="es-ES_tradnl"/>
        </w:rPr>
        <w:t>5</w:t>
      </w:r>
      <w:r w:rsidR="00C21D7F" w:rsidRPr="008A7BD7">
        <w:rPr>
          <w:rFonts w:ascii="Cambria" w:eastAsia="Times New Roman" w:hAnsi="Cambria" w:cs="Times New Roman"/>
          <w:sz w:val="20"/>
          <w:szCs w:val="20"/>
          <w:lang w:eastAsia="es-ES_tradnl"/>
        </w:rPr>
        <w:t>) of the IACHR Rules of Procedure.</w:t>
      </w:r>
    </w:p>
    <w:p w14:paraId="65CBCBF4" w14:textId="77777777" w:rsidR="00C56230" w:rsidRPr="008A7BD7" w:rsidRDefault="00C56230" w:rsidP="00C56230">
      <w:pPr>
        <w:pStyle w:val="ListParagraph"/>
        <w:rPr>
          <w:rFonts w:ascii="Cambria" w:eastAsia="Times New Roman" w:hAnsi="Cambria" w:cs="Times New Roman"/>
          <w:sz w:val="20"/>
          <w:szCs w:val="20"/>
          <w:lang w:eastAsia="es-ES_tradnl"/>
        </w:rPr>
      </w:pPr>
    </w:p>
    <w:p w14:paraId="3F76EA97" w14:textId="217F8EC8" w:rsidR="00C56230" w:rsidRPr="008A7BD7" w:rsidRDefault="00B65750" w:rsidP="00C56230">
      <w:pPr>
        <w:numPr>
          <w:ilvl w:val="0"/>
          <w:numId w:val="2"/>
        </w:numPr>
        <w:suppressAutoHyphens/>
        <w:ind w:left="0" w:firstLine="720"/>
        <w:jc w:val="both"/>
        <w:rPr>
          <w:rFonts w:ascii="Cambria" w:eastAsia="Calibri" w:hAnsi="Cambria" w:cs="Times New Roman"/>
          <w:color w:val="000000" w:themeColor="text1"/>
          <w:sz w:val="20"/>
          <w:szCs w:val="20"/>
          <w:lang w:eastAsia="es-ES"/>
        </w:rPr>
      </w:pPr>
      <w:r w:rsidRPr="008A7BD7">
        <w:rPr>
          <w:rFonts w:ascii="Cambria" w:hAnsi="Cambria"/>
          <w:color w:val="000000" w:themeColor="text1"/>
          <w:sz w:val="20"/>
          <w:szCs w:val="20"/>
        </w:rPr>
        <w:t>On November</w:t>
      </w:r>
      <w:r w:rsidR="00C56230" w:rsidRPr="008A7BD7">
        <w:rPr>
          <w:rFonts w:ascii="Cambria" w:hAnsi="Cambria"/>
          <w:color w:val="000000" w:themeColor="text1"/>
          <w:sz w:val="20"/>
          <w:szCs w:val="20"/>
        </w:rPr>
        <w:t xml:space="preserve"> 23</w:t>
      </w:r>
      <w:r w:rsidRPr="008A7BD7">
        <w:rPr>
          <w:rFonts w:ascii="Cambria" w:hAnsi="Cambria"/>
          <w:color w:val="000000" w:themeColor="text1"/>
          <w:sz w:val="20"/>
          <w:szCs w:val="20"/>
        </w:rPr>
        <w:t xml:space="preserve">, </w:t>
      </w:r>
      <w:r w:rsidR="00C56230" w:rsidRPr="008A7BD7">
        <w:rPr>
          <w:rFonts w:ascii="Cambria" w:hAnsi="Cambria"/>
          <w:color w:val="000000" w:themeColor="text1"/>
          <w:sz w:val="20"/>
          <w:szCs w:val="20"/>
        </w:rPr>
        <w:t xml:space="preserve">2021, </w:t>
      </w:r>
      <w:r w:rsidRPr="008A7BD7">
        <w:rPr>
          <w:rFonts w:ascii="Cambria" w:hAnsi="Cambria"/>
          <w:color w:val="000000" w:themeColor="text1"/>
          <w:sz w:val="20"/>
          <w:szCs w:val="20"/>
        </w:rPr>
        <w:t xml:space="preserve">the IACHR sent the State of Guatemala a preliminary copy of this document, which is part of Chapter </w:t>
      </w:r>
      <w:r w:rsidR="00C56230" w:rsidRPr="008A7BD7">
        <w:rPr>
          <w:rFonts w:ascii="Cambria" w:hAnsi="Cambria"/>
          <w:color w:val="000000" w:themeColor="text1"/>
          <w:sz w:val="20"/>
          <w:szCs w:val="20"/>
        </w:rPr>
        <w:t xml:space="preserve">IV.B </w:t>
      </w:r>
      <w:r w:rsidRPr="008A7BD7">
        <w:rPr>
          <w:rFonts w:ascii="Cambria" w:hAnsi="Cambria"/>
          <w:color w:val="000000" w:themeColor="text1"/>
          <w:sz w:val="20"/>
          <w:szCs w:val="20"/>
        </w:rPr>
        <w:t>of its 2021 Annual Report</w:t>
      </w:r>
      <w:r w:rsidR="00D5626A" w:rsidRPr="008A7BD7">
        <w:rPr>
          <w:rFonts w:ascii="Cambria" w:hAnsi="Cambria"/>
          <w:color w:val="000000" w:themeColor="text1"/>
          <w:sz w:val="20"/>
          <w:szCs w:val="20"/>
        </w:rPr>
        <w:t xml:space="preserve">, </w:t>
      </w:r>
      <w:r w:rsidRPr="008A7BD7">
        <w:rPr>
          <w:rFonts w:ascii="Cambria" w:hAnsi="Cambria"/>
          <w:color w:val="000000" w:themeColor="text1"/>
          <w:sz w:val="20"/>
          <w:szCs w:val="20"/>
        </w:rPr>
        <w:t xml:space="preserve">and, in keeping with the IACHR Rules of Procedure, requested that </w:t>
      </w:r>
      <w:r w:rsidR="000C26B1" w:rsidRPr="008A7BD7">
        <w:rPr>
          <w:rFonts w:ascii="Cambria" w:hAnsi="Cambria"/>
          <w:color w:val="000000" w:themeColor="text1"/>
          <w:sz w:val="20"/>
          <w:szCs w:val="20"/>
        </w:rPr>
        <w:t>the State</w:t>
      </w:r>
      <w:r w:rsidRPr="008A7BD7">
        <w:rPr>
          <w:rFonts w:ascii="Cambria" w:hAnsi="Cambria"/>
          <w:color w:val="000000" w:themeColor="text1"/>
          <w:sz w:val="20"/>
          <w:szCs w:val="20"/>
        </w:rPr>
        <w:t xml:space="preserve"> present its observations within one month. The State sent its response </w:t>
      </w:r>
      <w:r w:rsidR="00D66E56" w:rsidRPr="008A7BD7">
        <w:rPr>
          <w:rFonts w:ascii="Cambria" w:hAnsi="Cambria"/>
          <w:color w:val="000000" w:themeColor="text1"/>
          <w:sz w:val="20"/>
          <w:szCs w:val="20"/>
        </w:rPr>
        <w:t xml:space="preserve">dated December 22, </w:t>
      </w:r>
      <w:proofErr w:type="gramStart"/>
      <w:r w:rsidR="00D66E56" w:rsidRPr="008A7BD7">
        <w:rPr>
          <w:rFonts w:ascii="Cambria" w:hAnsi="Cambria"/>
          <w:color w:val="000000" w:themeColor="text1"/>
          <w:sz w:val="20"/>
          <w:szCs w:val="20"/>
        </w:rPr>
        <w:t>2021</w:t>
      </w:r>
      <w:proofErr w:type="gramEnd"/>
      <w:r w:rsidR="00D66E56" w:rsidRPr="008A7BD7">
        <w:rPr>
          <w:rFonts w:ascii="Cambria" w:hAnsi="Cambria"/>
          <w:color w:val="000000" w:themeColor="text1"/>
          <w:sz w:val="20"/>
          <w:szCs w:val="20"/>
        </w:rPr>
        <w:t xml:space="preserve"> </w:t>
      </w:r>
      <w:r w:rsidRPr="008A7BD7">
        <w:rPr>
          <w:rFonts w:ascii="Cambria" w:hAnsi="Cambria"/>
          <w:color w:val="000000" w:themeColor="text1"/>
          <w:sz w:val="20"/>
          <w:szCs w:val="20"/>
        </w:rPr>
        <w:t xml:space="preserve">on December </w:t>
      </w:r>
      <w:r w:rsidR="00C56230" w:rsidRPr="008A7BD7">
        <w:rPr>
          <w:rFonts w:ascii="Cambria" w:eastAsia="Cambria" w:hAnsi="Cambria" w:cs="Cambria"/>
          <w:sz w:val="20"/>
          <w:szCs w:val="20"/>
        </w:rPr>
        <w:t>23</w:t>
      </w:r>
      <w:r w:rsidRPr="008A7BD7">
        <w:rPr>
          <w:rFonts w:ascii="Cambria" w:eastAsia="Cambria" w:hAnsi="Cambria" w:cs="Cambria"/>
          <w:sz w:val="20"/>
          <w:szCs w:val="20"/>
        </w:rPr>
        <w:t xml:space="preserve">, </w:t>
      </w:r>
      <w:r w:rsidR="00C56230" w:rsidRPr="008A7BD7">
        <w:rPr>
          <w:rFonts w:ascii="Cambria" w:eastAsia="Cambria" w:hAnsi="Cambria" w:cs="Cambria"/>
          <w:sz w:val="20"/>
          <w:szCs w:val="20"/>
        </w:rPr>
        <w:t>2021</w:t>
      </w:r>
      <w:r w:rsidRPr="008A7BD7">
        <w:rPr>
          <w:rFonts w:ascii="Cambria" w:eastAsia="Cambria" w:hAnsi="Cambria" w:cs="Cambria"/>
          <w:sz w:val="20"/>
          <w:szCs w:val="20"/>
        </w:rPr>
        <w:t>.</w:t>
      </w:r>
      <w:r w:rsidR="00C56230" w:rsidRPr="008A7BD7">
        <w:rPr>
          <w:rFonts w:ascii="Cambria" w:eastAsia="Cambria" w:hAnsi="Cambria" w:cs="Cambria"/>
          <w:sz w:val="20"/>
          <w:szCs w:val="20"/>
          <w:vertAlign w:val="superscript"/>
          <w:lang w:val="es-MX"/>
        </w:rPr>
        <w:footnoteReference w:id="12"/>
      </w:r>
      <w:r w:rsidR="00C56230" w:rsidRPr="008A7BD7">
        <w:rPr>
          <w:rFonts w:ascii="Cambria" w:eastAsia="Cambria" w:hAnsi="Cambria" w:cs="Cambria"/>
          <w:sz w:val="20"/>
          <w:szCs w:val="20"/>
        </w:rPr>
        <w:t xml:space="preserve"> </w:t>
      </w:r>
      <w:r w:rsidRPr="008A7BD7">
        <w:rPr>
          <w:rFonts w:ascii="Cambria" w:eastAsia="Cambria" w:hAnsi="Cambria" w:cs="Cambria"/>
          <w:sz w:val="20"/>
          <w:szCs w:val="20"/>
        </w:rPr>
        <w:t>The Commission values and appreciates the information it received, relevant parts of which were included in the final version of this report, approved on</w:t>
      </w:r>
      <w:r w:rsidR="00C56230" w:rsidRPr="008A7BD7">
        <w:rPr>
          <w:rFonts w:ascii="Cambria" w:eastAsia="Cambria" w:hAnsi="Cambria" w:cs="Cambria"/>
          <w:sz w:val="20"/>
          <w:szCs w:val="20"/>
        </w:rPr>
        <w:t xml:space="preserve"> </w:t>
      </w:r>
      <w:r w:rsidR="008A7BD7" w:rsidRPr="008A7BD7">
        <w:rPr>
          <w:rFonts w:ascii="Cambria" w:eastAsia="Cambria" w:hAnsi="Cambria" w:cs="Cambria"/>
          <w:sz w:val="20"/>
          <w:szCs w:val="20"/>
        </w:rPr>
        <w:t>March 1,</w:t>
      </w:r>
      <w:r w:rsidRPr="008A7BD7">
        <w:rPr>
          <w:rFonts w:ascii="Cambria" w:eastAsia="Cambria" w:hAnsi="Cambria" w:cs="Cambria"/>
          <w:sz w:val="20"/>
          <w:szCs w:val="20"/>
        </w:rPr>
        <w:t xml:space="preserve"> </w:t>
      </w:r>
      <w:r w:rsidR="00C56230" w:rsidRPr="008A7BD7">
        <w:rPr>
          <w:rFonts w:ascii="Cambria" w:eastAsia="Cambria" w:hAnsi="Cambria" w:cs="Cambria"/>
          <w:sz w:val="20"/>
          <w:szCs w:val="20"/>
        </w:rPr>
        <w:t>2022.</w:t>
      </w:r>
    </w:p>
    <w:p w14:paraId="50127FEA" w14:textId="77777777" w:rsidR="00C56230" w:rsidRPr="008A7BD7" w:rsidRDefault="00C56230" w:rsidP="00C56230">
      <w:pPr>
        <w:pStyle w:val="ListParagraph"/>
        <w:rPr>
          <w:sz w:val="20"/>
          <w:szCs w:val="20"/>
        </w:rPr>
      </w:pPr>
    </w:p>
    <w:p w14:paraId="70C224C6" w14:textId="3283C720" w:rsidR="00C56230" w:rsidRPr="008A7BD7" w:rsidRDefault="00536A2E" w:rsidP="00C56230">
      <w:pPr>
        <w:numPr>
          <w:ilvl w:val="0"/>
          <w:numId w:val="2"/>
        </w:numPr>
        <w:suppressAutoHyphens/>
        <w:ind w:left="0" w:firstLine="720"/>
        <w:jc w:val="both"/>
        <w:rPr>
          <w:rFonts w:ascii="Cambria" w:eastAsia="Calibri" w:hAnsi="Cambria" w:cs="Times New Roman"/>
          <w:sz w:val="20"/>
          <w:szCs w:val="20"/>
          <w:lang w:eastAsia="es-ES"/>
        </w:rPr>
      </w:pPr>
      <w:r w:rsidRPr="008A7BD7">
        <w:rPr>
          <w:rFonts w:ascii="Cambria" w:hAnsi="Cambria"/>
          <w:color w:val="000000" w:themeColor="text1"/>
          <w:sz w:val="20"/>
          <w:szCs w:val="20"/>
        </w:rPr>
        <w:t>In its communication of December 2</w:t>
      </w:r>
      <w:r w:rsidR="006E7DA1" w:rsidRPr="008A7BD7">
        <w:rPr>
          <w:rFonts w:ascii="Cambria" w:hAnsi="Cambria"/>
          <w:color w:val="000000" w:themeColor="text1"/>
          <w:sz w:val="20"/>
          <w:szCs w:val="20"/>
        </w:rPr>
        <w:t>2</w:t>
      </w:r>
      <w:r w:rsidRPr="008A7BD7">
        <w:rPr>
          <w:rFonts w:ascii="Cambria" w:hAnsi="Cambria"/>
          <w:color w:val="000000" w:themeColor="text1"/>
          <w:sz w:val="20"/>
          <w:szCs w:val="20"/>
        </w:rPr>
        <w:t xml:space="preserve">, </w:t>
      </w:r>
      <w:r w:rsidR="00C56230" w:rsidRPr="008A7BD7">
        <w:rPr>
          <w:rFonts w:ascii="Cambria" w:hAnsi="Cambria"/>
          <w:color w:val="000000" w:themeColor="text1"/>
          <w:sz w:val="20"/>
          <w:szCs w:val="20"/>
        </w:rPr>
        <w:t xml:space="preserve">2021, </w:t>
      </w:r>
      <w:r w:rsidRPr="008A7BD7">
        <w:rPr>
          <w:rFonts w:ascii="Cambria" w:hAnsi="Cambria"/>
          <w:color w:val="000000" w:themeColor="text1"/>
          <w:sz w:val="20"/>
          <w:szCs w:val="20"/>
        </w:rPr>
        <w:t>the State expressed its disagreement with the Commission’s decision to include</w:t>
      </w:r>
      <w:r w:rsidRPr="008A7BD7">
        <w:rPr>
          <w:rFonts w:ascii="Cambria" w:eastAsia="Calibri" w:hAnsi="Cambria" w:cs="Times New Roman"/>
          <w:sz w:val="20"/>
          <w:szCs w:val="20"/>
          <w:lang w:eastAsia="es-ES"/>
        </w:rPr>
        <w:t xml:space="preserve"> </w:t>
      </w:r>
      <w:r w:rsidR="00C56230" w:rsidRPr="008A7BD7">
        <w:rPr>
          <w:rFonts w:ascii="Cambria" w:eastAsia="Calibri" w:hAnsi="Cambria" w:cs="Times New Roman"/>
          <w:sz w:val="20"/>
          <w:szCs w:val="20"/>
          <w:lang w:eastAsia="es-ES"/>
        </w:rPr>
        <w:t xml:space="preserve">Guatemala </w:t>
      </w:r>
      <w:r w:rsidRPr="008A7BD7">
        <w:rPr>
          <w:rFonts w:ascii="Cambria" w:eastAsia="Calibri" w:hAnsi="Cambria" w:cs="Times New Roman"/>
          <w:sz w:val="20"/>
          <w:szCs w:val="20"/>
          <w:lang w:eastAsia="es-ES"/>
        </w:rPr>
        <w:t>in</w:t>
      </w:r>
      <w:r w:rsidR="00C56230" w:rsidRPr="008A7BD7">
        <w:rPr>
          <w:rFonts w:ascii="Cambria" w:eastAsia="Calibri" w:hAnsi="Cambria" w:cs="Times New Roman"/>
          <w:sz w:val="20"/>
          <w:szCs w:val="20"/>
          <w:lang w:eastAsia="es-ES"/>
        </w:rPr>
        <w:t xml:space="preserve"> </w:t>
      </w:r>
      <w:r w:rsidRPr="008A7BD7">
        <w:rPr>
          <w:rFonts w:ascii="Cambria" w:eastAsia="Calibri" w:hAnsi="Cambria" w:cs="Times New Roman"/>
          <w:sz w:val="20"/>
          <w:szCs w:val="20"/>
          <w:lang w:eastAsia="es-ES"/>
        </w:rPr>
        <w:t>Chapter</w:t>
      </w:r>
      <w:r w:rsidR="00C56230" w:rsidRPr="008A7BD7">
        <w:rPr>
          <w:rFonts w:ascii="Cambria" w:eastAsia="Calibri" w:hAnsi="Cambria" w:cs="Times New Roman"/>
          <w:sz w:val="20"/>
          <w:szCs w:val="20"/>
          <w:lang w:eastAsia="es-ES"/>
        </w:rPr>
        <w:t xml:space="preserve"> IV.B</w:t>
      </w:r>
      <w:r w:rsidR="007A077B" w:rsidRPr="008A7BD7">
        <w:rPr>
          <w:rFonts w:ascii="Cambria" w:eastAsia="Calibri" w:hAnsi="Cambria" w:cs="Times New Roman"/>
          <w:sz w:val="20"/>
          <w:szCs w:val="20"/>
          <w:lang w:eastAsia="es-ES"/>
        </w:rPr>
        <w:t xml:space="preserve">, </w:t>
      </w:r>
      <w:r w:rsidRPr="008A7BD7">
        <w:rPr>
          <w:rFonts w:ascii="Cambria" w:eastAsia="Calibri" w:hAnsi="Cambria" w:cs="Times New Roman"/>
          <w:sz w:val="20"/>
          <w:szCs w:val="20"/>
          <w:lang w:eastAsia="es-ES"/>
        </w:rPr>
        <w:t>consider</w:t>
      </w:r>
      <w:r w:rsidR="007A077B" w:rsidRPr="008A7BD7">
        <w:rPr>
          <w:rFonts w:ascii="Cambria" w:eastAsia="Calibri" w:hAnsi="Cambria" w:cs="Times New Roman"/>
          <w:sz w:val="20"/>
          <w:szCs w:val="20"/>
          <w:lang w:eastAsia="es-ES"/>
        </w:rPr>
        <w:t>ing</w:t>
      </w:r>
      <w:r w:rsidRPr="008A7BD7">
        <w:rPr>
          <w:rFonts w:ascii="Cambria" w:eastAsia="Calibri" w:hAnsi="Cambria" w:cs="Times New Roman"/>
          <w:sz w:val="20"/>
          <w:szCs w:val="20"/>
          <w:lang w:eastAsia="es-ES"/>
        </w:rPr>
        <w:t xml:space="preserve"> that </w:t>
      </w:r>
      <w:r w:rsidR="00C56230" w:rsidRPr="008A7BD7">
        <w:rPr>
          <w:rFonts w:ascii="Cambria" w:eastAsia="Calibri" w:hAnsi="Cambria" w:cs="Times New Roman"/>
          <w:sz w:val="20"/>
          <w:szCs w:val="20"/>
          <w:lang w:eastAsia="es-ES"/>
        </w:rPr>
        <w:t>“obje</w:t>
      </w:r>
      <w:r w:rsidRPr="008A7BD7">
        <w:rPr>
          <w:rFonts w:ascii="Cambria" w:eastAsia="Calibri" w:hAnsi="Cambria" w:cs="Times New Roman"/>
          <w:sz w:val="20"/>
          <w:szCs w:val="20"/>
          <w:lang w:eastAsia="es-ES"/>
        </w:rPr>
        <w:t>ctively, it is</w:t>
      </w:r>
      <w:r w:rsidR="00211714" w:rsidRPr="008A7BD7">
        <w:rPr>
          <w:rFonts w:ascii="Cambria" w:eastAsia="Calibri" w:hAnsi="Cambria" w:cs="Times New Roman"/>
          <w:sz w:val="20"/>
          <w:szCs w:val="20"/>
          <w:lang w:eastAsia="es-ES"/>
        </w:rPr>
        <w:t xml:space="preserve"> </w:t>
      </w:r>
      <w:r w:rsidR="00E60732" w:rsidRPr="008A7BD7">
        <w:rPr>
          <w:rFonts w:ascii="Cambria" w:eastAsia="Calibri" w:hAnsi="Cambria" w:cs="Times New Roman"/>
          <w:sz w:val="20"/>
          <w:szCs w:val="20"/>
          <w:lang w:eastAsia="es-ES"/>
        </w:rPr>
        <w:t>completely</w:t>
      </w:r>
      <w:r w:rsidR="00F65251" w:rsidRPr="008A7BD7">
        <w:rPr>
          <w:rFonts w:ascii="Cambria" w:eastAsia="Calibri" w:hAnsi="Cambria" w:cs="Times New Roman"/>
          <w:sz w:val="20"/>
          <w:szCs w:val="20"/>
          <w:lang w:eastAsia="es-ES"/>
        </w:rPr>
        <w:t xml:space="preserve"> inconceivable</w:t>
      </w:r>
      <w:r w:rsidR="00211714" w:rsidRPr="008A7BD7">
        <w:rPr>
          <w:rFonts w:ascii="Cambria" w:eastAsia="Calibri" w:hAnsi="Cambria" w:cs="Times New Roman"/>
          <w:sz w:val="20"/>
          <w:szCs w:val="20"/>
          <w:lang w:eastAsia="es-ES"/>
        </w:rPr>
        <w:t xml:space="preserve"> to</w:t>
      </w:r>
      <w:r w:rsidRPr="008A7BD7">
        <w:rPr>
          <w:rFonts w:ascii="Cambria" w:eastAsia="Calibri" w:hAnsi="Cambria" w:cs="Times New Roman"/>
          <w:sz w:val="20"/>
          <w:szCs w:val="20"/>
          <w:lang w:eastAsia="es-ES"/>
        </w:rPr>
        <w:t xml:space="preserve"> </w:t>
      </w:r>
      <w:r w:rsidR="00211714" w:rsidRPr="008A7BD7">
        <w:rPr>
          <w:rFonts w:ascii="Cambria" w:eastAsia="Calibri" w:hAnsi="Cambria" w:cs="Times New Roman"/>
          <w:sz w:val="20"/>
          <w:szCs w:val="20"/>
          <w:lang w:eastAsia="es-ES"/>
        </w:rPr>
        <w:t>frame the country’s current situation</w:t>
      </w:r>
      <w:r w:rsidR="00C56230" w:rsidRPr="008A7BD7">
        <w:rPr>
          <w:rFonts w:ascii="Cambria" w:eastAsia="Calibri" w:hAnsi="Cambria" w:cs="Times New Roman"/>
          <w:sz w:val="20"/>
          <w:szCs w:val="20"/>
          <w:lang w:eastAsia="es-ES"/>
        </w:rPr>
        <w:t xml:space="preserve"> </w:t>
      </w:r>
      <w:r w:rsidR="00211714" w:rsidRPr="008A7BD7">
        <w:rPr>
          <w:rFonts w:ascii="Cambria" w:eastAsia="Calibri" w:hAnsi="Cambria" w:cs="Times New Roman"/>
          <w:sz w:val="20"/>
          <w:szCs w:val="20"/>
          <w:lang w:eastAsia="es-ES"/>
        </w:rPr>
        <w:t>in terms of the hypothetical case</w:t>
      </w:r>
      <w:r w:rsidR="00810A7D" w:rsidRPr="008A7BD7">
        <w:rPr>
          <w:rFonts w:ascii="Cambria" w:eastAsia="Calibri" w:hAnsi="Cambria" w:cs="Times New Roman"/>
          <w:sz w:val="20"/>
          <w:szCs w:val="20"/>
          <w:lang w:eastAsia="es-ES"/>
        </w:rPr>
        <w:t xml:space="preserve"> included in Article </w:t>
      </w:r>
      <w:r w:rsidR="00C56230" w:rsidRPr="008A7BD7">
        <w:rPr>
          <w:rFonts w:ascii="Cambria" w:eastAsia="Calibri" w:hAnsi="Cambria" w:cs="Times New Roman"/>
          <w:sz w:val="20"/>
          <w:szCs w:val="20"/>
          <w:lang w:eastAsia="es-ES"/>
        </w:rPr>
        <w:t>59</w:t>
      </w:r>
      <w:r w:rsidR="00174426" w:rsidRPr="008A7BD7">
        <w:rPr>
          <w:rFonts w:ascii="Cambria" w:eastAsia="Calibri" w:hAnsi="Cambria" w:cs="Times New Roman"/>
          <w:sz w:val="20"/>
          <w:szCs w:val="20"/>
          <w:lang w:eastAsia="es-ES"/>
        </w:rPr>
        <w:t>(</w:t>
      </w:r>
      <w:r w:rsidR="00C56230" w:rsidRPr="008A7BD7">
        <w:rPr>
          <w:rFonts w:ascii="Cambria" w:eastAsia="Calibri" w:hAnsi="Cambria" w:cs="Times New Roman"/>
          <w:sz w:val="20"/>
          <w:szCs w:val="20"/>
          <w:lang w:eastAsia="es-ES"/>
        </w:rPr>
        <w:t>6</w:t>
      </w:r>
      <w:r w:rsidR="00174426" w:rsidRPr="008A7BD7">
        <w:rPr>
          <w:rFonts w:ascii="Cambria" w:eastAsia="Calibri" w:hAnsi="Cambria" w:cs="Times New Roman"/>
          <w:sz w:val="20"/>
          <w:szCs w:val="20"/>
          <w:lang w:eastAsia="es-ES"/>
        </w:rPr>
        <w:t>)</w:t>
      </w:r>
      <w:r w:rsidR="00810A7D" w:rsidRPr="008A7BD7">
        <w:rPr>
          <w:rFonts w:ascii="Cambria" w:eastAsia="Calibri" w:hAnsi="Cambria" w:cs="Times New Roman"/>
          <w:sz w:val="20"/>
          <w:szCs w:val="20"/>
          <w:lang w:eastAsia="es-ES"/>
        </w:rPr>
        <w:t>(</w:t>
      </w:r>
      <w:r w:rsidR="00C56230" w:rsidRPr="008A7BD7">
        <w:rPr>
          <w:rFonts w:ascii="Cambria" w:eastAsia="Calibri" w:hAnsi="Cambria" w:cs="Times New Roman"/>
          <w:sz w:val="20"/>
          <w:szCs w:val="20"/>
          <w:lang w:eastAsia="es-ES"/>
        </w:rPr>
        <w:t>d)</w:t>
      </w:r>
      <w:r w:rsidR="00810A7D" w:rsidRPr="008A7BD7">
        <w:rPr>
          <w:rFonts w:ascii="Cambria" w:eastAsia="Calibri" w:hAnsi="Cambria" w:cs="Times New Roman"/>
          <w:sz w:val="20"/>
          <w:szCs w:val="20"/>
          <w:lang w:eastAsia="es-ES"/>
        </w:rPr>
        <w:t>(</w:t>
      </w:r>
      <w:r w:rsidR="00C56230" w:rsidRPr="008A7BD7">
        <w:rPr>
          <w:rFonts w:ascii="Cambria" w:eastAsia="Calibri" w:hAnsi="Cambria" w:cs="Times New Roman"/>
          <w:sz w:val="20"/>
          <w:szCs w:val="20"/>
          <w:lang w:eastAsia="es-ES"/>
        </w:rPr>
        <w:t>ii</w:t>
      </w:r>
      <w:r w:rsidR="00810A7D" w:rsidRPr="008A7BD7">
        <w:rPr>
          <w:rFonts w:ascii="Cambria" w:eastAsia="Calibri" w:hAnsi="Cambria" w:cs="Times New Roman"/>
          <w:sz w:val="20"/>
          <w:szCs w:val="20"/>
          <w:lang w:eastAsia="es-ES"/>
        </w:rPr>
        <w:t xml:space="preserve">) of the Rules of Procedure of the Inter-American Commission on Human Rights.” </w:t>
      </w:r>
      <w:r w:rsidR="00336E8D" w:rsidRPr="008A7BD7">
        <w:rPr>
          <w:rFonts w:ascii="Cambria" w:eastAsia="Calibri" w:hAnsi="Cambria" w:cs="Times New Roman"/>
          <w:sz w:val="20"/>
          <w:szCs w:val="20"/>
          <w:lang w:eastAsia="es-ES"/>
        </w:rPr>
        <w:t>The State</w:t>
      </w:r>
      <w:r w:rsidR="00810A7D" w:rsidRPr="008A7BD7">
        <w:rPr>
          <w:rFonts w:ascii="Cambria" w:eastAsia="Calibri" w:hAnsi="Cambria" w:cs="Times New Roman"/>
          <w:sz w:val="20"/>
          <w:szCs w:val="20"/>
          <w:lang w:eastAsia="es-ES"/>
        </w:rPr>
        <w:t xml:space="preserve"> also emphatically denied “the existence of structural situations that </w:t>
      </w:r>
      <w:r w:rsidR="00336E8D" w:rsidRPr="008A7BD7">
        <w:rPr>
          <w:rFonts w:ascii="Cambria" w:eastAsia="Calibri" w:hAnsi="Cambria" w:cs="Times New Roman"/>
          <w:sz w:val="20"/>
          <w:szCs w:val="20"/>
          <w:lang w:eastAsia="es-ES"/>
        </w:rPr>
        <w:t>gravely</w:t>
      </w:r>
      <w:r w:rsidR="00810A7D" w:rsidRPr="008A7BD7">
        <w:rPr>
          <w:rFonts w:ascii="Cambria" w:eastAsia="Calibri" w:hAnsi="Cambria" w:cs="Times New Roman"/>
          <w:sz w:val="20"/>
          <w:szCs w:val="20"/>
          <w:lang w:eastAsia="es-ES"/>
        </w:rPr>
        <w:t xml:space="preserve"> affect the </w:t>
      </w:r>
      <w:r w:rsidR="00336E8D" w:rsidRPr="008A7BD7">
        <w:rPr>
          <w:rFonts w:ascii="Cambria" w:eastAsia="Calibri" w:hAnsi="Cambria" w:cs="Times New Roman"/>
          <w:sz w:val="20"/>
          <w:szCs w:val="20"/>
          <w:lang w:eastAsia="es-ES"/>
        </w:rPr>
        <w:t>exercise</w:t>
      </w:r>
      <w:r w:rsidR="00810A7D" w:rsidRPr="008A7BD7">
        <w:rPr>
          <w:rFonts w:ascii="Cambria" w:eastAsia="Calibri" w:hAnsi="Cambria" w:cs="Times New Roman"/>
          <w:sz w:val="20"/>
          <w:szCs w:val="20"/>
          <w:lang w:eastAsia="es-ES"/>
        </w:rPr>
        <w:t xml:space="preserve"> and enjoyment of fundamental rights </w:t>
      </w:r>
      <w:r w:rsidR="00336E8D" w:rsidRPr="008A7BD7">
        <w:rPr>
          <w:rFonts w:ascii="Cambria" w:eastAsia="Calibri" w:hAnsi="Cambria" w:cs="Times New Roman"/>
          <w:sz w:val="20"/>
          <w:szCs w:val="20"/>
          <w:lang w:eastAsia="es-ES"/>
        </w:rPr>
        <w:t>contained</w:t>
      </w:r>
      <w:r w:rsidR="00810A7D" w:rsidRPr="008A7BD7">
        <w:rPr>
          <w:rFonts w:ascii="Cambria" w:eastAsia="Calibri" w:hAnsi="Cambria" w:cs="Times New Roman"/>
          <w:sz w:val="20"/>
          <w:szCs w:val="20"/>
          <w:lang w:eastAsia="es-ES"/>
        </w:rPr>
        <w:t xml:space="preserve"> in the American Declaration, the American Convention, or other applicable human rights instruments, as well as the guarantees contained in the </w:t>
      </w:r>
      <w:r w:rsidR="00781650" w:rsidRPr="008A7BD7">
        <w:rPr>
          <w:rFonts w:ascii="Cambria" w:eastAsia="Calibri" w:hAnsi="Cambria" w:cs="Times New Roman"/>
          <w:sz w:val="20"/>
          <w:szCs w:val="20"/>
          <w:lang w:eastAsia="es-ES"/>
        </w:rPr>
        <w:t xml:space="preserve">Constitution of the Republic of Guatemala”; </w:t>
      </w:r>
      <w:r w:rsidR="00AA1B4E" w:rsidRPr="008A7BD7">
        <w:rPr>
          <w:rFonts w:ascii="Cambria" w:eastAsia="Calibri" w:hAnsi="Cambria" w:cs="Times New Roman"/>
          <w:sz w:val="20"/>
          <w:szCs w:val="20"/>
          <w:lang w:eastAsia="es-ES"/>
        </w:rPr>
        <w:t>likewise</w:t>
      </w:r>
      <w:r w:rsidR="00781650" w:rsidRPr="008A7BD7">
        <w:rPr>
          <w:rFonts w:ascii="Cambria" w:eastAsia="Calibri" w:hAnsi="Cambria" w:cs="Times New Roman"/>
          <w:sz w:val="20"/>
          <w:szCs w:val="20"/>
          <w:lang w:eastAsia="es-ES"/>
        </w:rPr>
        <w:t xml:space="preserve">, it “categorically rejects </w:t>
      </w:r>
      <w:r w:rsidR="00514A18" w:rsidRPr="008A7BD7">
        <w:rPr>
          <w:rFonts w:ascii="Cambria" w:eastAsia="Calibri" w:hAnsi="Cambria" w:cs="Times New Roman"/>
          <w:sz w:val="20"/>
          <w:szCs w:val="20"/>
          <w:lang w:eastAsia="es-ES"/>
        </w:rPr>
        <w:t>[</w:t>
      </w:r>
      <w:r w:rsidR="00DA4343" w:rsidRPr="008A7BD7">
        <w:rPr>
          <w:rFonts w:ascii="Cambria" w:eastAsia="Calibri" w:hAnsi="Cambria" w:cs="Times New Roman"/>
          <w:sz w:val="20"/>
          <w:szCs w:val="20"/>
          <w:lang w:eastAsia="es-ES"/>
        </w:rPr>
        <w:t>that there has been</w:t>
      </w:r>
      <w:r w:rsidR="00514A18" w:rsidRPr="008A7BD7">
        <w:rPr>
          <w:rFonts w:ascii="Cambria" w:eastAsia="Calibri" w:hAnsi="Cambria" w:cs="Times New Roman"/>
          <w:sz w:val="20"/>
          <w:szCs w:val="20"/>
          <w:lang w:eastAsia="es-ES"/>
        </w:rPr>
        <w:t>]</w:t>
      </w:r>
      <w:r w:rsidR="00781650" w:rsidRPr="008A7BD7">
        <w:rPr>
          <w:rFonts w:ascii="Cambria" w:eastAsia="Calibri" w:hAnsi="Cambria" w:cs="Times New Roman"/>
          <w:sz w:val="20"/>
          <w:szCs w:val="20"/>
          <w:lang w:eastAsia="es-ES"/>
        </w:rPr>
        <w:t xml:space="preserve"> systematic noncompliance with its obligation to combat impunity and a manifest lack of will in this respect.”</w:t>
      </w:r>
      <w:r w:rsidR="00C56230" w:rsidRPr="008A7BD7">
        <w:rPr>
          <w:rStyle w:val="FootnoteReference"/>
          <w:rFonts w:ascii="Cambria" w:eastAsia="Calibri" w:hAnsi="Cambria" w:cs="Times New Roman"/>
          <w:sz w:val="20"/>
          <w:szCs w:val="20"/>
          <w:lang w:val="es-US" w:eastAsia="es-ES"/>
        </w:rPr>
        <w:footnoteReference w:id="13"/>
      </w:r>
    </w:p>
    <w:p w14:paraId="6309A7EE" w14:textId="77777777" w:rsidR="00C56230" w:rsidRPr="008A7BD7" w:rsidRDefault="00C56230" w:rsidP="00C56230">
      <w:pPr>
        <w:pStyle w:val="ListParagraph"/>
        <w:rPr>
          <w:rFonts w:ascii="Cambria" w:eastAsia="Calibri" w:hAnsi="Cambria" w:cs="Times New Roman"/>
          <w:sz w:val="20"/>
          <w:szCs w:val="20"/>
          <w:lang w:eastAsia="es-ES"/>
        </w:rPr>
      </w:pPr>
    </w:p>
    <w:p w14:paraId="047C33CD" w14:textId="78B03632" w:rsidR="00C56230" w:rsidRPr="008A7BD7" w:rsidRDefault="00B1419F" w:rsidP="00C56230">
      <w:pPr>
        <w:numPr>
          <w:ilvl w:val="0"/>
          <w:numId w:val="2"/>
        </w:numPr>
        <w:suppressAutoHyphens/>
        <w:ind w:left="0" w:firstLine="720"/>
        <w:jc w:val="both"/>
        <w:rPr>
          <w:rFonts w:ascii="Cambria" w:eastAsia="Calibri" w:hAnsi="Cambria" w:cs="Times New Roman"/>
          <w:sz w:val="20"/>
          <w:szCs w:val="20"/>
          <w:lang w:eastAsia="es-ES"/>
        </w:rPr>
      </w:pPr>
      <w:r w:rsidRPr="008A7BD7">
        <w:rPr>
          <w:rFonts w:ascii="Cambria" w:eastAsia="Calibri" w:hAnsi="Cambria" w:cs="Times New Roman"/>
          <w:sz w:val="20"/>
          <w:szCs w:val="20"/>
          <w:lang w:eastAsia="es-ES"/>
        </w:rPr>
        <w:t>Additionally, in its communication of December 2</w:t>
      </w:r>
      <w:r w:rsidR="006E7DA1" w:rsidRPr="008A7BD7">
        <w:rPr>
          <w:rFonts w:ascii="Cambria" w:eastAsia="Calibri" w:hAnsi="Cambria" w:cs="Times New Roman"/>
          <w:sz w:val="20"/>
          <w:szCs w:val="20"/>
          <w:lang w:eastAsia="es-ES"/>
        </w:rPr>
        <w:t>2</w:t>
      </w:r>
      <w:r w:rsidRPr="008A7BD7">
        <w:rPr>
          <w:rFonts w:ascii="Cambria" w:eastAsia="Calibri" w:hAnsi="Cambria" w:cs="Times New Roman"/>
          <w:sz w:val="20"/>
          <w:szCs w:val="20"/>
          <w:lang w:eastAsia="es-ES"/>
        </w:rPr>
        <w:t xml:space="preserve">, </w:t>
      </w:r>
      <w:r w:rsidR="00C56230" w:rsidRPr="008A7BD7">
        <w:rPr>
          <w:rFonts w:ascii="Cambria" w:eastAsia="Calibri" w:hAnsi="Cambria" w:cs="Times New Roman"/>
          <w:sz w:val="20"/>
          <w:szCs w:val="20"/>
          <w:lang w:eastAsia="es-ES"/>
        </w:rPr>
        <w:t xml:space="preserve">2021, </w:t>
      </w:r>
      <w:r w:rsidRPr="008A7BD7">
        <w:rPr>
          <w:rFonts w:ascii="Cambria" w:eastAsia="Calibri" w:hAnsi="Cambria" w:cs="Times New Roman"/>
          <w:sz w:val="20"/>
          <w:szCs w:val="20"/>
          <w:lang w:eastAsia="es-ES"/>
        </w:rPr>
        <w:t>the State emphasized the following</w:t>
      </w:r>
      <w:r w:rsidR="00C56230" w:rsidRPr="008A7BD7">
        <w:rPr>
          <w:rFonts w:ascii="Cambria" w:eastAsia="Calibri" w:hAnsi="Cambria" w:cs="Times New Roman"/>
          <w:sz w:val="20"/>
          <w:szCs w:val="20"/>
          <w:lang w:eastAsia="es-ES"/>
        </w:rPr>
        <w:t>:</w:t>
      </w:r>
    </w:p>
    <w:p w14:paraId="2BDBE6E3" w14:textId="77777777" w:rsidR="00C56230" w:rsidRPr="008A7BD7" w:rsidRDefault="00C56230" w:rsidP="00C56230">
      <w:pPr>
        <w:pStyle w:val="ListParagraph"/>
        <w:rPr>
          <w:rFonts w:ascii="Cambria" w:eastAsia="Calibri" w:hAnsi="Cambria" w:cs="Times New Roman"/>
          <w:sz w:val="20"/>
          <w:szCs w:val="20"/>
          <w:lang w:eastAsia="es-ES"/>
        </w:rPr>
      </w:pPr>
    </w:p>
    <w:p w14:paraId="2E355AC6" w14:textId="50375BC8" w:rsidR="00C56230" w:rsidRPr="008A7BD7" w:rsidRDefault="00C56230" w:rsidP="00C56230">
      <w:pPr>
        <w:suppressAutoHyphens/>
        <w:ind w:left="720" w:right="720"/>
        <w:jc w:val="both"/>
        <w:rPr>
          <w:rFonts w:ascii="Cambria" w:eastAsia="Calibri" w:hAnsi="Cambria" w:cs="Times New Roman"/>
          <w:sz w:val="20"/>
          <w:szCs w:val="20"/>
          <w:lang w:eastAsia="es-ES"/>
        </w:rPr>
      </w:pPr>
      <w:r w:rsidRPr="008A7BD7">
        <w:rPr>
          <w:rFonts w:ascii="Cambria" w:eastAsia="Calibri" w:hAnsi="Cambria" w:cs="Times New Roman"/>
          <w:sz w:val="20"/>
          <w:szCs w:val="20"/>
          <w:lang w:eastAsia="es-ES"/>
        </w:rPr>
        <w:t>“</w:t>
      </w:r>
      <w:r w:rsidR="00B1419F" w:rsidRPr="008A7BD7">
        <w:rPr>
          <w:rFonts w:ascii="Cambria" w:eastAsia="Calibri" w:hAnsi="Cambria" w:cs="Times New Roman"/>
          <w:sz w:val="20"/>
          <w:szCs w:val="20"/>
          <w:lang w:eastAsia="es-ES"/>
        </w:rPr>
        <w:t>In the State’s judgment, the current situation</w:t>
      </w:r>
      <w:r w:rsidR="00A33F06" w:rsidRPr="008A7BD7">
        <w:rPr>
          <w:rFonts w:ascii="Cambria" w:eastAsia="Calibri" w:hAnsi="Cambria" w:cs="Times New Roman"/>
          <w:sz w:val="20"/>
          <w:szCs w:val="20"/>
          <w:lang w:eastAsia="es-ES"/>
        </w:rPr>
        <w:t xml:space="preserve"> </w:t>
      </w:r>
      <w:proofErr w:type="gramStart"/>
      <w:r w:rsidR="00CC374D" w:rsidRPr="008A7BD7">
        <w:rPr>
          <w:rFonts w:ascii="Cambria" w:eastAsia="Calibri" w:hAnsi="Cambria" w:cs="Times New Roman"/>
          <w:sz w:val="20"/>
          <w:szCs w:val="20"/>
          <w:lang w:eastAsia="es-ES"/>
        </w:rPr>
        <w:t>with regard to</w:t>
      </w:r>
      <w:proofErr w:type="gramEnd"/>
      <w:r w:rsidR="00CC374D" w:rsidRPr="008A7BD7">
        <w:rPr>
          <w:rFonts w:ascii="Cambria" w:eastAsia="Calibri" w:hAnsi="Cambria" w:cs="Times New Roman"/>
          <w:sz w:val="20"/>
          <w:szCs w:val="20"/>
          <w:lang w:eastAsia="es-ES"/>
        </w:rPr>
        <w:t xml:space="preserve"> </w:t>
      </w:r>
      <w:r w:rsidR="00A33F06" w:rsidRPr="008A7BD7">
        <w:rPr>
          <w:rFonts w:ascii="Cambria" w:eastAsia="Calibri" w:hAnsi="Cambria" w:cs="Times New Roman"/>
          <w:sz w:val="20"/>
          <w:szCs w:val="20"/>
          <w:lang w:eastAsia="es-ES"/>
        </w:rPr>
        <w:t xml:space="preserve">human rights and </w:t>
      </w:r>
      <w:r w:rsidR="00F65251" w:rsidRPr="008A7BD7">
        <w:rPr>
          <w:rFonts w:ascii="Cambria" w:eastAsia="Calibri" w:hAnsi="Cambria" w:cs="Times New Roman"/>
          <w:sz w:val="20"/>
          <w:szCs w:val="20"/>
          <w:lang w:eastAsia="es-ES"/>
        </w:rPr>
        <w:t>the fight against</w:t>
      </w:r>
      <w:r w:rsidR="00A33F06" w:rsidRPr="008A7BD7">
        <w:rPr>
          <w:rFonts w:ascii="Cambria" w:eastAsia="Calibri" w:hAnsi="Cambria" w:cs="Times New Roman"/>
          <w:sz w:val="20"/>
          <w:szCs w:val="20"/>
          <w:lang w:eastAsia="es-ES"/>
        </w:rPr>
        <w:t xml:space="preserve"> impunity is diametrically opposed to the situation and circumstances of other countries that have historically been included in Chapter </w:t>
      </w:r>
      <w:r w:rsidRPr="008A7BD7">
        <w:rPr>
          <w:rFonts w:ascii="Cambria" w:eastAsia="Calibri" w:hAnsi="Cambria" w:cs="Times New Roman"/>
          <w:sz w:val="20"/>
          <w:szCs w:val="20"/>
          <w:lang w:eastAsia="es-ES"/>
        </w:rPr>
        <w:t xml:space="preserve">IV.B </w:t>
      </w:r>
      <w:r w:rsidR="00A33F06" w:rsidRPr="008A7BD7">
        <w:rPr>
          <w:rFonts w:ascii="Cambria" w:eastAsia="Calibri" w:hAnsi="Cambria" w:cs="Times New Roman"/>
          <w:sz w:val="20"/>
          <w:szCs w:val="20"/>
          <w:lang w:eastAsia="es-ES"/>
        </w:rPr>
        <w:t xml:space="preserve">of the </w:t>
      </w:r>
      <w:r w:rsidR="00F65251" w:rsidRPr="008A7BD7">
        <w:rPr>
          <w:rFonts w:ascii="Cambria" w:eastAsia="Calibri" w:hAnsi="Cambria" w:cs="Times New Roman"/>
          <w:sz w:val="20"/>
          <w:szCs w:val="20"/>
          <w:lang w:eastAsia="es-ES"/>
        </w:rPr>
        <w:t>A</w:t>
      </w:r>
      <w:r w:rsidR="00A33F06" w:rsidRPr="008A7BD7">
        <w:rPr>
          <w:rFonts w:ascii="Cambria" w:eastAsia="Calibri" w:hAnsi="Cambria" w:cs="Times New Roman"/>
          <w:sz w:val="20"/>
          <w:szCs w:val="20"/>
          <w:lang w:eastAsia="es-ES"/>
        </w:rPr>
        <w:t xml:space="preserve">nnual </w:t>
      </w:r>
      <w:r w:rsidR="00F65251" w:rsidRPr="008A7BD7">
        <w:rPr>
          <w:rFonts w:ascii="Cambria" w:eastAsia="Calibri" w:hAnsi="Cambria" w:cs="Times New Roman"/>
          <w:sz w:val="20"/>
          <w:szCs w:val="20"/>
          <w:lang w:eastAsia="es-ES"/>
        </w:rPr>
        <w:t>R</w:t>
      </w:r>
      <w:r w:rsidR="00A33F06" w:rsidRPr="008A7BD7">
        <w:rPr>
          <w:rFonts w:ascii="Cambria" w:eastAsia="Calibri" w:hAnsi="Cambria" w:cs="Times New Roman"/>
          <w:sz w:val="20"/>
          <w:szCs w:val="20"/>
          <w:lang w:eastAsia="es-ES"/>
        </w:rPr>
        <w:t xml:space="preserve">eport. </w:t>
      </w:r>
      <w:r w:rsidR="00AA1B4E" w:rsidRPr="008A7BD7">
        <w:rPr>
          <w:rFonts w:ascii="Cambria" w:eastAsia="Calibri" w:hAnsi="Cambria" w:cs="Times New Roman"/>
          <w:sz w:val="20"/>
          <w:szCs w:val="20"/>
          <w:lang w:eastAsia="es-ES"/>
        </w:rPr>
        <w:t>Moreover</w:t>
      </w:r>
      <w:r w:rsidR="00A33F06" w:rsidRPr="008A7BD7">
        <w:rPr>
          <w:rFonts w:ascii="Cambria" w:eastAsia="Calibri" w:hAnsi="Cambria" w:cs="Times New Roman"/>
          <w:sz w:val="20"/>
          <w:szCs w:val="20"/>
          <w:lang w:eastAsia="es-ES"/>
        </w:rPr>
        <w:t xml:space="preserve">, and with the </w:t>
      </w:r>
      <w:r w:rsidR="009B73F9" w:rsidRPr="008A7BD7">
        <w:rPr>
          <w:rFonts w:ascii="Cambria" w:eastAsia="Calibri" w:hAnsi="Cambria" w:cs="Times New Roman"/>
          <w:sz w:val="20"/>
          <w:szCs w:val="20"/>
          <w:lang w:eastAsia="es-ES"/>
        </w:rPr>
        <w:t>pertinent</w:t>
      </w:r>
      <w:r w:rsidR="00A33F06" w:rsidRPr="008A7BD7">
        <w:rPr>
          <w:rFonts w:ascii="Cambria" w:eastAsia="Calibri" w:hAnsi="Cambria" w:cs="Times New Roman"/>
          <w:sz w:val="20"/>
          <w:szCs w:val="20"/>
          <w:lang w:eastAsia="es-ES"/>
        </w:rPr>
        <w:t xml:space="preserve"> supporting information, it is possible to establish a </w:t>
      </w:r>
      <w:r w:rsidR="00AA1B4E" w:rsidRPr="008A7BD7">
        <w:rPr>
          <w:rFonts w:ascii="Cambria" w:eastAsia="Calibri" w:hAnsi="Cambria" w:cs="Times New Roman"/>
          <w:sz w:val="20"/>
          <w:szCs w:val="20"/>
          <w:lang w:eastAsia="es-ES"/>
        </w:rPr>
        <w:t>remarkable</w:t>
      </w:r>
      <w:r w:rsidR="00A33F06" w:rsidRPr="008A7BD7">
        <w:rPr>
          <w:rFonts w:ascii="Cambria" w:eastAsia="Calibri" w:hAnsi="Cambria" w:cs="Times New Roman"/>
          <w:sz w:val="20"/>
          <w:szCs w:val="20"/>
          <w:lang w:eastAsia="es-ES"/>
        </w:rPr>
        <w:t xml:space="preserve"> evolution </w:t>
      </w:r>
      <w:r w:rsidR="00514A18" w:rsidRPr="008A7BD7">
        <w:rPr>
          <w:rFonts w:ascii="Cambria" w:eastAsia="Calibri" w:hAnsi="Cambria" w:cs="Times New Roman"/>
          <w:sz w:val="20"/>
          <w:szCs w:val="20"/>
          <w:lang w:eastAsia="es-ES"/>
        </w:rPr>
        <w:t xml:space="preserve">on human rights </w:t>
      </w:r>
      <w:r w:rsidR="00AA1B4E" w:rsidRPr="008A7BD7">
        <w:rPr>
          <w:rFonts w:ascii="Cambria" w:eastAsia="Calibri" w:hAnsi="Cambria" w:cs="Times New Roman"/>
          <w:sz w:val="20"/>
          <w:szCs w:val="20"/>
          <w:lang w:eastAsia="es-ES"/>
        </w:rPr>
        <w:t>on the part of Guatemala</w:t>
      </w:r>
      <w:r w:rsidR="00514A18" w:rsidRPr="008A7BD7">
        <w:rPr>
          <w:rFonts w:ascii="Cambria" w:eastAsia="Calibri" w:hAnsi="Cambria" w:cs="Times New Roman"/>
          <w:sz w:val="20"/>
          <w:szCs w:val="20"/>
          <w:lang w:eastAsia="es-ES"/>
        </w:rPr>
        <w:t xml:space="preserve"> </w:t>
      </w:r>
      <w:r w:rsidR="00AA1B4E" w:rsidRPr="008A7BD7">
        <w:rPr>
          <w:rFonts w:ascii="Cambria" w:eastAsia="Calibri" w:hAnsi="Cambria" w:cs="Times New Roman"/>
          <w:sz w:val="20"/>
          <w:szCs w:val="20"/>
          <w:lang w:eastAsia="es-ES"/>
        </w:rPr>
        <w:t xml:space="preserve">over the course of recent years. This translates into the creation of public institutions whose mandate includes promotion and dissemination in the area of </w:t>
      </w:r>
      <w:r w:rsidR="00F65251" w:rsidRPr="008A7BD7">
        <w:rPr>
          <w:rFonts w:ascii="Cambria" w:eastAsia="Calibri" w:hAnsi="Cambria" w:cs="Times New Roman"/>
          <w:sz w:val="20"/>
          <w:szCs w:val="20"/>
          <w:lang w:eastAsia="es-ES"/>
        </w:rPr>
        <w:t>h</w:t>
      </w:r>
      <w:r w:rsidR="00AA1B4E" w:rsidRPr="008A7BD7">
        <w:rPr>
          <w:rFonts w:ascii="Cambria" w:eastAsia="Calibri" w:hAnsi="Cambria" w:cs="Times New Roman"/>
          <w:sz w:val="20"/>
          <w:szCs w:val="20"/>
          <w:lang w:eastAsia="es-ES"/>
        </w:rPr>
        <w:t xml:space="preserve">uman </w:t>
      </w:r>
      <w:r w:rsidR="00F65251" w:rsidRPr="008A7BD7">
        <w:rPr>
          <w:rFonts w:ascii="Cambria" w:eastAsia="Calibri" w:hAnsi="Cambria" w:cs="Times New Roman"/>
          <w:sz w:val="20"/>
          <w:szCs w:val="20"/>
          <w:lang w:eastAsia="es-ES"/>
        </w:rPr>
        <w:t>r</w:t>
      </w:r>
      <w:r w:rsidR="00AA1B4E" w:rsidRPr="008A7BD7">
        <w:rPr>
          <w:rFonts w:ascii="Cambria" w:eastAsia="Calibri" w:hAnsi="Cambria" w:cs="Times New Roman"/>
          <w:sz w:val="20"/>
          <w:szCs w:val="20"/>
          <w:lang w:eastAsia="es-ES"/>
        </w:rPr>
        <w:t xml:space="preserve">ights, payment of </w:t>
      </w:r>
      <w:r w:rsidR="00F65251" w:rsidRPr="008A7BD7">
        <w:rPr>
          <w:rFonts w:ascii="Cambria" w:eastAsia="Calibri" w:hAnsi="Cambria" w:cs="Times New Roman"/>
          <w:sz w:val="20"/>
          <w:szCs w:val="20"/>
          <w:lang w:eastAsia="es-ES"/>
        </w:rPr>
        <w:t>obligations</w:t>
      </w:r>
      <w:r w:rsidR="00AA1B4E" w:rsidRPr="008A7BD7">
        <w:rPr>
          <w:rFonts w:ascii="Cambria" w:eastAsia="Calibri" w:hAnsi="Cambria" w:cs="Times New Roman"/>
          <w:sz w:val="20"/>
          <w:szCs w:val="20"/>
          <w:lang w:eastAsia="es-ES"/>
        </w:rPr>
        <w:t xml:space="preserve"> from judgments handed down against the State, follow-up and compliance with precautionary measures ordered by the illustrious Commission, strengthening of the culture of peace and </w:t>
      </w:r>
      <w:r w:rsidR="00514A18" w:rsidRPr="008A7BD7">
        <w:rPr>
          <w:rFonts w:ascii="Cambria" w:eastAsia="Calibri" w:hAnsi="Cambria" w:cs="Times New Roman"/>
          <w:sz w:val="20"/>
          <w:szCs w:val="20"/>
          <w:lang w:eastAsia="es-ES"/>
        </w:rPr>
        <w:t>an attention to</w:t>
      </w:r>
      <w:r w:rsidR="00CC374D" w:rsidRPr="008A7BD7">
        <w:rPr>
          <w:rFonts w:ascii="Cambria" w:eastAsia="Calibri" w:hAnsi="Cambria" w:cs="Times New Roman"/>
          <w:sz w:val="20"/>
          <w:szCs w:val="20"/>
          <w:lang w:eastAsia="es-ES"/>
        </w:rPr>
        <w:t xml:space="preserve"> conflict in the country,</w:t>
      </w:r>
      <w:r w:rsidR="0047448C" w:rsidRPr="008A7BD7">
        <w:rPr>
          <w:rFonts w:ascii="Cambria" w:eastAsia="Calibri" w:hAnsi="Cambria" w:cs="Times New Roman"/>
          <w:sz w:val="20"/>
          <w:szCs w:val="20"/>
          <w:lang w:eastAsia="es-ES"/>
        </w:rPr>
        <w:t xml:space="preserve"> attention to women and girls who</w:t>
      </w:r>
      <w:r w:rsidR="00514A18" w:rsidRPr="008A7BD7">
        <w:rPr>
          <w:rFonts w:ascii="Cambria" w:eastAsia="Calibri" w:hAnsi="Cambria" w:cs="Times New Roman"/>
          <w:sz w:val="20"/>
          <w:szCs w:val="20"/>
          <w:lang w:eastAsia="es-ES"/>
        </w:rPr>
        <w:t>se</w:t>
      </w:r>
      <w:r w:rsidR="0047448C" w:rsidRPr="008A7BD7">
        <w:rPr>
          <w:rFonts w:ascii="Cambria" w:eastAsia="Calibri" w:hAnsi="Cambria" w:cs="Times New Roman"/>
          <w:sz w:val="20"/>
          <w:szCs w:val="20"/>
          <w:lang w:eastAsia="es-ES"/>
        </w:rPr>
        <w:t xml:space="preserve"> fundamental rights have been violated, actions geared toward crime prevention, the fight against corruption and impunity, support and respect for the culture and recognition of </w:t>
      </w:r>
      <w:r w:rsidRPr="008A7BD7">
        <w:rPr>
          <w:rFonts w:ascii="Cambria" w:eastAsia="Calibri" w:hAnsi="Cambria" w:cs="Times New Roman"/>
          <w:sz w:val="20"/>
          <w:szCs w:val="20"/>
          <w:lang w:eastAsia="es-ES"/>
        </w:rPr>
        <w:t xml:space="preserve"> </w:t>
      </w:r>
      <w:r w:rsidR="0047448C" w:rsidRPr="008A7BD7">
        <w:rPr>
          <w:rFonts w:ascii="Cambria" w:eastAsia="Calibri" w:hAnsi="Cambria" w:cs="Times New Roman"/>
          <w:sz w:val="20"/>
          <w:szCs w:val="20"/>
          <w:lang w:eastAsia="es-ES"/>
        </w:rPr>
        <w:t>specific rights of indigenous peoples</w:t>
      </w:r>
      <w:r w:rsidRPr="008A7BD7">
        <w:rPr>
          <w:rFonts w:ascii="Cambria" w:eastAsia="Calibri" w:hAnsi="Cambria" w:cs="Times New Roman"/>
          <w:sz w:val="20"/>
          <w:szCs w:val="20"/>
          <w:lang w:eastAsia="es-ES"/>
        </w:rPr>
        <w:t>.</w:t>
      </w:r>
    </w:p>
    <w:p w14:paraId="4FE81C45" w14:textId="77777777" w:rsidR="00C56230" w:rsidRPr="008A7BD7" w:rsidRDefault="00C56230" w:rsidP="00C56230">
      <w:pPr>
        <w:suppressAutoHyphens/>
        <w:ind w:left="720" w:right="720"/>
        <w:jc w:val="both"/>
        <w:rPr>
          <w:rFonts w:ascii="Cambria" w:eastAsia="Calibri" w:hAnsi="Cambria" w:cs="Times New Roman"/>
          <w:sz w:val="20"/>
          <w:szCs w:val="20"/>
          <w:lang w:eastAsia="es-ES"/>
        </w:rPr>
      </w:pPr>
    </w:p>
    <w:p w14:paraId="169161B4" w14:textId="0EF57903" w:rsidR="00C56230" w:rsidRPr="008A7BD7" w:rsidRDefault="002B5EA3" w:rsidP="00C56230">
      <w:pPr>
        <w:suppressAutoHyphens/>
        <w:ind w:left="720" w:right="720"/>
        <w:jc w:val="both"/>
        <w:rPr>
          <w:rFonts w:ascii="Cambria" w:eastAsia="Calibri" w:hAnsi="Cambria" w:cs="Times New Roman"/>
          <w:sz w:val="20"/>
          <w:szCs w:val="20"/>
          <w:lang w:eastAsia="es-ES"/>
        </w:rPr>
      </w:pPr>
      <w:r w:rsidRPr="008A7BD7">
        <w:rPr>
          <w:rFonts w:ascii="Cambria" w:eastAsia="Calibri" w:hAnsi="Cambria" w:cs="Times New Roman"/>
          <w:sz w:val="20"/>
          <w:szCs w:val="20"/>
          <w:lang w:eastAsia="es-ES"/>
        </w:rPr>
        <w:t xml:space="preserve">All this, </w:t>
      </w:r>
      <w:r w:rsidR="004C6202" w:rsidRPr="008A7BD7">
        <w:rPr>
          <w:rFonts w:ascii="Cambria" w:eastAsia="Calibri" w:hAnsi="Cambria" w:cs="Times New Roman"/>
          <w:sz w:val="20"/>
          <w:szCs w:val="20"/>
          <w:lang w:eastAsia="es-ES"/>
        </w:rPr>
        <w:t>without question</w:t>
      </w:r>
      <w:r w:rsidRPr="008A7BD7">
        <w:rPr>
          <w:rFonts w:ascii="Cambria" w:eastAsia="Calibri" w:hAnsi="Cambria" w:cs="Times New Roman"/>
          <w:sz w:val="20"/>
          <w:szCs w:val="20"/>
          <w:lang w:eastAsia="es-ES"/>
        </w:rPr>
        <w:t xml:space="preserve">, points to </w:t>
      </w:r>
      <w:r w:rsidR="00392B31" w:rsidRPr="008A7BD7">
        <w:rPr>
          <w:rFonts w:ascii="Cambria" w:eastAsia="Calibri" w:hAnsi="Cambria" w:cs="Times New Roman"/>
          <w:sz w:val="20"/>
          <w:szCs w:val="20"/>
          <w:lang w:eastAsia="es-ES"/>
        </w:rPr>
        <w:t xml:space="preserve">the State of Guatemala’s </w:t>
      </w:r>
      <w:r w:rsidRPr="008A7BD7">
        <w:rPr>
          <w:rFonts w:ascii="Cambria" w:eastAsia="Calibri" w:hAnsi="Cambria" w:cs="Times New Roman"/>
          <w:sz w:val="20"/>
          <w:szCs w:val="20"/>
          <w:lang w:eastAsia="es-ES"/>
        </w:rPr>
        <w:t xml:space="preserve">commitment to </w:t>
      </w:r>
      <w:r w:rsidR="004E70D0" w:rsidRPr="008A7BD7">
        <w:rPr>
          <w:rFonts w:ascii="Cambria" w:eastAsia="Calibri" w:hAnsi="Cambria" w:cs="Times New Roman"/>
          <w:sz w:val="20"/>
          <w:szCs w:val="20"/>
          <w:lang w:eastAsia="es-ES"/>
        </w:rPr>
        <w:t>bring itself into line with</w:t>
      </w:r>
      <w:r w:rsidR="00392B31" w:rsidRPr="008A7BD7">
        <w:rPr>
          <w:rFonts w:ascii="Cambria" w:eastAsia="Calibri" w:hAnsi="Cambria" w:cs="Times New Roman"/>
          <w:sz w:val="20"/>
          <w:szCs w:val="20"/>
          <w:lang w:eastAsia="es-ES"/>
        </w:rPr>
        <w:t xml:space="preserve"> </w:t>
      </w:r>
      <w:r w:rsidRPr="008A7BD7">
        <w:rPr>
          <w:rFonts w:ascii="Cambria" w:eastAsia="Calibri" w:hAnsi="Cambria" w:cs="Times New Roman"/>
          <w:sz w:val="20"/>
          <w:szCs w:val="20"/>
          <w:lang w:eastAsia="es-ES"/>
        </w:rPr>
        <w:t xml:space="preserve">the requirements </w:t>
      </w:r>
      <w:r w:rsidR="004C6202" w:rsidRPr="008A7BD7">
        <w:rPr>
          <w:rFonts w:ascii="Cambria" w:eastAsia="Calibri" w:hAnsi="Cambria" w:cs="Times New Roman"/>
          <w:sz w:val="20"/>
          <w:szCs w:val="20"/>
          <w:lang w:eastAsia="es-ES"/>
        </w:rPr>
        <w:t>established in</w:t>
      </w:r>
      <w:r w:rsidR="00392B31" w:rsidRPr="008A7BD7">
        <w:rPr>
          <w:rFonts w:ascii="Cambria" w:eastAsia="Calibri" w:hAnsi="Cambria" w:cs="Times New Roman"/>
          <w:sz w:val="20"/>
          <w:szCs w:val="20"/>
          <w:lang w:eastAsia="es-ES"/>
        </w:rPr>
        <w:t xml:space="preserve"> the</w:t>
      </w:r>
      <w:r w:rsidR="004E70D0" w:rsidRPr="008A7BD7">
        <w:rPr>
          <w:rFonts w:ascii="Cambria" w:eastAsia="Calibri" w:hAnsi="Cambria" w:cs="Times New Roman"/>
          <w:sz w:val="20"/>
          <w:szCs w:val="20"/>
          <w:lang w:eastAsia="es-ES"/>
        </w:rPr>
        <w:t xml:space="preserve"> prevailing</w:t>
      </w:r>
      <w:r w:rsidRPr="008A7BD7">
        <w:rPr>
          <w:rFonts w:ascii="Cambria" w:eastAsia="Calibri" w:hAnsi="Cambria" w:cs="Times New Roman"/>
          <w:sz w:val="20"/>
          <w:szCs w:val="20"/>
          <w:lang w:eastAsia="es-ES"/>
        </w:rPr>
        <w:t xml:space="preserve"> treaty framework </w:t>
      </w:r>
      <w:r w:rsidR="004E70D0" w:rsidRPr="008A7BD7">
        <w:rPr>
          <w:rFonts w:ascii="Cambria" w:eastAsia="Calibri" w:hAnsi="Cambria" w:cs="Times New Roman"/>
          <w:sz w:val="20"/>
          <w:szCs w:val="20"/>
          <w:lang w:eastAsia="es-ES"/>
        </w:rPr>
        <w:t>in</w:t>
      </w:r>
      <w:r w:rsidR="00392B31" w:rsidRPr="008A7BD7">
        <w:rPr>
          <w:rFonts w:ascii="Cambria" w:eastAsia="Calibri" w:hAnsi="Cambria" w:cs="Times New Roman"/>
          <w:sz w:val="20"/>
          <w:szCs w:val="20"/>
          <w:lang w:eastAsia="es-ES"/>
        </w:rPr>
        <w:t xml:space="preserve"> the Americas</w:t>
      </w:r>
      <w:r w:rsidR="004C6202" w:rsidRPr="008A7BD7">
        <w:rPr>
          <w:rFonts w:ascii="Cambria" w:eastAsia="Calibri" w:hAnsi="Cambria" w:cs="Times New Roman"/>
          <w:sz w:val="20"/>
          <w:szCs w:val="20"/>
          <w:lang w:eastAsia="es-ES"/>
        </w:rPr>
        <w:t xml:space="preserve"> [and]</w:t>
      </w:r>
      <w:r w:rsidR="00392B31" w:rsidRPr="008A7BD7">
        <w:rPr>
          <w:rFonts w:ascii="Cambria" w:eastAsia="Calibri" w:hAnsi="Cambria" w:cs="Times New Roman"/>
          <w:sz w:val="20"/>
          <w:szCs w:val="20"/>
          <w:lang w:eastAsia="es-ES"/>
        </w:rPr>
        <w:t xml:space="preserve"> its respect </w:t>
      </w:r>
      <w:r w:rsidR="004E70D0" w:rsidRPr="008A7BD7">
        <w:rPr>
          <w:rFonts w:ascii="Cambria" w:eastAsia="Calibri" w:hAnsi="Cambria" w:cs="Times New Roman"/>
          <w:sz w:val="20"/>
          <w:szCs w:val="20"/>
          <w:lang w:eastAsia="es-ES"/>
        </w:rPr>
        <w:t xml:space="preserve">for </w:t>
      </w:r>
      <w:r w:rsidR="00392B31" w:rsidRPr="008A7BD7">
        <w:rPr>
          <w:rFonts w:ascii="Cambria" w:eastAsia="Calibri" w:hAnsi="Cambria" w:cs="Times New Roman"/>
          <w:sz w:val="20"/>
          <w:szCs w:val="20"/>
          <w:lang w:eastAsia="es-ES"/>
        </w:rPr>
        <w:t xml:space="preserve">and collaboration with institutions such as the distinguished Commission and the honorable Inter-American Court of Human Rights, </w:t>
      </w:r>
      <w:r w:rsidR="004C6202" w:rsidRPr="008A7BD7">
        <w:rPr>
          <w:rFonts w:ascii="Cambria" w:eastAsia="Calibri" w:hAnsi="Cambria" w:cs="Times New Roman"/>
          <w:sz w:val="20"/>
          <w:szCs w:val="20"/>
          <w:lang w:eastAsia="es-ES"/>
        </w:rPr>
        <w:t>in the context and under the protection of the princip</w:t>
      </w:r>
      <w:r w:rsidR="004E70D0" w:rsidRPr="008A7BD7">
        <w:rPr>
          <w:rFonts w:ascii="Cambria" w:eastAsia="Calibri" w:hAnsi="Cambria" w:cs="Times New Roman"/>
          <w:sz w:val="20"/>
          <w:szCs w:val="20"/>
          <w:lang w:eastAsia="es-ES"/>
        </w:rPr>
        <w:t>les and</w:t>
      </w:r>
      <w:r w:rsidR="004C6202" w:rsidRPr="008A7BD7">
        <w:rPr>
          <w:rFonts w:ascii="Cambria" w:eastAsia="Calibri" w:hAnsi="Cambria" w:cs="Times New Roman"/>
          <w:sz w:val="20"/>
          <w:szCs w:val="20"/>
          <w:lang w:eastAsia="es-ES"/>
        </w:rPr>
        <w:t xml:space="preserve"> guarantees </w:t>
      </w:r>
      <w:r w:rsidR="004E70D0" w:rsidRPr="008A7BD7">
        <w:rPr>
          <w:rFonts w:ascii="Cambria" w:eastAsia="Calibri" w:hAnsi="Cambria" w:cs="Times New Roman"/>
          <w:sz w:val="20"/>
          <w:szCs w:val="20"/>
          <w:lang w:eastAsia="es-ES"/>
        </w:rPr>
        <w:t xml:space="preserve">contained </w:t>
      </w:r>
      <w:r w:rsidR="004C6202" w:rsidRPr="008A7BD7">
        <w:rPr>
          <w:rFonts w:ascii="Cambria" w:eastAsia="Calibri" w:hAnsi="Cambria" w:cs="Times New Roman"/>
          <w:sz w:val="20"/>
          <w:szCs w:val="20"/>
          <w:lang w:eastAsia="es-ES"/>
        </w:rPr>
        <w:t xml:space="preserve">in the American Convention on Human </w:t>
      </w:r>
      <w:r w:rsidR="004C6202" w:rsidRPr="008A7BD7">
        <w:rPr>
          <w:rFonts w:ascii="Cambria" w:eastAsia="Calibri" w:hAnsi="Cambria" w:cs="Times New Roman"/>
          <w:sz w:val="20"/>
          <w:szCs w:val="20"/>
          <w:lang w:eastAsia="es-ES"/>
        </w:rPr>
        <w:lastRenderedPageBreak/>
        <w:t>Rights</w:t>
      </w:r>
      <w:r w:rsidR="00C56230" w:rsidRPr="008A7BD7">
        <w:rPr>
          <w:rFonts w:ascii="Cambria" w:eastAsia="Calibri" w:hAnsi="Cambria" w:cs="Times New Roman"/>
          <w:sz w:val="20"/>
          <w:szCs w:val="20"/>
          <w:lang w:eastAsia="es-ES"/>
        </w:rPr>
        <w:t xml:space="preserve">. </w:t>
      </w:r>
      <w:r w:rsidR="00B53169" w:rsidRPr="008A7BD7">
        <w:rPr>
          <w:rFonts w:ascii="Cambria" w:eastAsia="Calibri" w:hAnsi="Cambria" w:cs="Times New Roman"/>
          <w:sz w:val="20"/>
          <w:szCs w:val="20"/>
          <w:lang w:eastAsia="es-ES"/>
        </w:rPr>
        <w:t xml:space="preserve">Moreover, consideration should be given to the tangible achievements the State of </w:t>
      </w:r>
      <w:r w:rsidR="00C56230" w:rsidRPr="008A7BD7">
        <w:rPr>
          <w:rFonts w:ascii="Cambria" w:eastAsia="Calibri" w:hAnsi="Cambria" w:cs="Times New Roman"/>
          <w:sz w:val="20"/>
          <w:szCs w:val="20"/>
          <w:lang w:eastAsia="es-ES"/>
        </w:rPr>
        <w:t xml:space="preserve">Guatemala </w:t>
      </w:r>
      <w:r w:rsidR="00046090" w:rsidRPr="008A7BD7">
        <w:rPr>
          <w:rFonts w:ascii="Cambria" w:eastAsia="Calibri" w:hAnsi="Cambria" w:cs="Times New Roman"/>
          <w:sz w:val="20"/>
          <w:szCs w:val="20"/>
          <w:lang w:eastAsia="es-ES"/>
        </w:rPr>
        <w:t xml:space="preserve">has made </w:t>
      </w:r>
      <w:r w:rsidR="00B53169" w:rsidRPr="008A7BD7">
        <w:rPr>
          <w:rFonts w:ascii="Cambria" w:eastAsia="Calibri" w:hAnsi="Cambria" w:cs="Times New Roman"/>
          <w:sz w:val="20"/>
          <w:szCs w:val="20"/>
          <w:lang w:eastAsia="es-ES"/>
        </w:rPr>
        <w:t xml:space="preserve">to </w:t>
      </w:r>
      <w:r w:rsidR="004E70D0" w:rsidRPr="008A7BD7">
        <w:rPr>
          <w:rFonts w:ascii="Cambria" w:eastAsia="Calibri" w:hAnsi="Cambria" w:cs="Times New Roman"/>
          <w:sz w:val="20"/>
          <w:szCs w:val="20"/>
          <w:lang w:eastAsia="es-ES"/>
        </w:rPr>
        <w:t>attain</w:t>
      </w:r>
      <w:r w:rsidR="00B53169" w:rsidRPr="008A7BD7">
        <w:rPr>
          <w:rFonts w:ascii="Cambria" w:eastAsia="Calibri" w:hAnsi="Cambria" w:cs="Times New Roman"/>
          <w:sz w:val="20"/>
          <w:szCs w:val="20"/>
          <w:lang w:eastAsia="es-ES"/>
        </w:rPr>
        <w:t xml:space="preserve"> the </w:t>
      </w:r>
      <w:r w:rsidR="004E70D0" w:rsidRPr="008A7BD7">
        <w:rPr>
          <w:rFonts w:ascii="Cambria" w:eastAsia="Calibri" w:hAnsi="Cambria" w:cs="Times New Roman"/>
          <w:sz w:val="20"/>
          <w:szCs w:val="20"/>
          <w:lang w:eastAsia="es-ES"/>
        </w:rPr>
        <w:t xml:space="preserve">standards of the </w:t>
      </w:r>
      <w:r w:rsidR="00B53169" w:rsidRPr="008A7BD7">
        <w:rPr>
          <w:rFonts w:ascii="Cambria" w:eastAsia="Calibri" w:hAnsi="Cambria" w:cs="Times New Roman"/>
          <w:sz w:val="20"/>
          <w:szCs w:val="20"/>
          <w:lang w:eastAsia="es-ES"/>
        </w:rPr>
        <w:t>inter-American</w:t>
      </w:r>
      <w:r w:rsidR="00D61D62" w:rsidRPr="008A7BD7">
        <w:rPr>
          <w:rFonts w:ascii="Cambria" w:eastAsia="Calibri" w:hAnsi="Cambria" w:cs="Times New Roman"/>
          <w:sz w:val="20"/>
          <w:szCs w:val="20"/>
          <w:lang w:eastAsia="es-ES"/>
        </w:rPr>
        <w:t xml:space="preserve"> </w:t>
      </w:r>
      <w:r w:rsidR="00B53169" w:rsidRPr="008A7BD7">
        <w:rPr>
          <w:rFonts w:ascii="Cambria" w:eastAsia="Calibri" w:hAnsi="Cambria" w:cs="Times New Roman"/>
          <w:sz w:val="20"/>
          <w:szCs w:val="20"/>
          <w:lang w:eastAsia="es-ES"/>
        </w:rPr>
        <w:t>and universal human rights</w:t>
      </w:r>
      <w:r w:rsidR="004E70D0" w:rsidRPr="008A7BD7">
        <w:rPr>
          <w:rFonts w:ascii="Cambria" w:eastAsia="Calibri" w:hAnsi="Cambria" w:cs="Times New Roman"/>
          <w:sz w:val="20"/>
          <w:szCs w:val="20"/>
          <w:lang w:eastAsia="es-ES"/>
        </w:rPr>
        <w:t xml:space="preserve"> systems</w:t>
      </w:r>
      <w:r w:rsidR="00B53169" w:rsidRPr="008A7BD7">
        <w:rPr>
          <w:rFonts w:ascii="Cambria" w:eastAsia="Calibri" w:hAnsi="Cambria" w:cs="Times New Roman"/>
          <w:sz w:val="20"/>
          <w:szCs w:val="20"/>
          <w:lang w:eastAsia="es-ES"/>
        </w:rPr>
        <w:t xml:space="preserve">, struggling </w:t>
      </w:r>
      <w:r w:rsidR="00D61D62" w:rsidRPr="008A7BD7">
        <w:rPr>
          <w:rFonts w:ascii="Cambria" w:eastAsia="Calibri" w:hAnsi="Cambria" w:cs="Times New Roman"/>
          <w:sz w:val="20"/>
          <w:szCs w:val="20"/>
          <w:lang w:eastAsia="es-ES"/>
        </w:rPr>
        <w:t xml:space="preserve">against difficulties and adversities to do so, as is the case </w:t>
      </w:r>
      <w:r w:rsidR="00B53169" w:rsidRPr="008A7BD7">
        <w:rPr>
          <w:rFonts w:ascii="Cambria" w:eastAsia="Calibri" w:hAnsi="Cambria" w:cs="Times New Roman"/>
          <w:sz w:val="20"/>
          <w:szCs w:val="20"/>
          <w:lang w:eastAsia="es-ES"/>
        </w:rPr>
        <w:t>with other countries that make up the Organization of American States</w:t>
      </w:r>
      <w:r w:rsidR="00C56230" w:rsidRPr="008A7BD7">
        <w:rPr>
          <w:rFonts w:ascii="Cambria" w:eastAsia="Calibri" w:hAnsi="Cambria" w:cs="Times New Roman"/>
          <w:sz w:val="20"/>
          <w:szCs w:val="20"/>
          <w:lang w:eastAsia="es-ES"/>
        </w:rPr>
        <w:t xml:space="preserve">.  </w:t>
      </w:r>
    </w:p>
    <w:p w14:paraId="625DF9AD" w14:textId="77777777" w:rsidR="00C56230" w:rsidRPr="008A7BD7" w:rsidRDefault="00C56230" w:rsidP="00C56230">
      <w:pPr>
        <w:suppressAutoHyphens/>
        <w:ind w:left="720" w:right="720"/>
        <w:jc w:val="both"/>
        <w:rPr>
          <w:rFonts w:ascii="Cambria" w:eastAsia="Calibri" w:hAnsi="Cambria" w:cs="Times New Roman"/>
          <w:sz w:val="20"/>
          <w:szCs w:val="20"/>
          <w:lang w:eastAsia="es-ES"/>
        </w:rPr>
      </w:pPr>
    </w:p>
    <w:p w14:paraId="4A404008" w14:textId="59003194" w:rsidR="00C56230" w:rsidRPr="008A7BD7" w:rsidRDefault="00BF5345" w:rsidP="00C56230">
      <w:pPr>
        <w:suppressAutoHyphens/>
        <w:ind w:left="720" w:right="720"/>
        <w:jc w:val="both"/>
        <w:rPr>
          <w:rFonts w:ascii="Cambria" w:eastAsia="Calibri" w:hAnsi="Cambria" w:cs="Times New Roman"/>
          <w:sz w:val="20"/>
          <w:szCs w:val="20"/>
          <w:lang w:eastAsia="es-ES"/>
        </w:rPr>
      </w:pPr>
      <w:r w:rsidRPr="008A7BD7">
        <w:rPr>
          <w:rFonts w:ascii="Cambria" w:eastAsia="Calibri" w:hAnsi="Cambria" w:cs="Times New Roman"/>
          <w:sz w:val="20"/>
          <w:szCs w:val="20"/>
          <w:lang w:eastAsia="es-ES"/>
        </w:rPr>
        <w:t>It must be said that the</w:t>
      </w:r>
      <w:r w:rsidR="00046090" w:rsidRPr="008A7BD7">
        <w:rPr>
          <w:rFonts w:ascii="Cambria" w:eastAsia="Calibri" w:hAnsi="Cambria" w:cs="Times New Roman"/>
          <w:sz w:val="20"/>
          <w:szCs w:val="20"/>
          <w:lang w:eastAsia="es-ES"/>
        </w:rPr>
        <w:t xml:space="preserve"> preliminary report prepared by the distinguished Commission does not </w:t>
      </w:r>
      <w:proofErr w:type="gramStart"/>
      <w:r w:rsidR="00046090" w:rsidRPr="008A7BD7">
        <w:rPr>
          <w:rFonts w:ascii="Cambria" w:eastAsia="Calibri" w:hAnsi="Cambria" w:cs="Times New Roman"/>
          <w:sz w:val="20"/>
          <w:szCs w:val="20"/>
          <w:lang w:eastAsia="es-ES"/>
        </w:rPr>
        <w:t>take into account</w:t>
      </w:r>
      <w:proofErr w:type="gramEnd"/>
      <w:r w:rsidR="00046090" w:rsidRPr="008A7BD7">
        <w:rPr>
          <w:rFonts w:ascii="Cambria" w:eastAsia="Calibri" w:hAnsi="Cambria" w:cs="Times New Roman"/>
          <w:sz w:val="20"/>
          <w:szCs w:val="20"/>
          <w:lang w:eastAsia="es-ES"/>
        </w:rPr>
        <w:t xml:space="preserve"> official information, which </w:t>
      </w:r>
      <w:r w:rsidR="007B1FC0" w:rsidRPr="008A7BD7">
        <w:rPr>
          <w:rFonts w:ascii="Cambria" w:eastAsia="Calibri" w:hAnsi="Cambria" w:cs="Times New Roman"/>
          <w:sz w:val="20"/>
          <w:szCs w:val="20"/>
          <w:lang w:eastAsia="es-ES"/>
        </w:rPr>
        <w:t xml:space="preserve">the State believes is </w:t>
      </w:r>
      <w:r w:rsidR="00046090" w:rsidRPr="008A7BD7">
        <w:rPr>
          <w:rFonts w:ascii="Cambria" w:eastAsia="Calibri" w:hAnsi="Cambria" w:cs="Times New Roman"/>
          <w:sz w:val="20"/>
          <w:szCs w:val="20"/>
          <w:lang w:eastAsia="es-ES"/>
        </w:rPr>
        <w:t xml:space="preserve">important </w:t>
      </w:r>
      <w:r w:rsidR="005D483C" w:rsidRPr="008A7BD7">
        <w:rPr>
          <w:rFonts w:ascii="Cambria" w:eastAsia="Calibri" w:hAnsi="Cambria" w:cs="Times New Roman"/>
          <w:sz w:val="20"/>
          <w:szCs w:val="20"/>
          <w:lang w:eastAsia="es-ES"/>
        </w:rPr>
        <w:t xml:space="preserve">in order </w:t>
      </w:r>
      <w:r w:rsidR="00046090" w:rsidRPr="008A7BD7">
        <w:rPr>
          <w:rFonts w:ascii="Cambria" w:eastAsia="Calibri" w:hAnsi="Cambria" w:cs="Times New Roman"/>
          <w:sz w:val="20"/>
          <w:szCs w:val="20"/>
          <w:lang w:eastAsia="es-ES"/>
        </w:rPr>
        <w:t>to have a broader and more objective view of the human rights situation in</w:t>
      </w:r>
      <w:r w:rsidR="00C56230" w:rsidRPr="008A7BD7">
        <w:rPr>
          <w:rFonts w:ascii="Cambria" w:eastAsia="Calibri" w:hAnsi="Cambria" w:cs="Times New Roman"/>
          <w:sz w:val="20"/>
          <w:szCs w:val="20"/>
          <w:lang w:eastAsia="es-ES"/>
        </w:rPr>
        <w:t xml:space="preserve"> Guatemala</w:t>
      </w:r>
      <w:r w:rsidR="00046090" w:rsidRPr="008A7BD7">
        <w:rPr>
          <w:rFonts w:ascii="Cambria" w:eastAsia="Calibri" w:hAnsi="Cambria" w:cs="Times New Roman"/>
          <w:sz w:val="20"/>
          <w:szCs w:val="20"/>
          <w:lang w:eastAsia="es-ES"/>
        </w:rPr>
        <w:t>—for example, the investment the State makes in security and justice.</w:t>
      </w:r>
    </w:p>
    <w:p w14:paraId="1DE5591C" w14:textId="77777777" w:rsidR="00C56230" w:rsidRPr="008A7BD7" w:rsidRDefault="00C56230" w:rsidP="00C56230">
      <w:pPr>
        <w:suppressAutoHyphens/>
        <w:ind w:left="720" w:right="720"/>
        <w:jc w:val="both"/>
        <w:rPr>
          <w:rFonts w:ascii="Cambria" w:eastAsia="Calibri" w:hAnsi="Cambria" w:cs="Times New Roman"/>
          <w:sz w:val="20"/>
          <w:szCs w:val="20"/>
          <w:lang w:eastAsia="es-ES"/>
        </w:rPr>
      </w:pPr>
    </w:p>
    <w:p w14:paraId="029857B9" w14:textId="48031ECC" w:rsidR="00C56230" w:rsidRPr="008A7BD7" w:rsidRDefault="00F01E96" w:rsidP="00C56230">
      <w:pPr>
        <w:suppressAutoHyphens/>
        <w:ind w:left="720" w:right="720"/>
        <w:jc w:val="both"/>
        <w:rPr>
          <w:rFonts w:ascii="Cambria" w:eastAsia="Calibri" w:hAnsi="Cambria" w:cs="Times New Roman"/>
          <w:sz w:val="20"/>
          <w:szCs w:val="20"/>
          <w:lang w:eastAsia="es-ES"/>
        </w:rPr>
      </w:pPr>
      <w:r w:rsidRPr="008A7BD7">
        <w:rPr>
          <w:rFonts w:ascii="Cambria" w:eastAsia="Calibri" w:hAnsi="Cambria" w:cs="Times New Roman"/>
          <w:sz w:val="20"/>
          <w:szCs w:val="20"/>
          <w:lang w:eastAsia="es-ES"/>
        </w:rPr>
        <w:t>The IACHR directly imposes</w:t>
      </w:r>
      <w:r w:rsidR="00C56230" w:rsidRPr="008A7BD7">
        <w:rPr>
          <w:rFonts w:ascii="Cambria" w:eastAsia="Calibri" w:hAnsi="Cambria" w:cs="Times New Roman"/>
          <w:sz w:val="20"/>
          <w:szCs w:val="20"/>
          <w:lang w:eastAsia="es-ES"/>
        </w:rPr>
        <w:t xml:space="preserve"> </w:t>
      </w:r>
      <w:r w:rsidRPr="008A7BD7">
        <w:rPr>
          <w:rFonts w:ascii="Cambria" w:eastAsia="Calibri" w:hAnsi="Cambria" w:cs="Times New Roman"/>
          <w:sz w:val="20"/>
          <w:szCs w:val="20"/>
          <w:lang w:eastAsia="es-ES"/>
        </w:rPr>
        <w:t>on the State</w:t>
      </w:r>
      <w:r w:rsidR="00C56230" w:rsidRPr="008A7BD7">
        <w:rPr>
          <w:rFonts w:ascii="Cambria" w:eastAsia="Calibri" w:hAnsi="Cambria" w:cs="Times New Roman"/>
          <w:sz w:val="20"/>
          <w:szCs w:val="20"/>
          <w:lang w:eastAsia="es-ES"/>
        </w:rPr>
        <w:t xml:space="preserve"> </w:t>
      </w:r>
      <w:r w:rsidRPr="008A7BD7">
        <w:rPr>
          <w:rFonts w:ascii="Cambria" w:eastAsia="Calibri" w:hAnsi="Cambria" w:cs="Times New Roman"/>
          <w:sz w:val="20"/>
          <w:szCs w:val="20"/>
          <w:lang w:eastAsia="es-ES"/>
        </w:rPr>
        <w:t>of</w:t>
      </w:r>
      <w:r w:rsidR="00C56230" w:rsidRPr="008A7BD7">
        <w:rPr>
          <w:rFonts w:ascii="Cambria" w:eastAsia="Calibri" w:hAnsi="Cambria" w:cs="Times New Roman"/>
          <w:sz w:val="20"/>
          <w:szCs w:val="20"/>
          <w:lang w:eastAsia="es-ES"/>
        </w:rPr>
        <w:t xml:space="preserve"> Guatemala </w:t>
      </w:r>
      <w:r w:rsidRPr="008A7BD7">
        <w:rPr>
          <w:rFonts w:ascii="Cambria" w:eastAsia="Calibri" w:hAnsi="Cambria" w:cs="Times New Roman"/>
          <w:sz w:val="20"/>
          <w:szCs w:val="20"/>
          <w:lang w:eastAsia="es-ES"/>
        </w:rPr>
        <w:t xml:space="preserve">the condition of an on-site visit, established in the communication sent by the Executive Secretariat, which indicates that </w:t>
      </w:r>
      <w:r w:rsidR="00C56230" w:rsidRPr="008A7BD7">
        <w:rPr>
          <w:rFonts w:ascii="Cambria" w:eastAsia="Calibri" w:hAnsi="Cambria" w:cs="Times New Roman"/>
          <w:sz w:val="20"/>
          <w:szCs w:val="20"/>
          <w:lang w:eastAsia="es-ES"/>
        </w:rPr>
        <w:t>“</w:t>
      </w:r>
      <w:r w:rsidRPr="008A7BD7">
        <w:rPr>
          <w:rFonts w:ascii="Cambria" w:eastAsia="Calibri" w:hAnsi="Cambria" w:cs="Times New Roman"/>
          <w:sz w:val="20"/>
          <w:szCs w:val="20"/>
          <w:lang w:eastAsia="es-ES"/>
        </w:rPr>
        <w:t xml:space="preserve">if the on-site visit materializes, the IACHR would not include your Illustrious State in Chapter </w:t>
      </w:r>
      <w:r w:rsidR="00C56230" w:rsidRPr="008A7BD7">
        <w:rPr>
          <w:rFonts w:ascii="Cambria" w:eastAsia="Calibri" w:hAnsi="Cambria" w:cs="Times New Roman"/>
          <w:sz w:val="20"/>
          <w:szCs w:val="20"/>
          <w:lang w:eastAsia="es-ES"/>
        </w:rPr>
        <w:t xml:space="preserve">IV </w:t>
      </w:r>
      <w:r w:rsidRPr="008A7BD7">
        <w:rPr>
          <w:rFonts w:ascii="Cambria" w:eastAsia="Calibri" w:hAnsi="Cambria" w:cs="Times New Roman"/>
          <w:sz w:val="20"/>
          <w:szCs w:val="20"/>
          <w:lang w:eastAsia="es-ES"/>
        </w:rPr>
        <w:t xml:space="preserve">of the Annual Report for </w:t>
      </w:r>
      <w:r w:rsidR="00C56230" w:rsidRPr="008A7BD7">
        <w:rPr>
          <w:rFonts w:ascii="Cambria" w:eastAsia="Calibri" w:hAnsi="Cambria" w:cs="Times New Roman"/>
          <w:sz w:val="20"/>
          <w:szCs w:val="20"/>
          <w:lang w:eastAsia="es-ES"/>
        </w:rPr>
        <w:t xml:space="preserve">2021.” </w:t>
      </w:r>
      <w:r w:rsidR="002F7E14" w:rsidRPr="008A7BD7">
        <w:rPr>
          <w:rFonts w:ascii="Cambria" w:eastAsia="Calibri" w:hAnsi="Cambria" w:cs="Times New Roman"/>
          <w:sz w:val="20"/>
          <w:szCs w:val="20"/>
          <w:lang w:eastAsia="es-ES"/>
        </w:rPr>
        <w:t>It calls</w:t>
      </w:r>
      <w:r w:rsidR="007B1FC0" w:rsidRPr="008A7BD7">
        <w:rPr>
          <w:rFonts w:ascii="Cambria" w:eastAsia="Calibri" w:hAnsi="Cambria" w:cs="Times New Roman"/>
          <w:sz w:val="20"/>
          <w:szCs w:val="20"/>
          <w:lang w:eastAsia="es-ES"/>
        </w:rPr>
        <w:t xml:space="preserve"> for</w:t>
      </w:r>
      <w:r w:rsidR="00034E59" w:rsidRPr="008A7BD7">
        <w:rPr>
          <w:rFonts w:ascii="Cambria" w:eastAsia="Calibri" w:hAnsi="Cambria" w:cs="Times New Roman"/>
          <w:sz w:val="20"/>
          <w:szCs w:val="20"/>
          <w:lang w:eastAsia="es-ES"/>
        </w:rPr>
        <w:t xml:space="preserve"> the State to accept the visit and impos</w:t>
      </w:r>
      <w:r w:rsidR="002F7E14" w:rsidRPr="008A7BD7">
        <w:rPr>
          <w:rFonts w:ascii="Cambria" w:eastAsia="Calibri" w:hAnsi="Cambria" w:cs="Times New Roman"/>
          <w:sz w:val="20"/>
          <w:szCs w:val="20"/>
          <w:lang w:eastAsia="es-ES"/>
        </w:rPr>
        <w:t>es</w:t>
      </w:r>
      <w:r w:rsidR="00034E59" w:rsidRPr="008A7BD7">
        <w:rPr>
          <w:rFonts w:ascii="Cambria" w:eastAsia="Calibri" w:hAnsi="Cambria" w:cs="Times New Roman"/>
          <w:sz w:val="20"/>
          <w:szCs w:val="20"/>
          <w:lang w:eastAsia="es-ES"/>
        </w:rPr>
        <w:t xml:space="preserve"> the condition that it must within “10 days from today send a written invitation to the IACHR,” a decision that in no way </w:t>
      </w:r>
      <w:r w:rsidR="00047F3F" w:rsidRPr="008A7BD7">
        <w:rPr>
          <w:rFonts w:ascii="Cambria" w:eastAsia="Calibri" w:hAnsi="Cambria" w:cs="Times New Roman"/>
          <w:sz w:val="20"/>
          <w:szCs w:val="20"/>
          <w:lang w:eastAsia="es-ES"/>
        </w:rPr>
        <w:t>is in line with</w:t>
      </w:r>
      <w:r w:rsidR="00AA5E9F" w:rsidRPr="008A7BD7">
        <w:rPr>
          <w:rFonts w:ascii="Cambria" w:eastAsia="Calibri" w:hAnsi="Cambria" w:cs="Times New Roman"/>
          <w:sz w:val="20"/>
          <w:szCs w:val="20"/>
          <w:lang w:eastAsia="es-ES"/>
        </w:rPr>
        <w:t xml:space="preserve"> the provisions of Article</w:t>
      </w:r>
      <w:r w:rsidR="00C56230" w:rsidRPr="008A7BD7">
        <w:rPr>
          <w:rFonts w:ascii="Cambria" w:eastAsia="Calibri" w:hAnsi="Cambria" w:cs="Times New Roman"/>
          <w:sz w:val="20"/>
          <w:szCs w:val="20"/>
          <w:lang w:eastAsia="es-ES"/>
        </w:rPr>
        <w:t xml:space="preserve"> </w:t>
      </w:r>
      <w:r w:rsidR="00AA5E9F" w:rsidRPr="008A7BD7">
        <w:rPr>
          <w:rFonts w:ascii="Cambria" w:eastAsia="Calibri" w:hAnsi="Cambria" w:cs="Times New Roman"/>
          <w:sz w:val="20"/>
          <w:szCs w:val="20"/>
          <w:lang w:eastAsia="es-ES"/>
        </w:rPr>
        <w:t xml:space="preserve">59(8) of the </w:t>
      </w:r>
      <w:r w:rsidR="00174426" w:rsidRPr="008A7BD7">
        <w:rPr>
          <w:rFonts w:ascii="Cambria" w:eastAsia="Calibri" w:hAnsi="Cambria" w:cs="Times New Roman"/>
          <w:sz w:val="20"/>
          <w:szCs w:val="20"/>
          <w:lang w:eastAsia="es-ES"/>
        </w:rPr>
        <w:t>procedural r</w:t>
      </w:r>
      <w:r w:rsidR="00AA5E9F" w:rsidRPr="008A7BD7">
        <w:rPr>
          <w:rFonts w:ascii="Cambria" w:eastAsia="Calibri" w:hAnsi="Cambria" w:cs="Times New Roman"/>
          <w:sz w:val="20"/>
          <w:szCs w:val="20"/>
          <w:lang w:eastAsia="es-ES"/>
        </w:rPr>
        <w:t xml:space="preserve">ules, which in any case assumes </w:t>
      </w:r>
      <w:r w:rsidR="00534776" w:rsidRPr="008A7BD7">
        <w:rPr>
          <w:rFonts w:ascii="Cambria" w:eastAsia="Calibri" w:hAnsi="Cambria" w:cs="Times New Roman"/>
          <w:sz w:val="20"/>
          <w:szCs w:val="20"/>
          <w:lang w:eastAsia="es-ES"/>
        </w:rPr>
        <w:t xml:space="preserve">the on-site visit as </w:t>
      </w:r>
      <w:r w:rsidR="00AA5E9F" w:rsidRPr="008A7BD7">
        <w:rPr>
          <w:rFonts w:ascii="Cambria" w:eastAsia="Calibri" w:hAnsi="Cambria" w:cs="Times New Roman"/>
          <w:sz w:val="20"/>
          <w:szCs w:val="20"/>
          <w:lang w:eastAsia="es-ES"/>
        </w:rPr>
        <w:t xml:space="preserve">a concrete </w:t>
      </w:r>
      <w:r w:rsidR="00534776" w:rsidRPr="008A7BD7">
        <w:rPr>
          <w:rFonts w:ascii="Cambria" w:eastAsia="Calibri" w:hAnsi="Cambria" w:cs="Times New Roman"/>
          <w:sz w:val="20"/>
          <w:szCs w:val="20"/>
          <w:lang w:eastAsia="es-ES"/>
        </w:rPr>
        <w:t xml:space="preserve">event that has happened and establishes that the State that has been the subject of the visit is not included in </w:t>
      </w:r>
      <w:r w:rsidR="00174426" w:rsidRPr="008A7BD7">
        <w:rPr>
          <w:rFonts w:ascii="Cambria" w:eastAsia="Calibri" w:hAnsi="Cambria" w:cs="Times New Roman"/>
          <w:sz w:val="20"/>
          <w:szCs w:val="20"/>
          <w:lang w:eastAsia="es-ES"/>
        </w:rPr>
        <w:t xml:space="preserve">said report </w:t>
      </w:r>
      <w:r w:rsidR="00534776" w:rsidRPr="008A7BD7">
        <w:rPr>
          <w:rFonts w:ascii="Cambria" w:eastAsia="Calibri" w:hAnsi="Cambria" w:cs="Times New Roman"/>
          <w:sz w:val="20"/>
          <w:szCs w:val="20"/>
          <w:lang w:eastAsia="es-ES"/>
        </w:rPr>
        <w:t>for that year.</w:t>
      </w:r>
      <w:r w:rsidR="00C56230" w:rsidRPr="008A7BD7">
        <w:rPr>
          <w:rStyle w:val="FootnoteReference"/>
          <w:rFonts w:ascii="Cambria" w:eastAsia="Calibri" w:hAnsi="Cambria" w:cs="Times New Roman"/>
          <w:sz w:val="20"/>
          <w:szCs w:val="20"/>
          <w:lang w:val="es-US" w:eastAsia="es-ES"/>
        </w:rPr>
        <w:footnoteReference w:id="14"/>
      </w:r>
      <w:bookmarkStart w:id="1" w:name="_heading=h.30j0zll" w:colFirst="0" w:colLast="0"/>
      <w:bookmarkEnd w:id="1"/>
    </w:p>
    <w:p w14:paraId="296A11CD" w14:textId="77777777" w:rsidR="00C56230" w:rsidRPr="008A7BD7" w:rsidRDefault="00C56230" w:rsidP="00C56230">
      <w:pPr>
        <w:suppressAutoHyphens/>
        <w:ind w:right="720"/>
        <w:jc w:val="both"/>
        <w:rPr>
          <w:rFonts w:ascii="Cambria" w:eastAsia="Calibri" w:hAnsi="Cambria" w:cs="Times New Roman"/>
          <w:sz w:val="20"/>
          <w:szCs w:val="20"/>
          <w:lang w:eastAsia="es-ES"/>
        </w:rPr>
      </w:pPr>
    </w:p>
    <w:p w14:paraId="1FFA70F3" w14:textId="082A6E9B" w:rsidR="00C56230" w:rsidRPr="008A7BD7" w:rsidRDefault="00024BFA" w:rsidP="00C56230">
      <w:pPr>
        <w:numPr>
          <w:ilvl w:val="0"/>
          <w:numId w:val="2"/>
        </w:numPr>
        <w:suppressAutoHyphens/>
        <w:ind w:left="0" w:firstLine="720"/>
        <w:jc w:val="both"/>
        <w:rPr>
          <w:rFonts w:ascii="Cambria" w:eastAsia="Calibri" w:hAnsi="Cambria" w:cs="Times New Roman"/>
          <w:sz w:val="20"/>
          <w:szCs w:val="20"/>
          <w:lang w:eastAsia="es-ES"/>
        </w:rPr>
      </w:pPr>
      <w:r w:rsidRPr="008A7BD7">
        <w:rPr>
          <w:rFonts w:ascii="Cambria" w:eastAsia="Calibri" w:hAnsi="Cambria" w:cs="Times New Roman"/>
          <w:sz w:val="20"/>
          <w:szCs w:val="20"/>
          <w:lang w:eastAsia="es-ES"/>
        </w:rPr>
        <w:t xml:space="preserve">Finally, the Commission </w:t>
      </w:r>
      <w:r w:rsidR="00C63448">
        <w:rPr>
          <w:rFonts w:ascii="Cambria" w:eastAsia="Calibri" w:hAnsi="Cambria" w:cs="Times New Roman"/>
          <w:sz w:val="20"/>
          <w:szCs w:val="20"/>
          <w:lang w:eastAsia="es-ES"/>
        </w:rPr>
        <w:t>acknowledges</w:t>
      </w:r>
      <w:r w:rsidR="007A06A0" w:rsidRPr="008A7BD7">
        <w:rPr>
          <w:rFonts w:ascii="Cambria" w:eastAsia="Calibri" w:hAnsi="Cambria" w:cs="Times New Roman"/>
          <w:sz w:val="20"/>
          <w:szCs w:val="20"/>
          <w:lang w:eastAsia="es-ES"/>
        </w:rPr>
        <w:t xml:space="preserve"> the State</w:t>
      </w:r>
      <w:r w:rsidR="0024222B" w:rsidRPr="008A7BD7">
        <w:rPr>
          <w:rFonts w:ascii="Cambria" w:eastAsia="Calibri" w:hAnsi="Cambria" w:cs="Times New Roman"/>
          <w:sz w:val="20"/>
          <w:szCs w:val="20"/>
          <w:lang w:eastAsia="es-ES"/>
        </w:rPr>
        <w:t xml:space="preserve">’s </w:t>
      </w:r>
      <w:r w:rsidR="007A06A0" w:rsidRPr="008A7BD7">
        <w:rPr>
          <w:rFonts w:ascii="Cambria" w:eastAsia="Calibri" w:hAnsi="Cambria" w:cs="Times New Roman"/>
          <w:sz w:val="20"/>
          <w:szCs w:val="20"/>
          <w:lang w:eastAsia="es-ES"/>
        </w:rPr>
        <w:t>assert</w:t>
      </w:r>
      <w:r w:rsidR="0024222B" w:rsidRPr="008A7BD7">
        <w:rPr>
          <w:rFonts w:ascii="Cambria" w:eastAsia="Calibri" w:hAnsi="Cambria" w:cs="Times New Roman"/>
          <w:sz w:val="20"/>
          <w:szCs w:val="20"/>
          <w:lang w:eastAsia="es-ES"/>
        </w:rPr>
        <w:t>ion</w:t>
      </w:r>
      <w:r w:rsidR="007A06A0" w:rsidRPr="008A7BD7">
        <w:rPr>
          <w:rFonts w:ascii="Cambria" w:eastAsia="Calibri" w:hAnsi="Cambria" w:cs="Times New Roman"/>
          <w:sz w:val="20"/>
          <w:szCs w:val="20"/>
          <w:lang w:eastAsia="es-ES"/>
        </w:rPr>
        <w:t xml:space="preserve"> that the current government has maintained </w:t>
      </w:r>
      <w:r w:rsidR="00C56230" w:rsidRPr="008A7BD7">
        <w:rPr>
          <w:rFonts w:ascii="Cambria" w:eastAsia="Calibri" w:hAnsi="Cambria" w:cs="Times New Roman"/>
          <w:sz w:val="20"/>
          <w:szCs w:val="20"/>
          <w:lang w:eastAsia="es-ES"/>
        </w:rPr>
        <w:t>“</w:t>
      </w:r>
      <w:r w:rsidR="007A06A0" w:rsidRPr="008A7BD7">
        <w:rPr>
          <w:rFonts w:ascii="Cambria" w:eastAsia="Calibri" w:hAnsi="Cambria" w:cs="Times New Roman"/>
          <w:sz w:val="20"/>
          <w:szCs w:val="20"/>
          <w:lang w:eastAsia="es-ES"/>
        </w:rPr>
        <w:t>a position of compl</w:t>
      </w:r>
      <w:r w:rsidR="0024222B" w:rsidRPr="008A7BD7">
        <w:rPr>
          <w:rFonts w:ascii="Cambria" w:eastAsia="Calibri" w:hAnsi="Cambria" w:cs="Times New Roman"/>
          <w:sz w:val="20"/>
          <w:szCs w:val="20"/>
          <w:lang w:eastAsia="es-ES"/>
        </w:rPr>
        <w:t>iance</w:t>
      </w:r>
      <w:r w:rsidR="007A06A0" w:rsidRPr="008A7BD7">
        <w:rPr>
          <w:rFonts w:ascii="Cambria" w:eastAsia="Calibri" w:hAnsi="Cambria" w:cs="Times New Roman"/>
          <w:sz w:val="20"/>
          <w:szCs w:val="20"/>
          <w:lang w:eastAsia="es-ES"/>
        </w:rPr>
        <w:t xml:space="preserve"> with international </w:t>
      </w:r>
      <w:r w:rsidR="00C63448">
        <w:rPr>
          <w:rFonts w:ascii="Cambria" w:eastAsia="Calibri" w:hAnsi="Cambria" w:cs="Times New Roman"/>
          <w:sz w:val="20"/>
          <w:szCs w:val="20"/>
          <w:lang w:eastAsia="es-ES"/>
        </w:rPr>
        <w:t xml:space="preserve">human rights </w:t>
      </w:r>
      <w:r w:rsidR="007A06A0" w:rsidRPr="008A7BD7">
        <w:rPr>
          <w:rFonts w:ascii="Cambria" w:eastAsia="Calibri" w:hAnsi="Cambria" w:cs="Times New Roman"/>
          <w:sz w:val="20"/>
          <w:szCs w:val="20"/>
          <w:lang w:eastAsia="es-ES"/>
        </w:rPr>
        <w:t>obligations</w:t>
      </w:r>
      <w:r w:rsidR="0024222B" w:rsidRPr="008A7BD7">
        <w:rPr>
          <w:rFonts w:ascii="Cambria" w:eastAsia="Calibri" w:hAnsi="Cambria" w:cs="Times New Roman"/>
          <w:sz w:val="20"/>
          <w:szCs w:val="20"/>
          <w:lang w:eastAsia="es-ES"/>
        </w:rPr>
        <w:t>,</w:t>
      </w:r>
      <w:r w:rsidR="007A06A0" w:rsidRPr="008A7BD7">
        <w:rPr>
          <w:rFonts w:ascii="Cambria" w:eastAsia="Calibri" w:hAnsi="Cambria" w:cs="Times New Roman"/>
          <w:sz w:val="20"/>
          <w:szCs w:val="20"/>
          <w:lang w:eastAsia="es-ES"/>
        </w:rPr>
        <w:t xml:space="preserve">” always promoting a frank and sincere dialogue with the </w:t>
      </w:r>
      <w:proofErr w:type="gramStart"/>
      <w:r w:rsidR="007A06A0" w:rsidRPr="008A7BD7">
        <w:rPr>
          <w:rFonts w:ascii="Cambria" w:eastAsia="Calibri" w:hAnsi="Cambria" w:cs="Times New Roman"/>
          <w:sz w:val="20"/>
          <w:szCs w:val="20"/>
          <w:lang w:eastAsia="es-ES"/>
        </w:rPr>
        <w:t>IACHR, and</w:t>
      </w:r>
      <w:proofErr w:type="gramEnd"/>
      <w:r w:rsidR="007A06A0" w:rsidRPr="008A7BD7">
        <w:rPr>
          <w:rFonts w:ascii="Cambria" w:eastAsia="Calibri" w:hAnsi="Cambria" w:cs="Times New Roman"/>
          <w:sz w:val="20"/>
          <w:szCs w:val="20"/>
          <w:lang w:eastAsia="es-ES"/>
        </w:rPr>
        <w:t xml:space="preserve"> has given its full attention to the requests issued by the two institutions in the inter-American human rights system</w:t>
      </w:r>
      <w:r w:rsidR="00047F3F" w:rsidRPr="008A7BD7">
        <w:rPr>
          <w:rFonts w:ascii="Cambria" w:eastAsia="Calibri" w:hAnsi="Cambria" w:cs="Times New Roman"/>
          <w:sz w:val="20"/>
          <w:szCs w:val="20"/>
          <w:lang w:eastAsia="es-ES"/>
        </w:rPr>
        <w:t xml:space="preserve"> </w:t>
      </w:r>
      <w:r w:rsidR="009D201B" w:rsidRPr="008A7BD7">
        <w:rPr>
          <w:rFonts w:ascii="Cambria" w:eastAsia="Calibri" w:hAnsi="Cambria" w:cs="Times New Roman"/>
          <w:sz w:val="20"/>
          <w:szCs w:val="20"/>
          <w:lang w:eastAsia="es-ES"/>
        </w:rPr>
        <w:t>regarding</w:t>
      </w:r>
      <w:r w:rsidR="007A06A0" w:rsidRPr="008A7BD7">
        <w:rPr>
          <w:rFonts w:ascii="Cambria" w:eastAsia="Calibri" w:hAnsi="Cambria" w:cs="Times New Roman"/>
          <w:sz w:val="20"/>
          <w:szCs w:val="20"/>
          <w:lang w:eastAsia="es-ES"/>
        </w:rPr>
        <w:t xml:space="preserve"> </w:t>
      </w:r>
      <w:r w:rsidR="00424A31" w:rsidRPr="008A7BD7">
        <w:rPr>
          <w:rFonts w:ascii="Cambria" w:eastAsia="Calibri" w:hAnsi="Cambria" w:cs="Times New Roman"/>
          <w:sz w:val="20"/>
          <w:szCs w:val="20"/>
          <w:lang w:eastAsia="es-ES"/>
        </w:rPr>
        <w:t>thematic hearings, monitoring of precautionary measures, and appropriate monitoring and payment of judgments</w:t>
      </w:r>
      <w:r w:rsidR="00C56230" w:rsidRPr="008A7BD7">
        <w:rPr>
          <w:rFonts w:ascii="Cambria" w:eastAsia="Calibri" w:hAnsi="Cambria" w:cs="Times New Roman"/>
          <w:sz w:val="20"/>
          <w:szCs w:val="20"/>
          <w:lang w:eastAsia="es-ES"/>
        </w:rPr>
        <w:t xml:space="preserve">. </w:t>
      </w:r>
      <w:r w:rsidR="00424A31" w:rsidRPr="008A7BD7">
        <w:rPr>
          <w:rFonts w:ascii="Cambria" w:eastAsia="Calibri" w:hAnsi="Cambria" w:cs="Times New Roman"/>
          <w:sz w:val="20"/>
          <w:szCs w:val="20"/>
          <w:lang w:eastAsia="es-ES"/>
        </w:rPr>
        <w:t xml:space="preserve">In this regard, the State reiterated its willingness </w:t>
      </w:r>
      <w:r w:rsidR="00C56230" w:rsidRPr="008A7BD7">
        <w:rPr>
          <w:rFonts w:ascii="Cambria" w:eastAsia="Calibri" w:hAnsi="Cambria" w:cs="Times New Roman"/>
          <w:sz w:val="20"/>
          <w:szCs w:val="20"/>
          <w:lang w:eastAsia="es-ES"/>
        </w:rPr>
        <w:t>“</w:t>
      </w:r>
      <w:r w:rsidR="00424A31" w:rsidRPr="008A7BD7">
        <w:rPr>
          <w:rFonts w:ascii="Cambria" w:eastAsia="Calibri" w:hAnsi="Cambria" w:cs="Times New Roman"/>
          <w:sz w:val="20"/>
          <w:szCs w:val="20"/>
          <w:lang w:eastAsia="es-ES"/>
        </w:rPr>
        <w:t xml:space="preserve">to continue </w:t>
      </w:r>
      <w:r w:rsidR="0024222B" w:rsidRPr="008A7BD7">
        <w:rPr>
          <w:rFonts w:ascii="Cambria" w:eastAsia="Calibri" w:hAnsi="Cambria" w:cs="Times New Roman"/>
          <w:sz w:val="20"/>
          <w:szCs w:val="20"/>
          <w:lang w:eastAsia="es-ES"/>
        </w:rPr>
        <w:t>working and collaborating</w:t>
      </w:r>
      <w:r w:rsidR="00424A31" w:rsidRPr="008A7BD7">
        <w:rPr>
          <w:rFonts w:ascii="Cambria" w:eastAsia="Calibri" w:hAnsi="Cambria" w:cs="Times New Roman"/>
          <w:sz w:val="20"/>
          <w:szCs w:val="20"/>
          <w:lang w:eastAsia="es-ES"/>
        </w:rPr>
        <w:t xml:space="preserve">, </w:t>
      </w:r>
      <w:r w:rsidR="0024222B" w:rsidRPr="008A7BD7">
        <w:rPr>
          <w:rFonts w:ascii="Cambria" w:eastAsia="Calibri" w:hAnsi="Cambria" w:cs="Times New Roman"/>
          <w:sz w:val="20"/>
          <w:szCs w:val="20"/>
          <w:lang w:eastAsia="es-ES"/>
        </w:rPr>
        <w:t>with</w:t>
      </w:r>
      <w:r w:rsidR="00424A31" w:rsidRPr="008A7BD7">
        <w:rPr>
          <w:rFonts w:ascii="Cambria" w:eastAsia="Calibri" w:hAnsi="Cambria" w:cs="Times New Roman"/>
          <w:sz w:val="20"/>
          <w:szCs w:val="20"/>
          <w:lang w:eastAsia="es-ES"/>
        </w:rPr>
        <w:t xml:space="preserve">in a framework of respect, recognition of national sovereignty, impartiality in decision-making, and good faith, </w:t>
      </w:r>
      <w:r w:rsidR="00F0513B" w:rsidRPr="008A7BD7">
        <w:rPr>
          <w:rFonts w:ascii="Cambria" w:eastAsia="Calibri" w:hAnsi="Cambria" w:cs="Times New Roman"/>
          <w:sz w:val="20"/>
          <w:szCs w:val="20"/>
          <w:lang w:eastAsia="es-ES"/>
        </w:rPr>
        <w:t>being careful to avoid polarizing Guatemalan society</w:t>
      </w:r>
      <w:r w:rsidR="007A266A" w:rsidRPr="008A7BD7">
        <w:rPr>
          <w:rFonts w:ascii="Cambria" w:eastAsia="Calibri" w:hAnsi="Cambria" w:cs="Times New Roman"/>
          <w:sz w:val="20"/>
          <w:szCs w:val="20"/>
          <w:lang w:eastAsia="es-ES"/>
        </w:rPr>
        <w:t xml:space="preserve">, thus </w:t>
      </w:r>
      <w:r w:rsidR="00B26497" w:rsidRPr="008A7BD7">
        <w:rPr>
          <w:rFonts w:ascii="Cambria" w:eastAsia="Calibri" w:hAnsi="Cambria" w:cs="Times New Roman"/>
          <w:sz w:val="20"/>
          <w:szCs w:val="20"/>
          <w:lang w:eastAsia="es-ES"/>
        </w:rPr>
        <w:t>bringing about a national agenda where the main objective is respect and recognition of human rights without ideological bias or the prevalence of vested interests.”</w:t>
      </w:r>
      <w:r w:rsidR="00C56230" w:rsidRPr="008A7BD7">
        <w:rPr>
          <w:rStyle w:val="FootnoteReference"/>
          <w:rFonts w:ascii="Cambria" w:eastAsia="Calibri" w:hAnsi="Cambria" w:cs="Times New Roman"/>
          <w:sz w:val="20"/>
          <w:szCs w:val="20"/>
          <w:lang w:val="es-US" w:eastAsia="es-ES"/>
        </w:rPr>
        <w:footnoteReference w:id="15"/>
      </w:r>
      <w:r w:rsidR="00C56230" w:rsidRPr="008A7BD7">
        <w:rPr>
          <w:rFonts w:ascii="Cambria" w:eastAsia="Calibri" w:hAnsi="Cambria" w:cs="Times New Roman"/>
          <w:sz w:val="20"/>
          <w:szCs w:val="20"/>
          <w:lang w:eastAsia="es-ES"/>
        </w:rPr>
        <w:t xml:space="preserve"> </w:t>
      </w:r>
      <w:r w:rsidR="00B26497" w:rsidRPr="008A7BD7">
        <w:rPr>
          <w:rFonts w:ascii="Cambria" w:eastAsia="Calibri" w:hAnsi="Cambria" w:cs="Times New Roman"/>
          <w:sz w:val="20"/>
          <w:szCs w:val="20"/>
          <w:lang w:eastAsia="es-ES"/>
        </w:rPr>
        <w:t>To create a better communication mechanism</w:t>
      </w:r>
      <w:r w:rsidR="00C63448">
        <w:rPr>
          <w:rFonts w:ascii="Cambria" w:eastAsia="Calibri" w:hAnsi="Cambria" w:cs="Times New Roman"/>
          <w:sz w:val="20"/>
          <w:szCs w:val="20"/>
          <w:lang w:eastAsia="es-ES"/>
        </w:rPr>
        <w:t xml:space="preserve"> </w:t>
      </w:r>
      <w:r w:rsidR="00C63448" w:rsidRPr="00C63448">
        <w:rPr>
          <w:rFonts w:ascii="Cambria" w:eastAsia="Calibri" w:hAnsi="Cambria" w:cs="Times New Roman"/>
          <w:sz w:val="20"/>
          <w:szCs w:val="20"/>
          <w:lang w:eastAsia="es-ES"/>
        </w:rPr>
        <w:t>and "find viable strategies that allow dialogic progress in the human rights challenges detected"</w:t>
      </w:r>
      <w:r w:rsidR="00B26497" w:rsidRPr="008A7BD7">
        <w:rPr>
          <w:rFonts w:ascii="Cambria" w:eastAsia="Calibri" w:hAnsi="Cambria" w:cs="Times New Roman"/>
          <w:sz w:val="20"/>
          <w:szCs w:val="20"/>
          <w:lang w:eastAsia="es-ES"/>
        </w:rPr>
        <w:t>, the State proposed a State of Guatemala</w:t>
      </w:r>
      <w:r w:rsidR="007A266A" w:rsidRPr="008A7BD7">
        <w:rPr>
          <w:rFonts w:ascii="Cambria" w:eastAsia="Calibri" w:hAnsi="Cambria" w:cs="Times New Roman"/>
          <w:sz w:val="20"/>
          <w:szCs w:val="20"/>
          <w:lang w:eastAsia="es-ES"/>
        </w:rPr>
        <w:t>/</w:t>
      </w:r>
      <w:r w:rsidR="00B26497" w:rsidRPr="008A7BD7">
        <w:rPr>
          <w:rFonts w:ascii="Cambria" w:eastAsia="Calibri" w:hAnsi="Cambria" w:cs="Times New Roman"/>
          <w:sz w:val="20"/>
          <w:szCs w:val="20"/>
          <w:lang w:eastAsia="es-ES"/>
        </w:rPr>
        <w:t>IACHR Work Plan with meetings convened at the policy and technical level</w:t>
      </w:r>
      <w:r w:rsidR="00C63448">
        <w:rPr>
          <w:rFonts w:ascii="Cambria" w:eastAsia="Calibri" w:hAnsi="Cambria" w:cs="Times New Roman"/>
          <w:sz w:val="20"/>
          <w:szCs w:val="20"/>
          <w:lang w:eastAsia="es-ES"/>
        </w:rPr>
        <w:t xml:space="preserve"> consisting of</w:t>
      </w:r>
      <w:r w:rsidR="00367819">
        <w:rPr>
          <w:rFonts w:ascii="Cambria" w:eastAsia="Calibri" w:hAnsi="Cambria" w:cs="Times New Roman"/>
          <w:sz w:val="20"/>
          <w:szCs w:val="20"/>
          <w:lang w:eastAsia="es-ES"/>
        </w:rPr>
        <w:t xml:space="preserve"> </w:t>
      </w:r>
      <w:r w:rsidR="00367819" w:rsidRPr="00367819">
        <w:rPr>
          <w:rFonts w:ascii="Cambria" w:eastAsia="Calibri" w:hAnsi="Cambria" w:cs="Times New Roman"/>
          <w:sz w:val="20"/>
          <w:szCs w:val="20"/>
          <w:lang w:eastAsia="es-ES"/>
        </w:rPr>
        <w:t xml:space="preserve">1. Review of the portfolio of cases pending before the Commission; 2. Follow-up on Petitions, Cases, admissibility processes, merits processes, Friendly Settlement Agreements </w:t>
      </w:r>
      <w:r w:rsidR="00367819" w:rsidRPr="00367819">
        <w:rPr>
          <w:rFonts w:ascii="Cambria" w:eastAsia="Calibri" w:hAnsi="Cambria" w:cs="Times New Roman"/>
          <w:sz w:val="20"/>
          <w:szCs w:val="20"/>
          <w:lang w:eastAsia="es-ES"/>
        </w:rPr>
        <w:lastRenderedPageBreak/>
        <w:t>and Precautionary Measures; 3. Trainings; 4. Specific requirements</w:t>
      </w:r>
      <w:r w:rsidR="00B26497" w:rsidRPr="008A7BD7">
        <w:rPr>
          <w:rFonts w:ascii="Cambria" w:eastAsia="Calibri" w:hAnsi="Cambria" w:cs="Times New Roman"/>
          <w:sz w:val="20"/>
          <w:szCs w:val="20"/>
          <w:lang w:eastAsia="es-ES"/>
        </w:rPr>
        <w:t>.</w:t>
      </w:r>
      <w:r w:rsidR="00367819">
        <w:rPr>
          <w:rStyle w:val="FootnoteReference"/>
          <w:rFonts w:ascii="Cambria" w:eastAsia="Calibri" w:hAnsi="Cambria" w:cs="Times New Roman"/>
          <w:sz w:val="20"/>
          <w:szCs w:val="20"/>
          <w:lang w:eastAsia="es-ES"/>
        </w:rPr>
        <w:footnoteReference w:id="16"/>
      </w:r>
      <w:r w:rsidR="00B26497" w:rsidRPr="008A7BD7">
        <w:rPr>
          <w:rFonts w:ascii="Cambria" w:eastAsia="Calibri" w:hAnsi="Cambria" w:cs="Times New Roman"/>
          <w:sz w:val="20"/>
          <w:szCs w:val="20"/>
          <w:lang w:eastAsia="es-ES"/>
        </w:rPr>
        <w:t xml:space="preserve"> The IACHR welcomes this</w:t>
      </w:r>
      <w:r w:rsidR="00367819">
        <w:rPr>
          <w:rFonts w:ascii="Cambria" w:eastAsia="Calibri" w:hAnsi="Cambria" w:cs="Times New Roman"/>
          <w:sz w:val="20"/>
          <w:szCs w:val="20"/>
          <w:lang w:eastAsia="es-ES"/>
        </w:rPr>
        <w:t xml:space="preserve"> positive and proactive</w:t>
      </w:r>
      <w:r w:rsidR="00B26497" w:rsidRPr="008A7BD7">
        <w:rPr>
          <w:rFonts w:ascii="Cambria" w:eastAsia="Calibri" w:hAnsi="Cambria" w:cs="Times New Roman"/>
          <w:sz w:val="20"/>
          <w:szCs w:val="20"/>
          <w:lang w:eastAsia="es-ES"/>
        </w:rPr>
        <w:t xml:space="preserve"> initiative</w:t>
      </w:r>
      <w:r w:rsidR="00206196" w:rsidRPr="008A7BD7">
        <w:rPr>
          <w:rFonts w:ascii="Cambria" w:eastAsia="Calibri" w:hAnsi="Cambria" w:cs="Times New Roman"/>
          <w:sz w:val="20"/>
          <w:szCs w:val="20"/>
          <w:lang w:eastAsia="es-ES"/>
        </w:rPr>
        <w:t xml:space="preserve">, which it </w:t>
      </w:r>
      <w:r w:rsidR="00B26497" w:rsidRPr="008A7BD7">
        <w:rPr>
          <w:rFonts w:ascii="Cambria" w:eastAsia="Calibri" w:hAnsi="Cambria" w:cs="Times New Roman"/>
          <w:sz w:val="20"/>
          <w:szCs w:val="20"/>
          <w:lang w:eastAsia="es-ES"/>
        </w:rPr>
        <w:t>hopes</w:t>
      </w:r>
      <w:r w:rsidR="00206196" w:rsidRPr="008A7BD7">
        <w:rPr>
          <w:rFonts w:ascii="Cambria" w:eastAsia="Calibri" w:hAnsi="Cambria" w:cs="Times New Roman"/>
          <w:sz w:val="20"/>
          <w:szCs w:val="20"/>
          <w:lang w:eastAsia="es-ES"/>
        </w:rPr>
        <w:t xml:space="preserve"> </w:t>
      </w:r>
      <w:r w:rsidR="00B26497" w:rsidRPr="008A7BD7">
        <w:rPr>
          <w:rFonts w:ascii="Cambria" w:eastAsia="Calibri" w:hAnsi="Cambria" w:cs="Times New Roman"/>
          <w:sz w:val="20"/>
          <w:szCs w:val="20"/>
          <w:lang w:eastAsia="es-ES"/>
        </w:rPr>
        <w:t xml:space="preserve">can </w:t>
      </w:r>
      <w:r w:rsidR="00F967D4" w:rsidRPr="008A7BD7">
        <w:rPr>
          <w:rFonts w:ascii="Cambria" w:eastAsia="Calibri" w:hAnsi="Cambria" w:cs="Times New Roman"/>
          <w:sz w:val="20"/>
          <w:szCs w:val="20"/>
          <w:lang w:eastAsia="es-ES"/>
        </w:rPr>
        <w:t>become a reality</w:t>
      </w:r>
      <w:r w:rsidR="00B26497" w:rsidRPr="008A7BD7">
        <w:rPr>
          <w:rFonts w:ascii="Cambria" w:eastAsia="Calibri" w:hAnsi="Cambria" w:cs="Times New Roman"/>
          <w:sz w:val="20"/>
          <w:szCs w:val="20"/>
          <w:lang w:eastAsia="es-ES"/>
        </w:rPr>
        <w:t xml:space="preserve"> as soon as possible</w:t>
      </w:r>
      <w:r w:rsidR="00F967D4" w:rsidRPr="008A7BD7">
        <w:rPr>
          <w:rFonts w:ascii="Cambria" w:eastAsia="Calibri" w:hAnsi="Cambria" w:cs="Times New Roman"/>
          <w:sz w:val="20"/>
          <w:szCs w:val="20"/>
          <w:lang w:eastAsia="es-ES"/>
        </w:rPr>
        <w:t xml:space="preserve">, and makes itself available to the State to provide </w:t>
      </w:r>
      <w:r w:rsidR="00206196" w:rsidRPr="008A7BD7">
        <w:rPr>
          <w:rFonts w:ascii="Cambria" w:eastAsia="Calibri" w:hAnsi="Cambria" w:cs="Times New Roman"/>
          <w:sz w:val="20"/>
          <w:szCs w:val="20"/>
          <w:lang w:eastAsia="es-ES"/>
        </w:rPr>
        <w:t>any</w:t>
      </w:r>
      <w:r w:rsidR="00F967D4" w:rsidRPr="008A7BD7">
        <w:rPr>
          <w:rFonts w:ascii="Cambria" w:eastAsia="Calibri" w:hAnsi="Cambria" w:cs="Times New Roman"/>
          <w:sz w:val="20"/>
          <w:szCs w:val="20"/>
          <w:lang w:eastAsia="es-ES"/>
        </w:rPr>
        <w:t xml:space="preserve"> technical assistance</w:t>
      </w:r>
      <w:r w:rsidR="00206196" w:rsidRPr="008A7BD7">
        <w:rPr>
          <w:rFonts w:ascii="Cambria" w:eastAsia="Calibri" w:hAnsi="Cambria" w:cs="Times New Roman"/>
          <w:sz w:val="20"/>
          <w:szCs w:val="20"/>
          <w:lang w:eastAsia="es-ES"/>
        </w:rPr>
        <w:t xml:space="preserve"> </w:t>
      </w:r>
      <w:r w:rsidR="00F967D4" w:rsidRPr="008A7BD7">
        <w:rPr>
          <w:rFonts w:ascii="Cambria" w:eastAsia="Calibri" w:hAnsi="Cambria" w:cs="Times New Roman"/>
          <w:sz w:val="20"/>
          <w:szCs w:val="20"/>
          <w:lang w:eastAsia="es-ES"/>
        </w:rPr>
        <w:t>needed.</w:t>
      </w:r>
      <w:r w:rsidR="00C56230" w:rsidRPr="008A7BD7">
        <w:rPr>
          <w:rStyle w:val="FootnoteReference"/>
          <w:rFonts w:ascii="Cambria" w:eastAsia="Calibri" w:hAnsi="Cambria" w:cs="Times New Roman"/>
          <w:sz w:val="20"/>
          <w:szCs w:val="20"/>
          <w:lang w:val="es-US" w:eastAsia="es-ES"/>
        </w:rPr>
        <w:footnoteReference w:id="17"/>
      </w:r>
    </w:p>
    <w:p w14:paraId="1A35FCCE" w14:textId="77777777" w:rsidR="00375BA0" w:rsidRPr="008A7BD7" w:rsidRDefault="00375BA0" w:rsidP="00375BA0">
      <w:pPr>
        <w:suppressAutoHyphens/>
        <w:ind w:left="720"/>
        <w:jc w:val="both"/>
        <w:rPr>
          <w:rFonts w:ascii="Cambria" w:eastAsia="Times New Roman" w:hAnsi="Cambria" w:cs="Times New Roman"/>
          <w:sz w:val="20"/>
          <w:szCs w:val="20"/>
          <w:lang w:eastAsia="es-ES_tradnl"/>
        </w:rPr>
      </w:pPr>
    </w:p>
    <w:p w14:paraId="65E80741" w14:textId="02687DE3" w:rsidR="00753679" w:rsidRPr="008A7BD7" w:rsidRDefault="002E1B52" w:rsidP="00BB65D3">
      <w:pPr>
        <w:numPr>
          <w:ilvl w:val="0"/>
          <w:numId w:val="2"/>
        </w:numPr>
        <w:suppressAutoHyphens/>
        <w:ind w:left="0" w:firstLine="720"/>
        <w:jc w:val="both"/>
        <w:rPr>
          <w:rFonts w:ascii="Cambria" w:eastAsia="Times New Roman" w:hAnsi="Cambria" w:cs="Times New Roman"/>
          <w:sz w:val="20"/>
          <w:szCs w:val="20"/>
          <w:lang w:eastAsia="es-ES_tradnl"/>
        </w:rPr>
      </w:pPr>
      <w:r w:rsidRPr="008A7BD7">
        <w:rPr>
          <w:rFonts w:ascii="Cambria" w:eastAsia="Calibri" w:hAnsi="Cambria" w:cs="Times New Roman"/>
          <w:sz w:val="20"/>
          <w:szCs w:val="20"/>
          <w:lang w:eastAsia="es-ES"/>
        </w:rPr>
        <w:t xml:space="preserve">Below, the IACHR will examine in more detail the aspects described above and the factors that led the IACHR to determine that </w:t>
      </w:r>
      <w:r w:rsidR="00563088" w:rsidRPr="008A7BD7">
        <w:rPr>
          <w:rFonts w:ascii="Cambria" w:eastAsia="Calibri" w:hAnsi="Cambria" w:cs="Times New Roman"/>
          <w:sz w:val="20"/>
          <w:szCs w:val="20"/>
          <w:lang w:eastAsia="es-ES"/>
        </w:rPr>
        <w:t xml:space="preserve">it would include </w:t>
      </w:r>
      <w:r w:rsidR="00706CD2" w:rsidRPr="008A7BD7">
        <w:rPr>
          <w:rFonts w:ascii="Cambria" w:eastAsia="Calibri" w:hAnsi="Cambria" w:cs="Times New Roman"/>
          <w:sz w:val="20"/>
          <w:szCs w:val="20"/>
          <w:lang w:eastAsia="es-ES"/>
        </w:rPr>
        <w:t>Guatemala</w:t>
      </w:r>
      <w:r w:rsidR="00563088" w:rsidRPr="008A7BD7">
        <w:rPr>
          <w:rFonts w:ascii="Cambria" w:eastAsia="Calibri" w:hAnsi="Cambria" w:cs="Times New Roman"/>
          <w:sz w:val="20"/>
          <w:szCs w:val="20"/>
          <w:lang w:eastAsia="es-ES"/>
        </w:rPr>
        <w:t xml:space="preserve"> </w:t>
      </w:r>
      <w:r w:rsidRPr="008A7BD7">
        <w:rPr>
          <w:rFonts w:ascii="Cambria" w:eastAsia="Calibri" w:hAnsi="Cambria" w:cs="Times New Roman"/>
          <w:sz w:val="20"/>
          <w:szCs w:val="20"/>
          <w:lang w:eastAsia="es-ES"/>
        </w:rPr>
        <w:t>in Chapter</w:t>
      </w:r>
      <w:r w:rsidR="00706CD2" w:rsidRPr="008A7BD7">
        <w:rPr>
          <w:rFonts w:ascii="Cambria" w:eastAsia="Calibri" w:hAnsi="Cambria" w:cs="Times New Roman"/>
          <w:sz w:val="20"/>
          <w:szCs w:val="20"/>
          <w:lang w:eastAsia="es-ES"/>
        </w:rPr>
        <w:t xml:space="preserve"> IV.B </w:t>
      </w:r>
      <w:r w:rsidRPr="008A7BD7">
        <w:rPr>
          <w:rFonts w:ascii="Cambria" w:eastAsia="Calibri" w:hAnsi="Cambria" w:cs="Times New Roman"/>
          <w:sz w:val="20"/>
          <w:szCs w:val="20"/>
          <w:lang w:eastAsia="es-ES"/>
        </w:rPr>
        <w:t xml:space="preserve">of the </w:t>
      </w:r>
      <w:r w:rsidR="00023A23" w:rsidRPr="008A7BD7">
        <w:rPr>
          <w:rFonts w:ascii="Cambria" w:eastAsia="Calibri" w:hAnsi="Cambria" w:cs="Times New Roman"/>
          <w:sz w:val="20"/>
          <w:szCs w:val="20"/>
          <w:lang w:eastAsia="es-ES"/>
        </w:rPr>
        <w:t>2021</w:t>
      </w:r>
      <w:r w:rsidRPr="008A7BD7">
        <w:rPr>
          <w:rFonts w:ascii="Cambria" w:eastAsia="Calibri" w:hAnsi="Cambria" w:cs="Times New Roman"/>
          <w:sz w:val="20"/>
          <w:szCs w:val="20"/>
          <w:lang w:eastAsia="es-ES"/>
        </w:rPr>
        <w:t xml:space="preserve"> Annual Report</w:t>
      </w:r>
      <w:r w:rsidR="00023A23" w:rsidRPr="008A7BD7">
        <w:rPr>
          <w:rFonts w:ascii="Cambria" w:eastAsia="Calibri" w:hAnsi="Cambria" w:cs="Times New Roman"/>
          <w:sz w:val="20"/>
          <w:szCs w:val="20"/>
          <w:lang w:eastAsia="es-ES"/>
        </w:rPr>
        <w:t>.</w:t>
      </w:r>
    </w:p>
    <w:p w14:paraId="0DF38DDC" w14:textId="724D334A" w:rsidR="00271D8A" w:rsidRPr="005971D5" w:rsidRDefault="00271D8A" w:rsidP="00F0442F">
      <w:pPr>
        <w:pStyle w:val="Heading1"/>
        <w:numPr>
          <w:ilvl w:val="0"/>
          <w:numId w:val="0"/>
        </w:numPr>
        <w:ind w:left="1530"/>
        <w:rPr>
          <w:lang w:val="en-US"/>
        </w:rPr>
      </w:pPr>
    </w:p>
    <w:p w14:paraId="55B4F472" w14:textId="34FB80ED" w:rsidR="001A2977" w:rsidRPr="005971D5" w:rsidRDefault="00C60D25" w:rsidP="00F0442F">
      <w:pPr>
        <w:pStyle w:val="Heading1"/>
        <w:rPr>
          <w:lang w:val="en-US"/>
        </w:rPr>
      </w:pPr>
      <w:r w:rsidRPr="005971D5">
        <w:rPr>
          <w:rFonts w:eastAsiaTheme="minorHAnsi" w:cstheme="minorBidi"/>
          <w:color w:val="000000"/>
          <w:spacing w:val="0"/>
          <w:kern w:val="0"/>
          <w:lang w:val="en-US"/>
        </w:rPr>
        <w:t>ANTI-CORRUPTION EFFORTS, JUDICIAL INDEPENDENCE, AND THE SITUATION OF JUSTICE OPERATORS</w:t>
      </w:r>
      <w:r w:rsidR="001A2977" w:rsidRPr="005971D5">
        <w:rPr>
          <w:rFonts w:eastAsiaTheme="minorHAnsi" w:cstheme="minorBidi"/>
          <w:color w:val="000000"/>
          <w:spacing w:val="0"/>
          <w:kern w:val="0"/>
          <w:lang w:val="en-US"/>
        </w:rPr>
        <w:t xml:space="preserve"> </w:t>
      </w:r>
    </w:p>
    <w:p w14:paraId="324126FE" w14:textId="77777777" w:rsidR="00775C4B" w:rsidRPr="008A7BD7" w:rsidRDefault="00775C4B" w:rsidP="00304B76">
      <w:pPr>
        <w:rPr>
          <w:rFonts w:ascii="Cambria" w:eastAsia="Cambria" w:hAnsi="Cambria" w:cs="Cambria"/>
          <w:color w:val="000000" w:themeColor="text1"/>
          <w:sz w:val="20"/>
          <w:szCs w:val="20"/>
          <w:lang w:eastAsia="es-ES"/>
        </w:rPr>
      </w:pPr>
    </w:p>
    <w:p w14:paraId="2E08C3ED" w14:textId="1C03200F" w:rsidR="0025498E" w:rsidRPr="008A7BD7" w:rsidRDefault="001A53FE" w:rsidP="0025498E">
      <w:pPr>
        <w:numPr>
          <w:ilvl w:val="0"/>
          <w:numId w:val="2"/>
        </w:numPr>
        <w:suppressAutoHyphens/>
        <w:ind w:left="0" w:firstLine="720"/>
        <w:jc w:val="both"/>
        <w:rPr>
          <w:rFonts w:ascii="Cambria" w:hAnsi="Cambria"/>
          <w:color w:val="000000"/>
          <w:sz w:val="20"/>
          <w:szCs w:val="20"/>
        </w:rPr>
      </w:pPr>
      <w:r w:rsidRPr="008A7BD7">
        <w:rPr>
          <w:rFonts w:ascii="Cambria" w:hAnsi="Cambria"/>
          <w:color w:val="000000"/>
          <w:sz w:val="20"/>
          <w:szCs w:val="20"/>
        </w:rPr>
        <w:t>In</w:t>
      </w:r>
      <w:r w:rsidR="00761BA8" w:rsidRPr="008A7BD7">
        <w:rPr>
          <w:rFonts w:ascii="Cambria" w:hAnsi="Cambria"/>
          <w:color w:val="000000"/>
          <w:sz w:val="20"/>
          <w:szCs w:val="20"/>
        </w:rPr>
        <w:t xml:space="preserve"> 2021, </w:t>
      </w:r>
      <w:r w:rsidRPr="008A7BD7">
        <w:rPr>
          <w:rFonts w:ascii="Cambria" w:hAnsi="Cambria"/>
          <w:color w:val="000000"/>
          <w:sz w:val="20"/>
          <w:szCs w:val="20"/>
        </w:rPr>
        <w:t xml:space="preserve">the IACHR received troubling information </w:t>
      </w:r>
      <w:r w:rsidR="00880A0F" w:rsidRPr="008A7BD7">
        <w:rPr>
          <w:rFonts w:ascii="Cambria" w:hAnsi="Cambria"/>
          <w:color w:val="000000"/>
          <w:sz w:val="20"/>
          <w:szCs w:val="20"/>
        </w:rPr>
        <w:t>concerning</w:t>
      </w:r>
      <w:r w:rsidRPr="008A7BD7">
        <w:rPr>
          <w:rFonts w:ascii="Cambria" w:hAnsi="Cambria"/>
          <w:color w:val="000000"/>
          <w:sz w:val="20"/>
          <w:szCs w:val="20"/>
        </w:rPr>
        <w:t xml:space="preserve"> </w:t>
      </w:r>
      <w:r w:rsidR="00EB47D8" w:rsidRPr="008A7BD7">
        <w:rPr>
          <w:rFonts w:ascii="Cambria" w:hAnsi="Cambria"/>
          <w:color w:val="000000"/>
          <w:sz w:val="20"/>
          <w:szCs w:val="20"/>
        </w:rPr>
        <w:t>setback</w:t>
      </w:r>
      <w:r w:rsidR="006C43B7" w:rsidRPr="008A7BD7">
        <w:rPr>
          <w:rFonts w:ascii="Cambria" w:hAnsi="Cambria"/>
          <w:color w:val="000000"/>
          <w:sz w:val="20"/>
          <w:szCs w:val="20"/>
        </w:rPr>
        <w:t xml:space="preserve">s in the fight against impunity and corruption, stemming from systematic </w:t>
      </w:r>
      <w:r w:rsidR="00880A0F" w:rsidRPr="008A7BD7">
        <w:rPr>
          <w:rFonts w:ascii="Cambria" w:hAnsi="Cambria"/>
          <w:color w:val="000000"/>
          <w:sz w:val="20"/>
          <w:szCs w:val="20"/>
        </w:rPr>
        <w:t>violations</w:t>
      </w:r>
      <w:r w:rsidR="006C43B7" w:rsidRPr="008A7BD7">
        <w:rPr>
          <w:rFonts w:ascii="Cambria" w:hAnsi="Cambria"/>
          <w:color w:val="000000"/>
          <w:sz w:val="20"/>
          <w:szCs w:val="20"/>
        </w:rPr>
        <w:t xml:space="preserve"> </w:t>
      </w:r>
      <w:r w:rsidR="00880A0F" w:rsidRPr="008A7BD7">
        <w:rPr>
          <w:rFonts w:ascii="Cambria" w:hAnsi="Cambria"/>
          <w:color w:val="000000"/>
          <w:sz w:val="20"/>
          <w:szCs w:val="20"/>
        </w:rPr>
        <w:t>of</w:t>
      </w:r>
      <w:r w:rsidR="006C43B7" w:rsidRPr="008A7BD7">
        <w:rPr>
          <w:rFonts w:ascii="Cambria" w:hAnsi="Cambria"/>
          <w:color w:val="000000"/>
          <w:sz w:val="20"/>
          <w:szCs w:val="20"/>
        </w:rPr>
        <w:t xml:space="preserve"> judicial independence and the deteriorating situation of independent justice operators. According to information provided by civil society organizations, the </w:t>
      </w:r>
      <w:r w:rsidR="003673DE" w:rsidRPr="008A7BD7">
        <w:rPr>
          <w:rFonts w:ascii="Cambria" w:hAnsi="Cambria"/>
          <w:color w:val="000000"/>
          <w:sz w:val="20"/>
          <w:szCs w:val="20"/>
        </w:rPr>
        <w:t xml:space="preserve">crisis in the </w:t>
      </w:r>
      <w:r w:rsidR="006C43B7" w:rsidRPr="008A7BD7">
        <w:rPr>
          <w:rFonts w:ascii="Cambria" w:hAnsi="Cambria"/>
          <w:color w:val="000000"/>
          <w:sz w:val="20"/>
          <w:szCs w:val="20"/>
        </w:rPr>
        <w:t>Guatemalan justice system is</w:t>
      </w:r>
      <w:r w:rsidR="003673DE" w:rsidRPr="008A7BD7">
        <w:rPr>
          <w:rFonts w:ascii="Cambria" w:hAnsi="Cambria"/>
          <w:color w:val="000000"/>
          <w:sz w:val="20"/>
          <w:szCs w:val="20"/>
        </w:rPr>
        <w:t xml:space="preserve"> </w:t>
      </w:r>
      <w:r w:rsidR="006C43B7" w:rsidRPr="008A7BD7">
        <w:rPr>
          <w:rFonts w:ascii="Cambria" w:hAnsi="Cambria"/>
          <w:color w:val="000000"/>
          <w:sz w:val="20"/>
          <w:szCs w:val="20"/>
        </w:rPr>
        <w:t>extremely troubling</w:t>
      </w:r>
      <w:r w:rsidR="003673DE" w:rsidRPr="008A7BD7">
        <w:rPr>
          <w:rFonts w:ascii="Cambria" w:hAnsi="Cambria"/>
          <w:color w:val="000000"/>
          <w:sz w:val="20"/>
          <w:szCs w:val="20"/>
        </w:rPr>
        <w:t xml:space="preserve"> </w:t>
      </w:r>
      <w:r w:rsidR="006C43B7" w:rsidRPr="008A7BD7">
        <w:rPr>
          <w:rFonts w:ascii="Cambria" w:hAnsi="Cambria"/>
          <w:color w:val="000000"/>
          <w:sz w:val="20"/>
          <w:szCs w:val="20"/>
        </w:rPr>
        <w:t xml:space="preserve">because such </w:t>
      </w:r>
      <w:r w:rsidR="00DA6CDE" w:rsidRPr="008A7BD7">
        <w:rPr>
          <w:rFonts w:ascii="Cambria" w:hAnsi="Cambria"/>
          <w:color w:val="000000"/>
          <w:sz w:val="20"/>
          <w:szCs w:val="20"/>
        </w:rPr>
        <w:t>actions</w:t>
      </w:r>
      <w:r w:rsidR="006C43B7" w:rsidRPr="008A7BD7">
        <w:rPr>
          <w:rFonts w:ascii="Cambria" w:hAnsi="Cambria"/>
          <w:color w:val="000000"/>
          <w:sz w:val="20"/>
          <w:szCs w:val="20"/>
        </w:rPr>
        <w:t xml:space="preserve"> are </w:t>
      </w:r>
      <w:r w:rsidR="003673DE" w:rsidRPr="008A7BD7">
        <w:rPr>
          <w:rFonts w:ascii="Cambria" w:hAnsi="Cambria"/>
          <w:color w:val="000000"/>
          <w:sz w:val="20"/>
          <w:szCs w:val="20"/>
        </w:rPr>
        <w:t>apparently</w:t>
      </w:r>
      <w:r w:rsidR="006C43B7" w:rsidRPr="008A7BD7">
        <w:rPr>
          <w:rFonts w:ascii="Cambria" w:hAnsi="Cambria"/>
          <w:color w:val="000000"/>
          <w:sz w:val="20"/>
          <w:szCs w:val="20"/>
        </w:rPr>
        <w:t xml:space="preserve"> part of a</w:t>
      </w:r>
      <w:r w:rsidR="002476D5" w:rsidRPr="008A7BD7">
        <w:rPr>
          <w:rFonts w:ascii="Cambria" w:hAnsi="Cambria"/>
          <w:color w:val="000000"/>
          <w:sz w:val="20"/>
          <w:szCs w:val="20"/>
        </w:rPr>
        <w:t>n intended co-optation</w:t>
      </w:r>
      <w:r w:rsidR="006C43B7" w:rsidRPr="008A7BD7">
        <w:rPr>
          <w:rFonts w:ascii="Cambria" w:hAnsi="Cambria"/>
          <w:color w:val="000000"/>
          <w:sz w:val="20"/>
          <w:szCs w:val="20"/>
        </w:rPr>
        <w:t xml:space="preserve"> strategy</w:t>
      </w:r>
      <w:r w:rsidR="002476D5" w:rsidRPr="008A7BD7">
        <w:rPr>
          <w:rFonts w:ascii="Cambria" w:hAnsi="Cambria"/>
          <w:color w:val="000000"/>
          <w:sz w:val="20"/>
          <w:szCs w:val="20"/>
        </w:rPr>
        <w:t xml:space="preserve"> </w:t>
      </w:r>
      <w:r w:rsidR="006C43B7" w:rsidRPr="008A7BD7">
        <w:rPr>
          <w:rFonts w:ascii="Cambria" w:hAnsi="Cambria"/>
          <w:color w:val="000000"/>
          <w:sz w:val="20"/>
          <w:szCs w:val="20"/>
        </w:rPr>
        <w:t xml:space="preserve">by </w:t>
      </w:r>
      <w:r w:rsidR="003673DE" w:rsidRPr="008A7BD7">
        <w:rPr>
          <w:rFonts w:ascii="Cambria" w:hAnsi="Cambria"/>
          <w:color w:val="000000"/>
          <w:sz w:val="20"/>
          <w:szCs w:val="20"/>
        </w:rPr>
        <w:t xml:space="preserve">parallel </w:t>
      </w:r>
      <w:r w:rsidR="00DA6CDE" w:rsidRPr="008A7BD7">
        <w:rPr>
          <w:rFonts w:ascii="Cambria" w:hAnsi="Cambria"/>
          <w:color w:val="000000"/>
          <w:sz w:val="20"/>
          <w:szCs w:val="20"/>
        </w:rPr>
        <w:t xml:space="preserve">power </w:t>
      </w:r>
      <w:r w:rsidR="006C43B7" w:rsidRPr="008A7BD7">
        <w:rPr>
          <w:rFonts w:ascii="Cambria" w:hAnsi="Cambria"/>
          <w:color w:val="000000"/>
          <w:sz w:val="20"/>
          <w:szCs w:val="20"/>
        </w:rPr>
        <w:t xml:space="preserve">groups and structures </w:t>
      </w:r>
      <w:r w:rsidR="003673DE" w:rsidRPr="008A7BD7">
        <w:rPr>
          <w:rFonts w:ascii="Cambria" w:hAnsi="Cambria"/>
          <w:color w:val="000000"/>
          <w:sz w:val="20"/>
          <w:szCs w:val="20"/>
        </w:rPr>
        <w:t xml:space="preserve">involved in corruption schemes and interested in ensuring impunity and </w:t>
      </w:r>
      <w:r w:rsidR="00DA6CDE" w:rsidRPr="008A7BD7">
        <w:rPr>
          <w:rFonts w:ascii="Cambria" w:hAnsi="Cambria"/>
          <w:color w:val="000000"/>
          <w:sz w:val="20"/>
          <w:szCs w:val="20"/>
        </w:rPr>
        <w:t>perpetuating</w:t>
      </w:r>
      <w:r w:rsidR="003673DE" w:rsidRPr="008A7BD7">
        <w:rPr>
          <w:rFonts w:ascii="Cambria" w:hAnsi="Cambria"/>
          <w:color w:val="000000"/>
          <w:sz w:val="20"/>
          <w:szCs w:val="20"/>
        </w:rPr>
        <w:t xml:space="preserve"> </w:t>
      </w:r>
      <w:r w:rsidR="00AC1272" w:rsidRPr="008A7BD7">
        <w:rPr>
          <w:rFonts w:ascii="Cambria" w:hAnsi="Cambria"/>
          <w:color w:val="000000"/>
          <w:sz w:val="20"/>
          <w:szCs w:val="20"/>
        </w:rPr>
        <w:t xml:space="preserve">the means of </w:t>
      </w:r>
      <w:r w:rsidR="003673DE" w:rsidRPr="008A7BD7">
        <w:rPr>
          <w:rFonts w:ascii="Cambria" w:hAnsi="Cambria"/>
          <w:color w:val="000000"/>
          <w:sz w:val="20"/>
          <w:szCs w:val="20"/>
        </w:rPr>
        <w:t>corruption.</w:t>
      </w:r>
      <w:r w:rsidR="0025498E" w:rsidRPr="008A7BD7">
        <w:rPr>
          <w:rStyle w:val="FootnoteReference"/>
          <w:rFonts w:ascii="Cambria" w:hAnsi="Cambria" w:cs="Arial"/>
          <w:sz w:val="20"/>
          <w:szCs w:val="20"/>
          <w:lang w:val="es-MX"/>
        </w:rPr>
        <w:footnoteReference w:id="18"/>
      </w:r>
      <w:r w:rsidR="0025498E" w:rsidRPr="008A7BD7">
        <w:rPr>
          <w:rFonts w:ascii="Cambria" w:hAnsi="Cambria" w:cs="Arial"/>
          <w:sz w:val="20"/>
          <w:szCs w:val="20"/>
        </w:rPr>
        <w:t xml:space="preserve"> </w:t>
      </w:r>
      <w:r w:rsidR="0025498E" w:rsidRPr="008A7BD7">
        <w:rPr>
          <w:rFonts w:ascii="Cambria" w:hAnsi="Cambria"/>
          <w:color w:val="000000"/>
          <w:sz w:val="20"/>
          <w:szCs w:val="20"/>
        </w:rPr>
        <w:t xml:space="preserve"> </w:t>
      </w:r>
    </w:p>
    <w:p w14:paraId="62033671" w14:textId="77777777" w:rsidR="0025498E" w:rsidRPr="008A7BD7" w:rsidRDefault="0025498E" w:rsidP="00761BA8">
      <w:pPr>
        <w:suppressAutoHyphens/>
        <w:jc w:val="both"/>
        <w:rPr>
          <w:rFonts w:ascii="Cambria" w:hAnsi="Cambria"/>
          <w:color w:val="000000"/>
          <w:sz w:val="20"/>
          <w:szCs w:val="20"/>
        </w:rPr>
      </w:pPr>
    </w:p>
    <w:p w14:paraId="47F968AD" w14:textId="245523B2" w:rsidR="00775C4B" w:rsidRPr="008A7BD7" w:rsidRDefault="002476D5" w:rsidP="00BB65D3">
      <w:pPr>
        <w:numPr>
          <w:ilvl w:val="0"/>
          <w:numId w:val="2"/>
        </w:numPr>
        <w:suppressAutoHyphens/>
        <w:ind w:left="0" w:firstLine="720"/>
        <w:jc w:val="both"/>
        <w:rPr>
          <w:rFonts w:ascii="Cambria" w:hAnsi="Cambria"/>
          <w:color w:val="000000"/>
          <w:sz w:val="20"/>
          <w:szCs w:val="20"/>
        </w:rPr>
      </w:pPr>
      <w:r w:rsidRPr="008A7BD7">
        <w:rPr>
          <w:rFonts w:ascii="Cambria" w:hAnsi="Cambria"/>
          <w:color w:val="000000"/>
          <w:sz w:val="20"/>
          <w:szCs w:val="20"/>
        </w:rPr>
        <w:t xml:space="preserve">In that regard, the IACHR recognized from its visit to the country in 2017 that overcoming the </w:t>
      </w:r>
      <w:r w:rsidR="001A6885" w:rsidRPr="008A7BD7">
        <w:rPr>
          <w:rFonts w:ascii="Cambria" w:hAnsi="Cambria"/>
          <w:color w:val="000000"/>
          <w:sz w:val="20"/>
          <w:szCs w:val="20"/>
        </w:rPr>
        <w:t>problem</w:t>
      </w:r>
      <w:r w:rsidRPr="008A7BD7">
        <w:rPr>
          <w:rFonts w:ascii="Cambria" w:hAnsi="Cambria"/>
          <w:color w:val="000000"/>
          <w:sz w:val="20"/>
          <w:szCs w:val="20"/>
        </w:rPr>
        <w:t xml:space="preserve"> of corruption and impunity constituted one of the main challenges to the strengthening of the rule of law and democratic institutions in </w:t>
      </w:r>
      <w:r w:rsidR="2EA9B795" w:rsidRPr="008A7BD7">
        <w:rPr>
          <w:rFonts w:ascii="Cambria" w:hAnsi="Cambria"/>
          <w:color w:val="000000"/>
          <w:sz w:val="20"/>
          <w:szCs w:val="20"/>
        </w:rPr>
        <w:t>Guatemala</w:t>
      </w:r>
      <w:r w:rsidRPr="008A7BD7">
        <w:rPr>
          <w:rFonts w:ascii="Cambria" w:hAnsi="Cambria"/>
          <w:color w:val="000000"/>
          <w:sz w:val="20"/>
          <w:szCs w:val="20"/>
        </w:rPr>
        <w:t>.</w:t>
      </w:r>
      <w:r w:rsidR="00DD1C04" w:rsidRPr="008A7BD7">
        <w:rPr>
          <w:rFonts w:ascii="Cambria" w:hAnsi="Cambria"/>
          <w:color w:val="000000"/>
          <w:sz w:val="20"/>
          <w:szCs w:val="20"/>
        </w:rPr>
        <w:t xml:space="preserve"> Nevertheless, </w:t>
      </w:r>
      <w:r w:rsidR="00A02904" w:rsidRPr="008A7BD7">
        <w:rPr>
          <w:rFonts w:ascii="Cambria" w:hAnsi="Cambria"/>
          <w:color w:val="000000"/>
          <w:sz w:val="20"/>
          <w:szCs w:val="20"/>
        </w:rPr>
        <w:t xml:space="preserve">since </w:t>
      </w:r>
      <w:r w:rsidR="00775C4B" w:rsidRPr="008A7BD7">
        <w:rPr>
          <w:rFonts w:ascii="Cambria" w:hAnsi="Cambria"/>
          <w:color w:val="000000"/>
          <w:sz w:val="20"/>
          <w:szCs w:val="20"/>
        </w:rPr>
        <w:t xml:space="preserve">2017, </w:t>
      </w:r>
      <w:r w:rsidR="00A02904" w:rsidRPr="008A7BD7">
        <w:rPr>
          <w:rFonts w:ascii="Cambria" w:hAnsi="Cambria"/>
          <w:color w:val="000000"/>
          <w:sz w:val="20"/>
          <w:szCs w:val="20"/>
        </w:rPr>
        <w:t xml:space="preserve">the Guatemalan State, </w:t>
      </w:r>
      <w:r w:rsidR="008C52B9" w:rsidRPr="008A7BD7">
        <w:rPr>
          <w:rFonts w:ascii="Cambria" w:hAnsi="Cambria"/>
          <w:color w:val="000000"/>
          <w:sz w:val="20"/>
          <w:szCs w:val="20"/>
        </w:rPr>
        <w:t>starting with</w:t>
      </w:r>
      <w:r w:rsidR="00A02904" w:rsidRPr="008A7BD7">
        <w:rPr>
          <w:rFonts w:ascii="Cambria" w:hAnsi="Cambria"/>
          <w:color w:val="000000"/>
          <w:sz w:val="20"/>
          <w:szCs w:val="20"/>
        </w:rPr>
        <w:t xml:space="preserve"> </w:t>
      </w:r>
      <w:r w:rsidR="008C52B9" w:rsidRPr="008A7BD7">
        <w:rPr>
          <w:rFonts w:ascii="Cambria" w:hAnsi="Cambria"/>
          <w:color w:val="000000"/>
          <w:sz w:val="20"/>
          <w:szCs w:val="20"/>
        </w:rPr>
        <w:t>its</w:t>
      </w:r>
      <w:r w:rsidR="00A02904" w:rsidRPr="008A7BD7">
        <w:rPr>
          <w:rFonts w:ascii="Cambria" w:hAnsi="Cambria"/>
          <w:color w:val="000000"/>
          <w:sz w:val="20"/>
          <w:szCs w:val="20"/>
        </w:rPr>
        <w:t xml:space="preserve"> highest-level authorities, has been carrying out various actions intended to weaken anti-corruption institutions and the independence of the bodies responsible for administering and </w:t>
      </w:r>
      <w:r w:rsidR="000654C2" w:rsidRPr="008A7BD7">
        <w:rPr>
          <w:rFonts w:ascii="Cambria" w:hAnsi="Cambria"/>
          <w:color w:val="000000"/>
          <w:sz w:val="20"/>
          <w:szCs w:val="20"/>
        </w:rPr>
        <w:t>delivering</w:t>
      </w:r>
      <w:r w:rsidR="00A02904" w:rsidRPr="008A7BD7">
        <w:rPr>
          <w:rFonts w:ascii="Cambria" w:hAnsi="Cambria"/>
          <w:color w:val="000000"/>
          <w:sz w:val="20"/>
          <w:szCs w:val="20"/>
        </w:rPr>
        <w:t xml:space="preserve"> justice in the country. Thus, on August </w:t>
      </w:r>
      <w:r w:rsidR="00775C4B" w:rsidRPr="008A7BD7">
        <w:rPr>
          <w:rFonts w:ascii="Cambria" w:hAnsi="Cambria"/>
          <w:color w:val="000000"/>
          <w:sz w:val="20"/>
          <w:szCs w:val="20"/>
        </w:rPr>
        <w:t>27</w:t>
      </w:r>
      <w:r w:rsidR="00A02904" w:rsidRPr="008A7BD7">
        <w:rPr>
          <w:rFonts w:ascii="Cambria" w:hAnsi="Cambria"/>
          <w:color w:val="000000"/>
          <w:sz w:val="20"/>
          <w:szCs w:val="20"/>
        </w:rPr>
        <w:t xml:space="preserve">, </w:t>
      </w:r>
      <w:r w:rsidR="00775C4B" w:rsidRPr="008A7BD7">
        <w:rPr>
          <w:rFonts w:ascii="Cambria" w:hAnsi="Cambria"/>
          <w:color w:val="000000"/>
          <w:sz w:val="20"/>
          <w:szCs w:val="20"/>
        </w:rPr>
        <w:t xml:space="preserve">2017, </w:t>
      </w:r>
      <w:r w:rsidR="00A02904" w:rsidRPr="008A7BD7">
        <w:rPr>
          <w:rFonts w:ascii="Cambria" w:hAnsi="Cambria"/>
          <w:color w:val="000000"/>
          <w:sz w:val="20"/>
          <w:szCs w:val="20"/>
        </w:rPr>
        <w:t>then-President</w:t>
      </w:r>
      <w:r w:rsidR="00AC1272" w:rsidRPr="008A7BD7">
        <w:rPr>
          <w:rFonts w:ascii="Cambria" w:hAnsi="Cambria"/>
          <w:color w:val="000000"/>
          <w:sz w:val="20"/>
          <w:szCs w:val="20"/>
        </w:rPr>
        <w:t xml:space="preserve"> </w:t>
      </w:r>
      <w:r w:rsidR="00775C4B" w:rsidRPr="008A7BD7">
        <w:rPr>
          <w:rFonts w:ascii="Cambria" w:hAnsi="Cambria"/>
          <w:color w:val="000000"/>
          <w:sz w:val="20"/>
          <w:szCs w:val="20"/>
        </w:rPr>
        <w:t xml:space="preserve">Jimmy Morales </w:t>
      </w:r>
      <w:r w:rsidR="00A02904" w:rsidRPr="008A7BD7">
        <w:rPr>
          <w:rFonts w:ascii="Cambria" w:hAnsi="Cambria"/>
          <w:color w:val="000000"/>
          <w:sz w:val="20"/>
          <w:szCs w:val="20"/>
        </w:rPr>
        <w:t xml:space="preserve">declared CICIG Commissioner </w:t>
      </w:r>
      <w:proofErr w:type="spellStart"/>
      <w:r w:rsidR="00775C4B" w:rsidRPr="008A7BD7">
        <w:rPr>
          <w:rFonts w:ascii="Cambria" w:hAnsi="Cambria"/>
          <w:color w:val="000000"/>
          <w:sz w:val="20"/>
          <w:szCs w:val="20"/>
        </w:rPr>
        <w:t>Iván</w:t>
      </w:r>
      <w:proofErr w:type="spellEnd"/>
      <w:r w:rsidR="00775C4B" w:rsidRPr="008A7BD7">
        <w:rPr>
          <w:rFonts w:ascii="Cambria" w:hAnsi="Cambria"/>
          <w:color w:val="000000"/>
          <w:sz w:val="20"/>
          <w:szCs w:val="20"/>
        </w:rPr>
        <w:t xml:space="preserve"> </w:t>
      </w:r>
      <w:proofErr w:type="spellStart"/>
      <w:r w:rsidR="00775C4B" w:rsidRPr="008A7BD7">
        <w:rPr>
          <w:rFonts w:ascii="Cambria" w:hAnsi="Cambria"/>
          <w:color w:val="000000"/>
          <w:sz w:val="20"/>
          <w:szCs w:val="20"/>
        </w:rPr>
        <w:t>Velásquez</w:t>
      </w:r>
      <w:proofErr w:type="spellEnd"/>
      <w:r w:rsidR="00A02904" w:rsidRPr="008A7BD7">
        <w:rPr>
          <w:rFonts w:ascii="Cambria" w:hAnsi="Cambria"/>
          <w:color w:val="000000"/>
          <w:sz w:val="20"/>
          <w:szCs w:val="20"/>
        </w:rPr>
        <w:t xml:space="preserve"> to be </w:t>
      </w:r>
      <w:r w:rsidR="00A02904" w:rsidRPr="008A7BD7">
        <w:rPr>
          <w:rFonts w:ascii="Cambria" w:hAnsi="Cambria"/>
          <w:i/>
          <w:iCs/>
          <w:color w:val="000000"/>
          <w:sz w:val="20"/>
          <w:szCs w:val="20"/>
        </w:rPr>
        <w:t>persona non grata</w:t>
      </w:r>
      <w:r w:rsidR="00A02904" w:rsidRPr="008A7BD7">
        <w:rPr>
          <w:rFonts w:ascii="Cambria" w:hAnsi="Cambria"/>
          <w:color w:val="000000"/>
          <w:sz w:val="20"/>
          <w:szCs w:val="20"/>
        </w:rPr>
        <w:t xml:space="preserve"> </w:t>
      </w:r>
      <w:r w:rsidR="00CF2FA6" w:rsidRPr="008A7BD7">
        <w:rPr>
          <w:rFonts w:ascii="Cambria" w:hAnsi="Cambria"/>
          <w:color w:val="000000"/>
          <w:sz w:val="20"/>
          <w:szCs w:val="20"/>
        </w:rPr>
        <w:t xml:space="preserve">and ordered him to be expelled immediately from the country. That announcement was made days after </w:t>
      </w:r>
      <w:r w:rsidR="00AC1272" w:rsidRPr="008A7BD7">
        <w:rPr>
          <w:rFonts w:ascii="Cambria" w:hAnsi="Cambria"/>
          <w:color w:val="000000"/>
          <w:sz w:val="20"/>
          <w:szCs w:val="20"/>
        </w:rPr>
        <w:t xml:space="preserve">the </w:t>
      </w:r>
      <w:r w:rsidR="00775C4B" w:rsidRPr="008A7BD7">
        <w:rPr>
          <w:rFonts w:ascii="Cambria" w:hAnsi="Cambria"/>
          <w:color w:val="000000"/>
          <w:sz w:val="20"/>
          <w:szCs w:val="20"/>
        </w:rPr>
        <w:t xml:space="preserve">CICIG </w:t>
      </w:r>
      <w:r w:rsidR="00650C91" w:rsidRPr="008A7BD7">
        <w:rPr>
          <w:rFonts w:ascii="Cambria" w:hAnsi="Cambria"/>
          <w:color w:val="000000"/>
          <w:sz w:val="20"/>
          <w:szCs w:val="20"/>
        </w:rPr>
        <w:t xml:space="preserve">had denounced a case of alleged corruption and improper electoral financing involving high-level authorities, including the </w:t>
      </w:r>
      <w:r w:rsidR="00775C4B" w:rsidRPr="008A7BD7">
        <w:rPr>
          <w:rFonts w:ascii="Cambria" w:hAnsi="Cambria"/>
          <w:color w:val="000000"/>
          <w:sz w:val="20"/>
          <w:szCs w:val="20"/>
        </w:rPr>
        <w:t xml:space="preserve">President. </w:t>
      </w:r>
      <w:r w:rsidR="00650C91" w:rsidRPr="008A7BD7">
        <w:rPr>
          <w:rFonts w:ascii="Cambria" w:hAnsi="Cambria"/>
          <w:color w:val="000000"/>
          <w:sz w:val="20"/>
          <w:szCs w:val="20"/>
        </w:rPr>
        <w:t xml:space="preserve">On January 9, </w:t>
      </w:r>
      <w:r w:rsidR="00775C4B" w:rsidRPr="008A7BD7">
        <w:rPr>
          <w:rFonts w:ascii="Cambria" w:hAnsi="Cambria"/>
          <w:color w:val="000000"/>
          <w:sz w:val="20"/>
          <w:szCs w:val="20"/>
        </w:rPr>
        <w:t>2019, President Morales</w:t>
      </w:r>
      <w:r w:rsidR="00650C91" w:rsidRPr="008A7BD7">
        <w:rPr>
          <w:rFonts w:ascii="Cambria" w:hAnsi="Cambria"/>
          <w:color w:val="000000"/>
          <w:sz w:val="20"/>
          <w:szCs w:val="20"/>
        </w:rPr>
        <w:t xml:space="preserve"> announced unilaterally that </w:t>
      </w:r>
      <w:r w:rsidR="00F44498" w:rsidRPr="008A7BD7">
        <w:rPr>
          <w:rFonts w:ascii="Cambria" w:hAnsi="Cambria"/>
          <w:color w:val="000000"/>
          <w:sz w:val="20"/>
          <w:szCs w:val="20"/>
        </w:rPr>
        <w:t xml:space="preserve">the </w:t>
      </w:r>
      <w:r w:rsidR="00775C4B" w:rsidRPr="008A7BD7">
        <w:rPr>
          <w:rFonts w:ascii="Cambria" w:hAnsi="Cambria"/>
          <w:color w:val="000000"/>
          <w:sz w:val="20"/>
          <w:szCs w:val="20"/>
        </w:rPr>
        <w:t xml:space="preserve">CICIG </w:t>
      </w:r>
      <w:r w:rsidR="00650C91" w:rsidRPr="008A7BD7">
        <w:rPr>
          <w:rFonts w:ascii="Cambria" w:hAnsi="Cambria"/>
          <w:color w:val="000000"/>
          <w:sz w:val="20"/>
          <w:szCs w:val="20"/>
        </w:rPr>
        <w:t xml:space="preserve">would no longer be carrying out its activities in </w:t>
      </w:r>
      <w:r w:rsidR="00775C4B" w:rsidRPr="008A7BD7">
        <w:rPr>
          <w:rFonts w:ascii="Cambria" w:hAnsi="Cambria"/>
          <w:color w:val="000000"/>
          <w:sz w:val="20"/>
          <w:szCs w:val="20"/>
        </w:rPr>
        <w:t>Guatemala</w:t>
      </w:r>
      <w:r w:rsidR="00650C91" w:rsidRPr="008A7BD7">
        <w:rPr>
          <w:rFonts w:ascii="Cambria" w:hAnsi="Cambria"/>
          <w:color w:val="000000"/>
          <w:sz w:val="20"/>
          <w:szCs w:val="20"/>
        </w:rPr>
        <w:t>.</w:t>
      </w:r>
      <w:r w:rsidR="00A15C5C" w:rsidRPr="008A7BD7">
        <w:rPr>
          <w:rFonts w:ascii="Cambria" w:hAnsi="Cambria"/>
          <w:color w:val="000000"/>
          <w:sz w:val="20"/>
          <w:szCs w:val="20"/>
          <w:vertAlign w:val="superscript"/>
          <w:lang w:val="es-ES"/>
        </w:rPr>
        <w:footnoteReference w:id="19"/>
      </w:r>
    </w:p>
    <w:p w14:paraId="50E4DF84" w14:textId="77777777" w:rsidR="00C56230" w:rsidRPr="008A7BD7" w:rsidRDefault="00C56230" w:rsidP="00C56230">
      <w:pPr>
        <w:pStyle w:val="ListParagraph"/>
        <w:rPr>
          <w:rFonts w:ascii="Cambria" w:hAnsi="Cambria"/>
          <w:color w:val="000000"/>
          <w:sz w:val="20"/>
          <w:szCs w:val="20"/>
        </w:rPr>
      </w:pPr>
    </w:p>
    <w:p w14:paraId="714721B4" w14:textId="04E812BB" w:rsidR="00C56230" w:rsidRPr="008A7BD7" w:rsidRDefault="005D7761" w:rsidP="00C56230">
      <w:pPr>
        <w:numPr>
          <w:ilvl w:val="0"/>
          <w:numId w:val="2"/>
        </w:numPr>
        <w:suppressAutoHyphens/>
        <w:ind w:left="0" w:firstLine="720"/>
        <w:jc w:val="both"/>
        <w:rPr>
          <w:rFonts w:ascii="Cambria" w:hAnsi="Cambria"/>
          <w:color w:val="000000"/>
          <w:sz w:val="20"/>
          <w:szCs w:val="20"/>
        </w:rPr>
      </w:pPr>
      <w:r w:rsidRPr="008A7BD7">
        <w:rPr>
          <w:rFonts w:ascii="Cambria" w:hAnsi="Cambria"/>
          <w:color w:val="000000"/>
          <w:sz w:val="20"/>
          <w:szCs w:val="20"/>
        </w:rPr>
        <w:t>On that point, in its response to the draft report, the Guatemalan State indicated that</w:t>
      </w:r>
      <w:r w:rsidR="000709F7" w:rsidRPr="008A7BD7">
        <w:rPr>
          <w:rFonts w:ascii="Cambria" w:hAnsi="Cambria"/>
          <w:color w:val="000000"/>
          <w:sz w:val="20"/>
          <w:szCs w:val="20"/>
        </w:rPr>
        <w:t xml:space="preserve"> </w:t>
      </w:r>
      <w:r w:rsidRPr="008A7BD7">
        <w:rPr>
          <w:rFonts w:ascii="Cambria" w:hAnsi="Cambria"/>
          <w:color w:val="000000"/>
          <w:sz w:val="20"/>
          <w:szCs w:val="20"/>
        </w:rPr>
        <w:t>the</w:t>
      </w:r>
      <w:r w:rsidR="00C56230" w:rsidRPr="008A7BD7">
        <w:rPr>
          <w:rFonts w:ascii="Cambria" w:hAnsi="Cambria"/>
          <w:color w:val="000000"/>
          <w:sz w:val="20"/>
          <w:szCs w:val="20"/>
        </w:rPr>
        <w:t xml:space="preserve"> CICIG “</w:t>
      </w:r>
      <w:r w:rsidR="000709F7" w:rsidRPr="008A7BD7">
        <w:rPr>
          <w:rFonts w:ascii="Cambria" w:hAnsi="Cambria"/>
          <w:color w:val="000000"/>
          <w:sz w:val="20"/>
          <w:szCs w:val="20"/>
        </w:rPr>
        <w:t xml:space="preserve">was temporary in nature, with its mandate coming to an end in September </w:t>
      </w:r>
      <w:r w:rsidR="00C56230" w:rsidRPr="008A7BD7">
        <w:rPr>
          <w:rFonts w:ascii="Cambria" w:hAnsi="Cambria"/>
          <w:color w:val="000000"/>
          <w:sz w:val="20"/>
          <w:szCs w:val="20"/>
        </w:rPr>
        <w:t>2019</w:t>
      </w:r>
      <w:r w:rsidR="000709F7" w:rsidRPr="008A7BD7">
        <w:rPr>
          <w:rFonts w:ascii="Cambria" w:hAnsi="Cambria"/>
          <w:color w:val="000000"/>
          <w:sz w:val="20"/>
          <w:szCs w:val="20"/>
        </w:rPr>
        <w:t xml:space="preserve">; nevertheless, before it ended, </w:t>
      </w:r>
      <w:r w:rsidR="00735DE4" w:rsidRPr="008A7BD7">
        <w:rPr>
          <w:rFonts w:ascii="Cambria" w:hAnsi="Cambria"/>
          <w:color w:val="000000"/>
          <w:sz w:val="20"/>
          <w:szCs w:val="20"/>
        </w:rPr>
        <w:t xml:space="preserve">the transfer of </w:t>
      </w:r>
      <w:r w:rsidR="000709F7" w:rsidRPr="008A7BD7">
        <w:rPr>
          <w:rFonts w:ascii="Cambria" w:hAnsi="Cambria"/>
          <w:color w:val="000000"/>
          <w:sz w:val="20"/>
          <w:szCs w:val="20"/>
        </w:rPr>
        <w:t xml:space="preserve">capacities to the Office of the Public Prosecutor of </w:t>
      </w:r>
      <w:r w:rsidR="00C56230" w:rsidRPr="008A7BD7">
        <w:rPr>
          <w:rFonts w:ascii="Cambria" w:hAnsi="Cambria"/>
          <w:color w:val="000000"/>
          <w:sz w:val="20"/>
          <w:szCs w:val="20"/>
        </w:rPr>
        <w:t>Guatemala</w:t>
      </w:r>
      <w:r w:rsidR="00735DE4" w:rsidRPr="008A7BD7">
        <w:rPr>
          <w:rFonts w:ascii="Cambria" w:hAnsi="Cambria"/>
          <w:color w:val="000000"/>
          <w:sz w:val="20"/>
          <w:szCs w:val="20"/>
        </w:rPr>
        <w:t xml:space="preserve"> took place</w:t>
      </w:r>
      <w:r w:rsidR="000709F7" w:rsidRPr="008A7BD7">
        <w:rPr>
          <w:rFonts w:ascii="Cambria" w:hAnsi="Cambria"/>
          <w:color w:val="000000"/>
          <w:sz w:val="20"/>
          <w:szCs w:val="20"/>
        </w:rPr>
        <w:t>.</w:t>
      </w:r>
      <w:r w:rsidR="00C56230" w:rsidRPr="008A7BD7">
        <w:rPr>
          <w:rFonts w:ascii="Cambria" w:hAnsi="Cambria"/>
          <w:color w:val="000000"/>
          <w:sz w:val="20"/>
          <w:szCs w:val="20"/>
        </w:rPr>
        <w:t xml:space="preserve">” </w:t>
      </w:r>
      <w:r w:rsidR="000709F7" w:rsidRPr="008A7BD7">
        <w:rPr>
          <w:rFonts w:ascii="Cambria" w:hAnsi="Cambria"/>
          <w:color w:val="000000"/>
          <w:sz w:val="20"/>
          <w:szCs w:val="20"/>
        </w:rPr>
        <w:t xml:space="preserve">Currently, </w:t>
      </w:r>
      <w:r w:rsidR="00C56230" w:rsidRPr="008A7BD7">
        <w:rPr>
          <w:rFonts w:ascii="Cambria" w:eastAsia="Montserrat" w:hAnsi="Cambria" w:cs="Montserrat"/>
          <w:sz w:val="20"/>
          <w:szCs w:val="20"/>
        </w:rPr>
        <w:t>“</w:t>
      </w:r>
      <w:r w:rsidR="000709F7" w:rsidRPr="008A7BD7">
        <w:rPr>
          <w:rFonts w:ascii="Cambria" w:eastAsia="Montserrat" w:hAnsi="Cambria" w:cs="Montserrat"/>
          <w:sz w:val="20"/>
          <w:szCs w:val="20"/>
        </w:rPr>
        <w:t xml:space="preserve">the strengthening of anti-corruption efforts falls under Pillar </w:t>
      </w:r>
      <w:r w:rsidR="00C56230" w:rsidRPr="008A7BD7">
        <w:rPr>
          <w:rFonts w:ascii="Cambria" w:eastAsia="Montserrat" w:hAnsi="Cambria" w:cs="Montserrat"/>
          <w:sz w:val="20"/>
          <w:szCs w:val="20"/>
        </w:rPr>
        <w:t xml:space="preserve">2 </w:t>
      </w:r>
      <w:r w:rsidR="000709F7" w:rsidRPr="008A7BD7">
        <w:rPr>
          <w:rFonts w:ascii="Cambria" w:eastAsia="Montserrat" w:hAnsi="Cambria" w:cs="Montserrat"/>
          <w:sz w:val="20"/>
          <w:szCs w:val="20"/>
        </w:rPr>
        <w:t>of the 2018-2023 Institutional Strategic Plan</w:t>
      </w:r>
      <w:r w:rsidR="006C41EA" w:rsidRPr="008A7BD7">
        <w:rPr>
          <w:rFonts w:ascii="Cambria" w:eastAsia="Montserrat" w:hAnsi="Cambria" w:cs="Montserrat"/>
          <w:sz w:val="20"/>
          <w:szCs w:val="20"/>
        </w:rPr>
        <w:t xml:space="preserve"> of the </w:t>
      </w:r>
      <w:r w:rsidR="006C41EA" w:rsidRPr="008A7BD7">
        <w:rPr>
          <w:rFonts w:ascii="Cambria" w:hAnsi="Cambria"/>
          <w:color w:val="000000"/>
          <w:sz w:val="20"/>
          <w:szCs w:val="20"/>
        </w:rPr>
        <w:t>Public Prosecutor’s Office</w:t>
      </w:r>
      <w:r w:rsidR="000709F7" w:rsidRPr="008A7BD7">
        <w:rPr>
          <w:rFonts w:ascii="Cambria" w:eastAsia="Montserrat" w:hAnsi="Cambria" w:cs="Montserrat"/>
          <w:sz w:val="20"/>
          <w:szCs w:val="20"/>
        </w:rPr>
        <w:t xml:space="preserve"> and is a commitment that the Attorney General and </w:t>
      </w:r>
      <w:r w:rsidR="000D64A6" w:rsidRPr="008A7BD7">
        <w:rPr>
          <w:rFonts w:ascii="Cambria" w:eastAsia="Montserrat" w:hAnsi="Cambria" w:cs="Montserrat"/>
          <w:sz w:val="20"/>
          <w:szCs w:val="20"/>
        </w:rPr>
        <w:t>Chief</w:t>
      </w:r>
      <w:r w:rsidR="000709F7" w:rsidRPr="008A7BD7">
        <w:rPr>
          <w:rFonts w:ascii="Cambria" w:eastAsia="Montserrat" w:hAnsi="Cambria" w:cs="Montserrat"/>
          <w:sz w:val="20"/>
          <w:szCs w:val="20"/>
        </w:rPr>
        <w:t xml:space="preserve"> of the</w:t>
      </w:r>
      <w:r w:rsidR="000709F7" w:rsidRPr="008A7BD7">
        <w:rPr>
          <w:rFonts w:ascii="Cambria" w:hAnsi="Cambria"/>
          <w:color w:val="000000"/>
          <w:sz w:val="20"/>
          <w:szCs w:val="20"/>
        </w:rPr>
        <w:t xml:space="preserve"> Public Prosecutor</w:t>
      </w:r>
      <w:r w:rsidR="000D64A6" w:rsidRPr="008A7BD7">
        <w:rPr>
          <w:rFonts w:ascii="Cambria" w:hAnsi="Cambria"/>
          <w:color w:val="000000"/>
          <w:sz w:val="20"/>
          <w:szCs w:val="20"/>
        </w:rPr>
        <w:t>’s Office</w:t>
      </w:r>
      <w:r w:rsidR="000709F7" w:rsidRPr="008A7BD7">
        <w:rPr>
          <w:rFonts w:ascii="Cambria" w:hAnsi="Cambria"/>
          <w:color w:val="000000"/>
          <w:sz w:val="20"/>
          <w:szCs w:val="20"/>
        </w:rPr>
        <w:t xml:space="preserve"> </w:t>
      </w:r>
      <w:r w:rsidR="000709F7" w:rsidRPr="008A7BD7">
        <w:rPr>
          <w:rFonts w:ascii="Cambria" w:eastAsia="Montserrat" w:hAnsi="Cambria" w:cs="Montserrat"/>
          <w:sz w:val="20"/>
          <w:szCs w:val="20"/>
        </w:rPr>
        <w:t>has taken on.”</w:t>
      </w:r>
      <w:r w:rsidR="00C56230" w:rsidRPr="008A7BD7">
        <w:rPr>
          <w:rStyle w:val="FootnoteReference"/>
          <w:rFonts w:ascii="Cambria" w:eastAsia="Montserrat" w:hAnsi="Cambria" w:cs="Montserrat"/>
          <w:sz w:val="20"/>
          <w:szCs w:val="20"/>
          <w:lang w:val="es-US"/>
        </w:rPr>
        <w:footnoteReference w:id="20"/>
      </w:r>
      <w:r w:rsidR="00C56230" w:rsidRPr="008A7BD7">
        <w:rPr>
          <w:rFonts w:ascii="Cambria" w:eastAsia="Montserrat" w:hAnsi="Cambria" w:cs="Montserrat"/>
          <w:sz w:val="20"/>
          <w:szCs w:val="20"/>
        </w:rPr>
        <w:t xml:space="preserve"> </w:t>
      </w:r>
      <w:r w:rsidR="000709F7" w:rsidRPr="008A7BD7">
        <w:rPr>
          <w:rFonts w:ascii="Cambria" w:eastAsia="Montserrat" w:hAnsi="Cambria" w:cs="Montserrat"/>
          <w:sz w:val="20"/>
          <w:szCs w:val="20"/>
        </w:rPr>
        <w:t xml:space="preserve">In that regard, the State noted that the </w:t>
      </w:r>
      <w:r w:rsidR="006C41EA" w:rsidRPr="008A7BD7">
        <w:rPr>
          <w:rFonts w:ascii="Cambria" w:hAnsi="Cambria"/>
          <w:color w:val="000000"/>
          <w:sz w:val="20"/>
          <w:szCs w:val="20"/>
        </w:rPr>
        <w:t xml:space="preserve">Public Prosecutor’s Office </w:t>
      </w:r>
      <w:r w:rsidR="000709F7" w:rsidRPr="008A7BD7">
        <w:rPr>
          <w:rFonts w:ascii="Cambria" w:hAnsi="Cambria"/>
          <w:color w:val="000000"/>
          <w:sz w:val="20"/>
          <w:szCs w:val="20"/>
        </w:rPr>
        <w:t xml:space="preserve">is an institution </w:t>
      </w:r>
      <w:r w:rsidR="00D639DC" w:rsidRPr="008A7BD7">
        <w:rPr>
          <w:rFonts w:ascii="Cambria" w:hAnsi="Cambria"/>
          <w:color w:val="000000"/>
          <w:sz w:val="20"/>
          <w:szCs w:val="20"/>
        </w:rPr>
        <w:t xml:space="preserve">whose </w:t>
      </w:r>
      <w:r w:rsidR="00D639DC" w:rsidRPr="008A7BD7">
        <w:rPr>
          <w:rFonts w:ascii="Cambria" w:hAnsi="Cambria"/>
          <w:color w:val="000000"/>
          <w:sz w:val="20"/>
          <w:szCs w:val="20"/>
        </w:rPr>
        <w:lastRenderedPageBreak/>
        <w:t xml:space="preserve">staff is highly committed to the Guatemalan people, through 23 District Prosecutor’s Offices, 31 Section Prosecutor’s Offices, and a presence in all </w:t>
      </w:r>
      <w:r w:rsidR="00C56230" w:rsidRPr="008A7BD7">
        <w:rPr>
          <w:rFonts w:ascii="Cambria" w:eastAsia="Montserrat" w:hAnsi="Cambria" w:cs="Montserrat"/>
          <w:sz w:val="20"/>
          <w:szCs w:val="20"/>
        </w:rPr>
        <w:t xml:space="preserve">340 </w:t>
      </w:r>
      <w:r w:rsidR="00D639DC" w:rsidRPr="008A7BD7">
        <w:rPr>
          <w:rFonts w:ascii="Cambria" w:eastAsia="Montserrat" w:hAnsi="Cambria" w:cs="Montserrat"/>
          <w:sz w:val="20"/>
          <w:szCs w:val="20"/>
        </w:rPr>
        <w:t xml:space="preserve">municipalities through Municipal </w:t>
      </w:r>
      <w:r w:rsidR="00D639DC" w:rsidRPr="008A7BD7">
        <w:rPr>
          <w:rFonts w:ascii="Cambria" w:hAnsi="Cambria"/>
          <w:color w:val="000000"/>
          <w:sz w:val="20"/>
          <w:szCs w:val="20"/>
        </w:rPr>
        <w:t>Prosecutor’s Offices</w:t>
      </w:r>
      <w:r w:rsidR="00D639DC" w:rsidRPr="008A7BD7">
        <w:rPr>
          <w:rFonts w:ascii="Cambria" w:eastAsia="Montserrat" w:hAnsi="Cambria" w:cs="Montserrat"/>
          <w:sz w:val="20"/>
          <w:szCs w:val="20"/>
        </w:rPr>
        <w:t xml:space="preserve"> and Prosecutorial Agencies.</w:t>
      </w:r>
      <w:r w:rsidR="00C56230" w:rsidRPr="008A7BD7">
        <w:rPr>
          <w:rStyle w:val="FootnoteReference"/>
          <w:rFonts w:ascii="Cambria" w:eastAsia="Montserrat" w:hAnsi="Cambria" w:cs="Montserrat"/>
          <w:sz w:val="20"/>
          <w:szCs w:val="20"/>
          <w:lang w:val="es-US"/>
        </w:rPr>
        <w:footnoteReference w:id="21"/>
      </w:r>
    </w:p>
    <w:p w14:paraId="3D902ABD" w14:textId="77777777" w:rsidR="00775C4B" w:rsidRPr="008A7BD7" w:rsidRDefault="00775C4B" w:rsidP="00775C4B">
      <w:pPr>
        <w:pStyle w:val="ListParagraph"/>
        <w:rPr>
          <w:rFonts w:ascii="Cambria" w:hAnsi="Cambria"/>
          <w:color w:val="000000"/>
          <w:sz w:val="20"/>
          <w:szCs w:val="20"/>
        </w:rPr>
      </w:pPr>
    </w:p>
    <w:p w14:paraId="6272D977" w14:textId="62CBD7C1" w:rsidR="00761BA8" w:rsidRPr="008A7BD7" w:rsidRDefault="007E4577" w:rsidP="00761BA8">
      <w:pPr>
        <w:numPr>
          <w:ilvl w:val="0"/>
          <w:numId w:val="2"/>
        </w:numPr>
        <w:suppressAutoHyphens/>
        <w:ind w:left="0" w:firstLine="720"/>
        <w:jc w:val="both"/>
        <w:rPr>
          <w:rFonts w:ascii="Cambria" w:hAnsi="Cambria"/>
          <w:color w:val="000000"/>
          <w:sz w:val="20"/>
          <w:szCs w:val="20"/>
        </w:rPr>
      </w:pPr>
      <w:r w:rsidRPr="008A7BD7">
        <w:rPr>
          <w:rFonts w:ascii="Cambria" w:hAnsi="Cambria"/>
          <w:color w:val="000000"/>
          <w:sz w:val="20"/>
          <w:szCs w:val="20"/>
        </w:rPr>
        <w:t xml:space="preserve">After the departure of </w:t>
      </w:r>
      <w:r w:rsidR="00F44498" w:rsidRPr="008A7BD7">
        <w:rPr>
          <w:rFonts w:ascii="Cambria" w:hAnsi="Cambria"/>
          <w:color w:val="000000"/>
          <w:sz w:val="20"/>
          <w:szCs w:val="20"/>
        </w:rPr>
        <w:t xml:space="preserve">the </w:t>
      </w:r>
      <w:r w:rsidR="00775C4B" w:rsidRPr="008A7BD7">
        <w:rPr>
          <w:rFonts w:ascii="Cambria" w:hAnsi="Cambria"/>
          <w:color w:val="000000"/>
          <w:sz w:val="20"/>
          <w:szCs w:val="20"/>
        </w:rPr>
        <w:t>CICIG,</w:t>
      </w:r>
      <w:r w:rsidR="000654C2" w:rsidRPr="008A7BD7">
        <w:rPr>
          <w:rFonts w:ascii="Cambria" w:hAnsi="Cambria"/>
          <w:color w:val="000000"/>
          <w:sz w:val="20"/>
          <w:szCs w:val="20"/>
        </w:rPr>
        <w:t xml:space="preserve"> information available to the IACHR indicated that the Public Prosecutor’s Office, the </w:t>
      </w:r>
      <w:r w:rsidR="00775C4B" w:rsidRPr="008A7BD7">
        <w:rPr>
          <w:rFonts w:ascii="Cambria" w:hAnsi="Cambria"/>
          <w:color w:val="000000"/>
          <w:sz w:val="20"/>
          <w:szCs w:val="20"/>
        </w:rPr>
        <w:t>FECI</w:t>
      </w:r>
      <w:r w:rsidR="000654C2" w:rsidRPr="008A7BD7">
        <w:rPr>
          <w:rFonts w:ascii="Cambria" w:hAnsi="Cambria"/>
          <w:color w:val="000000"/>
          <w:sz w:val="20"/>
          <w:szCs w:val="20"/>
        </w:rPr>
        <w:t xml:space="preserve">, and in general the bodies responsible for administering and delivering justice in the country </w:t>
      </w:r>
      <w:r w:rsidR="006C7F33" w:rsidRPr="008A7BD7">
        <w:rPr>
          <w:rFonts w:ascii="Cambria" w:hAnsi="Cambria"/>
          <w:color w:val="000000"/>
          <w:sz w:val="20"/>
          <w:szCs w:val="20"/>
        </w:rPr>
        <w:t xml:space="preserve">saw their independence </w:t>
      </w:r>
      <w:r w:rsidR="000654C2" w:rsidRPr="008A7BD7">
        <w:rPr>
          <w:rFonts w:ascii="Cambria" w:hAnsi="Cambria"/>
          <w:color w:val="000000"/>
          <w:sz w:val="20"/>
          <w:szCs w:val="20"/>
        </w:rPr>
        <w:t xml:space="preserve">systematically affected </w:t>
      </w:r>
      <w:proofErr w:type="gramStart"/>
      <w:r w:rsidR="000654C2" w:rsidRPr="008A7BD7">
        <w:rPr>
          <w:rFonts w:ascii="Cambria" w:hAnsi="Cambria"/>
          <w:color w:val="000000"/>
          <w:sz w:val="20"/>
          <w:szCs w:val="20"/>
        </w:rPr>
        <w:t>as a result of</w:t>
      </w:r>
      <w:proofErr w:type="gramEnd"/>
      <w:r w:rsidR="000654C2" w:rsidRPr="008A7BD7">
        <w:rPr>
          <w:rFonts w:ascii="Cambria" w:hAnsi="Cambria"/>
          <w:color w:val="000000"/>
          <w:sz w:val="20"/>
          <w:szCs w:val="20"/>
        </w:rPr>
        <w:t xml:space="preserve"> arbitrary interference by the government and other actions intended to </w:t>
      </w:r>
      <w:r w:rsidR="006C7F33" w:rsidRPr="008A7BD7">
        <w:rPr>
          <w:rFonts w:ascii="Cambria" w:hAnsi="Cambria"/>
          <w:color w:val="000000"/>
          <w:sz w:val="20"/>
          <w:szCs w:val="20"/>
        </w:rPr>
        <w:t>obstruct</w:t>
      </w:r>
      <w:r w:rsidR="000654C2" w:rsidRPr="008A7BD7">
        <w:rPr>
          <w:rFonts w:ascii="Cambria" w:hAnsi="Cambria"/>
          <w:color w:val="000000"/>
          <w:sz w:val="20"/>
          <w:szCs w:val="20"/>
        </w:rPr>
        <w:t xml:space="preserve"> their work; these culminated </w:t>
      </w:r>
      <w:r w:rsidR="006C7F33" w:rsidRPr="008A7BD7">
        <w:rPr>
          <w:rFonts w:ascii="Cambria" w:hAnsi="Cambria"/>
          <w:color w:val="000000"/>
          <w:sz w:val="20"/>
          <w:szCs w:val="20"/>
        </w:rPr>
        <w:t xml:space="preserve">in 2021 </w:t>
      </w:r>
      <w:r w:rsidR="000654C2" w:rsidRPr="008A7BD7">
        <w:rPr>
          <w:rFonts w:ascii="Cambria" w:hAnsi="Cambria"/>
          <w:color w:val="000000"/>
          <w:sz w:val="20"/>
          <w:szCs w:val="20"/>
        </w:rPr>
        <w:t xml:space="preserve">with the dismissal of the head of the </w:t>
      </w:r>
      <w:r w:rsidR="00304B76" w:rsidRPr="008A7BD7">
        <w:rPr>
          <w:rFonts w:ascii="Cambria" w:hAnsi="Cambria"/>
          <w:color w:val="000000"/>
          <w:sz w:val="20"/>
          <w:szCs w:val="20"/>
        </w:rPr>
        <w:t>FECI, Juan Francisco Sandoval</w:t>
      </w:r>
      <w:r w:rsidR="00761BA8" w:rsidRPr="008A7BD7">
        <w:rPr>
          <w:rFonts w:ascii="Cambria" w:hAnsi="Cambria"/>
          <w:color w:val="000000"/>
          <w:sz w:val="20"/>
          <w:szCs w:val="20"/>
        </w:rPr>
        <w:t xml:space="preserve">. </w:t>
      </w:r>
      <w:r w:rsidR="00690884" w:rsidRPr="008A7BD7">
        <w:rPr>
          <w:rFonts w:ascii="Cambria" w:hAnsi="Cambria"/>
          <w:color w:val="000000"/>
          <w:sz w:val="20"/>
          <w:szCs w:val="20"/>
        </w:rPr>
        <w:t>As will be analyzed below, these developments not only weaken the rule of law and the principle of separation of powers but also call into question the Guatemalan State’s commitment and willingness to fight corruption and impunity.</w:t>
      </w:r>
    </w:p>
    <w:p w14:paraId="7A08AB45" w14:textId="77777777" w:rsidR="00761BA8" w:rsidRPr="008A7BD7" w:rsidRDefault="00761BA8" w:rsidP="00761BA8">
      <w:pPr>
        <w:suppressAutoHyphens/>
        <w:ind w:left="720"/>
        <w:jc w:val="both"/>
        <w:rPr>
          <w:rFonts w:ascii="Cambria" w:hAnsi="Cambria"/>
          <w:color w:val="000000"/>
          <w:sz w:val="20"/>
          <w:szCs w:val="20"/>
        </w:rPr>
      </w:pPr>
    </w:p>
    <w:p w14:paraId="1CF3ED5D" w14:textId="5818EE3E" w:rsidR="3C9758D2" w:rsidRPr="008A7BD7" w:rsidRDefault="00D3558E" w:rsidP="00832A52">
      <w:pPr>
        <w:jc w:val="both"/>
        <w:rPr>
          <w:rFonts w:ascii="Cambria" w:eastAsia="Cambria" w:hAnsi="Cambria" w:cs="Cambria"/>
          <w:b/>
          <w:bCs/>
          <w:i/>
          <w:iCs/>
          <w:sz w:val="20"/>
          <w:szCs w:val="20"/>
        </w:rPr>
      </w:pPr>
      <w:r w:rsidRPr="008A7BD7">
        <w:rPr>
          <w:rFonts w:ascii="Cambria" w:eastAsia="Cambria" w:hAnsi="Cambria" w:cs="Cambria"/>
          <w:b/>
          <w:bCs/>
          <w:i/>
          <w:iCs/>
          <w:sz w:val="20"/>
          <w:szCs w:val="20"/>
        </w:rPr>
        <w:t xml:space="preserve">Fight against </w:t>
      </w:r>
      <w:r w:rsidR="00F514F1" w:rsidRPr="008A7BD7">
        <w:rPr>
          <w:rFonts w:ascii="Cambria" w:eastAsia="Cambria" w:hAnsi="Cambria" w:cs="Cambria"/>
          <w:b/>
          <w:bCs/>
          <w:i/>
          <w:iCs/>
          <w:sz w:val="20"/>
          <w:szCs w:val="20"/>
        </w:rPr>
        <w:t>C</w:t>
      </w:r>
      <w:r w:rsidRPr="008A7BD7">
        <w:rPr>
          <w:rFonts w:ascii="Cambria" w:eastAsia="Cambria" w:hAnsi="Cambria" w:cs="Cambria"/>
          <w:b/>
          <w:bCs/>
          <w:i/>
          <w:iCs/>
          <w:sz w:val="20"/>
          <w:szCs w:val="20"/>
        </w:rPr>
        <w:t xml:space="preserve">orruption and </w:t>
      </w:r>
      <w:r w:rsidR="00F514F1" w:rsidRPr="008A7BD7">
        <w:rPr>
          <w:rFonts w:ascii="Cambria" w:eastAsia="Cambria" w:hAnsi="Cambria" w:cs="Cambria"/>
          <w:b/>
          <w:bCs/>
          <w:i/>
          <w:iCs/>
          <w:sz w:val="20"/>
          <w:szCs w:val="20"/>
        </w:rPr>
        <w:t>I</w:t>
      </w:r>
      <w:r w:rsidRPr="008A7BD7">
        <w:rPr>
          <w:rFonts w:ascii="Cambria" w:eastAsia="Cambria" w:hAnsi="Cambria" w:cs="Cambria"/>
          <w:b/>
          <w:bCs/>
          <w:i/>
          <w:iCs/>
          <w:sz w:val="20"/>
          <w:szCs w:val="20"/>
        </w:rPr>
        <w:t>mpunity</w:t>
      </w:r>
    </w:p>
    <w:p w14:paraId="1B6D8647" w14:textId="77777777" w:rsidR="00DC4F64" w:rsidRPr="008A7BD7" w:rsidRDefault="00DC4F64" w:rsidP="00140810">
      <w:pPr>
        <w:jc w:val="both"/>
        <w:rPr>
          <w:rFonts w:ascii="Cambria" w:eastAsia="Times New Roman" w:hAnsi="Cambria" w:cs="Arial"/>
          <w:b/>
          <w:bCs/>
          <w:sz w:val="20"/>
          <w:szCs w:val="20"/>
          <w:lang w:eastAsia="es-ES"/>
        </w:rPr>
      </w:pPr>
    </w:p>
    <w:p w14:paraId="04D500C0" w14:textId="400748EF" w:rsidR="00A22445" w:rsidRPr="008A7BD7" w:rsidRDefault="00F31402" w:rsidP="00BB65D3">
      <w:pPr>
        <w:numPr>
          <w:ilvl w:val="0"/>
          <w:numId w:val="2"/>
        </w:numPr>
        <w:suppressAutoHyphens/>
        <w:ind w:left="0" w:firstLine="720"/>
        <w:jc w:val="both"/>
        <w:rPr>
          <w:rFonts w:ascii="Cambria" w:eastAsia="Times New Roman" w:hAnsi="Cambria" w:cs="Times New Roman"/>
          <w:color w:val="000000" w:themeColor="text1"/>
          <w:sz w:val="20"/>
          <w:szCs w:val="20"/>
          <w:lang w:eastAsia="es-ES"/>
        </w:rPr>
      </w:pPr>
      <w:r w:rsidRPr="008A7BD7">
        <w:rPr>
          <w:rFonts w:ascii="Cambria" w:eastAsia="Times New Roman" w:hAnsi="Cambria" w:cs="Times New Roman"/>
          <w:sz w:val="20"/>
          <w:szCs w:val="20"/>
          <w:lang w:eastAsia="es-ES_tradnl"/>
        </w:rPr>
        <w:t>As the IACHR has indicated</w:t>
      </w:r>
      <w:r w:rsidR="00686AFB" w:rsidRPr="008A7BD7">
        <w:rPr>
          <w:rFonts w:ascii="Cambria" w:eastAsia="Times New Roman" w:hAnsi="Cambria" w:cs="Times New Roman"/>
          <w:sz w:val="20"/>
          <w:szCs w:val="20"/>
          <w:lang w:eastAsia="es-ES_tradnl"/>
        </w:rPr>
        <w:t xml:space="preserve"> previously</w:t>
      </w:r>
      <w:r w:rsidRPr="008A7BD7">
        <w:rPr>
          <w:rFonts w:ascii="Cambria" w:eastAsia="Times New Roman" w:hAnsi="Cambria" w:cs="Times New Roman"/>
          <w:sz w:val="20"/>
          <w:szCs w:val="20"/>
          <w:lang w:eastAsia="es-ES_tradnl"/>
        </w:rPr>
        <w:t xml:space="preserve">, the fight against impunity and corruption has permeated Guatemalan institutions since the </w:t>
      </w:r>
      <w:r w:rsidR="005C1505" w:rsidRPr="008A7BD7">
        <w:rPr>
          <w:rFonts w:ascii="Cambria" w:eastAsia="Times New Roman" w:hAnsi="Cambria" w:cs="Times New Roman"/>
          <w:sz w:val="20"/>
          <w:szCs w:val="20"/>
          <w:lang w:eastAsia="es-ES_tradnl"/>
        </w:rPr>
        <w:t xml:space="preserve">era of the internal armed conflict. </w:t>
      </w:r>
      <w:r w:rsidR="00B700B3" w:rsidRPr="008A7BD7">
        <w:rPr>
          <w:rFonts w:ascii="Cambria" w:eastAsia="Times New Roman" w:hAnsi="Cambria" w:cs="Times New Roman"/>
          <w:sz w:val="20"/>
          <w:szCs w:val="20"/>
          <w:lang w:eastAsia="es-ES_tradnl"/>
        </w:rPr>
        <w:t>The</w:t>
      </w:r>
      <w:r w:rsidR="005C1505" w:rsidRPr="008A7BD7">
        <w:rPr>
          <w:rFonts w:ascii="Cambria" w:eastAsia="Times New Roman" w:hAnsi="Cambria" w:cs="Times New Roman"/>
          <w:sz w:val="20"/>
          <w:szCs w:val="20"/>
          <w:lang w:eastAsia="es-ES_tradnl"/>
        </w:rPr>
        <w:t xml:space="preserve"> IACHR has </w:t>
      </w:r>
      <w:r w:rsidR="00B700B3" w:rsidRPr="008A7BD7">
        <w:rPr>
          <w:rFonts w:ascii="Cambria" w:eastAsia="Times New Roman" w:hAnsi="Cambria" w:cs="Times New Roman"/>
          <w:sz w:val="20"/>
          <w:szCs w:val="20"/>
          <w:lang w:eastAsia="es-ES_tradnl"/>
        </w:rPr>
        <w:t xml:space="preserve">thus </w:t>
      </w:r>
      <w:r w:rsidR="005C1505" w:rsidRPr="008A7BD7">
        <w:rPr>
          <w:rFonts w:ascii="Cambria" w:eastAsia="Times New Roman" w:hAnsi="Cambria" w:cs="Times New Roman"/>
          <w:sz w:val="20"/>
          <w:szCs w:val="20"/>
          <w:lang w:eastAsia="es-ES_tradnl"/>
        </w:rPr>
        <w:t xml:space="preserve">repeatedly urged the State of </w:t>
      </w:r>
      <w:r w:rsidR="00A22445" w:rsidRPr="008A7BD7">
        <w:rPr>
          <w:rFonts w:ascii="Cambria" w:eastAsia="Times New Roman" w:hAnsi="Cambria" w:cs="Times New Roman"/>
          <w:sz w:val="20"/>
          <w:szCs w:val="20"/>
          <w:lang w:eastAsia="es-ES_tradnl"/>
        </w:rPr>
        <w:t xml:space="preserve">Guatemala </w:t>
      </w:r>
      <w:r w:rsidR="005C1505" w:rsidRPr="008A7BD7">
        <w:rPr>
          <w:rFonts w:ascii="Cambria" w:eastAsia="Times New Roman" w:hAnsi="Cambria" w:cs="Times New Roman"/>
          <w:sz w:val="20"/>
          <w:szCs w:val="20"/>
          <w:lang w:eastAsia="es-ES_tradnl"/>
        </w:rPr>
        <w:t xml:space="preserve">to </w:t>
      </w:r>
      <w:r w:rsidR="00B700B3" w:rsidRPr="008A7BD7">
        <w:rPr>
          <w:rFonts w:ascii="Cambria" w:eastAsia="Times New Roman" w:hAnsi="Cambria" w:cs="Times New Roman"/>
          <w:sz w:val="20"/>
          <w:szCs w:val="20"/>
          <w:lang w:eastAsia="es-ES_tradnl"/>
        </w:rPr>
        <w:t>make a</w:t>
      </w:r>
      <w:r w:rsidR="005C1505" w:rsidRPr="008A7BD7">
        <w:rPr>
          <w:rFonts w:ascii="Cambria" w:eastAsia="Times New Roman" w:hAnsi="Cambria" w:cs="Times New Roman"/>
          <w:sz w:val="20"/>
          <w:szCs w:val="20"/>
          <w:lang w:eastAsia="es-ES_tradnl"/>
        </w:rPr>
        <w:t xml:space="preserve"> political commitment to dismantle the parallel power structures that continue to exist in the country, </w:t>
      </w:r>
      <w:proofErr w:type="gramStart"/>
      <w:r w:rsidR="005C1505" w:rsidRPr="008A7BD7">
        <w:rPr>
          <w:rFonts w:ascii="Cambria" w:eastAsia="Times New Roman" w:hAnsi="Cambria" w:cs="Times New Roman"/>
          <w:sz w:val="20"/>
          <w:szCs w:val="20"/>
          <w:lang w:eastAsia="es-ES_tradnl"/>
        </w:rPr>
        <w:t>in order to</w:t>
      </w:r>
      <w:proofErr w:type="gramEnd"/>
      <w:r w:rsidR="005C1505" w:rsidRPr="008A7BD7">
        <w:rPr>
          <w:rFonts w:ascii="Cambria" w:eastAsia="Times New Roman" w:hAnsi="Cambria" w:cs="Times New Roman"/>
          <w:sz w:val="20"/>
          <w:szCs w:val="20"/>
          <w:lang w:eastAsia="es-ES_tradnl"/>
        </w:rPr>
        <w:t xml:space="preserve"> ensure the full </w:t>
      </w:r>
      <w:r w:rsidR="009A52FD" w:rsidRPr="008A7BD7">
        <w:rPr>
          <w:rFonts w:ascii="Cambria" w:eastAsia="Times New Roman" w:hAnsi="Cambria" w:cs="Times New Roman"/>
          <w:sz w:val="20"/>
          <w:szCs w:val="20"/>
          <w:lang w:eastAsia="es-ES_tradnl"/>
        </w:rPr>
        <w:t>exercise</w:t>
      </w:r>
      <w:r w:rsidR="005C1505" w:rsidRPr="008A7BD7">
        <w:rPr>
          <w:rFonts w:ascii="Cambria" w:eastAsia="Times New Roman" w:hAnsi="Cambria" w:cs="Times New Roman"/>
          <w:sz w:val="20"/>
          <w:szCs w:val="20"/>
          <w:lang w:eastAsia="es-ES_tradnl"/>
        </w:rPr>
        <w:t xml:space="preserve"> of human rights in Guatemala.</w:t>
      </w:r>
      <w:r w:rsidR="003716DC" w:rsidRPr="008A7BD7">
        <w:rPr>
          <w:rStyle w:val="FootnoteReference"/>
          <w:rFonts w:ascii="Cambria" w:eastAsia="Times New Roman" w:hAnsi="Cambria" w:cs="Times New Roman"/>
          <w:sz w:val="20"/>
          <w:szCs w:val="20"/>
          <w:lang w:val="es-US" w:eastAsia="es-ES_tradnl"/>
        </w:rPr>
        <w:footnoteReference w:id="22"/>
      </w:r>
      <w:r w:rsidR="00A22445" w:rsidRPr="008A7BD7">
        <w:rPr>
          <w:rFonts w:ascii="Cambria" w:eastAsia="Times New Roman" w:hAnsi="Cambria" w:cs="Times New Roman"/>
          <w:sz w:val="20"/>
          <w:szCs w:val="20"/>
          <w:lang w:eastAsia="es-ES_tradnl"/>
        </w:rPr>
        <w:t xml:space="preserve"> </w:t>
      </w:r>
    </w:p>
    <w:p w14:paraId="3743A4F1" w14:textId="77777777" w:rsidR="00304B76" w:rsidRPr="008A7BD7" w:rsidRDefault="00304B76" w:rsidP="00304B76">
      <w:pPr>
        <w:suppressAutoHyphens/>
        <w:jc w:val="both"/>
        <w:rPr>
          <w:rFonts w:ascii="Cambria" w:eastAsia="Times New Roman" w:hAnsi="Cambria" w:cs="Times New Roman"/>
          <w:color w:val="000000" w:themeColor="text1"/>
          <w:sz w:val="20"/>
          <w:szCs w:val="20"/>
          <w:lang w:eastAsia="es-ES"/>
        </w:rPr>
      </w:pPr>
    </w:p>
    <w:p w14:paraId="2F5E907F" w14:textId="33D2D87E" w:rsidR="00FA04DB" w:rsidRPr="008A7BD7" w:rsidRDefault="00076220" w:rsidP="00BB65D3">
      <w:pPr>
        <w:numPr>
          <w:ilvl w:val="0"/>
          <w:numId w:val="2"/>
        </w:numPr>
        <w:suppressAutoHyphens/>
        <w:ind w:left="0" w:firstLine="720"/>
        <w:jc w:val="both"/>
        <w:rPr>
          <w:rFonts w:ascii="Cambria" w:eastAsia="Times New Roman" w:hAnsi="Cambria" w:cs="Times New Roman"/>
          <w:color w:val="000000" w:themeColor="text1"/>
          <w:sz w:val="20"/>
          <w:szCs w:val="20"/>
          <w:lang w:eastAsia="es-ES"/>
        </w:rPr>
      </w:pPr>
      <w:r w:rsidRPr="008A7BD7">
        <w:rPr>
          <w:rFonts w:ascii="Cambria" w:eastAsia="Times New Roman" w:hAnsi="Cambria" w:cs="Tahoma"/>
          <w:color w:val="000000" w:themeColor="text1"/>
          <w:sz w:val="20"/>
          <w:szCs w:val="20"/>
          <w:lang w:eastAsia="es-ES"/>
        </w:rPr>
        <w:t xml:space="preserve">According to public information, on July 23, </w:t>
      </w:r>
      <w:r w:rsidR="008F6A31" w:rsidRPr="008A7BD7">
        <w:rPr>
          <w:rFonts w:ascii="Cambria" w:eastAsia="Times New Roman" w:hAnsi="Cambria" w:cs="Tahoma"/>
          <w:color w:val="000000" w:themeColor="text1"/>
          <w:sz w:val="20"/>
          <w:szCs w:val="20"/>
          <w:lang w:eastAsia="es-ES"/>
        </w:rPr>
        <w:t xml:space="preserve">2021, </w:t>
      </w:r>
      <w:r w:rsidR="00ED729C" w:rsidRPr="008A7BD7">
        <w:rPr>
          <w:rFonts w:ascii="Cambria" w:eastAsia="Times New Roman" w:hAnsi="Cambria" w:cs="Tahoma"/>
          <w:color w:val="000000" w:themeColor="text1"/>
          <w:sz w:val="20"/>
          <w:szCs w:val="20"/>
          <w:lang w:eastAsia="es-ES"/>
        </w:rPr>
        <w:t xml:space="preserve">the Attorney General and Chief of the Public Prosecutor’s Office </w:t>
      </w:r>
      <w:r w:rsidR="00221EAD" w:rsidRPr="008A7BD7">
        <w:rPr>
          <w:rFonts w:ascii="Cambria" w:eastAsia="Times New Roman" w:hAnsi="Cambria" w:cs="Tahoma"/>
          <w:color w:val="000000" w:themeColor="text1"/>
          <w:sz w:val="20"/>
          <w:szCs w:val="20"/>
          <w:lang w:eastAsia="es-ES"/>
        </w:rPr>
        <w:t>announced</w:t>
      </w:r>
      <w:r w:rsidR="00A17203" w:rsidRPr="008A7BD7">
        <w:rPr>
          <w:rFonts w:ascii="Cambria" w:eastAsia="Times New Roman" w:hAnsi="Cambria" w:cs="Tahoma"/>
          <w:color w:val="000000" w:themeColor="text1"/>
          <w:sz w:val="20"/>
          <w:szCs w:val="20"/>
          <w:lang w:eastAsia="es-ES"/>
        </w:rPr>
        <w:t xml:space="preserve"> that the head of the </w:t>
      </w:r>
      <w:r w:rsidR="316469D6" w:rsidRPr="008A7BD7">
        <w:rPr>
          <w:rFonts w:ascii="Cambria" w:eastAsia="Times New Roman" w:hAnsi="Cambria" w:cs="Tahoma"/>
          <w:color w:val="000000" w:themeColor="text1"/>
          <w:sz w:val="20"/>
          <w:szCs w:val="20"/>
          <w:lang w:eastAsia="es-ES"/>
        </w:rPr>
        <w:t xml:space="preserve">FECI, </w:t>
      </w:r>
      <w:r w:rsidR="008F6A31" w:rsidRPr="008A7BD7">
        <w:rPr>
          <w:rFonts w:ascii="Cambria" w:eastAsia="Times New Roman" w:hAnsi="Cambria" w:cs="Tahoma"/>
          <w:color w:val="000000" w:themeColor="text1"/>
          <w:sz w:val="20"/>
          <w:szCs w:val="20"/>
          <w:lang w:eastAsia="es-ES"/>
        </w:rPr>
        <w:t>Juan Francisco Sandoval,</w:t>
      </w:r>
      <w:r w:rsidR="316469D6" w:rsidRPr="008A7BD7">
        <w:rPr>
          <w:rFonts w:ascii="Cambria" w:eastAsia="Times New Roman" w:hAnsi="Cambria" w:cs="Tahoma"/>
          <w:color w:val="000000" w:themeColor="text1"/>
          <w:sz w:val="20"/>
          <w:szCs w:val="20"/>
          <w:lang w:eastAsia="es-ES"/>
        </w:rPr>
        <w:t xml:space="preserve"> </w:t>
      </w:r>
      <w:r w:rsidR="00A17203" w:rsidRPr="008A7BD7">
        <w:rPr>
          <w:rFonts w:ascii="Cambria" w:eastAsia="Times New Roman" w:hAnsi="Cambria" w:cs="Tahoma"/>
          <w:color w:val="000000" w:themeColor="text1"/>
          <w:sz w:val="20"/>
          <w:szCs w:val="20"/>
          <w:lang w:eastAsia="es-ES"/>
        </w:rPr>
        <w:t xml:space="preserve">had been removed from office, allegedly for presenting a written objection to a verbal instruction. However, the information available to the IACHR indicates that his removal occurred in </w:t>
      </w:r>
      <w:r w:rsidR="00221EAD" w:rsidRPr="008A7BD7">
        <w:rPr>
          <w:rFonts w:ascii="Cambria" w:eastAsia="Times New Roman" w:hAnsi="Cambria" w:cs="Tahoma"/>
          <w:color w:val="000000" w:themeColor="text1"/>
          <w:sz w:val="20"/>
          <w:szCs w:val="20"/>
          <w:lang w:eastAsia="es-ES"/>
        </w:rPr>
        <w:t>the</w:t>
      </w:r>
      <w:r w:rsidR="00A17203" w:rsidRPr="008A7BD7">
        <w:rPr>
          <w:rFonts w:ascii="Cambria" w:eastAsia="Times New Roman" w:hAnsi="Cambria" w:cs="Tahoma"/>
          <w:color w:val="000000" w:themeColor="text1"/>
          <w:sz w:val="20"/>
          <w:szCs w:val="20"/>
          <w:lang w:eastAsia="es-ES"/>
        </w:rPr>
        <w:t xml:space="preserve"> context of </w:t>
      </w:r>
      <w:r w:rsidR="008055F0" w:rsidRPr="008A7BD7">
        <w:rPr>
          <w:rFonts w:ascii="Cambria" w:eastAsia="Times New Roman" w:hAnsi="Cambria" w:cs="Tahoma"/>
          <w:color w:val="000000" w:themeColor="text1"/>
          <w:sz w:val="20"/>
          <w:szCs w:val="20"/>
          <w:lang w:eastAsia="es-ES"/>
        </w:rPr>
        <w:t xml:space="preserve">several years of </w:t>
      </w:r>
      <w:r w:rsidR="00A17203" w:rsidRPr="008A7BD7">
        <w:rPr>
          <w:rFonts w:ascii="Cambria" w:eastAsia="Times New Roman" w:hAnsi="Cambria" w:cs="Tahoma"/>
          <w:color w:val="000000" w:themeColor="text1"/>
          <w:sz w:val="20"/>
          <w:szCs w:val="20"/>
          <w:lang w:eastAsia="es-ES"/>
        </w:rPr>
        <w:t xml:space="preserve">actions </w:t>
      </w:r>
      <w:r w:rsidR="00497C31" w:rsidRPr="008A7BD7">
        <w:rPr>
          <w:rFonts w:ascii="Cambria" w:eastAsia="Times New Roman" w:hAnsi="Cambria" w:cs="Tahoma"/>
          <w:color w:val="000000" w:themeColor="text1"/>
          <w:sz w:val="20"/>
          <w:szCs w:val="20"/>
          <w:lang w:eastAsia="es-ES"/>
        </w:rPr>
        <w:t xml:space="preserve">carried out </w:t>
      </w:r>
      <w:r w:rsidR="00A17203" w:rsidRPr="008A7BD7">
        <w:rPr>
          <w:rFonts w:ascii="Cambria" w:eastAsia="Times New Roman" w:hAnsi="Cambria" w:cs="Tahoma"/>
          <w:color w:val="000000" w:themeColor="text1"/>
          <w:sz w:val="20"/>
          <w:szCs w:val="20"/>
          <w:lang w:eastAsia="es-ES"/>
        </w:rPr>
        <w:t xml:space="preserve">for several years to end the progress made and the efforts </w:t>
      </w:r>
      <w:r w:rsidR="009B508A" w:rsidRPr="008A7BD7">
        <w:rPr>
          <w:rFonts w:ascii="Cambria" w:eastAsia="Times New Roman" w:hAnsi="Cambria" w:cs="Tahoma"/>
          <w:color w:val="000000" w:themeColor="text1"/>
          <w:sz w:val="20"/>
          <w:szCs w:val="20"/>
          <w:lang w:eastAsia="es-ES"/>
        </w:rPr>
        <w:t>undertaken</w:t>
      </w:r>
      <w:r w:rsidR="00A17203" w:rsidRPr="008A7BD7">
        <w:rPr>
          <w:rFonts w:ascii="Cambria" w:eastAsia="Times New Roman" w:hAnsi="Cambria" w:cs="Tahoma"/>
          <w:color w:val="000000" w:themeColor="text1"/>
          <w:sz w:val="20"/>
          <w:szCs w:val="20"/>
          <w:lang w:eastAsia="es-ES"/>
        </w:rPr>
        <w:t xml:space="preserve"> by the FECI to combat corruption and impunity in </w:t>
      </w:r>
      <w:r w:rsidR="5AD2E8C6" w:rsidRPr="008A7BD7">
        <w:rPr>
          <w:rFonts w:ascii="Cambria" w:eastAsia="Times New Roman" w:hAnsi="Cambria" w:cs="Times New Roman"/>
          <w:sz w:val="20"/>
          <w:szCs w:val="20"/>
          <w:lang w:eastAsia="es-ES"/>
        </w:rPr>
        <w:t xml:space="preserve">Guatemala. </w:t>
      </w:r>
    </w:p>
    <w:p w14:paraId="47C42AD7" w14:textId="77777777" w:rsidR="008F6A31" w:rsidRPr="008A7BD7" w:rsidRDefault="008F6A31" w:rsidP="008F6A31">
      <w:pPr>
        <w:ind w:left="720"/>
        <w:jc w:val="both"/>
        <w:rPr>
          <w:rFonts w:ascii="Cambria" w:eastAsia="Times New Roman" w:hAnsi="Cambria" w:cs="Times New Roman"/>
          <w:color w:val="000000" w:themeColor="text1"/>
          <w:sz w:val="20"/>
          <w:szCs w:val="20"/>
          <w:lang w:eastAsia="es-ES"/>
        </w:rPr>
      </w:pPr>
    </w:p>
    <w:p w14:paraId="2E9C2B98" w14:textId="2A7CBBA5" w:rsidR="4F54743F" w:rsidRPr="008A7BD7" w:rsidRDefault="009B508A" w:rsidP="00BB65D3">
      <w:pPr>
        <w:numPr>
          <w:ilvl w:val="0"/>
          <w:numId w:val="2"/>
        </w:numPr>
        <w:suppressAutoHyphens/>
        <w:ind w:left="0" w:firstLine="720"/>
        <w:jc w:val="both"/>
        <w:rPr>
          <w:rFonts w:ascii="Cambria" w:eastAsia="Times New Roman" w:hAnsi="Cambria" w:cs="Times New Roman"/>
          <w:color w:val="000000" w:themeColor="text1"/>
          <w:sz w:val="20"/>
          <w:szCs w:val="20"/>
          <w:lang w:eastAsia="es-ES"/>
        </w:rPr>
      </w:pPr>
      <w:r w:rsidRPr="008A7BD7">
        <w:rPr>
          <w:rFonts w:ascii="Cambria" w:eastAsia="Times New Roman" w:hAnsi="Cambria" w:cs="Times New Roman"/>
          <w:sz w:val="20"/>
          <w:szCs w:val="20"/>
          <w:lang w:eastAsia="es-ES"/>
        </w:rPr>
        <w:t xml:space="preserve">In fact, after the departure of the CICIG, the work of the Prosecutor’s Office </w:t>
      </w:r>
      <w:r w:rsidR="002B7187" w:rsidRPr="008A7BD7">
        <w:rPr>
          <w:rFonts w:ascii="Cambria" w:eastAsia="Times New Roman" w:hAnsi="Cambria" w:cs="Times New Roman"/>
          <w:sz w:val="20"/>
          <w:szCs w:val="20"/>
          <w:lang w:eastAsia="es-ES"/>
        </w:rPr>
        <w:t>headed by</w:t>
      </w:r>
      <w:r w:rsidRPr="008A7BD7">
        <w:rPr>
          <w:rFonts w:ascii="Cambria" w:eastAsia="Times New Roman" w:hAnsi="Cambria" w:cs="Times New Roman"/>
          <w:sz w:val="20"/>
          <w:szCs w:val="20"/>
          <w:lang w:eastAsia="es-ES"/>
        </w:rPr>
        <w:t xml:space="preserve"> </w:t>
      </w:r>
      <w:r w:rsidR="5AD2E8C6" w:rsidRPr="008A7BD7">
        <w:rPr>
          <w:rFonts w:ascii="Cambria" w:eastAsia="Times New Roman" w:hAnsi="Cambria" w:cs="Times New Roman"/>
          <w:sz w:val="20"/>
          <w:szCs w:val="20"/>
          <w:lang w:eastAsia="es-ES"/>
        </w:rPr>
        <w:t>Juan Francisco Sandoval</w:t>
      </w:r>
      <w:r w:rsidRPr="008A7BD7">
        <w:rPr>
          <w:rFonts w:ascii="Cambria" w:eastAsia="Times New Roman" w:hAnsi="Cambria" w:cs="Times New Roman"/>
          <w:sz w:val="20"/>
          <w:szCs w:val="20"/>
          <w:lang w:eastAsia="es-ES"/>
        </w:rPr>
        <w:t xml:space="preserve"> stood out for its independent and impartial efforts to identify and investigate parallel power structures related to criminal activities and acts of corruption, including officials, former officials, judges and </w:t>
      </w:r>
      <w:r w:rsidR="002B7187" w:rsidRPr="008A7BD7">
        <w:rPr>
          <w:rFonts w:ascii="Cambria" w:eastAsia="Times New Roman" w:hAnsi="Cambria" w:cs="Times New Roman"/>
          <w:sz w:val="20"/>
          <w:szCs w:val="20"/>
          <w:lang w:eastAsia="es-ES"/>
        </w:rPr>
        <w:t>magistrates</w:t>
      </w:r>
      <w:r w:rsidRPr="008A7BD7">
        <w:rPr>
          <w:rFonts w:ascii="Cambria" w:eastAsia="Times New Roman" w:hAnsi="Cambria" w:cs="Times New Roman"/>
          <w:sz w:val="20"/>
          <w:szCs w:val="20"/>
          <w:lang w:eastAsia="es-ES"/>
        </w:rPr>
        <w:t>, active and retired members of the military, and businesspeople. The cases that were investigated and prosecuted included the illegal financing of the campaign of then-candidate</w:t>
      </w:r>
      <w:r w:rsidRPr="008A7BD7">
        <w:rPr>
          <w:rFonts w:ascii="Cambria" w:eastAsia="Calibri" w:hAnsi="Cambria" w:cs="Times New Roman"/>
          <w:color w:val="000000" w:themeColor="text1"/>
          <w:sz w:val="20"/>
          <w:szCs w:val="20"/>
          <w:lang w:eastAsia="es-ES"/>
        </w:rPr>
        <w:t xml:space="preserve"> </w:t>
      </w:r>
      <w:r w:rsidR="5AD2E8C6" w:rsidRPr="008A7BD7">
        <w:rPr>
          <w:rFonts w:ascii="Cambria" w:eastAsia="Calibri" w:hAnsi="Cambria" w:cs="Times New Roman"/>
          <w:color w:val="000000" w:themeColor="text1"/>
          <w:sz w:val="20"/>
          <w:szCs w:val="20"/>
          <w:lang w:eastAsia="es-ES"/>
        </w:rPr>
        <w:t>Jimmy Morales</w:t>
      </w:r>
      <w:r w:rsidRPr="008A7BD7">
        <w:rPr>
          <w:rFonts w:ascii="Cambria" w:eastAsia="Calibri" w:hAnsi="Cambria" w:cs="Times New Roman"/>
          <w:color w:val="000000" w:themeColor="text1"/>
          <w:sz w:val="20"/>
          <w:szCs w:val="20"/>
          <w:lang w:eastAsia="es-ES"/>
        </w:rPr>
        <w:t>, who won the presidency in</w:t>
      </w:r>
      <w:r w:rsidR="5AD2E8C6" w:rsidRPr="008A7BD7">
        <w:rPr>
          <w:rFonts w:ascii="Cambria" w:eastAsia="Calibri" w:hAnsi="Cambria" w:cs="Times New Roman"/>
          <w:color w:val="000000" w:themeColor="text1"/>
          <w:sz w:val="20"/>
          <w:szCs w:val="20"/>
          <w:lang w:eastAsia="es-ES"/>
        </w:rPr>
        <w:t xml:space="preserve"> 2015</w:t>
      </w:r>
      <w:r w:rsidR="00FF523C" w:rsidRPr="008A7BD7">
        <w:rPr>
          <w:rFonts w:ascii="Cambria" w:eastAsia="Calibri" w:hAnsi="Cambria" w:cs="Times New Roman"/>
          <w:color w:val="000000" w:themeColor="text1"/>
          <w:sz w:val="20"/>
          <w:szCs w:val="20"/>
          <w:lang w:eastAsia="es-ES"/>
        </w:rPr>
        <w:t>,</w:t>
      </w:r>
      <w:r w:rsidR="00304B76" w:rsidRPr="008A7BD7">
        <w:rPr>
          <w:rFonts w:ascii="Cambria" w:eastAsia="Calibri" w:hAnsi="Cambria" w:cs="Times New Roman"/>
          <w:color w:val="000000" w:themeColor="text1"/>
          <w:sz w:val="20"/>
          <w:szCs w:val="20"/>
          <w:vertAlign w:val="superscript"/>
          <w:lang w:val="es-US" w:eastAsia="es-ES"/>
        </w:rPr>
        <w:footnoteReference w:id="23"/>
      </w:r>
      <w:r w:rsidR="005360D0" w:rsidRPr="008A7BD7">
        <w:rPr>
          <w:rFonts w:ascii="Cambria" w:eastAsia="Calibri" w:hAnsi="Cambria" w:cs="Times New Roman"/>
          <w:color w:val="000000" w:themeColor="text1"/>
          <w:sz w:val="20"/>
          <w:szCs w:val="20"/>
          <w:lang w:eastAsia="es-ES"/>
        </w:rPr>
        <w:t xml:space="preserve"> </w:t>
      </w:r>
      <w:r w:rsidR="00FF523C" w:rsidRPr="008A7BD7">
        <w:rPr>
          <w:rFonts w:ascii="Cambria" w:eastAsia="Calibri" w:hAnsi="Cambria" w:cs="Times New Roman"/>
          <w:color w:val="000000" w:themeColor="text1"/>
          <w:sz w:val="20"/>
          <w:szCs w:val="20"/>
          <w:lang w:eastAsia="es-ES"/>
        </w:rPr>
        <w:t xml:space="preserve">and the existence of illicit negotiations and influence </w:t>
      </w:r>
      <w:r w:rsidR="00E73F9B" w:rsidRPr="008A7BD7">
        <w:rPr>
          <w:rFonts w:ascii="Cambria" w:eastAsia="Calibri" w:hAnsi="Cambria" w:cs="Times New Roman"/>
          <w:color w:val="000000" w:themeColor="text1"/>
          <w:sz w:val="20"/>
          <w:szCs w:val="20"/>
          <w:lang w:eastAsia="es-ES"/>
        </w:rPr>
        <w:t xml:space="preserve">peddling </w:t>
      </w:r>
      <w:r w:rsidR="00FF523C" w:rsidRPr="008A7BD7">
        <w:rPr>
          <w:rFonts w:ascii="Cambria" w:eastAsia="Calibri" w:hAnsi="Cambria" w:cs="Times New Roman"/>
          <w:color w:val="000000" w:themeColor="text1"/>
          <w:sz w:val="20"/>
          <w:szCs w:val="20"/>
          <w:lang w:eastAsia="es-ES"/>
        </w:rPr>
        <w:t xml:space="preserve">in the process to </w:t>
      </w:r>
      <w:r w:rsidR="002B7187" w:rsidRPr="008A7BD7">
        <w:rPr>
          <w:rFonts w:ascii="Cambria" w:eastAsia="Calibri" w:hAnsi="Cambria" w:cs="Times New Roman"/>
          <w:color w:val="000000" w:themeColor="text1"/>
          <w:sz w:val="20"/>
          <w:szCs w:val="20"/>
          <w:lang w:eastAsia="es-ES"/>
        </w:rPr>
        <w:t xml:space="preserve">fill seats on the </w:t>
      </w:r>
      <w:r w:rsidR="00FF523C" w:rsidRPr="008A7BD7">
        <w:rPr>
          <w:rFonts w:ascii="Cambria" w:eastAsia="Calibri" w:hAnsi="Cambria" w:cs="Times New Roman"/>
          <w:color w:val="000000" w:themeColor="text1"/>
          <w:sz w:val="20"/>
          <w:szCs w:val="20"/>
          <w:lang w:eastAsia="es-ES"/>
        </w:rPr>
        <w:t>Courts of Appeal and the</w:t>
      </w:r>
      <w:r w:rsidR="00FF523C" w:rsidRPr="008A7BD7">
        <w:rPr>
          <w:rFonts w:ascii="Cambria" w:eastAsia="Times New Roman" w:hAnsi="Cambria" w:cs="Times New Roman"/>
          <w:sz w:val="20"/>
          <w:szCs w:val="20"/>
          <w:lang w:eastAsia="es-ES"/>
        </w:rPr>
        <w:t xml:space="preserve"> Supreme Court (</w:t>
      </w:r>
      <w:r w:rsidR="5AD2E8C6" w:rsidRPr="008A7BD7">
        <w:rPr>
          <w:rFonts w:ascii="Cambria" w:eastAsia="Times New Roman" w:hAnsi="Cambria" w:cs="Times New Roman"/>
          <w:sz w:val="20"/>
          <w:szCs w:val="20"/>
          <w:lang w:eastAsia="es-ES"/>
        </w:rPr>
        <w:t>CSJ</w:t>
      </w:r>
      <w:r w:rsidR="00FF523C" w:rsidRPr="008A7BD7">
        <w:rPr>
          <w:rFonts w:ascii="Cambria" w:eastAsia="Times New Roman" w:hAnsi="Cambria" w:cs="Times New Roman"/>
          <w:sz w:val="20"/>
          <w:szCs w:val="20"/>
          <w:lang w:eastAsia="es-ES"/>
        </w:rPr>
        <w:t>).</w:t>
      </w:r>
      <w:r w:rsidR="00DC4F64" w:rsidRPr="008A7BD7">
        <w:rPr>
          <w:rFonts w:ascii="Cambria" w:eastAsia="Times New Roman" w:hAnsi="Cambria" w:cs="Times New Roman"/>
          <w:sz w:val="20"/>
          <w:szCs w:val="20"/>
          <w:vertAlign w:val="superscript"/>
          <w:lang w:val="es-US" w:eastAsia="es-ES_tradnl"/>
        </w:rPr>
        <w:footnoteReference w:id="24"/>
      </w:r>
    </w:p>
    <w:p w14:paraId="53939EA2" w14:textId="77777777" w:rsidR="00FC5142" w:rsidRPr="008A7BD7" w:rsidRDefault="00FC5142" w:rsidP="00FC5142">
      <w:pPr>
        <w:ind w:left="720"/>
        <w:jc w:val="both"/>
        <w:rPr>
          <w:rFonts w:ascii="Cambria" w:eastAsia="Times New Roman" w:hAnsi="Cambria" w:cs="Times New Roman"/>
          <w:color w:val="000000" w:themeColor="text1"/>
          <w:sz w:val="20"/>
          <w:szCs w:val="20"/>
          <w:lang w:eastAsia="es-ES"/>
        </w:rPr>
      </w:pPr>
    </w:p>
    <w:p w14:paraId="2C2FA694" w14:textId="4147E226" w:rsidR="5AD2E8C6" w:rsidRPr="008A7BD7" w:rsidRDefault="00901786" w:rsidP="00BB65D3">
      <w:pPr>
        <w:numPr>
          <w:ilvl w:val="0"/>
          <w:numId w:val="2"/>
        </w:numPr>
        <w:suppressAutoHyphens/>
        <w:ind w:left="0" w:firstLine="720"/>
        <w:jc w:val="both"/>
        <w:rPr>
          <w:rFonts w:ascii="Cambria" w:eastAsia="Times New Roman" w:hAnsi="Cambria" w:cs="Times New Roman"/>
          <w:sz w:val="20"/>
          <w:szCs w:val="20"/>
          <w:lang w:eastAsia="es-ES"/>
        </w:rPr>
      </w:pPr>
      <w:r w:rsidRPr="008A7BD7">
        <w:rPr>
          <w:rFonts w:ascii="Cambria" w:eastAsia="Calibri" w:hAnsi="Cambria" w:cs="Times New Roman"/>
          <w:color w:val="000000" w:themeColor="text1"/>
          <w:sz w:val="20"/>
          <w:szCs w:val="20"/>
          <w:lang w:eastAsia="es-ES"/>
        </w:rPr>
        <w:t xml:space="preserve">In a press conference held on July </w:t>
      </w:r>
      <w:r w:rsidR="5AD2E8C6" w:rsidRPr="008A7BD7">
        <w:rPr>
          <w:rFonts w:ascii="Cambria" w:eastAsia="Calibri" w:hAnsi="Cambria" w:cs="Times New Roman"/>
          <w:color w:val="000000" w:themeColor="text1"/>
          <w:sz w:val="20"/>
          <w:szCs w:val="20"/>
          <w:lang w:eastAsia="es-ES"/>
        </w:rPr>
        <w:t>23</w:t>
      </w:r>
      <w:r w:rsidRPr="008A7BD7">
        <w:rPr>
          <w:rFonts w:ascii="Cambria" w:eastAsia="Calibri" w:hAnsi="Cambria" w:cs="Times New Roman"/>
          <w:color w:val="000000" w:themeColor="text1"/>
          <w:sz w:val="20"/>
          <w:szCs w:val="20"/>
          <w:lang w:eastAsia="es-ES"/>
        </w:rPr>
        <w:t xml:space="preserve">, Special Prosecutor </w:t>
      </w:r>
      <w:r w:rsidR="5AD2E8C6" w:rsidRPr="008A7BD7">
        <w:rPr>
          <w:rFonts w:ascii="Cambria" w:eastAsia="Calibri" w:hAnsi="Cambria" w:cs="Times New Roman"/>
          <w:color w:val="000000" w:themeColor="text1"/>
          <w:sz w:val="20"/>
          <w:szCs w:val="20"/>
          <w:lang w:eastAsia="es-ES"/>
        </w:rPr>
        <w:t xml:space="preserve">Sandoval </w:t>
      </w:r>
      <w:r w:rsidRPr="008A7BD7">
        <w:rPr>
          <w:rFonts w:ascii="Cambria" w:eastAsia="Calibri" w:hAnsi="Cambria" w:cs="Times New Roman"/>
          <w:color w:val="000000" w:themeColor="text1"/>
          <w:sz w:val="20"/>
          <w:szCs w:val="20"/>
          <w:lang w:eastAsia="es-ES"/>
        </w:rPr>
        <w:t xml:space="preserve">reported that his dismissal was an attempt to keep the </w:t>
      </w:r>
      <w:r w:rsidR="5AD2E8C6" w:rsidRPr="008A7BD7">
        <w:rPr>
          <w:rFonts w:ascii="Cambria" w:eastAsia="Calibri" w:hAnsi="Cambria" w:cs="Times New Roman"/>
          <w:color w:val="000000" w:themeColor="text1"/>
          <w:sz w:val="20"/>
          <w:szCs w:val="20"/>
          <w:lang w:eastAsia="es-ES"/>
        </w:rPr>
        <w:t xml:space="preserve">FECI </w:t>
      </w:r>
      <w:r w:rsidRPr="008A7BD7">
        <w:rPr>
          <w:rFonts w:ascii="Cambria" w:eastAsia="Calibri" w:hAnsi="Cambria" w:cs="Times New Roman"/>
          <w:color w:val="000000" w:themeColor="text1"/>
          <w:sz w:val="20"/>
          <w:szCs w:val="20"/>
          <w:lang w:eastAsia="es-ES"/>
        </w:rPr>
        <w:t xml:space="preserve">from continuing with </w:t>
      </w:r>
      <w:r w:rsidR="008055F0" w:rsidRPr="008A7BD7">
        <w:rPr>
          <w:rFonts w:ascii="Cambria" w:eastAsia="Calibri" w:hAnsi="Cambria" w:cs="Times New Roman"/>
          <w:color w:val="000000" w:themeColor="text1"/>
          <w:sz w:val="20"/>
          <w:szCs w:val="20"/>
          <w:lang w:eastAsia="es-ES"/>
        </w:rPr>
        <w:t xml:space="preserve">its </w:t>
      </w:r>
      <w:r w:rsidRPr="008A7BD7">
        <w:rPr>
          <w:rFonts w:ascii="Cambria" w:eastAsia="Calibri" w:hAnsi="Cambria" w:cs="Times New Roman"/>
          <w:color w:val="000000" w:themeColor="text1"/>
          <w:sz w:val="20"/>
          <w:szCs w:val="20"/>
          <w:lang w:eastAsia="es-ES"/>
        </w:rPr>
        <w:t xml:space="preserve">investigations involving ex-President </w:t>
      </w:r>
      <w:r w:rsidR="5AD2E8C6" w:rsidRPr="008A7BD7">
        <w:rPr>
          <w:rFonts w:ascii="Cambria" w:eastAsia="Calibri" w:hAnsi="Cambria" w:cs="Times New Roman"/>
          <w:color w:val="000000" w:themeColor="text1"/>
          <w:sz w:val="20"/>
          <w:szCs w:val="20"/>
          <w:lang w:eastAsia="es-ES"/>
        </w:rPr>
        <w:t>Jimmy Morales,</w:t>
      </w:r>
      <w:r w:rsidR="0080529A" w:rsidRPr="008A7BD7">
        <w:rPr>
          <w:rFonts w:ascii="Cambria" w:eastAsia="Calibri" w:hAnsi="Cambria" w:cs="Times New Roman"/>
          <w:color w:val="000000" w:themeColor="text1"/>
          <w:sz w:val="20"/>
          <w:szCs w:val="20"/>
          <w:lang w:eastAsia="es-ES"/>
        </w:rPr>
        <w:t xml:space="preserve"> </w:t>
      </w:r>
      <w:r w:rsidR="0080529A" w:rsidRPr="008A7BD7">
        <w:rPr>
          <w:rFonts w:ascii="Cambria" w:eastAsia="Calibri" w:hAnsi="Cambria" w:cs="Times New Roman"/>
          <w:color w:val="000000" w:themeColor="text1"/>
          <w:sz w:val="20"/>
          <w:szCs w:val="20"/>
          <w:lang w:eastAsia="es-ES"/>
        </w:rPr>
        <w:lastRenderedPageBreak/>
        <w:t>congressional representatives, public officials, and people close to the current government, including the Attorney General herself. He also indicated that the</w:t>
      </w:r>
      <w:r w:rsidR="0080529A" w:rsidRPr="008A7BD7">
        <w:rPr>
          <w:rFonts w:ascii="Cambria" w:eastAsia="Times New Roman" w:hAnsi="Cambria" w:cs="Times New Roman"/>
          <w:color w:val="000000" w:themeColor="text1"/>
          <w:sz w:val="20"/>
          <w:szCs w:val="20"/>
          <w:lang w:eastAsia="es-ES"/>
        </w:rPr>
        <w:t xml:space="preserve"> </w:t>
      </w:r>
      <w:r w:rsidR="5AD2E8C6" w:rsidRPr="008A7BD7">
        <w:rPr>
          <w:rFonts w:ascii="Cambria" w:eastAsia="Times New Roman" w:hAnsi="Cambria" w:cs="Times New Roman"/>
          <w:color w:val="000000" w:themeColor="text1"/>
          <w:sz w:val="20"/>
          <w:szCs w:val="20"/>
          <w:lang w:eastAsia="es-ES"/>
        </w:rPr>
        <w:t xml:space="preserve">FECI </w:t>
      </w:r>
      <w:r w:rsidR="0080529A" w:rsidRPr="008A7BD7">
        <w:rPr>
          <w:rFonts w:ascii="Cambria" w:eastAsia="Times New Roman" w:hAnsi="Cambria" w:cs="Times New Roman"/>
          <w:color w:val="000000" w:themeColor="text1"/>
          <w:sz w:val="20"/>
          <w:szCs w:val="20"/>
          <w:lang w:eastAsia="es-ES"/>
        </w:rPr>
        <w:t xml:space="preserve">was in the process of investigating cases of corruption </w:t>
      </w:r>
      <w:r w:rsidR="008055F0" w:rsidRPr="008A7BD7">
        <w:rPr>
          <w:rFonts w:ascii="Cambria" w:eastAsia="Times New Roman" w:hAnsi="Cambria" w:cs="Times New Roman"/>
          <w:color w:val="000000" w:themeColor="text1"/>
          <w:sz w:val="20"/>
          <w:szCs w:val="20"/>
          <w:lang w:eastAsia="es-ES"/>
        </w:rPr>
        <w:t>that could</w:t>
      </w:r>
      <w:r w:rsidR="0080529A" w:rsidRPr="008A7BD7">
        <w:rPr>
          <w:rFonts w:ascii="Cambria" w:eastAsia="Times New Roman" w:hAnsi="Cambria" w:cs="Times New Roman"/>
          <w:color w:val="000000" w:themeColor="text1"/>
          <w:sz w:val="20"/>
          <w:szCs w:val="20"/>
          <w:lang w:eastAsia="es-ES"/>
        </w:rPr>
        <w:t xml:space="preserve"> involve high-level officials in the current government, </w:t>
      </w:r>
      <w:r w:rsidR="008055F0" w:rsidRPr="008A7BD7">
        <w:rPr>
          <w:rFonts w:ascii="Cambria" w:eastAsia="Times New Roman" w:hAnsi="Cambria" w:cs="Times New Roman"/>
          <w:color w:val="000000" w:themeColor="text1"/>
          <w:sz w:val="20"/>
          <w:szCs w:val="20"/>
          <w:lang w:eastAsia="es-ES"/>
        </w:rPr>
        <w:t>including</w:t>
      </w:r>
      <w:r w:rsidR="00E6051B" w:rsidRPr="008A7BD7">
        <w:rPr>
          <w:rFonts w:ascii="Cambria" w:eastAsia="Times New Roman" w:hAnsi="Cambria" w:cs="Times New Roman"/>
          <w:color w:val="000000" w:themeColor="text1"/>
          <w:sz w:val="20"/>
          <w:szCs w:val="20"/>
          <w:lang w:eastAsia="es-ES"/>
        </w:rPr>
        <w:t xml:space="preserve"> the seizure of </w:t>
      </w:r>
      <w:r w:rsidR="5AD2E8C6" w:rsidRPr="008A7BD7">
        <w:rPr>
          <w:rFonts w:ascii="Cambria" w:eastAsia="Times New Roman" w:hAnsi="Cambria" w:cs="Times New Roman"/>
          <w:color w:val="000000" w:themeColor="text1"/>
          <w:sz w:val="20"/>
          <w:szCs w:val="20"/>
          <w:lang w:eastAsia="es-ES"/>
        </w:rPr>
        <w:t>123 mill</w:t>
      </w:r>
      <w:r w:rsidR="00E6051B" w:rsidRPr="008A7BD7">
        <w:rPr>
          <w:rFonts w:ascii="Cambria" w:eastAsia="Times New Roman" w:hAnsi="Cambria" w:cs="Times New Roman"/>
          <w:color w:val="000000" w:themeColor="text1"/>
          <w:sz w:val="20"/>
          <w:szCs w:val="20"/>
          <w:lang w:eastAsia="es-ES"/>
        </w:rPr>
        <w:t>ion</w:t>
      </w:r>
      <w:r w:rsidR="5AD2E8C6" w:rsidRPr="008A7BD7">
        <w:rPr>
          <w:rFonts w:ascii="Cambria" w:eastAsia="Times New Roman" w:hAnsi="Cambria" w:cs="Times New Roman"/>
          <w:color w:val="000000" w:themeColor="text1"/>
          <w:sz w:val="20"/>
          <w:szCs w:val="20"/>
          <w:lang w:eastAsia="es-ES"/>
        </w:rPr>
        <w:t xml:space="preserve"> quetzals </w:t>
      </w:r>
      <w:r w:rsidR="00E6051B" w:rsidRPr="008A7BD7">
        <w:rPr>
          <w:rFonts w:ascii="Cambria" w:eastAsia="Times New Roman" w:hAnsi="Cambria" w:cs="Times New Roman"/>
          <w:color w:val="000000" w:themeColor="text1"/>
          <w:sz w:val="20"/>
          <w:szCs w:val="20"/>
          <w:lang w:eastAsia="es-ES"/>
        </w:rPr>
        <w:t>in cash at the home of a former government official.</w:t>
      </w:r>
      <w:r w:rsidR="5AD2E8C6" w:rsidRPr="008A7BD7">
        <w:rPr>
          <w:rFonts w:ascii="Cambria" w:eastAsia="Times New Roman" w:hAnsi="Cambria" w:cs="Times New Roman"/>
          <w:color w:val="000000" w:themeColor="text1"/>
          <w:sz w:val="20"/>
          <w:szCs w:val="20"/>
          <w:vertAlign w:val="superscript"/>
          <w:lang w:val="es-US" w:eastAsia="es-ES"/>
        </w:rPr>
        <w:footnoteReference w:id="25"/>
      </w:r>
      <w:r w:rsidR="5AD2E8C6" w:rsidRPr="008A7BD7">
        <w:rPr>
          <w:rFonts w:ascii="Cambria" w:eastAsia="Times New Roman" w:hAnsi="Cambria" w:cs="Times New Roman"/>
          <w:color w:val="000000" w:themeColor="text1"/>
          <w:sz w:val="20"/>
          <w:szCs w:val="20"/>
          <w:lang w:eastAsia="es-ES"/>
        </w:rPr>
        <w:t xml:space="preserve"> </w:t>
      </w:r>
      <w:r w:rsidR="00817425" w:rsidRPr="008A7BD7">
        <w:rPr>
          <w:rFonts w:ascii="Cambria" w:eastAsia="Times New Roman" w:hAnsi="Cambria" w:cs="Times New Roman"/>
          <w:color w:val="000000" w:themeColor="text1"/>
          <w:sz w:val="20"/>
          <w:szCs w:val="20"/>
          <w:lang w:eastAsia="es-ES"/>
        </w:rPr>
        <w:t xml:space="preserve">In addition, after the dismissal of </w:t>
      </w:r>
      <w:r w:rsidR="00817425" w:rsidRPr="008A7BD7">
        <w:rPr>
          <w:rFonts w:ascii="Cambria" w:eastAsia="Calibri" w:hAnsi="Cambria" w:cs="Times New Roman"/>
          <w:color w:val="000000" w:themeColor="text1"/>
          <w:sz w:val="20"/>
          <w:szCs w:val="20"/>
          <w:lang w:eastAsia="es-ES"/>
        </w:rPr>
        <w:t>Special Prosecutor</w:t>
      </w:r>
      <w:r w:rsidR="5AD2E8C6" w:rsidRPr="008A7BD7">
        <w:rPr>
          <w:rFonts w:ascii="Cambria" w:eastAsia="Times New Roman" w:hAnsi="Cambria" w:cs="Times New Roman"/>
          <w:color w:val="000000" w:themeColor="text1"/>
          <w:sz w:val="20"/>
          <w:szCs w:val="20"/>
          <w:lang w:eastAsia="es-ES"/>
        </w:rPr>
        <w:t xml:space="preserve"> Sandoval, </w:t>
      </w:r>
      <w:r w:rsidR="00817425" w:rsidRPr="008A7BD7">
        <w:rPr>
          <w:rFonts w:ascii="Cambria" w:eastAsia="Times New Roman" w:hAnsi="Cambria" w:cs="Times New Roman"/>
          <w:color w:val="000000" w:themeColor="text1"/>
          <w:sz w:val="20"/>
          <w:szCs w:val="20"/>
          <w:lang w:eastAsia="es-ES"/>
        </w:rPr>
        <w:t xml:space="preserve">the </w:t>
      </w:r>
      <w:r w:rsidR="5AD2E8C6" w:rsidRPr="008A7BD7">
        <w:rPr>
          <w:rFonts w:ascii="Cambria" w:eastAsia="Times New Roman" w:hAnsi="Cambria" w:cs="Times New Roman"/>
          <w:i/>
          <w:iCs/>
          <w:color w:val="000000" w:themeColor="text1"/>
          <w:sz w:val="20"/>
          <w:szCs w:val="20"/>
          <w:lang w:eastAsia="es-ES"/>
        </w:rPr>
        <w:t>New York Times</w:t>
      </w:r>
      <w:r w:rsidR="5AD2E8C6" w:rsidRPr="008A7BD7">
        <w:rPr>
          <w:rFonts w:ascii="Cambria" w:eastAsia="Times New Roman" w:hAnsi="Cambria" w:cs="Times New Roman"/>
          <w:color w:val="000000" w:themeColor="text1"/>
          <w:sz w:val="20"/>
          <w:szCs w:val="20"/>
          <w:lang w:eastAsia="es-ES"/>
        </w:rPr>
        <w:t xml:space="preserve"> </w:t>
      </w:r>
      <w:r w:rsidR="00817425" w:rsidRPr="008A7BD7">
        <w:rPr>
          <w:rFonts w:ascii="Cambria" w:eastAsia="Times New Roman" w:hAnsi="Cambria" w:cs="Times New Roman"/>
          <w:color w:val="000000" w:themeColor="text1"/>
          <w:sz w:val="20"/>
          <w:szCs w:val="20"/>
          <w:lang w:eastAsia="es-ES"/>
        </w:rPr>
        <w:t xml:space="preserve">revealed that the </w:t>
      </w:r>
      <w:r w:rsidR="5AD2E8C6" w:rsidRPr="008A7BD7">
        <w:rPr>
          <w:rFonts w:ascii="Cambria" w:eastAsia="Times New Roman" w:hAnsi="Cambria" w:cs="Times New Roman"/>
          <w:color w:val="000000" w:themeColor="text1"/>
          <w:sz w:val="20"/>
          <w:szCs w:val="20"/>
          <w:lang w:eastAsia="es-ES"/>
        </w:rPr>
        <w:t xml:space="preserve">FECI </w:t>
      </w:r>
      <w:r w:rsidR="00817425" w:rsidRPr="008A7BD7">
        <w:rPr>
          <w:rFonts w:ascii="Cambria" w:eastAsia="Times New Roman" w:hAnsi="Cambria" w:cs="Times New Roman"/>
          <w:color w:val="000000" w:themeColor="text1"/>
          <w:sz w:val="20"/>
          <w:szCs w:val="20"/>
          <w:lang w:eastAsia="es-ES"/>
        </w:rPr>
        <w:t xml:space="preserve">had been investigating alleged bribes received by the President from </w:t>
      </w:r>
      <w:r w:rsidR="000D6625" w:rsidRPr="008A7BD7">
        <w:rPr>
          <w:rFonts w:ascii="Cambria" w:eastAsia="Times New Roman" w:hAnsi="Cambria" w:cs="Times New Roman"/>
          <w:color w:val="000000" w:themeColor="text1"/>
          <w:sz w:val="20"/>
          <w:szCs w:val="20"/>
          <w:lang w:eastAsia="es-ES"/>
        </w:rPr>
        <w:t xml:space="preserve">a </w:t>
      </w:r>
      <w:r w:rsidR="00817425" w:rsidRPr="008A7BD7">
        <w:rPr>
          <w:rFonts w:ascii="Cambria" w:eastAsia="Times New Roman" w:hAnsi="Cambria" w:cs="Times New Roman"/>
          <w:color w:val="000000" w:themeColor="text1"/>
          <w:sz w:val="20"/>
          <w:szCs w:val="20"/>
          <w:lang w:eastAsia="es-ES"/>
        </w:rPr>
        <w:t xml:space="preserve">Russian </w:t>
      </w:r>
      <w:r w:rsidR="000D6625" w:rsidRPr="008A7BD7">
        <w:rPr>
          <w:rFonts w:ascii="Cambria" w:eastAsia="Times New Roman" w:hAnsi="Cambria" w:cs="Times New Roman"/>
          <w:color w:val="000000" w:themeColor="text1"/>
          <w:sz w:val="20"/>
          <w:szCs w:val="20"/>
          <w:lang w:eastAsia="es-ES"/>
        </w:rPr>
        <w:t>company</w:t>
      </w:r>
      <w:r w:rsidR="00817425" w:rsidRPr="008A7BD7">
        <w:rPr>
          <w:rFonts w:ascii="Cambria" w:eastAsia="Times New Roman" w:hAnsi="Cambria" w:cs="Times New Roman"/>
          <w:color w:val="000000" w:themeColor="text1"/>
          <w:sz w:val="20"/>
          <w:szCs w:val="20"/>
          <w:lang w:eastAsia="es-ES"/>
        </w:rPr>
        <w:t xml:space="preserve"> to receive a concession </w:t>
      </w:r>
      <w:r w:rsidR="00E06808" w:rsidRPr="008A7BD7">
        <w:rPr>
          <w:rFonts w:ascii="Cambria" w:eastAsia="Times New Roman" w:hAnsi="Cambria" w:cs="Times New Roman"/>
          <w:color w:val="000000" w:themeColor="text1"/>
          <w:sz w:val="20"/>
          <w:szCs w:val="20"/>
          <w:lang w:eastAsia="es-ES"/>
        </w:rPr>
        <w:t xml:space="preserve">at a port </w:t>
      </w:r>
      <w:r w:rsidR="00817425" w:rsidRPr="008A7BD7">
        <w:rPr>
          <w:rFonts w:ascii="Cambria" w:eastAsia="Times New Roman" w:hAnsi="Cambria" w:cs="Times New Roman"/>
          <w:color w:val="000000" w:themeColor="text1"/>
          <w:sz w:val="20"/>
          <w:szCs w:val="20"/>
          <w:lang w:eastAsia="es-ES"/>
        </w:rPr>
        <w:t xml:space="preserve">on the border with </w:t>
      </w:r>
      <w:r w:rsidR="5AD2E8C6" w:rsidRPr="008A7BD7">
        <w:rPr>
          <w:rFonts w:ascii="Cambria" w:eastAsia="Times New Roman" w:hAnsi="Cambria" w:cs="Times New Roman"/>
          <w:color w:val="000000" w:themeColor="text1"/>
          <w:sz w:val="20"/>
          <w:szCs w:val="20"/>
          <w:lang w:eastAsia="es-ES"/>
        </w:rPr>
        <w:t>Honduras</w:t>
      </w:r>
      <w:r w:rsidR="00817425" w:rsidRPr="008A7BD7">
        <w:rPr>
          <w:rFonts w:ascii="Cambria" w:eastAsia="Times New Roman" w:hAnsi="Cambria" w:cs="Times New Roman"/>
          <w:color w:val="000000" w:themeColor="text1"/>
          <w:sz w:val="20"/>
          <w:szCs w:val="20"/>
          <w:lang w:eastAsia="es-ES"/>
        </w:rPr>
        <w:t>.</w:t>
      </w:r>
      <w:r w:rsidR="5AD2E8C6" w:rsidRPr="008A7BD7">
        <w:rPr>
          <w:rFonts w:ascii="Cambria" w:eastAsia="Times New Roman" w:hAnsi="Cambria" w:cs="Times New Roman"/>
          <w:color w:val="000000" w:themeColor="text1"/>
          <w:sz w:val="20"/>
          <w:szCs w:val="20"/>
          <w:vertAlign w:val="superscript"/>
          <w:lang w:val="es-US" w:eastAsia="es-ES"/>
        </w:rPr>
        <w:footnoteReference w:id="26"/>
      </w:r>
      <w:r w:rsidR="5AD2E8C6" w:rsidRPr="008A7BD7">
        <w:rPr>
          <w:rFonts w:ascii="Cambria" w:eastAsia="Times New Roman" w:hAnsi="Cambria" w:cs="Times New Roman"/>
          <w:color w:val="000000" w:themeColor="text1"/>
          <w:sz w:val="20"/>
          <w:szCs w:val="20"/>
          <w:lang w:eastAsia="es-ES"/>
        </w:rPr>
        <w:t xml:space="preserve"> </w:t>
      </w:r>
      <w:r w:rsidR="00817425" w:rsidRPr="008A7BD7">
        <w:rPr>
          <w:rFonts w:ascii="Cambria" w:eastAsia="Times New Roman" w:hAnsi="Cambria" w:cs="Times New Roman"/>
          <w:color w:val="000000" w:themeColor="text1"/>
          <w:sz w:val="20"/>
          <w:szCs w:val="20"/>
          <w:lang w:eastAsia="es-ES"/>
        </w:rPr>
        <w:t xml:space="preserve">On August </w:t>
      </w:r>
      <w:r w:rsidR="5AD2E8C6" w:rsidRPr="008A7BD7">
        <w:rPr>
          <w:rFonts w:ascii="Cambria" w:eastAsia="Times New Roman" w:hAnsi="Cambria" w:cs="Times New Roman"/>
          <w:color w:val="000000" w:themeColor="text1"/>
          <w:sz w:val="20"/>
          <w:szCs w:val="20"/>
          <w:lang w:eastAsia="es-ES"/>
        </w:rPr>
        <w:t>23</w:t>
      </w:r>
      <w:r w:rsidR="00817425" w:rsidRPr="008A7BD7">
        <w:rPr>
          <w:rFonts w:ascii="Cambria" w:eastAsia="Times New Roman" w:hAnsi="Cambria" w:cs="Times New Roman"/>
          <w:color w:val="000000" w:themeColor="text1"/>
          <w:sz w:val="20"/>
          <w:szCs w:val="20"/>
          <w:lang w:eastAsia="es-ES"/>
        </w:rPr>
        <w:t xml:space="preserve">, </w:t>
      </w:r>
      <w:r w:rsidR="5AD2E8C6" w:rsidRPr="008A7BD7">
        <w:rPr>
          <w:rFonts w:ascii="Cambria" w:eastAsia="Times New Roman" w:hAnsi="Cambria" w:cs="Times New Roman"/>
          <w:color w:val="000000" w:themeColor="text1"/>
          <w:sz w:val="20"/>
          <w:szCs w:val="20"/>
          <w:lang w:eastAsia="es-ES"/>
        </w:rPr>
        <w:t xml:space="preserve">2021, </w:t>
      </w:r>
      <w:r w:rsidR="00817425" w:rsidRPr="008A7BD7">
        <w:rPr>
          <w:rFonts w:ascii="Cambria" w:eastAsia="Times New Roman" w:hAnsi="Cambria" w:cs="Times New Roman"/>
          <w:color w:val="000000" w:themeColor="text1"/>
          <w:sz w:val="20"/>
          <w:szCs w:val="20"/>
          <w:lang w:eastAsia="es-ES"/>
        </w:rPr>
        <w:t xml:space="preserve">the government categorically rejected the </w:t>
      </w:r>
      <w:r w:rsidR="002C3187" w:rsidRPr="008A7BD7">
        <w:rPr>
          <w:rFonts w:ascii="Cambria" w:eastAsia="Times New Roman" w:hAnsi="Cambria" w:cs="Times New Roman"/>
          <w:color w:val="000000" w:themeColor="text1"/>
          <w:sz w:val="20"/>
          <w:szCs w:val="20"/>
          <w:lang w:eastAsia="es-ES"/>
        </w:rPr>
        <w:t>reports.</w:t>
      </w:r>
      <w:r w:rsidR="5AD2E8C6" w:rsidRPr="008A7BD7">
        <w:rPr>
          <w:rFonts w:ascii="Cambria" w:eastAsia="Times New Roman" w:hAnsi="Cambria" w:cs="Times New Roman"/>
          <w:color w:val="000000" w:themeColor="text1"/>
          <w:sz w:val="20"/>
          <w:szCs w:val="20"/>
          <w:vertAlign w:val="superscript"/>
          <w:lang w:val="es-US" w:eastAsia="es-ES"/>
        </w:rPr>
        <w:footnoteReference w:id="27"/>
      </w:r>
    </w:p>
    <w:p w14:paraId="24C2A61D" w14:textId="77777777" w:rsidR="00C56230" w:rsidRPr="008A7BD7" w:rsidRDefault="00C56230" w:rsidP="00C56230">
      <w:pPr>
        <w:pStyle w:val="ListParagraph"/>
        <w:rPr>
          <w:rFonts w:ascii="Cambria" w:eastAsia="Times New Roman" w:hAnsi="Cambria" w:cs="Times New Roman"/>
          <w:sz w:val="20"/>
          <w:szCs w:val="20"/>
          <w:lang w:eastAsia="es-ES"/>
        </w:rPr>
      </w:pPr>
    </w:p>
    <w:p w14:paraId="5A6B6566" w14:textId="7E0169CE" w:rsidR="00C56230" w:rsidRPr="008A7BD7" w:rsidRDefault="008936EC" w:rsidP="00C56230">
      <w:pPr>
        <w:numPr>
          <w:ilvl w:val="0"/>
          <w:numId w:val="2"/>
        </w:numPr>
        <w:suppressAutoHyphens/>
        <w:ind w:left="0" w:firstLine="720"/>
        <w:jc w:val="both"/>
        <w:rPr>
          <w:rFonts w:ascii="Cambria" w:eastAsia="Times New Roman" w:hAnsi="Cambria" w:cs="Times New Roman"/>
          <w:color w:val="000000" w:themeColor="text1"/>
          <w:sz w:val="20"/>
          <w:szCs w:val="20"/>
          <w:lang w:eastAsia="es-ES"/>
        </w:rPr>
      </w:pPr>
      <w:r w:rsidRPr="008A7BD7">
        <w:rPr>
          <w:rFonts w:ascii="Cambria" w:eastAsia="Times New Roman" w:hAnsi="Cambria" w:cs="Times New Roman"/>
          <w:color w:val="000000" w:themeColor="text1"/>
          <w:sz w:val="20"/>
          <w:szCs w:val="20"/>
          <w:lang w:eastAsia="es-ES"/>
        </w:rPr>
        <w:t>In response to the draft of this report, the State of</w:t>
      </w:r>
      <w:r w:rsidR="00C56230" w:rsidRPr="008A7BD7">
        <w:rPr>
          <w:rFonts w:ascii="Cambria" w:eastAsia="Times New Roman" w:hAnsi="Cambria" w:cs="Times New Roman"/>
          <w:color w:val="000000" w:themeColor="text1"/>
          <w:sz w:val="20"/>
          <w:szCs w:val="20"/>
          <w:lang w:eastAsia="es-ES"/>
        </w:rPr>
        <w:t xml:space="preserve"> Guatemala </w:t>
      </w:r>
      <w:r w:rsidRPr="008A7BD7">
        <w:rPr>
          <w:rFonts w:ascii="Cambria" w:eastAsia="Times New Roman" w:hAnsi="Cambria" w:cs="Times New Roman"/>
          <w:color w:val="000000" w:themeColor="text1"/>
          <w:sz w:val="20"/>
          <w:szCs w:val="20"/>
          <w:lang w:eastAsia="es-ES"/>
        </w:rPr>
        <w:t xml:space="preserve">indicated that the IACHR </w:t>
      </w:r>
      <w:r w:rsidR="00C56230" w:rsidRPr="008A7BD7">
        <w:rPr>
          <w:rFonts w:ascii="Cambria" w:eastAsia="Times New Roman" w:hAnsi="Cambria" w:cs="Times New Roman"/>
          <w:color w:val="000000" w:themeColor="text1"/>
          <w:sz w:val="20"/>
          <w:szCs w:val="20"/>
          <w:lang w:eastAsia="es-ES"/>
        </w:rPr>
        <w:t>“</w:t>
      </w:r>
      <w:r w:rsidRPr="008A7BD7">
        <w:rPr>
          <w:rFonts w:ascii="Cambria" w:eastAsia="Times New Roman" w:hAnsi="Cambria" w:cs="Times New Roman"/>
          <w:color w:val="000000" w:themeColor="text1"/>
          <w:sz w:val="20"/>
          <w:szCs w:val="20"/>
          <w:lang w:eastAsia="es-ES"/>
        </w:rPr>
        <w:t>should be aware that investigations are institutional, the responsibility of a team and not a particular person or prosecutor’s office, as the Office of the Public Prosecutor is a single, indivisible institution that is organized hierarchically.</w:t>
      </w:r>
      <w:r w:rsidR="00C56230" w:rsidRPr="008A7BD7">
        <w:rPr>
          <w:rFonts w:ascii="Cambria" w:eastAsia="Times New Roman" w:hAnsi="Cambria" w:cs="Times New Roman"/>
          <w:color w:val="000000" w:themeColor="text1"/>
          <w:sz w:val="20"/>
          <w:szCs w:val="20"/>
          <w:lang w:eastAsia="es-ES"/>
        </w:rPr>
        <w:t xml:space="preserve">” </w:t>
      </w:r>
      <w:r w:rsidRPr="008A7BD7">
        <w:rPr>
          <w:rFonts w:ascii="Cambria" w:eastAsia="Times New Roman" w:hAnsi="Cambria" w:cs="Times New Roman"/>
          <w:color w:val="000000" w:themeColor="text1"/>
          <w:sz w:val="20"/>
          <w:szCs w:val="20"/>
          <w:lang w:eastAsia="es-ES"/>
        </w:rPr>
        <w:t>As such</w:t>
      </w:r>
      <w:r w:rsidR="00C56230" w:rsidRPr="008A7BD7">
        <w:rPr>
          <w:rFonts w:ascii="Cambria" w:eastAsia="Times New Roman" w:hAnsi="Cambria" w:cs="Times New Roman"/>
          <w:color w:val="000000" w:themeColor="text1"/>
          <w:sz w:val="20"/>
          <w:szCs w:val="20"/>
          <w:lang w:eastAsia="es-ES"/>
        </w:rPr>
        <w:t>, “</w:t>
      </w:r>
      <w:r w:rsidRPr="008A7BD7">
        <w:rPr>
          <w:rFonts w:ascii="Cambria" w:eastAsia="Times New Roman" w:hAnsi="Cambria" w:cs="Times New Roman"/>
          <w:color w:val="000000" w:themeColor="text1"/>
          <w:sz w:val="20"/>
          <w:szCs w:val="20"/>
          <w:lang w:eastAsia="es-ES"/>
        </w:rPr>
        <w:t xml:space="preserve">combating corruption and impunity continues </w:t>
      </w:r>
      <w:r w:rsidR="00E81DA9" w:rsidRPr="008A7BD7">
        <w:rPr>
          <w:rFonts w:ascii="Cambria" w:eastAsia="Times New Roman" w:hAnsi="Cambria" w:cs="Times New Roman"/>
          <w:color w:val="000000" w:themeColor="text1"/>
          <w:sz w:val="20"/>
          <w:szCs w:val="20"/>
          <w:lang w:eastAsia="es-ES"/>
        </w:rPr>
        <w:t>to be a steadfast mission of the Office of the Public Prosecutor in its entirety, through its district prose</w:t>
      </w:r>
      <w:r w:rsidR="00327DE8" w:rsidRPr="008A7BD7">
        <w:rPr>
          <w:rFonts w:ascii="Cambria" w:eastAsia="Times New Roman" w:hAnsi="Cambria" w:cs="Times New Roman"/>
          <w:color w:val="000000" w:themeColor="text1"/>
          <w:sz w:val="20"/>
          <w:szCs w:val="20"/>
          <w:lang w:eastAsia="es-ES"/>
        </w:rPr>
        <w:t>cutor’s offices, section prosecutor’s offices, municipal prosecutor’s offices, and local prosecutorial agencies, with the participation of more than</w:t>
      </w:r>
      <w:r w:rsidR="00C56230" w:rsidRPr="008A7BD7">
        <w:rPr>
          <w:rFonts w:ascii="Cambria" w:eastAsia="Times New Roman" w:hAnsi="Cambria" w:cs="Times New Roman"/>
          <w:color w:val="000000" w:themeColor="text1"/>
          <w:sz w:val="20"/>
          <w:szCs w:val="20"/>
          <w:lang w:eastAsia="es-ES"/>
        </w:rPr>
        <w:t xml:space="preserve"> 10,900 </w:t>
      </w:r>
      <w:r w:rsidR="00327DE8" w:rsidRPr="008A7BD7">
        <w:rPr>
          <w:rFonts w:ascii="Cambria" w:eastAsia="Times New Roman" w:hAnsi="Cambria" w:cs="Times New Roman"/>
          <w:color w:val="000000" w:themeColor="text1"/>
          <w:sz w:val="20"/>
          <w:szCs w:val="20"/>
          <w:lang w:eastAsia="es-ES"/>
        </w:rPr>
        <w:t>employees.”</w:t>
      </w:r>
      <w:r w:rsidR="00C56230" w:rsidRPr="008A7BD7">
        <w:rPr>
          <w:rStyle w:val="FootnoteReference"/>
          <w:rFonts w:ascii="Cambria" w:eastAsia="Times New Roman" w:hAnsi="Cambria" w:cs="Times New Roman"/>
          <w:color w:val="000000" w:themeColor="text1"/>
          <w:sz w:val="20"/>
          <w:szCs w:val="20"/>
          <w:lang w:val="es-US" w:eastAsia="es-ES"/>
        </w:rPr>
        <w:footnoteReference w:id="28"/>
      </w:r>
      <w:r w:rsidR="00C56230" w:rsidRPr="008A7BD7">
        <w:rPr>
          <w:rFonts w:ascii="Cambria" w:eastAsia="Times New Roman" w:hAnsi="Cambria" w:cs="Times New Roman"/>
          <w:color w:val="000000" w:themeColor="text1"/>
          <w:sz w:val="20"/>
          <w:szCs w:val="20"/>
          <w:lang w:eastAsia="es-ES"/>
        </w:rPr>
        <w:t xml:space="preserve"> </w:t>
      </w:r>
    </w:p>
    <w:p w14:paraId="651DE31A" w14:textId="77777777" w:rsidR="00C56230" w:rsidRPr="008A7BD7" w:rsidRDefault="00C56230" w:rsidP="00C56230">
      <w:pPr>
        <w:pStyle w:val="ListParagraph"/>
        <w:rPr>
          <w:rFonts w:ascii="Cambria" w:eastAsia="Times New Roman" w:hAnsi="Cambria" w:cs="Times New Roman"/>
          <w:color w:val="000000" w:themeColor="text1"/>
          <w:sz w:val="20"/>
          <w:szCs w:val="20"/>
          <w:lang w:eastAsia="es-ES"/>
        </w:rPr>
      </w:pPr>
    </w:p>
    <w:p w14:paraId="7DBBB2AE" w14:textId="30AD59DB" w:rsidR="00C56230" w:rsidRPr="008A7BD7" w:rsidRDefault="00942103" w:rsidP="00C56230">
      <w:pPr>
        <w:numPr>
          <w:ilvl w:val="0"/>
          <w:numId w:val="2"/>
        </w:numPr>
        <w:suppressAutoHyphens/>
        <w:ind w:left="0" w:firstLine="720"/>
        <w:jc w:val="both"/>
        <w:rPr>
          <w:rFonts w:ascii="Cambria" w:eastAsia="Times New Roman" w:hAnsi="Cambria" w:cs="Times New Roman"/>
          <w:color w:val="000000" w:themeColor="text1"/>
          <w:sz w:val="20"/>
          <w:szCs w:val="20"/>
          <w:lang w:eastAsia="es-ES"/>
        </w:rPr>
      </w:pPr>
      <w:r w:rsidRPr="008A7BD7">
        <w:rPr>
          <w:rFonts w:ascii="Cambria" w:eastAsia="Times New Roman" w:hAnsi="Cambria" w:cs="Times New Roman"/>
          <w:color w:val="000000" w:themeColor="text1"/>
          <w:sz w:val="20"/>
          <w:szCs w:val="20"/>
          <w:lang w:eastAsia="es-ES"/>
        </w:rPr>
        <w:t>In addition, the State indicated that</w:t>
      </w:r>
      <w:r w:rsidR="005F0169" w:rsidRPr="008A7BD7">
        <w:rPr>
          <w:rFonts w:ascii="Cambria" w:eastAsia="Times New Roman" w:hAnsi="Cambria" w:cs="Times New Roman"/>
          <w:color w:val="000000" w:themeColor="text1"/>
          <w:sz w:val="20"/>
          <w:szCs w:val="20"/>
          <w:lang w:eastAsia="es-ES"/>
        </w:rPr>
        <w:t xml:space="preserve"> “in the case of </w:t>
      </w:r>
      <w:r w:rsidR="00CF007E" w:rsidRPr="008A7BD7">
        <w:rPr>
          <w:rFonts w:ascii="Cambria" w:eastAsia="Times New Roman" w:hAnsi="Cambria" w:cs="Times New Roman"/>
          <w:color w:val="000000" w:themeColor="text1"/>
          <w:sz w:val="20"/>
          <w:szCs w:val="20"/>
          <w:lang w:eastAsia="es-ES"/>
        </w:rPr>
        <w:t xml:space="preserve">the attorney </w:t>
      </w:r>
      <w:r w:rsidR="00C56230" w:rsidRPr="008A7BD7">
        <w:rPr>
          <w:rFonts w:ascii="Cambria" w:eastAsia="Times New Roman" w:hAnsi="Cambria" w:cs="Times New Roman"/>
          <w:color w:val="000000" w:themeColor="text1"/>
          <w:sz w:val="20"/>
          <w:szCs w:val="20"/>
          <w:lang w:eastAsia="es-ES"/>
        </w:rPr>
        <w:t>Juan Francisco Sandoval Alfaro</w:t>
      </w:r>
      <w:r w:rsidR="00CF007E" w:rsidRPr="008A7BD7">
        <w:rPr>
          <w:rFonts w:ascii="Cambria" w:eastAsia="Times New Roman" w:hAnsi="Cambria" w:cs="Times New Roman"/>
          <w:color w:val="000000" w:themeColor="text1"/>
          <w:sz w:val="20"/>
          <w:szCs w:val="20"/>
          <w:lang w:eastAsia="es-ES"/>
        </w:rPr>
        <w:t xml:space="preserve">, </w:t>
      </w:r>
      <w:r w:rsidR="005F0169" w:rsidRPr="008A7BD7">
        <w:rPr>
          <w:rFonts w:ascii="Cambria" w:eastAsia="Times New Roman" w:hAnsi="Cambria" w:cs="Times New Roman"/>
          <w:color w:val="000000" w:themeColor="text1"/>
          <w:sz w:val="20"/>
          <w:szCs w:val="20"/>
          <w:lang w:eastAsia="es-ES"/>
        </w:rPr>
        <w:t xml:space="preserve">he is making use of the ordinary constitutional remedies </w:t>
      </w:r>
      <w:r w:rsidR="00CF007E" w:rsidRPr="008A7BD7">
        <w:rPr>
          <w:rFonts w:ascii="Cambria" w:eastAsia="Times New Roman" w:hAnsi="Cambria" w:cs="Times New Roman"/>
          <w:color w:val="000000" w:themeColor="text1"/>
          <w:sz w:val="20"/>
          <w:szCs w:val="20"/>
          <w:lang w:eastAsia="es-ES"/>
        </w:rPr>
        <w:t xml:space="preserve">available </w:t>
      </w:r>
      <w:r w:rsidR="005F0169" w:rsidRPr="008A7BD7">
        <w:rPr>
          <w:rFonts w:ascii="Cambria" w:eastAsia="Times New Roman" w:hAnsi="Cambria" w:cs="Times New Roman"/>
          <w:color w:val="000000" w:themeColor="text1"/>
          <w:sz w:val="20"/>
          <w:szCs w:val="20"/>
          <w:lang w:eastAsia="es-ES"/>
        </w:rPr>
        <w:t xml:space="preserve">before the State of Guatemala’s jurisdictional bodies to seek </w:t>
      </w:r>
      <w:r w:rsidR="003C55DA" w:rsidRPr="008A7BD7">
        <w:rPr>
          <w:rFonts w:ascii="Cambria" w:eastAsia="Times New Roman" w:hAnsi="Cambria" w:cs="Times New Roman"/>
          <w:color w:val="000000" w:themeColor="text1"/>
          <w:sz w:val="20"/>
          <w:szCs w:val="20"/>
          <w:lang w:eastAsia="es-ES"/>
        </w:rPr>
        <w:t>reinstatement</w:t>
      </w:r>
      <w:r w:rsidR="005F0169" w:rsidRPr="008A7BD7">
        <w:rPr>
          <w:rFonts w:ascii="Cambria" w:eastAsia="Times New Roman" w:hAnsi="Cambria" w:cs="Times New Roman"/>
          <w:color w:val="000000" w:themeColor="text1"/>
          <w:sz w:val="20"/>
          <w:szCs w:val="20"/>
          <w:lang w:eastAsia="es-ES"/>
        </w:rPr>
        <w:t xml:space="preserve"> to the position he held in the Office of the Public Prosecutor.”</w:t>
      </w:r>
      <w:r w:rsidR="00C56230" w:rsidRPr="008A7BD7">
        <w:rPr>
          <w:rStyle w:val="FootnoteReference"/>
          <w:rFonts w:ascii="Cambria" w:eastAsia="Times New Roman" w:hAnsi="Cambria" w:cs="Times New Roman"/>
          <w:color w:val="000000" w:themeColor="text1"/>
          <w:sz w:val="20"/>
          <w:szCs w:val="20"/>
          <w:lang w:val="es-US" w:eastAsia="es-ES"/>
        </w:rPr>
        <w:footnoteReference w:id="29"/>
      </w:r>
      <w:r w:rsidR="00C56230" w:rsidRPr="008A7BD7">
        <w:rPr>
          <w:rFonts w:ascii="Cambria" w:eastAsia="Times New Roman" w:hAnsi="Cambria" w:cs="Times New Roman"/>
          <w:color w:val="000000" w:themeColor="text1"/>
          <w:sz w:val="20"/>
          <w:szCs w:val="20"/>
          <w:lang w:eastAsia="es-ES"/>
        </w:rPr>
        <w:t xml:space="preserve"> </w:t>
      </w:r>
      <w:r w:rsidR="005F0169" w:rsidRPr="008A7BD7">
        <w:rPr>
          <w:rFonts w:ascii="Cambria" w:eastAsia="Times New Roman" w:hAnsi="Cambria" w:cs="Times New Roman"/>
          <w:color w:val="000000" w:themeColor="text1"/>
          <w:sz w:val="20"/>
          <w:szCs w:val="20"/>
          <w:lang w:eastAsia="es-ES"/>
        </w:rPr>
        <w:t xml:space="preserve">The </w:t>
      </w:r>
      <w:r w:rsidR="003C55DA" w:rsidRPr="008A7BD7">
        <w:rPr>
          <w:rFonts w:ascii="Cambria" w:eastAsia="Times New Roman" w:hAnsi="Cambria" w:cs="Times New Roman"/>
          <w:color w:val="000000" w:themeColor="text1"/>
          <w:sz w:val="20"/>
          <w:szCs w:val="20"/>
          <w:lang w:eastAsia="es-ES"/>
        </w:rPr>
        <w:t>S</w:t>
      </w:r>
      <w:r w:rsidR="005F0169" w:rsidRPr="008A7BD7">
        <w:rPr>
          <w:rFonts w:ascii="Cambria" w:eastAsia="Times New Roman" w:hAnsi="Cambria" w:cs="Times New Roman"/>
          <w:color w:val="000000" w:themeColor="text1"/>
          <w:sz w:val="20"/>
          <w:szCs w:val="20"/>
          <w:lang w:eastAsia="es-ES"/>
        </w:rPr>
        <w:t xml:space="preserve">tate also indicated that </w:t>
      </w:r>
      <w:r w:rsidR="00C56230" w:rsidRPr="008A7BD7">
        <w:rPr>
          <w:rFonts w:ascii="Cambria" w:eastAsia="Montserrat" w:hAnsi="Cambria" w:cs="Montserrat"/>
          <w:sz w:val="20"/>
          <w:szCs w:val="20"/>
        </w:rPr>
        <w:t>Juan Francisco Sandoval Alfaro “</w:t>
      </w:r>
      <w:r w:rsidR="005F0169" w:rsidRPr="008A7BD7">
        <w:rPr>
          <w:rFonts w:ascii="Cambria" w:eastAsia="Montserrat" w:hAnsi="Cambria" w:cs="Montserrat"/>
          <w:sz w:val="20"/>
          <w:szCs w:val="20"/>
        </w:rPr>
        <w:t xml:space="preserve">must clear up his legal situation in the country in relation to two </w:t>
      </w:r>
      <w:r w:rsidR="00CF007E" w:rsidRPr="008A7BD7">
        <w:rPr>
          <w:rFonts w:ascii="Cambria" w:eastAsia="Montserrat" w:hAnsi="Cambria" w:cs="Montserrat"/>
          <w:sz w:val="20"/>
          <w:szCs w:val="20"/>
        </w:rPr>
        <w:t>court</w:t>
      </w:r>
      <w:r w:rsidR="005F0169" w:rsidRPr="008A7BD7">
        <w:rPr>
          <w:rFonts w:ascii="Cambria" w:eastAsia="Montserrat" w:hAnsi="Cambria" w:cs="Montserrat"/>
          <w:sz w:val="20"/>
          <w:szCs w:val="20"/>
        </w:rPr>
        <w:t xml:space="preserve"> cases in which arrest warrants are pending for </w:t>
      </w:r>
      <w:r w:rsidR="00712081" w:rsidRPr="008A7BD7">
        <w:rPr>
          <w:rFonts w:ascii="Cambria" w:eastAsia="Montserrat" w:hAnsi="Cambria" w:cs="Montserrat"/>
          <w:sz w:val="20"/>
          <w:szCs w:val="20"/>
        </w:rPr>
        <w:t xml:space="preserve">investigated </w:t>
      </w:r>
      <w:r w:rsidR="00D85906" w:rsidRPr="008A7BD7">
        <w:rPr>
          <w:rFonts w:ascii="Cambria" w:eastAsia="Montserrat" w:hAnsi="Cambria" w:cs="Montserrat"/>
          <w:sz w:val="20"/>
          <w:szCs w:val="20"/>
        </w:rPr>
        <w:t>incidents</w:t>
      </w:r>
      <w:r w:rsidR="00712081" w:rsidRPr="008A7BD7">
        <w:rPr>
          <w:rFonts w:ascii="Cambria" w:eastAsia="Montserrat" w:hAnsi="Cambria" w:cs="Montserrat"/>
          <w:sz w:val="20"/>
          <w:szCs w:val="20"/>
        </w:rPr>
        <w:t xml:space="preserve"> hav</w:t>
      </w:r>
      <w:r w:rsidR="00D85906" w:rsidRPr="008A7BD7">
        <w:rPr>
          <w:rFonts w:ascii="Cambria" w:eastAsia="Montserrat" w:hAnsi="Cambria" w:cs="Montserrat"/>
          <w:sz w:val="20"/>
          <w:szCs w:val="20"/>
        </w:rPr>
        <w:t>ing</w:t>
      </w:r>
      <w:r w:rsidR="00712081" w:rsidRPr="008A7BD7">
        <w:rPr>
          <w:rFonts w:ascii="Cambria" w:eastAsia="Montserrat" w:hAnsi="Cambria" w:cs="Montserrat"/>
          <w:sz w:val="20"/>
          <w:szCs w:val="20"/>
        </w:rPr>
        <w:t xml:space="preserve"> to do with Mr. </w:t>
      </w:r>
      <w:r w:rsidR="00C56230" w:rsidRPr="008A7BD7">
        <w:rPr>
          <w:rFonts w:ascii="Cambria" w:eastAsia="Montserrat" w:hAnsi="Cambria" w:cs="Montserrat"/>
          <w:sz w:val="20"/>
          <w:szCs w:val="20"/>
        </w:rPr>
        <w:t>Sandoval Alfaro</w:t>
      </w:r>
      <w:r w:rsidR="00712081" w:rsidRPr="008A7BD7">
        <w:rPr>
          <w:rFonts w:ascii="Cambria" w:eastAsia="Montserrat" w:hAnsi="Cambria" w:cs="Montserrat"/>
          <w:sz w:val="20"/>
          <w:szCs w:val="20"/>
        </w:rPr>
        <w:t xml:space="preserve">, </w:t>
      </w:r>
      <w:r w:rsidR="00D85906" w:rsidRPr="008A7BD7">
        <w:rPr>
          <w:rFonts w:ascii="Cambria" w:eastAsia="Montserrat" w:hAnsi="Cambria" w:cs="Montserrat"/>
          <w:sz w:val="20"/>
          <w:szCs w:val="20"/>
        </w:rPr>
        <w:t>for</w:t>
      </w:r>
      <w:r w:rsidR="00712081" w:rsidRPr="008A7BD7">
        <w:rPr>
          <w:rFonts w:ascii="Cambria" w:eastAsia="Montserrat" w:hAnsi="Cambria" w:cs="Montserrat"/>
          <w:sz w:val="20"/>
          <w:szCs w:val="20"/>
        </w:rPr>
        <w:t xml:space="preserve"> the possible commission of criminal acts.</w:t>
      </w:r>
      <w:r w:rsidR="00C56230" w:rsidRPr="008A7BD7">
        <w:rPr>
          <w:rFonts w:ascii="Cambria" w:eastAsia="Montserrat" w:hAnsi="Cambria" w:cs="Montserrat"/>
          <w:sz w:val="20"/>
          <w:szCs w:val="20"/>
        </w:rPr>
        <w:t xml:space="preserve">” </w:t>
      </w:r>
      <w:r w:rsidR="00712081" w:rsidRPr="008A7BD7">
        <w:rPr>
          <w:rFonts w:ascii="Cambria" w:eastAsia="Montserrat" w:hAnsi="Cambria" w:cs="Montserrat"/>
          <w:sz w:val="20"/>
          <w:szCs w:val="20"/>
        </w:rPr>
        <w:t xml:space="preserve">Nevertheless, “to this day, the Office of the Public Prosecutor has kept the security arrangement assigned to Mr. </w:t>
      </w:r>
      <w:r w:rsidR="00C56230" w:rsidRPr="008A7BD7">
        <w:rPr>
          <w:rFonts w:ascii="Cambria" w:eastAsia="Montserrat" w:hAnsi="Cambria" w:cs="Montserrat"/>
          <w:sz w:val="20"/>
          <w:szCs w:val="20"/>
        </w:rPr>
        <w:t>Sandoval Alfaro</w:t>
      </w:r>
      <w:r w:rsidR="00712081" w:rsidRPr="008A7BD7">
        <w:rPr>
          <w:rFonts w:ascii="Cambria" w:eastAsia="Montserrat" w:hAnsi="Cambria" w:cs="Montserrat"/>
          <w:sz w:val="20"/>
          <w:szCs w:val="20"/>
        </w:rPr>
        <w:t xml:space="preserve">, and even when it is known that he is not in the Republic of </w:t>
      </w:r>
      <w:r w:rsidR="00C56230" w:rsidRPr="008A7BD7">
        <w:rPr>
          <w:rFonts w:ascii="Cambria" w:eastAsia="Montserrat" w:hAnsi="Cambria" w:cs="Montserrat"/>
          <w:sz w:val="20"/>
          <w:szCs w:val="20"/>
        </w:rPr>
        <w:t xml:space="preserve">Guatemala, </w:t>
      </w:r>
      <w:r w:rsidR="00712081" w:rsidRPr="008A7BD7">
        <w:rPr>
          <w:rFonts w:ascii="Cambria" w:eastAsia="Montserrat" w:hAnsi="Cambria" w:cs="Montserrat"/>
          <w:sz w:val="20"/>
          <w:szCs w:val="20"/>
        </w:rPr>
        <w:t xml:space="preserve">the security agents and institutional vehicles </w:t>
      </w:r>
      <w:r w:rsidR="00D85906" w:rsidRPr="008A7BD7">
        <w:rPr>
          <w:rFonts w:ascii="Cambria" w:eastAsia="Montserrat" w:hAnsi="Cambria" w:cs="Montserrat"/>
          <w:sz w:val="20"/>
          <w:szCs w:val="20"/>
        </w:rPr>
        <w:t>remain</w:t>
      </w:r>
      <w:r w:rsidR="00712081" w:rsidRPr="008A7BD7">
        <w:rPr>
          <w:rFonts w:ascii="Cambria" w:eastAsia="Montserrat" w:hAnsi="Cambria" w:cs="Montserrat"/>
          <w:sz w:val="20"/>
          <w:szCs w:val="20"/>
        </w:rPr>
        <w:t xml:space="preserve"> in place in accordance with the security arrangement.”</w:t>
      </w:r>
      <w:r w:rsidR="00C56230" w:rsidRPr="008A7BD7">
        <w:rPr>
          <w:rStyle w:val="FootnoteReference"/>
          <w:rFonts w:ascii="Cambria" w:eastAsia="Montserrat" w:hAnsi="Cambria" w:cs="Montserrat"/>
          <w:sz w:val="20"/>
          <w:szCs w:val="20"/>
          <w:lang w:val="es-US"/>
        </w:rPr>
        <w:footnoteReference w:id="30"/>
      </w:r>
    </w:p>
    <w:p w14:paraId="25B54283" w14:textId="77777777" w:rsidR="4F54743F" w:rsidRPr="008A7BD7" w:rsidRDefault="4F54743F" w:rsidP="4F54743F">
      <w:pPr>
        <w:jc w:val="both"/>
        <w:rPr>
          <w:rFonts w:ascii="Cambria" w:eastAsia="Times New Roman" w:hAnsi="Cambria" w:cs="Times New Roman"/>
          <w:sz w:val="20"/>
          <w:szCs w:val="20"/>
          <w:lang w:eastAsia="es-ES"/>
        </w:rPr>
      </w:pPr>
    </w:p>
    <w:p w14:paraId="347374A1" w14:textId="0589C2BA" w:rsidR="5AD2E8C6" w:rsidRPr="008A7BD7" w:rsidRDefault="00720221" w:rsidP="00BB65D3">
      <w:pPr>
        <w:numPr>
          <w:ilvl w:val="0"/>
          <w:numId w:val="2"/>
        </w:numPr>
        <w:suppressAutoHyphens/>
        <w:ind w:left="0" w:firstLine="720"/>
        <w:jc w:val="both"/>
        <w:rPr>
          <w:rFonts w:ascii="Cambria" w:eastAsiaTheme="minorEastAsia" w:hAnsi="Cambria"/>
          <w:sz w:val="20"/>
          <w:szCs w:val="20"/>
          <w:lang w:eastAsia="es-ES"/>
        </w:rPr>
      </w:pPr>
      <w:r w:rsidRPr="008A7BD7">
        <w:rPr>
          <w:rFonts w:ascii="Cambria" w:eastAsia="Times New Roman" w:hAnsi="Cambria" w:cs="Times New Roman"/>
          <w:sz w:val="20"/>
          <w:szCs w:val="20"/>
          <w:lang w:eastAsia="es-ES"/>
        </w:rPr>
        <w:t>In response to</w:t>
      </w:r>
      <w:r w:rsidR="00BE4C73" w:rsidRPr="008A7BD7">
        <w:rPr>
          <w:rFonts w:ascii="Cambria" w:eastAsia="Times New Roman" w:hAnsi="Cambria" w:cs="Times New Roman"/>
          <w:sz w:val="20"/>
          <w:szCs w:val="20"/>
          <w:lang w:eastAsia="es-ES"/>
        </w:rPr>
        <w:t xml:space="preserve"> th</w:t>
      </w:r>
      <w:r w:rsidRPr="008A7BD7">
        <w:rPr>
          <w:rFonts w:ascii="Cambria" w:eastAsia="Times New Roman" w:hAnsi="Cambria" w:cs="Times New Roman"/>
          <w:sz w:val="20"/>
          <w:szCs w:val="20"/>
          <w:lang w:eastAsia="es-ES"/>
        </w:rPr>
        <w:t>is</w:t>
      </w:r>
      <w:r w:rsidR="00BE4C73" w:rsidRPr="008A7BD7">
        <w:rPr>
          <w:rFonts w:ascii="Cambria" w:eastAsia="Times New Roman" w:hAnsi="Cambria" w:cs="Times New Roman"/>
          <w:sz w:val="20"/>
          <w:szCs w:val="20"/>
          <w:lang w:eastAsia="es-ES"/>
        </w:rPr>
        <w:t xml:space="preserve"> serious situation</w:t>
      </w:r>
      <w:r w:rsidR="00082145" w:rsidRPr="008A7BD7">
        <w:rPr>
          <w:rFonts w:ascii="Cambria" w:eastAsia="Times New Roman" w:hAnsi="Cambria" w:cs="Times New Roman"/>
          <w:sz w:val="20"/>
          <w:szCs w:val="20"/>
          <w:lang w:eastAsia="es-ES"/>
        </w:rPr>
        <w:t xml:space="preserve">, </w:t>
      </w:r>
      <w:r w:rsidR="005D2056" w:rsidRPr="008A7BD7">
        <w:rPr>
          <w:rFonts w:ascii="Cambria" w:eastAsia="Times New Roman" w:hAnsi="Cambria" w:cs="Times New Roman"/>
          <w:sz w:val="20"/>
          <w:szCs w:val="20"/>
          <w:lang w:eastAsia="es-ES"/>
        </w:rPr>
        <w:t>inte</w:t>
      </w:r>
      <w:r w:rsidR="00BE4C73" w:rsidRPr="008A7BD7">
        <w:rPr>
          <w:rFonts w:ascii="Cambria" w:eastAsia="Times New Roman" w:hAnsi="Cambria" w:cs="Times New Roman"/>
          <w:sz w:val="20"/>
          <w:szCs w:val="20"/>
          <w:lang w:eastAsia="es-ES"/>
        </w:rPr>
        <w:t>r</w:t>
      </w:r>
      <w:r w:rsidR="005D2056" w:rsidRPr="008A7BD7">
        <w:rPr>
          <w:rFonts w:ascii="Cambria" w:eastAsia="Times New Roman" w:hAnsi="Cambria" w:cs="Times New Roman"/>
          <w:sz w:val="20"/>
          <w:szCs w:val="20"/>
          <w:lang w:eastAsia="es-ES"/>
        </w:rPr>
        <w:t xml:space="preserve">national and </w:t>
      </w:r>
      <w:r w:rsidRPr="008A7BD7">
        <w:rPr>
          <w:rFonts w:ascii="Cambria" w:eastAsia="Times New Roman" w:hAnsi="Cambria" w:cs="Times New Roman"/>
          <w:sz w:val="20"/>
          <w:szCs w:val="20"/>
          <w:lang w:eastAsia="es-ES"/>
        </w:rPr>
        <w:t>Guatemalan</w:t>
      </w:r>
      <w:r w:rsidR="005D2056" w:rsidRPr="008A7BD7">
        <w:rPr>
          <w:rFonts w:ascii="Cambria" w:eastAsia="Times New Roman" w:hAnsi="Cambria" w:cs="Times New Roman"/>
          <w:sz w:val="20"/>
          <w:szCs w:val="20"/>
          <w:lang w:eastAsia="es-ES"/>
        </w:rPr>
        <w:t xml:space="preserve"> </w:t>
      </w:r>
      <w:r w:rsidR="00082145" w:rsidRPr="008A7BD7">
        <w:rPr>
          <w:rFonts w:ascii="Cambria" w:eastAsia="Times New Roman" w:hAnsi="Cambria" w:cs="Times New Roman"/>
          <w:sz w:val="20"/>
          <w:szCs w:val="20"/>
          <w:lang w:eastAsia="es-ES"/>
        </w:rPr>
        <w:t>civil</w:t>
      </w:r>
      <w:r w:rsidR="005D2056" w:rsidRPr="008A7BD7">
        <w:rPr>
          <w:rFonts w:ascii="Cambria" w:eastAsia="Times New Roman" w:hAnsi="Cambria" w:cs="Times New Roman"/>
          <w:sz w:val="20"/>
          <w:szCs w:val="20"/>
          <w:lang w:eastAsia="es-ES"/>
        </w:rPr>
        <w:t xml:space="preserve"> society organizations condemned the prosecutor’s removal and considered that his dismissal</w:t>
      </w:r>
      <w:r w:rsidR="00BE4C73" w:rsidRPr="008A7BD7">
        <w:rPr>
          <w:rFonts w:ascii="Cambria" w:eastAsia="Times New Roman" w:hAnsi="Cambria" w:cs="Times New Roman"/>
          <w:sz w:val="20"/>
          <w:szCs w:val="20"/>
          <w:lang w:eastAsia="es-ES"/>
        </w:rPr>
        <w:t xml:space="preserve"> was</w:t>
      </w:r>
      <w:r w:rsidR="005D2056" w:rsidRPr="008A7BD7">
        <w:rPr>
          <w:rFonts w:ascii="Cambria" w:eastAsia="Times New Roman" w:hAnsi="Cambria" w:cs="Times New Roman"/>
          <w:sz w:val="20"/>
          <w:szCs w:val="20"/>
          <w:lang w:eastAsia="es-ES"/>
        </w:rPr>
        <w:t xml:space="preserve"> </w:t>
      </w:r>
      <w:r w:rsidR="003675DD" w:rsidRPr="008A7BD7">
        <w:rPr>
          <w:rFonts w:ascii="Cambria" w:eastAsia="Times New Roman" w:hAnsi="Cambria" w:cs="Times New Roman"/>
          <w:sz w:val="20"/>
          <w:szCs w:val="20"/>
          <w:lang w:eastAsia="es-ES"/>
        </w:rPr>
        <w:t xml:space="preserve">“not an isolated incident but part of a pattern of attacks, stigmatization campaigns, and </w:t>
      </w:r>
      <w:r w:rsidRPr="008A7BD7">
        <w:rPr>
          <w:rFonts w:ascii="Cambria" w:eastAsia="Times New Roman" w:hAnsi="Cambria" w:cs="Times New Roman"/>
          <w:sz w:val="20"/>
          <w:szCs w:val="20"/>
          <w:lang w:eastAsia="es-ES"/>
        </w:rPr>
        <w:t xml:space="preserve">abuse of the criminal justice system directed against all independent justice operators in Guatemala, and </w:t>
      </w:r>
      <w:r w:rsidR="00BE4C73" w:rsidRPr="008A7BD7">
        <w:rPr>
          <w:rFonts w:ascii="Cambria" w:eastAsia="Times New Roman" w:hAnsi="Cambria" w:cs="Times New Roman"/>
          <w:sz w:val="20"/>
          <w:szCs w:val="20"/>
          <w:lang w:eastAsia="es-ES"/>
        </w:rPr>
        <w:t xml:space="preserve">aims to create a climate of fear, as well to co-opt the judicial </w:t>
      </w:r>
      <w:r w:rsidR="00BE4C73" w:rsidRPr="008A7BD7">
        <w:rPr>
          <w:rFonts w:ascii="Cambria" w:eastAsia="Times New Roman" w:hAnsi="Cambria" w:cs="Times New Roman"/>
          <w:sz w:val="20"/>
          <w:szCs w:val="20"/>
          <w:lang w:eastAsia="es-ES"/>
        </w:rPr>
        <w:lastRenderedPageBreak/>
        <w:t>system to ensure impunity for the criminal networks that operate in the country.”</w:t>
      </w:r>
      <w:r w:rsidR="5AD2E8C6" w:rsidRPr="008A7BD7">
        <w:rPr>
          <w:rFonts w:ascii="Cambria" w:eastAsia="Times New Roman" w:hAnsi="Cambria" w:cs="Times New Roman"/>
          <w:sz w:val="20"/>
          <w:szCs w:val="20"/>
          <w:vertAlign w:val="superscript"/>
          <w:lang w:val="es-US" w:eastAsia="es-ES"/>
        </w:rPr>
        <w:footnoteReference w:id="31"/>
      </w:r>
      <w:r w:rsidR="5AD2E8C6" w:rsidRPr="008A7BD7">
        <w:rPr>
          <w:rFonts w:ascii="Cambria" w:eastAsia="Times New Roman" w:hAnsi="Cambria" w:cs="Times New Roman"/>
          <w:sz w:val="20"/>
          <w:szCs w:val="20"/>
          <w:lang w:eastAsia="es-ES"/>
        </w:rPr>
        <w:t xml:space="preserve"> </w:t>
      </w:r>
      <w:r w:rsidR="00FD0F75" w:rsidRPr="008A7BD7">
        <w:rPr>
          <w:rFonts w:ascii="Cambria" w:eastAsia="Times New Roman" w:hAnsi="Cambria" w:cs="Arial"/>
          <w:sz w:val="20"/>
          <w:szCs w:val="20"/>
          <w:lang w:eastAsia="es-ES"/>
        </w:rPr>
        <w:t>Among other things, t</w:t>
      </w:r>
      <w:r w:rsidR="00B2180A" w:rsidRPr="008A7BD7">
        <w:rPr>
          <w:rFonts w:ascii="Cambria" w:eastAsia="Times New Roman" w:hAnsi="Cambria" w:cs="Arial"/>
          <w:sz w:val="20"/>
          <w:szCs w:val="20"/>
          <w:lang w:eastAsia="es-ES"/>
        </w:rPr>
        <w:t xml:space="preserve">hey </w:t>
      </w:r>
      <w:r w:rsidR="00FD0F75" w:rsidRPr="008A7BD7">
        <w:rPr>
          <w:rFonts w:ascii="Cambria" w:eastAsia="Times New Roman" w:hAnsi="Cambria" w:cs="Arial"/>
          <w:sz w:val="20"/>
          <w:szCs w:val="20"/>
          <w:lang w:eastAsia="es-ES"/>
        </w:rPr>
        <w:t>denounced the</w:t>
      </w:r>
      <w:r w:rsidR="001A2977" w:rsidRPr="008A7BD7">
        <w:rPr>
          <w:rFonts w:ascii="Cambria" w:eastAsia="Times New Roman" w:hAnsi="Cambria" w:cs="Arial"/>
          <w:sz w:val="20"/>
          <w:szCs w:val="20"/>
          <w:lang w:eastAsia="es-ES"/>
        </w:rPr>
        <w:t xml:space="preserve"> </w:t>
      </w:r>
      <w:r w:rsidR="00FD0F75" w:rsidRPr="008A7BD7">
        <w:rPr>
          <w:rFonts w:ascii="Cambria" w:eastAsia="Times New Roman" w:hAnsi="Cambria" w:cs="Arial"/>
          <w:sz w:val="20"/>
          <w:szCs w:val="20"/>
          <w:lang w:eastAsia="es-ES"/>
        </w:rPr>
        <w:t xml:space="preserve">fact that in </w:t>
      </w:r>
      <w:r w:rsidR="00FA04DB" w:rsidRPr="008A7BD7">
        <w:rPr>
          <w:rFonts w:ascii="Cambria" w:eastAsia="Times New Roman" w:hAnsi="Cambria" w:cs="Arial"/>
          <w:sz w:val="20"/>
          <w:szCs w:val="20"/>
          <w:lang w:eastAsia="es-ES"/>
        </w:rPr>
        <w:t xml:space="preserve">2021, </w:t>
      </w:r>
      <w:r w:rsidR="00FD0F75" w:rsidRPr="008A7BD7">
        <w:rPr>
          <w:rFonts w:ascii="Cambria" w:eastAsia="Times New Roman" w:hAnsi="Cambria" w:cs="Arial"/>
          <w:sz w:val="20"/>
          <w:szCs w:val="20"/>
          <w:lang w:eastAsia="es-ES"/>
        </w:rPr>
        <w:t>the Attorney General ordered that any support the FECI needed from the National Civil Police required her direct authorization, which limited immediate and direct access to that institution.</w:t>
      </w:r>
      <w:r w:rsidR="00FA04DB" w:rsidRPr="008A7BD7">
        <w:rPr>
          <w:rFonts w:ascii="Cambria" w:hAnsi="Cambria"/>
          <w:sz w:val="20"/>
          <w:szCs w:val="20"/>
          <w:vertAlign w:val="superscript"/>
          <w:lang w:val="es-ES" w:eastAsia="es-ES"/>
        </w:rPr>
        <w:footnoteReference w:id="32"/>
      </w:r>
      <w:r w:rsidR="00FA04DB" w:rsidRPr="008A7BD7">
        <w:rPr>
          <w:rFonts w:ascii="Cambria" w:eastAsia="Times New Roman" w:hAnsi="Cambria" w:cs="Arial"/>
          <w:sz w:val="20"/>
          <w:szCs w:val="20"/>
          <w:lang w:eastAsia="es-ES"/>
        </w:rPr>
        <w:t xml:space="preserve"> </w:t>
      </w:r>
      <w:r w:rsidR="00FD0F75" w:rsidRPr="008A7BD7">
        <w:rPr>
          <w:rFonts w:ascii="Cambria" w:eastAsia="Times New Roman" w:hAnsi="Cambria" w:cs="Arial"/>
          <w:sz w:val="20"/>
          <w:szCs w:val="20"/>
          <w:lang w:eastAsia="es-ES"/>
        </w:rPr>
        <w:t>On July</w:t>
      </w:r>
      <w:r w:rsidR="00FD0F75" w:rsidRPr="008A7BD7">
        <w:rPr>
          <w:rFonts w:ascii="Cambria" w:eastAsia="Times New Roman" w:hAnsi="Cambria" w:cs="Times New Roman"/>
          <w:sz w:val="20"/>
          <w:szCs w:val="20"/>
          <w:lang w:eastAsia="es-ES"/>
        </w:rPr>
        <w:t xml:space="preserve"> </w:t>
      </w:r>
      <w:r w:rsidR="5AD2E8C6" w:rsidRPr="008A7BD7">
        <w:rPr>
          <w:rFonts w:ascii="Cambria" w:eastAsia="Times New Roman" w:hAnsi="Cambria" w:cs="Times New Roman"/>
          <w:sz w:val="20"/>
          <w:szCs w:val="20"/>
          <w:lang w:eastAsia="es-ES"/>
        </w:rPr>
        <w:t>26</w:t>
      </w:r>
      <w:r w:rsidR="00FD0F75" w:rsidRPr="008A7BD7">
        <w:rPr>
          <w:rFonts w:ascii="Cambria" w:eastAsia="Times New Roman" w:hAnsi="Cambria" w:cs="Times New Roman"/>
          <w:sz w:val="20"/>
          <w:szCs w:val="20"/>
          <w:lang w:eastAsia="es-ES"/>
        </w:rPr>
        <w:t xml:space="preserve">, a </w:t>
      </w:r>
      <w:r w:rsidR="001E7EE0" w:rsidRPr="008A7BD7">
        <w:rPr>
          <w:rFonts w:ascii="Cambria" w:eastAsia="Times New Roman" w:hAnsi="Cambria" w:cs="Times New Roman"/>
          <w:sz w:val="20"/>
          <w:szCs w:val="20"/>
          <w:lang w:eastAsia="es-ES"/>
        </w:rPr>
        <w:t xml:space="preserve">European Union </w:t>
      </w:r>
      <w:r w:rsidR="00FD0F75" w:rsidRPr="008A7BD7">
        <w:rPr>
          <w:rFonts w:ascii="Cambria" w:eastAsia="Times New Roman" w:hAnsi="Cambria" w:cs="Times New Roman"/>
          <w:sz w:val="20"/>
          <w:szCs w:val="20"/>
          <w:lang w:eastAsia="es-ES"/>
        </w:rPr>
        <w:t>spokes</w:t>
      </w:r>
      <w:r w:rsidR="00D37718" w:rsidRPr="008A7BD7">
        <w:rPr>
          <w:rFonts w:ascii="Cambria" w:eastAsia="Times New Roman" w:hAnsi="Cambria" w:cs="Times New Roman"/>
          <w:sz w:val="20"/>
          <w:szCs w:val="20"/>
          <w:lang w:eastAsia="es-ES"/>
        </w:rPr>
        <w:t>person</w:t>
      </w:r>
      <w:r w:rsidR="00FD0F75" w:rsidRPr="008A7BD7">
        <w:rPr>
          <w:rFonts w:ascii="Cambria" w:eastAsia="Times New Roman" w:hAnsi="Cambria" w:cs="Times New Roman"/>
          <w:sz w:val="20"/>
          <w:szCs w:val="20"/>
          <w:lang w:eastAsia="es-ES"/>
        </w:rPr>
        <w:t xml:space="preserve"> </w:t>
      </w:r>
      <w:r w:rsidR="001E7EE0" w:rsidRPr="008A7BD7">
        <w:rPr>
          <w:rFonts w:ascii="Cambria" w:eastAsia="Times New Roman" w:hAnsi="Cambria" w:cs="Times New Roman"/>
          <w:sz w:val="20"/>
          <w:szCs w:val="20"/>
          <w:lang w:eastAsia="es-ES"/>
        </w:rPr>
        <w:t>indicated that the dismissal of the head of the</w:t>
      </w:r>
      <w:r w:rsidR="5AD2E8C6" w:rsidRPr="008A7BD7">
        <w:rPr>
          <w:rFonts w:ascii="Cambria" w:eastAsia="Times New Roman" w:hAnsi="Cambria" w:cs="Times New Roman"/>
          <w:sz w:val="20"/>
          <w:szCs w:val="20"/>
          <w:lang w:eastAsia="es-ES"/>
        </w:rPr>
        <w:t xml:space="preserve"> FECI </w:t>
      </w:r>
      <w:r w:rsidR="001E7EE0" w:rsidRPr="008A7BD7">
        <w:rPr>
          <w:rFonts w:ascii="Cambria" w:eastAsia="Times New Roman" w:hAnsi="Cambria" w:cs="Times New Roman"/>
          <w:sz w:val="20"/>
          <w:szCs w:val="20"/>
          <w:lang w:eastAsia="es-ES"/>
        </w:rPr>
        <w:t>raised</w:t>
      </w:r>
      <w:r w:rsidR="5AD2E8C6" w:rsidRPr="008A7BD7">
        <w:rPr>
          <w:rFonts w:ascii="Cambria" w:eastAsia="Times New Roman" w:hAnsi="Cambria" w:cs="Times New Roman"/>
          <w:sz w:val="20"/>
          <w:szCs w:val="20"/>
          <w:lang w:eastAsia="es-ES"/>
        </w:rPr>
        <w:t xml:space="preserve"> “</w:t>
      </w:r>
      <w:r w:rsidR="001E7EE0" w:rsidRPr="008A7BD7">
        <w:rPr>
          <w:rFonts w:ascii="Cambria" w:eastAsia="Times New Roman" w:hAnsi="Cambria" w:cs="Times New Roman"/>
          <w:sz w:val="20"/>
          <w:szCs w:val="20"/>
          <w:lang w:eastAsia="es-ES"/>
        </w:rPr>
        <w:t xml:space="preserve">serious concerns about </w:t>
      </w:r>
      <w:r w:rsidR="5AD2E8C6" w:rsidRPr="008A7BD7">
        <w:rPr>
          <w:rFonts w:ascii="Cambria" w:eastAsia="Times New Roman" w:hAnsi="Cambria" w:cs="Times New Roman"/>
          <w:sz w:val="20"/>
          <w:szCs w:val="20"/>
          <w:lang w:eastAsia="es-ES"/>
        </w:rPr>
        <w:t>Guatemala</w:t>
      </w:r>
      <w:r w:rsidR="001E7EE0" w:rsidRPr="008A7BD7">
        <w:rPr>
          <w:rFonts w:ascii="Cambria" w:eastAsia="Times New Roman" w:hAnsi="Cambria" w:cs="Times New Roman"/>
          <w:sz w:val="20"/>
          <w:szCs w:val="20"/>
          <w:lang w:eastAsia="es-ES"/>
        </w:rPr>
        <w:t>’s commitment to the rule of law and its efforts to fight corruption.</w:t>
      </w:r>
      <w:r w:rsidR="5AD2E8C6" w:rsidRPr="008A7BD7">
        <w:rPr>
          <w:rFonts w:ascii="Cambria" w:eastAsia="Times New Roman" w:hAnsi="Cambria" w:cs="Times New Roman"/>
          <w:sz w:val="20"/>
          <w:szCs w:val="20"/>
          <w:vertAlign w:val="superscript"/>
          <w:lang w:val="es-ES" w:eastAsia="es-ES"/>
        </w:rPr>
        <w:footnoteReference w:id="33"/>
      </w:r>
      <w:r w:rsidR="5AD2E8C6" w:rsidRPr="008A7BD7">
        <w:rPr>
          <w:rFonts w:ascii="Cambria" w:eastAsia="Times New Roman" w:hAnsi="Cambria" w:cs="Times New Roman"/>
          <w:sz w:val="20"/>
          <w:szCs w:val="20"/>
          <w:lang w:eastAsia="es-ES"/>
        </w:rPr>
        <w:t xml:space="preserve"> </w:t>
      </w:r>
    </w:p>
    <w:p w14:paraId="11CD3379" w14:textId="77777777" w:rsidR="4F54743F" w:rsidRPr="008A7BD7" w:rsidRDefault="4F54743F" w:rsidP="4F54743F">
      <w:pPr>
        <w:ind w:left="720"/>
        <w:jc w:val="both"/>
        <w:rPr>
          <w:rFonts w:ascii="Cambria" w:eastAsia="Calibri" w:hAnsi="Cambria" w:cs="Times New Roman"/>
          <w:sz w:val="20"/>
          <w:szCs w:val="20"/>
        </w:rPr>
      </w:pPr>
    </w:p>
    <w:p w14:paraId="12E8AFAF" w14:textId="317FF266" w:rsidR="00A22445" w:rsidRPr="008A7BD7" w:rsidRDefault="00C945DB" w:rsidP="00BB65D3">
      <w:pPr>
        <w:numPr>
          <w:ilvl w:val="0"/>
          <w:numId w:val="2"/>
        </w:numPr>
        <w:suppressAutoHyphens/>
        <w:ind w:left="0" w:firstLine="720"/>
        <w:jc w:val="both"/>
        <w:rPr>
          <w:rFonts w:ascii="Cambria" w:eastAsia="Times New Roman" w:hAnsi="Cambria" w:cs="Times New Roman"/>
          <w:color w:val="000000" w:themeColor="text1"/>
          <w:sz w:val="20"/>
          <w:szCs w:val="20"/>
          <w:lang w:eastAsia="es-ES"/>
        </w:rPr>
      </w:pPr>
      <w:r w:rsidRPr="008A7BD7">
        <w:rPr>
          <w:rFonts w:ascii="Cambria" w:eastAsia="Times New Roman" w:hAnsi="Cambria" w:cs="Times New Roman"/>
          <w:color w:val="000000" w:themeColor="text1"/>
          <w:sz w:val="20"/>
          <w:szCs w:val="20"/>
          <w:lang w:eastAsia="es-ES"/>
        </w:rPr>
        <w:t xml:space="preserve">On July 27, the U.S. State Department, for its part, </w:t>
      </w:r>
      <w:r w:rsidR="00D21591" w:rsidRPr="008A7BD7">
        <w:rPr>
          <w:rFonts w:ascii="Cambria" w:eastAsia="Times New Roman" w:hAnsi="Cambria" w:cs="Times New Roman"/>
          <w:color w:val="000000" w:themeColor="text1"/>
          <w:sz w:val="20"/>
          <w:szCs w:val="20"/>
          <w:lang w:eastAsia="es-ES"/>
        </w:rPr>
        <w:t>said</w:t>
      </w:r>
      <w:r w:rsidRPr="008A7BD7">
        <w:rPr>
          <w:rFonts w:ascii="Cambria" w:eastAsia="Times New Roman" w:hAnsi="Cambria" w:cs="Times New Roman"/>
          <w:color w:val="000000" w:themeColor="text1"/>
          <w:sz w:val="20"/>
          <w:szCs w:val="20"/>
          <w:lang w:eastAsia="es-ES"/>
        </w:rPr>
        <w:t xml:space="preserve"> that the Attorney General’s decision </w:t>
      </w:r>
      <w:r w:rsidR="001D56C4" w:rsidRPr="008A7BD7">
        <w:rPr>
          <w:rFonts w:ascii="Cambria" w:eastAsia="Times New Roman" w:hAnsi="Cambria" w:cs="Times New Roman"/>
          <w:color w:val="000000" w:themeColor="text1"/>
          <w:sz w:val="20"/>
          <w:szCs w:val="20"/>
          <w:lang w:eastAsia="es-ES"/>
        </w:rPr>
        <w:t xml:space="preserve">fit </w:t>
      </w:r>
      <w:r w:rsidRPr="008A7BD7">
        <w:rPr>
          <w:rFonts w:ascii="Cambria" w:eastAsia="Times New Roman" w:hAnsi="Cambria" w:cs="Times New Roman"/>
          <w:color w:val="000000" w:themeColor="text1"/>
          <w:sz w:val="20"/>
          <w:szCs w:val="20"/>
          <w:lang w:eastAsia="es-ES"/>
        </w:rPr>
        <w:t>“a pattern of behavior that indicates a lack of commitment to the rule of law and independent judicial and prosecutorial processes.</w:t>
      </w:r>
      <w:r w:rsidR="5AD2E8C6" w:rsidRPr="008A7BD7">
        <w:rPr>
          <w:rFonts w:ascii="Cambria" w:eastAsia="Times New Roman" w:hAnsi="Cambria" w:cs="Times New Roman"/>
          <w:color w:val="000000" w:themeColor="text1"/>
          <w:sz w:val="20"/>
          <w:szCs w:val="20"/>
          <w:lang w:eastAsia="es-ES"/>
        </w:rPr>
        <w:t xml:space="preserve">” </w:t>
      </w:r>
      <w:r w:rsidR="001D56C4" w:rsidRPr="008A7BD7">
        <w:rPr>
          <w:rFonts w:ascii="Cambria" w:eastAsia="Times New Roman" w:hAnsi="Cambria" w:cs="Times New Roman"/>
          <w:color w:val="000000" w:themeColor="text1"/>
          <w:sz w:val="20"/>
          <w:szCs w:val="20"/>
          <w:lang w:eastAsia="es-ES"/>
        </w:rPr>
        <w:t>It also announced that the U.S. government was tempor</w:t>
      </w:r>
      <w:r w:rsidR="00D21591" w:rsidRPr="008A7BD7">
        <w:rPr>
          <w:rFonts w:ascii="Cambria" w:eastAsia="Times New Roman" w:hAnsi="Cambria" w:cs="Times New Roman"/>
          <w:color w:val="000000" w:themeColor="text1"/>
          <w:sz w:val="20"/>
          <w:szCs w:val="20"/>
          <w:lang w:eastAsia="es-ES"/>
        </w:rPr>
        <w:t>ar</w:t>
      </w:r>
      <w:r w:rsidR="001D56C4" w:rsidRPr="008A7BD7">
        <w:rPr>
          <w:rFonts w:ascii="Cambria" w:eastAsia="Times New Roman" w:hAnsi="Cambria" w:cs="Times New Roman"/>
          <w:color w:val="000000" w:themeColor="text1"/>
          <w:sz w:val="20"/>
          <w:szCs w:val="20"/>
          <w:lang w:eastAsia="es-ES"/>
        </w:rPr>
        <w:t>ily pausing programmatic cooperation with the Public Ministry.</w:t>
      </w:r>
      <w:r w:rsidR="648B2CCB" w:rsidRPr="008A7BD7">
        <w:rPr>
          <w:rFonts w:ascii="Cambria" w:eastAsia="Times New Roman" w:hAnsi="Cambria" w:cs="Times New Roman"/>
          <w:color w:val="000000" w:themeColor="text1"/>
          <w:sz w:val="20"/>
          <w:szCs w:val="20"/>
          <w:vertAlign w:val="superscript"/>
          <w:lang w:val="es-US" w:eastAsia="es-ES"/>
        </w:rPr>
        <w:footnoteReference w:id="34"/>
      </w:r>
      <w:r w:rsidR="5AD2E8C6" w:rsidRPr="008A7BD7">
        <w:rPr>
          <w:rFonts w:ascii="Cambria" w:eastAsia="Times New Roman" w:hAnsi="Cambria" w:cs="Times New Roman"/>
          <w:color w:val="000000" w:themeColor="text1"/>
          <w:sz w:val="20"/>
          <w:szCs w:val="20"/>
          <w:lang w:eastAsia="es-ES"/>
        </w:rPr>
        <w:t xml:space="preserve"> </w:t>
      </w:r>
      <w:r w:rsidR="00B309CF" w:rsidRPr="008A7BD7">
        <w:rPr>
          <w:rFonts w:ascii="Cambria" w:eastAsia="Times New Roman" w:hAnsi="Cambria" w:cs="Times New Roman"/>
          <w:color w:val="000000" w:themeColor="text1"/>
          <w:sz w:val="20"/>
          <w:szCs w:val="20"/>
          <w:lang w:eastAsia="es-ES"/>
        </w:rPr>
        <w:t>On September</w:t>
      </w:r>
      <w:r w:rsidR="5AD2E8C6" w:rsidRPr="008A7BD7">
        <w:rPr>
          <w:rFonts w:ascii="Cambria" w:eastAsia="Times New Roman" w:hAnsi="Cambria" w:cs="Times New Roman"/>
          <w:color w:val="000000" w:themeColor="text1"/>
          <w:sz w:val="20"/>
          <w:szCs w:val="20"/>
          <w:lang w:eastAsia="es-ES"/>
        </w:rPr>
        <w:t xml:space="preserve"> 20</w:t>
      </w:r>
      <w:r w:rsidR="00B309CF" w:rsidRPr="008A7BD7">
        <w:rPr>
          <w:rFonts w:ascii="Cambria" w:eastAsia="Times New Roman" w:hAnsi="Cambria" w:cs="Times New Roman"/>
          <w:color w:val="000000" w:themeColor="text1"/>
          <w:sz w:val="20"/>
          <w:szCs w:val="20"/>
          <w:lang w:eastAsia="es-ES"/>
        </w:rPr>
        <w:t>, the U.S. Secretary of State</w:t>
      </w:r>
      <w:r w:rsidR="5AD2E8C6" w:rsidRPr="008A7BD7">
        <w:rPr>
          <w:rFonts w:ascii="Cambria" w:eastAsia="Times New Roman" w:hAnsi="Cambria" w:cs="Times New Roman"/>
          <w:color w:val="000000" w:themeColor="text1"/>
          <w:sz w:val="20"/>
          <w:szCs w:val="20"/>
          <w:lang w:eastAsia="es-ES"/>
        </w:rPr>
        <w:t xml:space="preserve"> </w:t>
      </w:r>
      <w:r w:rsidR="00B309CF" w:rsidRPr="008A7BD7">
        <w:rPr>
          <w:rFonts w:ascii="Cambria" w:eastAsia="Times New Roman" w:hAnsi="Cambria" w:cs="Times New Roman"/>
          <w:color w:val="000000" w:themeColor="text1"/>
          <w:sz w:val="20"/>
          <w:szCs w:val="20"/>
          <w:lang w:eastAsia="es-ES"/>
        </w:rPr>
        <w:t xml:space="preserve">said that Attorney General </w:t>
      </w:r>
      <w:r w:rsidR="5AD2E8C6" w:rsidRPr="008A7BD7">
        <w:rPr>
          <w:rFonts w:ascii="Cambria" w:eastAsia="Times New Roman" w:hAnsi="Cambria" w:cs="Noto Serif"/>
          <w:color w:val="000000" w:themeColor="text1"/>
          <w:sz w:val="20"/>
          <w:szCs w:val="20"/>
          <w:lang w:eastAsia="es-ES"/>
        </w:rPr>
        <w:t xml:space="preserve">Consuelo Porras </w:t>
      </w:r>
      <w:r w:rsidR="00B309CF" w:rsidRPr="008A7BD7">
        <w:rPr>
          <w:rFonts w:ascii="Cambria" w:eastAsia="Times New Roman" w:hAnsi="Cambria" w:cs="Noto Serif"/>
          <w:color w:val="000000" w:themeColor="text1"/>
          <w:sz w:val="20"/>
          <w:szCs w:val="20"/>
          <w:lang w:eastAsia="es-ES"/>
        </w:rPr>
        <w:t>and her Secretary General</w:t>
      </w:r>
      <w:r w:rsidR="5AD2E8C6" w:rsidRPr="008A7BD7">
        <w:rPr>
          <w:rFonts w:ascii="Cambria" w:eastAsia="Times New Roman" w:hAnsi="Cambria" w:cs="Noto Serif"/>
          <w:color w:val="000000" w:themeColor="text1"/>
          <w:sz w:val="20"/>
          <w:szCs w:val="20"/>
          <w:lang w:eastAsia="es-ES"/>
        </w:rPr>
        <w:t xml:space="preserve">, </w:t>
      </w:r>
      <w:proofErr w:type="spellStart"/>
      <w:r w:rsidR="5AD2E8C6" w:rsidRPr="008A7BD7">
        <w:rPr>
          <w:rFonts w:ascii="Cambria" w:eastAsia="Times New Roman" w:hAnsi="Cambria" w:cs="Noto Serif"/>
          <w:color w:val="000000" w:themeColor="text1"/>
          <w:sz w:val="20"/>
          <w:szCs w:val="20"/>
          <w:lang w:eastAsia="es-ES"/>
        </w:rPr>
        <w:t>Ángel</w:t>
      </w:r>
      <w:proofErr w:type="spellEnd"/>
      <w:r w:rsidR="5AD2E8C6" w:rsidRPr="008A7BD7">
        <w:rPr>
          <w:rFonts w:ascii="Cambria" w:eastAsia="Times New Roman" w:hAnsi="Cambria" w:cs="Noto Serif"/>
          <w:color w:val="000000" w:themeColor="text1"/>
          <w:sz w:val="20"/>
          <w:szCs w:val="20"/>
          <w:lang w:eastAsia="es-ES"/>
        </w:rPr>
        <w:t xml:space="preserve"> Pineda</w:t>
      </w:r>
      <w:r w:rsidR="00B309CF" w:rsidRPr="008A7BD7">
        <w:rPr>
          <w:rFonts w:ascii="Cambria" w:eastAsia="Times New Roman" w:hAnsi="Cambria" w:cs="Noto Serif"/>
          <w:color w:val="000000" w:themeColor="text1"/>
          <w:sz w:val="20"/>
          <w:szCs w:val="20"/>
          <w:lang w:eastAsia="es-ES"/>
        </w:rPr>
        <w:t>, had been added to the list of Undemocratic and Corrupt Actors,</w:t>
      </w:r>
      <w:r w:rsidR="001D121A" w:rsidRPr="008A7BD7">
        <w:rPr>
          <w:rFonts w:ascii="Cambria" w:eastAsia="Times New Roman" w:hAnsi="Cambria" w:cs="Noto Serif"/>
          <w:color w:val="000000" w:themeColor="text1"/>
          <w:sz w:val="20"/>
          <w:szCs w:val="20"/>
          <w:lang w:eastAsia="es-ES"/>
        </w:rPr>
        <w:t xml:space="preserve"> </w:t>
      </w:r>
      <w:r w:rsidR="00B309CF" w:rsidRPr="008A7BD7">
        <w:rPr>
          <w:rFonts w:ascii="Cambria" w:eastAsia="Times New Roman" w:hAnsi="Cambria" w:cs="Noto Serif"/>
          <w:color w:val="000000" w:themeColor="text1"/>
          <w:sz w:val="20"/>
          <w:szCs w:val="20"/>
          <w:lang w:eastAsia="es-ES"/>
        </w:rPr>
        <w:t>known as the Engel List.</w:t>
      </w:r>
      <w:r w:rsidR="648B2CCB" w:rsidRPr="008A7BD7">
        <w:rPr>
          <w:rFonts w:ascii="Cambria" w:eastAsia="Times New Roman" w:hAnsi="Cambria" w:cs="Noto Serif"/>
          <w:color w:val="000000" w:themeColor="text1"/>
          <w:sz w:val="20"/>
          <w:szCs w:val="20"/>
          <w:vertAlign w:val="superscript"/>
          <w:lang w:val="es-US" w:eastAsia="es-ES"/>
        </w:rPr>
        <w:footnoteReference w:id="35"/>
      </w:r>
      <w:r w:rsidR="5AD2E8C6" w:rsidRPr="008A7BD7">
        <w:rPr>
          <w:rFonts w:ascii="Cambria" w:eastAsia="Times New Roman" w:hAnsi="Cambria" w:cs="Noto Serif"/>
          <w:color w:val="000000" w:themeColor="text1"/>
          <w:sz w:val="20"/>
          <w:szCs w:val="20"/>
          <w:lang w:eastAsia="es-ES"/>
        </w:rPr>
        <w:t xml:space="preserve"> </w:t>
      </w:r>
      <w:r w:rsidR="001D121A" w:rsidRPr="008A7BD7">
        <w:rPr>
          <w:rFonts w:ascii="Cambria" w:eastAsia="Times New Roman" w:hAnsi="Cambria" w:cs="Noto Serif"/>
          <w:color w:val="000000" w:themeColor="text1"/>
          <w:sz w:val="20"/>
          <w:szCs w:val="20"/>
          <w:lang w:eastAsia="es-ES"/>
        </w:rPr>
        <w:t xml:space="preserve">In his statement, he indicated that the current </w:t>
      </w:r>
      <w:r w:rsidR="00737459" w:rsidRPr="008A7BD7">
        <w:rPr>
          <w:rFonts w:ascii="Cambria" w:eastAsia="Times New Roman" w:hAnsi="Cambria" w:cs="Noto Serif"/>
          <w:color w:val="000000" w:themeColor="text1"/>
          <w:sz w:val="20"/>
          <w:szCs w:val="20"/>
          <w:lang w:eastAsia="es-ES"/>
        </w:rPr>
        <w:t xml:space="preserve">Guatemalan </w:t>
      </w:r>
      <w:r w:rsidR="001D121A" w:rsidRPr="008A7BD7">
        <w:rPr>
          <w:rFonts w:ascii="Cambria" w:eastAsia="Times New Roman" w:hAnsi="Cambria" w:cs="Noto Serif"/>
          <w:color w:val="000000" w:themeColor="text1"/>
          <w:sz w:val="20"/>
          <w:szCs w:val="20"/>
          <w:lang w:eastAsia="es-ES"/>
        </w:rPr>
        <w:t>Attorney General had ignored cases based on political considerations</w:t>
      </w:r>
      <w:r w:rsidR="5AD2E8C6" w:rsidRPr="008A7BD7">
        <w:rPr>
          <w:rFonts w:ascii="Cambria" w:eastAsia="Times New Roman" w:hAnsi="Cambria" w:cs="Noto Serif"/>
          <w:color w:val="000000" w:themeColor="text1"/>
          <w:sz w:val="20"/>
          <w:szCs w:val="20"/>
          <w:lang w:eastAsia="es-ES"/>
        </w:rPr>
        <w:t xml:space="preserve"> </w:t>
      </w:r>
      <w:r w:rsidR="001D121A" w:rsidRPr="008A7BD7">
        <w:rPr>
          <w:rFonts w:ascii="Cambria" w:eastAsia="Times New Roman" w:hAnsi="Cambria" w:cs="Noto Serif"/>
          <w:color w:val="000000" w:themeColor="text1"/>
          <w:sz w:val="20"/>
          <w:szCs w:val="20"/>
          <w:lang w:eastAsia="es-ES"/>
        </w:rPr>
        <w:t>and actively undermined investigation</w:t>
      </w:r>
      <w:r w:rsidR="006B4A92" w:rsidRPr="008A7BD7">
        <w:rPr>
          <w:rFonts w:ascii="Cambria" w:eastAsia="Times New Roman" w:hAnsi="Cambria" w:cs="Noto Serif"/>
          <w:color w:val="000000" w:themeColor="text1"/>
          <w:sz w:val="20"/>
          <w:szCs w:val="20"/>
          <w:lang w:eastAsia="es-ES"/>
        </w:rPr>
        <w:t>s</w:t>
      </w:r>
      <w:r w:rsidR="001D121A" w:rsidRPr="008A7BD7">
        <w:rPr>
          <w:rFonts w:ascii="Cambria" w:eastAsia="Times New Roman" w:hAnsi="Cambria" w:cs="Noto Serif"/>
          <w:color w:val="000000" w:themeColor="text1"/>
          <w:sz w:val="20"/>
          <w:szCs w:val="20"/>
          <w:lang w:eastAsia="es-ES"/>
        </w:rPr>
        <w:t xml:space="preserve"> carried out by the </w:t>
      </w:r>
      <w:r w:rsidR="5AD2E8C6" w:rsidRPr="008A7BD7">
        <w:rPr>
          <w:rFonts w:ascii="Cambria" w:eastAsia="Times New Roman" w:hAnsi="Cambria" w:cs="Noto Serif"/>
          <w:color w:val="000000" w:themeColor="text1"/>
          <w:sz w:val="20"/>
          <w:szCs w:val="20"/>
          <w:lang w:eastAsia="es-ES"/>
        </w:rPr>
        <w:t>FECI,</w:t>
      </w:r>
      <w:r w:rsidR="006B4A92" w:rsidRPr="008A7BD7">
        <w:rPr>
          <w:rFonts w:ascii="Cambria" w:eastAsia="Times New Roman" w:hAnsi="Cambria" w:cs="Noto Serif"/>
          <w:color w:val="000000" w:themeColor="text1"/>
          <w:sz w:val="20"/>
          <w:szCs w:val="20"/>
          <w:lang w:eastAsia="es-ES"/>
        </w:rPr>
        <w:t xml:space="preserve"> including by firing its lead prosecutor</w:t>
      </w:r>
      <w:r w:rsidR="5AD2E8C6" w:rsidRPr="008A7BD7">
        <w:rPr>
          <w:rFonts w:ascii="Cambria" w:eastAsia="Times New Roman" w:hAnsi="Cambria" w:cs="Noto Serif"/>
          <w:color w:val="000000" w:themeColor="text1"/>
          <w:sz w:val="20"/>
          <w:szCs w:val="20"/>
          <w:lang w:eastAsia="es-ES"/>
        </w:rPr>
        <w:t xml:space="preserve">, Juan Francisco Sandoval. </w:t>
      </w:r>
      <w:r w:rsidR="006B4A92" w:rsidRPr="008A7BD7">
        <w:rPr>
          <w:rFonts w:ascii="Cambria" w:eastAsia="Times New Roman" w:hAnsi="Cambria" w:cs="Noto Serif"/>
          <w:color w:val="000000" w:themeColor="text1"/>
          <w:sz w:val="20"/>
          <w:szCs w:val="20"/>
          <w:lang w:eastAsia="es-ES"/>
        </w:rPr>
        <w:t xml:space="preserve">Previously, on July </w:t>
      </w:r>
      <w:r w:rsidR="5AD2E8C6" w:rsidRPr="008A7BD7">
        <w:rPr>
          <w:rFonts w:ascii="Cambria" w:eastAsia="Times New Roman" w:hAnsi="Cambria" w:cs="Noto Serif"/>
          <w:color w:val="000000" w:themeColor="text1"/>
          <w:sz w:val="20"/>
          <w:szCs w:val="20"/>
          <w:lang w:eastAsia="es-ES"/>
        </w:rPr>
        <w:t>1</w:t>
      </w:r>
      <w:r w:rsidR="006B4A92" w:rsidRPr="008A7BD7">
        <w:rPr>
          <w:rFonts w:ascii="Cambria" w:eastAsia="Times New Roman" w:hAnsi="Cambria" w:cs="Noto Serif"/>
          <w:color w:val="000000" w:themeColor="text1"/>
          <w:sz w:val="20"/>
          <w:szCs w:val="20"/>
          <w:lang w:eastAsia="es-ES"/>
        </w:rPr>
        <w:t xml:space="preserve">, </w:t>
      </w:r>
      <w:r w:rsidR="5AD2E8C6" w:rsidRPr="008A7BD7">
        <w:rPr>
          <w:rFonts w:ascii="Cambria" w:eastAsia="Times New Roman" w:hAnsi="Cambria" w:cs="Noto Serif"/>
          <w:color w:val="000000" w:themeColor="text1"/>
          <w:sz w:val="20"/>
          <w:szCs w:val="20"/>
          <w:lang w:eastAsia="es-ES"/>
        </w:rPr>
        <w:t xml:space="preserve">2021, </w:t>
      </w:r>
      <w:r w:rsidR="006B4A92" w:rsidRPr="008A7BD7">
        <w:rPr>
          <w:rFonts w:ascii="Cambria" w:eastAsia="Times New Roman" w:hAnsi="Cambria" w:cs="Noto Serif"/>
          <w:color w:val="000000" w:themeColor="text1"/>
          <w:sz w:val="20"/>
          <w:szCs w:val="20"/>
          <w:lang w:eastAsia="es-ES"/>
        </w:rPr>
        <w:t xml:space="preserve">the State Department had included 18 current and former Guatemalan officials, including </w:t>
      </w:r>
      <w:r w:rsidR="00CC4E1E" w:rsidRPr="008A7BD7">
        <w:rPr>
          <w:rFonts w:ascii="Cambria" w:eastAsia="Times New Roman" w:hAnsi="Cambria" w:cs="Noto Serif"/>
          <w:color w:val="000000" w:themeColor="text1"/>
          <w:sz w:val="20"/>
          <w:szCs w:val="20"/>
          <w:lang w:eastAsia="es-ES"/>
        </w:rPr>
        <w:t>Judge</w:t>
      </w:r>
      <w:r w:rsidR="006B4A92" w:rsidRPr="008A7BD7">
        <w:rPr>
          <w:rFonts w:ascii="Cambria" w:eastAsia="Times New Roman" w:hAnsi="Cambria" w:cs="Noto Serif"/>
          <w:color w:val="000000" w:themeColor="text1"/>
          <w:sz w:val="20"/>
          <w:szCs w:val="20"/>
          <w:lang w:eastAsia="es-ES"/>
        </w:rPr>
        <w:t xml:space="preserve"> </w:t>
      </w:r>
      <w:proofErr w:type="spellStart"/>
      <w:r w:rsidR="5AD2E8C6" w:rsidRPr="008A7BD7">
        <w:rPr>
          <w:rFonts w:ascii="Cambria" w:eastAsia="Times New Roman" w:hAnsi="Cambria" w:cs="Noto Serif"/>
          <w:color w:val="000000" w:themeColor="text1"/>
          <w:sz w:val="20"/>
          <w:szCs w:val="20"/>
          <w:lang w:eastAsia="es-ES"/>
        </w:rPr>
        <w:t>Néster</w:t>
      </w:r>
      <w:proofErr w:type="spellEnd"/>
      <w:r w:rsidR="5AD2E8C6" w:rsidRPr="008A7BD7">
        <w:rPr>
          <w:rFonts w:ascii="Cambria" w:eastAsia="Times New Roman" w:hAnsi="Cambria" w:cs="Noto Serif"/>
          <w:color w:val="000000" w:themeColor="text1"/>
          <w:sz w:val="20"/>
          <w:szCs w:val="20"/>
          <w:lang w:eastAsia="es-ES"/>
        </w:rPr>
        <w:t xml:space="preserve"> </w:t>
      </w:r>
      <w:proofErr w:type="spellStart"/>
      <w:r w:rsidR="5AD2E8C6" w:rsidRPr="008A7BD7">
        <w:rPr>
          <w:rFonts w:ascii="Cambria" w:eastAsia="Times New Roman" w:hAnsi="Cambria" w:cs="Noto Serif"/>
          <w:color w:val="000000" w:themeColor="text1"/>
          <w:sz w:val="20"/>
          <w:szCs w:val="20"/>
          <w:lang w:eastAsia="es-ES"/>
        </w:rPr>
        <w:t>Váquez</w:t>
      </w:r>
      <w:proofErr w:type="spellEnd"/>
      <w:r w:rsidR="5AD2E8C6" w:rsidRPr="008A7BD7">
        <w:rPr>
          <w:rFonts w:ascii="Cambria" w:eastAsia="Times New Roman" w:hAnsi="Cambria" w:cs="Noto Serif"/>
          <w:color w:val="000000" w:themeColor="text1"/>
          <w:sz w:val="20"/>
          <w:szCs w:val="20"/>
          <w:lang w:eastAsia="es-ES"/>
        </w:rPr>
        <w:t xml:space="preserve"> Pimentel</w:t>
      </w:r>
      <w:r w:rsidR="006B4A92" w:rsidRPr="008A7BD7">
        <w:rPr>
          <w:rFonts w:ascii="Cambria" w:eastAsia="Times New Roman" w:hAnsi="Cambria" w:cs="Noto Serif"/>
          <w:color w:val="000000" w:themeColor="text1"/>
          <w:sz w:val="20"/>
          <w:szCs w:val="20"/>
          <w:lang w:eastAsia="es-ES"/>
        </w:rPr>
        <w:t xml:space="preserve"> of the Constitutional Court and Justice </w:t>
      </w:r>
      <w:r w:rsidR="5AD2E8C6" w:rsidRPr="008A7BD7">
        <w:rPr>
          <w:rFonts w:ascii="Cambria" w:eastAsia="Times New Roman" w:hAnsi="Cambria" w:cs="Noto Serif"/>
          <w:color w:val="000000" w:themeColor="text1"/>
          <w:sz w:val="20"/>
          <w:szCs w:val="20"/>
          <w:lang w:eastAsia="es-ES"/>
        </w:rPr>
        <w:t>Manuel Duarte Barrera</w:t>
      </w:r>
      <w:r w:rsidR="006B4A92" w:rsidRPr="008A7BD7">
        <w:rPr>
          <w:rFonts w:ascii="Cambria" w:eastAsia="Times New Roman" w:hAnsi="Cambria" w:cs="Noto Serif"/>
          <w:color w:val="000000" w:themeColor="text1"/>
          <w:sz w:val="20"/>
          <w:szCs w:val="20"/>
          <w:lang w:eastAsia="es-ES"/>
        </w:rPr>
        <w:t xml:space="preserve"> of the Supreme Court, for allegedly manipulating the appointment of judges</w:t>
      </w:r>
      <w:r w:rsidR="00A660A2" w:rsidRPr="008A7BD7">
        <w:rPr>
          <w:rFonts w:ascii="Cambria" w:eastAsia="Times New Roman" w:hAnsi="Cambria" w:cs="Noto Serif"/>
          <w:color w:val="000000" w:themeColor="text1"/>
          <w:sz w:val="20"/>
          <w:szCs w:val="20"/>
          <w:lang w:eastAsia="es-ES"/>
        </w:rPr>
        <w:t>.</w:t>
      </w:r>
      <w:r w:rsidR="648B2CCB" w:rsidRPr="008A7BD7">
        <w:rPr>
          <w:rFonts w:ascii="Cambria" w:eastAsia="Times New Roman" w:hAnsi="Cambria" w:cs="Noto Serif"/>
          <w:color w:val="000000" w:themeColor="text1"/>
          <w:sz w:val="20"/>
          <w:szCs w:val="20"/>
          <w:vertAlign w:val="superscript"/>
          <w:lang w:val="es-US" w:eastAsia="es-ES"/>
        </w:rPr>
        <w:footnoteReference w:id="36"/>
      </w:r>
      <w:r w:rsidR="5AD2E8C6" w:rsidRPr="008A7BD7">
        <w:rPr>
          <w:rFonts w:ascii="Cambria" w:eastAsia="Times New Roman" w:hAnsi="Cambria" w:cs="Noto Serif"/>
          <w:color w:val="000000" w:themeColor="text1"/>
          <w:sz w:val="20"/>
          <w:szCs w:val="20"/>
          <w:lang w:eastAsia="es-ES"/>
        </w:rPr>
        <w:t xml:space="preserve"> </w:t>
      </w:r>
    </w:p>
    <w:p w14:paraId="72F77C60" w14:textId="77777777" w:rsidR="00A22445" w:rsidRPr="008A7BD7" w:rsidRDefault="00A22445" w:rsidP="00A22445">
      <w:pPr>
        <w:suppressAutoHyphens/>
        <w:ind w:left="720"/>
        <w:jc w:val="both"/>
        <w:rPr>
          <w:rFonts w:ascii="Cambria" w:eastAsia="Times New Roman" w:hAnsi="Cambria" w:cs="Times New Roman"/>
          <w:color w:val="000000" w:themeColor="text1"/>
          <w:sz w:val="20"/>
          <w:szCs w:val="20"/>
          <w:lang w:eastAsia="es-ES"/>
        </w:rPr>
      </w:pPr>
    </w:p>
    <w:p w14:paraId="6DBAA4BE" w14:textId="505AF4CB" w:rsidR="4C140892" w:rsidRPr="008A7BD7" w:rsidRDefault="00325AF1" w:rsidP="00BB65D3">
      <w:pPr>
        <w:numPr>
          <w:ilvl w:val="0"/>
          <w:numId w:val="2"/>
        </w:numPr>
        <w:suppressAutoHyphens/>
        <w:ind w:left="0" w:firstLine="720"/>
        <w:jc w:val="both"/>
        <w:rPr>
          <w:rFonts w:ascii="Cambria" w:eastAsia="Times New Roman" w:hAnsi="Cambria" w:cs="Times New Roman"/>
          <w:color w:val="000000" w:themeColor="text1"/>
          <w:sz w:val="20"/>
          <w:szCs w:val="20"/>
          <w:lang w:eastAsia="es-ES"/>
        </w:rPr>
      </w:pPr>
      <w:r w:rsidRPr="008A7BD7">
        <w:rPr>
          <w:rFonts w:ascii="Cambria" w:eastAsia="Times New Roman" w:hAnsi="Cambria" w:cs="Times New Roman"/>
          <w:sz w:val="20"/>
          <w:szCs w:val="20"/>
          <w:lang w:eastAsia="es-ES"/>
        </w:rPr>
        <w:t xml:space="preserve">In response to the dismissal of the Special Prosecutor and the revelation of possible acts of corruption by high-level government officials, indigenous </w:t>
      </w:r>
      <w:proofErr w:type="gramStart"/>
      <w:r w:rsidRPr="008A7BD7">
        <w:rPr>
          <w:rFonts w:ascii="Cambria" w:eastAsia="Times New Roman" w:hAnsi="Cambria" w:cs="Times New Roman"/>
          <w:sz w:val="20"/>
          <w:szCs w:val="20"/>
          <w:lang w:eastAsia="es-ES"/>
        </w:rPr>
        <w:t>peoples</w:t>
      </w:r>
      <w:proofErr w:type="gramEnd"/>
      <w:r w:rsidRPr="008A7BD7">
        <w:rPr>
          <w:rFonts w:ascii="Cambria" w:eastAsia="Times New Roman" w:hAnsi="Cambria" w:cs="Times New Roman"/>
          <w:sz w:val="20"/>
          <w:szCs w:val="20"/>
          <w:lang w:eastAsia="es-ES"/>
        </w:rPr>
        <w:t xml:space="preserve"> and organizations of campesinos, women, feminists, students, and others engaged in demonstrations and peaceful protest</w:t>
      </w:r>
      <w:r w:rsidR="00EE48A3" w:rsidRPr="008A7BD7">
        <w:rPr>
          <w:rFonts w:ascii="Cambria" w:eastAsia="Times New Roman" w:hAnsi="Cambria" w:cs="Times New Roman"/>
          <w:sz w:val="20"/>
          <w:szCs w:val="20"/>
          <w:lang w:eastAsia="es-ES"/>
        </w:rPr>
        <w:t>s</w:t>
      </w:r>
      <w:r w:rsidRPr="008A7BD7">
        <w:rPr>
          <w:rFonts w:ascii="Cambria" w:eastAsia="Times New Roman" w:hAnsi="Cambria" w:cs="Times New Roman"/>
          <w:sz w:val="20"/>
          <w:szCs w:val="20"/>
          <w:lang w:eastAsia="es-ES"/>
        </w:rPr>
        <w:t xml:space="preserve"> expressing their support of the </w:t>
      </w:r>
      <w:r w:rsidR="5AD2E8C6" w:rsidRPr="008A7BD7">
        <w:rPr>
          <w:rFonts w:ascii="Cambria" w:eastAsia="Times New Roman" w:hAnsi="Cambria" w:cs="Times New Roman"/>
          <w:sz w:val="20"/>
          <w:szCs w:val="20"/>
          <w:lang w:eastAsia="es-ES"/>
        </w:rPr>
        <w:t xml:space="preserve">FECI </w:t>
      </w:r>
      <w:r w:rsidRPr="008A7BD7">
        <w:rPr>
          <w:rFonts w:ascii="Cambria" w:eastAsia="Times New Roman" w:hAnsi="Cambria" w:cs="Times New Roman"/>
          <w:sz w:val="20"/>
          <w:szCs w:val="20"/>
          <w:lang w:eastAsia="es-ES"/>
        </w:rPr>
        <w:t xml:space="preserve">and </w:t>
      </w:r>
      <w:r w:rsidR="008D0843" w:rsidRPr="008A7BD7">
        <w:rPr>
          <w:rFonts w:ascii="Cambria" w:eastAsia="Times New Roman" w:hAnsi="Cambria" w:cs="Times New Roman"/>
          <w:sz w:val="20"/>
          <w:szCs w:val="20"/>
          <w:lang w:eastAsia="es-ES"/>
        </w:rPr>
        <w:t>calling for the President of the Republic and the Attorney General to resign</w:t>
      </w:r>
      <w:r w:rsidR="5AD2E8C6" w:rsidRPr="008A7BD7">
        <w:rPr>
          <w:rFonts w:ascii="Cambria" w:eastAsia="Times New Roman" w:hAnsi="Cambria" w:cs="Times New Roman"/>
          <w:sz w:val="20"/>
          <w:szCs w:val="20"/>
          <w:lang w:eastAsia="es-ES"/>
        </w:rPr>
        <w:t xml:space="preserve">. </w:t>
      </w:r>
      <w:r w:rsidR="002E5DC7" w:rsidRPr="008A7BD7">
        <w:rPr>
          <w:rFonts w:ascii="Cambria" w:eastAsia="Times New Roman" w:hAnsi="Cambria" w:cs="Times New Roman"/>
          <w:sz w:val="20"/>
          <w:szCs w:val="20"/>
          <w:lang w:eastAsia="es-ES"/>
        </w:rPr>
        <w:t xml:space="preserve">Added to these demands were complaints related to poor management of the </w:t>
      </w:r>
      <w:r w:rsidR="5AD2E8C6" w:rsidRPr="008A7BD7">
        <w:rPr>
          <w:rFonts w:ascii="Cambria" w:eastAsia="Times New Roman" w:hAnsi="Cambria" w:cs="Times New Roman"/>
          <w:sz w:val="20"/>
          <w:szCs w:val="20"/>
          <w:lang w:eastAsia="es-ES"/>
        </w:rPr>
        <w:t xml:space="preserve">COVID-19 </w:t>
      </w:r>
      <w:r w:rsidR="002E5DC7" w:rsidRPr="008A7BD7">
        <w:rPr>
          <w:rFonts w:ascii="Cambria" w:eastAsia="Times New Roman" w:hAnsi="Cambria" w:cs="Times New Roman"/>
          <w:sz w:val="20"/>
          <w:szCs w:val="20"/>
          <w:lang w:eastAsia="es-ES"/>
        </w:rPr>
        <w:t>pandemic and reported irregularities in the vaccination process</w:t>
      </w:r>
      <w:r w:rsidR="5AD2E8C6" w:rsidRPr="008A7BD7">
        <w:rPr>
          <w:rFonts w:ascii="Cambria" w:eastAsia="Times New Roman" w:hAnsi="Cambria" w:cs="Times New Roman"/>
          <w:sz w:val="20"/>
          <w:szCs w:val="20"/>
          <w:lang w:eastAsia="es-ES"/>
        </w:rPr>
        <w:t>.</w:t>
      </w:r>
      <w:r w:rsidR="002E5DC7" w:rsidRPr="008A7BD7">
        <w:rPr>
          <w:rFonts w:ascii="Cambria" w:eastAsia="Times New Roman" w:hAnsi="Cambria" w:cs="Times New Roman"/>
          <w:sz w:val="20"/>
          <w:szCs w:val="20"/>
          <w:lang w:eastAsia="es-ES"/>
        </w:rPr>
        <w:t xml:space="preserve"> The IACHR notes that these protests reportedly went on for more than eight days; </w:t>
      </w:r>
      <w:r w:rsidR="00EE48A3" w:rsidRPr="008A7BD7">
        <w:rPr>
          <w:rFonts w:ascii="Cambria" w:eastAsia="Times New Roman" w:hAnsi="Cambria" w:cs="Times New Roman"/>
          <w:sz w:val="20"/>
          <w:szCs w:val="20"/>
          <w:lang w:eastAsia="es-ES"/>
        </w:rPr>
        <w:t>in addition</w:t>
      </w:r>
      <w:r w:rsidR="002E5DC7" w:rsidRPr="008A7BD7">
        <w:rPr>
          <w:rFonts w:ascii="Cambria" w:eastAsia="Times New Roman" w:hAnsi="Cambria" w:cs="Times New Roman"/>
          <w:sz w:val="20"/>
          <w:szCs w:val="20"/>
          <w:lang w:eastAsia="es-ES"/>
        </w:rPr>
        <w:t>, there was said to be</w:t>
      </w:r>
      <w:r w:rsidR="5AD2E8C6" w:rsidRPr="008A7BD7">
        <w:rPr>
          <w:rFonts w:ascii="Cambria" w:eastAsia="Times New Roman" w:hAnsi="Cambria" w:cs="Times New Roman"/>
          <w:sz w:val="20"/>
          <w:szCs w:val="20"/>
          <w:lang w:eastAsia="es-ES"/>
        </w:rPr>
        <w:t xml:space="preserve"> </w:t>
      </w:r>
      <w:r w:rsidR="00FE29B2" w:rsidRPr="008A7BD7">
        <w:rPr>
          <w:rFonts w:ascii="Cambria" w:eastAsia="Times New Roman" w:hAnsi="Cambria" w:cs="Times New Roman"/>
          <w:sz w:val="20"/>
          <w:szCs w:val="20"/>
          <w:lang w:eastAsia="es-ES"/>
        </w:rPr>
        <w:t>increased</w:t>
      </w:r>
      <w:r w:rsidR="002E5DC7" w:rsidRPr="008A7BD7">
        <w:rPr>
          <w:rFonts w:ascii="Cambria" w:eastAsia="Times New Roman" w:hAnsi="Cambria" w:cs="Times New Roman"/>
          <w:sz w:val="20"/>
          <w:szCs w:val="20"/>
          <w:lang w:eastAsia="es-ES"/>
        </w:rPr>
        <w:t xml:space="preserve"> mobilization and social tension around the defense of democratic institutions and the fight against corruption.</w:t>
      </w:r>
      <w:r w:rsidR="4C140892" w:rsidRPr="008A7BD7">
        <w:rPr>
          <w:rFonts w:ascii="Cambria" w:hAnsi="Cambria"/>
          <w:vertAlign w:val="superscript"/>
          <w:lang w:val="es-US" w:eastAsia="es-ES"/>
        </w:rPr>
        <w:footnoteReference w:id="37"/>
      </w:r>
    </w:p>
    <w:p w14:paraId="724371C7" w14:textId="77777777" w:rsidR="4F54743F" w:rsidRPr="008A7BD7" w:rsidRDefault="4F54743F" w:rsidP="4F54743F">
      <w:pPr>
        <w:jc w:val="both"/>
        <w:rPr>
          <w:rFonts w:ascii="Cambria" w:eastAsia="Times New Roman" w:hAnsi="Cambria" w:cs="Times New Roman"/>
          <w:sz w:val="20"/>
          <w:szCs w:val="20"/>
          <w:lang w:eastAsia="es-ES"/>
        </w:rPr>
      </w:pPr>
    </w:p>
    <w:p w14:paraId="2B2F2989" w14:textId="3EB6FF14" w:rsidR="5AD2E8C6" w:rsidRPr="008A7BD7" w:rsidRDefault="00E76C93" w:rsidP="00BB65D3">
      <w:pPr>
        <w:numPr>
          <w:ilvl w:val="0"/>
          <w:numId w:val="2"/>
        </w:numPr>
        <w:suppressAutoHyphens/>
        <w:ind w:left="0" w:firstLine="720"/>
        <w:jc w:val="both"/>
        <w:rPr>
          <w:rFonts w:ascii="Cambria" w:eastAsia="Times New Roman" w:hAnsi="Cambria" w:cs="Times New Roman"/>
          <w:color w:val="000000" w:themeColor="text1"/>
          <w:sz w:val="20"/>
          <w:szCs w:val="20"/>
          <w:lang w:eastAsia="es-ES"/>
        </w:rPr>
      </w:pPr>
      <w:r w:rsidRPr="008A7BD7">
        <w:rPr>
          <w:rFonts w:ascii="Cambria" w:eastAsia="Times New Roman" w:hAnsi="Cambria" w:cs="Times New Roman"/>
          <w:color w:val="000000" w:themeColor="text1"/>
          <w:sz w:val="20"/>
          <w:szCs w:val="20"/>
          <w:lang w:eastAsia="es-ES"/>
        </w:rPr>
        <w:t xml:space="preserve">The IACHR notes with concern that the dismissal of </w:t>
      </w:r>
      <w:r w:rsidR="5AD2E8C6" w:rsidRPr="008A7BD7">
        <w:rPr>
          <w:rFonts w:ascii="Cambria" w:eastAsia="Times New Roman" w:hAnsi="Cambria" w:cs="Times New Roman"/>
          <w:color w:val="000000" w:themeColor="text1"/>
          <w:sz w:val="20"/>
          <w:szCs w:val="20"/>
          <w:lang w:eastAsia="es-ES"/>
        </w:rPr>
        <w:t>Juan Francisco Sandoval</w:t>
      </w:r>
      <w:r w:rsidRPr="008A7BD7">
        <w:rPr>
          <w:rFonts w:ascii="Cambria" w:eastAsia="Times New Roman" w:hAnsi="Cambria" w:cs="Times New Roman"/>
          <w:color w:val="000000" w:themeColor="text1"/>
          <w:sz w:val="20"/>
          <w:szCs w:val="20"/>
          <w:lang w:eastAsia="es-ES"/>
        </w:rPr>
        <w:t xml:space="preserve">, the head of the </w:t>
      </w:r>
      <w:r w:rsidR="5AD2E8C6" w:rsidRPr="008A7BD7">
        <w:rPr>
          <w:rFonts w:ascii="Cambria" w:eastAsia="Times New Roman" w:hAnsi="Cambria" w:cs="Times New Roman"/>
          <w:color w:val="000000" w:themeColor="text1"/>
          <w:sz w:val="20"/>
          <w:szCs w:val="20"/>
          <w:lang w:eastAsia="es-ES"/>
        </w:rPr>
        <w:t xml:space="preserve">FECI, </w:t>
      </w:r>
      <w:r w:rsidRPr="008A7BD7">
        <w:rPr>
          <w:rFonts w:ascii="Cambria" w:eastAsia="Times New Roman" w:hAnsi="Cambria" w:cs="Times New Roman"/>
          <w:color w:val="000000" w:themeColor="text1"/>
          <w:sz w:val="20"/>
          <w:szCs w:val="20"/>
          <w:lang w:eastAsia="es-ES"/>
        </w:rPr>
        <w:t xml:space="preserve">as well as the series of actions intended to weaken the </w:t>
      </w:r>
      <w:r w:rsidR="005B47D9" w:rsidRPr="008A7BD7">
        <w:rPr>
          <w:rFonts w:ascii="Cambria" w:eastAsia="Times New Roman" w:hAnsi="Cambria" w:cs="Times New Roman"/>
          <w:color w:val="000000" w:themeColor="text1"/>
          <w:sz w:val="20"/>
          <w:szCs w:val="20"/>
          <w:lang w:eastAsia="es-ES"/>
        </w:rPr>
        <w:t>p</w:t>
      </w:r>
      <w:r w:rsidRPr="008A7BD7">
        <w:rPr>
          <w:rFonts w:ascii="Cambria" w:eastAsia="Times New Roman" w:hAnsi="Cambria" w:cs="Times New Roman"/>
          <w:color w:val="000000" w:themeColor="text1"/>
          <w:sz w:val="20"/>
          <w:szCs w:val="20"/>
          <w:lang w:eastAsia="es-ES"/>
        </w:rPr>
        <w:t xml:space="preserve">rosecutor’s </w:t>
      </w:r>
      <w:r w:rsidR="005B47D9" w:rsidRPr="008A7BD7">
        <w:rPr>
          <w:rFonts w:ascii="Cambria" w:eastAsia="Times New Roman" w:hAnsi="Cambria" w:cs="Times New Roman"/>
          <w:color w:val="000000" w:themeColor="text1"/>
          <w:sz w:val="20"/>
          <w:szCs w:val="20"/>
          <w:lang w:eastAsia="es-ES"/>
        </w:rPr>
        <w:t>o</w:t>
      </w:r>
      <w:r w:rsidRPr="008A7BD7">
        <w:rPr>
          <w:rFonts w:ascii="Cambria" w:eastAsia="Times New Roman" w:hAnsi="Cambria" w:cs="Times New Roman"/>
          <w:color w:val="000000" w:themeColor="text1"/>
          <w:sz w:val="20"/>
          <w:szCs w:val="20"/>
          <w:lang w:eastAsia="es-ES"/>
        </w:rPr>
        <w:t xml:space="preserve">ffice </w:t>
      </w:r>
      <w:r w:rsidR="005B47D9" w:rsidRPr="008A7BD7">
        <w:rPr>
          <w:rFonts w:ascii="Cambria" w:eastAsia="Times New Roman" w:hAnsi="Cambria" w:cs="Times New Roman"/>
          <w:color w:val="000000" w:themeColor="text1"/>
          <w:sz w:val="20"/>
          <w:szCs w:val="20"/>
          <w:lang w:eastAsia="es-ES"/>
        </w:rPr>
        <w:t>in charge of</w:t>
      </w:r>
      <w:r w:rsidRPr="008A7BD7">
        <w:rPr>
          <w:rFonts w:ascii="Cambria" w:eastAsia="Times New Roman" w:hAnsi="Cambria" w:cs="Times New Roman"/>
          <w:color w:val="000000" w:themeColor="text1"/>
          <w:sz w:val="20"/>
          <w:szCs w:val="20"/>
          <w:lang w:eastAsia="es-ES"/>
        </w:rPr>
        <w:t xml:space="preserve"> investigating high-</w:t>
      </w:r>
      <w:r w:rsidR="005B47D9" w:rsidRPr="008A7BD7">
        <w:rPr>
          <w:rFonts w:ascii="Cambria" w:eastAsia="Times New Roman" w:hAnsi="Cambria" w:cs="Times New Roman"/>
          <w:color w:val="000000" w:themeColor="text1"/>
          <w:sz w:val="20"/>
          <w:szCs w:val="20"/>
          <w:lang w:eastAsia="es-ES"/>
        </w:rPr>
        <w:t>profile</w:t>
      </w:r>
      <w:r w:rsidRPr="008A7BD7">
        <w:rPr>
          <w:rFonts w:ascii="Cambria" w:eastAsia="Times New Roman" w:hAnsi="Cambria" w:cs="Times New Roman"/>
          <w:color w:val="000000" w:themeColor="text1"/>
          <w:sz w:val="20"/>
          <w:szCs w:val="20"/>
          <w:lang w:eastAsia="es-ES"/>
        </w:rPr>
        <w:t xml:space="preserve"> corruption cases involving public officials and parallel political and economic power structures, call into question the Guatemalan State’s will and commitment </w:t>
      </w:r>
      <w:proofErr w:type="gramStart"/>
      <w:r w:rsidRPr="008A7BD7">
        <w:rPr>
          <w:rFonts w:ascii="Cambria" w:eastAsia="Times New Roman" w:hAnsi="Cambria" w:cs="Times New Roman"/>
          <w:color w:val="000000" w:themeColor="text1"/>
          <w:sz w:val="20"/>
          <w:szCs w:val="20"/>
          <w:lang w:eastAsia="es-ES"/>
        </w:rPr>
        <w:t>with regard to</w:t>
      </w:r>
      <w:proofErr w:type="gramEnd"/>
      <w:r w:rsidRPr="008A7BD7">
        <w:rPr>
          <w:rFonts w:ascii="Cambria" w:eastAsia="Times New Roman" w:hAnsi="Cambria" w:cs="Times New Roman"/>
          <w:color w:val="000000" w:themeColor="text1"/>
          <w:sz w:val="20"/>
          <w:szCs w:val="20"/>
          <w:lang w:eastAsia="es-ES"/>
        </w:rPr>
        <w:t xml:space="preserve"> the fight against corruption and impunity. Both </w:t>
      </w:r>
      <w:r w:rsidR="005B47D9" w:rsidRPr="008A7BD7">
        <w:rPr>
          <w:rFonts w:ascii="Cambria" w:eastAsia="Times New Roman" w:hAnsi="Cambria" w:cs="Times New Roman"/>
          <w:color w:val="000000" w:themeColor="text1"/>
          <w:sz w:val="20"/>
          <w:szCs w:val="20"/>
          <w:lang w:eastAsia="es-ES"/>
        </w:rPr>
        <w:t>issues</w:t>
      </w:r>
      <w:r w:rsidRPr="008A7BD7">
        <w:rPr>
          <w:rFonts w:ascii="Cambria" w:eastAsia="Times New Roman" w:hAnsi="Cambria" w:cs="Times New Roman"/>
          <w:color w:val="000000" w:themeColor="text1"/>
          <w:sz w:val="20"/>
          <w:szCs w:val="20"/>
          <w:lang w:eastAsia="es-ES"/>
        </w:rPr>
        <w:t xml:space="preserve">, which are structural in nature, </w:t>
      </w:r>
      <w:r w:rsidR="005B47D9" w:rsidRPr="008A7BD7">
        <w:rPr>
          <w:rFonts w:ascii="Cambria" w:eastAsia="Times New Roman" w:hAnsi="Cambria" w:cs="Times New Roman"/>
          <w:color w:val="000000" w:themeColor="text1"/>
          <w:sz w:val="20"/>
          <w:szCs w:val="20"/>
          <w:lang w:eastAsia="es-ES"/>
        </w:rPr>
        <w:t xml:space="preserve">seriously </w:t>
      </w:r>
      <w:r w:rsidR="00630D02" w:rsidRPr="008A7BD7">
        <w:rPr>
          <w:rFonts w:ascii="Cambria" w:eastAsia="Times New Roman" w:hAnsi="Cambria" w:cs="Times New Roman"/>
          <w:color w:val="000000" w:themeColor="text1"/>
          <w:sz w:val="20"/>
          <w:szCs w:val="20"/>
          <w:lang w:eastAsia="es-ES"/>
        </w:rPr>
        <w:t xml:space="preserve">impede and </w:t>
      </w:r>
      <w:r w:rsidR="005B47D9" w:rsidRPr="008A7BD7">
        <w:rPr>
          <w:rFonts w:ascii="Cambria" w:eastAsia="Times New Roman" w:hAnsi="Cambria" w:cs="Times New Roman"/>
          <w:color w:val="000000" w:themeColor="text1"/>
          <w:sz w:val="20"/>
          <w:szCs w:val="20"/>
          <w:lang w:eastAsia="es-ES"/>
        </w:rPr>
        <w:t>obstruct</w:t>
      </w:r>
      <w:r w:rsidR="00630D02" w:rsidRPr="008A7BD7">
        <w:rPr>
          <w:rFonts w:ascii="Cambria" w:eastAsia="Times New Roman" w:hAnsi="Cambria" w:cs="Times New Roman"/>
          <w:color w:val="000000" w:themeColor="text1"/>
          <w:sz w:val="20"/>
          <w:szCs w:val="20"/>
          <w:lang w:eastAsia="es-ES"/>
        </w:rPr>
        <w:t xml:space="preserve"> the full exercise of the rule of law and the democratic</w:t>
      </w:r>
      <w:r w:rsidR="005B47D9" w:rsidRPr="008A7BD7">
        <w:rPr>
          <w:rFonts w:ascii="Cambria" w:eastAsia="Times New Roman" w:hAnsi="Cambria" w:cs="Times New Roman"/>
          <w:color w:val="000000" w:themeColor="text1"/>
          <w:sz w:val="20"/>
          <w:szCs w:val="20"/>
          <w:lang w:eastAsia="es-ES"/>
        </w:rPr>
        <w:t xml:space="preserve"> </w:t>
      </w:r>
      <w:r w:rsidR="00630D02" w:rsidRPr="008A7BD7">
        <w:rPr>
          <w:rFonts w:ascii="Cambria" w:eastAsia="Times New Roman" w:hAnsi="Cambria" w:cs="Times New Roman"/>
          <w:color w:val="000000" w:themeColor="text1"/>
          <w:sz w:val="20"/>
          <w:szCs w:val="20"/>
          <w:lang w:eastAsia="es-ES"/>
        </w:rPr>
        <w:t>institutional framework in the country</w:t>
      </w:r>
      <w:r w:rsidR="5AD2E8C6" w:rsidRPr="008A7BD7">
        <w:rPr>
          <w:rFonts w:ascii="Cambria" w:eastAsia="Times New Roman" w:hAnsi="Cambria" w:cs="Times New Roman"/>
          <w:color w:val="000000" w:themeColor="text1"/>
          <w:sz w:val="20"/>
          <w:szCs w:val="20"/>
          <w:lang w:eastAsia="es-ES"/>
        </w:rPr>
        <w:t xml:space="preserve">. </w:t>
      </w:r>
    </w:p>
    <w:p w14:paraId="32CBB9F5" w14:textId="600A6767" w:rsidR="4F54743F" w:rsidRPr="008A7BD7" w:rsidRDefault="4F54743F" w:rsidP="00832A52">
      <w:pPr>
        <w:ind w:left="360"/>
        <w:jc w:val="both"/>
        <w:rPr>
          <w:rFonts w:ascii="Cambria" w:eastAsia="Times New Roman" w:hAnsi="Cambria" w:cs="Times New Roman"/>
          <w:color w:val="000000" w:themeColor="text1"/>
          <w:sz w:val="20"/>
          <w:szCs w:val="20"/>
          <w:lang w:eastAsia="es-ES"/>
        </w:rPr>
      </w:pPr>
    </w:p>
    <w:p w14:paraId="1CBB2236" w14:textId="4CC3CE75" w:rsidR="00A22445" w:rsidRPr="008A7BD7" w:rsidRDefault="00630D02" w:rsidP="00BB65D3">
      <w:pPr>
        <w:numPr>
          <w:ilvl w:val="0"/>
          <w:numId w:val="2"/>
        </w:numPr>
        <w:suppressAutoHyphens/>
        <w:ind w:left="0" w:firstLine="720"/>
        <w:jc w:val="both"/>
        <w:rPr>
          <w:rFonts w:ascii="Cambria" w:hAnsi="Cambria"/>
          <w:color w:val="000000" w:themeColor="text1"/>
          <w:sz w:val="20"/>
          <w:szCs w:val="20"/>
          <w:lang w:eastAsia="es-ES"/>
        </w:rPr>
      </w:pPr>
      <w:r w:rsidRPr="008A7BD7">
        <w:rPr>
          <w:rFonts w:ascii="Cambria" w:eastAsia="Times New Roman" w:hAnsi="Cambria" w:cs="Times New Roman"/>
          <w:color w:val="000000" w:themeColor="text1"/>
          <w:sz w:val="20"/>
          <w:szCs w:val="20"/>
          <w:lang w:eastAsia="es-ES"/>
        </w:rPr>
        <w:t>Along these lines</w:t>
      </w:r>
      <w:r w:rsidR="00304B76" w:rsidRPr="008A7BD7">
        <w:rPr>
          <w:rFonts w:ascii="Cambria" w:eastAsia="Times New Roman" w:hAnsi="Cambria" w:cs="Times New Roman"/>
          <w:color w:val="000000" w:themeColor="text1"/>
          <w:sz w:val="20"/>
          <w:szCs w:val="20"/>
          <w:lang w:eastAsia="es-ES"/>
        </w:rPr>
        <w:t xml:space="preserve">, </w:t>
      </w:r>
      <w:r w:rsidRPr="008A7BD7">
        <w:rPr>
          <w:rFonts w:ascii="Cambria" w:eastAsia="Times New Roman" w:hAnsi="Cambria" w:cs="Times New Roman"/>
          <w:color w:val="000000" w:themeColor="text1"/>
          <w:sz w:val="20"/>
          <w:szCs w:val="20"/>
          <w:lang w:eastAsia="es-ES"/>
        </w:rPr>
        <w:t xml:space="preserve">the IACHR observes that the Rule of Law Index 2021, put together by the </w:t>
      </w:r>
      <w:r w:rsidR="5AD2E8C6" w:rsidRPr="008A7BD7">
        <w:rPr>
          <w:rFonts w:ascii="Cambria" w:eastAsia="Times New Roman" w:hAnsi="Cambria" w:cs="Times New Roman"/>
          <w:color w:val="000000" w:themeColor="text1"/>
          <w:sz w:val="20"/>
          <w:szCs w:val="20"/>
          <w:lang w:eastAsia="es-ES"/>
        </w:rPr>
        <w:t xml:space="preserve">World Justice Project, </w:t>
      </w:r>
      <w:r w:rsidR="00D26DD0" w:rsidRPr="008A7BD7">
        <w:rPr>
          <w:rFonts w:ascii="Cambria" w:eastAsia="Times New Roman" w:hAnsi="Cambria" w:cs="Times New Roman"/>
          <w:color w:val="000000" w:themeColor="text1"/>
          <w:sz w:val="20"/>
          <w:szCs w:val="20"/>
          <w:lang w:eastAsia="es-ES"/>
        </w:rPr>
        <w:t xml:space="preserve">ranks </w:t>
      </w:r>
      <w:r w:rsidR="5AD2E8C6" w:rsidRPr="008A7BD7">
        <w:rPr>
          <w:rFonts w:ascii="Cambria" w:eastAsia="Times New Roman" w:hAnsi="Cambria" w:cs="Times New Roman"/>
          <w:color w:val="000000" w:themeColor="text1"/>
          <w:sz w:val="20"/>
          <w:szCs w:val="20"/>
          <w:lang w:eastAsia="es-ES"/>
        </w:rPr>
        <w:t>Guatemala 109</w:t>
      </w:r>
      <w:r w:rsidRPr="008A7BD7">
        <w:rPr>
          <w:rFonts w:ascii="Cambria" w:eastAsia="Times New Roman" w:hAnsi="Cambria" w:cs="Times New Roman"/>
          <w:color w:val="000000" w:themeColor="text1"/>
          <w:sz w:val="20"/>
          <w:szCs w:val="20"/>
          <w:vertAlign w:val="superscript"/>
          <w:lang w:eastAsia="es-ES"/>
        </w:rPr>
        <w:t>th</w:t>
      </w:r>
      <w:r w:rsidRPr="008A7BD7">
        <w:rPr>
          <w:rFonts w:ascii="Cambria" w:eastAsia="Times New Roman" w:hAnsi="Cambria" w:cs="Times New Roman"/>
          <w:color w:val="000000" w:themeColor="text1"/>
          <w:sz w:val="20"/>
          <w:szCs w:val="20"/>
          <w:lang w:eastAsia="es-ES"/>
        </w:rPr>
        <w:t xml:space="preserve"> out of </w:t>
      </w:r>
      <w:r w:rsidR="5AD2E8C6" w:rsidRPr="008A7BD7">
        <w:rPr>
          <w:rFonts w:ascii="Cambria" w:eastAsia="Times New Roman" w:hAnsi="Cambria" w:cs="Times New Roman"/>
          <w:color w:val="000000" w:themeColor="text1"/>
          <w:sz w:val="20"/>
          <w:szCs w:val="20"/>
          <w:lang w:eastAsia="es-ES"/>
        </w:rPr>
        <w:t xml:space="preserve">139 </w:t>
      </w:r>
      <w:r w:rsidRPr="008A7BD7">
        <w:rPr>
          <w:rFonts w:ascii="Cambria" w:eastAsia="Times New Roman" w:hAnsi="Cambria" w:cs="Times New Roman"/>
          <w:color w:val="000000" w:themeColor="text1"/>
          <w:sz w:val="20"/>
          <w:szCs w:val="20"/>
          <w:lang w:eastAsia="es-ES"/>
        </w:rPr>
        <w:t>countries around the world and 26</w:t>
      </w:r>
      <w:r w:rsidRPr="008A7BD7">
        <w:rPr>
          <w:rFonts w:ascii="Cambria" w:eastAsia="Times New Roman" w:hAnsi="Cambria" w:cs="Times New Roman"/>
          <w:color w:val="000000" w:themeColor="text1"/>
          <w:sz w:val="20"/>
          <w:szCs w:val="20"/>
          <w:vertAlign w:val="superscript"/>
          <w:lang w:eastAsia="es-ES"/>
        </w:rPr>
        <w:t>th</w:t>
      </w:r>
      <w:r w:rsidRPr="008A7BD7">
        <w:rPr>
          <w:rFonts w:ascii="Cambria" w:eastAsia="Times New Roman" w:hAnsi="Cambria" w:cs="Times New Roman"/>
          <w:color w:val="000000" w:themeColor="text1"/>
          <w:sz w:val="20"/>
          <w:szCs w:val="20"/>
          <w:lang w:eastAsia="es-ES"/>
        </w:rPr>
        <w:t xml:space="preserve"> out of 32 countries in </w:t>
      </w:r>
      <w:r w:rsidR="00683CE3" w:rsidRPr="008A7BD7">
        <w:rPr>
          <w:rFonts w:ascii="Cambria" w:eastAsia="Times New Roman" w:hAnsi="Cambria" w:cs="Times New Roman"/>
          <w:color w:val="000000" w:themeColor="text1"/>
          <w:sz w:val="20"/>
          <w:szCs w:val="20"/>
          <w:lang w:eastAsia="es-ES"/>
        </w:rPr>
        <w:t>Latin America and the Caribbean</w:t>
      </w:r>
      <w:r w:rsidR="5AD2E8C6" w:rsidRPr="008A7BD7">
        <w:rPr>
          <w:rFonts w:ascii="Cambria" w:eastAsia="Times New Roman" w:hAnsi="Cambria" w:cs="Times New Roman"/>
          <w:color w:val="000000" w:themeColor="text1"/>
          <w:sz w:val="20"/>
          <w:szCs w:val="20"/>
          <w:lang w:eastAsia="es-ES"/>
        </w:rPr>
        <w:t xml:space="preserve">. </w:t>
      </w:r>
      <w:r w:rsidR="003C0CA2" w:rsidRPr="008A7BD7">
        <w:rPr>
          <w:rFonts w:ascii="Cambria" w:eastAsia="Times New Roman" w:hAnsi="Cambria" w:cs="Open Sans"/>
          <w:color w:val="000000" w:themeColor="text1"/>
          <w:sz w:val="20"/>
          <w:szCs w:val="20"/>
          <w:lang w:eastAsia="es-ES"/>
        </w:rPr>
        <w:t>Guatemala</w:t>
      </w:r>
      <w:r w:rsidR="0036386E" w:rsidRPr="008A7BD7">
        <w:rPr>
          <w:rFonts w:ascii="Cambria" w:eastAsia="Times New Roman" w:hAnsi="Cambria" w:cs="Open Sans"/>
          <w:color w:val="000000" w:themeColor="text1"/>
          <w:sz w:val="20"/>
          <w:szCs w:val="20"/>
          <w:lang w:eastAsia="es-ES"/>
        </w:rPr>
        <w:t xml:space="preserve"> </w:t>
      </w:r>
      <w:r w:rsidR="00D344C7" w:rsidRPr="008A7BD7">
        <w:rPr>
          <w:rFonts w:ascii="Cambria" w:eastAsia="Times New Roman" w:hAnsi="Cambria" w:cs="Times New Roman"/>
          <w:color w:val="000000" w:themeColor="text1"/>
          <w:sz w:val="20"/>
          <w:szCs w:val="20"/>
          <w:lang w:eastAsia="es-ES"/>
        </w:rPr>
        <w:t xml:space="preserve">had its lowest rankings </w:t>
      </w:r>
      <w:r w:rsidR="009135C9" w:rsidRPr="008A7BD7">
        <w:rPr>
          <w:rFonts w:ascii="Cambria" w:eastAsia="Times New Roman" w:hAnsi="Cambria" w:cs="Times New Roman"/>
          <w:color w:val="000000" w:themeColor="text1"/>
          <w:sz w:val="20"/>
          <w:szCs w:val="20"/>
          <w:lang w:eastAsia="es-ES"/>
        </w:rPr>
        <w:t>for such factors as</w:t>
      </w:r>
      <w:r w:rsidR="009135C9" w:rsidRPr="008A7BD7">
        <w:rPr>
          <w:rFonts w:ascii="Cambria" w:eastAsia="Times New Roman" w:hAnsi="Cambria" w:cs="Open Sans"/>
          <w:color w:val="000000" w:themeColor="text1"/>
          <w:sz w:val="20"/>
          <w:szCs w:val="20"/>
          <w:lang w:eastAsia="es-ES"/>
        </w:rPr>
        <w:t xml:space="preserve"> </w:t>
      </w:r>
      <w:r w:rsidR="00D344C7" w:rsidRPr="008A7BD7">
        <w:rPr>
          <w:rFonts w:ascii="Cambria" w:eastAsia="Times New Roman" w:hAnsi="Cambria" w:cs="Open Sans"/>
          <w:color w:val="000000" w:themeColor="text1"/>
          <w:sz w:val="20"/>
          <w:szCs w:val="20"/>
          <w:lang w:eastAsia="es-ES"/>
        </w:rPr>
        <w:t xml:space="preserve">whether there is an </w:t>
      </w:r>
      <w:r w:rsidR="003C0CA2" w:rsidRPr="008A7BD7">
        <w:rPr>
          <w:rFonts w:ascii="Cambria" w:eastAsia="Times New Roman" w:hAnsi="Cambria" w:cs="Open Sans"/>
          <w:color w:val="000000" w:themeColor="text1"/>
          <w:sz w:val="20"/>
          <w:szCs w:val="20"/>
          <w:lang w:eastAsia="es-ES"/>
        </w:rPr>
        <w:lastRenderedPageBreak/>
        <w:t xml:space="preserve">absence of corruption in the country and </w:t>
      </w:r>
      <w:r w:rsidR="009135C9" w:rsidRPr="008A7BD7">
        <w:rPr>
          <w:rFonts w:ascii="Cambria" w:eastAsia="Times New Roman" w:hAnsi="Cambria" w:cs="Open Sans"/>
          <w:color w:val="000000" w:themeColor="text1"/>
          <w:sz w:val="20"/>
          <w:szCs w:val="20"/>
          <w:lang w:eastAsia="es-ES"/>
        </w:rPr>
        <w:t xml:space="preserve">for </w:t>
      </w:r>
      <w:r w:rsidR="003C0CA2" w:rsidRPr="008A7BD7">
        <w:rPr>
          <w:rFonts w:ascii="Cambria" w:eastAsia="Times New Roman" w:hAnsi="Cambria" w:cs="Open Sans"/>
          <w:color w:val="000000" w:themeColor="text1"/>
          <w:sz w:val="20"/>
          <w:szCs w:val="20"/>
          <w:lang w:eastAsia="es-ES"/>
        </w:rPr>
        <w:t>differe</w:t>
      </w:r>
      <w:r w:rsidR="007855D0" w:rsidRPr="008A7BD7">
        <w:rPr>
          <w:rFonts w:ascii="Cambria" w:eastAsia="Times New Roman" w:hAnsi="Cambria" w:cs="Open Sans"/>
          <w:color w:val="000000" w:themeColor="text1"/>
          <w:sz w:val="20"/>
          <w:szCs w:val="20"/>
          <w:lang w:eastAsia="es-ES"/>
        </w:rPr>
        <w:t>nt areas such as civil justice and criminal justice.</w:t>
      </w:r>
      <w:r w:rsidR="5AD2E8C6" w:rsidRPr="008A7BD7">
        <w:rPr>
          <w:rFonts w:ascii="Cambria" w:eastAsia="Times New Roman" w:hAnsi="Cambria" w:cs="Open Sans"/>
          <w:color w:val="000000" w:themeColor="text1"/>
          <w:sz w:val="20"/>
          <w:szCs w:val="20"/>
          <w:vertAlign w:val="superscript"/>
          <w:lang w:val="es-US" w:eastAsia="es-ES"/>
        </w:rPr>
        <w:footnoteReference w:id="38"/>
      </w:r>
      <w:r w:rsidR="5AD2E8C6" w:rsidRPr="008A7BD7">
        <w:rPr>
          <w:rFonts w:ascii="Cambria" w:eastAsia="Times New Roman" w:hAnsi="Cambria" w:cs="Open Sans"/>
          <w:color w:val="000000" w:themeColor="text1"/>
          <w:sz w:val="20"/>
          <w:szCs w:val="20"/>
          <w:lang w:eastAsia="es-ES"/>
        </w:rPr>
        <w:t xml:space="preserve"> </w:t>
      </w:r>
      <w:r w:rsidR="003C6661" w:rsidRPr="008A7BD7">
        <w:rPr>
          <w:rFonts w:ascii="Cambria" w:eastAsia="Times New Roman" w:hAnsi="Cambria" w:cs="Times New Roman"/>
          <w:color w:val="000000" w:themeColor="text1"/>
          <w:sz w:val="20"/>
          <w:szCs w:val="20"/>
          <w:lang w:eastAsia="es-ES"/>
        </w:rPr>
        <w:t xml:space="preserve">In addition, the Corruption Perceptions Index (CPI), published in January </w:t>
      </w:r>
      <w:r w:rsidR="5AD2E8C6" w:rsidRPr="008A7BD7">
        <w:rPr>
          <w:rFonts w:ascii="Cambria" w:eastAsia="Times New Roman" w:hAnsi="Cambria" w:cs="Times New Roman"/>
          <w:color w:val="000000" w:themeColor="text1"/>
          <w:sz w:val="20"/>
          <w:szCs w:val="20"/>
          <w:lang w:eastAsia="es-ES"/>
        </w:rPr>
        <w:t xml:space="preserve">2021 </w:t>
      </w:r>
      <w:r w:rsidR="003C6661" w:rsidRPr="008A7BD7">
        <w:rPr>
          <w:rFonts w:ascii="Cambria" w:eastAsia="Times New Roman" w:hAnsi="Cambria" w:cs="Times New Roman"/>
          <w:color w:val="000000" w:themeColor="text1"/>
          <w:sz w:val="20"/>
          <w:szCs w:val="20"/>
          <w:lang w:eastAsia="es-ES"/>
        </w:rPr>
        <w:t xml:space="preserve">by Transparency International, ranked </w:t>
      </w:r>
      <w:r w:rsidR="5AD2E8C6" w:rsidRPr="008A7BD7">
        <w:rPr>
          <w:rFonts w:ascii="Cambria" w:eastAsia="Times New Roman" w:hAnsi="Cambria" w:cs="Times New Roman"/>
          <w:color w:val="000000" w:themeColor="text1"/>
          <w:sz w:val="20"/>
          <w:szCs w:val="20"/>
          <w:lang w:eastAsia="es-ES"/>
        </w:rPr>
        <w:t>Guatemala 149</w:t>
      </w:r>
      <w:r w:rsidR="003C6661" w:rsidRPr="008A7BD7">
        <w:rPr>
          <w:rFonts w:ascii="Cambria" w:eastAsia="Times New Roman" w:hAnsi="Cambria" w:cs="Times New Roman"/>
          <w:color w:val="000000" w:themeColor="text1"/>
          <w:sz w:val="20"/>
          <w:szCs w:val="20"/>
          <w:vertAlign w:val="superscript"/>
          <w:lang w:eastAsia="es-ES"/>
        </w:rPr>
        <w:t>th</w:t>
      </w:r>
      <w:r w:rsidR="003C6661" w:rsidRPr="008A7BD7">
        <w:rPr>
          <w:rFonts w:ascii="Cambria" w:eastAsia="Times New Roman" w:hAnsi="Cambria" w:cs="Times New Roman"/>
          <w:color w:val="000000" w:themeColor="text1"/>
          <w:sz w:val="20"/>
          <w:szCs w:val="20"/>
          <w:lang w:eastAsia="es-ES"/>
        </w:rPr>
        <w:t xml:space="preserve"> out of </w:t>
      </w:r>
      <w:r w:rsidR="5AD2E8C6" w:rsidRPr="008A7BD7">
        <w:rPr>
          <w:rFonts w:ascii="Cambria" w:eastAsia="Times New Roman" w:hAnsi="Cambria" w:cs="Times New Roman"/>
          <w:color w:val="000000" w:themeColor="text1"/>
          <w:sz w:val="20"/>
          <w:szCs w:val="20"/>
          <w:lang w:eastAsia="es-ES"/>
        </w:rPr>
        <w:t xml:space="preserve">180 </w:t>
      </w:r>
      <w:r w:rsidR="003C6661" w:rsidRPr="008A7BD7">
        <w:rPr>
          <w:rFonts w:ascii="Cambria" w:eastAsia="Times New Roman" w:hAnsi="Cambria" w:cs="Times New Roman"/>
          <w:color w:val="000000" w:themeColor="text1"/>
          <w:sz w:val="20"/>
          <w:szCs w:val="20"/>
          <w:lang w:eastAsia="es-ES"/>
        </w:rPr>
        <w:t xml:space="preserve">countries. It also ranked </w:t>
      </w:r>
      <w:r w:rsidR="00D217F8" w:rsidRPr="008A7BD7">
        <w:rPr>
          <w:rFonts w:ascii="Cambria" w:eastAsia="Times New Roman" w:hAnsi="Cambria" w:cs="Times New Roman"/>
          <w:color w:val="000000" w:themeColor="text1"/>
          <w:sz w:val="20"/>
          <w:szCs w:val="20"/>
          <w:lang w:eastAsia="es-ES"/>
        </w:rPr>
        <w:t>Guatemala among the five countries in the Americas considered the most corrupt.</w:t>
      </w:r>
      <w:r w:rsidR="5AD2E8C6" w:rsidRPr="008A7BD7">
        <w:rPr>
          <w:rFonts w:ascii="Cambria" w:eastAsia="Times New Roman" w:hAnsi="Cambria" w:cs="Times New Roman"/>
          <w:color w:val="000000" w:themeColor="text1"/>
          <w:sz w:val="20"/>
          <w:szCs w:val="20"/>
          <w:vertAlign w:val="superscript"/>
          <w:lang w:val="es-US" w:eastAsia="es-ES"/>
        </w:rPr>
        <w:footnoteReference w:id="39"/>
      </w:r>
      <w:r w:rsidR="5AD2E8C6" w:rsidRPr="008A7BD7">
        <w:rPr>
          <w:rFonts w:ascii="Cambria" w:eastAsia="Times New Roman" w:hAnsi="Cambria" w:cs="Times New Roman"/>
          <w:color w:val="000000" w:themeColor="text1"/>
          <w:sz w:val="20"/>
          <w:szCs w:val="20"/>
          <w:lang w:eastAsia="es-ES"/>
        </w:rPr>
        <w:t xml:space="preserve"> </w:t>
      </w:r>
    </w:p>
    <w:p w14:paraId="521C43F6" w14:textId="77777777" w:rsidR="00A22445" w:rsidRPr="008A7BD7" w:rsidRDefault="00A22445" w:rsidP="00A22445">
      <w:pPr>
        <w:pStyle w:val="ListParagraph"/>
        <w:rPr>
          <w:rFonts w:ascii="Cambria" w:eastAsia="Times New Roman" w:hAnsi="Cambria" w:cs="Times New Roman"/>
          <w:color w:val="000000" w:themeColor="text1"/>
          <w:sz w:val="20"/>
          <w:szCs w:val="20"/>
          <w:lang w:eastAsia="es-ES"/>
        </w:rPr>
      </w:pPr>
    </w:p>
    <w:p w14:paraId="7423E76D" w14:textId="1AA706C9" w:rsidR="00A22445" w:rsidRPr="008A7BD7" w:rsidRDefault="00E66C72" w:rsidP="00BB65D3">
      <w:pPr>
        <w:numPr>
          <w:ilvl w:val="0"/>
          <w:numId w:val="2"/>
        </w:numPr>
        <w:suppressAutoHyphens/>
        <w:ind w:left="0" w:firstLine="720"/>
        <w:jc w:val="both"/>
        <w:rPr>
          <w:rFonts w:ascii="Cambria" w:hAnsi="Cambria"/>
          <w:color w:val="000000" w:themeColor="text1"/>
          <w:sz w:val="20"/>
          <w:szCs w:val="20"/>
          <w:lang w:eastAsia="es-ES"/>
        </w:rPr>
      </w:pPr>
      <w:r w:rsidRPr="008A7BD7">
        <w:rPr>
          <w:rFonts w:ascii="Cambria" w:eastAsia="Times New Roman" w:hAnsi="Cambria" w:cs="Times New Roman"/>
          <w:color w:val="000000" w:themeColor="text1"/>
          <w:sz w:val="20"/>
          <w:szCs w:val="20"/>
          <w:lang w:eastAsia="es-ES"/>
        </w:rPr>
        <w:t>The IACHR notes that the interdependence between democracy, rule of law, and protection of human rights is the foundation of the entire system of which the Convention is a part. Based on this substantive link, the IACHR has recognized that corruption affects democratic institutions and the rule of law.</w:t>
      </w:r>
      <w:r w:rsidR="00A22445" w:rsidRPr="008A7BD7">
        <w:rPr>
          <w:rFonts w:ascii="Cambria" w:eastAsia="Times New Roman" w:hAnsi="Cambria" w:cs="Times New Roman"/>
          <w:color w:val="000000" w:themeColor="text1"/>
          <w:sz w:val="20"/>
          <w:szCs w:val="20"/>
          <w:vertAlign w:val="superscript"/>
          <w:lang w:val="es-US" w:eastAsia="es-ES"/>
        </w:rPr>
        <w:footnoteReference w:id="40"/>
      </w:r>
      <w:r w:rsidR="00A22445" w:rsidRPr="008A7BD7">
        <w:rPr>
          <w:rFonts w:ascii="Cambria" w:eastAsia="Times New Roman" w:hAnsi="Cambria" w:cs="Times New Roman"/>
          <w:color w:val="000000" w:themeColor="text1"/>
          <w:sz w:val="20"/>
          <w:szCs w:val="20"/>
          <w:lang w:eastAsia="es-ES"/>
        </w:rPr>
        <w:t xml:space="preserve"> </w:t>
      </w:r>
    </w:p>
    <w:p w14:paraId="2072369D" w14:textId="77777777" w:rsidR="00A22445" w:rsidRPr="008A7BD7" w:rsidRDefault="00A22445" w:rsidP="00A22445">
      <w:pPr>
        <w:pStyle w:val="ListParagraph"/>
        <w:rPr>
          <w:rFonts w:ascii="Cambria" w:eastAsia="Times New Roman" w:hAnsi="Cambria" w:cs="Times New Roman"/>
          <w:color w:val="000000" w:themeColor="text1"/>
          <w:sz w:val="20"/>
          <w:szCs w:val="20"/>
          <w:lang w:eastAsia="es-ES"/>
        </w:rPr>
      </w:pPr>
    </w:p>
    <w:p w14:paraId="16F9C5C0" w14:textId="4EC08A36" w:rsidR="00A22445" w:rsidRPr="008A7BD7" w:rsidRDefault="0049745C" w:rsidP="00BB65D3">
      <w:pPr>
        <w:numPr>
          <w:ilvl w:val="0"/>
          <w:numId w:val="2"/>
        </w:numPr>
        <w:suppressAutoHyphens/>
        <w:ind w:left="0" w:firstLine="720"/>
        <w:jc w:val="both"/>
        <w:rPr>
          <w:rFonts w:ascii="Cambria" w:hAnsi="Cambria"/>
          <w:color w:val="000000" w:themeColor="text1"/>
          <w:sz w:val="20"/>
          <w:szCs w:val="20"/>
          <w:lang w:eastAsia="es-ES"/>
        </w:rPr>
      </w:pPr>
      <w:r w:rsidRPr="008A7BD7">
        <w:rPr>
          <w:rFonts w:ascii="Cambria" w:eastAsia="Times New Roman" w:hAnsi="Cambria" w:cs="Times New Roman"/>
          <w:color w:val="000000" w:themeColor="text1"/>
          <w:sz w:val="20"/>
          <w:szCs w:val="20"/>
          <w:lang w:eastAsia="es-ES"/>
        </w:rPr>
        <w:t xml:space="preserve">In its report Corruption and Human Rights, the IACHR indicated that </w:t>
      </w:r>
      <w:r w:rsidR="00D568CD" w:rsidRPr="008A7BD7">
        <w:rPr>
          <w:rFonts w:ascii="Cambria" w:eastAsia="Times New Roman" w:hAnsi="Cambria" w:cs="Times New Roman"/>
          <w:color w:val="000000" w:themeColor="text1"/>
          <w:sz w:val="20"/>
          <w:szCs w:val="20"/>
          <w:lang w:eastAsia="es-ES"/>
        </w:rPr>
        <w:t xml:space="preserve">committing illicit acts of corruption gravely affects the principle of </w:t>
      </w:r>
      <w:r w:rsidR="003B799C" w:rsidRPr="008A7BD7">
        <w:rPr>
          <w:rFonts w:ascii="Cambria" w:eastAsia="Times New Roman" w:hAnsi="Cambria" w:cs="Times New Roman"/>
          <w:color w:val="000000" w:themeColor="text1"/>
          <w:sz w:val="20"/>
          <w:szCs w:val="20"/>
          <w:lang w:eastAsia="es-ES"/>
        </w:rPr>
        <w:t xml:space="preserve">the primacy of </w:t>
      </w:r>
      <w:r w:rsidR="00767AC1" w:rsidRPr="008A7BD7">
        <w:rPr>
          <w:rFonts w:ascii="Cambria" w:eastAsia="Times New Roman" w:hAnsi="Cambria" w:cs="Times New Roman"/>
          <w:color w:val="000000" w:themeColor="text1"/>
          <w:sz w:val="20"/>
          <w:szCs w:val="20"/>
          <w:lang w:eastAsia="es-ES"/>
        </w:rPr>
        <w:t xml:space="preserve">the </w:t>
      </w:r>
      <w:r w:rsidR="003B799C" w:rsidRPr="008A7BD7">
        <w:rPr>
          <w:rFonts w:ascii="Cambria" w:eastAsia="Times New Roman" w:hAnsi="Cambria" w:cs="Times New Roman"/>
          <w:color w:val="000000" w:themeColor="text1"/>
          <w:sz w:val="20"/>
          <w:szCs w:val="20"/>
          <w:lang w:eastAsia="es-ES"/>
        </w:rPr>
        <w:t>law, which is part of the rule of law</w:t>
      </w:r>
      <w:r w:rsidR="00A22445" w:rsidRPr="008A7BD7">
        <w:rPr>
          <w:rFonts w:ascii="Cambria" w:eastAsia="Times New Roman" w:hAnsi="Cambria" w:cs="Times New Roman"/>
          <w:color w:val="000000" w:themeColor="text1"/>
          <w:sz w:val="20"/>
          <w:szCs w:val="20"/>
          <w:lang w:eastAsia="es-ES"/>
        </w:rPr>
        <w:t xml:space="preserve">. </w:t>
      </w:r>
      <w:r w:rsidR="008848B1" w:rsidRPr="008A7BD7">
        <w:rPr>
          <w:rFonts w:ascii="Cambria" w:eastAsia="Times New Roman" w:hAnsi="Cambria" w:cs="Times New Roman"/>
          <w:color w:val="000000" w:themeColor="text1"/>
          <w:sz w:val="20"/>
          <w:szCs w:val="20"/>
          <w:lang w:eastAsia="es-ES"/>
        </w:rPr>
        <w:t>Th</w:t>
      </w:r>
      <w:r w:rsidR="00667131" w:rsidRPr="008A7BD7">
        <w:rPr>
          <w:rFonts w:ascii="Cambria" w:eastAsia="Times New Roman" w:hAnsi="Cambria" w:cs="Times New Roman"/>
          <w:color w:val="000000" w:themeColor="text1"/>
          <w:sz w:val="20"/>
          <w:szCs w:val="20"/>
          <w:lang w:eastAsia="es-ES"/>
        </w:rPr>
        <w:t>e reason this is so serious</w:t>
      </w:r>
      <w:r w:rsidR="008848B1" w:rsidRPr="008A7BD7">
        <w:rPr>
          <w:rFonts w:ascii="Cambria" w:eastAsia="Times New Roman" w:hAnsi="Cambria" w:cs="Times New Roman"/>
          <w:color w:val="000000" w:themeColor="text1"/>
          <w:sz w:val="20"/>
          <w:szCs w:val="20"/>
          <w:lang w:eastAsia="es-ES"/>
        </w:rPr>
        <w:t xml:space="preserve"> is because those who commit these illicit acts are precisely the authorities responsible for </w:t>
      </w:r>
      <w:r w:rsidR="00667131" w:rsidRPr="008A7BD7">
        <w:rPr>
          <w:rFonts w:ascii="Cambria" w:eastAsia="Times New Roman" w:hAnsi="Cambria" w:cs="Times New Roman"/>
          <w:color w:val="000000" w:themeColor="text1"/>
          <w:sz w:val="20"/>
          <w:szCs w:val="20"/>
          <w:lang w:eastAsia="es-ES"/>
        </w:rPr>
        <w:t>passing</w:t>
      </w:r>
      <w:r w:rsidR="008848B1" w:rsidRPr="008A7BD7">
        <w:rPr>
          <w:rFonts w:ascii="Cambria" w:eastAsia="Times New Roman" w:hAnsi="Cambria" w:cs="Times New Roman"/>
          <w:color w:val="000000" w:themeColor="text1"/>
          <w:sz w:val="20"/>
          <w:szCs w:val="20"/>
          <w:lang w:eastAsia="es-ES"/>
        </w:rPr>
        <w:t xml:space="preserve"> the laws, executing them, and overseeing other branches of government, as well as those who form part of the government bureaucracy. The negative effect of this on institutional legitimacy and citizen trust in the rule of law is clear, and it does harm to democracy. </w:t>
      </w:r>
      <w:r w:rsidR="006D0953" w:rsidRPr="008A7BD7">
        <w:rPr>
          <w:rFonts w:ascii="Cambria" w:eastAsia="Times New Roman" w:hAnsi="Cambria" w:cs="Times New Roman"/>
          <w:color w:val="000000" w:themeColor="text1"/>
          <w:sz w:val="20"/>
          <w:szCs w:val="20"/>
          <w:lang w:eastAsia="es-ES"/>
        </w:rPr>
        <w:t xml:space="preserve">Corruption also has a direct impact on the principle of the common good, which is the legitimate aspiration of a democratic society. In this sense, the IACHR has recognized that corruption affects a </w:t>
      </w:r>
      <w:proofErr w:type="gramStart"/>
      <w:r w:rsidR="006D0953" w:rsidRPr="008A7BD7">
        <w:rPr>
          <w:rFonts w:ascii="Cambria" w:eastAsia="Times New Roman" w:hAnsi="Cambria" w:cs="Times New Roman"/>
          <w:color w:val="000000" w:themeColor="text1"/>
          <w:sz w:val="20"/>
          <w:szCs w:val="20"/>
          <w:lang w:eastAsia="es-ES"/>
        </w:rPr>
        <w:t>State’s</w:t>
      </w:r>
      <w:proofErr w:type="gramEnd"/>
      <w:r w:rsidR="006D0953" w:rsidRPr="008A7BD7">
        <w:rPr>
          <w:rFonts w:ascii="Cambria" w:eastAsia="Times New Roman" w:hAnsi="Cambria" w:cs="Times New Roman"/>
          <w:color w:val="000000" w:themeColor="text1"/>
          <w:sz w:val="20"/>
          <w:szCs w:val="20"/>
          <w:lang w:eastAsia="es-ES"/>
        </w:rPr>
        <w:t xml:space="preserve"> duty to make decisions based on the good of the majority and not the good of a minority for the sole fact that it is through corruption that the corrupted authority is in a position to turn collective</w:t>
      </w:r>
      <w:r w:rsidR="00A22445" w:rsidRPr="008A7BD7">
        <w:rPr>
          <w:rFonts w:ascii="Cambria" w:eastAsia="Times New Roman" w:hAnsi="Cambria" w:cs="Times New Roman"/>
          <w:color w:val="000000" w:themeColor="text1"/>
          <w:sz w:val="20"/>
          <w:szCs w:val="20"/>
          <w:lang w:eastAsia="es-ES"/>
        </w:rPr>
        <w:t xml:space="preserve"> </w:t>
      </w:r>
      <w:r w:rsidR="006D0953" w:rsidRPr="008A7BD7">
        <w:rPr>
          <w:rFonts w:ascii="Cambria" w:eastAsia="Times New Roman" w:hAnsi="Cambria" w:cs="Times New Roman"/>
          <w:color w:val="000000" w:themeColor="text1"/>
          <w:sz w:val="20"/>
          <w:szCs w:val="20"/>
          <w:lang w:eastAsia="es-ES"/>
        </w:rPr>
        <w:t xml:space="preserve">interests into individual interests. </w:t>
      </w:r>
      <w:r w:rsidR="00A22336" w:rsidRPr="008A7BD7">
        <w:rPr>
          <w:rFonts w:ascii="Cambria" w:eastAsia="Times New Roman" w:hAnsi="Cambria" w:cs="Times New Roman"/>
          <w:color w:val="000000" w:themeColor="text1"/>
          <w:sz w:val="20"/>
          <w:szCs w:val="20"/>
          <w:lang w:eastAsia="es-ES"/>
        </w:rPr>
        <w:t>It also causes a break with the principle of the independence of authorities, who, through a variety of illegitimate means, become beholden to private interests.</w:t>
      </w:r>
      <w:r w:rsidR="00A22445" w:rsidRPr="008A7BD7">
        <w:rPr>
          <w:rFonts w:ascii="Cambria" w:hAnsi="Cambria"/>
          <w:vertAlign w:val="superscript"/>
          <w:lang w:val="es-US" w:eastAsia="es-ES"/>
        </w:rPr>
        <w:footnoteReference w:id="41"/>
      </w:r>
    </w:p>
    <w:p w14:paraId="07242235" w14:textId="77777777" w:rsidR="00A22445" w:rsidRPr="008A7BD7" w:rsidRDefault="00A22445" w:rsidP="00A22445">
      <w:pPr>
        <w:ind w:left="720"/>
        <w:jc w:val="both"/>
        <w:rPr>
          <w:rFonts w:ascii="Cambria" w:eastAsia="Times New Roman" w:hAnsi="Cambria" w:cs="Times New Roman"/>
          <w:sz w:val="20"/>
          <w:szCs w:val="20"/>
          <w:lang w:eastAsia="es-ES"/>
        </w:rPr>
      </w:pPr>
    </w:p>
    <w:p w14:paraId="1040FB5C" w14:textId="5A01053E" w:rsidR="00A22445" w:rsidRPr="008A7BD7" w:rsidRDefault="00A22336" w:rsidP="00BB65D3">
      <w:pPr>
        <w:numPr>
          <w:ilvl w:val="0"/>
          <w:numId w:val="2"/>
        </w:numPr>
        <w:suppressAutoHyphens/>
        <w:ind w:left="0" w:firstLine="720"/>
        <w:jc w:val="both"/>
        <w:rPr>
          <w:rFonts w:ascii="Cambria" w:eastAsia="Times New Roman" w:hAnsi="Cambria" w:cs="Times New Roman"/>
          <w:color w:val="000000"/>
          <w:sz w:val="20"/>
          <w:szCs w:val="20"/>
          <w:lang w:eastAsia="es-ES"/>
        </w:rPr>
      </w:pPr>
      <w:r w:rsidRPr="008A7BD7">
        <w:rPr>
          <w:rFonts w:ascii="Cambria" w:eastAsia="Times New Roman" w:hAnsi="Cambria" w:cs="Times New Roman"/>
          <w:color w:val="000000" w:themeColor="text1"/>
          <w:sz w:val="20"/>
          <w:szCs w:val="20"/>
          <w:lang w:eastAsia="es-ES"/>
        </w:rPr>
        <w:t>In is Resolution</w:t>
      </w:r>
      <w:r w:rsidR="00A22445" w:rsidRPr="008A7BD7">
        <w:rPr>
          <w:rFonts w:ascii="Cambria" w:eastAsia="Times New Roman" w:hAnsi="Cambria" w:cs="Times New Roman"/>
          <w:color w:val="000000" w:themeColor="text1"/>
          <w:sz w:val="20"/>
          <w:szCs w:val="20"/>
          <w:lang w:eastAsia="es-ES"/>
        </w:rPr>
        <w:t xml:space="preserve"> 1/17</w:t>
      </w:r>
      <w:r w:rsidRPr="008A7BD7">
        <w:rPr>
          <w:rFonts w:ascii="Cambria" w:eastAsia="Times New Roman" w:hAnsi="Cambria" w:cs="Times New Roman"/>
          <w:color w:val="000000" w:themeColor="text1"/>
          <w:sz w:val="20"/>
          <w:szCs w:val="20"/>
          <w:lang w:eastAsia="es-ES"/>
        </w:rPr>
        <w:t xml:space="preserve">, </w:t>
      </w:r>
      <w:r w:rsidRPr="008A7BD7">
        <w:rPr>
          <w:rFonts w:ascii="Cambria" w:eastAsia="Times New Roman" w:hAnsi="Cambria" w:cs="Times New Roman"/>
          <w:sz w:val="20"/>
          <w:szCs w:val="20"/>
          <w:lang w:eastAsia="es-ES_tradnl"/>
        </w:rPr>
        <w:t xml:space="preserve">on </w:t>
      </w:r>
      <w:r w:rsidR="00C716C5" w:rsidRPr="008A7BD7">
        <w:rPr>
          <w:rFonts w:ascii="Cambria" w:eastAsia="Times New Roman" w:hAnsi="Cambria" w:cs="Times New Roman"/>
          <w:sz w:val="20"/>
          <w:szCs w:val="20"/>
          <w:lang w:eastAsia="es-ES_tradnl"/>
        </w:rPr>
        <w:t>“</w:t>
      </w:r>
      <w:r w:rsidRPr="008A7BD7">
        <w:rPr>
          <w:rFonts w:ascii="Cambria" w:eastAsia="Times New Roman" w:hAnsi="Cambria" w:cs="Times New Roman"/>
          <w:sz w:val="20"/>
          <w:szCs w:val="20"/>
          <w:lang w:eastAsia="es-ES_tradnl"/>
        </w:rPr>
        <w:t>Human Rights and the Fight against Impunity and Corruption</w:t>
      </w:r>
      <w:r w:rsidR="00C716C5" w:rsidRPr="008A7BD7">
        <w:rPr>
          <w:rFonts w:ascii="Cambria" w:eastAsia="Times New Roman" w:hAnsi="Cambria" w:cs="Times New Roman"/>
          <w:sz w:val="20"/>
          <w:szCs w:val="20"/>
          <w:lang w:eastAsia="es-ES_tradnl"/>
        </w:rPr>
        <w:t>”</w:t>
      </w:r>
      <w:r w:rsidRPr="008A7BD7">
        <w:rPr>
          <w:rFonts w:ascii="Cambria" w:eastAsia="Times New Roman" w:hAnsi="Cambria" w:cs="Times New Roman"/>
          <w:sz w:val="20"/>
          <w:szCs w:val="20"/>
          <w:lang w:eastAsia="es-ES_tradnl"/>
        </w:rPr>
        <w:t xml:space="preserve"> with respect to</w:t>
      </w:r>
      <w:r w:rsidRPr="008A7BD7">
        <w:rPr>
          <w:rFonts w:ascii="Cambria" w:eastAsia="Times New Roman" w:hAnsi="Cambria" w:cs="Times New Roman"/>
          <w:color w:val="000000" w:themeColor="text1"/>
          <w:sz w:val="20"/>
          <w:szCs w:val="20"/>
          <w:lang w:eastAsia="es-ES"/>
        </w:rPr>
        <w:t xml:space="preserve"> </w:t>
      </w:r>
      <w:r w:rsidR="00A22445" w:rsidRPr="008A7BD7">
        <w:rPr>
          <w:rFonts w:ascii="Cambria" w:eastAsia="Times New Roman" w:hAnsi="Cambria" w:cs="Times New Roman"/>
          <w:color w:val="000000" w:themeColor="text1"/>
          <w:sz w:val="20"/>
          <w:szCs w:val="20"/>
          <w:lang w:eastAsia="es-ES"/>
        </w:rPr>
        <w:t xml:space="preserve">Guatemala, </w:t>
      </w:r>
      <w:r w:rsidRPr="008A7BD7">
        <w:rPr>
          <w:rFonts w:ascii="Cambria" w:eastAsia="Times New Roman" w:hAnsi="Cambria" w:cs="Times New Roman"/>
          <w:color w:val="000000" w:themeColor="text1"/>
          <w:sz w:val="20"/>
          <w:szCs w:val="20"/>
          <w:lang w:eastAsia="es-ES"/>
        </w:rPr>
        <w:t>the IACHR indicated that “corruption, impunity, organized crime, intolerance,</w:t>
      </w:r>
      <w:r w:rsidR="003423D2" w:rsidRPr="008A7BD7">
        <w:rPr>
          <w:rFonts w:ascii="Cambria" w:eastAsia="Times New Roman" w:hAnsi="Cambria" w:cs="Times New Roman"/>
          <w:color w:val="000000" w:themeColor="text1"/>
          <w:sz w:val="20"/>
          <w:szCs w:val="20"/>
          <w:lang w:eastAsia="es-ES"/>
        </w:rPr>
        <w:t xml:space="preserve"> political violence, and social exclusion of various sectors, present </w:t>
      </w:r>
      <w:proofErr w:type="gramStart"/>
      <w:r w:rsidR="003423D2" w:rsidRPr="008A7BD7">
        <w:rPr>
          <w:rFonts w:ascii="Cambria" w:eastAsia="Times New Roman" w:hAnsi="Cambria" w:cs="Times New Roman"/>
          <w:color w:val="000000" w:themeColor="text1"/>
          <w:sz w:val="20"/>
          <w:szCs w:val="20"/>
          <w:lang w:eastAsia="es-ES"/>
        </w:rPr>
        <w:t>a serious danger</w:t>
      </w:r>
      <w:proofErr w:type="gramEnd"/>
      <w:r w:rsidR="003423D2" w:rsidRPr="008A7BD7">
        <w:rPr>
          <w:rFonts w:ascii="Cambria" w:eastAsia="Times New Roman" w:hAnsi="Cambria" w:cs="Times New Roman"/>
          <w:color w:val="000000" w:themeColor="text1"/>
          <w:sz w:val="20"/>
          <w:szCs w:val="20"/>
          <w:lang w:eastAsia="es-ES"/>
        </w:rPr>
        <w:t xml:space="preserve"> of regression in the effectiveness of the rule of law and restrict the full enjoyment of the human rights that the American Convention recognizes for everyone.</w:t>
      </w:r>
      <w:r w:rsidR="00A22445" w:rsidRPr="008A7BD7">
        <w:rPr>
          <w:rFonts w:ascii="Cambria" w:eastAsia="Times New Roman" w:hAnsi="Cambria" w:cs="Times New Roman"/>
          <w:color w:val="000000" w:themeColor="text1"/>
          <w:sz w:val="20"/>
          <w:szCs w:val="20"/>
          <w:lang w:eastAsia="es-ES"/>
        </w:rPr>
        <w:t xml:space="preserve">” </w:t>
      </w:r>
      <w:r w:rsidR="00A553DD" w:rsidRPr="008A7BD7">
        <w:rPr>
          <w:rFonts w:ascii="Cambria" w:eastAsia="Times New Roman" w:hAnsi="Cambria" w:cs="Times New Roman"/>
          <w:color w:val="000000" w:themeColor="text1"/>
          <w:sz w:val="20"/>
          <w:szCs w:val="20"/>
          <w:lang w:eastAsia="es-ES"/>
        </w:rPr>
        <w:t>In this regard, the IACHR once again calls on the Guatemalan State to reaffirm the importance of the fight against corruption to combat impunity through</w:t>
      </w:r>
      <w:r w:rsidR="00891D2B" w:rsidRPr="008A7BD7">
        <w:rPr>
          <w:rFonts w:ascii="Cambria" w:eastAsia="Times New Roman" w:hAnsi="Cambria" w:cs="Times New Roman"/>
          <w:color w:val="000000" w:themeColor="text1"/>
          <w:sz w:val="20"/>
          <w:szCs w:val="20"/>
          <w:lang w:eastAsia="es-ES"/>
        </w:rPr>
        <w:t xml:space="preserve"> a strengthened, independent, and impartial </w:t>
      </w:r>
      <w:r w:rsidR="00173264" w:rsidRPr="008A7BD7">
        <w:rPr>
          <w:rFonts w:ascii="Cambria" w:eastAsia="Times New Roman" w:hAnsi="Cambria" w:cs="Times New Roman"/>
          <w:color w:val="000000" w:themeColor="text1"/>
          <w:sz w:val="20"/>
          <w:szCs w:val="20"/>
          <w:lang w:eastAsia="es-ES"/>
        </w:rPr>
        <w:t>system of justice</w:t>
      </w:r>
      <w:r w:rsidR="00945CDA" w:rsidRPr="008A7BD7">
        <w:rPr>
          <w:rFonts w:ascii="Cambria" w:eastAsia="Times New Roman" w:hAnsi="Cambria" w:cs="Times New Roman"/>
          <w:color w:val="000000" w:themeColor="text1"/>
          <w:sz w:val="20"/>
          <w:szCs w:val="20"/>
          <w:lang w:eastAsia="es-ES"/>
        </w:rPr>
        <w:t>, as well as the fundamental</w:t>
      </w:r>
      <w:r w:rsidR="003716DC" w:rsidRPr="008A7BD7">
        <w:rPr>
          <w:rFonts w:ascii="Cambria" w:eastAsia="Times New Roman" w:hAnsi="Cambria" w:cs="Times New Roman"/>
          <w:color w:val="000000" w:themeColor="text1"/>
          <w:sz w:val="20"/>
          <w:szCs w:val="20"/>
          <w:lang w:eastAsia="es-ES"/>
        </w:rPr>
        <w:t xml:space="preserve"> </w:t>
      </w:r>
      <w:r w:rsidR="00945CDA" w:rsidRPr="008A7BD7">
        <w:rPr>
          <w:rFonts w:ascii="Cambria" w:eastAsia="Times New Roman" w:hAnsi="Cambria" w:cs="Times New Roman"/>
          <w:color w:val="000000" w:themeColor="text1"/>
          <w:sz w:val="20"/>
          <w:szCs w:val="20"/>
          <w:lang w:eastAsia="es-ES"/>
        </w:rPr>
        <w:t xml:space="preserve">importance </w:t>
      </w:r>
      <w:r w:rsidR="00945CDA" w:rsidRPr="008A7BD7">
        <w:rPr>
          <w:rFonts w:ascii="Cambria" w:eastAsia="Times New Roman" w:hAnsi="Cambria" w:cs="Times New Roman"/>
          <w:sz w:val="20"/>
          <w:szCs w:val="20"/>
          <w:lang w:eastAsia="es-ES_tradnl"/>
        </w:rPr>
        <w:t xml:space="preserve">of the full exercise of the rights to freedom of expression and access to public information, as well as the rights to association and peaceful assembly, for </w:t>
      </w:r>
      <w:r w:rsidR="00173264" w:rsidRPr="008A7BD7">
        <w:rPr>
          <w:rFonts w:ascii="Cambria" w:eastAsia="Times New Roman" w:hAnsi="Cambria" w:cs="Times New Roman"/>
          <w:sz w:val="20"/>
          <w:szCs w:val="20"/>
          <w:lang w:eastAsia="es-ES_tradnl"/>
        </w:rPr>
        <w:t>investigating and reporting</w:t>
      </w:r>
      <w:r w:rsidR="00945CDA" w:rsidRPr="008A7BD7">
        <w:rPr>
          <w:rFonts w:ascii="Cambria" w:eastAsia="Times New Roman" w:hAnsi="Cambria" w:cs="Times New Roman"/>
          <w:sz w:val="20"/>
          <w:szCs w:val="20"/>
          <w:lang w:eastAsia="es-ES_tradnl"/>
        </w:rPr>
        <w:t xml:space="preserve"> corruption</w:t>
      </w:r>
      <w:r w:rsidR="00945CDA" w:rsidRPr="008A7BD7">
        <w:rPr>
          <w:rFonts w:ascii="Cambria" w:eastAsia="Times New Roman" w:hAnsi="Cambria" w:cs="Times New Roman"/>
          <w:color w:val="000000" w:themeColor="text1"/>
          <w:sz w:val="20"/>
          <w:szCs w:val="20"/>
          <w:lang w:eastAsia="es-ES"/>
        </w:rPr>
        <w:t>.</w:t>
      </w:r>
      <w:r w:rsidR="00A22445" w:rsidRPr="008A7BD7">
        <w:rPr>
          <w:rFonts w:ascii="Cambria" w:eastAsia="Times New Roman" w:hAnsi="Cambria" w:cs="Times New Roman"/>
          <w:color w:val="000000" w:themeColor="text1"/>
          <w:sz w:val="20"/>
          <w:szCs w:val="20"/>
          <w:vertAlign w:val="superscript"/>
          <w:lang w:val="es-US" w:eastAsia="es-ES"/>
        </w:rPr>
        <w:footnoteReference w:id="42"/>
      </w:r>
      <w:r w:rsidR="00A22445" w:rsidRPr="008A7BD7">
        <w:rPr>
          <w:rFonts w:ascii="Cambria" w:eastAsia="Times New Roman" w:hAnsi="Cambria" w:cs="Times New Roman"/>
          <w:sz w:val="20"/>
          <w:szCs w:val="20"/>
          <w:lang w:eastAsia="es-ES"/>
        </w:rPr>
        <w:t xml:space="preserve"> </w:t>
      </w:r>
    </w:p>
    <w:p w14:paraId="6437C8B8" w14:textId="77777777" w:rsidR="00C56230" w:rsidRPr="008A7BD7" w:rsidRDefault="00C56230" w:rsidP="00C56230">
      <w:pPr>
        <w:pStyle w:val="ListParagraph"/>
        <w:rPr>
          <w:rFonts w:ascii="Cambria" w:eastAsia="Times New Roman" w:hAnsi="Cambria" w:cs="Times New Roman"/>
          <w:color w:val="000000"/>
          <w:sz w:val="20"/>
          <w:szCs w:val="20"/>
          <w:lang w:eastAsia="es-ES"/>
        </w:rPr>
      </w:pPr>
    </w:p>
    <w:p w14:paraId="74330445" w14:textId="3134A4D9" w:rsidR="00C56230" w:rsidRPr="008A7BD7" w:rsidRDefault="00EE1FAB" w:rsidP="00C56230">
      <w:pPr>
        <w:numPr>
          <w:ilvl w:val="0"/>
          <w:numId w:val="2"/>
        </w:numPr>
        <w:suppressAutoHyphens/>
        <w:ind w:left="0" w:firstLine="720"/>
        <w:contextualSpacing/>
        <w:jc w:val="both"/>
        <w:rPr>
          <w:rFonts w:ascii="Cambria" w:eastAsia="Calibri" w:hAnsi="Cambria" w:cs="Times New Roman"/>
          <w:color w:val="000000"/>
          <w:sz w:val="20"/>
          <w:szCs w:val="20"/>
        </w:rPr>
      </w:pPr>
      <w:r w:rsidRPr="008A7BD7">
        <w:rPr>
          <w:rFonts w:ascii="Cambria" w:eastAsia="Times New Roman" w:hAnsi="Cambria" w:cs="Times New Roman"/>
          <w:color w:val="000000"/>
          <w:sz w:val="20"/>
          <w:szCs w:val="20"/>
          <w:lang w:eastAsia="es-ES"/>
        </w:rPr>
        <w:t xml:space="preserve">In that regard, the State of Guatemala </w:t>
      </w:r>
      <w:r w:rsidR="009D4949" w:rsidRPr="008A7BD7">
        <w:rPr>
          <w:rFonts w:ascii="Cambria" w:eastAsia="Times New Roman" w:hAnsi="Cambria" w:cs="Times New Roman"/>
          <w:color w:val="000000"/>
          <w:sz w:val="20"/>
          <w:szCs w:val="20"/>
          <w:lang w:eastAsia="es-ES"/>
        </w:rPr>
        <w:t xml:space="preserve">indicated </w:t>
      </w:r>
      <w:r w:rsidRPr="008A7BD7">
        <w:rPr>
          <w:rFonts w:ascii="Cambria" w:eastAsia="Times New Roman" w:hAnsi="Cambria" w:cs="Times New Roman"/>
          <w:color w:val="000000"/>
          <w:sz w:val="20"/>
          <w:szCs w:val="20"/>
          <w:lang w:eastAsia="es-ES"/>
        </w:rPr>
        <w:t>to the IACHR that in addition to the work done by the Office of the Public Prosecutor</w:t>
      </w:r>
      <w:r w:rsidR="00C56230" w:rsidRPr="008A7BD7">
        <w:rPr>
          <w:rFonts w:ascii="Cambria" w:eastAsia="Times New Roman" w:hAnsi="Cambria" w:cs="Times New Roman"/>
          <w:color w:val="000000"/>
          <w:sz w:val="20"/>
          <w:szCs w:val="20"/>
          <w:lang w:eastAsia="es-ES"/>
        </w:rPr>
        <w:t>,</w:t>
      </w:r>
      <w:r w:rsidRPr="008A7BD7">
        <w:rPr>
          <w:rFonts w:ascii="Cambria" w:eastAsia="Times New Roman" w:hAnsi="Cambria" w:cs="Times New Roman"/>
          <w:color w:val="000000"/>
          <w:sz w:val="20"/>
          <w:szCs w:val="20"/>
          <w:lang w:eastAsia="es-ES"/>
        </w:rPr>
        <w:t xml:space="preserve"> the executive branch has been taking steps to fight corruption. Specifically, as of January 20, </w:t>
      </w:r>
      <w:r w:rsidR="00C56230" w:rsidRPr="008A7BD7">
        <w:rPr>
          <w:rFonts w:ascii="Cambria" w:eastAsia="Times New Roman" w:hAnsi="Cambria" w:cs="Times New Roman"/>
          <w:color w:val="000000"/>
          <w:sz w:val="20"/>
          <w:szCs w:val="20"/>
          <w:lang w:eastAsia="es-ES"/>
        </w:rPr>
        <w:t xml:space="preserve">2020, </w:t>
      </w:r>
      <w:r w:rsidR="008232D2" w:rsidRPr="008A7BD7">
        <w:rPr>
          <w:rFonts w:ascii="Cambria" w:eastAsia="Times New Roman" w:hAnsi="Cambria" w:cs="Times New Roman"/>
          <w:color w:val="000000"/>
          <w:sz w:val="20"/>
          <w:szCs w:val="20"/>
          <w:lang w:eastAsia="es-ES"/>
        </w:rPr>
        <w:t>by means of</w:t>
      </w:r>
      <w:r w:rsidRPr="008A7BD7">
        <w:rPr>
          <w:rFonts w:ascii="Cambria" w:eastAsia="Times New Roman" w:hAnsi="Cambria" w:cs="Times New Roman"/>
          <w:color w:val="000000"/>
          <w:sz w:val="20"/>
          <w:szCs w:val="20"/>
          <w:lang w:eastAsia="es-ES"/>
        </w:rPr>
        <w:t xml:space="preserve"> Governmental </w:t>
      </w:r>
      <w:r w:rsidR="00D85906" w:rsidRPr="008A7BD7">
        <w:rPr>
          <w:rFonts w:ascii="Cambria" w:eastAsia="Times New Roman" w:hAnsi="Cambria" w:cs="Times New Roman"/>
          <w:color w:val="000000"/>
          <w:sz w:val="20"/>
          <w:szCs w:val="20"/>
          <w:lang w:eastAsia="es-ES"/>
        </w:rPr>
        <w:t>Decision</w:t>
      </w:r>
      <w:r w:rsidRPr="008A7BD7">
        <w:rPr>
          <w:rFonts w:ascii="Cambria" w:eastAsia="Times New Roman" w:hAnsi="Cambria" w:cs="Times New Roman"/>
          <w:color w:val="000000"/>
          <w:sz w:val="20"/>
          <w:szCs w:val="20"/>
          <w:lang w:eastAsia="es-ES"/>
        </w:rPr>
        <w:t xml:space="preserve"> </w:t>
      </w:r>
      <w:r w:rsidR="00C56230" w:rsidRPr="008A7BD7">
        <w:rPr>
          <w:rFonts w:ascii="Cambria" w:eastAsia="Times New Roman" w:hAnsi="Cambria" w:cs="Times New Roman"/>
          <w:color w:val="000000"/>
          <w:sz w:val="20"/>
          <w:szCs w:val="20"/>
          <w:lang w:eastAsia="es-ES"/>
        </w:rPr>
        <w:t xml:space="preserve">28-2020, </w:t>
      </w:r>
      <w:r w:rsidRPr="008A7BD7">
        <w:rPr>
          <w:rFonts w:ascii="Cambria" w:eastAsia="Times New Roman" w:hAnsi="Cambria" w:cs="Times New Roman"/>
          <w:color w:val="000000"/>
          <w:sz w:val="20"/>
          <w:szCs w:val="20"/>
          <w:lang w:eastAsia="es-ES"/>
        </w:rPr>
        <w:t>the President of Guatemala, D</w:t>
      </w:r>
      <w:r w:rsidR="00C56230" w:rsidRPr="008A7BD7">
        <w:rPr>
          <w:rFonts w:ascii="Cambria" w:eastAsia="Times New Roman" w:hAnsi="Cambria" w:cs="Times New Roman"/>
          <w:color w:val="000000"/>
          <w:sz w:val="20"/>
          <w:szCs w:val="20"/>
          <w:lang w:eastAsia="es-ES"/>
        </w:rPr>
        <w:t xml:space="preserve">r. Alejandro </w:t>
      </w:r>
      <w:proofErr w:type="spellStart"/>
      <w:r w:rsidR="00C56230" w:rsidRPr="008A7BD7">
        <w:rPr>
          <w:rFonts w:ascii="Cambria" w:eastAsia="Times New Roman" w:hAnsi="Cambria" w:cs="Times New Roman"/>
          <w:color w:val="000000"/>
          <w:sz w:val="20"/>
          <w:szCs w:val="20"/>
          <w:lang w:eastAsia="es-ES"/>
        </w:rPr>
        <w:t>Giammattei</w:t>
      </w:r>
      <w:proofErr w:type="spellEnd"/>
      <w:r w:rsidR="00C56230" w:rsidRPr="008A7BD7">
        <w:rPr>
          <w:rFonts w:ascii="Cambria" w:eastAsia="Times New Roman" w:hAnsi="Cambria" w:cs="Times New Roman"/>
          <w:color w:val="000000"/>
          <w:sz w:val="20"/>
          <w:szCs w:val="20"/>
          <w:lang w:eastAsia="es-ES"/>
        </w:rPr>
        <w:t xml:space="preserve">, </w:t>
      </w:r>
      <w:r w:rsidRPr="008A7BD7">
        <w:rPr>
          <w:rFonts w:ascii="Cambria" w:eastAsia="Times New Roman" w:hAnsi="Cambria" w:cs="Times New Roman"/>
          <w:color w:val="000000"/>
          <w:sz w:val="20"/>
          <w:szCs w:val="20"/>
          <w:lang w:eastAsia="es-ES"/>
        </w:rPr>
        <w:t xml:space="preserve">created the Presidential Commission against </w:t>
      </w:r>
      <w:r w:rsidR="009D4949" w:rsidRPr="008A7BD7">
        <w:rPr>
          <w:rFonts w:ascii="Cambria" w:eastAsia="Times New Roman" w:hAnsi="Cambria" w:cs="Times New Roman"/>
          <w:color w:val="000000"/>
          <w:sz w:val="20"/>
          <w:szCs w:val="20"/>
          <w:lang w:eastAsia="es-ES"/>
        </w:rPr>
        <w:t>Corruption (</w:t>
      </w:r>
      <w:r w:rsidR="00C56230" w:rsidRPr="008A7BD7">
        <w:rPr>
          <w:rFonts w:ascii="Cambria" w:eastAsia="Times New Roman" w:hAnsi="Cambria" w:cs="Times New Roman"/>
          <w:color w:val="000000"/>
          <w:sz w:val="20"/>
          <w:szCs w:val="20"/>
          <w:lang w:eastAsia="es-ES"/>
        </w:rPr>
        <w:t xml:space="preserve">CPCC), </w:t>
      </w:r>
      <w:r w:rsidR="009D4949" w:rsidRPr="008A7BD7">
        <w:rPr>
          <w:rFonts w:ascii="Cambria" w:eastAsia="Times New Roman" w:hAnsi="Cambria" w:cs="Times New Roman"/>
          <w:color w:val="000000"/>
          <w:sz w:val="20"/>
          <w:szCs w:val="20"/>
          <w:lang w:eastAsia="es-ES"/>
        </w:rPr>
        <w:t xml:space="preserve">an institution under the Office of the President of the Republic whose purpose “is to develop mechanisms to prevent and </w:t>
      </w:r>
      <w:r w:rsidR="008232D2" w:rsidRPr="008A7BD7">
        <w:rPr>
          <w:rFonts w:ascii="Cambria" w:eastAsia="Times New Roman" w:hAnsi="Cambria" w:cs="Times New Roman"/>
          <w:color w:val="000000"/>
          <w:sz w:val="20"/>
          <w:szCs w:val="20"/>
          <w:lang w:eastAsia="es-ES"/>
        </w:rPr>
        <w:t>combat</w:t>
      </w:r>
      <w:r w:rsidR="009D4949" w:rsidRPr="008A7BD7">
        <w:rPr>
          <w:rFonts w:ascii="Cambria" w:eastAsia="Times New Roman" w:hAnsi="Cambria" w:cs="Times New Roman"/>
          <w:color w:val="000000"/>
          <w:sz w:val="20"/>
          <w:szCs w:val="20"/>
          <w:lang w:eastAsia="es-ES"/>
        </w:rPr>
        <w:t xml:space="preserve"> corruption in the executive branch and</w:t>
      </w:r>
      <w:r w:rsidR="002417D6" w:rsidRPr="008A7BD7">
        <w:rPr>
          <w:rFonts w:ascii="Cambria" w:eastAsia="Times New Roman" w:hAnsi="Cambria" w:cs="Times New Roman"/>
          <w:color w:val="000000"/>
          <w:sz w:val="20"/>
          <w:szCs w:val="20"/>
          <w:lang w:eastAsia="es-ES"/>
        </w:rPr>
        <w:t>,</w:t>
      </w:r>
      <w:r w:rsidR="009D4949" w:rsidRPr="008A7BD7">
        <w:rPr>
          <w:rFonts w:ascii="Cambria" w:eastAsia="Times New Roman" w:hAnsi="Cambria" w:cs="Times New Roman"/>
          <w:color w:val="000000"/>
          <w:sz w:val="20"/>
          <w:szCs w:val="20"/>
          <w:lang w:eastAsia="es-ES"/>
        </w:rPr>
        <w:t xml:space="preserve"> </w:t>
      </w:r>
      <w:r w:rsidR="002417D6" w:rsidRPr="008A7BD7">
        <w:rPr>
          <w:rFonts w:ascii="Cambria" w:eastAsia="Times New Roman" w:hAnsi="Cambria" w:cs="Times New Roman"/>
          <w:color w:val="000000"/>
          <w:sz w:val="20"/>
          <w:szCs w:val="20"/>
          <w:lang w:eastAsia="es-ES"/>
        </w:rPr>
        <w:t>consequently</w:t>
      </w:r>
      <w:r w:rsidR="009D4949" w:rsidRPr="008A7BD7">
        <w:rPr>
          <w:rFonts w:ascii="Cambria" w:eastAsia="Times New Roman" w:hAnsi="Cambria" w:cs="Times New Roman"/>
          <w:color w:val="000000"/>
          <w:sz w:val="20"/>
          <w:szCs w:val="20"/>
          <w:lang w:eastAsia="es-ES"/>
        </w:rPr>
        <w:t xml:space="preserve">, </w:t>
      </w:r>
      <w:r w:rsidR="008232D2" w:rsidRPr="008A7BD7">
        <w:rPr>
          <w:rFonts w:ascii="Cambria" w:eastAsia="Times New Roman" w:hAnsi="Cambria" w:cs="Times New Roman"/>
          <w:color w:val="000000"/>
          <w:sz w:val="20"/>
          <w:szCs w:val="20"/>
          <w:lang w:eastAsia="es-ES"/>
        </w:rPr>
        <w:t xml:space="preserve">take </w:t>
      </w:r>
      <w:r w:rsidR="009D4949" w:rsidRPr="008A7BD7">
        <w:rPr>
          <w:rFonts w:ascii="Cambria" w:eastAsia="Times New Roman" w:hAnsi="Cambria" w:cs="Times New Roman"/>
          <w:color w:val="000000"/>
          <w:sz w:val="20"/>
          <w:szCs w:val="20"/>
          <w:lang w:eastAsia="es-ES"/>
        </w:rPr>
        <w:t xml:space="preserve">legal </w:t>
      </w:r>
      <w:r w:rsidR="008232D2" w:rsidRPr="008A7BD7">
        <w:rPr>
          <w:rFonts w:ascii="Cambria" w:eastAsia="Times New Roman" w:hAnsi="Cambria" w:cs="Times New Roman"/>
          <w:color w:val="000000"/>
          <w:sz w:val="20"/>
          <w:szCs w:val="20"/>
          <w:lang w:eastAsia="es-ES"/>
        </w:rPr>
        <w:t>steps</w:t>
      </w:r>
      <w:r w:rsidR="009D4949" w:rsidRPr="008A7BD7">
        <w:rPr>
          <w:rFonts w:ascii="Cambria" w:eastAsia="Times New Roman" w:hAnsi="Cambria" w:cs="Times New Roman"/>
          <w:color w:val="000000"/>
          <w:sz w:val="20"/>
          <w:szCs w:val="20"/>
          <w:lang w:eastAsia="es-ES"/>
        </w:rPr>
        <w:t xml:space="preserve"> that would make it possible to recover </w:t>
      </w:r>
      <w:r w:rsidR="006771DE" w:rsidRPr="008A7BD7">
        <w:rPr>
          <w:rFonts w:ascii="Cambria" w:eastAsia="Times New Roman" w:hAnsi="Cambria" w:cs="Times New Roman"/>
          <w:color w:val="000000"/>
          <w:sz w:val="20"/>
          <w:szCs w:val="20"/>
          <w:lang w:eastAsia="es-ES"/>
        </w:rPr>
        <w:lastRenderedPageBreak/>
        <w:t>ill-gotten</w:t>
      </w:r>
      <w:r w:rsidR="009D4949" w:rsidRPr="008A7BD7">
        <w:rPr>
          <w:rFonts w:ascii="Cambria" w:eastAsia="Times New Roman" w:hAnsi="Cambria" w:cs="Times New Roman"/>
          <w:color w:val="000000"/>
          <w:sz w:val="20"/>
          <w:szCs w:val="20"/>
          <w:lang w:eastAsia="es-ES"/>
        </w:rPr>
        <w:t xml:space="preserve"> public funds.”</w:t>
      </w:r>
      <w:r w:rsidR="00C56230" w:rsidRPr="008A7BD7">
        <w:rPr>
          <w:rStyle w:val="FootnoteReference"/>
          <w:rFonts w:ascii="Cambria" w:eastAsia="Times New Roman" w:hAnsi="Cambria" w:cs="Times New Roman"/>
          <w:color w:val="000000"/>
          <w:sz w:val="20"/>
          <w:szCs w:val="20"/>
          <w:lang w:val="es-US" w:eastAsia="es-ES"/>
        </w:rPr>
        <w:footnoteReference w:id="43"/>
      </w:r>
      <w:r w:rsidR="00C56230" w:rsidRPr="008A7BD7">
        <w:rPr>
          <w:rFonts w:ascii="Cambria" w:eastAsia="Times New Roman" w:hAnsi="Cambria" w:cs="Times New Roman"/>
          <w:color w:val="000000"/>
          <w:sz w:val="20"/>
          <w:szCs w:val="20"/>
          <w:lang w:eastAsia="es-ES"/>
        </w:rPr>
        <w:t xml:space="preserve"> </w:t>
      </w:r>
      <w:r w:rsidR="006771DE" w:rsidRPr="008A7BD7">
        <w:rPr>
          <w:rFonts w:ascii="Cambria" w:eastAsia="Times New Roman" w:hAnsi="Cambria" w:cs="Times New Roman"/>
          <w:color w:val="000000"/>
          <w:sz w:val="20"/>
          <w:szCs w:val="20"/>
          <w:lang w:eastAsia="es-ES"/>
        </w:rPr>
        <w:t xml:space="preserve">According to the information provided, in </w:t>
      </w:r>
      <w:r w:rsidR="00C56230" w:rsidRPr="008A7BD7">
        <w:rPr>
          <w:rFonts w:ascii="Cambria" w:eastAsia="Times New Roman" w:hAnsi="Cambria" w:cs="Times New Roman"/>
          <w:color w:val="000000"/>
          <w:sz w:val="20"/>
          <w:szCs w:val="20"/>
          <w:lang w:eastAsia="es-ES"/>
        </w:rPr>
        <w:t xml:space="preserve">2021, </w:t>
      </w:r>
      <w:r w:rsidR="006771DE" w:rsidRPr="008A7BD7">
        <w:rPr>
          <w:rFonts w:ascii="Cambria" w:eastAsia="Times New Roman" w:hAnsi="Cambria" w:cs="Times New Roman"/>
          <w:color w:val="000000"/>
          <w:sz w:val="20"/>
          <w:szCs w:val="20"/>
          <w:lang w:eastAsia="es-ES"/>
        </w:rPr>
        <w:t>the Presidential Commission against Corruption carried out a number of actions, which included</w:t>
      </w:r>
      <w:r w:rsidR="00B13D4B" w:rsidRPr="008A7BD7">
        <w:rPr>
          <w:rFonts w:ascii="Cambria" w:eastAsia="Times New Roman" w:hAnsi="Cambria" w:cs="Times New Roman"/>
          <w:color w:val="000000"/>
          <w:sz w:val="20"/>
          <w:szCs w:val="20"/>
          <w:lang w:eastAsia="es-ES"/>
        </w:rPr>
        <w:t>:</w:t>
      </w:r>
      <w:r w:rsidR="006771DE" w:rsidRPr="008A7BD7">
        <w:rPr>
          <w:rFonts w:ascii="Cambria" w:eastAsia="Times New Roman" w:hAnsi="Cambria" w:cs="Times New Roman"/>
          <w:color w:val="000000"/>
          <w:sz w:val="20"/>
          <w:szCs w:val="20"/>
          <w:lang w:eastAsia="es-ES"/>
        </w:rPr>
        <w:t xml:space="preserve"> issuing recommendations designed to improve compliance with the Access to Public Information Law and thus prevent and </w:t>
      </w:r>
      <w:r w:rsidR="008232D2" w:rsidRPr="008A7BD7">
        <w:rPr>
          <w:rFonts w:ascii="Cambria" w:eastAsia="Times New Roman" w:hAnsi="Cambria" w:cs="Times New Roman"/>
          <w:color w:val="000000"/>
          <w:sz w:val="20"/>
          <w:szCs w:val="20"/>
          <w:lang w:eastAsia="es-ES"/>
        </w:rPr>
        <w:t>combat</w:t>
      </w:r>
      <w:r w:rsidR="006771DE" w:rsidRPr="008A7BD7">
        <w:rPr>
          <w:rFonts w:ascii="Cambria" w:eastAsia="Times New Roman" w:hAnsi="Cambria" w:cs="Times New Roman"/>
          <w:color w:val="000000"/>
          <w:sz w:val="20"/>
          <w:szCs w:val="20"/>
          <w:lang w:eastAsia="es-ES"/>
        </w:rPr>
        <w:t xml:space="preserve"> corruption and </w:t>
      </w:r>
      <w:r w:rsidR="008232D2" w:rsidRPr="008A7BD7">
        <w:rPr>
          <w:rFonts w:ascii="Cambria" w:eastAsia="Times New Roman" w:hAnsi="Cambria" w:cs="Times New Roman"/>
          <w:color w:val="000000"/>
          <w:sz w:val="20"/>
          <w:szCs w:val="20"/>
          <w:lang w:eastAsia="es-ES"/>
        </w:rPr>
        <w:t>promote</w:t>
      </w:r>
      <w:r w:rsidR="006771DE" w:rsidRPr="008A7BD7">
        <w:rPr>
          <w:rFonts w:ascii="Cambria" w:eastAsia="Times New Roman" w:hAnsi="Cambria" w:cs="Times New Roman"/>
          <w:color w:val="000000"/>
          <w:sz w:val="20"/>
          <w:szCs w:val="20"/>
          <w:lang w:eastAsia="es-ES"/>
        </w:rPr>
        <w:t xml:space="preserve"> accountability; </w:t>
      </w:r>
      <w:r w:rsidR="00D33E4D" w:rsidRPr="008A7BD7">
        <w:rPr>
          <w:rFonts w:ascii="Cambria" w:eastAsia="Times New Roman" w:hAnsi="Cambria" w:cs="Times New Roman"/>
          <w:color w:val="000000"/>
          <w:sz w:val="20"/>
          <w:szCs w:val="20"/>
          <w:lang w:eastAsia="es-ES"/>
        </w:rPr>
        <w:t>creating</w:t>
      </w:r>
      <w:r w:rsidR="006771DE" w:rsidRPr="008A7BD7">
        <w:rPr>
          <w:rFonts w:ascii="Cambria" w:eastAsia="Times New Roman" w:hAnsi="Cambria" w:cs="Times New Roman"/>
          <w:color w:val="000000"/>
          <w:sz w:val="20"/>
          <w:szCs w:val="20"/>
          <w:lang w:eastAsia="es-ES"/>
        </w:rPr>
        <w:t xml:space="preserve"> a manual with good practices </w:t>
      </w:r>
      <w:r w:rsidR="001F7FC6" w:rsidRPr="008A7BD7">
        <w:rPr>
          <w:rFonts w:ascii="Cambria" w:eastAsia="Times New Roman" w:hAnsi="Cambria" w:cs="Times New Roman"/>
          <w:color w:val="000000"/>
          <w:sz w:val="20"/>
          <w:szCs w:val="20"/>
          <w:lang w:eastAsia="es-ES"/>
        </w:rPr>
        <w:t>on</w:t>
      </w:r>
      <w:r w:rsidR="006771DE" w:rsidRPr="008A7BD7">
        <w:rPr>
          <w:rFonts w:ascii="Cambria" w:eastAsia="Times New Roman" w:hAnsi="Cambria" w:cs="Times New Roman"/>
          <w:color w:val="000000"/>
          <w:sz w:val="20"/>
          <w:szCs w:val="20"/>
          <w:lang w:eastAsia="es-ES"/>
        </w:rPr>
        <w:t xml:space="preserve"> active transparency and access to public information, which aims to </w:t>
      </w:r>
      <w:r w:rsidR="00D33E4D" w:rsidRPr="008A7BD7">
        <w:rPr>
          <w:rFonts w:ascii="Cambria" w:eastAsia="Times New Roman" w:hAnsi="Cambria" w:cs="Times New Roman"/>
          <w:color w:val="000000"/>
          <w:sz w:val="20"/>
          <w:szCs w:val="20"/>
          <w:lang w:eastAsia="es-ES"/>
        </w:rPr>
        <w:t>take steps to build an effective system of transparency for access to public information; following through with compliance with the international agreements ratified by the State of</w:t>
      </w:r>
      <w:r w:rsidR="00D33E4D" w:rsidRPr="008A7BD7">
        <w:rPr>
          <w:rFonts w:ascii="Cambria" w:eastAsia="Calibri" w:hAnsi="Cambria" w:cs="Times New Roman"/>
          <w:color w:val="000000"/>
          <w:sz w:val="20"/>
          <w:szCs w:val="20"/>
        </w:rPr>
        <w:t xml:space="preserve"> </w:t>
      </w:r>
      <w:r w:rsidR="00C56230" w:rsidRPr="008A7BD7">
        <w:rPr>
          <w:rFonts w:ascii="Cambria" w:eastAsia="Calibri" w:hAnsi="Cambria" w:cs="Times New Roman"/>
          <w:color w:val="000000"/>
          <w:sz w:val="20"/>
          <w:szCs w:val="20"/>
        </w:rPr>
        <w:t xml:space="preserve">Guatemala </w:t>
      </w:r>
      <w:r w:rsidR="00D33E4D" w:rsidRPr="008A7BD7">
        <w:rPr>
          <w:rFonts w:ascii="Cambria" w:eastAsia="Calibri" w:hAnsi="Cambria" w:cs="Times New Roman"/>
          <w:color w:val="000000"/>
          <w:sz w:val="20"/>
          <w:szCs w:val="20"/>
        </w:rPr>
        <w:t xml:space="preserve">in the area of preventing and </w:t>
      </w:r>
      <w:r w:rsidR="001F7FC6" w:rsidRPr="008A7BD7">
        <w:rPr>
          <w:rFonts w:ascii="Cambria" w:eastAsia="Calibri" w:hAnsi="Cambria" w:cs="Times New Roman"/>
          <w:color w:val="000000"/>
          <w:sz w:val="20"/>
          <w:szCs w:val="20"/>
        </w:rPr>
        <w:t>combating</w:t>
      </w:r>
      <w:r w:rsidR="00D33E4D" w:rsidRPr="008A7BD7">
        <w:rPr>
          <w:rFonts w:ascii="Cambria" w:eastAsia="Calibri" w:hAnsi="Cambria" w:cs="Times New Roman"/>
          <w:color w:val="000000"/>
          <w:sz w:val="20"/>
          <w:szCs w:val="20"/>
        </w:rPr>
        <w:t xml:space="preserve"> corruption; and conducting administrative investigations into possible acts of corruption committed in agencies under the executive branch.</w:t>
      </w:r>
      <w:r w:rsidR="00C56230" w:rsidRPr="008A7BD7">
        <w:rPr>
          <w:rStyle w:val="FootnoteReference"/>
          <w:rFonts w:ascii="Cambria" w:eastAsia="Calibri" w:hAnsi="Cambria" w:cs="Times New Roman"/>
          <w:color w:val="000000"/>
          <w:sz w:val="20"/>
          <w:szCs w:val="20"/>
          <w:lang w:val="es-US"/>
        </w:rPr>
        <w:footnoteReference w:id="44"/>
      </w:r>
    </w:p>
    <w:p w14:paraId="5F4D7574" w14:textId="77777777" w:rsidR="00382949" w:rsidRPr="008A7BD7" w:rsidRDefault="00382949" w:rsidP="00304B76">
      <w:pPr>
        <w:contextualSpacing/>
        <w:jc w:val="both"/>
        <w:rPr>
          <w:rFonts w:ascii="Cambria" w:eastAsia="Calibri" w:hAnsi="Cambria" w:cs="Times New Roman"/>
          <w:color w:val="000000"/>
          <w:sz w:val="20"/>
          <w:szCs w:val="20"/>
        </w:rPr>
      </w:pPr>
    </w:p>
    <w:p w14:paraId="1F5D0243" w14:textId="4A438A13" w:rsidR="00706CD2" w:rsidRPr="008A7BD7" w:rsidRDefault="00945CDA" w:rsidP="00706CD2">
      <w:pPr>
        <w:jc w:val="both"/>
        <w:rPr>
          <w:rFonts w:ascii="Cambria" w:eastAsia="Times New Roman" w:hAnsi="Cambria" w:cs="Times New Roman"/>
          <w:b/>
          <w:bCs/>
          <w:i/>
          <w:iCs/>
          <w:color w:val="000000"/>
          <w:sz w:val="20"/>
          <w:szCs w:val="20"/>
          <w:lang w:val="es-US" w:eastAsia="es-ES_tradnl"/>
        </w:rPr>
      </w:pPr>
      <w:proofErr w:type="spellStart"/>
      <w:r w:rsidRPr="008A7BD7">
        <w:rPr>
          <w:rFonts w:ascii="Cambria" w:eastAsia="Times New Roman" w:hAnsi="Cambria" w:cs="Times New Roman"/>
          <w:b/>
          <w:bCs/>
          <w:i/>
          <w:iCs/>
          <w:color w:val="000000"/>
          <w:sz w:val="20"/>
          <w:szCs w:val="20"/>
          <w:lang w:val="es-US" w:eastAsia="es-ES_tradnl"/>
        </w:rPr>
        <w:t>Constitutional</w:t>
      </w:r>
      <w:proofErr w:type="spellEnd"/>
      <w:r w:rsidRPr="008A7BD7">
        <w:rPr>
          <w:rFonts w:ascii="Cambria" w:eastAsia="Times New Roman" w:hAnsi="Cambria" w:cs="Times New Roman"/>
          <w:b/>
          <w:bCs/>
          <w:i/>
          <w:iCs/>
          <w:color w:val="000000"/>
          <w:sz w:val="20"/>
          <w:szCs w:val="20"/>
          <w:lang w:val="es-US" w:eastAsia="es-ES_tradnl"/>
        </w:rPr>
        <w:t xml:space="preserve"> </w:t>
      </w:r>
      <w:proofErr w:type="spellStart"/>
      <w:r w:rsidRPr="008A7BD7">
        <w:rPr>
          <w:rFonts w:ascii="Cambria" w:eastAsia="Times New Roman" w:hAnsi="Cambria" w:cs="Times New Roman"/>
          <w:b/>
          <w:bCs/>
          <w:i/>
          <w:iCs/>
          <w:color w:val="000000"/>
          <w:sz w:val="20"/>
          <w:szCs w:val="20"/>
          <w:lang w:val="es-US" w:eastAsia="es-ES_tradnl"/>
        </w:rPr>
        <w:t>Court</w:t>
      </w:r>
      <w:proofErr w:type="spellEnd"/>
    </w:p>
    <w:p w14:paraId="4E2C756B" w14:textId="77777777" w:rsidR="00706CD2" w:rsidRPr="008A7BD7" w:rsidRDefault="00706CD2" w:rsidP="00706CD2">
      <w:pPr>
        <w:suppressAutoHyphens/>
        <w:jc w:val="both"/>
        <w:rPr>
          <w:rFonts w:ascii="Cambria" w:eastAsia="Times New Roman" w:hAnsi="Cambria" w:cs="Times New Roman"/>
          <w:color w:val="000000"/>
          <w:sz w:val="20"/>
          <w:szCs w:val="20"/>
          <w:lang w:val="es-US" w:eastAsia="es-ES_tradnl"/>
        </w:rPr>
      </w:pPr>
      <w:r w:rsidRPr="008A7BD7">
        <w:rPr>
          <w:rFonts w:ascii="Cambria" w:eastAsia="Times New Roman" w:hAnsi="Cambria" w:cs="Times New Roman"/>
          <w:color w:val="000000"/>
          <w:sz w:val="20"/>
          <w:szCs w:val="20"/>
          <w:lang w:val="es-US" w:eastAsia="es-ES_tradnl"/>
        </w:rPr>
        <w:t xml:space="preserve"> </w:t>
      </w:r>
    </w:p>
    <w:p w14:paraId="1AE1E91D" w14:textId="00D72BA9" w:rsidR="00A115E5" w:rsidRPr="008A7BD7" w:rsidRDefault="00833ADB" w:rsidP="008A2AEC">
      <w:pPr>
        <w:numPr>
          <w:ilvl w:val="0"/>
          <w:numId w:val="2"/>
        </w:numPr>
        <w:suppressAutoHyphens/>
        <w:ind w:left="0" w:firstLine="720"/>
        <w:jc w:val="both"/>
        <w:rPr>
          <w:rFonts w:ascii="Cambria" w:eastAsia="Times New Roman" w:hAnsi="Cambria" w:cs="Calibri"/>
          <w:color w:val="000000"/>
          <w:sz w:val="20"/>
          <w:szCs w:val="20"/>
          <w:lang w:eastAsia="es-ES_tradnl"/>
        </w:rPr>
      </w:pPr>
      <w:r w:rsidRPr="008A7BD7">
        <w:rPr>
          <w:rFonts w:ascii="Cambria" w:eastAsia="Times New Roman" w:hAnsi="Cambria" w:cs="Times New Roman"/>
          <w:color w:val="000000" w:themeColor="text1"/>
          <w:sz w:val="20"/>
          <w:szCs w:val="20"/>
          <w:lang w:eastAsia="es-ES"/>
        </w:rPr>
        <w:t>In</w:t>
      </w:r>
      <w:r w:rsidRPr="008A7BD7">
        <w:rPr>
          <w:rFonts w:ascii="Cambria" w:eastAsia="Times New Roman" w:hAnsi="Cambria" w:cs="Calibri"/>
          <w:color w:val="000000"/>
          <w:sz w:val="20"/>
          <w:szCs w:val="20"/>
          <w:lang w:eastAsia="es-ES_tradnl"/>
        </w:rPr>
        <w:t xml:space="preserve"> recent years, Guatemala’s Constitutional Court </w:t>
      </w:r>
      <w:r w:rsidR="00D42423" w:rsidRPr="008A7BD7">
        <w:rPr>
          <w:rFonts w:ascii="Cambria" w:eastAsia="Times New Roman" w:hAnsi="Cambria" w:cs="Calibri"/>
          <w:color w:val="000000"/>
          <w:sz w:val="20"/>
          <w:szCs w:val="20"/>
          <w:lang w:eastAsia="es-ES_tradnl"/>
        </w:rPr>
        <w:t xml:space="preserve">(CC) </w:t>
      </w:r>
      <w:r w:rsidRPr="008A7BD7">
        <w:rPr>
          <w:rFonts w:ascii="Cambria" w:eastAsia="Times New Roman" w:hAnsi="Cambria" w:cs="Calibri"/>
          <w:color w:val="000000"/>
          <w:sz w:val="20"/>
          <w:szCs w:val="20"/>
          <w:lang w:eastAsia="es-ES_tradnl"/>
        </w:rPr>
        <w:t>stood out for it</w:t>
      </w:r>
      <w:r w:rsidR="003441A5" w:rsidRPr="008A7BD7">
        <w:rPr>
          <w:rFonts w:ascii="Cambria" w:eastAsia="Times New Roman" w:hAnsi="Cambria" w:cs="Calibri"/>
          <w:color w:val="000000"/>
          <w:sz w:val="20"/>
          <w:szCs w:val="20"/>
          <w:lang w:eastAsia="es-ES_tradnl"/>
        </w:rPr>
        <w:t>s</w:t>
      </w:r>
      <w:r w:rsidRPr="008A7BD7">
        <w:rPr>
          <w:rFonts w:ascii="Cambria" w:eastAsia="Times New Roman" w:hAnsi="Cambria" w:cs="Calibri"/>
          <w:color w:val="000000"/>
          <w:sz w:val="20"/>
          <w:szCs w:val="20"/>
          <w:lang w:eastAsia="es-ES_tradnl"/>
        </w:rPr>
        <w:t xml:space="preserve"> work in defense of human rights, democratic institutions, and the principles that govern the democratic system in </w:t>
      </w:r>
      <w:r w:rsidR="003349F3" w:rsidRPr="008A7BD7">
        <w:rPr>
          <w:rFonts w:ascii="Cambria" w:eastAsia="Times New Roman" w:hAnsi="Cambria" w:cs="Calibri"/>
          <w:color w:val="000000"/>
          <w:sz w:val="20"/>
          <w:szCs w:val="20"/>
          <w:lang w:eastAsia="es-ES_tradnl"/>
        </w:rPr>
        <w:t>keeping</w:t>
      </w:r>
      <w:r w:rsidR="00351308" w:rsidRPr="008A7BD7">
        <w:rPr>
          <w:rFonts w:ascii="Cambria" w:eastAsia="Times New Roman" w:hAnsi="Cambria" w:cs="Calibri"/>
          <w:color w:val="000000"/>
          <w:sz w:val="20"/>
          <w:szCs w:val="20"/>
          <w:lang w:eastAsia="es-ES_tradnl"/>
        </w:rPr>
        <w:t xml:space="preserve"> with the country’s Constitution. In </w:t>
      </w:r>
      <w:r w:rsidR="00CE1BB3" w:rsidRPr="008A7BD7">
        <w:rPr>
          <w:rFonts w:ascii="Cambria" w:eastAsia="Times New Roman" w:hAnsi="Cambria" w:cs="Calibri"/>
          <w:color w:val="000000"/>
          <w:sz w:val="20"/>
          <w:szCs w:val="20"/>
          <w:lang w:eastAsia="es-ES_tradnl"/>
        </w:rPr>
        <w:t xml:space="preserve">2017, </w:t>
      </w:r>
      <w:r w:rsidR="00351308" w:rsidRPr="008A7BD7">
        <w:rPr>
          <w:rFonts w:ascii="Cambria" w:eastAsia="Times New Roman" w:hAnsi="Cambria" w:cs="Calibri"/>
          <w:color w:val="000000"/>
          <w:sz w:val="20"/>
          <w:szCs w:val="20"/>
          <w:lang w:eastAsia="es-ES_tradnl"/>
        </w:rPr>
        <w:t xml:space="preserve">the </w:t>
      </w:r>
      <w:r w:rsidR="0092291E" w:rsidRPr="008A7BD7">
        <w:rPr>
          <w:rFonts w:ascii="Cambria" w:eastAsia="Times New Roman" w:hAnsi="Cambria" w:cs="Calibri"/>
          <w:color w:val="000000"/>
          <w:sz w:val="20"/>
          <w:szCs w:val="20"/>
          <w:lang w:eastAsia="es-ES_tradnl"/>
        </w:rPr>
        <w:t xml:space="preserve">Constitutional Court </w:t>
      </w:r>
      <w:r w:rsidR="00351308" w:rsidRPr="008A7BD7">
        <w:rPr>
          <w:rFonts w:ascii="Cambria" w:eastAsia="Times New Roman" w:hAnsi="Cambria" w:cs="Calibri"/>
          <w:color w:val="000000"/>
          <w:sz w:val="20"/>
          <w:szCs w:val="20"/>
          <w:lang w:eastAsia="es-ES_tradnl"/>
        </w:rPr>
        <w:t xml:space="preserve">issued important rulings that suspended the </w:t>
      </w:r>
      <w:r w:rsidR="0092291E" w:rsidRPr="008A7BD7">
        <w:rPr>
          <w:rFonts w:ascii="Cambria" w:eastAsia="Times New Roman" w:hAnsi="Cambria" w:cs="Calibri"/>
          <w:color w:val="000000"/>
          <w:sz w:val="20"/>
          <w:szCs w:val="20"/>
          <w:lang w:eastAsia="es-ES_tradnl"/>
        </w:rPr>
        <w:t xml:space="preserve">President’s </w:t>
      </w:r>
      <w:r w:rsidR="00351308" w:rsidRPr="008A7BD7">
        <w:rPr>
          <w:rFonts w:ascii="Cambria" w:eastAsia="Times New Roman" w:hAnsi="Cambria" w:cs="Calibri"/>
          <w:color w:val="000000"/>
          <w:sz w:val="20"/>
          <w:szCs w:val="20"/>
          <w:lang w:eastAsia="es-ES_tradnl"/>
        </w:rPr>
        <w:t xml:space="preserve">decision to expel CICIG Commissioner </w:t>
      </w:r>
      <w:r w:rsidR="00CE1BB3" w:rsidRPr="008A7BD7">
        <w:rPr>
          <w:rFonts w:ascii="Cambria" w:eastAsia="Times New Roman" w:hAnsi="Cambria" w:cs="Calibri"/>
          <w:color w:val="000000"/>
          <w:sz w:val="20"/>
          <w:szCs w:val="20"/>
          <w:lang w:eastAsia="es-ES_tradnl"/>
        </w:rPr>
        <w:t xml:space="preserve">Iván </w:t>
      </w:r>
      <w:proofErr w:type="spellStart"/>
      <w:r w:rsidR="00CE1BB3" w:rsidRPr="008A7BD7">
        <w:rPr>
          <w:rFonts w:ascii="Cambria" w:eastAsia="Times New Roman" w:hAnsi="Cambria" w:cs="Calibri"/>
          <w:color w:val="000000"/>
          <w:sz w:val="20"/>
          <w:szCs w:val="20"/>
          <w:lang w:eastAsia="es-ES_tradnl"/>
        </w:rPr>
        <w:t>Velásquez</w:t>
      </w:r>
      <w:proofErr w:type="spellEnd"/>
      <w:r w:rsidR="00351308" w:rsidRPr="008A7BD7">
        <w:rPr>
          <w:rFonts w:ascii="Cambria" w:eastAsia="Times New Roman" w:hAnsi="Cambria" w:cs="Calibri"/>
          <w:color w:val="000000"/>
          <w:sz w:val="20"/>
          <w:szCs w:val="20"/>
          <w:lang w:eastAsia="es-ES_tradnl"/>
        </w:rPr>
        <w:t xml:space="preserve"> from the country and to bring the mandate of the </w:t>
      </w:r>
      <w:r w:rsidR="00CE1BB3" w:rsidRPr="008A7BD7">
        <w:rPr>
          <w:rFonts w:ascii="Cambria" w:eastAsia="Times New Roman" w:hAnsi="Cambria" w:cs="Calibri"/>
          <w:color w:val="000000"/>
          <w:sz w:val="20"/>
          <w:szCs w:val="20"/>
          <w:lang w:eastAsia="es-ES_tradnl"/>
        </w:rPr>
        <w:t>CICIG</w:t>
      </w:r>
      <w:r w:rsidR="00351308" w:rsidRPr="008A7BD7">
        <w:rPr>
          <w:rFonts w:ascii="Cambria" w:eastAsia="Times New Roman" w:hAnsi="Cambria" w:cs="Calibri"/>
          <w:color w:val="000000"/>
          <w:sz w:val="20"/>
          <w:szCs w:val="20"/>
          <w:lang w:eastAsia="es-ES_tradnl"/>
        </w:rPr>
        <w:t xml:space="preserve"> to </w:t>
      </w:r>
      <w:r w:rsidR="000B65F5" w:rsidRPr="008A7BD7">
        <w:rPr>
          <w:rFonts w:ascii="Cambria" w:eastAsia="Times New Roman" w:hAnsi="Cambria" w:cs="Calibri"/>
          <w:color w:val="000000"/>
          <w:sz w:val="20"/>
          <w:szCs w:val="20"/>
          <w:lang w:eastAsia="es-ES_tradnl"/>
        </w:rPr>
        <w:t>a close</w:t>
      </w:r>
      <w:r w:rsidR="00CE1BB3" w:rsidRPr="008A7BD7">
        <w:rPr>
          <w:rFonts w:ascii="Cambria" w:eastAsia="Times New Roman" w:hAnsi="Cambria" w:cs="Calibri"/>
          <w:color w:val="000000"/>
          <w:sz w:val="20"/>
          <w:szCs w:val="20"/>
          <w:lang w:eastAsia="es-ES_tradnl"/>
        </w:rPr>
        <w:t xml:space="preserve">. </w:t>
      </w:r>
      <w:r w:rsidR="00630FD7" w:rsidRPr="008A7BD7">
        <w:rPr>
          <w:rFonts w:ascii="Cambria" w:eastAsia="Times New Roman" w:hAnsi="Cambria" w:cs="Calibri"/>
          <w:color w:val="000000"/>
          <w:sz w:val="20"/>
          <w:szCs w:val="20"/>
          <w:lang w:eastAsia="es-ES_tradnl"/>
        </w:rPr>
        <w:t xml:space="preserve">In </w:t>
      </w:r>
      <w:r w:rsidR="00CE1BB3" w:rsidRPr="008A7BD7">
        <w:rPr>
          <w:rFonts w:ascii="Cambria" w:eastAsia="Times New Roman" w:hAnsi="Cambria" w:cs="Calibri"/>
          <w:color w:val="000000"/>
          <w:sz w:val="20"/>
          <w:szCs w:val="20"/>
          <w:lang w:eastAsia="es-ES_tradnl"/>
        </w:rPr>
        <w:t xml:space="preserve">2019, </w:t>
      </w:r>
      <w:r w:rsidR="00630FD7" w:rsidRPr="008A7BD7">
        <w:rPr>
          <w:rFonts w:ascii="Cambria" w:eastAsia="Times New Roman" w:hAnsi="Cambria" w:cs="Calibri"/>
          <w:color w:val="000000"/>
          <w:sz w:val="20"/>
          <w:szCs w:val="20"/>
          <w:lang w:eastAsia="es-ES_tradnl"/>
        </w:rPr>
        <w:t xml:space="preserve">the same </w:t>
      </w:r>
      <w:r w:rsidR="000B65F5" w:rsidRPr="008A7BD7">
        <w:rPr>
          <w:rFonts w:ascii="Cambria" w:eastAsia="Times New Roman" w:hAnsi="Cambria" w:cs="Calibri"/>
          <w:color w:val="000000"/>
          <w:sz w:val="20"/>
          <w:szCs w:val="20"/>
          <w:lang w:eastAsia="es-ES_tradnl"/>
        </w:rPr>
        <w:t>Constitutional Court</w:t>
      </w:r>
      <w:r w:rsidR="00CE1BB3" w:rsidRPr="008A7BD7">
        <w:rPr>
          <w:rFonts w:ascii="Cambria" w:eastAsia="Times New Roman" w:hAnsi="Cambria" w:cs="Calibri"/>
          <w:color w:val="000000"/>
          <w:sz w:val="20"/>
          <w:szCs w:val="20"/>
          <w:lang w:eastAsia="es-ES_tradnl"/>
        </w:rPr>
        <w:t xml:space="preserve"> </w:t>
      </w:r>
      <w:r w:rsidR="00630FD7" w:rsidRPr="008A7BD7">
        <w:rPr>
          <w:rFonts w:ascii="Cambria" w:eastAsia="Times New Roman" w:hAnsi="Cambria" w:cs="Calibri"/>
          <w:color w:val="000000"/>
          <w:sz w:val="20"/>
          <w:szCs w:val="20"/>
          <w:lang w:eastAsia="es-ES_tradnl"/>
        </w:rPr>
        <w:t xml:space="preserve">invalidated the process of selecting and </w:t>
      </w:r>
      <w:r w:rsidR="000B65F5" w:rsidRPr="008A7BD7">
        <w:rPr>
          <w:rFonts w:ascii="Cambria" w:eastAsia="Times New Roman" w:hAnsi="Cambria" w:cs="Calibri"/>
          <w:color w:val="000000"/>
          <w:sz w:val="20"/>
          <w:szCs w:val="20"/>
          <w:lang w:eastAsia="es-ES_tradnl"/>
        </w:rPr>
        <w:t>n</w:t>
      </w:r>
      <w:r w:rsidR="00630FD7" w:rsidRPr="008A7BD7">
        <w:rPr>
          <w:rFonts w:ascii="Cambria" w:eastAsia="Times New Roman" w:hAnsi="Cambria" w:cs="Calibri"/>
          <w:color w:val="000000"/>
          <w:sz w:val="20"/>
          <w:szCs w:val="20"/>
          <w:lang w:eastAsia="es-ES_tradnl"/>
        </w:rPr>
        <w:t xml:space="preserve">ominating judges to </w:t>
      </w:r>
      <w:r w:rsidR="003349F3" w:rsidRPr="008A7BD7">
        <w:rPr>
          <w:rFonts w:ascii="Cambria" w:eastAsia="Times New Roman" w:hAnsi="Cambria" w:cs="Calibri"/>
          <w:color w:val="000000"/>
          <w:sz w:val="20"/>
          <w:szCs w:val="20"/>
          <w:lang w:eastAsia="es-ES_tradnl"/>
        </w:rPr>
        <w:t xml:space="preserve">serve on </w:t>
      </w:r>
      <w:r w:rsidR="00630FD7" w:rsidRPr="008A7BD7">
        <w:rPr>
          <w:rFonts w:ascii="Cambria" w:eastAsia="Times New Roman" w:hAnsi="Cambria" w:cs="Calibri"/>
          <w:color w:val="000000"/>
          <w:sz w:val="20"/>
          <w:szCs w:val="20"/>
          <w:lang w:eastAsia="es-ES_tradnl"/>
        </w:rPr>
        <w:t xml:space="preserve">chambers of the Court of Appeals and other </w:t>
      </w:r>
      <w:r w:rsidR="004D39C0" w:rsidRPr="008A7BD7">
        <w:rPr>
          <w:rFonts w:ascii="Cambria" w:eastAsia="Times New Roman" w:hAnsi="Cambria" w:cs="Calibri"/>
          <w:color w:val="000000"/>
          <w:sz w:val="20"/>
          <w:szCs w:val="20"/>
          <w:lang w:eastAsia="es-ES_tradnl"/>
        </w:rPr>
        <w:t xml:space="preserve">collegiate </w:t>
      </w:r>
      <w:r w:rsidR="0092291E" w:rsidRPr="008A7BD7">
        <w:rPr>
          <w:rFonts w:ascii="Cambria" w:eastAsia="Times New Roman" w:hAnsi="Cambria" w:cs="Calibri"/>
          <w:color w:val="000000"/>
          <w:sz w:val="20"/>
          <w:szCs w:val="20"/>
          <w:lang w:eastAsia="es-ES_tradnl"/>
        </w:rPr>
        <w:t>H</w:t>
      </w:r>
      <w:r w:rsidR="000B65F5" w:rsidRPr="008A7BD7">
        <w:rPr>
          <w:rFonts w:ascii="Cambria" w:eastAsia="Times New Roman" w:hAnsi="Cambria" w:cs="Calibri"/>
          <w:color w:val="000000"/>
          <w:sz w:val="20"/>
          <w:szCs w:val="20"/>
          <w:lang w:eastAsia="es-ES_tradnl"/>
        </w:rPr>
        <w:t xml:space="preserve">igh </w:t>
      </w:r>
      <w:r w:rsidR="0092291E" w:rsidRPr="008A7BD7">
        <w:rPr>
          <w:rFonts w:ascii="Cambria" w:eastAsia="Times New Roman" w:hAnsi="Cambria" w:cs="Calibri"/>
          <w:color w:val="000000"/>
          <w:sz w:val="20"/>
          <w:szCs w:val="20"/>
          <w:lang w:eastAsia="es-ES_tradnl"/>
        </w:rPr>
        <w:t>C</w:t>
      </w:r>
      <w:r w:rsidR="000B65F5" w:rsidRPr="008A7BD7">
        <w:rPr>
          <w:rFonts w:ascii="Cambria" w:eastAsia="Times New Roman" w:hAnsi="Cambria" w:cs="Calibri"/>
          <w:color w:val="000000"/>
          <w:sz w:val="20"/>
          <w:szCs w:val="20"/>
          <w:lang w:eastAsia="es-ES_tradnl"/>
        </w:rPr>
        <w:t>ourts, and ordered the Congress to carry out a process under the requirements established in Article</w:t>
      </w:r>
      <w:r w:rsidR="000B65F5" w:rsidRPr="008A7BD7">
        <w:rPr>
          <w:rFonts w:ascii="Cambria" w:hAnsi="Cambria"/>
          <w:color w:val="000000"/>
          <w:spacing w:val="-1"/>
          <w:sz w:val="20"/>
          <w:szCs w:val="20"/>
        </w:rPr>
        <w:t xml:space="preserve"> </w:t>
      </w:r>
      <w:r w:rsidR="00CE1BB3" w:rsidRPr="008A7BD7">
        <w:rPr>
          <w:rFonts w:ascii="Cambria" w:hAnsi="Cambria"/>
          <w:color w:val="000000"/>
          <w:spacing w:val="-1"/>
          <w:sz w:val="20"/>
          <w:szCs w:val="20"/>
        </w:rPr>
        <w:t xml:space="preserve">113 </w:t>
      </w:r>
      <w:r w:rsidR="000B65F5" w:rsidRPr="008A7BD7">
        <w:rPr>
          <w:rFonts w:ascii="Cambria" w:hAnsi="Cambria"/>
          <w:color w:val="000000"/>
          <w:spacing w:val="-1"/>
          <w:sz w:val="20"/>
          <w:szCs w:val="20"/>
        </w:rPr>
        <w:t>of the Constitution.</w:t>
      </w:r>
      <w:r w:rsidR="00CE1BB3" w:rsidRPr="008A7BD7">
        <w:rPr>
          <w:rStyle w:val="FootnoteReference"/>
          <w:rFonts w:ascii="Cambria" w:hAnsi="Cambria"/>
          <w:color w:val="000000"/>
          <w:spacing w:val="-1"/>
          <w:sz w:val="20"/>
          <w:szCs w:val="20"/>
          <w:lang w:val="es-ES"/>
        </w:rPr>
        <w:footnoteReference w:id="45"/>
      </w:r>
      <w:r w:rsidR="00A115E5" w:rsidRPr="008A7BD7">
        <w:rPr>
          <w:rFonts w:ascii="Cambria" w:eastAsia="Times New Roman" w:hAnsi="Cambria" w:cs="Calibri"/>
          <w:color w:val="000000"/>
          <w:sz w:val="20"/>
          <w:szCs w:val="20"/>
          <w:lang w:eastAsia="es-ES_tradnl"/>
        </w:rPr>
        <w:t xml:space="preserve"> </w:t>
      </w:r>
      <w:r w:rsidR="000B65F5" w:rsidRPr="008A7BD7">
        <w:rPr>
          <w:rFonts w:ascii="Cambria" w:eastAsia="Times New Roman" w:hAnsi="Cambria" w:cs="Times New Roman"/>
          <w:color w:val="000000"/>
          <w:sz w:val="20"/>
          <w:szCs w:val="20"/>
          <w:lang w:eastAsia="es-ES"/>
        </w:rPr>
        <w:t xml:space="preserve">As a consequence, the IACHR has been receiving information for several years </w:t>
      </w:r>
      <w:r w:rsidR="003349F3" w:rsidRPr="008A7BD7">
        <w:rPr>
          <w:rFonts w:ascii="Cambria" w:eastAsia="Times New Roman" w:hAnsi="Cambria" w:cs="Times New Roman"/>
          <w:color w:val="000000"/>
          <w:sz w:val="20"/>
          <w:szCs w:val="20"/>
          <w:lang w:eastAsia="es-ES"/>
        </w:rPr>
        <w:t>concerning</w:t>
      </w:r>
      <w:r w:rsidR="000B65F5" w:rsidRPr="008A7BD7">
        <w:rPr>
          <w:rFonts w:ascii="Cambria" w:eastAsia="Times New Roman" w:hAnsi="Cambria" w:cs="Times New Roman"/>
          <w:color w:val="000000"/>
          <w:sz w:val="20"/>
          <w:szCs w:val="20"/>
          <w:lang w:eastAsia="es-ES"/>
        </w:rPr>
        <w:t xml:space="preserve"> attacks on and interference with the independence of the Constitutional Court, and these </w:t>
      </w:r>
      <w:r w:rsidR="0092291E" w:rsidRPr="008A7BD7">
        <w:rPr>
          <w:rFonts w:ascii="Cambria" w:eastAsia="Times New Roman" w:hAnsi="Cambria" w:cs="Times New Roman"/>
          <w:color w:val="000000"/>
          <w:sz w:val="20"/>
          <w:szCs w:val="20"/>
          <w:lang w:eastAsia="es-ES"/>
        </w:rPr>
        <w:t xml:space="preserve">incidents </w:t>
      </w:r>
      <w:r w:rsidR="000B65F5" w:rsidRPr="008A7BD7">
        <w:rPr>
          <w:rFonts w:ascii="Cambria" w:eastAsia="Times New Roman" w:hAnsi="Cambria" w:cs="Times New Roman"/>
          <w:color w:val="000000"/>
          <w:sz w:val="20"/>
          <w:szCs w:val="20"/>
          <w:lang w:eastAsia="es-ES"/>
        </w:rPr>
        <w:t xml:space="preserve">intensified in 2021. </w:t>
      </w:r>
    </w:p>
    <w:p w14:paraId="349C440E" w14:textId="77777777" w:rsidR="00A115E5" w:rsidRPr="008A7BD7" w:rsidRDefault="00A115E5" w:rsidP="00A115E5">
      <w:pPr>
        <w:ind w:left="720"/>
        <w:jc w:val="both"/>
        <w:rPr>
          <w:rFonts w:ascii="Cambria" w:eastAsia="Times New Roman" w:hAnsi="Cambria" w:cs="Calibri"/>
          <w:color w:val="000000"/>
          <w:sz w:val="20"/>
          <w:szCs w:val="20"/>
          <w:lang w:eastAsia="es-ES_tradnl"/>
        </w:rPr>
      </w:pPr>
    </w:p>
    <w:p w14:paraId="1AA162BD" w14:textId="35605B20" w:rsidR="00706CD2" w:rsidRPr="008A7BD7" w:rsidRDefault="004864A0" w:rsidP="008A2AEC">
      <w:pPr>
        <w:numPr>
          <w:ilvl w:val="0"/>
          <w:numId w:val="2"/>
        </w:numPr>
        <w:ind w:left="0" w:firstLine="720"/>
        <w:jc w:val="both"/>
        <w:rPr>
          <w:rFonts w:ascii="Cambria" w:eastAsia="Times New Roman" w:hAnsi="Cambria" w:cs="Calibri"/>
          <w:color w:val="000000"/>
          <w:sz w:val="20"/>
          <w:szCs w:val="20"/>
          <w:lang w:eastAsia="es-ES_tradnl"/>
        </w:rPr>
      </w:pPr>
      <w:r w:rsidRPr="008A7BD7">
        <w:rPr>
          <w:rFonts w:ascii="Cambria" w:eastAsia="Times New Roman" w:hAnsi="Cambria" w:cs="Times New Roman"/>
          <w:color w:val="000000"/>
          <w:sz w:val="20"/>
          <w:szCs w:val="20"/>
          <w:lang w:eastAsia="es-ES"/>
        </w:rPr>
        <w:t xml:space="preserve">During the period in question, the IACHR </w:t>
      </w:r>
      <w:r w:rsidR="003B0775" w:rsidRPr="008A7BD7">
        <w:rPr>
          <w:rFonts w:ascii="Cambria" w:eastAsia="Times New Roman" w:hAnsi="Cambria" w:cs="Times New Roman"/>
          <w:color w:val="000000"/>
          <w:sz w:val="20"/>
          <w:szCs w:val="20"/>
          <w:lang w:eastAsia="es-ES"/>
        </w:rPr>
        <w:t>took note</w:t>
      </w:r>
      <w:r w:rsidR="00B05358" w:rsidRPr="008A7BD7">
        <w:rPr>
          <w:rFonts w:ascii="Cambria" w:eastAsia="Times New Roman" w:hAnsi="Cambria" w:cs="Times New Roman"/>
          <w:color w:val="000000"/>
          <w:sz w:val="20"/>
          <w:szCs w:val="20"/>
          <w:lang w:eastAsia="es-ES"/>
        </w:rPr>
        <w:t xml:space="preserve"> of complaints about irregularities in the process to select and appoint the </w:t>
      </w:r>
      <w:r w:rsidR="000D6099" w:rsidRPr="008A7BD7">
        <w:rPr>
          <w:rFonts w:ascii="Cambria" w:eastAsia="Times New Roman" w:hAnsi="Cambria" w:cs="Times New Roman"/>
          <w:color w:val="000000"/>
          <w:sz w:val="20"/>
          <w:szCs w:val="20"/>
          <w:lang w:eastAsia="es-ES"/>
        </w:rPr>
        <w:t>judges</w:t>
      </w:r>
      <w:r w:rsidR="00B05358" w:rsidRPr="008A7BD7">
        <w:rPr>
          <w:rFonts w:ascii="Cambria" w:eastAsia="Times New Roman" w:hAnsi="Cambria" w:cs="Times New Roman"/>
          <w:color w:val="000000"/>
          <w:sz w:val="20"/>
          <w:szCs w:val="20"/>
          <w:lang w:eastAsia="es-ES"/>
        </w:rPr>
        <w:t xml:space="preserve"> who would make up the Constitutional Court during the </w:t>
      </w:r>
      <w:r w:rsidR="00706CD2" w:rsidRPr="008A7BD7">
        <w:rPr>
          <w:rFonts w:ascii="Cambria" w:eastAsia="Times New Roman" w:hAnsi="Cambria" w:cs="Times New Roman"/>
          <w:color w:val="000000"/>
          <w:sz w:val="20"/>
          <w:szCs w:val="20"/>
          <w:lang w:eastAsia="es-ES"/>
        </w:rPr>
        <w:t>2021-2026</w:t>
      </w:r>
      <w:r w:rsidR="00B05358" w:rsidRPr="008A7BD7">
        <w:rPr>
          <w:rFonts w:ascii="Cambria" w:eastAsia="Times New Roman" w:hAnsi="Cambria" w:cs="Times New Roman"/>
          <w:color w:val="000000"/>
          <w:sz w:val="20"/>
          <w:szCs w:val="20"/>
          <w:lang w:eastAsia="es-ES"/>
        </w:rPr>
        <w:t xml:space="preserve"> term</w:t>
      </w:r>
      <w:r w:rsidR="00706CD2" w:rsidRPr="008A7BD7">
        <w:rPr>
          <w:rFonts w:ascii="Cambria" w:eastAsia="Times New Roman" w:hAnsi="Cambria" w:cs="Times New Roman"/>
          <w:color w:val="000000"/>
          <w:sz w:val="20"/>
          <w:szCs w:val="20"/>
          <w:lang w:eastAsia="es-ES"/>
        </w:rPr>
        <w:t>,</w:t>
      </w:r>
      <w:r w:rsidR="00B05358" w:rsidRPr="008A7BD7">
        <w:rPr>
          <w:rFonts w:ascii="Cambria" w:eastAsia="Times New Roman" w:hAnsi="Cambria" w:cs="Times New Roman"/>
          <w:color w:val="000000"/>
          <w:sz w:val="20"/>
          <w:szCs w:val="20"/>
          <w:lang w:eastAsia="es-ES"/>
        </w:rPr>
        <w:t xml:space="preserve"> as well as about threats and attacks on the judicial independence of t</w:t>
      </w:r>
      <w:r w:rsidR="000D6099" w:rsidRPr="008A7BD7">
        <w:rPr>
          <w:rFonts w:ascii="Cambria" w:eastAsia="Times New Roman" w:hAnsi="Cambria" w:cs="Times New Roman"/>
          <w:color w:val="000000"/>
          <w:sz w:val="20"/>
          <w:szCs w:val="20"/>
          <w:lang w:eastAsia="es-ES"/>
        </w:rPr>
        <w:t xml:space="preserve">he judges </w:t>
      </w:r>
      <w:r w:rsidR="00106782" w:rsidRPr="008A7BD7">
        <w:rPr>
          <w:rFonts w:ascii="Cambria" w:eastAsia="Times New Roman" w:hAnsi="Cambria" w:cs="Times New Roman"/>
          <w:color w:val="000000"/>
          <w:sz w:val="20"/>
          <w:szCs w:val="20"/>
          <w:lang w:eastAsia="es-ES"/>
        </w:rPr>
        <w:t xml:space="preserve">on </w:t>
      </w:r>
      <w:r w:rsidR="000D6099" w:rsidRPr="008A7BD7">
        <w:rPr>
          <w:rFonts w:ascii="Cambria" w:eastAsia="Times New Roman" w:hAnsi="Cambria" w:cs="Times New Roman"/>
          <w:color w:val="000000"/>
          <w:sz w:val="20"/>
          <w:szCs w:val="20"/>
          <w:lang w:eastAsia="es-ES"/>
        </w:rPr>
        <w:t>the</w:t>
      </w:r>
      <w:r w:rsidR="00106782" w:rsidRPr="008A7BD7">
        <w:rPr>
          <w:rFonts w:ascii="Cambria" w:eastAsia="Times New Roman" w:hAnsi="Cambria" w:cs="Times New Roman"/>
          <w:color w:val="000000"/>
          <w:sz w:val="20"/>
          <w:szCs w:val="20"/>
          <w:lang w:eastAsia="es-ES"/>
        </w:rPr>
        <w:t xml:space="preserve"> </w:t>
      </w:r>
      <w:r w:rsidR="00B05358" w:rsidRPr="008A7BD7">
        <w:rPr>
          <w:rFonts w:ascii="Cambria" w:eastAsia="Times New Roman" w:hAnsi="Cambria" w:cs="Times New Roman"/>
          <w:color w:val="000000"/>
          <w:sz w:val="20"/>
          <w:szCs w:val="20"/>
          <w:lang w:eastAsia="es-ES"/>
        </w:rPr>
        <w:t xml:space="preserve">Court, through </w:t>
      </w:r>
      <w:r w:rsidR="00545028" w:rsidRPr="008A7BD7">
        <w:rPr>
          <w:rFonts w:ascii="Cambria" w:eastAsia="Times New Roman" w:hAnsi="Cambria" w:cs="Times New Roman"/>
          <w:color w:val="000000"/>
          <w:sz w:val="20"/>
          <w:szCs w:val="20"/>
          <w:lang w:eastAsia="es-ES"/>
        </w:rPr>
        <w:t xml:space="preserve">the </w:t>
      </w:r>
      <w:r w:rsidR="00B05358" w:rsidRPr="008A7BD7">
        <w:rPr>
          <w:rFonts w:ascii="Cambria" w:eastAsia="Times New Roman" w:hAnsi="Cambria" w:cs="Times New Roman"/>
          <w:color w:val="000000"/>
          <w:sz w:val="20"/>
          <w:szCs w:val="20"/>
          <w:lang w:eastAsia="es-ES"/>
        </w:rPr>
        <w:t>alleged abuse of</w:t>
      </w:r>
      <w:r w:rsidR="00545028" w:rsidRPr="008A7BD7">
        <w:rPr>
          <w:rFonts w:ascii="Cambria" w:eastAsia="Times New Roman" w:hAnsi="Cambria" w:cs="Times New Roman"/>
          <w:color w:val="000000"/>
          <w:sz w:val="20"/>
          <w:szCs w:val="20"/>
          <w:lang w:eastAsia="es-ES"/>
        </w:rPr>
        <w:t xml:space="preserve"> motions for impeachment, or</w:t>
      </w:r>
      <w:r w:rsidR="00B05358" w:rsidRPr="008A7BD7">
        <w:rPr>
          <w:rFonts w:ascii="Cambria" w:eastAsia="Times New Roman" w:hAnsi="Cambria" w:cs="Times New Roman"/>
          <w:color w:val="000000"/>
          <w:sz w:val="20"/>
          <w:szCs w:val="20"/>
          <w:lang w:eastAsia="es-ES"/>
        </w:rPr>
        <w:t xml:space="preserve"> </w:t>
      </w:r>
      <w:proofErr w:type="spellStart"/>
      <w:r w:rsidR="00124C6F" w:rsidRPr="008A7BD7">
        <w:rPr>
          <w:rFonts w:ascii="Cambria" w:eastAsia="Times New Roman" w:hAnsi="Cambria" w:cs="Times New Roman"/>
          <w:i/>
          <w:iCs/>
          <w:color w:val="000000"/>
          <w:sz w:val="20"/>
          <w:szCs w:val="20"/>
          <w:lang w:eastAsia="es-ES"/>
        </w:rPr>
        <w:t>antejuicio</w:t>
      </w:r>
      <w:proofErr w:type="spellEnd"/>
      <w:r w:rsidR="00B05358" w:rsidRPr="008A7BD7">
        <w:rPr>
          <w:rFonts w:ascii="Cambria" w:eastAsia="Times New Roman" w:hAnsi="Cambria" w:cs="Times New Roman"/>
          <w:color w:val="000000"/>
          <w:sz w:val="20"/>
          <w:szCs w:val="20"/>
          <w:lang w:eastAsia="es-ES"/>
        </w:rPr>
        <w:t xml:space="preserve"> proceedings. The IACHR was </w:t>
      </w:r>
      <w:r w:rsidR="00545028" w:rsidRPr="008A7BD7">
        <w:rPr>
          <w:rFonts w:ascii="Cambria" w:eastAsia="Times New Roman" w:hAnsi="Cambria" w:cs="Times New Roman"/>
          <w:color w:val="000000"/>
          <w:sz w:val="20"/>
          <w:szCs w:val="20"/>
          <w:lang w:eastAsia="es-ES"/>
        </w:rPr>
        <w:t>informed</w:t>
      </w:r>
      <w:r w:rsidR="00B05358" w:rsidRPr="008A7BD7">
        <w:rPr>
          <w:rFonts w:ascii="Cambria" w:eastAsia="Times New Roman" w:hAnsi="Cambria" w:cs="Times New Roman"/>
          <w:color w:val="000000"/>
          <w:sz w:val="20"/>
          <w:szCs w:val="20"/>
          <w:lang w:eastAsia="es-ES"/>
        </w:rPr>
        <w:t xml:space="preserve"> that such actions sought to co-opt the Constitutional Court </w:t>
      </w:r>
      <w:proofErr w:type="gramStart"/>
      <w:r w:rsidR="00106782" w:rsidRPr="008A7BD7">
        <w:rPr>
          <w:rFonts w:ascii="Cambria" w:eastAsia="Times New Roman" w:hAnsi="Cambria" w:cs="Times New Roman"/>
          <w:color w:val="000000"/>
          <w:sz w:val="20"/>
          <w:szCs w:val="20"/>
          <w:lang w:eastAsia="es-ES"/>
        </w:rPr>
        <w:t xml:space="preserve">in order </w:t>
      </w:r>
      <w:r w:rsidR="00B05358" w:rsidRPr="008A7BD7">
        <w:rPr>
          <w:rFonts w:ascii="Cambria" w:eastAsia="Times New Roman" w:hAnsi="Cambria" w:cs="Times New Roman"/>
          <w:color w:val="000000"/>
          <w:sz w:val="20"/>
          <w:szCs w:val="20"/>
          <w:lang w:eastAsia="es-ES"/>
        </w:rPr>
        <w:t>to</w:t>
      </w:r>
      <w:proofErr w:type="gramEnd"/>
      <w:r w:rsidR="00B05358" w:rsidRPr="008A7BD7">
        <w:rPr>
          <w:rFonts w:ascii="Cambria" w:eastAsia="Times New Roman" w:hAnsi="Cambria" w:cs="Times New Roman"/>
          <w:color w:val="000000"/>
          <w:sz w:val="20"/>
          <w:szCs w:val="20"/>
          <w:lang w:eastAsia="es-ES"/>
        </w:rPr>
        <w:t xml:space="preserve"> perpetuate impunity</w:t>
      </w:r>
      <w:r w:rsidR="00545028" w:rsidRPr="008A7BD7">
        <w:rPr>
          <w:rFonts w:ascii="Cambria" w:eastAsia="Times New Roman" w:hAnsi="Cambria" w:cs="Times New Roman"/>
          <w:color w:val="000000"/>
          <w:sz w:val="20"/>
          <w:szCs w:val="20"/>
          <w:lang w:eastAsia="es-ES"/>
        </w:rPr>
        <w:t>,</w:t>
      </w:r>
      <w:r w:rsidR="00B05358" w:rsidRPr="008A7BD7">
        <w:rPr>
          <w:rFonts w:ascii="Cambria" w:eastAsia="Times New Roman" w:hAnsi="Cambria" w:cs="Times New Roman"/>
          <w:color w:val="000000"/>
          <w:sz w:val="20"/>
          <w:szCs w:val="20"/>
          <w:lang w:eastAsia="es-ES"/>
        </w:rPr>
        <w:t xml:space="preserve"> and constituted retaliation for the independent work they had done in recent years in the country.</w:t>
      </w:r>
      <w:r w:rsidR="00271D8A" w:rsidRPr="008A7BD7">
        <w:rPr>
          <w:rStyle w:val="FootnoteReference"/>
          <w:rFonts w:ascii="Cambria" w:eastAsia="Times New Roman" w:hAnsi="Cambria" w:cs="Calibri Light"/>
          <w:color w:val="000000"/>
          <w:sz w:val="20"/>
          <w:szCs w:val="20"/>
          <w:lang w:val="es-UY" w:eastAsia="es-ES"/>
        </w:rPr>
        <w:footnoteReference w:id="46"/>
      </w:r>
    </w:p>
    <w:p w14:paraId="3C55B079" w14:textId="77777777" w:rsidR="00706CD2" w:rsidRPr="008A7BD7" w:rsidRDefault="00706CD2" w:rsidP="00706CD2">
      <w:pPr>
        <w:suppressAutoHyphens/>
        <w:ind w:left="720"/>
        <w:jc w:val="both"/>
        <w:rPr>
          <w:rFonts w:ascii="Cambria" w:eastAsia="Times New Roman" w:hAnsi="Cambria" w:cs="Calibri"/>
          <w:color w:val="000000"/>
          <w:sz w:val="20"/>
          <w:szCs w:val="20"/>
          <w:lang w:eastAsia="es-ES_tradnl"/>
        </w:rPr>
      </w:pPr>
    </w:p>
    <w:p w14:paraId="23E3A2FB" w14:textId="03199A52" w:rsidR="00023A23" w:rsidRPr="008A7BD7" w:rsidRDefault="00981870" w:rsidP="008A2AEC">
      <w:pPr>
        <w:numPr>
          <w:ilvl w:val="0"/>
          <w:numId w:val="2"/>
        </w:numPr>
        <w:ind w:left="0" w:firstLine="720"/>
        <w:jc w:val="both"/>
        <w:rPr>
          <w:rFonts w:ascii="Cambria" w:eastAsia="Times New Roman" w:hAnsi="Cambria" w:cs="Times New Roman"/>
          <w:color w:val="000000"/>
          <w:sz w:val="20"/>
          <w:szCs w:val="20"/>
          <w:lang w:eastAsia="es-ES_tradnl"/>
        </w:rPr>
      </w:pPr>
      <w:r w:rsidRPr="008A7BD7">
        <w:rPr>
          <w:rFonts w:ascii="Cambria" w:eastAsia="Times New Roman" w:hAnsi="Cambria" w:cs="Calibri"/>
          <w:color w:val="000000"/>
          <w:sz w:val="20"/>
          <w:szCs w:val="20"/>
          <w:lang w:eastAsia="es-ES"/>
        </w:rPr>
        <w:t>First</w:t>
      </w:r>
      <w:r w:rsidR="00706CD2" w:rsidRPr="008A7BD7">
        <w:rPr>
          <w:rFonts w:ascii="Cambria" w:eastAsia="Times New Roman" w:hAnsi="Cambria" w:cs="Calibri"/>
          <w:color w:val="000000"/>
          <w:sz w:val="20"/>
          <w:szCs w:val="20"/>
          <w:lang w:eastAsia="es-ES"/>
        </w:rPr>
        <w:t xml:space="preserve">, </w:t>
      </w:r>
      <w:r w:rsidRPr="008A7BD7">
        <w:rPr>
          <w:rFonts w:ascii="Cambria" w:eastAsia="Times New Roman" w:hAnsi="Cambria" w:cs="Calibri"/>
          <w:color w:val="000000"/>
          <w:sz w:val="20"/>
          <w:szCs w:val="20"/>
          <w:lang w:eastAsia="es-ES"/>
        </w:rPr>
        <w:t xml:space="preserve">the IACHR observed that on January </w:t>
      </w:r>
      <w:r w:rsidR="00706CD2" w:rsidRPr="008A7BD7">
        <w:rPr>
          <w:rFonts w:ascii="Cambria" w:eastAsia="Times New Roman" w:hAnsi="Cambria" w:cs="Calibri"/>
          <w:color w:val="000000"/>
          <w:sz w:val="20"/>
          <w:szCs w:val="20"/>
          <w:lang w:eastAsia="es-ES"/>
        </w:rPr>
        <w:t>18</w:t>
      </w:r>
      <w:r w:rsidRPr="008A7BD7">
        <w:rPr>
          <w:rFonts w:ascii="Cambria" w:eastAsia="Times New Roman" w:hAnsi="Cambria" w:cs="Calibri"/>
          <w:color w:val="000000"/>
          <w:sz w:val="20"/>
          <w:szCs w:val="20"/>
          <w:lang w:eastAsia="es-ES"/>
        </w:rPr>
        <w:t xml:space="preserve">, </w:t>
      </w:r>
      <w:r w:rsidR="00706CD2" w:rsidRPr="008A7BD7">
        <w:rPr>
          <w:rFonts w:ascii="Cambria" w:eastAsia="Times New Roman" w:hAnsi="Cambria" w:cs="Calibri"/>
          <w:color w:val="000000"/>
          <w:sz w:val="20"/>
          <w:szCs w:val="20"/>
          <w:lang w:eastAsia="es-ES"/>
        </w:rPr>
        <w:t xml:space="preserve">2021, </w:t>
      </w:r>
      <w:r w:rsidRPr="008A7BD7">
        <w:rPr>
          <w:rFonts w:ascii="Cambria" w:eastAsia="Times New Roman" w:hAnsi="Cambria" w:cs="Calibri"/>
          <w:color w:val="000000"/>
          <w:sz w:val="20"/>
          <w:szCs w:val="20"/>
          <w:lang w:eastAsia="es-ES"/>
        </w:rPr>
        <w:t xml:space="preserve">the </w:t>
      </w:r>
      <w:r w:rsidR="003950D4" w:rsidRPr="008A7BD7">
        <w:rPr>
          <w:rFonts w:ascii="Cambria" w:eastAsia="Times New Roman" w:hAnsi="Cambria" w:cs="Calibri"/>
          <w:color w:val="000000"/>
          <w:sz w:val="20"/>
          <w:szCs w:val="20"/>
          <w:lang w:eastAsia="es-ES"/>
        </w:rPr>
        <w:t xml:space="preserve">Guatemalan </w:t>
      </w:r>
      <w:r w:rsidR="006B22D8" w:rsidRPr="008A7BD7">
        <w:rPr>
          <w:rFonts w:ascii="Cambria" w:eastAsia="Times New Roman" w:hAnsi="Cambria" w:cs="Calibri"/>
          <w:color w:val="000000"/>
          <w:sz w:val="20"/>
          <w:szCs w:val="20"/>
          <w:lang w:eastAsia="es-ES"/>
        </w:rPr>
        <w:t>B</w:t>
      </w:r>
      <w:r w:rsidR="003950D4" w:rsidRPr="008A7BD7">
        <w:rPr>
          <w:rFonts w:ascii="Cambria" w:eastAsia="Times New Roman" w:hAnsi="Cambria" w:cs="Calibri"/>
          <w:color w:val="000000"/>
          <w:sz w:val="20"/>
          <w:szCs w:val="20"/>
          <w:lang w:eastAsia="es-ES"/>
        </w:rPr>
        <w:t xml:space="preserve">ar </w:t>
      </w:r>
      <w:r w:rsidR="006B22D8" w:rsidRPr="008A7BD7">
        <w:rPr>
          <w:rFonts w:ascii="Cambria" w:eastAsia="Times New Roman" w:hAnsi="Cambria" w:cs="Calibri"/>
          <w:color w:val="000000"/>
          <w:sz w:val="20"/>
          <w:szCs w:val="20"/>
          <w:lang w:eastAsia="es-ES"/>
        </w:rPr>
        <w:t>A</w:t>
      </w:r>
      <w:r w:rsidR="003950D4" w:rsidRPr="008A7BD7">
        <w:rPr>
          <w:rFonts w:ascii="Cambria" w:eastAsia="Times New Roman" w:hAnsi="Cambria" w:cs="Calibri"/>
          <w:color w:val="000000"/>
          <w:sz w:val="20"/>
          <w:szCs w:val="20"/>
          <w:lang w:eastAsia="es-ES"/>
        </w:rPr>
        <w:t xml:space="preserve">ssociation </w:t>
      </w:r>
      <w:r w:rsidR="006D185C" w:rsidRPr="008A7BD7">
        <w:rPr>
          <w:rFonts w:ascii="Cambria" w:eastAsia="Times New Roman" w:hAnsi="Cambria" w:cs="Calibri"/>
          <w:color w:val="000000"/>
          <w:sz w:val="20"/>
          <w:szCs w:val="20"/>
          <w:lang w:eastAsia="es-ES"/>
        </w:rPr>
        <w:t>(</w:t>
      </w:r>
      <w:r w:rsidR="00706CD2" w:rsidRPr="008A7BD7">
        <w:rPr>
          <w:rFonts w:ascii="Cambria" w:eastAsia="Times New Roman" w:hAnsi="Cambria" w:cs="Calibri"/>
          <w:color w:val="000000"/>
          <w:sz w:val="20"/>
          <w:szCs w:val="20"/>
          <w:lang w:eastAsia="es-ES"/>
        </w:rPr>
        <w:t xml:space="preserve">Colegio de Abogados y </w:t>
      </w:r>
      <w:proofErr w:type="spellStart"/>
      <w:r w:rsidR="00706CD2" w:rsidRPr="008A7BD7">
        <w:rPr>
          <w:rFonts w:ascii="Cambria" w:eastAsia="Times New Roman" w:hAnsi="Cambria" w:cs="Calibri"/>
          <w:color w:val="000000"/>
          <w:sz w:val="20"/>
          <w:szCs w:val="20"/>
          <w:lang w:eastAsia="es-ES"/>
        </w:rPr>
        <w:t>Notarios</w:t>
      </w:r>
      <w:proofErr w:type="spellEnd"/>
      <w:r w:rsidR="00706CD2" w:rsidRPr="008A7BD7">
        <w:rPr>
          <w:rFonts w:ascii="Cambria" w:eastAsia="Times New Roman" w:hAnsi="Cambria" w:cs="Calibri"/>
          <w:color w:val="000000"/>
          <w:sz w:val="20"/>
          <w:szCs w:val="20"/>
          <w:lang w:eastAsia="es-ES"/>
        </w:rPr>
        <w:t xml:space="preserve"> de </w:t>
      </w:r>
      <w:r w:rsidR="00706CD2" w:rsidRPr="008A7BD7">
        <w:rPr>
          <w:rFonts w:ascii="Cambria" w:eastAsia="Times New Roman" w:hAnsi="Cambria" w:cs="Times New Roman"/>
          <w:color w:val="000000"/>
          <w:sz w:val="20"/>
          <w:szCs w:val="20"/>
          <w:lang w:eastAsia="es-ES"/>
        </w:rPr>
        <w:t>Guatemala</w:t>
      </w:r>
      <w:r w:rsidR="006D185C" w:rsidRPr="008A7BD7">
        <w:rPr>
          <w:rFonts w:ascii="Cambria" w:eastAsia="Times New Roman" w:hAnsi="Cambria" w:cs="Times New Roman"/>
          <w:color w:val="000000"/>
          <w:sz w:val="20"/>
          <w:szCs w:val="20"/>
          <w:lang w:eastAsia="es-ES"/>
        </w:rPr>
        <w:t>,</w:t>
      </w:r>
      <w:r w:rsidR="006D185C" w:rsidRPr="008A7BD7">
        <w:rPr>
          <w:rFonts w:ascii="Cambria" w:eastAsia="Times New Roman" w:hAnsi="Cambria" w:cs="Calibri"/>
          <w:color w:val="000000"/>
          <w:sz w:val="20"/>
          <w:szCs w:val="20"/>
          <w:lang w:eastAsia="es-ES"/>
        </w:rPr>
        <w:t xml:space="preserve"> </w:t>
      </w:r>
      <w:r w:rsidR="00706CD2" w:rsidRPr="008A7BD7">
        <w:rPr>
          <w:rFonts w:ascii="Cambria" w:eastAsia="Times New Roman" w:hAnsi="Cambria" w:cs="Calibri"/>
          <w:color w:val="000000"/>
          <w:sz w:val="20"/>
          <w:szCs w:val="20"/>
          <w:lang w:eastAsia="es-ES"/>
        </w:rPr>
        <w:t xml:space="preserve">CANG) </w:t>
      </w:r>
      <w:r w:rsidR="00091EE7" w:rsidRPr="008A7BD7">
        <w:rPr>
          <w:rFonts w:ascii="Cambria" w:eastAsia="Times New Roman" w:hAnsi="Cambria" w:cs="Calibri"/>
          <w:color w:val="000000"/>
          <w:sz w:val="20"/>
          <w:szCs w:val="20"/>
          <w:lang w:eastAsia="es-ES"/>
        </w:rPr>
        <w:t>selected</w:t>
      </w:r>
      <w:r w:rsidR="006D185C" w:rsidRPr="008A7BD7">
        <w:rPr>
          <w:rFonts w:ascii="Cambria" w:eastAsia="Times New Roman" w:hAnsi="Cambria" w:cs="Calibri"/>
          <w:color w:val="000000"/>
          <w:sz w:val="20"/>
          <w:szCs w:val="20"/>
          <w:lang w:eastAsia="es-ES"/>
        </w:rPr>
        <w:t xml:space="preserve"> </w:t>
      </w:r>
      <w:proofErr w:type="spellStart"/>
      <w:r w:rsidR="006D185C" w:rsidRPr="008A7BD7">
        <w:rPr>
          <w:rFonts w:ascii="Cambria" w:eastAsia="Times New Roman" w:hAnsi="Cambria" w:cs="Calibri"/>
          <w:color w:val="000000"/>
          <w:sz w:val="20"/>
          <w:szCs w:val="20"/>
          <w:lang w:eastAsia="es-ES"/>
        </w:rPr>
        <w:t>Mynor</w:t>
      </w:r>
      <w:proofErr w:type="spellEnd"/>
      <w:r w:rsidR="006D185C" w:rsidRPr="008A7BD7">
        <w:rPr>
          <w:rFonts w:ascii="Cambria" w:eastAsia="Times New Roman" w:hAnsi="Cambria" w:cs="Calibri"/>
          <w:color w:val="000000"/>
          <w:sz w:val="20"/>
          <w:szCs w:val="20"/>
          <w:lang w:eastAsia="es-ES"/>
        </w:rPr>
        <w:t xml:space="preserve"> Moto, w</w:t>
      </w:r>
      <w:r w:rsidR="00152F19" w:rsidRPr="008A7BD7">
        <w:rPr>
          <w:rFonts w:ascii="Cambria" w:eastAsia="Times New Roman" w:hAnsi="Cambria" w:cs="Calibri"/>
          <w:color w:val="000000"/>
          <w:sz w:val="20"/>
          <w:szCs w:val="20"/>
          <w:lang w:eastAsia="es-ES"/>
        </w:rPr>
        <w:t xml:space="preserve">ho was </w:t>
      </w:r>
      <w:r w:rsidR="006D185C" w:rsidRPr="008A7BD7">
        <w:rPr>
          <w:rFonts w:ascii="Cambria" w:eastAsia="Times New Roman" w:hAnsi="Cambria" w:cs="Calibri"/>
          <w:color w:val="000000"/>
          <w:sz w:val="20"/>
          <w:szCs w:val="20"/>
          <w:lang w:eastAsia="es-ES"/>
        </w:rPr>
        <w:t xml:space="preserve">then a </w:t>
      </w:r>
      <w:r w:rsidR="00545028" w:rsidRPr="008A7BD7">
        <w:rPr>
          <w:rFonts w:ascii="Cambria" w:eastAsia="Times New Roman" w:hAnsi="Cambria" w:cs="Calibri"/>
          <w:color w:val="000000"/>
          <w:sz w:val="20"/>
          <w:szCs w:val="20"/>
          <w:lang w:eastAsia="es-ES"/>
        </w:rPr>
        <w:t>criminal</w:t>
      </w:r>
      <w:r w:rsidR="006D185C" w:rsidRPr="008A7BD7">
        <w:rPr>
          <w:rFonts w:ascii="Cambria" w:eastAsia="Times New Roman" w:hAnsi="Cambria" w:cs="Calibri"/>
          <w:color w:val="000000"/>
          <w:sz w:val="20"/>
          <w:szCs w:val="20"/>
          <w:lang w:eastAsia="es-ES"/>
        </w:rPr>
        <w:t xml:space="preserve"> court judge</w:t>
      </w:r>
      <w:r w:rsidR="00152F19" w:rsidRPr="008A7BD7">
        <w:rPr>
          <w:rFonts w:ascii="Cambria" w:eastAsia="Times New Roman" w:hAnsi="Cambria" w:cs="Calibri"/>
          <w:color w:val="000000"/>
          <w:sz w:val="20"/>
          <w:szCs w:val="20"/>
          <w:lang w:eastAsia="es-ES"/>
        </w:rPr>
        <w:t xml:space="preserve"> of first instance</w:t>
      </w:r>
      <w:r w:rsidR="006D185C" w:rsidRPr="008A7BD7">
        <w:rPr>
          <w:rFonts w:ascii="Cambria" w:eastAsia="Times New Roman" w:hAnsi="Cambria" w:cs="Calibri"/>
          <w:color w:val="000000"/>
          <w:sz w:val="20"/>
          <w:szCs w:val="20"/>
          <w:lang w:eastAsia="es-ES"/>
        </w:rPr>
        <w:t xml:space="preserve">, to serve </w:t>
      </w:r>
      <w:r w:rsidR="000E1833" w:rsidRPr="008A7BD7">
        <w:rPr>
          <w:rFonts w:ascii="Cambria" w:eastAsia="Times New Roman" w:hAnsi="Cambria" w:cs="Calibri"/>
          <w:color w:val="000000"/>
          <w:sz w:val="20"/>
          <w:szCs w:val="20"/>
          <w:lang w:eastAsia="es-ES"/>
        </w:rPr>
        <w:t>on</w:t>
      </w:r>
      <w:r w:rsidR="006D185C" w:rsidRPr="008A7BD7">
        <w:rPr>
          <w:rFonts w:ascii="Cambria" w:eastAsia="Times New Roman" w:hAnsi="Cambria" w:cs="Calibri"/>
          <w:color w:val="000000"/>
          <w:sz w:val="20"/>
          <w:szCs w:val="20"/>
          <w:lang w:eastAsia="es-ES"/>
        </w:rPr>
        <w:t xml:space="preserve"> the </w:t>
      </w:r>
      <w:r w:rsidR="00152F19" w:rsidRPr="008A7BD7">
        <w:rPr>
          <w:rFonts w:ascii="Cambria" w:eastAsia="Times New Roman" w:hAnsi="Cambria" w:cs="Times New Roman"/>
          <w:color w:val="000000"/>
          <w:sz w:val="20"/>
          <w:szCs w:val="20"/>
          <w:lang w:eastAsia="es-ES"/>
        </w:rPr>
        <w:t>Constitutional Court</w:t>
      </w:r>
      <w:r w:rsidR="00152F19" w:rsidRPr="008A7BD7">
        <w:rPr>
          <w:rFonts w:ascii="Cambria" w:eastAsia="Times New Roman" w:hAnsi="Cambria" w:cs="Calibri"/>
          <w:color w:val="000000"/>
          <w:sz w:val="20"/>
          <w:szCs w:val="20"/>
          <w:lang w:eastAsia="es-ES"/>
        </w:rPr>
        <w:t xml:space="preserve"> </w:t>
      </w:r>
      <w:r w:rsidR="006D185C" w:rsidRPr="008A7BD7">
        <w:rPr>
          <w:rFonts w:ascii="Cambria" w:eastAsia="Times New Roman" w:hAnsi="Cambria" w:cs="Calibri"/>
          <w:color w:val="000000"/>
          <w:sz w:val="20"/>
          <w:szCs w:val="20"/>
          <w:lang w:eastAsia="es-ES"/>
        </w:rPr>
        <w:t xml:space="preserve">for the </w:t>
      </w:r>
      <w:r w:rsidR="00706CD2" w:rsidRPr="008A7BD7">
        <w:rPr>
          <w:rFonts w:ascii="Cambria" w:eastAsia="Times New Roman" w:hAnsi="Cambria" w:cs="Calibri"/>
          <w:color w:val="000000"/>
          <w:sz w:val="20"/>
          <w:szCs w:val="20"/>
          <w:lang w:eastAsia="es-ES"/>
        </w:rPr>
        <w:t xml:space="preserve">2016-2021 </w:t>
      </w:r>
      <w:r w:rsidR="006D185C" w:rsidRPr="008A7BD7">
        <w:rPr>
          <w:rFonts w:ascii="Cambria" w:eastAsia="Times New Roman" w:hAnsi="Cambria" w:cs="Calibri"/>
          <w:color w:val="000000"/>
          <w:sz w:val="20"/>
          <w:szCs w:val="20"/>
          <w:lang w:eastAsia="es-ES"/>
        </w:rPr>
        <w:t xml:space="preserve">term, </w:t>
      </w:r>
      <w:r w:rsidR="00152F19" w:rsidRPr="008A7BD7">
        <w:rPr>
          <w:rFonts w:ascii="Cambria" w:eastAsia="Times New Roman" w:hAnsi="Cambria" w:cs="Calibri"/>
          <w:color w:val="000000"/>
          <w:sz w:val="20"/>
          <w:szCs w:val="20"/>
          <w:lang w:eastAsia="es-ES"/>
        </w:rPr>
        <w:t>replacing</w:t>
      </w:r>
      <w:r w:rsidR="006D185C" w:rsidRPr="008A7BD7">
        <w:rPr>
          <w:rFonts w:ascii="Cambria" w:eastAsia="Times New Roman" w:hAnsi="Cambria" w:cs="Calibri"/>
          <w:color w:val="000000"/>
          <w:sz w:val="20"/>
          <w:szCs w:val="20"/>
          <w:lang w:eastAsia="es-ES"/>
        </w:rPr>
        <w:t xml:space="preserve"> </w:t>
      </w:r>
      <w:proofErr w:type="spellStart"/>
      <w:r w:rsidR="00706CD2" w:rsidRPr="008A7BD7">
        <w:rPr>
          <w:rFonts w:ascii="Cambria" w:eastAsia="Times New Roman" w:hAnsi="Cambria" w:cs="Calibri"/>
          <w:color w:val="000000"/>
          <w:sz w:val="20"/>
          <w:szCs w:val="20"/>
          <w:lang w:eastAsia="es-ES"/>
        </w:rPr>
        <w:t>Bonerge</w:t>
      </w:r>
      <w:proofErr w:type="spellEnd"/>
      <w:r w:rsidR="00706CD2" w:rsidRPr="008A7BD7">
        <w:rPr>
          <w:rFonts w:ascii="Cambria" w:eastAsia="Times New Roman" w:hAnsi="Cambria" w:cs="Calibri"/>
          <w:color w:val="000000"/>
          <w:sz w:val="20"/>
          <w:szCs w:val="20"/>
          <w:lang w:eastAsia="es-ES"/>
        </w:rPr>
        <w:t xml:space="preserve"> Mejía Orellana</w:t>
      </w:r>
      <w:r w:rsidR="006D185C" w:rsidRPr="008A7BD7">
        <w:rPr>
          <w:rFonts w:ascii="Cambria" w:eastAsia="Times New Roman" w:hAnsi="Cambria" w:cs="Calibri"/>
          <w:color w:val="000000"/>
          <w:sz w:val="20"/>
          <w:szCs w:val="20"/>
          <w:lang w:eastAsia="es-ES"/>
        </w:rPr>
        <w:t>.</w:t>
      </w:r>
      <w:r w:rsidR="00706CD2" w:rsidRPr="008A7BD7">
        <w:rPr>
          <w:rFonts w:ascii="Cambria" w:eastAsia="Calibri" w:hAnsi="Cambria" w:cs="Calibri"/>
          <w:color w:val="000000"/>
          <w:sz w:val="20"/>
          <w:szCs w:val="20"/>
          <w:vertAlign w:val="superscript"/>
          <w:lang w:val="es-US" w:eastAsia="es-ES"/>
        </w:rPr>
        <w:footnoteReference w:id="47"/>
      </w:r>
      <w:r w:rsidR="00706CD2" w:rsidRPr="008A7BD7">
        <w:rPr>
          <w:rFonts w:ascii="Cambria" w:eastAsia="Times New Roman" w:hAnsi="Cambria" w:cs="Calibri"/>
          <w:color w:val="000000"/>
          <w:sz w:val="20"/>
          <w:szCs w:val="20"/>
          <w:lang w:eastAsia="es-ES"/>
        </w:rPr>
        <w:t xml:space="preserve"> </w:t>
      </w:r>
      <w:r w:rsidR="00152F19" w:rsidRPr="008A7BD7">
        <w:rPr>
          <w:rFonts w:ascii="Cambria" w:eastAsia="Times New Roman" w:hAnsi="Cambria" w:cs="Calibri"/>
          <w:color w:val="000000"/>
          <w:sz w:val="20"/>
          <w:szCs w:val="20"/>
          <w:lang w:eastAsia="es-ES"/>
        </w:rPr>
        <w:t>For their part, c</w:t>
      </w:r>
      <w:r w:rsidR="00073102" w:rsidRPr="008A7BD7">
        <w:rPr>
          <w:rFonts w:ascii="Cambria" w:eastAsia="Times New Roman" w:hAnsi="Cambria" w:cs="Calibri"/>
          <w:color w:val="000000"/>
          <w:sz w:val="20"/>
          <w:szCs w:val="20"/>
          <w:lang w:eastAsia="es-ES"/>
        </w:rPr>
        <w:t>ivil society organizations complained that he did not meet the minimum requirements of suitability, capa</w:t>
      </w:r>
      <w:r w:rsidR="00BF07E1" w:rsidRPr="008A7BD7">
        <w:rPr>
          <w:rFonts w:ascii="Cambria" w:eastAsia="Times New Roman" w:hAnsi="Cambria" w:cs="Calibri"/>
          <w:color w:val="000000"/>
          <w:sz w:val="20"/>
          <w:szCs w:val="20"/>
          <w:lang w:eastAsia="es-ES"/>
        </w:rPr>
        <w:t>bili</w:t>
      </w:r>
      <w:r w:rsidR="00073102" w:rsidRPr="008A7BD7">
        <w:rPr>
          <w:rFonts w:ascii="Cambria" w:eastAsia="Times New Roman" w:hAnsi="Cambria" w:cs="Calibri"/>
          <w:color w:val="000000"/>
          <w:sz w:val="20"/>
          <w:szCs w:val="20"/>
          <w:lang w:eastAsia="es-ES"/>
        </w:rPr>
        <w:t xml:space="preserve">ty, integrity, and honor to hold the position, due to the decisions </w:t>
      </w:r>
      <w:r w:rsidR="00091EE7" w:rsidRPr="008A7BD7">
        <w:rPr>
          <w:rFonts w:ascii="Cambria" w:eastAsia="Times New Roman" w:hAnsi="Cambria" w:cs="Calibri"/>
          <w:color w:val="000000"/>
          <w:sz w:val="20"/>
          <w:szCs w:val="20"/>
          <w:lang w:eastAsia="es-ES"/>
        </w:rPr>
        <w:t xml:space="preserve">he had </w:t>
      </w:r>
      <w:r w:rsidR="00073102" w:rsidRPr="008A7BD7">
        <w:rPr>
          <w:rFonts w:ascii="Cambria" w:eastAsia="Times New Roman" w:hAnsi="Cambria" w:cs="Calibri"/>
          <w:color w:val="000000"/>
          <w:sz w:val="20"/>
          <w:szCs w:val="20"/>
          <w:lang w:eastAsia="es-ES"/>
        </w:rPr>
        <w:t>handed down</w:t>
      </w:r>
      <w:r w:rsidR="00091EE7" w:rsidRPr="008A7BD7">
        <w:rPr>
          <w:rFonts w:ascii="Cambria" w:eastAsia="Times New Roman" w:hAnsi="Cambria" w:cs="Calibri"/>
          <w:color w:val="000000"/>
          <w:sz w:val="20"/>
          <w:szCs w:val="20"/>
          <w:lang w:eastAsia="es-ES"/>
        </w:rPr>
        <w:t xml:space="preserve"> </w:t>
      </w:r>
      <w:r w:rsidR="00073102" w:rsidRPr="008A7BD7">
        <w:rPr>
          <w:rFonts w:ascii="Cambria" w:eastAsia="Times New Roman" w:hAnsi="Cambria" w:cs="Calibri"/>
          <w:color w:val="000000"/>
          <w:sz w:val="20"/>
          <w:szCs w:val="20"/>
          <w:lang w:eastAsia="es-ES"/>
        </w:rPr>
        <w:t xml:space="preserve">and his alleged participation in various </w:t>
      </w:r>
      <w:r w:rsidR="003C7D66" w:rsidRPr="008A7BD7">
        <w:rPr>
          <w:rFonts w:ascii="Cambria" w:eastAsia="Times New Roman" w:hAnsi="Cambria" w:cs="Calibri"/>
          <w:color w:val="000000"/>
          <w:sz w:val="20"/>
          <w:szCs w:val="20"/>
          <w:lang w:eastAsia="es-ES"/>
        </w:rPr>
        <w:t xml:space="preserve">high-profile national </w:t>
      </w:r>
      <w:r w:rsidR="00073102" w:rsidRPr="008A7BD7">
        <w:rPr>
          <w:rFonts w:ascii="Cambria" w:eastAsia="Times New Roman" w:hAnsi="Cambria" w:cs="Calibri"/>
          <w:color w:val="000000"/>
          <w:sz w:val="20"/>
          <w:szCs w:val="20"/>
          <w:lang w:eastAsia="es-ES"/>
        </w:rPr>
        <w:t>corruption cases.</w:t>
      </w:r>
      <w:r w:rsidR="008E7882" w:rsidRPr="008A7BD7">
        <w:rPr>
          <w:rStyle w:val="FootnoteReference"/>
          <w:rFonts w:ascii="Cambria" w:eastAsia="Calibri" w:hAnsi="Cambria" w:cs="Calibri"/>
          <w:sz w:val="20"/>
          <w:szCs w:val="20"/>
          <w:lang w:val="es-MX" w:eastAsia="es-ES"/>
        </w:rPr>
        <w:footnoteReference w:id="48"/>
      </w:r>
      <w:r w:rsidR="00073102" w:rsidRPr="008A7BD7">
        <w:rPr>
          <w:rFonts w:ascii="Cambria" w:eastAsia="Times New Roman" w:hAnsi="Cambria" w:cs="Calibri"/>
          <w:color w:val="000000"/>
          <w:sz w:val="20"/>
          <w:szCs w:val="20"/>
          <w:lang w:eastAsia="es-ES"/>
        </w:rPr>
        <w:t xml:space="preserve"> </w:t>
      </w:r>
      <w:r w:rsidR="000E1833" w:rsidRPr="008A7BD7">
        <w:rPr>
          <w:rFonts w:ascii="Cambria" w:eastAsia="Times New Roman" w:hAnsi="Cambria" w:cs="Calibri"/>
          <w:color w:val="000000"/>
          <w:sz w:val="20"/>
          <w:szCs w:val="20"/>
          <w:lang w:eastAsia="es-ES"/>
        </w:rPr>
        <w:t xml:space="preserve">For example, without having been assigned the “Parallel Commissions 2020” case, he heard an appeal to </w:t>
      </w:r>
      <w:r w:rsidR="003950D4" w:rsidRPr="008A7BD7">
        <w:rPr>
          <w:rFonts w:ascii="Cambria" w:eastAsia="Times New Roman" w:hAnsi="Cambria" w:cs="Calibri"/>
          <w:color w:val="000000"/>
          <w:sz w:val="20"/>
          <w:szCs w:val="20"/>
          <w:lang w:eastAsia="es-ES"/>
        </w:rPr>
        <w:t>remove</w:t>
      </w:r>
      <w:r w:rsidR="000E1833" w:rsidRPr="008A7BD7">
        <w:rPr>
          <w:rFonts w:ascii="Cambria" w:eastAsia="Times New Roman" w:hAnsi="Cambria" w:cs="Calibri"/>
          <w:color w:val="000000"/>
          <w:sz w:val="20"/>
          <w:szCs w:val="20"/>
          <w:lang w:eastAsia="es-ES"/>
        </w:rPr>
        <w:t xml:space="preserve"> </w:t>
      </w:r>
      <w:r w:rsidR="00B97E70" w:rsidRPr="008A7BD7">
        <w:rPr>
          <w:rFonts w:ascii="Cambria" w:eastAsia="Times New Roman" w:hAnsi="Cambria" w:cs="Calibri"/>
          <w:color w:val="000000"/>
          <w:sz w:val="20"/>
          <w:szCs w:val="20"/>
          <w:lang w:eastAsia="es-ES"/>
        </w:rPr>
        <w:t xml:space="preserve">Judge Erika </w:t>
      </w:r>
      <w:proofErr w:type="spellStart"/>
      <w:r w:rsidR="00B97E70" w:rsidRPr="008A7BD7">
        <w:rPr>
          <w:rFonts w:ascii="Cambria" w:eastAsia="Times New Roman" w:hAnsi="Cambria" w:cs="Calibri"/>
          <w:color w:val="000000"/>
          <w:sz w:val="20"/>
          <w:szCs w:val="20"/>
          <w:lang w:eastAsia="es-ES"/>
        </w:rPr>
        <w:t>Aifán</w:t>
      </w:r>
      <w:proofErr w:type="spellEnd"/>
      <w:r w:rsidR="00091EE7" w:rsidRPr="008A7BD7">
        <w:rPr>
          <w:rFonts w:ascii="Cambria" w:eastAsia="Times New Roman" w:hAnsi="Cambria" w:cs="Calibri"/>
          <w:color w:val="000000"/>
          <w:sz w:val="20"/>
          <w:szCs w:val="20"/>
          <w:lang w:eastAsia="es-ES"/>
        </w:rPr>
        <w:t>,</w:t>
      </w:r>
      <w:r w:rsidR="00B97E70" w:rsidRPr="008A7BD7">
        <w:rPr>
          <w:rFonts w:ascii="Cambria" w:eastAsia="Times New Roman" w:hAnsi="Cambria" w:cs="Calibri"/>
          <w:color w:val="000000"/>
          <w:sz w:val="20"/>
          <w:szCs w:val="20"/>
          <w:lang w:eastAsia="es-ES"/>
        </w:rPr>
        <w:t xml:space="preserve"> from High Risk </w:t>
      </w:r>
      <w:r w:rsidR="003878B9" w:rsidRPr="008A7BD7">
        <w:rPr>
          <w:rFonts w:ascii="Cambria" w:eastAsia="Times New Roman" w:hAnsi="Cambria" w:cs="Calibri"/>
          <w:color w:val="000000"/>
          <w:sz w:val="20"/>
          <w:szCs w:val="20"/>
          <w:lang w:eastAsia="es-ES"/>
        </w:rPr>
        <w:t>Court</w:t>
      </w:r>
      <w:r w:rsidR="00B97E70" w:rsidRPr="008A7BD7">
        <w:rPr>
          <w:rFonts w:ascii="Cambria" w:eastAsia="Times New Roman" w:hAnsi="Cambria" w:cs="Calibri"/>
          <w:color w:val="000000"/>
          <w:sz w:val="20"/>
          <w:szCs w:val="20"/>
          <w:lang w:eastAsia="es-ES"/>
        </w:rPr>
        <w:t xml:space="preserve"> D</w:t>
      </w:r>
      <w:r w:rsidR="00091EE7" w:rsidRPr="008A7BD7">
        <w:rPr>
          <w:rFonts w:ascii="Cambria" w:eastAsia="Times New Roman" w:hAnsi="Cambria" w:cs="Calibri"/>
          <w:color w:val="000000"/>
          <w:sz w:val="20"/>
          <w:szCs w:val="20"/>
          <w:lang w:eastAsia="es-ES"/>
        </w:rPr>
        <w:t>,</w:t>
      </w:r>
      <w:r w:rsidR="00B97E70" w:rsidRPr="008A7BD7">
        <w:rPr>
          <w:rFonts w:ascii="Cambria" w:eastAsia="Times New Roman" w:hAnsi="Cambria" w:cs="Calibri"/>
          <w:color w:val="000000"/>
          <w:sz w:val="20"/>
          <w:szCs w:val="20"/>
          <w:lang w:eastAsia="es-ES"/>
        </w:rPr>
        <w:t xml:space="preserve"> from </w:t>
      </w:r>
      <w:r w:rsidR="00152F19" w:rsidRPr="008A7BD7">
        <w:rPr>
          <w:rFonts w:ascii="Cambria" w:eastAsia="Times New Roman" w:hAnsi="Cambria" w:cs="Calibri"/>
          <w:color w:val="000000"/>
          <w:sz w:val="20"/>
          <w:szCs w:val="20"/>
          <w:lang w:eastAsia="es-ES"/>
        </w:rPr>
        <w:t>the</w:t>
      </w:r>
      <w:r w:rsidR="00B97E70" w:rsidRPr="008A7BD7">
        <w:rPr>
          <w:rFonts w:ascii="Cambria" w:eastAsia="Times New Roman" w:hAnsi="Cambria" w:cs="Calibri"/>
          <w:color w:val="000000"/>
          <w:sz w:val="20"/>
          <w:szCs w:val="20"/>
          <w:lang w:eastAsia="es-ES"/>
        </w:rPr>
        <w:t xml:space="preserve"> case. </w:t>
      </w:r>
    </w:p>
    <w:p w14:paraId="6EF0463B" w14:textId="77777777" w:rsidR="00023A23" w:rsidRPr="008A7BD7" w:rsidRDefault="00023A23" w:rsidP="00023A23">
      <w:pPr>
        <w:pStyle w:val="ListParagraph"/>
        <w:rPr>
          <w:rFonts w:ascii="Cambria" w:eastAsia="Times New Roman" w:hAnsi="Cambria" w:cs="Calibri"/>
          <w:color w:val="000000" w:themeColor="text1"/>
          <w:sz w:val="20"/>
          <w:szCs w:val="20"/>
          <w:lang w:eastAsia="es-ES"/>
        </w:rPr>
      </w:pPr>
    </w:p>
    <w:p w14:paraId="58CA007C" w14:textId="604FC4D7" w:rsidR="00706CD2" w:rsidRPr="008A7BD7" w:rsidRDefault="002E2834" w:rsidP="008A2AEC">
      <w:pPr>
        <w:numPr>
          <w:ilvl w:val="0"/>
          <w:numId w:val="2"/>
        </w:numPr>
        <w:ind w:left="0" w:firstLine="720"/>
        <w:jc w:val="both"/>
        <w:rPr>
          <w:rFonts w:ascii="Cambria" w:eastAsia="Times New Roman" w:hAnsi="Cambria" w:cs="Times New Roman"/>
          <w:color w:val="000000"/>
          <w:sz w:val="20"/>
          <w:szCs w:val="20"/>
          <w:lang w:eastAsia="es-ES_tradnl"/>
        </w:rPr>
      </w:pPr>
      <w:r w:rsidRPr="008A7BD7">
        <w:rPr>
          <w:rFonts w:ascii="Cambria" w:eastAsia="Times New Roman" w:hAnsi="Cambria" w:cs="Calibri"/>
          <w:color w:val="000000" w:themeColor="text1"/>
          <w:sz w:val="20"/>
          <w:szCs w:val="20"/>
          <w:lang w:eastAsia="es-ES"/>
        </w:rPr>
        <w:t>On January</w:t>
      </w:r>
      <w:r w:rsidR="00706CD2" w:rsidRPr="008A7BD7">
        <w:rPr>
          <w:rFonts w:ascii="Cambria" w:eastAsia="Times New Roman" w:hAnsi="Cambria" w:cs="Calibri"/>
          <w:color w:val="000000"/>
          <w:sz w:val="20"/>
          <w:szCs w:val="20"/>
          <w:lang w:eastAsia="es-ES"/>
        </w:rPr>
        <w:t xml:space="preserve"> 4</w:t>
      </w:r>
      <w:r w:rsidRPr="008A7BD7">
        <w:rPr>
          <w:rFonts w:ascii="Cambria" w:eastAsia="Times New Roman" w:hAnsi="Cambria" w:cs="Calibri"/>
          <w:color w:val="000000"/>
          <w:sz w:val="20"/>
          <w:szCs w:val="20"/>
          <w:lang w:eastAsia="es-ES"/>
        </w:rPr>
        <w:t xml:space="preserve">, the </w:t>
      </w:r>
      <w:r w:rsidR="00706CD2" w:rsidRPr="008A7BD7">
        <w:rPr>
          <w:rFonts w:ascii="Cambria" w:eastAsia="Times New Roman" w:hAnsi="Cambria" w:cs="Calibri"/>
          <w:color w:val="000000"/>
          <w:sz w:val="20"/>
          <w:szCs w:val="20"/>
          <w:lang w:eastAsia="es-ES"/>
        </w:rPr>
        <w:t xml:space="preserve">FECI </w:t>
      </w:r>
      <w:r w:rsidRPr="008A7BD7">
        <w:rPr>
          <w:rFonts w:ascii="Cambria" w:eastAsia="Times New Roman" w:hAnsi="Cambria" w:cs="Calibri"/>
          <w:color w:val="000000"/>
          <w:sz w:val="20"/>
          <w:szCs w:val="20"/>
          <w:lang w:eastAsia="es-ES"/>
        </w:rPr>
        <w:t xml:space="preserve">requested that </w:t>
      </w:r>
      <w:r w:rsidR="005730EF" w:rsidRPr="008A7BD7">
        <w:rPr>
          <w:rFonts w:ascii="Cambria" w:eastAsia="Times New Roman" w:hAnsi="Cambria" w:cs="Calibri"/>
          <w:color w:val="000000"/>
          <w:sz w:val="20"/>
          <w:szCs w:val="20"/>
          <w:lang w:eastAsia="es-ES"/>
        </w:rPr>
        <w:t>he be stripped of his</w:t>
      </w:r>
      <w:r w:rsidRPr="008A7BD7">
        <w:rPr>
          <w:rFonts w:ascii="Cambria" w:eastAsia="Times New Roman" w:hAnsi="Cambria" w:cs="Calibri"/>
          <w:color w:val="000000"/>
          <w:sz w:val="20"/>
          <w:szCs w:val="20"/>
          <w:lang w:eastAsia="es-ES"/>
        </w:rPr>
        <w:t xml:space="preserve"> immunity</w:t>
      </w:r>
      <w:r w:rsidR="005730EF" w:rsidRPr="008A7BD7">
        <w:rPr>
          <w:rFonts w:ascii="Cambria" w:eastAsia="Times New Roman" w:hAnsi="Cambria" w:cs="Calibri"/>
          <w:color w:val="000000"/>
          <w:sz w:val="20"/>
          <w:szCs w:val="20"/>
          <w:lang w:eastAsia="es-ES"/>
        </w:rPr>
        <w:t xml:space="preserve"> </w:t>
      </w:r>
      <w:r w:rsidRPr="008A7BD7">
        <w:rPr>
          <w:rFonts w:ascii="Cambria" w:eastAsia="Times New Roman" w:hAnsi="Cambria" w:cs="Calibri"/>
          <w:color w:val="000000"/>
          <w:sz w:val="20"/>
          <w:szCs w:val="20"/>
          <w:lang w:eastAsia="es-ES"/>
        </w:rPr>
        <w:t>due to his alleged involvement in that case.</w:t>
      </w:r>
      <w:r w:rsidR="00706CD2" w:rsidRPr="008A7BD7">
        <w:rPr>
          <w:rFonts w:ascii="Cambria" w:eastAsia="Times New Roman" w:hAnsi="Cambria" w:cs="Calibri"/>
          <w:color w:val="000000"/>
          <w:sz w:val="20"/>
          <w:szCs w:val="20"/>
          <w:vertAlign w:val="superscript"/>
          <w:lang w:val="es-MX" w:eastAsia="es-ES"/>
        </w:rPr>
        <w:footnoteReference w:id="49"/>
      </w:r>
      <w:r w:rsidR="00706CD2" w:rsidRPr="008A7BD7">
        <w:rPr>
          <w:rFonts w:ascii="Cambria" w:eastAsia="Times New Roman" w:hAnsi="Cambria" w:cs="Calibri"/>
          <w:color w:val="000000"/>
          <w:sz w:val="20"/>
          <w:szCs w:val="20"/>
          <w:lang w:eastAsia="es-ES"/>
        </w:rPr>
        <w:t xml:space="preserve"> </w:t>
      </w:r>
      <w:r w:rsidR="00C079F5" w:rsidRPr="008A7BD7">
        <w:rPr>
          <w:rFonts w:ascii="Cambria" w:eastAsia="Times New Roman" w:hAnsi="Cambria" w:cs="Calibri"/>
          <w:color w:val="000000"/>
          <w:sz w:val="20"/>
          <w:szCs w:val="20"/>
          <w:lang w:eastAsia="es-ES"/>
        </w:rPr>
        <w:t>Even though there were several pending appeals</w:t>
      </w:r>
      <w:r w:rsidR="00706CD2" w:rsidRPr="008A7BD7">
        <w:rPr>
          <w:rFonts w:ascii="Cambria" w:eastAsia="Times New Roman" w:hAnsi="Cambria" w:cs="Calibri"/>
          <w:color w:val="000000"/>
          <w:sz w:val="20"/>
          <w:szCs w:val="20"/>
          <w:lang w:eastAsia="es-ES"/>
        </w:rPr>
        <w:t xml:space="preserve"> </w:t>
      </w:r>
      <w:r w:rsidR="005730EF" w:rsidRPr="008A7BD7">
        <w:rPr>
          <w:rFonts w:ascii="Cambria" w:eastAsia="Times New Roman" w:hAnsi="Cambria" w:cs="Calibri"/>
          <w:color w:val="000000"/>
          <w:sz w:val="20"/>
          <w:szCs w:val="20"/>
          <w:lang w:eastAsia="es-ES"/>
        </w:rPr>
        <w:t>challenging</w:t>
      </w:r>
      <w:r w:rsidR="00C079F5" w:rsidRPr="008A7BD7">
        <w:rPr>
          <w:rFonts w:ascii="Cambria" w:eastAsia="Times New Roman" w:hAnsi="Cambria" w:cs="Calibri"/>
          <w:color w:val="000000"/>
          <w:sz w:val="20"/>
          <w:szCs w:val="20"/>
          <w:lang w:eastAsia="es-ES"/>
        </w:rPr>
        <w:t xml:space="preserve"> his appointment, on January </w:t>
      </w:r>
      <w:r w:rsidR="00706CD2" w:rsidRPr="008A7BD7">
        <w:rPr>
          <w:rFonts w:ascii="Cambria" w:eastAsia="Calibri" w:hAnsi="Cambria" w:cs="Calibri"/>
          <w:sz w:val="20"/>
          <w:szCs w:val="20"/>
          <w:lang w:eastAsia="es-ES"/>
        </w:rPr>
        <w:t xml:space="preserve">26 </w:t>
      </w:r>
      <w:r w:rsidR="00C079F5" w:rsidRPr="008A7BD7">
        <w:rPr>
          <w:rFonts w:ascii="Cambria" w:eastAsia="Calibri" w:hAnsi="Cambria" w:cs="Calibri"/>
          <w:sz w:val="20"/>
          <w:szCs w:val="20"/>
          <w:lang w:eastAsia="es-ES"/>
        </w:rPr>
        <w:t>the Congress</w:t>
      </w:r>
      <w:r w:rsidR="005730EF" w:rsidRPr="008A7BD7">
        <w:rPr>
          <w:rFonts w:ascii="Cambria" w:eastAsia="Calibri" w:hAnsi="Cambria" w:cs="Calibri"/>
          <w:sz w:val="20"/>
          <w:szCs w:val="20"/>
          <w:lang w:eastAsia="es-ES"/>
        </w:rPr>
        <w:t xml:space="preserve"> </w:t>
      </w:r>
      <w:r w:rsidR="00C079F5" w:rsidRPr="008A7BD7">
        <w:rPr>
          <w:rFonts w:ascii="Cambria" w:eastAsia="Calibri" w:hAnsi="Cambria" w:cs="Calibri"/>
          <w:sz w:val="20"/>
          <w:szCs w:val="20"/>
          <w:lang w:eastAsia="es-ES"/>
        </w:rPr>
        <w:t xml:space="preserve">swore in </w:t>
      </w:r>
      <w:proofErr w:type="spellStart"/>
      <w:r w:rsidR="00706CD2" w:rsidRPr="008A7BD7">
        <w:rPr>
          <w:rFonts w:ascii="Cambria" w:eastAsia="Times New Roman" w:hAnsi="Cambria" w:cs="Calibri"/>
          <w:color w:val="000000"/>
          <w:sz w:val="20"/>
          <w:szCs w:val="20"/>
          <w:lang w:eastAsia="es-ES"/>
        </w:rPr>
        <w:t>Mynor</w:t>
      </w:r>
      <w:proofErr w:type="spellEnd"/>
      <w:r w:rsidR="00706CD2" w:rsidRPr="008A7BD7">
        <w:rPr>
          <w:rFonts w:ascii="Cambria" w:eastAsia="Times New Roman" w:hAnsi="Cambria" w:cs="Calibri"/>
          <w:color w:val="000000"/>
          <w:sz w:val="20"/>
          <w:szCs w:val="20"/>
          <w:lang w:eastAsia="es-ES"/>
        </w:rPr>
        <w:t xml:space="preserve"> Moto </w:t>
      </w:r>
      <w:r w:rsidR="006B22D8" w:rsidRPr="008A7BD7">
        <w:rPr>
          <w:rFonts w:ascii="Cambria" w:eastAsia="Times New Roman" w:hAnsi="Cambria" w:cs="Calibri"/>
          <w:color w:val="000000"/>
          <w:sz w:val="20"/>
          <w:szCs w:val="20"/>
          <w:lang w:eastAsia="es-ES"/>
        </w:rPr>
        <w:t>as a magistrate</w:t>
      </w:r>
      <w:r w:rsidR="00C079F5" w:rsidRPr="008A7BD7">
        <w:rPr>
          <w:rFonts w:ascii="Cambria" w:eastAsia="Times New Roman" w:hAnsi="Cambria" w:cs="Calibri"/>
          <w:color w:val="000000"/>
          <w:sz w:val="20"/>
          <w:szCs w:val="20"/>
          <w:lang w:eastAsia="es-ES"/>
        </w:rPr>
        <w:t>.</w:t>
      </w:r>
      <w:r w:rsidR="00706CD2" w:rsidRPr="008A7BD7">
        <w:rPr>
          <w:rFonts w:ascii="Cambria" w:eastAsia="Calibri" w:hAnsi="Cambria" w:cs="Calibri"/>
          <w:color w:val="000000"/>
          <w:sz w:val="20"/>
          <w:szCs w:val="20"/>
          <w:vertAlign w:val="superscript"/>
          <w:lang w:val="es-MX" w:eastAsia="es-ES"/>
        </w:rPr>
        <w:footnoteReference w:id="50"/>
      </w:r>
      <w:r w:rsidR="00706CD2" w:rsidRPr="008A7BD7">
        <w:rPr>
          <w:rFonts w:ascii="Cambria" w:eastAsia="Times New Roman" w:hAnsi="Cambria" w:cs="Calibri"/>
          <w:color w:val="000000"/>
          <w:sz w:val="20"/>
          <w:szCs w:val="20"/>
          <w:lang w:eastAsia="es-ES"/>
        </w:rPr>
        <w:t xml:space="preserve"> </w:t>
      </w:r>
      <w:r w:rsidR="00C079F5" w:rsidRPr="008A7BD7">
        <w:rPr>
          <w:rFonts w:ascii="Cambria" w:eastAsia="Times New Roman" w:hAnsi="Cambria" w:cs="Calibri"/>
          <w:color w:val="000000"/>
          <w:sz w:val="20"/>
          <w:szCs w:val="20"/>
          <w:lang w:eastAsia="es-ES"/>
        </w:rPr>
        <w:t xml:space="preserve">However, on February </w:t>
      </w:r>
      <w:r w:rsidR="00706CD2" w:rsidRPr="008A7BD7">
        <w:rPr>
          <w:rFonts w:ascii="Cambria" w:eastAsia="Times New Roman" w:hAnsi="Cambria" w:cs="Calibri"/>
          <w:color w:val="000000"/>
          <w:sz w:val="20"/>
          <w:szCs w:val="20"/>
          <w:lang w:eastAsia="es-ES"/>
        </w:rPr>
        <w:t>4</w:t>
      </w:r>
      <w:r w:rsidR="00C079F5" w:rsidRPr="008A7BD7">
        <w:rPr>
          <w:rFonts w:ascii="Cambria" w:eastAsia="Times New Roman" w:hAnsi="Cambria" w:cs="Calibri"/>
          <w:color w:val="000000"/>
          <w:sz w:val="20"/>
          <w:szCs w:val="20"/>
          <w:lang w:eastAsia="es-ES"/>
        </w:rPr>
        <w:t xml:space="preserve">, the </w:t>
      </w:r>
      <w:r w:rsidR="00091EE7" w:rsidRPr="008A7BD7">
        <w:rPr>
          <w:rFonts w:ascii="Cambria" w:eastAsia="Times New Roman" w:hAnsi="Cambria" w:cs="Calibri"/>
          <w:color w:val="000000"/>
          <w:sz w:val="20"/>
          <w:szCs w:val="20"/>
          <w:lang w:eastAsia="es-ES"/>
        </w:rPr>
        <w:t xml:space="preserve">Constitutional Court </w:t>
      </w:r>
      <w:r w:rsidR="00C079F5" w:rsidRPr="008A7BD7">
        <w:rPr>
          <w:rFonts w:ascii="Cambria" w:eastAsia="Times New Roman" w:hAnsi="Cambria" w:cs="Calibri"/>
          <w:color w:val="000000"/>
          <w:sz w:val="20"/>
          <w:szCs w:val="20"/>
          <w:lang w:eastAsia="es-ES"/>
        </w:rPr>
        <w:t xml:space="preserve">granted an injunction </w:t>
      </w:r>
      <w:r w:rsidR="004C29C1" w:rsidRPr="008A7BD7">
        <w:rPr>
          <w:rFonts w:ascii="Cambria" w:eastAsia="Times New Roman" w:hAnsi="Cambria" w:cs="Calibri"/>
          <w:color w:val="000000"/>
          <w:sz w:val="20"/>
          <w:szCs w:val="20"/>
          <w:lang w:eastAsia="es-ES"/>
        </w:rPr>
        <w:t>suspending the swearing-in. To this</w:t>
      </w:r>
      <w:r w:rsidR="003950D4" w:rsidRPr="008A7BD7">
        <w:rPr>
          <w:rFonts w:ascii="Cambria" w:eastAsia="Times New Roman" w:hAnsi="Cambria" w:cs="Calibri"/>
          <w:color w:val="000000"/>
          <w:sz w:val="20"/>
          <w:szCs w:val="20"/>
          <w:lang w:eastAsia="es-ES"/>
        </w:rPr>
        <w:t xml:space="preserve"> </w:t>
      </w:r>
      <w:r w:rsidR="004C29C1" w:rsidRPr="008A7BD7">
        <w:rPr>
          <w:rFonts w:ascii="Cambria" w:eastAsia="Times New Roman" w:hAnsi="Cambria" w:cs="Calibri"/>
          <w:color w:val="000000"/>
          <w:sz w:val="20"/>
          <w:szCs w:val="20"/>
          <w:lang w:eastAsia="es-ES"/>
        </w:rPr>
        <w:t>day, Mr. Moto is reportedly a fugitive with two outstanding warrants for his arrest.</w:t>
      </w:r>
      <w:r w:rsidR="00A7270A" w:rsidRPr="008A7BD7">
        <w:rPr>
          <w:rFonts w:ascii="Cambria" w:eastAsia="Calibri" w:hAnsi="Cambria" w:cs="Calibri"/>
          <w:color w:val="000000"/>
          <w:sz w:val="20"/>
          <w:szCs w:val="20"/>
          <w:vertAlign w:val="superscript"/>
          <w:lang w:val="es-MX" w:eastAsia="es-ES"/>
        </w:rPr>
        <w:footnoteReference w:id="51"/>
      </w:r>
    </w:p>
    <w:p w14:paraId="588186DD" w14:textId="77777777" w:rsidR="00706CD2" w:rsidRPr="008A7BD7" w:rsidRDefault="00706CD2" w:rsidP="00706CD2">
      <w:pPr>
        <w:suppressAutoHyphens/>
        <w:jc w:val="both"/>
        <w:rPr>
          <w:rFonts w:ascii="Cambria" w:eastAsia="Times New Roman" w:hAnsi="Cambria" w:cs="Calibri"/>
          <w:color w:val="000000"/>
          <w:sz w:val="20"/>
          <w:szCs w:val="20"/>
        </w:rPr>
      </w:pPr>
    </w:p>
    <w:p w14:paraId="7C1FA2C0" w14:textId="6E92BEC2" w:rsidR="00706CD2" w:rsidRPr="008A7BD7" w:rsidRDefault="00717848" w:rsidP="008A2AEC">
      <w:pPr>
        <w:numPr>
          <w:ilvl w:val="0"/>
          <w:numId w:val="2"/>
        </w:numPr>
        <w:ind w:left="0" w:firstLine="720"/>
        <w:jc w:val="both"/>
        <w:rPr>
          <w:rFonts w:ascii="Cambria" w:eastAsia="Times New Roman" w:hAnsi="Cambria" w:cs="Times New Roman"/>
          <w:color w:val="000000"/>
          <w:sz w:val="20"/>
          <w:szCs w:val="20"/>
          <w:lang w:eastAsia="es-ES_tradnl"/>
        </w:rPr>
      </w:pPr>
      <w:r w:rsidRPr="008A7BD7">
        <w:rPr>
          <w:rFonts w:ascii="Cambria" w:eastAsia="Times New Roman" w:hAnsi="Cambria" w:cs="Times New Roman"/>
          <w:color w:val="000000"/>
          <w:sz w:val="20"/>
          <w:szCs w:val="20"/>
          <w:lang w:eastAsia="es-ES"/>
        </w:rPr>
        <w:t>Subsequent</w:t>
      </w:r>
      <w:r w:rsidR="00AB058D" w:rsidRPr="008A7BD7">
        <w:rPr>
          <w:rFonts w:ascii="Cambria" w:eastAsia="Times New Roman" w:hAnsi="Cambria" w:cs="Times New Roman"/>
          <w:color w:val="000000"/>
          <w:sz w:val="20"/>
          <w:szCs w:val="20"/>
          <w:lang w:eastAsia="es-ES"/>
        </w:rPr>
        <w:t xml:space="preserve"> to that and</w:t>
      </w:r>
      <w:r w:rsidR="00B521C3" w:rsidRPr="008A7BD7">
        <w:rPr>
          <w:rFonts w:ascii="Cambria" w:eastAsia="Times New Roman" w:hAnsi="Cambria" w:cs="Times New Roman"/>
          <w:color w:val="000000"/>
          <w:sz w:val="20"/>
          <w:szCs w:val="20"/>
          <w:lang w:eastAsia="es-ES"/>
        </w:rPr>
        <w:t xml:space="preserve"> before the process</w:t>
      </w:r>
      <w:r w:rsidRPr="008A7BD7">
        <w:rPr>
          <w:rFonts w:ascii="Cambria" w:eastAsia="Times New Roman" w:hAnsi="Cambria" w:cs="Times New Roman"/>
          <w:color w:val="000000"/>
          <w:sz w:val="20"/>
          <w:szCs w:val="20"/>
          <w:lang w:eastAsia="es-ES"/>
        </w:rPr>
        <w:t xml:space="preserve"> </w:t>
      </w:r>
      <w:r w:rsidR="00AB058D" w:rsidRPr="008A7BD7">
        <w:rPr>
          <w:rFonts w:ascii="Cambria" w:eastAsia="Times New Roman" w:hAnsi="Cambria" w:cs="Times New Roman"/>
          <w:color w:val="000000"/>
          <w:sz w:val="20"/>
          <w:szCs w:val="20"/>
          <w:lang w:eastAsia="es-ES"/>
        </w:rPr>
        <w:t xml:space="preserve">got underway </w:t>
      </w:r>
      <w:r w:rsidR="00B521C3" w:rsidRPr="008A7BD7">
        <w:rPr>
          <w:rFonts w:ascii="Cambria" w:eastAsia="Times New Roman" w:hAnsi="Cambria" w:cs="Times New Roman"/>
          <w:color w:val="000000"/>
          <w:sz w:val="20"/>
          <w:szCs w:val="20"/>
          <w:lang w:eastAsia="es-ES"/>
        </w:rPr>
        <w:t xml:space="preserve">to select the new judges who would </w:t>
      </w:r>
      <w:r w:rsidR="00AB058D" w:rsidRPr="008A7BD7">
        <w:rPr>
          <w:rFonts w:ascii="Cambria" w:eastAsia="Times New Roman" w:hAnsi="Cambria" w:cs="Times New Roman"/>
          <w:color w:val="000000"/>
          <w:sz w:val="20"/>
          <w:szCs w:val="20"/>
          <w:lang w:eastAsia="es-ES"/>
        </w:rPr>
        <w:t>sit on the Constitutional Court</w:t>
      </w:r>
      <w:r w:rsidR="00B521C3" w:rsidRPr="008A7BD7">
        <w:rPr>
          <w:rFonts w:ascii="Cambria" w:eastAsia="Times New Roman" w:hAnsi="Cambria" w:cs="Times New Roman"/>
          <w:color w:val="000000"/>
          <w:sz w:val="20"/>
          <w:szCs w:val="20"/>
          <w:lang w:eastAsia="es-ES"/>
        </w:rPr>
        <w:t xml:space="preserve"> for the </w:t>
      </w:r>
      <w:r w:rsidR="00A115E5" w:rsidRPr="008A7BD7">
        <w:rPr>
          <w:rFonts w:ascii="Cambria" w:eastAsia="Times New Roman" w:hAnsi="Cambria" w:cs="Times New Roman"/>
          <w:color w:val="000000"/>
          <w:sz w:val="20"/>
          <w:szCs w:val="20"/>
          <w:lang w:eastAsia="es-ES"/>
        </w:rPr>
        <w:t>2021-2026</w:t>
      </w:r>
      <w:r w:rsidR="00B521C3" w:rsidRPr="008A7BD7">
        <w:rPr>
          <w:rFonts w:ascii="Cambria" w:eastAsia="Times New Roman" w:hAnsi="Cambria" w:cs="Times New Roman"/>
          <w:color w:val="000000"/>
          <w:sz w:val="20"/>
          <w:szCs w:val="20"/>
          <w:lang w:eastAsia="es-ES"/>
        </w:rPr>
        <w:t xml:space="preserve"> term, the IACHR urged the</w:t>
      </w:r>
      <w:r w:rsidRPr="008A7BD7">
        <w:rPr>
          <w:rFonts w:ascii="Cambria" w:eastAsia="Times New Roman" w:hAnsi="Cambria" w:cs="Times New Roman"/>
          <w:color w:val="000000"/>
          <w:sz w:val="20"/>
          <w:szCs w:val="20"/>
          <w:lang w:eastAsia="es-ES"/>
        </w:rPr>
        <w:t xml:space="preserve"> Guatemalan State to pursue a transparent process that </w:t>
      </w:r>
      <w:r w:rsidR="00AB058D" w:rsidRPr="008A7BD7">
        <w:rPr>
          <w:rFonts w:ascii="Cambria" w:eastAsia="Times New Roman" w:hAnsi="Cambria" w:cs="Times New Roman"/>
          <w:color w:val="000000"/>
          <w:sz w:val="20"/>
          <w:szCs w:val="20"/>
          <w:lang w:eastAsia="es-ES"/>
        </w:rPr>
        <w:t>complies with</w:t>
      </w:r>
      <w:r w:rsidRPr="008A7BD7">
        <w:rPr>
          <w:rFonts w:ascii="Cambria" w:eastAsia="Times New Roman" w:hAnsi="Cambria" w:cs="Times New Roman"/>
          <w:color w:val="000000"/>
          <w:sz w:val="20"/>
          <w:szCs w:val="20"/>
          <w:lang w:eastAsia="es-ES"/>
        </w:rPr>
        <w:t xml:space="preserve"> international standards</w:t>
      </w:r>
      <w:r w:rsidR="00AB058D" w:rsidRPr="008A7BD7">
        <w:rPr>
          <w:rFonts w:ascii="Cambria" w:eastAsia="Times New Roman" w:hAnsi="Cambria" w:cs="Times New Roman"/>
          <w:color w:val="000000"/>
          <w:sz w:val="20"/>
          <w:szCs w:val="20"/>
          <w:lang w:eastAsia="es-ES"/>
        </w:rPr>
        <w:t>,</w:t>
      </w:r>
      <w:r w:rsidRPr="008A7BD7">
        <w:rPr>
          <w:rFonts w:ascii="Cambria" w:eastAsia="Times New Roman" w:hAnsi="Cambria" w:cs="Times New Roman"/>
          <w:color w:val="000000"/>
          <w:sz w:val="20"/>
          <w:szCs w:val="20"/>
          <w:lang w:eastAsia="es-ES"/>
        </w:rPr>
        <w:t xml:space="preserve"> in order to guarantee the independence of</w:t>
      </w:r>
      <w:r w:rsidR="00336D82" w:rsidRPr="008A7BD7">
        <w:rPr>
          <w:rFonts w:ascii="Cambria" w:eastAsia="Times New Roman" w:hAnsi="Cambria" w:cs="Times New Roman"/>
          <w:color w:val="000000"/>
          <w:sz w:val="20"/>
          <w:szCs w:val="20"/>
          <w:lang w:eastAsia="es-ES"/>
        </w:rPr>
        <w:t xml:space="preserve"> the judges who would be </w:t>
      </w:r>
      <w:r w:rsidR="00657FC2" w:rsidRPr="008A7BD7">
        <w:rPr>
          <w:rFonts w:ascii="Cambria" w:eastAsia="Times New Roman" w:hAnsi="Cambria" w:cs="Times New Roman"/>
          <w:color w:val="000000"/>
          <w:sz w:val="20"/>
          <w:szCs w:val="20"/>
          <w:lang w:eastAsia="es-ES"/>
        </w:rPr>
        <w:t>s</w:t>
      </w:r>
      <w:r w:rsidR="00336D82" w:rsidRPr="008A7BD7">
        <w:rPr>
          <w:rFonts w:ascii="Cambria" w:eastAsia="Times New Roman" w:hAnsi="Cambria" w:cs="Times New Roman"/>
          <w:color w:val="000000"/>
          <w:sz w:val="20"/>
          <w:szCs w:val="20"/>
          <w:lang w:eastAsia="es-ES"/>
        </w:rPr>
        <w:t>elected.</w:t>
      </w:r>
      <w:r w:rsidR="00706CD2" w:rsidRPr="008A7BD7">
        <w:rPr>
          <w:rFonts w:ascii="Cambria" w:eastAsia="Calibri" w:hAnsi="Cambria" w:cs="Tahoma"/>
          <w:color w:val="000000"/>
          <w:sz w:val="20"/>
          <w:szCs w:val="20"/>
          <w:shd w:val="clear" w:color="auto" w:fill="FFFFFF"/>
          <w:vertAlign w:val="superscript"/>
          <w:lang w:val="es-US" w:eastAsia="es-ES"/>
        </w:rPr>
        <w:footnoteReference w:id="52"/>
      </w:r>
      <w:r w:rsidR="00706CD2" w:rsidRPr="008A7BD7">
        <w:rPr>
          <w:rFonts w:ascii="Cambria" w:eastAsia="Times New Roman" w:hAnsi="Cambria" w:cs="Times New Roman"/>
          <w:color w:val="000000"/>
          <w:sz w:val="20"/>
          <w:szCs w:val="20"/>
          <w:lang w:eastAsia="es-ES"/>
        </w:rPr>
        <w:t xml:space="preserve"> </w:t>
      </w:r>
      <w:r w:rsidR="00336D82" w:rsidRPr="008A7BD7">
        <w:rPr>
          <w:rFonts w:ascii="Cambria" w:eastAsia="Times New Roman" w:hAnsi="Cambria" w:cs="Times New Roman"/>
          <w:color w:val="000000"/>
          <w:sz w:val="20"/>
          <w:szCs w:val="20"/>
          <w:lang w:eastAsia="es-ES"/>
        </w:rPr>
        <w:t xml:space="preserve">Along the same lines, the </w:t>
      </w:r>
      <w:r w:rsidR="00336D82" w:rsidRPr="008A7BD7">
        <w:rPr>
          <w:rFonts w:ascii="Cambria" w:eastAsia="Times New Roman" w:hAnsi="Cambria" w:cs="Times New Roman"/>
          <w:sz w:val="20"/>
          <w:szCs w:val="20"/>
          <w:lang w:eastAsia="es-ES"/>
        </w:rPr>
        <w:t xml:space="preserve">Special Mission of the OAS General Secretariat in </w:t>
      </w:r>
      <w:r w:rsidR="00706CD2" w:rsidRPr="008A7BD7">
        <w:rPr>
          <w:rFonts w:ascii="Cambria" w:eastAsia="Times New Roman" w:hAnsi="Cambria" w:cs="Tahoma"/>
          <w:color w:val="000000"/>
          <w:sz w:val="20"/>
          <w:szCs w:val="20"/>
          <w:shd w:val="clear" w:color="auto" w:fill="FFFFFF"/>
          <w:lang w:eastAsia="es-ES"/>
        </w:rPr>
        <w:t xml:space="preserve"> Guatemala </w:t>
      </w:r>
      <w:r w:rsidR="00336D82" w:rsidRPr="008A7BD7">
        <w:rPr>
          <w:rFonts w:ascii="Cambria" w:eastAsia="Times New Roman" w:hAnsi="Cambria" w:cs="Tahoma"/>
          <w:color w:val="000000"/>
          <w:sz w:val="20"/>
          <w:szCs w:val="20"/>
          <w:shd w:val="clear" w:color="auto" w:fill="FFFFFF"/>
          <w:lang w:eastAsia="es-ES"/>
        </w:rPr>
        <w:t xml:space="preserve">recommended that the State ensure a transparent process; </w:t>
      </w:r>
      <w:r w:rsidR="004A7163" w:rsidRPr="008A7BD7">
        <w:rPr>
          <w:rFonts w:ascii="Cambria" w:eastAsia="Times New Roman" w:hAnsi="Cambria" w:cs="Tahoma"/>
          <w:color w:val="000000"/>
          <w:sz w:val="20"/>
          <w:szCs w:val="20"/>
          <w:shd w:val="clear" w:color="auto" w:fill="FFFFFF"/>
          <w:lang w:eastAsia="es-ES"/>
        </w:rPr>
        <w:t>design</w:t>
      </w:r>
      <w:r w:rsidR="00336D82" w:rsidRPr="008A7BD7">
        <w:rPr>
          <w:rFonts w:ascii="Cambria" w:eastAsia="Times New Roman" w:hAnsi="Cambria" w:cs="Tahoma"/>
          <w:color w:val="000000"/>
          <w:sz w:val="20"/>
          <w:szCs w:val="20"/>
          <w:shd w:val="clear" w:color="auto" w:fill="FFFFFF"/>
          <w:lang w:eastAsia="es-ES"/>
        </w:rPr>
        <w:t xml:space="preserve"> institutional </w:t>
      </w:r>
      <w:r w:rsidR="004A7163" w:rsidRPr="008A7BD7">
        <w:rPr>
          <w:rFonts w:ascii="Cambria" w:eastAsia="Times New Roman" w:hAnsi="Cambria" w:cs="Tahoma"/>
          <w:color w:val="000000"/>
          <w:sz w:val="20"/>
          <w:szCs w:val="20"/>
          <w:shd w:val="clear" w:color="auto" w:fill="FFFFFF"/>
          <w:lang w:eastAsia="es-ES"/>
        </w:rPr>
        <w:t>procedures</w:t>
      </w:r>
      <w:r w:rsidR="00336D82" w:rsidRPr="008A7BD7">
        <w:rPr>
          <w:rFonts w:ascii="Cambria" w:eastAsia="Times New Roman" w:hAnsi="Cambria" w:cs="Tahoma"/>
          <w:color w:val="000000"/>
          <w:sz w:val="20"/>
          <w:szCs w:val="20"/>
          <w:shd w:val="clear" w:color="auto" w:fill="FFFFFF"/>
          <w:lang w:eastAsia="es-ES"/>
        </w:rPr>
        <w:t xml:space="preserve"> to ensure that appointment processes are transparent, participatory, and informed and include accountability mechanisms; and ensure that the selection process i</w:t>
      </w:r>
      <w:r w:rsidR="005C5429" w:rsidRPr="008A7BD7">
        <w:rPr>
          <w:rFonts w:ascii="Cambria" w:eastAsia="Times New Roman" w:hAnsi="Cambria" w:cs="Tahoma"/>
          <w:color w:val="000000"/>
          <w:sz w:val="20"/>
          <w:szCs w:val="20"/>
          <w:shd w:val="clear" w:color="auto" w:fill="FFFFFF"/>
          <w:lang w:eastAsia="es-ES"/>
        </w:rPr>
        <w:t xml:space="preserve">s carried out within the established constitutional and legal time frames, so as to avoid vacancies </w:t>
      </w:r>
      <w:r w:rsidR="00AC1794" w:rsidRPr="008A7BD7">
        <w:rPr>
          <w:rFonts w:ascii="Cambria" w:eastAsia="Times New Roman" w:hAnsi="Cambria" w:cs="Tahoma"/>
          <w:color w:val="000000"/>
          <w:sz w:val="20"/>
          <w:szCs w:val="20"/>
          <w:shd w:val="clear" w:color="auto" w:fill="FFFFFF"/>
          <w:lang w:eastAsia="es-ES"/>
        </w:rPr>
        <w:t>on the court</w:t>
      </w:r>
      <w:r w:rsidR="005C5429" w:rsidRPr="008A7BD7">
        <w:rPr>
          <w:rFonts w:ascii="Cambria" w:eastAsia="Times New Roman" w:hAnsi="Cambria" w:cs="Tahoma"/>
          <w:color w:val="000000"/>
          <w:sz w:val="20"/>
          <w:szCs w:val="20"/>
          <w:shd w:val="clear" w:color="auto" w:fill="FFFFFF"/>
          <w:lang w:eastAsia="es-ES"/>
        </w:rPr>
        <w:t>.</w:t>
      </w:r>
      <w:r w:rsidR="00C95E34" w:rsidRPr="008A7BD7">
        <w:rPr>
          <w:rFonts w:ascii="Cambria" w:eastAsia="Times New Roman" w:hAnsi="Cambria" w:cs="Times New Roman"/>
          <w:sz w:val="20"/>
          <w:szCs w:val="20"/>
          <w:vertAlign w:val="superscript"/>
          <w:lang w:val="es-US" w:eastAsia="es-ES"/>
        </w:rPr>
        <w:footnoteReference w:id="53"/>
      </w:r>
    </w:p>
    <w:p w14:paraId="64B3911D" w14:textId="77777777" w:rsidR="00706CD2" w:rsidRPr="008A7BD7" w:rsidRDefault="00706CD2" w:rsidP="00706CD2">
      <w:pPr>
        <w:ind w:left="720"/>
        <w:contextualSpacing/>
        <w:jc w:val="both"/>
        <w:rPr>
          <w:rFonts w:ascii="Cambria" w:eastAsia="Calibri" w:hAnsi="Cambria" w:cs="Times New Roman"/>
          <w:color w:val="000000"/>
          <w:sz w:val="20"/>
          <w:szCs w:val="20"/>
          <w:lang w:eastAsia="es-ES_tradnl"/>
        </w:rPr>
      </w:pPr>
    </w:p>
    <w:p w14:paraId="57D2FEFE" w14:textId="34B0E72A" w:rsidR="00706CD2" w:rsidRPr="008A7BD7" w:rsidRDefault="0087562D" w:rsidP="008A2AEC">
      <w:pPr>
        <w:numPr>
          <w:ilvl w:val="0"/>
          <w:numId w:val="2"/>
        </w:numPr>
        <w:ind w:left="0" w:firstLine="720"/>
        <w:jc w:val="both"/>
        <w:rPr>
          <w:rFonts w:ascii="Cambria" w:eastAsia="Calibri" w:hAnsi="Cambria" w:cs="Times New Roman"/>
          <w:color w:val="000000"/>
          <w:sz w:val="20"/>
          <w:szCs w:val="20"/>
          <w:lang w:eastAsia="es-ES_tradnl"/>
        </w:rPr>
      </w:pPr>
      <w:r w:rsidRPr="008A7BD7">
        <w:rPr>
          <w:rFonts w:ascii="Cambria" w:eastAsia="Times New Roman" w:hAnsi="Cambria" w:cs="Times New Roman"/>
          <w:color w:val="000000"/>
          <w:sz w:val="20"/>
          <w:szCs w:val="20"/>
          <w:lang w:eastAsia="es-ES"/>
        </w:rPr>
        <w:t xml:space="preserve">The IACHR received information about irregularities in some of the bodies that elect the </w:t>
      </w:r>
      <w:r w:rsidR="00E750D5" w:rsidRPr="008A7BD7">
        <w:rPr>
          <w:rFonts w:ascii="Cambria" w:eastAsia="Times New Roman" w:hAnsi="Cambria" w:cs="Times New Roman"/>
          <w:color w:val="000000"/>
          <w:sz w:val="20"/>
          <w:szCs w:val="20"/>
          <w:lang w:eastAsia="es-ES"/>
        </w:rPr>
        <w:t>judges</w:t>
      </w:r>
      <w:r w:rsidRPr="008A7BD7">
        <w:rPr>
          <w:rFonts w:ascii="Cambria" w:eastAsia="Times New Roman" w:hAnsi="Cambria" w:cs="Times New Roman"/>
          <w:color w:val="000000"/>
          <w:sz w:val="20"/>
          <w:szCs w:val="20"/>
          <w:lang w:eastAsia="es-ES"/>
        </w:rPr>
        <w:t>,</w:t>
      </w:r>
      <w:r w:rsidR="00706CD2" w:rsidRPr="008A7BD7">
        <w:rPr>
          <w:rFonts w:ascii="Cambria" w:eastAsia="Times New Roman" w:hAnsi="Cambria" w:cs="Times New Roman"/>
          <w:color w:val="000000"/>
          <w:sz w:val="20"/>
          <w:szCs w:val="20"/>
          <w:vertAlign w:val="superscript"/>
          <w:lang w:val="es-US" w:eastAsia="es-ES"/>
        </w:rPr>
        <w:footnoteReference w:id="54"/>
      </w:r>
      <w:r w:rsidR="00706CD2" w:rsidRPr="008A7BD7">
        <w:rPr>
          <w:rFonts w:ascii="Cambria" w:eastAsia="Times New Roman" w:hAnsi="Cambria" w:cs="Times New Roman"/>
          <w:color w:val="000000"/>
          <w:sz w:val="20"/>
          <w:szCs w:val="20"/>
          <w:lang w:eastAsia="es-ES"/>
        </w:rPr>
        <w:t xml:space="preserve"> </w:t>
      </w:r>
      <w:r w:rsidRPr="008A7BD7">
        <w:rPr>
          <w:rFonts w:ascii="Cambria" w:eastAsia="Times New Roman" w:hAnsi="Cambria" w:cs="Times New Roman"/>
          <w:color w:val="000000"/>
          <w:sz w:val="20"/>
          <w:szCs w:val="20"/>
          <w:lang w:eastAsia="es-ES"/>
        </w:rPr>
        <w:t>such as</w:t>
      </w:r>
      <w:r w:rsidR="00706CD2" w:rsidRPr="008A7BD7">
        <w:rPr>
          <w:rFonts w:ascii="Cambria" w:eastAsia="Times New Roman" w:hAnsi="Cambria" w:cs="Times New Roman"/>
          <w:color w:val="000000"/>
          <w:sz w:val="20"/>
          <w:szCs w:val="20"/>
          <w:lang w:eastAsia="es-ES"/>
        </w:rPr>
        <w:t xml:space="preserve"> </w:t>
      </w:r>
      <w:r w:rsidRPr="008A7BD7">
        <w:rPr>
          <w:rFonts w:ascii="Cambria" w:eastAsia="Times New Roman" w:hAnsi="Cambria" w:cs="Times New Roman"/>
          <w:color w:val="000000"/>
          <w:sz w:val="20"/>
          <w:szCs w:val="20"/>
          <w:lang w:eastAsia="es-ES"/>
        </w:rPr>
        <w:t xml:space="preserve">the </w:t>
      </w:r>
      <w:r w:rsidR="003732B1" w:rsidRPr="008A7BD7">
        <w:rPr>
          <w:rFonts w:ascii="Cambria" w:eastAsia="Times New Roman" w:hAnsi="Cambria" w:cs="Times New Roman"/>
          <w:color w:val="000000"/>
          <w:sz w:val="20"/>
          <w:szCs w:val="20"/>
          <w:lang w:eastAsia="es-ES"/>
        </w:rPr>
        <w:t>lack</w:t>
      </w:r>
      <w:r w:rsidRPr="008A7BD7">
        <w:rPr>
          <w:rFonts w:ascii="Cambria" w:eastAsia="Times New Roman" w:hAnsi="Cambria" w:cs="Times New Roman"/>
          <w:color w:val="000000"/>
          <w:sz w:val="20"/>
          <w:szCs w:val="20"/>
          <w:lang w:eastAsia="es-ES"/>
        </w:rPr>
        <w:t xml:space="preserve"> of </w:t>
      </w:r>
      <w:r w:rsidR="00D5188D" w:rsidRPr="008A7BD7">
        <w:rPr>
          <w:rFonts w:ascii="Cambria" w:eastAsia="Times New Roman" w:hAnsi="Cambria" w:cs="Times New Roman"/>
          <w:color w:val="000000"/>
          <w:sz w:val="20"/>
          <w:szCs w:val="20"/>
          <w:lang w:eastAsia="es-ES"/>
        </w:rPr>
        <w:t xml:space="preserve">a </w:t>
      </w:r>
      <w:r w:rsidRPr="008A7BD7">
        <w:rPr>
          <w:rFonts w:ascii="Cambria" w:eastAsia="Times New Roman" w:hAnsi="Cambria" w:cs="Times New Roman"/>
          <w:color w:val="000000"/>
          <w:sz w:val="20"/>
          <w:szCs w:val="20"/>
          <w:lang w:eastAsia="es-ES"/>
        </w:rPr>
        <w:t xml:space="preserve">process with criteria based on the capabilities, experience, and independence of the candidates, in accordance with the standards of international human rights law and the Guatemalan Constitution. Specifically, the Congress and the executive branch—as </w:t>
      </w:r>
      <w:r w:rsidR="00D5188D" w:rsidRPr="008A7BD7">
        <w:rPr>
          <w:rFonts w:ascii="Cambria" w:eastAsia="Times New Roman" w:hAnsi="Cambria" w:cs="Times New Roman"/>
          <w:color w:val="000000"/>
          <w:sz w:val="20"/>
          <w:szCs w:val="20"/>
          <w:lang w:eastAsia="es-ES"/>
        </w:rPr>
        <w:t xml:space="preserve">electing </w:t>
      </w:r>
      <w:r w:rsidRPr="008A7BD7">
        <w:rPr>
          <w:rFonts w:ascii="Cambria" w:eastAsia="Times New Roman" w:hAnsi="Cambria" w:cs="Times New Roman"/>
          <w:color w:val="000000"/>
          <w:sz w:val="20"/>
          <w:szCs w:val="20"/>
          <w:lang w:eastAsia="es-ES"/>
        </w:rPr>
        <w:t>bodies</w:t>
      </w:r>
      <w:r w:rsidR="00D5188D" w:rsidRPr="008A7BD7">
        <w:rPr>
          <w:rFonts w:ascii="Cambria" w:eastAsia="Times New Roman" w:hAnsi="Cambria" w:cs="Times New Roman"/>
          <w:color w:val="000000"/>
          <w:sz w:val="20"/>
          <w:szCs w:val="20"/>
          <w:lang w:eastAsia="es-ES"/>
        </w:rPr>
        <w:t xml:space="preserve">—reportedly selected </w:t>
      </w:r>
      <w:r w:rsidR="00C93802" w:rsidRPr="008A7BD7">
        <w:rPr>
          <w:rFonts w:ascii="Cambria" w:eastAsia="Times New Roman" w:hAnsi="Cambria" w:cs="Times New Roman"/>
          <w:color w:val="000000"/>
          <w:sz w:val="20"/>
          <w:szCs w:val="20"/>
          <w:lang w:eastAsia="es-ES"/>
        </w:rPr>
        <w:t>individuals whose interests aligned with theirs to sit on</w:t>
      </w:r>
      <w:r w:rsidR="00D5188D" w:rsidRPr="008A7BD7">
        <w:rPr>
          <w:rFonts w:ascii="Cambria" w:eastAsia="Times New Roman" w:hAnsi="Cambria" w:cs="Times New Roman"/>
          <w:color w:val="000000"/>
          <w:sz w:val="20"/>
          <w:szCs w:val="20"/>
          <w:lang w:eastAsia="es-ES"/>
        </w:rPr>
        <w:t xml:space="preserve"> the </w:t>
      </w:r>
      <w:r w:rsidR="00C93802" w:rsidRPr="008A7BD7">
        <w:rPr>
          <w:rFonts w:ascii="Cambria" w:eastAsia="Times New Roman" w:hAnsi="Cambria" w:cs="Times New Roman"/>
          <w:color w:val="000000"/>
          <w:sz w:val="20"/>
          <w:szCs w:val="20"/>
          <w:lang w:eastAsia="es-ES"/>
        </w:rPr>
        <w:t>Constitutional Court</w:t>
      </w:r>
      <w:r w:rsidR="00D5188D" w:rsidRPr="008A7BD7">
        <w:rPr>
          <w:rFonts w:ascii="Cambria" w:eastAsia="Times New Roman" w:hAnsi="Cambria" w:cs="Times New Roman"/>
          <w:color w:val="000000"/>
          <w:sz w:val="20"/>
          <w:szCs w:val="20"/>
          <w:lang w:eastAsia="es-ES"/>
        </w:rPr>
        <w:t xml:space="preserve">, using discretionary procedures that failed to </w:t>
      </w:r>
      <w:proofErr w:type="gramStart"/>
      <w:r w:rsidR="00D5188D" w:rsidRPr="008A7BD7">
        <w:rPr>
          <w:rFonts w:ascii="Cambria" w:eastAsia="Times New Roman" w:hAnsi="Cambria" w:cs="Times New Roman"/>
          <w:color w:val="000000"/>
          <w:sz w:val="20"/>
          <w:szCs w:val="20"/>
          <w:lang w:eastAsia="es-ES"/>
        </w:rPr>
        <w:t>take into account</w:t>
      </w:r>
      <w:proofErr w:type="gramEnd"/>
      <w:r w:rsidR="00D5188D" w:rsidRPr="008A7BD7">
        <w:rPr>
          <w:rFonts w:ascii="Cambria" w:eastAsia="Times New Roman" w:hAnsi="Cambria" w:cs="Times New Roman"/>
          <w:color w:val="000000"/>
          <w:sz w:val="20"/>
          <w:szCs w:val="20"/>
          <w:lang w:eastAsia="es-ES"/>
        </w:rPr>
        <w:t xml:space="preserve"> the participation of society. In the case of the </w:t>
      </w:r>
      <w:r w:rsidR="003732B1" w:rsidRPr="008A7BD7">
        <w:rPr>
          <w:rFonts w:ascii="Cambria" w:eastAsia="Times New Roman" w:hAnsi="Cambria" w:cs="Times New Roman"/>
          <w:color w:val="000000"/>
          <w:sz w:val="20"/>
          <w:szCs w:val="20"/>
          <w:lang w:eastAsia="es-ES"/>
        </w:rPr>
        <w:t xml:space="preserve">Guatemalan Bar Association’s </w:t>
      </w:r>
      <w:r w:rsidR="00D5188D" w:rsidRPr="008A7BD7">
        <w:rPr>
          <w:rFonts w:ascii="Cambria" w:eastAsia="Times New Roman" w:hAnsi="Cambria" w:cs="Times New Roman"/>
          <w:color w:val="000000"/>
          <w:sz w:val="20"/>
          <w:szCs w:val="20"/>
          <w:lang w:eastAsia="es-ES"/>
        </w:rPr>
        <w:t>selection pro</w:t>
      </w:r>
      <w:r w:rsidR="003732B1" w:rsidRPr="008A7BD7">
        <w:rPr>
          <w:rFonts w:ascii="Cambria" w:eastAsia="Times New Roman" w:hAnsi="Cambria" w:cs="Times New Roman"/>
          <w:color w:val="000000"/>
          <w:sz w:val="20"/>
          <w:szCs w:val="20"/>
          <w:lang w:eastAsia="es-ES"/>
        </w:rPr>
        <w:t>cess</w:t>
      </w:r>
      <w:r w:rsidR="00706CD2" w:rsidRPr="008A7BD7">
        <w:rPr>
          <w:rFonts w:ascii="Cambria" w:eastAsia="Times New Roman" w:hAnsi="Cambria" w:cs="Times New Roman"/>
          <w:color w:val="000000"/>
          <w:sz w:val="20"/>
          <w:szCs w:val="20"/>
          <w:lang w:eastAsia="es-ES"/>
        </w:rPr>
        <w:t xml:space="preserve">, </w:t>
      </w:r>
      <w:r w:rsidR="00D5188D" w:rsidRPr="008A7BD7">
        <w:rPr>
          <w:rFonts w:ascii="Cambria" w:eastAsia="Times New Roman" w:hAnsi="Cambria" w:cs="Times New Roman"/>
          <w:color w:val="000000"/>
          <w:sz w:val="20"/>
          <w:szCs w:val="20"/>
          <w:lang w:eastAsia="es-ES"/>
        </w:rPr>
        <w:t xml:space="preserve">the candidates also </w:t>
      </w:r>
      <w:r w:rsidR="00EE63E1" w:rsidRPr="008A7BD7">
        <w:rPr>
          <w:rFonts w:ascii="Cambria" w:eastAsia="Times New Roman" w:hAnsi="Cambria" w:cs="Times New Roman"/>
          <w:color w:val="000000"/>
          <w:sz w:val="20"/>
          <w:szCs w:val="20"/>
          <w:lang w:eastAsia="es-ES"/>
        </w:rPr>
        <w:t xml:space="preserve">failed to fit </w:t>
      </w:r>
      <w:r w:rsidR="00D5188D" w:rsidRPr="008A7BD7">
        <w:rPr>
          <w:rFonts w:ascii="Cambria" w:eastAsia="Times New Roman" w:hAnsi="Cambria" w:cs="Times New Roman"/>
          <w:color w:val="000000"/>
          <w:sz w:val="20"/>
          <w:szCs w:val="20"/>
          <w:lang w:eastAsia="es-ES"/>
        </w:rPr>
        <w:t xml:space="preserve">the ideal profile and even had criminal charges against them for </w:t>
      </w:r>
      <w:r w:rsidR="00183B8B" w:rsidRPr="008A7BD7">
        <w:rPr>
          <w:rFonts w:ascii="Cambria" w:eastAsia="Times New Roman" w:hAnsi="Cambria" w:cs="Times New Roman"/>
          <w:color w:val="000000"/>
          <w:sz w:val="20"/>
          <w:szCs w:val="20"/>
          <w:lang w:eastAsia="es-ES"/>
        </w:rPr>
        <w:t>acts of corruption</w:t>
      </w:r>
      <w:r w:rsidR="00D5188D" w:rsidRPr="008A7BD7">
        <w:rPr>
          <w:rFonts w:ascii="Cambria" w:eastAsia="Times New Roman" w:hAnsi="Cambria" w:cs="Times New Roman"/>
          <w:color w:val="000000"/>
          <w:sz w:val="20"/>
          <w:szCs w:val="20"/>
          <w:lang w:eastAsia="es-ES"/>
        </w:rPr>
        <w:t xml:space="preserve"> and influence peddling.</w:t>
      </w:r>
      <w:r w:rsidR="00706CD2" w:rsidRPr="008A7BD7">
        <w:rPr>
          <w:rFonts w:ascii="Cambria" w:eastAsia="Times New Roman" w:hAnsi="Cambria" w:cs="Times New Roman"/>
          <w:color w:val="000000"/>
          <w:sz w:val="20"/>
          <w:szCs w:val="20"/>
          <w:vertAlign w:val="superscript"/>
          <w:lang w:val="es-US" w:eastAsia="es-ES"/>
        </w:rPr>
        <w:footnoteReference w:id="55"/>
      </w:r>
    </w:p>
    <w:p w14:paraId="548D40F8" w14:textId="77777777" w:rsidR="00706CD2" w:rsidRPr="008A7BD7" w:rsidRDefault="00706CD2" w:rsidP="00706CD2">
      <w:pPr>
        <w:suppressAutoHyphens/>
        <w:ind w:left="720"/>
        <w:jc w:val="both"/>
        <w:rPr>
          <w:rFonts w:ascii="Cambria" w:eastAsia="Times New Roman" w:hAnsi="Cambria" w:cs="Times New Roman"/>
          <w:color w:val="000000"/>
          <w:sz w:val="20"/>
          <w:szCs w:val="20"/>
          <w:lang w:eastAsia="es-ES_tradnl"/>
        </w:rPr>
      </w:pPr>
    </w:p>
    <w:p w14:paraId="7A63B77A" w14:textId="5E193D81" w:rsidR="00023A23" w:rsidRPr="008A7BD7" w:rsidRDefault="00C13E17" w:rsidP="008A2AEC">
      <w:pPr>
        <w:numPr>
          <w:ilvl w:val="0"/>
          <w:numId w:val="2"/>
        </w:numPr>
        <w:ind w:left="0" w:firstLine="720"/>
        <w:jc w:val="both"/>
        <w:rPr>
          <w:rFonts w:ascii="Cambria" w:eastAsia="Times New Roman" w:hAnsi="Cambria" w:cs="Times New Roman"/>
          <w:color w:val="000000"/>
          <w:sz w:val="20"/>
          <w:szCs w:val="20"/>
          <w:lang w:eastAsia="es-ES_tradnl"/>
        </w:rPr>
      </w:pPr>
      <w:r w:rsidRPr="008A7BD7">
        <w:rPr>
          <w:rFonts w:ascii="Cambria" w:eastAsia="Times New Roman" w:hAnsi="Cambria" w:cs="Times New Roman"/>
          <w:color w:val="000000" w:themeColor="text1"/>
          <w:sz w:val="20"/>
          <w:szCs w:val="20"/>
          <w:lang w:eastAsia="es-ES"/>
        </w:rPr>
        <w:t>On April</w:t>
      </w:r>
      <w:r w:rsidR="00706CD2" w:rsidRPr="008A7BD7">
        <w:rPr>
          <w:rFonts w:ascii="Cambria" w:eastAsia="Times New Roman" w:hAnsi="Cambria" w:cs="Times New Roman"/>
          <w:color w:val="000000" w:themeColor="text1"/>
          <w:sz w:val="20"/>
          <w:szCs w:val="20"/>
          <w:lang w:eastAsia="es-ES"/>
        </w:rPr>
        <w:t xml:space="preserve"> 13</w:t>
      </w:r>
      <w:r w:rsidRPr="008A7BD7">
        <w:rPr>
          <w:rFonts w:ascii="Cambria" w:eastAsia="Times New Roman" w:hAnsi="Cambria" w:cs="Times New Roman"/>
          <w:color w:val="000000" w:themeColor="text1"/>
          <w:sz w:val="20"/>
          <w:szCs w:val="20"/>
          <w:lang w:eastAsia="es-ES"/>
        </w:rPr>
        <w:t xml:space="preserve">, </w:t>
      </w:r>
      <w:r w:rsidR="00706CD2" w:rsidRPr="008A7BD7">
        <w:rPr>
          <w:rFonts w:ascii="Cambria" w:eastAsia="Times New Roman" w:hAnsi="Cambria" w:cs="Times New Roman"/>
          <w:color w:val="000000" w:themeColor="text1"/>
          <w:sz w:val="20"/>
          <w:szCs w:val="20"/>
          <w:lang w:eastAsia="es-ES"/>
        </w:rPr>
        <w:t xml:space="preserve">2021, </w:t>
      </w:r>
      <w:r w:rsidRPr="008A7BD7">
        <w:rPr>
          <w:rFonts w:ascii="Cambria" w:eastAsia="Times New Roman" w:hAnsi="Cambria" w:cs="Times New Roman"/>
          <w:color w:val="000000" w:themeColor="text1"/>
          <w:sz w:val="20"/>
          <w:szCs w:val="20"/>
          <w:lang w:eastAsia="es-ES"/>
        </w:rPr>
        <w:t xml:space="preserve">the Congress swore in </w:t>
      </w:r>
      <w:r w:rsidR="00706CD2" w:rsidRPr="008A7BD7">
        <w:rPr>
          <w:rFonts w:ascii="Cambria" w:eastAsia="Times New Roman" w:hAnsi="Cambria" w:cs="Times New Roman"/>
          <w:color w:val="000000" w:themeColor="text1"/>
          <w:sz w:val="20"/>
          <w:szCs w:val="20"/>
          <w:lang w:eastAsia="es-ES"/>
        </w:rPr>
        <w:t xml:space="preserve">8 </w:t>
      </w:r>
      <w:r w:rsidRPr="008A7BD7">
        <w:rPr>
          <w:rFonts w:ascii="Cambria" w:eastAsia="Times New Roman" w:hAnsi="Cambria" w:cs="Times New Roman"/>
          <w:color w:val="000000" w:themeColor="text1"/>
          <w:sz w:val="20"/>
          <w:szCs w:val="20"/>
          <w:lang w:eastAsia="es-ES"/>
        </w:rPr>
        <w:t>of the</w:t>
      </w:r>
      <w:r w:rsidR="00706CD2" w:rsidRPr="008A7BD7">
        <w:rPr>
          <w:rFonts w:ascii="Cambria" w:eastAsia="Times New Roman" w:hAnsi="Cambria" w:cs="Times New Roman"/>
          <w:color w:val="000000" w:themeColor="text1"/>
          <w:sz w:val="20"/>
          <w:szCs w:val="20"/>
          <w:lang w:eastAsia="es-ES"/>
        </w:rPr>
        <w:t xml:space="preserve"> 10 </w:t>
      </w:r>
      <w:r w:rsidRPr="008A7BD7">
        <w:rPr>
          <w:rFonts w:ascii="Cambria" w:eastAsia="Times New Roman" w:hAnsi="Cambria" w:cs="Times New Roman"/>
          <w:color w:val="000000" w:themeColor="text1"/>
          <w:sz w:val="20"/>
          <w:szCs w:val="20"/>
          <w:lang w:eastAsia="es-ES"/>
        </w:rPr>
        <w:t xml:space="preserve">individuals elected to serve on the </w:t>
      </w:r>
      <w:r w:rsidR="00085D8E" w:rsidRPr="008A7BD7">
        <w:rPr>
          <w:rFonts w:ascii="Cambria" w:eastAsia="Times New Roman" w:hAnsi="Cambria" w:cs="Times New Roman"/>
          <w:color w:val="000000"/>
          <w:sz w:val="20"/>
          <w:szCs w:val="20"/>
          <w:lang w:eastAsia="es-ES"/>
        </w:rPr>
        <w:t>Constitutional Court</w:t>
      </w:r>
      <w:r w:rsidR="00085D8E" w:rsidRPr="008A7BD7">
        <w:rPr>
          <w:rFonts w:ascii="Cambria" w:eastAsia="Times New Roman" w:hAnsi="Cambria" w:cs="Times New Roman"/>
          <w:color w:val="000000" w:themeColor="text1"/>
          <w:sz w:val="20"/>
          <w:szCs w:val="20"/>
          <w:lang w:eastAsia="es-ES"/>
        </w:rPr>
        <w:t xml:space="preserve"> </w:t>
      </w:r>
      <w:r w:rsidRPr="008A7BD7">
        <w:rPr>
          <w:rFonts w:ascii="Cambria" w:eastAsia="Times New Roman" w:hAnsi="Cambria" w:cs="Times New Roman"/>
          <w:color w:val="000000" w:themeColor="text1"/>
          <w:sz w:val="20"/>
          <w:szCs w:val="20"/>
          <w:lang w:eastAsia="es-ES"/>
        </w:rPr>
        <w:t xml:space="preserve">for the </w:t>
      </w:r>
      <w:r w:rsidR="00706CD2" w:rsidRPr="008A7BD7">
        <w:rPr>
          <w:rFonts w:ascii="Cambria" w:eastAsia="Times New Roman" w:hAnsi="Cambria" w:cs="Times New Roman"/>
          <w:color w:val="000000" w:themeColor="text1"/>
          <w:sz w:val="20"/>
          <w:szCs w:val="20"/>
          <w:lang w:eastAsia="es-ES"/>
        </w:rPr>
        <w:t>2021-2026</w:t>
      </w:r>
      <w:r w:rsidRPr="008A7BD7">
        <w:rPr>
          <w:rFonts w:ascii="Cambria" w:eastAsia="Times New Roman" w:hAnsi="Cambria" w:cs="Times New Roman"/>
          <w:color w:val="000000" w:themeColor="text1"/>
          <w:sz w:val="20"/>
          <w:szCs w:val="20"/>
          <w:lang w:eastAsia="es-ES"/>
        </w:rPr>
        <w:t xml:space="preserve"> term</w:t>
      </w:r>
      <w:r w:rsidR="00706CD2" w:rsidRPr="008A7BD7">
        <w:rPr>
          <w:rFonts w:ascii="Cambria" w:eastAsia="Times New Roman" w:hAnsi="Cambria" w:cs="Times New Roman"/>
          <w:color w:val="000000" w:themeColor="text1"/>
          <w:sz w:val="20"/>
          <w:szCs w:val="20"/>
          <w:lang w:eastAsia="es-ES"/>
        </w:rPr>
        <w:t xml:space="preserve">. </w:t>
      </w:r>
      <w:r w:rsidRPr="008A7BD7">
        <w:rPr>
          <w:rFonts w:ascii="Cambria" w:eastAsia="Times New Roman" w:hAnsi="Cambria" w:cs="Times New Roman"/>
          <w:color w:val="000000" w:themeColor="text1"/>
          <w:sz w:val="20"/>
          <w:szCs w:val="20"/>
          <w:lang w:eastAsia="es-ES"/>
        </w:rPr>
        <w:t>However, on that same date,</w:t>
      </w:r>
      <w:r w:rsidR="00085D8E" w:rsidRPr="008A7BD7">
        <w:rPr>
          <w:rFonts w:ascii="Cambria" w:eastAsia="Times New Roman" w:hAnsi="Cambria" w:cs="Times New Roman"/>
          <w:color w:val="000000" w:themeColor="text1"/>
          <w:sz w:val="20"/>
          <w:szCs w:val="20"/>
          <w:lang w:eastAsia="es-ES"/>
        </w:rPr>
        <w:t xml:space="preserve"> </w:t>
      </w:r>
      <w:r w:rsidRPr="008A7BD7">
        <w:rPr>
          <w:rFonts w:ascii="Cambria" w:eastAsia="Times New Roman" w:hAnsi="Cambria" w:cs="Times New Roman"/>
          <w:color w:val="000000" w:themeColor="text1"/>
          <w:sz w:val="20"/>
          <w:szCs w:val="20"/>
          <w:lang w:eastAsia="es-ES"/>
        </w:rPr>
        <w:t xml:space="preserve">it arbitrarily refused to swear in Acting </w:t>
      </w:r>
      <w:r w:rsidR="00EE63E1" w:rsidRPr="008A7BD7">
        <w:rPr>
          <w:rFonts w:ascii="Cambria" w:eastAsia="Times New Roman" w:hAnsi="Cambria" w:cs="Times New Roman"/>
          <w:color w:val="000000"/>
          <w:sz w:val="20"/>
          <w:szCs w:val="20"/>
          <w:lang w:eastAsia="es-ES"/>
        </w:rPr>
        <w:t>Constitutional Court</w:t>
      </w:r>
      <w:r w:rsidR="00EE63E1" w:rsidRPr="008A7BD7">
        <w:rPr>
          <w:rFonts w:ascii="Cambria" w:eastAsia="Times New Roman" w:hAnsi="Cambria" w:cs="Times New Roman"/>
          <w:color w:val="000000" w:themeColor="text1"/>
          <w:sz w:val="20"/>
          <w:szCs w:val="20"/>
          <w:lang w:eastAsia="es-ES"/>
        </w:rPr>
        <w:t xml:space="preserve"> </w:t>
      </w:r>
      <w:r w:rsidR="00085D8E" w:rsidRPr="008A7BD7">
        <w:rPr>
          <w:rFonts w:ascii="Cambria" w:eastAsia="Times New Roman" w:hAnsi="Cambria" w:cs="Times New Roman"/>
          <w:color w:val="000000" w:themeColor="text1"/>
          <w:sz w:val="20"/>
          <w:szCs w:val="20"/>
          <w:lang w:eastAsia="es-ES"/>
        </w:rPr>
        <w:t>Judge</w:t>
      </w:r>
      <w:r w:rsidRPr="008A7BD7">
        <w:rPr>
          <w:rFonts w:ascii="Cambria" w:eastAsia="Times New Roman" w:hAnsi="Cambria" w:cs="Times New Roman"/>
          <w:color w:val="000000" w:themeColor="text1"/>
          <w:sz w:val="20"/>
          <w:szCs w:val="20"/>
          <w:lang w:eastAsia="es-ES"/>
        </w:rPr>
        <w:t xml:space="preserve"> </w:t>
      </w:r>
      <w:r w:rsidR="00706CD2" w:rsidRPr="008A7BD7">
        <w:rPr>
          <w:rFonts w:ascii="Cambria" w:eastAsia="Times New Roman" w:hAnsi="Cambria" w:cs="Calibri"/>
          <w:color w:val="000000" w:themeColor="text1"/>
          <w:sz w:val="20"/>
          <w:szCs w:val="20"/>
          <w:lang w:eastAsia="es-ES"/>
        </w:rPr>
        <w:t>Gloria Porras</w:t>
      </w:r>
      <w:r w:rsidR="00BE1485" w:rsidRPr="008A7BD7">
        <w:rPr>
          <w:rFonts w:ascii="Cambria" w:eastAsia="Times New Roman" w:hAnsi="Cambria" w:cs="Calibri"/>
          <w:color w:val="000000" w:themeColor="text1"/>
          <w:sz w:val="20"/>
          <w:szCs w:val="20"/>
          <w:lang w:eastAsia="es-ES"/>
        </w:rPr>
        <w:t>,</w:t>
      </w:r>
      <w:r w:rsidRPr="008A7BD7">
        <w:rPr>
          <w:rFonts w:ascii="Cambria" w:eastAsia="Times New Roman" w:hAnsi="Cambria" w:cs="Calibri"/>
          <w:color w:val="000000" w:themeColor="text1"/>
          <w:sz w:val="20"/>
          <w:szCs w:val="20"/>
          <w:lang w:eastAsia="es-ES"/>
        </w:rPr>
        <w:t xml:space="preserve"> a beneficiary of IACHR precautionary measures who had been selected by Guatemala’s University of</w:t>
      </w:r>
      <w:r w:rsidR="00EE63E1" w:rsidRPr="008A7BD7">
        <w:rPr>
          <w:rFonts w:ascii="Cambria" w:eastAsia="Times New Roman" w:hAnsi="Cambria" w:cs="Calibri"/>
          <w:color w:val="000000" w:themeColor="text1"/>
          <w:sz w:val="20"/>
          <w:szCs w:val="20"/>
          <w:lang w:eastAsia="es-ES"/>
        </w:rPr>
        <w:t xml:space="preserve"> </w:t>
      </w:r>
      <w:r w:rsidR="00706CD2" w:rsidRPr="008A7BD7">
        <w:rPr>
          <w:rFonts w:ascii="Cambria" w:eastAsia="Times New Roman" w:hAnsi="Cambria" w:cs="Calibri"/>
          <w:color w:val="000000" w:themeColor="text1"/>
          <w:sz w:val="20"/>
          <w:szCs w:val="20"/>
          <w:lang w:eastAsia="es-ES"/>
        </w:rPr>
        <w:t>San Carlos</w:t>
      </w:r>
      <w:r w:rsidRPr="008A7BD7">
        <w:rPr>
          <w:rFonts w:ascii="Cambria" w:eastAsia="Times New Roman" w:hAnsi="Cambria" w:cs="Calibri"/>
          <w:color w:val="000000" w:themeColor="text1"/>
          <w:sz w:val="20"/>
          <w:szCs w:val="20"/>
          <w:lang w:eastAsia="es-ES"/>
        </w:rPr>
        <w:t xml:space="preserve"> to hold that position for a new term.</w:t>
      </w:r>
      <w:r w:rsidR="00706CD2" w:rsidRPr="008A7BD7">
        <w:rPr>
          <w:rFonts w:ascii="Cambria" w:eastAsia="Times New Roman" w:hAnsi="Cambria" w:cs="Calibri"/>
          <w:color w:val="000000" w:themeColor="text1"/>
          <w:sz w:val="20"/>
          <w:szCs w:val="20"/>
          <w:lang w:eastAsia="es-ES"/>
        </w:rPr>
        <w:t xml:space="preserve"> </w:t>
      </w:r>
      <w:r w:rsidRPr="008A7BD7">
        <w:rPr>
          <w:rFonts w:ascii="Cambria" w:eastAsia="Times New Roman" w:hAnsi="Cambria" w:cs="Calibri"/>
          <w:color w:val="000000" w:themeColor="text1"/>
          <w:sz w:val="20"/>
          <w:szCs w:val="20"/>
          <w:lang w:eastAsia="es-ES"/>
        </w:rPr>
        <w:t xml:space="preserve">That denial was reportedly based on the existence of a </w:t>
      </w:r>
      <w:r w:rsidR="00085D8E" w:rsidRPr="008A7BD7">
        <w:rPr>
          <w:rFonts w:ascii="Cambria" w:eastAsia="Times New Roman" w:hAnsi="Cambria" w:cs="Calibri"/>
          <w:color w:val="000000" w:themeColor="text1"/>
          <w:sz w:val="20"/>
          <w:szCs w:val="20"/>
          <w:lang w:eastAsia="es-ES"/>
        </w:rPr>
        <w:t xml:space="preserve">pending </w:t>
      </w:r>
      <w:r w:rsidRPr="008A7BD7">
        <w:rPr>
          <w:rFonts w:ascii="Cambria" w:eastAsia="Times New Roman" w:hAnsi="Cambria" w:cs="Calibri"/>
          <w:color w:val="000000" w:themeColor="text1"/>
          <w:sz w:val="20"/>
          <w:szCs w:val="20"/>
          <w:lang w:eastAsia="es-ES"/>
        </w:rPr>
        <w:t xml:space="preserve">provisional injunction against her </w:t>
      </w:r>
      <w:r w:rsidR="00085D8E" w:rsidRPr="008A7BD7">
        <w:rPr>
          <w:rFonts w:ascii="Cambria" w:eastAsia="Times New Roman" w:hAnsi="Cambria" w:cs="Calibri"/>
          <w:color w:val="000000" w:themeColor="text1"/>
          <w:sz w:val="20"/>
          <w:szCs w:val="20"/>
          <w:lang w:eastAsia="es-ES"/>
        </w:rPr>
        <w:t>s</w:t>
      </w:r>
      <w:r w:rsidRPr="008A7BD7">
        <w:rPr>
          <w:rFonts w:ascii="Cambria" w:eastAsia="Times New Roman" w:hAnsi="Cambria" w:cs="Calibri"/>
          <w:color w:val="000000" w:themeColor="text1"/>
          <w:sz w:val="20"/>
          <w:szCs w:val="20"/>
          <w:lang w:eastAsia="es-ES"/>
        </w:rPr>
        <w:t xml:space="preserve">election and a decree approved by Congress on March </w:t>
      </w:r>
      <w:r w:rsidR="00706CD2" w:rsidRPr="008A7BD7">
        <w:rPr>
          <w:rFonts w:ascii="Cambria" w:eastAsia="Times New Roman" w:hAnsi="Cambria" w:cs="Calibri"/>
          <w:color w:val="000000" w:themeColor="text1"/>
          <w:sz w:val="20"/>
          <w:szCs w:val="20"/>
          <w:lang w:eastAsia="es-ES"/>
        </w:rPr>
        <w:t>25</w:t>
      </w:r>
      <w:r w:rsidRPr="008A7BD7">
        <w:rPr>
          <w:rFonts w:ascii="Cambria" w:eastAsia="Times New Roman" w:hAnsi="Cambria" w:cs="Calibri"/>
          <w:color w:val="000000" w:themeColor="text1"/>
          <w:sz w:val="20"/>
          <w:szCs w:val="20"/>
          <w:lang w:eastAsia="es-ES"/>
        </w:rPr>
        <w:t xml:space="preserve">, establishing that anyone with pending legal actions could not assume the </w:t>
      </w:r>
      <w:r w:rsidRPr="008A7BD7">
        <w:rPr>
          <w:rFonts w:ascii="Cambria" w:eastAsia="Times New Roman" w:hAnsi="Cambria" w:cs="Calibri"/>
          <w:color w:val="000000" w:themeColor="text1"/>
          <w:sz w:val="20"/>
          <w:szCs w:val="20"/>
          <w:lang w:eastAsia="es-ES"/>
        </w:rPr>
        <w:lastRenderedPageBreak/>
        <w:t xml:space="preserve">office. For their part, civil society organizations informed the IACHR that there </w:t>
      </w:r>
      <w:r w:rsidR="00085D8E" w:rsidRPr="008A7BD7">
        <w:rPr>
          <w:rFonts w:ascii="Cambria" w:eastAsia="Times New Roman" w:hAnsi="Cambria" w:cs="Calibri"/>
          <w:color w:val="000000" w:themeColor="text1"/>
          <w:sz w:val="20"/>
          <w:szCs w:val="20"/>
          <w:lang w:eastAsia="es-ES"/>
        </w:rPr>
        <w:t>was no</w:t>
      </w:r>
      <w:r w:rsidRPr="008A7BD7">
        <w:rPr>
          <w:rFonts w:ascii="Cambria" w:eastAsia="Times New Roman" w:hAnsi="Cambria" w:cs="Calibri"/>
          <w:color w:val="000000" w:themeColor="text1"/>
          <w:sz w:val="20"/>
          <w:szCs w:val="20"/>
          <w:lang w:eastAsia="es-ES"/>
        </w:rPr>
        <w:t xml:space="preserve"> legal impediment to </w:t>
      </w:r>
      <w:r w:rsidR="00085D8E" w:rsidRPr="008A7BD7">
        <w:rPr>
          <w:rFonts w:ascii="Cambria" w:eastAsia="Times New Roman" w:hAnsi="Cambria" w:cs="Calibri"/>
          <w:color w:val="000000" w:themeColor="text1"/>
          <w:sz w:val="20"/>
          <w:szCs w:val="20"/>
          <w:lang w:eastAsia="es-ES"/>
        </w:rPr>
        <w:t>Judge</w:t>
      </w:r>
      <w:r w:rsidRPr="008A7BD7">
        <w:rPr>
          <w:rFonts w:ascii="Cambria" w:eastAsia="Times New Roman" w:hAnsi="Cambria" w:cs="Calibri"/>
          <w:color w:val="000000" w:themeColor="text1"/>
          <w:sz w:val="20"/>
          <w:szCs w:val="20"/>
          <w:lang w:eastAsia="es-ES"/>
        </w:rPr>
        <w:t xml:space="preserve"> </w:t>
      </w:r>
      <w:r w:rsidR="00706CD2" w:rsidRPr="008A7BD7">
        <w:rPr>
          <w:rFonts w:ascii="Cambria" w:eastAsia="Times New Roman" w:hAnsi="Cambria" w:cs="Calibri"/>
          <w:color w:val="000000"/>
          <w:sz w:val="20"/>
          <w:szCs w:val="20"/>
          <w:lang w:eastAsia="es-ES"/>
        </w:rPr>
        <w:t>Gloria Porras</w:t>
      </w:r>
      <w:r w:rsidR="00136970" w:rsidRPr="008A7BD7">
        <w:rPr>
          <w:rFonts w:ascii="Cambria" w:eastAsia="Times New Roman" w:hAnsi="Cambria" w:cs="Calibri"/>
          <w:color w:val="000000"/>
          <w:sz w:val="20"/>
          <w:szCs w:val="20"/>
          <w:lang w:eastAsia="es-ES"/>
        </w:rPr>
        <w:t>’</w:t>
      </w:r>
      <w:r w:rsidR="00085D8E" w:rsidRPr="008A7BD7">
        <w:rPr>
          <w:rFonts w:ascii="Cambria" w:eastAsia="Times New Roman" w:hAnsi="Cambria" w:cs="Calibri"/>
          <w:color w:val="000000"/>
          <w:sz w:val="20"/>
          <w:szCs w:val="20"/>
          <w:lang w:eastAsia="es-ES"/>
        </w:rPr>
        <w:t xml:space="preserve"> being sworn </w:t>
      </w:r>
      <w:proofErr w:type="gramStart"/>
      <w:r w:rsidR="00085D8E" w:rsidRPr="008A7BD7">
        <w:rPr>
          <w:rFonts w:ascii="Cambria" w:eastAsia="Times New Roman" w:hAnsi="Cambria" w:cs="Calibri"/>
          <w:color w:val="000000"/>
          <w:sz w:val="20"/>
          <w:szCs w:val="20"/>
          <w:lang w:eastAsia="es-ES"/>
        </w:rPr>
        <w:t>in to</w:t>
      </w:r>
      <w:proofErr w:type="gramEnd"/>
      <w:r w:rsidR="00085D8E" w:rsidRPr="008A7BD7">
        <w:rPr>
          <w:rFonts w:ascii="Cambria" w:eastAsia="Times New Roman" w:hAnsi="Cambria" w:cs="Calibri"/>
          <w:color w:val="000000"/>
          <w:sz w:val="20"/>
          <w:szCs w:val="20"/>
          <w:lang w:eastAsia="es-ES"/>
        </w:rPr>
        <w:t xml:space="preserve"> the position</w:t>
      </w:r>
      <w:r w:rsidR="00701960" w:rsidRPr="008A7BD7">
        <w:rPr>
          <w:rFonts w:ascii="Cambria" w:eastAsia="Times New Roman" w:hAnsi="Cambria" w:cs="Calibri"/>
          <w:color w:val="000000"/>
          <w:sz w:val="20"/>
          <w:szCs w:val="20"/>
          <w:lang w:eastAsia="es-ES"/>
        </w:rPr>
        <w:t xml:space="preserve">. They also indicated that there was a latent risk that she could be pursued criminally, since there were reportedly more than </w:t>
      </w:r>
      <w:r w:rsidR="00706CD2" w:rsidRPr="008A7BD7">
        <w:rPr>
          <w:rFonts w:ascii="Cambria" w:eastAsia="Times New Roman" w:hAnsi="Cambria" w:cs="Calibri"/>
          <w:color w:val="000000"/>
          <w:sz w:val="20"/>
          <w:szCs w:val="20"/>
          <w:lang w:eastAsia="es-ES"/>
        </w:rPr>
        <w:t xml:space="preserve">70 </w:t>
      </w:r>
      <w:r w:rsidR="00701960" w:rsidRPr="008A7BD7">
        <w:rPr>
          <w:rFonts w:ascii="Cambria" w:eastAsia="Times New Roman" w:hAnsi="Cambria" w:cs="Calibri"/>
          <w:color w:val="000000"/>
          <w:sz w:val="20"/>
          <w:szCs w:val="20"/>
          <w:lang w:eastAsia="es-ES"/>
        </w:rPr>
        <w:t xml:space="preserve">legal actions against her based on her </w:t>
      </w:r>
      <w:r w:rsidR="000F369F" w:rsidRPr="008A7BD7">
        <w:rPr>
          <w:rFonts w:ascii="Cambria" w:eastAsia="Times New Roman" w:hAnsi="Cambria" w:cs="Calibri"/>
          <w:color w:val="000000"/>
          <w:sz w:val="20"/>
          <w:szCs w:val="20"/>
          <w:lang w:eastAsia="es-ES"/>
        </w:rPr>
        <w:t>role as a judge</w:t>
      </w:r>
      <w:r w:rsidR="00701960" w:rsidRPr="008A7BD7">
        <w:rPr>
          <w:rFonts w:ascii="Cambria" w:eastAsia="Times New Roman" w:hAnsi="Cambria" w:cs="Calibri"/>
          <w:color w:val="000000"/>
          <w:sz w:val="20"/>
          <w:szCs w:val="20"/>
          <w:lang w:eastAsia="es-ES"/>
        </w:rPr>
        <w:t xml:space="preserve">. Faced with this situation, </w:t>
      </w:r>
      <w:r w:rsidR="000F369F" w:rsidRPr="008A7BD7">
        <w:rPr>
          <w:rFonts w:ascii="Cambria" w:eastAsia="Times New Roman" w:hAnsi="Cambria" w:cs="Calibri"/>
          <w:color w:val="000000"/>
          <w:sz w:val="20"/>
          <w:szCs w:val="20"/>
          <w:lang w:eastAsia="es-ES"/>
        </w:rPr>
        <w:t>Judge</w:t>
      </w:r>
      <w:r w:rsidR="00701960" w:rsidRPr="008A7BD7">
        <w:rPr>
          <w:rFonts w:ascii="Cambria" w:eastAsia="Times New Roman" w:hAnsi="Cambria" w:cs="Calibri"/>
          <w:color w:val="000000"/>
          <w:sz w:val="20"/>
          <w:szCs w:val="20"/>
          <w:lang w:eastAsia="es-ES"/>
        </w:rPr>
        <w:t xml:space="preserve"> </w:t>
      </w:r>
      <w:r w:rsidR="00D7694D" w:rsidRPr="008A7BD7">
        <w:rPr>
          <w:rFonts w:ascii="Cambria" w:eastAsia="Times New Roman" w:hAnsi="Cambria" w:cs="Calibri"/>
          <w:color w:val="000000" w:themeColor="text1"/>
          <w:sz w:val="20"/>
          <w:szCs w:val="20"/>
          <w:lang w:eastAsia="es-ES"/>
        </w:rPr>
        <w:t>Porras</w:t>
      </w:r>
      <w:r w:rsidR="00701960" w:rsidRPr="008A7BD7">
        <w:rPr>
          <w:rFonts w:ascii="Cambria" w:eastAsia="Times New Roman" w:hAnsi="Cambria" w:cs="Calibri"/>
          <w:color w:val="000000" w:themeColor="text1"/>
          <w:sz w:val="20"/>
          <w:szCs w:val="20"/>
          <w:lang w:eastAsia="es-ES"/>
        </w:rPr>
        <w:t xml:space="preserve"> was forced to leave the country</w:t>
      </w:r>
      <w:r w:rsidR="00701960" w:rsidRPr="008A7BD7">
        <w:rPr>
          <w:rFonts w:ascii="Cambria" w:eastAsia="Times New Roman" w:hAnsi="Cambria" w:cs="Calibri"/>
          <w:color w:val="000000"/>
          <w:sz w:val="20"/>
          <w:szCs w:val="20"/>
          <w:lang w:eastAsia="es-ES"/>
        </w:rPr>
        <w:t>.</w:t>
      </w:r>
      <w:r w:rsidR="00706CD2" w:rsidRPr="008A7BD7">
        <w:rPr>
          <w:rFonts w:ascii="Cambria" w:eastAsia="Times New Roman" w:hAnsi="Cambria" w:cs="Calibri"/>
          <w:color w:val="000000"/>
          <w:sz w:val="20"/>
          <w:szCs w:val="20"/>
          <w:vertAlign w:val="superscript"/>
          <w:lang w:val="es-MX" w:eastAsia="es-ES"/>
        </w:rPr>
        <w:footnoteReference w:id="56"/>
      </w:r>
      <w:r w:rsidR="00706CD2" w:rsidRPr="008A7BD7">
        <w:rPr>
          <w:rFonts w:ascii="Cambria" w:eastAsia="Times New Roman" w:hAnsi="Cambria" w:cs="Times New Roman"/>
          <w:color w:val="000000"/>
          <w:sz w:val="20"/>
          <w:szCs w:val="20"/>
          <w:lang w:eastAsia="es-ES"/>
        </w:rPr>
        <w:t xml:space="preserve"> </w:t>
      </w:r>
      <w:r w:rsidR="00FA69D9" w:rsidRPr="008A7BD7">
        <w:rPr>
          <w:rFonts w:ascii="Cambria" w:eastAsia="Times New Roman" w:hAnsi="Cambria" w:cs="Times New Roman"/>
          <w:color w:val="000000"/>
          <w:sz w:val="20"/>
          <w:szCs w:val="20"/>
          <w:lang w:eastAsia="es-ES"/>
        </w:rPr>
        <w:t>On August</w:t>
      </w:r>
      <w:r w:rsidR="00706CD2" w:rsidRPr="008A7BD7">
        <w:rPr>
          <w:rFonts w:ascii="Cambria" w:eastAsia="Times New Roman" w:hAnsi="Cambria" w:cs="Times New Roman"/>
          <w:color w:val="000000"/>
          <w:sz w:val="20"/>
          <w:szCs w:val="20"/>
          <w:lang w:eastAsia="es-ES"/>
        </w:rPr>
        <w:t xml:space="preserve"> 18</w:t>
      </w:r>
      <w:r w:rsidR="00FA69D9" w:rsidRPr="008A7BD7">
        <w:rPr>
          <w:rFonts w:ascii="Cambria" w:eastAsia="Times New Roman" w:hAnsi="Cambria" w:cs="Times New Roman"/>
          <w:color w:val="000000"/>
          <w:sz w:val="20"/>
          <w:szCs w:val="20"/>
          <w:lang w:eastAsia="es-ES"/>
        </w:rPr>
        <w:t xml:space="preserve">, </w:t>
      </w:r>
      <w:r w:rsidR="00706CD2" w:rsidRPr="008A7BD7">
        <w:rPr>
          <w:rFonts w:ascii="Cambria" w:eastAsia="Times New Roman" w:hAnsi="Cambria" w:cs="Times New Roman"/>
          <w:color w:val="000000"/>
          <w:sz w:val="20"/>
          <w:szCs w:val="20"/>
          <w:lang w:eastAsia="es-ES"/>
        </w:rPr>
        <w:t xml:space="preserve">2021, </w:t>
      </w:r>
      <w:r w:rsidR="00FA69D9" w:rsidRPr="008A7BD7">
        <w:rPr>
          <w:rFonts w:ascii="Cambria" w:eastAsia="Times New Roman" w:hAnsi="Cambria" w:cs="Times New Roman"/>
          <w:color w:val="000000"/>
          <w:sz w:val="20"/>
          <w:szCs w:val="20"/>
          <w:lang w:eastAsia="es-ES"/>
        </w:rPr>
        <w:t xml:space="preserve">the newly constituted Constitutional Court ordered Congress not to swear </w:t>
      </w:r>
      <w:r w:rsidR="00EE63E1" w:rsidRPr="008A7BD7">
        <w:rPr>
          <w:rFonts w:ascii="Cambria" w:eastAsia="Times New Roman" w:hAnsi="Cambria" w:cs="Times New Roman"/>
          <w:color w:val="000000"/>
          <w:sz w:val="20"/>
          <w:szCs w:val="20"/>
          <w:lang w:eastAsia="es-ES"/>
        </w:rPr>
        <w:t>her in</w:t>
      </w:r>
      <w:r w:rsidR="00FA69D9" w:rsidRPr="008A7BD7">
        <w:rPr>
          <w:rFonts w:ascii="Cambria" w:eastAsia="Times New Roman" w:hAnsi="Cambria" w:cs="Times New Roman"/>
          <w:color w:val="000000"/>
          <w:sz w:val="20"/>
          <w:szCs w:val="20"/>
          <w:lang w:eastAsia="es-ES"/>
        </w:rPr>
        <w:t xml:space="preserve"> </w:t>
      </w:r>
      <w:r w:rsidR="00EE63E1" w:rsidRPr="008A7BD7">
        <w:rPr>
          <w:rFonts w:ascii="Cambria" w:eastAsia="Times New Roman" w:hAnsi="Cambria" w:cs="Times New Roman"/>
          <w:color w:val="000000"/>
          <w:sz w:val="20"/>
          <w:szCs w:val="20"/>
          <w:lang w:eastAsia="es-ES"/>
        </w:rPr>
        <w:t>due to</w:t>
      </w:r>
      <w:r w:rsidR="00FA69D9" w:rsidRPr="008A7BD7">
        <w:rPr>
          <w:rFonts w:ascii="Cambria" w:eastAsia="Times New Roman" w:hAnsi="Cambria" w:cs="Times New Roman"/>
          <w:color w:val="000000"/>
          <w:sz w:val="20"/>
          <w:szCs w:val="20"/>
          <w:lang w:eastAsia="es-ES"/>
        </w:rPr>
        <w:t xml:space="preserve"> alleged irregularities in the process used to select her.</w:t>
      </w:r>
      <w:r w:rsidR="00706CD2" w:rsidRPr="008A7BD7">
        <w:rPr>
          <w:rFonts w:ascii="Cambria" w:eastAsia="Calibri" w:hAnsi="Cambria" w:cs="Times New Roman"/>
          <w:color w:val="000000"/>
          <w:sz w:val="20"/>
          <w:szCs w:val="20"/>
          <w:vertAlign w:val="superscript"/>
          <w:lang w:val="es-US" w:eastAsia="es-ES"/>
        </w:rPr>
        <w:footnoteReference w:id="57"/>
      </w:r>
      <w:r w:rsidR="00706CD2" w:rsidRPr="008A7BD7">
        <w:rPr>
          <w:rFonts w:ascii="Cambria" w:eastAsia="Times New Roman" w:hAnsi="Cambria" w:cs="Times New Roman"/>
          <w:color w:val="000000"/>
          <w:sz w:val="20"/>
          <w:szCs w:val="20"/>
          <w:lang w:eastAsia="es-ES"/>
        </w:rPr>
        <w:t xml:space="preserve"> </w:t>
      </w:r>
      <w:r w:rsidR="00023A23" w:rsidRPr="008A7BD7">
        <w:rPr>
          <w:rFonts w:ascii="Cambria" w:eastAsia="Times New Roman" w:hAnsi="Cambria" w:cs="Times New Roman"/>
          <w:color w:val="000000"/>
          <w:sz w:val="20"/>
          <w:szCs w:val="20"/>
          <w:lang w:eastAsia="es-ES_tradnl"/>
        </w:rPr>
        <w:t xml:space="preserve"> </w:t>
      </w:r>
    </w:p>
    <w:p w14:paraId="09595B74" w14:textId="77777777" w:rsidR="00C56230" w:rsidRPr="008A7BD7" w:rsidRDefault="00C56230" w:rsidP="00C56230">
      <w:pPr>
        <w:ind w:left="720"/>
        <w:jc w:val="both"/>
        <w:rPr>
          <w:rFonts w:ascii="Cambria" w:eastAsia="Times New Roman" w:hAnsi="Cambria" w:cs="Times New Roman"/>
          <w:color w:val="000000"/>
          <w:sz w:val="20"/>
          <w:szCs w:val="20"/>
          <w:lang w:eastAsia="es-ES_tradnl"/>
        </w:rPr>
      </w:pPr>
    </w:p>
    <w:p w14:paraId="07768B22" w14:textId="02330F47" w:rsidR="00C56230" w:rsidRPr="008A7BD7" w:rsidRDefault="002958EE" w:rsidP="00C56230">
      <w:pPr>
        <w:numPr>
          <w:ilvl w:val="0"/>
          <w:numId w:val="2"/>
        </w:numPr>
        <w:ind w:left="0" w:firstLine="720"/>
        <w:jc w:val="both"/>
        <w:rPr>
          <w:rFonts w:ascii="Cambria" w:eastAsia="Times New Roman" w:hAnsi="Cambria" w:cs="Times New Roman"/>
          <w:color w:val="000000"/>
          <w:sz w:val="20"/>
          <w:szCs w:val="20"/>
          <w:lang w:eastAsia="es-ES_tradnl"/>
        </w:rPr>
      </w:pPr>
      <w:r w:rsidRPr="008A7BD7">
        <w:rPr>
          <w:rFonts w:ascii="Cambria" w:eastAsia="Times New Roman" w:hAnsi="Cambria" w:cs="Times New Roman"/>
          <w:color w:val="000000"/>
          <w:sz w:val="20"/>
          <w:szCs w:val="20"/>
          <w:lang w:eastAsia="es-ES_tradnl"/>
        </w:rPr>
        <w:t>The State of</w:t>
      </w:r>
      <w:r w:rsidR="00C56230" w:rsidRPr="008A7BD7">
        <w:rPr>
          <w:rFonts w:ascii="Cambria" w:eastAsia="Times New Roman" w:hAnsi="Cambria" w:cs="Times New Roman"/>
          <w:color w:val="000000"/>
          <w:sz w:val="20"/>
          <w:szCs w:val="20"/>
          <w:lang w:eastAsia="es-ES_tradnl"/>
        </w:rPr>
        <w:t xml:space="preserve"> Guatemala, </w:t>
      </w:r>
      <w:r w:rsidRPr="008A7BD7">
        <w:rPr>
          <w:rFonts w:ascii="Cambria" w:eastAsia="Times New Roman" w:hAnsi="Cambria" w:cs="Times New Roman"/>
          <w:color w:val="000000"/>
          <w:sz w:val="20"/>
          <w:szCs w:val="20"/>
          <w:lang w:eastAsia="es-ES_tradnl"/>
        </w:rPr>
        <w:t xml:space="preserve">for its part, informed the IACHR that “at no time was Acting Judge Gloria Porras </w:t>
      </w:r>
      <w:r w:rsidR="00FE6053" w:rsidRPr="008A7BD7">
        <w:rPr>
          <w:rFonts w:ascii="Cambria" w:eastAsia="Times New Roman" w:hAnsi="Cambria" w:cs="Times New Roman"/>
          <w:color w:val="000000"/>
          <w:sz w:val="20"/>
          <w:szCs w:val="20"/>
          <w:lang w:eastAsia="es-ES_tradnl"/>
        </w:rPr>
        <w:t>arbitrarily denied the oath of office, as there are appeals being heard in judicial bodies with jurisdiction.</w:t>
      </w:r>
      <w:r w:rsidR="00C56230" w:rsidRPr="008A7BD7">
        <w:rPr>
          <w:rFonts w:ascii="Cambria" w:eastAsia="Times New Roman" w:hAnsi="Cambria" w:cs="Times New Roman"/>
          <w:color w:val="000000"/>
          <w:sz w:val="20"/>
          <w:szCs w:val="20"/>
          <w:lang w:eastAsia="es-ES_tradnl"/>
        </w:rPr>
        <w:t xml:space="preserve">” </w:t>
      </w:r>
      <w:r w:rsidR="00FE6053" w:rsidRPr="008A7BD7">
        <w:rPr>
          <w:rFonts w:ascii="Cambria" w:eastAsia="Times New Roman" w:hAnsi="Cambria" w:cs="Times New Roman"/>
          <w:color w:val="000000"/>
          <w:sz w:val="20"/>
          <w:szCs w:val="20"/>
          <w:lang w:eastAsia="es-ES_tradnl"/>
        </w:rPr>
        <w:t xml:space="preserve">In this regard, it indicated that </w:t>
      </w:r>
      <w:r w:rsidR="00E04740" w:rsidRPr="008A7BD7">
        <w:rPr>
          <w:rFonts w:ascii="Cambria" w:eastAsia="Times New Roman" w:hAnsi="Cambria" w:cs="Times New Roman"/>
          <w:color w:val="000000"/>
          <w:sz w:val="20"/>
          <w:szCs w:val="20"/>
          <w:lang w:eastAsia="es-ES_tradnl"/>
        </w:rPr>
        <w:t xml:space="preserve">it “is respectful of the laws in effect and that, according to the Law on </w:t>
      </w:r>
      <w:r w:rsidR="00C56230" w:rsidRPr="008A7BD7">
        <w:rPr>
          <w:rFonts w:ascii="Cambria" w:eastAsia="Times New Roman" w:hAnsi="Cambria" w:cs="Times New Roman"/>
          <w:i/>
          <w:iCs/>
          <w:color w:val="000000"/>
          <w:sz w:val="20"/>
          <w:szCs w:val="20"/>
          <w:lang w:eastAsia="es-ES_tradnl"/>
        </w:rPr>
        <w:t>Amparo</w:t>
      </w:r>
      <w:r w:rsidR="00C56230" w:rsidRPr="008A7BD7">
        <w:rPr>
          <w:rFonts w:ascii="Cambria" w:eastAsia="Times New Roman" w:hAnsi="Cambria" w:cs="Times New Roman"/>
          <w:color w:val="000000"/>
          <w:sz w:val="20"/>
          <w:szCs w:val="20"/>
          <w:lang w:eastAsia="es-ES_tradnl"/>
        </w:rPr>
        <w:t xml:space="preserve">, </w:t>
      </w:r>
      <w:r w:rsidR="00E04740" w:rsidRPr="008A7BD7">
        <w:rPr>
          <w:rFonts w:ascii="Cambria" w:eastAsia="Times New Roman" w:hAnsi="Cambria" w:cs="Times New Roman"/>
          <w:i/>
          <w:iCs/>
          <w:color w:val="000000"/>
          <w:sz w:val="20"/>
          <w:szCs w:val="20"/>
          <w:lang w:eastAsia="es-ES_tradnl"/>
        </w:rPr>
        <w:t>Habeas Corpus</w:t>
      </w:r>
      <w:r w:rsidR="00E04740" w:rsidRPr="008A7BD7">
        <w:rPr>
          <w:rFonts w:ascii="Cambria" w:eastAsia="Times New Roman" w:hAnsi="Cambria" w:cs="Times New Roman"/>
          <w:color w:val="000000"/>
          <w:sz w:val="20"/>
          <w:szCs w:val="20"/>
          <w:lang w:eastAsia="es-ES_tradnl"/>
        </w:rPr>
        <w:t>, and Constitutionality: In any administrative or judicial proceeding, the</w:t>
      </w:r>
      <w:r w:rsidR="009C4D03" w:rsidRPr="008A7BD7">
        <w:rPr>
          <w:rFonts w:ascii="Cambria" w:eastAsia="Times New Roman" w:hAnsi="Cambria" w:cs="Times New Roman"/>
          <w:color w:val="000000"/>
          <w:sz w:val="20"/>
          <w:szCs w:val="20"/>
          <w:lang w:eastAsia="es-ES_tradnl"/>
        </w:rPr>
        <w:t xml:space="preserve"> guarantees of due process </w:t>
      </w:r>
      <w:r w:rsidR="00211740" w:rsidRPr="008A7BD7">
        <w:rPr>
          <w:rFonts w:ascii="Cambria" w:eastAsia="Times New Roman" w:hAnsi="Cambria" w:cs="Times New Roman"/>
          <w:color w:val="000000"/>
          <w:sz w:val="20"/>
          <w:szCs w:val="20"/>
          <w:lang w:eastAsia="es-ES_tradnl"/>
        </w:rPr>
        <w:t xml:space="preserve">of law </w:t>
      </w:r>
      <w:r w:rsidR="009C4D03" w:rsidRPr="008A7BD7">
        <w:rPr>
          <w:rFonts w:ascii="Cambria" w:eastAsia="Times New Roman" w:hAnsi="Cambria" w:cs="Times New Roman"/>
          <w:color w:val="000000"/>
          <w:sz w:val="20"/>
          <w:szCs w:val="20"/>
          <w:lang w:eastAsia="es-ES_tradnl"/>
        </w:rPr>
        <w:t>must be safeguarded or observed.”</w:t>
      </w:r>
      <w:r w:rsidR="00C56230" w:rsidRPr="008A7BD7">
        <w:rPr>
          <w:rStyle w:val="FootnoteReference"/>
          <w:rFonts w:ascii="Cambria" w:eastAsia="Times New Roman" w:hAnsi="Cambria" w:cs="Times New Roman"/>
          <w:color w:val="000000"/>
          <w:sz w:val="20"/>
          <w:szCs w:val="20"/>
          <w:lang w:val="es-US" w:eastAsia="es-ES_tradnl"/>
        </w:rPr>
        <w:footnoteReference w:id="58"/>
      </w:r>
    </w:p>
    <w:p w14:paraId="5E82B848" w14:textId="77777777" w:rsidR="00023A23" w:rsidRPr="008A7BD7" w:rsidRDefault="00023A23" w:rsidP="00023A23">
      <w:pPr>
        <w:pStyle w:val="ListParagraph"/>
        <w:rPr>
          <w:rFonts w:ascii="Cambria" w:eastAsia="Times New Roman" w:hAnsi="Cambria" w:cs="Calibri"/>
          <w:color w:val="000000" w:themeColor="text1"/>
          <w:sz w:val="20"/>
          <w:szCs w:val="20"/>
          <w:lang w:eastAsia="es-ES"/>
        </w:rPr>
      </w:pPr>
    </w:p>
    <w:p w14:paraId="2BF782F7" w14:textId="7974879E" w:rsidR="00E757B4" w:rsidRPr="008A7BD7" w:rsidRDefault="00A963C8" w:rsidP="008A2AEC">
      <w:pPr>
        <w:numPr>
          <w:ilvl w:val="0"/>
          <w:numId w:val="2"/>
        </w:numPr>
        <w:ind w:left="0" w:firstLine="720"/>
        <w:jc w:val="both"/>
        <w:rPr>
          <w:rFonts w:ascii="Cambria" w:eastAsia="Times New Roman" w:hAnsi="Cambria" w:cs="Times New Roman"/>
          <w:color w:val="000000"/>
          <w:sz w:val="20"/>
          <w:szCs w:val="20"/>
          <w:lang w:eastAsia="es-ES_tradnl"/>
        </w:rPr>
      </w:pPr>
      <w:r w:rsidRPr="008A7BD7">
        <w:rPr>
          <w:rFonts w:ascii="Cambria" w:eastAsia="Times New Roman" w:hAnsi="Cambria" w:cs="Calibri"/>
          <w:color w:val="000000" w:themeColor="text1"/>
          <w:sz w:val="20"/>
          <w:szCs w:val="20"/>
          <w:lang w:eastAsia="es-ES"/>
        </w:rPr>
        <w:t xml:space="preserve">The IACHR notes with concern that the refusal by the Congress to swear in </w:t>
      </w:r>
      <w:r w:rsidR="000F369F" w:rsidRPr="008A7BD7">
        <w:rPr>
          <w:rFonts w:ascii="Cambria" w:eastAsia="Times New Roman" w:hAnsi="Cambria" w:cs="Calibri"/>
          <w:color w:val="000000" w:themeColor="text1"/>
          <w:sz w:val="20"/>
          <w:szCs w:val="20"/>
          <w:lang w:eastAsia="es-ES"/>
        </w:rPr>
        <w:t>Judge</w:t>
      </w:r>
      <w:r w:rsidRPr="008A7BD7">
        <w:rPr>
          <w:rFonts w:ascii="Cambria" w:eastAsia="Times New Roman" w:hAnsi="Cambria" w:cs="Calibri"/>
          <w:color w:val="000000" w:themeColor="text1"/>
          <w:sz w:val="20"/>
          <w:szCs w:val="20"/>
          <w:lang w:eastAsia="es-ES"/>
        </w:rPr>
        <w:t xml:space="preserve"> </w:t>
      </w:r>
      <w:r w:rsidR="004E2D72" w:rsidRPr="008A7BD7">
        <w:rPr>
          <w:rFonts w:ascii="Cambria" w:eastAsia="Times New Roman" w:hAnsi="Cambria" w:cs="Calibri"/>
          <w:color w:val="000000" w:themeColor="text1"/>
          <w:sz w:val="20"/>
          <w:szCs w:val="20"/>
          <w:lang w:eastAsia="es-ES"/>
        </w:rPr>
        <w:t>Gloria Porras</w:t>
      </w:r>
      <w:r w:rsidRPr="008A7BD7">
        <w:rPr>
          <w:rFonts w:ascii="Cambria" w:eastAsia="Times New Roman" w:hAnsi="Cambria" w:cs="Calibri"/>
          <w:color w:val="000000" w:themeColor="text1"/>
          <w:sz w:val="20"/>
          <w:szCs w:val="20"/>
          <w:lang w:eastAsia="es-ES"/>
        </w:rPr>
        <w:t xml:space="preserve"> took place in a context of threats, harassment, stigmatization, and criminalization against her </w:t>
      </w:r>
      <w:r w:rsidR="006C1FBE" w:rsidRPr="008A7BD7">
        <w:rPr>
          <w:rFonts w:ascii="Cambria" w:eastAsia="Times New Roman" w:hAnsi="Cambria" w:cs="Calibri"/>
          <w:color w:val="000000" w:themeColor="text1"/>
          <w:sz w:val="20"/>
          <w:szCs w:val="20"/>
          <w:lang w:eastAsia="es-ES"/>
        </w:rPr>
        <w:t>in</w:t>
      </w:r>
      <w:r w:rsidRPr="008A7BD7">
        <w:rPr>
          <w:rFonts w:ascii="Cambria" w:eastAsia="Times New Roman" w:hAnsi="Cambria" w:cs="Calibri"/>
          <w:color w:val="000000" w:themeColor="text1"/>
          <w:sz w:val="20"/>
          <w:szCs w:val="20"/>
          <w:lang w:eastAsia="es-ES"/>
        </w:rPr>
        <w:t xml:space="preserve"> reprisal for her work on the bench. In this regard,</w:t>
      </w:r>
      <w:r w:rsidR="004E2D72" w:rsidRPr="008A7BD7">
        <w:rPr>
          <w:rFonts w:ascii="Cambria" w:eastAsia="Times New Roman" w:hAnsi="Cambria" w:cs="Calibri"/>
          <w:color w:val="000000" w:themeColor="text1"/>
          <w:sz w:val="20"/>
          <w:szCs w:val="20"/>
          <w:lang w:eastAsia="es-ES"/>
        </w:rPr>
        <w:t xml:space="preserve"> </w:t>
      </w:r>
      <w:r w:rsidR="006C1FBE" w:rsidRPr="008A7BD7">
        <w:rPr>
          <w:rFonts w:ascii="Cambria" w:eastAsia="Times New Roman" w:hAnsi="Cambria" w:cs="Calibri"/>
          <w:color w:val="000000" w:themeColor="text1"/>
          <w:sz w:val="20"/>
          <w:szCs w:val="20"/>
          <w:lang w:eastAsia="es-ES"/>
        </w:rPr>
        <w:t>in the course of this year, before the</w:t>
      </w:r>
      <w:r w:rsidR="00133226" w:rsidRPr="008A7BD7">
        <w:rPr>
          <w:rFonts w:ascii="Cambria" w:eastAsia="Times New Roman" w:hAnsi="Cambria" w:cs="Calibri"/>
          <w:color w:val="000000" w:themeColor="text1"/>
          <w:sz w:val="20"/>
          <w:szCs w:val="20"/>
          <w:lang w:eastAsia="es-ES"/>
        </w:rPr>
        <w:t xml:space="preserve"> </w:t>
      </w:r>
      <w:r w:rsidR="006C1FBE" w:rsidRPr="008A7BD7">
        <w:rPr>
          <w:rFonts w:ascii="Cambria" w:eastAsia="Times New Roman" w:hAnsi="Cambria" w:cs="Calibri"/>
          <w:color w:val="000000" w:themeColor="text1"/>
          <w:sz w:val="20"/>
          <w:szCs w:val="20"/>
          <w:lang w:eastAsia="es-ES"/>
        </w:rPr>
        <w:t xml:space="preserve">new </w:t>
      </w:r>
      <w:r w:rsidR="00133226" w:rsidRPr="008A7BD7">
        <w:rPr>
          <w:rFonts w:ascii="Cambria" w:eastAsia="Times New Roman" w:hAnsi="Cambria" w:cs="Calibri"/>
          <w:color w:val="000000" w:themeColor="text1"/>
          <w:sz w:val="20"/>
          <w:szCs w:val="20"/>
          <w:lang w:eastAsia="es-ES"/>
        </w:rPr>
        <w:t>configuration of the Constitutional Court was selected</w:t>
      </w:r>
      <w:r w:rsidR="006C1FBE" w:rsidRPr="008A7BD7">
        <w:rPr>
          <w:rFonts w:ascii="Cambria" w:eastAsia="Times New Roman" w:hAnsi="Cambria" w:cs="Calibri"/>
          <w:color w:val="000000" w:themeColor="text1"/>
          <w:sz w:val="20"/>
          <w:szCs w:val="20"/>
          <w:lang w:eastAsia="es-ES"/>
        </w:rPr>
        <w:t xml:space="preserve">, the IACHR received information </w:t>
      </w:r>
      <w:r w:rsidR="00E02A17" w:rsidRPr="008A7BD7">
        <w:rPr>
          <w:rFonts w:ascii="Cambria" w:eastAsia="Times New Roman" w:hAnsi="Cambria" w:cs="Calibri"/>
          <w:color w:val="000000" w:themeColor="text1"/>
          <w:sz w:val="20"/>
          <w:szCs w:val="20"/>
          <w:lang w:eastAsia="es-ES"/>
        </w:rPr>
        <w:t>pointing to</w:t>
      </w:r>
      <w:r w:rsidR="006C1FBE" w:rsidRPr="008A7BD7">
        <w:rPr>
          <w:rFonts w:ascii="Cambria" w:eastAsia="Times New Roman" w:hAnsi="Cambria" w:cs="Calibri"/>
          <w:color w:val="000000" w:themeColor="text1"/>
          <w:sz w:val="20"/>
          <w:szCs w:val="20"/>
          <w:lang w:eastAsia="es-ES"/>
        </w:rPr>
        <w:t xml:space="preserve"> ongoing threats and attacks against the judicial independence of judges, </w:t>
      </w:r>
      <w:r w:rsidR="00E02A17" w:rsidRPr="008A7BD7">
        <w:rPr>
          <w:rFonts w:ascii="Cambria" w:eastAsia="Times New Roman" w:hAnsi="Cambria" w:cs="Calibri"/>
          <w:color w:val="000000" w:themeColor="text1"/>
          <w:sz w:val="20"/>
          <w:szCs w:val="20"/>
          <w:lang w:eastAsia="es-ES"/>
        </w:rPr>
        <w:t xml:space="preserve">through the use of expedited </w:t>
      </w:r>
      <w:r w:rsidR="00133226" w:rsidRPr="008A7BD7">
        <w:rPr>
          <w:rFonts w:ascii="Cambria" w:eastAsia="Times New Roman" w:hAnsi="Cambria" w:cs="Calibri"/>
          <w:color w:val="000000" w:themeColor="text1"/>
          <w:sz w:val="20"/>
          <w:szCs w:val="20"/>
          <w:lang w:eastAsia="es-ES"/>
        </w:rPr>
        <w:t>proceedings</w:t>
      </w:r>
      <w:r w:rsidR="00E02A17" w:rsidRPr="008A7BD7">
        <w:rPr>
          <w:rFonts w:ascii="Cambria" w:eastAsia="Times New Roman" w:hAnsi="Cambria" w:cs="Calibri"/>
          <w:color w:val="000000" w:themeColor="text1"/>
          <w:sz w:val="20"/>
          <w:szCs w:val="20"/>
          <w:lang w:eastAsia="es-ES"/>
        </w:rPr>
        <w:t xml:space="preserve"> and the </w:t>
      </w:r>
      <w:r w:rsidR="00357413" w:rsidRPr="008A7BD7">
        <w:rPr>
          <w:rFonts w:ascii="Cambria" w:eastAsia="Times New Roman" w:hAnsi="Cambria" w:cs="Times New Roman"/>
          <w:sz w:val="20"/>
          <w:szCs w:val="20"/>
          <w:lang w:eastAsia="es-ES"/>
        </w:rPr>
        <w:t xml:space="preserve">alleged abuse of </w:t>
      </w:r>
      <w:proofErr w:type="spellStart"/>
      <w:r w:rsidR="00124C6F" w:rsidRPr="008A7BD7">
        <w:rPr>
          <w:rFonts w:ascii="Cambria" w:eastAsia="Times New Roman" w:hAnsi="Cambria" w:cs="Times New Roman"/>
          <w:i/>
          <w:iCs/>
          <w:color w:val="000000"/>
          <w:sz w:val="20"/>
          <w:szCs w:val="20"/>
          <w:lang w:eastAsia="es-ES"/>
        </w:rPr>
        <w:t>antejuicio</w:t>
      </w:r>
      <w:proofErr w:type="spellEnd"/>
      <w:r w:rsidR="00124C6F" w:rsidRPr="008A7BD7">
        <w:rPr>
          <w:rFonts w:ascii="Cambria" w:eastAsia="Times New Roman" w:hAnsi="Cambria" w:cs="Times New Roman"/>
          <w:color w:val="000000"/>
          <w:sz w:val="20"/>
          <w:szCs w:val="20"/>
          <w:lang w:eastAsia="es-ES"/>
        </w:rPr>
        <w:t xml:space="preserve"> </w:t>
      </w:r>
      <w:r w:rsidR="00133226" w:rsidRPr="008A7BD7">
        <w:rPr>
          <w:rFonts w:ascii="Cambria" w:eastAsia="Times New Roman" w:hAnsi="Cambria" w:cs="Times New Roman"/>
          <w:sz w:val="20"/>
          <w:szCs w:val="20"/>
          <w:lang w:eastAsia="es-ES"/>
        </w:rPr>
        <w:t>proceedings</w:t>
      </w:r>
      <w:r w:rsidR="00E02A17" w:rsidRPr="008A7BD7">
        <w:rPr>
          <w:rFonts w:ascii="Cambria" w:eastAsia="Times New Roman" w:hAnsi="Cambria" w:cs="Times New Roman"/>
          <w:sz w:val="20"/>
          <w:szCs w:val="20"/>
          <w:lang w:eastAsia="es-ES"/>
        </w:rPr>
        <w:t xml:space="preserve"> </w:t>
      </w:r>
      <w:r w:rsidR="008A2D62" w:rsidRPr="008A7BD7">
        <w:rPr>
          <w:rFonts w:ascii="Cambria" w:eastAsia="Times New Roman" w:hAnsi="Cambria" w:cs="Times New Roman"/>
          <w:sz w:val="20"/>
          <w:szCs w:val="20"/>
          <w:lang w:eastAsia="es-ES"/>
        </w:rPr>
        <w:t xml:space="preserve">[preliminary proceedings to determine whether there is probable cause to bring criminal charges against a judge or officer of the court] </w:t>
      </w:r>
      <w:r w:rsidR="00357413" w:rsidRPr="008A7BD7">
        <w:rPr>
          <w:rFonts w:ascii="Cambria" w:eastAsia="Times New Roman" w:hAnsi="Cambria" w:cs="Times New Roman"/>
          <w:color w:val="000000" w:themeColor="text1"/>
          <w:sz w:val="20"/>
          <w:szCs w:val="20"/>
          <w:lang w:eastAsia="es-ES"/>
        </w:rPr>
        <w:t xml:space="preserve">to intimidate or eventually remove </w:t>
      </w:r>
      <w:r w:rsidR="00E02A17" w:rsidRPr="008A7BD7">
        <w:rPr>
          <w:rFonts w:ascii="Cambria" w:eastAsia="Times New Roman" w:hAnsi="Cambria" w:cs="Times New Roman"/>
          <w:color w:val="000000" w:themeColor="text1"/>
          <w:sz w:val="20"/>
          <w:szCs w:val="20"/>
          <w:lang w:eastAsia="es-ES"/>
        </w:rPr>
        <w:t xml:space="preserve">them from office in reprisal for their work. </w:t>
      </w:r>
    </w:p>
    <w:p w14:paraId="5168165F" w14:textId="77777777" w:rsidR="00E757B4" w:rsidRPr="008A7BD7" w:rsidRDefault="00E757B4" w:rsidP="00E757B4">
      <w:pPr>
        <w:pStyle w:val="ListParagraph"/>
        <w:rPr>
          <w:rFonts w:ascii="Cambria" w:eastAsia="Times New Roman" w:hAnsi="Cambria" w:cs="Tahoma"/>
          <w:color w:val="000000"/>
          <w:sz w:val="20"/>
          <w:szCs w:val="20"/>
          <w:shd w:val="clear" w:color="auto" w:fill="FFFFFF"/>
          <w:lang w:eastAsia="es-ES"/>
        </w:rPr>
      </w:pPr>
    </w:p>
    <w:p w14:paraId="7B83B66E" w14:textId="2BE0CD8D" w:rsidR="00C8476B" w:rsidRPr="008A7BD7" w:rsidRDefault="002D29B9" w:rsidP="008A2AEC">
      <w:pPr>
        <w:numPr>
          <w:ilvl w:val="0"/>
          <w:numId w:val="2"/>
        </w:numPr>
        <w:ind w:left="0" w:firstLine="720"/>
        <w:jc w:val="both"/>
        <w:rPr>
          <w:rFonts w:ascii="Cambria" w:eastAsia="Times New Roman" w:hAnsi="Cambria" w:cs="Times New Roman"/>
          <w:color w:val="000000"/>
          <w:sz w:val="20"/>
          <w:szCs w:val="20"/>
          <w:lang w:eastAsia="es-ES_tradnl"/>
        </w:rPr>
      </w:pPr>
      <w:r w:rsidRPr="008A7BD7">
        <w:rPr>
          <w:rFonts w:ascii="Cambria" w:eastAsia="Times New Roman" w:hAnsi="Cambria" w:cs="Tahoma"/>
          <w:color w:val="000000"/>
          <w:sz w:val="20"/>
          <w:szCs w:val="20"/>
          <w:shd w:val="clear" w:color="auto" w:fill="FFFFFF"/>
          <w:lang w:eastAsia="es-ES"/>
        </w:rPr>
        <w:t xml:space="preserve">Specifically, through a resolution dated March </w:t>
      </w:r>
      <w:r w:rsidR="00706CD2" w:rsidRPr="008A7BD7">
        <w:rPr>
          <w:rFonts w:ascii="Cambria" w:eastAsia="Times New Roman" w:hAnsi="Cambria" w:cs="Tahoma"/>
          <w:color w:val="000000"/>
          <w:sz w:val="20"/>
          <w:szCs w:val="20"/>
          <w:shd w:val="clear" w:color="auto" w:fill="FFFFFF"/>
          <w:lang w:eastAsia="es-ES"/>
        </w:rPr>
        <w:t>3</w:t>
      </w:r>
      <w:r w:rsidRPr="008A7BD7">
        <w:rPr>
          <w:rFonts w:ascii="Cambria" w:eastAsia="Times New Roman" w:hAnsi="Cambria" w:cs="Tahoma"/>
          <w:color w:val="000000"/>
          <w:sz w:val="20"/>
          <w:szCs w:val="20"/>
          <w:shd w:val="clear" w:color="auto" w:fill="FFFFFF"/>
          <w:lang w:eastAsia="es-ES"/>
        </w:rPr>
        <w:t xml:space="preserve">, </w:t>
      </w:r>
      <w:r w:rsidR="00706CD2" w:rsidRPr="008A7BD7">
        <w:rPr>
          <w:rFonts w:ascii="Cambria" w:eastAsia="Times New Roman" w:hAnsi="Cambria" w:cs="Tahoma"/>
          <w:color w:val="000000"/>
          <w:sz w:val="20"/>
          <w:szCs w:val="20"/>
          <w:shd w:val="clear" w:color="auto" w:fill="FFFFFF"/>
          <w:lang w:eastAsia="es-ES"/>
        </w:rPr>
        <w:t xml:space="preserve">2021, </w:t>
      </w:r>
      <w:r w:rsidRPr="008A7BD7">
        <w:rPr>
          <w:rFonts w:ascii="Cambria" w:eastAsia="Times New Roman" w:hAnsi="Cambria" w:cs="Tahoma"/>
          <w:color w:val="000000"/>
          <w:sz w:val="20"/>
          <w:szCs w:val="20"/>
          <w:shd w:val="clear" w:color="auto" w:fill="FFFFFF"/>
          <w:lang w:eastAsia="es-ES"/>
        </w:rPr>
        <w:t xml:space="preserve">the Supreme Court of Justice </w:t>
      </w:r>
      <w:r w:rsidR="00706CD2" w:rsidRPr="008A7BD7">
        <w:rPr>
          <w:rFonts w:ascii="Cambria" w:eastAsia="Times New Roman" w:hAnsi="Cambria" w:cs="Tahoma"/>
          <w:color w:val="000000"/>
          <w:sz w:val="20"/>
          <w:szCs w:val="20"/>
          <w:shd w:val="clear" w:color="auto" w:fill="FFFFFF"/>
          <w:lang w:eastAsia="es-ES"/>
        </w:rPr>
        <w:t xml:space="preserve">(CSJ) </w:t>
      </w:r>
      <w:r w:rsidRPr="008A7BD7">
        <w:rPr>
          <w:rFonts w:ascii="Cambria" w:eastAsia="Times New Roman" w:hAnsi="Cambria" w:cs="Tahoma"/>
          <w:color w:val="000000"/>
          <w:sz w:val="20"/>
          <w:szCs w:val="20"/>
          <w:shd w:val="clear" w:color="auto" w:fill="FFFFFF"/>
          <w:lang w:eastAsia="es-ES"/>
        </w:rPr>
        <w:t xml:space="preserve">submitted new </w:t>
      </w:r>
      <w:proofErr w:type="spellStart"/>
      <w:r w:rsidR="00124C6F" w:rsidRPr="008A7BD7">
        <w:rPr>
          <w:rFonts w:ascii="Cambria" w:eastAsia="Times New Roman" w:hAnsi="Cambria" w:cs="Times New Roman"/>
          <w:i/>
          <w:iCs/>
          <w:color w:val="000000"/>
          <w:sz w:val="20"/>
          <w:szCs w:val="20"/>
          <w:lang w:eastAsia="es-ES"/>
        </w:rPr>
        <w:t>antejuicio</w:t>
      </w:r>
      <w:proofErr w:type="spellEnd"/>
      <w:r w:rsidR="00124C6F" w:rsidRPr="008A7BD7">
        <w:rPr>
          <w:rFonts w:ascii="Cambria" w:eastAsia="Times New Roman" w:hAnsi="Cambria" w:cs="Times New Roman"/>
          <w:color w:val="000000"/>
          <w:sz w:val="20"/>
          <w:szCs w:val="20"/>
          <w:lang w:eastAsia="es-ES"/>
        </w:rPr>
        <w:t xml:space="preserve"> </w:t>
      </w:r>
      <w:r w:rsidRPr="008A7BD7">
        <w:rPr>
          <w:rFonts w:ascii="Cambria" w:eastAsia="Times New Roman" w:hAnsi="Cambria" w:cs="Tahoma"/>
          <w:color w:val="000000"/>
          <w:sz w:val="20"/>
          <w:szCs w:val="20"/>
          <w:shd w:val="clear" w:color="auto" w:fill="FFFFFF"/>
          <w:lang w:eastAsia="es-ES"/>
        </w:rPr>
        <w:t>proceedings to Congress for the crim</w:t>
      </w:r>
      <w:r w:rsidR="009D56E2" w:rsidRPr="008A7BD7">
        <w:rPr>
          <w:rFonts w:ascii="Cambria" w:eastAsia="Times New Roman" w:hAnsi="Cambria" w:cs="Tahoma"/>
          <w:color w:val="000000"/>
          <w:sz w:val="20"/>
          <w:szCs w:val="20"/>
          <w:shd w:val="clear" w:color="auto" w:fill="FFFFFF"/>
          <w:lang w:eastAsia="es-ES"/>
        </w:rPr>
        <w:t>e</w:t>
      </w:r>
      <w:r w:rsidRPr="008A7BD7">
        <w:rPr>
          <w:rFonts w:ascii="Cambria" w:eastAsia="Times New Roman" w:hAnsi="Cambria" w:cs="Tahoma"/>
          <w:color w:val="000000"/>
          <w:sz w:val="20"/>
          <w:szCs w:val="20"/>
          <w:shd w:val="clear" w:color="auto" w:fill="FFFFFF"/>
          <w:lang w:eastAsia="es-ES"/>
        </w:rPr>
        <w:t xml:space="preserve">s of breach of trust, abuse of authority, and rulings </w:t>
      </w:r>
      <w:r w:rsidR="00767AA4" w:rsidRPr="008A7BD7">
        <w:rPr>
          <w:rFonts w:ascii="Cambria" w:eastAsia="Times New Roman" w:hAnsi="Cambria" w:cs="Tahoma"/>
          <w:color w:val="000000"/>
          <w:sz w:val="20"/>
          <w:szCs w:val="20"/>
          <w:shd w:val="clear" w:color="auto" w:fill="FFFFFF"/>
          <w:lang w:eastAsia="es-ES"/>
        </w:rPr>
        <w:t>in violation of</w:t>
      </w:r>
      <w:r w:rsidRPr="008A7BD7">
        <w:rPr>
          <w:rFonts w:ascii="Cambria" w:eastAsia="Times New Roman" w:hAnsi="Cambria" w:cs="Tahoma"/>
          <w:color w:val="000000"/>
          <w:sz w:val="20"/>
          <w:szCs w:val="20"/>
          <w:shd w:val="clear" w:color="auto" w:fill="FFFFFF"/>
          <w:lang w:eastAsia="es-ES"/>
        </w:rPr>
        <w:t xml:space="preserve"> the Constitution </w:t>
      </w:r>
      <w:r w:rsidR="00003B18" w:rsidRPr="008A7BD7">
        <w:rPr>
          <w:rFonts w:ascii="Cambria" w:eastAsia="Times New Roman" w:hAnsi="Cambria" w:cs="Tahoma"/>
          <w:color w:val="000000"/>
          <w:sz w:val="20"/>
          <w:szCs w:val="20"/>
          <w:shd w:val="clear" w:color="auto" w:fill="FFFFFF"/>
          <w:lang w:eastAsia="es-ES"/>
        </w:rPr>
        <w:t>with respect to</w:t>
      </w:r>
      <w:r w:rsidRPr="008A7BD7">
        <w:rPr>
          <w:rFonts w:ascii="Cambria" w:eastAsia="Times New Roman" w:hAnsi="Cambria" w:cs="Tahoma"/>
          <w:color w:val="000000"/>
          <w:sz w:val="20"/>
          <w:szCs w:val="20"/>
          <w:shd w:val="clear" w:color="auto" w:fill="FFFFFF"/>
          <w:lang w:eastAsia="es-ES"/>
        </w:rPr>
        <w:t xml:space="preserve"> </w:t>
      </w:r>
      <w:r w:rsidR="00767AA4" w:rsidRPr="008A7BD7">
        <w:rPr>
          <w:rFonts w:ascii="Cambria" w:eastAsia="Times New Roman" w:hAnsi="Cambria" w:cs="Tahoma"/>
          <w:color w:val="000000"/>
          <w:sz w:val="20"/>
          <w:szCs w:val="20"/>
          <w:shd w:val="clear" w:color="auto" w:fill="FFFFFF"/>
          <w:lang w:eastAsia="es-ES"/>
        </w:rPr>
        <w:t>Judge</w:t>
      </w:r>
      <w:r w:rsidRPr="008A7BD7">
        <w:rPr>
          <w:rFonts w:ascii="Cambria" w:eastAsia="Times New Roman" w:hAnsi="Cambria" w:cs="Tahoma"/>
          <w:color w:val="000000"/>
          <w:sz w:val="20"/>
          <w:szCs w:val="20"/>
          <w:shd w:val="clear" w:color="auto" w:fill="FFFFFF"/>
          <w:lang w:eastAsia="es-ES"/>
        </w:rPr>
        <w:t xml:space="preserve"> </w:t>
      </w:r>
      <w:r w:rsidR="00706CD2" w:rsidRPr="008A7BD7">
        <w:rPr>
          <w:rFonts w:ascii="Cambria" w:eastAsia="Times New Roman" w:hAnsi="Cambria" w:cs="Tahoma"/>
          <w:color w:val="000000"/>
          <w:sz w:val="20"/>
          <w:szCs w:val="20"/>
          <w:shd w:val="clear" w:color="auto" w:fill="FFFFFF"/>
          <w:lang w:eastAsia="es-ES"/>
        </w:rPr>
        <w:t xml:space="preserve">Gloria Porras </w:t>
      </w:r>
      <w:r w:rsidRPr="008A7BD7">
        <w:rPr>
          <w:rFonts w:ascii="Cambria" w:eastAsia="Times New Roman" w:hAnsi="Cambria" w:cs="Tahoma"/>
          <w:color w:val="000000"/>
          <w:sz w:val="20"/>
          <w:szCs w:val="20"/>
          <w:shd w:val="clear" w:color="auto" w:fill="FFFFFF"/>
          <w:lang w:eastAsia="es-ES"/>
        </w:rPr>
        <w:t xml:space="preserve">and </w:t>
      </w:r>
      <w:r w:rsidR="00767AA4" w:rsidRPr="008A7BD7">
        <w:rPr>
          <w:rFonts w:ascii="Cambria" w:eastAsia="Times New Roman" w:hAnsi="Cambria" w:cs="Tahoma"/>
          <w:color w:val="000000"/>
          <w:sz w:val="20"/>
          <w:szCs w:val="20"/>
          <w:shd w:val="clear" w:color="auto" w:fill="FFFFFF"/>
          <w:lang w:eastAsia="es-ES"/>
        </w:rPr>
        <w:t xml:space="preserve">Judge </w:t>
      </w:r>
      <w:r w:rsidR="00706CD2" w:rsidRPr="008A7BD7">
        <w:rPr>
          <w:rFonts w:ascii="Cambria" w:eastAsia="Times New Roman" w:hAnsi="Cambria" w:cs="Tahoma"/>
          <w:color w:val="000000"/>
          <w:sz w:val="20"/>
          <w:szCs w:val="20"/>
          <w:shd w:val="clear" w:color="auto" w:fill="FFFFFF"/>
          <w:lang w:eastAsia="es-ES"/>
        </w:rPr>
        <w:t xml:space="preserve">Francisco de Mata Vela. </w:t>
      </w:r>
      <w:r w:rsidR="00637EC8" w:rsidRPr="008A7BD7">
        <w:rPr>
          <w:rFonts w:ascii="Cambria" w:eastAsia="Times New Roman" w:hAnsi="Cambria" w:cs="Tahoma"/>
          <w:color w:val="000000"/>
          <w:sz w:val="20"/>
          <w:szCs w:val="20"/>
          <w:shd w:val="clear" w:color="auto" w:fill="FFFFFF"/>
          <w:lang w:eastAsia="es-ES"/>
        </w:rPr>
        <w:t>The</w:t>
      </w:r>
      <w:r w:rsidR="00881DCD" w:rsidRPr="008A7BD7">
        <w:rPr>
          <w:rFonts w:ascii="Cambria" w:eastAsia="Times New Roman" w:hAnsi="Cambria" w:cs="Tahoma"/>
          <w:color w:val="000000"/>
          <w:sz w:val="20"/>
          <w:szCs w:val="20"/>
          <w:shd w:val="clear" w:color="auto" w:fill="FFFFFF"/>
          <w:lang w:eastAsia="es-ES"/>
        </w:rPr>
        <w:t xml:space="preserve"> basis for these</w:t>
      </w:r>
      <w:r w:rsidR="00637EC8" w:rsidRPr="008A7BD7">
        <w:rPr>
          <w:rFonts w:ascii="Cambria" w:eastAsia="Times New Roman" w:hAnsi="Cambria" w:cs="Tahoma"/>
          <w:color w:val="000000"/>
          <w:sz w:val="20"/>
          <w:szCs w:val="20"/>
          <w:shd w:val="clear" w:color="auto" w:fill="FFFFFF"/>
          <w:lang w:eastAsia="es-ES"/>
        </w:rPr>
        <w:t xml:space="preserve"> </w:t>
      </w:r>
      <w:r w:rsidR="00881DCD" w:rsidRPr="008A7BD7">
        <w:rPr>
          <w:rFonts w:ascii="Cambria" w:eastAsia="Times New Roman" w:hAnsi="Cambria" w:cs="Tahoma"/>
          <w:color w:val="000000"/>
          <w:sz w:val="20"/>
          <w:szCs w:val="20"/>
          <w:shd w:val="clear" w:color="auto" w:fill="FFFFFF"/>
          <w:lang w:eastAsia="es-ES"/>
        </w:rPr>
        <w:t>preliminary</w:t>
      </w:r>
      <w:r w:rsidR="00637EC8" w:rsidRPr="008A7BD7">
        <w:rPr>
          <w:rFonts w:ascii="Cambria" w:eastAsia="Times New Roman" w:hAnsi="Cambria" w:cs="Tahoma"/>
          <w:color w:val="000000"/>
          <w:sz w:val="20"/>
          <w:szCs w:val="20"/>
          <w:shd w:val="clear" w:color="auto" w:fill="FFFFFF"/>
          <w:lang w:eastAsia="es-ES"/>
        </w:rPr>
        <w:t xml:space="preserve"> proceedings </w:t>
      </w:r>
      <w:r w:rsidR="00881DCD" w:rsidRPr="008A7BD7">
        <w:rPr>
          <w:rFonts w:ascii="Cambria" w:eastAsia="Times New Roman" w:hAnsi="Cambria" w:cs="Tahoma"/>
          <w:color w:val="000000"/>
          <w:sz w:val="20"/>
          <w:szCs w:val="20"/>
          <w:shd w:val="clear" w:color="auto" w:fill="FFFFFF"/>
          <w:lang w:eastAsia="es-ES"/>
        </w:rPr>
        <w:t>was</w:t>
      </w:r>
      <w:r w:rsidR="00637EC8" w:rsidRPr="008A7BD7">
        <w:rPr>
          <w:rFonts w:ascii="Cambria" w:eastAsia="Times New Roman" w:hAnsi="Cambria" w:cs="Tahoma"/>
          <w:color w:val="000000"/>
          <w:sz w:val="20"/>
          <w:szCs w:val="20"/>
          <w:shd w:val="clear" w:color="auto" w:fill="FFFFFF"/>
          <w:lang w:eastAsia="es-ES"/>
        </w:rPr>
        <w:t xml:space="preserve">, among other things, an allegedly unconstitutional </w:t>
      </w:r>
      <w:r w:rsidR="0081202D" w:rsidRPr="008A7BD7">
        <w:rPr>
          <w:rFonts w:ascii="Cambria" w:eastAsia="Times New Roman" w:hAnsi="Cambria" w:cs="Tahoma"/>
          <w:color w:val="000000"/>
          <w:sz w:val="20"/>
          <w:szCs w:val="20"/>
          <w:shd w:val="clear" w:color="auto" w:fill="FFFFFF"/>
          <w:lang w:eastAsia="es-ES"/>
        </w:rPr>
        <w:t xml:space="preserve">line of </w:t>
      </w:r>
      <w:r w:rsidR="00637EC8" w:rsidRPr="008A7BD7">
        <w:rPr>
          <w:rFonts w:ascii="Cambria" w:eastAsia="Times New Roman" w:hAnsi="Cambria" w:cs="Tahoma"/>
          <w:color w:val="000000"/>
          <w:sz w:val="20"/>
          <w:szCs w:val="20"/>
          <w:shd w:val="clear" w:color="auto" w:fill="FFFFFF"/>
          <w:lang w:eastAsia="es-ES"/>
        </w:rPr>
        <w:t xml:space="preserve">reasoning used </w:t>
      </w:r>
      <w:r w:rsidR="0081202D" w:rsidRPr="008A7BD7">
        <w:rPr>
          <w:rFonts w:ascii="Cambria" w:eastAsia="Times New Roman" w:hAnsi="Cambria" w:cs="Tahoma"/>
          <w:color w:val="000000"/>
          <w:sz w:val="20"/>
          <w:szCs w:val="20"/>
          <w:shd w:val="clear" w:color="auto" w:fill="FFFFFF"/>
          <w:lang w:eastAsia="es-ES"/>
        </w:rPr>
        <w:t xml:space="preserve">by the </w:t>
      </w:r>
      <w:r w:rsidR="00881DCD" w:rsidRPr="008A7BD7">
        <w:rPr>
          <w:rFonts w:ascii="Cambria" w:eastAsia="Times New Roman" w:hAnsi="Cambria" w:cs="Tahoma"/>
          <w:color w:val="000000"/>
          <w:sz w:val="20"/>
          <w:szCs w:val="20"/>
          <w:shd w:val="clear" w:color="auto" w:fill="FFFFFF"/>
          <w:lang w:eastAsia="es-ES"/>
        </w:rPr>
        <w:t>Constitutional Court</w:t>
      </w:r>
      <w:r w:rsidR="0081202D" w:rsidRPr="008A7BD7">
        <w:rPr>
          <w:rFonts w:ascii="Cambria" w:eastAsia="Times New Roman" w:hAnsi="Cambria" w:cs="Tahoma"/>
          <w:color w:val="000000"/>
          <w:sz w:val="20"/>
          <w:szCs w:val="20"/>
          <w:shd w:val="clear" w:color="auto" w:fill="FFFFFF"/>
          <w:lang w:eastAsia="es-ES"/>
        </w:rPr>
        <w:t xml:space="preserve"> </w:t>
      </w:r>
      <w:r w:rsidR="00637EC8" w:rsidRPr="008A7BD7">
        <w:rPr>
          <w:rFonts w:ascii="Cambria" w:eastAsia="Times New Roman" w:hAnsi="Cambria" w:cs="Tahoma"/>
          <w:color w:val="000000"/>
          <w:sz w:val="20"/>
          <w:szCs w:val="20"/>
          <w:shd w:val="clear" w:color="auto" w:fill="FFFFFF"/>
          <w:lang w:eastAsia="es-ES"/>
        </w:rPr>
        <w:t xml:space="preserve">in rulings </w:t>
      </w:r>
      <w:r w:rsidR="00881DCD" w:rsidRPr="008A7BD7">
        <w:rPr>
          <w:rFonts w:ascii="Cambria" w:eastAsia="Times New Roman" w:hAnsi="Cambria" w:cs="Tahoma"/>
          <w:color w:val="000000"/>
          <w:sz w:val="20"/>
          <w:szCs w:val="20"/>
          <w:shd w:val="clear" w:color="auto" w:fill="FFFFFF"/>
          <w:lang w:eastAsia="es-ES"/>
        </w:rPr>
        <w:t xml:space="preserve">it </w:t>
      </w:r>
      <w:r w:rsidR="00A555F7" w:rsidRPr="008A7BD7">
        <w:rPr>
          <w:rFonts w:ascii="Cambria" w:eastAsia="Times New Roman" w:hAnsi="Cambria" w:cs="Tahoma"/>
          <w:color w:val="000000"/>
          <w:sz w:val="20"/>
          <w:szCs w:val="20"/>
          <w:shd w:val="clear" w:color="auto" w:fill="FFFFFF"/>
          <w:lang w:eastAsia="es-ES"/>
        </w:rPr>
        <w:t xml:space="preserve">had </w:t>
      </w:r>
      <w:r w:rsidR="00637EC8" w:rsidRPr="008A7BD7">
        <w:rPr>
          <w:rFonts w:ascii="Cambria" w:eastAsia="Times New Roman" w:hAnsi="Cambria" w:cs="Tahoma"/>
          <w:color w:val="000000"/>
          <w:sz w:val="20"/>
          <w:szCs w:val="20"/>
          <w:shd w:val="clear" w:color="auto" w:fill="FFFFFF"/>
          <w:lang w:eastAsia="es-ES"/>
        </w:rPr>
        <w:t xml:space="preserve">issued </w:t>
      </w:r>
      <w:r w:rsidR="00A555F7" w:rsidRPr="008A7BD7">
        <w:rPr>
          <w:rFonts w:ascii="Cambria" w:eastAsia="Times New Roman" w:hAnsi="Cambria" w:cs="Tahoma"/>
          <w:color w:val="000000"/>
          <w:sz w:val="20"/>
          <w:szCs w:val="20"/>
          <w:shd w:val="clear" w:color="auto" w:fill="FFFFFF"/>
          <w:lang w:eastAsia="es-ES"/>
        </w:rPr>
        <w:t>in the context of</w:t>
      </w:r>
      <w:r w:rsidR="00637EC8" w:rsidRPr="008A7BD7">
        <w:rPr>
          <w:rFonts w:ascii="Cambria" w:eastAsia="Times New Roman" w:hAnsi="Cambria" w:cs="Tahoma"/>
          <w:color w:val="000000"/>
          <w:sz w:val="20"/>
          <w:szCs w:val="20"/>
          <w:shd w:val="clear" w:color="auto" w:fill="FFFFFF"/>
          <w:lang w:eastAsia="es-ES"/>
        </w:rPr>
        <w:t xml:space="preserve"> </w:t>
      </w:r>
      <w:r w:rsidR="00A555F7" w:rsidRPr="008A7BD7">
        <w:rPr>
          <w:rFonts w:ascii="Cambria" w:eastAsia="Times New Roman" w:hAnsi="Cambria" w:cs="Tahoma"/>
          <w:color w:val="000000"/>
          <w:sz w:val="20"/>
          <w:szCs w:val="20"/>
          <w:shd w:val="clear" w:color="auto" w:fill="FFFFFF"/>
          <w:lang w:eastAsia="es-ES"/>
        </w:rPr>
        <w:t xml:space="preserve">petitions for constitutional </w:t>
      </w:r>
      <w:r w:rsidR="002A77B4" w:rsidRPr="008A7BD7">
        <w:rPr>
          <w:rFonts w:ascii="Cambria" w:eastAsia="Times New Roman" w:hAnsi="Cambria" w:cs="Tahoma"/>
          <w:color w:val="000000"/>
          <w:sz w:val="20"/>
          <w:szCs w:val="20"/>
          <w:shd w:val="clear" w:color="auto" w:fill="FFFFFF"/>
          <w:lang w:eastAsia="es-ES"/>
        </w:rPr>
        <w:t>protection</w:t>
      </w:r>
      <w:r w:rsidR="00637EC8" w:rsidRPr="008A7BD7">
        <w:rPr>
          <w:rFonts w:ascii="Cambria" w:eastAsia="Times New Roman" w:hAnsi="Cambria" w:cs="Tahoma"/>
          <w:color w:val="000000"/>
          <w:sz w:val="20"/>
          <w:szCs w:val="20"/>
          <w:shd w:val="clear" w:color="auto" w:fill="FFFFFF"/>
          <w:lang w:eastAsia="es-ES"/>
        </w:rPr>
        <w:t xml:space="preserve"> </w:t>
      </w:r>
      <w:r w:rsidR="00A555F7" w:rsidRPr="008A7BD7">
        <w:rPr>
          <w:rFonts w:ascii="Cambria" w:eastAsia="Times New Roman" w:hAnsi="Cambria" w:cs="Tahoma"/>
          <w:color w:val="000000"/>
          <w:sz w:val="20"/>
          <w:szCs w:val="20"/>
          <w:shd w:val="clear" w:color="auto" w:fill="FFFFFF"/>
          <w:lang w:eastAsia="es-ES"/>
        </w:rPr>
        <w:t>(</w:t>
      </w:r>
      <w:r w:rsidR="00A555F7" w:rsidRPr="008A7BD7">
        <w:rPr>
          <w:rFonts w:ascii="Cambria" w:eastAsia="Times New Roman" w:hAnsi="Cambria" w:cs="Tahoma"/>
          <w:i/>
          <w:iCs/>
          <w:color w:val="000000"/>
          <w:sz w:val="20"/>
          <w:szCs w:val="20"/>
          <w:shd w:val="clear" w:color="auto" w:fill="FFFFFF"/>
          <w:lang w:eastAsia="es-ES"/>
        </w:rPr>
        <w:t>amparo</w:t>
      </w:r>
      <w:r w:rsidR="00A555F7" w:rsidRPr="008A7BD7">
        <w:rPr>
          <w:rFonts w:ascii="Cambria" w:eastAsia="Times New Roman" w:hAnsi="Cambria" w:cs="Tahoma"/>
          <w:color w:val="000000"/>
          <w:sz w:val="20"/>
          <w:szCs w:val="20"/>
          <w:shd w:val="clear" w:color="auto" w:fill="FFFFFF"/>
          <w:lang w:eastAsia="es-ES"/>
        </w:rPr>
        <w:t xml:space="preserve">) that had been </w:t>
      </w:r>
      <w:r w:rsidR="00637EC8" w:rsidRPr="008A7BD7">
        <w:rPr>
          <w:rFonts w:ascii="Cambria" w:eastAsia="Times New Roman" w:hAnsi="Cambria" w:cs="Tahoma"/>
          <w:color w:val="000000"/>
          <w:sz w:val="20"/>
          <w:szCs w:val="20"/>
          <w:shd w:val="clear" w:color="auto" w:fill="FFFFFF"/>
          <w:lang w:eastAsia="es-ES"/>
        </w:rPr>
        <w:t xml:space="preserve">filed </w:t>
      </w:r>
      <w:r w:rsidR="00A555F7" w:rsidRPr="008A7BD7">
        <w:rPr>
          <w:rFonts w:ascii="Cambria" w:eastAsia="Times New Roman" w:hAnsi="Cambria" w:cs="Tahoma"/>
          <w:color w:val="000000"/>
          <w:sz w:val="20"/>
          <w:szCs w:val="20"/>
          <w:shd w:val="clear" w:color="auto" w:fill="FFFFFF"/>
          <w:lang w:eastAsia="es-ES"/>
        </w:rPr>
        <w:t xml:space="preserve">to </w:t>
      </w:r>
      <w:r w:rsidR="0081202D" w:rsidRPr="008A7BD7">
        <w:rPr>
          <w:rFonts w:ascii="Cambria" w:eastAsia="Times New Roman" w:hAnsi="Cambria" w:cs="Tahoma"/>
          <w:color w:val="000000"/>
          <w:sz w:val="20"/>
          <w:szCs w:val="20"/>
          <w:shd w:val="clear" w:color="auto" w:fill="FFFFFF"/>
          <w:lang w:eastAsia="es-ES"/>
        </w:rPr>
        <w:t>challeng</w:t>
      </w:r>
      <w:r w:rsidR="00A555F7" w:rsidRPr="008A7BD7">
        <w:rPr>
          <w:rFonts w:ascii="Cambria" w:eastAsia="Times New Roman" w:hAnsi="Cambria" w:cs="Tahoma"/>
          <w:color w:val="000000"/>
          <w:sz w:val="20"/>
          <w:szCs w:val="20"/>
          <w:shd w:val="clear" w:color="auto" w:fill="FFFFFF"/>
          <w:lang w:eastAsia="es-ES"/>
        </w:rPr>
        <w:t>e</w:t>
      </w:r>
      <w:r w:rsidR="00637EC8" w:rsidRPr="008A7BD7">
        <w:rPr>
          <w:rFonts w:ascii="Cambria" w:eastAsia="Times New Roman" w:hAnsi="Cambria" w:cs="Tahoma"/>
          <w:color w:val="000000"/>
          <w:sz w:val="20"/>
          <w:szCs w:val="20"/>
          <w:shd w:val="clear" w:color="auto" w:fill="FFFFFF"/>
          <w:lang w:eastAsia="es-ES"/>
        </w:rPr>
        <w:t xml:space="preserve"> the request for </w:t>
      </w:r>
      <w:r w:rsidR="00A555F7" w:rsidRPr="008A7BD7">
        <w:rPr>
          <w:rFonts w:ascii="Cambria" w:eastAsia="Times New Roman" w:hAnsi="Cambria" w:cs="Tahoma"/>
          <w:color w:val="000000"/>
          <w:sz w:val="20"/>
          <w:szCs w:val="20"/>
          <w:shd w:val="clear" w:color="auto" w:fill="FFFFFF"/>
          <w:lang w:eastAsia="es-ES"/>
        </w:rPr>
        <w:t>Sweden’s</w:t>
      </w:r>
      <w:r w:rsidR="00637EC8" w:rsidRPr="008A7BD7">
        <w:rPr>
          <w:rFonts w:ascii="Cambria" w:eastAsia="Times New Roman" w:hAnsi="Cambria" w:cs="Tahoma"/>
          <w:color w:val="000000"/>
          <w:sz w:val="20"/>
          <w:szCs w:val="20"/>
          <w:shd w:val="clear" w:color="auto" w:fill="FFFFFF"/>
          <w:lang w:eastAsia="es-ES"/>
        </w:rPr>
        <w:t xml:space="preserve"> Ambassador to Guatemala to leave the country in </w:t>
      </w:r>
      <w:r w:rsidR="00706CD2" w:rsidRPr="008A7BD7">
        <w:rPr>
          <w:rFonts w:ascii="Cambria" w:eastAsia="Times New Roman" w:hAnsi="Cambria" w:cs="Tahoma"/>
          <w:color w:val="000000"/>
          <w:sz w:val="20"/>
          <w:szCs w:val="20"/>
          <w:shd w:val="clear" w:color="auto" w:fill="FFFFFF"/>
          <w:lang w:eastAsia="es-ES"/>
        </w:rPr>
        <w:t xml:space="preserve">2018. </w:t>
      </w:r>
      <w:r w:rsidR="0081202D" w:rsidRPr="008A7BD7">
        <w:rPr>
          <w:rFonts w:ascii="Cambria" w:eastAsia="Times New Roman" w:hAnsi="Cambria" w:cs="Tahoma"/>
          <w:color w:val="000000"/>
          <w:sz w:val="20"/>
          <w:szCs w:val="20"/>
          <w:shd w:val="clear" w:color="auto" w:fill="FFFFFF"/>
          <w:lang w:eastAsia="es-ES"/>
        </w:rPr>
        <w:t xml:space="preserve">According to information </w:t>
      </w:r>
      <w:r w:rsidR="00EC5590" w:rsidRPr="008A7BD7">
        <w:rPr>
          <w:rFonts w:ascii="Cambria" w:eastAsia="Times New Roman" w:hAnsi="Cambria" w:cs="Tahoma"/>
          <w:color w:val="000000"/>
          <w:sz w:val="20"/>
          <w:szCs w:val="20"/>
          <w:shd w:val="clear" w:color="auto" w:fill="FFFFFF"/>
          <w:lang w:eastAsia="es-ES"/>
        </w:rPr>
        <w:t>provided to</w:t>
      </w:r>
      <w:r w:rsidR="0081202D" w:rsidRPr="008A7BD7">
        <w:rPr>
          <w:rFonts w:ascii="Cambria" w:eastAsia="Times New Roman" w:hAnsi="Cambria" w:cs="Tahoma"/>
          <w:color w:val="000000"/>
          <w:sz w:val="20"/>
          <w:szCs w:val="20"/>
          <w:shd w:val="clear" w:color="auto" w:fill="FFFFFF"/>
          <w:lang w:eastAsia="es-ES"/>
        </w:rPr>
        <w:t xml:space="preserve"> the IACHR, referring the impeachment hearings to Congress would contravene a final </w:t>
      </w:r>
      <w:r w:rsidR="0081202D" w:rsidRPr="008A7BD7">
        <w:rPr>
          <w:rFonts w:ascii="Cambria" w:eastAsia="Times New Roman" w:hAnsi="Cambria" w:cs="Tahoma"/>
          <w:i/>
          <w:iCs/>
          <w:color w:val="000000"/>
          <w:sz w:val="20"/>
          <w:szCs w:val="20"/>
          <w:shd w:val="clear" w:color="auto" w:fill="FFFFFF"/>
          <w:lang w:eastAsia="es-ES"/>
        </w:rPr>
        <w:t>amparo</w:t>
      </w:r>
      <w:r w:rsidR="0081202D" w:rsidRPr="008A7BD7">
        <w:rPr>
          <w:rFonts w:ascii="Cambria" w:eastAsia="Times New Roman" w:hAnsi="Cambria" w:cs="Tahoma"/>
          <w:color w:val="000000"/>
          <w:sz w:val="20"/>
          <w:szCs w:val="20"/>
          <w:shd w:val="clear" w:color="auto" w:fill="FFFFFF"/>
          <w:lang w:eastAsia="es-ES"/>
        </w:rPr>
        <w:t xml:space="preserve"> ruling of the </w:t>
      </w:r>
      <w:r w:rsidR="00EC5590" w:rsidRPr="008A7BD7">
        <w:rPr>
          <w:rFonts w:ascii="Cambria" w:eastAsia="Times New Roman" w:hAnsi="Cambria" w:cs="Tahoma"/>
          <w:color w:val="000000"/>
          <w:sz w:val="20"/>
          <w:szCs w:val="20"/>
          <w:shd w:val="clear" w:color="auto" w:fill="FFFFFF"/>
          <w:lang w:eastAsia="es-ES"/>
        </w:rPr>
        <w:t>Constitutional Court</w:t>
      </w:r>
      <w:r w:rsidR="00610698" w:rsidRPr="008A7BD7">
        <w:rPr>
          <w:rFonts w:ascii="Cambria" w:eastAsia="Times New Roman" w:hAnsi="Cambria" w:cs="Tahoma"/>
          <w:color w:val="000000"/>
          <w:sz w:val="20"/>
          <w:szCs w:val="20"/>
          <w:shd w:val="clear" w:color="auto" w:fill="FFFFFF"/>
          <w:lang w:eastAsia="es-ES"/>
        </w:rPr>
        <w:t xml:space="preserve">, in which it ordered </w:t>
      </w:r>
      <w:r w:rsidR="0081202D" w:rsidRPr="008A7BD7">
        <w:rPr>
          <w:rFonts w:ascii="Cambria" w:eastAsia="Times New Roman" w:hAnsi="Cambria" w:cs="Tahoma"/>
          <w:color w:val="000000"/>
          <w:sz w:val="20"/>
          <w:szCs w:val="20"/>
          <w:shd w:val="clear" w:color="auto" w:fill="FFFFFF"/>
          <w:lang w:eastAsia="es-ES"/>
        </w:rPr>
        <w:t xml:space="preserve">the </w:t>
      </w:r>
      <w:r w:rsidR="00EC5590" w:rsidRPr="008A7BD7">
        <w:rPr>
          <w:rFonts w:ascii="Cambria" w:eastAsia="Times New Roman" w:hAnsi="Cambria" w:cs="Tahoma"/>
          <w:color w:val="000000"/>
          <w:sz w:val="20"/>
          <w:szCs w:val="20"/>
          <w:shd w:val="clear" w:color="auto" w:fill="FFFFFF"/>
          <w:lang w:eastAsia="es-ES"/>
        </w:rPr>
        <w:t>Supreme Court</w:t>
      </w:r>
      <w:r w:rsidR="0081202D" w:rsidRPr="008A7BD7">
        <w:rPr>
          <w:rFonts w:ascii="Cambria" w:eastAsia="Times New Roman" w:hAnsi="Cambria" w:cs="Tahoma"/>
          <w:color w:val="000000"/>
          <w:sz w:val="20"/>
          <w:szCs w:val="20"/>
          <w:shd w:val="clear" w:color="auto" w:fill="FFFFFF"/>
          <w:lang w:eastAsia="es-ES"/>
        </w:rPr>
        <w:t xml:space="preserve"> to issue a new ruling in the aforementioned case in accordance with national and international law.</w:t>
      </w:r>
      <w:r w:rsidR="00706CD2" w:rsidRPr="008A7BD7">
        <w:rPr>
          <w:rFonts w:ascii="Cambria" w:eastAsia="Times New Roman" w:hAnsi="Cambria" w:cs="Tahoma"/>
          <w:color w:val="000000"/>
          <w:sz w:val="20"/>
          <w:szCs w:val="20"/>
          <w:vertAlign w:val="superscript"/>
          <w:lang w:val="es-US" w:eastAsia="es-ES"/>
        </w:rPr>
        <w:footnoteReference w:id="59"/>
      </w:r>
      <w:r w:rsidR="009C4A37" w:rsidRPr="008A7BD7">
        <w:rPr>
          <w:rFonts w:ascii="Cambria" w:eastAsia="Times New Roman" w:hAnsi="Cambria" w:cs="Tahoma"/>
          <w:color w:val="000000"/>
          <w:sz w:val="20"/>
          <w:szCs w:val="20"/>
          <w:shd w:val="clear" w:color="auto" w:fill="FFFFFF"/>
          <w:lang w:eastAsia="es-ES"/>
        </w:rPr>
        <w:t xml:space="preserve"> </w:t>
      </w:r>
      <w:r w:rsidR="00753966" w:rsidRPr="008A7BD7">
        <w:rPr>
          <w:rFonts w:ascii="Cambria" w:eastAsia="Times New Roman" w:hAnsi="Cambria" w:cs="Tahoma"/>
          <w:color w:val="000000"/>
          <w:sz w:val="20"/>
          <w:szCs w:val="20"/>
          <w:shd w:val="clear" w:color="auto" w:fill="FFFFFF"/>
          <w:lang w:eastAsia="es-ES"/>
        </w:rPr>
        <w:t xml:space="preserve">Later on in this report </w:t>
      </w:r>
      <w:r w:rsidR="009C4A37" w:rsidRPr="008A7BD7">
        <w:rPr>
          <w:rFonts w:ascii="Cambria" w:eastAsia="Times New Roman" w:hAnsi="Cambria" w:cs="Tahoma"/>
          <w:color w:val="000000"/>
          <w:sz w:val="20"/>
          <w:szCs w:val="20"/>
          <w:shd w:val="clear" w:color="auto" w:fill="FFFFFF"/>
          <w:lang w:eastAsia="es-ES"/>
        </w:rPr>
        <w:t>(</w:t>
      </w:r>
      <w:r w:rsidR="00753966" w:rsidRPr="008A7BD7">
        <w:rPr>
          <w:rFonts w:ascii="Cambria" w:eastAsia="Arial" w:hAnsi="Cambria" w:cs="Arial"/>
          <w:sz w:val="20"/>
          <w:szCs w:val="20"/>
        </w:rPr>
        <w:t xml:space="preserve">See below, Situation of </w:t>
      </w:r>
      <w:r w:rsidR="00610698" w:rsidRPr="008A7BD7">
        <w:rPr>
          <w:rFonts w:ascii="Cambria" w:eastAsia="Arial" w:hAnsi="Cambria" w:cs="Arial"/>
          <w:sz w:val="20"/>
          <w:szCs w:val="20"/>
        </w:rPr>
        <w:t>J</w:t>
      </w:r>
      <w:r w:rsidR="00753966" w:rsidRPr="008A7BD7">
        <w:rPr>
          <w:rFonts w:ascii="Cambria" w:eastAsia="Arial" w:hAnsi="Cambria" w:cs="Arial"/>
          <w:sz w:val="20"/>
          <w:szCs w:val="20"/>
        </w:rPr>
        <w:t xml:space="preserve">ustice </w:t>
      </w:r>
      <w:r w:rsidR="00610698" w:rsidRPr="008A7BD7">
        <w:rPr>
          <w:rFonts w:ascii="Cambria" w:eastAsia="Arial" w:hAnsi="Cambria" w:cs="Arial"/>
          <w:sz w:val="20"/>
          <w:szCs w:val="20"/>
        </w:rPr>
        <w:t>O</w:t>
      </w:r>
      <w:r w:rsidR="00753966" w:rsidRPr="008A7BD7">
        <w:rPr>
          <w:rFonts w:ascii="Cambria" w:eastAsia="Arial" w:hAnsi="Cambria" w:cs="Arial"/>
          <w:sz w:val="20"/>
          <w:szCs w:val="20"/>
        </w:rPr>
        <w:t>perators)</w:t>
      </w:r>
      <w:r w:rsidR="00753966" w:rsidRPr="008A7BD7">
        <w:rPr>
          <w:rFonts w:ascii="Cambria" w:eastAsia="Times New Roman" w:hAnsi="Cambria" w:cs="Tahoma"/>
          <w:color w:val="000000"/>
          <w:sz w:val="20"/>
          <w:szCs w:val="20"/>
          <w:shd w:val="clear" w:color="auto" w:fill="FFFFFF"/>
          <w:lang w:eastAsia="es-ES"/>
        </w:rPr>
        <w:t xml:space="preserve">, the IACHR will further analyze the concept of the </w:t>
      </w:r>
      <w:r w:rsidR="00610698" w:rsidRPr="008A7BD7">
        <w:rPr>
          <w:rFonts w:ascii="Cambria" w:eastAsia="Times New Roman" w:hAnsi="Cambria" w:cs="Tahoma"/>
          <w:color w:val="000000"/>
          <w:sz w:val="20"/>
          <w:szCs w:val="20"/>
          <w:shd w:val="clear" w:color="auto" w:fill="FFFFFF"/>
          <w:lang w:eastAsia="es-ES"/>
        </w:rPr>
        <w:t xml:space="preserve">motion for </w:t>
      </w:r>
      <w:r w:rsidR="00753966" w:rsidRPr="008A7BD7">
        <w:rPr>
          <w:rFonts w:ascii="Cambria" w:eastAsia="Times New Roman" w:hAnsi="Cambria" w:cs="Tahoma"/>
          <w:color w:val="000000"/>
          <w:sz w:val="20"/>
          <w:szCs w:val="20"/>
          <w:shd w:val="clear" w:color="auto" w:fill="FFFFFF"/>
          <w:lang w:eastAsia="es-ES"/>
        </w:rPr>
        <w:t>impeachment</w:t>
      </w:r>
      <w:r w:rsidR="00610698" w:rsidRPr="008A7BD7">
        <w:rPr>
          <w:rFonts w:ascii="Cambria" w:eastAsia="Times New Roman" w:hAnsi="Cambria" w:cs="Tahoma"/>
          <w:color w:val="000000"/>
          <w:sz w:val="20"/>
          <w:szCs w:val="20"/>
          <w:shd w:val="clear" w:color="auto" w:fill="FFFFFF"/>
          <w:lang w:eastAsia="es-ES"/>
        </w:rPr>
        <w:t xml:space="preserve"> </w:t>
      </w:r>
      <w:r w:rsidR="00753966" w:rsidRPr="008A7BD7">
        <w:rPr>
          <w:rFonts w:ascii="Cambria" w:eastAsia="Times New Roman" w:hAnsi="Cambria" w:cs="Tahoma"/>
          <w:color w:val="000000"/>
          <w:sz w:val="20"/>
          <w:szCs w:val="20"/>
          <w:shd w:val="clear" w:color="auto" w:fill="FFFFFF"/>
          <w:lang w:eastAsia="es-ES"/>
        </w:rPr>
        <w:t xml:space="preserve">and its use as a means of intimidation and </w:t>
      </w:r>
      <w:r w:rsidR="0060355E" w:rsidRPr="008A7BD7">
        <w:rPr>
          <w:rFonts w:ascii="Cambria" w:eastAsia="Times New Roman" w:hAnsi="Cambria" w:cs="Tahoma"/>
          <w:color w:val="000000"/>
          <w:sz w:val="20"/>
          <w:szCs w:val="20"/>
          <w:shd w:val="clear" w:color="auto" w:fill="FFFFFF"/>
          <w:lang w:eastAsia="es-ES"/>
        </w:rPr>
        <w:t>retaliation</w:t>
      </w:r>
      <w:r w:rsidR="00753966" w:rsidRPr="008A7BD7">
        <w:rPr>
          <w:rFonts w:ascii="Cambria" w:eastAsia="Times New Roman" w:hAnsi="Cambria" w:cs="Tahoma"/>
          <w:color w:val="000000"/>
          <w:sz w:val="20"/>
          <w:szCs w:val="20"/>
          <w:shd w:val="clear" w:color="auto" w:fill="FFFFFF"/>
          <w:lang w:eastAsia="es-ES"/>
        </w:rPr>
        <w:t xml:space="preserve"> </w:t>
      </w:r>
      <w:r w:rsidR="00907FAB" w:rsidRPr="008A7BD7">
        <w:rPr>
          <w:rFonts w:ascii="Cambria" w:eastAsia="Times New Roman" w:hAnsi="Cambria" w:cs="Tahoma"/>
          <w:color w:val="000000"/>
          <w:sz w:val="20"/>
          <w:szCs w:val="20"/>
          <w:shd w:val="clear" w:color="auto" w:fill="FFFFFF"/>
          <w:lang w:eastAsia="es-ES"/>
        </w:rPr>
        <w:t>for</w:t>
      </w:r>
      <w:r w:rsidR="00753966" w:rsidRPr="008A7BD7">
        <w:rPr>
          <w:rFonts w:ascii="Cambria" w:eastAsia="Times New Roman" w:hAnsi="Cambria" w:cs="Tahoma"/>
          <w:color w:val="000000"/>
          <w:sz w:val="20"/>
          <w:szCs w:val="20"/>
          <w:shd w:val="clear" w:color="auto" w:fill="FFFFFF"/>
          <w:lang w:eastAsia="es-ES"/>
        </w:rPr>
        <w:t xml:space="preserve"> the work of </w:t>
      </w:r>
      <w:r w:rsidR="00610698" w:rsidRPr="008A7BD7">
        <w:rPr>
          <w:rFonts w:ascii="Cambria" w:eastAsia="Times New Roman" w:hAnsi="Cambria" w:cs="Tahoma"/>
          <w:color w:val="000000"/>
          <w:sz w:val="20"/>
          <w:szCs w:val="20"/>
          <w:shd w:val="clear" w:color="auto" w:fill="FFFFFF"/>
          <w:lang w:eastAsia="es-ES"/>
        </w:rPr>
        <w:t>officers of the court</w:t>
      </w:r>
      <w:r w:rsidR="00753966" w:rsidRPr="008A7BD7">
        <w:rPr>
          <w:rFonts w:ascii="Cambria" w:eastAsia="Times New Roman" w:hAnsi="Cambria" w:cs="Tahoma"/>
          <w:color w:val="000000"/>
          <w:sz w:val="20"/>
          <w:szCs w:val="20"/>
          <w:shd w:val="clear" w:color="auto" w:fill="FFFFFF"/>
          <w:lang w:eastAsia="es-ES"/>
        </w:rPr>
        <w:t xml:space="preserve"> in </w:t>
      </w:r>
      <w:r w:rsidR="009C4A37" w:rsidRPr="008A7BD7">
        <w:rPr>
          <w:rFonts w:ascii="Cambria" w:eastAsia="Times New Roman" w:hAnsi="Cambria" w:cs="Tahoma"/>
          <w:color w:val="000000"/>
          <w:sz w:val="20"/>
          <w:szCs w:val="20"/>
          <w:shd w:val="clear" w:color="auto" w:fill="FFFFFF"/>
          <w:lang w:eastAsia="es-ES"/>
        </w:rPr>
        <w:t xml:space="preserve">Guatemala. </w:t>
      </w:r>
    </w:p>
    <w:p w14:paraId="73E135F5" w14:textId="77777777" w:rsidR="00310C35" w:rsidRPr="008A7BD7" w:rsidRDefault="00310C35" w:rsidP="00832A52">
      <w:pPr>
        <w:ind w:left="720"/>
        <w:jc w:val="both"/>
        <w:rPr>
          <w:rFonts w:ascii="Cambria" w:eastAsia="Times New Roman" w:hAnsi="Cambria" w:cs="Tahoma"/>
          <w:color w:val="000000"/>
          <w:sz w:val="20"/>
          <w:szCs w:val="20"/>
          <w:lang w:eastAsia="es-ES_tradnl"/>
        </w:rPr>
      </w:pPr>
    </w:p>
    <w:p w14:paraId="2B6AB35A" w14:textId="0C7B163F" w:rsidR="003716DC" w:rsidRPr="008A7BD7" w:rsidRDefault="00753966" w:rsidP="008A2AEC">
      <w:pPr>
        <w:numPr>
          <w:ilvl w:val="0"/>
          <w:numId w:val="2"/>
        </w:numPr>
        <w:ind w:left="0" w:firstLine="720"/>
        <w:jc w:val="both"/>
        <w:rPr>
          <w:rFonts w:ascii="Cambria" w:eastAsia="Times New Roman" w:hAnsi="Cambria" w:cs="Times New Roman"/>
          <w:color w:val="000000" w:themeColor="text1"/>
          <w:sz w:val="20"/>
          <w:szCs w:val="20"/>
          <w:lang w:eastAsia="es-ES_tradnl"/>
        </w:rPr>
      </w:pPr>
      <w:r w:rsidRPr="008A7BD7">
        <w:rPr>
          <w:rFonts w:ascii="Cambria" w:eastAsia="Times New Roman" w:hAnsi="Cambria" w:cs="Times New Roman"/>
          <w:color w:val="000000" w:themeColor="text1"/>
          <w:sz w:val="20"/>
          <w:szCs w:val="20"/>
          <w:lang w:eastAsia="es-ES"/>
        </w:rPr>
        <w:t xml:space="preserve">Finally, in </w:t>
      </w:r>
      <w:r w:rsidR="00310C35" w:rsidRPr="008A7BD7">
        <w:rPr>
          <w:rFonts w:ascii="Cambria" w:eastAsia="Times New Roman" w:hAnsi="Cambria" w:cs="Times New Roman"/>
          <w:color w:val="000000" w:themeColor="text1"/>
          <w:sz w:val="20"/>
          <w:szCs w:val="20"/>
          <w:lang w:eastAsia="es-ES"/>
        </w:rPr>
        <w:t xml:space="preserve">2021, </w:t>
      </w:r>
      <w:r w:rsidRPr="008A7BD7">
        <w:rPr>
          <w:rFonts w:ascii="Cambria" w:eastAsia="Times New Roman" w:hAnsi="Cambria" w:cs="Times New Roman"/>
          <w:color w:val="000000" w:themeColor="text1"/>
          <w:sz w:val="20"/>
          <w:szCs w:val="20"/>
          <w:lang w:eastAsia="es-ES"/>
        </w:rPr>
        <w:t xml:space="preserve">the IACHR was extremely concerned to observe that the </w:t>
      </w:r>
      <w:r w:rsidR="001520BC" w:rsidRPr="008A7BD7">
        <w:rPr>
          <w:rFonts w:ascii="Cambria" w:eastAsia="Times New Roman" w:hAnsi="Cambria" w:cs="Times New Roman"/>
          <w:color w:val="000000" w:themeColor="text1"/>
          <w:sz w:val="20"/>
          <w:szCs w:val="20"/>
          <w:lang w:eastAsia="es-ES"/>
        </w:rPr>
        <w:t>s</w:t>
      </w:r>
      <w:r w:rsidRPr="008A7BD7">
        <w:rPr>
          <w:rFonts w:ascii="Cambria" w:eastAsia="Times New Roman" w:hAnsi="Cambria" w:cs="Times New Roman"/>
          <w:color w:val="000000" w:themeColor="text1"/>
          <w:sz w:val="20"/>
          <w:szCs w:val="20"/>
          <w:lang w:eastAsia="es-ES"/>
        </w:rPr>
        <w:t xml:space="preserve">election of judges to the </w:t>
      </w:r>
      <w:r w:rsidR="001520BC" w:rsidRPr="008A7BD7">
        <w:rPr>
          <w:rFonts w:ascii="Cambria" w:eastAsia="Times New Roman" w:hAnsi="Cambria" w:cs="Times New Roman"/>
          <w:color w:val="000000" w:themeColor="text1"/>
          <w:sz w:val="20"/>
          <w:szCs w:val="20"/>
          <w:lang w:eastAsia="es-ES"/>
        </w:rPr>
        <w:t>Supreme Court</w:t>
      </w:r>
      <w:r w:rsidR="003129B9" w:rsidRPr="008A7BD7">
        <w:rPr>
          <w:rFonts w:ascii="Cambria" w:eastAsia="Times New Roman" w:hAnsi="Cambria" w:cs="Times New Roman"/>
          <w:color w:val="000000" w:themeColor="text1"/>
          <w:sz w:val="20"/>
          <w:szCs w:val="20"/>
          <w:lang w:eastAsia="es-ES"/>
        </w:rPr>
        <w:t xml:space="preserve"> and the Courts of Appeals for the </w:t>
      </w:r>
      <w:r w:rsidR="00310C35" w:rsidRPr="008A7BD7">
        <w:rPr>
          <w:rFonts w:ascii="Cambria" w:eastAsia="Times New Roman" w:hAnsi="Cambria" w:cs="Times New Roman"/>
          <w:color w:val="000000" w:themeColor="text1"/>
          <w:sz w:val="20"/>
          <w:szCs w:val="20"/>
          <w:lang w:eastAsia="es-ES"/>
        </w:rPr>
        <w:t xml:space="preserve">2019-2024 </w:t>
      </w:r>
      <w:r w:rsidR="003129B9" w:rsidRPr="008A7BD7">
        <w:rPr>
          <w:rFonts w:ascii="Cambria" w:eastAsia="Times New Roman" w:hAnsi="Cambria" w:cs="Times New Roman"/>
          <w:color w:val="000000" w:themeColor="text1"/>
          <w:sz w:val="20"/>
          <w:szCs w:val="20"/>
          <w:lang w:eastAsia="es-ES"/>
        </w:rPr>
        <w:t xml:space="preserve">period, which should have taken place in </w:t>
      </w:r>
      <w:r w:rsidR="00271D8A" w:rsidRPr="008A7BD7">
        <w:rPr>
          <w:rFonts w:ascii="Cambria" w:eastAsia="Times New Roman" w:hAnsi="Cambria" w:cs="Times New Roman"/>
          <w:color w:val="000000" w:themeColor="text1"/>
          <w:sz w:val="20"/>
          <w:szCs w:val="20"/>
          <w:lang w:eastAsia="es-ES"/>
        </w:rPr>
        <w:t>2019</w:t>
      </w:r>
      <w:r w:rsidR="003129B9" w:rsidRPr="008A7BD7">
        <w:rPr>
          <w:rFonts w:ascii="Cambria" w:eastAsia="Times New Roman" w:hAnsi="Cambria" w:cs="Times New Roman"/>
          <w:color w:val="000000" w:themeColor="text1"/>
          <w:sz w:val="20"/>
          <w:szCs w:val="20"/>
          <w:lang w:eastAsia="es-ES"/>
        </w:rPr>
        <w:t>, continues to be delayed by Congress.</w:t>
      </w:r>
      <w:r w:rsidR="00310C35" w:rsidRPr="008A7BD7">
        <w:rPr>
          <w:rFonts w:ascii="Cambria" w:eastAsia="Calibri" w:hAnsi="Cambria" w:cs="Times New Roman"/>
          <w:color w:val="000000" w:themeColor="text1"/>
          <w:spacing w:val="-1"/>
          <w:sz w:val="20"/>
          <w:szCs w:val="20"/>
          <w:vertAlign w:val="superscript"/>
          <w:lang w:val="es-US" w:eastAsia="es-ES_tradnl"/>
        </w:rPr>
        <w:footnoteReference w:id="60"/>
      </w:r>
      <w:r w:rsidR="00310C35" w:rsidRPr="008A7BD7">
        <w:rPr>
          <w:rFonts w:ascii="Cambria" w:eastAsia="Times New Roman" w:hAnsi="Cambria" w:cs="Times New Roman"/>
          <w:color w:val="000000" w:themeColor="text1"/>
          <w:sz w:val="20"/>
          <w:szCs w:val="20"/>
          <w:lang w:eastAsia="es-ES"/>
        </w:rPr>
        <w:t xml:space="preserve"> </w:t>
      </w:r>
      <w:r w:rsidR="003129B9" w:rsidRPr="008A7BD7">
        <w:rPr>
          <w:rFonts w:ascii="Cambria" w:eastAsia="Times New Roman" w:hAnsi="Cambria" w:cs="Times New Roman"/>
          <w:color w:val="000000" w:themeColor="text1"/>
          <w:sz w:val="20"/>
          <w:szCs w:val="20"/>
          <w:lang w:eastAsia="es-ES"/>
        </w:rPr>
        <w:t xml:space="preserve">That would also represent a failure to comply with the </w:t>
      </w:r>
      <w:r w:rsidR="00926015" w:rsidRPr="008A7BD7">
        <w:rPr>
          <w:rFonts w:ascii="Cambria" w:eastAsia="Times New Roman" w:hAnsi="Cambria" w:cs="Tahoma"/>
          <w:color w:val="000000"/>
          <w:sz w:val="20"/>
          <w:szCs w:val="20"/>
          <w:shd w:val="clear" w:color="auto" w:fill="FFFFFF"/>
          <w:lang w:eastAsia="es-ES"/>
        </w:rPr>
        <w:lastRenderedPageBreak/>
        <w:t xml:space="preserve">Constitutional Court </w:t>
      </w:r>
      <w:r w:rsidR="003129B9" w:rsidRPr="008A7BD7">
        <w:rPr>
          <w:rFonts w:ascii="Cambria" w:eastAsia="Times New Roman" w:hAnsi="Cambria" w:cs="Times New Roman"/>
          <w:color w:val="000000" w:themeColor="text1"/>
          <w:sz w:val="20"/>
          <w:szCs w:val="20"/>
          <w:lang w:eastAsia="es-ES"/>
        </w:rPr>
        <w:t xml:space="preserve">ruling handed down in June </w:t>
      </w:r>
      <w:r w:rsidR="00310C35" w:rsidRPr="008A7BD7">
        <w:rPr>
          <w:rFonts w:ascii="Cambria" w:eastAsia="Times New Roman" w:hAnsi="Cambria" w:cs="Times New Roman"/>
          <w:color w:val="000000" w:themeColor="text1"/>
          <w:sz w:val="20"/>
          <w:szCs w:val="20"/>
          <w:lang w:eastAsia="es-ES"/>
        </w:rPr>
        <w:t xml:space="preserve">2020, </w:t>
      </w:r>
      <w:r w:rsidR="003129B9" w:rsidRPr="008A7BD7">
        <w:rPr>
          <w:rFonts w:ascii="Cambria" w:eastAsia="Times New Roman" w:hAnsi="Cambria" w:cs="Times New Roman"/>
          <w:color w:val="000000" w:themeColor="text1"/>
          <w:sz w:val="20"/>
          <w:szCs w:val="20"/>
          <w:lang w:eastAsia="es-ES"/>
        </w:rPr>
        <w:t>which ordered, among other things,</w:t>
      </w:r>
      <w:r w:rsidR="00926015" w:rsidRPr="008A7BD7">
        <w:rPr>
          <w:rFonts w:ascii="Cambria" w:eastAsia="Times New Roman" w:hAnsi="Cambria" w:cs="Times New Roman"/>
          <w:color w:val="000000" w:themeColor="text1"/>
          <w:sz w:val="20"/>
          <w:szCs w:val="20"/>
          <w:lang w:eastAsia="es-ES"/>
        </w:rPr>
        <w:t xml:space="preserve"> </w:t>
      </w:r>
      <w:r w:rsidR="003129B9" w:rsidRPr="008A7BD7">
        <w:rPr>
          <w:rFonts w:ascii="Cambria" w:eastAsia="Times New Roman" w:hAnsi="Cambria" w:cs="Times New Roman"/>
          <w:color w:val="000000" w:themeColor="text1"/>
          <w:sz w:val="20"/>
          <w:szCs w:val="20"/>
          <w:lang w:eastAsia="es-ES"/>
        </w:rPr>
        <w:t>that any process</w:t>
      </w:r>
      <w:r w:rsidR="00F05772" w:rsidRPr="008A7BD7">
        <w:rPr>
          <w:rFonts w:ascii="Cambria" w:eastAsia="Times New Roman" w:hAnsi="Cambria" w:cs="Times New Roman"/>
          <w:color w:val="000000" w:themeColor="text1"/>
          <w:sz w:val="20"/>
          <w:szCs w:val="20"/>
          <w:lang w:eastAsia="es-ES"/>
        </w:rPr>
        <w:t xml:space="preserve"> must</w:t>
      </w:r>
      <w:r w:rsidR="003129B9" w:rsidRPr="008A7BD7">
        <w:rPr>
          <w:rFonts w:ascii="Cambria" w:eastAsia="Times New Roman" w:hAnsi="Cambria" w:cs="Times New Roman"/>
          <w:color w:val="000000" w:themeColor="text1"/>
          <w:sz w:val="20"/>
          <w:szCs w:val="20"/>
          <w:lang w:eastAsia="es-ES"/>
        </w:rPr>
        <w:t xml:space="preserve"> follow the requirements established in Article</w:t>
      </w:r>
      <w:r w:rsidR="00310C35" w:rsidRPr="008A7BD7">
        <w:rPr>
          <w:rFonts w:ascii="Cambria" w:eastAsia="Times New Roman" w:hAnsi="Cambria" w:cs="Times New Roman"/>
          <w:color w:val="000000" w:themeColor="text1"/>
          <w:sz w:val="20"/>
          <w:szCs w:val="20"/>
          <w:lang w:eastAsia="es-ES"/>
        </w:rPr>
        <w:t xml:space="preserve"> 113 </w:t>
      </w:r>
      <w:r w:rsidR="003129B9" w:rsidRPr="008A7BD7">
        <w:rPr>
          <w:rFonts w:ascii="Cambria" w:eastAsia="Times New Roman" w:hAnsi="Cambria" w:cs="Times New Roman"/>
          <w:color w:val="000000" w:themeColor="text1"/>
          <w:sz w:val="20"/>
          <w:szCs w:val="20"/>
          <w:lang w:eastAsia="es-ES"/>
        </w:rPr>
        <w:t xml:space="preserve">of the Constitution and that </w:t>
      </w:r>
      <w:r w:rsidR="00275DCB" w:rsidRPr="008A7BD7">
        <w:rPr>
          <w:rFonts w:ascii="Cambria" w:eastAsia="Times New Roman" w:hAnsi="Cambria" w:cs="Times New Roman"/>
          <w:color w:val="000000" w:themeColor="text1"/>
          <w:sz w:val="20"/>
          <w:szCs w:val="20"/>
          <w:lang w:eastAsia="es-ES"/>
        </w:rPr>
        <w:t xml:space="preserve">those </w:t>
      </w:r>
      <w:r w:rsidR="003129B9" w:rsidRPr="008A7BD7">
        <w:rPr>
          <w:rFonts w:ascii="Cambria" w:eastAsia="Times New Roman" w:hAnsi="Cambria" w:cs="Times New Roman"/>
          <w:color w:val="000000" w:themeColor="text1"/>
          <w:sz w:val="20"/>
          <w:szCs w:val="20"/>
          <w:lang w:eastAsia="es-ES"/>
        </w:rPr>
        <w:t xml:space="preserve">professionals whose suitability and </w:t>
      </w:r>
      <w:r w:rsidR="00EB16F6" w:rsidRPr="008A7BD7">
        <w:rPr>
          <w:rFonts w:ascii="Cambria" w:eastAsia="Times New Roman" w:hAnsi="Cambria" w:cs="Times New Roman"/>
          <w:color w:val="000000" w:themeColor="text1"/>
          <w:sz w:val="20"/>
          <w:szCs w:val="20"/>
          <w:lang w:eastAsia="es-ES"/>
        </w:rPr>
        <w:t>honesty</w:t>
      </w:r>
      <w:r w:rsidR="003129B9" w:rsidRPr="008A7BD7">
        <w:rPr>
          <w:rFonts w:ascii="Cambria" w:eastAsia="Times New Roman" w:hAnsi="Cambria" w:cs="Times New Roman"/>
          <w:color w:val="000000" w:themeColor="text1"/>
          <w:sz w:val="20"/>
          <w:szCs w:val="20"/>
          <w:lang w:eastAsia="es-ES"/>
        </w:rPr>
        <w:t xml:space="preserve"> </w:t>
      </w:r>
      <w:r w:rsidR="00BF07E1" w:rsidRPr="008A7BD7">
        <w:rPr>
          <w:rFonts w:ascii="Cambria" w:eastAsia="Times New Roman" w:hAnsi="Cambria" w:cs="Times New Roman"/>
          <w:color w:val="000000" w:themeColor="text1"/>
          <w:sz w:val="20"/>
          <w:szCs w:val="20"/>
          <w:lang w:eastAsia="es-ES"/>
        </w:rPr>
        <w:t>had been</w:t>
      </w:r>
      <w:r w:rsidR="003129B9" w:rsidRPr="008A7BD7">
        <w:rPr>
          <w:rFonts w:ascii="Cambria" w:eastAsia="Times New Roman" w:hAnsi="Cambria" w:cs="Times New Roman"/>
          <w:color w:val="000000" w:themeColor="text1"/>
          <w:sz w:val="20"/>
          <w:szCs w:val="20"/>
          <w:lang w:eastAsia="es-ES"/>
        </w:rPr>
        <w:t xml:space="preserve"> compromised </w:t>
      </w:r>
      <w:r w:rsidR="00F05772" w:rsidRPr="008A7BD7">
        <w:rPr>
          <w:rFonts w:ascii="Cambria" w:eastAsia="Times New Roman" w:hAnsi="Cambria" w:cs="Times New Roman"/>
          <w:color w:val="000000" w:themeColor="text1"/>
          <w:sz w:val="20"/>
          <w:szCs w:val="20"/>
          <w:lang w:eastAsia="es-ES"/>
        </w:rPr>
        <w:t xml:space="preserve">must </w:t>
      </w:r>
      <w:r w:rsidR="003129B9" w:rsidRPr="008A7BD7">
        <w:rPr>
          <w:rFonts w:ascii="Cambria" w:eastAsia="Times New Roman" w:hAnsi="Cambria" w:cs="Times New Roman"/>
          <w:color w:val="000000" w:themeColor="text1"/>
          <w:sz w:val="20"/>
          <w:szCs w:val="20"/>
          <w:lang w:eastAsia="es-ES"/>
        </w:rPr>
        <w:t>be excluded from the process.</w:t>
      </w:r>
      <w:r w:rsidR="00310C35" w:rsidRPr="008A7BD7">
        <w:rPr>
          <w:rFonts w:ascii="Cambria" w:eastAsia="Calibri" w:hAnsi="Cambria" w:cs="Times New Roman"/>
          <w:color w:val="000000" w:themeColor="text1"/>
          <w:sz w:val="20"/>
          <w:szCs w:val="20"/>
          <w:vertAlign w:val="superscript"/>
          <w:lang w:val="es-US" w:eastAsia="es-ES_tradnl"/>
        </w:rPr>
        <w:footnoteReference w:id="61"/>
      </w:r>
      <w:r w:rsidR="00310C35" w:rsidRPr="008A7BD7">
        <w:rPr>
          <w:rFonts w:ascii="Cambria" w:eastAsia="Times New Roman" w:hAnsi="Cambria" w:cs="Times New Roman"/>
          <w:color w:val="000000" w:themeColor="text1"/>
          <w:sz w:val="20"/>
          <w:szCs w:val="20"/>
          <w:lang w:eastAsia="es-ES"/>
        </w:rPr>
        <w:t xml:space="preserve"> A</w:t>
      </w:r>
      <w:r w:rsidR="003129B9" w:rsidRPr="008A7BD7">
        <w:rPr>
          <w:rFonts w:ascii="Cambria" w:eastAsia="Times New Roman" w:hAnsi="Cambria" w:cs="Times New Roman"/>
          <w:color w:val="000000" w:themeColor="text1"/>
          <w:sz w:val="20"/>
          <w:szCs w:val="20"/>
          <w:lang w:eastAsia="es-ES"/>
        </w:rPr>
        <w:t xml:space="preserve">s of the </w:t>
      </w:r>
      <w:r w:rsidR="00860A2F" w:rsidRPr="008A7BD7">
        <w:rPr>
          <w:rFonts w:ascii="Cambria" w:eastAsia="Times New Roman" w:hAnsi="Cambria" w:cs="Times New Roman"/>
          <w:color w:val="000000" w:themeColor="text1"/>
          <w:sz w:val="20"/>
          <w:szCs w:val="20"/>
          <w:lang w:eastAsia="es-ES"/>
        </w:rPr>
        <w:t xml:space="preserve">closing </w:t>
      </w:r>
      <w:r w:rsidR="003129B9" w:rsidRPr="008A7BD7">
        <w:rPr>
          <w:rFonts w:ascii="Cambria" w:eastAsia="Times New Roman" w:hAnsi="Cambria" w:cs="Times New Roman"/>
          <w:color w:val="000000" w:themeColor="text1"/>
          <w:sz w:val="20"/>
          <w:szCs w:val="20"/>
          <w:lang w:eastAsia="es-ES"/>
        </w:rPr>
        <w:t xml:space="preserve">date </w:t>
      </w:r>
      <w:r w:rsidR="00860A2F" w:rsidRPr="008A7BD7">
        <w:rPr>
          <w:rFonts w:ascii="Cambria" w:eastAsia="Times New Roman" w:hAnsi="Cambria" w:cs="Times New Roman"/>
          <w:color w:val="000000" w:themeColor="text1"/>
          <w:sz w:val="20"/>
          <w:szCs w:val="20"/>
          <w:lang w:eastAsia="es-ES"/>
        </w:rPr>
        <w:t>of</w:t>
      </w:r>
      <w:r w:rsidR="003129B9" w:rsidRPr="008A7BD7">
        <w:rPr>
          <w:rFonts w:ascii="Cambria" w:eastAsia="Times New Roman" w:hAnsi="Cambria" w:cs="Times New Roman"/>
          <w:color w:val="000000" w:themeColor="text1"/>
          <w:sz w:val="20"/>
          <w:szCs w:val="20"/>
          <w:lang w:eastAsia="es-ES"/>
        </w:rPr>
        <w:t xml:space="preserve"> this report, the </w:t>
      </w:r>
      <w:r w:rsidR="003F4EF7" w:rsidRPr="008A7BD7">
        <w:rPr>
          <w:rFonts w:ascii="Cambria" w:eastAsia="Times New Roman" w:hAnsi="Cambria" w:cs="Times New Roman"/>
          <w:color w:val="000000" w:themeColor="text1"/>
          <w:sz w:val="20"/>
          <w:szCs w:val="20"/>
          <w:lang w:eastAsia="es-ES"/>
        </w:rPr>
        <w:t xml:space="preserve">current justices of the Supreme Court remain in office indefinitely, even though their </w:t>
      </w:r>
      <w:r w:rsidR="007209C1" w:rsidRPr="008A7BD7">
        <w:rPr>
          <w:rFonts w:ascii="Cambria" w:eastAsia="Times New Roman" w:hAnsi="Cambria" w:cs="Times New Roman"/>
          <w:color w:val="000000" w:themeColor="text1"/>
          <w:sz w:val="20"/>
          <w:szCs w:val="20"/>
          <w:lang w:eastAsia="es-ES"/>
        </w:rPr>
        <w:t>mandates came to an</w:t>
      </w:r>
      <w:r w:rsidR="003F4EF7" w:rsidRPr="008A7BD7">
        <w:rPr>
          <w:rFonts w:ascii="Cambria" w:eastAsia="Times New Roman" w:hAnsi="Cambria" w:cs="Times New Roman"/>
          <w:color w:val="000000" w:themeColor="text1"/>
          <w:sz w:val="20"/>
          <w:szCs w:val="20"/>
          <w:lang w:eastAsia="es-ES"/>
        </w:rPr>
        <w:t xml:space="preserve"> end in </w:t>
      </w:r>
      <w:r w:rsidR="00310C35" w:rsidRPr="008A7BD7">
        <w:rPr>
          <w:rFonts w:ascii="Cambria" w:eastAsia="Times New Roman" w:hAnsi="Cambria" w:cs="Times New Roman"/>
          <w:color w:val="000000" w:themeColor="text1"/>
          <w:sz w:val="20"/>
          <w:szCs w:val="20"/>
          <w:lang w:eastAsia="es-ES"/>
        </w:rPr>
        <w:t xml:space="preserve">2019, </w:t>
      </w:r>
      <w:r w:rsidR="003F4EF7" w:rsidRPr="008A7BD7">
        <w:rPr>
          <w:rFonts w:ascii="Cambria" w:eastAsia="Times New Roman" w:hAnsi="Cambria" w:cs="Times New Roman"/>
          <w:color w:val="000000" w:themeColor="text1"/>
          <w:sz w:val="20"/>
          <w:szCs w:val="20"/>
          <w:lang w:eastAsia="es-ES"/>
        </w:rPr>
        <w:t>which compromises the independence of the justice system in</w:t>
      </w:r>
      <w:r w:rsidR="00275DCB" w:rsidRPr="008A7BD7">
        <w:rPr>
          <w:rFonts w:ascii="Cambria" w:hAnsi="Cambria" w:cs="Tahoma"/>
          <w:color w:val="000000" w:themeColor="text1"/>
          <w:sz w:val="20"/>
          <w:szCs w:val="20"/>
          <w:shd w:val="clear" w:color="auto" w:fill="FFFFFF"/>
        </w:rPr>
        <w:t xml:space="preserve"> Guatemala</w:t>
      </w:r>
      <w:r w:rsidR="003F4EF7" w:rsidRPr="008A7BD7">
        <w:rPr>
          <w:rFonts w:ascii="Cambria" w:eastAsia="Times New Roman" w:hAnsi="Cambria" w:cs="Times New Roman"/>
          <w:color w:val="000000" w:themeColor="text1"/>
          <w:sz w:val="20"/>
          <w:szCs w:val="20"/>
          <w:lang w:eastAsia="es-ES"/>
        </w:rPr>
        <w:t>.</w:t>
      </w:r>
      <w:r w:rsidR="00310C35" w:rsidRPr="008A7BD7">
        <w:rPr>
          <w:rStyle w:val="FootnoteReference"/>
          <w:rFonts w:ascii="Cambria" w:eastAsia="Times New Roman" w:hAnsi="Cambria" w:cs="Times New Roman"/>
          <w:color w:val="000000" w:themeColor="text1"/>
          <w:spacing w:val="-1"/>
          <w:sz w:val="20"/>
          <w:szCs w:val="20"/>
          <w:lang w:val="es-ES" w:eastAsia="es-ES_tradnl"/>
        </w:rPr>
        <w:footnoteReference w:id="62"/>
      </w:r>
      <w:r w:rsidR="00310C35" w:rsidRPr="008A7BD7">
        <w:rPr>
          <w:rFonts w:ascii="Cambria" w:eastAsia="Times New Roman" w:hAnsi="Cambria" w:cs="Times New Roman"/>
          <w:color w:val="000000" w:themeColor="text1"/>
          <w:sz w:val="20"/>
          <w:szCs w:val="20"/>
          <w:lang w:eastAsia="es-ES"/>
        </w:rPr>
        <w:t xml:space="preserve"> </w:t>
      </w:r>
    </w:p>
    <w:p w14:paraId="1C3E0BA6" w14:textId="77777777" w:rsidR="00C56230" w:rsidRPr="008A7BD7" w:rsidRDefault="00C56230" w:rsidP="00C56230">
      <w:pPr>
        <w:rPr>
          <w:rFonts w:ascii="Cambria" w:eastAsia="Times New Roman" w:hAnsi="Cambria" w:cs="Times New Roman"/>
          <w:color w:val="000000" w:themeColor="text1"/>
          <w:sz w:val="20"/>
          <w:szCs w:val="20"/>
          <w:lang w:eastAsia="es-ES_tradnl"/>
        </w:rPr>
      </w:pPr>
    </w:p>
    <w:p w14:paraId="691125F5" w14:textId="29D0139D" w:rsidR="00C56230" w:rsidRPr="008A7BD7" w:rsidRDefault="009C4D03" w:rsidP="00C56230">
      <w:pPr>
        <w:numPr>
          <w:ilvl w:val="0"/>
          <w:numId w:val="2"/>
        </w:numPr>
        <w:ind w:left="0" w:firstLine="720"/>
        <w:jc w:val="both"/>
        <w:rPr>
          <w:rFonts w:ascii="Cambria" w:eastAsia="Times New Roman" w:hAnsi="Cambria" w:cs="Times New Roman"/>
          <w:color w:val="000000" w:themeColor="text1"/>
          <w:sz w:val="20"/>
          <w:szCs w:val="20"/>
          <w:lang w:eastAsia="es-ES_tradnl"/>
        </w:rPr>
      </w:pPr>
      <w:r w:rsidRPr="008A7BD7">
        <w:rPr>
          <w:rFonts w:ascii="Cambria" w:eastAsia="Times New Roman" w:hAnsi="Cambria" w:cs="Times New Roman"/>
          <w:color w:val="000000" w:themeColor="text1"/>
          <w:sz w:val="20"/>
          <w:szCs w:val="20"/>
          <w:lang w:eastAsia="es-ES_tradnl"/>
        </w:rPr>
        <w:t xml:space="preserve">In its response to the draft report, the Guatemalan State </w:t>
      </w:r>
      <w:r w:rsidR="00FC5673" w:rsidRPr="008A7BD7">
        <w:rPr>
          <w:rFonts w:ascii="Cambria" w:eastAsia="Times New Roman" w:hAnsi="Cambria" w:cs="Times New Roman"/>
          <w:color w:val="000000" w:themeColor="text1"/>
          <w:sz w:val="20"/>
          <w:szCs w:val="20"/>
          <w:lang w:eastAsia="es-ES_tradnl"/>
        </w:rPr>
        <w:t>noted</w:t>
      </w:r>
      <w:r w:rsidRPr="008A7BD7">
        <w:rPr>
          <w:rFonts w:ascii="Cambria" w:eastAsia="Times New Roman" w:hAnsi="Cambria" w:cs="Times New Roman"/>
          <w:color w:val="000000" w:themeColor="text1"/>
          <w:sz w:val="20"/>
          <w:szCs w:val="20"/>
          <w:lang w:eastAsia="es-ES_tradnl"/>
        </w:rPr>
        <w:t xml:space="preserve"> that</w:t>
      </w:r>
      <w:r w:rsidR="00FC5673" w:rsidRPr="008A7BD7">
        <w:rPr>
          <w:rFonts w:ascii="Cambria" w:eastAsia="Times New Roman" w:hAnsi="Cambria" w:cs="Times New Roman"/>
          <w:color w:val="000000" w:themeColor="text1"/>
          <w:sz w:val="20"/>
          <w:szCs w:val="20"/>
          <w:lang w:eastAsia="es-ES_tradnl"/>
        </w:rPr>
        <w:t xml:space="preserve"> the </w:t>
      </w:r>
      <w:r w:rsidR="00F7769D" w:rsidRPr="008A7BD7">
        <w:rPr>
          <w:rFonts w:ascii="Cambria" w:eastAsia="Times New Roman" w:hAnsi="Cambria" w:cs="Times New Roman"/>
          <w:color w:val="000000" w:themeColor="text1"/>
          <w:sz w:val="20"/>
          <w:szCs w:val="20"/>
          <w:lang w:eastAsia="es-ES_tradnl"/>
        </w:rPr>
        <w:t>selection process for judges</w:t>
      </w:r>
      <w:r w:rsidR="00C4502E" w:rsidRPr="008A7BD7">
        <w:rPr>
          <w:rFonts w:ascii="Cambria" w:eastAsia="Times New Roman" w:hAnsi="Cambria" w:cs="Times New Roman"/>
          <w:color w:val="000000" w:themeColor="text1"/>
          <w:sz w:val="20"/>
          <w:szCs w:val="20"/>
          <w:lang w:eastAsia="es-ES_tradnl"/>
        </w:rPr>
        <w:t xml:space="preserve"> ordered by </w:t>
      </w:r>
      <w:r w:rsidR="00FC5673" w:rsidRPr="008A7BD7">
        <w:rPr>
          <w:rFonts w:ascii="Cambria" w:eastAsia="Times New Roman" w:hAnsi="Cambria" w:cs="Times New Roman"/>
          <w:color w:val="000000" w:themeColor="text1"/>
          <w:sz w:val="20"/>
          <w:szCs w:val="20"/>
          <w:lang w:eastAsia="es-ES_tradnl"/>
        </w:rPr>
        <w:t>Congress</w:t>
      </w:r>
      <w:r w:rsidR="00A968B8" w:rsidRPr="008A7BD7">
        <w:rPr>
          <w:rFonts w:ascii="Cambria" w:eastAsia="Times New Roman" w:hAnsi="Cambria" w:cs="Times New Roman"/>
          <w:color w:val="000000" w:themeColor="text1"/>
          <w:sz w:val="20"/>
          <w:szCs w:val="20"/>
          <w:lang w:eastAsia="es-ES_tradnl"/>
        </w:rPr>
        <w:t>, which should be</w:t>
      </w:r>
      <w:r w:rsidR="00F7769D" w:rsidRPr="008A7BD7">
        <w:rPr>
          <w:rFonts w:ascii="Cambria" w:eastAsia="Times New Roman" w:hAnsi="Cambria" w:cs="Times New Roman"/>
          <w:color w:val="000000" w:themeColor="text1"/>
          <w:sz w:val="20"/>
          <w:szCs w:val="20"/>
          <w:lang w:eastAsia="es-ES_tradnl"/>
        </w:rPr>
        <w:t xml:space="preserve"> </w:t>
      </w:r>
      <w:r w:rsidR="00A968B8" w:rsidRPr="008A7BD7">
        <w:rPr>
          <w:rFonts w:ascii="Cambria" w:eastAsia="Times New Roman" w:hAnsi="Cambria" w:cs="Times New Roman"/>
          <w:color w:val="000000" w:themeColor="text1"/>
          <w:sz w:val="20"/>
          <w:szCs w:val="20"/>
          <w:lang w:eastAsia="es-ES_tradnl"/>
        </w:rPr>
        <w:t xml:space="preserve">carried out within three months before new Supreme Court and Appeals Courts judges take office, </w:t>
      </w:r>
      <w:r w:rsidR="00C4502E" w:rsidRPr="008A7BD7">
        <w:rPr>
          <w:rFonts w:ascii="Cambria" w:eastAsia="Times New Roman" w:hAnsi="Cambria" w:cs="Times New Roman"/>
          <w:color w:val="000000" w:themeColor="text1"/>
          <w:sz w:val="20"/>
          <w:szCs w:val="20"/>
          <w:lang w:eastAsia="es-ES_tradnl"/>
        </w:rPr>
        <w:t xml:space="preserve">has been suspended since September 16, 2019, </w:t>
      </w:r>
      <w:r w:rsidR="00196EB5" w:rsidRPr="008A7BD7">
        <w:rPr>
          <w:rFonts w:ascii="Cambria" w:eastAsia="Times New Roman" w:hAnsi="Cambria" w:cs="Times New Roman"/>
          <w:color w:val="000000" w:themeColor="text1"/>
          <w:sz w:val="20"/>
          <w:szCs w:val="20"/>
          <w:lang w:eastAsia="es-ES_tradnl"/>
        </w:rPr>
        <w:t>by virtue</w:t>
      </w:r>
      <w:r w:rsidR="00A968B8" w:rsidRPr="008A7BD7">
        <w:rPr>
          <w:rFonts w:ascii="Cambria" w:eastAsia="Times New Roman" w:hAnsi="Cambria" w:cs="Times New Roman"/>
          <w:color w:val="000000" w:themeColor="text1"/>
          <w:sz w:val="20"/>
          <w:szCs w:val="20"/>
          <w:lang w:eastAsia="es-ES_tradnl"/>
        </w:rPr>
        <w:t xml:space="preserve"> of</w:t>
      </w:r>
      <w:r w:rsidR="00C4502E" w:rsidRPr="008A7BD7">
        <w:rPr>
          <w:rFonts w:ascii="Cambria" w:eastAsia="Times New Roman" w:hAnsi="Cambria" w:cs="Times New Roman"/>
          <w:color w:val="000000" w:themeColor="text1"/>
          <w:sz w:val="20"/>
          <w:szCs w:val="20"/>
          <w:lang w:eastAsia="es-ES_tradnl"/>
        </w:rPr>
        <w:t xml:space="preserve"> </w:t>
      </w:r>
      <w:r w:rsidR="006909F7" w:rsidRPr="008A7BD7">
        <w:rPr>
          <w:rFonts w:ascii="Cambria" w:eastAsia="Times New Roman" w:hAnsi="Cambria" w:cs="Times New Roman"/>
          <w:color w:val="000000" w:themeColor="text1"/>
          <w:sz w:val="20"/>
          <w:szCs w:val="20"/>
          <w:lang w:eastAsia="es-ES_tradnl"/>
        </w:rPr>
        <w:t>a court ruling</w:t>
      </w:r>
      <w:r w:rsidR="00A968B8" w:rsidRPr="008A7BD7">
        <w:rPr>
          <w:rFonts w:ascii="Cambria" w:eastAsia="Times New Roman" w:hAnsi="Cambria" w:cs="Times New Roman"/>
          <w:color w:val="000000" w:themeColor="text1"/>
          <w:sz w:val="20"/>
          <w:szCs w:val="20"/>
          <w:lang w:eastAsia="es-ES_tradnl"/>
        </w:rPr>
        <w:t xml:space="preserve"> (</w:t>
      </w:r>
      <w:r w:rsidR="00C4502E" w:rsidRPr="008A7BD7">
        <w:rPr>
          <w:rFonts w:ascii="Cambria" w:eastAsia="Times New Roman" w:hAnsi="Cambria" w:cs="Times New Roman"/>
          <w:i/>
          <w:iCs/>
          <w:color w:val="000000" w:themeColor="text1"/>
          <w:sz w:val="20"/>
          <w:szCs w:val="20"/>
          <w:lang w:eastAsia="es-ES_tradnl"/>
        </w:rPr>
        <w:t>amparo</w:t>
      </w:r>
      <w:r w:rsidR="00A968B8" w:rsidRPr="008A7BD7">
        <w:rPr>
          <w:rFonts w:ascii="Cambria" w:eastAsia="Times New Roman" w:hAnsi="Cambria" w:cs="Times New Roman"/>
          <w:color w:val="000000" w:themeColor="text1"/>
          <w:sz w:val="20"/>
          <w:szCs w:val="20"/>
          <w:lang w:eastAsia="es-ES_tradnl"/>
        </w:rPr>
        <w:t>)</w:t>
      </w:r>
      <w:r w:rsidR="00BB356C" w:rsidRPr="008A7BD7">
        <w:rPr>
          <w:rFonts w:ascii="Cambria" w:eastAsia="Times New Roman" w:hAnsi="Cambria" w:cs="Times New Roman"/>
          <w:color w:val="000000" w:themeColor="text1"/>
          <w:sz w:val="20"/>
          <w:szCs w:val="20"/>
          <w:lang w:eastAsia="es-ES_tradnl"/>
        </w:rPr>
        <w:t>.</w:t>
      </w:r>
      <w:r w:rsidR="00C56230" w:rsidRPr="008A7BD7">
        <w:rPr>
          <w:rStyle w:val="FootnoteReference"/>
          <w:rFonts w:ascii="Cambria" w:eastAsia="Times New Roman" w:hAnsi="Cambria" w:cs="Times New Roman"/>
          <w:color w:val="000000" w:themeColor="text1"/>
          <w:sz w:val="20"/>
          <w:szCs w:val="20"/>
          <w:lang w:val="es-MX" w:eastAsia="es-ES_tradnl"/>
        </w:rPr>
        <w:footnoteReference w:id="63"/>
      </w:r>
      <w:r w:rsidR="00C56230" w:rsidRPr="008A7BD7">
        <w:rPr>
          <w:rFonts w:ascii="Cambria" w:eastAsia="Times New Roman" w:hAnsi="Cambria" w:cs="Times New Roman"/>
          <w:color w:val="000000" w:themeColor="text1"/>
          <w:sz w:val="20"/>
          <w:szCs w:val="20"/>
          <w:lang w:eastAsia="es-ES_tradnl"/>
        </w:rPr>
        <w:t xml:space="preserve"> </w:t>
      </w:r>
      <w:r w:rsidR="001E796A" w:rsidRPr="008A7BD7">
        <w:rPr>
          <w:rFonts w:ascii="Cambria" w:eastAsia="Times New Roman" w:hAnsi="Cambria" w:cs="Times New Roman"/>
          <w:color w:val="000000" w:themeColor="text1"/>
          <w:sz w:val="20"/>
          <w:szCs w:val="20"/>
          <w:lang w:eastAsia="es-ES_tradnl"/>
        </w:rPr>
        <w:t>The State</w:t>
      </w:r>
      <w:r w:rsidR="00BB356C" w:rsidRPr="008A7BD7">
        <w:rPr>
          <w:rFonts w:ascii="Cambria" w:eastAsia="Times New Roman" w:hAnsi="Cambria" w:cs="Times New Roman"/>
          <w:color w:val="000000" w:themeColor="text1"/>
          <w:sz w:val="20"/>
          <w:szCs w:val="20"/>
          <w:lang w:eastAsia="es-ES_tradnl"/>
        </w:rPr>
        <w:t xml:space="preserve"> also indicated that Congress established seven phases </w:t>
      </w:r>
      <w:r w:rsidR="004E6F49" w:rsidRPr="008A7BD7">
        <w:rPr>
          <w:rFonts w:ascii="Cambria" w:eastAsia="Times New Roman" w:hAnsi="Cambria" w:cs="Times New Roman"/>
          <w:color w:val="000000" w:themeColor="text1"/>
          <w:sz w:val="20"/>
          <w:szCs w:val="20"/>
          <w:lang w:eastAsia="es-ES_tradnl"/>
        </w:rPr>
        <w:t>to comply</w:t>
      </w:r>
      <w:r w:rsidR="001B70AF" w:rsidRPr="008A7BD7">
        <w:rPr>
          <w:rFonts w:ascii="Cambria" w:eastAsia="Times New Roman" w:hAnsi="Cambria" w:cs="Times New Roman"/>
          <w:color w:val="000000" w:themeColor="text1"/>
          <w:sz w:val="20"/>
          <w:szCs w:val="20"/>
          <w:lang w:eastAsia="es-ES_tradnl"/>
        </w:rPr>
        <w:t xml:space="preserve"> </w:t>
      </w:r>
      <w:r w:rsidR="00BB356C" w:rsidRPr="008A7BD7">
        <w:rPr>
          <w:rFonts w:ascii="Cambria" w:eastAsia="Times New Roman" w:hAnsi="Cambria" w:cs="Times New Roman"/>
          <w:color w:val="000000" w:themeColor="text1"/>
          <w:sz w:val="20"/>
          <w:szCs w:val="20"/>
          <w:lang w:eastAsia="es-ES_tradnl"/>
        </w:rPr>
        <w:t xml:space="preserve">with the orders of the Constitutional Court, from reading the </w:t>
      </w:r>
      <w:r w:rsidR="001B70AF" w:rsidRPr="008A7BD7">
        <w:rPr>
          <w:rFonts w:ascii="Cambria" w:eastAsia="Times New Roman" w:hAnsi="Cambria" w:cs="Times New Roman"/>
          <w:color w:val="000000" w:themeColor="text1"/>
          <w:sz w:val="20"/>
          <w:szCs w:val="20"/>
          <w:lang w:eastAsia="es-ES_tradnl"/>
        </w:rPr>
        <w:t xml:space="preserve">relevant part of the judgment to </w:t>
      </w:r>
      <w:r w:rsidR="004E6F49" w:rsidRPr="008A7BD7">
        <w:rPr>
          <w:rFonts w:ascii="Cambria" w:eastAsia="Times New Roman" w:hAnsi="Cambria" w:cs="Times New Roman"/>
          <w:color w:val="000000" w:themeColor="text1"/>
          <w:sz w:val="20"/>
          <w:szCs w:val="20"/>
          <w:lang w:eastAsia="es-ES_tradnl"/>
        </w:rPr>
        <w:t xml:space="preserve">having </w:t>
      </w:r>
      <w:r w:rsidR="001B70AF" w:rsidRPr="008A7BD7">
        <w:rPr>
          <w:rFonts w:ascii="Cambria" w:eastAsia="Times New Roman" w:hAnsi="Cambria" w:cs="Times New Roman"/>
          <w:color w:val="000000" w:themeColor="text1"/>
          <w:sz w:val="20"/>
          <w:szCs w:val="20"/>
          <w:lang w:eastAsia="es-ES_tradnl"/>
        </w:rPr>
        <w:t xml:space="preserve">the </w:t>
      </w:r>
      <w:r w:rsidR="004E6F49" w:rsidRPr="008A7BD7">
        <w:rPr>
          <w:rFonts w:ascii="Cambria" w:eastAsia="Times New Roman" w:hAnsi="Cambria" w:cs="Times New Roman"/>
          <w:color w:val="000000" w:themeColor="text1"/>
          <w:sz w:val="20"/>
          <w:szCs w:val="20"/>
          <w:lang w:eastAsia="es-ES_tradnl"/>
        </w:rPr>
        <w:t xml:space="preserve">candidate </w:t>
      </w:r>
      <w:r w:rsidR="001B70AF" w:rsidRPr="008A7BD7">
        <w:rPr>
          <w:rFonts w:ascii="Cambria" w:eastAsia="Times New Roman" w:hAnsi="Cambria" w:cs="Times New Roman"/>
          <w:color w:val="000000" w:themeColor="text1"/>
          <w:sz w:val="20"/>
          <w:szCs w:val="20"/>
          <w:lang w:eastAsia="es-ES_tradnl"/>
        </w:rPr>
        <w:t>list</w:t>
      </w:r>
      <w:r w:rsidR="004E6F49" w:rsidRPr="008A7BD7">
        <w:rPr>
          <w:rFonts w:ascii="Cambria" w:eastAsia="Times New Roman" w:hAnsi="Cambria" w:cs="Times New Roman"/>
          <w:color w:val="000000" w:themeColor="text1"/>
          <w:sz w:val="20"/>
          <w:szCs w:val="20"/>
          <w:lang w:eastAsia="es-ES_tradnl"/>
        </w:rPr>
        <w:t>s in hand</w:t>
      </w:r>
      <w:r w:rsidR="001B70AF" w:rsidRPr="008A7BD7">
        <w:rPr>
          <w:rFonts w:ascii="Cambria" w:eastAsia="Times New Roman" w:hAnsi="Cambria" w:cs="Times New Roman"/>
          <w:color w:val="000000" w:themeColor="text1"/>
          <w:sz w:val="20"/>
          <w:szCs w:val="20"/>
          <w:lang w:eastAsia="es-ES_tradnl"/>
        </w:rPr>
        <w:t xml:space="preserve">. </w:t>
      </w:r>
      <w:r w:rsidR="00196EB5" w:rsidRPr="008A7BD7">
        <w:rPr>
          <w:rFonts w:ascii="Cambria" w:eastAsia="Times New Roman" w:hAnsi="Cambria" w:cs="Times New Roman"/>
          <w:color w:val="000000" w:themeColor="text1"/>
          <w:sz w:val="20"/>
          <w:szCs w:val="20"/>
          <w:lang w:eastAsia="es-ES_tradnl"/>
        </w:rPr>
        <w:t>T</w:t>
      </w:r>
      <w:r w:rsidR="001B70AF" w:rsidRPr="008A7BD7">
        <w:rPr>
          <w:rFonts w:ascii="Cambria" w:eastAsia="Times New Roman" w:hAnsi="Cambria" w:cs="Times New Roman"/>
          <w:color w:val="000000" w:themeColor="text1"/>
          <w:sz w:val="20"/>
          <w:szCs w:val="20"/>
          <w:lang w:eastAsia="es-ES_tradnl"/>
        </w:rPr>
        <w:t>he information provided</w:t>
      </w:r>
      <w:r w:rsidR="00196EB5" w:rsidRPr="008A7BD7">
        <w:rPr>
          <w:rFonts w:ascii="Cambria" w:eastAsia="Times New Roman" w:hAnsi="Cambria" w:cs="Times New Roman"/>
          <w:color w:val="000000" w:themeColor="text1"/>
          <w:sz w:val="20"/>
          <w:szCs w:val="20"/>
          <w:lang w:eastAsia="es-ES_tradnl"/>
        </w:rPr>
        <w:t xml:space="preserve"> noted</w:t>
      </w:r>
      <w:r w:rsidR="001B70AF" w:rsidRPr="008A7BD7">
        <w:rPr>
          <w:rFonts w:ascii="Cambria" w:eastAsia="Times New Roman" w:hAnsi="Cambria" w:cs="Times New Roman"/>
          <w:color w:val="000000" w:themeColor="text1"/>
          <w:sz w:val="20"/>
          <w:szCs w:val="20"/>
          <w:lang w:eastAsia="es-ES_tradnl"/>
        </w:rPr>
        <w:t xml:space="preserve"> “the time needed to comply with the provisions established by the s</w:t>
      </w:r>
      <w:r w:rsidR="00285D0A" w:rsidRPr="008A7BD7">
        <w:rPr>
          <w:rFonts w:ascii="Cambria" w:eastAsia="Times New Roman" w:hAnsi="Cambria" w:cs="Times New Roman"/>
          <w:color w:val="000000" w:themeColor="text1"/>
          <w:sz w:val="20"/>
          <w:szCs w:val="20"/>
          <w:lang w:eastAsia="es-ES_tradnl"/>
        </w:rPr>
        <w:t xml:space="preserve">eventh </w:t>
      </w:r>
      <w:r w:rsidR="00ED43EE" w:rsidRPr="008A7BD7">
        <w:rPr>
          <w:rFonts w:ascii="Cambria" w:eastAsia="Times New Roman" w:hAnsi="Cambria" w:cs="Times New Roman"/>
          <w:color w:val="000000" w:themeColor="text1"/>
          <w:sz w:val="20"/>
          <w:szCs w:val="20"/>
          <w:lang w:eastAsia="es-ES_tradnl"/>
        </w:rPr>
        <w:t>chamber</w:t>
      </w:r>
      <w:r w:rsidR="00285D0A" w:rsidRPr="008A7BD7">
        <w:rPr>
          <w:rFonts w:ascii="Cambria" w:eastAsia="Times New Roman" w:hAnsi="Cambria" w:cs="Times New Roman"/>
          <w:color w:val="000000" w:themeColor="text1"/>
          <w:sz w:val="20"/>
          <w:szCs w:val="20"/>
          <w:lang w:eastAsia="es-ES_tradnl"/>
        </w:rPr>
        <w:t xml:space="preserve"> of the Constitutional Court: </w:t>
      </w:r>
      <w:r w:rsidR="004E6F49" w:rsidRPr="008A7BD7">
        <w:rPr>
          <w:rFonts w:ascii="Cambria" w:eastAsia="Times New Roman" w:hAnsi="Cambria" w:cs="Times New Roman"/>
          <w:color w:val="000000" w:themeColor="text1"/>
          <w:sz w:val="20"/>
          <w:szCs w:val="20"/>
          <w:lang w:eastAsia="es-ES_tradnl"/>
        </w:rPr>
        <w:t>there being</w:t>
      </w:r>
      <w:r w:rsidR="00285D0A" w:rsidRPr="008A7BD7">
        <w:rPr>
          <w:rFonts w:ascii="Cambria" w:eastAsia="Montserrat" w:hAnsi="Cambria" w:cs="Montserrat"/>
          <w:sz w:val="20"/>
          <w:szCs w:val="20"/>
        </w:rPr>
        <w:t xml:space="preserve"> </w:t>
      </w:r>
      <w:r w:rsidR="00C56230" w:rsidRPr="008A7BD7">
        <w:rPr>
          <w:rFonts w:ascii="Cambria" w:eastAsia="Montserrat" w:hAnsi="Cambria" w:cs="Montserrat"/>
          <w:sz w:val="20"/>
          <w:szCs w:val="20"/>
        </w:rPr>
        <w:t>296 candidat</w:t>
      </w:r>
      <w:r w:rsidR="00285D0A" w:rsidRPr="008A7BD7">
        <w:rPr>
          <w:rFonts w:ascii="Cambria" w:eastAsia="Montserrat" w:hAnsi="Cambria" w:cs="Montserrat"/>
          <w:sz w:val="20"/>
          <w:szCs w:val="20"/>
        </w:rPr>
        <w:t xml:space="preserve">es for the Courts of Appeals and </w:t>
      </w:r>
      <w:r w:rsidR="00C56230" w:rsidRPr="008A7BD7">
        <w:rPr>
          <w:rFonts w:ascii="Cambria" w:eastAsia="Montserrat" w:hAnsi="Cambria" w:cs="Montserrat"/>
          <w:sz w:val="20"/>
          <w:szCs w:val="20"/>
        </w:rPr>
        <w:t xml:space="preserve">160 </w:t>
      </w:r>
      <w:r w:rsidR="00D66302" w:rsidRPr="008A7BD7">
        <w:rPr>
          <w:rFonts w:ascii="Cambria" w:eastAsia="Montserrat" w:hAnsi="Cambria" w:cs="Montserrat"/>
          <w:sz w:val="20"/>
          <w:szCs w:val="20"/>
        </w:rPr>
        <w:t xml:space="preserve">congressional representatives, that would amount to </w:t>
      </w:r>
      <w:r w:rsidR="00C56230" w:rsidRPr="008A7BD7">
        <w:rPr>
          <w:rFonts w:ascii="Cambria" w:eastAsia="Montserrat" w:hAnsi="Cambria" w:cs="Montserrat"/>
          <w:sz w:val="20"/>
          <w:szCs w:val="20"/>
        </w:rPr>
        <w:t xml:space="preserve">47,360 </w:t>
      </w:r>
      <w:r w:rsidR="00D66302" w:rsidRPr="008A7BD7">
        <w:rPr>
          <w:rFonts w:ascii="Cambria" w:eastAsia="Montserrat" w:hAnsi="Cambria" w:cs="Montserrat"/>
          <w:sz w:val="20"/>
          <w:szCs w:val="20"/>
        </w:rPr>
        <w:t xml:space="preserve">voice votes on the names. Assuming one minute per vote, taken over the course of eight-hour days, </w:t>
      </w:r>
      <w:r w:rsidR="006D3476" w:rsidRPr="008A7BD7">
        <w:rPr>
          <w:rFonts w:ascii="Cambria" w:eastAsia="Montserrat" w:hAnsi="Cambria" w:cs="Montserrat"/>
          <w:sz w:val="20"/>
          <w:szCs w:val="20"/>
        </w:rPr>
        <w:t>that would be</w:t>
      </w:r>
      <w:r w:rsidR="00D66302" w:rsidRPr="008A7BD7">
        <w:rPr>
          <w:rFonts w:ascii="Cambria" w:eastAsia="Montserrat" w:hAnsi="Cambria" w:cs="Montserrat"/>
          <w:sz w:val="20"/>
          <w:szCs w:val="20"/>
        </w:rPr>
        <w:t xml:space="preserve"> around </w:t>
      </w:r>
      <w:r w:rsidR="00C56230" w:rsidRPr="008A7BD7">
        <w:rPr>
          <w:rFonts w:ascii="Cambria" w:eastAsia="Montserrat" w:hAnsi="Cambria" w:cs="Montserrat"/>
          <w:sz w:val="20"/>
          <w:szCs w:val="20"/>
        </w:rPr>
        <w:t xml:space="preserve">100 </w:t>
      </w:r>
      <w:r w:rsidR="00D66302" w:rsidRPr="008A7BD7">
        <w:rPr>
          <w:rFonts w:ascii="Cambria" w:eastAsia="Montserrat" w:hAnsi="Cambria" w:cs="Montserrat"/>
          <w:sz w:val="20"/>
          <w:szCs w:val="20"/>
        </w:rPr>
        <w:t>days for just the first round.”</w:t>
      </w:r>
      <w:r w:rsidR="00C56230" w:rsidRPr="008A7BD7">
        <w:rPr>
          <w:rStyle w:val="FootnoteReference"/>
          <w:rFonts w:ascii="Cambria" w:eastAsia="Times New Roman" w:hAnsi="Cambria" w:cs="Times New Roman"/>
          <w:color w:val="000000" w:themeColor="text1"/>
          <w:sz w:val="20"/>
          <w:szCs w:val="20"/>
          <w:lang w:val="es-MX" w:eastAsia="es-ES_tradnl"/>
        </w:rPr>
        <w:footnoteReference w:id="64"/>
      </w:r>
      <w:r w:rsidR="00C56230" w:rsidRPr="008A7BD7">
        <w:rPr>
          <w:rFonts w:ascii="Cambria" w:eastAsia="Montserrat" w:hAnsi="Cambria" w:cs="Montserrat"/>
          <w:sz w:val="20"/>
          <w:szCs w:val="20"/>
        </w:rPr>
        <w:t xml:space="preserve"> </w:t>
      </w:r>
      <w:r w:rsidR="00D66302" w:rsidRPr="008A7BD7">
        <w:rPr>
          <w:rFonts w:ascii="Cambria" w:eastAsia="Montserrat" w:hAnsi="Cambria" w:cs="Montserrat"/>
          <w:sz w:val="20"/>
          <w:szCs w:val="20"/>
        </w:rPr>
        <w:t>However, Congress meets twice a week, and a session may be interrupted to attend to different issues, for example to summon government ministers for questioning.</w:t>
      </w:r>
      <w:r w:rsidR="00C56230" w:rsidRPr="008A7BD7">
        <w:rPr>
          <w:rFonts w:ascii="Cambria" w:eastAsia="Times New Roman" w:hAnsi="Cambria" w:cs="Times New Roman"/>
          <w:color w:val="000000" w:themeColor="text1"/>
          <w:sz w:val="20"/>
          <w:szCs w:val="20"/>
          <w:lang w:eastAsia="es-ES_tradnl"/>
        </w:rPr>
        <w:t xml:space="preserve"> </w:t>
      </w:r>
      <w:r w:rsidR="006D3476" w:rsidRPr="008A7BD7">
        <w:rPr>
          <w:rFonts w:ascii="Cambria" w:eastAsia="Times New Roman" w:hAnsi="Cambria" w:cs="Times New Roman"/>
          <w:color w:val="000000" w:themeColor="text1"/>
          <w:sz w:val="20"/>
          <w:szCs w:val="20"/>
          <w:lang w:eastAsia="es-ES_tradnl"/>
        </w:rPr>
        <w:t xml:space="preserve">In addition, the State noted, “it is important to keep in mind that the Congress </w:t>
      </w:r>
      <w:r w:rsidR="004E6F49" w:rsidRPr="008A7BD7">
        <w:rPr>
          <w:rFonts w:ascii="Cambria" w:eastAsia="Times New Roman" w:hAnsi="Cambria" w:cs="Times New Roman"/>
          <w:color w:val="000000" w:themeColor="text1"/>
          <w:sz w:val="20"/>
          <w:szCs w:val="20"/>
          <w:lang w:eastAsia="es-ES_tradnl"/>
        </w:rPr>
        <w:t xml:space="preserve">of the Republic </w:t>
      </w:r>
      <w:r w:rsidR="000B125D" w:rsidRPr="008A7BD7">
        <w:rPr>
          <w:rFonts w:ascii="Cambria" w:eastAsia="Times New Roman" w:hAnsi="Cambria" w:cs="Times New Roman"/>
          <w:color w:val="000000" w:themeColor="text1"/>
          <w:sz w:val="20"/>
          <w:szCs w:val="20"/>
          <w:lang w:eastAsia="es-ES_tradnl"/>
        </w:rPr>
        <w:t>must</w:t>
      </w:r>
      <w:r w:rsidR="006D3476" w:rsidRPr="008A7BD7">
        <w:rPr>
          <w:rFonts w:ascii="Cambria" w:eastAsia="Times New Roman" w:hAnsi="Cambria" w:cs="Times New Roman"/>
          <w:color w:val="000000" w:themeColor="text1"/>
          <w:sz w:val="20"/>
          <w:szCs w:val="20"/>
          <w:lang w:eastAsia="es-ES_tradnl"/>
        </w:rPr>
        <w:t xml:space="preserve"> continue </w:t>
      </w:r>
      <w:r w:rsidR="000B125D" w:rsidRPr="008A7BD7">
        <w:rPr>
          <w:rFonts w:ascii="Cambria" w:eastAsia="Times New Roman" w:hAnsi="Cambria" w:cs="Times New Roman"/>
          <w:color w:val="000000" w:themeColor="text1"/>
          <w:sz w:val="20"/>
          <w:szCs w:val="20"/>
          <w:lang w:eastAsia="es-ES_tradnl"/>
        </w:rPr>
        <w:t>to fulfill</w:t>
      </w:r>
      <w:r w:rsidR="006D3476" w:rsidRPr="008A7BD7">
        <w:rPr>
          <w:rFonts w:ascii="Cambria" w:eastAsia="Times New Roman" w:hAnsi="Cambria" w:cs="Times New Roman"/>
          <w:color w:val="000000" w:themeColor="text1"/>
          <w:sz w:val="20"/>
          <w:szCs w:val="20"/>
          <w:lang w:eastAsia="es-ES_tradnl"/>
        </w:rPr>
        <w:t xml:space="preserve"> all its duties, the </w:t>
      </w:r>
      <w:r w:rsidR="000B125D" w:rsidRPr="008A7BD7">
        <w:rPr>
          <w:rFonts w:ascii="Cambria" w:eastAsia="Times New Roman" w:hAnsi="Cambria" w:cs="Times New Roman"/>
          <w:color w:val="000000" w:themeColor="text1"/>
          <w:sz w:val="20"/>
          <w:szCs w:val="20"/>
          <w:lang w:eastAsia="es-ES_tradnl"/>
        </w:rPr>
        <w:t>s</w:t>
      </w:r>
      <w:r w:rsidR="006D3476" w:rsidRPr="008A7BD7">
        <w:rPr>
          <w:rFonts w:ascii="Cambria" w:eastAsia="Times New Roman" w:hAnsi="Cambria" w:cs="Times New Roman"/>
          <w:color w:val="000000" w:themeColor="text1"/>
          <w:sz w:val="20"/>
          <w:szCs w:val="20"/>
          <w:lang w:eastAsia="es-ES_tradnl"/>
        </w:rPr>
        <w:t xml:space="preserve">election of </w:t>
      </w:r>
      <w:r w:rsidR="000B125D" w:rsidRPr="008A7BD7">
        <w:rPr>
          <w:rFonts w:ascii="Cambria" w:eastAsia="Times New Roman" w:hAnsi="Cambria" w:cs="Times New Roman"/>
          <w:color w:val="000000" w:themeColor="text1"/>
          <w:sz w:val="20"/>
          <w:szCs w:val="20"/>
          <w:lang w:eastAsia="es-ES_tradnl"/>
        </w:rPr>
        <w:t>judges being among them</w:t>
      </w:r>
      <w:r w:rsidR="006D3476" w:rsidRPr="008A7BD7">
        <w:rPr>
          <w:rFonts w:ascii="Cambria" w:eastAsia="Times New Roman" w:hAnsi="Cambria" w:cs="Times New Roman"/>
          <w:color w:val="000000" w:themeColor="text1"/>
          <w:sz w:val="20"/>
          <w:szCs w:val="20"/>
          <w:lang w:eastAsia="es-ES_tradnl"/>
        </w:rPr>
        <w:t>.</w:t>
      </w:r>
      <w:r w:rsidR="00C56230" w:rsidRPr="008A7BD7">
        <w:rPr>
          <w:rFonts w:ascii="Cambria" w:eastAsia="Montserrat" w:hAnsi="Cambria" w:cs="Montserrat"/>
          <w:sz w:val="20"/>
          <w:szCs w:val="20"/>
        </w:rPr>
        <w:t>”</w:t>
      </w:r>
      <w:r w:rsidR="000B125D" w:rsidRPr="008A7BD7">
        <w:rPr>
          <w:rFonts w:ascii="Cambria" w:eastAsia="Montserrat" w:hAnsi="Cambria" w:cs="Montserrat"/>
          <w:sz w:val="20"/>
          <w:szCs w:val="20"/>
        </w:rPr>
        <w:t xml:space="preserve"> Accordingly</w:t>
      </w:r>
      <w:r w:rsidR="006D3476" w:rsidRPr="008A7BD7">
        <w:rPr>
          <w:rFonts w:ascii="Cambria" w:eastAsia="Montserrat" w:hAnsi="Cambria" w:cs="Montserrat"/>
          <w:sz w:val="20"/>
          <w:szCs w:val="20"/>
        </w:rPr>
        <w:t xml:space="preserve">, from May 2020 through August 2021, Congress has included the matter of </w:t>
      </w:r>
      <w:r w:rsidR="000B125D" w:rsidRPr="008A7BD7">
        <w:rPr>
          <w:rFonts w:ascii="Cambria" w:eastAsia="Montserrat" w:hAnsi="Cambria" w:cs="Montserrat"/>
          <w:sz w:val="20"/>
          <w:szCs w:val="20"/>
        </w:rPr>
        <w:t>s</w:t>
      </w:r>
      <w:r w:rsidR="006D3476" w:rsidRPr="008A7BD7">
        <w:rPr>
          <w:rFonts w:ascii="Cambria" w:eastAsia="Montserrat" w:hAnsi="Cambria" w:cs="Montserrat"/>
          <w:sz w:val="20"/>
          <w:szCs w:val="20"/>
        </w:rPr>
        <w:t xml:space="preserve">election of Supreme Court judges on its agenda at least </w:t>
      </w:r>
      <w:r w:rsidR="00C56230" w:rsidRPr="008A7BD7">
        <w:rPr>
          <w:rFonts w:ascii="Cambria" w:eastAsia="Montserrat" w:hAnsi="Cambria" w:cs="Montserrat"/>
          <w:sz w:val="20"/>
          <w:szCs w:val="20"/>
        </w:rPr>
        <w:t xml:space="preserve">17 </w:t>
      </w:r>
      <w:r w:rsidR="00ED43EE" w:rsidRPr="008A7BD7">
        <w:rPr>
          <w:rFonts w:ascii="Cambria" w:eastAsia="Montserrat" w:hAnsi="Cambria" w:cs="Montserrat"/>
          <w:sz w:val="20"/>
          <w:szCs w:val="20"/>
        </w:rPr>
        <w:t xml:space="preserve">times, in compliance with the unappealable </w:t>
      </w:r>
      <w:r w:rsidR="00ED43EE" w:rsidRPr="008A7BD7">
        <w:rPr>
          <w:rFonts w:ascii="Cambria" w:eastAsia="Montserrat" w:hAnsi="Cambria" w:cs="Montserrat"/>
          <w:i/>
          <w:iCs/>
          <w:sz w:val="20"/>
          <w:szCs w:val="20"/>
        </w:rPr>
        <w:t>amparo</w:t>
      </w:r>
      <w:r w:rsidR="00ED43EE" w:rsidRPr="008A7BD7">
        <w:rPr>
          <w:rFonts w:ascii="Cambria" w:eastAsia="Montserrat" w:hAnsi="Cambria" w:cs="Montserrat"/>
          <w:sz w:val="20"/>
          <w:szCs w:val="20"/>
        </w:rPr>
        <w:t xml:space="preserve"> judgment handed down by the </w:t>
      </w:r>
      <w:r w:rsidR="000C1B99" w:rsidRPr="008A7BD7">
        <w:rPr>
          <w:rFonts w:ascii="Cambria" w:eastAsia="Montserrat" w:hAnsi="Cambria" w:cs="Montserrat"/>
          <w:sz w:val="20"/>
          <w:szCs w:val="20"/>
        </w:rPr>
        <w:t xml:space="preserve">seventh chamber of the Constitutional Court by means of case file No. </w:t>
      </w:r>
      <w:r w:rsidR="00C56230" w:rsidRPr="008A7BD7">
        <w:rPr>
          <w:rFonts w:ascii="Cambria" w:eastAsia="Montserrat" w:hAnsi="Cambria" w:cs="Montserrat"/>
          <w:sz w:val="20"/>
          <w:szCs w:val="20"/>
        </w:rPr>
        <w:t>1169-2020</w:t>
      </w:r>
      <w:r w:rsidR="000C1B99" w:rsidRPr="008A7BD7">
        <w:rPr>
          <w:rFonts w:ascii="Cambria" w:eastAsia="Montserrat" w:hAnsi="Cambria" w:cs="Montserrat"/>
          <w:sz w:val="20"/>
          <w:szCs w:val="20"/>
        </w:rPr>
        <w:t>.</w:t>
      </w:r>
      <w:r w:rsidR="00C56230" w:rsidRPr="008A7BD7">
        <w:rPr>
          <w:rStyle w:val="FootnoteReference"/>
          <w:rFonts w:ascii="Cambria" w:eastAsia="Times New Roman" w:hAnsi="Cambria" w:cs="Times New Roman"/>
          <w:color w:val="000000" w:themeColor="text1"/>
          <w:sz w:val="20"/>
          <w:szCs w:val="20"/>
          <w:lang w:val="es-MX" w:eastAsia="es-ES_tradnl"/>
        </w:rPr>
        <w:footnoteReference w:id="65"/>
      </w:r>
    </w:p>
    <w:p w14:paraId="376F58BE" w14:textId="77777777" w:rsidR="003716DC" w:rsidRPr="008A7BD7" w:rsidRDefault="003716DC" w:rsidP="003716DC">
      <w:pPr>
        <w:pStyle w:val="ListParagraph"/>
        <w:rPr>
          <w:rFonts w:ascii="Cambria" w:hAnsi="Cambria" w:cs="Tahoma"/>
          <w:color w:val="000000" w:themeColor="text1"/>
          <w:sz w:val="20"/>
          <w:szCs w:val="20"/>
          <w:shd w:val="clear" w:color="auto" w:fill="FFFFFF"/>
        </w:rPr>
      </w:pPr>
    </w:p>
    <w:p w14:paraId="7C72C70B" w14:textId="492CFBFE" w:rsidR="003716DC" w:rsidRPr="008A7BD7" w:rsidRDefault="00275DCB" w:rsidP="008A2AEC">
      <w:pPr>
        <w:numPr>
          <w:ilvl w:val="0"/>
          <w:numId w:val="2"/>
        </w:numPr>
        <w:ind w:left="0" w:firstLine="720"/>
        <w:jc w:val="both"/>
        <w:rPr>
          <w:rFonts w:ascii="Cambria" w:eastAsia="Times New Roman" w:hAnsi="Cambria" w:cs="Times New Roman"/>
          <w:color w:val="000000" w:themeColor="text1"/>
          <w:sz w:val="20"/>
          <w:szCs w:val="20"/>
          <w:lang w:eastAsia="es-ES_tradnl"/>
        </w:rPr>
      </w:pPr>
      <w:r w:rsidRPr="008A7BD7">
        <w:rPr>
          <w:rFonts w:ascii="Cambria" w:hAnsi="Cambria" w:cs="Tahoma"/>
          <w:color w:val="000000" w:themeColor="text1"/>
          <w:sz w:val="20"/>
          <w:szCs w:val="20"/>
          <w:shd w:val="clear" w:color="auto" w:fill="FFFFFF"/>
        </w:rPr>
        <w:t xml:space="preserve">The IACHR calls on the State of Guatemala to ensure the continuation of the process to </w:t>
      </w:r>
      <w:r w:rsidR="00297324" w:rsidRPr="008A7BD7">
        <w:rPr>
          <w:rFonts w:ascii="Cambria" w:hAnsi="Cambria" w:cs="Tahoma"/>
          <w:color w:val="000000" w:themeColor="text1"/>
          <w:sz w:val="20"/>
          <w:szCs w:val="20"/>
          <w:shd w:val="clear" w:color="auto" w:fill="FFFFFF"/>
        </w:rPr>
        <w:t>s</w:t>
      </w:r>
      <w:r w:rsidRPr="008A7BD7">
        <w:rPr>
          <w:rFonts w:ascii="Cambria" w:hAnsi="Cambria" w:cs="Tahoma"/>
          <w:color w:val="000000" w:themeColor="text1"/>
          <w:sz w:val="20"/>
          <w:szCs w:val="20"/>
          <w:shd w:val="clear" w:color="auto" w:fill="FFFFFF"/>
        </w:rPr>
        <w:t xml:space="preserve">elect </w:t>
      </w:r>
      <w:r w:rsidR="001F2155" w:rsidRPr="008A7BD7">
        <w:rPr>
          <w:rFonts w:ascii="Cambria" w:hAnsi="Cambria" w:cs="Tahoma"/>
          <w:color w:val="000000" w:themeColor="text1"/>
          <w:sz w:val="20"/>
          <w:szCs w:val="20"/>
          <w:shd w:val="clear" w:color="auto" w:fill="FFFFFF"/>
        </w:rPr>
        <w:t>members</w:t>
      </w:r>
      <w:r w:rsidRPr="008A7BD7">
        <w:rPr>
          <w:rFonts w:ascii="Cambria" w:hAnsi="Cambria" w:cs="Tahoma"/>
          <w:color w:val="000000" w:themeColor="text1"/>
          <w:sz w:val="20"/>
          <w:szCs w:val="20"/>
          <w:shd w:val="clear" w:color="auto" w:fill="FFFFFF"/>
        </w:rPr>
        <w:t xml:space="preserve"> of the High Court</w:t>
      </w:r>
      <w:r w:rsidR="00297324" w:rsidRPr="008A7BD7">
        <w:rPr>
          <w:rFonts w:ascii="Cambria" w:hAnsi="Cambria" w:cs="Tahoma"/>
          <w:color w:val="000000" w:themeColor="text1"/>
          <w:sz w:val="20"/>
          <w:szCs w:val="20"/>
          <w:shd w:val="clear" w:color="auto" w:fill="FFFFFF"/>
        </w:rPr>
        <w:t>s</w:t>
      </w:r>
      <w:r w:rsidRPr="008A7BD7">
        <w:rPr>
          <w:rFonts w:ascii="Cambria" w:hAnsi="Cambria" w:cs="Tahoma"/>
          <w:color w:val="000000" w:themeColor="text1"/>
          <w:sz w:val="20"/>
          <w:szCs w:val="20"/>
          <w:shd w:val="clear" w:color="auto" w:fill="FFFFFF"/>
        </w:rPr>
        <w:t xml:space="preserve"> in compliance with the judgment ordered by the </w:t>
      </w:r>
      <w:r w:rsidR="00297324" w:rsidRPr="008A7BD7">
        <w:rPr>
          <w:rFonts w:ascii="Cambria" w:eastAsia="Times New Roman" w:hAnsi="Cambria" w:cs="Tahoma"/>
          <w:color w:val="000000"/>
          <w:sz w:val="20"/>
          <w:szCs w:val="20"/>
          <w:shd w:val="clear" w:color="auto" w:fill="FFFFFF"/>
          <w:lang w:eastAsia="es-ES"/>
        </w:rPr>
        <w:t>Constitutional Court</w:t>
      </w:r>
      <w:r w:rsidR="003716DC" w:rsidRPr="008A7BD7">
        <w:rPr>
          <w:rFonts w:ascii="Cambria" w:hAnsi="Cambria" w:cs="Tahoma"/>
          <w:color w:val="000000" w:themeColor="text1"/>
          <w:sz w:val="20"/>
          <w:szCs w:val="20"/>
          <w:shd w:val="clear" w:color="auto" w:fill="FFFFFF"/>
        </w:rPr>
        <w:t xml:space="preserve">. </w:t>
      </w:r>
      <w:r w:rsidRPr="008A7BD7">
        <w:rPr>
          <w:rFonts w:ascii="Cambria" w:hAnsi="Cambria" w:cs="Tahoma"/>
          <w:color w:val="000000" w:themeColor="text1"/>
          <w:sz w:val="20"/>
          <w:szCs w:val="20"/>
          <w:shd w:val="clear" w:color="auto" w:fill="FFFFFF"/>
        </w:rPr>
        <w:t>It also calls to mind that a</w:t>
      </w:r>
      <w:r w:rsidR="001F5126" w:rsidRPr="008A7BD7">
        <w:rPr>
          <w:rFonts w:ascii="Cambria" w:hAnsi="Cambria" w:cs="Tahoma"/>
          <w:color w:val="000000" w:themeColor="text1"/>
          <w:sz w:val="20"/>
          <w:szCs w:val="20"/>
          <w:shd w:val="clear" w:color="auto" w:fill="FFFFFF"/>
        </w:rPr>
        <w:t>n</w:t>
      </w:r>
      <w:r w:rsidRPr="008A7BD7">
        <w:rPr>
          <w:rFonts w:ascii="Cambria" w:hAnsi="Cambria" w:cs="Tahoma"/>
          <w:color w:val="000000" w:themeColor="text1"/>
          <w:sz w:val="20"/>
          <w:szCs w:val="20"/>
          <w:shd w:val="clear" w:color="auto" w:fill="FFFFFF"/>
        </w:rPr>
        <w:t xml:space="preserve"> </w:t>
      </w:r>
      <w:r w:rsidR="001F5126" w:rsidRPr="008A7BD7">
        <w:rPr>
          <w:rFonts w:ascii="Cambria" w:hAnsi="Cambria" w:cs="Tahoma"/>
          <w:color w:val="000000" w:themeColor="text1"/>
          <w:sz w:val="20"/>
          <w:szCs w:val="20"/>
          <w:shd w:val="clear" w:color="auto" w:fill="FFFFFF"/>
        </w:rPr>
        <w:t xml:space="preserve">adequate </w:t>
      </w:r>
      <w:r w:rsidR="001F2155" w:rsidRPr="008A7BD7">
        <w:rPr>
          <w:rFonts w:ascii="Cambria" w:hAnsi="Cambria" w:cs="Tahoma"/>
          <w:color w:val="000000" w:themeColor="text1"/>
          <w:sz w:val="20"/>
          <w:szCs w:val="20"/>
          <w:shd w:val="clear" w:color="auto" w:fill="FFFFFF"/>
        </w:rPr>
        <w:t xml:space="preserve">selection and appointment </w:t>
      </w:r>
      <w:r w:rsidRPr="008A7BD7">
        <w:rPr>
          <w:rFonts w:ascii="Cambria" w:hAnsi="Cambria" w:cs="Tahoma"/>
          <w:color w:val="000000" w:themeColor="text1"/>
          <w:sz w:val="20"/>
          <w:szCs w:val="20"/>
          <w:shd w:val="clear" w:color="auto" w:fill="FFFFFF"/>
        </w:rPr>
        <w:t>process</w:t>
      </w:r>
      <w:r w:rsidR="001F2155" w:rsidRPr="008A7BD7">
        <w:rPr>
          <w:rFonts w:ascii="Cambria" w:hAnsi="Cambria" w:cs="Tahoma"/>
          <w:color w:val="000000" w:themeColor="text1"/>
          <w:sz w:val="20"/>
          <w:szCs w:val="20"/>
          <w:shd w:val="clear" w:color="auto" w:fill="FFFFFF"/>
        </w:rPr>
        <w:t xml:space="preserve"> is a</w:t>
      </w:r>
      <w:r w:rsidR="00297324" w:rsidRPr="008A7BD7">
        <w:rPr>
          <w:rFonts w:ascii="Cambria" w:hAnsi="Cambria" w:cs="Tahoma"/>
          <w:color w:val="000000" w:themeColor="text1"/>
          <w:sz w:val="20"/>
          <w:szCs w:val="20"/>
          <w:shd w:val="clear" w:color="auto" w:fill="FFFFFF"/>
        </w:rPr>
        <w:t xml:space="preserve"> </w:t>
      </w:r>
      <w:r w:rsidR="001F2155" w:rsidRPr="008A7BD7">
        <w:rPr>
          <w:rFonts w:ascii="Cambria" w:hAnsi="Cambria" w:cs="Tahoma"/>
          <w:color w:val="000000" w:themeColor="text1"/>
          <w:sz w:val="20"/>
          <w:szCs w:val="20"/>
          <w:shd w:val="clear" w:color="auto" w:fill="FFFFFF"/>
        </w:rPr>
        <w:t xml:space="preserve">condition </w:t>
      </w:r>
      <w:r w:rsidR="001F2155" w:rsidRPr="008A7BD7">
        <w:rPr>
          <w:rFonts w:ascii="Cambria" w:hAnsi="Cambria" w:cs="Tahoma"/>
          <w:i/>
          <w:iCs/>
          <w:color w:val="000000" w:themeColor="text1"/>
          <w:sz w:val="20"/>
          <w:szCs w:val="20"/>
          <w:shd w:val="clear" w:color="auto" w:fill="FFFFFF"/>
        </w:rPr>
        <w:t>sine qua non</w:t>
      </w:r>
      <w:r w:rsidR="001F2155" w:rsidRPr="008A7BD7">
        <w:rPr>
          <w:rFonts w:ascii="Cambria" w:hAnsi="Cambria" w:cs="Tahoma"/>
          <w:color w:val="000000" w:themeColor="text1"/>
          <w:sz w:val="20"/>
          <w:szCs w:val="20"/>
          <w:shd w:val="clear" w:color="auto" w:fill="FFFFFF"/>
        </w:rPr>
        <w:t xml:space="preserve"> for</w:t>
      </w:r>
      <w:r w:rsidRPr="008A7BD7">
        <w:rPr>
          <w:rFonts w:ascii="Cambria" w:hAnsi="Cambria" w:cs="Tahoma"/>
          <w:color w:val="000000" w:themeColor="text1"/>
          <w:sz w:val="20"/>
          <w:szCs w:val="20"/>
          <w:shd w:val="clear" w:color="auto" w:fill="FFFFFF"/>
        </w:rPr>
        <w:t xml:space="preserve"> </w:t>
      </w:r>
      <w:r w:rsidR="007209C1" w:rsidRPr="008A7BD7">
        <w:rPr>
          <w:rFonts w:ascii="Cambria" w:hAnsi="Cambria" w:cs="Tahoma"/>
          <w:color w:val="000000" w:themeColor="text1"/>
          <w:sz w:val="20"/>
          <w:szCs w:val="20"/>
          <w:shd w:val="clear" w:color="auto" w:fill="FFFFFF"/>
        </w:rPr>
        <w:t>ensuring</w:t>
      </w:r>
      <w:r w:rsidR="001F2155" w:rsidRPr="008A7BD7">
        <w:rPr>
          <w:rFonts w:ascii="Cambria" w:hAnsi="Cambria" w:cs="Tahoma"/>
          <w:color w:val="000000" w:themeColor="text1"/>
          <w:sz w:val="20"/>
          <w:szCs w:val="20"/>
          <w:shd w:val="clear" w:color="auto" w:fill="FFFFFF"/>
        </w:rPr>
        <w:t xml:space="preserve"> the independence of justice operators. In its report Guarantees for the Independence of Justice Operators, the Commission laid out the guarantees that must be observed in the selection and appointment process</w:t>
      </w:r>
      <w:r w:rsidR="003716DC" w:rsidRPr="008A7BD7">
        <w:rPr>
          <w:rFonts w:ascii="Cambria" w:hAnsi="Cambria" w:cs="Tahoma"/>
          <w:color w:val="000000" w:themeColor="text1"/>
          <w:sz w:val="20"/>
          <w:szCs w:val="20"/>
          <w:shd w:val="clear" w:color="auto" w:fill="FFFFFF"/>
        </w:rPr>
        <w:t>.</w:t>
      </w:r>
      <w:r w:rsidR="001F2155" w:rsidRPr="008A7BD7">
        <w:rPr>
          <w:rFonts w:ascii="Cambria" w:hAnsi="Cambria" w:cs="Tahoma"/>
          <w:color w:val="000000" w:themeColor="text1"/>
          <w:sz w:val="20"/>
          <w:szCs w:val="20"/>
          <w:shd w:val="clear" w:color="auto" w:fill="FFFFFF"/>
        </w:rPr>
        <w:t xml:space="preserve"> It also stressed that the goal of any selection and appointment process must be to select candidates based on personal merit and professional qualifications, </w:t>
      </w:r>
      <w:proofErr w:type="gramStart"/>
      <w:r w:rsidR="001F2155" w:rsidRPr="008A7BD7">
        <w:rPr>
          <w:rFonts w:ascii="Cambria" w:hAnsi="Cambria" w:cs="Tahoma"/>
          <w:color w:val="000000" w:themeColor="text1"/>
          <w:sz w:val="20"/>
          <w:szCs w:val="20"/>
          <w:shd w:val="clear" w:color="auto" w:fill="FFFFFF"/>
        </w:rPr>
        <w:t>taking into</w:t>
      </w:r>
      <w:r w:rsidR="00DF64EF" w:rsidRPr="008A7BD7">
        <w:rPr>
          <w:rFonts w:ascii="Cambria" w:hAnsi="Cambria" w:cs="Tahoma"/>
          <w:color w:val="000000" w:themeColor="text1"/>
          <w:sz w:val="20"/>
          <w:szCs w:val="20"/>
          <w:shd w:val="clear" w:color="auto" w:fill="FFFFFF"/>
        </w:rPr>
        <w:t xml:space="preserve"> account</w:t>
      </w:r>
      <w:proofErr w:type="gramEnd"/>
      <w:r w:rsidR="00DF64EF" w:rsidRPr="008A7BD7">
        <w:rPr>
          <w:rFonts w:ascii="Cambria" w:hAnsi="Cambria" w:cs="Tahoma"/>
          <w:color w:val="000000" w:themeColor="text1"/>
          <w:sz w:val="20"/>
          <w:szCs w:val="20"/>
          <w:shd w:val="clear" w:color="auto" w:fill="FFFFFF"/>
        </w:rPr>
        <w:t xml:space="preserve"> the singular and specific nature of the duties to be performed</w:t>
      </w:r>
      <w:r w:rsidR="003716DC" w:rsidRPr="008A7BD7">
        <w:rPr>
          <w:rFonts w:ascii="Cambria" w:hAnsi="Cambria" w:cs="Tahoma"/>
          <w:color w:val="000000" w:themeColor="text1"/>
          <w:sz w:val="20"/>
          <w:szCs w:val="20"/>
          <w:shd w:val="clear" w:color="auto" w:fill="FFFFFF"/>
        </w:rPr>
        <w:t>.</w:t>
      </w:r>
      <w:r w:rsidR="00DF64EF" w:rsidRPr="008A7BD7">
        <w:rPr>
          <w:rFonts w:ascii="Cambria" w:hAnsi="Cambria" w:cs="Tahoma"/>
          <w:color w:val="000000" w:themeColor="text1"/>
          <w:sz w:val="20"/>
          <w:szCs w:val="20"/>
          <w:shd w:val="clear" w:color="auto" w:fill="FFFFFF"/>
        </w:rPr>
        <w:t xml:space="preserve"> To that end, it is essential for there to be </w:t>
      </w:r>
      <w:r w:rsidR="005712C2" w:rsidRPr="008A7BD7">
        <w:rPr>
          <w:rFonts w:ascii="Cambria" w:hAnsi="Cambria" w:cs="Tahoma"/>
          <w:color w:val="000000" w:themeColor="text1"/>
          <w:sz w:val="20"/>
          <w:szCs w:val="20"/>
          <w:shd w:val="clear" w:color="auto" w:fill="FFFFFF"/>
        </w:rPr>
        <w:t>predetermined</w:t>
      </w:r>
      <w:r w:rsidR="00DF64EF" w:rsidRPr="008A7BD7">
        <w:rPr>
          <w:rFonts w:ascii="Cambria" w:hAnsi="Cambria" w:cs="Tahoma"/>
          <w:color w:val="000000" w:themeColor="text1"/>
          <w:sz w:val="20"/>
          <w:szCs w:val="20"/>
          <w:shd w:val="clear" w:color="auto" w:fill="FFFFFF"/>
        </w:rPr>
        <w:t>, objective criteria</w:t>
      </w:r>
      <w:r w:rsidR="003716DC" w:rsidRPr="008A7BD7">
        <w:rPr>
          <w:rFonts w:ascii="Cambria" w:hAnsi="Cambria" w:cs="Tahoma"/>
          <w:color w:val="000000" w:themeColor="text1"/>
          <w:sz w:val="20"/>
          <w:szCs w:val="20"/>
          <w:shd w:val="clear" w:color="auto" w:fill="FFFFFF"/>
        </w:rPr>
        <w:t xml:space="preserve"> </w:t>
      </w:r>
      <w:r w:rsidR="00DF64EF" w:rsidRPr="008A7BD7">
        <w:rPr>
          <w:rFonts w:ascii="Cambria" w:hAnsi="Cambria" w:cs="Tahoma"/>
          <w:color w:val="000000" w:themeColor="text1"/>
          <w:sz w:val="20"/>
          <w:szCs w:val="20"/>
          <w:shd w:val="clear" w:color="auto" w:fill="FFFFFF"/>
        </w:rPr>
        <w:t xml:space="preserve">to assess and evaluate </w:t>
      </w:r>
      <w:r w:rsidR="00DF64EF" w:rsidRPr="008A7BD7">
        <w:rPr>
          <w:rFonts w:ascii="Cambria" w:hAnsi="Cambria" w:cs="Tahoma"/>
          <w:color w:val="000000" w:themeColor="text1"/>
          <w:sz w:val="20"/>
          <w:szCs w:val="20"/>
          <w:shd w:val="clear" w:color="auto" w:fill="FFFFFF"/>
        </w:rPr>
        <w:lastRenderedPageBreak/>
        <w:t xml:space="preserve">candidates </w:t>
      </w:r>
      <w:r w:rsidR="004A18DA" w:rsidRPr="008A7BD7">
        <w:rPr>
          <w:rFonts w:ascii="Cambria" w:hAnsi="Cambria" w:cs="Tahoma"/>
          <w:color w:val="000000" w:themeColor="text1"/>
          <w:sz w:val="20"/>
          <w:szCs w:val="20"/>
          <w:shd w:val="clear" w:color="auto" w:fill="FFFFFF"/>
        </w:rPr>
        <w:t xml:space="preserve">in order </w:t>
      </w:r>
      <w:r w:rsidR="00573A3B" w:rsidRPr="008A7BD7">
        <w:rPr>
          <w:rFonts w:ascii="Cambria" w:hAnsi="Cambria" w:cs="Tahoma"/>
          <w:color w:val="000000" w:themeColor="text1"/>
          <w:sz w:val="20"/>
          <w:szCs w:val="20"/>
          <w:shd w:val="clear" w:color="auto" w:fill="FFFFFF"/>
        </w:rPr>
        <w:t>avoid</w:t>
      </w:r>
      <w:r w:rsidR="004A18DA" w:rsidRPr="008A7BD7">
        <w:rPr>
          <w:rFonts w:ascii="Cambria" w:hAnsi="Cambria" w:cs="Tahoma"/>
          <w:color w:val="000000" w:themeColor="text1"/>
          <w:sz w:val="20"/>
          <w:szCs w:val="20"/>
          <w:shd w:val="clear" w:color="auto" w:fill="FFFFFF"/>
        </w:rPr>
        <w:t xml:space="preserve"> </w:t>
      </w:r>
      <w:r w:rsidR="00467F76" w:rsidRPr="008A7BD7">
        <w:rPr>
          <w:rFonts w:ascii="Cambria" w:hAnsi="Cambria" w:cs="Tahoma"/>
          <w:color w:val="000000" w:themeColor="text1"/>
          <w:sz w:val="20"/>
          <w:szCs w:val="20"/>
          <w:shd w:val="clear" w:color="auto" w:fill="FFFFFF"/>
        </w:rPr>
        <w:t>a wide margin of discretion</w:t>
      </w:r>
      <w:r w:rsidR="004A18DA" w:rsidRPr="008A7BD7">
        <w:rPr>
          <w:rFonts w:ascii="Cambria" w:hAnsi="Cambria" w:cs="Tahoma"/>
          <w:color w:val="000000" w:themeColor="text1"/>
          <w:sz w:val="20"/>
          <w:szCs w:val="20"/>
          <w:shd w:val="clear" w:color="auto" w:fill="FFFFFF"/>
        </w:rPr>
        <w:t xml:space="preserve"> on the part of the institutions involved in the selection process.</w:t>
      </w:r>
      <w:r w:rsidR="002707EB" w:rsidRPr="008A7BD7">
        <w:rPr>
          <w:rStyle w:val="FootnoteReference"/>
          <w:rFonts w:ascii="Cambria" w:hAnsi="Cambria" w:cs="Tahoma"/>
          <w:color w:val="000000" w:themeColor="text1"/>
          <w:sz w:val="20"/>
          <w:szCs w:val="20"/>
          <w:shd w:val="clear" w:color="auto" w:fill="FFFFFF"/>
          <w:lang w:val="es-US"/>
        </w:rPr>
        <w:footnoteReference w:id="66"/>
      </w:r>
    </w:p>
    <w:p w14:paraId="6E542681" w14:textId="77777777" w:rsidR="00706CD2" w:rsidRPr="008A7BD7" w:rsidRDefault="00706CD2" w:rsidP="00706CD2">
      <w:pPr>
        <w:jc w:val="both"/>
        <w:rPr>
          <w:rFonts w:ascii="Cambria" w:eastAsia="Times New Roman" w:hAnsi="Cambria" w:cs="Times New Roman"/>
          <w:color w:val="000000"/>
          <w:sz w:val="20"/>
          <w:szCs w:val="20"/>
          <w:lang w:eastAsia="es-ES_tradnl"/>
        </w:rPr>
      </w:pPr>
    </w:p>
    <w:p w14:paraId="2D560865" w14:textId="150A92F7" w:rsidR="00706CD2" w:rsidRPr="008A7BD7" w:rsidRDefault="00573A3B" w:rsidP="619B26BC">
      <w:pPr>
        <w:jc w:val="both"/>
        <w:rPr>
          <w:rFonts w:ascii="Cambria" w:eastAsia="Times New Roman" w:hAnsi="Cambria" w:cs="Times New Roman"/>
          <w:b/>
          <w:bCs/>
          <w:i/>
          <w:iCs/>
          <w:color w:val="000000"/>
          <w:sz w:val="20"/>
          <w:szCs w:val="20"/>
          <w:lang w:eastAsia="es-ES"/>
        </w:rPr>
      </w:pPr>
      <w:r w:rsidRPr="008A7BD7">
        <w:rPr>
          <w:rFonts w:ascii="Cambria" w:eastAsia="Times New Roman" w:hAnsi="Cambria" w:cs="Times New Roman"/>
          <w:b/>
          <w:bCs/>
          <w:i/>
          <w:iCs/>
          <w:color w:val="000000" w:themeColor="text1"/>
          <w:sz w:val="20"/>
          <w:szCs w:val="20"/>
          <w:lang w:eastAsia="es-ES"/>
        </w:rPr>
        <w:t>Office of the Public Prosecutor (</w:t>
      </w:r>
      <w:proofErr w:type="spellStart"/>
      <w:r w:rsidRPr="008A7BD7">
        <w:rPr>
          <w:rFonts w:ascii="Cambria" w:eastAsia="Times New Roman" w:hAnsi="Cambria" w:cs="Times New Roman"/>
          <w:b/>
          <w:bCs/>
          <w:i/>
          <w:iCs/>
          <w:color w:val="000000" w:themeColor="text1"/>
          <w:sz w:val="20"/>
          <w:szCs w:val="20"/>
          <w:lang w:eastAsia="es-ES"/>
        </w:rPr>
        <w:t>Ministerio</w:t>
      </w:r>
      <w:proofErr w:type="spellEnd"/>
      <w:r w:rsidRPr="008A7BD7">
        <w:rPr>
          <w:rFonts w:ascii="Cambria" w:eastAsia="Times New Roman" w:hAnsi="Cambria" w:cs="Times New Roman"/>
          <w:b/>
          <w:bCs/>
          <w:i/>
          <w:iCs/>
          <w:color w:val="000000" w:themeColor="text1"/>
          <w:sz w:val="20"/>
          <w:szCs w:val="20"/>
          <w:lang w:eastAsia="es-ES"/>
        </w:rPr>
        <w:t xml:space="preserve"> </w:t>
      </w:r>
      <w:proofErr w:type="spellStart"/>
      <w:r w:rsidRPr="008A7BD7">
        <w:rPr>
          <w:rFonts w:ascii="Cambria" w:eastAsia="Times New Roman" w:hAnsi="Cambria" w:cs="Times New Roman"/>
          <w:b/>
          <w:bCs/>
          <w:i/>
          <w:iCs/>
          <w:color w:val="000000" w:themeColor="text1"/>
          <w:sz w:val="20"/>
          <w:szCs w:val="20"/>
          <w:lang w:eastAsia="es-ES"/>
        </w:rPr>
        <w:t>Público</w:t>
      </w:r>
      <w:proofErr w:type="spellEnd"/>
      <w:r w:rsidRPr="008A7BD7">
        <w:rPr>
          <w:rFonts w:ascii="Cambria" w:eastAsia="Times New Roman" w:hAnsi="Cambria" w:cs="Times New Roman"/>
          <w:b/>
          <w:bCs/>
          <w:i/>
          <w:iCs/>
          <w:color w:val="000000" w:themeColor="text1"/>
          <w:sz w:val="20"/>
          <w:szCs w:val="20"/>
          <w:lang w:eastAsia="es-ES"/>
        </w:rPr>
        <w:t>)</w:t>
      </w:r>
    </w:p>
    <w:p w14:paraId="588CC2F6" w14:textId="77777777" w:rsidR="00706CD2" w:rsidRPr="008A7BD7" w:rsidRDefault="00706CD2" w:rsidP="00706CD2">
      <w:pPr>
        <w:suppressAutoHyphens/>
        <w:ind w:left="720"/>
        <w:jc w:val="both"/>
        <w:rPr>
          <w:rFonts w:ascii="Cambria" w:eastAsia="Times New Roman" w:hAnsi="Cambria" w:cs="Arial"/>
          <w:b/>
          <w:bCs/>
          <w:sz w:val="20"/>
          <w:szCs w:val="20"/>
        </w:rPr>
      </w:pPr>
    </w:p>
    <w:p w14:paraId="63E58155" w14:textId="080D3A1B" w:rsidR="00271D8A" w:rsidRPr="008A7BD7" w:rsidRDefault="00BF07E1" w:rsidP="008A2AEC">
      <w:pPr>
        <w:numPr>
          <w:ilvl w:val="0"/>
          <w:numId w:val="2"/>
        </w:numPr>
        <w:ind w:left="0" w:firstLine="720"/>
        <w:jc w:val="both"/>
        <w:rPr>
          <w:rFonts w:ascii="Cambria" w:eastAsia="Times New Roman" w:hAnsi="Cambria" w:cs="Arial"/>
          <w:b/>
          <w:bCs/>
          <w:sz w:val="20"/>
          <w:szCs w:val="20"/>
          <w:lang w:eastAsia="es-ES_tradnl"/>
        </w:rPr>
      </w:pPr>
      <w:r w:rsidRPr="008A7BD7">
        <w:rPr>
          <w:rFonts w:ascii="Cambria" w:eastAsia="Times New Roman" w:hAnsi="Cambria" w:cs="Times New Roman"/>
          <w:color w:val="000000" w:themeColor="text1"/>
          <w:sz w:val="20"/>
          <w:szCs w:val="20"/>
          <w:lang w:eastAsia="es-ES"/>
        </w:rPr>
        <w:t xml:space="preserve">This year, the IACHR received troubling information regarding systematic actions taken by the Attorney General that call into question her obligation to combat impunity in the country. These include the arbitrary dismissal of the head of the </w:t>
      </w:r>
      <w:r w:rsidR="00706CD2" w:rsidRPr="008A7BD7">
        <w:rPr>
          <w:rFonts w:ascii="Cambria" w:eastAsia="Times New Roman" w:hAnsi="Cambria" w:cs="Times New Roman"/>
          <w:color w:val="000000" w:themeColor="text1"/>
          <w:sz w:val="20"/>
          <w:szCs w:val="20"/>
          <w:lang w:eastAsia="es-ES"/>
        </w:rPr>
        <w:t>FECI</w:t>
      </w:r>
      <w:r w:rsidRPr="008A7BD7">
        <w:rPr>
          <w:rFonts w:ascii="Cambria" w:eastAsia="Times New Roman" w:hAnsi="Cambria" w:cs="Times New Roman"/>
          <w:color w:val="000000" w:themeColor="text1"/>
          <w:sz w:val="20"/>
          <w:szCs w:val="20"/>
          <w:lang w:eastAsia="es-ES"/>
        </w:rPr>
        <w:t>;</w:t>
      </w:r>
      <w:r w:rsidR="00706CD2" w:rsidRPr="008A7BD7">
        <w:rPr>
          <w:rFonts w:ascii="Cambria" w:eastAsia="Times New Roman" w:hAnsi="Cambria" w:cs="Times New Roman"/>
          <w:color w:val="000000" w:themeColor="text1"/>
          <w:sz w:val="20"/>
          <w:szCs w:val="20"/>
          <w:lang w:eastAsia="es-ES"/>
        </w:rPr>
        <w:t xml:space="preserve"> </w:t>
      </w:r>
      <w:r w:rsidRPr="008A7BD7">
        <w:rPr>
          <w:rFonts w:ascii="Cambria" w:eastAsia="Times New Roman" w:hAnsi="Cambria" w:cs="Times New Roman"/>
          <w:color w:val="000000" w:themeColor="text1"/>
          <w:sz w:val="20"/>
          <w:szCs w:val="20"/>
          <w:lang w:eastAsia="es-ES"/>
        </w:rPr>
        <w:t xml:space="preserve">patterns of practice and manipulation of criminal law to bring criminal charges against independent justice operators; and, as will be analyzed next, a series of actions that represent a </w:t>
      </w:r>
      <w:r w:rsidR="00D3237C" w:rsidRPr="008A7BD7">
        <w:rPr>
          <w:rFonts w:ascii="Cambria" w:eastAsia="Times New Roman" w:hAnsi="Cambria" w:cs="Times New Roman"/>
          <w:color w:val="000000" w:themeColor="text1"/>
          <w:sz w:val="20"/>
          <w:szCs w:val="20"/>
          <w:lang w:eastAsia="es-ES"/>
        </w:rPr>
        <w:t xml:space="preserve">sharp setback in the fight against corruption and impunity in </w:t>
      </w:r>
      <w:r w:rsidR="00706CD2" w:rsidRPr="008A7BD7">
        <w:rPr>
          <w:rFonts w:ascii="Cambria" w:eastAsia="Times New Roman" w:hAnsi="Cambria" w:cs="Arial"/>
          <w:sz w:val="20"/>
          <w:szCs w:val="20"/>
          <w:lang w:eastAsia="es-ES"/>
        </w:rPr>
        <w:t>Guatemala.</w:t>
      </w:r>
      <w:r w:rsidR="00271D8A" w:rsidRPr="008A7BD7">
        <w:rPr>
          <w:rFonts w:ascii="Cambria" w:eastAsia="Times New Roman" w:hAnsi="Cambria" w:cs="Arial"/>
          <w:b/>
          <w:bCs/>
          <w:sz w:val="20"/>
          <w:szCs w:val="20"/>
          <w:lang w:eastAsia="es-ES_tradnl"/>
        </w:rPr>
        <w:t xml:space="preserve"> </w:t>
      </w:r>
    </w:p>
    <w:p w14:paraId="5F635D4A" w14:textId="77777777" w:rsidR="00271D8A" w:rsidRPr="008A7BD7" w:rsidRDefault="00271D8A" w:rsidP="00271D8A">
      <w:pPr>
        <w:ind w:left="720"/>
        <w:jc w:val="both"/>
        <w:rPr>
          <w:rFonts w:ascii="Cambria" w:eastAsia="Times New Roman" w:hAnsi="Cambria" w:cs="Arial"/>
          <w:b/>
          <w:bCs/>
          <w:sz w:val="20"/>
          <w:szCs w:val="20"/>
          <w:lang w:eastAsia="es-ES_tradnl"/>
        </w:rPr>
      </w:pPr>
    </w:p>
    <w:p w14:paraId="1A03976B" w14:textId="1D08923A" w:rsidR="00706CD2" w:rsidRPr="008A7BD7" w:rsidRDefault="00D3237C" w:rsidP="008A2AEC">
      <w:pPr>
        <w:numPr>
          <w:ilvl w:val="0"/>
          <w:numId w:val="2"/>
        </w:numPr>
        <w:ind w:left="0" w:firstLine="720"/>
        <w:jc w:val="both"/>
        <w:rPr>
          <w:rFonts w:ascii="Cambria" w:eastAsia="Times New Roman" w:hAnsi="Cambria" w:cs="Arial"/>
          <w:b/>
          <w:bCs/>
          <w:sz w:val="20"/>
          <w:szCs w:val="20"/>
          <w:lang w:eastAsia="es-ES_tradnl"/>
        </w:rPr>
      </w:pPr>
      <w:r w:rsidRPr="008A7BD7">
        <w:rPr>
          <w:rFonts w:ascii="Cambria" w:eastAsia="Times New Roman" w:hAnsi="Cambria" w:cs="Arial"/>
          <w:sz w:val="20"/>
          <w:szCs w:val="20"/>
          <w:lang w:eastAsia="es-ES"/>
        </w:rPr>
        <w:t xml:space="preserve">As mentioned </w:t>
      </w:r>
      <w:r w:rsidR="008E437A" w:rsidRPr="008A7BD7">
        <w:rPr>
          <w:rFonts w:ascii="Cambria" w:eastAsia="Times New Roman" w:hAnsi="Cambria" w:cs="Arial"/>
          <w:sz w:val="20"/>
          <w:szCs w:val="20"/>
          <w:lang w:eastAsia="es-ES"/>
        </w:rPr>
        <w:t>above</w:t>
      </w:r>
      <w:r w:rsidRPr="008A7BD7">
        <w:rPr>
          <w:rFonts w:ascii="Cambria" w:eastAsia="Times New Roman" w:hAnsi="Cambria" w:cs="Arial"/>
          <w:sz w:val="20"/>
          <w:szCs w:val="20"/>
          <w:lang w:eastAsia="es-ES"/>
        </w:rPr>
        <w:t xml:space="preserve">, the IACHR expressed its concern over the removal of Special Prosecutor </w:t>
      </w:r>
      <w:r w:rsidR="00706CD2" w:rsidRPr="008A7BD7">
        <w:rPr>
          <w:rFonts w:ascii="Cambria" w:eastAsia="Times New Roman" w:hAnsi="Cambria" w:cs="Tahoma"/>
          <w:color w:val="000000"/>
          <w:sz w:val="20"/>
          <w:szCs w:val="20"/>
          <w:shd w:val="clear" w:color="auto" w:fill="FFFFFF"/>
          <w:lang w:eastAsia="es-ES"/>
        </w:rPr>
        <w:t xml:space="preserve">Juan Francisco Sandoval, </w:t>
      </w:r>
      <w:r w:rsidRPr="008A7BD7">
        <w:rPr>
          <w:rFonts w:ascii="Cambria" w:eastAsia="Times New Roman" w:hAnsi="Cambria" w:cs="Tahoma"/>
          <w:color w:val="000000"/>
          <w:sz w:val="20"/>
          <w:szCs w:val="20"/>
          <w:shd w:val="clear" w:color="auto" w:fill="FFFFFF"/>
          <w:lang w:eastAsia="es-ES"/>
        </w:rPr>
        <w:t xml:space="preserve">ordered by the head of the Public Prosecutor’s Office, </w:t>
      </w:r>
      <w:r w:rsidR="00706CD2" w:rsidRPr="008A7BD7">
        <w:rPr>
          <w:rFonts w:ascii="Cambria" w:eastAsia="Times New Roman" w:hAnsi="Cambria" w:cs="Tahoma"/>
          <w:color w:val="000000"/>
          <w:sz w:val="20"/>
          <w:szCs w:val="20"/>
          <w:shd w:val="clear" w:color="auto" w:fill="FFFFFF"/>
          <w:lang w:eastAsia="es-ES"/>
        </w:rPr>
        <w:t xml:space="preserve">Consuelo Porras, </w:t>
      </w:r>
      <w:r w:rsidRPr="008A7BD7">
        <w:rPr>
          <w:rFonts w:ascii="Cambria" w:eastAsia="Times New Roman" w:hAnsi="Cambria" w:cs="Tahoma"/>
          <w:color w:val="000000"/>
          <w:sz w:val="20"/>
          <w:szCs w:val="20"/>
          <w:shd w:val="clear" w:color="auto" w:fill="FFFFFF"/>
          <w:lang w:eastAsia="es-ES"/>
        </w:rPr>
        <w:t xml:space="preserve">on July </w:t>
      </w:r>
      <w:r w:rsidR="00706CD2" w:rsidRPr="008A7BD7">
        <w:rPr>
          <w:rFonts w:ascii="Cambria" w:eastAsia="Times New Roman" w:hAnsi="Cambria" w:cs="Tahoma"/>
          <w:color w:val="000000"/>
          <w:sz w:val="20"/>
          <w:szCs w:val="20"/>
          <w:shd w:val="clear" w:color="auto" w:fill="FFFFFF"/>
          <w:lang w:eastAsia="es-ES"/>
        </w:rPr>
        <w:t>23</w:t>
      </w:r>
      <w:r w:rsidRPr="008A7BD7">
        <w:rPr>
          <w:rFonts w:ascii="Cambria" w:eastAsia="Times New Roman" w:hAnsi="Cambria" w:cs="Tahoma"/>
          <w:color w:val="000000"/>
          <w:sz w:val="20"/>
          <w:szCs w:val="20"/>
          <w:shd w:val="clear" w:color="auto" w:fill="FFFFFF"/>
          <w:lang w:eastAsia="es-ES"/>
        </w:rPr>
        <w:t xml:space="preserve">, </w:t>
      </w:r>
      <w:r w:rsidR="00706CD2" w:rsidRPr="008A7BD7">
        <w:rPr>
          <w:rFonts w:ascii="Cambria" w:eastAsia="Times New Roman" w:hAnsi="Cambria" w:cs="Tahoma"/>
          <w:color w:val="000000"/>
          <w:sz w:val="20"/>
          <w:szCs w:val="20"/>
          <w:shd w:val="clear" w:color="auto" w:fill="FFFFFF"/>
          <w:lang w:eastAsia="es-ES"/>
        </w:rPr>
        <w:t>2021.</w:t>
      </w:r>
      <w:r w:rsidRPr="008A7BD7">
        <w:rPr>
          <w:rFonts w:ascii="Cambria" w:eastAsia="Times New Roman" w:hAnsi="Cambria" w:cs="Tahoma"/>
          <w:color w:val="000000"/>
          <w:sz w:val="20"/>
          <w:szCs w:val="20"/>
          <w:shd w:val="clear" w:color="auto" w:fill="FFFFFF"/>
          <w:lang w:eastAsia="es-ES"/>
        </w:rPr>
        <w:t xml:space="preserve"> According to </w:t>
      </w:r>
      <w:r w:rsidR="002D0AEE" w:rsidRPr="008A7BD7">
        <w:rPr>
          <w:rFonts w:ascii="Cambria" w:eastAsia="Times New Roman" w:hAnsi="Cambria" w:cs="Tahoma"/>
          <w:color w:val="000000"/>
          <w:sz w:val="20"/>
          <w:szCs w:val="20"/>
          <w:shd w:val="clear" w:color="auto" w:fill="FFFFFF"/>
          <w:lang w:eastAsia="es-ES"/>
        </w:rPr>
        <w:t>information</w:t>
      </w:r>
      <w:r w:rsidRPr="008A7BD7">
        <w:rPr>
          <w:rFonts w:ascii="Cambria" w:eastAsia="Times New Roman" w:hAnsi="Cambria" w:cs="Tahoma"/>
          <w:color w:val="000000"/>
          <w:sz w:val="20"/>
          <w:szCs w:val="20"/>
          <w:shd w:val="clear" w:color="auto" w:fill="FFFFFF"/>
          <w:lang w:eastAsia="es-ES"/>
        </w:rPr>
        <w:t xml:space="preserve"> received by the Commission, this dismissal was arbitrary and illegal, as it failed to meet international standards of due process of law as well as the grounds established in </w:t>
      </w:r>
      <w:r w:rsidR="002D0AEE" w:rsidRPr="008A7BD7">
        <w:rPr>
          <w:rFonts w:ascii="Cambria" w:eastAsia="Times New Roman" w:hAnsi="Cambria" w:cs="Tahoma"/>
          <w:color w:val="000000"/>
          <w:sz w:val="20"/>
          <w:szCs w:val="20"/>
          <w:shd w:val="clear" w:color="auto" w:fill="FFFFFF"/>
          <w:lang w:eastAsia="es-ES"/>
        </w:rPr>
        <w:t>domestic</w:t>
      </w:r>
      <w:r w:rsidRPr="008A7BD7">
        <w:rPr>
          <w:rFonts w:ascii="Cambria" w:eastAsia="Times New Roman" w:hAnsi="Cambria" w:cs="Tahoma"/>
          <w:color w:val="000000"/>
          <w:sz w:val="20"/>
          <w:szCs w:val="20"/>
          <w:shd w:val="clear" w:color="auto" w:fill="FFFFFF"/>
          <w:lang w:eastAsia="es-ES"/>
        </w:rPr>
        <w:t xml:space="preserve"> law for removing career officials from office.</w:t>
      </w:r>
      <w:r w:rsidR="00706CD2" w:rsidRPr="008A7BD7">
        <w:rPr>
          <w:rFonts w:ascii="Cambria" w:eastAsia="Times New Roman" w:hAnsi="Cambria" w:cs="Tahoma"/>
          <w:color w:val="000000"/>
          <w:sz w:val="20"/>
          <w:szCs w:val="20"/>
          <w:shd w:val="clear" w:color="auto" w:fill="FFFFFF"/>
          <w:vertAlign w:val="superscript"/>
          <w:lang w:val="es-US" w:eastAsia="es-ES"/>
        </w:rPr>
        <w:footnoteReference w:id="67"/>
      </w:r>
      <w:r w:rsidRPr="008A7BD7">
        <w:rPr>
          <w:rFonts w:ascii="Cambria" w:eastAsia="Times New Roman" w:hAnsi="Cambria" w:cs="Tahoma"/>
          <w:color w:val="000000"/>
          <w:sz w:val="20"/>
          <w:szCs w:val="20"/>
          <w:shd w:val="clear" w:color="auto" w:fill="FFFFFF"/>
          <w:lang w:eastAsia="es-ES"/>
        </w:rPr>
        <w:t xml:space="preserve"> Former Special Prosecutor</w:t>
      </w:r>
      <w:r w:rsidRPr="008A7BD7">
        <w:rPr>
          <w:rFonts w:ascii="Cambria" w:eastAsia="Times New Roman" w:hAnsi="Cambria" w:cs="Tahoma"/>
          <w:color w:val="000000" w:themeColor="text1"/>
          <w:sz w:val="20"/>
          <w:szCs w:val="20"/>
          <w:lang w:eastAsia="es-ES"/>
        </w:rPr>
        <w:t xml:space="preserve"> </w:t>
      </w:r>
      <w:r w:rsidR="00E61D02" w:rsidRPr="008A7BD7">
        <w:rPr>
          <w:rFonts w:ascii="Cambria" w:eastAsia="Times New Roman" w:hAnsi="Cambria" w:cs="Tahoma"/>
          <w:color w:val="000000" w:themeColor="text1"/>
          <w:sz w:val="20"/>
          <w:szCs w:val="20"/>
          <w:lang w:eastAsia="es-ES"/>
        </w:rPr>
        <w:t xml:space="preserve">Sandoval </w:t>
      </w:r>
      <w:r w:rsidRPr="008A7BD7">
        <w:rPr>
          <w:rFonts w:ascii="Cambria" w:eastAsia="Times New Roman" w:hAnsi="Cambria" w:cs="Tahoma"/>
          <w:color w:val="000000" w:themeColor="text1"/>
          <w:sz w:val="20"/>
          <w:szCs w:val="20"/>
          <w:lang w:eastAsia="es-ES"/>
        </w:rPr>
        <w:t>was forced to leave the country because there were more than</w:t>
      </w:r>
      <w:r w:rsidRPr="008A7BD7">
        <w:rPr>
          <w:rFonts w:ascii="Cambria" w:eastAsia="Times New Roman" w:hAnsi="Cambria" w:cs="Tahoma"/>
          <w:color w:val="000000"/>
          <w:sz w:val="20"/>
          <w:szCs w:val="20"/>
          <w:shd w:val="clear" w:color="auto" w:fill="FFFFFF"/>
          <w:lang w:eastAsia="es-ES"/>
        </w:rPr>
        <w:t xml:space="preserve"> </w:t>
      </w:r>
      <w:r w:rsidR="00706CD2" w:rsidRPr="008A7BD7">
        <w:rPr>
          <w:rFonts w:ascii="Cambria" w:eastAsia="Times New Roman" w:hAnsi="Cambria" w:cs="Arial"/>
          <w:sz w:val="20"/>
          <w:szCs w:val="20"/>
          <w:lang w:eastAsia="es-ES"/>
        </w:rPr>
        <w:t xml:space="preserve">68 </w:t>
      </w:r>
      <w:r w:rsidRPr="008A7BD7">
        <w:rPr>
          <w:rFonts w:ascii="Cambria" w:eastAsia="Times New Roman" w:hAnsi="Cambria" w:cs="Arial"/>
          <w:sz w:val="20"/>
          <w:szCs w:val="20"/>
          <w:lang w:eastAsia="es-ES"/>
        </w:rPr>
        <w:t>complaints against him</w:t>
      </w:r>
      <w:r w:rsidR="007209C1" w:rsidRPr="008A7BD7">
        <w:rPr>
          <w:rFonts w:ascii="Cambria" w:eastAsia="Times New Roman" w:hAnsi="Cambria" w:cs="Arial"/>
          <w:sz w:val="20"/>
          <w:szCs w:val="20"/>
          <w:lang w:eastAsia="es-ES"/>
        </w:rPr>
        <w:t xml:space="preserve">; these </w:t>
      </w:r>
      <w:r w:rsidRPr="008A7BD7">
        <w:rPr>
          <w:rFonts w:ascii="Cambria" w:eastAsia="Times New Roman" w:hAnsi="Cambria" w:cs="Arial"/>
          <w:sz w:val="20"/>
          <w:szCs w:val="20"/>
          <w:lang w:eastAsia="es-ES"/>
        </w:rPr>
        <w:t>remain open in the Public Prosecutor’s Office</w:t>
      </w:r>
      <w:r w:rsidR="004B5D23" w:rsidRPr="008A7BD7">
        <w:rPr>
          <w:rFonts w:ascii="Cambria" w:eastAsia="Times New Roman" w:hAnsi="Cambria" w:cs="Arial"/>
          <w:sz w:val="20"/>
          <w:szCs w:val="20"/>
          <w:lang w:eastAsia="es-ES"/>
        </w:rPr>
        <w:t>,</w:t>
      </w:r>
      <w:r w:rsidRPr="008A7BD7">
        <w:rPr>
          <w:rFonts w:ascii="Cambria" w:eastAsia="Times New Roman" w:hAnsi="Cambria" w:cs="Arial"/>
          <w:sz w:val="20"/>
          <w:szCs w:val="20"/>
          <w:lang w:eastAsia="es-ES"/>
        </w:rPr>
        <w:t xml:space="preserve"> despite being manifestly groundless, </w:t>
      </w:r>
      <w:r w:rsidR="004B5D23" w:rsidRPr="008A7BD7">
        <w:rPr>
          <w:rFonts w:ascii="Cambria" w:eastAsia="Times New Roman" w:hAnsi="Cambria" w:cs="Arial"/>
          <w:sz w:val="20"/>
          <w:szCs w:val="20"/>
          <w:lang w:eastAsia="es-ES"/>
        </w:rPr>
        <w:t>so as to</w:t>
      </w:r>
      <w:r w:rsidR="001D6F5A" w:rsidRPr="008A7BD7">
        <w:rPr>
          <w:rFonts w:ascii="Cambria" w:eastAsia="Times New Roman" w:hAnsi="Cambria" w:cs="Arial"/>
          <w:sz w:val="20"/>
          <w:szCs w:val="20"/>
          <w:lang w:eastAsia="es-ES"/>
        </w:rPr>
        <w:t xml:space="preserve"> maintain a climate of judicial persecution and fear of arrest.</w:t>
      </w:r>
      <w:r w:rsidR="00000246" w:rsidRPr="008A7BD7">
        <w:rPr>
          <w:rFonts w:ascii="Cambria" w:eastAsia="Times New Roman" w:hAnsi="Cambria" w:cs="Arial"/>
          <w:sz w:val="20"/>
          <w:szCs w:val="20"/>
          <w:vertAlign w:val="superscript"/>
          <w:lang w:val="es-ES" w:eastAsia="es-ES"/>
        </w:rPr>
        <w:footnoteReference w:id="68"/>
      </w:r>
    </w:p>
    <w:p w14:paraId="4AD25161" w14:textId="77777777" w:rsidR="00FA04DB" w:rsidRPr="008A7BD7" w:rsidRDefault="00FA04DB" w:rsidP="00FA04DB">
      <w:pPr>
        <w:ind w:left="720"/>
        <w:jc w:val="both"/>
        <w:rPr>
          <w:rFonts w:ascii="Cambria" w:eastAsia="Times New Roman" w:hAnsi="Cambria" w:cs="Arial"/>
          <w:b/>
          <w:bCs/>
          <w:sz w:val="20"/>
          <w:szCs w:val="20"/>
          <w:lang w:eastAsia="es-ES_tradnl"/>
        </w:rPr>
      </w:pPr>
    </w:p>
    <w:p w14:paraId="791A50D3" w14:textId="7792D89E" w:rsidR="00706CD2" w:rsidRPr="008A7BD7" w:rsidRDefault="00E35CAC" w:rsidP="008A2AEC">
      <w:pPr>
        <w:numPr>
          <w:ilvl w:val="0"/>
          <w:numId w:val="2"/>
        </w:numPr>
        <w:ind w:left="0" w:firstLine="720"/>
        <w:jc w:val="both"/>
        <w:rPr>
          <w:rFonts w:ascii="Cambria" w:eastAsia="Times New Roman" w:hAnsi="Cambria" w:cs="Arial"/>
          <w:b/>
          <w:bCs/>
          <w:sz w:val="20"/>
          <w:szCs w:val="20"/>
          <w:lang w:eastAsia="es-ES_tradnl"/>
        </w:rPr>
      </w:pPr>
      <w:r w:rsidRPr="008A7BD7">
        <w:rPr>
          <w:rFonts w:ascii="Cambria" w:eastAsia="Times New Roman" w:hAnsi="Cambria" w:cs="Times New Roman"/>
          <w:sz w:val="20"/>
          <w:szCs w:val="20"/>
          <w:lang w:eastAsia="es-ES"/>
        </w:rPr>
        <w:t>Subsequently, the IACHR learned that the new Chief of the</w:t>
      </w:r>
      <w:r w:rsidRPr="008A7BD7">
        <w:rPr>
          <w:rFonts w:ascii="Cambria" w:eastAsia="Calibri" w:hAnsi="Cambria" w:cs="ArialMT"/>
          <w:sz w:val="20"/>
          <w:szCs w:val="20"/>
          <w:lang w:eastAsia="es-ES"/>
        </w:rPr>
        <w:t xml:space="preserve"> FECI, Carla Valenzuela, was transferred </w:t>
      </w:r>
      <w:r w:rsidRPr="008A7BD7">
        <w:rPr>
          <w:rFonts w:ascii="Cambria" w:eastAsia="Times New Roman" w:hAnsi="Cambria" w:cs="Times New Roman"/>
          <w:sz w:val="20"/>
          <w:szCs w:val="20"/>
          <w:lang w:eastAsia="es-ES"/>
        </w:rPr>
        <w:t>12 days after her appointment, purportedly because of her opposition to other</w:t>
      </w:r>
      <w:r w:rsidR="00E14A57" w:rsidRPr="008A7BD7">
        <w:rPr>
          <w:rFonts w:ascii="Cambria" w:eastAsia="Times New Roman" w:hAnsi="Cambria" w:cs="Times New Roman"/>
          <w:sz w:val="20"/>
          <w:szCs w:val="20"/>
          <w:lang w:eastAsia="es-ES"/>
        </w:rPr>
        <w:t xml:space="preserve"> arbitrary</w:t>
      </w:r>
      <w:r w:rsidRPr="008A7BD7">
        <w:rPr>
          <w:rFonts w:ascii="Cambria" w:eastAsia="Times New Roman" w:hAnsi="Cambria" w:cs="Times New Roman"/>
          <w:sz w:val="20"/>
          <w:szCs w:val="20"/>
          <w:lang w:eastAsia="es-ES"/>
        </w:rPr>
        <w:t xml:space="preserve"> appointments and transfers said to be </w:t>
      </w:r>
      <w:r w:rsidR="00E14A57" w:rsidRPr="008A7BD7">
        <w:rPr>
          <w:rFonts w:ascii="Cambria" w:eastAsia="Times New Roman" w:hAnsi="Cambria" w:cs="Times New Roman"/>
          <w:sz w:val="20"/>
          <w:szCs w:val="20"/>
          <w:lang w:eastAsia="es-ES"/>
        </w:rPr>
        <w:t>taking place</w:t>
      </w:r>
      <w:r w:rsidRPr="008A7BD7">
        <w:rPr>
          <w:rFonts w:ascii="Cambria" w:eastAsia="Times New Roman" w:hAnsi="Cambria" w:cs="Times New Roman"/>
          <w:sz w:val="20"/>
          <w:szCs w:val="20"/>
          <w:lang w:eastAsia="es-ES"/>
        </w:rPr>
        <w:t xml:space="preserve"> </w:t>
      </w:r>
      <w:r w:rsidR="004B5D23" w:rsidRPr="008A7BD7">
        <w:rPr>
          <w:rFonts w:ascii="Cambria" w:eastAsia="Times New Roman" w:hAnsi="Cambria" w:cs="Times New Roman"/>
          <w:sz w:val="20"/>
          <w:szCs w:val="20"/>
          <w:lang w:eastAsia="es-ES"/>
        </w:rPr>
        <w:t>at the FECI</w:t>
      </w:r>
      <w:r w:rsidRPr="008A7BD7">
        <w:rPr>
          <w:rFonts w:ascii="Cambria" w:eastAsia="Times New Roman" w:hAnsi="Cambria" w:cs="Times New Roman"/>
          <w:sz w:val="20"/>
          <w:szCs w:val="20"/>
          <w:lang w:eastAsia="es-ES"/>
        </w:rPr>
        <w:t>.</w:t>
      </w:r>
      <w:r w:rsidR="00706CD2" w:rsidRPr="008A7BD7">
        <w:rPr>
          <w:rFonts w:ascii="Cambria" w:eastAsia="Calibri" w:hAnsi="Cambria" w:cs="ArialMT"/>
          <w:sz w:val="20"/>
          <w:szCs w:val="20"/>
          <w:lang w:eastAsia="es-ES"/>
        </w:rPr>
        <w:t xml:space="preserve"> </w:t>
      </w:r>
      <w:r w:rsidR="00F25A65" w:rsidRPr="008A7BD7">
        <w:rPr>
          <w:rFonts w:ascii="Cambria" w:eastAsia="Calibri" w:hAnsi="Cambria" w:cs="ArialMT"/>
          <w:sz w:val="20"/>
          <w:szCs w:val="20"/>
          <w:lang w:eastAsia="es-ES"/>
        </w:rPr>
        <w:t xml:space="preserve">The person appointed to take her place was </w:t>
      </w:r>
      <w:r w:rsidR="00706CD2" w:rsidRPr="008A7BD7">
        <w:rPr>
          <w:rFonts w:ascii="Cambria" w:eastAsia="Calibri" w:hAnsi="Cambria" w:cs="ArialMT"/>
          <w:sz w:val="20"/>
          <w:szCs w:val="20"/>
          <w:lang w:eastAsia="es-ES"/>
        </w:rPr>
        <w:t xml:space="preserve">Rafael </w:t>
      </w:r>
      <w:proofErr w:type="spellStart"/>
      <w:r w:rsidR="00706CD2" w:rsidRPr="008A7BD7">
        <w:rPr>
          <w:rFonts w:ascii="Cambria" w:eastAsia="Calibri" w:hAnsi="Cambria" w:cs="ArialMT"/>
          <w:sz w:val="20"/>
          <w:szCs w:val="20"/>
          <w:lang w:eastAsia="es-ES"/>
        </w:rPr>
        <w:t>Curruchiche</w:t>
      </w:r>
      <w:proofErr w:type="spellEnd"/>
      <w:r w:rsidR="00706CD2" w:rsidRPr="008A7BD7">
        <w:rPr>
          <w:rFonts w:ascii="Cambria" w:eastAsia="Calibri" w:hAnsi="Cambria" w:cs="ArialMT"/>
          <w:sz w:val="20"/>
          <w:szCs w:val="20"/>
          <w:lang w:eastAsia="es-ES"/>
        </w:rPr>
        <w:t xml:space="preserve">, </w:t>
      </w:r>
      <w:r w:rsidR="00F25A65" w:rsidRPr="008A7BD7">
        <w:rPr>
          <w:rFonts w:ascii="Cambria" w:eastAsia="Calibri" w:hAnsi="Cambria" w:cs="ArialMT"/>
          <w:sz w:val="20"/>
          <w:szCs w:val="20"/>
          <w:lang w:eastAsia="es-ES"/>
        </w:rPr>
        <w:t xml:space="preserve">a prosecutor who </w:t>
      </w:r>
      <w:r w:rsidR="005441FE" w:rsidRPr="008A7BD7">
        <w:rPr>
          <w:rFonts w:ascii="Cambria" w:eastAsia="Calibri" w:hAnsi="Cambria" w:cs="ArialMT"/>
          <w:sz w:val="20"/>
          <w:szCs w:val="20"/>
          <w:lang w:eastAsia="es-ES"/>
        </w:rPr>
        <w:t>had come</w:t>
      </w:r>
      <w:r w:rsidR="00F25A65" w:rsidRPr="008A7BD7">
        <w:rPr>
          <w:rFonts w:ascii="Cambria" w:eastAsia="Calibri" w:hAnsi="Cambria" w:cs="ArialMT"/>
          <w:sz w:val="20"/>
          <w:szCs w:val="20"/>
          <w:lang w:eastAsia="es-ES"/>
        </w:rPr>
        <w:t xml:space="preserve"> under question for </w:t>
      </w:r>
      <w:r w:rsidR="005441FE" w:rsidRPr="008A7BD7">
        <w:rPr>
          <w:rFonts w:ascii="Cambria" w:eastAsia="Calibri" w:hAnsi="Cambria" w:cs="ArialMT"/>
          <w:sz w:val="20"/>
          <w:szCs w:val="20"/>
          <w:lang w:eastAsia="es-ES"/>
        </w:rPr>
        <w:t xml:space="preserve">showing favor to individuals </w:t>
      </w:r>
      <w:r w:rsidR="000D1E14" w:rsidRPr="008A7BD7">
        <w:rPr>
          <w:rFonts w:ascii="Cambria" w:eastAsia="Calibri" w:hAnsi="Cambria" w:cs="ArialMT"/>
          <w:sz w:val="20"/>
          <w:szCs w:val="20"/>
          <w:lang w:eastAsia="es-ES"/>
        </w:rPr>
        <w:t>suspected</w:t>
      </w:r>
      <w:r w:rsidR="00F25A65" w:rsidRPr="008A7BD7">
        <w:rPr>
          <w:rFonts w:ascii="Cambria" w:eastAsia="Calibri" w:hAnsi="Cambria" w:cs="ArialMT"/>
          <w:sz w:val="20"/>
          <w:szCs w:val="20"/>
          <w:lang w:eastAsia="es-ES"/>
        </w:rPr>
        <w:t xml:space="preserve"> of corruption in high-profile case</w:t>
      </w:r>
      <w:r w:rsidR="00E14A57" w:rsidRPr="008A7BD7">
        <w:rPr>
          <w:rFonts w:ascii="Cambria" w:eastAsia="Calibri" w:hAnsi="Cambria" w:cs="ArialMT"/>
          <w:sz w:val="20"/>
          <w:szCs w:val="20"/>
          <w:lang w:eastAsia="es-ES"/>
        </w:rPr>
        <w:t>s</w:t>
      </w:r>
      <w:r w:rsidR="00F25A65" w:rsidRPr="008A7BD7">
        <w:rPr>
          <w:rFonts w:ascii="Cambria" w:eastAsia="Calibri" w:hAnsi="Cambria" w:cs="ArialMT"/>
          <w:sz w:val="20"/>
          <w:szCs w:val="20"/>
          <w:lang w:eastAsia="es-ES"/>
        </w:rPr>
        <w:t xml:space="preserve"> and </w:t>
      </w:r>
      <w:r w:rsidR="005441FE" w:rsidRPr="008A7BD7">
        <w:rPr>
          <w:rFonts w:ascii="Cambria" w:eastAsia="Calibri" w:hAnsi="Cambria" w:cs="ArialMT"/>
          <w:sz w:val="20"/>
          <w:szCs w:val="20"/>
          <w:lang w:eastAsia="es-ES"/>
        </w:rPr>
        <w:t xml:space="preserve">who </w:t>
      </w:r>
      <w:r w:rsidR="00F25A65" w:rsidRPr="008A7BD7">
        <w:rPr>
          <w:rFonts w:ascii="Cambria" w:eastAsia="Calibri" w:hAnsi="Cambria" w:cs="ArialMT"/>
          <w:sz w:val="20"/>
          <w:szCs w:val="20"/>
          <w:lang w:eastAsia="es-ES"/>
        </w:rPr>
        <w:t>previously head</w:t>
      </w:r>
      <w:r w:rsidR="005441FE" w:rsidRPr="008A7BD7">
        <w:rPr>
          <w:rFonts w:ascii="Cambria" w:eastAsia="Calibri" w:hAnsi="Cambria" w:cs="ArialMT"/>
          <w:sz w:val="20"/>
          <w:szCs w:val="20"/>
          <w:lang w:eastAsia="es-ES"/>
        </w:rPr>
        <w:t>ed</w:t>
      </w:r>
      <w:r w:rsidR="00F25A65" w:rsidRPr="008A7BD7">
        <w:rPr>
          <w:rFonts w:ascii="Cambria" w:eastAsia="Calibri" w:hAnsi="Cambria" w:cs="ArialMT"/>
          <w:sz w:val="20"/>
          <w:szCs w:val="20"/>
          <w:lang w:eastAsia="es-ES"/>
        </w:rPr>
        <w:t xml:space="preserve"> the Office of the Special Prosecutor against Electoral Crimes. During the same period, there were reportedly other changes at the </w:t>
      </w:r>
      <w:r w:rsidR="00706CD2" w:rsidRPr="008A7BD7">
        <w:rPr>
          <w:rFonts w:ascii="Cambria" w:eastAsia="Times New Roman" w:hAnsi="Cambria" w:cs="Times New Roman"/>
          <w:sz w:val="20"/>
          <w:szCs w:val="20"/>
          <w:lang w:eastAsia="es-ES"/>
        </w:rPr>
        <w:t xml:space="preserve">FECI </w:t>
      </w:r>
      <w:r w:rsidR="00F25A65" w:rsidRPr="008A7BD7">
        <w:rPr>
          <w:rFonts w:ascii="Cambria" w:eastAsia="Times New Roman" w:hAnsi="Cambria" w:cs="Times New Roman"/>
          <w:sz w:val="20"/>
          <w:szCs w:val="20"/>
          <w:lang w:eastAsia="es-ES"/>
        </w:rPr>
        <w:t xml:space="preserve">which involved, </w:t>
      </w:r>
      <w:r w:rsidR="00D043D7" w:rsidRPr="008A7BD7">
        <w:rPr>
          <w:rFonts w:ascii="Cambria" w:eastAsia="Times New Roman" w:hAnsi="Cambria" w:cs="Times New Roman"/>
          <w:sz w:val="20"/>
          <w:szCs w:val="20"/>
          <w:lang w:eastAsia="es-ES"/>
        </w:rPr>
        <w:t>at the least</w:t>
      </w:r>
      <w:r w:rsidR="00F25A65" w:rsidRPr="008A7BD7">
        <w:rPr>
          <w:rFonts w:ascii="Cambria" w:eastAsia="Times New Roman" w:hAnsi="Cambria" w:cs="Times New Roman"/>
          <w:sz w:val="20"/>
          <w:szCs w:val="20"/>
          <w:lang w:eastAsia="es-ES"/>
        </w:rPr>
        <w:t>, the transfer of three assistant prosecutors. That situation has generated fear that other prosecutors could be dismissed or transferred, which is said to be affecting their work and the investigation, especially in high-impact cases involving serious human rights violations.</w:t>
      </w:r>
      <w:r w:rsidR="00706CD2" w:rsidRPr="008A7BD7">
        <w:rPr>
          <w:rFonts w:ascii="Cambria" w:eastAsia="Times New Roman" w:hAnsi="Cambria" w:cs="Times New Roman"/>
          <w:sz w:val="20"/>
          <w:szCs w:val="20"/>
          <w:vertAlign w:val="superscript"/>
          <w:lang w:val="es-CR" w:eastAsia="es-ES"/>
        </w:rPr>
        <w:footnoteReference w:id="69"/>
      </w:r>
    </w:p>
    <w:p w14:paraId="019B9456" w14:textId="77777777" w:rsidR="00706CD2" w:rsidRPr="008A7BD7" w:rsidRDefault="00706CD2" w:rsidP="00706CD2">
      <w:pPr>
        <w:suppressAutoHyphens/>
        <w:jc w:val="both"/>
        <w:rPr>
          <w:rFonts w:ascii="Cambria" w:eastAsia="Times New Roman" w:hAnsi="Cambria" w:cs="Arial"/>
          <w:b/>
          <w:bCs/>
          <w:sz w:val="20"/>
          <w:szCs w:val="20"/>
          <w:lang w:eastAsia="es-ES_tradnl"/>
        </w:rPr>
      </w:pPr>
    </w:p>
    <w:p w14:paraId="48964716" w14:textId="654C243C" w:rsidR="00706CD2" w:rsidRPr="008A7BD7" w:rsidRDefault="005C16FA" w:rsidP="008A2AEC">
      <w:pPr>
        <w:numPr>
          <w:ilvl w:val="0"/>
          <w:numId w:val="2"/>
        </w:numPr>
        <w:ind w:left="0" w:firstLine="720"/>
        <w:jc w:val="both"/>
        <w:rPr>
          <w:rFonts w:ascii="Cambria" w:eastAsia="Times New Roman" w:hAnsi="Cambria" w:cs="Arial"/>
          <w:b/>
          <w:bCs/>
          <w:sz w:val="20"/>
          <w:szCs w:val="20"/>
          <w:lang w:eastAsia="es-ES_tradnl"/>
        </w:rPr>
      </w:pPr>
      <w:r w:rsidRPr="008A7BD7">
        <w:rPr>
          <w:rFonts w:ascii="Cambria" w:eastAsia="Times New Roman" w:hAnsi="Cambria" w:cs="Times New Roman"/>
          <w:color w:val="000000"/>
          <w:sz w:val="20"/>
          <w:szCs w:val="20"/>
          <w:lang w:eastAsia="es-ES"/>
        </w:rPr>
        <w:t xml:space="preserve">During the thematic hearing “Human </w:t>
      </w:r>
      <w:r w:rsidR="009E0B4F" w:rsidRPr="008A7BD7">
        <w:rPr>
          <w:rFonts w:ascii="Cambria" w:eastAsia="Times New Roman" w:hAnsi="Cambria" w:cs="Times New Roman"/>
          <w:color w:val="000000"/>
          <w:sz w:val="20"/>
          <w:szCs w:val="20"/>
          <w:lang w:eastAsia="es-ES"/>
        </w:rPr>
        <w:t>R</w:t>
      </w:r>
      <w:r w:rsidRPr="008A7BD7">
        <w:rPr>
          <w:rFonts w:ascii="Cambria" w:eastAsia="Times New Roman" w:hAnsi="Cambria" w:cs="Times New Roman"/>
          <w:color w:val="000000"/>
          <w:sz w:val="20"/>
          <w:szCs w:val="20"/>
          <w:lang w:eastAsia="es-ES"/>
        </w:rPr>
        <w:t xml:space="preserve">ights </w:t>
      </w:r>
      <w:r w:rsidR="009E0B4F" w:rsidRPr="008A7BD7">
        <w:rPr>
          <w:rFonts w:ascii="Cambria" w:eastAsia="Times New Roman" w:hAnsi="Cambria" w:cs="Times New Roman"/>
          <w:color w:val="000000"/>
          <w:sz w:val="20"/>
          <w:szCs w:val="20"/>
          <w:lang w:eastAsia="es-ES"/>
        </w:rPr>
        <w:t>S</w:t>
      </w:r>
      <w:r w:rsidRPr="008A7BD7">
        <w:rPr>
          <w:rFonts w:ascii="Cambria" w:eastAsia="Times New Roman" w:hAnsi="Cambria" w:cs="Times New Roman"/>
          <w:color w:val="000000"/>
          <w:sz w:val="20"/>
          <w:szCs w:val="20"/>
          <w:lang w:eastAsia="es-ES"/>
        </w:rPr>
        <w:t xml:space="preserve">ituation of </w:t>
      </w:r>
      <w:r w:rsidR="009E0B4F" w:rsidRPr="008A7BD7">
        <w:rPr>
          <w:rFonts w:ascii="Cambria" w:eastAsia="Times New Roman" w:hAnsi="Cambria" w:cs="Times New Roman"/>
          <w:color w:val="000000"/>
          <w:sz w:val="20"/>
          <w:szCs w:val="20"/>
          <w:lang w:eastAsia="es-ES"/>
        </w:rPr>
        <w:t>J</w:t>
      </w:r>
      <w:r w:rsidRPr="008A7BD7">
        <w:rPr>
          <w:rFonts w:ascii="Cambria" w:eastAsia="Times New Roman" w:hAnsi="Cambria" w:cs="Times New Roman"/>
          <w:color w:val="000000"/>
          <w:sz w:val="20"/>
          <w:szCs w:val="20"/>
          <w:lang w:eastAsia="es-ES"/>
        </w:rPr>
        <w:t xml:space="preserve">ustice </w:t>
      </w:r>
      <w:r w:rsidR="009E0B4F" w:rsidRPr="008A7BD7">
        <w:rPr>
          <w:rFonts w:ascii="Cambria" w:eastAsia="Times New Roman" w:hAnsi="Cambria" w:cs="Times New Roman"/>
          <w:color w:val="000000"/>
          <w:sz w:val="20"/>
          <w:szCs w:val="20"/>
          <w:lang w:eastAsia="es-ES"/>
        </w:rPr>
        <w:t>O</w:t>
      </w:r>
      <w:r w:rsidRPr="008A7BD7">
        <w:rPr>
          <w:rFonts w:ascii="Cambria" w:eastAsia="Times New Roman" w:hAnsi="Cambria" w:cs="Times New Roman"/>
          <w:color w:val="000000"/>
          <w:sz w:val="20"/>
          <w:szCs w:val="20"/>
          <w:lang w:eastAsia="es-ES"/>
        </w:rPr>
        <w:t xml:space="preserve">perators and </w:t>
      </w:r>
      <w:r w:rsidR="009E0B4F" w:rsidRPr="008A7BD7">
        <w:rPr>
          <w:rFonts w:ascii="Cambria" w:eastAsia="Times New Roman" w:hAnsi="Cambria" w:cs="Times New Roman"/>
          <w:color w:val="000000"/>
          <w:sz w:val="20"/>
          <w:szCs w:val="20"/>
          <w:lang w:eastAsia="es-ES"/>
        </w:rPr>
        <w:t>J</w:t>
      </w:r>
      <w:r w:rsidRPr="008A7BD7">
        <w:rPr>
          <w:rFonts w:ascii="Cambria" w:eastAsia="Times New Roman" w:hAnsi="Cambria" w:cs="Times New Roman"/>
          <w:color w:val="000000"/>
          <w:sz w:val="20"/>
          <w:szCs w:val="20"/>
          <w:lang w:eastAsia="es-ES"/>
        </w:rPr>
        <w:t xml:space="preserve">udicial </w:t>
      </w:r>
      <w:r w:rsidR="009E0B4F" w:rsidRPr="008A7BD7">
        <w:rPr>
          <w:rFonts w:ascii="Cambria" w:eastAsia="Times New Roman" w:hAnsi="Cambria" w:cs="Times New Roman"/>
          <w:color w:val="000000"/>
          <w:sz w:val="20"/>
          <w:szCs w:val="20"/>
          <w:lang w:eastAsia="es-ES"/>
        </w:rPr>
        <w:t>I</w:t>
      </w:r>
      <w:r w:rsidRPr="008A7BD7">
        <w:rPr>
          <w:rFonts w:ascii="Cambria" w:eastAsia="Times New Roman" w:hAnsi="Cambria" w:cs="Times New Roman"/>
          <w:color w:val="000000"/>
          <w:sz w:val="20"/>
          <w:szCs w:val="20"/>
          <w:lang w:eastAsia="es-ES"/>
        </w:rPr>
        <w:t xml:space="preserve">ndependence in Guatemala,” held in October 2021 during the </w:t>
      </w:r>
      <w:r w:rsidR="007D5193" w:rsidRPr="008A7BD7">
        <w:rPr>
          <w:rFonts w:ascii="Cambria" w:eastAsia="Times New Roman" w:hAnsi="Cambria" w:cs="Times New Roman"/>
          <w:color w:val="000000"/>
          <w:sz w:val="20"/>
          <w:szCs w:val="20"/>
          <w:lang w:eastAsia="es-ES"/>
        </w:rPr>
        <w:t xml:space="preserve">Commission’s </w:t>
      </w:r>
      <w:r w:rsidRPr="008A7BD7">
        <w:rPr>
          <w:rFonts w:ascii="Cambria" w:eastAsia="Times New Roman" w:hAnsi="Cambria" w:cs="Times New Roman"/>
          <w:color w:val="000000"/>
          <w:sz w:val="20"/>
          <w:szCs w:val="20"/>
          <w:lang w:eastAsia="es-ES"/>
        </w:rPr>
        <w:t>181</w:t>
      </w:r>
      <w:r w:rsidRPr="008A7BD7">
        <w:rPr>
          <w:rFonts w:ascii="Cambria" w:eastAsia="Times New Roman" w:hAnsi="Cambria" w:cs="Times New Roman"/>
          <w:color w:val="000000"/>
          <w:sz w:val="20"/>
          <w:szCs w:val="20"/>
          <w:vertAlign w:val="superscript"/>
          <w:lang w:eastAsia="es-ES"/>
        </w:rPr>
        <w:t>st</w:t>
      </w:r>
      <w:r w:rsidRPr="008A7BD7">
        <w:rPr>
          <w:rFonts w:ascii="Cambria" w:eastAsia="Times New Roman" w:hAnsi="Cambria" w:cs="Times New Roman"/>
          <w:color w:val="000000"/>
          <w:sz w:val="20"/>
          <w:szCs w:val="20"/>
          <w:lang w:eastAsia="es-ES"/>
        </w:rPr>
        <w:t xml:space="preserve"> period of sessions, civil society organizations, the Ombudsman’s Office, and Guatemalan justice operators informed the IACHR that since the appointment of the current Attorney General, </w:t>
      </w:r>
      <w:r w:rsidRPr="008A7BD7">
        <w:rPr>
          <w:rFonts w:ascii="Cambria" w:eastAsia="Times New Roman" w:hAnsi="Cambria" w:cs="Arial"/>
          <w:sz w:val="20"/>
          <w:szCs w:val="20"/>
          <w:lang w:eastAsia="es-ES"/>
        </w:rPr>
        <w:t xml:space="preserve">Consuelo Porras, the </w:t>
      </w:r>
      <w:r w:rsidR="003815CE" w:rsidRPr="008A7BD7">
        <w:rPr>
          <w:rFonts w:ascii="Cambria" w:eastAsia="Times New Roman" w:hAnsi="Cambria" w:cs="Arial"/>
          <w:sz w:val="20"/>
          <w:szCs w:val="20"/>
          <w:lang w:eastAsia="es-ES"/>
        </w:rPr>
        <w:t>work of the FECI has</w:t>
      </w:r>
      <w:r w:rsidR="00C130A8" w:rsidRPr="008A7BD7">
        <w:rPr>
          <w:rFonts w:ascii="Cambria" w:eastAsia="Times New Roman" w:hAnsi="Cambria" w:cs="Arial"/>
          <w:sz w:val="20"/>
          <w:szCs w:val="20"/>
          <w:lang w:eastAsia="es-ES"/>
        </w:rPr>
        <w:t xml:space="preserve"> </w:t>
      </w:r>
      <w:r w:rsidR="00515FBD" w:rsidRPr="008A7BD7">
        <w:rPr>
          <w:rFonts w:ascii="Cambria" w:eastAsia="Times New Roman" w:hAnsi="Cambria" w:cs="Arial"/>
          <w:sz w:val="20"/>
          <w:szCs w:val="20"/>
          <w:lang w:eastAsia="es-ES"/>
        </w:rPr>
        <w:t xml:space="preserve">faced increasingly intense </w:t>
      </w:r>
      <w:r w:rsidRPr="008A7BD7">
        <w:rPr>
          <w:rFonts w:ascii="Cambria" w:eastAsia="Times New Roman" w:hAnsi="Cambria" w:cs="Arial"/>
          <w:sz w:val="20"/>
          <w:szCs w:val="20"/>
          <w:lang w:eastAsia="es-ES"/>
        </w:rPr>
        <w:t xml:space="preserve">attacks </w:t>
      </w:r>
      <w:r w:rsidR="003815CE" w:rsidRPr="008A7BD7">
        <w:rPr>
          <w:rFonts w:ascii="Cambria" w:eastAsia="Times New Roman" w:hAnsi="Cambria" w:cs="Arial"/>
          <w:sz w:val="20"/>
          <w:szCs w:val="20"/>
          <w:lang w:eastAsia="es-ES"/>
        </w:rPr>
        <w:t>and obstacles</w:t>
      </w:r>
      <w:r w:rsidR="00706CD2" w:rsidRPr="008A7BD7">
        <w:rPr>
          <w:rFonts w:ascii="Cambria" w:eastAsia="Times New Roman" w:hAnsi="Cambria" w:cs="Arial"/>
          <w:sz w:val="20"/>
          <w:szCs w:val="20"/>
          <w:lang w:eastAsia="es-ES"/>
        </w:rPr>
        <w:t xml:space="preserve">. </w:t>
      </w:r>
      <w:r w:rsidR="007D5193" w:rsidRPr="008A7BD7">
        <w:rPr>
          <w:rFonts w:ascii="Cambria" w:eastAsia="Times New Roman" w:hAnsi="Cambria" w:cs="Arial"/>
          <w:sz w:val="20"/>
          <w:szCs w:val="20"/>
          <w:lang w:eastAsia="es-ES"/>
        </w:rPr>
        <w:t>T</w:t>
      </w:r>
      <w:r w:rsidR="00815FA1" w:rsidRPr="008A7BD7">
        <w:rPr>
          <w:rFonts w:ascii="Cambria" w:eastAsia="Times New Roman" w:hAnsi="Cambria" w:cs="Arial"/>
          <w:sz w:val="20"/>
          <w:szCs w:val="20"/>
          <w:lang w:eastAsia="es-ES"/>
        </w:rPr>
        <w:t>hey reported</w:t>
      </w:r>
      <w:r w:rsidR="007D5193" w:rsidRPr="008A7BD7">
        <w:rPr>
          <w:rFonts w:ascii="Cambria" w:eastAsia="Times New Roman" w:hAnsi="Cambria" w:cs="Arial"/>
          <w:sz w:val="20"/>
          <w:szCs w:val="20"/>
          <w:lang w:eastAsia="es-ES"/>
        </w:rPr>
        <w:t>, among other things,</w:t>
      </w:r>
      <w:r w:rsidR="00815FA1" w:rsidRPr="008A7BD7">
        <w:rPr>
          <w:rFonts w:ascii="Cambria" w:eastAsia="Times New Roman" w:hAnsi="Cambria" w:cs="Arial"/>
          <w:sz w:val="20"/>
          <w:szCs w:val="20"/>
          <w:lang w:eastAsia="es-ES"/>
        </w:rPr>
        <w:t xml:space="preserve"> that </w:t>
      </w:r>
      <w:r w:rsidR="007D5193" w:rsidRPr="008A7BD7">
        <w:rPr>
          <w:rFonts w:ascii="Cambria" w:eastAsia="Times New Roman" w:hAnsi="Cambria" w:cs="Arial"/>
          <w:sz w:val="20"/>
          <w:szCs w:val="20"/>
          <w:lang w:eastAsia="es-ES"/>
        </w:rPr>
        <w:t>staff</w:t>
      </w:r>
      <w:r w:rsidR="00815FA1" w:rsidRPr="008A7BD7">
        <w:rPr>
          <w:rFonts w:ascii="Cambria" w:eastAsia="Times New Roman" w:hAnsi="Cambria" w:cs="Arial"/>
          <w:sz w:val="20"/>
          <w:szCs w:val="20"/>
          <w:lang w:eastAsia="es-ES"/>
        </w:rPr>
        <w:t xml:space="preserve"> had been moved and transferred arbitrarily among departments; </w:t>
      </w:r>
      <w:r w:rsidR="00C130A8" w:rsidRPr="008A7BD7">
        <w:rPr>
          <w:rFonts w:ascii="Cambria" w:eastAsia="Times New Roman" w:hAnsi="Cambria" w:cs="Arial"/>
          <w:sz w:val="20"/>
          <w:szCs w:val="20"/>
          <w:lang w:eastAsia="es-ES"/>
        </w:rPr>
        <w:t xml:space="preserve">prosecutors </w:t>
      </w:r>
      <w:r w:rsidR="00B1173B" w:rsidRPr="008A7BD7">
        <w:rPr>
          <w:rFonts w:ascii="Cambria" w:eastAsia="Times New Roman" w:hAnsi="Cambria" w:cs="Arial"/>
          <w:sz w:val="20"/>
          <w:szCs w:val="20"/>
          <w:lang w:eastAsia="es-ES"/>
        </w:rPr>
        <w:t>legally barred from leading</w:t>
      </w:r>
      <w:r w:rsidR="00C130A8" w:rsidRPr="008A7BD7">
        <w:rPr>
          <w:rFonts w:ascii="Cambria" w:eastAsia="Times New Roman" w:hAnsi="Cambria" w:cs="Arial"/>
          <w:sz w:val="20"/>
          <w:szCs w:val="20"/>
          <w:lang w:eastAsia="es-ES"/>
        </w:rPr>
        <w:t xml:space="preserve"> investigations had been appointed, hampering the work of investigation; and investigations led by the FECI had been transferred to </w:t>
      </w:r>
      <w:r w:rsidR="00C130A8" w:rsidRPr="008A7BD7">
        <w:rPr>
          <w:rFonts w:ascii="Cambria" w:eastAsia="Times New Roman" w:hAnsi="Cambria" w:cs="Arial"/>
          <w:sz w:val="20"/>
          <w:szCs w:val="20"/>
          <w:lang w:eastAsia="es-ES"/>
        </w:rPr>
        <w:lastRenderedPageBreak/>
        <w:t xml:space="preserve">other prosecutor’s offices in cases involving the </w:t>
      </w:r>
      <w:r w:rsidR="001C7740" w:rsidRPr="008A7BD7">
        <w:rPr>
          <w:rFonts w:ascii="Cambria" w:eastAsia="Times New Roman" w:hAnsi="Cambria" w:cs="Arial"/>
          <w:sz w:val="20"/>
          <w:szCs w:val="20"/>
          <w:lang w:eastAsia="es-ES"/>
        </w:rPr>
        <w:t>President</w:t>
      </w:r>
      <w:r w:rsidR="00C130A8" w:rsidRPr="008A7BD7">
        <w:rPr>
          <w:rFonts w:ascii="Cambria" w:eastAsia="Times New Roman" w:hAnsi="Cambria" w:cs="Arial"/>
          <w:sz w:val="20"/>
          <w:szCs w:val="20"/>
          <w:lang w:eastAsia="es-ES"/>
        </w:rPr>
        <w:t xml:space="preserve"> or </w:t>
      </w:r>
      <w:r w:rsidR="00CD33D0" w:rsidRPr="008A7BD7">
        <w:rPr>
          <w:rFonts w:ascii="Cambria" w:eastAsia="Times New Roman" w:hAnsi="Cambria" w:cs="Arial"/>
          <w:sz w:val="20"/>
          <w:szCs w:val="20"/>
          <w:lang w:eastAsia="es-ES"/>
        </w:rPr>
        <w:t xml:space="preserve">individuals </w:t>
      </w:r>
      <w:r w:rsidR="00941010" w:rsidRPr="008A7BD7">
        <w:rPr>
          <w:rFonts w:ascii="Cambria" w:eastAsia="Times New Roman" w:hAnsi="Cambria" w:cs="Arial"/>
          <w:sz w:val="20"/>
          <w:szCs w:val="20"/>
          <w:lang w:eastAsia="es-ES"/>
        </w:rPr>
        <w:t>close</w:t>
      </w:r>
      <w:r w:rsidR="00CD33D0" w:rsidRPr="008A7BD7">
        <w:rPr>
          <w:rFonts w:ascii="Cambria" w:eastAsia="Times New Roman" w:hAnsi="Cambria" w:cs="Arial"/>
          <w:sz w:val="20"/>
          <w:szCs w:val="20"/>
          <w:lang w:eastAsia="es-ES"/>
        </w:rPr>
        <w:t xml:space="preserve"> to him.</w:t>
      </w:r>
      <w:r w:rsidR="00706CD2" w:rsidRPr="008A7BD7">
        <w:rPr>
          <w:rFonts w:ascii="Cambria" w:eastAsia="Times New Roman" w:hAnsi="Cambria" w:cs="Arial"/>
          <w:sz w:val="20"/>
          <w:szCs w:val="20"/>
          <w:vertAlign w:val="superscript"/>
          <w:lang w:val="es-ES" w:eastAsia="es-ES"/>
        </w:rPr>
        <w:footnoteReference w:id="70"/>
      </w:r>
      <w:r w:rsidR="00706CD2" w:rsidRPr="008A7BD7">
        <w:rPr>
          <w:rFonts w:ascii="Cambria" w:eastAsia="Times New Roman" w:hAnsi="Cambria" w:cs="Arial"/>
          <w:sz w:val="20"/>
          <w:szCs w:val="20"/>
          <w:lang w:eastAsia="es-ES"/>
        </w:rPr>
        <w:t xml:space="preserve"> </w:t>
      </w:r>
      <w:r w:rsidR="002707EB" w:rsidRPr="008A7BD7">
        <w:rPr>
          <w:rFonts w:ascii="Cambria" w:eastAsia="Times New Roman" w:hAnsi="Cambria" w:cs="Arial"/>
          <w:sz w:val="20"/>
          <w:szCs w:val="20"/>
          <w:lang w:eastAsia="es-ES"/>
        </w:rPr>
        <w:t>Dur</w:t>
      </w:r>
      <w:r w:rsidR="00CD33D0" w:rsidRPr="008A7BD7">
        <w:rPr>
          <w:rFonts w:ascii="Cambria" w:eastAsia="Times New Roman" w:hAnsi="Cambria" w:cs="Arial"/>
          <w:sz w:val="20"/>
          <w:szCs w:val="20"/>
          <w:lang w:eastAsia="es-ES"/>
        </w:rPr>
        <w:t>ing the same hearing, former Special Prosecutor</w:t>
      </w:r>
      <w:r w:rsidR="00706CD2" w:rsidRPr="008A7BD7">
        <w:rPr>
          <w:rFonts w:ascii="Cambria" w:eastAsia="Times New Roman" w:hAnsi="Cambria" w:cs="Arial"/>
          <w:sz w:val="20"/>
          <w:szCs w:val="20"/>
          <w:lang w:eastAsia="es-ES"/>
        </w:rPr>
        <w:t xml:space="preserve"> Juan Francisco Sandoval, </w:t>
      </w:r>
      <w:r w:rsidR="00CD33D0" w:rsidRPr="008A7BD7">
        <w:rPr>
          <w:rFonts w:ascii="Cambria" w:eastAsia="Times New Roman" w:hAnsi="Cambria" w:cs="Arial"/>
          <w:sz w:val="20"/>
          <w:szCs w:val="20"/>
          <w:lang w:eastAsia="es-ES"/>
        </w:rPr>
        <w:t xml:space="preserve">alleged that on at least </w:t>
      </w:r>
      <w:r w:rsidR="00706CD2" w:rsidRPr="008A7BD7">
        <w:rPr>
          <w:rFonts w:ascii="Cambria" w:eastAsia="Times New Roman" w:hAnsi="Cambria" w:cs="Arial"/>
          <w:sz w:val="20"/>
          <w:szCs w:val="20"/>
          <w:lang w:eastAsia="es-ES"/>
        </w:rPr>
        <w:t xml:space="preserve">24 </w:t>
      </w:r>
      <w:r w:rsidR="00CD33D0" w:rsidRPr="008A7BD7">
        <w:rPr>
          <w:rFonts w:ascii="Cambria" w:eastAsia="Times New Roman" w:hAnsi="Cambria" w:cs="Arial"/>
          <w:sz w:val="20"/>
          <w:szCs w:val="20"/>
          <w:lang w:eastAsia="es-ES"/>
        </w:rPr>
        <w:t>occasions the Attorney General had tried to speed up an investigation to prosecute political adversaries, or slow down investigations related to State agencies.</w:t>
      </w:r>
      <w:r w:rsidR="00706CD2" w:rsidRPr="008A7BD7">
        <w:rPr>
          <w:rFonts w:ascii="Cambria" w:eastAsia="Times New Roman" w:hAnsi="Cambria" w:cs="Arial"/>
          <w:sz w:val="20"/>
          <w:szCs w:val="20"/>
          <w:vertAlign w:val="superscript"/>
          <w:lang w:val="es-ES" w:eastAsia="es-ES"/>
        </w:rPr>
        <w:footnoteReference w:id="71"/>
      </w:r>
    </w:p>
    <w:p w14:paraId="0D25E0BF" w14:textId="77777777" w:rsidR="00000246" w:rsidRPr="008A7BD7" w:rsidRDefault="00000246" w:rsidP="00706CD2">
      <w:pPr>
        <w:suppressAutoHyphens/>
        <w:jc w:val="both"/>
        <w:rPr>
          <w:rFonts w:ascii="Cambria" w:eastAsia="Times New Roman" w:hAnsi="Cambria" w:cs="Arial"/>
          <w:sz w:val="20"/>
          <w:szCs w:val="20"/>
          <w:lang w:eastAsia="es-ES_tradnl"/>
        </w:rPr>
      </w:pPr>
    </w:p>
    <w:p w14:paraId="40134B74" w14:textId="56D8CA5C" w:rsidR="00706CD2" w:rsidRPr="008A7BD7" w:rsidRDefault="006B09A7" w:rsidP="008A2AEC">
      <w:pPr>
        <w:numPr>
          <w:ilvl w:val="0"/>
          <w:numId w:val="2"/>
        </w:numPr>
        <w:ind w:left="0" w:firstLine="720"/>
        <w:jc w:val="both"/>
        <w:rPr>
          <w:rFonts w:ascii="Cambria" w:eastAsia="Verdana" w:hAnsi="Cambria" w:cs="Verdana"/>
          <w:sz w:val="20"/>
          <w:szCs w:val="20"/>
          <w:lang w:eastAsia="es-ES_tradnl"/>
        </w:rPr>
      </w:pPr>
      <w:r w:rsidRPr="008A7BD7">
        <w:rPr>
          <w:rFonts w:ascii="Cambria" w:eastAsia="Times New Roman" w:hAnsi="Cambria" w:cs="Arial"/>
          <w:sz w:val="20"/>
          <w:szCs w:val="20"/>
          <w:lang w:eastAsia="es-ES"/>
        </w:rPr>
        <w:t xml:space="preserve">In terms of pursuing criminal charges against members of the </w:t>
      </w:r>
      <w:r w:rsidR="00706CD2" w:rsidRPr="008A7BD7">
        <w:rPr>
          <w:rFonts w:ascii="Cambria" w:eastAsia="Times New Roman" w:hAnsi="Cambria" w:cs="Arial"/>
          <w:sz w:val="20"/>
          <w:szCs w:val="20"/>
          <w:lang w:eastAsia="es-ES"/>
        </w:rPr>
        <w:t xml:space="preserve">FECI, </w:t>
      </w:r>
      <w:r w:rsidRPr="008A7BD7">
        <w:rPr>
          <w:rFonts w:ascii="Cambria" w:eastAsia="Times New Roman" w:hAnsi="Cambria" w:cs="Arial"/>
          <w:sz w:val="20"/>
          <w:szCs w:val="20"/>
          <w:lang w:eastAsia="es-ES"/>
        </w:rPr>
        <w:t xml:space="preserve">the IACHR was informed that the investigations </w:t>
      </w:r>
      <w:r w:rsidR="00A2707D" w:rsidRPr="008A7BD7">
        <w:rPr>
          <w:rFonts w:ascii="Cambria" w:eastAsia="Times New Roman" w:hAnsi="Cambria" w:cs="Arial"/>
          <w:sz w:val="20"/>
          <w:szCs w:val="20"/>
          <w:lang w:eastAsia="es-ES"/>
        </w:rPr>
        <w:t xml:space="preserve">and complaints </w:t>
      </w:r>
      <w:r w:rsidRPr="008A7BD7">
        <w:rPr>
          <w:rFonts w:ascii="Cambria" w:eastAsia="Times New Roman" w:hAnsi="Cambria" w:cs="Arial"/>
          <w:sz w:val="20"/>
          <w:szCs w:val="20"/>
          <w:lang w:eastAsia="es-ES"/>
        </w:rPr>
        <w:t xml:space="preserve">against them were </w:t>
      </w:r>
      <w:r w:rsidR="00A2707D" w:rsidRPr="008A7BD7">
        <w:rPr>
          <w:rFonts w:ascii="Cambria" w:eastAsia="Times New Roman" w:hAnsi="Cambria" w:cs="Arial"/>
          <w:sz w:val="20"/>
          <w:szCs w:val="20"/>
          <w:lang w:eastAsia="es-ES"/>
        </w:rPr>
        <w:t>processed</w:t>
      </w:r>
      <w:r w:rsidRPr="008A7BD7">
        <w:rPr>
          <w:rFonts w:ascii="Cambria" w:eastAsia="Times New Roman" w:hAnsi="Cambria" w:cs="Arial"/>
          <w:sz w:val="20"/>
          <w:szCs w:val="20"/>
          <w:lang w:eastAsia="es-ES"/>
        </w:rPr>
        <w:t xml:space="preserve"> </w:t>
      </w:r>
      <w:r w:rsidR="00B75092" w:rsidRPr="008A7BD7">
        <w:rPr>
          <w:rFonts w:ascii="Cambria" w:eastAsia="Times New Roman" w:hAnsi="Cambria" w:cs="Arial"/>
          <w:sz w:val="20"/>
          <w:szCs w:val="20"/>
          <w:lang w:eastAsia="es-ES"/>
        </w:rPr>
        <w:t>swiftly</w:t>
      </w:r>
      <w:r w:rsidR="00A2707D" w:rsidRPr="008A7BD7">
        <w:rPr>
          <w:rFonts w:ascii="Cambria" w:eastAsia="Times New Roman" w:hAnsi="Cambria" w:cs="Arial"/>
          <w:sz w:val="20"/>
          <w:szCs w:val="20"/>
          <w:lang w:eastAsia="es-ES"/>
        </w:rPr>
        <w:t xml:space="preserve">, </w:t>
      </w:r>
      <w:r w:rsidRPr="008A7BD7">
        <w:rPr>
          <w:rFonts w:ascii="Cambria" w:eastAsia="Times New Roman" w:hAnsi="Cambria" w:cs="Arial"/>
          <w:sz w:val="20"/>
          <w:szCs w:val="20"/>
          <w:lang w:eastAsia="es-ES"/>
        </w:rPr>
        <w:t>by applying pressure on other prosecutors</w:t>
      </w:r>
      <w:r w:rsidR="00891915" w:rsidRPr="008A7BD7">
        <w:rPr>
          <w:rFonts w:ascii="Cambria" w:eastAsia="Times New Roman" w:hAnsi="Cambria" w:cs="Arial"/>
          <w:sz w:val="20"/>
          <w:szCs w:val="20"/>
          <w:lang w:eastAsia="es-ES"/>
        </w:rPr>
        <w:t xml:space="preserve">, which is </w:t>
      </w:r>
      <w:r w:rsidR="00A2707D" w:rsidRPr="008A7BD7">
        <w:rPr>
          <w:rFonts w:ascii="Cambria" w:eastAsia="Times New Roman" w:hAnsi="Cambria" w:cs="Arial"/>
          <w:sz w:val="20"/>
          <w:szCs w:val="20"/>
          <w:lang w:eastAsia="es-ES"/>
        </w:rPr>
        <w:t>evident</w:t>
      </w:r>
      <w:r w:rsidR="00891915" w:rsidRPr="008A7BD7">
        <w:rPr>
          <w:rFonts w:ascii="Cambria" w:eastAsia="Times New Roman" w:hAnsi="Cambria" w:cs="Arial"/>
          <w:sz w:val="20"/>
          <w:szCs w:val="20"/>
          <w:lang w:eastAsia="es-ES"/>
        </w:rPr>
        <w:t xml:space="preserve"> from the arrest warrant handed down against </w:t>
      </w:r>
      <w:r w:rsidR="00706CD2" w:rsidRPr="008A7BD7">
        <w:rPr>
          <w:rFonts w:ascii="Cambria" w:eastAsia="Times New Roman" w:hAnsi="Cambria" w:cs="Arial"/>
          <w:sz w:val="20"/>
          <w:szCs w:val="20"/>
          <w:lang w:eastAsia="es-ES"/>
        </w:rPr>
        <w:t xml:space="preserve">Juan Francisco Sandoval </w:t>
      </w:r>
      <w:r w:rsidR="00891915" w:rsidRPr="008A7BD7">
        <w:rPr>
          <w:rFonts w:ascii="Cambria" w:eastAsia="Times New Roman" w:hAnsi="Cambria" w:cs="Arial"/>
          <w:sz w:val="20"/>
          <w:szCs w:val="20"/>
          <w:lang w:eastAsia="es-ES"/>
        </w:rPr>
        <w:t xml:space="preserve">the day after his dismissal. </w:t>
      </w:r>
      <w:r w:rsidR="00A2707D" w:rsidRPr="008A7BD7">
        <w:rPr>
          <w:rFonts w:ascii="Cambria" w:eastAsia="Times New Roman" w:hAnsi="Cambria" w:cs="Arial"/>
          <w:sz w:val="20"/>
          <w:szCs w:val="20"/>
          <w:lang w:eastAsia="es-ES"/>
        </w:rPr>
        <w:t>Moreover</w:t>
      </w:r>
      <w:r w:rsidR="004F2FE9" w:rsidRPr="008A7BD7">
        <w:rPr>
          <w:rFonts w:ascii="Cambria" w:eastAsia="Times New Roman" w:hAnsi="Cambria" w:cs="Arial"/>
          <w:sz w:val="20"/>
          <w:szCs w:val="20"/>
          <w:lang w:eastAsia="es-ES"/>
        </w:rPr>
        <w:t>,</w:t>
      </w:r>
      <w:r w:rsidR="00A2707D" w:rsidRPr="008A7BD7">
        <w:rPr>
          <w:rFonts w:ascii="Cambria" w:eastAsia="Times New Roman" w:hAnsi="Cambria" w:cs="Arial"/>
          <w:sz w:val="20"/>
          <w:szCs w:val="20"/>
          <w:lang w:eastAsia="es-ES"/>
        </w:rPr>
        <w:t xml:space="preserve"> these were said to have been processed anonymously, </w:t>
      </w:r>
      <w:r w:rsidR="004F2FE9" w:rsidRPr="008A7BD7">
        <w:rPr>
          <w:rFonts w:ascii="Cambria" w:eastAsia="Times New Roman" w:hAnsi="Cambria" w:cs="Arial"/>
          <w:sz w:val="20"/>
          <w:szCs w:val="20"/>
          <w:lang w:eastAsia="es-ES"/>
        </w:rPr>
        <w:t xml:space="preserve">in contravention to Guatemalan law. Finally, in a press release dated November </w:t>
      </w:r>
      <w:r w:rsidR="00706CD2" w:rsidRPr="008A7BD7">
        <w:rPr>
          <w:rFonts w:ascii="Cambria" w:eastAsia="Times New Roman" w:hAnsi="Cambria" w:cs="Arial"/>
          <w:sz w:val="20"/>
          <w:szCs w:val="20"/>
          <w:lang w:eastAsia="es-ES"/>
        </w:rPr>
        <w:t>7</w:t>
      </w:r>
      <w:r w:rsidR="004F2FE9" w:rsidRPr="008A7BD7">
        <w:rPr>
          <w:rFonts w:ascii="Cambria" w:eastAsia="Times New Roman" w:hAnsi="Cambria" w:cs="Arial"/>
          <w:sz w:val="20"/>
          <w:szCs w:val="20"/>
          <w:lang w:eastAsia="es-ES"/>
        </w:rPr>
        <w:t xml:space="preserve">, the former </w:t>
      </w:r>
      <w:r w:rsidR="00446169" w:rsidRPr="008A7BD7">
        <w:rPr>
          <w:rFonts w:ascii="Cambria" w:eastAsia="Times New Roman" w:hAnsi="Cambria" w:cs="Arial"/>
          <w:sz w:val="20"/>
          <w:szCs w:val="20"/>
          <w:lang w:eastAsia="es-ES"/>
        </w:rPr>
        <w:t>Special Prosecutor stated</w:t>
      </w:r>
      <w:r w:rsidR="004F2FE9" w:rsidRPr="008A7BD7">
        <w:rPr>
          <w:rFonts w:ascii="Cambria" w:eastAsia="Times New Roman" w:hAnsi="Cambria" w:cs="Arial"/>
          <w:sz w:val="20"/>
          <w:szCs w:val="20"/>
          <w:lang w:eastAsia="es-ES"/>
        </w:rPr>
        <w:t xml:space="preserve"> that the Office of the </w:t>
      </w:r>
      <w:r w:rsidR="00446169" w:rsidRPr="008A7BD7">
        <w:rPr>
          <w:rFonts w:ascii="Cambria" w:eastAsia="Times New Roman" w:hAnsi="Cambria" w:cs="Arial"/>
          <w:sz w:val="20"/>
          <w:szCs w:val="20"/>
          <w:lang w:eastAsia="es-ES"/>
        </w:rPr>
        <w:t xml:space="preserve">Prosecutor for Internal Affairs within the </w:t>
      </w:r>
      <w:r w:rsidR="000D2109" w:rsidRPr="008A7BD7">
        <w:rPr>
          <w:rFonts w:ascii="Cambria" w:eastAsia="Times New Roman" w:hAnsi="Cambria" w:cs="Arial"/>
          <w:sz w:val="20"/>
          <w:szCs w:val="20"/>
          <w:lang w:eastAsia="es-ES"/>
        </w:rPr>
        <w:t xml:space="preserve">Public Prosecutor’s </w:t>
      </w:r>
      <w:r w:rsidR="00446169" w:rsidRPr="008A7BD7">
        <w:rPr>
          <w:rFonts w:ascii="Cambria" w:eastAsia="Times New Roman" w:hAnsi="Cambria" w:cs="Arial"/>
          <w:sz w:val="20"/>
          <w:szCs w:val="20"/>
          <w:lang w:eastAsia="es-ES"/>
        </w:rPr>
        <w:t xml:space="preserve">Office </w:t>
      </w:r>
      <w:r w:rsidR="004F2FE9" w:rsidRPr="008A7BD7">
        <w:rPr>
          <w:rFonts w:ascii="Cambria" w:eastAsia="Times New Roman" w:hAnsi="Cambria" w:cs="Arial"/>
          <w:sz w:val="20"/>
          <w:szCs w:val="20"/>
          <w:lang w:eastAsia="es-ES"/>
        </w:rPr>
        <w:t>ha</w:t>
      </w:r>
      <w:r w:rsidR="00446169" w:rsidRPr="008A7BD7">
        <w:rPr>
          <w:rFonts w:ascii="Cambria" w:eastAsia="Times New Roman" w:hAnsi="Cambria" w:cs="Arial"/>
          <w:sz w:val="20"/>
          <w:szCs w:val="20"/>
          <w:lang w:eastAsia="es-ES"/>
        </w:rPr>
        <w:t>d</w:t>
      </w:r>
      <w:r w:rsidR="00706CD2" w:rsidRPr="008A7BD7">
        <w:rPr>
          <w:rFonts w:ascii="Cambria" w:eastAsia="Times New Roman" w:hAnsi="Cambria" w:cs="Arial"/>
          <w:sz w:val="20"/>
          <w:szCs w:val="20"/>
          <w:lang w:eastAsia="es-ES"/>
        </w:rPr>
        <w:t xml:space="preserve"> </w:t>
      </w:r>
      <w:r w:rsidR="00446169" w:rsidRPr="008A7BD7">
        <w:rPr>
          <w:rFonts w:ascii="Cambria" w:eastAsia="Times New Roman" w:hAnsi="Cambria" w:cs="Arial"/>
          <w:sz w:val="20"/>
          <w:szCs w:val="20"/>
          <w:lang w:eastAsia="es-ES"/>
        </w:rPr>
        <w:t xml:space="preserve">summoned several justice operators to testify for the purpose of </w:t>
      </w:r>
      <w:r w:rsidR="00226137" w:rsidRPr="008A7BD7">
        <w:rPr>
          <w:rFonts w:ascii="Cambria" w:eastAsia="Times New Roman" w:hAnsi="Cambria" w:cs="Arial"/>
          <w:sz w:val="20"/>
          <w:szCs w:val="20"/>
          <w:lang w:eastAsia="es-ES"/>
        </w:rPr>
        <w:t xml:space="preserve">tying former FECI personnel to alleged </w:t>
      </w:r>
      <w:r w:rsidR="00AD2CB7" w:rsidRPr="008A7BD7">
        <w:rPr>
          <w:rFonts w:ascii="Cambria" w:eastAsia="Times New Roman" w:hAnsi="Cambria" w:cs="Arial"/>
          <w:sz w:val="20"/>
          <w:szCs w:val="20"/>
          <w:lang w:eastAsia="es-ES"/>
        </w:rPr>
        <w:t>illicit activities as “part of a ficti</w:t>
      </w:r>
      <w:r w:rsidR="00AE5B80" w:rsidRPr="008A7BD7">
        <w:rPr>
          <w:rFonts w:ascii="Cambria" w:eastAsia="Times New Roman" w:hAnsi="Cambria" w:cs="Arial"/>
          <w:sz w:val="20"/>
          <w:szCs w:val="20"/>
          <w:lang w:eastAsia="es-ES"/>
        </w:rPr>
        <w:t>tious</w:t>
      </w:r>
      <w:r w:rsidR="00AD2CB7" w:rsidRPr="008A7BD7">
        <w:rPr>
          <w:rFonts w:ascii="Cambria" w:eastAsia="Times New Roman" w:hAnsi="Cambria" w:cs="Arial"/>
          <w:sz w:val="20"/>
          <w:szCs w:val="20"/>
          <w:lang w:eastAsia="es-ES"/>
        </w:rPr>
        <w:t xml:space="preserve"> criminal </w:t>
      </w:r>
      <w:r w:rsidR="00C71D80" w:rsidRPr="008A7BD7">
        <w:rPr>
          <w:rFonts w:ascii="Cambria" w:eastAsia="Times New Roman" w:hAnsi="Cambria" w:cs="Arial"/>
          <w:sz w:val="20"/>
          <w:szCs w:val="20"/>
          <w:lang w:eastAsia="es-ES"/>
        </w:rPr>
        <w:t>structure</w:t>
      </w:r>
      <w:r w:rsidR="00AD2CB7" w:rsidRPr="008A7BD7">
        <w:rPr>
          <w:rFonts w:ascii="Cambria" w:eastAsia="Times New Roman" w:hAnsi="Cambria" w:cs="Arial"/>
          <w:sz w:val="20"/>
          <w:szCs w:val="20"/>
          <w:lang w:eastAsia="es-ES"/>
        </w:rPr>
        <w:t>.”</w:t>
      </w:r>
      <w:r w:rsidR="00706CD2" w:rsidRPr="008A7BD7">
        <w:rPr>
          <w:rFonts w:ascii="Cambria" w:eastAsia="Times New Roman" w:hAnsi="Cambria" w:cs="Arial"/>
          <w:sz w:val="20"/>
          <w:szCs w:val="20"/>
          <w:vertAlign w:val="superscript"/>
          <w:lang w:val="es-ES" w:eastAsia="es-ES"/>
        </w:rPr>
        <w:footnoteReference w:id="72"/>
      </w:r>
      <w:r w:rsidR="00706CD2" w:rsidRPr="008A7BD7">
        <w:rPr>
          <w:rFonts w:ascii="Cambria" w:eastAsia="Times New Roman" w:hAnsi="Cambria" w:cs="Arial"/>
          <w:sz w:val="20"/>
          <w:szCs w:val="20"/>
          <w:lang w:eastAsia="es-ES"/>
        </w:rPr>
        <w:t xml:space="preserve"> </w:t>
      </w:r>
    </w:p>
    <w:p w14:paraId="3F427848" w14:textId="77777777" w:rsidR="00706CD2" w:rsidRPr="008A7BD7" w:rsidRDefault="00706CD2" w:rsidP="00706CD2">
      <w:pPr>
        <w:ind w:left="720"/>
        <w:contextualSpacing/>
        <w:jc w:val="both"/>
        <w:rPr>
          <w:rFonts w:ascii="Cambria" w:eastAsia="Verdana" w:hAnsi="Cambria" w:cs="Verdana"/>
          <w:sz w:val="20"/>
          <w:szCs w:val="20"/>
        </w:rPr>
      </w:pPr>
    </w:p>
    <w:p w14:paraId="740D4582" w14:textId="018E7548" w:rsidR="00706CD2" w:rsidRPr="008A7BD7" w:rsidRDefault="00C71D80" w:rsidP="008A2AEC">
      <w:pPr>
        <w:numPr>
          <w:ilvl w:val="0"/>
          <w:numId w:val="2"/>
        </w:numPr>
        <w:ind w:left="0" w:firstLine="720"/>
        <w:jc w:val="both"/>
        <w:rPr>
          <w:rFonts w:ascii="Cambria" w:eastAsia="Verdana" w:hAnsi="Cambria" w:cs="Verdana"/>
          <w:sz w:val="20"/>
          <w:szCs w:val="20"/>
          <w:lang w:eastAsia="es-ES_tradnl"/>
        </w:rPr>
      </w:pPr>
      <w:r w:rsidRPr="008A7BD7">
        <w:rPr>
          <w:rFonts w:ascii="Cambria" w:eastAsia="Verdana" w:hAnsi="Cambria" w:cs="Verdana"/>
          <w:sz w:val="20"/>
          <w:szCs w:val="20"/>
          <w:lang w:eastAsia="es-ES"/>
        </w:rPr>
        <w:t xml:space="preserve">In this context, on September </w:t>
      </w:r>
      <w:r w:rsidR="00706CD2" w:rsidRPr="008A7BD7">
        <w:rPr>
          <w:rFonts w:ascii="Cambria" w:eastAsia="Verdana" w:hAnsi="Cambria" w:cs="Verdana"/>
          <w:sz w:val="20"/>
          <w:szCs w:val="20"/>
          <w:lang w:eastAsia="es-ES"/>
        </w:rPr>
        <w:t>23</w:t>
      </w:r>
      <w:r w:rsidRPr="008A7BD7">
        <w:rPr>
          <w:rFonts w:ascii="Cambria" w:eastAsia="Verdana" w:hAnsi="Cambria" w:cs="Verdana"/>
          <w:sz w:val="20"/>
          <w:szCs w:val="20"/>
          <w:lang w:eastAsia="es-ES"/>
        </w:rPr>
        <w:t xml:space="preserve">, </w:t>
      </w:r>
      <w:r w:rsidR="00706CD2" w:rsidRPr="008A7BD7">
        <w:rPr>
          <w:rFonts w:ascii="Cambria" w:eastAsia="Verdana" w:hAnsi="Cambria" w:cs="Verdana"/>
          <w:sz w:val="20"/>
          <w:szCs w:val="20"/>
          <w:lang w:eastAsia="es-ES"/>
        </w:rPr>
        <w:t>2021,</w:t>
      </w:r>
      <w:r w:rsidRPr="008A7BD7">
        <w:rPr>
          <w:rFonts w:ascii="Cambria" w:eastAsia="Verdana" w:hAnsi="Cambria" w:cs="Verdana"/>
          <w:sz w:val="20"/>
          <w:szCs w:val="20"/>
          <w:lang w:eastAsia="es-ES"/>
        </w:rPr>
        <w:t xml:space="preserve"> the Inter-American Court granted provisional measures for two members of the </w:t>
      </w:r>
      <w:r w:rsidR="00706CD2" w:rsidRPr="008A7BD7">
        <w:rPr>
          <w:rFonts w:ascii="Cambria" w:eastAsia="Verdana" w:hAnsi="Cambria" w:cs="Verdana"/>
          <w:sz w:val="20"/>
          <w:szCs w:val="20"/>
          <w:lang w:eastAsia="es-ES"/>
        </w:rPr>
        <w:t xml:space="preserve">FECI. </w:t>
      </w:r>
      <w:r w:rsidRPr="008A7BD7">
        <w:rPr>
          <w:rFonts w:ascii="Cambria" w:eastAsia="Verdana" w:hAnsi="Cambria" w:cs="Verdana"/>
          <w:sz w:val="20"/>
          <w:szCs w:val="20"/>
          <w:lang w:eastAsia="es-ES"/>
        </w:rPr>
        <w:t xml:space="preserve">In its </w:t>
      </w:r>
      <w:r w:rsidR="00CA14D2" w:rsidRPr="008A7BD7">
        <w:rPr>
          <w:rFonts w:ascii="Cambria" w:eastAsia="Verdana" w:hAnsi="Cambria" w:cs="Verdana"/>
          <w:sz w:val="20"/>
          <w:szCs w:val="20"/>
          <w:lang w:eastAsia="es-ES"/>
        </w:rPr>
        <w:t>order</w:t>
      </w:r>
      <w:r w:rsidRPr="008A7BD7">
        <w:rPr>
          <w:rFonts w:ascii="Cambria" w:eastAsia="Verdana" w:hAnsi="Cambria" w:cs="Verdana"/>
          <w:sz w:val="20"/>
          <w:szCs w:val="20"/>
          <w:lang w:eastAsia="es-ES"/>
        </w:rPr>
        <w:t xml:space="preserve">, the Court </w:t>
      </w:r>
      <w:r w:rsidR="00CA14D2" w:rsidRPr="008A7BD7">
        <w:rPr>
          <w:rFonts w:ascii="Cambria" w:eastAsia="Verdana" w:hAnsi="Cambria" w:cs="Verdana"/>
          <w:sz w:val="20"/>
          <w:szCs w:val="20"/>
          <w:lang w:eastAsia="es-ES"/>
        </w:rPr>
        <w:t>noted</w:t>
      </w:r>
      <w:r w:rsidRPr="008A7BD7">
        <w:rPr>
          <w:rFonts w:ascii="Cambria" w:eastAsia="Verdana" w:hAnsi="Cambria" w:cs="Verdana"/>
          <w:sz w:val="20"/>
          <w:szCs w:val="20"/>
          <w:lang w:eastAsia="es-ES"/>
        </w:rPr>
        <w:t xml:space="preserve"> that the two prosecutors were being intimidated, followed, and threatened. The Inter-American Court also </w:t>
      </w:r>
      <w:r w:rsidR="00CA14D2" w:rsidRPr="008A7BD7">
        <w:rPr>
          <w:rFonts w:ascii="Cambria" w:eastAsia="Verdana" w:hAnsi="Cambria" w:cs="Verdana"/>
          <w:sz w:val="20"/>
          <w:szCs w:val="20"/>
          <w:lang w:eastAsia="es-ES"/>
        </w:rPr>
        <w:t xml:space="preserve">took </w:t>
      </w:r>
      <w:r w:rsidRPr="008A7BD7">
        <w:rPr>
          <w:rFonts w:ascii="Cambria" w:eastAsia="Verdana" w:hAnsi="Cambria" w:cs="Verdana"/>
          <w:sz w:val="20"/>
          <w:szCs w:val="20"/>
          <w:lang w:eastAsia="es-ES"/>
        </w:rPr>
        <w:t>note</w:t>
      </w:r>
      <w:r w:rsidR="00CA14D2" w:rsidRPr="008A7BD7">
        <w:rPr>
          <w:rFonts w:ascii="Cambria" w:eastAsia="Verdana" w:hAnsi="Cambria" w:cs="Verdana"/>
          <w:sz w:val="20"/>
          <w:szCs w:val="20"/>
          <w:lang w:eastAsia="es-ES"/>
        </w:rPr>
        <w:t xml:space="preserve"> of</w:t>
      </w:r>
      <w:r w:rsidRPr="008A7BD7">
        <w:rPr>
          <w:rFonts w:ascii="Cambria" w:eastAsia="Verdana" w:hAnsi="Cambria" w:cs="Verdana"/>
          <w:sz w:val="20"/>
          <w:szCs w:val="20"/>
          <w:lang w:eastAsia="es-ES"/>
        </w:rPr>
        <w:t xml:space="preserve"> the adverse context of risk toward the work of the </w:t>
      </w:r>
      <w:r w:rsidR="00706CD2" w:rsidRPr="008A7BD7">
        <w:rPr>
          <w:rFonts w:ascii="Cambria" w:eastAsia="Times New Roman" w:hAnsi="Cambria" w:cs="Cambria"/>
          <w:sz w:val="20"/>
          <w:szCs w:val="20"/>
          <w:lang w:eastAsia="es-ES"/>
        </w:rPr>
        <w:t xml:space="preserve">FECI, </w:t>
      </w:r>
      <w:r w:rsidRPr="008A7BD7">
        <w:rPr>
          <w:rFonts w:ascii="Cambria" w:eastAsia="Times New Roman" w:hAnsi="Cambria" w:cs="Cambria"/>
          <w:sz w:val="20"/>
          <w:szCs w:val="20"/>
          <w:lang w:eastAsia="es-ES"/>
        </w:rPr>
        <w:t>as well as</w:t>
      </w:r>
      <w:r w:rsidR="00702F9B" w:rsidRPr="008A7BD7">
        <w:rPr>
          <w:rFonts w:ascii="Cambria" w:eastAsia="Times New Roman" w:hAnsi="Cambria" w:cs="Cambria"/>
          <w:sz w:val="20"/>
          <w:szCs w:val="20"/>
          <w:lang w:eastAsia="es-ES"/>
        </w:rPr>
        <w:t xml:space="preserve"> attacks and threats against justice operators working to fight impunity and corruption. Among other factors, the Inter-American Court pointed to selective harassment, stigmatization, and disparagement </w:t>
      </w:r>
      <w:r w:rsidR="00D37C34" w:rsidRPr="008A7BD7">
        <w:rPr>
          <w:rFonts w:ascii="Cambria" w:eastAsia="Times New Roman" w:hAnsi="Cambria" w:cs="Cambria"/>
          <w:sz w:val="20"/>
          <w:szCs w:val="20"/>
          <w:lang w:eastAsia="es-ES"/>
        </w:rPr>
        <w:t xml:space="preserve">of them in </w:t>
      </w:r>
      <w:r w:rsidR="00702F9B" w:rsidRPr="008A7BD7">
        <w:rPr>
          <w:rFonts w:ascii="Cambria" w:eastAsia="Times New Roman" w:hAnsi="Cambria" w:cs="Cambria"/>
          <w:sz w:val="20"/>
          <w:szCs w:val="20"/>
          <w:lang w:eastAsia="es-ES"/>
        </w:rPr>
        <w:t xml:space="preserve">social media </w:t>
      </w:r>
      <w:r w:rsidR="00D37C34" w:rsidRPr="008A7BD7">
        <w:rPr>
          <w:rFonts w:ascii="Cambria" w:eastAsia="Times New Roman" w:hAnsi="Cambria" w:cs="Cambria"/>
          <w:sz w:val="20"/>
          <w:szCs w:val="20"/>
          <w:lang w:eastAsia="es-ES"/>
        </w:rPr>
        <w:t xml:space="preserve">posts </w:t>
      </w:r>
      <w:r w:rsidR="00702F9B" w:rsidRPr="008A7BD7">
        <w:rPr>
          <w:rFonts w:ascii="Cambria" w:eastAsia="Times New Roman" w:hAnsi="Cambria" w:cs="Cambria"/>
          <w:sz w:val="20"/>
          <w:szCs w:val="20"/>
          <w:lang w:eastAsia="es-ES"/>
        </w:rPr>
        <w:t>and in the press</w:t>
      </w:r>
      <w:r w:rsidR="005E5DF4" w:rsidRPr="008A7BD7">
        <w:rPr>
          <w:rFonts w:ascii="Cambria" w:eastAsia="Times New Roman" w:hAnsi="Cambria" w:cs="Cambria"/>
          <w:sz w:val="20"/>
          <w:szCs w:val="20"/>
          <w:lang w:eastAsia="es-ES"/>
        </w:rPr>
        <w:t xml:space="preserve"> </w:t>
      </w:r>
      <w:r w:rsidR="00A17EEE" w:rsidRPr="008A7BD7">
        <w:rPr>
          <w:rFonts w:ascii="Cambria" w:eastAsia="Times New Roman" w:hAnsi="Cambria" w:cs="Cambria"/>
          <w:sz w:val="20"/>
          <w:szCs w:val="20"/>
          <w:lang w:eastAsia="es-ES"/>
        </w:rPr>
        <w:t>that seek</w:t>
      </w:r>
      <w:r w:rsidR="00702F9B" w:rsidRPr="008A7BD7">
        <w:rPr>
          <w:rFonts w:ascii="Cambria" w:eastAsia="Times New Roman" w:hAnsi="Cambria" w:cs="Cambria"/>
          <w:sz w:val="20"/>
          <w:szCs w:val="20"/>
          <w:lang w:eastAsia="es-ES"/>
        </w:rPr>
        <w:t xml:space="preserve"> to discredit the work of </w:t>
      </w:r>
      <w:r w:rsidR="00706CD2" w:rsidRPr="008A7BD7">
        <w:rPr>
          <w:rFonts w:ascii="Cambria" w:eastAsia="Verdana" w:hAnsi="Cambria" w:cs="Verdana"/>
          <w:sz w:val="20"/>
          <w:szCs w:val="20"/>
          <w:lang w:eastAsia="es-ES"/>
        </w:rPr>
        <w:t xml:space="preserve">FECI </w:t>
      </w:r>
      <w:r w:rsidR="00702F9B" w:rsidRPr="008A7BD7">
        <w:rPr>
          <w:rFonts w:ascii="Cambria" w:eastAsia="Verdana" w:hAnsi="Cambria" w:cs="Verdana"/>
          <w:sz w:val="20"/>
          <w:szCs w:val="20"/>
          <w:lang w:eastAsia="es-ES"/>
        </w:rPr>
        <w:t xml:space="preserve">prosecutors by </w:t>
      </w:r>
      <w:r w:rsidR="005E5DF4" w:rsidRPr="008A7BD7">
        <w:rPr>
          <w:rFonts w:ascii="Cambria" w:eastAsia="Verdana" w:hAnsi="Cambria" w:cs="Verdana"/>
          <w:sz w:val="20"/>
          <w:szCs w:val="20"/>
          <w:lang w:eastAsia="es-ES"/>
        </w:rPr>
        <w:t>likening it</w:t>
      </w:r>
      <w:r w:rsidR="00702F9B" w:rsidRPr="008A7BD7">
        <w:rPr>
          <w:rFonts w:ascii="Cambria" w:eastAsia="Verdana" w:hAnsi="Cambria" w:cs="Verdana"/>
          <w:sz w:val="20"/>
          <w:szCs w:val="20"/>
          <w:lang w:eastAsia="es-ES"/>
        </w:rPr>
        <w:t xml:space="preserve"> to criminal </w:t>
      </w:r>
      <w:proofErr w:type="gramStart"/>
      <w:r w:rsidR="00702F9B" w:rsidRPr="008A7BD7">
        <w:rPr>
          <w:rFonts w:ascii="Cambria" w:eastAsia="Verdana" w:hAnsi="Cambria" w:cs="Verdana"/>
          <w:sz w:val="20"/>
          <w:szCs w:val="20"/>
          <w:lang w:eastAsia="es-ES"/>
        </w:rPr>
        <w:t>activit</w:t>
      </w:r>
      <w:r w:rsidR="00A17EEE" w:rsidRPr="008A7BD7">
        <w:rPr>
          <w:rFonts w:ascii="Cambria" w:eastAsia="Verdana" w:hAnsi="Cambria" w:cs="Verdana"/>
          <w:sz w:val="20"/>
          <w:szCs w:val="20"/>
          <w:lang w:eastAsia="es-ES"/>
        </w:rPr>
        <w:t>y</w:t>
      </w:r>
      <w:r w:rsidR="005E5DF4" w:rsidRPr="008A7BD7">
        <w:rPr>
          <w:rFonts w:ascii="Cambria" w:eastAsia="Verdana" w:hAnsi="Cambria" w:cs="Verdana"/>
          <w:sz w:val="20"/>
          <w:szCs w:val="20"/>
          <w:lang w:eastAsia="es-ES"/>
        </w:rPr>
        <w:t xml:space="preserve">, </w:t>
      </w:r>
      <w:r w:rsidR="00964E0F" w:rsidRPr="008A7BD7">
        <w:rPr>
          <w:rFonts w:ascii="Cambria" w:eastAsia="Verdana" w:hAnsi="Cambria" w:cs="Verdana"/>
          <w:sz w:val="20"/>
          <w:szCs w:val="20"/>
          <w:lang w:eastAsia="es-ES"/>
        </w:rPr>
        <w:t>and</w:t>
      </w:r>
      <w:proofErr w:type="gramEnd"/>
      <w:r w:rsidR="00964E0F" w:rsidRPr="008A7BD7">
        <w:rPr>
          <w:rFonts w:ascii="Cambria" w:eastAsia="Verdana" w:hAnsi="Cambria" w:cs="Verdana"/>
          <w:sz w:val="20"/>
          <w:szCs w:val="20"/>
          <w:lang w:eastAsia="es-ES"/>
        </w:rPr>
        <w:t xml:space="preserve"> noted that such </w:t>
      </w:r>
      <w:r w:rsidR="00A17EEE" w:rsidRPr="008A7BD7">
        <w:rPr>
          <w:rFonts w:ascii="Cambria" w:eastAsia="Verdana" w:hAnsi="Cambria" w:cs="Verdana"/>
          <w:sz w:val="20"/>
          <w:szCs w:val="20"/>
          <w:lang w:eastAsia="es-ES"/>
        </w:rPr>
        <w:t>incidents</w:t>
      </w:r>
      <w:r w:rsidR="005E5DF4" w:rsidRPr="008A7BD7">
        <w:rPr>
          <w:rFonts w:ascii="Cambria" w:eastAsia="Verdana" w:hAnsi="Cambria" w:cs="Verdana"/>
          <w:sz w:val="20"/>
          <w:szCs w:val="20"/>
          <w:lang w:eastAsia="es-ES"/>
        </w:rPr>
        <w:t xml:space="preserve"> show that the surveillance and harassment of </w:t>
      </w:r>
      <w:r w:rsidR="006562F8" w:rsidRPr="008A7BD7">
        <w:rPr>
          <w:rFonts w:ascii="Cambria" w:eastAsia="Verdana" w:hAnsi="Cambria" w:cs="Verdana"/>
          <w:sz w:val="20"/>
          <w:szCs w:val="20"/>
          <w:lang w:eastAsia="es-ES"/>
        </w:rPr>
        <w:t>them continues.</w:t>
      </w:r>
      <w:r w:rsidR="00706CD2" w:rsidRPr="008A7BD7">
        <w:rPr>
          <w:rFonts w:ascii="Cambria" w:eastAsia="Verdana" w:hAnsi="Cambria" w:cs="Verdana"/>
          <w:sz w:val="20"/>
          <w:szCs w:val="20"/>
          <w:vertAlign w:val="superscript"/>
          <w:lang w:val="es-CR" w:eastAsia="es-ES"/>
        </w:rPr>
        <w:footnoteReference w:id="73"/>
      </w:r>
    </w:p>
    <w:p w14:paraId="3C3086E2" w14:textId="77777777" w:rsidR="00706CD2" w:rsidRPr="008A7BD7" w:rsidRDefault="00706CD2" w:rsidP="00706CD2">
      <w:pPr>
        <w:ind w:left="720"/>
        <w:contextualSpacing/>
        <w:jc w:val="both"/>
        <w:rPr>
          <w:rFonts w:ascii="Cambria" w:eastAsia="Times New Roman" w:hAnsi="Cambria" w:cs="Tahoma"/>
          <w:color w:val="000000"/>
          <w:sz w:val="20"/>
          <w:szCs w:val="20"/>
          <w:lang w:eastAsia="es-ES_tradnl"/>
        </w:rPr>
      </w:pPr>
    </w:p>
    <w:p w14:paraId="62BC6EB9" w14:textId="6F05B73D" w:rsidR="002D4016" w:rsidRPr="008A7BD7" w:rsidRDefault="00813F53"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Arial"/>
          <w:sz w:val="20"/>
          <w:szCs w:val="20"/>
          <w:lang w:eastAsia="es-ES"/>
        </w:rPr>
        <w:t>Meanwhile, the IACHR learned that on October 11, the Attorney General announce</w:t>
      </w:r>
      <w:r w:rsidR="006846AE" w:rsidRPr="008A7BD7">
        <w:rPr>
          <w:rFonts w:ascii="Cambria" w:eastAsia="Times New Roman" w:hAnsi="Cambria" w:cs="Arial"/>
          <w:sz w:val="20"/>
          <w:szCs w:val="20"/>
          <w:lang w:eastAsia="es-ES"/>
        </w:rPr>
        <w:t>d</w:t>
      </w:r>
      <w:r w:rsidRPr="008A7BD7">
        <w:rPr>
          <w:rFonts w:ascii="Cambria" w:eastAsia="Times New Roman" w:hAnsi="Cambria" w:cs="Arial"/>
          <w:sz w:val="20"/>
          <w:szCs w:val="20"/>
          <w:lang w:eastAsia="es-ES"/>
        </w:rPr>
        <w:t xml:space="preserve"> changes to the top positions in 11 prosecutor</w:t>
      </w:r>
      <w:r w:rsidR="006846AE" w:rsidRPr="008A7BD7">
        <w:rPr>
          <w:rFonts w:ascii="Cambria" w:eastAsia="Times New Roman" w:hAnsi="Cambria" w:cs="Arial"/>
          <w:sz w:val="20"/>
          <w:szCs w:val="20"/>
          <w:lang w:eastAsia="es-ES"/>
        </w:rPr>
        <w:t>ial divisions</w:t>
      </w:r>
      <w:r w:rsidRPr="008A7BD7">
        <w:rPr>
          <w:rFonts w:ascii="Cambria" w:eastAsia="Times New Roman" w:hAnsi="Cambria" w:cs="Arial"/>
          <w:sz w:val="20"/>
          <w:szCs w:val="20"/>
          <w:lang w:eastAsia="es-ES"/>
        </w:rPr>
        <w:t xml:space="preserve">, including the transfer of </w:t>
      </w:r>
      <w:r w:rsidR="008E437A" w:rsidRPr="008A7BD7">
        <w:rPr>
          <w:rFonts w:ascii="Cambria" w:eastAsia="Times New Roman" w:hAnsi="Cambria" w:cs="Arial"/>
          <w:sz w:val="20"/>
          <w:szCs w:val="20"/>
          <w:lang w:eastAsia="es-ES"/>
        </w:rPr>
        <w:t xml:space="preserve">the </w:t>
      </w:r>
      <w:r w:rsidR="00D37C34" w:rsidRPr="008A7BD7">
        <w:rPr>
          <w:rFonts w:ascii="Cambria" w:eastAsia="Times New Roman" w:hAnsi="Cambria" w:cs="Arial"/>
          <w:sz w:val="20"/>
          <w:szCs w:val="20"/>
          <w:lang w:eastAsia="es-ES"/>
        </w:rPr>
        <w:t xml:space="preserve">Prosecutor for </w:t>
      </w:r>
      <w:r w:rsidRPr="008A7BD7">
        <w:rPr>
          <w:rFonts w:ascii="Cambria" w:eastAsia="Times New Roman" w:hAnsi="Cambria" w:cs="Arial"/>
          <w:sz w:val="20"/>
          <w:szCs w:val="20"/>
          <w:lang w:eastAsia="es-ES"/>
        </w:rPr>
        <w:t>Human Rights</w:t>
      </w:r>
      <w:r w:rsidR="00D37C34" w:rsidRPr="008A7BD7">
        <w:rPr>
          <w:rFonts w:ascii="Cambria" w:eastAsia="Times New Roman" w:hAnsi="Cambria" w:cs="Arial"/>
          <w:sz w:val="20"/>
          <w:szCs w:val="20"/>
          <w:lang w:eastAsia="es-ES"/>
        </w:rPr>
        <w:t>,</w:t>
      </w:r>
      <w:r w:rsidRPr="008A7BD7">
        <w:rPr>
          <w:rFonts w:ascii="Cambria" w:eastAsia="Times New Roman" w:hAnsi="Cambria" w:cs="Arial"/>
          <w:sz w:val="20"/>
          <w:szCs w:val="20"/>
          <w:lang w:eastAsia="es-ES"/>
        </w:rPr>
        <w:t xml:space="preserve"> </w:t>
      </w:r>
      <w:r w:rsidR="00706CD2" w:rsidRPr="008A7BD7">
        <w:rPr>
          <w:rFonts w:ascii="Cambria" w:eastAsia="Calibri" w:hAnsi="Cambria" w:cs="Segoe UI"/>
          <w:color w:val="000000"/>
          <w:sz w:val="20"/>
          <w:szCs w:val="20"/>
          <w:lang w:eastAsia="es-ES"/>
        </w:rPr>
        <w:t>Hilda Elizabeth Pineda García</w:t>
      </w:r>
      <w:r w:rsidR="00D37C34" w:rsidRPr="008A7BD7">
        <w:rPr>
          <w:rFonts w:ascii="Cambria" w:eastAsia="Calibri" w:hAnsi="Cambria" w:cs="Segoe UI"/>
          <w:color w:val="000000"/>
          <w:sz w:val="20"/>
          <w:szCs w:val="20"/>
          <w:lang w:eastAsia="es-ES"/>
        </w:rPr>
        <w:t>,</w:t>
      </w:r>
      <w:r w:rsidRPr="008A7BD7">
        <w:rPr>
          <w:rFonts w:ascii="Cambria" w:eastAsia="Calibri" w:hAnsi="Cambria" w:cs="Segoe UI"/>
          <w:color w:val="000000"/>
          <w:sz w:val="20"/>
          <w:szCs w:val="20"/>
          <w:lang w:eastAsia="es-ES"/>
        </w:rPr>
        <w:t xml:space="preserve"> to the Office of the Prosecutor for Crimes against Foreign Tourists.</w:t>
      </w:r>
      <w:r w:rsidR="00706CD2" w:rsidRPr="008A7BD7">
        <w:rPr>
          <w:rFonts w:ascii="Cambria" w:eastAsia="Times New Roman" w:hAnsi="Cambria" w:cs="Segoe UI"/>
          <w:color w:val="000000"/>
          <w:sz w:val="20"/>
          <w:szCs w:val="20"/>
          <w:vertAlign w:val="superscript"/>
          <w:lang w:val="es-MX" w:eastAsia="es-ES"/>
        </w:rPr>
        <w:footnoteReference w:id="74"/>
      </w:r>
      <w:r w:rsidR="00706CD2" w:rsidRPr="008A7BD7">
        <w:rPr>
          <w:rFonts w:ascii="Cambria" w:eastAsia="Times New Roman" w:hAnsi="Cambria" w:cs="Segoe UI"/>
          <w:color w:val="000000"/>
          <w:sz w:val="20"/>
          <w:szCs w:val="20"/>
          <w:lang w:eastAsia="es-ES"/>
        </w:rPr>
        <w:t> </w:t>
      </w:r>
      <w:r w:rsidRPr="008A7BD7">
        <w:rPr>
          <w:rFonts w:ascii="Cambria" w:eastAsia="Times New Roman" w:hAnsi="Cambria" w:cs="Segoe UI"/>
          <w:color w:val="000000"/>
          <w:sz w:val="20"/>
          <w:szCs w:val="20"/>
          <w:lang w:eastAsia="es-ES"/>
        </w:rPr>
        <w:t xml:space="preserve">Civil society organizations complained that the transfer </w:t>
      </w:r>
      <w:r w:rsidR="00410661" w:rsidRPr="008A7BD7">
        <w:rPr>
          <w:rFonts w:ascii="Cambria" w:eastAsia="Times New Roman" w:hAnsi="Cambria" w:cs="Segoe UI"/>
          <w:color w:val="000000"/>
          <w:sz w:val="20"/>
          <w:szCs w:val="20"/>
          <w:lang w:eastAsia="es-ES"/>
        </w:rPr>
        <w:t>came</w:t>
      </w:r>
      <w:r w:rsidRPr="008A7BD7">
        <w:rPr>
          <w:rFonts w:ascii="Cambria" w:eastAsia="Times New Roman" w:hAnsi="Cambria" w:cs="Segoe UI"/>
          <w:color w:val="000000"/>
          <w:sz w:val="20"/>
          <w:szCs w:val="20"/>
          <w:lang w:eastAsia="es-ES"/>
        </w:rPr>
        <w:t xml:space="preserve"> at a time when the</w:t>
      </w:r>
      <w:r w:rsidRPr="008A7BD7">
        <w:rPr>
          <w:rFonts w:ascii="Cambria" w:eastAsia="Times New Roman" w:hAnsi="Cambria" w:cs="Arial"/>
          <w:sz w:val="20"/>
          <w:szCs w:val="20"/>
          <w:lang w:eastAsia="es-ES"/>
        </w:rPr>
        <w:t xml:space="preserve"> </w:t>
      </w:r>
      <w:r w:rsidR="00F25569" w:rsidRPr="008A7BD7">
        <w:rPr>
          <w:rFonts w:ascii="Cambria" w:eastAsia="Times New Roman" w:hAnsi="Cambria" w:cs="Arial"/>
          <w:sz w:val="20"/>
          <w:szCs w:val="20"/>
          <w:lang w:eastAsia="es-ES"/>
        </w:rPr>
        <w:t xml:space="preserve">Office of the </w:t>
      </w:r>
      <w:r w:rsidRPr="008A7BD7">
        <w:rPr>
          <w:rFonts w:ascii="Cambria" w:eastAsia="Times New Roman" w:hAnsi="Cambria" w:cs="Arial"/>
          <w:sz w:val="20"/>
          <w:szCs w:val="20"/>
          <w:lang w:eastAsia="es-ES"/>
        </w:rPr>
        <w:t>Prosecutor</w:t>
      </w:r>
      <w:r w:rsidR="00410661" w:rsidRPr="008A7BD7">
        <w:rPr>
          <w:rFonts w:ascii="Cambria" w:eastAsia="Times New Roman" w:hAnsi="Cambria" w:cs="Arial"/>
          <w:sz w:val="20"/>
          <w:szCs w:val="20"/>
          <w:lang w:eastAsia="es-ES"/>
        </w:rPr>
        <w:t xml:space="preserve"> </w:t>
      </w:r>
      <w:r w:rsidR="00AE168E" w:rsidRPr="008A7BD7">
        <w:rPr>
          <w:rFonts w:ascii="Cambria" w:eastAsia="Times New Roman" w:hAnsi="Cambria" w:cs="Arial"/>
          <w:sz w:val="20"/>
          <w:szCs w:val="20"/>
          <w:lang w:eastAsia="es-ES"/>
        </w:rPr>
        <w:t xml:space="preserve">for Human Rights </w:t>
      </w:r>
      <w:r w:rsidR="00410661" w:rsidRPr="008A7BD7">
        <w:rPr>
          <w:rFonts w:ascii="Cambria" w:eastAsia="Times New Roman" w:hAnsi="Cambria" w:cs="Arial"/>
          <w:sz w:val="20"/>
          <w:szCs w:val="20"/>
          <w:lang w:eastAsia="es-ES"/>
        </w:rPr>
        <w:t xml:space="preserve">was litigating important cases involving serious human rights violations that occurred during the armed conflict, and that this therefore constituted yet another step to dismantle </w:t>
      </w:r>
      <w:r w:rsidR="00F25569" w:rsidRPr="008A7BD7">
        <w:rPr>
          <w:rFonts w:ascii="Cambria" w:eastAsia="Times New Roman" w:hAnsi="Cambria" w:cs="Arial"/>
          <w:sz w:val="20"/>
          <w:szCs w:val="20"/>
          <w:lang w:eastAsia="es-ES"/>
        </w:rPr>
        <w:t>that division</w:t>
      </w:r>
      <w:r w:rsidR="00410661" w:rsidRPr="008A7BD7">
        <w:rPr>
          <w:rFonts w:ascii="Cambria" w:eastAsia="Times New Roman" w:hAnsi="Cambria" w:cs="Arial"/>
          <w:sz w:val="20"/>
          <w:szCs w:val="20"/>
          <w:lang w:eastAsia="es-ES"/>
        </w:rPr>
        <w:t xml:space="preserve">. They also </w:t>
      </w:r>
      <w:r w:rsidR="006846AE" w:rsidRPr="008A7BD7">
        <w:rPr>
          <w:rFonts w:ascii="Cambria" w:eastAsia="Times New Roman" w:hAnsi="Cambria" w:cs="Arial"/>
          <w:sz w:val="20"/>
          <w:szCs w:val="20"/>
          <w:lang w:eastAsia="es-ES"/>
        </w:rPr>
        <w:t>alleged</w:t>
      </w:r>
      <w:r w:rsidR="00410661" w:rsidRPr="008A7BD7">
        <w:rPr>
          <w:rFonts w:ascii="Cambria" w:eastAsia="Times New Roman" w:hAnsi="Cambria" w:cs="Arial"/>
          <w:sz w:val="20"/>
          <w:szCs w:val="20"/>
          <w:lang w:eastAsia="es-ES"/>
        </w:rPr>
        <w:t xml:space="preserve"> that the decision is part of a pattern </w:t>
      </w:r>
      <w:r w:rsidR="006846AE" w:rsidRPr="008A7BD7">
        <w:rPr>
          <w:rFonts w:ascii="Cambria" w:eastAsia="Times New Roman" w:hAnsi="Cambria" w:cs="Arial"/>
          <w:sz w:val="20"/>
          <w:szCs w:val="20"/>
          <w:lang w:eastAsia="es-ES"/>
        </w:rPr>
        <w:t xml:space="preserve">that shows a </w:t>
      </w:r>
      <w:r w:rsidR="00410661" w:rsidRPr="008A7BD7">
        <w:rPr>
          <w:rFonts w:ascii="Cambria" w:eastAsia="Times New Roman" w:hAnsi="Cambria" w:cs="Arial"/>
          <w:sz w:val="20"/>
          <w:szCs w:val="20"/>
          <w:lang w:eastAsia="es-ES"/>
        </w:rPr>
        <w:t xml:space="preserve">lack of </w:t>
      </w:r>
      <w:r w:rsidR="006846AE" w:rsidRPr="008A7BD7">
        <w:rPr>
          <w:rFonts w:ascii="Cambria" w:eastAsia="Times New Roman" w:hAnsi="Cambria" w:cs="Arial"/>
          <w:sz w:val="20"/>
          <w:szCs w:val="20"/>
          <w:lang w:eastAsia="es-ES"/>
        </w:rPr>
        <w:t>independence of the Public Prosecutor</w:t>
      </w:r>
      <w:r w:rsidR="00F25569" w:rsidRPr="008A7BD7">
        <w:rPr>
          <w:rFonts w:ascii="Cambria" w:eastAsia="Times New Roman" w:hAnsi="Cambria" w:cs="Arial"/>
          <w:sz w:val="20"/>
          <w:szCs w:val="20"/>
          <w:lang w:eastAsia="es-ES"/>
        </w:rPr>
        <w:t>’s Office</w:t>
      </w:r>
      <w:r w:rsidR="006846AE" w:rsidRPr="008A7BD7">
        <w:rPr>
          <w:rFonts w:ascii="Cambria" w:eastAsia="Times New Roman" w:hAnsi="Cambria" w:cs="Arial"/>
          <w:sz w:val="20"/>
          <w:szCs w:val="20"/>
          <w:lang w:eastAsia="es-ES"/>
        </w:rPr>
        <w:t>, as well as a policy</w:t>
      </w:r>
      <w:r w:rsidR="00F25569" w:rsidRPr="008A7BD7">
        <w:rPr>
          <w:rFonts w:ascii="Cambria" w:eastAsia="Times New Roman" w:hAnsi="Cambria" w:cs="Arial"/>
          <w:sz w:val="20"/>
          <w:szCs w:val="20"/>
          <w:lang w:eastAsia="es-ES"/>
        </w:rPr>
        <w:t xml:space="preserve"> of harassing and hampering the work of all</w:t>
      </w:r>
      <w:r w:rsidR="006846AE" w:rsidRPr="008A7BD7">
        <w:rPr>
          <w:rFonts w:ascii="Cambria" w:eastAsia="Times New Roman" w:hAnsi="Cambria" w:cs="Arial"/>
          <w:sz w:val="20"/>
          <w:szCs w:val="20"/>
          <w:lang w:eastAsia="es-ES"/>
        </w:rPr>
        <w:t xml:space="preserve"> independent justice operators in the country,</w:t>
      </w:r>
      <w:r w:rsidR="00FF2C5A" w:rsidRPr="008A7BD7">
        <w:rPr>
          <w:rFonts w:ascii="Cambria" w:eastAsia="Times New Roman" w:hAnsi="Cambria" w:cs="Arial"/>
          <w:sz w:val="20"/>
          <w:szCs w:val="20"/>
          <w:lang w:eastAsia="es-ES"/>
        </w:rPr>
        <w:t xml:space="preserve"> </w:t>
      </w:r>
      <w:r w:rsidR="006846AE" w:rsidRPr="008A7BD7">
        <w:rPr>
          <w:rFonts w:ascii="Cambria" w:eastAsia="Times New Roman" w:hAnsi="Cambria" w:cs="Arial"/>
          <w:sz w:val="20"/>
          <w:szCs w:val="20"/>
          <w:lang w:eastAsia="es-ES"/>
        </w:rPr>
        <w:t>result</w:t>
      </w:r>
      <w:r w:rsidR="00FF2C5A" w:rsidRPr="008A7BD7">
        <w:rPr>
          <w:rFonts w:ascii="Cambria" w:eastAsia="Times New Roman" w:hAnsi="Cambria" w:cs="Arial"/>
          <w:sz w:val="20"/>
          <w:szCs w:val="20"/>
          <w:lang w:eastAsia="es-ES"/>
        </w:rPr>
        <w:t>ing</w:t>
      </w:r>
      <w:r w:rsidR="006846AE" w:rsidRPr="008A7BD7">
        <w:rPr>
          <w:rFonts w:ascii="Cambria" w:eastAsia="Times New Roman" w:hAnsi="Cambria" w:cs="Arial"/>
          <w:sz w:val="20"/>
          <w:szCs w:val="20"/>
          <w:lang w:eastAsia="es-ES"/>
        </w:rPr>
        <w:t xml:space="preserve"> in a profound weakening </w:t>
      </w:r>
      <w:r w:rsidR="00FF2C5A" w:rsidRPr="008A7BD7">
        <w:rPr>
          <w:rFonts w:ascii="Cambria" w:eastAsia="Times New Roman" w:hAnsi="Cambria" w:cs="Arial"/>
          <w:sz w:val="20"/>
          <w:szCs w:val="20"/>
          <w:lang w:eastAsia="es-ES"/>
        </w:rPr>
        <w:t>of</w:t>
      </w:r>
      <w:r w:rsidR="006846AE" w:rsidRPr="008A7BD7">
        <w:rPr>
          <w:rFonts w:ascii="Cambria" w:eastAsia="Times New Roman" w:hAnsi="Cambria" w:cs="Arial"/>
          <w:sz w:val="20"/>
          <w:szCs w:val="20"/>
          <w:lang w:eastAsia="es-ES"/>
        </w:rPr>
        <w:t xml:space="preserve"> the rule of law.</w:t>
      </w:r>
      <w:r w:rsidR="00706CD2" w:rsidRPr="008A7BD7">
        <w:rPr>
          <w:rFonts w:ascii="Cambria" w:eastAsia="Times New Roman" w:hAnsi="Cambria" w:cs="Tahoma"/>
          <w:color w:val="000000"/>
          <w:sz w:val="20"/>
          <w:szCs w:val="20"/>
          <w:vertAlign w:val="superscript"/>
          <w:lang w:val="es-US" w:eastAsia="es-ES"/>
        </w:rPr>
        <w:footnoteReference w:id="75"/>
      </w:r>
    </w:p>
    <w:p w14:paraId="71F0A870" w14:textId="77777777" w:rsidR="002D4016" w:rsidRPr="008A7BD7" w:rsidRDefault="002D4016" w:rsidP="002D4016">
      <w:pPr>
        <w:pStyle w:val="ListParagraph"/>
        <w:rPr>
          <w:rFonts w:ascii="Tahoma" w:eastAsia="Times New Roman" w:hAnsi="Tahoma" w:cs="Tahoma"/>
          <w:color w:val="333333"/>
          <w:sz w:val="20"/>
          <w:szCs w:val="20"/>
          <w:shd w:val="clear" w:color="auto" w:fill="FFFFFF"/>
          <w:lang w:eastAsia="es-ES_tradnl"/>
        </w:rPr>
      </w:pPr>
    </w:p>
    <w:p w14:paraId="1CE62A8D" w14:textId="09997C39" w:rsidR="002D4016" w:rsidRPr="008A7BD7" w:rsidRDefault="0098011E" w:rsidP="008A2AEC">
      <w:pPr>
        <w:numPr>
          <w:ilvl w:val="0"/>
          <w:numId w:val="2"/>
        </w:numPr>
        <w:ind w:left="0" w:firstLine="720"/>
        <w:jc w:val="both"/>
        <w:rPr>
          <w:rFonts w:ascii="Cambria" w:eastAsia="Calibri" w:hAnsi="Cambria" w:cs="Segoe UI"/>
          <w:color w:val="000000"/>
          <w:sz w:val="20"/>
          <w:szCs w:val="20"/>
          <w:lang w:eastAsia="es-ES"/>
        </w:rPr>
      </w:pPr>
      <w:r w:rsidRPr="008A7BD7">
        <w:rPr>
          <w:rFonts w:ascii="Cambria" w:eastAsia="Calibri" w:hAnsi="Cambria" w:cs="Segoe UI"/>
          <w:color w:val="000000"/>
          <w:sz w:val="20"/>
          <w:szCs w:val="20"/>
          <w:lang w:eastAsia="es-ES"/>
        </w:rPr>
        <w:lastRenderedPageBreak/>
        <w:t>In that regard, in a communication dated August 5,</w:t>
      </w:r>
      <w:r w:rsidR="002D4016" w:rsidRPr="008A7BD7">
        <w:rPr>
          <w:rFonts w:ascii="Cambria" w:eastAsia="Calibri" w:hAnsi="Cambria" w:cs="Segoe UI"/>
          <w:color w:val="000000"/>
          <w:sz w:val="20"/>
          <w:szCs w:val="20"/>
          <w:lang w:eastAsia="es-ES"/>
        </w:rPr>
        <w:t xml:space="preserve"> </w:t>
      </w:r>
      <w:r w:rsidRPr="008A7BD7">
        <w:rPr>
          <w:rFonts w:ascii="Cambria" w:eastAsia="Calibri" w:hAnsi="Cambria" w:cs="Segoe UI"/>
          <w:color w:val="000000"/>
          <w:sz w:val="20"/>
          <w:szCs w:val="20"/>
          <w:lang w:eastAsia="es-ES"/>
        </w:rPr>
        <w:t>the Guatemalan State informed the Commission that under the procedures established in its laws, it fully protects justice operators</w:t>
      </w:r>
      <w:r w:rsidR="00AE168E" w:rsidRPr="008A7BD7">
        <w:rPr>
          <w:rFonts w:ascii="Cambria" w:eastAsia="Calibri" w:hAnsi="Cambria" w:cs="Segoe UI"/>
          <w:color w:val="000000"/>
          <w:sz w:val="20"/>
          <w:szCs w:val="20"/>
          <w:lang w:eastAsia="es-ES"/>
        </w:rPr>
        <w:t>’ tenure</w:t>
      </w:r>
      <w:r w:rsidRPr="008A7BD7">
        <w:rPr>
          <w:rFonts w:ascii="Cambria" w:eastAsia="Calibri" w:hAnsi="Cambria" w:cs="Segoe UI"/>
          <w:color w:val="000000"/>
          <w:sz w:val="20"/>
          <w:szCs w:val="20"/>
          <w:lang w:eastAsia="es-ES"/>
        </w:rPr>
        <w:t xml:space="preserve"> in their positions, as well as their judicial independence. It indicated that the</w:t>
      </w:r>
      <w:r w:rsidRPr="008A7BD7">
        <w:rPr>
          <w:rFonts w:ascii="Cambria" w:eastAsia="Times New Roman" w:hAnsi="Cambria" w:cs="Arial"/>
          <w:sz w:val="20"/>
          <w:szCs w:val="20"/>
          <w:lang w:eastAsia="es-ES"/>
        </w:rPr>
        <w:t xml:space="preserve"> Public Prosecutor</w:t>
      </w:r>
      <w:r w:rsidR="00AE168E" w:rsidRPr="008A7BD7">
        <w:rPr>
          <w:rFonts w:ascii="Cambria" w:eastAsia="Times New Roman" w:hAnsi="Cambria" w:cs="Arial"/>
          <w:sz w:val="20"/>
          <w:szCs w:val="20"/>
          <w:lang w:eastAsia="es-ES"/>
        </w:rPr>
        <w:t>’s Office</w:t>
      </w:r>
      <w:r w:rsidRPr="008A7BD7">
        <w:rPr>
          <w:rFonts w:ascii="Cambria" w:eastAsia="Times New Roman" w:hAnsi="Cambria" w:cs="Arial"/>
          <w:sz w:val="20"/>
          <w:szCs w:val="20"/>
          <w:lang w:eastAsia="es-ES"/>
        </w:rPr>
        <w:t xml:space="preserve"> </w:t>
      </w:r>
      <w:r w:rsidR="00AE168E" w:rsidRPr="008A7BD7">
        <w:rPr>
          <w:rFonts w:ascii="Cambria" w:eastAsia="Times New Roman" w:hAnsi="Cambria" w:cs="Arial"/>
          <w:sz w:val="20"/>
          <w:szCs w:val="20"/>
          <w:lang w:eastAsia="es-ES"/>
        </w:rPr>
        <w:t>includes</w:t>
      </w:r>
      <w:r w:rsidRPr="008A7BD7">
        <w:rPr>
          <w:rFonts w:ascii="Cambria" w:eastAsia="Times New Roman" w:hAnsi="Cambria" w:cs="Arial"/>
          <w:sz w:val="20"/>
          <w:szCs w:val="20"/>
          <w:lang w:eastAsia="es-ES"/>
        </w:rPr>
        <w:t xml:space="preserve"> an Office of the Prosecutor for Human Rights, which is divided into units that handle the various cases in line with each of their duties or activities. It also indicated that it has </w:t>
      </w:r>
      <w:r w:rsidR="00FB5FFB" w:rsidRPr="008A7BD7">
        <w:rPr>
          <w:rFonts w:ascii="Cambria" w:eastAsia="Times New Roman" w:hAnsi="Cambria" w:cs="Arial"/>
          <w:sz w:val="20"/>
          <w:szCs w:val="20"/>
          <w:lang w:eastAsia="es-ES"/>
        </w:rPr>
        <w:t xml:space="preserve">safeguarded the safety and integrity of all judges and </w:t>
      </w:r>
      <w:r w:rsidR="000278E9" w:rsidRPr="008A7BD7">
        <w:rPr>
          <w:rFonts w:ascii="Cambria" w:eastAsia="Times New Roman" w:hAnsi="Cambria" w:cs="Arial"/>
          <w:sz w:val="20"/>
          <w:szCs w:val="20"/>
          <w:lang w:eastAsia="es-ES"/>
        </w:rPr>
        <w:t>magistrates</w:t>
      </w:r>
      <w:r w:rsidR="00FB5FFB" w:rsidRPr="008A7BD7">
        <w:rPr>
          <w:rFonts w:ascii="Cambria" w:eastAsia="Times New Roman" w:hAnsi="Cambria" w:cs="Arial"/>
          <w:sz w:val="20"/>
          <w:szCs w:val="20"/>
          <w:lang w:eastAsia="es-ES"/>
        </w:rPr>
        <w:t xml:space="preserve"> in the country, heeding the precautionary measures issued by the IACHR as well as those ordered and/or requested by justice operators.</w:t>
      </w:r>
      <w:r w:rsidR="002D4016" w:rsidRPr="008A7BD7">
        <w:rPr>
          <w:rStyle w:val="FootnoteReference"/>
          <w:rFonts w:ascii="Cambria" w:eastAsia="Calibri" w:hAnsi="Cambria" w:cs="Segoe UI"/>
          <w:color w:val="000000"/>
          <w:sz w:val="20"/>
          <w:szCs w:val="20"/>
          <w:lang w:val="es-MX" w:eastAsia="es-ES"/>
        </w:rPr>
        <w:footnoteReference w:id="76"/>
      </w:r>
    </w:p>
    <w:p w14:paraId="7B5A4933" w14:textId="77777777" w:rsidR="00706CD2" w:rsidRPr="008A7BD7" w:rsidRDefault="00706CD2" w:rsidP="00706CD2">
      <w:pPr>
        <w:jc w:val="both"/>
        <w:rPr>
          <w:rFonts w:ascii="Cambria" w:eastAsia="Times New Roman" w:hAnsi="Cambria" w:cs="Times New Roman"/>
          <w:sz w:val="20"/>
          <w:szCs w:val="20"/>
          <w:lang w:eastAsia="es-ES_tradnl"/>
        </w:rPr>
      </w:pPr>
    </w:p>
    <w:p w14:paraId="51B724A2" w14:textId="561F150E" w:rsidR="00706CD2" w:rsidRPr="008A7BD7" w:rsidRDefault="008E437A" w:rsidP="008A2AEC">
      <w:pPr>
        <w:numPr>
          <w:ilvl w:val="0"/>
          <w:numId w:val="2"/>
        </w:numPr>
        <w:ind w:left="0" w:firstLine="720"/>
        <w:jc w:val="both"/>
        <w:rPr>
          <w:rFonts w:ascii="Cambria" w:eastAsia="Times New Roman" w:hAnsi="Cambria" w:cs="Arial"/>
          <w:sz w:val="20"/>
          <w:szCs w:val="20"/>
          <w:lang w:eastAsia="es-ES_tradnl"/>
        </w:rPr>
      </w:pPr>
      <w:r w:rsidRPr="008A7BD7">
        <w:rPr>
          <w:rFonts w:ascii="Cambria" w:eastAsia="Times New Roman" w:hAnsi="Cambria" w:cs="Times New Roman"/>
          <w:sz w:val="20"/>
          <w:szCs w:val="20"/>
          <w:lang w:eastAsia="es-ES"/>
        </w:rPr>
        <w:t>With regard to</w:t>
      </w:r>
      <w:r w:rsidR="00FB5FFB" w:rsidRPr="008A7BD7">
        <w:rPr>
          <w:rFonts w:ascii="Cambria" w:eastAsia="Times New Roman" w:hAnsi="Cambria" w:cs="Times New Roman"/>
          <w:sz w:val="20"/>
          <w:szCs w:val="20"/>
          <w:lang w:eastAsia="es-ES"/>
        </w:rPr>
        <w:t xml:space="preserve"> the specific function of prosecutors, the Inter-American Court has </w:t>
      </w:r>
      <w:r w:rsidR="007C6A66" w:rsidRPr="008A7BD7">
        <w:rPr>
          <w:rFonts w:ascii="Cambria" w:eastAsia="Times New Roman" w:hAnsi="Cambria" w:cs="Times New Roman"/>
          <w:sz w:val="20"/>
          <w:szCs w:val="20"/>
          <w:lang w:eastAsia="es-ES"/>
        </w:rPr>
        <w:t>noted</w:t>
      </w:r>
      <w:r w:rsidR="00FB5FFB" w:rsidRPr="008A7BD7">
        <w:rPr>
          <w:rFonts w:ascii="Cambria" w:eastAsia="Times New Roman" w:hAnsi="Cambria" w:cs="Times New Roman"/>
          <w:sz w:val="20"/>
          <w:szCs w:val="20"/>
          <w:lang w:eastAsia="es-ES"/>
        </w:rPr>
        <w:t xml:space="preserve"> that they </w:t>
      </w:r>
      <w:r w:rsidR="006D54A5" w:rsidRPr="008A7BD7">
        <w:rPr>
          <w:rFonts w:ascii="Cambria" w:eastAsia="Times New Roman" w:hAnsi="Cambria" w:cs="Times New Roman"/>
          <w:sz w:val="20"/>
          <w:szCs w:val="20"/>
          <w:lang w:eastAsia="es-ES"/>
        </w:rPr>
        <w:t>perform</w:t>
      </w:r>
      <w:r w:rsidR="00FB5FFB" w:rsidRPr="008A7BD7">
        <w:rPr>
          <w:rFonts w:ascii="Cambria" w:eastAsia="Times New Roman" w:hAnsi="Cambria" w:cs="Times New Roman"/>
          <w:sz w:val="20"/>
          <w:szCs w:val="20"/>
          <w:lang w:eastAsia="es-ES"/>
        </w:rPr>
        <w:t xml:space="preserve"> duties </w:t>
      </w:r>
      <w:r w:rsidR="007C6A66" w:rsidRPr="008A7BD7">
        <w:rPr>
          <w:rFonts w:ascii="Cambria" w:eastAsia="Times New Roman" w:hAnsi="Cambria" w:cs="Times New Roman"/>
          <w:sz w:val="20"/>
          <w:szCs w:val="20"/>
          <w:lang w:eastAsia="es-ES"/>
        </w:rPr>
        <w:t xml:space="preserve">corresponding to agents of justice </w:t>
      </w:r>
      <w:r w:rsidR="00FB5FFB" w:rsidRPr="008A7BD7">
        <w:rPr>
          <w:rFonts w:ascii="Cambria" w:eastAsia="Times New Roman" w:hAnsi="Cambria" w:cs="Times New Roman"/>
          <w:sz w:val="20"/>
          <w:szCs w:val="20"/>
          <w:lang w:eastAsia="es-ES"/>
        </w:rPr>
        <w:t>and</w:t>
      </w:r>
      <w:r w:rsidR="00750ADD" w:rsidRPr="008A7BD7">
        <w:rPr>
          <w:rFonts w:ascii="Cambria" w:eastAsia="Times New Roman" w:hAnsi="Cambria" w:cs="Times New Roman"/>
          <w:sz w:val="20"/>
          <w:szCs w:val="20"/>
          <w:lang w:eastAsia="es-ES"/>
        </w:rPr>
        <w:t>, in</w:t>
      </w:r>
      <w:r w:rsidR="00FB5FFB" w:rsidRPr="008A7BD7">
        <w:rPr>
          <w:rFonts w:ascii="Cambria" w:eastAsia="Times New Roman" w:hAnsi="Cambria" w:cs="Times New Roman"/>
          <w:sz w:val="20"/>
          <w:szCs w:val="20"/>
          <w:lang w:eastAsia="es-ES"/>
        </w:rPr>
        <w:t xml:space="preserve"> that </w:t>
      </w:r>
      <w:r w:rsidR="00750ADD" w:rsidRPr="008A7BD7">
        <w:rPr>
          <w:rFonts w:ascii="Cambria" w:eastAsia="Times New Roman" w:hAnsi="Cambria" w:cs="Times New Roman"/>
          <w:sz w:val="20"/>
          <w:szCs w:val="20"/>
          <w:lang w:eastAsia="es-ES"/>
        </w:rPr>
        <w:t>capacity</w:t>
      </w:r>
      <w:r w:rsidR="00523432" w:rsidRPr="008A7BD7">
        <w:rPr>
          <w:rFonts w:ascii="Cambria" w:eastAsia="Times New Roman" w:hAnsi="Cambria" w:cs="Times New Roman"/>
          <w:sz w:val="20"/>
          <w:szCs w:val="20"/>
          <w:lang w:eastAsia="es-ES"/>
        </w:rPr>
        <w:t xml:space="preserve">, they must enjoy </w:t>
      </w:r>
      <w:r w:rsidR="007C6A66" w:rsidRPr="008A7BD7">
        <w:rPr>
          <w:rFonts w:ascii="Cambria" w:eastAsia="Times New Roman" w:hAnsi="Cambria" w:cs="Times New Roman"/>
          <w:sz w:val="20"/>
          <w:szCs w:val="20"/>
          <w:lang w:eastAsia="es-ES"/>
        </w:rPr>
        <w:t xml:space="preserve">guarantees of </w:t>
      </w:r>
      <w:r w:rsidR="00523432" w:rsidRPr="008A7BD7">
        <w:rPr>
          <w:rFonts w:ascii="Cambria" w:eastAsia="Times New Roman" w:hAnsi="Cambria" w:cs="Times New Roman"/>
          <w:sz w:val="20"/>
          <w:szCs w:val="20"/>
          <w:lang w:eastAsia="es-ES"/>
        </w:rPr>
        <w:t xml:space="preserve">job </w:t>
      </w:r>
      <w:r w:rsidR="007C6A66" w:rsidRPr="008A7BD7">
        <w:rPr>
          <w:rFonts w:ascii="Cambria" w:eastAsia="Times New Roman" w:hAnsi="Cambria" w:cs="Times New Roman"/>
          <w:sz w:val="20"/>
          <w:szCs w:val="20"/>
          <w:lang w:eastAsia="es-ES"/>
        </w:rPr>
        <w:t>security</w:t>
      </w:r>
      <w:r w:rsidR="00523432" w:rsidRPr="008A7BD7">
        <w:rPr>
          <w:rFonts w:ascii="Cambria" w:eastAsia="Times New Roman" w:hAnsi="Cambria" w:cs="Times New Roman"/>
          <w:sz w:val="20"/>
          <w:szCs w:val="20"/>
          <w:lang w:eastAsia="es-ES"/>
        </w:rPr>
        <w:t>, among other</w:t>
      </w:r>
      <w:r w:rsidR="007C6A66" w:rsidRPr="008A7BD7">
        <w:rPr>
          <w:rFonts w:ascii="Cambria" w:eastAsia="Times New Roman" w:hAnsi="Cambria" w:cs="Times New Roman"/>
          <w:sz w:val="20"/>
          <w:szCs w:val="20"/>
          <w:lang w:eastAsia="es-ES"/>
        </w:rPr>
        <w:t>s</w:t>
      </w:r>
      <w:r w:rsidR="00523432" w:rsidRPr="008A7BD7">
        <w:rPr>
          <w:rFonts w:ascii="Cambria" w:eastAsia="Times New Roman" w:hAnsi="Cambria" w:cs="Times New Roman"/>
          <w:sz w:val="20"/>
          <w:szCs w:val="20"/>
          <w:lang w:eastAsia="es-ES"/>
        </w:rPr>
        <w:t>,</w:t>
      </w:r>
      <w:r w:rsidR="00523432" w:rsidRPr="008A7BD7">
        <w:rPr>
          <w:rFonts w:ascii="Cambria" w:eastAsia="Times New Roman" w:hAnsi="Cambria" w:cs="Times New Roman"/>
          <w:sz w:val="20"/>
          <w:szCs w:val="20"/>
          <w:lang w:eastAsia="es-MX"/>
        </w:rPr>
        <w:t xml:space="preserve"> as </w:t>
      </w:r>
      <w:r w:rsidR="001C1541" w:rsidRPr="008A7BD7">
        <w:rPr>
          <w:rFonts w:ascii="Cambria" w:eastAsia="Times New Roman" w:hAnsi="Cambria" w:cs="Times New Roman"/>
          <w:sz w:val="20"/>
          <w:szCs w:val="20"/>
          <w:lang w:eastAsia="es-MX"/>
        </w:rPr>
        <w:t xml:space="preserve">a </w:t>
      </w:r>
      <w:r w:rsidR="007C6A66" w:rsidRPr="008A7BD7">
        <w:rPr>
          <w:rFonts w:ascii="Cambria" w:eastAsia="Times New Roman" w:hAnsi="Cambria" w:cs="Times New Roman"/>
          <w:sz w:val="20"/>
          <w:szCs w:val="20"/>
          <w:lang w:eastAsia="es-MX"/>
        </w:rPr>
        <w:t>fundamental</w:t>
      </w:r>
      <w:r w:rsidR="00523432" w:rsidRPr="008A7BD7">
        <w:rPr>
          <w:rFonts w:ascii="Cambria" w:eastAsia="Times New Roman" w:hAnsi="Cambria" w:cs="Times New Roman"/>
          <w:sz w:val="20"/>
          <w:szCs w:val="20"/>
          <w:lang w:eastAsia="es-MX"/>
        </w:rPr>
        <w:t xml:space="preserve"> condition </w:t>
      </w:r>
      <w:r w:rsidR="007C6A66" w:rsidRPr="008A7BD7">
        <w:rPr>
          <w:rFonts w:ascii="Cambria" w:eastAsia="Times New Roman" w:hAnsi="Cambria" w:cs="Times New Roman"/>
          <w:sz w:val="20"/>
          <w:szCs w:val="20"/>
          <w:lang w:eastAsia="es-MX"/>
        </w:rPr>
        <w:t>for</w:t>
      </w:r>
      <w:r w:rsidR="00523432" w:rsidRPr="008A7BD7">
        <w:rPr>
          <w:rFonts w:ascii="Cambria" w:eastAsia="Times New Roman" w:hAnsi="Cambria" w:cs="Times New Roman"/>
          <w:sz w:val="20"/>
          <w:szCs w:val="20"/>
          <w:lang w:eastAsia="es-MX"/>
        </w:rPr>
        <w:t xml:space="preserve"> their independence </w:t>
      </w:r>
      <w:r w:rsidR="007C6A66" w:rsidRPr="008A7BD7">
        <w:rPr>
          <w:rFonts w:ascii="Cambria" w:eastAsia="Times New Roman" w:hAnsi="Cambria" w:cs="Times New Roman"/>
          <w:sz w:val="20"/>
          <w:szCs w:val="20"/>
          <w:lang w:eastAsia="es-MX"/>
        </w:rPr>
        <w:t>in the correc</w:t>
      </w:r>
      <w:r w:rsidR="002A1241" w:rsidRPr="008A7BD7">
        <w:rPr>
          <w:rFonts w:ascii="Cambria" w:eastAsia="Times New Roman" w:hAnsi="Cambria" w:cs="Times New Roman"/>
          <w:sz w:val="20"/>
          <w:szCs w:val="20"/>
          <w:lang w:eastAsia="es-MX"/>
        </w:rPr>
        <w:t>t</w:t>
      </w:r>
      <w:r w:rsidR="007C6A66" w:rsidRPr="008A7BD7">
        <w:rPr>
          <w:rFonts w:ascii="Cambria" w:eastAsia="Times New Roman" w:hAnsi="Cambria" w:cs="Times New Roman"/>
          <w:sz w:val="20"/>
          <w:szCs w:val="20"/>
          <w:lang w:eastAsia="es-MX"/>
        </w:rPr>
        <w:t xml:space="preserve"> performance of their </w:t>
      </w:r>
      <w:r w:rsidR="008F6ED3" w:rsidRPr="008A7BD7">
        <w:rPr>
          <w:rFonts w:ascii="Cambria" w:eastAsia="Times New Roman" w:hAnsi="Cambria" w:cs="Times New Roman"/>
          <w:sz w:val="20"/>
          <w:szCs w:val="20"/>
          <w:lang w:eastAsia="es-MX"/>
        </w:rPr>
        <w:t xml:space="preserve">procedural </w:t>
      </w:r>
      <w:r w:rsidR="007C6A66" w:rsidRPr="008A7BD7">
        <w:rPr>
          <w:rFonts w:ascii="Cambria" w:eastAsia="Times New Roman" w:hAnsi="Cambria" w:cs="Times New Roman"/>
          <w:sz w:val="20"/>
          <w:szCs w:val="20"/>
          <w:lang w:eastAsia="es-MX"/>
        </w:rPr>
        <w:t>functions</w:t>
      </w:r>
      <w:r w:rsidR="008F6ED3" w:rsidRPr="008A7BD7">
        <w:rPr>
          <w:rFonts w:ascii="Cambria" w:eastAsia="Times New Roman" w:hAnsi="Cambria" w:cs="Times New Roman"/>
          <w:sz w:val="20"/>
          <w:szCs w:val="20"/>
          <w:lang w:eastAsia="es-MX"/>
        </w:rPr>
        <w:t>.</w:t>
      </w:r>
      <w:r w:rsidR="00706CD2" w:rsidRPr="008A7BD7">
        <w:rPr>
          <w:rFonts w:ascii="Cambria" w:eastAsia="Times New Roman" w:hAnsi="Cambria" w:cs="Times New Roman"/>
          <w:sz w:val="20"/>
          <w:szCs w:val="20"/>
          <w:vertAlign w:val="superscript"/>
          <w:lang w:val="es-GT" w:eastAsia="es-MX"/>
        </w:rPr>
        <w:footnoteReference w:id="77"/>
      </w:r>
      <w:r w:rsidR="008F6ED3" w:rsidRPr="008A7BD7">
        <w:rPr>
          <w:rFonts w:ascii="Cambria" w:eastAsia="Times New Roman" w:hAnsi="Cambria" w:cs="Times New Roman"/>
          <w:sz w:val="20"/>
          <w:szCs w:val="20"/>
          <w:lang w:eastAsia="es-MX"/>
        </w:rPr>
        <w:t xml:space="preserve"> </w:t>
      </w:r>
      <w:r w:rsidR="002A1241" w:rsidRPr="008A7BD7">
        <w:rPr>
          <w:rFonts w:ascii="Cambria" w:eastAsia="Times New Roman" w:hAnsi="Cambria" w:cs="Times New Roman"/>
          <w:sz w:val="20"/>
          <w:szCs w:val="20"/>
          <w:lang w:eastAsia="es-MX"/>
        </w:rPr>
        <w:t xml:space="preserve">Therefore, they must also </w:t>
      </w:r>
      <w:r w:rsidR="00832C79" w:rsidRPr="008A7BD7">
        <w:rPr>
          <w:rFonts w:ascii="Cambria" w:eastAsia="Times New Roman" w:hAnsi="Cambria" w:cs="Times New Roman"/>
          <w:sz w:val="20"/>
          <w:szCs w:val="20"/>
          <w:lang w:eastAsia="es-MX"/>
        </w:rPr>
        <w:t>be protected</w:t>
      </w:r>
      <w:r w:rsidR="002A1241" w:rsidRPr="008A7BD7">
        <w:rPr>
          <w:rFonts w:ascii="Cambria" w:eastAsia="Times New Roman" w:hAnsi="Cambria" w:cs="Times New Roman"/>
          <w:sz w:val="20"/>
          <w:szCs w:val="20"/>
          <w:lang w:eastAsia="es-MX"/>
        </w:rPr>
        <w:t xml:space="preserve"> by the guarantees of an </w:t>
      </w:r>
      <w:r w:rsidR="001F5126" w:rsidRPr="008A7BD7">
        <w:rPr>
          <w:rFonts w:ascii="Cambria" w:hAnsi="Cambria" w:cs="Tahoma"/>
          <w:color w:val="000000" w:themeColor="text1"/>
          <w:sz w:val="20"/>
          <w:szCs w:val="20"/>
          <w:shd w:val="clear" w:color="auto" w:fill="FFFFFF"/>
        </w:rPr>
        <w:t xml:space="preserve">adequate </w:t>
      </w:r>
      <w:r w:rsidR="002A1241" w:rsidRPr="008A7BD7">
        <w:rPr>
          <w:rFonts w:ascii="Cambria" w:eastAsia="Times New Roman" w:hAnsi="Cambria" w:cs="Times New Roman"/>
          <w:sz w:val="20"/>
          <w:szCs w:val="20"/>
          <w:lang w:eastAsia="es-MX"/>
        </w:rPr>
        <w:t xml:space="preserve">appointment process, a fixed term in the position, and </w:t>
      </w:r>
      <w:r w:rsidR="00107E94" w:rsidRPr="008A7BD7">
        <w:rPr>
          <w:rFonts w:ascii="Cambria" w:eastAsia="Times New Roman" w:hAnsi="Cambria" w:cs="Times New Roman"/>
          <w:sz w:val="20"/>
          <w:szCs w:val="20"/>
          <w:lang w:eastAsia="es-MX"/>
        </w:rPr>
        <w:t>protection against external pressures</w:t>
      </w:r>
      <w:r w:rsidR="00706CD2" w:rsidRPr="008A7BD7">
        <w:rPr>
          <w:rFonts w:ascii="Cambria" w:eastAsia="Times New Roman" w:hAnsi="Cambria" w:cs="Times New Roman"/>
          <w:sz w:val="20"/>
          <w:szCs w:val="20"/>
          <w:lang w:eastAsia="es-MX"/>
        </w:rPr>
        <w:t xml:space="preserve">. </w:t>
      </w:r>
      <w:r w:rsidR="00A8500C" w:rsidRPr="008A7BD7">
        <w:rPr>
          <w:rFonts w:ascii="Cambria" w:eastAsia="Times New Roman" w:hAnsi="Cambria" w:cs="Times New Roman"/>
          <w:sz w:val="20"/>
          <w:szCs w:val="20"/>
          <w:lang w:eastAsia="es-MX"/>
        </w:rPr>
        <w:t>O</w:t>
      </w:r>
      <w:r w:rsidR="001C1541" w:rsidRPr="008A7BD7">
        <w:rPr>
          <w:rFonts w:ascii="Cambria" w:eastAsia="Times New Roman" w:hAnsi="Cambria" w:cs="Times New Roman"/>
          <w:sz w:val="20"/>
          <w:szCs w:val="20"/>
          <w:lang w:eastAsia="es-MX"/>
        </w:rPr>
        <w:t>therwise</w:t>
      </w:r>
      <w:r w:rsidR="00A8500C" w:rsidRPr="008A7BD7">
        <w:rPr>
          <w:rFonts w:ascii="Cambria" w:eastAsia="Times New Roman" w:hAnsi="Cambria" w:cs="Times New Roman"/>
          <w:sz w:val="20"/>
          <w:szCs w:val="20"/>
          <w:lang w:eastAsia="es-MX"/>
        </w:rPr>
        <w:t>, this</w:t>
      </w:r>
      <w:r w:rsidR="00541752" w:rsidRPr="008A7BD7">
        <w:rPr>
          <w:rFonts w:ascii="Cambria" w:eastAsia="Times New Roman" w:hAnsi="Cambria" w:cs="Times New Roman"/>
          <w:sz w:val="20"/>
          <w:szCs w:val="20"/>
          <w:lang w:eastAsia="es-MX"/>
        </w:rPr>
        <w:t xml:space="preserve"> </w:t>
      </w:r>
      <w:r w:rsidR="001C1541" w:rsidRPr="008A7BD7">
        <w:rPr>
          <w:rFonts w:ascii="Cambria" w:eastAsia="Times New Roman" w:hAnsi="Cambria" w:cs="Times New Roman"/>
          <w:sz w:val="20"/>
          <w:szCs w:val="20"/>
          <w:lang w:eastAsia="es-MX"/>
        </w:rPr>
        <w:t xml:space="preserve">would jeopardize the independence and objectivity that are required of their function to ensure that the investigations </w:t>
      </w:r>
      <w:proofErr w:type="gramStart"/>
      <w:r w:rsidR="001C1541" w:rsidRPr="008A7BD7">
        <w:rPr>
          <w:rFonts w:ascii="Cambria" w:eastAsia="Times New Roman" w:hAnsi="Cambria" w:cs="Times New Roman"/>
          <w:sz w:val="20"/>
          <w:szCs w:val="20"/>
          <w:lang w:eastAsia="es-MX"/>
        </w:rPr>
        <w:t>conducted</w:t>
      </w:r>
      <w:proofErr w:type="gramEnd"/>
      <w:r w:rsidR="001C1541" w:rsidRPr="008A7BD7">
        <w:rPr>
          <w:rFonts w:ascii="Cambria" w:eastAsia="Times New Roman" w:hAnsi="Cambria" w:cs="Times New Roman"/>
          <w:sz w:val="20"/>
          <w:szCs w:val="20"/>
          <w:lang w:eastAsia="es-MX"/>
        </w:rPr>
        <w:t xml:space="preserve"> and the claims made before the jurisdictional bodies are addressed exclusively</w:t>
      </w:r>
      <w:r w:rsidR="00541752" w:rsidRPr="008A7BD7">
        <w:rPr>
          <w:rFonts w:ascii="Cambria" w:eastAsia="Times New Roman" w:hAnsi="Cambria" w:cs="Times New Roman"/>
          <w:sz w:val="20"/>
          <w:szCs w:val="20"/>
          <w:lang w:eastAsia="es-MX"/>
        </w:rPr>
        <w:t xml:space="preserve"> at achieving justice in the particular case, in keeping with Article 8 of the Convention.</w:t>
      </w:r>
      <w:r w:rsidR="006F3836" w:rsidRPr="008A7BD7">
        <w:rPr>
          <w:rFonts w:ascii="Cambria" w:eastAsia="Times New Roman" w:hAnsi="Cambria" w:cs="Times New Roman"/>
          <w:sz w:val="20"/>
          <w:szCs w:val="20"/>
          <w:lang w:eastAsia="es-MX"/>
        </w:rPr>
        <w:t xml:space="preserve"> The absence of the guarantee of </w:t>
      </w:r>
      <w:proofErr w:type="spellStart"/>
      <w:r w:rsidR="006F3836" w:rsidRPr="008A7BD7">
        <w:rPr>
          <w:rFonts w:ascii="Cambria" w:eastAsia="Times New Roman" w:hAnsi="Cambria" w:cs="Times New Roman"/>
          <w:sz w:val="20"/>
          <w:szCs w:val="20"/>
          <w:lang w:eastAsia="es-MX"/>
        </w:rPr>
        <w:t>irremovability</w:t>
      </w:r>
      <w:proofErr w:type="spellEnd"/>
      <w:r w:rsidR="006F3836" w:rsidRPr="008A7BD7">
        <w:rPr>
          <w:rFonts w:ascii="Cambria" w:eastAsia="Times New Roman" w:hAnsi="Cambria" w:cs="Times New Roman"/>
          <w:sz w:val="20"/>
          <w:szCs w:val="20"/>
          <w:lang w:eastAsia="es-MX"/>
        </w:rPr>
        <w:t xml:space="preserve"> of prosecutors—since it makes them vulnerable to reprisals for the decisions they take—results in a violation of their independence that Article 8(1) of the Convention guarantees.</w:t>
      </w:r>
      <w:r w:rsidR="00706CD2" w:rsidRPr="008A7BD7">
        <w:rPr>
          <w:rFonts w:ascii="Cambria" w:eastAsia="Times New Roman" w:hAnsi="Cambria" w:cs="Times New Roman"/>
          <w:sz w:val="20"/>
          <w:szCs w:val="20"/>
          <w:vertAlign w:val="superscript"/>
          <w:lang w:val="es-GT" w:eastAsia="es-MX"/>
        </w:rPr>
        <w:footnoteReference w:id="78"/>
      </w:r>
      <w:r w:rsidR="00706CD2" w:rsidRPr="008A7BD7">
        <w:rPr>
          <w:rFonts w:ascii="Cambria" w:eastAsia="Times New Roman" w:hAnsi="Cambria" w:cs="Times New Roman"/>
          <w:sz w:val="20"/>
          <w:szCs w:val="20"/>
          <w:lang w:eastAsia="es-MX"/>
        </w:rPr>
        <w:t xml:space="preserve"> </w:t>
      </w:r>
      <w:r w:rsidR="006F3836" w:rsidRPr="008A7BD7">
        <w:rPr>
          <w:rFonts w:ascii="Cambria" w:eastAsia="Times New Roman" w:hAnsi="Cambria" w:cs="Arial"/>
          <w:sz w:val="20"/>
          <w:szCs w:val="20"/>
          <w:lang w:eastAsia="es-MX"/>
        </w:rPr>
        <w:t xml:space="preserve">The independence recognized to prosecutors </w:t>
      </w:r>
      <w:r w:rsidR="002E1861" w:rsidRPr="008A7BD7">
        <w:rPr>
          <w:rFonts w:ascii="Cambria" w:eastAsia="Times New Roman" w:hAnsi="Cambria" w:cs="Arial"/>
          <w:sz w:val="20"/>
          <w:szCs w:val="20"/>
          <w:lang w:eastAsia="es-MX"/>
        </w:rPr>
        <w:t>ensures</w:t>
      </w:r>
      <w:r w:rsidR="006F3836" w:rsidRPr="008A7BD7">
        <w:rPr>
          <w:rFonts w:ascii="Cambria" w:eastAsia="Times New Roman" w:hAnsi="Cambria" w:cs="Arial"/>
          <w:sz w:val="20"/>
          <w:szCs w:val="20"/>
          <w:lang w:eastAsia="es-MX"/>
        </w:rPr>
        <w:t xml:space="preserve"> that they will not be subject to political pressures or improper obstruction of their actions, nor will they suffer retaliation for the decisions they objectively make, which</w:t>
      </w:r>
      <w:r w:rsidR="00BC61FE" w:rsidRPr="008A7BD7">
        <w:rPr>
          <w:rFonts w:ascii="Cambria" w:eastAsia="Times New Roman" w:hAnsi="Cambria" w:cs="Arial"/>
          <w:sz w:val="20"/>
          <w:szCs w:val="20"/>
          <w:lang w:eastAsia="es-MX"/>
        </w:rPr>
        <w:t xml:space="preserve"> precisely requires a guarantee of stability and a fixed term in the position.</w:t>
      </w:r>
      <w:r w:rsidR="00706CD2" w:rsidRPr="008A7BD7">
        <w:rPr>
          <w:rFonts w:ascii="Cambria" w:eastAsia="Times New Roman" w:hAnsi="Cambria" w:cs="Times New Roman"/>
          <w:sz w:val="20"/>
          <w:szCs w:val="20"/>
          <w:vertAlign w:val="superscript"/>
          <w:lang w:val="es-GT" w:eastAsia="es-MX"/>
        </w:rPr>
        <w:footnoteReference w:id="79"/>
      </w:r>
    </w:p>
    <w:p w14:paraId="7A054579" w14:textId="77777777" w:rsidR="00706CD2" w:rsidRPr="008A7BD7" w:rsidRDefault="00706CD2" w:rsidP="00706CD2">
      <w:pPr>
        <w:suppressAutoHyphens/>
        <w:ind w:left="720"/>
        <w:jc w:val="both"/>
        <w:rPr>
          <w:rFonts w:ascii="Cambria" w:eastAsia="Times New Roman" w:hAnsi="Cambria" w:cs="Arial"/>
          <w:sz w:val="20"/>
          <w:szCs w:val="20"/>
          <w:lang w:eastAsia="es-ES_tradnl"/>
        </w:rPr>
      </w:pPr>
    </w:p>
    <w:p w14:paraId="37471F01" w14:textId="2714D8FD" w:rsidR="00706CD2" w:rsidRPr="008A7BD7" w:rsidRDefault="00D432B2" w:rsidP="008A2AEC">
      <w:pPr>
        <w:numPr>
          <w:ilvl w:val="0"/>
          <w:numId w:val="2"/>
        </w:numPr>
        <w:ind w:left="0" w:firstLine="720"/>
        <w:jc w:val="both"/>
        <w:rPr>
          <w:rFonts w:ascii="Cambria" w:eastAsia="Times New Roman" w:hAnsi="Cambria" w:cs="Arial"/>
          <w:sz w:val="20"/>
          <w:szCs w:val="20"/>
          <w:lang w:eastAsia="es-ES_tradnl"/>
        </w:rPr>
      </w:pPr>
      <w:r w:rsidRPr="008A7BD7">
        <w:rPr>
          <w:rFonts w:ascii="Cambria" w:eastAsia="Times New Roman" w:hAnsi="Cambria" w:cs="Times New Roman"/>
          <w:sz w:val="20"/>
          <w:szCs w:val="20"/>
          <w:lang w:eastAsia="es-MX"/>
        </w:rPr>
        <w:t xml:space="preserve">Likewise, the Inter-American Court has indicated that the guarantee of tenure and </w:t>
      </w:r>
      <w:proofErr w:type="spellStart"/>
      <w:r w:rsidRPr="008A7BD7">
        <w:rPr>
          <w:rFonts w:ascii="Cambria" w:eastAsia="Times New Roman" w:hAnsi="Cambria" w:cs="Times New Roman"/>
          <w:sz w:val="20"/>
          <w:szCs w:val="20"/>
          <w:lang w:eastAsia="es-MX"/>
        </w:rPr>
        <w:t>irremovability</w:t>
      </w:r>
      <w:proofErr w:type="spellEnd"/>
      <w:r w:rsidRPr="008A7BD7">
        <w:rPr>
          <w:rFonts w:ascii="Cambria" w:eastAsia="Times New Roman" w:hAnsi="Cambria" w:cs="Times New Roman"/>
          <w:sz w:val="20"/>
          <w:szCs w:val="20"/>
          <w:lang w:eastAsia="es-MX"/>
        </w:rPr>
        <w:t xml:space="preserve"> of prosecutors </w:t>
      </w:r>
      <w:r w:rsidR="00107A47" w:rsidRPr="008A7BD7">
        <w:rPr>
          <w:rFonts w:ascii="Cambria" w:eastAsia="Times New Roman" w:hAnsi="Cambria" w:cs="Times New Roman"/>
          <w:sz w:val="20"/>
          <w:szCs w:val="20"/>
          <w:lang w:eastAsia="es-MX"/>
        </w:rPr>
        <w:t xml:space="preserve">consequently </w:t>
      </w:r>
      <w:r w:rsidRPr="008A7BD7">
        <w:rPr>
          <w:rFonts w:ascii="Cambria" w:eastAsia="Times New Roman" w:hAnsi="Cambria" w:cs="Times New Roman"/>
          <w:sz w:val="20"/>
          <w:szCs w:val="20"/>
          <w:lang w:eastAsia="es-MX"/>
        </w:rPr>
        <w:t xml:space="preserve">implies </w:t>
      </w:r>
      <w:r w:rsidR="00706CD2" w:rsidRPr="008A7BD7">
        <w:rPr>
          <w:rFonts w:ascii="Cambria" w:eastAsia="Times New Roman" w:hAnsi="Cambria" w:cs="Times New Roman"/>
          <w:sz w:val="20"/>
          <w:szCs w:val="20"/>
          <w:lang w:eastAsia="es-ES"/>
        </w:rPr>
        <w:t xml:space="preserve">(i) </w:t>
      </w:r>
      <w:r w:rsidRPr="008A7BD7">
        <w:rPr>
          <w:rFonts w:ascii="Cambria" w:eastAsia="Times New Roman" w:hAnsi="Cambria" w:cs="Times New Roman"/>
          <w:sz w:val="20"/>
          <w:szCs w:val="20"/>
          <w:lang w:eastAsia="es-ES"/>
        </w:rPr>
        <w:t xml:space="preserve">that separation from the position must be exclusively for permitted causes, either through a procedure that complies with judicial guarantees or </w:t>
      </w:r>
      <w:r w:rsidR="00107A47" w:rsidRPr="008A7BD7">
        <w:rPr>
          <w:rFonts w:ascii="Cambria" w:eastAsia="Times New Roman" w:hAnsi="Cambria" w:cs="Times New Roman"/>
          <w:sz w:val="20"/>
          <w:szCs w:val="20"/>
          <w:lang w:eastAsia="es-ES"/>
        </w:rPr>
        <w:t>because the mandate has expired;</w:t>
      </w:r>
      <w:r w:rsidR="00706CD2" w:rsidRPr="008A7BD7">
        <w:rPr>
          <w:rFonts w:ascii="Cambria" w:eastAsia="Times New Roman" w:hAnsi="Cambria" w:cs="Arial"/>
          <w:sz w:val="20"/>
          <w:szCs w:val="20"/>
          <w:lang w:eastAsia="es-ES"/>
        </w:rPr>
        <w:t xml:space="preserve"> (ii) </w:t>
      </w:r>
      <w:r w:rsidR="00107A47" w:rsidRPr="008A7BD7">
        <w:rPr>
          <w:rFonts w:ascii="Cambria" w:eastAsia="Times New Roman" w:hAnsi="Cambria" w:cs="Arial"/>
          <w:sz w:val="20"/>
          <w:szCs w:val="20"/>
          <w:lang w:eastAsia="es-ES"/>
        </w:rPr>
        <w:t xml:space="preserve">that prosecutors may be removed only for grave disciplinary offenses or incapacity; and </w:t>
      </w:r>
      <w:r w:rsidR="00706CD2" w:rsidRPr="008A7BD7">
        <w:rPr>
          <w:rFonts w:ascii="Cambria" w:eastAsia="Times New Roman" w:hAnsi="Cambria" w:cs="Arial"/>
          <w:sz w:val="20"/>
          <w:szCs w:val="20"/>
          <w:lang w:eastAsia="es-ES"/>
        </w:rPr>
        <w:t xml:space="preserve">(iii) </w:t>
      </w:r>
      <w:r w:rsidR="00107A47" w:rsidRPr="008A7BD7">
        <w:rPr>
          <w:rFonts w:ascii="Cambria" w:eastAsia="Times New Roman" w:hAnsi="Cambria" w:cs="Arial"/>
          <w:sz w:val="20"/>
          <w:szCs w:val="20"/>
          <w:lang w:eastAsia="es-ES"/>
        </w:rPr>
        <w:t xml:space="preserve">that all proceedings against prosecutors must </w:t>
      </w:r>
      <w:r w:rsidR="00406129" w:rsidRPr="008A7BD7">
        <w:rPr>
          <w:rFonts w:ascii="Cambria" w:eastAsia="Times New Roman" w:hAnsi="Cambria" w:cs="Arial"/>
          <w:sz w:val="20"/>
          <w:szCs w:val="20"/>
          <w:lang w:eastAsia="es-ES"/>
        </w:rPr>
        <w:t>be resolved by means of</w:t>
      </w:r>
      <w:r w:rsidR="00107A47" w:rsidRPr="008A7BD7">
        <w:rPr>
          <w:rFonts w:ascii="Cambria" w:eastAsia="Times New Roman" w:hAnsi="Cambria" w:cs="Arial"/>
          <w:sz w:val="20"/>
          <w:szCs w:val="20"/>
          <w:lang w:eastAsia="es-ES"/>
        </w:rPr>
        <w:t xml:space="preserve"> fair procedures that guarantee objectivity and impartiality according to the Constitution or the law, given that removal of prosecutors</w:t>
      </w:r>
      <w:r w:rsidR="00CA70FA" w:rsidRPr="008A7BD7">
        <w:rPr>
          <w:rFonts w:ascii="Cambria" w:eastAsia="Times New Roman" w:hAnsi="Cambria" w:cs="Arial"/>
          <w:sz w:val="20"/>
          <w:szCs w:val="20"/>
          <w:lang w:eastAsia="es-ES"/>
        </w:rPr>
        <w:t xml:space="preserve"> without cause promotes an objective doubt regarding the possibility that they are able to perform their duties without fear of reprisal.</w:t>
      </w:r>
      <w:r w:rsidR="00706CD2" w:rsidRPr="008A7BD7">
        <w:rPr>
          <w:rFonts w:ascii="Cambria" w:eastAsia="Times New Roman" w:hAnsi="Cambria" w:cs="Times New Roman"/>
          <w:sz w:val="20"/>
          <w:szCs w:val="20"/>
          <w:vertAlign w:val="superscript"/>
          <w:lang w:val="es-US" w:eastAsia="es-ES"/>
        </w:rPr>
        <w:footnoteReference w:id="80"/>
      </w:r>
    </w:p>
    <w:p w14:paraId="5237F3C6" w14:textId="77777777" w:rsidR="002707EB" w:rsidRPr="008A7BD7" w:rsidRDefault="002707EB" w:rsidP="002707EB">
      <w:pPr>
        <w:pStyle w:val="ListParagraph"/>
        <w:rPr>
          <w:rFonts w:ascii="Cambria" w:eastAsia="Times New Roman" w:hAnsi="Cambria" w:cs="Arial"/>
          <w:sz w:val="20"/>
          <w:szCs w:val="20"/>
          <w:lang w:eastAsia="es-ES_tradnl"/>
        </w:rPr>
      </w:pPr>
    </w:p>
    <w:p w14:paraId="3E7D4081" w14:textId="62B73320" w:rsidR="00706CD2" w:rsidRPr="008A7BD7" w:rsidRDefault="00043686"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Arial"/>
          <w:sz w:val="20"/>
          <w:szCs w:val="20"/>
          <w:lang w:eastAsia="es-ES_tradnl"/>
        </w:rPr>
        <w:t xml:space="preserve">Finally, the IACHR recalls that </w:t>
      </w:r>
      <w:r w:rsidR="00703771" w:rsidRPr="008A7BD7">
        <w:rPr>
          <w:rFonts w:ascii="Cambria" w:eastAsia="Times New Roman" w:hAnsi="Cambria" w:cs="Arial"/>
          <w:sz w:val="20"/>
          <w:szCs w:val="20"/>
          <w:lang w:eastAsia="es-ES_tradnl"/>
        </w:rPr>
        <w:t xml:space="preserve">if prosecution services are subordinate to other </w:t>
      </w:r>
      <w:r w:rsidR="00EA00B8" w:rsidRPr="008A7BD7">
        <w:rPr>
          <w:rFonts w:ascii="Cambria" w:eastAsia="Times New Roman" w:hAnsi="Cambria" w:cs="Arial"/>
          <w:sz w:val="20"/>
          <w:szCs w:val="20"/>
          <w:lang w:eastAsia="es-ES_tradnl"/>
        </w:rPr>
        <w:t>institutions</w:t>
      </w:r>
      <w:r w:rsidR="00703771" w:rsidRPr="008A7BD7">
        <w:rPr>
          <w:rFonts w:ascii="Cambria" w:eastAsia="Times New Roman" w:hAnsi="Cambria" w:cs="Arial"/>
          <w:sz w:val="20"/>
          <w:szCs w:val="20"/>
          <w:lang w:eastAsia="es-ES_tradnl"/>
        </w:rPr>
        <w:t>, their independence may be compromised,</w:t>
      </w:r>
      <w:r w:rsidRPr="008A7BD7">
        <w:rPr>
          <w:rFonts w:ascii="Cambria" w:eastAsia="Times New Roman" w:hAnsi="Cambria" w:cs="Arial"/>
          <w:sz w:val="20"/>
          <w:szCs w:val="20"/>
          <w:lang w:eastAsia="es-ES_tradnl"/>
        </w:rPr>
        <w:t xml:space="preserve"> both in </w:t>
      </w:r>
      <w:r w:rsidR="00703771" w:rsidRPr="008A7BD7">
        <w:rPr>
          <w:rFonts w:ascii="Cambria" w:eastAsia="Times New Roman" w:hAnsi="Cambria" w:cs="Arial"/>
          <w:sz w:val="20"/>
          <w:szCs w:val="20"/>
          <w:lang w:eastAsia="es-ES_tradnl"/>
        </w:rPr>
        <w:t xml:space="preserve">terms of </w:t>
      </w:r>
      <w:r w:rsidRPr="008A7BD7">
        <w:rPr>
          <w:rFonts w:ascii="Cambria" w:eastAsia="Times New Roman" w:hAnsi="Cambria" w:cs="Arial"/>
          <w:sz w:val="20"/>
          <w:szCs w:val="20"/>
          <w:lang w:eastAsia="es-ES_tradnl"/>
        </w:rPr>
        <w:t xml:space="preserve">the effectiveness and </w:t>
      </w:r>
      <w:r w:rsidR="00703771" w:rsidRPr="008A7BD7">
        <w:rPr>
          <w:rFonts w:ascii="Cambria" w:eastAsia="Times New Roman" w:hAnsi="Cambria" w:cs="Arial"/>
          <w:sz w:val="20"/>
          <w:szCs w:val="20"/>
          <w:lang w:eastAsia="es-ES_tradnl"/>
        </w:rPr>
        <w:t>thrust</w:t>
      </w:r>
      <w:r w:rsidRPr="008A7BD7">
        <w:rPr>
          <w:rFonts w:ascii="Cambria" w:eastAsia="Times New Roman" w:hAnsi="Cambria" w:cs="Arial"/>
          <w:sz w:val="20"/>
          <w:szCs w:val="20"/>
          <w:lang w:eastAsia="es-ES_tradnl"/>
        </w:rPr>
        <w:t xml:space="preserve"> of the</w:t>
      </w:r>
      <w:r w:rsidR="00703771" w:rsidRPr="008A7BD7">
        <w:rPr>
          <w:rFonts w:ascii="Cambria" w:eastAsia="Times New Roman" w:hAnsi="Cambria" w:cs="Arial"/>
          <w:sz w:val="20"/>
          <w:szCs w:val="20"/>
          <w:lang w:eastAsia="es-ES_tradnl"/>
        </w:rPr>
        <w:t>ir</w:t>
      </w:r>
      <w:r w:rsidRPr="008A7BD7">
        <w:rPr>
          <w:rFonts w:ascii="Cambria" w:eastAsia="Times New Roman" w:hAnsi="Cambria" w:cs="Arial"/>
          <w:sz w:val="20"/>
          <w:szCs w:val="20"/>
          <w:lang w:eastAsia="es-ES_tradnl"/>
        </w:rPr>
        <w:t xml:space="preserve"> investigations and any implications</w:t>
      </w:r>
      <w:r w:rsidR="002707EB" w:rsidRPr="008A7BD7">
        <w:rPr>
          <w:rFonts w:ascii="Cambria" w:eastAsia="Times New Roman" w:hAnsi="Cambria" w:cs="Arial"/>
          <w:sz w:val="20"/>
          <w:szCs w:val="20"/>
          <w:lang w:eastAsia="es-ES_tradnl"/>
        </w:rPr>
        <w:t xml:space="preserve"> </w:t>
      </w:r>
      <w:r w:rsidRPr="008A7BD7">
        <w:rPr>
          <w:rFonts w:ascii="Cambria" w:eastAsia="Times New Roman" w:hAnsi="Cambria" w:cs="Arial"/>
          <w:sz w:val="20"/>
          <w:szCs w:val="20"/>
          <w:lang w:eastAsia="es-ES_tradnl"/>
        </w:rPr>
        <w:t xml:space="preserve">to due process. </w:t>
      </w:r>
      <w:r w:rsidR="00703771" w:rsidRPr="008A7BD7">
        <w:rPr>
          <w:rFonts w:ascii="Cambria" w:eastAsia="Times New Roman" w:hAnsi="Cambria" w:cs="Arial"/>
          <w:sz w:val="20"/>
          <w:szCs w:val="20"/>
          <w:lang w:eastAsia="es-ES_tradnl"/>
        </w:rPr>
        <w:t xml:space="preserve">In this sense, the IACHR recalls that the duties of prosecutors—such as </w:t>
      </w:r>
      <w:r w:rsidR="00EA00B8" w:rsidRPr="008A7BD7">
        <w:rPr>
          <w:rFonts w:ascii="Cambria" w:eastAsia="Times New Roman" w:hAnsi="Cambria" w:cs="Arial"/>
          <w:sz w:val="20"/>
          <w:szCs w:val="20"/>
          <w:lang w:eastAsia="es-ES_tradnl"/>
        </w:rPr>
        <w:t xml:space="preserve">the </w:t>
      </w:r>
      <w:r w:rsidR="00703771" w:rsidRPr="008A7BD7">
        <w:rPr>
          <w:rFonts w:ascii="Cambria" w:eastAsia="Times New Roman" w:hAnsi="Cambria" w:cs="Arial"/>
          <w:sz w:val="20"/>
          <w:szCs w:val="20"/>
          <w:lang w:eastAsia="es-ES_tradnl"/>
        </w:rPr>
        <w:t>investigati</w:t>
      </w:r>
      <w:r w:rsidR="00EA00B8" w:rsidRPr="008A7BD7">
        <w:rPr>
          <w:rFonts w:ascii="Cambria" w:eastAsia="Times New Roman" w:hAnsi="Cambria" w:cs="Arial"/>
          <w:sz w:val="20"/>
          <w:szCs w:val="20"/>
          <w:lang w:eastAsia="es-ES_tradnl"/>
        </w:rPr>
        <w:t>on of</w:t>
      </w:r>
      <w:r w:rsidR="00703771" w:rsidRPr="008A7BD7">
        <w:rPr>
          <w:rFonts w:ascii="Cambria" w:eastAsia="Times New Roman" w:hAnsi="Cambria" w:cs="Arial"/>
          <w:sz w:val="20"/>
          <w:szCs w:val="20"/>
          <w:lang w:eastAsia="es-ES_tradnl"/>
        </w:rPr>
        <w:t xml:space="preserve"> crimes, </w:t>
      </w:r>
      <w:r w:rsidR="00EA00B8" w:rsidRPr="008A7BD7">
        <w:rPr>
          <w:rFonts w:ascii="Cambria" w:eastAsia="Times New Roman" w:hAnsi="Cambria" w:cs="Arial"/>
          <w:sz w:val="20"/>
          <w:szCs w:val="20"/>
          <w:lang w:eastAsia="es-ES_tradnl"/>
        </w:rPr>
        <w:t xml:space="preserve">oversight to </w:t>
      </w:r>
      <w:r w:rsidR="00703771" w:rsidRPr="008A7BD7">
        <w:rPr>
          <w:rFonts w:ascii="Cambria" w:eastAsia="Times New Roman" w:hAnsi="Cambria" w:cs="Arial"/>
          <w:sz w:val="20"/>
          <w:szCs w:val="20"/>
          <w:lang w:eastAsia="es-ES_tradnl"/>
        </w:rPr>
        <w:t>ensur</w:t>
      </w:r>
      <w:r w:rsidR="00EA00B8" w:rsidRPr="008A7BD7">
        <w:rPr>
          <w:rFonts w:ascii="Cambria" w:eastAsia="Times New Roman" w:hAnsi="Cambria" w:cs="Arial"/>
          <w:sz w:val="20"/>
          <w:szCs w:val="20"/>
          <w:lang w:eastAsia="es-ES_tradnl"/>
        </w:rPr>
        <w:t>e</w:t>
      </w:r>
      <w:r w:rsidR="00703771" w:rsidRPr="008A7BD7">
        <w:rPr>
          <w:rFonts w:ascii="Cambria" w:eastAsia="Times New Roman" w:hAnsi="Cambria" w:cs="Arial"/>
          <w:sz w:val="20"/>
          <w:szCs w:val="20"/>
          <w:lang w:eastAsia="es-ES_tradnl"/>
        </w:rPr>
        <w:t xml:space="preserve"> </w:t>
      </w:r>
      <w:r w:rsidR="00EA00B8" w:rsidRPr="008A7BD7">
        <w:rPr>
          <w:rFonts w:ascii="Cambria" w:eastAsia="Times New Roman" w:hAnsi="Cambria" w:cs="Arial"/>
          <w:sz w:val="20"/>
          <w:szCs w:val="20"/>
          <w:lang w:eastAsia="es-ES_tradnl"/>
        </w:rPr>
        <w:t>the lawfulness of</w:t>
      </w:r>
      <w:r w:rsidR="00703771" w:rsidRPr="008A7BD7">
        <w:rPr>
          <w:rFonts w:ascii="Cambria" w:eastAsia="Times New Roman" w:hAnsi="Cambria" w:cs="Arial"/>
          <w:sz w:val="20"/>
          <w:szCs w:val="20"/>
          <w:lang w:eastAsia="es-ES_tradnl"/>
        </w:rPr>
        <w:t xml:space="preserve"> investigations</w:t>
      </w:r>
      <w:r w:rsidR="00EA00B8" w:rsidRPr="008A7BD7">
        <w:rPr>
          <w:rFonts w:ascii="Cambria" w:eastAsia="Times New Roman" w:hAnsi="Cambria" w:cs="Arial"/>
          <w:sz w:val="20"/>
          <w:szCs w:val="20"/>
          <w:lang w:eastAsia="es-ES_tradnl"/>
        </w:rPr>
        <w:t>, and</w:t>
      </w:r>
      <w:r w:rsidR="002707EB" w:rsidRPr="008A7BD7">
        <w:rPr>
          <w:rFonts w:ascii="Cambria" w:eastAsia="Times New Roman" w:hAnsi="Cambria" w:cs="Arial"/>
          <w:sz w:val="20"/>
          <w:szCs w:val="20"/>
          <w:lang w:eastAsia="es-ES_tradnl"/>
        </w:rPr>
        <w:t xml:space="preserve"> </w:t>
      </w:r>
      <w:r w:rsidR="00EA00B8" w:rsidRPr="008A7BD7">
        <w:rPr>
          <w:rFonts w:ascii="Cambria" w:eastAsia="Times New Roman" w:hAnsi="Cambria" w:cs="Arial"/>
          <w:sz w:val="20"/>
          <w:szCs w:val="20"/>
          <w:lang w:eastAsia="es-ES_tradnl"/>
        </w:rPr>
        <w:t>enforcement of court rulings—are essential to eliminating impunity in cases involving human rights violations.</w:t>
      </w:r>
      <w:r w:rsidR="002707EB" w:rsidRPr="008A7BD7">
        <w:rPr>
          <w:rStyle w:val="FootnoteReference"/>
          <w:rFonts w:ascii="Cambria" w:eastAsia="Times New Roman" w:hAnsi="Cambria" w:cs="Arial"/>
          <w:sz w:val="20"/>
          <w:szCs w:val="20"/>
          <w:lang w:val="es-US" w:eastAsia="es-ES_tradnl"/>
        </w:rPr>
        <w:footnoteReference w:id="81"/>
      </w:r>
      <w:r w:rsidR="002707EB" w:rsidRPr="008A7BD7">
        <w:rPr>
          <w:rFonts w:ascii="Cambria" w:eastAsia="Times New Roman" w:hAnsi="Cambria" w:cs="Arial"/>
          <w:sz w:val="20"/>
          <w:szCs w:val="20"/>
          <w:lang w:eastAsia="es-ES_tradnl"/>
        </w:rPr>
        <w:t xml:space="preserve"> </w:t>
      </w:r>
      <w:r w:rsidR="00EA00B8" w:rsidRPr="008A7BD7">
        <w:rPr>
          <w:rFonts w:ascii="Cambria" w:eastAsia="Times New Roman" w:hAnsi="Cambria" w:cs="Arial"/>
          <w:sz w:val="20"/>
          <w:szCs w:val="20"/>
          <w:lang w:eastAsia="es-ES_tradnl"/>
        </w:rPr>
        <w:t xml:space="preserve">The IACHR therefore calls on the Guatemalan State to ensure the institutional independence of the Public Prosecutor’s </w:t>
      </w:r>
      <w:r w:rsidR="00EA00B8" w:rsidRPr="008A7BD7">
        <w:rPr>
          <w:rFonts w:ascii="Cambria" w:eastAsia="Times New Roman" w:hAnsi="Cambria" w:cs="Arial"/>
          <w:sz w:val="20"/>
          <w:szCs w:val="20"/>
          <w:lang w:eastAsia="es-ES_tradnl"/>
        </w:rPr>
        <w:lastRenderedPageBreak/>
        <w:t>Office and to cease all actions that would weaken or undermine the institution’s efforts to fight impunity and corruption in the country</w:t>
      </w:r>
      <w:r w:rsidR="002707EB" w:rsidRPr="008A7BD7">
        <w:rPr>
          <w:rFonts w:ascii="Cambria" w:eastAsia="Times New Roman" w:hAnsi="Cambria" w:cs="Arial"/>
          <w:sz w:val="20"/>
          <w:szCs w:val="20"/>
          <w:lang w:eastAsia="es-ES_tradnl"/>
        </w:rPr>
        <w:t>.</w:t>
      </w:r>
    </w:p>
    <w:p w14:paraId="1425E32A" w14:textId="77777777" w:rsidR="002707EB" w:rsidRPr="008A7BD7" w:rsidRDefault="002707EB" w:rsidP="002707EB">
      <w:pPr>
        <w:jc w:val="both"/>
        <w:rPr>
          <w:rFonts w:ascii="Cambria" w:eastAsia="Times New Roman" w:hAnsi="Cambria" w:cs="Tahoma"/>
          <w:color w:val="000000"/>
          <w:sz w:val="20"/>
          <w:szCs w:val="20"/>
          <w:lang w:eastAsia="es-ES_tradnl"/>
        </w:rPr>
      </w:pPr>
    </w:p>
    <w:p w14:paraId="66207837" w14:textId="12D97301" w:rsidR="00706CD2" w:rsidRPr="008A7BD7" w:rsidRDefault="00E76DD3" w:rsidP="4F54743F">
      <w:pPr>
        <w:tabs>
          <w:tab w:val="left" w:pos="6945"/>
        </w:tabs>
        <w:jc w:val="both"/>
        <w:rPr>
          <w:rFonts w:ascii="Cambria" w:eastAsia="Times New Roman" w:hAnsi="Cambria" w:cs="Arial"/>
          <w:b/>
          <w:bCs/>
          <w:i/>
          <w:iCs/>
          <w:sz w:val="20"/>
          <w:szCs w:val="20"/>
          <w:lang w:val="es-ES" w:eastAsia="es-ES"/>
        </w:rPr>
      </w:pPr>
      <w:proofErr w:type="spellStart"/>
      <w:r w:rsidRPr="008A7BD7">
        <w:rPr>
          <w:rFonts w:ascii="Cambria" w:eastAsia="Times New Roman" w:hAnsi="Cambria" w:cs="Arial"/>
          <w:b/>
          <w:bCs/>
          <w:i/>
          <w:iCs/>
          <w:sz w:val="20"/>
          <w:szCs w:val="20"/>
          <w:lang w:val="es-ES" w:eastAsia="es-ES"/>
        </w:rPr>
        <w:t>Situation</w:t>
      </w:r>
      <w:proofErr w:type="spellEnd"/>
      <w:r w:rsidRPr="008A7BD7">
        <w:rPr>
          <w:rFonts w:ascii="Cambria" w:eastAsia="Times New Roman" w:hAnsi="Cambria" w:cs="Arial"/>
          <w:b/>
          <w:bCs/>
          <w:i/>
          <w:iCs/>
          <w:sz w:val="20"/>
          <w:szCs w:val="20"/>
          <w:lang w:val="es-ES" w:eastAsia="es-ES"/>
        </w:rPr>
        <w:t xml:space="preserve"> of </w:t>
      </w:r>
      <w:proofErr w:type="spellStart"/>
      <w:r w:rsidR="00B464AF" w:rsidRPr="008A7BD7">
        <w:rPr>
          <w:rFonts w:ascii="Cambria" w:eastAsia="Times New Roman" w:hAnsi="Cambria" w:cs="Arial"/>
          <w:b/>
          <w:bCs/>
          <w:i/>
          <w:iCs/>
          <w:sz w:val="20"/>
          <w:szCs w:val="20"/>
          <w:lang w:val="es-ES" w:eastAsia="es-ES"/>
        </w:rPr>
        <w:t>J</w:t>
      </w:r>
      <w:r w:rsidRPr="008A7BD7">
        <w:rPr>
          <w:rFonts w:ascii="Cambria" w:eastAsia="Times New Roman" w:hAnsi="Cambria" w:cs="Arial"/>
          <w:b/>
          <w:bCs/>
          <w:i/>
          <w:iCs/>
          <w:sz w:val="20"/>
          <w:szCs w:val="20"/>
          <w:lang w:val="es-ES" w:eastAsia="es-ES"/>
        </w:rPr>
        <w:t>ustice</w:t>
      </w:r>
      <w:proofErr w:type="spellEnd"/>
      <w:r w:rsidRPr="008A7BD7">
        <w:rPr>
          <w:rFonts w:ascii="Cambria" w:eastAsia="Times New Roman" w:hAnsi="Cambria" w:cs="Arial"/>
          <w:b/>
          <w:bCs/>
          <w:i/>
          <w:iCs/>
          <w:sz w:val="20"/>
          <w:szCs w:val="20"/>
          <w:lang w:val="es-ES" w:eastAsia="es-ES"/>
        </w:rPr>
        <w:t xml:space="preserve"> </w:t>
      </w:r>
      <w:proofErr w:type="spellStart"/>
      <w:r w:rsidR="00B464AF" w:rsidRPr="008A7BD7">
        <w:rPr>
          <w:rFonts w:ascii="Cambria" w:eastAsia="Times New Roman" w:hAnsi="Cambria" w:cs="Arial"/>
          <w:b/>
          <w:bCs/>
          <w:i/>
          <w:iCs/>
          <w:sz w:val="20"/>
          <w:szCs w:val="20"/>
          <w:lang w:val="es-ES" w:eastAsia="es-ES"/>
        </w:rPr>
        <w:t>O</w:t>
      </w:r>
      <w:r w:rsidRPr="008A7BD7">
        <w:rPr>
          <w:rFonts w:ascii="Cambria" w:eastAsia="Times New Roman" w:hAnsi="Cambria" w:cs="Arial"/>
          <w:b/>
          <w:bCs/>
          <w:i/>
          <w:iCs/>
          <w:sz w:val="20"/>
          <w:szCs w:val="20"/>
          <w:lang w:val="es-ES" w:eastAsia="es-ES"/>
        </w:rPr>
        <w:t>perators</w:t>
      </w:r>
      <w:proofErr w:type="spellEnd"/>
    </w:p>
    <w:p w14:paraId="06B0D0A4" w14:textId="77777777" w:rsidR="00706CD2" w:rsidRPr="008A7BD7" w:rsidRDefault="00706CD2" w:rsidP="00706CD2">
      <w:pPr>
        <w:suppressAutoHyphens/>
        <w:jc w:val="both"/>
        <w:rPr>
          <w:rFonts w:ascii="Cambria" w:eastAsia="Times New Roman" w:hAnsi="Cambria" w:cs="Tahoma"/>
          <w:color w:val="333333"/>
          <w:sz w:val="20"/>
          <w:szCs w:val="20"/>
          <w:lang w:val="es-US" w:eastAsia="es-ES_tradnl"/>
        </w:rPr>
      </w:pPr>
    </w:p>
    <w:p w14:paraId="4840E451" w14:textId="63BC4722" w:rsidR="00706CD2" w:rsidRPr="008A7BD7" w:rsidRDefault="00E76DD3"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imes New Roman"/>
          <w:sz w:val="20"/>
          <w:szCs w:val="20"/>
          <w:lang w:eastAsia="es-ES"/>
        </w:rPr>
        <w:t xml:space="preserve">The Commission has </w:t>
      </w:r>
      <w:r w:rsidR="00830F96" w:rsidRPr="008A7BD7">
        <w:rPr>
          <w:rFonts w:ascii="Cambria" w:eastAsia="Times New Roman" w:hAnsi="Cambria" w:cs="Times New Roman"/>
          <w:sz w:val="20"/>
          <w:szCs w:val="20"/>
          <w:lang w:eastAsia="es-ES"/>
        </w:rPr>
        <w:t>noted</w:t>
      </w:r>
      <w:r w:rsidRPr="008A7BD7">
        <w:rPr>
          <w:rFonts w:ascii="Cambria" w:eastAsia="Times New Roman" w:hAnsi="Cambria" w:cs="Times New Roman"/>
          <w:sz w:val="20"/>
          <w:szCs w:val="20"/>
          <w:lang w:eastAsia="es-ES"/>
        </w:rPr>
        <w:t xml:space="preserve"> </w:t>
      </w:r>
      <w:r w:rsidR="00472097" w:rsidRPr="008A7BD7">
        <w:rPr>
          <w:rFonts w:ascii="Cambria" w:eastAsia="Times New Roman" w:hAnsi="Cambria" w:cs="Times New Roman"/>
          <w:sz w:val="20"/>
          <w:szCs w:val="20"/>
          <w:lang w:eastAsia="es-ES"/>
        </w:rPr>
        <w:t xml:space="preserve">on multiple occasions </w:t>
      </w:r>
      <w:r w:rsidRPr="008A7BD7">
        <w:rPr>
          <w:rFonts w:ascii="Cambria" w:eastAsia="Times New Roman" w:hAnsi="Cambria" w:cs="Times New Roman"/>
          <w:sz w:val="20"/>
          <w:szCs w:val="20"/>
          <w:lang w:eastAsia="es-ES"/>
        </w:rPr>
        <w:t>that judges</w:t>
      </w:r>
      <w:r w:rsidR="00706CD2" w:rsidRPr="008A7BD7">
        <w:rPr>
          <w:rFonts w:ascii="Cambria" w:eastAsia="Times New Roman" w:hAnsi="Cambria" w:cs="Times New Roman"/>
          <w:sz w:val="20"/>
          <w:szCs w:val="20"/>
          <w:lang w:eastAsia="es-ES"/>
        </w:rPr>
        <w:t xml:space="preserve"> </w:t>
      </w:r>
      <w:r w:rsidRPr="008A7BD7">
        <w:rPr>
          <w:rFonts w:ascii="Cambria" w:eastAsia="Times New Roman" w:hAnsi="Cambria" w:cs="Times New Roman"/>
          <w:sz w:val="20"/>
          <w:szCs w:val="20"/>
          <w:lang w:eastAsia="es-ES"/>
        </w:rPr>
        <w:t xml:space="preserve">are the </w:t>
      </w:r>
      <w:r w:rsidR="0008503D" w:rsidRPr="008A7BD7">
        <w:rPr>
          <w:rFonts w:ascii="Cambria" w:eastAsia="Times New Roman" w:hAnsi="Cambria" w:cs="Times New Roman"/>
          <w:sz w:val="20"/>
          <w:szCs w:val="20"/>
          <w:lang w:eastAsia="es-ES"/>
        </w:rPr>
        <w:t>primary</w:t>
      </w:r>
      <w:r w:rsidR="00C67744" w:rsidRPr="008A7BD7">
        <w:rPr>
          <w:rFonts w:ascii="Cambria" w:eastAsia="Times New Roman" w:hAnsi="Cambria" w:cs="Times New Roman"/>
          <w:sz w:val="20"/>
          <w:szCs w:val="20"/>
          <w:lang w:eastAsia="es-ES"/>
        </w:rPr>
        <w:t xml:space="preserve"> line of defense in </w:t>
      </w:r>
      <w:r w:rsidR="005D248D" w:rsidRPr="008A7BD7">
        <w:rPr>
          <w:rFonts w:ascii="Cambria" w:eastAsia="Times New Roman" w:hAnsi="Cambria" w:cs="Times New Roman"/>
          <w:sz w:val="20"/>
          <w:szCs w:val="20"/>
          <w:lang w:eastAsia="es-ES"/>
        </w:rPr>
        <w:t xml:space="preserve">ensuring </w:t>
      </w:r>
      <w:r w:rsidR="0008503D" w:rsidRPr="008A7BD7">
        <w:rPr>
          <w:rFonts w:ascii="Cambria" w:eastAsia="Times New Roman" w:hAnsi="Cambria" w:cs="Times New Roman"/>
          <w:sz w:val="20"/>
          <w:szCs w:val="20"/>
          <w:lang w:eastAsia="es-ES"/>
        </w:rPr>
        <w:t xml:space="preserve">the </w:t>
      </w:r>
      <w:r w:rsidRPr="008A7BD7">
        <w:rPr>
          <w:rFonts w:ascii="Cambria" w:eastAsia="Times New Roman" w:hAnsi="Cambria" w:cs="Times New Roman"/>
          <w:sz w:val="20"/>
          <w:szCs w:val="20"/>
          <w:lang w:eastAsia="es-ES"/>
        </w:rPr>
        <w:t xml:space="preserve">judicial protection of human rights in a democratic State and </w:t>
      </w:r>
      <w:r w:rsidR="005D248D" w:rsidRPr="008A7BD7">
        <w:rPr>
          <w:rFonts w:ascii="Cambria" w:eastAsia="Times New Roman" w:hAnsi="Cambria" w:cs="Times New Roman"/>
          <w:sz w:val="20"/>
          <w:szCs w:val="20"/>
          <w:lang w:eastAsia="es-ES"/>
        </w:rPr>
        <w:t>the</w:t>
      </w:r>
      <w:r w:rsidRPr="008A7BD7">
        <w:rPr>
          <w:rFonts w:ascii="Cambria" w:eastAsia="Times New Roman" w:hAnsi="Cambria" w:cs="Times New Roman"/>
          <w:sz w:val="20"/>
          <w:szCs w:val="20"/>
          <w:lang w:eastAsia="es-ES"/>
        </w:rPr>
        <w:t xml:space="preserve"> due process that must be observed </w:t>
      </w:r>
      <w:r w:rsidR="00C67744" w:rsidRPr="008A7BD7">
        <w:rPr>
          <w:rFonts w:ascii="Cambria" w:eastAsia="Times New Roman" w:hAnsi="Cambria" w:cs="Times New Roman"/>
          <w:sz w:val="20"/>
          <w:szCs w:val="20"/>
          <w:lang w:eastAsia="es-ES"/>
        </w:rPr>
        <w:t xml:space="preserve">when States can implement a sanction. </w:t>
      </w:r>
      <w:r w:rsidR="005D248D" w:rsidRPr="008A7BD7">
        <w:rPr>
          <w:rFonts w:ascii="Cambria" w:eastAsia="Times New Roman" w:hAnsi="Cambria" w:cs="Times New Roman"/>
          <w:sz w:val="20"/>
          <w:szCs w:val="20"/>
          <w:lang w:eastAsia="es-ES"/>
        </w:rPr>
        <w:t>In a democratic system, judges ensure that the acts of other branches of government and public servants in general are consistent with the conventions to which the State is party and with its constitution and laws. Judges also administer justice in disputes between private parties where a person’s rights might be at stake.</w:t>
      </w:r>
      <w:r w:rsidR="009C4A37" w:rsidRPr="008A7BD7">
        <w:rPr>
          <w:rStyle w:val="FootnoteReference"/>
          <w:rFonts w:ascii="Cambria" w:eastAsia="Times New Roman" w:hAnsi="Cambria" w:cs="Times New Roman"/>
          <w:sz w:val="20"/>
          <w:szCs w:val="20"/>
          <w:lang w:val="es-US" w:eastAsia="es-ES"/>
        </w:rPr>
        <w:footnoteReference w:id="82"/>
      </w:r>
      <w:r w:rsidR="00706CD2" w:rsidRPr="008A7BD7">
        <w:rPr>
          <w:rFonts w:ascii="Cambria" w:eastAsia="Times New Roman" w:hAnsi="Cambria" w:cs="Times New Roman"/>
          <w:sz w:val="20"/>
          <w:szCs w:val="20"/>
          <w:lang w:eastAsia="es-ES"/>
        </w:rPr>
        <w:t xml:space="preserve"> </w:t>
      </w:r>
    </w:p>
    <w:p w14:paraId="7C83CEDD" w14:textId="77777777" w:rsidR="00706CD2" w:rsidRPr="008A7BD7" w:rsidRDefault="00706CD2" w:rsidP="00706CD2">
      <w:pPr>
        <w:suppressAutoHyphens/>
        <w:ind w:left="720"/>
        <w:jc w:val="both"/>
        <w:rPr>
          <w:rFonts w:ascii="Cambria" w:eastAsia="Times New Roman" w:hAnsi="Cambria" w:cs="Tahoma"/>
          <w:color w:val="000000"/>
          <w:sz w:val="20"/>
          <w:szCs w:val="20"/>
          <w:lang w:eastAsia="es-ES_tradnl"/>
        </w:rPr>
      </w:pPr>
    </w:p>
    <w:p w14:paraId="67A3F383" w14:textId="174506F7" w:rsidR="00706CD2" w:rsidRPr="008A7BD7" w:rsidRDefault="00C6667C" w:rsidP="008A2AEC">
      <w:pPr>
        <w:numPr>
          <w:ilvl w:val="0"/>
          <w:numId w:val="2"/>
        </w:numPr>
        <w:ind w:left="0" w:firstLine="720"/>
        <w:jc w:val="both"/>
        <w:rPr>
          <w:rFonts w:ascii="Cambria" w:eastAsia="Times New Roman" w:hAnsi="Cambria" w:cs="Times New Roman"/>
          <w:sz w:val="20"/>
          <w:szCs w:val="20"/>
          <w:lang w:eastAsia="es-ES_tradnl"/>
        </w:rPr>
      </w:pPr>
      <w:proofErr w:type="gramStart"/>
      <w:r w:rsidRPr="008A7BD7">
        <w:rPr>
          <w:rFonts w:ascii="Cambria" w:eastAsia="Times New Roman" w:hAnsi="Cambria" w:cs="Times New Roman"/>
          <w:sz w:val="20"/>
          <w:szCs w:val="20"/>
          <w:lang w:eastAsia="es-ES"/>
        </w:rPr>
        <w:t>With regard to</w:t>
      </w:r>
      <w:proofErr w:type="gramEnd"/>
      <w:r w:rsidR="00706CD2" w:rsidRPr="008A7BD7">
        <w:rPr>
          <w:rFonts w:ascii="Cambria" w:eastAsia="Times New Roman" w:hAnsi="Cambria" w:cs="Times New Roman"/>
          <w:sz w:val="20"/>
          <w:szCs w:val="20"/>
          <w:lang w:eastAsia="es-ES"/>
        </w:rPr>
        <w:t xml:space="preserve"> Guatemala, </w:t>
      </w:r>
      <w:r w:rsidRPr="008A7BD7">
        <w:rPr>
          <w:rFonts w:ascii="Cambria" w:eastAsia="Times New Roman" w:hAnsi="Cambria" w:cs="Times New Roman"/>
          <w:sz w:val="20"/>
          <w:szCs w:val="20"/>
          <w:lang w:eastAsia="es-ES"/>
        </w:rPr>
        <w:t xml:space="preserve">in the report on its visit to the country, the IACHR noted that attempts by justice operators, including judges, to </w:t>
      </w:r>
      <w:r w:rsidR="003A46C8" w:rsidRPr="008A7BD7">
        <w:rPr>
          <w:rFonts w:ascii="Cambria" w:eastAsia="Times New Roman" w:hAnsi="Cambria" w:cs="Times New Roman"/>
          <w:sz w:val="20"/>
          <w:szCs w:val="20"/>
          <w:lang w:eastAsia="es-ES"/>
        </w:rPr>
        <w:t>gain ground</w:t>
      </w:r>
      <w:r w:rsidRPr="008A7BD7">
        <w:rPr>
          <w:rFonts w:ascii="Cambria" w:eastAsia="Times New Roman" w:hAnsi="Cambria" w:cs="Times New Roman"/>
          <w:sz w:val="20"/>
          <w:szCs w:val="20"/>
          <w:lang w:eastAsia="es-ES"/>
        </w:rPr>
        <w:t xml:space="preserve"> in combating impunity and corruption had brought in their wake attacks</w:t>
      </w:r>
      <w:r w:rsidR="003A46C8" w:rsidRPr="008A7BD7">
        <w:rPr>
          <w:rFonts w:ascii="Cambria" w:eastAsia="Times New Roman" w:hAnsi="Cambria" w:cs="Times New Roman"/>
          <w:sz w:val="20"/>
          <w:szCs w:val="20"/>
          <w:lang w:eastAsia="es-ES"/>
        </w:rPr>
        <w:t xml:space="preserve">, </w:t>
      </w:r>
      <w:r w:rsidRPr="008A7BD7">
        <w:rPr>
          <w:rFonts w:ascii="Cambria" w:eastAsia="Times New Roman" w:hAnsi="Cambria" w:cs="Times New Roman"/>
          <w:sz w:val="20"/>
          <w:szCs w:val="20"/>
          <w:lang w:eastAsia="es-ES"/>
        </w:rPr>
        <w:t>thr</w:t>
      </w:r>
      <w:r w:rsidR="003A46C8" w:rsidRPr="008A7BD7">
        <w:rPr>
          <w:rFonts w:ascii="Cambria" w:eastAsia="Times New Roman" w:hAnsi="Cambria" w:cs="Times New Roman"/>
          <w:sz w:val="20"/>
          <w:szCs w:val="20"/>
          <w:lang w:eastAsia="es-ES"/>
        </w:rPr>
        <w:t>e</w:t>
      </w:r>
      <w:r w:rsidRPr="008A7BD7">
        <w:rPr>
          <w:rFonts w:ascii="Cambria" w:eastAsia="Times New Roman" w:hAnsi="Cambria" w:cs="Times New Roman"/>
          <w:sz w:val="20"/>
          <w:szCs w:val="20"/>
          <w:lang w:eastAsia="es-ES"/>
        </w:rPr>
        <w:t>ats</w:t>
      </w:r>
      <w:r w:rsidR="003A46C8" w:rsidRPr="008A7BD7">
        <w:rPr>
          <w:rFonts w:ascii="Cambria" w:eastAsia="Times New Roman" w:hAnsi="Cambria" w:cs="Times New Roman"/>
          <w:sz w:val="20"/>
          <w:szCs w:val="20"/>
          <w:lang w:eastAsia="es-ES"/>
        </w:rPr>
        <w:t xml:space="preserve">, acts of aggression, and baseless </w:t>
      </w:r>
      <w:r w:rsidR="00162F82" w:rsidRPr="008A7BD7">
        <w:rPr>
          <w:rFonts w:ascii="Cambria" w:eastAsia="Times New Roman" w:hAnsi="Cambria" w:cs="Times New Roman"/>
          <w:sz w:val="20"/>
          <w:szCs w:val="20"/>
          <w:lang w:eastAsia="es-ES"/>
        </w:rPr>
        <w:t xml:space="preserve">motions for </w:t>
      </w:r>
      <w:r w:rsidR="003A46C8" w:rsidRPr="008A7BD7">
        <w:rPr>
          <w:rFonts w:ascii="Cambria" w:eastAsia="Times New Roman" w:hAnsi="Cambria" w:cs="Times New Roman"/>
          <w:sz w:val="20"/>
          <w:szCs w:val="20"/>
          <w:lang w:eastAsia="es-ES"/>
        </w:rPr>
        <w:t>impeachment</w:t>
      </w:r>
      <w:r w:rsidR="00706CD2" w:rsidRPr="008A7BD7">
        <w:rPr>
          <w:rFonts w:ascii="Cambria" w:eastAsia="Times New Roman" w:hAnsi="Cambria" w:cs="Times New Roman"/>
          <w:sz w:val="20"/>
          <w:szCs w:val="20"/>
          <w:lang w:eastAsia="es-ES"/>
        </w:rPr>
        <w:t xml:space="preserve">, </w:t>
      </w:r>
      <w:r w:rsidR="004B720B" w:rsidRPr="008A7BD7">
        <w:rPr>
          <w:rFonts w:ascii="Cambria" w:eastAsia="Times New Roman" w:hAnsi="Cambria" w:cs="Times New Roman"/>
          <w:sz w:val="20"/>
          <w:szCs w:val="20"/>
          <w:lang w:eastAsia="es-ES"/>
        </w:rPr>
        <w:t xml:space="preserve">especially from those involved in high-profile cases of corruption and serious human rights violations. </w:t>
      </w:r>
      <w:proofErr w:type="gramStart"/>
      <w:r w:rsidR="004B720B" w:rsidRPr="008A7BD7">
        <w:rPr>
          <w:rFonts w:ascii="Cambria" w:eastAsia="Times New Roman" w:hAnsi="Cambria" w:cs="Times New Roman"/>
          <w:sz w:val="20"/>
          <w:szCs w:val="20"/>
          <w:lang w:eastAsia="es-ES"/>
        </w:rPr>
        <w:t>Subsequent to</w:t>
      </w:r>
      <w:proofErr w:type="gramEnd"/>
      <w:r w:rsidR="004B720B" w:rsidRPr="008A7BD7">
        <w:rPr>
          <w:rFonts w:ascii="Cambria" w:eastAsia="Times New Roman" w:hAnsi="Cambria" w:cs="Times New Roman"/>
          <w:sz w:val="20"/>
          <w:szCs w:val="20"/>
          <w:lang w:eastAsia="es-ES"/>
        </w:rPr>
        <w:t xml:space="preserve"> the visit, and as the IACHR has noted in its various follow-up reports, judicial persecution </w:t>
      </w:r>
      <w:r w:rsidR="002B5F94" w:rsidRPr="008A7BD7">
        <w:rPr>
          <w:rFonts w:ascii="Cambria" w:eastAsia="Times New Roman" w:hAnsi="Cambria" w:cs="Times New Roman"/>
          <w:sz w:val="20"/>
          <w:szCs w:val="20"/>
          <w:lang w:eastAsia="es-ES"/>
        </w:rPr>
        <w:t>of</w:t>
      </w:r>
      <w:r w:rsidR="004B720B" w:rsidRPr="008A7BD7">
        <w:rPr>
          <w:rFonts w:ascii="Cambria" w:eastAsia="Times New Roman" w:hAnsi="Cambria" w:cs="Times New Roman"/>
          <w:sz w:val="20"/>
          <w:szCs w:val="20"/>
          <w:lang w:eastAsia="es-ES"/>
        </w:rPr>
        <w:t xml:space="preserve"> independent justice operators has not only continued but intensified.</w:t>
      </w:r>
      <w:r w:rsidR="009C4A37" w:rsidRPr="008A7BD7">
        <w:rPr>
          <w:rFonts w:ascii="Cambria" w:eastAsia="Times New Roman" w:hAnsi="Cambria" w:cs="Times New Roman"/>
          <w:color w:val="000000"/>
          <w:sz w:val="20"/>
          <w:szCs w:val="20"/>
          <w:vertAlign w:val="superscript"/>
          <w:lang w:val="es-US" w:eastAsia="es-ES"/>
        </w:rPr>
        <w:footnoteReference w:id="83"/>
      </w:r>
    </w:p>
    <w:p w14:paraId="7A627230" w14:textId="77777777" w:rsidR="00C8476B" w:rsidRPr="008A7BD7" w:rsidRDefault="00C8476B" w:rsidP="00C8476B">
      <w:pPr>
        <w:rPr>
          <w:rFonts w:ascii="Cambria" w:eastAsia="Times New Roman" w:hAnsi="Cambria" w:cs="Tahoma"/>
          <w:color w:val="000000"/>
          <w:sz w:val="20"/>
          <w:szCs w:val="20"/>
          <w:lang w:eastAsia="es-ES_tradnl"/>
        </w:rPr>
      </w:pPr>
    </w:p>
    <w:p w14:paraId="1852EF78" w14:textId="64022CD6" w:rsidR="001A2977" w:rsidRPr="008A7BD7" w:rsidRDefault="00B91307" w:rsidP="008A2AEC">
      <w:pPr>
        <w:numPr>
          <w:ilvl w:val="0"/>
          <w:numId w:val="2"/>
        </w:numPr>
        <w:suppressAutoHyphens/>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themeColor="text1"/>
          <w:sz w:val="20"/>
          <w:szCs w:val="20"/>
          <w:lang w:eastAsia="es-ES"/>
        </w:rPr>
        <w:t xml:space="preserve">In fact, this year, the IACHR observed that the criminalization of magistrates, </w:t>
      </w:r>
      <w:r w:rsidR="002B5F94" w:rsidRPr="008A7BD7">
        <w:rPr>
          <w:rFonts w:ascii="Cambria" w:eastAsia="Times New Roman" w:hAnsi="Cambria" w:cs="Tahoma"/>
          <w:color w:val="000000" w:themeColor="text1"/>
          <w:sz w:val="20"/>
          <w:szCs w:val="20"/>
          <w:lang w:eastAsia="es-ES"/>
        </w:rPr>
        <w:t>judges</w:t>
      </w:r>
      <w:r w:rsidRPr="008A7BD7">
        <w:rPr>
          <w:rFonts w:ascii="Cambria" w:eastAsia="Times New Roman" w:hAnsi="Cambria" w:cs="Tahoma"/>
          <w:color w:val="000000" w:themeColor="text1"/>
          <w:sz w:val="20"/>
          <w:szCs w:val="20"/>
          <w:lang w:eastAsia="es-ES"/>
        </w:rPr>
        <w:t xml:space="preserve">, and other independent justice operators worsened </w:t>
      </w:r>
      <w:r w:rsidR="005533AD" w:rsidRPr="008A7BD7">
        <w:rPr>
          <w:rFonts w:ascii="Cambria" w:eastAsia="Times New Roman" w:hAnsi="Cambria" w:cs="Tahoma"/>
          <w:color w:val="000000" w:themeColor="text1"/>
          <w:sz w:val="20"/>
          <w:szCs w:val="20"/>
          <w:lang w:eastAsia="es-ES"/>
        </w:rPr>
        <w:t>due to</w:t>
      </w:r>
      <w:r w:rsidRPr="008A7BD7">
        <w:rPr>
          <w:rFonts w:ascii="Cambria" w:eastAsia="Times New Roman" w:hAnsi="Cambria" w:cs="Tahoma"/>
          <w:color w:val="000000" w:themeColor="text1"/>
          <w:sz w:val="20"/>
          <w:szCs w:val="20"/>
          <w:lang w:eastAsia="es-ES"/>
        </w:rPr>
        <w:t xml:space="preserve">, among other reasons, an alleged lack of independence </w:t>
      </w:r>
      <w:r w:rsidR="00AD2950" w:rsidRPr="008A7BD7">
        <w:rPr>
          <w:rFonts w:ascii="Cambria" w:eastAsia="Times New Roman" w:hAnsi="Cambria" w:cs="Tahoma"/>
          <w:color w:val="000000" w:themeColor="text1"/>
          <w:sz w:val="20"/>
          <w:szCs w:val="20"/>
          <w:lang w:eastAsia="es-ES"/>
        </w:rPr>
        <w:t>on the part of</w:t>
      </w:r>
      <w:r w:rsidRPr="008A7BD7">
        <w:rPr>
          <w:rFonts w:ascii="Cambria" w:eastAsia="Times New Roman" w:hAnsi="Cambria" w:cs="Tahoma"/>
          <w:color w:val="000000" w:themeColor="text1"/>
          <w:sz w:val="20"/>
          <w:szCs w:val="20"/>
          <w:lang w:eastAsia="es-ES"/>
        </w:rPr>
        <w:t xml:space="preserve"> the </w:t>
      </w:r>
      <w:r w:rsidR="00AD2950" w:rsidRPr="008A7BD7">
        <w:rPr>
          <w:rFonts w:ascii="Cambria" w:eastAsia="Times New Roman" w:hAnsi="Cambria" w:cs="Tahoma"/>
          <w:color w:val="000000" w:themeColor="text1"/>
          <w:sz w:val="20"/>
          <w:szCs w:val="20"/>
          <w:lang w:eastAsia="es-ES"/>
        </w:rPr>
        <w:t xml:space="preserve">Public Prosecutor’s </w:t>
      </w:r>
      <w:r w:rsidRPr="008A7BD7">
        <w:rPr>
          <w:rFonts w:ascii="Cambria" w:eastAsia="Times New Roman" w:hAnsi="Cambria" w:cs="Tahoma"/>
          <w:color w:val="000000" w:themeColor="text1"/>
          <w:sz w:val="20"/>
          <w:szCs w:val="20"/>
          <w:lang w:eastAsia="es-ES"/>
        </w:rPr>
        <w:t xml:space="preserve">Office, which </w:t>
      </w:r>
      <w:r w:rsidR="00AD2950" w:rsidRPr="008A7BD7">
        <w:rPr>
          <w:rFonts w:ascii="Cambria" w:eastAsia="Times New Roman" w:hAnsi="Cambria" w:cs="Tahoma"/>
          <w:color w:val="000000" w:themeColor="text1"/>
          <w:sz w:val="20"/>
          <w:szCs w:val="20"/>
          <w:lang w:eastAsia="es-ES"/>
        </w:rPr>
        <w:t>is said to</w:t>
      </w:r>
      <w:r w:rsidRPr="008A7BD7">
        <w:rPr>
          <w:rFonts w:ascii="Cambria" w:eastAsia="Times New Roman" w:hAnsi="Cambria" w:cs="Tahoma"/>
          <w:color w:val="000000" w:themeColor="text1"/>
          <w:sz w:val="20"/>
          <w:szCs w:val="20"/>
          <w:lang w:eastAsia="es-ES"/>
        </w:rPr>
        <w:t xml:space="preserve"> facilitate the manipulation of criminal law. </w:t>
      </w:r>
    </w:p>
    <w:p w14:paraId="40B97C4D" w14:textId="77777777" w:rsidR="001A2977" w:rsidRPr="008A7BD7" w:rsidRDefault="001A2977" w:rsidP="001A2977">
      <w:pPr>
        <w:pStyle w:val="ListParagraph"/>
        <w:rPr>
          <w:rFonts w:ascii="Cambria" w:eastAsia="Times New Roman" w:hAnsi="Cambria" w:cs="Tahoma"/>
          <w:color w:val="000000"/>
          <w:sz w:val="20"/>
          <w:szCs w:val="20"/>
          <w:lang w:eastAsia="es-ES"/>
        </w:rPr>
      </w:pPr>
    </w:p>
    <w:p w14:paraId="4720EB99" w14:textId="0B827580" w:rsidR="00314E2B" w:rsidRPr="008A7BD7" w:rsidRDefault="00B91307" w:rsidP="008A2AEC">
      <w:pPr>
        <w:numPr>
          <w:ilvl w:val="0"/>
          <w:numId w:val="2"/>
        </w:numPr>
        <w:suppressAutoHyphens/>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 xml:space="preserve">In this context, the Commission is particularly concerned about the situation of judges who sit on </w:t>
      </w:r>
      <w:proofErr w:type="gramStart"/>
      <w:r w:rsidRPr="008A7BD7">
        <w:rPr>
          <w:rFonts w:ascii="Cambria" w:eastAsia="Times New Roman" w:hAnsi="Cambria" w:cs="Tahoma"/>
          <w:color w:val="000000"/>
          <w:sz w:val="20"/>
          <w:szCs w:val="20"/>
          <w:lang w:eastAsia="es-ES"/>
        </w:rPr>
        <w:t>High Risk</w:t>
      </w:r>
      <w:proofErr w:type="gramEnd"/>
      <w:r w:rsidRPr="008A7BD7">
        <w:rPr>
          <w:rFonts w:ascii="Cambria" w:eastAsia="Times New Roman" w:hAnsi="Cambria" w:cs="Tahoma"/>
          <w:color w:val="000000"/>
          <w:sz w:val="20"/>
          <w:szCs w:val="20"/>
          <w:lang w:eastAsia="es-ES"/>
        </w:rPr>
        <w:t xml:space="preserve"> </w:t>
      </w:r>
      <w:r w:rsidR="005A6374" w:rsidRPr="008A7BD7">
        <w:rPr>
          <w:rFonts w:ascii="Cambria" w:eastAsia="Times New Roman" w:hAnsi="Cambria" w:cs="Tahoma"/>
          <w:color w:val="000000"/>
          <w:sz w:val="20"/>
          <w:szCs w:val="20"/>
          <w:lang w:eastAsia="es-ES"/>
        </w:rPr>
        <w:t>C</w:t>
      </w:r>
      <w:r w:rsidRPr="008A7BD7">
        <w:rPr>
          <w:rFonts w:ascii="Cambria" w:eastAsia="Times New Roman" w:hAnsi="Cambria" w:cs="Tahoma"/>
          <w:color w:val="000000"/>
          <w:sz w:val="20"/>
          <w:szCs w:val="20"/>
          <w:lang w:eastAsia="es-ES"/>
        </w:rPr>
        <w:t xml:space="preserve">ourts in Guatemala, who play an important role in </w:t>
      </w:r>
      <w:r w:rsidR="00E27E9C" w:rsidRPr="008A7BD7">
        <w:rPr>
          <w:rFonts w:ascii="Cambria" w:eastAsia="Times New Roman" w:hAnsi="Cambria" w:cs="Tahoma"/>
          <w:color w:val="000000"/>
          <w:sz w:val="20"/>
          <w:szCs w:val="20"/>
          <w:lang w:eastAsia="es-ES"/>
        </w:rPr>
        <w:t xml:space="preserve">hearing cases </w:t>
      </w:r>
      <w:r w:rsidR="00A81ECE" w:rsidRPr="008A7BD7">
        <w:rPr>
          <w:rFonts w:ascii="Cambria" w:eastAsia="Times New Roman" w:hAnsi="Cambria" w:cs="Tahoma"/>
          <w:color w:val="000000"/>
          <w:sz w:val="20"/>
          <w:szCs w:val="20"/>
          <w:lang w:eastAsia="es-ES"/>
        </w:rPr>
        <w:t>related to</w:t>
      </w:r>
      <w:r w:rsidR="00E27E9C" w:rsidRPr="008A7BD7">
        <w:rPr>
          <w:rFonts w:ascii="Cambria" w:eastAsia="Times New Roman" w:hAnsi="Cambria" w:cs="Tahoma"/>
          <w:color w:val="000000"/>
          <w:sz w:val="20"/>
          <w:szCs w:val="20"/>
          <w:lang w:eastAsia="es-ES"/>
        </w:rPr>
        <w:t xml:space="preserve"> the internal armed conflict, or corruption cases</w:t>
      </w:r>
      <w:r w:rsidR="008E437A" w:rsidRPr="008A7BD7">
        <w:rPr>
          <w:rFonts w:ascii="Cambria" w:eastAsia="Times New Roman" w:hAnsi="Cambria" w:cs="Tahoma"/>
          <w:color w:val="000000"/>
          <w:sz w:val="20"/>
          <w:szCs w:val="20"/>
          <w:lang w:eastAsia="es-ES"/>
        </w:rPr>
        <w:t xml:space="preserve">; these include </w:t>
      </w:r>
      <w:r w:rsidR="00706CD2" w:rsidRPr="008A7BD7">
        <w:rPr>
          <w:rFonts w:ascii="Cambria" w:eastAsia="Times New Roman" w:hAnsi="Cambria" w:cs="Tahoma"/>
          <w:color w:val="000000"/>
          <w:sz w:val="20"/>
          <w:szCs w:val="20"/>
          <w:lang w:eastAsia="es-ES"/>
        </w:rPr>
        <w:t xml:space="preserve">Pablo </w:t>
      </w:r>
      <w:proofErr w:type="spellStart"/>
      <w:r w:rsidR="00706CD2" w:rsidRPr="008A7BD7">
        <w:rPr>
          <w:rFonts w:ascii="Cambria" w:eastAsia="Times New Roman" w:hAnsi="Cambria" w:cs="Tahoma"/>
          <w:color w:val="000000"/>
          <w:sz w:val="20"/>
          <w:szCs w:val="20"/>
          <w:lang w:eastAsia="es-ES"/>
        </w:rPr>
        <w:t>Xitumul</w:t>
      </w:r>
      <w:proofErr w:type="spellEnd"/>
      <w:r w:rsidR="00706CD2" w:rsidRPr="008A7BD7">
        <w:rPr>
          <w:rFonts w:ascii="Cambria" w:eastAsia="Times New Roman" w:hAnsi="Cambria" w:cs="Tahoma"/>
          <w:color w:val="000000"/>
          <w:sz w:val="20"/>
          <w:szCs w:val="20"/>
          <w:lang w:eastAsia="es-ES"/>
        </w:rPr>
        <w:t xml:space="preserve"> De Paz, Miguel </w:t>
      </w:r>
      <w:proofErr w:type="spellStart"/>
      <w:r w:rsidR="00706CD2" w:rsidRPr="008A7BD7">
        <w:rPr>
          <w:rFonts w:ascii="Cambria" w:eastAsia="Times New Roman" w:hAnsi="Cambria" w:cs="Tahoma"/>
          <w:color w:val="000000"/>
          <w:sz w:val="20"/>
          <w:szCs w:val="20"/>
          <w:lang w:eastAsia="es-ES"/>
        </w:rPr>
        <w:t>Ángel</w:t>
      </w:r>
      <w:proofErr w:type="spellEnd"/>
      <w:r w:rsidR="00706CD2" w:rsidRPr="008A7BD7">
        <w:rPr>
          <w:rFonts w:ascii="Cambria" w:eastAsia="Times New Roman" w:hAnsi="Cambria" w:cs="Tahoma"/>
          <w:color w:val="000000"/>
          <w:sz w:val="20"/>
          <w:szCs w:val="20"/>
          <w:lang w:eastAsia="es-ES"/>
        </w:rPr>
        <w:t xml:space="preserve"> </w:t>
      </w:r>
      <w:proofErr w:type="spellStart"/>
      <w:r w:rsidR="00706CD2" w:rsidRPr="008A7BD7">
        <w:rPr>
          <w:rFonts w:ascii="Cambria" w:eastAsia="Times New Roman" w:hAnsi="Cambria" w:cs="Tahoma"/>
          <w:color w:val="000000"/>
          <w:sz w:val="20"/>
          <w:szCs w:val="20"/>
          <w:lang w:eastAsia="es-ES"/>
        </w:rPr>
        <w:t>Gálvez</w:t>
      </w:r>
      <w:proofErr w:type="spellEnd"/>
      <w:r w:rsidR="00706CD2" w:rsidRPr="008A7BD7">
        <w:rPr>
          <w:rFonts w:ascii="Cambria" w:eastAsia="Times New Roman" w:hAnsi="Cambria" w:cs="Tahoma"/>
          <w:color w:val="000000"/>
          <w:sz w:val="20"/>
          <w:szCs w:val="20"/>
          <w:lang w:eastAsia="es-ES"/>
        </w:rPr>
        <w:t xml:space="preserve"> Aguilar, Iris </w:t>
      </w:r>
      <w:proofErr w:type="spellStart"/>
      <w:r w:rsidR="00706CD2" w:rsidRPr="008A7BD7">
        <w:rPr>
          <w:rFonts w:ascii="Cambria" w:eastAsia="Times New Roman" w:hAnsi="Cambria" w:cs="Tahoma"/>
          <w:color w:val="000000"/>
          <w:sz w:val="20"/>
          <w:szCs w:val="20"/>
          <w:lang w:eastAsia="es-ES"/>
        </w:rPr>
        <w:t>Yassmín</w:t>
      </w:r>
      <w:proofErr w:type="spellEnd"/>
      <w:r w:rsidR="00706CD2" w:rsidRPr="008A7BD7">
        <w:rPr>
          <w:rFonts w:ascii="Cambria" w:eastAsia="Times New Roman" w:hAnsi="Cambria" w:cs="Tahoma"/>
          <w:color w:val="000000"/>
          <w:sz w:val="20"/>
          <w:szCs w:val="20"/>
          <w:lang w:eastAsia="es-ES"/>
        </w:rPr>
        <w:t xml:space="preserve"> Barrios Aguilar</w:t>
      </w:r>
      <w:r w:rsidR="00E27E9C" w:rsidRPr="008A7BD7">
        <w:rPr>
          <w:rFonts w:ascii="Cambria" w:eastAsia="Times New Roman" w:hAnsi="Cambria" w:cs="Tahoma"/>
          <w:color w:val="000000"/>
          <w:sz w:val="20"/>
          <w:szCs w:val="20"/>
          <w:lang w:eastAsia="es-ES"/>
        </w:rPr>
        <w:t>, and</w:t>
      </w:r>
      <w:r w:rsidR="00706CD2" w:rsidRPr="008A7BD7">
        <w:rPr>
          <w:rFonts w:ascii="Cambria" w:eastAsia="Times New Roman" w:hAnsi="Cambria" w:cs="Tahoma"/>
          <w:color w:val="000000"/>
          <w:sz w:val="20"/>
          <w:szCs w:val="20"/>
          <w:lang w:eastAsia="es-ES"/>
        </w:rPr>
        <w:t xml:space="preserve"> Erika Lorena </w:t>
      </w:r>
      <w:proofErr w:type="spellStart"/>
      <w:r w:rsidR="00706CD2" w:rsidRPr="008A7BD7">
        <w:rPr>
          <w:rFonts w:ascii="Cambria" w:eastAsia="Times New Roman" w:hAnsi="Cambria" w:cs="Tahoma"/>
          <w:color w:val="000000"/>
          <w:sz w:val="20"/>
          <w:szCs w:val="20"/>
          <w:lang w:eastAsia="es-ES"/>
        </w:rPr>
        <w:t>Aifán</w:t>
      </w:r>
      <w:proofErr w:type="spellEnd"/>
      <w:r w:rsidR="00706CD2" w:rsidRPr="008A7BD7">
        <w:rPr>
          <w:rFonts w:ascii="Cambria" w:eastAsia="Times New Roman" w:hAnsi="Cambria" w:cs="Tahoma"/>
          <w:color w:val="000000"/>
          <w:sz w:val="20"/>
          <w:szCs w:val="20"/>
          <w:lang w:eastAsia="es-ES"/>
        </w:rPr>
        <w:t xml:space="preserve"> </w:t>
      </w:r>
      <w:proofErr w:type="spellStart"/>
      <w:r w:rsidR="00706CD2" w:rsidRPr="008A7BD7">
        <w:rPr>
          <w:rFonts w:ascii="Cambria" w:eastAsia="Times New Roman" w:hAnsi="Cambria" w:cs="Tahoma"/>
          <w:color w:val="000000"/>
          <w:sz w:val="20"/>
          <w:szCs w:val="20"/>
          <w:lang w:eastAsia="es-ES"/>
        </w:rPr>
        <w:t>Dávila</w:t>
      </w:r>
      <w:proofErr w:type="spellEnd"/>
      <w:r w:rsidR="00706CD2" w:rsidRPr="008A7BD7">
        <w:rPr>
          <w:rFonts w:ascii="Cambria" w:eastAsia="Times New Roman" w:hAnsi="Cambria" w:cs="Tahoma"/>
          <w:color w:val="000000"/>
          <w:sz w:val="20"/>
          <w:szCs w:val="20"/>
          <w:lang w:eastAsia="es-ES"/>
        </w:rPr>
        <w:t xml:space="preserve">, </w:t>
      </w:r>
      <w:r w:rsidR="00E27E9C" w:rsidRPr="008A7BD7">
        <w:rPr>
          <w:rFonts w:ascii="Cambria" w:eastAsia="Times New Roman" w:hAnsi="Cambria" w:cs="Tahoma"/>
          <w:color w:val="000000"/>
          <w:sz w:val="20"/>
          <w:szCs w:val="20"/>
          <w:lang w:eastAsia="es-ES"/>
        </w:rPr>
        <w:t xml:space="preserve">all </w:t>
      </w:r>
      <w:r w:rsidR="00A81ECE" w:rsidRPr="008A7BD7">
        <w:rPr>
          <w:rFonts w:ascii="Cambria" w:eastAsia="Times New Roman" w:hAnsi="Cambria" w:cs="Tahoma"/>
          <w:color w:val="000000"/>
          <w:sz w:val="20"/>
          <w:szCs w:val="20"/>
          <w:lang w:eastAsia="es-ES"/>
        </w:rPr>
        <w:t xml:space="preserve">of whom are </w:t>
      </w:r>
      <w:r w:rsidR="00E27E9C" w:rsidRPr="008A7BD7">
        <w:rPr>
          <w:rFonts w:ascii="Cambria" w:eastAsia="Times New Roman" w:hAnsi="Cambria" w:cs="Tahoma"/>
          <w:color w:val="000000"/>
          <w:sz w:val="20"/>
          <w:szCs w:val="20"/>
          <w:lang w:eastAsia="es-ES"/>
        </w:rPr>
        <w:t>beneficiaries of precautionary measures issued by the Inter-American Commission.</w:t>
      </w:r>
      <w:r w:rsidR="00706CD2" w:rsidRPr="008A7BD7">
        <w:rPr>
          <w:rFonts w:ascii="Cambria" w:eastAsia="Times New Roman" w:hAnsi="Cambria" w:cs="Tahoma"/>
          <w:color w:val="000000"/>
          <w:sz w:val="20"/>
          <w:szCs w:val="20"/>
          <w:vertAlign w:val="superscript"/>
          <w:lang w:val="es-US" w:eastAsia="es-ES"/>
        </w:rPr>
        <w:footnoteReference w:id="84"/>
      </w:r>
      <w:r w:rsidR="005A6AC8" w:rsidRPr="008A7BD7">
        <w:rPr>
          <w:rFonts w:ascii="Cambria" w:eastAsia="Times New Roman" w:hAnsi="Cambria" w:cs="Tahoma"/>
          <w:color w:val="000000"/>
          <w:sz w:val="20"/>
          <w:szCs w:val="20"/>
          <w:lang w:eastAsia="es-ES"/>
        </w:rPr>
        <w:t xml:space="preserve"> </w:t>
      </w:r>
    </w:p>
    <w:p w14:paraId="54FB1BEE" w14:textId="77777777" w:rsidR="00314E2B" w:rsidRPr="008A7BD7" w:rsidRDefault="00314E2B" w:rsidP="00314E2B">
      <w:pPr>
        <w:pStyle w:val="ListParagraph"/>
        <w:rPr>
          <w:rFonts w:ascii="Cambria" w:eastAsia="Times New Roman" w:hAnsi="Cambria" w:cs="Tahoma"/>
          <w:color w:val="000000"/>
          <w:sz w:val="20"/>
          <w:szCs w:val="20"/>
          <w:lang w:eastAsia="es-ES_tradnl"/>
        </w:rPr>
      </w:pPr>
    </w:p>
    <w:p w14:paraId="4B1706DC" w14:textId="31E58CF4" w:rsidR="001A2977" w:rsidRPr="008A7BD7" w:rsidRDefault="00C34940"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themeColor="text1"/>
          <w:sz w:val="20"/>
          <w:szCs w:val="20"/>
          <w:lang w:eastAsia="es-ES"/>
        </w:rPr>
        <w:t xml:space="preserve">According to information the Commission received, strategies </w:t>
      </w:r>
      <w:r w:rsidR="00DC2E71" w:rsidRPr="008A7BD7">
        <w:rPr>
          <w:rFonts w:ascii="Cambria" w:eastAsia="Times New Roman" w:hAnsi="Cambria" w:cs="Tahoma"/>
          <w:color w:val="000000" w:themeColor="text1"/>
          <w:sz w:val="20"/>
          <w:szCs w:val="20"/>
          <w:lang w:eastAsia="es-ES"/>
        </w:rPr>
        <w:t xml:space="preserve">involving the use and </w:t>
      </w:r>
      <w:r w:rsidRPr="008A7BD7">
        <w:rPr>
          <w:rFonts w:ascii="Cambria" w:eastAsia="Times New Roman" w:hAnsi="Cambria" w:cs="Tahoma"/>
          <w:color w:val="000000" w:themeColor="text1"/>
          <w:sz w:val="20"/>
          <w:szCs w:val="20"/>
          <w:lang w:eastAsia="es-ES"/>
        </w:rPr>
        <w:t>manipulati</w:t>
      </w:r>
      <w:r w:rsidR="00DC2E71" w:rsidRPr="008A7BD7">
        <w:rPr>
          <w:rFonts w:ascii="Cambria" w:eastAsia="Times New Roman" w:hAnsi="Cambria" w:cs="Tahoma"/>
          <w:color w:val="000000" w:themeColor="text1"/>
          <w:sz w:val="20"/>
          <w:szCs w:val="20"/>
          <w:lang w:eastAsia="es-ES"/>
        </w:rPr>
        <w:t>on of</w:t>
      </w:r>
      <w:r w:rsidRPr="008A7BD7">
        <w:rPr>
          <w:rFonts w:ascii="Cambria" w:eastAsia="Times New Roman" w:hAnsi="Cambria" w:cs="Tahoma"/>
          <w:color w:val="000000" w:themeColor="text1"/>
          <w:sz w:val="20"/>
          <w:szCs w:val="20"/>
          <w:lang w:eastAsia="es-ES"/>
        </w:rPr>
        <w:t xml:space="preserve"> criminal </w:t>
      </w:r>
      <w:r w:rsidR="00A81ECE" w:rsidRPr="008A7BD7">
        <w:rPr>
          <w:rFonts w:ascii="Cambria" w:eastAsia="Times New Roman" w:hAnsi="Cambria" w:cs="Tahoma"/>
          <w:color w:val="000000" w:themeColor="text1"/>
          <w:sz w:val="20"/>
          <w:szCs w:val="20"/>
          <w:lang w:eastAsia="es-ES"/>
        </w:rPr>
        <w:t xml:space="preserve">law </w:t>
      </w:r>
      <w:r w:rsidRPr="008A7BD7">
        <w:rPr>
          <w:rFonts w:ascii="Cambria" w:eastAsia="Times New Roman" w:hAnsi="Cambria" w:cs="Tahoma"/>
          <w:color w:val="000000" w:themeColor="text1"/>
          <w:sz w:val="20"/>
          <w:szCs w:val="20"/>
          <w:lang w:eastAsia="es-ES"/>
        </w:rPr>
        <w:t xml:space="preserve">against </w:t>
      </w:r>
      <w:r w:rsidR="00AC16AC" w:rsidRPr="008A7BD7">
        <w:rPr>
          <w:rFonts w:ascii="Cambria" w:eastAsia="Times New Roman" w:hAnsi="Cambria" w:cs="Tahoma"/>
          <w:color w:val="000000" w:themeColor="text1"/>
          <w:sz w:val="20"/>
          <w:szCs w:val="20"/>
          <w:lang w:eastAsia="es-ES"/>
        </w:rPr>
        <w:t>judges</w:t>
      </w:r>
      <w:r w:rsidRPr="008A7BD7">
        <w:rPr>
          <w:rFonts w:ascii="Cambria" w:eastAsia="Times New Roman" w:hAnsi="Cambria" w:cs="Tahoma"/>
          <w:color w:val="000000" w:themeColor="text1"/>
          <w:sz w:val="20"/>
          <w:szCs w:val="20"/>
          <w:lang w:eastAsia="es-ES"/>
        </w:rPr>
        <w:t xml:space="preserve"> intensified this year, through the filing of complaints and </w:t>
      </w:r>
      <w:r w:rsidR="00A81ECE" w:rsidRPr="008A7BD7">
        <w:rPr>
          <w:rFonts w:ascii="Cambria" w:eastAsia="Times New Roman" w:hAnsi="Cambria" w:cs="Tahoma"/>
          <w:color w:val="000000" w:themeColor="text1"/>
          <w:sz w:val="20"/>
          <w:szCs w:val="20"/>
          <w:lang w:eastAsia="es-ES"/>
        </w:rPr>
        <w:t>motions</w:t>
      </w:r>
      <w:r w:rsidRPr="008A7BD7">
        <w:rPr>
          <w:rFonts w:ascii="Cambria" w:eastAsia="Times New Roman" w:hAnsi="Cambria" w:cs="Tahoma"/>
          <w:color w:val="000000" w:themeColor="text1"/>
          <w:sz w:val="20"/>
          <w:szCs w:val="20"/>
          <w:lang w:eastAsia="es-ES"/>
        </w:rPr>
        <w:t xml:space="preserve"> for impeachment to try to strip them of their </w:t>
      </w:r>
      <w:r w:rsidR="00400052" w:rsidRPr="008A7BD7">
        <w:rPr>
          <w:rFonts w:ascii="Cambria" w:eastAsia="Times New Roman" w:hAnsi="Cambria" w:cs="Tahoma"/>
          <w:color w:val="000000" w:themeColor="text1"/>
          <w:sz w:val="20"/>
          <w:szCs w:val="20"/>
          <w:lang w:eastAsia="es-ES"/>
        </w:rPr>
        <w:t>legal</w:t>
      </w:r>
      <w:r w:rsidRPr="008A7BD7">
        <w:rPr>
          <w:rFonts w:ascii="Cambria" w:eastAsia="Times New Roman" w:hAnsi="Cambria" w:cs="Tahoma"/>
          <w:color w:val="000000" w:themeColor="text1"/>
          <w:sz w:val="20"/>
          <w:szCs w:val="20"/>
          <w:lang w:eastAsia="es-ES"/>
        </w:rPr>
        <w:t xml:space="preserve"> immunity. These proceedings, </w:t>
      </w:r>
      <w:r w:rsidR="00985BA1" w:rsidRPr="008A7BD7">
        <w:rPr>
          <w:rFonts w:ascii="Cambria" w:eastAsia="Times New Roman" w:hAnsi="Cambria" w:cs="Tahoma"/>
          <w:color w:val="000000" w:themeColor="text1"/>
          <w:sz w:val="20"/>
          <w:szCs w:val="20"/>
          <w:lang w:eastAsia="es-ES"/>
        </w:rPr>
        <w:t>brought</w:t>
      </w:r>
      <w:r w:rsidRPr="008A7BD7">
        <w:rPr>
          <w:rFonts w:ascii="Cambria" w:eastAsia="Times New Roman" w:hAnsi="Cambria" w:cs="Tahoma"/>
          <w:color w:val="000000" w:themeColor="text1"/>
          <w:sz w:val="20"/>
          <w:szCs w:val="20"/>
          <w:lang w:eastAsia="es-ES"/>
        </w:rPr>
        <w:t xml:space="preserve"> before the Supreme Court, reportedly fail to follow the procedure established by law because, among other reasons, they are assigned to justices with a direct interest in the matter, who process the cases without the guarantees in place for due process and the right to defense.</w:t>
      </w:r>
      <w:r w:rsidR="001A2977" w:rsidRPr="008A7BD7">
        <w:rPr>
          <w:rFonts w:ascii="Cambria" w:eastAsia="Times New Roman" w:hAnsi="Cambria" w:cs="Arial"/>
          <w:sz w:val="20"/>
          <w:szCs w:val="20"/>
          <w:vertAlign w:val="superscript"/>
          <w:lang w:val="es-ES" w:eastAsia="es-ES"/>
        </w:rPr>
        <w:footnoteReference w:id="85"/>
      </w:r>
    </w:p>
    <w:p w14:paraId="6848EAC7" w14:textId="77777777" w:rsidR="00C14FF7" w:rsidRPr="008A7BD7" w:rsidRDefault="00C14FF7" w:rsidP="00C14FF7">
      <w:pPr>
        <w:pStyle w:val="ListParagraph"/>
        <w:rPr>
          <w:rFonts w:ascii="Cambria" w:eastAsia="Times New Roman" w:hAnsi="Cambria" w:cs="Arial"/>
          <w:sz w:val="20"/>
          <w:szCs w:val="20"/>
          <w:lang w:eastAsia="es-ES_tradnl"/>
        </w:rPr>
      </w:pPr>
    </w:p>
    <w:p w14:paraId="0F934AA5" w14:textId="5826BADB" w:rsidR="00A95298" w:rsidRPr="008A7BD7" w:rsidRDefault="00777069"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Arial"/>
          <w:sz w:val="20"/>
          <w:szCs w:val="20"/>
          <w:lang w:eastAsia="es-ES"/>
        </w:rPr>
        <w:t xml:space="preserve">In this regard, the IACHR </w:t>
      </w:r>
      <w:r w:rsidR="00893F54" w:rsidRPr="008A7BD7">
        <w:rPr>
          <w:rFonts w:ascii="Cambria" w:eastAsia="Times New Roman" w:hAnsi="Cambria" w:cs="Arial"/>
          <w:sz w:val="20"/>
          <w:szCs w:val="20"/>
          <w:lang w:eastAsia="es-ES"/>
        </w:rPr>
        <w:t>noted</w:t>
      </w:r>
      <w:r w:rsidRPr="008A7BD7">
        <w:rPr>
          <w:rFonts w:ascii="Cambria" w:eastAsia="Times New Roman" w:hAnsi="Cambria" w:cs="Arial"/>
          <w:sz w:val="20"/>
          <w:szCs w:val="20"/>
          <w:lang w:eastAsia="es-ES"/>
        </w:rPr>
        <w:t xml:space="preserve"> that </w:t>
      </w:r>
      <w:proofErr w:type="spellStart"/>
      <w:r w:rsidR="00893F54" w:rsidRPr="008A7BD7">
        <w:rPr>
          <w:rFonts w:ascii="Cambria" w:eastAsia="Times New Roman" w:hAnsi="Cambria" w:cs="Times New Roman"/>
          <w:i/>
          <w:iCs/>
          <w:color w:val="000000"/>
          <w:sz w:val="20"/>
          <w:szCs w:val="20"/>
          <w:lang w:eastAsia="es-ES"/>
        </w:rPr>
        <w:t>antejuicio</w:t>
      </w:r>
      <w:proofErr w:type="spellEnd"/>
      <w:r w:rsidR="00893F54" w:rsidRPr="008A7BD7">
        <w:rPr>
          <w:rFonts w:ascii="Cambria" w:eastAsia="Times New Roman" w:hAnsi="Cambria" w:cs="Times New Roman"/>
          <w:color w:val="000000"/>
          <w:sz w:val="20"/>
          <w:szCs w:val="20"/>
          <w:lang w:eastAsia="es-ES"/>
        </w:rPr>
        <w:t xml:space="preserve"> </w:t>
      </w:r>
      <w:r w:rsidR="00893F54" w:rsidRPr="008A7BD7">
        <w:rPr>
          <w:rFonts w:ascii="Cambria" w:eastAsia="Times New Roman" w:hAnsi="Cambria" w:cs="Tahoma"/>
          <w:color w:val="000000"/>
          <w:sz w:val="20"/>
          <w:szCs w:val="20"/>
          <w:shd w:val="clear" w:color="auto" w:fill="FFFFFF"/>
          <w:lang w:eastAsia="es-ES"/>
        </w:rPr>
        <w:t xml:space="preserve">proceedings </w:t>
      </w:r>
      <w:r w:rsidR="00893F54" w:rsidRPr="008A7BD7">
        <w:rPr>
          <w:rFonts w:ascii="Cambria" w:eastAsia="Times New Roman" w:hAnsi="Cambria" w:cs="Arial"/>
          <w:sz w:val="20"/>
          <w:szCs w:val="20"/>
          <w:lang w:eastAsia="es-ES"/>
        </w:rPr>
        <w:t>were reopened</w:t>
      </w:r>
      <w:r w:rsidRPr="008A7BD7">
        <w:rPr>
          <w:rFonts w:ascii="Cambria" w:eastAsia="Times New Roman" w:hAnsi="Cambria" w:cs="Arial"/>
          <w:sz w:val="20"/>
          <w:szCs w:val="20"/>
          <w:lang w:eastAsia="es-ES"/>
        </w:rPr>
        <w:t xml:space="preserve"> against Judge </w:t>
      </w:r>
      <w:r w:rsidR="00C14FF7" w:rsidRPr="008A7BD7">
        <w:rPr>
          <w:rFonts w:ascii="Cambria" w:eastAsia="Times New Roman" w:hAnsi="Cambria" w:cs="Arial"/>
          <w:sz w:val="20"/>
          <w:szCs w:val="20"/>
          <w:lang w:eastAsia="es-ES"/>
        </w:rPr>
        <w:t xml:space="preserve">Erika </w:t>
      </w:r>
      <w:proofErr w:type="spellStart"/>
      <w:r w:rsidR="00C14FF7" w:rsidRPr="008A7BD7">
        <w:rPr>
          <w:rFonts w:ascii="Cambria" w:eastAsia="Times New Roman" w:hAnsi="Cambria" w:cs="Arial"/>
          <w:sz w:val="20"/>
          <w:szCs w:val="20"/>
          <w:lang w:eastAsia="es-ES"/>
        </w:rPr>
        <w:t>Aifán</w:t>
      </w:r>
      <w:proofErr w:type="spellEnd"/>
      <w:r w:rsidRPr="008A7BD7">
        <w:rPr>
          <w:rFonts w:ascii="Cambria" w:eastAsia="Times New Roman" w:hAnsi="Cambria" w:cs="Arial"/>
          <w:sz w:val="20"/>
          <w:szCs w:val="20"/>
          <w:lang w:eastAsia="es-ES"/>
        </w:rPr>
        <w:t xml:space="preserve">; this reportedly </w:t>
      </w:r>
      <w:r w:rsidR="00893F54" w:rsidRPr="008A7BD7">
        <w:rPr>
          <w:rFonts w:ascii="Cambria" w:eastAsia="Times New Roman" w:hAnsi="Cambria" w:cs="Arial"/>
          <w:sz w:val="20"/>
          <w:szCs w:val="20"/>
          <w:lang w:eastAsia="es-ES"/>
        </w:rPr>
        <w:t>was</w:t>
      </w:r>
      <w:r w:rsidRPr="008A7BD7">
        <w:rPr>
          <w:rFonts w:ascii="Cambria" w:eastAsia="Times New Roman" w:hAnsi="Cambria" w:cs="Arial"/>
          <w:sz w:val="20"/>
          <w:szCs w:val="20"/>
          <w:lang w:eastAsia="es-ES"/>
        </w:rPr>
        <w:t xml:space="preserve"> requested by the </w:t>
      </w:r>
      <w:r w:rsidR="00056E3A" w:rsidRPr="008A7BD7">
        <w:rPr>
          <w:rFonts w:ascii="Cambria" w:eastAsia="Times New Roman" w:hAnsi="Cambria" w:cs="Arial"/>
          <w:sz w:val="20"/>
          <w:szCs w:val="20"/>
          <w:lang w:eastAsia="es-ES"/>
        </w:rPr>
        <w:t xml:space="preserve">Judiciary </w:t>
      </w:r>
      <w:r w:rsidRPr="008A7BD7">
        <w:rPr>
          <w:rFonts w:ascii="Cambria" w:eastAsia="Times New Roman" w:hAnsi="Cambria" w:cs="Arial"/>
          <w:sz w:val="20"/>
          <w:szCs w:val="20"/>
          <w:lang w:eastAsia="es-ES"/>
        </w:rPr>
        <w:t xml:space="preserve">Institute of Court of Appeals </w:t>
      </w:r>
      <w:r w:rsidR="00893F54" w:rsidRPr="008A7BD7">
        <w:rPr>
          <w:rFonts w:ascii="Cambria" w:eastAsia="Times New Roman" w:hAnsi="Cambria" w:cs="Arial"/>
          <w:sz w:val="20"/>
          <w:szCs w:val="20"/>
          <w:lang w:eastAsia="es-ES"/>
        </w:rPr>
        <w:t xml:space="preserve">Judges </w:t>
      </w:r>
      <w:r w:rsidRPr="008A7BD7">
        <w:rPr>
          <w:rFonts w:ascii="Cambria" w:eastAsia="Times New Roman" w:hAnsi="Cambria" w:cs="Arial"/>
          <w:sz w:val="20"/>
          <w:szCs w:val="20"/>
          <w:lang w:eastAsia="es-ES"/>
        </w:rPr>
        <w:t xml:space="preserve">for the authorization of allegedly illegal </w:t>
      </w:r>
      <w:r w:rsidR="00056E3A" w:rsidRPr="008A7BD7">
        <w:rPr>
          <w:rFonts w:ascii="Cambria" w:eastAsia="Times New Roman" w:hAnsi="Cambria" w:cs="Arial"/>
          <w:sz w:val="20"/>
          <w:szCs w:val="20"/>
          <w:lang w:eastAsia="es-ES"/>
        </w:rPr>
        <w:t>proceedings</w:t>
      </w:r>
      <w:r w:rsidR="007A3F48" w:rsidRPr="008A7BD7">
        <w:rPr>
          <w:rFonts w:ascii="Cambria" w:eastAsia="Times New Roman" w:hAnsi="Cambria" w:cs="Arial"/>
          <w:sz w:val="20"/>
          <w:szCs w:val="20"/>
          <w:lang w:eastAsia="es-ES"/>
        </w:rPr>
        <w:t xml:space="preserve"> against lawyers who were candidates to judgeships on chambers of the Court of Appeal</w:t>
      </w:r>
      <w:r w:rsidR="00056E3A" w:rsidRPr="008A7BD7">
        <w:rPr>
          <w:rFonts w:ascii="Cambria" w:eastAsia="Times New Roman" w:hAnsi="Cambria" w:cs="Arial"/>
          <w:sz w:val="20"/>
          <w:szCs w:val="20"/>
          <w:lang w:eastAsia="es-ES"/>
        </w:rPr>
        <w:t>s</w:t>
      </w:r>
      <w:r w:rsidR="007A3F48" w:rsidRPr="008A7BD7">
        <w:rPr>
          <w:rFonts w:ascii="Cambria" w:eastAsia="Times New Roman" w:hAnsi="Cambria" w:cs="Arial"/>
          <w:sz w:val="20"/>
          <w:szCs w:val="20"/>
          <w:lang w:eastAsia="es-ES"/>
        </w:rPr>
        <w:t xml:space="preserve"> and the Supreme Court and</w:t>
      </w:r>
      <w:r w:rsidR="00C14FF7" w:rsidRPr="008A7BD7">
        <w:rPr>
          <w:rFonts w:ascii="Cambria" w:eastAsia="Times New Roman" w:hAnsi="Cambria" w:cs="Arial"/>
          <w:sz w:val="20"/>
          <w:szCs w:val="20"/>
          <w:lang w:eastAsia="es-ES"/>
        </w:rPr>
        <w:t xml:space="preserve"> </w:t>
      </w:r>
      <w:r w:rsidR="007A3F48" w:rsidRPr="008A7BD7">
        <w:rPr>
          <w:rFonts w:ascii="Cambria" w:eastAsia="Times New Roman" w:hAnsi="Cambria" w:cs="Arial"/>
          <w:sz w:val="20"/>
          <w:szCs w:val="20"/>
          <w:lang w:eastAsia="es-ES"/>
        </w:rPr>
        <w:t>were later accused in the context of the “Parallel Commissions 2020” case. According to information the Commission received, in 2020, the Constitutional Court—</w:t>
      </w:r>
      <w:r w:rsidR="00D400FD" w:rsidRPr="008A7BD7">
        <w:rPr>
          <w:rFonts w:ascii="Cambria" w:eastAsia="Times New Roman" w:hAnsi="Cambria" w:cs="Arial"/>
          <w:sz w:val="20"/>
          <w:szCs w:val="20"/>
          <w:lang w:eastAsia="es-ES"/>
        </w:rPr>
        <w:t>in</w:t>
      </w:r>
      <w:r w:rsidR="007A3F48" w:rsidRPr="008A7BD7">
        <w:rPr>
          <w:rFonts w:ascii="Cambria" w:eastAsia="Times New Roman" w:hAnsi="Cambria" w:cs="Arial"/>
          <w:sz w:val="20"/>
          <w:szCs w:val="20"/>
          <w:lang w:eastAsia="es-ES"/>
        </w:rPr>
        <w:t xml:space="preserve"> its prior </w:t>
      </w:r>
      <w:r w:rsidR="00D400FD" w:rsidRPr="008A7BD7">
        <w:rPr>
          <w:rFonts w:ascii="Cambria" w:eastAsia="Times New Roman" w:hAnsi="Cambria" w:cs="Arial"/>
          <w:sz w:val="20"/>
          <w:szCs w:val="20"/>
          <w:lang w:eastAsia="es-ES"/>
        </w:rPr>
        <w:t>configuration</w:t>
      </w:r>
      <w:r w:rsidR="007A3F48" w:rsidRPr="008A7BD7">
        <w:rPr>
          <w:rFonts w:ascii="Cambria" w:eastAsia="Times New Roman" w:hAnsi="Cambria" w:cs="Arial"/>
          <w:sz w:val="20"/>
          <w:szCs w:val="20"/>
          <w:lang w:eastAsia="es-ES"/>
        </w:rPr>
        <w:t>—had granted provisional</w:t>
      </w:r>
      <w:r w:rsidR="00D400FD" w:rsidRPr="008A7BD7">
        <w:rPr>
          <w:rFonts w:ascii="Cambria" w:eastAsia="Times New Roman" w:hAnsi="Cambria" w:cs="Arial"/>
          <w:sz w:val="20"/>
          <w:szCs w:val="20"/>
          <w:lang w:eastAsia="es-ES"/>
        </w:rPr>
        <w:t xml:space="preserve"> constitutional protection</w:t>
      </w:r>
      <w:r w:rsidR="007A3F48" w:rsidRPr="008A7BD7">
        <w:rPr>
          <w:rFonts w:ascii="Cambria" w:eastAsia="Times New Roman" w:hAnsi="Cambria" w:cs="Arial"/>
          <w:sz w:val="20"/>
          <w:szCs w:val="20"/>
          <w:lang w:eastAsia="es-ES"/>
        </w:rPr>
        <w:t xml:space="preserve"> </w:t>
      </w:r>
      <w:r w:rsidR="00D400FD" w:rsidRPr="008A7BD7">
        <w:rPr>
          <w:rFonts w:ascii="Cambria" w:eastAsia="Times New Roman" w:hAnsi="Cambria" w:cs="Arial"/>
          <w:sz w:val="20"/>
          <w:szCs w:val="20"/>
          <w:lang w:eastAsia="es-ES"/>
        </w:rPr>
        <w:t>(</w:t>
      </w:r>
      <w:r w:rsidR="007A3F48" w:rsidRPr="008A7BD7">
        <w:rPr>
          <w:rFonts w:ascii="Cambria" w:eastAsia="Times New Roman" w:hAnsi="Cambria" w:cs="Arial"/>
          <w:i/>
          <w:iCs/>
          <w:sz w:val="20"/>
          <w:szCs w:val="20"/>
          <w:lang w:eastAsia="es-ES"/>
        </w:rPr>
        <w:t>amparo</w:t>
      </w:r>
      <w:r w:rsidR="00D400FD" w:rsidRPr="008A7BD7">
        <w:rPr>
          <w:rFonts w:ascii="Cambria" w:eastAsia="Times New Roman" w:hAnsi="Cambria" w:cs="Arial"/>
          <w:sz w:val="20"/>
          <w:szCs w:val="20"/>
          <w:lang w:eastAsia="es-ES"/>
        </w:rPr>
        <w:t xml:space="preserve">) </w:t>
      </w:r>
      <w:r w:rsidR="007A3F48" w:rsidRPr="008A7BD7">
        <w:rPr>
          <w:rFonts w:ascii="Cambria" w:eastAsia="Times New Roman" w:hAnsi="Cambria" w:cs="Arial"/>
          <w:sz w:val="20"/>
          <w:szCs w:val="20"/>
          <w:lang w:eastAsia="es-ES"/>
        </w:rPr>
        <w:t>to Judge</w:t>
      </w:r>
      <w:r w:rsidR="007A3F48" w:rsidRPr="008A7BD7">
        <w:rPr>
          <w:rFonts w:ascii="Cambria" w:eastAsia="Times New Roman" w:hAnsi="Cambria" w:cs="Times New Roman"/>
          <w:sz w:val="20"/>
          <w:szCs w:val="20"/>
          <w:lang w:eastAsia="es-ES"/>
        </w:rPr>
        <w:t xml:space="preserve"> </w:t>
      </w:r>
      <w:proofErr w:type="spellStart"/>
      <w:r w:rsidR="00C14FF7" w:rsidRPr="008A7BD7">
        <w:rPr>
          <w:rFonts w:ascii="Cambria" w:eastAsia="Times New Roman" w:hAnsi="Cambria" w:cs="Arial"/>
          <w:sz w:val="20"/>
          <w:szCs w:val="20"/>
          <w:lang w:eastAsia="es-ES"/>
        </w:rPr>
        <w:t>Aifán</w:t>
      </w:r>
      <w:proofErr w:type="spellEnd"/>
      <w:r w:rsidR="007A3F48" w:rsidRPr="008A7BD7">
        <w:rPr>
          <w:rFonts w:ascii="Cambria" w:eastAsia="Times New Roman" w:hAnsi="Cambria" w:cs="Arial"/>
          <w:sz w:val="20"/>
          <w:szCs w:val="20"/>
          <w:lang w:eastAsia="es-ES"/>
        </w:rPr>
        <w:t xml:space="preserve">; this was revoked by the new Constitutional Court on June </w:t>
      </w:r>
      <w:r w:rsidR="00C14FF7" w:rsidRPr="008A7BD7">
        <w:rPr>
          <w:rFonts w:ascii="Cambria" w:eastAsia="Times New Roman" w:hAnsi="Cambria" w:cs="Arial"/>
          <w:sz w:val="20"/>
          <w:szCs w:val="20"/>
          <w:lang w:eastAsia="es-ES"/>
        </w:rPr>
        <w:t>17</w:t>
      </w:r>
      <w:r w:rsidR="007A3F48" w:rsidRPr="008A7BD7">
        <w:rPr>
          <w:rFonts w:ascii="Cambria" w:eastAsia="Times New Roman" w:hAnsi="Cambria" w:cs="Arial"/>
          <w:sz w:val="20"/>
          <w:szCs w:val="20"/>
          <w:lang w:eastAsia="es-ES"/>
        </w:rPr>
        <w:t xml:space="preserve">, </w:t>
      </w:r>
      <w:r w:rsidR="00C14FF7" w:rsidRPr="008A7BD7">
        <w:rPr>
          <w:rFonts w:ascii="Cambria" w:eastAsia="Times New Roman" w:hAnsi="Cambria" w:cs="Arial"/>
          <w:sz w:val="20"/>
          <w:szCs w:val="20"/>
          <w:lang w:eastAsia="es-ES"/>
        </w:rPr>
        <w:t xml:space="preserve">2021, </w:t>
      </w:r>
      <w:r w:rsidR="00D400FD" w:rsidRPr="008A7BD7">
        <w:rPr>
          <w:rFonts w:ascii="Cambria" w:eastAsia="Times New Roman" w:hAnsi="Cambria" w:cs="Arial"/>
          <w:sz w:val="20"/>
          <w:szCs w:val="20"/>
          <w:lang w:eastAsia="es-ES"/>
        </w:rPr>
        <w:t>apparently</w:t>
      </w:r>
      <w:r w:rsidR="007A3F48" w:rsidRPr="008A7BD7">
        <w:rPr>
          <w:rFonts w:ascii="Cambria" w:eastAsia="Times New Roman" w:hAnsi="Cambria" w:cs="Arial"/>
          <w:sz w:val="20"/>
          <w:szCs w:val="20"/>
          <w:lang w:eastAsia="es-ES"/>
        </w:rPr>
        <w:t xml:space="preserve"> without </w:t>
      </w:r>
      <w:r w:rsidR="006F10BF" w:rsidRPr="008A7BD7">
        <w:rPr>
          <w:rFonts w:ascii="Cambria" w:eastAsia="Times New Roman" w:hAnsi="Cambria" w:cs="Arial"/>
          <w:sz w:val="20"/>
          <w:szCs w:val="20"/>
          <w:lang w:eastAsia="es-ES"/>
        </w:rPr>
        <w:t xml:space="preserve">grounds or foundation. Another of the active </w:t>
      </w:r>
      <w:proofErr w:type="spellStart"/>
      <w:r w:rsidR="00D400FD" w:rsidRPr="008A7BD7">
        <w:rPr>
          <w:rFonts w:ascii="Cambria" w:eastAsia="Times New Roman" w:hAnsi="Cambria" w:cs="Times New Roman"/>
          <w:i/>
          <w:iCs/>
          <w:color w:val="000000"/>
          <w:sz w:val="20"/>
          <w:szCs w:val="20"/>
          <w:lang w:eastAsia="es-ES"/>
        </w:rPr>
        <w:t>antejuicio</w:t>
      </w:r>
      <w:proofErr w:type="spellEnd"/>
      <w:r w:rsidR="00D400FD" w:rsidRPr="008A7BD7">
        <w:rPr>
          <w:rFonts w:ascii="Cambria" w:eastAsia="Times New Roman" w:hAnsi="Cambria" w:cs="Times New Roman"/>
          <w:color w:val="000000"/>
          <w:sz w:val="20"/>
          <w:szCs w:val="20"/>
          <w:lang w:eastAsia="es-ES"/>
        </w:rPr>
        <w:t xml:space="preserve"> </w:t>
      </w:r>
      <w:r w:rsidR="00D400FD" w:rsidRPr="008A7BD7">
        <w:rPr>
          <w:rFonts w:ascii="Cambria" w:eastAsia="Times New Roman" w:hAnsi="Cambria" w:cs="Tahoma"/>
          <w:color w:val="000000"/>
          <w:sz w:val="20"/>
          <w:szCs w:val="20"/>
          <w:shd w:val="clear" w:color="auto" w:fill="FFFFFF"/>
          <w:lang w:eastAsia="es-ES"/>
        </w:rPr>
        <w:t xml:space="preserve">proceedings </w:t>
      </w:r>
      <w:r w:rsidR="006F10BF" w:rsidRPr="008A7BD7">
        <w:rPr>
          <w:rFonts w:ascii="Cambria" w:eastAsia="Times New Roman" w:hAnsi="Cambria" w:cs="Arial"/>
          <w:sz w:val="20"/>
          <w:szCs w:val="20"/>
          <w:lang w:eastAsia="es-ES"/>
        </w:rPr>
        <w:t xml:space="preserve">against Judge </w:t>
      </w:r>
      <w:proofErr w:type="spellStart"/>
      <w:r w:rsidR="00A95298" w:rsidRPr="008A7BD7">
        <w:rPr>
          <w:rFonts w:ascii="Cambria" w:eastAsia="Times New Roman" w:hAnsi="Cambria" w:cs="Arial"/>
          <w:sz w:val="20"/>
          <w:szCs w:val="20"/>
          <w:lang w:eastAsia="es-ES"/>
        </w:rPr>
        <w:t>Aifán</w:t>
      </w:r>
      <w:proofErr w:type="spellEnd"/>
      <w:r w:rsidR="00A95298" w:rsidRPr="008A7BD7">
        <w:rPr>
          <w:rFonts w:ascii="Cambria" w:eastAsia="Times New Roman" w:hAnsi="Cambria" w:cs="Arial"/>
          <w:sz w:val="20"/>
          <w:szCs w:val="20"/>
          <w:lang w:eastAsia="es-ES"/>
        </w:rPr>
        <w:t xml:space="preserve"> </w:t>
      </w:r>
      <w:r w:rsidR="006F10BF" w:rsidRPr="008A7BD7">
        <w:rPr>
          <w:rFonts w:ascii="Cambria" w:eastAsia="Times New Roman" w:hAnsi="Cambria" w:cs="Arial"/>
          <w:sz w:val="20"/>
          <w:szCs w:val="20"/>
          <w:lang w:eastAsia="es-ES"/>
        </w:rPr>
        <w:t xml:space="preserve">in </w:t>
      </w:r>
      <w:r w:rsidR="00A95298" w:rsidRPr="008A7BD7">
        <w:rPr>
          <w:rFonts w:ascii="Cambria" w:eastAsia="Times New Roman" w:hAnsi="Cambria" w:cs="Arial"/>
          <w:sz w:val="20"/>
          <w:szCs w:val="20"/>
          <w:lang w:eastAsia="es-ES"/>
        </w:rPr>
        <w:t>2021</w:t>
      </w:r>
      <w:r w:rsidR="006F10BF" w:rsidRPr="008A7BD7">
        <w:rPr>
          <w:rFonts w:ascii="Cambria" w:eastAsia="Times New Roman" w:hAnsi="Cambria" w:cs="Arial"/>
          <w:sz w:val="20"/>
          <w:szCs w:val="20"/>
          <w:lang w:eastAsia="es-ES"/>
        </w:rPr>
        <w:t xml:space="preserve"> reportedly was filed in </w:t>
      </w:r>
      <w:r w:rsidR="00D400FD" w:rsidRPr="008A7BD7">
        <w:rPr>
          <w:rFonts w:ascii="Cambria" w:eastAsia="Times New Roman" w:hAnsi="Cambria" w:cs="Arial"/>
          <w:sz w:val="20"/>
          <w:szCs w:val="20"/>
          <w:lang w:eastAsia="es-ES"/>
        </w:rPr>
        <w:t>February</w:t>
      </w:r>
      <w:r w:rsidR="006F10BF" w:rsidRPr="008A7BD7">
        <w:rPr>
          <w:rFonts w:ascii="Cambria" w:eastAsia="Times New Roman" w:hAnsi="Cambria" w:cs="Arial"/>
          <w:sz w:val="20"/>
          <w:szCs w:val="20"/>
          <w:lang w:eastAsia="es-ES"/>
        </w:rPr>
        <w:t xml:space="preserve"> by former Judge </w:t>
      </w:r>
      <w:proofErr w:type="spellStart"/>
      <w:r w:rsidR="00A95298" w:rsidRPr="008A7BD7">
        <w:rPr>
          <w:rFonts w:ascii="Cambria" w:eastAsia="Times New Roman" w:hAnsi="Cambria" w:cs="Times New Roman"/>
          <w:sz w:val="20"/>
          <w:szCs w:val="20"/>
          <w:lang w:eastAsia="es-ES"/>
        </w:rPr>
        <w:lastRenderedPageBreak/>
        <w:t>Mynor</w:t>
      </w:r>
      <w:proofErr w:type="spellEnd"/>
      <w:r w:rsidR="00A95298" w:rsidRPr="008A7BD7">
        <w:rPr>
          <w:rFonts w:ascii="Cambria" w:eastAsia="Times New Roman" w:hAnsi="Cambria" w:cs="Times New Roman"/>
          <w:sz w:val="20"/>
          <w:szCs w:val="20"/>
          <w:lang w:eastAsia="es-ES"/>
        </w:rPr>
        <w:t xml:space="preserve"> Moto, </w:t>
      </w:r>
      <w:r w:rsidR="006F10BF" w:rsidRPr="008A7BD7">
        <w:rPr>
          <w:rFonts w:ascii="Cambria" w:eastAsia="Times New Roman" w:hAnsi="Cambria" w:cs="Times New Roman"/>
          <w:sz w:val="20"/>
          <w:szCs w:val="20"/>
          <w:lang w:eastAsia="es-ES"/>
        </w:rPr>
        <w:t xml:space="preserve">who filed the </w:t>
      </w:r>
      <w:r w:rsidR="00D400FD" w:rsidRPr="008A7BD7">
        <w:rPr>
          <w:rFonts w:ascii="Cambria" w:eastAsia="Times New Roman" w:hAnsi="Cambria" w:cs="Times New Roman"/>
          <w:sz w:val="20"/>
          <w:szCs w:val="20"/>
          <w:lang w:eastAsia="es-ES"/>
        </w:rPr>
        <w:t>motion for impeachment</w:t>
      </w:r>
      <w:r w:rsidR="006F10BF" w:rsidRPr="008A7BD7">
        <w:rPr>
          <w:rFonts w:ascii="Cambria" w:eastAsia="Times New Roman" w:hAnsi="Cambria" w:cs="Times New Roman"/>
          <w:sz w:val="20"/>
          <w:szCs w:val="20"/>
          <w:lang w:eastAsia="es-ES"/>
        </w:rPr>
        <w:t xml:space="preserve"> in response to the arrest warrant issued against him, </w:t>
      </w:r>
      <w:r w:rsidR="00D400FD" w:rsidRPr="008A7BD7">
        <w:rPr>
          <w:rFonts w:ascii="Cambria" w:eastAsia="Times New Roman" w:hAnsi="Cambria" w:cs="Times New Roman"/>
          <w:sz w:val="20"/>
          <w:szCs w:val="20"/>
          <w:lang w:eastAsia="es-ES"/>
        </w:rPr>
        <w:t xml:space="preserve">which had been </w:t>
      </w:r>
      <w:r w:rsidR="006F10BF" w:rsidRPr="008A7BD7">
        <w:rPr>
          <w:rFonts w:ascii="Cambria" w:eastAsia="Times New Roman" w:hAnsi="Cambria" w:cs="Times New Roman"/>
          <w:sz w:val="20"/>
          <w:szCs w:val="20"/>
          <w:lang w:eastAsia="es-ES"/>
        </w:rPr>
        <w:t xml:space="preserve">requested by the </w:t>
      </w:r>
      <w:r w:rsidR="00A95298" w:rsidRPr="008A7BD7">
        <w:rPr>
          <w:rFonts w:ascii="Cambria" w:eastAsia="Times New Roman" w:hAnsi="Cambria" w:cs="Times New Roman"/>
          <w:sz w:val="20"/>
          <w:szCs w:val="20"/>
          <w:lang w:eastAsia="es-ES"/>
        </w:rPr>
        <w:t>FECI</w:t>
      </w:r>
      <w:r w:rsidR="006F10BF" w:rsidRPr="008A7BD7">
        <w:rPr>
          <w:rFonts w:ascii="Cambria" w:eastAsia="Times New Roman" w:hAnsi="Cambria" w:cs="Times New Roman"/>
          <w:sz w:val="20"/>
          <w:szCs w:val="20"/>
          <w:lang w:eastAsia="es-ES"/>
        </w:rPr>
        <w:t xml:space="preserve"> for his alleged ties to the </w:t>
      </w:r>
      <w:r w:rsidR="006F10BF" w:rsidRPr="008A7BD7">
        <w:rPr>
          <w:rFonts w:ascii="Cambria" w:eastAsia="Times New Roman" w:hAnsi="Cambria" w:cs="Arial"/>
          <w:sz w:val="20"/>
          <w:szCs w:val="20"/>
          <w:lang w:eastAsia="es-ES"/>
        </w:rPr>
        <w:t>“Parallel Commissions 2020” case.</w:t>
      </w:r>
      <w:r w:rsidR="00A95298" w:rsidRPr="008A7BD7">
        <w:rPr>
          <w:rStyle w:val="FootnoteReference"/>
          <w:rFonts w:ascii="Cambria" w:eastAsia="Times New Roman" w:hAnsi="Cambria" w:cs="Times New Roman"/>
          <w:sz w:val="20"/>
          <w:szCs w:val="20"/>
          <w:lang w:val="es-US" w:eastAsia="es-ES"/>
        </w:rPr>
        <w:footnoteReference w:id="86"/>
      </w:r>
      <w:r w:rsidR="00A95298" w:rsidRPr="008A7BD7">
        <w:rPr>
          <w:rFonts w:ascii="Cambria" w:eastAsia="Times New Roman" w:hAnsi="Cambria" w:cs="Times New Roman"/>
          <w:sz w:val="20"/>
          <w:szCs w:val="20"/>
          <w:lang w:eastAsia="es-ES"/>
        </w:rPr>
        <w:t xml:space="preserve"> </w:t>
      </w:r>
    </w:p>
    <w:p w14:paraId="5550C96A" w14:textId="77777777" w:rsidR="00C56230" w:rsidRPr="008A7BD7" w:rsidRDefault="00C56230" w:rsidP="00C56230">
      <w:pPr>
        <w:pStyle w:val="ListParagraph"/>
        <w:rPr>
          <w:rFonts w:ascii="Cambria" w:eastAsia="Times New Roman" w:hAnsi="Cambria" w:cs="Tahoma"/>
          <w:color w:val="000000"/>
          <w:sz w:val="20"/>
          <w:szCs w:val="20"/>
          <w:lang w:eastAsia="es-ES_tradnl"/>
        </w:rPr>
      </w:pPr>
    </w:p>
    <w:p w14:paraId="60DB3A19" w14:textId="7BBB38C4" w:rsidR="00C56230" w:rsidRPr="008A7BD7" w:rsidRDefault="0020345C" w:rsidP="00C56230">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Arial"/>
          <w:sz w:val="20"/>
          <w:szCs w:val="20"/>
          <w:lang w:eastAsia="es-ES"/>
        </w:rPr>
        <w:t xml:space="preserve">With regard to the alleged lack of foundation </w:t>
      </w:r>
      <w:r w:rsidR="006B54BC" w:rsidRPr="008A7BD7">
        <w:rPr>
          <w:rFonts w:ascii="Cambria" w:eastAsia="Times New Roman" w:hAnsi="Cambria" w:cs="Arial"/>
          <w:sz w:val="20"/>
          <w:szCs w:val="20"/>
          <w:lang w:eastAsia="es-ES"/>
        </w:rPr>
        <w:t>and</w:t>
      </w:r>
      <w:r w:rsidRPr="008A7BD7">
        <w:rPr>
          <w:rFonts w:ascii="Cambria" w:eastAsia="Times New Roman" w:hAnsi="Cambria" w:cs="Arial"/>
          <w:sz w:val="20"/>
          <w:szCs w:val="20"/>
          <w:lang w:eastAsia="es-ES"/>
        </w:rPr>
        <w:t xml:space="preserve"> grounds for the judgment </w:t>
      </w:r>
      <w:r w:rsidR="00B13D4B" w:rsidRPr="008A7BD7">
        <w:rPr>
          <w:rFonts w:ascii="Cambria" w:eastAsia="Times New Roman" w:hAnsi="Cambria" w:cs="Arial"/>
          <w:sz w:val="20"/>
          <w:szCs w:val="20"/>
          <w:lang w:eastAsia="es-ES"/>
        </w:rPr>
        <w:t>revoking</w:t>
      </w:r>
      <w:r w:rsidRPr="008A7BD7">
        <w:rPr>
          <w:rFonts w:ascii="Cambria" w:eastAsia="Times New Roman" w:hAnsi="Cambria" w:cs="Arial"/>
          <w:sz w:val="20"/>
          <w:szCs w:val="20"/>
          <w:lang w:eastAsia="es-ES"/>
        </w:rPr>
        <w:t xml:space="preserve"> the provisional constitutional protection for Judge</w:t>
      </w:r>
      <w:r w:rsidR="00C56230" w:rsidRPr="008A7BD7">
        <w:rPr>
          <w:rFonts w:ascii="Cambria" w:eastAsia="Times New Roman" w:hAnsi="Cambria" w:cs="Arial"/>
          <w:sz w:val="20"/>
          <w:szCs w:val="20"/>
          <w:lang w:eastAsia="es-ES"/>
        </w:rPr>
        <w:t xml:space="preserve"> Erika </w:t>
      </w:r>
      <w:proofErr w:type="spellStart"/>
      <w:r w:rsidR="00C56230" w:rsidRPr="008A7BD7">
        <w:rPr>
          <w:rFonts w:ascii="Cambria" w:eastAsia="Times New Roman" w:hAnsi="Cambria" w:cs="Arial"/>
          <w:sz w:val="20"/>
          <w:szCs w:val="20"/>
          <w:lang w:eastAsia="es-ES"/>
        </w:rPr>
        <w:t>Aifán</w:t>
      </w:r>
      <w:proofErr w:type="spellEnd"/>
      <w:r w:rsidR="00C56230" w:rsidRPr="008A7BD7">
        <w:rPr>
          <w:rFonts w:ascii="Cambria" w:eastAsia="Times New Roman" w:hAnsi="Cambria" w:cs="Arial"/>
          <w:sz w:val="20"/>
          <w:szCs w:val="20"/>
          <w:lang w:eastAsia="es-ES"/>
        </w:rPr>
        <w:t xml:space="preserve">, </w:t>
      </w:r>
      <w:r w:rsidRPr="008A7BD7">
        <w:rPr>
          <w:rFonts w:ascii="Cambria" w:eastAsia="Times New Roman" w:hAnsi="Cambria" w:cs="Arial"/>
          <w:sz w:val="20"/>
          <w:szCs w:val="20"/>
          <w:lang w:eastAsia="es-ES"/>
        </w:rPr>
        <w:t xml:space="preserve">the Guatemalan State told the IACHR that “the Constitutional Court, in the related decision, established that by admitting </w:t>
      </w:r>
      <w:r w:rsidR="006B54BC" w:rsidRPr="008A7BD7">
        <w:rPr>
          <w:rFonts w:ascii="Cambria" w:eastAsia="Times New Roman" w:hAnsi="Cambria" w:cs="Arial"/>
          <w:sz w:val="20"/>
          <w:szCs w:val="20"/>
          <w:lang w:eastAsia="es-ES"/>
        </w:rPr>
        <w:t xml:space="preserve">for processing </w:t>
      </w:r>
      <w:r w:rsidR="000528C6" w:rsidRPr="008A7BD7">
        <w:rPr>
          <w:rFonts w:ascii="Cambria" w:eastAsia="Times New Roman" w:hAnsi="Cambria" w:cs="Arial"/>
          <w:sz w:val="20"/>
          <w:szCs w:val="20"/>
          <w:lang w:eastAsia="es-ES"/>
        </w:rPr>
        <w:t xml:space="preserve">the </w:t>
      </w:r>
      <w:proofErr w:type="spellStart"/>
      <w:r w:rsidR="000528C6" w:rsidRPr="008A7BD7">
        <w:rPr>
          <w:rFonts w:ascii="Cambria" w:eastAsia="Times New Roman" w:hAnsi="Cambria" w:cs="Arial"/>
          <w:i/>
          <w:iCs/>
          <w:sz w:val="20"/>
          <w:szCs w:val="20"/>
          <w:lang w:eastAsia="es-ES"/>
        </w:rPr>
        <w:t>antejuicio</w:t>
      </w:r>
      <w:proofErr w:type="spellEnd"/>
      <w:r w:rsidR="000528C6" w:rsidRPr="008A7BD7">
        <w:rPr>
          <w:rFonts w:ascii="Cambria" w:eastAsia="Times New Roman" w:hAnsi="Cambria" w:cs="Arial"/>
          <w:sz w:val="20"/>
          <w:szCs w:val="20"/>
          <w:lang w:eastAsia="es-ES"/>
        </w:rPr>
        <w:t xml:space="preserve"> proceedings </w:t>
      </w:r>
      <w:r w:rsidR="006B54BC" w:rsidRPr="008A7BD7">
        <w:rPr>
          <w:rFonts w:ascii="Cambria" w:eastAsia="Times New Roman" w:hAnsi="Cambria" w:cs="Arial"/>
          <w:sz w:val="20"/>
          <w:szCs w:val="20"/>
          <w:lang w:eastAsia="es-ES"/>
        </w:rPr>
        <w:t xml:space="preserve">brought </w:t>
      </w:r>
      <w:r w:rsidR="000528C6" w:rsidRPr="008A7BD7">
        <w:rPr>
          <w:rFonts w:ascii="Cambria" w:eastAsia="Times New Roman" w:hAnsi="Cambria" w:cs="Arial"/>
          <w:sz w:val="20"/>
          <w:szCs w:val="20"/>
          <w:lang w:eastAsia="es-ES"/>
        </w:rPr>
        <w:t xml:space="preserve">against Judge </w:t>
      </w:r>
      <w:r w:rsidR="00C56230" w:rsidRPr="008A7BD7">
        <w:rPr>
          <w:rFonts w:ascii="Cambria" w:eastAsia="Times New Roman" w:hAnsi="Cambria" w:cs="Arial"/>
          <w:sz w:val="20"/>
          <w:szCs w:val="20"/>
          <w:lang w:eastAsia="es-ES"/>
        </w:rPr>
        <w:t xml:space="preserve">Erika </w:t>
      </w:r>
      <w:proofErr w:type="spellStart"/>
      <w:r w:rsidR="00C56230" w:rsidRPr="008A7BD7">
        <w:rPr>
          <w:rFonts w:ascii="Cambria" w:eastAsia="Times New Roman" w:hAnsi="Cambria" w:cs="Arial"/>
          <w:sz w:val="20"/>
          <w:szCs w:val="20"/>
          <w:lang w:eastAsia="es-ES"/>
        </w:rPr>
        <w:t>Aifán</w:t>
      </w:r>
      <w:proofErr w:type="spellEnd"/>
      <w:r w:rsidR="00C56230" w:rsidRPr="008A7BD7">
        <w:rPr>
          <w:rFonts w:ascii="Cambria" w:eastAsia="Times New Roman" w:hAnsi="Cambria" w:cs="Arial"/>
          <w:sz w:val="20"/>
          <w:szCs w:val="20"/>
          <w:lang w:eastAsia="es-ES"/>
        </w:rPr>
        <w:t xml:space="preserve">, </w:t>
      </w:r>
      <w:r w:rsidR="000528C6" w:rsidRPr="008A7BD7">
        <w:rPr>
          <w:rFonts w:ascii="Cambria" w:eastAsia="Times New Roman" w:hAnsi="Cambria" w:cs="Arial"/>
          <w:sz w:val="20"/>
          <w:szCs w:val="20"/>
          <w:lang w:eastAsia="es-ES"/>
        </w:rPr>
        <w:t>the Supreme Court</w:t>
      </w:r>
      <w:r w:rsidR="006B54BC" w:rsidRPr="008A7BD7">
        <w:rPr>
          <w:rFonts w:ascii="Cambria" w:eastAsia="Times New Roman" w:hAnsi="Cambria" w:cs="Arial"/>
          <w:sz w:val="20"/>
          <w:szCs w:val="20"/>
          <w:lang w:eastAsia="es-ES"/>
        </w:rPr>
        <w:t xml:space="preserve"> </w:t>
      </w:r>
      <w:r w:rsidR="00ED49C1" w:rsidRPr="008A7BD7">
        <w:rPr>
          <w:rFonts w:ascii="Cambria" w:eastAsia="Times New Roman" w:hAnsi="Cambria" w:cs="Arial"/>
          <w:sz w:val="20"/>
          <w:szCs w:val="20"/>
          <w:lang w:eastAsia="es-ES"/>
        </w:rPr>
        <w:t>acted</w:t>
      </w:r>
      <w:r w:rsidR="000528C6" w:rsidRPr="008A7BD7">
        <w:rPr>
          <w:rFonts w:ascii="Cambria" w:eastAsia="Times New Roman" w:hAnsi="Cambria" w:cs="Arial"/>
          <w:sz w:val="20"/>
          <w:szCs w:val="20"/>
          <w:lang w:eastAsia="es-ES"/>
        </w:rPr>
        <w:t xml:space="preserve"> </w:t>
      </w:r>
      <w:r w:rsidR="006B54BC" w:rsidRPr="008A7BD7">
        <w:rPr>
          <w:rFonts w:ascii="Cambria" w:eastAsia="Times New Roman" w:hAnsi="Cambria" w:cs="Arial"/>
          <w:sz w:val="20"/>
          <w:szCs w:val="20"/>
          <w:lang w:eastAsia="es-ES"/>
        </w:rPr>
        <w:t>in accordance</w:t>
      </w:r>
      <w:r w:rsidR="000528C6" w:rsidRPr="008A7BD7">
        <w:rPr>
          <w:rFonts w:ascii="Cambria" w:eastAsia="Times New Roman" w:hAnsi="Cambria" w:cs="Arial"/>
          <w:sz w:val="20"/>
          <w:szCs w:val="20"/>
          <w:lang w:eastAsia="es-ES"/>
        </w:rPr>
        <w:t xml:space="preserve"> </w:t>
      </w:r>
      <w:r w:rsidR="006B54BC" w:rsidRPr="008A7BD7">
        <w:rPr>
          <w:rFonts w:ascii="Cambria" w:eastAsia="Times New Roman" w:hAnsi="Cambria" w:cs="Arial"/>
          <w:sz w:val="20"/>
          <w:szCs w:val="20"/>
          <w:lang w:eastAsia="es-ES"/>
        </w:rPr>
        <w:t xml:space="preserve">with </w:t>
      </w:r>
      <w:r w:rsidR="000528C6" w:rsidRPr="008A7BD7">
        <w:rPr>
          <w:rFonts w:ascii="Cambria" w:eastAsia="Times New Roman" w:hAnsi="Cambria" w:cs="Arial"/>
          <w:sz w:val="20"/>
          <w:szCs w:val="20"/>
          <w:lang w:eastAsia="es-ES"/>
        </w:rPr>
        <w:t xml:space="preserve">the powers granted to it under the Constitution of the Republic of </w:t>
      </w:r>
      <w:r w:rsidR="00C56230" w:rsidRPr="008A7BD7">
        <w:rPr>
          <w:rFonts w:ascii="Cambria" w:eastAsia="Times New Roman" w:hAnsi="Cambria" w:cs="Arial"/>
          <w:sz w:val="20"/>
          <w:szCs w:val="20"/>
          <w:lang w:eastAsia="es-ES"/>
        </w:rPr>
        <w:t xml:space="preserve">Guatemala </w:t>
      </w:r>
      <w:r w:rsidR="000528C6" w:rsidRPr="008A7BD7">
        <w:rPr>
          <w:rFonts w:ascii="Cambria" w:eastAsia="Times New Roman" w:hAnsi="Cambria" w:cs="Arial"/>
          <w:sz w:val="20"/>
          <w:szCs w:val="20"/>
          <w:lang w:eastAsia="es-ES"/>
        </w:rPr>
        <w:t xml:space="preserve">and the law governing the </w:t>
      </w:r>
      <w:proofErr w:type="spellStart"/>
      <w:r w:rsidR="00C56230" w:rsidRPr="008A7BD7">
        <w:rPr>
          <w:rFonts w:ascii="Cambria" w:eastAsia="Times New Roman" w:hAnsi="Cambria" w:cs="Arial"/>
          <w:i/>
          <w:iCs/>
          <w:sz w:val="20"/>
          <w:szCs w:val="20"/>
          <w:lang w:eastAsia="es-ES"/>
        </w:rPr>
        <w:t>antejuicio</w:t>
      </w:r>
      <w:proofErr w:type="spellEnd"/>
      <w:r w:rsidR="000528C6" w:rsidRPr="008A7BD7">
        <w:rPr>
          <w:rFonts w:ascii="Cambria" w:eastAsia="Times New Roman" w:hAnsi="Cambria" w:cs="Arial"/>
          <w:sz w:val="20"/>
          <w:szCs w:val="20"/>
          <w:lang w:eastAsia="es-ES"/>
        </w:rPr>
        <w:t xml:space="preserve"> process</w:t>
      </w:r>
      <w:r w:rsidR="00C56230" w:rsidRPr="008A7BD7">
        <w:rPr>
          <w:rFonts w:ascii="Cambria" w:eastAsia="Times New Roman" w:hAnsi="Cambria" w:cs="Arial"/>
          <w:sz w:val="20"/>
          <w:szCs w:val="20"/>
          <w:lang w:eastAsia="es-ES"/>
        </w:rPr>
        <w:t xml:space="preserve">, </w:t>
      </w:r>
      <w:r w:rsidR="007E4087" w:rsidRPr="008A7BD7">
        <w:rPr>
          <w:rFonts w:ascii="Cambria" w:eastAsia="Times New Roman" w:hAnsi="Cambria" w:cs="Arial"/>
          <w:sz w:val="20"/>
          <w:szCs w:val="20"/>
          <w:lang w:eastAsia="es-ES"/>
        </w:rPr>
        <w:t>since</w:t>
      </w:r>
      <w:r w:rsidR="000528C6" w:rsidRPr="008A7BD7">
        <w:rPr>
          <w:rFonts w:ascii="Cambria" w:eastAsia="Times New Roman" w:hAnsi="Cambria" w:cs="Arial"/>
          <w:sz w:val="20"/>
          <w:szCs w:val="20"/>
          <w:lang w:eastAsia="es-ES"/>
        </w:rPr>
        <w:t xml:space="preserve"> the Court</w:t>
      </w:r>
      <w:r w:rsidR="00ED49C1" w:rsidRPr="008A7BD7">
        <w:rPr>
          <w:rFonts w:ascii="Cambria" w:eastAsia="Times New Roman" w:hAnsi="Cambria" w:cs="Arial"/>
          <w:sz w:val="20"/>
          <w:szCs w:val="20"/>
          <w:lang w:eastAsia="es-ES"/>
        </w:rPr>
        <w:t xml:space="preserve"> observed</w:t>
      </w:r>
      <w:r w:rsidR="008D68DF" w:rsidRPr="008A7BD7">
        <w:rPr>
          <w:rFonts w:ascii="Cambria" w:eastAsia="Times New Roman" w:hAnsi="Cambria" w:cs="Arial"/>
          <w:sz w:val="20"/>
          <w:szCs w:val="20"/>
          <w:lang w:eastAsia="es-ES"/>
        </w:rPr>
        <w:t xml:space="preserve">, providing grounds and foundation, that the </w:t>
      </w:r>
      <w:proofErr w:type="spellStart"/>
      <w:r w:rsidR="00C56230" w:rsidRPr="008A7BD7">
        <w:rPr>
          <w:rFonts w:ascii="Cambria" w:eastAsia="Times New Roman" w:hAnsi="Cambria" w:cs="Arial"/>
          <w:i/>
          <w:iCs/>
          <w:sz w:val="20"/>
          <w:szCs w:val="20"/>
          <w:lang w:eastAsia="es-ES"/>
        </w:rPr>
        <w:t>antejuicio</w:t>
      </w:r>
      <w:proofErr w:type="spellEnd"/>
      <w:r w:rsidR="00C56230" w:rsidRPr="008A7BD7">
        <w:rPr>
          <w:rFonts w:ascii="Cambria" w:eastAsia="Times New Roman" w:hAnsi="Cambria" w:cs="Arial"/>
          <w:sz w:val="20"/>
          <w:szCs w:val="20"/>
          <w:lang w:eastAsia="es-ES"/>
        </w:rPr>
        <w:t xml:space="preserve"> </w:t>
      </w:r>
      <w:r w:rsidR="008D68DF" w:rsidRPr="008A7BD7">
        <w:rPr>
          <w:rFonts w:ascii="Cambria" w:eastAsia="Times New Roman" w:hAnsi="Cambria" w:cs="Arial"/>
          <w:sz w:val="20"/>
          <w:szCs w:val="20"/>
          <w:lang w:eastAsia="es-ES"/>
        </w:rPr>
        <w:t>was not done for</w:t>
      </w:r>
      <w:r w:rsidR="00ED49C1" w:rsidRPr="008A7BD7">
        <w:rPr>
          <w:rFonts w:ascii="Cambria" w:eastAsia="Times New Roman" w:hAnsi="Cambria" w:cs="Arial"/>
          <w:sz w:val="20"/>
          <w:szCs w:val="20"/>
          <w:lang w:eastAsia="es-ES"/>
        </w:rPr>
        <w:t xml:space="preserve"> </w:t>
      </w:r>
      <w:r w:rsidR="008D68DF" w:rsidRPr="008A7BD7">
        <w:rPr>
          <w:rFonts w:ascii="Cambria" w:eastAsia="Times New Roman" w:hAnsi="Cambria" w:cs="Arial"/>
          <w:sz w:val="20"/>
          <w:szCs w:val="20"/>
          <w:lang w:eastAsia="es-ES"/>
        </w:rPr>
        <w:t>spurious, political, or illegitimate reasons, thus complying with the</w:t>
      </w:r>
      <w:r w:rsidR="00ED49C1" w:rsidRPr="008A7BD7">
        <w:rPr>
          <w:rFonts w:ascii="Cambria" w:eastAsia="Times New Roman" w:hAnsi="Cambria" w:cs="Arial"/>
          <w:sz w:val="20"/>
          <w:szCs w:val="20"/>
          <w:lang w:eastAsia="es-ES"/>
        </w:rPr>
        <w:t xml:space="preserve"> </w:t>
      </w:r>
      <w:r w:rsidR="008D68DF" w:rsidRPr="008A7BD7">
        <w:rPr>
          <w:rFonts w:ascii="Cambria" w:eastAsia="Times New Roman" w:hAnsi="Cambria" w:cs="Arial"/>
          <w:sz w:val="20"/>
          <w:szCs w:val="20"/>
          <w:lang w:eastAsia="es-ES"/>
        </w:rPr>
        <w:t>prior evaluation the law requires on these matters</w:t>
      </w:r>
      <w:r w:rsidR="00ED49C1" w:rsidRPr="008A7BD7">
        <w:rPr>
          <w:rFonts w:ascii="Cambria" w:eastAsia="Times New Roman" w:hAnsi="Cambria" w:cs="Arial"/>
          <w:sz w:val="20"/>
          <w:szCs w:val="20"/>
          <w:lang w:eastAsia="es-ES"/>
        </w:rPr>
        <w:t xml:space="preserve">. This </w:t>
      </w:r>
      <w:r w:rsidR="009D6DD6" w:rsidRPr="008A7BD7">
        <w:rPr>
          <w:rFonts w:ascii="Cambria" w:eastAsia="Times New Roman" w:hAnsi="Cambria" w:cs="Arial"/>
          <w:sz w:val="20"/>
          <w:szCs w:val="20"/>
          <w:lang w:eastAsia="es-ES"/>
        </w:rPr>
        <w:t>therefore</w:t>
      </w:r>
      <w:r w:rsidR="008D68DF" w:rsidRPr="008A7BD7">
        <w:rPr>
          <w:rFonts w:ascii="Cambria" w:eastAsia="Times New Roman" w:hAnsi="Cambria" w:cs="Arial"/>
          <w:sz w:val="20"/>
          <w:szCs w:val="20"/>
          <w:lang w:eastAsia="es-ES"/>
        </w:rPr>
        <w:t xml:space="preserve"> </w:t>
      </w:r>
      <w:r w:rsidR="00ED49C1" w:rsidRPr="008A7BD7">
        <w:rPr>
          <w:rFonts w:ascii="Cambria" w:eastAsia="Times New Roman" w:hAnsi="Cambria" w:cs="Arial"/>
          <w:sz w:val="20"/>
          <w:szCs w:val="20"/>
          <w:lang w:eastAsia="es-ES"/>
        </w:rPr>
        <w:t>eliminates the grievance</w:t>
      </w:r>
      <w:r w:rsidR="009D6DD6" w:rsidRPr="008A7BD7">
        <w:rPr>
          <w:rFonts w:ascii="Cambria" w:eastAsia="Times New Roman" w:hAnsi="Cambria" w:cs="Arial"/>
          <w:sz w:val="20"/>
          <w:szCs w:val="20"/>
          <w:lang w:eastAsia="es-ES"/>
        </w:rPr>
        <w:t xml:space="preserve"> alleged in the </w:t>
      </w:r>
      <w:r w:rsidR="009D6DD6" w:rsidRPr="008A7BD7">
        <w:rPr>
          <w:rFonts w:ascii="Cambria" w:eastAsia="Times New Roman" w:hAnsi="Cambria" w:cs="Arial"/>
          <w:i/>
          <w:iCs/>
          <w:sz w:val="20"/>
          <w:szCs w:val="20"/>
          <w:lang w:eastAsia="es-ES"/>
        </w:rPr>
        <w:t>amparo</w:t>
      </w:r>
      <w:r w:rsidR="009D6DD6" w:rsidRPr="008A7BD7">
        <w:rPr>
          <w:rFonts w:ascii="Cambria" w:eastAsia="Times New Roman" w:hAnsi="Cambria" w:cs="Arial"/>
          <w:sz w:val="20"/>
          <w:szCs w:val="20"/>
          <w:lang w:eastAsia="es-ES"/>
        </w:rPr>
        <w:t xml:space="preserve"> appeal, as the authority in question laid out clearly and precisely the reasons of fact and of law behind its decision.”</w:t>
      </w:r>
      <w:r w:rsidR="00C56230" w:rsidRPr="008A7BD7">
        <w:rPr>
          <w:rStyle w:val="FootnoteReference"/>
          <w:rFonts w:ascii="Cambria" w:eastAsia="Times New Roman" w:hAnsi="Cambria" w:cs="Arial"/>
          <w:sz w:val="20"/>
          <w:szCs w:val="20"/>
          <w:lang w:val="es-MX" w:eastAsia="es-ES"/>
        </w:rPr>
        <w:footnoteReference w:id="87"/>
      </w:r>
    </w:p>
    <w:p w14:paraId="17A73572" w14:textId="77777777" w:rsidR="003F0B50" w:rsidRPr="008A7BD7" w:rsidRDefault="003F0B50" w:rsidP="003F0B50">
      <w:pPr>
        <w:suppressAutoHyphens/>
        <w:jc w:val="both"/>
        <w:rPr>
          <w:rFonts w:ascii="Cambria" w:eastAsia="Times New Roman" w:hAnsi="Cambria" w:cs="Tahoma"/>
          <w:color w:val="000000"/>
          <w:sz w:val="20"/>
          <w:szCs w:val="20"/>
          <w:lang w:eastAsia="es-ES_tradnl"/>
        </w:rPr>
      </w:pPr>
    </w:p>
    <w:p w14:paraId="52A54D65" w14:textId="4977454C" w:rsidR="003A3461" w:rsidRPr="008A7BD7" w:rsidRDefault="000A6CFE" w:rsidP="008A2AEC">
      <w:pPr>
        <w:numPr>
          <w:ilvl w:val="0"/>
          <w:numId w:val="2"/>
        </w:numPr>
        <w:ind w:left="0" w:firstLine="720"/>
        <w:jc w:val="both"/>
        <w:rPr>
          <w:rFonts w:ascii="Cambria" w:eastAsia="Times New Roman" w:hAnsi="Cambria" w:cs="Arial"/>
          <w:sz w:val="20"/>
          <w:szCs w:val="20"/>
          <w:lang w:eastAsia="es-ES_tradnl"/>
        </w:rPr>
      </w:pPr>
      <w:r w:rsidRPr="008A7BD7">
        <w:rPr>
          <w:rFonts w:ascii="Cambria" w:eastAsia="Times New Roman" w:hAnsi="Cambria" w:cs="Times New Roman"/>
          <w:sz w:val="20"/>
          <w:szCs w:val="20"/>
          <w:lang w:eastAsia="es-ES"/>
        </w:rPr>
        <w:t xml:space="preserve">Moreover, on October </w:t>
      </w:r>
      <w:r w:rsidR="00706CD2" w:rsidRPr="008A7BD7">
        <w:rPr>
          <w:rFonts w:ascii="Cambria" w:eastAsia="Times New Roman" w:hAnsi="Cambria" w:cs="Times New Roman"/>
          <w:color w:val="000000"/>
          <w:sz w:val="20"/>
          <w:szCs w:val="20"/>
          <w:shd w:val="clear" w:color="auto" w:fill="FFFFFF"/>
          <w:lang w:eastAsia="es-ES"/>
        </w:rPr>
        <w:t>19</w:t>
      </w:r>
      <w:r w:rsidRPr="008A7BD7">
        <w:rPr>
          <w:rFonts w:ascii="Cambria" w:eastAsia="Times New Roman" w:hAnsi="Cambria" w:cs="Times New Roman"/>
          <w:color w:val="000000"/>
          <w:sz w:val="20"/>
          <w:szCs w:val="20"/>
          <w:shd w:val="clear" w:color="auto" w:fill="FFFFFF"/>
          <w:lang w:eastAsia="es-ES"/>
        </w:rPr>
        <w:t xml:space="preserve">, </w:t>
      </w:r>
      <w:r w:rsidR="00706CD2" w:rsidRPr="008A7BD7">
        <w:rPr>
          <w:rFonts w:ascii="Cambria" w:eastAsia="Times New Roman" w:hAnsi="Cambria" w:cs="Times New Roman"/>
          <w:color w:val="000000"/>
          <w:sz w:val="20"/>
          <w:szCs w:val="20"/>
          <w:shd w:val="clear" w:color="auto" w:fill="FFFFFF"/>
          <w:lang w:eastAsia="es-ES"/>
        </w:rPr>
        <w:t xml:space="preserve">2021, </w:t>
      </w:r>
      <w:r w:rsidRPr="008A7BD7">
        <w:rPr>
          <w:rFonts w:ascii="Cambria" w:eastAsia="Times New Roman" w:hAnsi="Cambria" w:cs="Times New Roman"/>
          <w:color w:val="000000"/>
          <w:sz w:val="20"/>
          <w:szCs w:val="20"/>
          <w:shd w:val="clear" w:color="auto" w:fill="FFFFFF"/>
          <w:lang w:eastAsia="es-ES"/>
        </w:rPr>
        <w:t xml:space="preserve">the IACHR learned about irregularities in the </w:t>
      </w:r>
      <w:proofErr w:type="spellStart"/>
      <w:r w:rsidR="009E2036" w:rsidRPr="008A7BD7">
        <w:rPr>
          <w:rFonts w:ascii="Cambria" w:eastAsia="Times New Roman" w:hAnsi="Cambria" w:cs="Times New Roman"/>
          <w:i/>
          <w:iCs/>
          <w:color w:val="000000"/>
          <w:sz w:val="20"/>
          <w:szCs w:val="20"/>
          <w:shd w:val="clear" w:color="auto" w:fill="FFFFFF"/>
          <w:lang w:eastAsia="es-ES"/>
        </w:rPr>
        <w:t>antejuicio</w:t>
      </w:r>
      <w:proofErr w:type="spellEnd"/>
      <w:r w:rsidRPr="008A7BD7">
        <w:rPr>
          <w:rFonts w:ascii="Cambria" w:eastAsia="Times New Roman" w:hAnsi="Cambria" w:cs="Times New Roman"/>
          <w:color w:val="000000"/>
          <w:sz w:val="20"/>
          <w:szCs w:val="20"/>
          <w:shd w:val="clear" w:color="auto" w:fill="FFFFFF"/>
          <w:lang w:eastAsia="es-ES"/>
        </w:rPr>
        <w:t xml:space="preserve"> proceeding</w:t>
      </w:r>
      <w:r w:rsidR="009E2036" w:rsidRPr="008A7BD7">
        <w:rPr>
          <w:rFonts w:ascii="Cambria" w:eastAsia="Times New Roman" w:hAnsi="Cambria" w:cs="Times New Roman"/>
          <w:color w:val="000000"/>
          <w:sz w:val="20"/>
          <w:szCs w:val="20"/>
          <w:shd w:val="clear" w:color="auto" w:fill="FFFFFF"/>
          <w:lang w:eastAsia="es-ES"/>
        </w:rPr>
        <w:t>s</w:t>
      </w:r>
      <w:r w:rsidRPr="008A7BD7">
        <w:rPr>
          <w:rFonts w:ascii="Cambria" w:eastAsia="Times New Roman" w:hAnsi="Cambria" w:cs="Times New Roman"/>
          <w:color w:val="000000"/>
          <w:sz w:val="20"/>
          <w:szCs w:val="20"/>
          <w:shd w:val="clear" w:color="auto" w:fill="FFFFFF"/>
          <w:lang w:eastAsia="es-ES"/>
        </w:rPr>
        <w:t xml:space="preserve"> initiated before the Supreme Court against </w:t>
      </w:r>
      <w:r w:rsidR="00706CD2" w:rsidRPr="008A7BD7">
        <w:rPr>
          <w:rFonts w:ascii="Cambria" w:eastAsia="Times New Roman" w:hAnsi="Cambria" w:cs="Times New Roman"/>
          <w:color w:val="000000"/>
          <w:sz w:val="20"/>
          <w:szCs w:val="20"/>
          <w:shd w:val="clear" w:color="auto" w:fill="FFFFFF"/>
          <w:lang w:eastAsia="es-ES"/>
        </w:rPr>
        <w:t xml:space="preserve">Pablo </w:t>
      </w:r>
      <w:proofErr w:type="spellStart"/>
      <w:r w:rsidR="00706CD2" w:rsidRPr="008A7BD7">
        <w:rPr>
          <w:rFonts w:ascii="Cambria" w:eastAsia="Times New Roman" w:hAnsi="Cambria" w:cs="Times New Roman"/>
          <w:color w:val="000000"/>
          <w:sz w:val="20"/>
          <w:szCs w:val="20"/>
          <w:shd w:val="clear" w:color="auto" w:fill="FFFFFF"/>
          <w:lang w:eastAsia="es-ES"/>
        </w:rPr>
        <w:t>Xitumul</w:t>
      </w:r>
      <w:proofErr w:type="spellEnd"/>
      <w:r w:rsidR="00706CD2" w:rsidRPr="008A7BD7">
        <w:rPr>
          <w:rFonts w:ascii="Cambria" w:eastAsia="Times New Roman" w:hAnsi="Cambria" w:cs="Times New Roman"/>
          <w:color w:val="000000"/>
          <w:sz w:val="20"/>
          <w:szCs w:val="20"/>
          <w:shd w:val="clear" w:color="auto" w:fill="FFFFFF"/>
          <w:lang w:eastAsia="es-ES"/>
        </w:rPr>
        <w:t xml:space="preserve"> de Paz, </w:t>
      </w:r>
      <w:r w:rsidRPr="008A7BD7">
        <w:rPr>
          <w:rFonts w:ascii="Cambria" w:eastAsia="Times New Roman" w:hAnsi="Cambria" w:cs="Times New Roman"/>
          <w:color w:val="000000"/>
          <w:sz w:val="20"/>
          <w:szCs w:val="20"/>
          <w:shd w:val="clear" w:color="auto" w:fill="FFFFFF"/>
          <w:lang w:eastAsia="es-ES"/>
        </w:rPr>
        <w:t xml:space="preserve">President of </w:t>
      </w:r>
      <w:proofErr w:type="gramStart"/>
      <w:r w:rsidRPr="008A7BD7">
        <w:rPr>
          <w:rFonts w:ascii="Cambria" w:eastAsia="Times New Roman" w:hAnsi="Cambria" w:cs="Times New Roman"/>
          <w:color w:val="000000"/>
          <w:sz w:val="20"/>
          <w:szCs w:val="20"/>
          <w:shd w:val="clear" w:color="auto" w:fill="FFFFFF"/>
          <w:lang w:eastAsia="es-ES"/>
        </w:rPr>
        <w:t>High Risk</w:t>
      </w:r>
      <w:proofErr w:type="gramEnd"/>
      <w:r w:rsidRPr="008A7BD7">
        <w:rPr>
          <w:rFonts w:ascii="Cambria" w:eastAsia="Times New Roman" w:hAnsi="Cambria" w:cs="Times New Roman"/>
          <w:color w:val="000000"/>
          <w:sz w:val="20"/>
          <w:szCs w:val="20"/>
          <w:shd w:val="clear" w:color="auto" w:fill="FFFFFF"/>
          <w:lang w:eastAsia="es-ES"/>
        </w:rPr>
        <w:t xml:space="preserve"> Court </w:t>
      </w:r>
      <w:r w:rsidR="00706CD2" w:rsidRPr="008A7BD7">
        <w:rPr>
          <w:rFonts w:ascii="Cambria" w:eastAsia="Times New Roman" w:hAnsi="Cambria" w:cs="Times New Roman"/>
          <w:color w:val="000000"/>
          <w:sz w:val="20"/>
          <w:szCs w:val="20"/>
          <w:shd w:val="clear" w:color="auto" w:fill="FFFFFF"/>
          <w:lang w:eastAsia="es-ES"/>
        </w:rPr>
        <w:t>C</w:t>
      </w:r>
      <w:r w:rsidRPr="008A7BD7">
        <w:rPr>
          <w:rFonts w:ascii="Cambria" w:eastAsia="Times New Roman" w:hAnsi="Cambria" w:cs="Times New Roman"/>
          <w:color w:val="000000"/>
          <w:sz w:val="20"/>
          <w:szCs w:val="20"/>
          <w:shd w:val="clear" w:color="auto" w:fill="FFFFFF"/>
          <w:lang w:eastAsia="es-ES"/>
        </w:rPr>
        <w:t>.</w:t>
      </w:r>
      <w:r w:rsidR="00314E2B" w:rsidRPr="008A7BD7">
        <w:rPr>
          <w:rFonts w:ascii="Cambria" w:eastAsia="Times New Roman" w:hAnsi="Cambria" w:cs="Times New Roman"/>
          <w:color w:val="000000"/>
          <w:sz w:val="20"/>
          <w:szCs w:val="20"/>
          <w:shd w:val="clear" w:color="auto" w:fill="FFFFFF"/>
          <w:lang w:eastAsia="es-ES"/>
        </w:rPr>
        <w:t xml:space="preserve"> </w:t>
      </w:r>
      <w:r w:rsidRPr="008A7BD7">
        <w:rPr>
          <w:rFonts w:ascii="Cambria" w:eastAsia="Times New Roman" w:hAnsi="Cambria" w:cs="Times New Roman"/>
          <w:color w:val="000000"/>
          <w:sz w:val="20"/>
          <w:szCs w:val="20"/>
          <w:shd w:val="clear" w:color="auto" w:fill="FFFFFF"/>
          <w:lang w:eastAsia="es-ES"/>
        </w:rPr>
        <w:t xml:space="preserve">According to publicly available information, the judge in charge of the </w:t>
      </w:r>
      <w:proofErr w:type="spellStart"/>
      <w:r w:rsidR="00F50F7F" w:rsidRPr="008A7BD7">
        <w:rPr>
          <w:rFonts w:ascii="Cambria" w:eastAsia="Times New Roman" w:hAnsi="Cambria" w:cs="Times New Roman"/>
          <w:i/>
          <w:iCs/>
          <w:color w:val="000000"/>
          <w:sz w:val="20"/>
          <w:szCs w:val="20"/>
          <w:shd w:val="clear" w:color="auto" w:fill="FFFFFF"/>
          <w:lang w:eastAsia="es-ES"/>
        </w:rPr>
        <w:t>antejuicio</w:t>
      </w:r>
      <w:proofErr w:type="spellEnd"/>
      <w:r w:rsidR="00F50F7F" w:rsidRPr="008A7BD7">
        <w:rPr>
          <w:rFonts w:ascii="Cambria" w:eastAsia="Times New Roman" w:hAnsi="Cambria" w:cs="Times New Roman"/>
          <w:color w:val="000000"/>
          <w:sz w:val="20"/>
          <w:szCs w:val="20"/>
          <w:shd w:val="clear" w:color="auto" w:fill="FFFFFF"/>
          <w:lang w:eastAsia="es-ES"/>
        </w:rPr>
        <w:t xml:space="preserve"> </w:t>
      </w:r>
      <w:r w:rsidRPr="008A7BD7">
        <w:rPr>
          <w:rFonts w:ascii="Cambria" w:eastAsia="Times New Roman" w:hAnsi="Cambria" w:cs="Times New Roman"/>
          <w:color w:val="000000"/>
          <w:sz w:val="20"/>
          <w:szCs w:val="20"/>
          <w:shd w:val="clear" w:color="auto" w:fill="FFFFFF"/>
          <w:lang w:eastAsia="es-ES"/>
        </w:rPr>
        <w:t xml:space="preserve">inquiry failed to respect due process </w:t>
      </w:r>
      <w:r w:rsidR="00014080" w:rsidRPr="008A7BD7">
        <w:rPr>
          <w:rFonts w:ascii="Cambria" w:eastAsia="Times New Roman" w:hAnsi="Cambria" w:cs="Times New Roman"/>
          <w:color w:val="000000"/>
          <w:sz w:val="20"/>
          <w:szCs w:val="20"/>
          <w:shd w:val="clear" w:color="auto" w:fill="FFFFFF"/>
          <w:lang w:eastAsia="es-ES"/>
        </w:rPr>
        <w:t xml:space="preserve">by ignoring evidence </w:t>
      </w:r>
      <w:r w:rsidR="003666CF" w:rsidRPr="008A7BD7">
        <w:rPr>
          <w:rFonts w:ascii="Cambria" w:eastAsia="Times New Roman" w:hAnsi="Cambria" w:cs="Times New Roman"/>
          <w:color w:val="000000"/>
          <w:sz w:val="20"/>
          <w:szCs w:val="20"/>
          <w:shd w:val="clear" w:color="auto" w:fill="FFFFFF"/>
          <w:lang w:eastAsia="es-ES"/>
        </w:rPr>
        <w:t xml:space="preserve">that </w:t>
      </w:r>
      <w:r w:rsidR="00014080" w:rsidRPr="008A7BD7">
        <w:rPr>
          <w:rFonts w:ascii="Cambria" w:eastAsia="Times New Roman" w:hAnsi="Cambria" w:cs="Times New Roman"/>
          <w:color w:val="000000"/>
          <w:sz w:val="20"/>
          <w:szCs w:val="20"/>
          <w:shd w:val="clear" w:color="auto" w:fill="FFFFFF"/>
          <w:lang w:eastAsia="es-ES"/>
        </w:rPr>
        <w:t xml:space="preserve">the judge presented </w:t>
      </w:r>
      <w:r w:rsidR="00F50F7F" w:rsidRPr="008A7BD7">
        <w:rPr>
          <w:rFonts w:ascii="Cambria" w:eastAsia="Times New Roman" w:hAnsi="Cambria" w:cs="Times New Roman"/>
          <w:color w:val="000000"/>
          <w:sz w:val="20"/>
          <w:szCs w:val="20"/>
          <w:shd w:val="clear" w:color="auto" w:fill="FFFFFF"/>
          <w:lang w:eastAsia="es-ES"/>
        </w:rPr>
        <w:t>in</w:t>
      </w:r>
      <w:r w:rsidR="00014080" w:rsidRPr="008A7BD7">
        <w:rPr>
          <w:rFonts w:ascii="Cambria" w:eastAsia="Times New Roman" w:hAnsi="Cambria" w:cs="Times New Roman"/>
          <w:color w:val="000000"/>
          <w:sz w:val="20"/>
          <w:szCs w:val="20"/>
          <w:shd w:val="clear" w:color="auto" w:fill="FFFFFF"/>
          <w:lang w:eastAsia="es-ES"/>
        </w:rPr>
        <w:t xml:space="preserve"> his defense and by not hearing his testimony, which would represent a violation of the procedures established by the law for </w:t>
      </w:r>
      <w:r w:rsidR="009E2036" w:rsidRPr="008A7BD7">
        <w:rPr>
          <w:rFonts w:ascii="Cambria" w:eastAsia="Times New Roman" w:hAnsi="Cambria" w:cs="Times New Roman"/>
          <w:color w:val="000000"/>
          <w:sz w:val="20"/>
          <w:szCs w:val="20"/>
          <w:shd w:val="clear" w:color="auto" w:fill="FFFFFF"/>
          <w:lang w:eastAsia="es-ES"/>
        </w:rPr>
        <w:t xml:space="preserve">the </w:t>
      </w:r>
      <w:proofErr w:type="spellStart"/>
      <w:r w:rsidR="009E2036" w:rsidRPr="008A7BD7">
        <w:rPr>
          <w:rFonts w:ascii="Cambria" w:eastAsia="Times New Roman" w:hAnsi="Cambria" w:cs="Times New Roman"/>
          <w:i/>
          <w:iCs/>
          <w:color w:val="000000"/>
          <w:sz w:val="20"/>
          <w:szCs w:val="20"/>
          <w:shd w:val="clear" w:color="auto" w:fill="FFFFFF"/>
          <w:lang w:eastAsia="es-ES"/>
        </w:rPr>
        <w:t>antejuicio</w:t>
      </w:r>
      <w:proofErr w:type="spellEnd"/>
      <w:r w:rsidR="009E2036" w:rsidRPr="008A7BD7">
        <w:rPr>
          <w:rFonts w:ascii="Cambria" w:eastAsia="Times New Roman" w:hAnsi="Cambria" w:cs="Times New Roman"/>
          <w:i/>
          <w:iCs/>
          <w:color w:val="000000"/>
          <w:sz w:val="20"/>
          <w:szCs w:val="20"/>
          <w:shd w:val="clear" w:color="auto" w:fill="FFFFFF"/>
          <w:lang w:eastAsia="es-ES"/>
        </w:rPr>
        <w:t xml:space="preserve"> </w:t>
      </w:r>
      <w:r w:rsidR="009E2036" w:rsidRPr="008A7BD7">
        <w:rPr>
          <w:rFonts w:ascii="Cambria" w:eastAsia="Times New Roman" w:hAnsi="Cambria" w:cs="Times New Roman"/>
          <w:color w:val="000000"/>
          <w:sz w:val="20"/>
          <w:szCs w:val="20"/>
          <w:shd w:val="clear" w:color="auto" w:fill="FFFFFF"/>
          <w:lang w:eastAsia="es-ES"/>
        </w:rPr>
        <w:t>process</w:t>
      </w:r>
      <w:r w:rsidR="00014080" w:rsidRPr="008A7BD7">
        <w:rPr>
          <w:rFonts w:ascii="Cambria" w:eastAsia="Times New Roman" w:hAnsi="Cambria" w:cs="Times New Roman"/>
          <w:color w:val="000000"/>
          <w:sz w:val="20"/>
          <w:szCs w:val="20"/>
          <w:shd w:val="clear" w:color="auto" w:fill="FFFFFF"/>
          <w:lang w:eastAsia="es-ES"/>
        </w:rPr>
        <w:t>.</w:t>
      </w:r>
      <w:r w:rsidR="00A95298" w:rsidRPr="008A7BD7">
        <w:rPr>
          <w:rStyle w:val="FootnoteReference"/>
          <w:rFonts w:ascii="Cambria" w:eastAsia="Times New Roman" w:hAnsi="Cambria" w:cs="Times New Roman"/>
          <w:color w:val="000000"/>
          <w:sz w:val="20"/>
          <w:szCs w:val="20"/>
          <w:shd w:val="clear" w:color="auto" w:fill="FFFFFF"/>
          <w:lang w:val="es-MX" w:eastAsia="es-ES"/>
        </w:rPr>
        <w:footnoteReference w:id="88"/>
      </w:r>
      <w:r w:rsidR="00C56230" w:rsidRPr="008A7BD7">
        <w:rPr>
          <w:rFonts w:ascii="Cambria" w:eastAsia="Times New Roman" w:hAnsi="Cambria" w:cs="Times New Roman"/>
          <w:color w:val="000000"/>
          <w:sz w:val="20"/>
          <w:szCs w:val="20"/>
          <w:shd w:val="clear" w:color="auto" w:fill="FFFFFF"/>
          <w:lang w:eastAsia="es-ES"/>
        </w:rPr>
        <w:t xml:space="preserve"> </w:t>
      </w:r>
      <w:r w:rsidR="0075473C" w:rsidRPr="008A7BD7">
        <w:rPr>
          <w:rFonts w:ascii="Cambria" w:eastAsia="Times New Roman" w:hAnsi="Cambria" w:cs="Arial"/>
          <w:sz w:val="20"/>
          <w:szCs w:val="20"/>
          <w:lang w:eastAsia="es-ES_tradnl"/>
        </w:rPr>
        <w:t xml:space="preserve">For its part, in </w:t>
      </w:r>
      <w:r w:rsidR="007E4087" w:rsidRPr="008A7BD7">
        <w:rPr>
          <w:rFonts w:ascii="Cambria" w:eastAsia="Times New Roman" w:hAnsi="Cambria" w:cs="Arial"/>
          <w:sz w:val="20"/>
          <w:szCs w:val="20"/>
          <w:lang w:eastAsia="es-ES_tradnl"/>
        </w:rPr>
        <w:t>its</w:t>
      </w:r>
      <w:r w:rsidR="0075473C" w:rsidRPr="008A7BD7">
        <w:rPr>
          <w:rFonts w:ascii="Cambria" w:eastAsia="Times New Roman" w:hAnsi="Cambria" w:cs="Arial"/>
          <w:sz w:val="20"/>
          <w:szCs w:val="20"/>
          <w:lang w:eastAsia="es-ES_tradnl"/>
        </w:rPr>
        <w:t xml:space="preserve"> response</w:t>
      </w:r>
      <w:r w:rsidR="007E4087" w:rsidRPr="008A7BD7">
        <w:rPr>
          <w:rFonts w:ascii="Cambria" w:eastAsia="Times New Roman" w:hAnsi="Cambria" w:cs="Arial"/>
          <w:sz w:val="20"/>
          <w:szCs w:val="20"/>
          <w:lang w:eastAsia="es-ES_tradnl"/>
        </w:rPr>
        <w:t xml:space="preserve"> to the IACHR regarding</w:t>
      </w:r>
      <w:r w:rsidR="0075473C" w:rsidRPr="008A7BD7">
        <w:rPr>
          <w:rFonts w:ascii="Cambria" w:eastAsia="Times New Roman" w:hAnsi="Cambria" w:cs="Arial"/>
          <w:sz w:val="20"/>
          <w:szCs w:val="20"/>
          <w:lang w:eastAsia="es-ES_tradnl"/>
        </w:rPr>
        <w:t xml:space="preserve"> the draft of this report, the State indicated that </w:t>
      </w:r>
      <w:r w:rsidR="00C56230" w:rsidRPr="008A7BD7">
        <w:rPr>
          <w:rFonts w:ascii="Cambria" w:eastAsia="Times New Roman" w:hAnsi="Cambria" w:cs="Arial"/>
          <w:sz w:val="20"/>
          <w:szCs w:val="20"/>
          <w:lang w:eastAsia="es-ES_tradnl"/>
        </w:rPr>
        <w:t>“</w:t>
      </w:r>
      <w:r w:rsidR="0075473C" w:rsidRPr="008A7BD7">
        <w:rPr>
          <w:rFonts w:ascii="Cambria" w:eastAsia="Times New Roman" w:hAnsi="Cambria" w:cs="Arial"/>
          <w:sz w:val="20"/>
          <w:szCs w:val="20"/>
          <w:lang w:eastAsia="es-ES_tradnl"/>
        </w:rPr>
        <w:t>the</w:t>
      </w:r>
      <w:r w:rsidR="00C56230" w:rsidRPr="008A7BD7">
        <w:rPr>
          <w:rFonts w:ascii="Cambria" w:eastAsia="Times New Roman" w:hAnsi="Cambria" w:cs="Arial"/>
          <w:sz w:val="20"/>
          <w:szCs w:val="20"/>
          <w:lang w:eastAsia="es-ES_tradnl"/>
        </w:rPr>
        <w:t xml:space="preserve"> </w:t>
      </w:r>
      <w:proofErr w:type="spellStart"/>
      <w:r w:rsidR="00C56230" w:rsidRPr="008A7BD7">
        <w:rPr>
          <w:rFonts w:ascii="Cambria" w:eastAsia="Times New Roman" w:hAnsi="Cambria" w:cs="Arial"/>
          <w:i/>
          <w:iCs/>
          <w:sz w:val="20"/>
          <w:szCs w:val="20"/>
          <w:lang w:eastAsia="es-ES_tradnl"/>
        </w:rPr>
        <w:t>antejuicio</w:t>
      </w:r>
      <w:proofErr w:type="spellEnd"/>
      <w:r w:rsidR="00C56230" w:rsidRPr="008A7BD7">
        <w:rPr>
          <w:rFonts w:ascii="Cambria" w:eastAsia="Times New Roman" w:hAnsi="Cambria" w:cs="Arial"/>
          <w:sz w:val="20"/>
          <w:szCs w:val="20"/>
          <w:lang w:eastAsia="es-ES_tradnl"/>
        </w:rPr>
        <w:t xml:space="preserve"> [</w:t>
      </w:r>
      <w:r w:rsidR="0075473C" w:rsidRPr="008A7BD7">
        <w:rPr>
          <w:rFonts w:ascii="Cambria" w:eastAsia="Times New Roman" w:hAnsi="Cambria" w:cs="Arial"/>
          <w:sz w:val="20"/>
          <w:szCs w:val="20"/>
          <w:lang w:eastAsia="es-ES_tradnl"/>
        </w:rPr>
        <w:t>against Judge</w:t>
      </w:r>
      <w:r w:rsidR="00C56230" w:rsidRPr="008A7BD7">
        <w:rPr>
          <w:rFonts w:ascii="Cambria" w:eastAsia="Times New Roman" w:hAnsi="Cambria" w:cs="Arial"/>
          <w:sz w:val="20"/>
          <w:szCs w:val="20"/>
          <w:lang w:eastAsia="es-ES_tradnl"/>
        </w:rPr>
        <w:t xml:space="preserve"> Pablo </w:t>
      </w:r>
      <w:proofErr w:type="spellStart"/>
      <w:r w:rsidR="00C56230" w:rsidRPr="008A7BD7">
        <w:rPr>
          <w:rFonts w:ascii="Cambria" w:eastAsia="Times New Roman" w:hAnsi="Cambria" w:cs="Arial"/>
          <w:sz w:val="20"/>
          <w:szCs w:val="20"/>
          <w:lang w:eastAsia="es-ES_tradnl"/>
        </w:rPr>
        <w:t>Xitumul</w:t>
      </w:r>
      <w:proofErr w:type="spellEnd"/>
      <w:r w:rsidR="00C56230" w:rsidRPr="008A7BD7">
        <w:rPr>
          <w:rFonts w:ascii="Cambria" w:eastAsia="Times New Roman" w:hAnsi="Cambria" w:cs="Arial"/>
          <w:sz w:val="20"/>
          <w:szCs w:val="20"/>
          <w:lang w:eastAsia="es-ES_tradnl"/>
        </w:rPr>
        <w:t xml:space="preserve">] </w:t>
      </w:r>
      <w:r w:rsidR="0075473C" w:rsidRPr="008A7BD7">
        <w:rPr>
          <w:rFonts w:ascii="Cambria" w:eastAsia="Times New Roman" w:hAnsi="Cambria" w:cs="Arial"/>
          <w:sz w:val="20"/>
          <w:szCs w:val="20"/>
          <w:lang w:eastAsia="es-ES_tradnl"/>
        </w:rPr>
        <w:t xml:space="preserve">did not occur in the context of the exercise of his </w:t>
      </w:r>
      <w:r w:rsidR="007E4087" w:rsidRPr="008A7BD7">
        <w:rPr>
          <w:rFonts w:ascii="Cambria" w:eastAsia="Times New Roman" w:hAnsi="Cambria" w:cs="Arial"/>
          <w:sz w:val="20"/>
          <w:szCs w:val="20"/>
          <w:lang w:eastAsia="es-ES_tradnl"/>
        </w:rPr>
        <w:t>functions</w:t>
      </w:r>
      <w:r w:rsidR="0075473C" w:rsidRPr="008A7BD7">
        <w:rPr>
          <w:rFonts w:ascii="Cambria" w:eastAsia="Times New Roman" w:hAnsi="Cambria" w:cs="Arial"/>
          <w:sz w:val="20"/>
          <w:szCs w:val="20"/>
          <w:lang w:eastAsia="es-ES_tradnl"/>
        </w:rPr>
        <w:t xml:space="preserve"> as </w:t>
      </w:r>
      <w:r w:rsidR="007E4087" w:rsidRPr="008A7BD7">
        <w:rPr>
          <w:rFonts w:ascii="Cambria" w:eastAsia="Times New Roman" w:hAnsi="Cambria" w:cs="Arial"/>
          <w:sz w:val="20"/>
          <w:szCs w:val="20"/>
          <w:lang w:eastAsia="es-ES_tradnl"/>
        </w:rPr>
        <w:t xml:space="preserve">a </w:t>
      </w:r>
      <w:r w:rsidR="0075473C" w:rsidRPr="008A7BD7">
        <w:rPr>
          <w:rFonts w:ascii="Cambria" w:eastAsia="Times New Roman" w:hAnsi="Cambria" w:cs="Arial"/>
          <w:sz w:val="20"/>
          <w:szCs w:val="20"/>
          <w:lang w:eastAsia="es-ES_tradnl"/>
        </w:rPr>
        <w:t>judge, but rather stems from a complaint filed by the inspector of the National Civil Police</w:t>
      </w:r>
      <w:r w:rsidR="00C56230" w:rsidRPr="008A7BD7">
        <w:rPr>
          <w:rFonts w:ascii="Cambria" w:eastAsia="Times New Roman" w:hAnsi="Cambria" w:cs="Arial"/>
          <w:sz w:val="20"/>
          <w:szCs w:val="20"/>
          <w:lang w:eastAsia="es-ES_tradnl"/>
        </w:rPr>
        <w:t xml:space="preserve"> (PNC), José </w:t>
      </w:r>
      <w:proofErr w:type="spellStart"/>
      <w:r w:rsidR="00C56230" w:rsidRPr="008A7BD7">
        <w:rPr>
          <w:rFonts w:ascii="Cambria" w:eastAsia="Times New Roman" w:hAnsi="Cambria" w:cs="Arial"/>
          <w:sz w:val="20"/>
          <w:szCs w:val="20"/>
          <w:lang w:eastAsia="es-ES_tradnl"/>
        </w:rPr>
        <w:t>Cuxaj</w:t>
      </w:r>
      <w:proofErr w:type="spellEnd"/>
      <w:r w:rsidR="00C56230" w:rsidRPr="008A7BD7">
        <w:rPr>
          <w:rFonts w:ascii="Cambria" w:eastAsia="Times New Roman" w:hAnsi="Cambria" w:cs="Arial"/>
          <w:sz w:val="20"/>
          <w:szCs w:val="20"/>
          <w:lang w:eastAsia="es-ES_tradnl"/>
        </w:rPr>
        <w:t xml:space="preserve">, </w:t>
      </w:r>
      <w:r w:rsidR="0075473C" w:rsidRPr="008A7BD7">
        <w:rPr>
          <w:rFonts w:ascii="Cambria" w:eastAsia="Times New Roman" w:hAnsi="Cambria" w:cs="Arial"/>
          <w:sz w:val="20"/>
          <w:szCs w:val="20"/>
          <w:lang w:eastAsia="es-ES_tradnl"/>
        </w:rPr>
        <w:t xml:space="preserve">who asserts that he was physically and verbally attacked and </w:t>
      </w:r>
      <w:r w:rsidR="003C7AC0" w:rsidRPr="008A7BD7">
        <w:rPr>
          <w:rFonts w:ascii="Cambria" w:eastAsia="Times New Roman" w:hAnsi="Cambria" w:cs="Arial"/>
          <w:sz w:val="20"/>
          <w:szCs w:val="20"/>
          <w:lang w:eastAsia="es-ES_tradnl"/>
        </w:rPr>
        <w:t>is</w:t>
      </w:r>
      <w:r w:rsidR="0075473C" w:rsidRPr="008A7BD7">
        <w:rPr>
          <w:rFonts w:ascii="Cambria" w:eastAsia="Times New Roman" w:hAnsi="Cambria" w:cs="Arial"/>
          <w:sz w:val="20"/>
          <w:szCs w:val="20"/>
          <w:lang w:eastAsia="es-ES_tradnl"/>
        </w:rPr>
        <w:t xml:space="preserve"> </w:t>
      </w:r>
      <w:r w:rsidR="00B13D4B" w:rsidRPr="008A7BD7">
        <w:rPr>
          <w:rFonts w:ascii="Cambria" w:eastAsia="Times New Roman" w:hAnsi="Cambria" w:cs="Arial"/>
          <w:sz w:val="20"/>
          <w:szCs w:val="20"/>
          <w:lang w:eastAsia="es-ES_tradnl"/>
        </w:rPr>
        <w:t xml:space="preserve">thus </w:t>
      </w:r>
      <w:r w:rsidR="007E4087" w:rsidRPr="008A7BD7">
        <w:rPr>
          <w:rFonts w:ascii="Cambria" w:eastAsia="Times New Roman" w:hAnsi="Cambria" w:cs="Arial"/>
          <w:sz w:val="20"/>
          <w:szCs w:val="20"/>
          <w:lang w:eastAsia="es-ES_tradnl"/>
        </w:rPr>
        <w:t>accus</w:t>
      </w:r>
      <w:r w:rsidR="003C7AC0" w:rsidRPr="008A7BD7">
        <w:rPr>
          <w:rFonts w:ascii="Cambria" w:eastAsia="Times New Roman" w:hAnsi="Cambria" w:cs="Arial"/>
          <w:sz w:val="20"/>
          <w:szCs w:val="20"/>
          <w:lang w:eastAsia="es-ES_tradnl"/>
        </w:rPr>
        <w:t>ing</w:t>
      </w:r>
      <w:r w:rsidR="007E4087" w:rsidRPr="008A7BD7">
        <w:rPr>
          <w:rFonts w:ascii="Cambria" w:eastAsia="Times New Roman" w:hAnsi="Cambria" w:cs="Arial"/>
          <w:sz w:val="20"/>
          <w:szCs w:val="20"/>
          <w:lang w:eastAsia="es-ES_tradnl"/>
        </w:rPr>
        <w:t xml:space="preserve"> him of </w:t>
      </w:r>
      <w:r w:rsidR="0075473C" w:rsidRPr="008A7BD7">
        <w:rPr>
          <w:rFonts w:ascii="Cambria" w:eastAsia="Times New Roman" w:hAnsi="Cambria" w:cs="Arial"/>
          <w:sz w:val="20"/>
          <w:szCs w:val="20"/>
          <w:lang w:eastAsia="es-ES_tradnl"/>
        </w:rPr>
        <w:t>abuse of authority.”</w:t>
      </w:r>
      <w:r w:rsidR="00C56230" w:rsidRPr="008A7BD7">
        <w:rPr>
          <w:rStyle w:val="FootnoteReference"/>
          <w:rFonts w:ascii="Cambria" w:eastAsia="Times New Roman" w:hAnsi="Cambria" w:cs="Arial"/>
          <w:sz w:val="20"/>
          <w:szCs w:val="20"/>
          <w:lang w:val="es-MX" w:eastAsia="es-ES"/>
        </w:rPr>
        <w:footnoteReference w:id="89"/>
      </w:r>
    </w:p>
    <w:p w14:paraId="2A96FD06" w14:textId="77777777" w:rsidR="003A3461" w:rsidRPr="008A7BD7" w:rsidRDefault="003A3461" w:rsidP="003A3461">
      <w:pPr>
        <w:pStyle w:val="ListParagraph"/>
        <w:rPr>
          <w:rFonts w:ascii="Cambria" w:hAnsi="Cambria"/>
          <w:color w:val="000000" w:themeColor="text1"/>
          <w:sz w:val="20"/>
          <w:szCs w:val="20"/>
        </w:rPr>
      </w:pPr>
    </w:p>
    <w:p w14:paraId="0DE07426" w14:textId="3568480C" w:rsidR="003A3461" w:rsidRPr="008A7BD7" w:rsidRDefault="00176BB5" w:rsidP="008A2AEC">
      <w:pPr>
        <w:numPr>
          <w:ilvl w:val="0"/>
          <w:numId w:val="2"/>
        </w:numPr>
        <w:ind w:left="0" w:firstLine="720"/>
        <w:jc w:val="both"/>
        <w:rPr>
          <w:rFonts w:ascii="Cambria" w:eastAsia="Times New Roman" w:hAnsi="Cambria" w:cs="Arial"/>
          <w:sz w:val="20"/>
          <w:szCs w:val="20"/>
          <w:lang w:eastAsia="es-ES_tradnl"/>
        </w:rPr>
      </w:pPr>
      <w:r w:rsidRPr="008A7BD7">
        <w:rPr>
          <w:rFonts w:ascii="Cambria" w:hAnsi="Cambria"/>
          <w:color w:val="000000" w:themeColor="text1"/>
          <w:sz w:val="20"/>
          <w:szCs w:val="20"/>
        </w:rPr>
        <w:t xml:space="preserve">With regard to the alleged use and abuse of </w:t>
      </w:r>
      <w:proofErr w:type="spellStart"/>
      <w:r w:rsidR="009E2036" w:rsidRPr="008A7BD7">
        <w:rPr>
          <w:rFonts w:ascii="Cambria" w:eastAsia="Times New Roman" w:hAnsi="Cambria" w:cs="Times New Roman"/>
          <w:i/>
          <w:iCs/>
          <w:color w:val="000000"/>
          <w:sz w:val="20"/>
          <w:szCs w:val="20"/>
          <w:shd w:val="clear" w:color="auto" w:fill="FFFFFF"/>
          <w:lang w:eastAsia="es-ES"/>
        </w:rPr>
        <w:t>antejuicio</w:t>
      </w:r>
      <w:proofErr w:type="spellEnd"/>
      <w:r w:rsidR="009E2036" w:rsidRPr="008A7BD7">
        <w:rPr>
          <w:rFonts w:ascii="Cambria" w:eastAsia="Times New Roman" w:hAnsi="Cambria" w:cs="Times New Roman"/>
          <w:color w:val="000000"/>
          <w:sz w:val="20"/>
          <w:szCs w:val="20"/>
          <w:shd w:val="clear" w:color="auto" w:fill="FFFFFF"/>
          <w:lang w:eastAsia="es-ES"/>
        </w:rPr>
        <w:t xml:space="preserve"> </w:t>
      </w:r>
      <w:r w:rsidRPr="008A7BD7">
        <w:rPr>
          <w:rFonts w:ascii="Cambria" w:hAnsi="Cambria"/>
          <w:color w:val="000000" w:themeColor="text1"/>
          <w:sz w:val="20"/>
          <w:szCs w:val="20"/>
        </w:rPr>
        <w:t xml:space="preserve">proceedings, the State of Guatemala has informed the IACHR at various times that </w:t>
      </w:r>
      <w:r w:rsidR="00EE7D18" w:rsidRPr="008A7BD7">
        <w:rPr>
          <w:rFonts w:ascii="Cambria" w:hAnsi="Cambria"/>
          <w:color w:val="000000" w:themeColor="text1"/>
          <w:sz w:val="20"/>
          <w:szCs w:val="20"/>
        </w:rPr>
        <w:t>“</w:t>
      </w:r>
      <w:r w:rsidR="000923CA" w:rsidRPr="008A7BD7">
        <w:rPr>
          <w:rFonts w:ascii="Cambria" w:hAnsi="Cambria"/>
          <w:color w:val="000000" w:themeColor="text1"/>
          <w:sz w:val="20"/>
          <w:szCs w:val="20"/>
        </w:rPr>
        <w:t xml:space="preserve">the State </w:t>
      </w:r>
      <w:r w:rsidR="00EE7D18" w:rsidRPr="008A7BD7">
        <w:rPr>
          <w:rFonts w:ascii="Cambria" w:hAnsi="Cambria"/>
          <w:color w:val="000000" w:themeColor="text1"/>
          <w:sz w:val="20"/>
          <w:szCs w:val="20"/>
        </w:rPr>
        <w:t>cannot run roughshod over international normative frameworks that it has ratified at a universal and regional level or its domestic legislation by depriving Guatemalans of exercising their right to file complaints when they deem there are acts that may constitute crimes, and even less so when this is done as part of citizen oversight that characterizes any democratic State.</w:t>
      </w:r>
      <w:r w:rsidR="003A3461" w:rsidRPr="008A7BD7">
        <w:rPr>
          <w:rFonts w:ascii="Cambria" w:hAnsi="Cambria" w:cs="Calibri"/>
          <w:sz w:val="20"/>
          <w:szCs w:val="20"/>
        </w:rPr>
        <w:t>”</w:t>
      </w:r>
      <w:r w:rsidR="00497311" w:rsidRPr="008A7BD7">
        <w:rPr>
          <w:rFonts w:ascii="Cambria" w:hAnsi="Cambria" w:cs="Calibri"/>
          <w:sz w:val="20"/>
          <w:szCs w:val="20"/>
        </w:rPr>
        <w:t xml:space="preserve"> Moreover, the State indicated that</w:t>
      </w:r>
      <w:r w:rsidR="000923CA" w:rsidRPr="008A7BD7">
        <w:rPr>
          <w:rFonts w:ascii="Cambria" w:hAnsi="Cambria" w:cs="Calibri"/>
          <w:sz w:val="20"/>
          <w:szCs w:val="20"/>
        </w:rPr>
        <w:t xml:space="preserve"> it is</w:t>
      </w:r>
      <w:r w:rsidR="00497311" w:rsidRPr="008A7BD7">
        <w:rPr>
          <w:rFonts w:ascii="Cambria" w:hAnsi="Cambria" w:cs="Calibri"/>
          <w:sz w:val="20"/>
          <w:szCs w:val="20"/>
        </w:rPr>
        <w:t xml:space="preserve"> precisely to prevent abuses in the filing of complaints against those who hold public office</w:t>
      </w:r>
      <w:r w:rsidR="000923CA" w:rsidRPr="008A7BD7">
        <w:rPr>
          <w:rFonts w:ascii="Cambria" w:hAnsi="Cambria" w:cs="Calibri"/>
          <w:sz w:val="20"/>
          <w:szCs w:val="20"/>
        </w:rPr>
        <w:t xml:space="preserve"> that</w:t>
      </w:r>
      <w:r w:rsidR="00497311" w:rsidRPr="008A7BD7">
        <w:rPr>
          <w:rFonts w:ascii="Cambria" w:hAnsi="Cambria" w:cs="Calibri"/>
          <w:sz w:val="20"/>
          <w:szCs w:val="20"/>
        </w:rPr>
        <w:t xml:space="preserve"> the Constitution has provided for the legal construct of the </w:t>
      </w:r>
      <w:proofErr w:type="spellStart"/>
      <w:r w:rsidR="00497311" w:rsidRPr="008A7BD7">
        <w:rPr>
          <w:rFonts w:ascii="Cambria" w:eastAsia="Times New Roman" w:hAnsi="Cambria" w:cs="Times New Roman"/>
          <w:i/>
          <w:iCs/>
          <w:color w:val="000000"/>
          <w:sz w:val="20"/>
          <w:szCs w:val="20"/>
          <w:shd w:val="clear" w:color="auto" w:fill="FFFFFF"/>
          <w:lang w:eastAsia="es-ES"/>
        </w:rPr>
        <w:t>antejuicio</w:t>
      </w:r>
      <w:proofErr w:type="spellEnd"/>
      <w:r w:rsidR="003A3461" w:rsidRPr="008A7BD7">
        <w:rPr>
          <w:rFonts w:ascii="Cambria" w:hAnsi="Cambria" w:cs="Calibri"/>
          <w:sz w:val="20"/>
          <w:szCs w:val="20"/>
        </w:rPr>
        <w:t xml:space="preserve"> </w:t>
      </w:r>
      <w:r w:rsidR="00497311" w:rsidRPr="008A7BD7">
        <w:rPr>
          <w:rFonts w:ascii="Cambria" w:hAnsi="Cambria" w:cs="Calibri"/>
          <w:sz w:val="20"/>
          <w:szCs w:val="20"/>
        </w:rPr>
        <w:t xml:space="preserve">as a guarantee, the purpose of which is to prevent arrest and criminal court proceedings without </w:t>
      </w:r>
      <w:proofErr w:type="spellStart"/>
      <w:r w:rsidR="00497311" w:rsidRPr="008A7BD7">
        <w:rPr>
          <w:rFonts w:ascii="Cambria" w:hAnsi="Cambria" w:cs="Calibri"/>
          <w:sz w:val="20"/>
          <w:szCs w:val="20"/>
        </w:rPr>
        <w:t>there</w:t>
      </w:r>
      <w:proofErr w:type="spellEnd"/>
      <w:r w:rsidR="000923CA" w:rsidRPr="008A7BD7">
        <w:rPr>
          <w:rFonts w:ascii="Cambria" w:hAnsi="Cambria" w:cs="Calibri"/>
          <w:sz w:val="20"/>
          <w:szCs w:val="20"/>
        </w:rPr>
        <w:t xml:space="preserve"> </w:t>
      </w:r>
      <w:r w:rsidR="00497311" w:rsidRPr="008A7BD7">
        <w:rPr>
          <w:rFonts w:ascii="Cambria" w:hAnsi="Cambria" w:cs="Calibri"/>
          <w:sz w:val="20"/>
          <w:szCs w:val="20"/>
        </w:rPr>
        <w:t>first being a decision by the competent authority that rules on whether prosecution should be brought. To this end, the relevant proceedings must take place in keeping with the pr</w:t>
      </w:r>
      <w:r w:rsidR="000923CA" w:rsidRPr="008A7BD7">
        <w:rPr>
          <w:rFonts w:ascii="Cambria" w:hAnsi="Cambria" w:cs="Calibri"/>
          <w:sz w:val="20"/>
          <w:szCs w:val="20"/>
        </w:rPr>
        <w:t>o</w:t>
      </w:r>
      <w:r w:rsidR="00497311" w:rsidRPr="008A7BD7">
        <w:rPr>
          <w:rFonts w:ascii="Cambria" w:hAnsi="Cambria" w:cs="Calibri"/>
          <w:sz w:val="20"/>
          <w:szCs w:val="20"/>
        </w:rPr>
        <w:t xml:space="preserve">visions of the law regarding </w:t>
      </w:r>
      <w:proofErr w:type="spellStart"/>
      <w:r w:rsidR="00497311" w:rsidRPr="008A7BD7">
        <w:rPr>
          <w:rFonts w:ascii="Cambria" w:eastAsia="Times New Roman" w:hAnsi="Cambria" w:cs="Times New Roman"/>
          <w:i/>
          <w:iCs/>
          <w:color w:val="000000"/>
          <w:sz w:val="20"/>
          <w:szCs w:val="20"/>
          <w:shd w:val="clear" w:color="auto" w:fill="FFFFFF"/>
          <w:lang w:eastAsia="es-ES"/>
        </w:rPr>
        <w:t>antejuicios</w:t>
      </w:r>
      <w:proofErr w:type="spellEnd"/>
      <w:r w:rsidR="00E06960" w:rsidRPr="008A7BD7">
        <w:rPr>
          <w:rFonts w:ascii="Cambria" w:eastAsia="Times New Roman" w:hAnsi="Cambria" w:cs="Times New Roman"/>
          <w:color w:val="000000"/>
          <w:sz w:val="20"/>
          <w:szCs w:val="20"/>
          <w:shd w:val="clear" w:color="auto" w:fill="FFFFFF"/>
          <w:lang w:eastAsia="es-ES"/>
        </w:rPr>
        <w:t>, namely</w:t>
      </w:r>
      <w:r w:rsidR="00497311" w:rsidRPr="008A7BD7">
        <w:rPr>
          <w:rFonts w:ascii="Cambria" w:eastAsia="Times New Roman" w:hAnsi="Cambria" w:cs="Times New Roman"/>
          <w:color w:val="000000"/>
          <w:sz w:val="20"/>
          <w:szCs w:val="20"/>
          <w:shd w:val="clear" w:color="auto" w:fill="FFFFFF"/>
          <w:lang w:eastAsia="es-ES"/>
        </w:rPr>
        <w:t>, Decree</w:t>
      </w:r>
      <w:r w:rsidR="00497311" w:rsidRPr="008A7BD7">
        <w:rPr>
          <w:rFonts w:ascii="Cambria" w:hAnsi="Cambria" w:cs="Calibri"/>
          <w:sz w:val="20"/>
          <w:szCs w:val="20"/>
        </w:rPr>
        <w:t xml:space="preserve"> </w:t>
      </w:r>
      <w:r w:rsidR="003A3461" w:rsidRPr="008A7BD7">
        <w:rPr>
          <w:rFonts w:ascii="Cambria" w:hAnsi="Cambria" w:cs="Calibri"/>
          <w:sz w:val="20"/>
          <w:szCs w:val="20"/>
        </w:rPr>
        <w:t xml:space="preserve">85-2002 </w:t>
      </w:r>
      <w:r w:rsidR="00497311" w:rsidRPr="008A7BD7">
        <w:rPr>
          <w:rFonts w:ascii="Cambria" w:hAnsi="Cambria" w:cs="Calibri"/>
          <w:sz w:val="20"/>
          <w:szCs w:val="20"/>
        </w:rPr>
        <w:t>of the Congress of the Republic</w:t>
      </w:r>
      <w:r w:rsidR="003A3461" w:rsidRPr="008A7BD7">
        <w:rPr>
          <w:rFonts w:ascii="Cambria" w:hAnsi="Cambria" w:cs="Calibri"/>
          <w:sz w:val="20"/>
          <w:szCs w:val="20"/>
        </w:rPr>
        <w:t>.</w:t>
      </w:r>
      <w:r w:rsidR="003A3461" w:rsidRPr="008A7BD7">
        <w:rPr>
          <w:rFonts w:ascii="Cambria" w:hAnsi="Cambria"/>
          <w:sz w:val="20"/>
          <w:szCs w:val="20"/>
        </w:rPr>
        <w:t xml:space="preserve"> </w:t>
      </w:r>
      <w:r w:rsidR="00B402B4" w:rsidRPr="008A7BD7">
        <w:rPr>
          <w:rFonts w:ascii="Cambria" w:hAnsi="Cambria"/>
          <w:sz w:val="20"/>
          <w:szCs w:val="20"/>
        </w:rPr>
        <w:t xml:space="preserve">Thus, the </w:t>
      </w:r>
      <w:r w:rsidR="000024BE" w:rsidRPr="008A7BD7">
        <w:rPr>
          <w:rFonts w:ascii="Cambria" w:hAnsi="Cambria"/>
          <w:sz w:val="20"/>
          <w:szCs w:val="20"/>
        </w:rPr>
        <w:t xml:space="preserve">State pointed out, the </w:t>
      </w:r>
      <w:r w:rsidR="00B402B4" w:rsidRPr="008A7BD7">
        <w:rPr>
          <w:rFonts w:ascii="Cambria" w:hAnsi="Cambria"/>
          <w:sz w:val="20"/>
          <w:szCs w:val="20"/>
        </w:rPr>
        <w:t xml:space="preserve">petition for an </w:t>
      </w:r>
      <w:proofErr w:type="spellStart"/>
      <w:r w:rsidR="00B402B4" w:rsidRPr="008A7BD7">
        <w:rPr>
          <w:rFonts w:ascii="Cambria" w:eastAsia="Times New Roman" w:hAnsi="Cambria" w:cs="Times New Roman"/>
          <w:i/>
          <w:iCs/>
          <w:color w:val="000000"/>
          <w:sz w:val="20"/>
          <w:szCs w:val="20"/>
          <w:shd w:val="clear" w:color="auto" w:fill="FFFFFF"/>
          <w:lang w:eastAsia="es-ES"/>
        </w:rPr>
        <w:t>antejuicio</w:t>
      </w:r>
      <w:proofErr w:type="spellEnd"/>
      <w:r w:rsidR="00B402B4" w:rsidRPr="008A7BD7">
        <w:rPr>
          <w:rFonts w:ascii="Cambria" w:hAnsi="Cambria" w:cs="Calibri"/>
          <w:sz w:val="20"/>
          <w:szCs w:val="20"/>
        </w:rPr>
        <w:t xml:space="preserve"> </w:t>
      </w:r>
      <w:r w:rsidR="00B402B4" w:rsidRPr="008A7BD7">
        <w:rPr>
          <w:rFonts w:ascii="Cambria" w:hAnsi="Cambria"/>
          <w:sz w:val="20"/>
          <w:szCs w:val="20"/>
        </w:rPr>
        <w:t>cannot be considered a repressive measure against judicial independence.</w:t>
      </w:r>
      <w:r w:rsidR="003A3461" w:rsidRPr="008A7BD7">
        <w:rPr>
          <w:rStyle w:val="FootnoteReference"/>
          <w:rFonts w:ascii="Cambria" w:hAnsi="Cambria" w:cs="Calibri"/>
          <w:color w:val="000000" w:themeColor="text1"/>
          <w:sz w:val="20"/>
          <w:szCs w:val="20"/>
        </w:rPr>
        <w:footnoteReference w:id="90"/>
      </w:r>
      <w:r w:rsidR="00B402B4" w:rsidRPr="008A7BD7">
        <w:rPr>
          <w:rFonts w:ascii="Cambria" w:hAnsi="Cambria"/>
          <w:sz w:val="20"/>
          <w:szCs w:val="20"/>
        </w:rPr>
        <w:t xml:space="preserve"> </w:t>
      </w:r>
    </w:p>
    <w:p w14:paraId="7CA0B3F8" w14:textId="77777777" w:rsidR="00C56230" w:rsidRPr="008A7BD7" w:rsidRDefault="00C56230" w:rsidP="00C56230">
      <w:pPr>
        <w:ind w:left="720"/>
        <w:jc w:val="both"/>
        <w:rPr>
          <w:rFonts w:ascii="Cambria" w:eastAsia="Times New Roman" w:hAnsi="Cambria" w:cs="Arial"/>
          <w:sz w:val="20"/>
          <w:szCs w:val="20"/>
          <w:lang w:eastAsia="es-ES_tradnl"/>
        </w:rPr>
      </w:pPr>
    </w:p>
    <w:p w14:paraId="09816791" w14:textId="206214EF" w:rsidR="00C56230" w:rsidRPr="008A7BD7" w:rsidRDefault="008A54CA" w:rsidP="00C56230">
      <w:pPr>
        <w:numPr>
          <w:ilvl w:val="0"/>
          <w:numId w:val="2"/>
        </w:numPr>
        <w:ind w:left="0" w:firstLine="720"/>
        <w:jc w:val="both"/>
        <w:rPr>
          <w:rFonts w:ascii="Cambria" w:eastAsia="Times New Roman" w:hAnsi="Cambria" w:cs="Arial"/>
          <w:sz w:val="20"/>
          <w:szCs w:val="20"/>
          <w:lang w:eastAsia="es-ES_tradnl"/>
        </w:rPr>
      </w:pPr>
      <w:r w:rsidRPr="008A7BD7">
        <w:rPr>
          <w:rFonts w:ascii="Cambria" w:eastAsia="Times New Roman" w:hAnsi="Cambria" w:cs="Arial"/>
          <w:sz w:val="20"/>
          <w:szCs w:val="20"/>
          <w:lang w:eastAsia="es-ES_tradnl"/>
        </w:rPr>
        <w:lastRenderedPageBreak/>
        <w:t>For its part, in its communication of</w:t>
      </w:r>
      <w:r w:rsidR="00034C5C" w:rsidRPr="008A7BD7">
        <w:rPr>
          <w:rFonts w:ascii="Cambria" w:eastAsia="Times New Roman" w:hAnsi="Cambria" w:cs="Arial"/>
          <w:sz w:val="20"/>
          <w:szCs w:val="20"/>
          <w:lang w:eastAsia="es-ES_tradnl"/>
        </w:rPr>
        <w:t xml:space="preserve"> December</w:t>
      </w:r>
      <w:r w:rsidR="00C56230" w:rsidRPr="008A7BD7">
        <w:rPr>
          <w:rFonts w:ascii="Cambria" w:eastAsia="Times New Roman" w:hAnsi="Cambria" w:cs="Arial"/>
          <w:sz w:val="20"/>
          <w:szCs w:val="20"/>
          <w:lang w:eastAsia="es-ES_tradnl"/>
        </w:rPr>
        <w:t xml:space="preserve"> 2</w:t>
      </w:r>
      <w:r w:rsidR="006E7DA1" w:rsidRPr="008A7BD7">
        <w:rPr>
          <w:rFonts w:ascii="Cambria" w:eastAsia="Times New Roman" w:hAnsi="Cambria" w:cs="Arial"/>
          <w:sz w:val="20"/>
          <w:szCs w:val="20"/>
          <w:lang w:eastAsia="es-ES_tradnl"/>
        </w:rPr>
        <w:t>2</w:t>
      </w:r>
      <w:r w:rsidR="00034C5C" w:rsidRPr="008A7BD7">
        <w:rPr>
          <w:rFonts w:ascii="Cambria" w:eastAsia="Times New Roman" w:hAnsi="Cambria" w:cs="Arial"/>
          <w:sz w:val="20"/>
          <w:szCs w:val="20"/>
          <w:lang w:eastAsia="es-ES_tradnl"/>
        </w:rPr>
        <w:t xml:space="preserve">, </w:t>
      </w:r>
      <w:r w:rsidR="00C56230" w:rsidRPr="008A7BD7">
        <w:rPr>
          <w:rFonts w:ascii="Cambria" w:eastAsia="Times New Roman" w:hAnsi="Cambria" w:cs="Arial"/>
          <w:sz w:val="20"/>
          <w:szCs w:val="20"/>
          <w:lang w:eastAsia="es-ES_tradnl"/>
        </w:rPr>
        <w:t xml:space="preserve">2021, </w:t>
      </w:r>
      <w:r w:rsidR="00034C5C" w:rsidRPr="008A7BD7">
        <w:rPr>
          <w:rFonts w:ascii="Cambria" w:eastAsia="Times New Roman" w:hAnsi="Cambria" w:cs="Arial"/>
          <w:sz w:val="20"/>
          <w:szCs w:val="20"/>
          <w:lang w:eastAsia="es-ES_tradnl"/>
        </w:rPr>
        <w:t xml:space="preserve">the State of </w:t>
      </w:r>
      <w:r w:rsidR="00C56230" w:rsidRPr="008A7BD7">
        <w:rPr>
          <w:rFonts w:ascii="Cambria" w:eastAsia="Times New Roman" w:hAnsi="Cambria" w:cs="Arial"/>
          <w:sz w:val="20"/>
          <w:szCs w:val="20"/>
          <w:lang w:eastAsia="es-ES_tradnl"/>
        </w:rPr>
        <w:t xml:space="preserve">Guatemala </w:t>
      </w:r>
      <w:r w:rsidR="00034C5C" w:rsidRPr="008A7BD7">
        <w:rPr>
          <w:rFonts w:ascii="Cambria" w:eastAsia="Times New Roman" w:hAnsi="Cambria" w:cs="Arial"/>
          <w:sz w:val="20"/>
          <w:szCs w:val="20"/>
          <w:lang w:eastAsia="es-ES_tradnl"/>
        </w:rPr>
        <w:t>reiterated that “</w:t>
      </w:r>
      <w:proofErr w:type="spellStart"/>
      <w:r w:rsidR="00C56230" w:rsidRPr="008A7BD7">
        <w:rPr>
          <w:rFonts w:ascii="Cambria" w:eastAsia="Times New Roman" w:hAnsi="Cambria" w:cs="Arial"/>
          <w:i/>
          <w:iCs/>
          <w:sz w:val="20"/>
          <w:szCs w:val="20"/>
          <w:lang w:eastAsia="es-ES_tradnl"/>
        </w:rPr>
        <w:t>antejuicio</w:t>
      </w:r>
      <w:proofErr w:type="spellEnd"/>
      <w:r w:rsidR="00C56230" w:rsidRPr="008A7BD7">
        <w:rPr>
          <w:rFonts w:ascii="Cambria" w:eastAsia="Times New Roman" w:hAnsi="Cambria" w:cs="Arial"/>
          <w:sz w:val="20"/>
          <w:szCs w:val="20"/>
          <w:lang w:eastAsia="es-ES_tradnl"/>
        </w:rPr>
        <w:t xml:space="preserve"> </w:t>
      </w:r>
      <w:r w:rsidR="00034C5C" w:rsidRPr="008A7BD7">
        <w:rPr>
          <w:rFonts w:ascii="Cambria" w:eastAsia="Times New Roman" w:hAnsi="Cambria" w:cs="Arial"/>
          <w:sz w:val="20"/>
          <w:szCs w:val="20"/>
          <w:lang w:eastAsia="es-ES_tradnl"/>
        </w:rPr>
        <w:t xml:space="preserve">proceedings aim to </w:t>
      </w:r>
      <w:r w:rsidR="008053FE" w:rsidRPr="008A7BD7">
        <w:rPr>
          <w:rFonts w:ascii="Cambria" w:eastAsia="Times New Roman" w:hAnsi="Cambria" w:cs="Arial"/>
          <w:sz w:val="20"/>
          <w:szCs w:val="20"/>
          <w:lang w:eastAsia="es-ES_tradnl"/>
        </w:rPr>
        <w:t>establish</w:t>
      </w:r>
      <w:r w:rsidR="00034C5C" w:rsidRPr="008A7BD7">
        <w:rPr>
          <w:rFonts w:ascii="Cambria" w:eastAsia="Times New Roman" w:hAnsi="Cambria" w:cs="Arial"/>
          <w:sz w:val="20"/>
          <w:szCs w:val="20"/>
          <w:lang w:eastAsia="es-ES_tradnl"/>
        </w:rPr>
        <w:t xml:space="preserve"> a constitutional guarantee for judges in the Republic of </w:t>
      </w:r>
      <w:r w:rsidR="00C56230" w:rsidRPr="008A7BD7">
        <w:rPr>
          <w:rFonts w:ascii="Cambria" w:eastAsia="Times New Roman" w:hAnsi="Cambria" w:cs="Arial"/>
          <w:sz w:val="20"/>
          <w:szCs w:val="20"/>
          <w:lang w:eastAsia="es-ES_tradnl"/>
        </w:rPr>
        <w:t xml:space="preserve">Guatemala, </w:t>
      </w:r>
      <w:r w:rsidR="00034C5C" w:rsidRPr="008A7BD7">
        <w:rPr>
          <w:rFonts w:ascii="Cambria" w:eastAsia="Times New Roman" w:hAnsi="Cambria" w:cs="Arial"/>
          <w:sz w:val="20"/>
          <w:szCs w:val="20"/>
          <w:lang w:eastAsia="es-ES_tradnl"/>
        </w:rPr>
        <w:t xml:space="preserve">as well as </w:t>
      </w:r>
      <w:r w:rsidR="00851BD7" w:rsidRPr="008A7BD7">
        <w:rPr>
          <w:rFonts w:ascii="Cambria" w:eastAsia="Times New Roman" w:hAnsi="Cambria" w:cs="Arial"/>
          <w:sz w:val="20"/>
          <w:szCs w:val="20"/>
          <w:lang w:eastAsia="es-ES_tradnl"/>
        </w:rPr>
        <w:t xml:space="preserve">for </w:t>
      </w:r>
      <w:r w:rsidR="00034C5C" w:rsidRPr="008A7BD7">
        <w:rPr>
          <w:rFonts w:ascii="Cambria" w:eastAsia="Times New Roman" w:hAnsi="Cambria" w:cs="Arial"/>
          <w:sz w:val="20"/>
          <w:szCs w:val="20"/>
          <w:lang w:eastAsia="es-ES_tradnl"/>
        </w:rPr>
        <w:t>other high-ranking State officials.</w:t>
      </w:r>
      <w:r w:rsidR="00C56230" w:rsidRPr="008A7BD7">
        <w:rPr>
          <w:rFonts w:ascii="Cambria" w:eastAsia="Times New Roman" w:hAnsi="Cambria" w:cs="Arial"/>
          <w:sz w:val="20"/>
          <w:szCs w:val="20"/>
          <w:lang w:eastAsia="es-ES_tradnl"/>
        </w:rPr>
        <w:t xml:space="preserve">” </w:t>
      </w:r>
      <w:r w:rsidR="00797AAD" w:rsidRPr="008A7BD7">
        <w:rPr>
          <w:rFonts w:ascii="Cambria" w:eastAsia="Times New Roman" w:hAnsi="Cambria" w:cs="Arial"/>
          <w:sz w:val="20"/>
          <w:szCs w:val="20"/>
          <w:lang w:eastAsia="es-ES_tradnl"/>
        </w:rPr>
        <w:t xml:space="preserve">It also noted that </w:t>
      </w:r>
      <w:r w:rsidR="00C56230" w:rsidRPr="008A7BD7">
        <w:rPr>
          <w:rFonts w:ascii="Cambria" w:eastAsia="Times New Roman" w:hAnsi="Cambria" w:cs="Arial"/>
          <w:sz w:val="20"/>
          <w:szCs w:val="20"/>
          <w:lang w:eastAsia="es-ES_tradnl"/>
        </w:rPr>
        <w:t>“</w:t>
      </w:r>
      <w:r w:rsidR="00797AAD" w:rsidRPr="008A7BD7">
        <w:rPr>
          <w:rFonts w:ascii="Cambria" w:eastAsia="Times New Roman" w:hAnsi="Cambria" w:cs="Arial"/>
          <w:sz w:val="20"/>
          <w:szCs w:val="20"/>
          <w:lang w:eastAsia="es-ES_tradnl"/>
        </w:rPr>
        <w:t xml:space="preserve">the right of every citizen to report anomalous acts on the part of public officials constitutes a right and at the same time a fundamental pillar of </w:t>
      </w:r>
      <w:r w:rsidR="00851BD7" w:rsidRPr="008A7BD7">
        <w:rPr>
          <w:rFonts w:ascii="Cambria" w:eastAsia="Times New Roman" w:hAnsi="Cambria" w:cs="Arial"/>
          <w:sz w:val="20"/>
          <w:szCs w:val="20"/>
          <w:lang w:eastAsia="es-ES_tradnl"/>
        </w:rPr>
        <w:t>the</w:t>
      </w:r>
      <w:r w:rsidR="00797AAD" w:rsidRPr="008A7BD7">
        <w:rPr>
          <w:rFonts w:ascii="Cambria" w:eastAsia="Times New Roman" w:hAnsi="Cambria" w:cs="Arial"/>
          <w:sz w:val="20"/>
          <w:szCs w:val="20"/>
          <w:lang w:eastAsia="es-ES_tradnl"/>
        </w:rPr>
        <w:t xml:space="preserve"> rule of law based on democracy</w:t>
      </w:r>
      <w:r w:rsidR="00EE176F" w:rsidRPr="008A7BD7">
        <w:rPr>
          <w:rFonts w:ascii="Cambria" w:eastAsia="Times New Roman" w:hAnsi="Cambria" w:cs="Arial"/>
          <w:sz w:val="20"/>
          <w:szCs w:val="20"/>
          <w:lang w:eastAsia="es-ES_tradnl"/>
        </w:rPr>
        <w:t>. T</w:t>
      </w:r>
      <w:r w:rsidR="00797AAD" w:rsidRPr="008A7BD7">
        <w:rPr>
          <w:rFonts w:ascii="Cambria" w:eastAsia="Times New Roman" w:hAnsi="Cambria" w:cs="Arial"/>
          <w:sz w:val="20"/>
          <w:szCs w:val="20"/>
          <w:lang w:eastAsia="es-ES_tradnl"/>
        </w:rPr>
        <w:t xml:space="preserve">he existence of </w:t>
      </w:r>
      <w:proofErr w:type="spellStart"/>
      <w:r w:rsidR="00797AAD" w:rsidRPr="008A7BD7">
        <w:rPr>
          <w:rFonts w:ascii="Cambria" w:eastAsia="Times New Roman" w:hAnsi="Cambria" w:cs="Arial"/>
          <w:i/>
          <w:iCs/>
          <w:sz w:val="20"/>
          <w:szCs w:val="20"/>
          <w:lang w:eastAsia="es-ES_tradnl"/>
        </w:rPr>
        <w:t>antejuicio</w:t>
      </w:r>
      <w:proofErr w:type="spellEnd"/>
      <w:r w:rsidR="00797AAD" w:rsidRPr="008A7BD7">
        <w:rPr>
          <w:rFonts w:ascii="Cambria" w:eastAsia="Times New Roman" w:hAnsi="Cambria" w:cs="Arial"/>
          <w:sz w:val="20"/>
          <w:szCs w:val="20"/>
          <w:lang w:eastAsia="es-ES_tradnl"/>
        </w:rPr>
        <w:t xml:space="preserve"> proceedings </w:t>
      </w:r>
      <w:r w:rsidR="00A804D7" w:rsidRPr="008A7BD7">
        <w:rPr>
          <w:rFonts w:ascii="Cambria" w:eastAsia="Times New Roman" w:hAnsi="Cambria" w:cs="Arial"/>
          <w:sz w:val="20"/>
          <w:szCs w:val="20"/>
          <w:lang w:eastAsia="es-ES_tradnl"/>
        </w:rPr>
        <w:t>is</w:t>
      </w:r>
      <w:r w:rsidR="00797AAD" w:rsidRPr="008A7BD7">
        <w:rPr>
          <w:rFonts w:ascii="Cambria" w:eastAsia="Times New Roman" w:hAnsi="Cambria" w:cs="Arial"/>
          <w:sz w:val="20"/>
          <w:szCs w:val="20"/>
          <w:lang w:eastAsia="es-ES_tradnl"/>
        </w:rPr>
        <w:t xml:space="preserve"> essential for the </w:t>
      </w:r>
      <w:r w:rsidR="00C64CB6" w:rsidRPr="008A7BD7">
        <w:rPr>
          <w:rFonts w:ascii="Cambria" w:eastAsia="Times New Roman" w:hAnsi="Cambria" w:cs="Arial"/>
          <w:sz w:val="20"/>
          <w:szCs w:val="20"/>
          <w:lang w:eastAsia="es-ES_tradnl"/>
        </w:rPr>
        <w:t xml:space="preserve">proper performance of </w:t>
      </w:r>
      <w:r w:rsidR="00EE176F" w:rsidRPr="008A7BD7">
        <w:rPr>
          <w:rFonts w:ascii="Cambria" w:eastAsia="Times New Roman" w:hAnsi="Cambria" w:cs="Arial"/>
          <w:sz w:val="20"/>
          <w:szCs w:val="20"/>
          <w:lang w:eastAsia="es-ES_tradnl"/>
        </w:rPr>
        <w:t>public</w:t>
      </w:r>
      <w:r w:rsidR="00C64CB6" w:rsidRPr="008A7BD7">
        <w:rPr>
          <w:rFonts w:ascii="Cambria" w:eastAsia="Times New Roman" w:hAnsi="Cambria" w:cs="Arial"/>
          <w:sz w:val="20"/>
          <w:szCs w:val="20"/>
          <w:lang w:eastAsia="es-ES_tradnl"/>
        </w:rPr>
        <w:t xml:space="preserve"> service</w:t>
      </w:r>
      <w:r w:rsidR="00EE176F" w:rsidRPr="008A7BD7">
        <w:rPr>
          <w:rFonts w:ascii="Cambria" w:eastAsia="Times New Roman" w:hAnsi="Cambria" w:cs="Arial"/>
          <w:sz w:val="20"/>
          <w:szCs w:val="20"/>
          <w:lang w:eastAsia="es-ES_tradnl"/>
        </w:rPr>
        <w:t xml:space="preserve"> </w:t>
      </w:r>
      <w:r w:rsidR="00C64CB6" w:rsidRPr="008A7BD7">
        <w:rPr>
          <w:rFonts w:ascii="Cambria" w:eastAsia="Times New Roman" w:hAnsi="Cambria" w:cs="Arial"/>
          <w:sz w:val="20"/>
          <w:szCs w:val="20"/>
          <w:lang w:eastAsia="es-ES_tradnl"/>
        </w:rPr>
        <w:t xml:space="preserve">by judges across the </w:t>
      </w:r>
      <w:r w:rsidR="00EE176F" w:rsidRPr="008A7BD7">
        <w:rPr>
          <w:rFonts w:ascii="Cambria" w:eastAsia="Times New Roman" w:hAnsi="Cambria" w:cs="Arial"/>
          <w:sz w:val="20"/>
          <w:szCs w:val="20"/>
          <w:lang w:eastAsia="es-ES_tradnl"/>
        </w:rPr>
        <w:t>country</w:t>
      </w:r>
      <w:r w:rsidR="00C56230" w:rsidRPr="008A7BD7">
        <w:rPr>
          <w:rFonts w:ascii="Cambria" w:eastAsia="Times New Roman" w:hAnsi="Cambria" w:cs="Arial"/>
          <w:sz w:val="20"/>
          <w:szCs w:val="20"/>
          <w:lang w:eastAsia="es-ES_tradnl"/>
        </w:rPr>
        <w:t xml:space="preserve">, </w:t>
      </w:r>
      <w:r w:rsidR="00C64CB6" w:rsidRPr="008A7BD7">
        <w:rPr>
          <w:rFonts w:ascii="Cambria" w:eastAsia="Times New Roman" w:hAnsi="Cambria" w:cs="Arial"/>
          <w:sz w:val="20"/>
          <w:szCs w:val="20"/>
          <w:lang w:eastAsia="es-ES_tradnl"/>
        </w:rPr>
        <w:t xml:space="preserve">an aspect that clearly encourages the judges’ freedom and independence because they are not affected by the filing of illegitimate complaints that </w:t>
      </w:r>
      <w:r w:rsidR="00A804D7" w:rsidRPr="008A7BD7">
        <w:rPr>
          <w:rFonts w:ascii="Cambria" w:eastAsia="Times New Roman" w:hAnsi="Cambria" w:cs="Arial"/>
          <w:sz w:val="20"/>
          <w:szCs w:val="20"/>
          <w:lang w:eastAsia="es-ES_tradnl"/>
        </w:rPr>
        <w:t xml:space="preserve">may </w:t>
      </w:r>
      <w:r w:rsidR="006427EA" w:rsidRPr="008A7BD7">
        <w:rPr>
          <w:rFonts w:ascii="Cambria" w:eastAsia="Times New Roman" w:hAnsi="Cambria" w:cs="Arial"/>
          <w:sz w:val="20"/>
          <w:szCs w:val="20"/>
          <w:lang w:eastAsia="es-ES_tradnl"/>
        </w:rPr>
        <w:t xml:space="preserve">condition their actions, as the only </w:t>
      </w:r>
      <w:proofErr w:type="spellStart"/>
      <w:r w:rsidR="006427EA" w:rsidRPr="008A7BD7">
        <w:rPr>
          <w:rFonts w:ascii="Cambria" w:eastAsia="Times New Roman" w:hAnsi="Cambria" w:cs="Arial"/>
          <w:i/>
          <w:iCs/>
          <w:sz w:val="20"/>
          <w:szCs w:val="20"/>
          <w:lang w:eastAsia="es-ES_tradnl"/>
        </w:rPr>
        <w:t>antejuicio</w:t>
      </w:r>
      <w:proofErr w:type="spellEnd"/>
      <w:r w:rsidR="006427EA" w:rsidRPr="008A7BD7">
        <w:rPr>
          <w:rFonts w:ascii="Cambria" w:eastAsia="Times New Roman" w:hAnsi="Cambria" w:cs="Arial"/>
          <w:sz w:val="20"/>
          <w:szCs w:val="20"/>
          <w:lang w:eastAsia="es-ES_tradnl"/>
        </w:rPr>
        <w:t xml:space="preserve"> proceedings brought by citizens that will </w:t>
      </w:r>
      <w:r w:rsidR="00A804D7" w:rsidRPr="008A7BD7">
        <w:rPr>
          <w:rFonts w:ascii="Cambria" w:eastAsia="Times New Roman" w:hAnsi="Cambria" w:cs="Arial"/>
          <w:sz w:val="20"/>
          <w:szCs w:val="20"/>
          <w:lang w:eastAsia="es-ES_tradnl"/>
        </w:rPr>
        <w:t>prevail</w:t>
      </w:r>
      <w:r w:rsidR="006427EA" w:rsidRPr="008A7BD7">
        <w:rPr>
          <w:rFonts w:ascii="Cambria" w:eastAsia="Times New Roman" w:hAnsi="Cambria" w:cs="Arial"/>
          <w:sz w:val="20"/>
          <w:szCs w:val="20"/>
          <w:lang w:eastAsia="es-ES_tradnl"/>
        </w:rPr>
        <w:t xml:space="preserve"> are those based on concrete facts </w:t>
      </w:r>
      <w:r w:rsidR="008053FE" w:rsidRPr="008A7BD7">
        <w:rPr>
          <w:rFonts w:ascii="Cambria" w:eastAsia="Times New Roman" w:hAnsi="Cambria" w:cs="Arial"/>
          <w:sz w:val="20"/>
          <w:szCs w:val="20"/>
          <w:lang w:eastAsia="es-ES_tradnl"/>
        </w:rPr>
        <w:t>consistent with</w:t>
      </w:r>
      <w:r w:rsidR="00C64CB6" w:rsidRPr="008A7BD7">
        <w:rPr>
          <w:rFonts w:ascii="Cambria" w:eastAsia="Times New Roman" w:hAnsi="Cambria" w:cs="Arial"/>
          <w:sz w:val="20"/>
          <w:szCs w:val="20"/>
          <w:lang w:eastAsia="es-ES_tradnl"/>
        </w:rPr>
        <w:t xml:space="preserve"> </w:t>
      </w:r>
      <w:r w:rsidR="006427EA" w:rsidRPr="008A7BD7">
        <w:rPr>
          <w:rFonts w:ascii="Cambria" w:eastAsia="Times New Roman" w:hAnsi="Cambria" w:cs="Arial"/>
          <w:sz w:val="20"/>
          <w:szCs w:val="20"/>
          <w:lang w:eastAsia="es-ES_tradnl"/>
        </w:rPr>
        <w:t xml:space="preserve">the possible commission of offenses or crimes, </w:t>
      </w:r>
      <w:r w:rsidR="00CF4054" w:rsidRPr="008A7BD7">
        <w:rPr>
          <w:rFonts w:ascii="Cambria" w:eastAsia="Times New Roman" w:hAnsi="Cambria" w:cs="Arial"/>
          <w:sz w:val="20"/>
          <w:szCs w:val="20"/>
          <w:lang w:eastAsia="es-ES_tradnl"/>
        </w:rPr>
        <w:t xml:space="preserve">notwithstanding that the State may subsequently guarantee the right to a hearing and to a defense </w:t>
      </w:r>
      <w:r w:rsidR="008610D1" w:rsidRPr="008A7BD7">
        <w:rPr>
          <w:rFonts w:ascii="Cambria" w:eastAsia="Times New Roman" w:hAnsi="Cambria" w:cs="Arial"/>
          <w:sz w:val="20"/>
          <w:szCs w:val="20"/>
          <w:lang w:eastAsia="es-ES_tradnl"/>
        </w:rPr>
        <w:t>through the respective regular means.”</w:t>
      </w:r>
      <w:r w:rsidR="00C56230" w:rsidRPr="008A7BD7">
        <w:rPr>
          <w:rStyle w:val="FootnoteReference"/>
          <w:rFonts w:ascii="Cambria" w:eastAsia="Times New Roman" w:hAnsi="Cambria" w:cs="Arial"/>
          <w:sz w:val="20"/>
          <w:szCs w:val="20"/>
          <w:lang w:val="es-MX" w:eastAsia="es-ES"/>
        </w:rPr>
        <w:footnoteReference w:id="91"/>
      </w:r>
    </w:p>
    <w:p w14:paraId="332A0B47" w14:textId="77777777" w:rsidR="003A3461" w:rsidRPr="008A7BD7" w:rsidRDefault="003A3461" w:rsidP="003A3461">
      <w:pPr>
        <w:suppressAutoHyphens/>
        <w:jc w:val="both"/>
        <w:rPr>
          <w:rFonts w:ascii="Cambria" w:eastAsia="Times New Roman" w:hAnsi="Cambria" w:cs="Arial"/>
          <w:sz w:val="20"/>
          <w:szCs w:val="20"/>
          <w:lang w:eastAsia="es-ES_tradnl"/>
        </w:rPr>
      </w:pPr>
    </w:p>
    <w:p w14:paraId="31EA0AC8" w14:textId="355DDE8A" w:rsidR="000968D0" w:rsidRPr="008A7BD7" w:rsidRDefault="00B402B4" w:rsidP="008A2AEC">
      <w:pPr>
        <w:numPr>
          <w:ilvl w:val="0"/>
          <w:numId w:val="2"/>
        </w:numPr>
        <w:ind w:left="0" w:firstLine="720"/>
        <w:jc w:val="both"/>
        <w:rPr>
          <w:rFonts w:ascii="Cambria" w:eastAsia="Times New Roman" w:hAnsi="Cambria" w:cs="Arial"/>
          <w:sz w:val="20"/>
          <w:szCs w:val="20"/>
          <w:lang w:eastAsia="es-ES_tradnl"/>
        </w:rPr>
      </w:pPr>
      <w:r w:rsidRPr="008A7BD7">
        <w:rPr>
          <w:rFonts w:ascii="Cambria" w:eastAsia="Times New Roman" w:hAnsi="Cambria" w:cs="Arial"/>
          <w:sz w:val="20"/>
          <w:szCs w:val="20"/>
          <w:lang w:eastAsia="es-ES"/>
        </w:rPr>
        <w:t xml:space="preserve">In that regard, the IACHR observes that although the </w:t>
      </w:r>
      <w:proofErr w:type="spellStart"/>
      <w:r w:rsidRPr="008A7BD7">
        <w:rPr>
          <w:rFonts w:ascii="Cambria" w:eastAsia="Times New Roman" w:hAnsi="Cambria" w:cs="Times New Roman"/>
          <w:i/>
          <w:iCs/>
          <w:color w:val="000000"/>
          <w:sz w:val="20"/>
          <w:szCs w:val="20"/>
          <w:shd w:val="clear" w:color="auto" w:fill="FFFFFF"/>
          <w:lang w:eastAsia="es-ES"/>
        </w:rPr>
        <w:t>antejuicio</w:t>
      </w:r>
      <w:proofErr w:type="spellEnd"/>
      <w:r w:rsidRPr="008A7BD7">
        <w:rPr>
          <w:rFonts w:ascii="Cambria" w:eastAsia="Times New Roman" w:hAnsi="Cambria" w:cs="Arial"/>
          <w:sz w:val="20"/>
          <w:szCs w:val="20"/>
          <w:lang w:eastAsia="es-ES"/>
        </w:rPr>
        <w:t xml:space="preserve"> constitutes a guarantee for justice operators, in the current context of Gu</w:t>
      </w:r>
      <w:r w:rsidR="003A3461" w:rsidRPr="008A7BD7">
        <w:rPr>
          <w:rFonts w:ascii="Cambria" w:eastAsia="Times New Roman" w:hAnsi="Cambria" w:cs="Arial"/>
          <w:sz w:val="20"/>
          <w:szCs w:val="20"/>
          <w:lang w:eastAsia="es-ES"/>
        </w:rPr>
        <w:t>atemala</w:t>
      </w:r>
      <w:r w:rsidRPr="008A7BD7">
        <w:rPr>
          <w:rFonts w:ascii="Cambria" w:eastAsia="Times New Roman" w:hAnsi="Cambria" w:cs="Arial"/>
          <w:sz w:val="20"/>
          <w:szCs w:val="20"/>
          <w:lang w:eastAsia="es-ES"/>
        </w:rPr>
        <w:t xml:space="preserve"> these proceedings have been used </w:t>
      </w:r>
      <w:proofErr w:type="gramStart"/>
      <w:r w:rsidRPr="008A7BD7">
        <w:rPr>
          <w:rFonts w:ascii="Cambria" w:eastAsia="Times New Roman" w:hAnsi="Cambria" w:cs="Arial"/>
          <w:sz w:val="20"/>
          <w:szCs w:val="20"/>
          <w:lang w:eastAsia="es-ES"/>
        </w:rPr>
        <w:t>as a means to</w:t>
      </w:r>
      <w:proofErr w:type="gramEnd"/>
      <w:r w:rsidRPr="008A7BD7">
        <w:rPr>
          <w:rFonts w:ascii="Cambria" w:eastAsia="Times New Roman" w:hAnsi="Cambria" w:cs="Arial"/>
          <w:sz w:val="20"/>
          <w:szCs w:val="20"/>
          <w:lang w:eastAsia="es-ES"/>
        </w:rPr>
        <w:t xml:space="preserve"> control their work and</w:t>
      </w:r>
      <w:r w:rsidR="00BB65C9" w:rsidRPr="008A7BD7">
        <w:rPr>
          <w:rFonts w:ascii="Cambria" w:eastAsia="Times New Roman" w:hAnsi="Cambria" w:cs="Arial"/>
          <w:sz w:val="20"/>
          <w:szCs w:val="20"/>
          <w:lang w:eastAsia="es-ES"/>
        </w:rPr>
        <w:t xml:space="preserve"> </w:t>
      </w:r>
      <w:r w:rsidRPr="008A7BD7">
        <w:rPr>
          <w:rFonts w:ascii="Cambria" w:eastAsia="Times New Roman" w:hAnsi="Cambria" w:cs="Arial"/>
          <w:sz w:val="20"/>
          <w:szCs w:val="20"/>
          <w:lang w:eastAsia="es-ES"/>
        </w:rPr>
        <w:t xml:space="preserve">intimidate them. </w:t>
      </w:r>
      <w:r w:rsidR="00B646F2" w:rsidRPr="008A7BD7">
        <w:rPr>
          <w:rFonts w:ascii="Cambria" w:eastAsia="Times New Roman" w:hAnsi="Cambria" w:cs="Arial"/>
          <w:sz w:val="20"/>
          <w:szCs w:val="20"/>
          <w:lang w:eastAsia="es-ES"/>
        </w:rPr>
        <w:t xml:space="preserve">This is </w:t>
      </w:r>
      <w:r w:rsidR="00416245" w:rsidRPr="008A7BD7">
        <w:rPr>
          <w:rFonts w:ascii="Cambria" w:eastAsia="Times New Roman" w:hAnsi="Cambria" w:cs="Arial"/>
          <w:sz w:val="20"/>
          <w:szCs w:val="20"/>
          <w:lang w:eastAsia="es-ES"/>
        </w:rPr>
        <w:t>said to be</w:t>
      </w:r>
      <w:r w:rsidR="00B646F2" w:rsidRPr="008A7BD7">
        <w:rPr>
          <w:rFonts w:ascii="Cambria" w:eastAsia="Times New Roman" w:hAnsi="Cambria" w:cs="Arial"/>
          <w:sz w:val="20"/>
          <w:szCs w:val="20"/>
          <w:lang w:eastAsia="es-ES"/>
        </w:rPr>
        <w:t xml:space="preserve"> possible </w:t>
      </w:r>
      <w:r w:rsidR="00C4669F" w:rsidRPr="008A7BD7">
        <w:rPr>
          <w:rFonts w:ascii="Cambria" w:eastAsia="Times New Roman" w:hAnsi="Cambria" w:cs="Arial"/>
          <w:sz w:val="20"/>
          <w:szCs w:val="20"/>
          <w:lang w:eastAsia="es-ES"/>
        </w:rPr>
        <w:t>due to</w:t>
      </w:r>
      <w:r w:rsidR="00B646F2" w:rsidRPr="008A7BD7">
        <w:rPr>
          <w:rFonts w:ascii="Cambria" w:eastAsia="Times New Roman" w:hAnsi="Cambria" w:cs="Arial"/>
          <w:sz w:val="20"/>
          <w:szCs w:val="20"/>
          <w:lang w:eastAsia="es-ES"/>
        </w:rPr>
        <w:t xml:space="preserve"> the</w:t>
      </w:r>
      <w:r w:rsidR="00C4669F" w:rsidRPr="008A7BD7">
        <w:rPr>
          <w:rFonts w:ascii="Cambria" w:eastAsia="Times New Roman" w:hAnsi="Cambria" w:cs="Arial"/>
          <w:sz w:val="20"/>
          <w:szCs w:val="20"/>
          <w:lang w:eastAsia="es-ES"/>
        </w:rPr>
        <w:t xml:space="preserve"> lack of independence of the </w:t>
      </w:r>
      <w:r w:rsidR="005A6374" w:rsidRPr="008A7BD7">
        <w:rPr>
          <w:rFonts w:ascii="Cambria" w:eastAsia="Times New Roman" w:hAnsi="Cambria" w:cs="Arial"/>
          <w:sz w:val="20"/>
          <w:szCs w:val="20"/>
          <w:lang w:eastAsia="es-ES"/>
        </w:rPr>
        <w:t>bodies</w:t>
      </w:r>
      <w:r w:rsidR="00C4669F" w:rsidRPr="008A7BD7">
        <w:rPr>
          <w:rFonts w:ascii="Cambria" w:eastAsia="Times New Roman" w:hAnsi="Cambria" w:cs="Arial"/>
          <w:sz w:val="20"/>
          <w:szCs w:val="20"/>
          <w:lang w:eastAsia="es-ES"/>
        </w:rPr>
        <w:t xml:space="preserve"> responsible for processing the </w:t>
      </w:r>
      <w:proofErr w:type="spellStart"/>
      <w:r w:rsidR="00C4669F" w:rsidRPr="008A7BD7">
        <w:rPr>
          <w:rFonts w:ascii="Cambria" w:eastAsia="Times New Roman" w:hAnsi="Cambria" w:cs="Times New Roman"/>
          <w:i/>
          <w:iCs/>
          <w:color w:val="000000"/>
          <w:sz w:val="20"/>
          <w:szCs w:val="20"/>
          <w:shd w:val="clear" w:color="auto" w:fill="FFFFFF"/>
          <w:lang w:eastAsia="es-ES"/>
        </w:rPr>
        <w:t>antejuicio</w:t>
      </w:r>
      <w:proofErr w:type="spellEnd"/>
      <w:r w:rsidR="00C4669F" w:rsidRPr="008A7BD7">
        <w:rPr>
          <w:rFonts w:ascii="Cambria" w:eastAsia="Times New Roman" w:hAnsi="Cambria" w:cs="Arial"/>
          <w:sz w:val="20"/>
          <w:szCs w:val="20"/>
          <w:lang w:eastAsia="es-ES"/>
        </w:rPr>
        <w:t xml:space="preserve"> proceedings, including the Public Prosecutor’s Office and the Supreme Court. As evidence of that, the information received shows a lack of response by the Attorney General to requests made by judges in the </w:t>
      </w:r>
      <w:proofErr w:type="gramStart"/>
      <w:r w:rsidR="00C4669F" w:rsidRPr="008A7BD7">
        <w:rPr>
          <w:rFonts w:ascii="Cambria" w:eastAsia="Times New Roman" w:hAnsi="Cambria" w:cs="Arial"/>
          <w:sz w:val="20"/>
          <w:szCs w:val="20"/>
          <w:lang w:eastAsia="es-ES"/>
        </w:rPr>
        <w:t>High Risk</w:t>
      </w:r>
      <w:proofErr w:type="gramEnd"/>
      <w:r w:rsidR="00C4669F" w:rsidRPr="008A7BD7">
        <w:rPr>
          <w:rFonts w:ascii="Cambria" w:eastAsia="Times New Roman" w:hAnsi="Cambria" w:cs="Arial"/>
          <w:sz w:val="20"/>
          <w:szCs w:val="20"/>
          <w:lang w:eastAsia="es-ES"/>
        </w:rPr>
        <w:t xml:space="preserve"> </w:t>
      </w:r>
      <w:r w:rsidR="005A6374" w:rsidRPr="008A7BD7">
        <w:rPr>
          <w:rFonts w:ascii="Cambria" w:eastAsia="Times New Roman" w:hAnsi="Cambria" w:cs="Arial"/>
          <w:sz w:val="20"/>
          <w:szCs w:val="20"/>
          <w:lang w:eastAsia="es-ES"/>
        </w:rPr>
        <w:t>C</w:t>
      </w:r>
      <w:r w:rsidR="00C4669F" w:rsidRPr="008A7BD7">
        <w:rPr>
          <w:rFonts w:ascii="Cambria" w:eastAsia="Times New Roman" w:hAnsi="Cambria" w:cs="Arial"/>
          <w:sz w:val="20"/>
          <w:szCs w:val="20"/>
          <w:lang w:eastAsia="es-ES"/>
        </w:rPr>
        <w:t xml:space="preserve">ourts to permanently close any baseless claims against them; some of these date back to </w:t>
      </w:r>
      <w:r w:rsidR="003F0B50" w:rsidRPr="008A7BD7">
        <w:rPr>
          <w:rFonts w:ascii="Cambria" w:eastAsia="Times New Roman" w:hAnsi="Cambria" w:cs="Arial"/>
          <w:sz w:val="20"/>
          <w:szCs w:val="20"/>
          <w:lang w:eastAsia="es-ES"/>
        </w:rPr>
        <w:t>2012</w:t>
      </w:r>
      <w:r w:rsidR="00C4669F" w:rsidRPr="008A7BD7">
        <w:rPr>
          <w:rFonts w:ascii="Cambria" w:eastAsia="Times New Roman" w:hAnsi="Cambria" w:cs="Arial"/>
          <w:sz w:val="20"/>
          <w:szCs w:val="20"/>
          <w:lang w:eastAsia="es-ES"/>
        </w:rPr>
        <w:t xml:space="preserve"> but </w:t>
      </w:r>
      <w:r w:rsidR="00C8632B" w:rsidRPr="008A7BD7">
        <w:rPr>
          <w:rFonts w:ascii="Cambria" w:eastAsia="Times New Roman" w:hAnsi="Cambria" w:cs="Arial"/>
          <w:sz w:val="20"/>
          <w:szCs w:val="20"/>
          <w:lang w:eastAsia="es-ES"/>
        </w:rPr>
        <w:t>apparently</w:t>
      </w:r>
      <w:r w:rsidR="00C4173A" w:rsidRPr="008A7BD7">
        <w:rPr>
          <w:rFonts w:ascii="Cambria" w:eastAsia="Times New Roman" w:hAnsi="Cambria" w:cs="Arial"/>
          <w:sz w:val="20"/>
          <w:szCs w:val="20"/>
          <w:lang w:eastAsia="es-ES"/>
        </w:rPr>
        <w:t xml:space="preserve"> </w:t>
      </w:r>
      <w:r w:rsidR="00C8632B" w:rsidRPr="008A7BD7">
        <w:rPr>
          <w:rFonts w:ascii="Cambria" w:eastAsia="Times New Roman" w:hAnsi="Cambria" w:cs="Arial"/>
          <w:sz w:val="20"/>
          <w:szCs w:val="20"/>
          <w:lang w:eastAsia="es-ES"/>
        </w:rPr>
        <w:t>are kept open</w:t>
      </w:r>
      <w:r w:rsidR="00C4173A" w:rsidRPr="008A7BD7">
        <w:rPr>
          <w:rFonts w:ascii="Cambria" w:eastAsia="Times New Roman" w:hAnsi="Cambria" w:cs="Arial"/>
          <w:sz w:val="20"/>
          <w:szCs w:val="20"/>
          <w:lang w:eastAsia="es-ES"/>
        </w:rPr>
        <w:t xml:space="preserve"> </w:t>
      </w:r>
      <w:r w:rsidR="00C8632B" w:rsidRPr="008A7BD7">
        <w:rPr>
          <w:rFonts w:ascii="Cambria" w:eastAsia="Times New Roman" w:hAnsi="Cambria" w:cs="Arial"/>
          <w:sz w:val="20"/>
          <w:szCs w:val="20"/>
          <w:lang w:eastAsia="es-ES"/>
        </w:rPr>
        <w:t>in order to</w:t>
      </w:r>
      <w:r w:rsidR="00C4173A" w:rsidRPr="008A7BD7">
        <w:rPr>
          <w:rFonts w:ascii="Cambria" w:eastAsia="Times New Roman" w:hAnsi="Cambria" w:cs="Arial"/>
          <w:sz w:val="20"/>
          <w:szCs w:val="20"/>
          <w:lang w:eastAsia="es-ES"/>
        </w:rPr>
        <w:t xml:space="preserve"> maintain a climate of fear and </w:t>
      </w:r>
      <w:r w:rsidR="00C8632B" w:rsidRPr="008A7BD7">
        <w:rPr>
          <w:rFonts w:ascii="Cambria" w:eastAsia="Times New Roman" w:hAnsi="Cambria" w:cs="Arial"/>
          <w:sz w:val="20"/>
          <w:szCs w:val="20"/>
          <w:lang w:eastAsia="es-ES"/>
        </w:rPr>
        <w:t xml:space="preserve">keep </w:t>
      </w:r>
      <w:r w:rsidR="00C4173A" w:rsidRPr="008A7BD7">
        <w:rPr>
          <w:rFonts w:ascii="Cambria" w:eastAsia="Times New Roman" w:hAnsi="Cambria" w:cs="Arial"/>
          <w:sz w:val="20"/>
          <w:szCs w:val="20"/>
          <w:lang w:eastAsia="es-ES"/>
        </w:rPr>
        <w:t>control</w:t>
      </w:r>
      <w:r w:rsidR="00C8632B" w:rsidRPr="008A7BD7">
        <w:rPr>
          <w:rFonts w:ascii="Cambria" w:eastAsia="Times New Roman" w:hAnsi="Cambria" w:cs="Arial"/>
          <w:sz w:val="20"/>
          <w:szCs w:val="20"/>
          <w:lang w:eastAsia="es-ES"/>
        </w:rPr>
        <w:t xml:space="preserve"> over </w:t>
      </w:r>
      <w:r w:rsidR="00C4173A" w:rsidRPr="008A7BD7">
        <w:rPr>
          <w:rFonts w:ascii="Cambria" w:eastAsia="Times New Roman" w:hAnsi="Cambria" w:cs="Arial"/>
          <w:sz w:val="20"/>
          <w:szCs w:val="20"/>
          <w:lang w:eastAsia="es-ES"/>
        </w:rPr>
        <w:t xml:space="preserve">their </w:t>
      </w:r>
      <w:r w:rsidR="00C8632B" w:rsidRPr="008A7BD7">
        <w:rPr>
          <w:rFonts w:ascii="Cambria" w:eastAsia="Times New Roman" w:hAnsi="Cambria" w:cs="Arial"/>
          <w:sz w:val="20"/>
          <w:szCs w:val="20"/>
          <w:lang w:eastAsia="es-ES"/>
        </w:rPr>
        <w:t>work</w:t>
      </w:r>
      <w:r w:rsidR="00C4173A" w:rsidRPr="008A7BD7">
        <w:rPr>
          <w:rFonts w:ascii="Cambria" w:eastAsia="Times New Roman" w:hAnsi="Cambria" w:cs="Arial"/>
          <w:sz w:val="20"/>
          <w:szCs w:val="20"/>
          <w:lang w:eastAsia="es-ES"/>
        </w:rPr>
        <w:t>.</w:t>
      </w:r>
      <w:r w:rsidR="001A2977" w:rsidRPr="008A7BD7">
        <w:rPr>
          <w:rStyle w:val="FootnoteReference"/>
          <w:rFonts w:ascii="Cambria" w:eastAsia="Times New Roman" w:hAnsi="Cambria" w:cs="Arial"/>
          <w:sz w:val="20"/>
          <w:szCs w:val="20"/>
          <w:lang w:val="es-MX" w:eastAsia="es-ES"/>
        </w:rPr>
        <w:footnoteReference w:id="92"/>
      </w:r>
      <w:r w:rsidR="000968D0" w:rsidRPr="008A7BD7">
        <w:rPr>
          <w:rFonts w:ascii="Cambria" w:eastAsia="Times New Roman" w:hAnsi="Cambria" w:cs="Arial"/>
          <w:sz w:val="20"/>
          <w:szCs w:val="20"/>
          <w:lang w:eastAsia="es-ES"/>
        </w:rPr>
        <w:t xml:space="preserve"> </w:t>
      </w:r>
    </w:p>
    <w:p w14:paraId="56E51D6A" w14:textId="77777777" w:rsidR="000968D0" w:rsidRPr="008A7BD7" w:rsidRDefault="000968D0" w:rsidP="000968D0">
      <w:pPr>
        <w:suppressAutoHyphens/>
        <w:jc w:val="both"/>
        <w:rPr>
          <w:rFonts w:ascii="Cambria" w:eastAsia="Times New Roman" w:hAnsi="Cambria" w:cs="Arial"/>
          <w:sz w:val="20"/>
          <w:szCs w:val="20"/>
          <w:lang w:eastAsia="es-ES_tradnl"/>
        </w:rPr>
      </w:pPr>
    </w:p>
    <w:p w14:paraId="2936EAEE" w14:textId="3938371F" w:rsidR="000968D0" w:rsidRPr="008A7BD7" w:rsidRDefault="0039587C" w:rsidP="008A2AEC">
      <w:pPr>
        <w:numPr>
          <w:ilvl w:val="0"/>
          <w:numId w:val="2"/>
        </w:numPr>
        <w:ind w:left="0" w:firstLine="720"/>
        <w:jc w:val="both"/>
        <w:rPr>
          <w:rFonts w:ascii="Cambria" w:hAnsi="Cambria" w:cs="Times"/>
          <w:color w:val="000000" w:themeColor="text1"/>
          <w:sz w:val="20"/>
          <w:szCs w:val="20"/>
        </w:rPr>
      </w:pPr>
      <w:r w:rsidRPr="008A7BD7">
        <w:rPr>
          <w:rFonts w:ascii="Cambria" w:hAnsi="Cambria" w:cs="Tahoma"/>
          <w:color w:val="000000" w:themeColor="text1"/>
          <w:sz w:val="20"/>
          <w:szCs w:val="20"/>
          <w:shd w:val="clear" w:color="auto" w:fill="FFFFFF"/>
        </w:rPr>
        <w:t xml:space="preserve">The Commission has established that the effectiveness of rights and freedoms under a democratic system requires a legal and international order in which the law </w:t>
      </w:r>
      <w:r w:rsidR="00C50159" w:rsidRPr="008A7BD7">
        <w:rPr>
          <w:rFonts w:ascii="Cambria" w:hAnsi="Cambria" w:cs="Tahoma"/>
          <w:color w:val="000000" w:themeColor="text1"/>
          <w:sz w:val="20"/>
          <w:szCs w:val="20"/>
          <w:shd w:val="clear" w:color="auto" w:fill="FFFFFF"/>
        </w:rPr>
        <w:t>prevails</w:t>
      </w:r>
      <w:r w:rsidRPr="008A7BD7">
        <w:rPr>
          <w:rFonts w:ascii="Cambria" w:hAnsi="Cambria" w:cs="Tahoma"/>
          <w:color w:val="000000" w:themeColor="text1"/>
          <w:sz w:val="20"/>
          <w:szCs w:val="20"/>
          <w:shd w:val="clear" w:color="auto" w:fill="FFFFFF"/>
        </w:rPr>
        <w:t xml:space="preserve"> over the will of </w:t>
      </w:r>
      <w:r w:rsidR="005C277C" w:rsidRPr="008A7BD7">
        <w:rPr>
          <w:rFonts w:ascii="Cambria" w:hAnsi="Cambria" w:cs="Tahoma"/>
          <w:color w:val="000000" w:themeColor="text1"/>
          <w:sz w:val="20"/>
          <w:szCs w:val="20"/>
          <w:shd w:val="clear" w:color="auto" w:fill="FFFFFF"/>
        </w:rPr>
        <w:t>rule</w:t>
      </w:r>
      <w:r w:rsidR="00090B2D" w:rsidRPr="008A7BD7">
        <w:rPr>
          <w:rFonts w:ascii="Cambria" w:hAnsi="Cambria" w:cs="Tahoma"/>
          <w:color w:val="000000" w:themeColor="text1"/>
          <w:sz w:val="20"/>
          <w:szCs w:val="20"/>
          <w:shd w:val="clear" w:color="auto" w:fill="FFFFFF"/>
        </w:rPr>
        <w:t>r</w:t>
      </w:r>
      <w:r w:rsidR="005C277C" w:rsidRPr="008A7BD7">
        <w:rPr>
          <w:rFonts w:ascii="Cambria" w:hAnsi="Cambria" w:cs="Tahoma"/>
          <w:color w:val="000000" w:themeColor="text1"/>
          <w:sz w:val="20"/>
          <w:szCs w:val="20"/>
          <w:shd w:val="clear" w:color="auto" w:fill="FFFFFF"/>
        </w:rPr>
        <w:t>s and individuals</w:t>
      </w:r>
      <w:r w:rsidR="00DC238D" w:rsidRPr="008A7BD7">
        <w:rPr>
          <w:rFonts w:ascii="Cambria" w:hAnsi="Cambria" w:cs="Tahoma"/>
          <w:color w:val="000000" w:themeColor="text1"/>
          <w:sz w:val="20"/>
          <w:szCs w:val="20"/>
          <w:shd w:val="clear" w:color="auto" w:fill="FFFFFF"/>
        </w:rPr>
        <w:t>, and in which there is effective judicial oversight of the constitutionality and legality of the acts of government</w:t>
      </w:r>
      <w:r w:rsidR="000968D0" w:rsidRPr="008A7BD7">
        <w:rPr>
          <w:rFonts w:ascii="Cambria" w:hAnsi="Cambria" w:cs="Tahoma"/>
          <w:color w:val="000000" w:themeColor="text1"/>
          <w:sz w:val="20"/>
          <w:szCs w:val="20"/>
          <w:shd w:val="clear" w:color="auto" w:fill="FFFFFF"/>
        </w:rPr>
        <w:t xml:space="preserve">. </w:t>
      </w:r>
      <w:r w:rsidR="00763E5E" w:rsidRPr="008A7BD7">
        <w:rPr>
          <w:rFonts w:ascii="Cambria" w:hAnsi="Cambria" w:cs="Tahoma"/>
          <w:color w:val="000000" w:themeColor="text1"/>
          <w:sz w:val="20"/>
          <w:szCs w:val="20"/>
          <w:shd w:val="clear" w:color="auto" w:fill="FFFFFF"/>
        </w:rPr>
        <w:t>For this reason</w:t>
      </w:r>
      <w:r w:rsidR="00DC238D" w:rsidRPr="008A7BD7">
        <w:rPr>
          <w:rFonts w:ascii="Cambria" w:hAnsi="Cambria" w:cs="Tahoma"/>
          <w:color w:val="000000" w:themeColor="text1"/>
          <w:sz w:val="20"/>
          <w:szCs w:val="20"/>
          <w:shd w:val="clear" w:color="auto" w:fill="FFFFFF"/>
        </w:rPr>
        <w:t>, judges</w:t>
      </w:r>
      <w:r w:rsidR="00763E5E" w:rsidRPr="008A7BD7">
        <w:rPr>
          <w:rFonts w:ascii="Cambria" w:hAnsi="Cambria" w:cs="Tahoma"/>
          <w:color w:val="000000" w:themeColor="text1"/>
          <w:sz w:val="20"/>
          <w:szCs w:val="20"/>
          <w:shd w:val="clear" w:color="auto" w:fill="FFFFFF"/>
        </w:rPr>
        <w:t>—unlike other public officials—</w:t>
      </w:r>
      <w:r w:rsidR="00DC238D" w:rsidRPr="008A7BD7">
        <w:rPr>
          <w:rFonts w:ascii="Cambria" w:hAnsi="Cambria" w:cs="Tahoma"/>
          <w:color w:val="000000" w:themeColor="text1"/>
          <w:sz w:val="20"/>
          <w:szCs w:val="20"/>
          <w:shd w:val="clear" w:color="auto" w:fill="FFFFFF"/>
        </w:rPr>
        <w:t>enjoy reinforced guarantees</w:t>
      </w:r>
      <w:r w:rsidR="00090B2D" w:rsidRPr="008A7BD7">
        <w:rPr>
          <w:rFonts w:ascii="Cambria" w:hAnsi="Cambria" w:cs="Tahoma"/>
          <w:color w:val="000000" w:themeColor="text1"/>
          <w:sz w:val="20"/>
          <w:szCs w:val="20"/>
          <w:shd w:val="clear" w:color="auto" w:fill="FFFFFF"/>
        </w:rPr>
        <w:t xml:space="preserve"> for </w:t>
      </w:r>
      <w:r w:rsidR="00E62FDC" w:rsidRPr="008A7BD7">
        <w:rPr>
          <w:rFonts w:ascii="Cambria" w:hAnsi="Cambria" w:cs="Tahoma"/>
          <w:color w:val="000000" w:themeColor="text1"/>
          <w:sz w:val="20"/>
          <w:szCs w:val="20"/>
          <w:shd w:val="clear" w:color="auto" w:fill="FFFFFF"/>
        </w:rPr>
        <w:t>the exercise of</w:t>
      </w:r>
      <w:r w:rsidR="00090B2D" w:rsidRPr="008A7BD7">
        <w:rPr>
          <w:rFonts w:ascii="Cambria" w:hAnsi="Cambria" w:cs="Tahoma"/>
          <w:color w:val="000000" w:themeColor="text1"/>
          <w:sz w:val="20"/>
          <w:szCs w:val="20"/>
          <w:shd w:val="clear" w:color="auto" w:fill="FFFFFF"/>
        </w:rPr>
        <w:t xml:space="preserve"> their jurisdictional power, especially independence in </w:t>
      </w:r>
      <w:r w:rsidR="00001DE9" w:rsidRPr="008A7BD7">
        <w:rPr>
          <w:rFonts w:ascii="Cambria" w:hAnsi="Cambria" w:cs="Tahoma"/>
          <w:color w:val="000000" w:themeColor="text1"/>
          <w:sz w:val="20"/>
          <w:szCs w:val="20"/>
          <w:shd w:val="clear" w:color="auto" w:fill="FFFFFF"/>
        </w:rPr>
        <w:t>carrying out</w:t>
      </w:r>
      <w:r w:rsidR="00090B2D" w:rsidRPr="008A7BD7">
        <w:rPr>
          <w:rFonts w:ascii="Cambria" w:hAnsi="Cambria" w:cs="Tahoma"/>
          <w:color w:val="000000" w:themeColor="text1"/>
          <w:sz w:val="20"/>
          <w:szCs w:val="20"/>
          <w:shd w:val="clear" w:color="auto" w:fill="FFFFFF"/>
        </w:rPr>
        <w:t xml:space="preserve"> their duties. This guarantee is a corollary of the right of access to justice that every person enjoys and, in the case of judges, takes the form of an </w:t>
      </w:r>
      <w:r w:rsidR="001F5126" w:rsidRPr="008A7BD7">
        <w:rPr>
          <w:rFonts w:ascii="Cambria" w:hAnsi="Cambria" w:cs="Tahoma"/>
          <w:color w:val="000000" w:themeColor="text1"/>
          <w:sz w:val="20"/>
          <w:szCs w:val="20"/>
          <w:shd w:val="clear" w:color="auto" w:fill="FFFFFF"/>
        </w:rPr>
        <w:t>adequate</w:t>
      </w:r>
      <w:r w:rsidR="00090B2D" w:rsidRPr="008A7BD7">
        <w:rPr>
          <w:rFonts w:ascii="Cambria" w:hAnsi="Cambria" w:cs="Tahoma"/>
          <w:color w:val="000000" w:themeColor="text1"/>
          <w:sz w:val="20"/>
          <w:szCs w:val="20"/>
          <w:shd w:val="clear" w:color="auto" w:fill="FFFFFF"/>
        </w:rPr>
        <w:t xml:space="preserve"> appointment process, </w:t>
      </w:r>
      <w:r w:rsidR="001F5126" w:rsidRPr="008A7BD7">
        <w:rPr>
          <w:rFonts w:ascii="Cambria" w:hAnsi="Cambria" w:cs="Tahoma"/>
          <w:color w:val="000000" w:themeColor="text1"/>
          <w:sz w:val="20"/>
          <w:szCs w:val="20"/>
          <w:shd w:val="clear" w:color="auto" w:fill="FFFFFF"/>
        </w:rPr>
        <w:t>tenure in the position</w:t>
      </w:r>
      <w:r w:rsidR="00090B2D" w:rsidRPr="008A7BD7">
        <w:rPr>
          <w:rFonts w:ascii="Cambria" w:hAnsi="Cambria" w:cs="Tahoma"/>
          <w:color w:val="000000" w:themeColor="text1"/>
          <w:sz w:val="20"/>
          <w:szCs w:val="20"/>
          <w:shd w:val="clear" w:color="auto" w:fill="FFFFFF"/>
        </w:rPr>
        <w:t>, and guarantees against pressure.</w:t>
      </w:r>
      <w:r w:rsidR="000968D0" w:rsidRPr="008A7BD7">
        <w:rPr>
          <w:rStyle w:val="FootnoteReference"/>
          <w:rFonts w:ascii="Cambria" w:hAnsi="Cambria" w:cs="Tahoma"/>
          <w:color w:val="000000" w:themeColor="text1"/>
          <w:sz w:val="20"/>
          <w:szCs w:val="20"/>
          <w:shd w:val="clear" w:color="auto" w:fill="FFFFFF"/>
        </w:rPr>
        <w:footnoteReference w:id="93"/>
      </w:r>
      <w:r w:rsidR="00090B2D" w:rsidRPr="008A7BD7">
        <w:rPr>
          <w:rFonts w:ascii="Cambria" w:hAnsi="Cambria" w:cs="Tahoma"/>
          <w:color w:val="000000" w:themeColor="text1"/>
          <w:sz w:val="20"/>
          <w:szCs w:val="20"/>
          <w:shd w:val="clear" w:color="auto" w:fill="FFFFFF"/>
        </w:rPr>
        <w:t xml:space="preserve"> </w:t>
      </w:r>
    </w:p>
    <w:p w14:paraId="646F9F16" w14:textId="77777777" w:rsidR="000968D0" w:rsidRPr="008A7BD7" w:rsidRDefault="000968D0" w:rsidP="000968D0">
      <w:pPr>
        <w:suppressAutoHyphens/>
        <w:ind w:left="720"/>
        <w:jc w:val="both"/>
        <w:rPr>
          <w:rFonts w:ascii="Cambria" w:hAnsi="Cambria"/>
          <w:color w:val="000000" w:themeColor="text1"/>
          <w:sz w:val="20"/>
          <w:szCs w:val="20"/>
        </w:rPr>
      </w:pPr>
    </w:p>
    <w:p w14:paraId="0C9CDD7A" w14:textId="7DBC33D3" w:rsidR="003A3461" w:rsidRPr="008A7BD7" w:rsidRDefault="000E304C" w:rsidP="008A2AEC">
      <w:pPr>
        <w:numPr>
          <w:ilvl w:val="0"/>
          <w:numId w:val="2"/>
        </w:numPr>
        <w:ind w:left="0" w:firstLine="720"/>
        <w:jc w:val="both"/>
        <w:rPr>
          <w:rFonts w:ascii="Cambria" w:hAnsi="Cambria"/>
          <w:color w:val="000000" w:themeColor="text1"/>
          <w:sz w:val="20"/>
          <w:szCs w:val="20"/>
        </w:rPr>
      </w:pPr>
      <w:r w:rsidRPr="008A7BD7">
        <w:rPr>
          <w:rFonts w:ascii="Cambria" w:hAnsi="Cambria" w:cs="Tahoma"/>
          <w:color w:val="000000" w:themeColor="text1"/>
          <w:sz w:val="20"/>
          <w:szCs w:val="20"/>
          <w:shd w:val="clear" w:color="auto" w:fill="FFFFFF"/>
        </w:rPr>
        <w:t xml:space="preserve">The Inter-American Commission also reminds the State of </w:t>
      </w:r>
      <w:r w:rsidR="003A3461" w:rsidRPr="008A7BD7">
        <w:rPr>
          <w:rFonts w:ascii="Cambria" w:hAnsi="Cambria" w:cs="Tahoma"/>
          <w:color w:val="000000" w:themeColor="text1"/>
          <w:sz w:val="20"/>
          <w:szCs w:val="20"/>
          <w:shd w:val="clear" w:color="auto" w:fill="FFFFFF"/>
        </w:rPr>
        <w:t xml:space="preserve">Guatemala </w:t>
      </w:r>
      <w:r w:rsidRPr="008A7BD7">
        <w:rPr>
          <w:rFonts w:ascii="Cambria" w:hAnsi="Cambria" w:cs="Tahoma"/>
          <w:color w:val="000000" w:themeColor="text1"/>
          <w:sz w:val="20"/>
          <w:szCs w:val="20"/>
          <w:shd w:val="clear" w:color="auto" w:fill="FFFFFF"/>
        </w:rPr>
        <w:t>that under international law, the grounds for disciplinary measures</w:t>
      </w:r>
      <w:r w:rsidR="009A6848" w:rsidRPr="008A7BD7">
        <w:rPr>
          <w:rFonts w:ascii="Cambria" w:hAnsi="Cambria" w:cs="Tahoma"/>
          <w:color w:val="000000" w:themeColor="text1"/>
          <w:sz w:val="20"/>
          <w:szCs w:val="20"/>
          <w:shd w:val="clear" w:color="auto" w:fill="FFFFFF"/>
        </w:rPr>
        <w:t>—</w:t>
      </w:r>
      <w:r w:rsidRPr="008A7BD7">
        <w:rPr>
          <w:rFonts w:ascii="Cambria" w:hAnsi="Cambria" w:cs="Tahoma"/>
          <w:color w:val="000000" w:themeColor="text1"/>
          <w:sz w:val="20"/>
          <w:szCs w:val="20"/>
          <w:shd w:val="clear" w:color="auto" w:fill="FFFFFF"/>
        </w:rPr>
        <w:t xml:space="preserve">or in this case, </w:t>
      </w:r>
      <w:proofErr w:type="spellStart"/>
      <w:r w:rsidR="009A6848" w:rsidRPr="008A7BD7">
        <w:rPr>
          <w:rFonts w:ascii="Cambria" w:hAnsi="Cambria" w:cs="Tahoma"/>
          <w:i/>
          <w:iCs/>
          <w:color w:val="000000" w:themeColor="text1"/>
          <w:sz w:val="20"/>
          <w:szCs w:val="20"/>
          <w:shd w:val="clear" w:color="auto" w:fill="FFFFFF"/>
        </w:rPr>
        <w:t>antejuicio</w:t>
      </w:r>
      <w:proofErr w:type="spellEnd"/>
      <w:r w:rsidR="009A6848" w:rsidRPr="008A7BD7">
        <w:rPr>
          <w:rFonts w:ascii="Cambria" w:hAnsi="Cambria" w:cs="Tahoma"/>
          <w:color w:val="000000" w:themeColor="text1"/>
          <w:sz w:val="20"/>
          <w:szCs w:val="20"/>
          <w:shd w:val="clear" w:color="auto" w:fill="FFFFFF"/>
        </w:rPr>
        <w:t xml:space="preserve"> proceedings—</w:t>
      </w:r>
      <w:r w:rsidR="00A071E4" w:rsidRPr="008A7BD7">
        <w:rPr>
          <w:rFonts w:ascii="Cambria" w:hAnsi="Cambria" w:cs="Tahoma"/>
          <w:color w:val="000000" w:themeColor="text1"/>
          <w:sz w:val="20"/>
          <w:szCs w:val="20"/>
          <w:shd w:val="clear" w:color="auto" w:fill="FFFFFF"/>
        </w:rPr>
        <w:t>should</w:t>
      </w:r>
      <w:r w:rsidR="009A6848" w:rsidRPr="008A7BD7">
        <w:rPr>
          <w:rFonts w:ascii="Cambria" w:hAnsi="Cambria" w:cs="Tahoma"/>
          <w:color w:val="000000" w:themeColor="text1"/>
          <w:sz w:val="20"/>
          <w:szCs w:val="20"/>
          <w:shd w:val="clear" w:color="auto" w:fill="FFFFFF"/>
        </w:rPr>
        <w:t xml:space="preserve"> never be a legal opinion or judgment </w:t>
      </w:r>
      <w:r w:rsidR="00136970" w:rsidRPr="008A7BD7">
        <w:rPr>
          <w:rFonts w:ascii="Cambria" w:hAnsi="Cambria" w:cs="Tahoma"/>
          <w:color w:val="000000" w:themeColor="text1"/>
          <w:sz w:val="20"/>
          <w:szCs w:val="20"/>
          <w:shd w:val="clear" w:color="auto" w:fill="FFFFFF"/>
        </w:rPr>
        <w:t>that a judge wrote</w:t>
      </w:r>
      <w:r w:rsidR="009A6848" w:rsidRPr="008A7BD7">
        <w:rPr>
          <w:rFonts w:ascii="Cambria" w:hAnsi="Cambria" w:cs="Tahoma"/>
          <w:color w:val="000000" w:themeColor="text1"/>
          <w:sz w:val="20"/>
          <w:szCs w:val="20"/>
          <w:shd w:val="clear" w:color="auto" w:fill="FFFFFF"/>
        </w:rPr>
        <w:t xml:space="preserve"> in a decision, in the exercise of his or her jurisdictional </w:t>
      </w:r>
      <w:r w:rsidR="00D11711" w:rsidRPr="008A7BD7">
        <w:rPr>
          <w:rFonts w:ascii="Cambria" w:hAnsi="Cambria" w:cs="Tahoma"/>
          <w:color w:val="000000" w:themeColor="text1"/>
          <w:sz w:val="20"/>
          <w:szCs w:val="20"/>
          <w:shd w:val="clear" w:color="auto" w:fill="FFFFFF"/>
        </w:rPr>
        <w:t>functions</w:t>
      </w:r>
      <w:r w:rsidR="003A3461" w:rsidRPr="008A7BD7">
        <w:rPr>
          <w:rFonts w:ascii="Cambria" w:hAnsi="Cambria" w:cs="Tahoma"/>
          <w:color w:val="000000" w:themeColor="text1"/>
          <w:sz w:val="20"/>
          <w:szCs w:val="20"/>
          <w:shd w:val="clear" w:color="auto" w:fill="FFFFFF"/>
        </w:rPr>
        <w:t xml:space="preserve">. </w:t>
      </w:r>
      <w:r w:rsidR="009A6848" w:rsidRPr="008A7BD7">
        <w:rPr>
          <w:rFonts w:ascii="Cambria" w:hAnsi="Cambria" w:cs="Tahoma"/>
          <w:color w:val="000000" w:themeColor="text1"/>
          <w:sz w:val="20"/>
          <w:szCs w:val="20"/>
          <w:shd w:val="clear" w:color="auto" w:fill="FFFFFF"/>
        </w:rPr>
        <w:t>The Commission therefore</w:t>
      </w:r>
      <w:r w:rsidR="001A3271" w:rsidRPr="008A7BD7">
        <w:rPr>
          <w:rFonts w:ascii="Cambria" w:hAnsi="Cambria" w:cs="Tahoma"/>
          <w:color w:val="000000" w:themeColor="text1"/>
          <w:sz w:val="20"/>
          <w:szCs w:val="20"/>
          <w:shd w:val="clear" w:color="auto" w:fill="FFFFFF"/>
        </w:rPr>
        <w:t xml:space="preserve"> reiterates that a critical aspect to consider in decisions ordering sanctions against justice operators is that the ground</w:t>
      </w:r>
      <w:r w:rsidR="00A071E4" w:rsidRPr="008A7BD7">
        <w:rPr>
          <w:rFonts w:ascii="Cambria" w:hAnsi="Cambria" w:cs="Tahoma"/>
          <w:color w:val="000000" w:themeColor="text1"/>
          <w:sz w:val="20"/>
          <w:szCs w:val="20"/>
          <w:shd w:val="clear" w:color="auto" w:fill="FFFFFF"/>
        </w:rPr>
        <w:t>s</w:t>
      </w:r>
      <w:r w:rsidR="001A3271" w:rsidRPr="008A7BD7">
        <w:rPr>
          <w:rFonts w:ascii="Cambria" w:hAnsi="Cambria" w:cs="Tahoma"/>
          <w:color w:val="000000" w:themeColor="text1"/>
          <w:sz w:val="20"/>
          <w:szCs w:val="20"/>
          <w:shd w:val="clear" w:color="auto" w:fill="FFFFFF"/>
        </w:rPr>
        <w:t xml:space="preserve"> for disciplinary investigations and sanctions imposed on them </w:t>
      </w:r>
      <w:r w:rsidR="00A071E4" w:rsidRPr="008A7BD7">
        <w:rPr>
          <w:rFonts w:ascii="Cambria" w:hAnsi="Cambria" w:cs="Tahoma"/>
          <w:color w:val="000000" w:themeColor="text1"/>
          <w:sz w:val="20"/>
          <w:szCs w:val="20"/>
          <w:shd w:val="clear" w:color="auto" w:fill="FFFFFF"/>
        </w:rPr>
        <w:t>should</w:t>
      </w:r>
      <w:r w:rsidR="001A3271" w:rsidRPr="008A7BD7">
        <w:rPr>
          <w:rFonts w:ascii="Cambria" w:hAnsi="Cambria" w:cs="Tahoma"/>
          <w:color w:val="000000" w:themeColor="text1"/>
          <w:sz w:val="20"/>
          <w:szCs w:val="20"/>
          <w:shd w:val="clear" w:color="auto" w:fill="FFFFFF"/>
        </w:rPr>
        <w:t xml:space="preserve"> never be the legal judgment developed in a decision.</w:t>
      </w:r>
      <w:r w:rsidR="003A3461" w:rsidRPr="008A7BD7">
        <w:rPr>
          <w:rStyle w:val="FootnoteReference"/>
          <w:rFonts w:ascii="Cambria" w:hAnsi="Cambria" w:cs="Tahoma"/>
          <w:color w:val="000000" w:themeColor="text1"/>
          <w:sz w:val="20"/>
          <w:szCs w:val="20"/>
          <w:shd w:val="clear" w:color="auto" w:fill="FFFFFF"/>
        </w:rPr>
        <w:footnoteReference w:id="94"/>
      </w:r>
      <w:r w:rsidR="001A3271" w:rsidRPr="008A7BD7">
        <w:rPr>
          <w:rFonts w:ascii="Cambria" w:hAnsi="Cambria" w:cs="Tahoma"/>
          <w:color w:val="000000" w:themeColor="text1"/>
          <w:sz w:val="20"/>
          <w:szCs w:val="20"/>
          <w:shd w:val="clear" w:color="auto" w:fill="FFFFFF"/>
        </w:rPr>
        <w:t xml:space="preserve"> </w:t>
      </w:r>
      <w:r w:rsidR="003A3461" w:rsidRPr="008A7BD7">
        <w:rPr>
          <w:rFonts w:ascii="Cambria" w:hAnsi="Cambria" w:cs="Tahoma"/>
          <w:color w:val="000000" w:themeColor="text1"/>
          <w:sz w:val="20"/>
          <w:szCs w:val="20"/>
          <w:shd w:val="clear" w:color="auto" w:fill="FFFFFF"/>
        </w:rPr>
        <w:t xml:space="preserve"> </w:t>
      </w:r>
    </w:p>
    <w:p w14:paraId="0E10EFC4" w14:textId="77777777" w:rsidR="003F0B50" w:rsidRPr="008A7BD7" w:rsidRDefault="003F0B50" w:rsidP="003A3461">
      <w:pPr>
        <w:suppressAutoHyphens/>
        <w:jc w:val="both"/>
        <w:rPr>
          <w:rFonts w:ascii="Cambria" w:eastAsia="Times New Roman" w:hAnsi="Cambria" w:cs="Arial"/>
          <w:sz w:val="20"/>
          <w:szCs w:val="20"/>
          <w:lang w:eastAsia="es-ES_tradnl"/>
        </w:rPr>
      </w:pPr>
    </w:p>
    <w:p w14:paraId="129758BB" w14:textId="079B6395" w:rsidR="00706CD2" w:rsidRPr="008A7BD7" w:rsidRDefault="00D11711"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imes New Roman"/>
          <w:color w:val="000000"/>
          <w:sz w:val="20"/>
          <w:szCs w:val="20"/>
          <w:lang w:eastAsia="es-ES"/>
        </w:rPr>
        <w:t xml:space="preserve">Meanwhile, in the context of the thematic hearing </w:t>
      </w:r>
      <w:r w:rsidR="009B5EAD" w:rsidRPr="008A7BD7">
        <w:rPr>
          <w:rFonts w:ascii="Cambria" w:eastAsia="Times New Roman" w:hAnsi="Cambria" w:cs="Times New Roman"/>
          <w:color w:val="000000"/>
          <w:sz w:val="20"/>
          <w:szCs w:val="20"/>
          <w:lang w:eastAsia="es-ES"/>
        </w:rPr>
        <w:t>“Human Rights Situation of Justice Operators and Judicial Independence in Guatemala,”</w:t>
      </w:r>
      <w:r w:rsidRPr="008A7BD7">
        <w:rPr>
          <w:rFonts w:ascii="Cambria" w:eastAsia="Times New Roman" w:hAnsi="Cambria" w:cs="Times New Roman"/>
          <w:color w:val="000000"/>
          <w:sz w:val="20"/>
          <w:szCs w:val="20"/>
          <w:lang w:eastAsia="es-ES"/>
        </w:rPr>
        <w:t xml:space="preserve"> the IACHR received information on threats </w:t>
      </w:r>
      <w:r w:rsidR="0082583F" w:rsidRPr="008A7BD7">
        <w:rPr>
          <w:rFonts w:ascii="Cambria" w:eastAsia="Times New Roman" w:hAnsi="Cambria" w:cs="Times New Roman"/>
          <w:color w:val="000000"/>
          <w:sz w:val="20"/>
          <w:szCs w:val="20"/>
          <w:lang w:eastAsia="es-ES"/>
        </w:rPr>
        <w:t xml:space="preserve">to the life and physical integrity of judges in </w:t>
      </w:r>
      <w:proofErr w:type="gramStart"/>
      <w:r w:rsidR="0082583F" w:rsidRPr="008A7BD7">
        <w:rPr>
          <w:rFonts w:ascii="Cambria" w:eastAsia="Times New Roman" w:hAnsi="Cambria" w:cs="Times New Roman"/>
          <w:color w:val="000000"/>
          <w:sz w:val="20"/>
          <w:szCs w:val="20"/>
          <w:lang w:eastAsia="es-ES"/>
        </w:rPr>
        <w:t>High Risk</w:t>
      </w:r>
      <w:proofErr w:type="gramEnd"/>
      <w:r w:rsidR="0082583F" w:rsidRPr="008A7BD7">
        <w:rPr>
          <w:rFonts w:ascii="Cambria" w:eastAsia="Times New Roman" w:hAnsi="Cambria" w:cs="Times New Roman"/>
          <w:color w:val="000000"/>
          <w:sz w:val="20"/>
          <w:szCs w:val="20"/>
          <w:lang w:eastAsia="es-ES"/>
        </w:rPr>
        <w:t xml:space="preserve"> </w:t>
      </w:r>
      <w:r w:rsidR="005A6374" w:rsidRPr="008A7BD7">
        <w:rPr>
          <w:rFonts w:ascii="Cambria" w:eastAsia="Times New Roman" w:hAnsi="Cambria" w:cs="Times New Roman"/>
          <w:color w:val="000000"/>
          <w:sz w:val="20"/>
          <w:szCs w:val="20"/>
          <w:lang w:eastAsia="es-ES"/>
        </w:rPr>
        <w:t>C</w:t>
      </w:r>
      <w:r w:rsidR="0082583F" w:rsidRPr="008A7BD7">
        <w:rPr>
          <w:rFonts w:ascii="Cambria" w:eastAsia="Times New Roman" w:hAnsi="Cambria" w:cs="Times New Roman"/>
          <w:color w:val="000000"/>
          <w:sz w:val="20"/>
          <w:szCs w:val="20"/>
          <w:lang w:eastAsia="es-ES"/>
        </w:rPr>
        <w:t xml:space="preserve">ourts and their families, as well as instances in which they were harassed, surveilled, and followed by vehicles without </w:t>
      </w:r>
      <w:r w:rsidR="007F064A" w:rsidRPr="008A7BD7">
        <w:rPr>
          <w:rFonts w:ascii="Cambria" w:eastAsia="Times New Roman" w:hAnsi="Cambria" w:cs="Times New Roman"/>
          <w:color w:val="000000"/>
          <w:sz w:val="20"/>
          <w:szCs w:val="20"/>
          <w:lang w:eastAsia="es-ES"/>
        </w:rPr>
        <w:t>tags</w:t>
      </w:r>
      <w:r w:rsidR="0082583F" w:rsidRPr="008A7BD7">
        <w:rPr>
          <w:rFonts w:ascii="Cambria" w:eastAsia="Times New Roman" w:hAnsi="Cambria" w:cs="Times New Roman"/>
          <w:color w:val="000000"/>
          <w:sz w:val="20"/>
          <w:szCs w:val="20"/>
          <w:lang w:eastAsia="es-ES"/>
        </w:rPr>
        <w:t xml:space="preserve">. </w:t>
      </w:r>
      <w:r w:rsidR="0082583F" w:rsidRPr="008A7BD7">
        <w:rPr>
          <w:rFonts w:ascii="Cambria" w:eastAsia="Times New Roman" w:hAnsi="Cambria" w:cs="Arial"/>
          <w:sz w:val="20"/>
          <w:szCs w:val="20"/>
          <w:lang w:eastAsia="es-ES"/>
        </w:rPr>
        <w:t xml:space="preserve">The judges also </w:t>
      </w:r>
      <w:r w:rsidR="00651D80" w:rsidRPr="008A7BD7">
        <w:rPr>
          <w:rFonts w:ascii="Cambria" w:eastAsia="Times New Roman" w:hAnsi="Cambria" w:cs="Arial"/>
          <w:sz w:val="20"/>
          <w:szCs w:val="20"/>
          <w:lang w:eastAsia="es-ES"/>
        </w:rPr>
        <w:t>said</w:t>
      </w:r>
      <w:r w:rsidR="0082583F" w:rsidRPr="008A7BD7">
        <w:rPr>
          <w:rFonts w:ascii="Cambria" w:eastAsia="Times New Roman" w:hAnsi="Cambria" w:cs="Arial"/>
          <w:sz w:val="20"/>
          <w:szCs w:val="20"/>
          <w:lang w:eastAsia="es-ES"/>
        </w:rPr>
        <w:t xml:space="preserve"> that they had been systematically attacked and singled out on social media through messages sent out through fake accounts from </w:t>
      </w:r>
      <w:r w:rsidR="00706CD2" w:rsidRPr="008A7BD7">
        <w:rPr>
          <w:rFonts w:ascii="Cambria" w:eastAsia="Times New Roman" w:hAnsi="Cambria" w:cs="Arial"/>
          <w:sz w:val="20"/>
          <w:szCs w:val="20"/>
          <w:lang w:eastAsia="es-ES"/>
        </w:rPr>
        <w:t>“net centers”</w:t>
      </w:r>
      <w:r w:rsidR="0082583F" w:rsidRPr="008A7BD7">
        <w:rPr>
          <w:rFonts w:ascii="Cambria" w:eastAsia="Times New Roman" w:hAnsi="Cambria" w:cs="Arial"/>
          <w:sz w:val="20"/>
          <w:szCs w:val="20"/>
          <w:lang w:eastAsia="es-ES"/>
        </w:rPr>
        <w:t xml:space="preserve"> with ties to the government. They said that these messages </w:t>
      </w:r>
      <w:r w:rsidR="00E27FD3" w:rsidRPr="008A7BD7">
        <w:rPr>
          <w:rFonts w:ascii="Cambria" w:eastAsia="Times New Roman" w:hAnsi="Cambria" w:cs="Arial"/>
          <w:sz w:val="20"/>
          <w:szCs w:val="20"/>
          <w:lang w:eastAsia="es-ES"/>
        </w:rPr>
        <w:t>used references</w:t>
      </w:r>
      <w:r w:rsidR="0082583F" w:rsidRPr="008A7BD7">
        <w:rPr>
          <w:rFonts w:ascii="Cambria" w:eastAsia="Times New Roman" w:hAnsi="Cambria" w:cs="Arial"/>
          <w:sz w:val="20"/>
          <w:szCs w:val="20"/>
          <w:lang w:eastAsia="es-ES"/>
        </w:rPr>
        <w:t xml:space="preserve"> to the internal armed con</w:t>
      </w:r>
      <w:r w:rsidR="00E27FD3" w:rsidRPr="008A7BD7">
        <w:rPr>
          <w:rFonts w:ascii="Cambria" w:eastAsia="Times New Roman" w:hAnsi="Cambria" w:cs="Arial"/>
          <w:sz w:val="20"/>
          <w:szCs w:val="20"/>
          <w:lang w:eastAsia="es-ES"/>
        </w:rPr>
        <w:t>fl</w:t>
      </w:r>
      <w:r w:rsidR="0082583F" w:rsidRPr="008A7BD7">
        <w:rPr>
          <w:rFonts w:ascii="Cambria" w:eastAsia="Times New Roman" w:hAnsi="Cambria" w:cs="Arial"/>
          <w:sz w:val="20"/>
          <w:szCs w:val="20"/>
          <w:lang w:eastAsia="es-ES"/>
        </w:rPr>
        <w:t xml:space="preserve">ict </w:t>
      </w:r>
      <w:r w:rsidR="00E27FD3" w:rsidRPr="008A7BD7">
        <w:rPr>
          <w:rFonts w:ascii="Cambria" w:eastAsia="Times New Roman" w:hAnsi="Cambria" w:cs="Arial"/>
          <w:sz w:val="20"/>
          <w:szCs w:val="20"/>
          <w:lang w:eastAsia="es-ES"/>
        </w:rPr>
        <w:t xml:space="preserve">to </w:t>
      </w:r>
      <w:r w:rsidR="0082583F" w:rsidRPr="008A7BD7">
        <w:rPr>
          <w:rFonts w:ascii="Cambria" w:eastAsia="Times New Roman" w:hAnsi="Cambria" w:cs="Arial"/>
          <w:sz w:val="20"/>
          <w:szCs w:val="20"/>
          <w:lang w:eastAsia="es-ES"/>
        </w:rPr>
        <w:t>intimidat</w:t>
      </w:r>
      <w:r w:rsidR="00E27FD3" w:rsidRPr="008A7BD7">
        <w:rPr>
          <w:rFonts w:ascii="Cambria" w:eastAsia="Times New Roman" w:hAnsi="Cambria" w:cs="Arial"/>
          <w:sz w:val="20"/>
          <w:szCs w:val="20"/>
          <w:lang w:eastAsia="es-ES"/>
        </w:rPr>
        <w:t xml:space="preserve">e </w:t>
      </w:r>
      <w:r w:rsidR="00651D80" w:rsidRPr="008A7BD7">
        <w:rPr>
          <w:rFonts w:ascii="Cambria" w:eastAsia="Times New Roman" w:hAnsi="Cambria" w:cs="Arial"/>
          <w:sz w:val="20"/>
          <w:szCs w:val="20"/>
          <w:lang w:eastAsia="es-ES"/>
        </w:rPr>
        <w:t xml:space="preserve">them </w:t>
      </w:r>
      <w:r w:rsidR="00E27FD3" w:rsidRPr="008A7BD7">
        <w:rPr>
          <w:rFonts w:ascii="Cambria" w:eastAsia="Times New Roman" w:hAnsi="Cambria" w:cs="Arial"/>
          <w:sz w:val="20"/>
          <w:szCs w:val="20"/>
          <w:lang w:eastAsia="es-ES"/>
        </w:rPr>
        <w:t xml:space="preserve">and referred </w:t>
      </w:r>
      <w:r w:rsidR="0082583F" w:rsidRPr="008A7BD7">
        <w:rPr>
          <w:rFonts w:ascii="Cambria" w:eastAsia="Times New Roman" w:hAnsi="Cambria" w:cs="Arial"/>
          <w:sz w:val="20"/>
          <w:szCs w:val="20"/>
          <w:lang w:eastAsia="es-ES"/>
        </w:rPr>
        <w:t xml:space="preserve">to </w:t>
      </w:r>
      <w:r w:rsidR="00E27FD3" w:rsidRPr="008A7BD7">
        <w:rPr>
          <w:rFonts w:ascii="Cambria" w:eastAsia="Times New Roman" w:hAnsi="Cambria" w:cs="Arial"/>
          <w:sz w:val="20"/>
          <w:szCs w:val="20"/>
          <w:lang w:eastAsia="es-ES"/>
        </w:rPr>
        <w:t xml:space="preserve">acts such as forced disappearances, kidnapping, torture, and death that were carried out </w:t>
      </w:r>
      <w:r w:rsidR="00651D80" w:rsidRPr="008A7BD7">
        <w:rPr>
          <w:rFonts w:ascii="Cambria" w:eastAsia="Times New Roman" w:hAnsi="Cambria" w:cs="Arial"/>
          <w:sz w:val="20"/>
          <w:szCs w:val="20"/>
          <w:lang w:eastAsia="es-ES"/>
        </w:rPr>
        <w:t>with impunity</w:t>
      </w:r>
      <w:r w:rsidR="00E27FD3" w:rsidRPr="008A7BD7">
        <w:rPr>
          <w:rFonts w:ascii="Cambria" w:eastAsia="Times New Roman" w:hAnsi="Cambria" w:cs="Arial"/>
          <w:sz w:val="20"/>
          <w:szCs w:val="20"/>
          <w:lang w:eastAsia="es-ES"/>
        </w:rPr>
        <w:t xml:space="preserve">. In the posted messages, </w:t>
      </w:r>
      <w:r w:rsidR="00651D80" w:rsidRPr="008A7BD7">
        <w:rPr>
          <w:rFonts w:ascii="Cambria" w:eastAsia="Times New Roman" w:hAnsi="Cambria" w:cs="Arial"/>
          <w:sz w:val="20"/>
          <w:szCs w:val="20"/>
          <w:lang w:eastAsia="es-ES"/>
        </w:rPr>
        <w:t xml:space="preserve">the </w:t>
      </w:r>
      <w:r w:rsidR="00E27FD3" w:rsidRPr="008A7BD7">
        <w:rPr>
          <w:rFonts w:ascii="Cambria" w:eastAsia="Times New Roman" w:hAnsi="Cambria" w:cs="Arial"/>
          <w:sz w:val="20"/>
          <w:szCs w:val="20"/>
          <w:lang w:eastAsia="es-ES"/>
        </w:rPr>
        <w:t xml:space="preserve">judges were also </w:t>
      </w:r>
      <w:r w:rsidR="00651D80" w:rsidRPr="008A7BD7">
        <w:rPr>
          <w:rFonts w:ascii="Cambria" w:eastAsia="Times New Roman" w:hAnsi="Cambria" w:cs="Arial"/>
          <w:sz w:val="20"/>
          <w:szCs w:val="20"/>
          <w:lang w:eastAsia="es-ES"/>
        </w:rPr>
        <w:t>apparently</w:t>
      </w:r>
      <w:r w:rsidR="00E27FD3" w:rsidRPr="008A7BD7">
        <w:rPr>
          <w:rFonts w:ascii="Cambria" w:eastAsia="Times New Roman" w:hAnsi="Cambria" w:cs="Arial"/>
          <w:sz w:val="20"/>
          <w:szCs w:val="20"/>
          <w:lang w:eastAsia="es-ES"/>
        </w:rPr>
        <w:t xml:space="preserve"> labeled </w:t>
      </w:r>
      <w:r w:rsidR="00E27FD3" w:rsidRPr="008A7BD7">
        <w:rPr>
          <w:rFonts w:ascii="Cambria" w:eastAsia="Times New Roman" w:hAnsi="Cambria" w:cs="Arial"/>
          <w:sz w:val="20"/>
          <w:szCs w:val="20"/>
          <w:lang w:eastAsia="es-ES"/>
        </w:rPr>
        <w:lastRenderedPageBreak/>
        <w:t xml:space="preserve">“guerrillas” and threatened with vengeance for fighting corruption. </w:t>
      </w:r>
      <w:r w:rsidR="000E25E7" w:rsidRPr="008A7BD7">
        <w:rPr>
          <w:rFonts w:ascii="Cambria" w:eastAsia="Times New Roman" w:hAnsi="Cambria" w:cs="Arial"/>
          <w:sz w:val="20"/>
          <w:szCs w:val="20"/>
          <w:lang w:eastAsia="es-ES"/>
        </w:rPr>
        <w:t>Another form of aggression, they said, was to</w:t>
      </w:r>
      <w:r w:rsidR="00E27FD3" w:rsidRPr="008A7BD7">
        <w:rPr>
          <w:rFonts w:ascii="Cambria" w:eastAsia="Times New Roman" w:hAnsi="Cambria" w:cs="Arial"/>
          <w:sz w:val="20"/>
          <w:szCs w:val="20"/>
          <w:lang w:eastAsia="es-ES"/>
        </w:rPr>
        <w:t xml:space="preserve"> infiltrat</w:t>
      </w:r>
      <w:r w:rsidR="000E25E7" w:rsidRPr="008A7BD7">
        <w:rPr>
          <w:rFonts w:ascii="Cambria" w:eastAsia="Times New Roman" w:hAnsi="Cambria" w:cs="Arial"/>
          <w:sz w:val="20"/>
          <w:szCs w:val="20"/>
          <w:lang w:eastAsia="es-ES"/>
        </w:rPr>
        <w:t>e</w:t>
      </w:r>
      <w:r w:rsidR="00E27FD3" w:rsidRPr="008A7BD7">
        <w:rPr>
          <w:rFonts w:ascii="Cambria" w:eastAsia="Times New Roman" w:hAnsi="Cambria" w:cs="Arial"/>
          <w:sz w:val="20"/>
          <w:szCs w:val="20"/>
          <w:lang w:eastAsia="es-ES"/>
        </w:rPr>
        <w:t xml:space="preserve"> their courts with </w:t>
      </w:r>
      <w:r w:rsidR="000E25E7" w:rsidRPr="008A7BD7">
        <w:rPr>
          <w:rFonts w:ascii="Cambria" w:eastAsia="Times New Roman" w:hAnsi="Cambria" w:cs="Arial"/>
          <w:sz w:val="20"/>
          <w:szCs w:val="20"/>
          <w:lang w:eastAsia="es-ES"/>
        </w:rPr>
        <w:t xml:space="preserve">staff </w:t>
      </w:r>
      <w:r w:rsidR="00E27FD3" w:rsidRPr="008A7BD7">
        <w:rPr>
          <w:rFonts w:ascii="Cambria" w:eastAsia="Times New Roman" w:hAnsi="Cambria" w:cs="Arial"/>
          <w:sz w:val="20"/>
          <w:szCs w:val="20"/>
          <w:lang w:eastAsia="es-ES"/>
        </w:rPr>
        <w:t>who would leak sensitive information</w:t>
      </w:r>
      <w:r w:rsidR="000E25E7" w:rsidRPr="008A7BD7">
        <w:rPr>
          <w:rFonts w:ascii="Cambria" w:eastAsia="Times New Roman" w:hAnsi="Cambria" w:cs="Arial"/>
          <w:sz w:val="20"/>
          <w:szCs w:val="20"/>
          <w:lang w:eastAsia="es-ES"/>
        </w:rPr>
        <w:t>, spy on them, make recordings, and even remove records and case files.</w:t>
      </w:r>
      <w:r w:rsidR="00FA539D" w:rsidRPr="008A7BD7">
        <w:rPr>
          <w:rFonts w:ascii="Cambria" w:eastAsia="Times New Roman" w:hAnsi="Cambria" w:cs="Arial"/>
          <w:sz w:val="20"/>
          <w:szCs w:val="20"/>
          <w:vertAlign w:val="superscript"/>
          <w:lang w:val="es-ES" w:eastAsia="es-ES"/>
        </w:rPr>
        <w:footnoteReference w:id="95"/>
      </w:r>
      <w:r w:rsidR="00706CD2" w:rsidRPr="008A7BD7">
        <w:rPr>
          <w:rFonts w:ascii="Cambria" w:eastAsia="Times New Roman" w:hAnsi="Cambria" w:cs="Arial"/>
          <w:sz w:val="20"/>
          <w:szCs w:val="20"/>
          <w:lang w:eastAsia="es-ES"/>
        </w:rPr>
        <w:t xml:space="preserve"> </w:t>
      </w:r>
    </w:p>
    <w:p w14:paraId="5333B72E" w14:textId="77777777" w:rsidR="00706CD2" w:rsidRPr="008A7BD7" w:rsidRDefault="00706CD2" w:rsidP="00706CD2">
      <w:pPr>
        <w:ind w:left="720"/>
        <w:contextualSpacing/>
        <w:jc w:val="both"/>
        <w:rPr>
          <w:rFonts w:ascii="Cambria" w:eastAsia="Calibri" w:hAnsi="Cambria" w:cs="Arial"/>
          <w:sz w:val="20"/>
          <w:szCs w:val="20"/>
        </w:rPr>
      </w:pPr>
    </w:p>
    <w:p w14:paraId="32357482" w14:textId="5EE7F4A7" w:rsidR="00B77B08" w:rsidRPr="008A7BD7" w:rsidRDefault="007B39F0" w:rsidP="008A2AEC">
      <w:pPr>
        <w:numPr>
          <w:ilvl w:val="0"/>
          <w:numId w:val="2"/>
        </w:numPr>
        <w:ind w:left="0" w:firstLine="720"/>
        <w:jc w:val="both"/>
        <w:rPr>
          <w:rFonts w:ascii="Cambria" w:eastAsia="Times New Roman" w:hAnsi="Cambria" w:cs="Arial"/>
          <w:sz w:val="20"/>
          <w:szCs w:val="20"/>
          <w:lang w:eastAsia="es-ES"/>
        </w:rPr>
      </w:pPr>
      <w:r w:rsidRPr="008A7BD7">
        <w:rPr>
          <w:rFonts w:ascii="Cambria" w:eastAsia="Times New Roman" w:hAnsi="Cambria" w:cs="Arial"/>
          <w:sz w:val="20"/>
          <w:szCs w:val="20"/>
          <w:lang w:eastAsia="es-ES"/>
        </w:rPr>
        <w:t xml:space="preserve">In that regard, the IACHR received information concerning the lack of due diligence on the part of the Public Prosecutor’s Office and </w:t>
      </w:r>
      <w:r w:rsidR="00AB52A0" w:rsidRPr="008A7BD7">
        <w:rPr>
          <w:rFonts w:ascii="Cambria" w:eastAsia="Times New Roman" w:hAnsi="Cambria" w:cs="Arial"/>
          <w:sz w:val="20"/>
          <w:szCs w:val="20"/>
          <w:lang w:eastAsia="es-ES"/>
        </w:rPr>
        <w:t xml:space="preserve">Guatemalan State </w:t>
      </w:r>
      <w:r w:rsidRPr="008A7BD7">
        <w:rPr>
          <w:rFonts w:ascii="Cambria" w:eastAsia="Times New Roman" w:hAnsi="Cambria" w:cs="Arial"/>
          <w:sz w:val="20"/>
          <w:szCs w:val="20"/>
          <w:lang w:eastAsia="es-ES"/>
        </w:rPr>
        <w:t xml:space="preserve">authorities </w:t>
      </w:r>
      <w:r w:rsidR="00AB52A0" w:rsidRPr="008A7BD7">
        <w:rPr>
          <w:rFonts w:ascii="Cambria" w:eastAsia="Times New Roman" w:hAnsi="Cambria" w:cs="Arial"/>
          <w:sz w:val="20"/>
          <w:szCs w:val="20"/>
          <w:lang w:eastAsia="es-ES"/>
        </w:rPr>
        <w:t>in terms of</w:t>
      </w:r>
      <w:r w:rsidRPr="008A7BD7">
        <w:rPr>
          <w:rFonts w:ascii="Cambria" w:eastAsia="Times New Roman" w:hAnsi="Cambria" w:cs="Arial"/>
          <w:sz w:val="20"/>
          <w:szCs w:val="20"/>
          <w:lang w:eastAsia="es-ES"/>
        </w:rPr>
        <w:t xml:space="preserve"> protect</w:t>
      </w:r>
      <w:r w:rsidR="00AB52A0" w:rsidRPr="008A7BD7">
        <w:rPr>
          <w:rFonts w:ascii="Cambria" w:eastAsia="Times New Roman" w:hAnsi="Cambria" w:cs="Arial"/>
          <w:sz w:val="20"/>
          <w:szCs w:val="20"/>
          <w:lang w:eastAsia="es-ES"/>
        </w:rPr>
        <w:t>ing</w:t>
      </w:r>
      <w:r w:rsidRPr="008A7BD7">
        <w:rPr>
          <w:rFonts w:ascii="Cambria" w:eastAsia="Times New Roman" w:hAnsi="Cambria" w:cs="Arial"/>
          <w:sz w:val="20"/>
          <w:szCs w:val="20"/>
          <w:lang w:eastAsia="es-ES"/>
        </w:rPr>
        <w:t xml:space="preserve"> and </w:t>
      </w:r>
      <w:r w:rsidR="001D3AA7" w:rsidRPr="008A7BD7">
        <w:rPr>
          <w:rFonts w:ascii="Cambria" w:eastAsia="Times New Roman" w:hAnsi="Cambria" w:cs="Arial"/>
          <w:sz w:val="20"/>
          <w:szCs w:val="20"/>
          <w:lang w:eastAsia="es-ES"/>
        </w:rPr>
        <w:t>guarantee</w:t>
      </w:r>
      <w:r w:rsidR="00AB52A0" w:rsidRPr="008A7BD7">
        <w:rPr>
          <w:rFonts w:ascii="Cambria" w:eastAsia="Times New Roman" w:hAnsi="Cambria" w:cs="Arial"/>
          <w:sz w:val="20"/>
          <w:szCs w:val="20"/>
          <w:lang w:eastAsia="es-ES"/>
        </w:rPr>
        <w:t>ing</w:t>
      </w:r>
      <w:r w:rsidR="001D3AA7" w:rsidRPr="008A7BD7">
        <w:rPr>
          <w:rFonts w:ascii="Cambria" w:eastAsia="Times New Roman" w:hAnsi="Cambria" w:cs="Arial"/>
          <w:sz w:val="20"/>
          <w:szCs w:val="20"/>
          <w:lang w:eastAsia="es-ES"/>
        </w:rPr>
        <w:t xml:space="preserve"> the life and the physical and emotional integrity of judicial personnel. </w:t>
      </w:r>
      <w:proofErr w:type="gramStart"/>
      <w:r w:rsidR="001D3AA7" w:rsidRPr="008A7BD7">
        <w:rPr>
          <w:rFonts w:ascii="Cambria" w:eastAsia="Times New Roman" w:hAnsi="Cambria" w:cs="Arial"/>
          <w:sz w:val="20"/>
          <w:szCs w:val="20"/>
          <w:lang w:eastAsia="es-ES"/>
        </w:rPr>
        <w:t>In particular, complaints</w:t>
      </w:r>
      <w:proofErr w:type="gramEnd"/>
      <w:r w:rsidR="001D3AA7" w:rsidRPr="008A7BD7">
        <w:rPr>
          <w:rFonts w:ascii="Cambria" w:eastAsia="Times New Roman" w:hAnsi="Cambria" w:cs="Arial"/>
          <w:sz w:val="20"/>
          <w:szCs w:val="20"/>
          <w:lang w:eastAsia="es-ES"/>
        </w:rPr>
        <w:t xml:space="preserve"> they filed </w:t>
      </w:r>
      <w:r w:rsidR="003207F1" w:rsidRPr="008A7BD7">
        <w:rPr>
          <w:rFonts w:ascii="Cambria" w:eastAsia="Times New Roman" w:hAnsi="Cambria" w:cs="Arial"/>
          <w:sz w:val="20"/>
          <w:szCs w:val="20"/>
          <w:lang w:eastAsia="es-ES"/>
        </w:rPr>
        <w:t>over</w:t>
      </w:r>
      <w:r w:rsidR="001D3AA7" w:rsidRPr="008A7BD7">
        <w:rPr>
          <w:rFonts w:ascii="Cambria" w:eastAsia="Times New Roman" w:hAnsi="Cambria" w:cs="Arial"/>
          <w:sz w:val="20"/>
          <w:szCs w:val="20"/>
          <w:lang w:eastAsia="es-ES"/>
        </w:rPr>
        <w:t xml:space="preserve"> violations of their human rights were reportedly disregarded and filed away; in other cases, investigations and inquiries were </w:t>
      </w:r>
      <w:r w:rsidR="00AB52A0" w:rsidRPr="008A7BD7">
        <w:rPr>
          <w:rFonts w:ascii="Cambria" w:eastAsia="Times New Roman" w:hAnsi="Cambria" w:cs="Arial"/>
          <w:sz w:val="20"/>
          <w:szCs w:val="20"/>
          <w:lang w:eastAsia="es-ES"/>
        </w:rPr>
        <w:t>apparently</w:t>
      </w:r>
      <w:r w:rsidR="001D3AA7" w:rsidRPr="008A7BD7">
        <w:rPr>
          <w:rFonts w:ascii="Cambria" w:eastAsia="Times New Roman" w:hAnsi="Cambria" w:cs="Arial"/>
          <w:sz w:val="20"/>
          <w:szCs w:val="20"/>
          <w:lang w:eastAsia="es-ES"/>
        </w:rPr>
        <w:t xml:space="preserve"> carried out with the aim of obtaining information on their security measures. Judges in </w:t>
      </w:r>
      <w:proofErr w:type="gramStart"/>
      <w:r w:rsidR="001D3AA7" w:rsidRPr="008A7BD7">
        <w:rPr>
          <w:rFonts w:ascii="Cambria" w:eastAsia="Times New Roman" w:hAnsi="Cambria" w:cs="Arial"/>
          <w:sz w:val="20"/>
          <w:szCs w:val="20"/>
          <w:lang w:eastAsia="es-ES"/>
        </w:rPr>
        <w:t>High Risk</w:t>
      </w:r>
      <w:proofErr w:type="gramEnd"/>
      <w:r w:rsidR="001D3AA7" w:rsidRPr="008A7BD7">
        <w:rPr>
          <w:rFonts w:ascii="Cambria" w:eastAsia="Times New Roman" w:hAnsi="Cambria" w:cs="Arial"/>
          <w:sz w:val="20"/>
          <w:szCs w:val="20"/>
          <w:lang w:eastAsia="es-ES"/>
        </w:rPr>
        <w:t xml:space="preserve"> </w:t>
      </w:r>
      <w:r w:rsidR="005A6374" w:rsidRPr="008A7BD7">
        <w:rPr>
          <w:rFonts w:ascii="Cambria" w:eastAsia="Times New Roman" w:hAnsi="Cambria" w:cs="Arial"/>
          <w:sz w:val="20"/>
          <w:szCs w:val="20"/>
          <w:lang w:eastAsia="es-ES"/>
        </w:rPr>
        <w:t>C</w:t>
      </w:r>
      <w:r w:rsidR="001D3AA7" w:rsidRPr="008A7BD7">
        <w:rPr>
          <w:rFonts w:ascii="Cambria" w:eastAsia="Times New Roman" w:hAnsi="Cambria" w:cs="Arial"/>
          <w:sz w:val="20"/>
          <w:szCs w:val="20"/>
          <w:lang w:eastAsia="es-ES"/>
        </w:rPr>
        <w:t xml:space="preserve">ourts also indicated that the </w:t>
      </w:r>
      <w:r w:rsidR="00210FA8" w:rsidRPr="008A7BD7">
        <w:rPr>
          <w:rFonts w:ascii="Cambria" w:eastAsia="Times New Roman" w:hAnsi="Cambria" w:cs="Arial"/>
          <w:sz w:val="20"/>
          <w:szCs w:val="20"/>
          <w:lang w:eastAsia="es-ES"/>
        </w:rPr>
        <w:t xml:space="preserve">instances of </w:t>
      </w:r>
      <w:r w:rsidR="001D3AA7" w:rsidRPr="008A7BD7">
        <w:rPr>
          <w:rFonts w:ascii="Cambria" w:eastAsia="Times New Roman" w:hAnsi="Cambria" w:cs="Arial"/>
          <w:sz w:val="20"/>
          <w:szCs w:val="20"/>
          <w:lang w:eastAsia="es-ES"/>
        </w:rPr>
        <w:t>infiltration in their courts had not been investigated.</w:t>
      </w:r>
      <w:r w:rsidR="00FA539D" w:rsidRPr="008A7BD7">
        <w:rPr>
          <w:rFonts w:ascii="Cambria" w:eastAsia="Times New Roman" w:hAnsi="Cambria" w:cs="Arial"/>
          <w:sz w:val="20"/>
          <w:szCs w:val="20"/>
          <w:vertAlign w:val="superscript"/>
          <w:lang w:val="es-ES" w:eastAsia="es-ES"/>
        </w:rPr>
        <w:footnoteReference w:id="96"/>
      </w:r>
    </w:p>
    <w:p w14:paraId="68BB25FF" w14:textId="77777777" w:rsidR="00FF2619" w:rsidRPr="008A7BD7" w:rsidRDefault="00FF2619" w:rsidP="00FF2619">
      <w:pPr>
        <w:pStyle w:val="ListParagraph"/>
        <w:rPr>
          <w:rFonts w:ascii="Cambria" w:eastAsia="Times New Roman" w:hAnsi="Cambria" w:cs="Arial"/>
          <w:sz w:val="20"/>
          <w:szCs w:val="20"/>
          <w:lang w:eastAsia="es-ES"/>
        </w:rPr>
      </w:pPr>
    </w:p>
    <w:p w14:paraId="6EAD9A33" w14:textId="10A4A266" w:rsidR="00FF2619" w:rsidRPr="008A7BD7" w:rsidRDefault="00816332" w:rsidP="00FF2619">
      <w:pPr>
        <w:numPr>
          <w:ilvl w:val="0"/>
          <w:numId w:val="2"/>
        </w:numPr>
        <w:ind w:left="0" w:firstLine="720"/>
        <w:jc w:val="both"/>
        <w:rPr>
          <w:rFonts w:ascii="Cambria" w:eastAsia="Times New Roman" w:hAnsi="Cambria" w:cs="Arial"/>
          <w:sz w:val="20"/>
          <w:szCs w:val="20"/>
          <w:lang w:eastAsia="es-ES"/>
        </w:rPr>
      </w:pPr>
      <w:r w:rsidRPr="008A7BD7">
        <w:rPr>
          <w:rFonts w:ascii="Cambria" w:eastAsia="Times New Roman" w:hAnsi="Cambria" w:cs="Arial"/>
          <w:sz w:val="20"/>
          <w:szCs w:val="20"/>
          <w:lang w:eastAsia="es-ES"/>
        </w:rPr>
        <w:t xml:space="preserve">In its response to the draft of this report, the Guatemalan State indicated that </w:t>
      </w:r>
      <w:r w:rsidR="00FF2619" w:rsidRPr="008A7BD7">
        <w:rPr>
          <w:rFonts w:ascii="Cambria" w:eastAsia="Times New Roman" w:hAnsi="Cambria" w:cs="Arial"/>
          <w:sz w:val="20"/>
          <w:szCs w:val="20"/>
          <w:lang w:eastAsia="es-ES"/>
        </w:rPr>
        <w:t>“</w:t>
      </w:r>
      <w:r w:rsidR="00622668" w:rsidRPr="008A7BD7">
        <w:rPr>
          <w:rFonts w:ascii="Cambria" w:eastAsia="Times New Roman" w:hAnsi="Cambria" w:cs="Arial"/>
          <w:sz w:val="20"/>
          <w:szCs w:val="20"/>
          <w:lang w:eastAsia="es-ES"/>
        </w:rPr>
        <w:t xml:space="preserve">to ensure the safety of justices and judges, there are </w:t>
      </w:r>
      <w:r w:rsidRPr="008A7BD7">
        <w:rPr>
          <w:rFonts w:ascii="Cambria" w:eastAsia="Times New Roman" w:hAnsi="Cambria" w:cs="Arial"/>
          <w:sz w:val="20"/>
          <w:szCs w:val="20"/>
          <w:lang w:eastAsia="es-ES"/>
        </w:rPr>
        <w:t xml:space="preserve">agents of the Institutional Security </w:t>
      </w:r>
      <w:r w:rsidR="009351B8" w:rsidRPr="008A7BD7">
        <w:rPr>
          <w:rFonts w:ascii="Cambria" w:eastAsia="Times New Roman" w:hAnsi="Cambria" w:cs="Arial"/>
          <w:sz w:val="20"/>
          <w:szCs w:val="20"/>
          <w:lang w:eastAsia="es-ES"/>
        </w:rPr>
        <w:t>Directorate</w:t>
      </w:r>
      <w:r w:rsidRPr="008A7BD7">
        <w:rPr>
          <w:rFonts w:ascii="Cambria" w:eastAsia="Times New Roman" w:hAnsi="Cambria" w:cs="Arial"/>
          <w:sz w:val="20"/>
          <w:szCs w:val="20"/>
          <w:lang w:eastAsia="es-ES"/>
        </w:rPr>
        <w:t xml:space="preserve">, agents of the National Civil Police, pilots, bulletproof vests </w:t>
      </w:r>
      <w:r w:rsidR="00B81F98" w:rsidRPr="008A7BD7">
        <w:rPr>
          <w:rFonts w:ascii="Cambria" w:eastAsia="Times New Roman" w:hAnsi="Cambria" w:cs="Arial"/>
          <w:sz w:val="20"/>
          <w:szCs w:val="20"/>
          <w:lang w:eastAsia="es-ES"/>
        </w:rPr>
        <w:t>of</w:t>
      </w:r>
      <w:r w:rsidRPr="008A7BD7">
        <w:rPr>
          <w:rFonts w:ascii="Cambria" w:eastAsia="Times New Roman" w:hAnsi="Cambria" w:cs="Arial"/>
          <w:sz w:val="20"/>
          <w:szCs w:val="20"/>
          <w:lang w:eastAsia="es-ES"/>
        </w:rPr>
        <w:t xml:space="preserve"> the judiciary, armored and unarmored vehicles </w:t>
      </w:r>
      <w:r w:rsidR="00B81F98" w:rsidRPr="008A7BD7">
        <w:rPr>
          <w:rFonts w:ascii="Cambria" w:eastAsia="Times New Roman" w:hAnsi="Cambria" w:cs="Arial"/>
          <w:sz w:val="20"/>
          <w:szCs w:val="20"/>
          <w:lang w:eastAsia="es-ES"/>
        </w:rPr>
        <w:t xml:space="preserve">of </w:t>
      </w:r>
      <w:r w:rsidRPr="008A7BD7">
        <w:rPr>
          <w:rFonts w:ascii="Cambria" w:eastAsia="Times New Roman" w:hAnsi="Cambria" w:cs="Arial"/>
          <w:sz w:val="20"/>
          <w:szCs w:val="20"/>
          <w:lang w:eastAsia="es-ES"/>
        </w:rPr>
        <w:t xml:space="preserve">the judiciary, </w:t>
      </w:r>
      <w:r w:rsidR="0031211A" w:rsidRPr="008A7BD7">
        <w:rPr>
          <w:rFonts w:ascii="Cambria" w:eastAsia="Times New Roman" w:hAnsi="Cambria" w:cs="Arial"/>
          <w:sz w:val="20"/>
          <w:szCs w:val="20"/>
          <w:lang w:eastAsia="es-ES"/>
        </w:rPr>
        <w:t xml:space="preserve">National Civil Police squad cars, and weapons belonging to </w:t>
      </w:r>
      <w:r w:rsidR="00B81F98" w:rsidRPr="008A7BD7">
        <w:rPr>
          <w:rFonts w:ascii="Cambria" w:eastAsia="Times New Roman" w:hAnsi="Cambria" w:cs="Arial"/>
          <w:sz w:val="20"/>
          <w:szCs w:val="20"/>
          <w:lang w:eastAsia="es-ES"/>
        </w:rPr>
        <w:t xml:space="preserve">both </w:t>
      </w:r>
      <w:r w:rsidR="0031211A" w:rsidRPr="008A7BD7">
        <w:rPr>
          <w:rFonts w:ascii="Cambria" w:eastAsia="Times New Roman" w:hAnsi="Cambria" w:cs="Arial"/>
          <w:sz w:val="20"/>
          <w:szCs w:val="20"/>
          <w:lang w:eastAsia="es-ES"/>
        </w:rPr>
        <w:t>the judiciary and the National Civil Police</w:t>
      </w:r>
      <w:r w:rsidR="00FF2619" w:rsidRPr="008A7BD7">
        <w:rPr>
          <w:rFonts w:ascii="Cambria" w:eastAsia="Times New Roman" w:hAnsi="Cambria" w:cs="Arial"/>
          <w:sz w:val="20"/>
          <w:szCs w:val="20"/>
          <w:lang w:eastAsia="es-ES"/>
        </w:rPr>
        <w:t xml:space="preserve">. </w:t>
      </w:r>
      <w:r w:rsidR="0031211A" w:rsidRPr="008A7BD7">
        <w:rPr>
          <w:rFonts w:ascii="Cambria" w:eastAsia="Times New Roman" w:hAnsi="Cambria" w:cs="Arial"/>
          <w:sz w:val="20"/>
          <w:szCs w:val="20"/>
          <w:lang w:eastAsia="es-ES"/>
        </w:rPr>
        <w:t xml:space="preserve">Moreover, the Office of the Public Prosecutor’s Security Department has </w:t>
      </w:r>
      <w:r w:rsidR="00FF2619" w:rsidRPr="008A7BD7">
        <w:rPr>
          <w:rFonts w:ascii="Cambria" w:eastAsia="Times New Roman" w:hAnsi="Cambria" w:cs="Arial"/>
          <w:sz w:val="20"/>
          <w:szCs w:val="20"/>
          <w:lang w:eastAsia="es-ES"/>
        </w:rPr>
        <w:t xml:space="preserve">321 </w:t>
      </w:r>
      <w:r w:rsidR="0031211A" w:rsidRPr="008A7BD7">
        <w:rPr>
          <w:rFonts w:ascii="Cambria" w:eastAsia="Times New Roman" w:hAnsi="Cambria" w:cs="Arial"/>
          <w:sz w:val="20"/>
          <w:szCs w:val="20"/>
          <w:lang w:eastAsia="es-ES"/>
        </w:rPr>
        <w:t>agents in charge of providing personal</w:t>
      </w:r>
      <w:r w:rsidR="00622668" w:rsidRPr="008A7BD7">
        <w:rPr>
          <w:rFonts w:ascii="Cambria" w:eastAsia="Times New Roman" w:hAnsi="Cambria" w:cs="Arial"/>
          <w:sz w:val="20"/>
          <w:szCs w:val="20"/>
          <w:lang w:eastAsia="es-ES"/>
        </w:rPr>
        <w:t>ized</w:t>
      </w:r>
      <w:r w:rsidR="0031211A" w:rsidRPr="008A7BD7">
        <w:rPr>
          <w:rFonts w:ascii="Cambria" w:eastAsia="Times New Roman" w:hAnsi="Cambria" w:cs="Arial"/>
          <w:sz w:val="20"/>
          <w:szCs w:val="20"/>
          <w:lang w:eastAsia="es-ES"/>
        </w:rPr>
        <w:t xml:space="preserve"> security to prosecutors whose request was deemed </w:t>
      </w:r>
      <w:r w:rsidR="00622668" w:rsidRPr="008A7BD7">
        <w:rPr>
          <w:rFonts w:ascii="Cambria" w:eastAsia="Times New Roman" w:hAnsi="Cambria" w:cs="Arial"/>
          <w:sz w:val="20"/>
          <w:szCs w:val="20"/>
          <w:lang w:eastAsia="es-ES"/>
        </w:rPr>
        <w:t>to be well-founded</w:t>
      </w:r>
      <w:r w:rsidR="00421BA0" w:rsidRPr="008A7BD7">
        <w:rPr>
          <w:rFonts w:ascii="Cambria" w:eastAsia="Times New Roman" w:hAnsi="Cambria" w:cs="Arial"/>
          <w:sz w:val="20"/>
          <w:szCs w:val="20"/>
          <w:lang w:eastAsia="es-ES"/>
        </w:rPr>
        <w:t>.”</w:t>
      </w:r>
      <w:r w:rsidR="00FF2619" w:rsidRPr="008A7BD7">
        <w:rPr>
          <w:rStyle w:val="FootnoteReference"/>
          <w:rFonts w:ascii="Cambria" w:eastAsia="Times New Roman" w:hAnsi="Cambria" w:cs="Arial"/>
          <w:sz w:val="20"/>
          <w:szCs w:val="20"/>
          <w:lang w:val="es-MX" w:eastAsia="es-ES"/>
        </w:rPr>
        <w:footnoteReference w:id="97"/>
      </w:r>
      <w:r w:rsidR="00FF2619" w:rsidRPr="008A7BD7">
        <w:rPr>
          <w:rFonts w:ascii="Cambria" w:eastAsia="Times New Roman" w:hAnsi="Cambria" w:cs="Arial"/>
          <w:sz w:val="20"/>
          <w:szCs w:val="20"/>
          <w:lang w:eastAsia="es-ES"/>
        </w:rPr>
        <w:t xml:space="preserve"> </w:t>
      </w:r>
      <w:r w:rsidR="00421BA0" w:rsidRPr="008A7BD7">
        <w:rPr>
          <w:rFonts w:ascii="Cambria" w:eastAsia="Times New Roman" w:hAnsi="Cambria" w:cs="Arial"/>
          <w:sz w:val="20"/>
          <w:szCs w:val="20"/>
          <w:lang w:eastAsia="es-ES"/>
        </w:rPr>
        <w:t xml:space="preserve">Likewise, the State noted that </w:t>
      </w:r>
      <w:r w:rsidR="00FF2619" w:rsidRPr="008A7BD7">
        <w:rPr>
          <w:rFonts w:ascii="Cambria" w:eastAsia="Times New Roman" w:hAnsi="Cambria" w:cs="Arial"/>
          <w:sz w:val="20"/>
          <w:szCs w:val="20"/>
          <w:lang w:eastAsia="es-ES"/>
        </w:rPr>
        <w:t>“</w:t>
      </w:r>
      <w:r w:rsidR="00421BA0" w:rsidRPr="008A7BD7">
        <w:rPr>
          <w:rFonts w:ascii="Cambria" w:eastAsia="Times New Roman" w:hAnsi="Cambria" w:cs="Arial"/>
          <w:sz w:val="20"/>
          <w:szCs w:val="20"/>
          <w:lang w:eastAsia="es-ES"/>
        </w:rPr>
        <w:t xml:space="preserve">the two individuals who were reported for removing documents and </w:t>
      </w:r>
      <w:r w:rsidR="007B501A" w:rsidRPr="008A7BD7">
        <w:rPr>
          <w:rFonts w:ascii="Cambria" w:eastAsia="Times New Roman" w:hAnsi="Cambria" w:cs="Arial"/>
          <w:sz w:val="20"/>
          <w:szCs w:val="20"/>
          <w:lang w:eastAsia="es-ES"/>
        </w:rPr>
        <w:t>misplacing</w:t>
      </w:r>
      <w:r w:rsidR="00421BA0" w:rsidRPr="008A7BD7">
        <w:rPr>
          <w:rFonts w:ascii="Cambria" w:eastAsia="Times New Roman" w:hAnsi="Cambria" w:cs="Arial"/>
          <w:sz w:val="20"/>
          <w:szCs w:val="20"/>
          <w:lang w:eastAsia="es-ES"/>
        </w:rPr>
        <w:t xml:space="preserve"> case files in the </w:t>
      </w:r>
      <w:r w:rsidR="007B501A" w:rsidRPr="008A7BD7">
        <w:rPr>
          <w:rFonts w:ascii="Cambria" w:eastAsia="Times New Roman" w:hAnsi="Cambria" w:cs="Arial"/>
          <w:sz w:val="20"/>
          <w:szCs w:val="20"/>
          <w:lang w:eastAsia="es-ES"/>
        </w:rPr>
        <w:t>court</w:t>
      </w:r>
      <w:r w:rsidR="00421BA0" w:rsidRPr="008A7BD7">
        <w:rPr>
          <w:rFonts w:ascii="Cambria" w:eastAsia="Times New Roman" w:hAnsi="Cambria" w:cs="Arial"/>
          <w:sz w:val="20"/>
          <w:szCs w:val="20"/>
          <w:lang w:eastAsia="es-ES"/>
        </w:rPr>
        <w:t xml:space="preserve"> of Judge</w:t>
      </w:r>
      <w:r w:rsidR="00FF2619" w:rsidRPr="008A7BD7">
        <w:rPr>
          <w:rFonts w:ascii="Cambria" w:eastAsia="Times New Roman" w:hAnsi="Cambria" w:cs="Arial"/>
          <w:sz w:val="20"/>
          <w:szCs w:val="20"/>
          <w:lang w:eastAsia="es-ES"/>
        </w:rPr>
        <w:t xml:space="preserve"> Erika </w:t>
      </w:r>
      <w:proofErr w:type="spellStart"/>
      <w:r w:rsidR="00FF2619" w:rsidRPr="008A7BD7">
        <w:rPr>
          <w:rFonts w:ascii="Cambria" w:eastAsia="Times New Roman" w:hAnsi="Cambria" w:cs="Arial"/>
          <w:sz w:val="20"/>
          <w:szCs w:val="20"/>
          <w:lang w:eastAsia="es-ES"/>
        </w:rPr>
        <w:t>Aifán</w:t>
      </w:r>
      <w:proofErr w:type="spellEnd"/>
      <w:r w:rsidR="00421BA0" w:rsidRPr="008A7BD7">
        <w:rPr>
          <w:rFonts w:ascii="Cambria" w:eastAsia="Times New Roman" w:hAnsi="Cambria" w:cs="Arial"/>
          <w:sz w:val="20"/>
          <w:szCs w:val="20"/>
          <w:lang w:eastAsia="es-ES"/>
        </w:rPr>
        <w:t xml:space="preserve"> were </w:t>
      </w:r>
      <w:r w:rsidR="006574AA" w:rsidRPr="008A7BD7">
        <w:rPr>
          <w:rFonts w:ascii="Cambria" w:eastAsia="Times New Roman" w:hAnsi="Cambria" w:cs="Arial"/>
          <w:sz w:val="20"/>
          <w:szCs w:val="20"/>
          <w:lang w:eastAsia="es-ES"/>
        </w:rPr>
        <w:t>punished</w:t>
      </w:r>
      <w:r w:rsidR="00421BA0" w:rsidRPr="008A7BD7">
        <w:rPr>
          <w:rFonts w:ascii="Cambria" w:eastAsia="Times New Roman" w:hAnsi="Cambria" w:cs="Arial"/>
          <w:sz w:val="20"/>
          <w:szCs w:val="20"/>
          <w:lang w:eastAsia="es-ES"/>
        </w:rPr>
        <w:t xml:space="preserve"> via the judiciary</w:t>
      </w:r>
      <w:r w:rsidR="006574AA" w:rsidRPr="008A7BD7">
        <w:rPr>
          <w:rFonts w:ascii="Cambria" w:eastAsia="Times New Roman" w:hAnsi="Cambria" w:cs="Arial"/>
          <w:sz w:val="20"/>
          <w:szCs w:val="20"/>
          <w:lang w:eastAsia="es-ES"/>
        </w:rPr>
        <w:t>’s disciplinary system by being suspended for more than 20 days without pay.”</w:t>
      </w:r>
      <w:r w:rsidR="00FF2619" w:rsidRPr="008A7BD7">
        <w:rPr>
          <w:rStyle w:val="FootnoteReference"/>
          <w:rFonts w:ascii="Cambria" w:eastAsia="Times New Roman" w:hAnsi="Cambria" w:cs="Arial"/>
          <w:sz w:val="20"/>
          <w:szCs w:val="20"/>
          <w:lang w:val="es-MX" w:eastAsia="es-ES"/>
        </w:rPr>
        <w:footnoteReference w:id="98"/>
      </w:r>
    </w:p>
    <w:p w14:paraId="15018C51" w14:textId="77777777" w:rsidR="00FF2619" w:rsidRPr="008A7BD7" w:rsidRDefault="00FF2619" w:rsidP="00FF2619">
      <w:pPr>
        <w:pStyle w:val="ListParagraph"/>
        <w:rPr>
          <w:rFonts w:ascii="Cambria" w:eastAsia="Times New Roman" w:hAnsi="Cambria" w:cs="Arial"/>
          <w:sz w:val="20"/>
          <w:szCs w:val="20"/>
          <w:lang w:eastAsia="es-ES"/>
        </w:rPr>
      </w:pPr>
    </w:p>
    <w:p w14:paraId="7770C794" w14:textId="3A8C52E9" w:rsidR="00FF2619" w:rsidRPr="008A7BD7" w:rsidRDefault="00585746" w:rsidP="00FF2619">
      <w:pPr>
        <w:numPr>
          <w:ilvl w:val="0"/>
          <w:numId w:val="2"/>
        </w:numPr>
        <w:ind w:left="0" w:firstLine="720"/>
        <w:jc w:val="both"/>
        <w:rPr>
          <w:rFonts w:ascii="Cambria" w:eastAsia="Times New Roman" w:hAnsi="Cambria" w:cs="Arial"/>
          <w:sz w:val="20"/>
          <w:szCs w:val="20"/>
          <w:lang w:eastAsia="es-ES"/>
        </w:rPr>
      </w:pPr>
      <w:r w:rsidRPr="008A7BD7">
        <w:rPr>
          <w:rFonts w:ascii="Cambria" w:eastAsia="Times New Roman" w:hAnsi="Cambria" w:cs="Arial"/>
          <w:sz w:val="20"/>
          <w:szCs w:val="20"/>
          <w:lang w:eastAsia="es-ES"/>
        </w:rPr>
        <w:t>The State also indicated that it “</w:t>
      </w:r>
      <w:r w:rsidR="008A4CC2" w:rsidRPr="008A7BD7">
        <w:rPr>
          <w:rFonts w:ascii="Cambria" w:eastAsia="Times New Roman" w:hAnsi="Cambria" w:cs="Arial"/>
          <w:sz w:val="20"/>
          <w:szCs w:val="20"/>
          <w:lang w:eastAsia="es-ES"/>
        </w:rPr>
        <w:t>keeps</w:t>
      </w:r>
      <w:r w:rsidRPr="008A7BD7">
        <w:rPr>
          <w:rFonts w:ascii="Cambria" w:eastAsia="Times New Roman" w:hAnsi="Cambria" w:cs="Arial"/>
          <w:sz w:val="20"/>
          <w:szCs w:val="20"/>
          <w:lang w:eastAsia="es-ES"/>
        </w:rPr>
        <w:t xml:space="preserve"> </w:t>
      </w:r>
      <w:r w:rsidR="008A4CC2" w:rsidRPr="008A7BD7">
        <w:rPr>
          <w:rFonts w:ascii="Cambria" w:eastAsia="Times New Roman" w:hAnsi="Cambria" w:cs="Arial"/>
          <w:sz w:val="20"/>
          <w:szCs w:val="20"/>
          <w:lang w:eastAsia="es-ES"/>
        </w:rPr>
        <w:t xml:space="preserve">communication </w:t>
      </w:r>
      <w:r w:rsidRPr="008A7BD7">
        <w:rPr>
          <w:rFonts w:ascii="Cambria" w:eastAsia="Times New Roman" w:hAnsi="Cambria" w:cs="Arial"/>
          <w:sz w:val="20"/>
          <w:szCs w:val="20"/>
          <w:lang w:eastAsia="es-ES"/>
        </w:rPr>
        <w:t xml:space="preserve">channels </w:t>
      </w:r>
      <w:r w:rsidR="008A4CC2" w:rsidRPr="008A7BD7">
        <w:rPr>
          <w:rFonts w:ascii="Cambria" w:eastAsia="Times New Roman" w:hAnsi="Cambria" w:cs="Arial"/>
          <w:sz w:val="20"/>
          <w:szCs w:val="20"/>
          <w:lang w:eastAsia="es-ES"/>
        </w:rPr>
        <w:t xml:space="preserve">open </w:t>
      </w:r>
      <w:r w:rsidRPr="008A7BD7">
        <w:rPr>
          <w:rFonts w:ascii="Cambria" w:eastAsia="Times New Roman" w:hAnsi="Cambria" w:cs="Arial"/>
          <w:sz w:val="20"/>
          <w:szCs w:val="20"/>
          <w:lang w:eastAsia="es-ES"/>
        </w:rPr>
        <w:t>and does the appropriate follow-up with respect to individuals with precautionary measures.</w:t>
      </w:r>
      <w:r w:rsidR="00FF2619" w:rsidRPr="008A7BD7">
        <w:rPr>
          <w:rFonts w:ascii="Cambria" w:eastAsia="Times New Roman" w:hAnsi="Cambria" w:cs="Arial"/>
          <w:sz w:val="20"/>
          <w:szCs w:val="20"/>
          <w:lang w:eastAsia="es-ES"/>
        </w:rPr>
        <w:t xml:space="preserve">” </w:t>
      </w:r>
      <w:r w:rsidRPr="008A7BD7">
        <w:rPr>
          <w:rFonts w:ascii="Cambria" w:eastAsia="Times New Roman" w:hAnsi="Cambria" w:cs="Arial"/>
          <w:sz w:val="20"/>
          <w:szCs w:val="20"/>
          <w:lang w:eastAsia="es-ES"/>
        </w:rPr>
        <w:t xml:space="preserve">In this regard, it reported that on September 10, </w:t>
      </w:r>
      <w:r w:rsidR="00FF2619" w:rsidRPr="008A7BD7">
        <w:rPr>
          <w:rFonts w:ascii="Cambria" w:eastAsia="Times New Roman" w:hAnsi="Cambria" w:cs="Arial"/>
          <w:sz w:val="20"/>
          <w:szCs w:val="20"/>
          <w:lang w:eastAsia="es-ES"/>
        </w:rPr>
        <w:t xml:space="preserve">2021, </w:t>
      </w:r>
      <w:r w:rsidR="00E826F3" w:rsidRPr="008A7BD7">
        <w:rPr>
          <w:rFonts w:ascii="Cambria" w:eastAsia="Times New Roman" w:hAnsi="Cambria" w:cs="Arial"/>
          <w:sz w:val="20"/>
          <w:szCs w:val="20"/>
          <w:lang w:eastAsia="es-ES"/>
        </w:rPr>
        <w:t xml:space="preserve">a meeting was held with Judge </w:t>
      </w:r>
      <w:r w:rsidR="00FF2619" w:rsidRPr="008A7BD7">
        <w:rPr>
          <w:rFonts w:ascii="Cambria" w:eastAsia="Times New Roman" w:hAnsi="Cambria" w:cs="Arial"/>
          <w:sz w:val="20"/>
          <w:szCs w:val="20"/>
          <w:lang w:eastAsia="es-ES"/>
        </w:rPr>
        <w:t xml:space="preserve">Miguel </w:t>
      </w:r>
      <w:proofErr w:type="spellStart"/>
      <w:r w:rsidR="00FF2619" w:rsidRPr="008A7BD7">
        <w:rPr>
          <w:rFonts w:ascii="Cambria" w:eastAsia="Times New Roman" w:hAnsi="Cambria" w:cs="Arial"/>
          <w:sz w:val="20"/>
          <w:szCs w:val="20"/>
          <w:lang w:eastAsia="es-ES"/>
        </w:rPr>
        <w:t>Ángel</w:t>
      </w:r>
      <w:proofErr w:type="spellEnd"/>
      <w:r w:rsidR="00FF2619" w:rsidRPr="008A7BD7">
        <w:rPr>
          <w:rFonts w:ascii="Cambria" w:eastAsia="Times New Roman" w:hAnsi="Cambria" w:cs="Arial"/>
          <w:sz w:val="20"/>
          <w:szCs w:val="20"/>
          <w:lang w:eastAsia="es-ES"/>
        </w:rPr>
        <w:t xml:space="preserve"> </w:t>
      </w:r>
      <w:proofErr w:type="spellStart"/>
      <w:r w:rsidR="00FF2619" w:rsidRPr="008A7BD7">
        <w:rPr>
          <w:rFonts w:ascii="Cambria" w:eastAsia="Times New Roman" w:hAnsi="Cambria" w:cs="Arial"/>
          <w:sz w:val="20"/>
          <w:szCs w:val="20"/>
          <w:lang w:eastAsia="es-ES"/>
        </w:rPr>
        <w:t>Gálvez</w:t>
      </w:r>
      <w:proofErr w:type="spellEnd"/>
      <w:r w:rsidR="00FF2619" w:rsidRPr="008A7BD7">
        <w:rPr>
          <w:rFonts w:ascii="Cambria" w:eastAsia="Times New Roman" w:hAnsi="Cambria" w:cs="Arial"/>
          <w:sz w:val="20"/>
          <w:szCs w:val="20"/>
          <w:lang w:eastAsia="es-ES"/>
        </w:rPr>
        <w:t xml:space="preserve">, COPADEH, </w:t>
      </w:r>
      <w:r w:rsidR="00E826F3" w:rsidRPr="008A7BD7">
        <w:rPr>
          <w:rFonts w:ascii="Cambria" w:eastAsia="Times New Roman" w:hAnsi="Cambria" w:cs="Arial"/>
          <w:sz w:val="20"/>
          <w:szCs w:val="20"/>
          <w:lang w:eastAsia="es-ES"/>
        </w:rPr>
        <w:t>the Office of the Public Prosecutor, the Interior Ministry, and the judiciary</w:t>
      </w:r>
      <w:r w:rsidR="0052766E" w:rsidRPr="008A7BD7">
        <w:rPr>
          <w:rFonts w:ascii="Cambria" w:eastAsia="Times New Roman" w:hAnsi="Cambria" w:cs="Arial"/>
          <w:sz w:val="20"/>
          <w:szCs w:val="20"/>
          <w:lang w:eastAsia="es-ES"/>
        </w:rPr>
        <w:t xml:space="preserve"> to reach agreement on precautionary measures</w:t>
      </w:r>
      <w:r w:rsidR="00E826F3" w:rsidRPr="008A7BD7">
        <w:rPr>
          <w:rFonts w:ascii="Cambria" w:eastAsia="Times New Roman" w:hAnsi="Cambria" w:cs="Arial"/>
          <w:sz w:val="20"/>
          <w:szCs w:val="20"/>
          <w:lang w:eastAsia="es-ES"/>
        </w:rPr>
        <w:t xml:space="preserve">. At the meeting, it was agreed that Judge </w:t>
      </w:r>
      <w:r w:rsidR="00FF2619" w:rsidRPr="008A7BD7">
        <w:rPr>
          <w:rFonts w:ascii="Cambria" w:eastAsia="Times New Roman" w:hAnsi="Cambria" w:cs="Arial"/>
          <w:sz w:val="20"/>
          <w:szCs w:val="20"/>
          <w:lang w:eastAsia="es-ES"/>
        </w:rPr>
        <w:t xml:space="preserve">Miguel </w:t>
      </w:r>
      <w:proofErr w:type="spellStart"/>
      <w:r w:rsidR="00FF2619" w:rsidRPr="008A7BD7">
        <w:rPr>
          <w:rFonts w:ascii="Cambria" w:eastAsia="Times New Roman" w:hAnsi="Cambria" w:cs="Arial"/>
          <w:sz w:val="20"/>
          <w:szCs w:val="20"/>
          <w:lang w:eastAsia="es-ES"/>
        </w:rPr>
        <w:t>Gálvez</w:t>
      </w:r>
      <w:proofErr w:type="spellEnd"/>
      <w:r w:rsidR="00FF2619" w:rsidRPr="008A7BD7">
        <w:rPr>
          <w:rFonts w:ascii="Cambria" w:eastAsia="Times New Roman" w:hAnsi="Cambria" w:cs="Arial"/>
          <w:sz w:val="20"/>
          <w:szCs w:val="20"/>
          <w:lang w:eastAsia="es-ES"/>
        </w:rPr>
        <w:t xml:space="preserve"> </w:t>
      </w:r>
      <w:r w:rsidR="001E3F30" w:rsidRPr="008A7BD7">
        <w:rPr>
          <w:rFonts w:ascii="Cambria" w:eastAsia="Times New Roman" w:hAnsi="Cambria" w:cs="Arial"/>
          <w:sz w:val="20"/>
          <w:szCs w:val="20"/>
          <w:lang w:eastAsia="es-ES"/>
        </w:rPr>
        <w:t>would</w:t>
      </w:r>
      <w:r w:rsidR="00E826F3" w:rsidRPr="008A7BD7">
        <w:rPr>
          <w:rFonts w:ascii="Cambria" w:eastAsia="Times New Roman" w:hAnsi="Cambria" w:cs="Arial"/>
          <w:sz w:val="20"/>
          <w:szCs w:val="20"/>
          <w:lang w:eastAsia="es-ES"/>
        </w:rPr>
        <w:t xml:space="preserve"> go to the </w:t>
      </w:r>
      <w:r w:rsidR="00FF2619" w:rsidRPr="008A7BD7">
        <w:rPr>
          <w:rFonts w:ascii="Cambria" w:eastAsia="Times New Roman" w:hAnsi="Cambria" w:cs="Arial"/>
          <w:sz w:val="20"/>
          <w:szCs w:val="20"/>
          <w:lang w:eastAsia="es-ES"/>
        </w:rPr>
        <w:t>San Lucas Sacatepéquez</w:t>
      </w:r>
      <w:r w:rsidR="00E826F3" w:rsidRPr="008A7BD7">
        <w:rPr>
          <w:rFonts w:ascii="Cambria" w:eastAsia="Times New Roman" w:hAnsi="Cambria" w:cs="Arial"/>
          <w:sz w:val="20"/>
          <w:szCs w:val="20"/>
          <w:lang w:eastAsia="es-ES"/>
        </w:rPr>
        <w:t xml:space="preserve"> Police Station </w:t>
      </w:r>
      <w:r w:rsidR="001E3F30" w:rsidRPr="008A7BD7">
        <w:rPr>
          <w:rFonts w:ascii="Cambria" w:eastAsia="Times New Roman" w:hAnsi="Cambria" w:cs="Arial"/>
          <w:sz w:val="20"/>
          <w:szCs w:val="20"/>
          <w:lang w:eastAsia="es-ES"/>
        </w:rPr>
        <w:t xml:space="preserve">on September 18 so that </w:t>
      </w:r>
      <w:r w:rsidR="00E826F3" w:rsidRPr="008A7BD7">
        <w:rPr>
          <w:rFonts w:ascii="Cambria" w:eastAsia="Times New Roman" w:hAnsi="Cambria" w:cs="Arial"/>
          <w:sz w:val="20"/>
          <w:szCs w:val="20"/>
          <w:lang w:eastAsia="es-ES"/>
        </w:rPr>
        <w:t xml:space="preserve">a new risk analysis </w:t>
      </w:r>
      <w:r w:rsidR="001E3F30" w:rsidRPr="008A7BD7">
        <w:rPr>
          <w:rFonts w:ascii="Cambria" w:eastAsia="Times New Roman" w:hAnsi="Cambria" w:cs="Arial"/>
          <w:sz w:val="20"/>
          <w:szCs w:val="20"/>
          <w:lang w:eastAsia="es-ES"/>
        </w:rPr>
        <w:t xml:space="preserve">could be performed </w:t>
      </w:r>
      <w:r w:rsidR="008A4CC2" w:rsidRPr="008A7BD7">
        <w:rPr>
          <w:rFonts w:ascii="Cambria" w:eastAsia="Times New Roman" w:hAnsi="Cambria" w:cs="Arial"/>
          <w:sz w:val="20"/>
          <w:szCs w:val="20"/>
          <w:lang w:eastAsia="es-ES"/>
        </w:rPr>
        <w:t>with respect to</w:t>
      </w:r>
      <w:r w:rsidR="00E826F3" w:rsidRPr="008A7BD7">
        <w:rPr>
          <w:rFonts w:ascii="Cambria" w:eastAsia="Times New Roman" w:hAnsi="Cambria" w:cs="Arial"/>
          <w:sz w:val="20"/>
          <w:szCs w:val="20"/>
          <w:lang w:eastAsia="es-ES"/>
        </w:rPr>
        <w:t xml:space="preserve"> the beneficiary; it was also agreed that Judge </w:t>
      </w:r>
      <w:proofErr w:type="spellStart"/>
      <w:r w:rsidR="00FF2619" w:rsidRPr="008A7BD7">
        <w:rPr>
          <w:rFonts w:ascii="Cambria" w:eastAsia="Times New Roman" w:hAnsi="Cambria" w:cs="Arial"/>
          <w:sz w:val="20"/>
          <w:szCs w:val="20"/>
          <w:lang w:eastAsia="es-ES"/>
        </w:rPr>
        <w:t>Gálvez</w:t>
      </w:r>
      <w:proofErr w:type="spellEnd"/>
      <w:r w:rsidR="00FF2619" w:rsidRPr="008A7BD7">
        <w:rPr>
          <w:rFonts w:ascii="Cambria" w:eastAsia="Times New Roman" w:hAnsi="Cambria" w:cs="Arial"/>
          <w:sz w:val="20"/>
          <w:szCs w:val="20"/>
          <w:lang w:eastAsia="es-ES"/>
        </w:rPr>
        <w:t xml:space="preserve"> </w:t>
      </w:r>
      <w:r w:rsidR="001E3F30" w:rsidRPr="008A7BD7">
        <w:rPr>
          <w:rFonts w:ascii="Cambria" w:eastAsia="Times New Roman" w:hAnsi="Cambria" w:cs="Arial"/>
          <w:sz w:val="20"/>
          <w:szCs w:val="20"/>
          <w:lang w:eastAsia="es-ES"/>
        </w:rPr>
        <w:t xml:space="preserve">would go on September </w:t>
      </w:r>
      <w:r w:rsidR="00FF2619" w:rsidRPr="008A7BD7">
        <w:rPr>
          <w:rFonts w:ascii="Cambria" w:eastAsia="Times New Roman" w:hAnsi="Cambria" w:cs="Arial"/>
          <w:sz w:val="20"/>
          <w:szCs w:val="20"/>
          <w:lang w:eastAsia="es-ES"/>
        </w:rPr>
        <w:t xml:space="preserve">16 </w:t>
      </w:r>
      <w:r w:rsidR="001E3F30" w:rsidRPr="008A7BD7">
        <w:rPr>
          <w:rFonts w:ascii="Cambria" w:eastAsia="Times New Roman" w:hAnsi="Cambria" w:cs="Arial"/>
          <w:sz w:val="20"/>
          <w:szCs w:val="20"/>
          <w:lang w:eastAsia="es-ES"/>
        </w:rPr>
        <w:t xml:space="preserve">of </w:t>
      </w:r>
      <w:r w:rsidR="002341E8" w:rsidRPr="008A7BD7">
        <w:rPr>
          <w:rFonts w:ascii="Cambria" w:eastAsia="Times New Roman" w:hAnsi="Cambria" w:cs="Arial"/>
          <w:sz w:val="20"/>
          <w:szCs w:val="20"/>
          <w:lang w:eastAsia="es-ES"/>
        </w:rPr>
        <w:t>the same</w:t>
      </w:r>
      <w:r w:rsidR="001E3F30" w:rsidRPr="008A7BD7">
        <w:rPr>
          <w:rFonts w:ascii="Cambria" w:eastAsia="Times New Roman" w:hAnsi="Cambria" w:cs="Arial"/>
          <w:sz w:val="20"/>
          <w:szCs w:val="20"/>
          <w:lang w:eastAsia="es-ES"/>
        </w:rPr>
        <w:t xml:space="preserve"> year to the </w:t>
      </w:r>
      <w:r w:rsidR="008A4CC2" w:rsidRPr="008A7BD7">
        <w:rPr>
          <w:rFonts w:ascii="Cambria" w:eastAsia="Times New Roman" w:hAnsi="Cambria" w:cs="Arial"/>
          <w:sz w:val="20"/>
          <w:szCs w:val="20"/>
          <w:lang w:eastAsia="es-ES"/>
        </w:rPr>
        <w:t xml:space="preserve">Public Prosecutor’s </w:t>
      </w:r>
      <w:r w:rsidR="001E3F30" w:rsidRPr="008A7BD7">
        <w:rPr>
          <w:rFonts w:ascii="Cambria" w:eastAsia="Times New Roman" w:hAnsi="Cambria" w:cs="Arial"/>
          <w:sz w:val="20"/>
          <w:szCs w:val="20"/>
          <w:lang w:eastAsia="es-ES"/>
        </w:rPr>
        <w:t xml:space="preserve">Office </w:t>
      </w:r>
      <w:r w:rsidR="008A4CC2" w:rsidRPr="008A7BD7">
        <w:rPr>
          <w:rFonts w:ascii="Cambria" w:eastAsia="Times New Roman" w:hAnsi="Cambria" w:cs="Arial"/>
          <w:sz w:val="20"/>
          <w:szCs w:val="20"/>
          <w:lang w:eastAsia="es-ES"/>
        </w:rPr>
        <w:t>for</w:t>
      </w:r>
      <w:r w:rsidR="001E3F30" w:rsidRPr="008A7BD7">
        <w:rPr>
          <w:rFonts w:ascii="Cambria" w:eastAsia="Times New Roman" w:hAnsi="Cambria" w:cs="Arial"/>
          <w:sz w:val="20"/>
          <w:szCs w:val="20"/>
          <w:lang w:eastAsia="es-ES"/>
        </w:rPr>
        <w:t xml:space="preserve"> Crimes against </w:t>
      </w:r>
      <w:r w:rsidR="008A4CC2" w:rsidRPr="008A7BD7">
        <w:rPr>
          <w:rFonts w:ascii="Cambria" w:eastAsia="Times New Roman" w:hAnsi="Cambria" w:cs="Arial"/>
          <w:sz w:val="20"/>
          <w:szCs w:val="20"/>
          <w:lang w:eastAsia="es-ES"/>
        </w:rPr>
        <w:t>Justice Operators and Members of Trade Unions</w:t>
      </w:r>
      <w:r w:rsidR="00FF2619" w:rsidRPr="008A7BD7">
        <w:rPr>
          <w:rFonts w:ascii="Cambria" w:eastAsia="Times New Roman" w:hAnsi="Cambria" w:cs="Arial"/>
          <w:sz w:val="20"/>
          <w:szCs w:val="20"/>
          <w:lang w:eastAsia="es-ES"/>
        </w:rPr>
        <w:t xml:space="preserve">. </w:t>
      </w:r>
      <w:r w:rsidR="008A4CC2" w:rsidRPr="008A7BD7">
        <w:rPr>
          <w:rFonts w:ascii="Cambria" w:eastAsia="Times New Roman" w:hAnsi="Cambria" w:cs="Arial"/>
          <w:sz w:val="20"/>
          <w:szCs w:val="20"/>
          <w:lang w:eastAsia="es-ES"/>
        </w:rPr>
        <w:t xml:space="preserve">However, the State noted that Judge </w:t>
      </w:r>
      <w:proofErr w:type="spellStart"/>
      <w:r w:rsidR="00FF2619" w:rsidRPr="008A7BD7">
        <w:rPr>
          <w:rFonts w:ascii="Cambria" w:eastAsia="Times New Roman" w:hAnsi="Cambria" w:cs="Arial"/>
          <w:sz w:val="20"/>
          <w:szCs w:val="20"/>
          <w:lang w:eastAsia="es-ES"/>
        </w:rPr>
        <w:t>Gálvez</w:t>
      </w:r>
      <w:proofErr w:type="spellEnd"/>
      <w:r w:rsidR="00FF2619" w:rsidRPr="008A7BD7">
        <w:rPr>
          <w:rFonts w:ascii="Cambria" w:eastAsia="Times New Roman" w:hAnsi="Cambria" w:cs="Arial"/>
          <w:sz w:val="20"/>
          <w:szCs w:val="20"/>
          <w:lang w:eastAsia="es-ES"/>
        </w:rPr>
        <w:t xml:space="preserve"> </w:t>
      </w:r>
      <w:r w:rsidR="008A4CC2" w:rsidRPr="008A7BD7">
        <w:rPr>
          <w:rFonts w:ascii="Cambria" w:eastAsia="Times New Roman" w:hAnsi="Cambria" w:cs="Arial"/>
          <w:sz w:val="20"/>
          <w:szCs w:val="20"/>
          <w:lang w:eastAsia="es-ES"/>
        </w:rPr>
        <w:t xml:space="preserve">did not </w:t>
      </w:r>
      <w:r w:rsidR="002341E8" w:rsidRPr="008A7BD7">
        <w:rPr>
          <w:rFonts w:ascii="Cambria" w:eastAsia="Times New Roman" w:hAnsi="Cambria" w:cs="Arial"/>
          <w:sz w:val="20"/>
          <w:szCs w:val="20"/>
          <w:lang w:eastAsia="es-ES"/>
        </w:rPr>
        <w:t>appear at</w:t>
      </w:r>
      <w:r w:rsidR="008A4CC2" w:rsidRPr="008A7BD7">
        <w:rPr>
          <w:rFonts w:ascii="Cambria" w:eastAsia="Times New Roman" w:hAnsi="Cambria" w:cs="Arial"/>
          <w:sz w:val="20"/>
          <w:szCs w:val="20"/>
          <w:lang w:eastAsia="es-ES"/>
        </w:rPr>
        <w:t xml:space="preserve"> either, “making it impossible to establish the beneficiary’s </w:t>
      </w:r>
      <w:r w:rsidR="002341E8" w:rsidRPr="008A7BD7">
        <w:rPr>
          <w:rFonts w:ascii="Cambria" w:eastAsia="Times New Roman" w:hAnsi="Cambria" w:cs="Arial"/>
          <w:sz w:val="20"/>
          <w:szCs w:val="20"/>
          <w:lang w:eastAsia="es-ES"/>
        </w:rPr>
        <w:t xml:space="preserve">current </w:t>
      </w:r>
      <w:r w:rsidR="008A4CC2" w:rsidRPr="008A7BD7">
        <w:rPr>
          <w:rFonts w:ascii="Cambria" w:eastAsia="Times New Roman" w:hAnsi="Cambria" w:cs="Arial"/>
          <w:sz w:val="20"/>
          <w:szCs w:val="20"/>
          <w:lang w:eastAsia="es-ES"/>
        </w:rPr>
        <w:t xml:space="preserve">risk status and establish the security measures appropriate </w:t>
      </w:r>
      <w:r w:rsidR="002341E8" w:rsidRPr="008A7BD7">
        <w:rPr>
          <w:rFonts w:ascii="Cambria" w:eastAsia="Times New Roman" w:hAnsi="Cambria" w:cs="Arial"/>
          <w:sz w:val="20"/>
          <w:szCs w:val="20"/>
          <w:lang w:eastAsia="es-ES"/>
        </w:rPr>
        <w:t>to</w:t>
      </w:r>
      <w:r w:rsidR="008A4CC2" w:rsidRPr="008A7BD7">
        <w:rPr>
          <w:rFonts w:ascii="Cambria" w:eastAsia="Times New Roman" w:hAnsi="Cambria" w:cs="Arial"/>
          <w:sz w:val="20"/>
          <w:szCs w:val="20"/>
          <w:lang w:eastAsia="es-ES"/>
        </w:rPr>
        <w:t xml:space="preserve"> his current situation.</w:t>
      </w:r>
      <w:r w:rsidR="002341E8" w:rsidRPr="008A7BD7">
        <w:rPr>
          <w:rFonts w:ascii="Cambria" w:eastAsia="Times New Roman" w:hAnsi="Cambria" w:cs="Arial"/>
          <w:sz w:val="20"/>
          <w:szCs w:val="20"/>
          <w:lang w:eastAsia="es-ES"/>
        </w:rPr>
        <w:t xml:space="preserve"> </w:t>
      </w:r>
      <w:r w:rsidR="002F1485" w:rsidRPr="008A7BD7">
        <w:rPr>
          <w:rFonts w:ascii="Cambria" w:eastAsia="Times New Roman" w:hAnsi="Cambria" w:cs="Arial"/>
          <w:sz w:val="20"/>
          <w:szCs w:val="20"/>
          <w:lang w:eastAsia="es-ES"/>
        </w:rPr>
        <w:t xml:space="preserve">Moreover, the investigation into the threats and harassment </w:t>
      </w:r>
      <w:r w:rsidR="002341E8" w:rsidRPr="008A7BD7">
        <w:rPr>
          <w:rFonts w:ascii="Cambria" w:eastAsia="Times New Roman" w:hAnsi="Cambria" w:cs="Arial"/>
          <w:sz w:val="20"/>
          <w:szCs w:val="20"/>
          <w:lang w:eastAsia="es-ES"/>
        </w:rPr>
        <w:t>of</w:t>
      </w:r>
      <w:r w:rsidR="002F1485" w:rsidRPr="008A7BD7">
        <w:rPr>
          <w:rFonts w:ascii="Cambria" w:eastAsia="Times New Roman" w:hAnsi="Cambria" w:cs="Arial"/>
          <w:sz w:val="20"/>
          <w:szCs w:val="20"/>
          <w:lang w:eastAsia="es-ES"/>
        </w:rPr>
        <w:t xml:space="preserve"> which he indicates he is a victim</w:t>
      </w:r>
      <w:r w:rsidR="008A4CC2" w:rsidRPr="008A7BD7">
        <w:rPr>
          <w:rFonts w:ascii="Cambria" w:eastAsia="Times New Roman" w:hAnsi="Cambria" w:cs="Arial"/>
          <w:sz w:val="20"/>
          <w:szCs w:val="20"/>
          <w:lang w:eastAsia="es-ES"/>
        </w:rPr>
        <w:t xml:space="preserve"> </w:t>
      </w:r>
      <w:r w:rsidR="002F1485" w:rsidRPr="008A7BD7">
        <w:rPr>
          <w:rFonts w:ascii="Cambria" w:eastAsia="Times New Roman" w:hAnsi="Cambria" w:cs="Arial"/>
          <w:sz w:val="20"/>
          <w:szCs w:val="20"/>
          <w:lang w:eastAsia="es-ES"/>
        </w:rPr>
        <w:t>cannot proceed, as he is not providing the necessary elements of investigation.”</w:t>
      </w:r>
      <w:r w:rsidR="00FF2619" w:rsidRPr="008A7BD7">
        <w:rPr>
          <w:rStyle w:val="FootnoteReference"/>
          <w:rFonts w:ascii="Cambria" w:eastAsia="Times New Roman" w:hAnsi="Cambria" w:cs="Arial"/>
          <w:sz w:val="20"/>
          <w:szCs w:val="20"/>
          <w:lang w:val="es-MX" w:eastAsia="es-ES"/>
        </w:rPr>
        <w:footnoteReference w:id="99"/>
      </w:r>
      <w:r w:rsidR="00FF2619" w:rsidRPr="008A7BD7">
        <w:rPr>
          <w:rFonts w:ascii="Cambria" w:eastAsia="Times New Roman" w:hAnsi="Cambria" w:cs="Arial"/>
          <w:sz w:val="20"/>
          <w:szCs w:val="20"/>
          <w:lang w:eastAsia="es-ES"/>
        </w:rPr>
        <w:t xml:space="preserve"> </w:t>
      </w:r>
    </w:p>
    <w:p w14:paraId="3CA575E5" w14:textId="77777777" w:rsidR="00FF2619" w:rsidRPr="008A7BD7" w:rsidRDefault="00FF2619" w:rsidP="00FF2619">
      <w:pPr>
        <w:ind w:left="720"/>
        <w:jc w:val="both"/>
        <w:rPr>
          <w:rFonts w:ascii="Cambria" w:eastAsia="Times New Roman" w:hAnsi="Cambria" w:cs="Arial"/>
          <w:sz w:val="20"/>
          <w:szCs w:val="20"/>
          <w:lang w:eastAsia="es-ES"/>
        </w:rPr>
      </w:pPr>
    </w:p>
    <w:p w14:paraId="03A19419" w14:textId="7FCCFCD7" w:rsidR="00FF2619" w:rsidRPr="008A7BD7" w:rsidRDefault="00D666BD" w:rsidP="00FF2619">
      <w:pPr>
        <w:numPr>
          <w:ilvl w:val="0"/>
          <w:numId w:val="2"/>
        </w:numPr>
        <w:ind w:left="0" w:firstLine="720"/>
        <w:jc w:val="both"/>
        <w:rPr>
          <w:rFonts w:ascii="Cambria" w:eastAsia="Times New Roman" w:hAnsi="Cambria" w:cs="Arial"/>
          <w:sz w:val="20"/>
          <w:szCs w:val="20"/>
          <w:lang w:eastAsia="es-ES"/>
        </w:rPr>
      </w:pPr>
      <w:r w:rsidRPr="008A7BD7">
        <w:rPr>
          <w:rFonts w:ascii="Cambria" w:eastAsia="Times New Roman" w:hAnsi="Cambria" w:cs="Arial"/>
          <w:sz w:val="20"/>
          <w:szCs w:val="20"/>
          <w:lang w:eastAsia="es-ES"/>
        </w:rPr>
        <w:t xml:space="preserve">Finally, in the view of the Guatemalan State, </w:t>
      </w:r>
      <w:r w:rsidR="00FF2619" w:rsidRPr="008A7BD7">
        <w:rPr>
          <w:rFonts w:ascii="Cambria" w:eastAsia="Times New Roman" w:hAnsi="Cambria" w:cs="Arial"/>
          <w:sz w:val="20"/>
          <w:szCs w:val="20"/>
          <w:lang w:eastAsia="es-ES"/>
        </w:rPr>
        <w:t>“</w:t>
      </w:r>
      <w:r w:rsidRPr="008A7BD7">
        <w:rPr>
          <w:rFonts w:ascii="Cambria" w:eastAsia="Times New Roman" w:hAnsi="Cambria" w:cs="Arial"/>
          <w:sz w:val="20"/>
          <w:szCs w:val="20"/>
          <w:lang w:eastAsia="es-ES"/>
        </w:rPr>
        <w:t xml:space="preserve">an important piece of information that </w:t>
      </w:r>
      <w:r w:rsidR="00B556AE" w:rsidRPr="008A7BD7">
        <w:rPr>
          <w:rFonts w:ascii="Cambria" w:eastAsia="Times New Roman" w:hAnsi="Cambria" w:cs="Arial"/>
          <w:sz w:val="20"/>
          <w:szCs w:val="20"/>
          <w:lang w:eastAsia="es-ES"/>
        </w:rPr>
        <w:t>points to</w:t>
      </w:r>
      <w:r w:rsidRPr="008A7BD7">
        <w:rPr>
          <w:rFonts w:ascii="Cambria" w:eastAsia="Times New Roman" w:hAnsi="Cambria" w:cs="Arial"/>
          <w:sz w:val="20"/>
          <w:szCs w:val="20"/>
          <w:lang w:eastAsia="es-ES"/>
        </w:rPr>
        <w:t xml:space="preserve"> the current situation of the judicial branch in the country is, without a doubt, </w:t>
      </w:r>
      <w:r w:rsidR="00B81F98" w:rsidRPr="008A7BD7">
        <w:rPr>
          <w:rFonts w:ascii="Cambria" w:eastAsia="Times New Roman" w:hAnsi="Cambria" w:cs="Arial"/>
          <w:sz w:val="20"/>
          <w:szCs w:val="20"/>
          <w:lang w:eastAsia="es-ES"/>
        </w:rPr>
        <w:t>the existence of</w:t>
      </w:r>
      <w:r w:rsidRPr="008A7BD7">
        <w:rPr>
          <w:rFonts w:ascii="Cambria" w:eastAsia="Times New Roman" w:hAnsi="Cambria" w:cs="Arial"/>
          <w:sz w:val="20"/>
          <w:szCs w:val="20"/>
          <w:lang w:eastAsia="es-ES"/>
        </w:rPr>
        <w:t xml:space="preserve"> more than </w:t>
      </w:r>
      <w:r w:rsidR="00FF2619" w:rsidRPr="008A7BD7">
        <w:rPr>
          <w:rFonts w:ascii="Cambria" w:eastAsia="Times New Roman" w:hAnsi="Cambria" w:cs="Tahoma"/>
          <w:color w:val="000000"/>
          <w:sz w:val="20"/>
          <w:szCs w:val="20"/>
          <w:lang w:eastAsia="es-ES"/>
        </w:rPr>
        <w:t>1</w:t>
      </w:r>
      <w:r w:rsidRPr="008A7BD7">
        <w:rPr>
          <w:rFonts w:ascii="Cambria" w:eastAsia="Times New Roman" w:hAnsi="Cambria" w:cs="Tahoma"/>
          <w:color w:val="000000"/>
          <w:sz w:val="20"/>
          <w:szCs w:val="20"/>
          <w:lang w:eastAsia="es-ES"/>
        </w:rPr>
        <w:t>,</w:t>
      </w:r>
      <w:r w:rsidR="00FF2619" w:rsidRPr="008A7BD7">
        <w:rPr>
          <w:rFonts w:ascii="Cambria" w:eastAsia="Times New Roman" w:hAnsi="Cambria" w:cs="Tahoma"/>
          <w:color w:val="000000"/>
          <w:sz w:val="20"/>
          <w:szCs w:val="20"/>
          <w:lang w:eastAsia="es-ES"/>
        </w:rPr>
        <w:t>000</w:t>
      </w:r>
      <w:r w:rsidRPr="008A7BD7">
        <w:rPr>
          <w:rFonts w:ascii="Cambria" w:eastAsia="Times New Roman" w:hAnsi="Cambria" w:cs="Tahoma"/>
          <w:color w:val="000000"/>
          <w:sz w:val="20"/>
          <w:szCs w:val="20"/>
          <w:lang w:eastAsia="es-ES"/>
        </w:rPr>
        <w:t xml:space="preserve"> judges and magistrates throughout the national territory.</w:t>
      </w:r>
      <w:r w:rsidR="00FF2619" w:rsidRPr="008A7BD7">
        <w:rPr>
          <w:rFonts w:ascii="Cambria" w:eastAsia="Times New Roman" w:hAnsi="Cambria" w:cs="Tahoma"/>
          <w:color w:val="000000"/>
          <w:sz w:val="20"/>
          <w:szCs w:val="20"/>
          <w:lang w:eastAsia="es-ES"/>
        </w:rPr>
        <w:t xml:space="preserve">” </w:t>
      </w:r>
      <w:r w:rsidRPr="008A7BD7">
        <w:rPr>
          <w:rFonts w:ascii="Cambria" w:eastAsia="Times New Roman" w:hAnsi="Cambria" w:cs="Tahoma"/>
          <w:color w:val="000000"/>
          <w:sz w:val="20"/>
          <w:szCs w:val="20"/>
          <w:lang w:eastAsia="es-ES"/>
        </w:rPr>
        <w:t>In this sense,</w:t>
      </w:r>
      <w:r w:rsidR="00FF2619" w:rsidRPr="008A7BD7">
        <w:rPr>
          <w:rFonts w:ascii="Cambria" w:eastAsia="Times New Roman" w:hAnsi="Cambria" w:cs="Tahoma"/>
          <w:color w:val="000000"/>
          <w:sz w:val="20"/>
          <w:szCs w:val="20"/>
          <w:lang w:eastAsia="es-ES"/>
        </w:rPr>
        <w:t xml:space="preserve"> “</w:t>
      </w:r>
      <w:r w:rsidRPr="008A7BD7">
        <w:rPr>
          <w:rFonts w:ascii="Cambria" w:eastAsia="Times New Roman" w:hAnsi="Cambria" w:cs="Tahoma"/>
          <w:color w:val="000000"/>
          <w:sz w:val="20"/>
          <w:szCs w:val="20"/>
          <w:lang w:eastAsia="es-ES"/>
        </w:rPr>
        <w:t xml:space="preserve">and based on the monitoring </w:t>
      </w:r>
      <w:r w:rsidR="00D33109" w:rsidRPr="008A7BD7">
        <w:rPr>
          <w:rFonts w:ascii="Cambria" w:eastAsia="Times New Roman" w:hAnsi="Cambria" w:cs="Tahoma"/>
          <w:color w:val="000000"/>
          <w:sz w:val="20"/>
          <w:szCs w:val="20"/>
          <w:lang w:eastAsia="es-ES"/>
        </w:rPr>
        <w:t xml:space="preserve">that the illustrious Commission is able to carry out, it is established that there is an extremely sizeable percentage of judges who, unlike those cited in </w:t>
      </w:r>
      <w:r w:rsidR="00B556AE" w:rsidRPr="008A7BD7">
        <w:rPr>
          <w:rFonts w:ascii="Cambria" w:eastAsia="Times New Roman" w:hAnsi="Cambria" w:cs="Tahoma"/>
          <w:color w:val="000000"/>
          <w:sz w:val="20"/>
          <w:szCs w:val="20"/>
          <w:lang w:eastAsia="es-ES"/>
        </w:rPr>
        <w:t>this</w:t>
      </w:r>
      <w:r w:rsidR="00D33109" w:rsidRPr="008A7BD7">
        <w:rPr>
          <w:rFonts w:ascii="Cambria" w:eastAsia="Times New Roman" w:hAnsi="Cambria" w:cs="Tahoma"/>
          <w:color w:val="000000"/>
          <w:sz w:val="20"/>
          <w:szCs w:val="20"/>
          <w:lang w:eastAsia="es-ES"/>
        </w:rPr>
        <w:t xml:space="preserve"> report, are not </w:t>
      </w:r>
      <w:r w:rsidR="00B556AE" w:rsidRPr="008A7BD7">
        <w:rPr>
          <w:rFonts w:ascii="Cambria" w:eastAsia="Times New Roman" w:hAnsi="Cambria" w:cs="Tahoma"/>
          <w:color w:val="000000"/>
          <w:sz w:val="20"/>
          <w:szCs w:val="20"/>
          <w:lang w:eastAsia="es-ES"/>
        </w:rPr>
        <w:t>warning</w:t>
      </w:r>
      <w:r w:rsidR="00D33109" w:rsidRPr="008A7BD7">
        <w:rPr>
          <w:rFonts w:ascii="Cambria" w:eastAsia="Times New Roman" w:hAnsi="Cambria" w:cs="Tahoma"/>
          <w:color w:val="000000"/>
          <w:sz w:val="20"/>
          <w:szCs w:val="20"/>
          <w:lang w:eastAsia="es-ES"/>
        </w:rPr>
        <w:t xml:space="preserve"> about or reporting the existence of structural </w:t>
      </w:r>
      <w:r w:rsidR="00D33109" w:rsidRPr="008A7BD7">
        <w:rPr>
          <w:rFonts w:ascii="Cambria" w:eastAsia="Times New Roman" w:hAnsi="Cambria" w:cs="Tahoma"/>
          <w:color w:val="000000"/>
          <w:sz w:val="20"/>
          <w:szCs w:val="20"/>
          <w:lang w:eastAsia="es-ES"/>
        </w:rPr>
        <w:lastRenderedPageBreak/>
        <w:t xml:space="preserve">problems </w:t>
      </w:r>
      <w:r w:rsidR="00B556AE" w:rsidRPr="008A7BD7">
        <w:rPr>
          <w:rFonts w:ascii="Cambria" w:eastAsia="Times New Roman" w:hAnsi="Cambria" w:cs="Tahoma"/>
          <w:color w:val="000000"/>
          <w:sz w:val="20"/>
          <w:szCs w:val="20"/>
          <w:lang w:eastAsia="es-ES"/>
        </w:rPr>
        <w:t>of State with regard to</w:t>
      </w:r>
      <w:r w:rsidR="00D33109" w:rsidRPr="008A7BD7">
        <w:rPr>
          <w:rFonts w:ascii="Cambria" w:eastAsia="Times New Roman" w:hAnsi="Cambria" w:cs="Tahoma"/>
          <w:color w:val="000000"/>
          <w:sz w:val="20"/>
          <w:szCs w:val="20"/>
          <w:lang w:eastAsia="es-ES"/>
        </w:rPr>
        <w:t xml:space="preserve"> the exercise and independence of the judiciary in the country, which points to the e</w:t>
      </w:r>
      <w:r w:rsidR="006F501C" w:rsidRPr="008A7BD7">
        <w:rPr>
          <w:rFonts w:ascii="Cambria" w:eastAsia="Times New Roman" w:hAnsi="Cambria" w:cs="Tahoma"/>
          <w:color w:val="000000"/>
          <w:sz w:val="20"/>
          <w:szCs w:val="20"/>
          <w:lang w:eastAsia="es-ES"/>
        </w:rPr>
        <w:t xml:space="preserve">fforts by the judicial branch to allow the free and independent use of the jurisdictional powers </w:t>
      </w:r>
      <w:r w:rsidR="00A95B5F" w:rsidRPr="008A7BD7">
        <w:rPr>
          <w:rFonts w:ascii="Cambria" w:eastAsia="Times New Roman" w:hAnsi="Cambria" w:cs="Tahoma"/>
          <w:color w:val="000000"/>
          <w:sz w:val="20"/>
          <w:szCs w:val="20"/>
          <w:lang w:eastAsia="es-ES"/>
        </w:rPr>
        <w:t>of</w:t>
      </w:r>
      <w:r w:rsidR="006F501C" w:rsidRPr="008A7BD7">
        <w:rPr>
          <w:rFonts w:ascii="Cambria" w:eastAsia="Times New Roman" w:hAnsi="Cambria" w:cs="Tahoma"/>
          <w:color w:val="000000"/>
          <w:sz w:val="20"/>
          <w:szCs w:val="20"/>
          <w:lang w:eastAsia="es-ES"/>
        </w:rPr>
        <w:t xml:space="preserve"> judges and magistrates.”</w:t>
      </w:r>
      <w:r w:rsidR="00FF2619" w:rsidRPr="008A7BD7">
        <w:rPr>
          <w:rStyle w:val="FootnoteReference"/>
          <w:rFonts w:ascii="Cambria" w:eastAsia="Times New Roman" w:hAnsi="Cambria" w:cs="Arial"/>
          <w:sz w:val="20"/>
          <w:szCs w:val="20"/>
          <w:lang w:val="es-MX" w:eastAsia="es-ES"/>
        </w:rPr>
        <w:footnoteReference w:id="100"/>
      </w:r>
      <w:r w:rsidR="00FF2619" w:rsidRPr="008A7BD7">
        <w:rPr>
          <w:rFonts w:ascii="Cambria" w:eastAsia="Times New Roman" w:hAnsi="Cambria" w:cs="Tahoma"/>
          <w:color w:val="000000"/>
          <w:sz w:val="20"/>
          <w:szCs w:val="20"/>
          <w:lang w:eastAsia="es-ES"/>
        </w:rPr>
        <w:t xml:space="preserve">     </w:t>
      </w:r>
    </w:p>
    <w:p w14:paraId="47C361C3" w14:textId="77777777" w:rsidR="00B77B08" w:rsidRPr="008A7BD7" w:rsidRDefault="00B77B08" w:rsidP="00B77B08">
      <w:pPr>
        <w:pStyle w:val="ListParagraph"/>
        <w:rPr>
          <w:rFonts w:ascii="Cambria" w:eastAsia="Times New Roman" w:hAnsi="Cambria" w:cs="Tahoma"/>
          <w:color w:val="000000"/>
          <w:sz w:val="20"/>
          <w:szCs w:val="20"/>
          <w:lang w:eastAsia="es-ES"/>
        </w:rPr>
      </w:pPr>
    </w:p>
    <w:p w14:paraId="5BF978F4" w14:textId="59A02F9E" w:rsidR="00B77B08" w:rsidRPr="008A7BD7" w:rsidRDefault="00884728" w:rsidP="008A2AEC">
      <w:pPr>
        <w:numPr>
          <w:ilvl w:val="0"/>
          <w:numId w:val="2"/>
        </w:numPr>
        <w:ind w:left="0" w:firstLine="720"/>
        <w:jc w:val="both"/>
        <w:rPr>
          <w:rFonts w:ascii="Cambria" w:eastAsia="Times New Roman" w:hAnsi="Cambria" w:cs="Times New Roman"/>
          <w:sz w:val="20"/>
          <w:szCs w:val="20"/>
          <w:lang w:eastAsia="es-ES_tradnl"/>
        </w:rPr>
      </w:pPr>
      <w:r w:rsidRPr="008A7BD7">
        <w:rPr>
          <w:rFonts w:ascii="Cambria" w:eastAsia="Times New Roman" w:hAnsi="Cambria" w:cs="Tahoma"/>
          <w:color w:val="000000"/>
          <w:sz w:val="20"/>
          <w:szCs w:val="20"/>
          <w:lang w:eastAsia="es-ES"/>
        </w:rPr>
        <w:t xml:space="preserve">The IACHR </w:t>
      </w:r>
      <w:r w:rsidR="00210FA8" w:rsidRPr="008A7BD7">
        <w:rPr>
          <w:rFonts w:ascii="Cambria" w:eastAsia="Times New Roman" w:hAnsi="Cambria" w:cs="Tahoma"/>
          <w:color w:val="000000"/>
          <w:sz w:val="20"/>
          <w:szCs w:val="20"/>
          <w:lang w:eastAsia="es-ES"/>
        </w:rPr>
        <w:t>reiterates</w:t>
      </w:r>
      <w:r w:rsidRPr="008A7BD7">
        <w:rPr>
          <w:rFonts w:ascii="Cambria" w:eastAsia="Times New Roman" w:hAnsi="Cambria" w:cs="Tahoma"/>
          <w:color w:val="000000"/>
          <w:sz w:val="20"/>
          <w:szCs w:val="20"/>
          <w:lang w:eastAsia="es-ES"/>
        </w:rPr>
        <w:t xml:space="preserve"> that it is the </w:t>
      </w:r>
      <w:r w:rsidR="00210FA8" w:rsidRPr="008A7BD7">
        <w:rPr>
          <w:rFonts w:ascii="Cambria" w:eastAsia="Times New Roman" w:hAnsi="Cambria" w:cs="Tahoma"/>
          <w:color w:val="000000"/>
          <w:sz w:val="20"/>
          <w:szCs w:val="20"/>
          <w:lang w:eastAsia="es-ES"/>
        </w:rPr>
        <w:t xml:space="preserve">Guatemalan </w:t>
      </w:r>
      <w:r w:rsidRPr="008A7BD7">
        <w:rPr>
          <w:rFonts w:ascii="Cambria" w:eastAsia="Times New Roman" w:hAnsi="Cambria" w:cs="Tahoma"/>
          <w:color w:val="000000"/>
          <w:sz w:val="20"/>
          <w:szCs w:val="20"/>
          <w:lang w:eastAsia="es-ES"/>
        </w:rPr>
        <w:t>State’s duty to protect those who work in the field of justice from attacks, intimidation, threats, and harassment by investigating those who violate their rights and sanctioning them appropriately</w:t>
      </w:r>
      <w:r w:rsidR="000968D0" w:rsidRPr="008A7BD7">
        <w:rPr>
          <w:rFonts w:ascii="Cambria" w:eastAsia="Times New Roman" w:hAnsi="Cambria" w:cs="Tahoma"/>
          <w:color w:val="000000"/>
          <w:sz w:val="20"/>
          <w:szCs w:val="20"/>
          <w:lang w:eastAsia="es-ES"/>
        </w:rPr>
        <w:t xml:space="preserve">. </w:t>
      </w:r>
      <w:r w:rsidRPr="008A7BD7">
        <w:rPr>
          <w:rFonts w:ascii="Cambria" w:eastAsia="Times New Roman" w:hAnsi="Cambria" w:cs="Tahoma"/>
          <w:color w:val="000000"/>
          <w:sz w:val="20"/>
          <w:szCs w:val="20"/>
          <w:lang w:eastAsia="es-ES"/>
        </w:rPr>
        <w:t xml:space="preserve">If States do not ensure that </w:t>
      </w:r>
      <w:r w:rsidR="00C91423" w:rsidRPr="008A7BD7">
        <w:rPr>
          <w:rFonts w:ascii="Cambria" w:eastAsia="Times New Roman" w:hAnsi="Cambria" w:cs="Tahoma"/>
          <w:color w:val="000000"/>
          <w:sz w:val="20"/>
          <w:szCs w:val="20"/>
          <w:lang w:eastAsia="es-ES"/>
        </w:rPr>
        <w:t>justice operators</w:t>
      </w:r>
      <w:r w:rsidRPr="008A7BD7">
        <w:rPr>
          <w:rFonts w:ascii="Cambria" w:eastAsia="Times New Roman" w:hAnsi="Cambria" w:cs="Tahoma"/>
          <w:color w:val="000000"/>
          <w:sz w:val="20"/>
          <w:szCs w:val="20"/>
          <w:lang w:eastAsia="es-ES"/>
        </w:rPr>
        <w:t xml:space="preserve"> are safe from pressure of all kinds, including reprisals for their work of promoting or administering justice directed against them personally or their families, the exercise of judicial authority could be seriously </w:t>
      </w:r>
      <w:r w:rsidR="00C91423" w:rsidRPr="008A7BD7">
        <w:rPr>
          <w:rFonts w:ascii="Cambria" w:eastAsia="Times New Roman" w:hAnsi="Cambria" w:cs="Tahoma"/>
          <w:color w:val="000000"/>
          <w:sz w:val="20"/>
          <w:szCs w:val="20"/>
          <w:lang w:eastAsia="es-ES"/>
        </w:rPr>
        <w:t>jeopardized</w:t>
      </w:r>
      <w:r w:rsidRPr="008A7BD7">
        <w:rPr>
          <w:rFonts w:ascii="Cambria" w:eastAsia="Times New Roman" w:hAnsi="Cambria" w:cs="Tahoma"/>
          <w:color w:val="000000"/>
          <w:sz w:val="20"/>
          <w:szCs w:val="20"/>
          <w:lang w:eastAsia="es-ES"/>
        </w:rPr>
        <w:t xml:space="preserve">, </w:t>
      </w:r>
      <w:r w:rsidR="00824F72" w:rsidRPr="008A7BD7">
        <w:rPr>
          <w:rFonts w:ascii="Cambria" w:eastAsia="Times New Roman" w:hAnsi="Cambria" w:cs="Tahoma"/>
          <w:color w:val="000000"/>
          <w:sz w:val="20"/>
          <w:szCs w:val="20"/>
          <w:lang w:eastAsia="es-ES"/>
        </w:rPr>
        <w:t>which would thwart effective access to justice.</w:t>
      </w:r>
      <w:r w:rsidR="000968D0" w:rsidRPr="008A7BD7">
        <w:rPr>
          <w:rFonts w:ascii="Cambria" w:eastAsia="Times New Roman" w:hAnsi="Cambria" w:cs="Tahoma"/>
          <w:color w:val="000000"/>
          <w:sz w:val="20"/>
          <w:szCs w:val="20"/>
          <w:vertAlign w:val="superscript"/>
          <w:lang w:val="es-US" w:eastAsia="es-ES"/>
        </w:rPr>
        <w:footnoteReference w:id="101"/>
      </w:r>
      <w:r w:rsidR="00B77B08" w:rsidRPr="008A7BD7">
        <w:rPr>
          <w:rFonts w:ascii="Cambria" w:eastAsia="Times New Roman" w:hAnsi="Cambria" w:cs="Tahoma"/>
          <w:color w:val="000000"/>
          <w:sz w:val="20"/>
          <w:szCs w:val="20"/>
          <w:lang w:eastAsia="es-ES"/>
        </w:rPr>
        <w:t xml:space="preserve"> </w:t>
      </w:r>
      <w:r w:rsidR="00E2783C" w:rsidRPr="008A7BD7">
        <w:rPr>
          <w:rFonts w:ascii="Cambria" w:eastAsia="Times New Roman" w:hAnsi="Cambria" w:cs="Tahoma"/>
          <w:color w:val="000000"/>
          <w:sz w:val="20"/>
          <w:szCs w:val="20"/>
          <w:lang w:eastAsia="es-ES"/>
        </w:rPr>
        <w:t>The IACHR also urges Guatemala to carry out thorough</w:t>
      </w:r>
      <w:r w:rsidR="00C91423" w:rsidRPr="008A7BD7">
        <w:rPr>
          <w:rFonts w:ascii="Cambria" w:eastAsia="Times New Roman" w:hAnsi="Cambria" w:cs="Tahoma"/>
          <w:color w:val="000000"/>
          <w:sz w:val="20"/>
          <w:szCs w:val="20"/>
          <w:lang w:eastAsia="es-ES"/>
        </w:rPr>
        <w:t xml:space="preserve"> and</w:t>
      </w:r>
      <w:r w:rsidR="00E2783C" w:rsidRPr="008A7BD7">
        <w:rPr>
          <w:rFonts w:ascii="Cambria" w:eastAsia="Times New Roman" w:hAnsi="Cambria" w:cs="Tahoma"/>
          <w:color w:val="000000"/>
          <w:sz w:val="20"/>
          <w:szCs w:val="20"/>
          <w:lang w:eastAsia="es-ES"/>
        </w:rPr>
        <w:t xml:space="preserve"> independent investigations into the attacks suffered by justice operators to ensure that the perpetrators and masterminds are punished effectively, and adopt an effective, th</w:t>
      </w:r>
      <w:r w:rsidR="00C91423" w:rsidRPr="008A7BD7">
        <w:rPr>
          <w:rFonts w:ascii="Cambria" w:eastAsia="Times New Roman" w:hAnsi="Cambria" w:cs="Tahoma"/>
          <w:color w:val="000000"/>
          <w:sz w:val="20"/>
          <w:szCs w:val="20"/>
          <w:lang w:eastAsia="es-ES"/>
        </w:rPr>
        <w:t>o</w:t>
      </w:r>
      <w:r w:rsidR="00E2783C" w:rsidRPr="008A7BD7">
        <w:rPr>
          <w:rFonts w:ascii="Cambria" w:eastAsia="Times New Roman" w:hAnsi="Cambria" w:cs="Tahoma"/>
          <w:color w:val="000000"/>
          <w:sz w:val="20"/>
          <w:szCs w:val="20"/>
          <w:lang w:eastAsia="es-ES"/>
        </w:rPr>
        <w:t xml:space="preserve">rough prevention strategy to prevent attacks, aggression, and harassment against them. </w:t>
      </w:r>
    </w:p>
    <w:p w14:paraId="36C77679" w14:textId="77777777" w:rsidR="00AC0523" w:rsidRPr="008A7BD7" w:rsidRDefault="00AC0523" w:rsidP="00AC0523">
      <w:pPr>
        <w:rPr>
          <w:rFonts w:ascii="Cambria" w:eastAsia="Times New Roman" w:hAnsi="Cambria" w:cs="Times New Roman"/>
          <w:color w:val="000000"/>
          <w:sz w:val="20"/>
          <w:szCs w:val="20"/>
          <w:lang w:eastAsia="es-ES_tradnl"/>
        </w:rPr>
      </w:pPr>
    </w:p>
    <w:p w14:paraId="1D18D8F9" w14:textId="7D3CAC6B" w:rsidR="00AC0523" w:rsidRPr="008A7BD7" w:rsidRDefault="000D738C" w:rsidP="00F0442F">
      <w:pPr>
        <w:pStyle w:val="Heading1"/>
      </w:pPr>
      <w:r w:rsidRPr="008A7BD7">
        <w:t>HUMAN RIGHTS INSTITUTION</w:t>
      </w:r>
      <w:r w:rsidR="00B464AF" w:rsidRPr="008A7BD7">
        <w:t>S</w:t>
      </w:r>
      <w:r w:rsidR="00AC0523" w:rsidRPr="008A7BD7">
        <w:t xml:space="preserve"> </w:t>
      </w:r>
    </w:p>
    <w:p w14:paraId="5D489A34" w14:textId="77777777" w:rsidR="00AC0523" w:rsidRPr="008A7BD7" w:rsidRDefault="00AC0523" w:rsidP="00AC0523">
      <w:pPr>
        <w:ind w:left="720"/>
        <w:contextualSpacing/>
        <w:jc w:val="both"/>
        <w:rPr>
          <w:rFonts w:ascii="Cambria" w:eastAsia="Calibri" w:hAnsi="Cambria" w:cs="Times New Roman"/>
          <w:sz w:val="20"/>
          <w:szCs w:val="20"/>
          <w:lang w:val="es-ES_tradnl"/>
        </w:rPr>
      </w:pPr>
    </w:p>
    <w:p w14:paraId="656DCC78" w14:textId="4FFD5982" w:rsidR="001A2977" w:rsidRPr="008A7BD7" w:rsidRDefault="00A8101B" w:rsidP="008A2AEC">
      <w:pPr>
        <w:numPr>
          <w:ilvl w:val="0"/>
          <w:numId w:val="2"/>
        </w:numPr>
        <w:ind w:left="0" w:firstLine="720"/>
        <w:jc w:val="both"/>
        <w:rPr>
          <w:rFonts w:ascii="Cambria" w:eastAsia="Times New Roman" w:hAnsi="Cambria" w:cs="Times New Roman"/>
          <w:sz w:val="20"/>
          <w:szCs w:val="20"/>
          <w:lang w:eastAsia="es-ES_tradnl"/>
        </w:rPr>
      </w:pPr>
      <w:r w:rsidRPr="008A7BD7">
        <w:rPr>
          <w:rFonts w:ascii="Cambria" w:eastAsia="Times New Roman" w:hAnsi="Cambria" w:cs="Times New Roman"/>
          <w:sz w:val="20"/>
          <w:szCs w:val="20"/>
          <w:lang w:eastAsia="es-ES"/>
        </w:rPr>
        <w:t xml:space="preserve">In terms of the institutional framework for human rights, the IACHR received troubling information concerning the </w:t>
      </w:r>
      <w:r w:rsidR="000E4F23" w:rsidRPr="008A7BD7">
        <w:rPr>
          <w:rFonts w:ascii="Cambria" w:eastAsia="Times New Roman" w:hAnsi="Cambria" w:cs="Times New Roman"/>
          <w:sz w:val="20"/>
          <w:szCs w:val="20"/>
          <w:lang w:eastAsia="es-ES"/>
        </w:rPr>
        <w:t xml:space="preserve">reported </w:t>
      </w:r>
      <w:r w:rsidRPr="008A7BD7">
        <w:rPr>
          <w:rFonts w:ascii="Cambria" w:eastAsia="Times New Roman" w:hAnsi="Cambria" w:cs="Times New Roman"/>
          <w:sz w:val="20"/>
          <w:szCs w:val="20"/>
          <w:lang w:eastAsia="es-ES"/>
        </w:rPr>
        <w:t xml:space="preserve">delay by Congress in </w:t>
      </w:r>
      <w:r w:rsidR="000E4F23" w:rsidRPr="008A7BD7">
        <w:rPr>
          <w:rFonts w:ascii="Cambria" w:eastAsia="Times New Roman" w:hAnsi="Cambria" w:cs="Times New Roman"/>
          <w:sz w:val="20"/>
          <w:szCs w:val="20"/>
          <w:lang w:eastAsia="es-ES"/>
        </w:rPr>
        <w:t>providing</w:t>
      </w:r>
      <w:r w:rsidRPr="008A7BD7">
        <w:rPr>
          <w:rFonts w:ascii="Cambria" w:eastAsia="Times New Roman" w:hAnsi="Cambria" w:cs="Times New Roman"/>
          <w:sz w:val="20"/>
          <w:szCs w:val="20"/>
          <w:lang w:eastAsia="es-ES"/>
        </w:rPr>
        <w:t xml:space="preserve"> the </w:t>
      </w:r>
      <w:r w:rsidR="000E4F23" w:rsidRPr="008A7BD7">
        <w:rPr>
          <w:rFonts w:ascii="Cambria" w:eastAsia="Times New Roman" w:hAnsi="Cambria" w:cs="Times New Roman"/>
          <w:sz w:val="20"/>
          <w:szCs w:val="20"/>
          <w:lang w:eastAsia="es-ES"/>
        </w:rPr>
        <w:t xml:space="preserve">Office of the </w:t>
      </w:r>
      <w:r w:rsidRPr="008A7BD7">
        <w:rPr>
          <w:rFonts w:ascii="Cambria" w:eastAsia="Times New Roman" w:hAnsi="Cambria" w:cs="Times New Roman"/>
          <w:sz w:val="20"/>
          <w:szCs w:val="20"/>
          <w:lang w:eastAsia="es-ES"/>
        </w:rPr>
        <w:t xml:space="preserve">Human Rights Ombudsman </w:t>
      </w:r>
      <w:r w:rsidR="00BA59E4" w:rsidRPr="008A7BD7">
        <w:rPr>
          <w:rFonts w:ascii="Cambria" w:eastAsia="Times New Roman" w:hAnsi="Cambria" w:cs="Times New Roman"/>
          <w:sz w:val="20"/>
          <w:szCs w:val="20"/>
          <w:lang w:eastAsia="es-ES"/>
        </w:rPr>
        <w:t xml:space="preserve">with </w:t>
      </w:r>
      <w:r w:rsidRPr="008A7BD7">
        <w:rPr>
          <w:rFonts w:ascii="Cambria" w:eastAsia="Times New Roman" w:hAnsi="Cambria" w:cs="Times New Roman"/>
          <w:sz w:val="20"/>
          <w:szCs w:val="20"/>
          <w:lang w:eastAsia="es-ES"/>
        </w:rPr>
        <w:t xml:space="preserve">the </w:t>
      </w:r>
      <w:r w:rsidR="00967A01" w:rsidRPr="008A7BD7">
        <w:rPr>
          <w:rFonts w:ascii="Cambria" w:eastAsia="Times New Roman" w:hAnsi="Cambria" w:cs="Times New Roman"/>
          <w:sz w:val="20"/>
          <w:szCs w:val="20"/>
          <w:lang w:eastAsia="es-ES"/>
        </w:rPr>
        <w:t>funding</w:t>
      </w:r>
      <w:r w:rsidR="00BA59E4" w:rsidRPr="008A7BD7">
        <w:rPr>
          <w:rFonts w:ascii="Cambria" w:eastAsia="Times New Roman" w:hAnsi="Cambria" w:cs="Times New Roman"/>
          <w:sz w:val="20"/>
          <w:szCs w:val="20"/>
          <w:lang w:eastAsia="es-ES"/>
        </w:rPr>
        <w:t xml:space="preserve"> it should have received</w:t>
      </w:r>
      <w:r w:rsidRPr="008A7BD7">
        <w:rPr>
          <w:rFonts w:ascii="Cambria" w:eastAsia="Times New Roman" w:hAnsi="Cambria" w:cs="Times New Roman"/>
          <w:sz w:val="20"/>
          <w:szCs w:val="20"/>
          <w:lang w:eastAsia="es-ES"/>
        </w:rPr>
        <w:t>. The amount due, accumulated over 2019 and 2020, reportedly has brought the institution’</w:t>
      </w:r>
      <w:r w:rsidR="00BA59E4" w:rsidRPr="008A7BD7">
        <w:rPr>
          <w:rFonts w:ascii="Cambria" w:eastAsia="Times New Roman" w:hAnsi="Cambria" w:cs="Times New Roman"/>
          <w:sz w:val="20"/>
          <w:szCs w:val="20"/>
          <w:lang w:eastAsia="es-ES"/>
        </w:rPr>
        <w:t>s</w:t>
      </w:r>
      <w:r w:rsidRPr="008A7BD7">
        <w:rPr>
          <w:rFonts w:ascii="Cambria" w:eastAsia="Times New Roman" w:hAnsi="Cambria" w:cs="Times New Roman"/>
          <w:sz w:val="20"/>
          <w:szCs w:val="20"/>
          <w:lang w:eastAsia="es-ES"/>
        </w:rPr>
        <w:t xml:space="preserve"> budget deficit to </w:t>
      </w:r>
      <w:r w:rsidR="00AC0523" w:rsidRPr="008A7BD7">
        <w:rPr>
          <w:rFonts w:ascii="Cambria" w:eastAsia="Times New Roman" w:hAnsi="Cambria" w:cs="Times New Roman"/>
          <w:sz w:val="20"/>
          <w:szCs w:val="20"/>
          <w:lang w:eastAsia="es-ES"/>
        </w:rPr>
        <w:t>40 mill</w:t>
      </w:r>
      <w:r w:rsidRPr="008A7BD7">
        <w:rPr>
          <w:rFonts w:ascii="Cambria" w:eastAsia="Times New Roman" w:hAnsi="Cambria" w:cs="Times New Roman"/>
          <w:sz w:val="20"/>
          <w:szCs w:val="20"/>
          <w:lang w:eastAsia="es-ES"/>
        </w:rPr>
        <w:t xml:space="preserve">ion </w:t>
      </w:r>
      <w:r w:rsidR="00AC0523" w:rsidRPr="008A7BD7">
        <w:rPr>
          <w:rFonts w:ascii="Cambria" w:eastAsia="Times New Roman" w:hAnsi="Cambria" w:cs="Times New Roman"/>
          <w:sz w:val="20"/>
          <w:szCs w:val="20"/>
          <w:lang w:eastAsia="es-ES"/>
        </w:rPr>
        <w:t>quetzals.</w:t>
      </w:r>
      <w:r w:rsidRPr="008A7BD7">
        <w:rPr>
          <w:rFonts w:ascii="Cambria" w:eastAsia="Times New Roman" w:hAnsi="Cambria" w:cs="Times New Roman"/>
          <w:sz w:val="20"/>
          <w:szCs w:val="20"/>
          <w:lang w:eastAsia="es-ES"/>
        </w:rPr>
        <w:t xml:space="preserve"> As a result, the </w:t>
      </w:r>
      <w:r w:rsidR="00BA59E4" w:rsidRPr="008A7BD7">
        <w:rPr>
          <w:rFonts w:ascii="Cambria" w:eastAsia="Times New Roman" w:hAnsi="Cambria" w:cs="Times New Roman"/>
          <w:sz w:val="20"/>
          <w:szCs w:val="20"/>
          <w:lang w:eastAsia="es-ES"/>
        </w:rPr>
        <w:t xml:space="preserve">Ombudsman’s Office </w:t>
      </w:r>
      <w:r w:rsidRPr="008A7BD7">
        <w:rPr>
          <w:rFonts w:ascii="Cambria" w:eastAsia="Times New Roman" w:hAnsi="Cambria" w:cs="Times New Roman"/>
          <w:sz w:val="20"/>
          <w:szCs w:val="20"/>
          <w:lang w:eastAsia="es-ES"/>
        </w:rPr>
        <w:t xml:space="preserve">warned that the “economic asphyxiation will </w:t>
      </w:r>
      <w:r w:rsidR="00B879A6" w:rsidRPr="008A7BD7">
        <w:rPr>
          <w:rFonts w:ascii="Cambria" w:eastAsia="Times New Roman" w:hAnsi="Cambria" w:cs="Times New Roman"/>
          <w:sz w:val="20"/>
          <w:szCs w:val="20"/>
          <w:lang w:eastAsia="es-ES"/>
        </w:rPr>
        <w:t xml:space="preserve">prevent the </w:t>
      </w:r>
      <w:r w:rsidR="00BA59E4" w:rsidRPr="008A7BD7">
        <w:rPr>
          <w:rFonts w:ascii="Cambria" w:eastAsia="Times New Roman" w:hAnsi="Cambria" w:cs="Times New Roman"/>
          <w:sz w:val="20"/>
          <w:szCs w:val="20"/>
          <w:lang w:eastAsia="es-ES"/>
        </w:rPr>
        <w:t>i</w:t>
      </w:r>
      <w:r w:rsidR="006D54A5" w:rsidRPr="008A7BD7">
        <w:rPr>
          <w:rFonts w:ascii="Cambria" w:eastAsia="Times New Roman" w:hAnsi="Cambria" w:cs="Times New Roman"/>
          <w:sz w:val="20"/>
          <w:szCs w:val="20"/>
          <w:lang w:eastAsia="es-ES"/>
        </w:rPr>
        <w:t>nstitution</w:t>
      </w:r>
      <w:r w:rsidR="00B879A6" w:rsidRPr="008A7BD7">
        <w:rPr>
          <w:rFonts w:ascii="Cambria" w:eastAsia="Times New Roman" w:hAnsi="Cambria" w:cs="Times New Roman"/>
          <w:sz w:val="20"/>
          <w:szCs w:val="20"/>
          <w:lang w:eastAsia="es-ES"/>
        </w:rPr>
        <w:t xml:space="preserve"> from fulfilling its </w:t>
      </w:r>
      <w:r w:rsidR="00BA59E4" w:rsidRPr="008A7BD7">
        <w:rPr>
          <w:rFonts w:ascii="Cambria" w:eastAsia="Times New Roman" w:hAnsi="Cambria" w:cs="Times New Roman"/>
          <w:sz w:val="20"/>
          <w:szCs w:val="20"/>
          <w:lang w:eastAsia="es-ES"/>
        </w:rPr>
        <w:t>c</w:t>
      </w:r>
      <w:r w:rsidR="00B879A6" w:rsidRPr="008A7BD7">
        <w:rPr>
          <w:rFonts w:ascii="Cambria" w:eastAsia="Times New Roman" w:hAnsi="Cambria" w:cs="Times New Roman"/>
          <w:sz w:val="20"/>
          <w:szCs w:val="20"/>
          <w:lang w:eastAsia="es-ES"/>
        </w:rPr>
        <w:t>onstitutional mandate.”</w:t>
      </w:r>
      <w:r w:rsidR="00AC0523" w:rsidRPr="008A7BD7">
        <w:rPr>
          <w:rFonts w:ascii="Cambria" w:eastAsia="Times New Roman" w:hAnsi="Cambria" w:cs="Times New Roman"/>
          <w:sz w:val="20"/>
          <w:szCs w:val="20"/>
          <w:vertAlign w:val="superscript"/>
          <w:lang w:val="es-US" w:eastAsia="es-ES"/>
        </w:rPr>
        <w:footnoteReference w:id="102"/>
      </w:r>
      <w:r w:rsidR="00AC0523" w:rsidRPr="008A7BD7">
        <w:rPr>
          <w:rFonts w:ascii="Cambria" w:eastAsia="Times New Roman" w:hAnsi="Cambria" w:cs="Times New Roman"/>
          <w:sz w:val="20"/>
          <w:szCs w:val="20"/>
          <w:lang w:eastAsia="es-ES"/>
        </w:rPr>
        <w:t xml:space="preserve">  </w:t>
      </w:r>
    </w:p>
    <w:p w14:paraId="718BEC4D" w14:textId="77777777" w:rsidR="001A2977" w:rsidRPr="008A7BD7" w:rsidRDefault="001A2977" w:rsidP="001A2977">
      <w:pPr>
        <w:ind w:left="720"/>
        <w:jc w:val="both"/>
        <w:rPr>
          <w:rFonts w:ascii="Cambria" w:eastAsia="Times New Roman" w:hAnsi="Cambria" w:cs="Times New Roman"/>
          <w:sz w:val="20"/>
          <w:szCs w:val="20"/>
          <w:lang w:eastAsia="es-ES_tradnl"/>
        </w:rPr>
      </w:pPr>
    </w:p>
    <w:p w14:paraId="57D5F12F" w14:textId="05E1DDDC" w:rsidR="00AC0523" w:rsidRPr="008A7BD7" w:rsidRDefault="00B879A6" w:rsidP="008A2AEC">
      <w:pPr>
        <w:numPr>
          <w:ilvl w:val="0"/>
          <w:numId w:val="2"/>
        </w:numPr>
        <w:ind w:left="0" w:firstLine="720"/>
        <w:jc w:val="both"/>
        <w:rPr>
          <w:rFonts w:ascii="Cambria" w:eastAsia="Times New Roman" w:hAnsi="Cambria" w:cs="Times New Roman"/>
          <w:sz w:val="20"/>
          <w:szCs w:val="20"/>
          <w:lang w:eastAsia="es-ES_tradnl"/>
        </w:rPr>
      </w:pPr>
      <w:r w:rsidRPr="008A7BD7">
        <w:rPr>
          <w:rFonts w:ascii="Cambria" w:eastAsia="Times New Roman" w:hAnsi="Cambria" w:cs="Times New Roman"/>
          <w:sz w:val="20"/>
          <w:szCs w:val="20"/>
          <w:lang w:eastAsia="es-ES"/>
        </w:rPr>
        <w:t xml:space="preserve">Moreover, the IACHR </w:t>
      </w:r>
      <w:r w:rsidR="00BA59E4" w:rsidRPr="008A7BD7">
        <w:rPr>
          <w:rFonts w:ascii="Cambria" w:eastAsia="Times New Roman" w:hAnsi="Cambria" w:cs="Times New Roman"/>
          <w:sz w:val="20"/>
          <w:szCs w:val="20"/>
          <w:lang w:eastAsia="es-ES"/>
        </w:rPr>
        <w:t>was informed</w:t>
      </w:r>
      <w:r w:rsidRPr="008A7BD7">
        <w:rPr>
          <w:rFonts w:ascii="Cambria" w:eastAsia="Times New Roman" w:hAnsi="Cambria" w:cs="Times New Roman"/>
          <w:sz w:val="20"/>
          <w:szCs w:val="20"/>
          <w:lang w:eastAsia="es-ES"/>
        </w:rPr>
        <w:t xml:space="preserve"> about continuing acts of harassment and campaigns to disparage and stigmatize the work of the Human Rights Ombudsman, </w:t>
      </w:r>
      <w:proofErr w:type="spellStart"/>
      <w:r w:rsidR="00AC0523" w:rsidRPr="008A7BD7">
        <w:rPr>
          <w:rFonts w:ascii="Cambria" w:eastAsia="Times New Roman" w:hAnsi="Cambria" w:cs="Times New Roman"/>
          <w:sz w:val="20"/>
          <w:szCs w:val="20"/>
          <w:lang w:eastAsia="es-ES"/>
        </w:rPr>
        <w:t>Jordán</w:t>
      </w:r>
      <w:proofErr w:type="spellEnd"/>
      <w:r w:rsidR="00AC0523" w:rsidRPr="008A7BD7">
        <w:rPr>
          <w:rFonts w:ascii="Cambria" w:eastAsia="Times New Roman" w:hAnsi="Cambria" w:cs="Times New Roman"/>
          <w:sz w:val="20"/>
          <w:szCs w:val="20"/>
          <w:lang w:eastAsia="es-ES"/>
        </w:rPr>
        <w:t xml:space="preserve"> </w:t>
      </w:r>
      <w:proofErr w:type="spellStart"/>
      <w:r w:rsidR="00AC0523" w:rsidRPr="008A7BD7">
        <w:rPr>
          <w:rFonts w:ascii="Cambria" w:eastAsia="Times New Roman" w:hAnsi="Cambria" w:cs="Times New Roman"/>
          <w:sz w:val="20"/>
          <w:szCs w:val="20"/>
          <w:lang w:eastAsia="es-ES"/>
        </w:rPr>
        <w:t>Rodas</w:t>
      </w:r>
      <w:proofErr w:type="spellEnd"/>
      <w:r w:rsidR="00AC0523" w:rsidRPr="008A7BD7">
        <w:rPr>
          <w:rFonts w:ascii="Cambria" w:eastAsia="Times New Roman" w:hAnsi="Cambria" w:cs="Times New Roman"/>
          <w:sz w:val="20"/>
          <w:szCs w:val="20"/>
          <w:lang w:eastAsia="es-ES"/>
        </w:rPr>
        <w:t xml:space="preserve">, </w:t>
      </w:r>
      <w:r w:rsidRPr="008A7BD7">
        <w:rPr>
          <w:rFonts w:ascii="Cambria" w:eastAsia="Times New Roman" w:hAnsi="Cambria" w:cs="Times New Roman"/>
          <w:sz w:val="20"/>
          <w:szCs w:val="20"/>
          <w:lang w:eastAsia="es-ES"/>
        </w:rPr>
        <w:t xml:space="preserve">including the filing of complaints </w:t>
      </w:r>
      <w:r w:rsidR="00706116" w:rsidRPr="008A7BD7">
        <w:rPr>
          <w:rFonts w:ascii="Cambria" w:eastAsia="Times New Roman" w:hAnsi="Cambria" w:cs="Times New Roman"/>
          <w:sz w:val="20"/>
          <w:szCs w:val="20"/>
          <w:lang w:eastAsia="es-ES"/>
        </w:rPr>
        <w:t>reportedly seeking</w:t>
      </w:r>
      <w:r w:rsidRPr="008A7BD7">
        <w:rPr>
          <w:rFonts w:ascii="Cambria" w:eastAsia="Times New Roman" w:hAnsi="Cambria" w:cs="Times New Roman"/>
          <w:sz w:val="20"/>
          <w:szCs w:val="20"/>
          <w:lang w:eastAsia="es-ES"/>
        </w:rPr>
        <w:t xml:space="preserve"> his removal from office. In May </w:t>
      </w:r>
      <w:r w:rsidR="00AC0523" w:rsidRPr="008A7BD7">
        <w:rPr>
          <w:rFonts w:ascii="Cambria" w:eastAsia="Times New Roman" w:hAnsi="Cambria" w:cs="Times New Roman"/>
          <w:color w:val="000000"/>
          <w:sz w:val="20"/>
          <w:szCs w:val="20"/>
          <w:lang w:eastAsia="es-ES"/>
        </w:rPr>
        <w:t xml:space="preserve">2021, </w:t>
      </w:r>
      <w:r w:rsidR="00706116" w:rsidRPr="008A7BD7">
        <w:rPr>
          <w:rFonts w:ascii="Cambria" w:eastAsia="Times New Roman" w:hAnsi="Cambria" w:cs="Times New Roman"/>
          <w:color w:val="000000"/>
          <w:sz w:val="20"/>
          <w:szCs w:val="20"/>
          <w:lang w:eastAsia="es-ES"/>
        </w:rPr>
        <w:t>t</w:t>
      </w:r>
      <w:r w:rsidRPr="008A7BD7">
        <w:rPr>
          <w:rFonts w:ascii="Cambria" w:eastAsia="Times New Roman" w:hAnsi="Cambria" w:cs="Times New Roman"/>
          <w:color w:val="000000"/>
          <w:sz w:val="20"/>
          <w:szCs w:val="20"/>
          <w:lang w:eastAsia="es-ES"/>
        </w:rPr>
        <w:t xml:space="preserve">he Ombudsman filed a criminal complaint against officials from the Communication Directorate of the Congress of the Republic, after a press investigation revealed that </w:t>
      </w:r>
      <w:r w:rsidR="00802FD3" w:rsidRPr="008A7BD7">
        <w:rPr>
          <w:rFonts w:ascii="Cambria" w:eastAsia="Times New Roman" w:hAnsi="Cambria" w:cs="Times New Roman"/>
          <w:color w:val="000000"/>
          <w:sz w:val="20"/>
          <w:szCs w:val="20"/>
          <w:lang w:eastAsia="es-ES"/>
        </w:rPr>
        <w:t>the</w:t>
      </w:r>
      <w:r w:rsidRPr="008A7BD7">
        <w:rPr>
          <w:rFonts w:ascii="Cambria" w:eastAsia="Times New Roman" w:hAnsi="Cambria" w:cs="Times New Roman"/>
          <w:color w:val="000000"/>
          <w:sz w:val="20"/>
          <w:szCs w:val="20"/>
          <w:lang w:eastAsia="es-ES"/>
        </w:rPr>
        <w:t xml:space="preserve"> office </w:t>
      </w:r>
      <w:r w:rsidR="001D57F2" w:rsidRPr="008A7BD7">
        <w:rPr>
          <w:rFonts w:ascii="Cambria" w:eastAsia="Times New Roman" w:hAnsi="Cambria" w:cs="Times New Roman"/>
          <w:color w:val="000000"/>
          <w:sz w:val="20"/>
          <w:szCs w:val="20"/>
          <w:lang w:eastAsia="es-ES"/>
        </w:rPr>
        <w:t xml:space="preserve">had </w:t>
      </w:r>
      <w:r w:rsidRPr="008A7BD7">
        <w:rPr>
          <w:rFonts w:ascii="Cambria" w:eastAsia="Times New Roman" w:hAnsi="Cambria" w:cs="Times New Roman"/>
          <w:color w:val="000000"/>
          <w:sz w:val="20"/>
          <w:szCs w:val="20"/>
          <w:lang w:eastAsia="es-ES"/>
        </w:rPr>
        <w:t xml:space="preserve">generated media and political content </w:t>
      </w:r>
      <w:r w:rsidR="008A0766" w:rsidRPr="008A7BD7">
        <w:rPr>
          <w:rFonts w:ascii="Cambria" w:eastAsia="Times New Roman" w:hAnsi="Cambria" w:cs="Times New Roman"/>
          <w:color w:val="000000"/>
          <w:sz w:val="20"/>
          <w:szCs w:val="20"/>
          <w:lang w:eastAsia="es-ES"/>
        </w:rPr>
        <w:t>that targeted</w:t>
      </w:r>
      <w:r w:rsidRPr="008A7BD7">
        <w:rPr>
          <w:rFonts w:ascii="Cambria" w:eastAsia="Times New Roman" w:hAnsi="Cambria" w:cs="Times New Roman"/>
          <w:color w:val="000000"/>
          <w:sz w:val="20"/>
          <w:szCs w:val="20"/>
          <w:lang w:eastAsia="es-ES"/>
        </w:rPr>
        <w:t xml:space="preserve"> him.</w:t>
      </w:r>
      <w:r w:rsidR="00AC0523" w:rsidRPr="008A7BD7">
        <w:rPr>
          <w:rFonts w:ascii="Cambria" w:eastAsia="Times New Roman" w:hAnsi="Cambria" w:cs="Times New Roman"/>
          <w:color w:val="000000"/>
          <w:sz w:val="20"/>
          <w:szCs w:val="20"/>
          <w:vertAlign w:val="superscript"/>
          <w:lang w:val="es-US" w:eastAsia="es-ES"/>
        </w:rPr>
        <w:footnoteReference w:id="103"/>
      </w:r>
      <w:r w:rsidR="00AC0523" w:rsidRPr="008A7BD7">
        <w:rPr>
          <w:rFonts w:ascii="Cambria" w:eastAsia="Times New Roman" w:hAnsi="Cambria" w:cs="Times New Roman"/>
          <w:color w:val="000000"/>
          <w:sz w:val="20"/>
          <w:szCs w:val="20"/>
          <w:lang w:eastAsia="es-ES"/>
        </w:rPr>
        <w:t xml:space="preserve"> </w:t>
      </w:r>
      <w:r w:rsidR="00446AA0" w:rsidRPr="008A7BD7">
        <w:rPr>
          <w:rFonts w:ascii="Cambria" w:eastAsia="Times New Roman" w:hAnsi="Cambria" w:cs="Times New Roman"/>
          <w:color w:val="000000"/>
          <w:sz w:val="20"/>
          <w:szCs w:val="20"/>
          <w:lang w:eastAsia="es-ES"/>
        </w:rPr>
        <w:t xml:space="preserve">Recently, on October </w:t>
      </w:r>
      <w:r w:rsidR="00AC0523" w:rsidRPr="008A7BD7">
        <w:rPr>
          <w:rFonts w:ascii="Cambria" w:eastAsia="Times New Roman" w:hAnsi="Cambria" w:cs="Times New Roman"/>
          <w:color w:val="000000"/>
          <w:sz w:val="20"/>
          <w:szCs w:val="20"/>
          <w:lang w:eastAsia="es-ES"/>
        </w:rPr>
        <w:t>12</w:t>
      </w:r>
      <w:r w:rsidR="00446AA0" w:rsidRPr="008A7BD7">
        <w:rPr>
          <w:rFonts w:ascii="Cambria" w:eastAsia="Times New Roman" w:hAnsi="Cambria" w:cs="Times New Roman"/>
          <w:color w:val="000000"/>
          <w:sz w:val="20"/>
          <w:szCs w:val="20"/>
          <w:lang w:eastAsia="es-ES"/>
        </w:rPr>
        <w:t xml:space="preserve">, </w:t>
      </w:r>
      <w:r w:rsidR="00AC0523" w:rsidRPr="008A7BD7">
        <w:rPr>
          <w:rFonts w:ascii="Cambria" w:eastAsia="Times New Roman" w:hAnsi="Cambria" w:cs="Times New Roman"/>
          <w:color w:val="000000"/>
          <w:sz w:val="20"/>
          <w:szCs w:val="20"/>
          <w:lang w:eastAsia="es-ES"/>
        </w:rPr>
        <w:t xml:space="preserve">2021, </w:t>
      </w:r>
      <w:r w:rsidR="00B174FF" w:rsidRPr="008A7BD7">
        <w:rPr>
          <w:rFonts w:ascii="Cambria" w:eastAsia="Times New Roman" w:hAnsi="Cambria" w:cs="Times New Roman"/>
          <w:color w:val="000000"/>
          <w:sz w:val="20"/>
          <w:szCs w:val="20"/>
          <w:lang w:eastAsia="es-ES"/>
        </w:rPr>
        <w:t>the IACHR learned that he had been summoned by the Human Rights Commission of the Congress to discuss a petition for his dismissal filed by a former prosecutor and an acting judge, a summons that was ultimately suspended.</w:t>
      </w:r>
      <w:r w:rsidR="00AC0523" w:rsidRPr="008A7BD7">
        <w:rPr>
          <w:rFonts w:ascii="Cambria" w:eastAsia="Times New Roman" w:hAnsi="Cambria" w:cs="Times New Roman"/>
          <w:color w:val="000000"/>
          <w:sz w:val="20"/>
          <w:szCs w:val="20"/>
          <w:vertAlign w:val="superscript"/>
          <w:lang w:val="es-US" w:eastAsia="es-ES"/>
        </w:rPr>
        <w:footnoteReference w:id="104"/>
      </w:r>
    </w:p>
    <w:p w14:paraId="459286E5" w14:textId="77777777" w:rsidR="00AC0523" w:rsidRPr="008A7BD7" w:rsidRDefault="00AC0523" w:rsidP="00AC0523">
      <w:pPr>
        <w:ind w:left="720"/>
        <w:contextualSpacing/>
        <w:jc w:val="both"/>
        <w:rPr>
          <w:rFonts w:ascii="Cambria" w:eastAsia="Calibri" w:hAnsi="Cambria" w:cs="Times New Roman"/>
          <w:sz w:val="20"/>
          <w:szCs w:val="20"/>
        </w:rPr>
      </w:pPr>
    </w:p>
    <w:p w14:paraId="17B5BD31" w14:textId="2C36635A" w:rsidR="00FF2619" w:rsidRPr="008A7BD7" w:rsidRDefault="00170867" w:rsidP="00FF2619">
      <w:pPr>
        <w:numPr>
          <w:ilvl w:val="0"/>
          <w:numId w:val="2"/>
        </w:numPr>
        <w:ind w:left="0" w:firstLine="720"/>
        <w:jc w:val="both"/>
        <w:rPr>
          <w:rFonts w:ascii="Cambria" w:eastAsia="Times New Roman" w:hAnsi="Cambria" w:cs="Times New Roman"/>
          <w:sz w:val="20"/>
          <w:szCs w:val="20"/>
          <w:lang w:eastAsia="es-ES_tradnl"/>
        </w:rPr>
      </w:pPr>
      <w:r w:rsidRPr="008A7BD7">
        <w:rPr>
          <w:rFonts w:ascii="Cambria" w:eastAsia="Times New Roman" w:hAnsi="Cambria" w:cs="Times New Roman"/>
          <w:sz w:val="20"/>
          <w:szCs w:val="20"/>
          <w:lang w:eastAsia="es-ES_tradnl"/>
        </w:rPr>
        <w:t xml:space="preserve">In its response to the draft report, the Guatemalan State indicated that since 2016, the institution of the </w:t>
      </w:r>
      <w:r w:rsidR="004A4F78" w:rsidRPr="008A7BD7">
        <w:rPr>
          <w:rFonts w:ascii="Cambria" w:eastAsia="Times New Roman" w:hAnsi="Cambria" w:cs="Times New Roman"/>
          <w:sz w:val="20"/>
          <w:szCs w:val="20"/>
          <w:lang w:eastAsia="es-ES_tradnl"/>
        </w:rPr>
        <w:t>Human Rights Ombudsman</w:t>
      </w:r>
      <w:r w:rsidRPr="008A7BD7">
        <w:rPr>
          <w:rFonts w:ascii="Cambria" w:eastAsia="Times New Roman" w:hAnsi="Cambria" w:cs="Times New Roman"/>
          <w:sz w:val="20"/>
          <w:szCs w:val="20"/>
          <w:lang w:eastAsia="es-ES_tradnl"/>
        </w:rPr>
        <w:t xml:space="preserve"> has had a budget of at least 120 million quetzals, which</w:t>
      </w:r>
      <w:r w:rsidR="00FF2619" w:rsidRPr="008A7BD7">
        <w:rPr>
          <w:rFonts w:ascii="Cambria" w:eastAsia="Times New Roman" w:hAnsi="Cambria" w:cs="Times New Roman"/>
          <w:sz w:val="20"/>
          <w:szCs w:val="20"/>
          <w:lang w:eastAsia="es-ES_tradnl"/>
        </w:rPr>
        <w:t xml:space="preserve"> </w:t>
      </w:r>
      <w:r w:rsidR="004A4F78" w:rsidRPr="008A7BD7">
        <w:rPr>
          <w:rFonts w:ascii="Cambria" w:eastAsia="Times New Roman" w:hAnsi="Cambria" w:cs="Times New Roman"/>
          <w:sz w:val="20"/>
          <w:szCs w:val="20"/>
          <w:lang w:eastAsia="es-ES_tradnl"/>
        </w:rPr>
        <w:t xml:space="preserve">grew by 30 million in </w:t>
      </w:r>
      <w:r w:rsidR="00FF2619" w:rsidRPr="008A7BD7">
        <w:rPr>
          <w:rFonts w:ascii="Cambria" w:eastAsia="Times New Roman" w:hAnsi="Cambria" w:cs="Times New Roman"/>
          <w:sz w:val="20"/>
          <w:szCs w:val="20"/>
          <w:lang w:eastAsia="es-ES_tradnl"/>
        </w:rPr>
        <w:t>2020</w:t>
      </w:r>
      <w:r w:rsidR="004A4F78" w:rsidRPr="008A7BD7">
        <w:rPr>
          <w:rFonts w:ascii="Cambria" w:eastAsia="Times New Roman" w:hAnsi="Cambria" w:cs="Times New Roman"/>
          <w:sz w:val="20"/>
          <w:szCs w:val="20"/>
          <w:lang w:eastAsia="es-ES_tradnl"/>
        </w:rPr>
        <w:t xml:space="preserve">, to a total of </w:t>
      </w:r>
      <w:r w:rsidR="00FF2619" w:rsidRPr="008A7BD7">
        <w:rPr>
          <w:rFonts w:ascii="Cambria" w:eastAsia="Times New Roman" w:hAnsi="Cambria" w:cs="Times New Roman"/>
          <w:sz w:val="20"/>
          <w:szCs w:val="20"/>
          <w:lang w:eastAsia="es-ES_tradnl"/>
        </w:rPr>
        <w:t>Q150,185,000.00</w:t>
      </w:r>
      <w:r w:rsidR="004A4F78" w:rsidRPr="008A7BD7">
        <w:rPr>
          <w:rFonts w:ascii="Cambria" w:eastAsia="Times New Roman" w:hAnsi="Cambria" w:cs="Times New Roman"/>
          <w:sz w:val="20"/>
          <w:szCs w:val="20"/>
          <w:lang w:eastAsia="es-ES_tradnl"/>
        </w:rPr>
        <w:t>,</w:t>
      </w:r>
      <w:r w:rsidR="00FF2619" w:rsidRPr="008A7BD7">
        <w:rPr>
          <w:rStyle w:val="FootnoteReference"/>
          <w:rFonts w:ascii="Cambria" w:eastAsia="Times New Roman" w:hAnsi="Cambria" w:cs="Times New Roman"/>
          <w:sz w:val="20"/>
          <w:szCs w:val="20"/>
          <w:lang w:val="es-US" w:eastAsia="es-ES_tradnl"/>
        </w:rPr>
        <w:footnoteReference w:id="105"/>
      </w:r>
      <w:r w:rsidR="00FF2619" w:rsidRPr="008A7BD7">
        <w:rPr>
          <w:rFonts w:ascii="Cambria" w:eastAsia="Times New Roman" w:hAnsi="Cambria" w:cs="Times New Roman"/>
          <w:sz w:val="20"/>
          <w:szCs w:val="20"/>
          <w:lang w:eastAsia="es-ES_tradnl"/>
        </w:rPr>
        <w:t xml:space="preserve"> </w:t>
      </w:r>
      <w:r w:rsidR="004A4F78" w:rsidRPr="008A7BD7">
        <w:rPr>
          <w:rFonts w:ascii="Cambria" w:eastAsia="Times New Roman" w:hAnsi="Cambria" w:cs="Times New Roman"/>
          <w:sz w:val="20"/>
          <w:szCs w:val="20"/>
          <w:lang w:eastAsia="es-ES_tradnl"/>
        </w:rPr>
        <w:t>shown as follows</w:t>
      </w:r>
      <w:r w:rsidR="00FF2619" w:rsidRPr="008A7BD7">
        <w:rPr>
          <w:rFonts w:ascii="Cambria" w:eastAsia="Times New Roman" w:hAnsi="Cambria" w:cs="Times New Roman"/>
          <w:sz w:val="20"/>
          <w:szCs w:val="20"/>
          <w:lang w:eastAsia="es-ES_tradnl"/>
        </w:rPr>
        <w:t>:</w:t>
      </w:r>
    </w:p>
    <w:p w14:paraId="3227CA62" w14:textId="77777777" w:rsidR="00FF2619" w:rsidRPr="008A7BD7" w:rsidRDefault="00FF2619" w:rsidP="00FF2619">
      <w:pPr>
        <w:jc w:val="both"/>
        <w:rPr>
          <w:rFonts w:ascii="Cambria" w:eastAsia="Times New Roman" w:hAnsi="Cambria" w:cs="Times New Roman"/>
          <w:sz w:val="20"/>
          <w:szCs w:val="20"/>
          <w:lang w:eastAsia="es-ES_tradnl"/>
        </w:rPr>
      </w:pPr>
    </w:p>
    <w:p w14:paraId="3B8BD350" w14:textId="55A699A8" w:rsidR="00FF2619" w:rsidRPr="008A7BD7" w:rsidRDefault="00FF2619" w:rsidP="00FF2619">
      <w:pPr>
        <w:spacing w:after="200" w:line="360" w:lineRule="auto"/>
        <w:jc w:val="center"/>
        <w:rPr>
          <w:rFonts w:ascii="Cambria" w:eastAsia="Montserrat" w:hAnsi="Cambria" w:cs="Montserrat"/>
          <w:sz w:val="20"/>
          <w:szCs w:val="20"/>
        </w:rPr>
      </w:pPr>
      <w:r w:rsidRPr="008A7BD7">
        <w:rPr>
          <w:rFonts w:ascii="Cambria" w:eastAsia="Montserrat" w:hAnsi="Cambria" w:cs="Montserrat"/>
          <w:b/>
          <w:sz w:val="20"/>
          <w:szCs w:val="20"/>
        </w:rPr>
        <w:lastRenderedPageBreak/>
        <w:t>Tabl</w:t>
      </w:r>
      <w:r w:rsidR="004A4F78" w:rsidRPr="008A7BD7">
        <w:rPr>
          <w:rFonts w:ascii="Cambria" w:eastAsia="Montserrat" w:hAnsi="Cambria" w:cs="Montserrat"/>
          <w:b/>
          <w:sz w:val="20"/>
          <w:szCs w:val="20"/>
        </w:rPr>
        <w:t>e</w:t>
      </w:r>
      <w:r w:rsidRPr="008A7BD7">
        <w:rPr>
          <w:rFonts w:ascii="Cambria" w:eastAsia="Montserrat" w:hAnsi="Cambria" w:cs="Montserrat"/>
          <w:b/>
          <w:sz w:val="20"/>
          <w:szCs w:val="20"/>
        </w:rPr>
        <w:t xml:space="preserve">: </w:t>
      </w:r>
      <w:r w:rsidR="004A4F78" w:rsidRPr="008A7BD7">
        <w:rPr>
          <w:rFonts w:ascii="Cambria" w:eastAsia="Montserrat" w:hAnsi="Cambria" w:cs="Montserrat"/>
          <w:b/>
          <w:sz w:val="20"/>
          <w:szCs w:val="20"/>
        </w:rPr>
        <w:t xml:space="preserve">Budget of the Office of the Human Rights Ombudsman </w:t>
      </w:r>
      <w:r w:rsidRPr="008A7BD7">
        <w:rPr>
          <w:rFonts w:ascii="Cambria" w:eastAsia="Montserrat" w:hAnsi="Cambria" w:cs="Montserrat"/>
          <w:b/>
          <w:sz w:val="20"/>
          <w:szCs w:val="20"/>
        </w:rPr>
        <w:t>2016- 2021</w:t>
      </w:r>
    </w:p>
    <w:tbl>
      <w:tblPr>
        <w:tblStyle w:val="30"/>
        <w:tblW w:w="6362" w:type="dxa"/>
        <w:jc w:val="center"/>
        <w:tblInd w:w="0" w:type="dxa"/>
        <w:tblLayout w:type="fixed"/>
        <w:tblLook w:val="0400" w:firstRow="0" w:lastRow="0" w:firstColumn="0" w:lastColumn="0" w:noHBand="0" w:noVBand="1"/>
      </w:tblPr>
      <w:tblGrid>
        <w:gridCol w:w="758"/>
        <w:gridCol w:w="2892"/>
        <w:gridCol w:w="2712"/>
      </w:tblGrid>
      <w:tr w:rsidR="00FF2619" w:rsidRPr="008A7BD7" w14:paraId="719DF801" w14:textId="77777777" w:rsidTr="0035224A">
        <w:trPr>
          <w:trHeight w:val="300"/>
          <w:jc w:val="center"/>
        </w:trPr>
        <w:tc>
          <w:tcPr>
            <w:tcW w:w="758" w:type="dxa"/>
            <w:tcBorders>
              <w:bottom w:val="single" w:sz="4" w:space="0" w:color="8EAADB"/>
            </w:tcBorders>
            <w:shd w:val="clear" w:color="auto" w:fill="FFFFFF"/>
            <w:tcMar>
              <w:top w:w="0" w:type="dxa"/>
              <w:left w:w="108" w:type="dxa"/>
              <w:bottom w:w="0" w:type="dxa"/>
              <w:right w:w="108" w:type="dxa"/>
            </w:tcMar>
          </w:tcPr>
          <w:p w14:paraId="7E36895D" w14:textId="71FE7E57" w:rsidR="00FF2619" w:rsidRPr="008A7BD7" w:rsidRDefault="004A4F78" w:rsidP="0035224A">
            <w:pPr>
              <w:spacing w:line="360" w:lineRule="auto"/>
              <w:jc w:val="right"/>
              <w:rPr>
                <w:rFonts w:ascii="Cambria" w:eastAsia="Montserrat" w:hAnsi="Cambria" w:cs="Montserrat"/>
                <w:sz w:val="20"/>
                <w:szCs w:val="20"/>
              </w:rPr>
            </w:pPr>
            <w:r w:rsidRPr="008A7BD7">
              <w:rPr>
                <w:rFonts w:ascii="Cambria" w:eastAsia="Montserrat" w:hAnsi="Cambria" w:cs="Montserrat"/>
                <w:b/>
                <w:i/>
                <w:sz w:val="20"/>
                <w:szCs w:val="20"/>
              </w:rPr>
              <w:t>YEAR</w:t>
            </w:r>
          </w:p>
        </w:tc>
        <w:tc>
          <w:tcPr>
            <w:tcW w:w="2892" w:type="dxa"/>
            <w:tcBorders>
              <w:bottom w:val="single" w:sz="4" w:space="0" w:color="8EAADB"/>
            </w:tcBorders>
            <w:shd w:val="clear" w:color="auto" w:fill="FFFFFF"/>
            <w:tcMar>
              <w:top w:w="0" w:type="dxa"/>
              <w:left w:w="108" w:type="dxa"/>
              <w:bottom w:w="0" w:type="dxa"/>
              <w:right w:w="108" w:type="dxa"/>
            </w:tcMar>
          </w:tcPr>
          <w:p w14:paraId="0D40A4CE" w14:textId="693E7184" w:rsidR="00FF2619" w:rsidRPr="008A7BD7" w:rsidRDefault="004A4F78" w:rsidP="0035224A">
            <w:pPr>
              <w:spacing w:line="360" w:lineRule="auto"/>
              <w:jc w:val="center"/>
              <w:rPr>
                <w:rFonts w:ascii="Cambria" w:eastAsia="Montserrat" w:hAnsi="Cambria" w:cs="Montserrat"/>
                <w:sz w:val="20"/>
                <w:szCs w:val="20"/>
              </w:rPr>
            </w:pPr>
            <w:r w:rsidRPr="008A7BD7">
              <w:rPr>
                <w:rFonts w:ascii="Cambria" w:eastAsia="Montserrat" w:hAnsi="Cambria" w:cs="Montserrat"/>
                <w:b/>
                <w:sz w:val="20"/>
                <w:szCs w:val="20"/>
              </w:rPr>
              <w:t xml:space="preserve">Budget </w:t>
            </w:r>
            <w:proofErr w:type="spellStart"/>
            <w:r w:rsidRPr="008A7BD7">
              <w:rPr>
                <w:rFonts w:ascii="Cambria" w:eastAsia="Montserrat" w:hAnsi="Cambria" w:cs="Montserrat"/>
                <w:b/>
                <w:sz w:val="20"/>
                <w:szCs w:val="20"/>
              </w:rPr>
              <w:t>Allocated</w:t>
            </w:r>
            <w:proofErr w:type="spellEnd"/>
          </w:p>
        </w:tc>
        <w:tc>
          <w:tcPr>
            <w:tcW w:w="2712" w:type="dxa"/>
            <w:tcBorders>
              <w:bottom w:val="single" w:sz="4" w:space="0" w:color="8EAADB"/>
            </w:tcBorders>
            <w:shd w:val="clear" w:color="auto" w:fill="FFFFFF"/>
            <w:tcMar>
              <w:top w:w="0" w:type="dxa"/>
              <w:left w:w="108" w:type="dxa"/>
              <w:bottom w:w="0" w:type="dxa"/>
              <w:right w:w="108" w:type="dxa"/>
            </w:tcMar>
          </w:tcPr>
          <w:p w14:paraId="03FF3B98" w14:textId="0D6BE089" w:rsidR="00FF2619" w:rsidRPr="008A7BD7" w:rsidRDefault="004A4F78" w:rsidP="0035224A">
            <w:pPr>
              <w:spacing w:line="360" w:lineRule="auto"/>
              <w:jc w:val="center"/>
              <w:rPr>
                <w:rFonts w:ascii="Cambria" w:eastAsia="Montserrat" w:hAnsi="Cambria" w:cs="Montserrat"/>
                <w:sz w:val="20"/>
                <w:szCs w:val="20"/>
              </w:rPr>
            </w:pPr>
            <w:r w:rsidRPr="008A7BD7">
              <w:rPr>
                <w:rFonts w:ascii="Cambria" w:eastAsia="Montserrat" w:hAnsi="Cambria" w:cs="Montserrat"/>
                <w:b/>
                <w:sz w:val="20"/>
                <w:szCs w:val="20"/>
              </w:rPr>
              <w:t xml:space="preserve">Budget in </w:t>
            </w:r>
            <w:proofErr w:type="spellStart"/>
            <w:r w:rsidRPr="008A7BD7">
              <w:rPr>
                <w:rFonts w:ascii="Cambria" w:eastAsia="Montserrat" w:hAnsi="Cambria" w:cs="Montserrat"/>
                <w:b/>
                <w:sz w:val="20"/>
                <w:szCs w:val="20"/>
              </w:rPr>
              <w:t>Effect</w:t>
            </w:r>
            <w:proofErr w:type="spellEnd"/>
          </w:p>
        </w:tc>
      </w:tr>
      <w:tr w:rsidR="00FF2619" w:rsidRPr="008A7BD7" w14:paraId="0ACDD064" w14:textId="77777777" w:rsidTr="0035224A">
        <w:trPr>
          <w:trHeight w:val="358"/>
          <w:jc w:val="center"/>
        </w:trPr>
        <w:tc>
          <w:tcPr>
            <w:tcW w:w="758" w:type="dxa"/>
            <w:tcBorders>
              <w:top w:val="single" w:sz="4" w:space="0" w:color="8EAADB"/>
              <w:right w:val="single" w:sz="4" w:space="0" w:color="8EAADB"/>
            </w:tcBorders>
            <w:shd w:val="clear" w:color="auto" w:fill="FFFFFF"/>
            <w:tcMar>
              <w:top w:w="0" w:type="dxa"/>
              <w:left w:w="108" w:type="dxa"/>
              <w:bottom w:w="0" w:type="dxa"/>
              <w:right w:w="108" w:type="dxa"/>
            </w:tcMar>
          </w:tcPr>
          <w:p w14:paraId="54402AA2"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2021</w:t>
            </w:r>
          </w:p>
        </w:tc>
        <w:tc>
          <w:tcPr>
            <w:tcW w:w="2892" w:type="dxa"/>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3CB074D3"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120,205,000.00</w:t>
            </w:r>
          </w:p>
        </w:tc>
        <w:tc>
          <w:tcPr>
            <w:tcW w:w="2712" w:type="dxa"/>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587E92AD"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120,205,000.00</w:t>
            </w:r>
          </w:p>
        </w:tc>
      </w:tr>
      <w:tr w:rsidR="00FF2619" w:rsidRPr="008A7BD7" w14:paraId="14CF20EA" w14:textId="77777777" w:rsidTr="0035224A">
        <w:trPr>
          <w:trHeight w:val="300"/>
          <w:jc w:val="center"/>
        </w:trPr>
        <w:tc>
          <w:tcPr>
            <w:tcW w:w="758" w:type="dxa"/>
            <w:tcBorders>
              <w:right w:val="single" w:sz="4" w:space="0" w:color="8EAADB"/>
            </w:tcBorders>
            <w:shd w:val="clear" w:color="auto" w:fill="FFFFFF"/>
            <w:tcMar>
              <w:top w:w="0" w:type="dxa"/>
              <w:left w:w="108" w:type="dxa"/>
              <w:bottom w:w="0" w:type="dxa"/>
              <w:right w:w="108" w:type="dxa"/>
            </w:tcMar>
          </w:tcPr>
          <w:p w14:paraId="14C04221"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2020</w:t>
            </w:r>
          </w:p>
        </w:tc>
        <w:tc>
          <w:tcPr>
            <w:tcW w:w="2892"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2EB5AF80"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120,185,000.00</w:t>
            </w:r>
          </w:p>
        </w:tc>
        <w:tc>
          <w:tcPr>
            <w:tcW w:w="2712"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0B1A8E3B"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150,185,000.00</w:t>
            </w:r>
          </w:p>
        </w:tc>
      </w:tr>
      <w:tr w:rsidR="00FF2619" w:rsidRPr="008A7BD7" w14:paraId="5D4BEBEB" w14:textId="77777777" w:rsidTr="0035224A">
        <w:trPr>
          <w:trHeight w:val="300"/>
          <w:jc w:val="center"/>
        </w:trPr>
        <w:tc>
          <w:tcPr>
            <w:tcW w:w="758" w:type="dxa"/>
            <w:tcBorders>
              <w:right w:val="single" w:sz="4" w:space="0" w:color="8EAADB"/>
            </w:tcBorders>
            <w:shd w:val="clear" w:color="auto" w:fill="FFFFFF"/>
            <w:tcMar>
              <w:top w:w="0" w:type="dxa"/>
              <w:left w:w="108" w:type="dxa"/>
              <w:bottom w:w="0" w:type="dxa"/>
              <w:right w:w="108" w:type="dxa"/>
            </w:tcMar>
          </w:tcPr>
          <w:p w14:paraId="692E5C50"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2019</w:t>
            </w:r>
          </w:p>
        </w:tc>
        <w:tc>
          <w:tcPr>
            <w:tcW w:w="2892" w:type="dxa"/>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329868D1"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100,130,000.00</w:t>
            </w:r>
          </w:p>
        </w:tc>
        <w:tc>
          <w:tcPr>
            <w:tcW w:w="2712" w:type="dxa"/>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1BF9E827"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120,250,000.00</w:t>
            </w:r>
          </w:p>
        </w:tc>
      </w:tr>
      <w:tr w:rsidR="00FF2619" w:rsidRPr="008A7BD7" w14:paraId="70140EF5" w14:textId="77777777" w:rsidTr="0035224A">
        <w:trPr>
          <w:trHeight w:val="300"/>
          <w:jc w:val="center"/>
        </w:trPr>
        <w:tc>
          <w:tcPr>
            <w:tcW w:w="758" w:type="dxa"/>
            <w:tcBorders>
              <w:right w:val="single" w:sz="4" w:space="0" w:color="8EAADB"/>
            </w:tcBorders>
            <w:shd w:val="clear" w:color="auto" w:fill="FFFFFF"/>
            <w:tcMar>
              <w:top w:w="0" w:type="dxa"/>
              <w:left w:w="108" w:type="dxa"/>
              <w:bottom w:w="0" w:type="dxa"/>
              <w:right w:w="108" w:type="dxa"/>
            </w:tcMar>
          </w:tcPr>
          <w:p w14:paraId="44A688B6"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2018</w:t>
            </w:r>
          </w:p>
        </w:tc>
        <w:tc>
          <w:tcPr>
            <w:tcW w:w="2892"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43D78F00"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121,130,000.00</w:t>
            </w:r>
          </w:p>
        </w:tc>
        <w:tc>
          <w:tcPr>
            <w:tcW w:w="2712"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3F95C785"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120,132,475.41</w:t>
            </w:r>
          </w:p>
        </w:tc>
      </w:tr>
      <w:tr w:rsidR="00FF2619" w:rsidRPr="008A7BD7" w14:paraId="56CAC178" w14:textId="77777777" w:rsidTr="0035224A">
        <w:trPr>
          <w:trHeight w:val="300"/>
          <w:jc w:val="center"/>
        </w:trPr>
        <w:tc>
          <w:tcPr>
            <w:tcW w:w="758" w:type="dxa"/>
            <w:tcBorders>
              <w:right w:val="single" w:sz="4" w:space="0" w:color="8EAADB"/>
            </w:tcBorders>
            <w:shd w:val="clear" w:color="auto" w:fill="FFFFFF"/>
            <w:tcMar>
              <w:top w:w="0" w:type="dxa"/>
              <w:left w:w="108" w:type="dxa"/>
              <w:bottom w:w="0" w:type="dxa"/>
              <w:right w:w="108" w:type="dxa"/>
            </w:tcMar>
          </w:tcPr>
          <w:p w14:paraId="4C8EBE72"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2017</w:t>
            </w:r>
          </w:p>
        </w:tc>
        <w:tc>
          <w:tcPr>
            <w:tcW w:w="2892" w:type="dxa"/>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1B2CF58E"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130,000,000.00</w:t>
            </w:r>
          </w:p>
        </w:tc>
        <w:tc>
          <w:tcPr>
            <w:tcW w:w="2712" w:type="dxa"/>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26D50FC5"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123,090,000.00</w:t>
            </w:r>
          </w:p>
        </w:tc>
      </w:tr>
      <w:tr w:rsidR="00FF2619" w:rsidRPr="008A7BD7" w14:paraId="7D93CC35" w14:textId="77777777" w:rsidTr="0035224A">
        <w:trPr>
          <w:trHeight w:val="300"/>
          <w:jc w:val="center"/>
        </w:trPr>
        <w:tc>
          <w:tcPr>
            <w:tcW w:w="758" w:type="dxa"/>
            <w:tcBorders>
              <w:right w:val="single" w:sz="4" w:space="0" w:color="8EAADB"/>
            </w:tcBorders>
            <w:shd w:val="clear" w:color="auto" w:fill="FFFFFF"/>
            <w:tcMar>
              <w:top w:w="0" w:type="dxa"/>
              <w:left w:w="108" w:type="dxa"/>
              <w:bottom w:w="0" w:type="dxa"/>
              <w:right w:w="108" w:type="dxa"/>
            </w:tcMar>
          </w:tcPr>
          <w:p w14:paraId="3B6D0EAE"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2016</w:t>
            </w:r>
          </w:p>
        </w:tc>
        <w:tc>
          <w:tcPr>
            <w:tcW w:w="2892"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61D90D3D"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120,000,000.00</w:t>
            </w:r>
          </w:p>
        </w:tc>
        <w:tc>
          <w:tcPr>
            <w:tcW w:w="2712"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5EDDC9CE" w14:textId="77777777" w:rsidR="00FF2619" w:rsidRPr="008A7BD7" w:rsidRDefault="00FF2619" w:rsidP="0035224A">
            <w:pPr>
              <w:spacing w:line="360" w:lineRule="auto"/>
              <w:jc w:val="center"/>
              <w:rPr>
                <w:rFonts w:ascii="Cambria" w:eastAsia="Montserrat" w:hAnsi="Cambria" w:cs="Montserrat"/>
                <w:sz w:val="20"/>
                <w:szCs w:val="20"/>
              </w:rPr>
            </w:pPr>
            <w:r w:rsidRPr="008A7BD7">
              <w:rPr>
                <w:rFonts w:ascii="Cambria" w:eastAsia="Montserrat" w:hAnsi="Cambria" w:cs="Montserrat"/>
                <w:sz w:val="20"/>
                <w:szCs w:val="20"/>
              </w:rPr>
              <w:t>120,033,684.77</w:t>
            </w:r>
          </w:p>
        </w:tc>
      </w:tr>
    </w:tbl>
    <w:p w14:paraId="2A0E0E6F" w14:textId="7E5821BE" w:rsidR="00FF2619" w:rsidRPr="008A7BD7" w:rsidRDefault="004A4F78" w:rsidP="00FF2619">
      <w:pPr>
        <w:spacing w:after="200" w:line="360" w:lineRule="auto"/>
        <w:ind w:left="1440" w:firstLine="720"/>
        <w:jc w:val="both"/>
        <w:rPr>
          <w:rFonts w:ascii="Cambria" w:eastAsia="Montserrat" w:hAnsi="Cambria" w:cs="Montserrat"/>
          <w:sz w:val="20"/>
          <w:szCs w:val="20"/>
        </w:rPr>
      </w:pPr>
      <w:r w:rsidRPr="008A7BD7">
        <w:rPr>
          <w:rFonts w:ascii="Cambria" w:eastAsia="Montserrat" w:hAnsi="Cambria" w:cs="Montserrat"/>
          <w:b/>
          <w:sz w:val="20"/>
          <w:szCs w:val="20"/>
        </w:rPr>
        <w:t>Source</w:t>
      </w:r>
      <w:r w:rsidR="00FF2619" w:rsidRPr="008A7BD7">
        <w:rPr>
          <w:rFonts w:ascii="Cambria" w:eastAsia="Montserrat" w:hAnsi="Cambria" w:cs="Montserrat"/>
          <w:sz w:val="20"/>
          <w:szCs w:val="20"/>
        </w:rPr>
        <w:t>: Dat</w:t>
      </w:r>
      <w:r w:rsidRPr="008A7BD7">
        <w:rPr>
          <w:rFonts w:ascii="Cambria" w:eastAsia="Montserrat" w:hAnsi="Cambria" w:cs="Montserrat"/>
          <w:sz w:val="20"/>
          <w:szCs w:val="20"/>
        </w:rPr>
        <w:t xml:space="preserve">a from </w:t>
      </w:r>
      <w:r w:rsidR="00FF2619" w:rsidRPr="008A7BD7">
        <w:rPr>
          <w:rFonts w:ascii="Cambria" w:eastAsia="Montserrat" w:hAnsi="Cambria" w:cs="Montserrat"/>
          <w:sz w:val="20"/>
          <w:szCs w:val="20"/>
        </w:rPr>
        <w:t xml:space="preserve">SICOINDES, </w:t>
      </w:r>
      <w:r w:rsidRPr="008A7BD7">
        <w:rPr>
          <w:rFonts w:ascii="Cambria" w:eastAsia="Montserrat" w:hAnsi="Cambria" w:cs="Montserrat"/>
          <w:sz w:val="20"/>
          <w:szCs w:val="20"/>
        </w:rPr>
        <w:t xml:space="preserve">August </w:t>
      </w:r>
      <w:r w:rsidR="00FF2619" w:rsidRPr="008A7BD7">
        <w:rPr>
          <w:rFonts w:ascii="Cambria" w:eastAsia="Montserrat" w:hAnsi="Cambria" w:cs="Montserrat"/>
          <w:sz w:val="20"/>
          <w:szCs w:val="20"/>
        </w:rPr>
        <w:t>2021</w:t>
      </w:r>
      <w:r w:rsidR="00FF2619" w:rsidRPr="008A7BD7">
        <w:rPr>
          <w:rStyle w:val="FootnoteReference"/>
          <w:rFonts w:ascii="Cambria" w:eastAsia="Montserrat" w:hAnsi="Cambria" w:cs="Montserrat"/>
          <w:sz w:val="20"/>
          <w:szCs w:val="20"/>
          <w:lang w:val="es-US"/>
        </w:rPr>
        <w:footnoteReference w:id="106"/>
      </w:r>
    </w:p>
    <w:p w14:paraId="6CC45DC8" w14:textId="5F7A75AA" w:rsidR="00FF2619" w:rsidRPr="008A7BD7" w:rsidRDefault="0027194D" w:rsidP="00FF2619">
      <w:pPr>
        <w:numPr>
          <w:ilvl w:val="0"/>
          <w:numId w:val="2"/>
        </w:numPr>
        <w:ind w:left="0" w:firstLine="720"/>
        <w:jc w:val="both"/>
        <w:rPr>
          <w:rFonts w:ascii="Cambria" w:eastAsia="Times New Roman" w:hAnsi="Cambria" w:cs="Times New Roman"/>
          <w:sz w:val="20"/>
          <w:szCs w:val="20"/>
          <w:lang w:eastAsia="es-ES_tradnl"/>
        </w:rPr>
      </w:pPr>
      <w:r w:rsidRPr="008A7BD7">
        <w:rPr>
          <w:rFonts w:ascii="Cambria" w:eastAsia="Times New Roman" w:hAnsi="Cambria" w:cs="Times New Roman"/>
          <w:sz w:val="20"/>
          <w:szCs w:val="20"/>
          <w:lang w:eastAsia="es-ES_tradnl"/>
        </w:rPr>
        <w:t>T</w:t>
      </w:r>
      <w:r w:rsidR="00C75D1D" w:rsidRPr="008A7BD7">
        <w:rPr>
          <w:rFonts w:ascii="Cambria" w:eastAsia="Times New Roman" w:hAnsi="Cambria" w:cs="Times New Roman"/>
          <w:sz w:val="20"/>
          <w:szCs w:val="20"/>
          <w:lang w:eastAsia="es-ES_tradnl"/>
        </w:rPr>
        <w:t xml:space="preserve">he State of </w:t>
      </w:r>
      <w:r w:rsidR="00FF2619" w:rsidRPr="008A7BD7">
        <w:rPr>
          <w:rFonts w:ascii="Cambria" w:eastAsia="Times New Roman" w:hAnsi="Cambria" w:cs="Times New Roman"/>
          <w:sz w:val="20"/>
          <w:szCs w:val="20"/>
          <w:lang w:eastAsia="es-ES_tradnl"/>
        </w:rPr>
        <w:t xml:space="preserve">Guatemala </w:t>
      </w:r>
      <w:r w:rsidRPr="008A7BD7">
        <w:rPr>
          <w:rFonts w:ascii="Cambria" w:eastAsia="Times New Roman" w:hAnsi="Cambria" w:cs="Times New Roman"/>
          <w:sz w:val="20"/>
          <w:szCs w:val="20"/>
          <w:lang w:eastAsia="es-ES_tradnl"/>
        </w:rPr>
        <w:t xml:space="preserve">also </w:t>
      </w:r>
      <w:r w:rsidR="00C75D1D" w:rsidRPr="008A7BD7">
        <w:rPr>
          <w:rFonts w:ascii="Cambria" w:eastAsia="Times New Roman" w:hAnsi="Cambria" w:cs="Times New Roman"/>
          <w:sz w:val="20"/>
          <w:szCs w:val="20"/>
          <w:lang w:eastAsia="es-ES_tradnl"/>
        </w:rPr>
        <w:t xml:space="preserve">informed the IACHR that </w:t>
      </w:r>
      <w:r w:rsidR="005C7129" w:rsidRPr="008A7BD7">
        <w:rPr>
          <w:rFonts w:ascii="Cambria" w:eastAsia="Times New Roman" w:hAnsi="Cambria" w:cs="Times New Roman"/>
          <w:sz w:val="20"/>
          <w:szCs w:val="20"/>
          <w:lang w:eastAsia="es-ES_tradnl"/>
        </w:rPr>
        <w:t>on</w:t>
      </w:r>
      <w:r w:rsidR="00C75D1D" w:rsidRPr="008A7BD7">
        <w:rPr>
          <w:rFonts w:ascii="Cambria" w:eastAsia="Times New Roman" w:hAnsi="Cambria" w:cs="Times New Roman"/>
          <w:sz w:val="20"/>
          <w:szCs w:val="20"/>
          <w:lang w:eastAsia="es-ES_tradnl"/>
        </w:rPr>
        <w:t xml:space="preserve"> November 24, </w:t>
      </w:r>
      <w:r w:rsidR="00FF2619" w:rsidRPr="008A7BD7">
        <w:rPr>
          <w:rFonts w:ascii="Cambria" w:eastAsia="Times New Roman" w:hAnsi="Cambria" w:cs="Times New Roman"/>
          <w:sz w:val="20"/>
          <w:szCs w:val="20"/>
          <w:lang w:eastAsia="es-ES_tradnl"/>
        </w:rPr>
        <w:t xml:space="preserve">2021, </w:t>
      </w:r>
      <w:r w:rsidR="00C75D1D" w:rsidRPr="008A7BD7">
        <w:rPr>
          <w:rFonts w:ascii="Cambria" w:eastAsia="Times New Roman" w:hAnsi="Cambria" w:cs="Times New Roman"/>
          <w:sz w:val="20"/>
          <w:szCs w:val="20"/>
          <w:lang w:eastAsia="es-ES_tradnl"/>
        </w:rPr>
        <w:t xml:space="preserve">the Congress, by means of Legislative Decree </w:t>
      </w:r>
      <w:r w:rsidR="00FF2619" w:rsidRPr="008A7BD7">
        <w:rPr>
          <w:rFonts w:ascii="Cambria" w:eastAsia="Times New Roman" w:hAnsi="Cambria" w:cs="Times New Roman"/>
          <w:sz w:val="20"/>
          <w:szCs w:val="20"/>
          <w:lang w:eastAsia="es-ES_tradnl"/>
        </w:rPr>
        <w:t xml:space="preserve">19-2021, </w:t>
      </w:r>
      <w:r w:rsidR="00C75D1D" w:rsidRPr="008A7BD7">
        <w:rPr>
          <w:rFonts w:ascii="Cambria" w:eastAsia="Times New Roman" w:hAnsi="Cambria" w:cs="Times New Roman"/>
          <w:sz w:val="20"/>
          <w:szCs w:val="20"/>
          <w:lang w:eastAsia="es-ES_tradnl"/>
        </w:rPr>
        <w:t xml:space="preserve">approved </w:t>
      </w:r>
      <w:r w:rsidR="006C12CB" w:rsidRPr="008A7BD7">
        <w:rPr>
          <w:rFonts w:ascii="Cambria" w:eastAsia="Times New Roman" w:hAnsi="Cambria" w:cs="Times New Roman"/>
          <w:sz w:val="20"/>
          <w:szCs w:val="20"/>
          <w:lang w:eastAsia="es-ES_tradnl"/>
        </w:rPr>
        <w:t xml:space="preserve">an increase in the legislative Budget of Revenues and Expenditures for fiscal year </w:t>
      </w:r>
      <w:r w:rsidR="00FF2619" w:rsidRPr="008A7BD7">
        <w:rPr>
          <w:rFonts w:ascii="Cambria" w:eastAsia="Times New Roman" w:hAnsi="Cambria" w:cs="Times New Roman"/>
          <w:sz w:val="20"/>
          <w:szCs w:val="20"/>
          <w:lang w:eastAsia="es-ES_tradnl"/>
        </w:rPr>
        <w:t>2021</w:t>
      </w:r>
      <w:r w:rsidR="006C12CB" w:rsidRPr="008A7BD7">
        <w:rPr>
          <w:rFonts w:ascii="Cambria" w:eastAsia="Times New Roman" w:hAnsi="Cambria" w:cs="Times New Roman"/>
          <w:sz w:val="20"/>
          <w:szCs w:val="20"/>
          <w:lang w:eastAsia="es-ES_tradnl"/>
        </w:rPr>
        <w:t xml:space="preserve"> of </w:t>
      </w:r>
      <w:r w:rsidR="00FF2619" w:rsidRPr="008A7BD7">
        <w:rPr>
          <w:rFonts w:ascii="Cambria" w:eastAsia="Times New Roman" w:hAnsi="Cambria" w:cs="Times New Roman"/>
          <w:sz w:val="20"/>
          <w:szCs w:val="20"/>
          <w:lang w:eastAsia="es-ES_tradnl"/>
        </w:rPr>
        <w:t>Q20,000,000.00 (</w:t>
      </w:r>
      <w:r w:rsidR="006C12CB" w:rsidRPr="008A7BD7">
        <w:rPr>
          <w:rFonts w:ascii="Cambria" w:eastAsia="Times New Roman" w:hAnsi="Cambria" w:cs="Times New Roman"/>
          <w:sz w:val="20"/>
          <w:szCs w:val="20"/>
          <w:lang w:eastAsia="es-ES_tradnl"/>
        </w:rPr>
        <w:t xml:space="preserve">twenty million </w:t>
      </w:r>
      <w:r w:rsidR="00FF2619" w:rsidRPr="008A7BD7">
        <w:rPr>
          <w:rFonts w:ascii="Cambria" w:eastAsia="Times New Roman" w:hAnsi="Cambria" w:cs="Times New Roman"/>
          <w:sz w:val="20"/>
          <w:szCs w:val="20"/>
          <w:lang w:eastAsia="es-ES_tradnl"/>
        </w:rPr>
        <w:t xml:space="preserve">quetzals) </w:t>
      </w:r>
      <w:r w:rsidRPr="008A7BD7">
        <w:rPr>
          <w:rFonts w:ascii="Cambria" w:eastAsia="Times New Roman" w:hAnsi="Cambria" w:cs="Times New Roman"/>
          <w:sz w:val="20"/>
          <w:szCs w:val="20"/>
          <w:lang w:eastAsia="es-ES_tradnl"/>
        </w:rPr>
        <w:t>to be transferred to</w:t>
      </w:r>
      <w:r w:rsidR="006C12CB" w:rsidRPr="008A7BD7">
        <w:rPr>
          <w:rFonts w:ascii="Cambria" w:eastAsia="Times New Roman" w:hAnsi="Cambria" w:cs="Times New Roman"/>
          <w:sz w:val="20"/>
          <w:szCs w:val="20"/>
          <w:lang w:eastAsia="es-ES_tradnl"/>
        </w:rPr>
        <w:t xml:space="preserve"> the Office</w:t>
      </w:r>
      <w:r w:rsidRPr="008A7BD7">
        <w:rPr>
          <w:rFonts w:ascii="Cambria" w:eastAsia="Times New Roman" w:hAnsi="Cambria" w:cs="Times New Roman"/>
          <w:sz w:val="20"/>
          <w:szCs w:val="20"/>
          <w:lang w:eastAsia="es-ES_tradnl"/>
        </w:rPr>
        <w:t xml:space="preserve"> of the Ombudsman</w:t>
      </w:r>
      <w:r w:rsidR="006C12CB" w:rsidRPr="008A7BD7">
        <w:rPr>
          <w:rFonts w:ascii="Cambria" w:eastAsia="Times New Roman" w:hAnsi="Cambria" w:cs="Times New Roman"/>
          <w:sz w:val="20"/>
          <w:szCs w:val="20"/>
          <w:lang w:eastAsia="es-ES_tradnl"/>
        </w:rPr>
        <w:t xml:space="preserve">. In addition, for fiscal year </w:t>
      </w:r>
      <w:r w:rsidR="00FF2619" w:rsidRPr="008A7BD7">
        <w:rPr>
          <w:rFonts w:ascii="Cambria" w:eastAsia="Times New Roman" w:hAnsi="Cambria" w:cs="Times New Roman"/>
          <w:sz w:val="20"/>
          <w:szCs w:val="20"/>
          <w:lang w:eastAsia="es-ES_tradnl"/>
        </w:rPr>
        <w:t xml:space="preserve">2022, </w:t>
      </w:r>
      <w:r w:rsidR="006C12CB" w:rsidRPr="008A7BD7">
        <w:rPr>
          <w:rFonts w:ascii="Cambria" w:eastAsia="Times New Roman" w:hAnsi="Cambria" w:cs="Times New Roman"/>
          <w:sz w:val="20"/>
          <w:szCs w:val="20"/>
          <w:lang w:eastAsia="es-ES_tradnl"/>
        </w:rPr>
        <w:t xml:space="preserve">the Congress </w:t>
      </w:r>
      <w:r w:rsidR="002971EE" w:rsidRPr="008A7BD7">
        <w:rPr>
          <w:rFonts w:ascii="Cambria" w:eastAsia="Times New Roman" w:hAnsi="Cambria" w:cs="Times New Roman"/>
          <w:sz w:val="20"/>
          <w:szCs w:val="20"/>
          <w:lang w:eastAsia="es-ES_tradnl"/>
        </w:rPr>
        <w:t>adopted</w:t>
      </w:r>
      <w:r w:rsidR="006C12CB" w:rsidRPr="008A7BD7">
        <w:rPr>
          <w:rFonts w:ascii="Cambria" w:eastAsia="Times New Roman" w:hAnsi="Cambria" w:cs="Times New Roman"/>
          <w:sz w:val="20"/>
          <w:szCs w:val="20"/>
          <w:lang w:eastAsia="es-ES_tradnl"/>
        </w:rPr>
        <w:t xml:space="preserve"> Decree </w:t>
      </w:r>
      <w:r w:rsidR="00FF2619" w:rsidRPr="008A7BD7">
        <w:rPr>
          <w:rFonts w:ascii="Cambria" w:eastAsia="Times New Roman" w:hAnsi="Cambria" w:cs="Times New Roman"/>
          <w:sz w:val="20"/>
          <w:szCs w:val="20"/>
          <w:lang w:eastAsia="es-ES_tradnl"/>
        </w:rPr>
        <w:t>16-2021</w:t>
      </w:r>
      <w:r w:rsidR="002971EE" w:rsidRPr="008A7BD7">
        <w:rPr>
          <w:rFonts w:ascii="Cambria" w:eastAsia="Times New Roman" w:hAnsi="Cambria" w:cs="Times New Roman"/>
          <w:sz w:val="20"/>
          <w:szCs w:val="20"/>
          <w:lang w:eastAsia="es-ES_tradnl"/>
        </w:rPr>
        <w:t xml:space="preserve"> approving</w:t>
      </w:r>
      <w:r w:rsidR="00FF2619" w:rsidRPr="008A7BD7">
        <w:rPr>
          <w:rFonts w:ascii="Cambria" w:eastAsia="Times New Roman" w:hAnsi="Cambria" w:cs="Times New Roman"/>
          <w:sz w:val="20"/>
          <w:szCs w:val="20"/>
          <w:lang w:eastAsia="es-ES_tradnl"/>
        </w:rPr>
        <w:t xml:space="preserve"> </w:t>
      </w:r>
      <w:r w:rsidR="006C12CB" w:rsidRPr="008A7BD7">
        <w:rPr>
          <w:rFonts w:ascii="Cambria" w:eastAsia="Times New Roman" w:hAnsi="Cambria" w:cs="Times New Roman"/>
          <w:sz w:val="20"/>
          <w:szCs w:val="20"/>
          <w:lang w:eastAsia="es-ES_tradnl"/>
        </w:rPr>
        <w:t xml:space="preserve">the General Budget of State Revenues and Expenditures, which establishes a budget allocation of </w:t>
      </w:r>
      <w:r w:rsidR="00FF2619" w:rsidRPr="008A7BD7">
        <w:rPr>
          <w:rFonts w:ascii="Cambria" w:eastAsia="Times New Roman" w:hAnsi="Cambria" w:cs="Times New Roman"/>
          <w:sz w:val="20"/>
          <w:szCs w:val="20"/>
          <w:lang w:eastAsia="es-ES_tradnl"/>
        </w:rPr>
        <w:t>Q120,000,000.00 (</w:t>
      </w:r>
      <w:r w:rsidR="006C12CB" w:rsidRPr="008A7BD7">
        <w:rPr>
          <w:rFonts w:ascii="Cambria" w:eastAsia="Times New Roman" w:hAnsi="Cambria" w:cs="Times New Roman"/>
          <w:sz w:val="20"/>
          <w:szCs w:val="20"/>
          <w:lang w:eastAsia="es-ES_tradnl"/>
        </w:rPr>
        <w:t xml:space="preserve">one hundred twenty million </w:t>
      </w:r>
      <w:r w:rsidR="00FF2619" w:rsidRPr="008A7BD7">
        <w:rPr>
          <w:rFonts w:ascii="Cambria" w:eastAsia="Times New Roman" w:hAnsi="Cambria" w:cs="Times New Roman"/>
          <w:sz w:val="20"/>
          <w:szCs w:val="20"/>
          <w:lang w:eastAsia="es-ES_tradnl"/>
        </w:rPr>
        <w:t xml:space="preserve">quetzals). </w:t>
      </w:r>
      <w:r w:rsidR="006C12CB" w:rsidRPr="008A7BD7">
        <w:rPr>
          <w:rFonts w:ascii="Cambria" w:eastAsia="Times New Roman" w:hAnsi="Cambria" w:cs="Times New Roman"/>
          <w:sz w:val="20"/>
          <w:szCs w:val="20"/>
          <w:lang w:eastAsia="es-ES_tradnl"/>
        </w:rPr>
        <w:t xml:space="preserve">Finally, the State emphasized that the Office of the Human Rights Ombudsman “has acted with complete freedom, </w:t>
      </w:r>
      <w:r w:rsidR="00B649AA" w:rsidRPr="008A7BD7">
        <w:rPr>
          <w:rFonts w:ascii="Cambria" w:eastAsia="Times New Roman" w:hAnsi="Cambria" w:cs="Times New Roman"/>
          <w:sz w:val="20"/>
          <w:szCs w:val="20"/>
          <w:lang w:eastAsia="es-ES_tradnl"/>
        </w:rPr>
        <w:t>without</w:t>
      </w:r>
      <w:r w:rsidR="006C12CB" w:rsidRPr="008A7BD7">
        <w:rPr>
          <w:rFonts w:ascii="Cambria" w:eastAsia="Times New Roman" w:hAnsi="Cambria" w:cs="Times New Roman"/>
          <w:sz w:val="20"/>
          <w:szCs w:val="20"/>
          <w:lang w:eastAsia="es-ES_tradnl"/>
        </w:rPr>
        <w:t xml:space="preserve"> restrictions </w:t>
      </w:r>
      <w:r w:rsidR="00B649AA" w:rsidRPr="008A7BD7">
        <w:rPr>
          <w:rFonts w:ascii="Cambria" w:eastAsia="Times New Roman" w:hAnsi="Cambria" w:cs="Times New Roman"/>
          <w:sz w:val="20"/>
          <w:szCs w:val="20"/>
          <w:lang w:eastAsia="es-ES_tradnl"/>
        </w:rPr>
        <w:t>on</w:t>
      </w:r>
      <w:r w:rsidR="006C12CB" w:rsidRPr="008A7BD7">
        <w:rPr>
          <w:rFonts w:ascii="Cambria" w:eastAsia="Times New Roman" w:hAnsi="Cambria" w:cs="Times New Roman"/>
          <w:sz w:val="20"/>
          <w:szCs w:val="20"/>
          <w:lang w:eastAsia="es-ES_tradnl"/>
        </w:rPr>
        <w:t xml:space="preserve"> its functions, </w:t>
      </w:r>
      <w:r w:rsidR="002971EE" w:rsidRPr="008A7BD7">
        <w:rPr>
          <w:rFonts w:ascii="Cambria" w:eastAsia="Times New Roman" w:hAnsi="Cambria" w:cs="Times New Roman"/>
          <w:sz w:val="20"/>
          <w:szCs w:val="20"/>
          <w:lang w:eastAsia="es-ES_tradnl"/>
        </w:rPr>
        <w:t xml:space="preserve">it being important not to confuse the actions of </w:t>
      </w:r>
      <w:r w:rsidR="00B649AA" w:rsidRPr="008A7BD7">
        <w:rPr>
          <w:rFonts w:ascii="Cambria" w:eastAsia="Times New Roman" w:hAnsi="Cambria" w:cs="Times New Roman"/>
          <w:sz w:val="20"/>
          <w:szCs w:val="20"/>
          <w:lang w:eastAsia="es-ES_tradnl"/>
        </w:rPr>
        <w:t>persons</w:t>
      </w:r>
      <w:r w:rsidR="002971EE" w:rsidRPr="008A7BD7">
        <w:rPr>
          <w:rFonts w:ascii="Cambria" w:eastAsia="Times New Roman" w:hAnsi="Cambria" w:cs="Times New Roman"/>
          <w:sz w:val="20"/>
          <w:szCs w:val="20"/>
          <w:lang w:eastAsia="es-ES_tradnl"/>
        </w:rPr>
        <w:t xml:space="preserve"> who</w:t>
      </w:r>
      <w:r w:rsidR="00B649AA" w:rsidRPr="008A7BD7">
        <w:rPr>
          <w:rFonts w:ascii="Cambria" w:eastAsia="Times New Roman" w:hAnsi="Cambria" w:cs="Times New Roman"/>
          <w:sz w:val="20"/>
          <w:szCs w:val="20"/>
          <w:lang w:eastAsia="es-ES_tradnl"/>
        </w:rPr>
        <w:t>,</w:t>
      </w:r>
      <w:r w:rsidR="002971EE" w:rsidRPr="008A7BD7">
        <w:rPr>
          <w:rFonts w:ascii="Cambria" w:eastAsia="Times New Roman" w:hAnsi="Cambria" w:cs="Times New Roman"/>
          <w:sz w:val="20"/>
          <w:szCs w:val="20"/>
          <w:lang w:eastAsia="es-ES_tradnl"/>
        </w:rPr>
        <w:t xml:space="preserve"> </w:t>
      </w:r>
      <w:r w:rsidR="001D4211" w:rsidRPr="008A7BD7">
        <w:rPr>
          <w:rFonts w:ascii="Cambria" w:eastAsia="Times New Roman" w:hAnsi="Cambria" w:cs="Times New Roman"/>
          <w:sz w:val="20"/>
          <w:szCs w:val="20"/>
          <w:lang w:eastAsia="es-ES_tradnl"/>
        </w:rPr>
        <w:t xml:space="preserve">in the exercise of their defense or </w:t>
      </w:r>
      <w:r w:rsidR="00B649AA" w:rsidRPr="008A7BD7">
        <w:rPr>
          <w:rFonts w:ascii="Cambria" w:eastAsia="Times New Roman" w:hAnsi="Cambria" w:cs="Times New Roman"/>
          <w:sz w:val="20"/>
          <w:szCs w:val="20"/>
          <w:lang w:eastAsia="es-ES_tradnl"/>
        </w:rPr>
        <w:t xml:space="preserve">as a result of </w:t>
      </w:r>
      <w:r w:rsidR="001D4211" w:rsidRPr="008A7BD7">
        <w:rPr>
          <w:rFonts w:ascii="Cambria" w:eastAsia="Times New Roman" w:hAnsi="Cambria" w:cs="Times New Roman"/>
          <w:sz w:val="20"/>
          <w:szCs w:val="20"/>
          <w:lang w:eastAsia="es-ES_tradnl"/>
        </w:rPr>
        <w:t>clarification</w:t>
      </w:r>
      <w:r w:rsidR="00B649AA" w:rsidRPr="008A7BD7">
        <w:rPr>
          <w:rFonts w:ascii="Cambria" w:eastAsia="Times New Roman" w:hAnsi="Cambria" w:cs="Times New Roman"/>
          <w:sz w:val="20"/>
          <w:szCs w:val="20"/>
          <w:lang w:eastAsia="es-ES_tradnl"/>
        </w:rPr>
        <w:t>,</w:t>
      </w:r>
      <w:r w:rsidR="001D4211" w:rsidRPr="008A7BD7">
        <w:rPr>
          <w:rFonts w:ascii="Cambria" w:eastAsia="Times New Roman" w:hAnsi="Cambria" w:cs="Times New Roman"/>
          <w:sz w:val="20"/>
          <w:szCs w:val="20"/>
          <w:lang w:eastAsia="es-ES_tradnl"/>
        </w:rPr>
        <w:t xml:space="preserve"> </w:t>
      </w:r>
      <w:r w:rsidR="002971EE" w:rsidRPr="008A7BD7">
        <w:rPr>
          <w:rFonts w:ascii="Cambria" w:eastAsia="Times New Roman" w:hAnsi="Cambria" w:cs="Times New Roman"/>
          <w:sz w:val="20"/>
          <w:szCs w:val="20"/>
          <w:lang w:eastAsia="es-ES_tradnl"/>
        </w:rPr>
        <w:t xml:space="preserve">may </w:t>
      </w:r>
      <w:r w:rsidR="00B649AA" w:rsidRPr="008A7BD7">
        <w:rPr>
          <w:rFonts w:ascii="Cambria" w:eastAsia="Times New Roman" w:hAnsi="Cambria" w:cs="Times New Roman"/>
          <w:sz w:val="20"/>
          <w:szCs w:val="20"/>
          <w:lang w:eastAsia="es-ES_tradnl"/>
        </w:rPr>
        <w:t>feel</w:t>
      </w:r>
      <w:r w:rsidR="002971EE" w:rsidRPr="008A7BD7">
        <w:rPr>
          <w:rFonts w:ascii="Cambria" w:eastAsia="Times New Roman" w:hAnsi="Cambria" w:cs="Times New Roman"/>
          <w:sz w:val="20"/>
          <w:szCs w:val="20"/>
          <w:lang w:eastAsia="es-ES_tradnl"/>
        </w:rPr>
        <w:t xml:space="preserve"> </w:t>
      </w:r>
      <w:r w:rsidR="002605B6" w:rsidRPr="008A7BD7">
        <w:rPr>
          <w:rFonts w:ascii="Cambria" w:eastAsia="Times New Roman" w:hAnsi="Cambria" w:cs="Times New Roman"/>
          <w:sz w:val="20"/>
          <w:szCs w:val="20"/>
          <w:lang w:eastAsia="es-ES_tradnl"/>
        </w:rPr>
        <w:t>aggrieved</w:t>
      </w:r>
      <w:r w:rsidR="002971EE" w:rsidRPr="008A7BD7">
        <w:rPr>
          <w:rFonts w:ascii="Cambria" w:eastAsia="Times New Roman" w:hAnsi="Cambria" w:cs="Times New Roman"/>
          <w:sz w:val="20"/>
          <w:szCs w:val="20"/>
          <w:lang w:eastAsia="es-ES_tradnl"/>
        </w:rPr>
        <w:t xml:space="preserve"> by resolutions, declarations, or actions taken by the Human Rights Ombudsma</w:t>
      </w:r>
      <w:r w:rsidR="001D4211" w:rsidRPr="008A7BD7">
        <w:rPr>
          <w:rFonts w:ascii="Cambria" w:eastAsia="Times New Roman" w:hAnsi="Cambria" w:cs="Times New Roman"/>
          <w:sz w:val="20"/>
          <w:szCs w:val="20"/>
          <w:lang w:eastAsia="es-ES_tradnl"/>
        </w:rPr>
        <w:t>n</w:t>
      </w:r>
      <w:r w:rsidR="002605B6" w:rsidRPr="008A7BD7">
        <w:rPr>
          <w:rFonts w:ascii="Cambria" w:eastAsia="Times New Roman" w:hAnsi="Cambria" w:cs="Times New Roman"/>
          <w:sz w:val="20"/>
          <w:szCs w:val="20"/>
          <w:lang w:eastAsia="es-ES_tradnl"/>
        </w:rPr>
        <w:t>.”</w:t>
      </w:r>
      <w:r w:rsidR="00FF2619" w:rsidRPr="008A7BD7">
        <w:rPr>
          <w:rStyle w:val="FootnoteReference"/>
          <w:rFonts w:ascii="Cambria" w:eastAsia="Times New Roman" w:hAnsi="Cambria" w:cs="Times New Roman"/>
          <w:sz w:val="20"/>
          <w:szCs w:val="20"/>
          <w:lang w:val="es-US" w:eastAsia="es-ES_tradnl"/>
        </w:rPr>
        <w:footnoteReference w:id="107"/>
      </w:r>
    </w:p>
    <w:p w14:paraId="444EA250" w14:textId="77777777" w:rsidR="00FF2619" w:rsidRPr="008A7BD7" w:rsidRDefault="00FF2619" w:rsidP="00FF2619">
      <w:pPr>
        <w:pStyle w:val="ListParagraph"/>
        <w:rPr>
          <w:rFonts w:ascii="Cambria" w:eastAsia="Times New Roman" w:hAnsi="Cambria" w:cs="Times New Roman"/>
          <w:sz w:val="20"/>
          <w:szCs w:val="20"/>
          <w:lang w:eastAsia="es-ES"/>
        </w:rPr>
      </w:pPr>
    </w:p>
    <w:p w14:paraId="214DCB78" w14:textId="75B0882C" w:rsidR="00AC0523" w:rsidRPr="008A7BD7" w:rsidRDefault="00B174FF" w:rsidP="008A2AEC">
      <w:pPr>
        <w:numPr>
          <w:ilvl w:val="0"/>
          <w:numId w:val="2"/>
        </w:numPr>
        <w:ind w:left="0" w:firstLine="720"/>
        <w:jc w:val="both"/>
        <w:rPr>
          <w:rFonts w:ascii="Cambria" w:eastAsia="Times New Roman" w:hAnsi="Cambria" w:cs="Times New Roman"/>
          <w:sz w:val="20"/>
          <w:szCs w:val="20"/>
          <w:lang w:eastAsia="es-ES_tradnl"/>
        </w:rPr>
      </w:pPr>
      <w:r w:rsidRPr="008A7BD7">
        <w:rPr>
          <w:rFonts w:ascii="Cambria" w:eastAsia="Times New Roman" w:hAnsi="Cambria" w:cs="Times New Roman"/>
          <w:sz w:val="20"/>
          <w:szCs w:val="20"/>
          <w:lang w:eastAsia="es-ES"/>
        </w:rPr>
        <w:t xml:space="preserve">On different occasions, the IACHR has underscored the importance of the work of the Ombudsman, </w:t>
      </w:r>
      <w:proofErr w:type="spellStart"/>
      <w:r w:rsidR="00AC0523" w:rsidRPr="008A7BD7">
        <w:rPr>
          <w:rFonts w:ascii="Cambria" w:eastAsia="Times New Roman" w:hAnsi="Cambria" w:cs="Arial"/>
          <w:sz w:val="20"/>
          <w:szCs w:val="20"/>
          <w:lang w:eastAsia="es-ES"/>
        </w:rPr>
        <w:t>Jordán</w:t>
      </w:r>
      <w:proofErr w:type="spellEnd"/>
      <w:r w:rsidR="00AC0523" w:rsidRPr="008A7BD7">
        <w:rPr>
          <w:rFonts w:ascii="Cambria" w:eastAsia="Times New Roman" w:hAnsi="Cambria" w:cs="Arial"/>
          <w:sz w:val="20"/>
          <w:szCs w:val="20"/>
          <w:lang w:eastAsia="es-ES"/>
        </w:rPr>
        <w:t xml:space="preserve"> </w:t>
      </w:r>
      <w:proofErr w:type="spellStart"/>
      <w:r w:rsidR="00AC0523" w:rsidRPr="008A7BD7">
        <w:rPr>
          <w:rFonts w:ascii="Cambria" w:eastAsia="Times New Roman" w:hAnsi="Cambria" w:cs="Arial"/>
          <w:sz w:val="20"/>
          <w:szCs w:val="20"/>
          <w:lang w:eastAsia="es-ES"/>
        </w:rPr>
        <w:t>Rodas</w:t>
      </w:r>
      <w:proofErr w:type="spellEnd"/>
      <w:r w:rsidR="00AC0523" w:rsidRPr="008A7BD7">
        <w:rPr>
          <w:rFonts w:ascii="Cambria" w:eastAsia="Times New Roman" w:hAnsi="Cambria" w:cs="Arial"/>
          <w:sz w:val="20"/>
          <w:szCs w:val="20"/>
          <w:lang w:eastAsia="es-ES"/>
        </w:rPr>
        <w:t xml:space="preserve">, </w:t>
      </w:r>
      <w:r w:rsidRPr="008A7BD7">
        <w:rPr>
          <w:rFonts w:ascii="Cambria" w:eastAsia="Times New Roman" w:hAnsi="Cambria" w:cs="Arial"/>
          <w:sz w:val="20"/>
          <w:szCs w:val="20"/>
          <w:lang w:eastAsia="es-ES"/>
        </w:rPr>
        <w:t xml:space="preserve">in defending the exercise of human rights in </w:t>
      </w:r>
      <w:r w:rsidR="00AC0523" w:rsidRPr="008A7BD7">
        <w:rPr>
          <w:rFonts w:ascii="Cambria" w:eastAsia="Times New Roman" w:hAnsi="Cambria" w:cs="Arial"/>
          <w:sz w:val="20"/>
          <w:szCs w:val="20"/>
          <w:lang w:eastAsia="es-ES"/>
        </w:rPr>
        <w:t>Guatemala</w:t>
      </w:r>
      <w:r w:rsidRPr="008A7BD7">
        <w:rPr>
          <w:rFonts w:ascii="Cambria" w:eastAsia="Times New Roman" w:hAnsi="Cambria" w:cs="Arial"/>
          <w:sz w:val="20"/>
          <w:szCs w:val="20"/>
          <w:lang w:eastAsia="es-ES"/>
        </w:rPr>
        <w:t>, and the work of the institutions that are responsible for combating</w:t>
      </w:r>
      <w:r w:rsidR="00AC0523" w:rsidRPr="008A7BD7">
        <w:rPr>
          <w:rFonts w:ascii="Cambria" w:eastAsia="Times New Roman" w:hAnsi="Cambria" w:cs="Arial"/>
          <w:sz w:val="20"/>
          <w:szCs w:val="20"/>
          <w:lang w:eastAsia="es-ES"/>
        </w:rPr>
        <w:t xml:space="preserve"> </w:t>
      </w:r>
      <w:r w:rsidRPr="008A7BD7">
        <w:rPr>
          <w:rFonts w:ascii="Cambria" w:eastAsia="Times New Roman" w:hAnsi="Cambria" w:cs="Arial"/>
          <w:sz w:val="20"/>
          <w:szCs w:val="20"/>
          <w:lang w:eastAsia="es-ES"/>
        </w:rPr>
        <w:t>corruption and impunity. In the current context in the country, the IACHR has received information concerning a growing climate of fear</w:t>
      </w:r>
      <w:r w:rsidR="001E66FA" w:rsidRPr="008A7BD7">
        <w:rPr>
          <w:rFonts w:ascii="Cambria" w:eastAsia="Times New Roman" w:hAnsi="Cambria" w:cs="Arial"/>
          <w:sz w:val="20"/>
          <w:szCs w:val="20"/>
          <w:lang w:eastAsia="es-ES"/>
        </w:rPr>
        <w:t xml:space="preserve"> over the possibility that the Ombudsman will be dismissed or that the attacks against the work </w:t>
      </w:r>
      <w:r w:rsidR="002B68F1" w:rsidRPr="008A7BD7">
        <w:rPr>
          <w:rFonts w:ascii="Cambria" w:eastAsia="Times New Roman" w:hAnsi="Cambria" w:cs="Arial"/>
          <w:sz w:val="20"/>
          <w:szCs w:val="20"/>
          <w:lang w:eastAsia="es-ES"/>
        </w:rPr>
        <w:t>of the Ombudsman’s Office</w:t>
      </w:r>
      <w:r w:rsidR="001E66FA" w:rsidRPr="008A7BD7">
        <w:rPr>
          <w:rFonts w:ascii="Cambria" w:eastAsia="Times New Roman" w:hAnsi="Cambria" w:cs="Arial"/>
          <w:sz w:val="20"/>
          <w:szCs w:val="20"/>
          <w:lang w:eastAsia="es-ES"/>
        </w:rPr>
        <w:t xml:space="preserve"> will intensify, given that it is identified as one of the last </w:t>
      </w:r>
      <w:r w:rsidR="002B68F1" w:rsidRPr="008A7BD7">
        <w:rPr>
          <w:rFonts w:ascii="Cambria" w:eastAsia="Times New Roman" w:hAnsi="Cambria" w:cs="Arial"/>
          <w:sz w:val="20"/>
          <w:szCs w:val="20"/>
          <w:lang w:eastAsia="es-ES"/>
        </w:rPr>
        <w:t>institutions</w:t>
      </w:r>
      <w:r w:rsidR="001E66FA" w:rsidRPr="008A7BD7">
        <w:rPr>
          <w:rFonts w:ascii="Cambria" w:eastAsia="Times New Roman" w:hAnsi="Cambria" w:cs="Arial"/>
          <w:sz w:val="20"/>
          <w:szCs w:val="20"/>
          <w:lang w:eastAsia="es-ES"/>
        </w:rPr>
        <w:t xml:space="preserve"> in the country that works independently and impartially, especially to </w:t>
      </w:r>
      <w:r w:rsidR="002B68F1" w:rsidRPr="008A7BD7">
        <w:rPr>
          <w:rFonts w:ascii="Cambria" w:eastAsia="Times New Roman" w:hAnsi="Cambria" w:cs="Arial"/>
          <w:sz w:val="20"/>
          <w:szCs w:val="20"/>
          <w:lang w:eastAsia="es-ES"/>
        </w:rPr>
        <w:t>combat</w:t>
      </w:r>
      <w:r w:rsidR="001E66FA" w:rsidRPr="008A7BD7">
        <w:rPr>
          <w:rFonts w:ascii="Cambria" w:eastAsia="Times New Roman" w:hAnsi="Cambria" w:cs="Arial"/>
          <w:sz w:val="20"/>
          <w:szCs w:val="20"/>
          <w:lang w:eastAsia="es-ES"/>
        </w:rPr>
        <w:t xml:space="preserve"> corruption and impunity. In that regard, the IACHR calls on the State to ensure that the </w:t>
      </w:r>
      <w:r w:rsidR="002B68F1" w:rsidRPr="008A7BD7">
        <w:rPr>
          <w:rFonts w:ascii="Cambria" w:eastAsia="Times New Roman" w:hAnsi="Cambria" w:cs="Times New Roman"/>
          <w:sz w:val="20"/>
          <w:szCs w:val="20"/>
          <w:lang w:eastAsia="es-ES"/>
        </w:rPr>
        <w:t>Office of the Human Rights Ombudsman</w:t>
      </w:r>
      <w:r w:rsidR="00AC0523" w:rsidRPr="008A7BD7">
        <w:rPr>
          <w:rFonts w:ascii="Cambria" w:eastAsia="Times New Roman" w:hAnsi="Cambria" w:cs="Times New Roman"/>
          <w:sz w:val="20"/>
          <w:szCs w:val="20"/>
          <w:lang w:eastAsia="es-ES"/>
        </w:rPr>
        <w:t xml:space="preserve"> </w:t>
      </w:r>
      <w:r w:rsidR="001E66FA" w:rsidRPr="008A7BD7">
        <w:rPr>
          <w:rFonts w:ascii="Cambria" w:eastAsia="Times New Roman" w:hAnsi="Cambria" w:cs="Times New Roman"/>
          <w:sz w:val="20"/>
          <w:szCs w:val="20"/>
          <w:lang w:eastAsia="es-ES"/>
        </w:rPr>
        <w:t xml:space="preserve">has at its disposal, as soon as possible, the budget it needs to carry out its mandate effectively, and specifically </w:t>
      </w:r>
      <w:r w:rsidR="00CB44BE" w:rsidRPr="008A7BD7">
        <w:rPr>
          <w:rFonts w:ascii="Cambria" w:eastAsia="Times New Roman" w:hAnsi="Cambria" w:cs="Times New Roman"/>
          <w:sz w:val="20"/>
          <w:szCs w:val="20"/>
          <w:lang w:eastAsia="es-ES"/>
        </w:rPr>
        <w:t xml:space="preserve">calls on the State </w:t>
      </w:r>
      <w:r w:rsidR="001E66FA" w:rsidRPr="008A7BD7">
        <w:rPr>
          <w:rFonts w:ascii="Cambria" w:eastAsia="Times New Roman" w:hAnsi="Cambria" w:cs="Times New Roman"/>
          <w:sz w:val="20"/>
          <w:szCs w:val="20"/>
          <w:lang w:eastAsia="es-ES"/>
        </w:rPr>
        <w:t>to cease all acts of intimidation or fear of reprisal</w:t>
      </w:r>
      <w:r w:rsidR="00176AC0" w:rsidRPr="008A7BD7">
        <w:rPr>
          <w:rFonts w:ascii="Cambria" w:eastAsia="Times New Roman" w:hAnsi="Cambria" w:cs="Times New Roman"/>
          <w:sz w:val="20"/>
          <w:szCs w:val="20"/>
          <w:lang w:eastAsia="es-ES"/>
        </w:rPr>
        <w:t>s</w:t>
      </w:r>
      <w:r w:rsidR="001E66FA" w:rsidRPr="008A7BD7">
        <w:rPr>
          <w:rFonts w:ascii="Cambria" w:eastAsia="Times New Roman" w:hAnsi="Cambria" w:cs="Times New Roman"/>
          <w:sz w:val="20"/>
          <w:szCs w:val="20"/>
          <w:lang w:eastAsia="es-ES"/>
        </w:rPr>
        <w:t xml:space="preserve"> over the exercise of </w:t>
      </w:r>
      <w:r w:rsidR="007D7B6E" w:rsidRPr="008A7BD7">
        <w:rPr>
          <w:rFonts w:ascii="Cambria" w:eastAsia="Times New Roman" w:hAnsi="Cambria" w:cs="Times New Roman"/>
          <w:sz w:val="20"/>
          <w:szCs w:val="20"/>
          <w:lang w:eastAsia="es-ES"/>
        </w:rPr>
        <w:t>its</w:t>
      </w:r>
      <w:r w:rsidR="001E66FA" w:rsidRPr="008A7BD7">
        <w:rPr>
          <w:rFonts w:ascii="Cambria" w:eastAsia="Times New Roman" w:hAnsi="Cambria" w:cs="Times New Roman"/>
          <w:sz w:val="20"/>
          <w:szCs w:val="20"/>
          <w:lang w:eastAsia="es-ES"/>
        </w:rPr>
        <w:t xml:space="preserve"> duties. </w:t>
      </w:r>
    </w:p>
    <w:p w14:paraId="408390FD" w14:textId="77777777" w:rsidR="00AC0523" w:rsidRPr="008A7BD7" w:rsidRDefault="00AC0523" w:rsidP="00AC0523">
      <w:pPr>
        <w:ind w:left="720"/>
        <w:contextualSpacing/>
        <w:jc w:val="both"/>
        <w:rPr>
          <w:rFonts w:ascii="Cambria" w:eastAsia="Calibri" w:hAnsi="Cambria" w:cs="Times New Roman"/>
          <w:sz w:val="20"/>
          <w:szCs w:val="20"/>
        </w:rPr>
      </w:pPr>
    </w:p>
    <w:p w14:paraId="125DFDF3" w14:textId="5E661494" w:rsidR="00AC0523" w:rsidRPr="008A7BD7" w:rsidRDefault="00CB44BE" w:rsidP="008A2AEC">
      <w:pPr>
        <w:numPr>
          <w:ilvl w:val="0"/>
          <w:numId w:val="2"/>
        </w:numPr>
        <w:ind w:left="0" w:firstLine="720"/>
        <w:jc w:val="both"/>
        <w:rPr>
          <w:rFonts w:ascii="Cambria" w:eastAsia="Times New Roman" w:hAnsi="Cambria" w:cs="Times New Roman"/>
          <w:sz w:val="20"/>
          <w:szCs w:val="20"/>
          <w:lang w:eastAsia="es-ES_tradnl"/>
        </w:rPr>
      </w:pPr>
      <w:r w:rsidRPr="008A7BD7">
        <w:rPr>
          <w:rFonts w:ascii="Cambria" w:eastAsia="Times New Roman" w:hAnsi="Cambria" w:cs="Times New Roman"/>
          <w:sz w:val="20"/>
          <w:szCs w:val="20"/>
          <w:lang w:eastAsia="es-ES"/>
        </w:rPr>
        <w:t>On another matter, in</w:t>
      </w:r>
      <w:r w:rsidR="00AC0523" w:rsidRPr="008A7BD7">
        <w:rPr>
          <w:rFonts w:ascii="Cambria" w:eastAsia="Times New Roman" w:hAnsi="Cambria" w:cs="Times New Roman"/>
          <w:sz w:val="20"/>
          <w:szCs w:val="20"/>
          <w:lang w:eastAsia="es-ES"/>
        </w:rPr>
        <w:t xml:space="preserve"> </w:t>
      </w:r>
      <w:r w:rsidRPr="008A7BD7">
        <w:rPr>
          <w:rFonts w:ascii="Cambria" w:eastAsia="Times New Roman" w:hAnsi="Cambria" w:cs="Times New Roman"/>
          <w:sz w:val="20"/>
          <w:szCs w:val="20"/>
          <w:lang w:eastAsia="es-ES"/>
        </w:rPr>
        <w:t xml:space="preserve">Chapter V of its 2020 Annual Report, the Commission noted that </w:t>
      </w:r>
      <w:r w:rsidR="00EF0EDB" w:rsidRPr="008A7BD7">
        <w:rPr>
          <w:rFonts w:ascii="Cambria" w:eastAsia="Times New Roman" w:hAnsi="Cambria" w:cs="Times New Roman"/>
          <w:sz w:val="20"/>
          <w:szCs w:val="20"/>
          <w:lang w:eastAsia="es-ES"/>
        </w:rPr>
        <w:t xml:space="preserve">actions intended to weaken </w:t>
      </w:r>
      <w:r w:rsidR="00BF5A07" w:rsidRPr="008A7BD7">
        <w:rPr>
          <w:rFonts w:ascii="Cambria" w:eastAsia="Times New Roman" w:hAnsi="Cambria" w:cs="Times New Roman"/>
          <w:sz w:val="20"/>
          <w:szCs w:val="20"/>
          <w:lang w:eastAsia="es-ES"/>
        </w:rPr>
        <w:t xml:space="preserve">the institutional framework for </w:t>
      </w:r>
      <w:r w:rsidR="00EF0EDB" w:rsidRPr="008A7BD7">
        <w:rPr>
          <w:rFonts w:ascii="Cambria" w:eastAsia="Times New Roman" w:hAnsi="Cambria" w:cs="Times New Roman"/>
          <w:sz w:val="20"/>
          <w:szCs w:val="20"/>
          <w:lang w:eastAsia="es-ES"/>
        </w:rPr>
        <w:t xml:space="preserve">human rights </w:t>
      </w:r>
      <w:r w:rsidR="00BF5A07" w:rsidRPr="008A7BD7">
        <w:rPr>
          <w:rFonts w:ascii="Cambria" w:eastAsia="Times New Roman" w:hAnsi="Cambria" w:cs="Times New Roman"/>
          <w:sz w:val="20"/>
          <w:szCs w:val="20"/>
          <w:lang w:eastAsia="es-ES"/>
        </w:rPr>
        <w:t xml:space="preserve">and </w:t>
      </w:r>
      <w:r w:rsidR="00EF0EDB" w:rsidRPr="008A7BD7">
        <w:rPr>
          <w:rFonts w:ascii="Cambria" w:eastAsia="Times New Roman" w:hAnsi="Cambria" w:cs="Times New Roman"/>
          <w:sz w:val="20"/>
          <w:szCs w:val="20"/>
          <w:lang w:eastAsia="es-ES"/>
        </w:rPr>
        <w:t xml:space="preserve">peace in Guatemala had intensified with the disappearance of </w:t>
      </w:r>
      <w:r w:rsidR="008F58B4" w:rsidRPr="008A7BD7">
        <w:rPr>
          <w:rFonts w:ascii="Cambria" w:eastAsia="Times New Roman" w:hAnsi="Cambria" w:cs="Times New Roman"/>
          <w:sz w:val="20"/>
          <w:szCs w:val="20"/>
          <w:lang w:eastAsia="es-ES"/>
        </w:rPr>
        <w:t xml:space="preserve">the </w:t>
      </w:r>
      <w:r w:rsidR="008F58B4" w:rsidRPr="008A7BD7">
        <w:rPr>
          <w:rFonts w:ascii="Cambria" w:eastAsia="Cambria" w:hAnsi="Cambria" w:cs="Cambria"/>
          <w:color w:val="000000" w:themeColor="text1"/>
          <w:sz w:val="20"/>
          <w:szCs w:val="20"/>
        </w:rPr>
        <w:t>Presidential Coordinating Commission for Executive Policy on Human Rights (COPREDEH)</w:t>
      </w:r>
      <w:r w:rsidR="00AC0523" w:rsidRPr="008A7BD7">
        <w:rPr>
          <w:rFonts w:ascii="Cambria" w:eastAsia="Times New Roman" w:hAnsi="Cambria" w:cs="Times"/>
          <w:sz w:val="20"/>
          <w:szCs w:val="20"/>
          <w:lang w:eastAsia="es-ES"/>
        </w:rPr>
        <w:t xml:space="preserve">, </w:t>
      </w:r>
      <w:r w:rsidR="00EF0EDB" w:rsidRPr="008A7BD7">
        <w:rPr>
          <w:rFonts w:ascii="Cambria" w:eastAsia="Times New Roman" w:hAnsi="Cambria" w:cs="Times"/>
          <w:sz w:val="20"/>
          <w:szCs w:val="20"/>
          <w:lang w:eastAsia="es-ES"/>
        </w:rPr>
        <w:t>the Secretariat for Peace</w:t>
      </w:r>
      <w:r w:rsidR="00EF0EDB" w:rsidRPr="008A7BD7">
        <w:rPr>
          <w:rFonts w:ascii="Cambria" w:eastAsia="Times New Roman" w:hAnsi="Cambria" w:cs="Times New Roman"/>
          <w:sz w:val="20"/>
          <w:szCs w:val="20"/>
          <w:lang w:eastAsia="es-ES"/>
        </w:rPr>
        <w:t xml:space="preserve"> </w:t>
      </w:r>
      <w:r w:rsidR="00AC0523" w:rsidRPr="008A7BD7">
        <w:rPr>
          <w:rFonts w:ascii="Cambria" w:eastAsia="Times New Roman" w:hAnsi="Cambria" w:cs="Times New Roman"/>
          <w:sz w:val="20"/>
          <w:szCs w:val="20"/>
          <w:lang w:eastAsia="es-ES"/>
        </w:rPr>
        <w:t>(SEPAZ)</w:t>
      </w:r>
      <w:r w:rsidR="00EF0EDB" w:rsidRPr="008A7BD7">
        <w:rPr>
          <w:rFonts w:ascii="Cambria" w:eastAsia="Times New Roman" w:hAnsi="Cambria" w:cs="Times New Roman"/>
          <w:sz w:val="20"/>
          <w:szCs w:val="20"/>
          <w:lang w:eastAsia="es-ES"/>
        </w:rPr>
        <w:t>, and the Secretariat for Agrarian Affairs</w:t>
      </w:r>
      <w:r w:rsidR="00AC0523" w:rsidRPr="008A7BD7">
        <w:rPr>
          <w:rFonts w:ascii="Cambria" w:eastAsia="Times New Roman" w:hAnsi="Cambria" w:cs="Times New Roman"/>
          <w:sz w:val="20"/>
          <w:szCs w:val="20"/>
          <w:lang w:eastAsia="es-ES"/>
        </w:rPr>
        <w:t xml:space="preserve"> (SSA)</w:t>
      </w:r>
      <w:r w:rsidR="00AC0523" w:rsidRPr="008A7BD7">
        <w:rPr>
          <w:rFonts w:ascii="Cambria" w:eastAsia="Times New Roman" w:hAnsi="Cambria" w:cs="Times New Roman"/>
          <w:sz w:val="20"/>
          <w:szCs w:val="20"/>
          <w:vertAlign w:val="superscript"/>
          <w:lang w:val="es-ES" w:eastAsia="es-ES"/>
        </w:rPr>
        <w:footnoteReference w:id="108"/>
      </w:r>
      <w:r w:rsidR="00AC0523" w:rsidRPr="008A7BD7">
        <w:rPr>
          <w:rFonts w:ascii="Cambria" w:eastAsia="Times New Roman" w:hAnsi="Cambria" w:cs="Times New Roman"/>
          <w:sz w:val="20"/>
          <w:szCs w:val="20"/>
          <w:lang w:eastAsia="es-ES"/>
        </w:rPr>
        <w:t xml:space="preserve"> </w:t>
      </w:r>
      <w:r w:rsidR="00EF0EDB" w:rsidRPr="008A7BD7">
        <w:rPr>
          <w:rFonts w:ascii="Cambria" w:eastAsia="Times New Roman" w:hAnsi="Cambria" w:cs="Times New Roman"/>
          <w:sz w:val="20"/>
          <w:szCs w:val="20"/>
          <w:lang w:eastAsia="es-ES"/>
        </w:rPr>
        <w:t xml:space="preserve">and their </w:t>
      </w:r>
      <w:r w:rsidR="00EF0EDB" w:rsidRPr="008A7BD7">
        <w:rPr>
          <w:rFonts w:ascii="Cambria" w:eastAsia="Times New Roman" w:hAnsi="Cambria" w:cs="Times New Roman"/>
          <w:sz w:val="20"/>
          <w:szCs w:val="20"/>
          <w:lang w:eastAsia="es-ES"/>
        </w:rPr>
        <w:lastRenderedPageBreak/>
        <w:t>replacement by another agency</w:t>
      </w:r>
      <w:r w:rsidR="00AC0523" w:rsidRPr="008A7BD7">
        <w:rPr>
          <w:rFonts w:ascii="Cambria" w:eastAsia="Times New Roman" w:hAnsi="Cambria" w:cs="Times"/>
          <w:sz w:val="20"/>
          <w:szCs w:val="20"/>
          <w:lang w:eastAsia="es-ES"/>
        </w:rPr>
        <w:t xml:space="preserve">, COPADEH, </w:t>
      </w:r>
      <w:r w:rsidR="00EF0EDB" w:rsidRPr="008A7BD7">
        <w:rPr>
          <w:rFonts w:ascii="Cambria" w:eastAsia="Times New Roman" w:hAnsi="Cambria" w:cs="Times"/>
          <w:sz w:val="20"/>
          <w:szCs w:val="20"/>
          <w:lang w:eastAsia="es-ES"/>
        </w:rPr>
        <w:t xml:space="preserve">with no guarantee that it would have the budgetary or human resources, or an adequate legal framework, to take </w:t>
      </w:r>
      <w:r w:rsidR="00176AC0" w:rsidRPr="008A7BD7">
        <w:rPr>
          <w:rFonts w:ascii="Cambria" w:eastAsia="Times New Roman" w:hAnsi="Cambria" w:cs="Times"/>
          <w:sz w:val="20"/>
          <w:szCs w:val="20"/>
          <w:lang w:eastAsia="es-ES"/>
        </w:rPr>
        <w:t>over</w:t>
      </w:r>
      <w:r w:rsidR="00EF0EDB" w:rsidRPr="008A7BD7">
        <w:rPr>
          <w:rFonts w:ascii="Cambria" w:eastAsia="Times New Roman" w:hAnsi="Cambria" w:cs="Times"/>
          <w:sz w:val="20"/>
          <w:szCs w:val="20"/>
          <w:lang w:eastAsia="es-ES"/>
        </w:rPr>
        <w:t xml:space="preserve"> the functions and responsibilities of the </w:t>
      </w:r>
      <w:r w:rsidR="00176AC0" w:rsidRPr="008A7BD7">
        <w:rPr>
          <w:rFonts w:ascii="Cambria" w:eastAsia="Times New Roman" w:hAnsi="Cambria" w:cs="Times"/>
          <w:sz w:val="20"/>
          <w:szCs w:val="20"/>
          <w:lang w:eastAsia="es-ES"/>
        </w:rPr>
        <w:t>agencies</w:t>
      </w:r>
      <w:r w:rsidR="00EF0EDB" w:rsidRPr="008A7BD7">
        <w:rPr>
          <w:rFonts w:ascii="Cambria" w:eastAsia="Times New Roman" w:hAnsi="Cambria" w:cs="Times"/>
          <w:sz w:val="20"/>
          <w:szCs w:val="20"/>
          <w:lang w:eastAsia="es-ES"/>
        </w:rPr>
        <w:t xml:space="preserve"> it was </w:t>
      </w:r>
      <w:r w:rsidR="00A26949" w:rsidRPr="008A7BD7">
        <w:rPr>
          <w:rFonts w:ascii="Cambria" w:eastAsia="Times New Roman" w:hAnsi="Cambria" w:cs="Times"/>
          <w:sz w:val="20"/>
          <w:szCs w:val="20"/>
          <w:lang w:eastAsia="es-ES"/>
        </w:rPr>
        <w:t>replac</w:t>
      </w:r>
      <w:r w:rsidR="00EF0EDB" w:rsidRPr="008A7BD7">
        <w:rPr>
          <w:rFonts w:ascii="Cambria" w:eastAsia="Times New Roman" w:hAnsi="Cambria" w:cs="Times"/>
          <w:sz w:val="20"/>
          <w:szCs w:val="20"/>
          <w:lang w:eastAsia="es-ES"/>
        </w:rPr>
        <w:t>ing.</w:t>
      </w:r>
      <w:r w:rsidR="00AC0523" w:rsidRPr="008A7BD7">
        <w:rPr>
          <w:rFonts w:ascii="Cambria" w:eastAsia="Times New Roman" w:hAnsi="Cambria" w:cs="Times"/>
          <w:sz w:val="20"/>
          <w:szCs w:val="20"/>
          <w:vertAlign w:val="superscript"/>
          <w:lang w:val="es-ES" w:eastAsia="es-ES"/>
        </w:rPr>
        <w:footnoteReference w:id="109"/>
      </w:r>
    </w:p>
    <w:p w14:paraId="3AE4040E" w14:textId="7E526163" w:rsidR="00AC0523" w:rsidRPr="008A7BD7" w:rsidRDefault="00AC0523" w:rsidP="00AC0523">
      <w:pPr>
        <w:pStyle w:val="ListParagraph"/>
        <w:rPr>
          <w:rFonts w:ascii="Cambria" w:eastAsia="Times New Roman" w:hAnsi="Cambria" w:cs="Times New Roman"/>
          <w:sz w:val="20"/>
          <w:szCs w:val="20"/>
          <w:lang w:eastAsia="es-ES_tradnl"/>
        </w:rPr>
      </w:pPr>
    </w:p>
    <w:p w14:paraId="755EC904" w14:textId="5CE7681D" w:rsidR="00DE6537" w:rsidRPr="008A7BD7" w:rsidRDefault="00B8058F" w:rsidP="00BB65D3">
      <w:pPr>
        <w:numPr>
          <w:ilvl w:val="0"/>
          <w:numId w:val="2"/>
        </w:numPr>
        <w:suppressAutoHyphens/>
        <w:ind w:left="0" w:firstLine="720"/>
        <w:jc w:val="both"/>
        <w:rPr>
          <w:rFonts w:ascii="Cambria" w:hAnsi="Cambria"/>
          <w:sz w:val="20"/>
          <w:szCs w:val="20"/>
        </w:rPr>
      </w:pPr>
      <w:r w:rsidRPr="008A7BD7">
        <w:rPr>
          <w:rFonts w:ascii="Cambria" w:hAnsi="Cambria"/>
          <w:sz w:val="20"/>
          <w:szCs w:val="20"/>
        </w:rPr>
        <w:t>At</w:t>
      </w:r>
      <w:r w:rsidR="00DE6537" w:rsidRPr="008A7BD7">
        <w:rPr>
          <w:rFonts w:ascii="Cambria" w:hAnsi="Cambria"/>
          <w:sz w:val="20"/>
          <w:szCs w:val="20"/>
        </w:rPr>
        <w:t xml:space="preserve"> </w:t>
      </w:r>
      <w:r w:rsidRPr="008A7BD7">
        <w:rPr>
          <w:rFonts w:ascii="Cambria" w:hAnsi="Cambria"/>
          <w:sz w:val="20"/>
          <w:szCs w:val="20"/>
        </w:rPr>
        <w:t xml:space="preserve">that time, the Guatemalan State informed the IACHR </w:t>
      </w:r>
      <w:r w:rsidR="001741CE" w:rsidRPr="008A7BD7">
        <w:rPr>
          <w:rFonts w:ascii="Cambria" w:hAnsi="Cambria"/>
          <w:sz w:val="20"/>
          <w:szCs w:val="20"/>
        </w:rPr>
        <w:t xml:space="preserve">that the decision was based on determinations made by the </w:t>
      </w:r>
      <w:r w:rsidR="003A255D" w:rsidRPr="008A7BD7">
        <w:rPr>
          <w:rFonts w:ascii="Cambria" w:hAnsi="Cambria"/>
          <w:sz w:val="20"/>
          <w:szCs w:val="20"/>
        </w:rPr>
        <w:t xml:space="preserve">Office of the President’s </w:t>
      </w:r>
      <w:r w:rsidR="001741CE" w:rsidRPr="008A7BD7">
        <w:rPr>
          <w:rFonts w:ascii="Cambria" w:hAnsi="Cambria"/>
          <w:sz w:val="20"/>
          <w:szCs w:val="20"/>
        </w:rPr>
        <w:t>Technical Committee</w:t>
      </w:r>
      <w:r w:rsidR="00DE6537" w:rsidRPr="008A7BD7">
        <w:rPr>
          <w:rFonts w:ascii="Cambria" w:hAnsi="Cambria"/>
          <w:sz w:val="20"/>
          <w:szCs w:val="20"/>
        </w:rPr>
        <w:t xml:space="preserve"> </w:t>
      </w:r>
      <w:r w:rsidR="00834151" w:rsidRPr="008A7BD7">
        <w:rPr>
          <w:rFonts w:ascii="Cambria" w:hAnsi="Cambria"/>
          <w:sz w:val="20"/>
          <w:szCs w:val="20"/>
        </w:rPr>
        <w:t>for</w:t>
      </w:r>
      <w:r w:rsidR="001741CE" w:rsidRPr="008A7BD7">
        <w:rPr>
          <w:rFonts w:ascii="Cambria" w:hAnsi="Cambria"/>
          <w:sz w:val="20"/>
          <w:szCs w:val="20"/>
        </w:rPr>
        <w:t xml:space="preserve"> Evaluation and Innovation of Institutional </w:t>
      </w:r>
      <w:r w:rsidR="00834151" w:rsidRPr="008A7BD7">
        <w:rPr>
          <w:rFonts w:ascii="Cambria" w:hAnsi="Cambria"/>
          <w:sz w:val="20"/>
          <w:szCs w:val="20"/>
        </w:rPr>
        <w:t>Public Management</w:t>
      </w:r>
      <w:r w:rsidR="001741CE" w:rsidRPr="008A7BD7">
        <w:rPr>
          <w:rFonts w:ascii="Cambria" w:hAnsi="Cambria"/>
          <w:sz w:val="20"/>
          <w:szCs w:val="20"/>
        </w:rPr>
        <w:t xml:space="preserve">, </w:t>
      </w:r>
      <w:r w:rsidR="003716BD" w:rsidRPr="008A7BD7">
        <w:rPr>
          <w:rFonts w:ascii="Cambria" w:hAnsi="Cambria"/>
          <w:sz w:val="20"/>
          <w:szCs w:val="20"/>
        </w:rPr>
        <w:t>established</w:t>
      </w:r>
      <w:r w:rsidR="001741CE" w:rsidRPr="008A7BD7">
        <w:rPr>
          <w:rFonts w:ascii="Cambria" w:hAnsi="Cambria"/>
          <w:sz w:val="20"/>
          <w:szCs w:val="20"/>
        </w:rPr>
        <w:t xml:space="preserve"> on June 24, </w:t>
      </w:r>
      <w:r w:rsidR="00DE6537" w:rsidRPr="008A7BD7">
        <w:rPr>
          <w:rFonts w:ascii="Cambria" w:hAnsi="Cambria"/>
          <w:sz w:val="20"/>
          <w:szCs w:val="20"/>
        </w:rPr>
        <w:t xml:space="preserve">2020, </w:t>
      </w:r>
      <w:r w:rsidR="001741CE" w:rsidRPr="008A7BD7">
        <w:rPr>
          <w:rFonts w:ascii="Cambria" w:hAnsi="Cambria"/>
          <w:sz w:val="20"/>
          <w:szCs w:val="20"/>
        </w:rPr>
        <w:t xml:space="preserve">as part of the </w:t>
      </w:r>
      <w:r w:rsidR="003716BD" w:rsidRPr="008A7BD7">
        <w:rPr>
          <w:rFonts w:ascii="Cambria" w:hAnsi="Cambria"/>
          <w:sz w:val="20"/>
          <w:szCs w:val="20"/>
        </w:rPr>
        <w:t>g</w:t>
      </w:r>
      <w:r w:rsidR="001741CE" w:rsidRPr="008A7BD7">
        <w:rPr>
          <w:rFonts w:ascii="Cambria" w:hAnsi="Cambria"/>
          <w:sz w:val="20"/>
          <w:szCs w:val="20"/>
        </w:rPr>
        <w:t>overnment</w:t>
      </w:r>
      <w:r w:rsidR="003716BD" w:rsidRPr="008A7BD7">
        <w:rPr>
          <w:rFonts w:ascii="Cambria" w:hAnsi="Cambria"/>
          <w:sz w:val="20"/>
          <w:szCs w:val="20"/>
        </w:rPr>
        <w:t>’s</w:t>
      </w:r>
      <w:r w:rsidR="001741CE" w:rsidRPr="008A7BD7">
        <w:rPr>
          <w:rFonts w:ascii="Cambria" w:hAnsi="Cambria"/>
          <w:sz w:val="20"/>
          <w:szCs w:val="20"/>
        </w:rPr>
        <w:t xml:space="preserve"> Innovation and Development Plan being </w:t>
      </w:r>
      <w:r w:rsidR="003716BD" w:rsidRPr="008A7BD7">
        <w:rPr>
          <w:rFonts w:ascii="Cambria" w:hAnsi="Cambria"/>
          <w:sz w:val="20"/>
          <w:szCs w:val="20"/>
        </w:rPr>
        <w:t>pursued</w:t>
      </w:r>
      <w:r w:rsidR="001741CE" w:rsidRPr="008A7BD7">
        <w:rPr>
          <w:rFonts w:ascii="Cambria" w:hAnsi="Cambria"/>
          <w:sz w:val="20"/>
          <w:szCs w:val="20"/>
        </w:rPr>
        <w:t xml:space="preserve"> since the current administration </w:t>
      </w:r>
      <w:r w:rsidR="00F5736C" w:rsidRPr="008A7BD7">
        <w:rPr>
          <w:rFonts w:ascii="Cambria" w:hAnsi="Cambria"/>
          <w:sz w:val="20"/>
          <w:szCs w:val="20"/>
        </w:rPr>
        <w:t xml:space="preserve">took office, </w:t>
      </w:r>
      <w:r w:rsidR="001741CE" w:rsidRPr="008A7BD7">
        <w:rPr>
          <w:rFonts w:ascii="Cambria" w:hAnsi="Cambria"/>
          <w:sz w:val="20"/>
          <w:szCs w:val="20"/>
        </w:rPr>
        <w:t>on January 14,</w:t>
      </w:r>
      <w:r w:rsidR="00DE6537" w:rsidRPr="008A7BD7">
        <w:rPr>
          <w:rFonts w:ascii="Cambria" w:hAnsi="Cambria"/>
          <w:sz w:val="20"/>
          <w:szCs w:val="20"/>
        </w:rPr>
        <w:t xml:space="preserve"> 2020.</w:t>
      </w:r>
      <w:r w:rsidR="00DE6537" w:rsidRPr="008A7BD7">
        <w:rPr>
          <w:rFonts w:ascii="Cambria" w:hAnsi="Cambria" w:cs="Tahoma"/>
          <w:sz w:val="20"/>
          <w:szCs w:val="20"/>
        </w:rPr>
        <w:t xml:space="preserve"> </w:t>
      </w:r>
      <w:r w:rsidR="0012680D" w:rsidRPr="008A7BD7">
        <w:rPr>
          <w:rFonts w:ascii="Cambria" w:hAnsi="Cambria" w:cs="Tahoma"/>
          <w:sz w:val="20"/>
          <w:szCs w:val="20"/>
        </w:rPr>
        <w:t xml:space="preserve">The State </w:t>
      </w:r>
      <w:r w:rsidR="003716BD" w:rsidRPr="008A7BD7">
        <w:rPr>
          <w:rFonts w:ascii="Cambria" w:hAnsi="Cambria" w:cs="Tahoma"/>
          <w:sz w:val="20"/>
          <w:szCs w:val="20"/>
        </w:rPr>
        <w:t xml:space="preserve">further </w:t>
      </w:r>
      <w:r w:rsidR="0012680D" w:rsidRPr="008A7BD7">
        <w:rPr>
          <w:rFonts w:ascii="Cambria" w:hAnsi="Cambria" w:cs="Tahoma"/>
          <w:sz w:val="20"/>
          <w:szCs w:val="20"/>
        </w:rPr>
        <w:t xml:space="preserve">indicated that “restructuring </w:t>
      </w:r>
      <w:r w:rsidR="003716BD" w:rsidRPr="008A7BD7">
        <w:rPr>
          <w:rFonts w:ascii="Cambria" w:hAnsi="Cambria" w:cs="Tahoma"/>
          <w:sz w:val="20"/>
          <w:szCs w:val="20"/>
        </w:rPr>
        <w:t>Government</w:t>
      </w:r>
      <w:r w:rsidR="0012680D" w:rsidRPr="008A7BD7">
        <w:rPr>
          <w:rFonts w:ascii="Cambria" w:hAnsi="Cambria" w:cs="Tahoma"/>
          <w:sz w:val="20"/>
          <w:szCs w:val="20"/>
        </w:rPr>
        <w:t xml:space="preserve"> institutions</w:t>
      </w:r>
      <w:r w:rsidR="003716BD" w:rsidRPr="008A7BD7">
        <w:rPr>
          <w:rFonts w:ascii="Cambria" w:hAnsi="Cambria" w:cs="Tahoma"/>
          <w:sz w:val="20"/>
          <w:szCs w:val="20"/>
        </w:rPr>
        <w:t xml:space="preserve"> requires</w:t>
      </w:r>
      <w:r w:rsidR="003A255D" w:rsidRPr="008A7BD7">
        <w:rPr>
          <w:rFonts w:ascii="Cambria" w:hAnsi="Cambria" w:cs="Tahoma"/>
          <w:sz w:val="20"/>
          <w:szCs w:val="20"/>
        </w:rPr>
        <w:t xml:space="preserve"> improvement</w:t>
      </w:r>
      <w:r w:rsidR="003716BD" w:rsidRPr="008A7BD7">
        <w:rPr>
          <w:rFonts w:ascii="Cambria" w:hAnsi="Cambria" w:cs="Tahoma"/>
          <w:sz w:val="20"/>
          <w:szCs w:val="20"/>
        </w:rPr>
        <w:t>s</w:t>
      </w:r>
      <w:r w:rsidR="003A255D" w:rsidRPr="008A7BD7">
        <w:rPr>
          <w:rFonts w:ascii="Cambria" w:hAnsi="Cambria" w:cs="Tahoma"/>
          <w:sz w:val="20"/>
          <w:szCs w:val="20"/>
        </w:rPr>
        <w:t xml:space="preserve"> brought about </w:t>
      </w:r>
      <w:r w:rsidR="003716BD" w:rsidRPr="008A7BD7">
        <w:rPr>
          <w:rFonts w:ascii="Cambria" w:hAnsi="Cambria" w:cs="Tahoma"/>
          <w:sz w:val="20"/>
          <w:szCs w:val="20"/>
        </w:rPr>
        <w:t>by</w:t>
      </w:r>
      <w:r w:rsidR="003A255D" w:rsidRPr="008A7BD7">
        <w:rPr>
          <w:rFonts w:ascii="Cambria" w:hAnsi="Cambria" w:cs="Tahoma"/>
          <w:sz w:val="20"/>
          <w:szCs w:val="20"/>
        </w:rPr>
        <w:t xml:space="preserve"> efficient and effective mechanisms for </w:t>
      </w:r>
      <w:r w:rsidR="003716BD" w:rsidRPr="008A7BD7">
        <w:rPr>
          <w:rFonts w:ascii="Cambria" w:hAnsi="Cambria" w:cs="Tahoma"/>
          <w:sz w:val="20"/>
          <w:szCs w:val="20"/>
        </w:rPr>
        <w:t>innovating institutional public management and bolstering public administ</w:t>
      </w:r>
      <w:r w:rsidR="003A255D" w:rsidRPr="008A7BD7">
        <w:rPr>
          <w:rFonts w:ascii="Cambria" w:hAnsi="Cambria" w:cs="Tahoma"/>
          <w:sz w:val="20"/>
          <w:szCs w:val="20"/>
        </w:rPr>
        <w:t xml:space="preserve">ration, </w:t>
      </w:r>
      <w:r w:rsidR="003716BD" w:rsidRPr="008A7BD7">
        <w:rPr>
          <w:rFonts w:ascii="Cambria" w:hAnsi="Cambria" w:cs="Tahoma"/>
          <w:sz w:val="20"/>
          <w:szCs w:val="20"/>
        </w:rPr>
        <w:t xml:space="preserve">geared above all to implementing the Government’s overall policies and </w:t>
      </w:r>
      <w:r w:rsidR="00286A8B" w:rsidRPr="008A7BD7">
        <w:rPr>
          <w:rFonts w:ascii="Cambria" w:hAnsi="Cambria" w:cs="Tahoma"/>
          <w:sz w:val="20"/>
          <w:szCs w:val="20"/>
        </w:rPr>
        <w:t xml:space="preserve">commitments </w:t>
      </w:r>
      <w:r w:rsidR="003716BD" w:rsidRPr="008A7BD7">
        <w:rPr>
          <w:rFonts w:ascii="Cambria" w:hAnsi="Cambria" w:cs="Tahoma"/>
          <w:sz w:val="20"/>
          <w:szCs w:val="20"/>
        </w:rPr>
        <w:t>made</w:t>
      </w:r>
      <w:r w:rsidR="00286A8B" w:rsidRPr="008A7BD7">
        <w:rPr>
          <w:rFonts w:ascii="Cambria" w:hAnsi="Cambria" w:cs="Tahoma"/>
          <w:sz w:val="20"/>
          <w:szCs w:val="20"/>
        </w:rPr>
        <w:t xml:space="preserve"> by the State </w:t>
      </w:r>
      <w:r w:rsidR="003716BD" w:rsidRPr="008A7BD7">
        <w:rPr>
          <w:rFonts w:ascii="Cambria" w:hAnsi="Cambria" w:cs="Tahoma"/>
          <w:sz w:val="20"/>
          <w:szCs w:val="20"/>
        </w:rPr>
        <w:t>in treaties</w:t>
      </w:r>
      <w:r w:rsidR="003A255D" w:rsidRPr="008A7BD7">
        <w:rPr>
          <w:rFonts w:ascii="Cambria" w:hAnsi="Cambria" w:cs="Tahoma"/>
          <w:sz w:val="20"/>
          <w:szCs w:val="20"/>
        </w:rPr>
        <w:t xml:space="preserve"> </w:t>
      </w:r>
      <w:r w:rsidR="00286A8B" w:rsidRPr="008A7BD7">
        <w:rPr>
          <w:rFonts w:ascii="Cambria" w:hAnsi="Cambria" w:cs="Tahoma"/>
          <w:sz w:val="20"/>
          <w:szCs w:val="20"/>
        </w:rPr>
        <w:t xml:space="preserve">and in pursuit of priorities </w:t>
      </w:r>
      <w:r w:rsidR="003716BD" w:rsidRPr="008A7BD7">
        <w:rPr>
          <w:rFonts w:ascii="Cambria" w:hAnsi="Cambria" w:cs="Tahoma"/>
          <w:sz w:val="20"/>
          <w:szCs w:val="20"/>
        </w:rPr>
        <w:t xml:space="preserve">designed to achieve enjoyment of </w:t>
      </w:r>
      <w:r w:rsidR="00286A8B" w:rsidRPr="008A7BD7">
        <w:rPr>
          <w:rFonts w:ascii="Cambria" w:hAnsi="Cambria" w:cs="Tahoma"/>
          <w:sz w:val="20"/>
          <w:szCs w:val="20"/>
        </w:rPr>
        <w:t>the human rights of all Guatemalans</w:t>
      </w:r>
      <w:r w:rsidR="00286A8B" w:rsidRPr="008A7BD7">
        <w:rPr>
          <w:rFonts w:ascii="Cambria" w:hAnsi="Cambria"/>
          <w:sz w:val="20"/>
          <w:szCs w:val="20"/>
        </w:rPr>
        <w:t>.</w:t>
      </w:r>
      <w:r w:rsidR="00857E50" w:rsidRPr="008A7BD7">
        <w:rPr>
          <w:rFonts w:ascii="Cambria" w:hAnsi="Cambria"/>
          <w:sz w:val="20"/>
          <w:szCs w:val="20"/>
        </w:rPr>
        <w:t>”</w:t>
      </w:r>
      <w:r w:rsidR="00DE6537" w:rsidRPr="008A7BD7">
        <w:rPr>
          <w:rStyle w:val="FootnoteReference"/>
          <w:rFonts w:ascii="Cambria" w:hAnsi="Cambria"/>
          <w:sz w:val="20"/>
          <w:szCs w:val="20"/>
          <w:lang w:val="es-ES"/>
        </w:rPr>
        <w:footnoteReference w:id="110"/>
      </w:r>
      <w:r w:rsidR="00DE6537" w:rsidRPr="008A7BD7">
        <w:rPr>
          <w:rFonts w:ascii="Cambria" w:hAnsi="Cambria"/>
          <w:sz w:val="20"/>
          <w:szCs w:val="20"/>
        </w:rPr>
        <w:t xml:space="preserve"> </w:t>
      </w:r>
      <w:r w:rsidR="00286A8B" w:rsidRPr="008A7BD7">
        <w:rPr>
          <w:rFonts w:ascii="Cambria" w:hAnsi="Cambria"/>
          <w:sz w:val="20"/>
          <w:szCs w:val="20"/>
        </w:rPr>
        <w:t xml:space="preserve">The State also informed the Commission that </w:t>
      </w:r>
      <w:r w:rsidR="00EF55CD" w:rsidRPr="008A7BD7">
        <w:rPr>
          <w:rFonts w:ascii="Cambria" w:hAnsi="Cambria" w:cs="Calibri"/>
          <w:sz w:val="20"/>
          <w:szCs w:val="20"/>
        </w:rPr>
        <w:t>COPREDEH’s</w:t>
      </w:r>
      <w:r w:rsidR="00286A8B" w:rsidRPr="008A7BD7">
        <w:rPr>
          <w:rFonts w:ascii="Cambria" w:hAnsi="Cambria"/>
          <w:sz w:val="20"/>
          <w:szCs w:val="20"/>
        </w:rPr>
        <w:t xml:space="preserve"> closure </w:t>
      </w:r>
      <w:r w:rsidR="00DE6537" w:rsidRPr="008A7BD7">
        <w:rPr>
          <w:rFonts w:ascii="Cambria" w:hAnsi="Cambria" w:cs="Calibri"/>
          <w:sz w:val="20"/>
          <w:szCs w:val="20"/>
        </w:rPr>
        <w:t>“</w:t>
      </w:r>
      <w:r w:rsidR="00286A8B" w:rsidRPr="008A7BD7">
        <w:rPr>
          <w:rFonts w:ascii="Cambria" w:hAnsi="Cambria" w:cs="Calibri"/>
          <w:sz w:val="20"/>
          <w:szCs w:val="20"/>
        </w:rPr>
        <w:t xml:space="preserve">was done </w:t>
      </w:r>
      <w:r w:rsidR="00EF55CD" w:rsidRPr="008A7BD7">
        <w:rPr>
          <w:rFonts w:ascii="Cambria" w:hAnsi="Cambria" w:cs="Calibri"/>
          <w:sz w:val="20"/>
          <w:szCs w:val="20"/>
        </w:rPr>
        <w:t xml:space="preserve">for the sake of modernizing, furthering, and improving the State’s attention to </w:t>
      </w:r>
      <w:r w:rsidR="00286A8B" w:rsidRPr="008A7BD7">
        <w:rPr>
          <w:rFonts w:ascii="Cambria" w:hAnsi="Cambria" w:cs="Calibri"/>
          <w:sz w:val="20"/>
          <w:szCs w:val="20"/>
        </w:rPr>
        <w:t xml:space="preserve">issues </w:t>
      </w:r>
      <w:r w:rsidR="00EF55CD" w:rsidRPr="008A7BD7">
        <w:rPr>
          <w:rFonts w:ascii="Cambria" w:hAnsi="Cambria" w:cs="Calibri"/>
          <w:sz w:val="20"/>
          <w:szCs w:val="20"/>
        </w:rPr>
        <w:t xml:space="preserve">regarding </w:t>
      </w:r>
      <w:r w:rsidR="00286A8B" w:rsidRPr="008A7BD7">
        <w:rPr>
          <w:rFonts w:ascii="Cambria" w:hAnsi="Cambria" w:cs="Calibri"/>
          <w:sz w:val="20"/>
          <w:szCs w:val="20"/>
        </w:rPr>
        <w:t>conflict, peace, and human rights.</w:t>
      </w:r>
      <w:r w:rsidR="00F70954" w:rsidRPr="008A7BD7">
        <w:rPr>
          <w:rFonts w:ascii="Cambria" w:hAnsi="Cambria" w:cs="Calibri"/>
          <w:sz w:val="20"/>
          <w:szCs w:val="20"/>
        </w:rPr>
        <w:t>”</w:t>
      </w:r>
      <w:r w:rsidR="00DE6537" w:rsidRPr="008A7BD7">
        <w:rPr>
          <w:rStyle w:val="FootnoteReference"/>
          <w:rFonts w:ascii="Cambria" w:hAnsi="Cambria" w:cs="Calibri"/>
          <w:color w:val="000000" w:themeColor="text1"/>
          <w:sz w:val="20"/>
          <w:szCs w:val="20"/>
        </w:rPr>
        <w:footnoteReference w:id="111"/>
      </w:r>
      <w:r w:rsidR="00DE6537" w:rsidRPr="008A7BD7">
        <w:rPr>
          <w:rFonts w:ascii="Cambria" w:hAnsi="Cambria" w:cs="Calibri"/>
          <w:sz w:val="20"/>
          <w:szCs w:val="20"/>
        </w:rPr>
        <w:t xml:space="preserve"> </w:t>
      </w:r>
    </w:p>
    <w:p w14:paraId="396F13FE" w14:textId="77777777" w:rsidR="00DE6537" w:rsidRPr="008A7BD7" w:rsidRDefault="00DE6537" w:rsidP="00AC0523">
      <w:pPr>
        <w:pStyle w:val="ListParagraph"/>
        <w:rPr>
          <w:rFonts w:ascii="Cambria" w:eastAsia="Times New Roman" w:hAnsi="Cambria" w:cs="Times New Roman"/>
          <w:sz w:val="20"/>
          <w:szCs w:val="20"/>
          <w:lang w:eastAsia="es-ES_tradnl"/>
        </w:rPr>
      </w:pPr>
    </w:p>
    <w:p w14:paraId="587C7071" w14:textId="76BA83F7" w:rsidR="00AC0523" w:rsidRPr="008A7BD7" w:rsidRDefault="002D6197" w:rsidP="008A2AEC">
      <w:pPr>
        <w:numPr>
          <w:ilvl w:val="0"/>
          <w:numId w:val="2"/>
        </w:numPr>
        <w:ind w:left="0" w:firstLine="720"/>
        <w:jc w:val="both"/>
        <w:rPr>
          <w:rFonts w:ascii="Cambria" w:eastAsia="Times New Roman" w:hAnsi="Cambria" w:cs="Times New Roman"/>
          <w:sz w:val="20"/>
          <w:szCs w:val="20"/>
          <w:lang w:eastAsia="es-ES_tradnl"/>
        </w:rPr>
      </w:pPr>
      <w:r w:rsidRPr="008A7BD7">
        <w:rPr>
          <w:rFonts w:ascii="Cambria" w:eastAsia="Times New Roman" w:hAnsi="Cambria" w:cs="Times New Roman"/>
          <w:sz w:val="20"/>
          <w:szCs w:val="20"/>
          <w:lang w:eastAsia="es-ES"/>
        </w:rPr>
        <w:t>During</w:t>
      </w:r>
      <w:r w:rsidR="00AC0523" w:rsidRPr="008A7BD7">
        <w:rPr>
          <w:rFonts w:ascii="Cambria" w:eastAsia="Times New Roman" w:hAnsi="Cambria" w:cs="Times New Roman"/>
          <w:sz w:val="20"/>
          <w:szCs w:val="20"/>
          <w:lang w:eastAsia="es-ES"/>
        </w:rPr>
        <w:t xml:space="preserve"> 2021, </w:t>
      </w:r>
      <w:r w:rsidRPr="008A7BD7">
        <w:rPr>
          <w:rFonts w:ascii="Cambria" w:eastAsia="Times New Roman" w:hAnsi="Cambria" w:cs="Times New Roman"/>
          <w:sz w:val="20"/>
          <w:szCs w:val="20"/>
          <w:lang w:eastAsia="es-ES"/>
        </w:rPr>
        <w:t>the IACHR observed that even though it had been created in June</w:t>
      </w:r>
      <w:r w:rsidR="00AC0523" w:rsidRPr="008A7BD7">
        <w:rPr>
          <w:rFonts w:ascii="Cambria" w:eastAsia="Times New Roman" w:hAnsi="Cambria" w:cs="Times New Roman"/>
          <w:sz w:val="20"/>
          <w:szCs w:val="20"/>
          <w:lang w:eastAsia="es-ES"/>
        </w:rPr>
        <w:t xml:space="preserve"> 202</w:t>
      </w:r>
      <w:r w:rsidR="001A2977" w:rsidRPr="008A7BD7">
        <w:rPr>
          <w:rFonts w:ascii="Cambria" w:eastAsia="Times New Roman" w:hAnsi="Cambria" w:cs="Times New Roman"/>
          <w:sz w:val="20"/>
          <w:szCs w:val="20"/>
          <w:lang w:eastAsia="es-ES"/>
        </w:rPr>
        <w:t>0</w:t>
      </w:r>
      <w:r w:rsidR="00AC0523" w:rsidRPr="008A7BD7">
        <w:rPr>
          <w:rFonts w:ascii="Cambria" w:eastAsia="Times New Roman" w:hAnsi="Cambria" w:cs="Times New Roman"/>
          <w:sz w:val="20"/>
          <w:szCs w:val="20"/>
          <w:lang w:eastAsia="es-ES"/>
        </w:rPr>
        <w:t xml:space="preserve">, COPADEH </w:t>
      </w:r>
      <w:r w:rsidRPr="008A7BD7">
        <w:rPr>
          <w:rFonts w:ascii="Cambria" w:eastAsia="Times New Roman" w:hAnsi="Cambria" w:cs="Times New Roman"/>
          <w:sz w:val="20"/>
          <w:szCs w:val="20"/>
          <w:lang w:eastAsia="es-ES"/>
        </w:rPr>
        <w:t xml:space="preserve">reportedly did </w:t>
      </w:r>
      <w:r w:rsidR="00131FA9" w:rsidRPr="008A7BD7">
        <w:rPr>
          <w:rFonts w:ascii="Cambria" w:eastAsia="Times New Roman" w:hAnsi="Cambria" w:cs="Times New Roman"/>
          <w:sz w:val="20"/>
          <w:szCs w:val="20"/>
          <w:lang w:eastAsia="es-ES"/>
        </w:rPr>
        <w:t xml:space="preserve">not </w:t>
      </w:r>
      <w:r w:rsidR="00161327" w:rsidRPr="008A7BD7">
        <w:rPr>
          <w:rFonts w:ascii="Cambria" w:eastAsia="Times New Roman" w:hAnsi="Cambria" w:cs="Times New Roman"/>
          <w:sz w:val="20"/>
          <w:szCs w:val="20"/>
          <w:lang w:eastAsia="es-ES"/>
        </w:rPr>
        <w:t>begin</w:t>
      </w:r>
      <w:r w:rsidRPr="008A7BD7">
        <w:rPr>
          <w:rFonts w:ascii="Cambria" w:eastAsia="Times New Roman" w:hAnsi="Cambria" w:cs="Times New Roman"/>
          <w:sz w:val="20"/>
          <w:szCs w:val="20"/>
          <w:lang w:eastAsia="es-ES"/>
        </w:rPr>
        <w:t xml:space="preserve"> operation</w:t>
      </w:r>
      <w:r w:rsidR="00161327" w:rsidRPr="008A7BD7">
        <w:rPr>
          <w:rFonts w:ascii="Cambria" w:eastAsia="Times New Roman" w:hAnsi="Cambria" w:cs="Times New Roman"/>
          <w:sz w:val="20"/>
          <w:szCs w:val="20"/>
          <w:lang w:eastAsia="es-ES"/>
        </w:rPr>
        <w:t>s</w:t>
      </w:r>
      <w:r w:rsidRPr="008A7BD7">
        <w:rPr>
          <w:rFonts w:ascii="Cambria" w:eastAsia="Times New Roman" w:hAnsi="Cambria" w:cs="Times New Roman"/>
          <w:sz w:val="20"/>
          <w:szCs w:val="20"/>
          <w:lang w:eastAsia="es-ES"/>
        </w:rPr>
        <w:t xml:space="preserve"> until December of that year, and with a budget that was apparently lower than what had been </w:t>
      </w:r>
      <w:r w:rsidR="00161327" w:rsidRPr="008A7BD7">
        <w:rPr>
          <w:rFonts w:ascii="Cambria" w:eastAsia="Times New Roman" w:hAnsi="Cambria" w:cs="Times New Roman"/>
          <w:sz w:val="20"/>
          <w:szCs w:val="20"/>
          <w:lang w:eastAsia="es-ES"/>
        </w:rPr>
        <w:t>provided</w:t>
      </w:r>
      <w:r w:rsidRPr="008A7BD7">
        <w:rPr>
          <w:rFonts w:ascii="Cambria" w:eastAsia="Times New Roman" w:hAnsi="Cambria" w:cs="Times New Roman"/>
          <w:sz w:val="20"/>
          <w:szCs w:val="20"/>
          <w:lang w:eastAsia="es-ES"/>
        </w:rPr>
        <w:t xml:space="preserve"> in total to the three agencies it replaced. For their part, civil society organizations indicated that they had no knowledge of the activities carried out by this institution, and that there was thus a “vacuum” in compliance with</w:t>
      </w:r>
      <w:r w:rsidR="004975F8" w:rsidRPr="008A7BD7">
        <w:rPr>
          <w:rFonts w:ascii="Cambria" w:eastAsia="Times New Roman" w:hAnsi="Cambria" w:cs="Times New Roman"/>
          <w:sz w:val="20"/>
          <w:szCs w:val="20"/>
          <w:lang w:eastAsia="es-ES"/>
        </w:rPr>
        <w:t xml:space="preserve"> the mandate </w:t>
      </w:r>
      <w:r w:rsidR="00A56650" w:rsidRPr="008A7BD7">
        <w:rPr>
          <w:rFonts w:ascii="Cambria" w:eastAsia="Times New Roman" w:hAnsi="Cambria" w:cs="Times New Roman"/>
          <w:sz w:val="20"/>
          <w:szCs w:val="20"/>
          <w:lang w:eastAsia="es-ES"/>
        </w:rPr>
        <w:t>previously</w:t>
      </w:r>
      <w:r w:rsidR="004975F8" w:rsidRPr="008A7BD7">
        <w:rPr>
          <w:rFonts w:ascii="Cambria" w:eastAsia="Times New Roman" w:hAnsi="Cambria" w:cs="Times New Roman"/>
          <w:sz w:val="20"/>
          <w:szCs w:val="20"/>
          <w:lang w:eastAsia="es-ES"/>
        </w:rPr>
        <w:t xml:space="preserve"> assigned to the other </w:t>
      </w:r>
      <w:r w:rsidR="003815AC" w:rsidRPr="008A7BD7">
        <w:rPr>
          <w:rFonts w:ascii="Cambria" w:eastAsia="Times New Roman" w:hAnsi="Cambria" w:cs="Times New Roman"/>
          <w:sz w:val="20"/>
          <w:szCs w:val="20"/>
          <w:lang w:eastAsia="es-ES"/>
        </w:rPr>
        <w:t>agencies</w:t>
      </w:r>
      <w:r w:rsidR="004975F8" w:rsidRPr="008A7BD7">
        <w:rPr>
          <w:rFonts w:ascii="Cambria" w:eastAsia="Times New Roman" w:hAnsi="Cambria" w:cs="Times New Roman"/>
          <w:sz w:val="20"/>
          <w:szCs w:val="20"/>
          <w:lang w:eastAsia="es-ES"/>
        </w:rPr>
        <w:t xml:space="preserve">. Likewise, they reported that </w:t>
      </w:r>
      <w:r w:rsidR="00AC0523" w:rsidRPr="008A7BD7">
        <w:rPr>
          <w:rFonts w:ascii="Cambria" w:eastAsia="Times New Roman" w:hAnsi="Cambria" w:cs="Times New Roman"/>
          <w:sz w:val="20"/>
          <w:szCs w:val="20"/>
          <w:lang w:eastAsia="es-ES"/>
        </w:rPr>
        <w:t xml:space="preserve">COPADEH </w:t>
      </w:r>
      <w:r w:rsidR="004975F8" w:rsidRPr="008A7BD7">
        <w:rPr>
          <w:rFonts w:ascii="Cambria" w:eastAsia="Times New Roman" w:hAnsi="Cambria" w:cs="Times New Roman"/>
          <w:sz w:val="20"/>
          <w:szCs w:val="20"/>
          <w:lang w:eastAsia="es-ES"/>
        </w:rPr>
        <w:t>had not reached out to victims of human rights violations, pursuant to its mandate.</w:t>
      </w:r>
      <w:r w:rsidR="00AC0523" w:rsidRPr="008A7BD7">
        <w:rPr>
          <w:rFonts w:ascii="Cambria" w:eastAsia="Times New Roman" w:hAnsi="Cambria" w:cs="Times New Roman"/>
          <w:sz w:val="20"/>
          <w:szCs w:val="20"/>
          <w:vertAlign w:val="superscript"/>
          <w:lang w:val="es-ES" w:eastAsia="es-ES"/>
        </w:rPr>
        <w:footnoteReference w:id="112"/>
      </w:r>
    </w:p>
    <w:p w14:paraId="38F27359" w14:textId="77777777" w:rsidR="00AC0523" w:rsidRPr="008A7BD7" w:rsidRDefault="00AC0523" w:rsidP="00AC0523">
      <w:pPr>
        <w:ind w:left="720"/>
        <w:contextualSpacing/>
        <w:jc w:val="both"/>
        <w:rPr>
          <w:rFonts w:ascii="Cambria" w:eastAsia="Calibri" w:hAnsi="Cambria" w:cs="Times New Roman"/>
          <w:sz w:val="20"/>
          <w:szCs w:val="20"/>
        </w:rPr>
      </w:pPr>
    </w:p>
    <w:p w14:paraId="1794F953" w14:textId="6B894C25" w:rsidR="00FF2619" w:rsidRPr="008A7BD7" w:rsidRDefault="002605B6" w:rsidP="00FF2619">
      <w:pPr>
        <w:numPr>
          <w:ilvl w:val="0"/>
          <w:numId w:val="2"/>
        </w:numPr>
        <w:ind w:left="0" w:firstLine="720"/>
        <w:jc w:val="both"/>
        <w:rPr>
          <w:rFonts w:ascii="Cambria" w:eastAsia="Times New Roman" w:hAnsi="Cambria" w:cs="Times New Roman"/>
          <w:sz w:val="20"/>
          <w:szCs w:val="20"/>
          <w:lang w:eastAsia="es-ES_tradnl"/>
        </w:rPr>
      </w:pPr>
      <w:r w:rsidRPr="008A7BD7">
        <w:rPr>
          <w:rFonts w:ascii="Cambria" w:eastAsia="Times New Roman" w:hAnsi="Cambria" w:cs="Times New Roman"/>
          <w:sz w:val="20"/>
          <w:szCs w:val="20"/>
          <w:lang w:eastAsia="es-ES_tradnl"/>
        </w:rPr>
        <w:t xml:space="preserve">In its response to the draft report, the State of </w:t>
      </w:r>
      <w:r w:rsidR="00FF2619" w:rsidRPr="008A7BD7">
        <w:rPr>
          <w:rFonts w:ascii="Cambria" w:eastAsia="Times New Roman" w:hAnsi="Cambria" w:cs="Times New Roman"/>
          <w:sz w:val="20"/>
          <w:szCs w:val="20"/>
          <w:lang w:eastAsia="es-ES_tradnl"/>
        </w:rPr>
        <w:t xml:space="preserve">Guatemala </w:t>
      </w:r>
      <w:r w:rsidRPr="008A7BD7">
        <w:rPr>
          <w:rFonts w:ascii="Cambria" w:eastAsia="Times New Roman" w:hAnsi="Cambria" w:cs="Times New Roman"/>
          <w:sz w:val="20"/>
          <w:szCs w:val="20"/>
          <w:lang w:eastAsia="es-ES_tradnl"/>
        </w:rPr>
        <w:t xml:space="preserve">informed the IACHR about </w:t>
      </w:r>
      <w:r w:rsidR="002C6CF9" w:rsidRPr="008A7BD7">
        <w:rPr>
          <w:rFonts w:ascii="Cambria" w:eastAsia="Times New Roman" w:hAnsi="Cambria" w:cs="Times New Roman"/>
          <w:sz w:val="20"/>
          <w:szCs w:val="20"/>
          <w:lang w:eastAsia="es-ES_tradnl"/>
        </w:rPr>
        <w:t>an extensive series</w:t>
      </w:r>
      <w:r w:rsidRPr="008A7BD7">
        <w:rPr>
          <w:rFonts w:ascii="Cambria" w:eastAsia="Times New Roman" w:hAnsi="Cambria" w:cs="Times New Roman"/>
          <w:sz w:val="20"/>
          <w:szCs w:val="20"/>
          <w:lang w:eastAsia="es-ES_tradnl"/>
        </w:rPr>
        <w:t xml:space="preserve"> of actions taken by </w:t>
      </w:r>
      <w:r w:rsidR="00FF2619" w:rsidRPr="008A7BD7">
        <w:rPr>
          <w:rFonts w:ascii="Cambria" w:eastAsia="Times New Roman" w:hAnsi="Cambria" w:cs="Times New Roman"/>
          <w:sz w:val="20"/>
          <w:szCs w:val="20"/>
          <w:lang w:eastAsia="es-ES_tradnl"/>
        </w:rPr>
        <w:t xml:space="preserve">COPADEH </w:t>
      </w:r>
      <w:r w:rsidRPr="008A7BD7">
        <w:rPr>
          <w:rFonts w:ascii="Cambria" w:eastAsia="Times New Roman" w:hAnsi="Cambria" w:cs="Times New Roman"/>
          <w:sz w:val="20"/>
          <w:szCs w:val="20"/>
          <w:lang w:eastAsia="es-ES_tradnl"/>
        </w:rPr>
        <w:t>to reach its goals and fulfill its mandate</w:t>
      </w:r>
      <w:r w:rsidR="00F9512B" w:rsidRPr="008A7BD7">
        <w:rPr>
          <w:rFonts w:ascii="Cambria" w:eastAsia="Times New Roman" w:hAnsi="Cambria" w:cs="Times New Roman"/>
          <w:sz w:val="20"/>
          <w:szCs w:val="20"/>
          <w:lang w:eastAsia="es-ES_tradnl"/>
        </w:rPr>
        <w:t>. It has</w:t>
      </w:r>
      <w:r w:rsidRPr="008A7BD7">
        <w:rPr>
          <w:rFonts w:ascii="Cambria" w:eastAsia="Times New Roman" w:hAnsi="Cambria" w:cs="Times New Roman"/>
          <w:sz w:val="20"/>
          <w:szCs w:val="20"/>
          <w:lang w:eastAsia="es-ES_tradnl"/>
        </w:rPr>
        <w:t xml:space="preserve"> four substantive </w:t>
      </w:r>
      <w:r w:rsidR="00192B72" w:rsidRPr="008A7BD7">
        <w:rPr>
          <w:rFonts w:ascii="Cambria" w:eastAsia="Times New Roman" w:hAnsi="Cambria" w:cs="Times New Roman"/>
          <w:sz w:val="20"/>
          <w:szCs w:val="20"/>
          <w:lang w:eastAsia="es-ES_tradnl"/>
        </w:rPr>
        <w:t>directorates</w:t>
      </w:r>
      <w:r w:rsidR="00F9512B" w:rsidRPr="008A7BD7">
        <w:rPr>
          <w:rFonts w:ascii="Cambria" w:eastAsia="Times New Roman" w:hAnsi="Cambria" w:cs="Times New Roman"/>
          <w:sz w:val="20"/>
          <w:szCs w:val="20"/>
          <w:lang w:eastAsia="es-ES_tradnl"/>
        </w:rPr>
        <w:t xml:space="preserve"> for that purpose</w:t>
      </w:r>
      <w:r w:rsidR="00FF2619" w:rsidRPr="008A7BD7">
        <w:rPr>
          <w:rFonts w:ascii="Cambria" w:eastAsia="Times New Roman" w:hAnsi="Cambria" w:cs="Times New Roman"/>
          <w:sz w:val="20"/>
          <w:szCs w:val="20"/>
          <w:lang w:eastAsia="es-ES_tradnl"/>
        </w:rPr>
        <w:t xml:space="preserve">: </w:t>
      </w:r>
      <w:r w:rsidR="002C46CC" w:rsidRPr="008A7BD7">
        <w:rPr>
          <w:rFonts w:ascii="Cambria" w:eastAsia="Times New Roman" w:hAnsi="Cambria" w:cs="Times New Roman"/>
          <w:sz w:val="20"/>
          <w:szCs w:val="20"/>
          <w:lang w:eastAsia="es-ES_tradnl"/>
        </w:rPr>
        <w:t xml:space="preserve">the </w:t>
      </w:r>
      <w:r w:rsidR="00192B72" w:rsidRPr="008A7BD7">
        <w:rPr>
          <w:rFonts w:ascii="Cambria" w:eastAsia="Times New Roman" w:hAnsi="Cambria" w:cs="Times New Roman"/>
          <w:sz w:val="20"/>
          <w:szCs w:val="20"/>
          <w:lang w:eastAsia="es-ES_tradnl"/>
        </w:rPr>
        <w:t>Directorate</w:t>
      </w:r>
      <w:r w:rsidRPr="008A7BD7">
        <w:rPr>
          <w:rFonts w:ascii="Cambria" w:eastAsia="Times New Roman" w:hAnsi="Cambria" w:cs="Times New Roman"/>
          <w:sz w:val="20"/>
          <w:szCs w:val="20"/>
          <w:lang w:eastAsia="es-ES_tradnl"/>
        </w:rPr>
        <w:t xml:space="preserve"> </w:t>
      </w:r>
      <w:r w:rsidR="000B539E" w:rsidRPr="008A7BD7">
        <w:rPr>
          <w:rFonts w:ascii="Cambria" w:eastAsia="Times New Roman" w:hAnsi="Cambria" w:cs="Times New Roman"/>
          <w:sz w:val="20"/>
          <w:szCs w:val="20"/>
          <w:lang w:eastAsia="es-ES_tradnl"/>
        </w:rPr>
        <w:t>for the</w:t>
      </w:r>
      <w:r w:rsidRPr="008A7BD7">
        <w:rPr>
          <w:rFonts w:ascii="Cambria" w:eastAsia="Times New Roman" w:hAnsi="Cambria" w:cs="Times New Roman"/>
          <w:sz w:val="20"/>
          <w:szCs w:val="20"/>
          <w:lang w:eastAsia="es-ES_tradnl"/>
        </w:rPr>
        <w:t xml:space="preserve"> Monitoring and Promotion of Human Rights;</w:t>
      </w:r>
      <w:r w:rsidR="00FF2619" w:rsidRPr="008A7BD7">
        <w:rPr>
          <w:rStyle w:val="FootnoteReference"/>
          <w:rFonts w:ascii="Cambria" w:eastAsia="Times New Roman" w:hAnsi="Cambria" w:cs="Times New Roman"/>
          <w:sz w:val="20"/>
          <w:szCs w:val="20"/>
          <w:lang w:val="es-ES" w:eastAsia="es-ES_tradnl"/>
        </w:rPr>
        <w:footnoteReference w:id="113"/>
      </w:r>
      <w:r w:rsidR="00FF2619" w:rsidRPr="008A7BD7">
        <w:rPr>
          <w:rFonts w:ascii="Cambria" w:eastAsia="Times New Roman" w:hAnsi="Cambria" w:cs="Times New Roman"/>
          <w:sz w:val="20"/>
          <w:szCs w:val="20"/>
          <w:lang w:eastAsia="es-ES_tradnl"/>
        </w:rPr>
        <w:t xml:space="preserve"> </w:t>
      </w:r>
      <w:r w:rsidR="00192B72" w:rsidRPr="008A7BD7">
        <w:rPr>
          <w:rFonts w:ascii="Cambria" w:eastAsia="Times New Roman" w:hAnsi="Cambria" w:cs="Times New Roman"/>
          <w:sz w:val="20"/>
          <w:szCs w:val="20"/>
          <w:lang w:eastAsia="es-ES_tradnl"/>
        </w:rPr>
        <w:lastRenderedPageBreak/>
        <w:t xml:space="preserve">Directorate </w:t>
      </w:r>
      <w:r w:rsidR="000B539E" w:rsidRPr="008A7BD7">
        <w:rPr>
          <w:rFonts w:ascii="Cambria" w:eastAsia="Calibri" w:hAnsi="Cambria" w:cs="Times New Roman"/>
          <w:sz w:val="20"/>
          <w:szCs w:val="20"/>
        </w:rPr>
        <w:t>for</w:t>
      </w:r>
      <w:r w:rsidR="00A67BA0" w:rsidRPr="008A7BD7">
        <w:rPr>
          <w:rFonts w:ascii="Cambria" w:eastAsia="Calibri" w:hAnsi="Cambria" w:cs="Times New Roman"/>
          <w:sz w:val="20"/>
          <w:szCs w:val="20"/>
        </w:rPr>
        <w:t xml:space="preserve"> Address</w:t>
      </w:r>
      <w:r w:rsidR="000B539E" w:rsidRPr="008A7BD7">
        <w:rPr>
          <w:rFonts w:ascii="Cambria" w:eastAsia="Calibri" w:hAnsi="Cambria" w:cs="Times New Roman"/>
          <w:sz w:val="20"/>
          <w:szCs w:val="20"/>
        </w:rPr>
        <w:t>ing</w:t>
      </w:r>
      <w:r w:rsidR="00A67BA0" w:rsidRPr="008A7BD7">
        <w:rPr>
          <w:rFonts w:ascii="Cambria" w:eastAsia="Calibri" w:hAnsi="Cambria" w:cs="Times New Roman"/>
          <w:sz w:val="20"/>
          <w:szCs w:val="20"/>
        </w:rPr>
        <w:t xml:space="preserve"> Conflict</w:t>
      </w:r>
      <w:r w:rsidR="00FF2619" w:rsidRPr="008A7BD7">
        <w:rPr>
          <w:rFonts w:ascii="Cambria" w:eastAsia="Calibri" w:hAnsi="Cambria" w:cs="Times New Roman"/>
          <w:sz w:val="20"/>
          <w:szCs w:val="20"/>
        </w:rPr>
        <w:t xml:space="preserve"> (DIDAC)</w:t>
      </w:r>
      <w:r w:rsidR="00A67BA0" w:rsidRPr="008A7BD7">
        <w:rPr>
          <w:rFonts w:ascii="Cambria" w:eastAsia="Calibri" w:hAnsi="Cambria" w:cs="Times New Roman"/>
          <w:sz w:val="20"/>
          <w:szCs w:val="20"/>
        </w:rPr>
        <w:t>;</w:t>
      </w:r>
      <w:r w:rsidR="00FF2619" w:rsidRPr="008A7BD7">
        <w:rPr>
          <w:rStyle w:val="FootnoteReference"/>
          <w:rFonts w:ascii="Cambria" w:eastAsia="Calibri" w:hAnsi="Cambria" w:cs="Times New Roman"/>
          <w:sz w:val="20"/>
          <w:szCs w:val="20"/>
          <w:lang w:val="es-ES"/>
        </w:rPr>
        <w:footnoteReference w:id="114"/>
      </w:r>
      <w:r w:rsidR="00FF2619" w:rsidRPr="008A7BD7">
        <w:rPr>
          <w:rFonts w:ascii="Cambria" w:eastAsia="Calibri" w:hAnsi="Cambria" w:cs="Times New Roman"/>
          <w:sz w:val="20"/>
          <w:szCs w:val="20"/>
        </w:rPr>
        <w:t xml:space="preserve"> </w:t>
      </w:r>
      <w:r w:rsidR="00192B72" w:rsidRPr="008A7BD7">
        <w:rPr>
          <w:rFonts w:ascii="Cambria" w:eastAsia="Times New Roman" w:hAnsi="Cambria" w:cs="Times New Roman"/>
          <w:sz w:val="20"/>
          <w:szCs w:val="20"/>
          <w:lang w:eastAsia="es-ES_tradnl"/>
        </w:rPr>
        <w:t xml:space="preserve">Directorate </w:t>
      </w:r>
      <w:r w:rsidR="000B539E" w:rsidRPr="008A7BD7">
        <w:rPr>
          <w:rFonts w:ascii="Cambria" w:eastAsia="Calibri" w:hAnsi="Cambria" w:cs="Times New Roman"/>
          <w:sz w:val="20"/>
          <w:szCs w:val="20"/>
        </w:rPr>
        <w:t>for</w:t>
      </w:r>
      <w:r w:rsidR="00A67BA0" w:rsidRPr="008A7BD7">
        <w:rPr>
          <w:rFonts w:ascii="Cambria" w:eastAsia="Calibri" w:hAnsi="Cambria" w:cs="Times New Roman"/>
          <w:sz w:val="20"/>
          <w:szCs w:val="20"/>
        </w:rPr>
        <w:t xml:space="preserve"> Strengthen</w:t>
      </w:r>
      <w:r w:rsidR="000B539E" w:rsidRPr="008A7BD7">
        <w:rPr>
          <w:rFonts w:ascii="Cambria" w:eastAsia="Calibri" w:hAnsi="Cambria" w:cs="Times New Roman"/>
          <w:sz w:val="20"/>
          <w:szCs w:val="20"/>
        </w:rPr>
        <w:t>ing</w:t>
      </w:r>
      <w:r w:rsidR="00A67BA0" w:rsidRPr="008A7BD7">
        <w:rPr>
          <w:rFonts w:ascii="Cambria" w:eastAsia="Calibri" w:hAnsi="Cambria" w:cs="Times New Roman"/>
          <w:sz w:val="20"/>
          <w:szCs w:val="20"/>
        </w:rPr>
        <w:t xml:space="preserve"> Peace</w:t>
      </w:r>
      <w:r w:rsidR="00FF2619" w:rsidRPr="008A7BD7">
        <w:rPr>
          <w:rFonts w:ascii="Cambria" w:eastAsia="Calibri" w:hAnsi="Cambria" w:cs="Times New Roman"/>
          <w:sz w:val="20"/>
          <w:szCs w:val="20"/>
        </w:rPr>
        <w:t xml:space="preserve"> (DIFOPAZ)</w:t>
      </w:r>
      <w:r w:rsidR="00A67BA0" w:rsidRPr="008A7BD7">
        <w:rPr>
          <w:rFonts w:ascii="Cambria" w:eastAsia="Calibri" w:hAnsi="Cambria" w:cs="Times New Roman"/>
          <w:sz w:val="20"/>
          <w:szCs w:val="20"/>
        </w:rPr>
        <w:t>;</w:t>
      </w:r>
      <w:r w:rsidR="00FF2619" w:rsidRPr="008A7BD7">
        <w:rPr>
          <w:rStyle w:val="FootnoteReference"/>
          <w:rFonts w:ascii="Cambria" w:eastAsia="Calibri" w:hAnsi="Cambria" w:cs="Times New Roman"/>
          <w:sz w:val="20"/>
          <w:szCs w:val="20"/>
          <w:lang w:val="es-ES"/>
        </w:rPr>
        <w:footnoteReference w:id="115"/>
      </w:r>
      <w:r w:rsidR="00A67BA0" w:rsidRPr="008A7BD7">
        <w:rPr>
          <w:rFonts w:ascii="Cambria" w:eastAsia="Calibri" w:hAnsi="Cambria" w:cs="Times New Roman"/>
          <w:sz w:val="20"/>
          <w:szCs w:val="20"/>
        </w:rPr>
        <w:t xml:space="preserve"> and </w:t>
      </w:r>
      <w:r w:rsidR="00192B72" w:rsidRPr="008A7BD7">
        <w:rPr>
          <w:rFonts w:ascii="Cambria" w:eastAsia="Times New Roman" w:hAnsi="Cambria" w:cs="Times New Roman"/>
          <w:sz w:val="20"/>
          <w:szCs w:val="20"/>
          <w:lang w:eastAsia="es-ES_tradnl"/>
        </w:rPr>
        <w:t xml:space="preserve">Directorate </w:t>
      </w:r>
      <w:r w:rsidR="00A67BA0" w:rsidRPr="008A7BD7">
        <w:rPr>
          <w:rFonts w:ascii="Cambria" w:eastAsia="Calibri" w:hAnsi="Cambria" w:cs="Times New Roman"/>
          <w:sz w:val="20"/>
          <w:szCs w:val="20"/>
        </w:rPr>
        <w:t xml:space="preserve">of Regional </w:t>
      </w:r>
      <w:r w:rsidR="00192B72" w:rsidRPr="008A7BD7">
        <w:rPr>
          <w:rFonts w:ascii="Cambria" w:eastAsia="Calibri" w:hAnsi="Cambria" w:cs="Times New Roman"/>
          <w:sz w:val="20"/>
          <w:szCs w:val="20"/>
        </w:rPr>
        <w:t>Offices</w:t>
      </w:r>
      <w:r w:rsidR="00A67BA0" w:rsidRPr="008A7BD7">
        <w:rPr>
          <w:rFonts w:ascii="Cambria" w:eastAsia="Calibri" w:hAnsi="Cambria" w:cs="Times New Roman"/>
          <w:sz w:val="20"/>
          <w:szCs w:val="20"/>
        </w:rPr>
        <w:t>.</w:t>
      </w:r>
      <w:r w:rsidR="00FF2619" w:rsidRPr="008A7BD7">
        <w:rPr>
          <w:rStyle w:val="FootnoteReference"/>
          <w:rFonts w:ascii="Cambria" w:eastAsia="Calibri" w:hAnsi="Cambria" w:cs="Times New Roman"/>
          <w:sz w:val="20"/>
          <w:szCs w:val="20"/>
          <w:lang w:val="es-ES"/>
        </w:rPr>
        <w:footnoteReference w:id="116"/>
      </w:r>
    </w:p>
    <w:p w14:paraId="492D9A04" w14:textId="77777777" w:rsidR="00FF2619" w:rsidRPr="008A7BD7" w:rsidRDefault="00FF2619" w:rsidP="00FF2619">
      <w:pPr>
        <w:pStyle w:val="ListParagraph"/>
        <w:rPr>
          <w:rFonts w:ascii="Cambria" w:eastAsia="Calibri" w:hAnsi="Cambria" w:cs="Times New Roman"/>
          <w:sz w:val="20"/>
          <w:szCs w:val="20"/>
        </w:rPr>
      </w:pPr>
    </w:p>
    <w:p w14:paraId="757A57C4" w14:textId="29069CB2" w:rsidR="00FF2619" w:rsidRPr="008A7BD7" w:rsidRDefault="0083736E" w:rsidP="00FF2619">
      <w:pPr>
        <w:numPr>
          <w:ilvl w:val="0"/>
          <w:numId w:val="2"/>
        </w:numPr>
        <w:ind w:left="0" w:firstLine="720"/>
        <w:jc w:val="both"/>
        <w:rPr>
          <w:rFonts w:ascii="Cambria" w:eastAsia="Times New Roman" w:hAnsi="Cambria" w:cs="Times New Roman"/>
          <w:sz w:val="20"/>
          <w:szCs w:val="20"/>
          <w:lang w:eastAsia="es-ES_tradnl"/>
        </w:rPr>
      </w:pPr>
      <w:r w:rsidRPr="008A7BD7">
        <w:rPr>
          <w:rFonts w:ascii="Cambria" w:eastAsia="Calibri" w:hAnsi="Cambria" w:cs="Times New Roman"/>
          <w:sz w:val="20"/>
          <w:szCs w:val="20"/>
        </w:rPr>
        <w:t>W</w:t>
      </w:r>
      <w:r w:rsidR="00A67BA0" w:rsidRPr="008A7BD7">
        <w:rPr>
          <w:rFonts w:ascii="Cambria" w:eastAsia="Calibri" w:hAnsi="Cambria" w:cs="Times New Roman"/>
          <w:sz w:val="20"/>
          <w:szCs w:val="20"/>
        </w:rPr>
        <w:t>ith regard</w:t>
      </w:r>
      <w:r w:rsidR="00F9512B" w:rsidRPr="008A7BD7">
        <w:rPr>
          <w:rFonts w:ascii="Cambria" w:eastAsia="Calibri" w:hAnsi="Cambria" w:cs="Times New Roman"/>
          <w:sz w:val="20"/>
          <w:szCs w:val="20"/>
        </w:rPr>
        <w:t xml:space="preserve"> </w:t>
      </w:r>
      <w:r w:rsidR="00C20185" w:rsidRPr="008A7BD7">
        <w:rPr>
          <w:rFonts w:ascii="Cambria" w:eastAsia="Calibri" w:hAnsi="Cambria" w:cs="Times New Roman"/>
          <w:sz w:val="20"/>
          <w:szCs w:val="20"/>
        </w:rPr>
        <w:t>in particular</w:t>
      </w:r>
      <w:r w:rsidRPr="008A7BD7">
        <w:rPr>
          <w:rFonts w:ascii="Cambria" w:eastAsia="Calibri" w:hAnsi="Cambria" w:cs="Times New Roman"/>
          <w:sz w:val="20"/>
          <w:szCs w:val="20"/>
        </w:rPr>
        <w:t xml:space="preserve"> </w:t>
      </w:r>
      <w:r w:rsidR="00A67BA0" w:rsidRPr="008A7BD7">
        <w:rPr>
          <w:rFonts w:ascii="Cambria" w:eastAsia="Calibri" w:hAnsi="Cambria" w:cs="Times New Roman"/>
          <w:sz w:val="20"/>
          <w:szCs w:val="20"/>
        </w:rPr>
        <w:t xml:space="preserve">to cases, recommendations, petitions, friendly settlement proceedings, precautionary measures, provisional measures, and judgments, the State indicated that </w:t>
      </w:r>
      <w:r w:rsidR="00FF2619" w:rsidRPr="008A7BD7">
        <w:rPr>
          <w:rFonts w:ascii="Cambria" w:eastAsia="Calibri" w:hAnsi="Cambria" w:cs="Times New Roman"/>
          <w:sz w:val="20"/>
          <w:szCs w:val="20"/>
        </w:rPr>
        <w:t>COPADEH</w:t>
      </w:r>
      <w:r w:rsidR="00A67BA0" w:rsidRPr="008A7BD7">
        <w:rPr>
          <w:rFonts w:ascii="Cambria" w:eastAsia="Calibri" w:hAnsi="Cambria" w:cs="Times New Roman"/>
          <w:sz w:val="20"/>
          <w:szCs w:val="20"/>
        </w:rPr>
        <w:t xml:space="preserve"> has a mandate from the Attorney General’s Office to advise on an</w:t>
      </w:r>
      <w:r w:rsidR="005F42C5" w:rsidRPr="008A7BD7">
        <w:rPr>
          <w:rFonts w:ascii="Cambria" w:eastAsia="Calibri" w:hAnsi="Cambria" w:cs="Times New Roman"/>
          <w:sz w:val="20"/>
          <w:szCs w:val="20"/>
        </w:rPr>
        <w:t>d</w:t>
      </w:r>
      <w:r w:rsidR="00A67BA0" w:rsidRPr="008A7BD7">
        <w:rPr>
          <w:rFonts w:ascii="Cambria" w:eastAsia="Calibri" w:hAnsi="Cambria" w:cs="Times New Roman"/>
          <w:sz w:val="20"/>
          <w:szCs w:val="20"/>
        </w:rPr>
        <w:t xml:space="preserve"> coordinate progress and/or compliance with</w:t>
      </w:r>
      <w:r w:rsidR="00FF2619" w:rsidRPr="008A7BD7">
        <w:rPr>
          <w:rFonts w:ascii="Cambria" w:eastAsia="Calibri" w:hAnsi="Cambria" w:cs="Times New Roman"/>
          <w:sz w:val="20"/>
          <w:szCs w:val="20"/>
        </w:rPr>
        <w:t xml:space="preserve"> </w:t>
      </w:r>
      <w:r w:rsidR="00A67BA0" w:rsidRPr="008A7BD7">
        <w:rPr>
          <w:rFonts w:ascii="Cambria" w:eastAsia="Calibri" w:hAnsi="Cambria" w:cs="Times New Roman"/>
          <w:sz w:val="20"/>
          <w:szCs w:val="20"/>
        </w:rPr>
        <w:t xml:space="preserve">each </w:t>
      </w:r>
      <w:r w:rsidR="0007498A" w:rsidRPr="008A7BD7">
        <w:rPr>
          <w:rFonts w:ascii="Cambria" w:eastAsia="Calibri" w:hAnsi="Cambria" w:cs="Times New Roman"/>
          <w:sz w:val="20"/>
          <w:szCs w:val="20"/>
        </w:rPr>
        <w:t xml:space="preserve">specific </w:t>
      </w:r>
      <w:r w:rsidR="00A67BA0" w:rsidRPr="008A7BD7">
        <w:rPr>
          <w:rFonts w:ascii="Cambria" w:eastAsia="Calibri" w:hAnsi="Cambria" w:cs="Times New Roman"/>
          <w:sz w:val="20"/>
          <w:szCs w:val="20"/>
        </w:rPr>
        <w:t>case</w:t>
      </w:r>
      <w:r w:rsidR="0007498A" w:rsidRPr="008A7BD7">
        <w:rPr>
          <w:rFonts w:ascii="Cambria" w:eastAsia="Calibri" w:hAnsi="Cambria" w:cs="Times New Roman"/>
          <w:sz w:val="20"/>
          <w:szCs w:val="20"/>
        </w:rPr>
        <w:t xml:space="preserve">, requesting related information from the appropriate institutions and </w:t>
      </w:r>
      <w:r w:rsidRPr="008A7BD7">
        <w:rPr>
          <w:rFonts w:ascii="Cambria" w:eastAsia="Calibri" w:hAnsi="Cambria" w:cs="Times New Roman"/>
          <w:sz w:val="20"/>
          <w:szCs w:val="20"/>
        </w:rPr>
        <w:t xml:space="preserve">in all cases </w:t>
      </w:r>
      <w:r w:rsidR="0007498A" w:rsidRPr="008A7BD7">
        <w:rPr>
          <w:rFonts w:ascii="Cambria" w:eastAsia="Calibri" w:hAnsi="Cambria" w:cs="Times New Roman"/>
          <w:sz w:val="20"/>
          <w:szCs w:val="20"/>
        </w:rPr>
        <w:t>providing, in an effective and timely manner, a comprehensive response from the State to</w:t>
      </w:r>
      <w:r w:rsidRPr="008A7BD7">
        <w:rPr>
          <w:rFonts w:ascii="Cambria" w:eastAsia="Calibri" w:hAnsi="Cambria" w:cs="Times New Roman"/>
          <w:sz w:val="20"/>
          <w:szCs w:val="20"/>
        </w:rPr>
        <w:t xml:space="preserve"> </w:t>
      </w:r>
      <w:r w:rsidR="0007498A" w:rsidRPr="008A7BD7">
        <w:rPr>
          <w:rFonts w:ascii="Cambria" w:eastAsia="Calibri" w:hAnsi="Cambria" w:cs="Times New Roman"/>
          <w:sz w:val="20"/>
          <w:szCs w:val="20"/>
        </w:rPr>
        <w:t xml:space="preserve">the inter-American human rights system. The State further indicated that as part of </w:t>
      </w:r>
      <w:r w:rsidR="00FF2619" w:rsidRPr="008A7BD7">
        <w:rPr>
          <w:rFonts w:ascii="Cambria" w:eastAsia="Montserrat" w:hAnsi="Cambria" w:cs="Montserrat"/>
          <w:sz w:val="20"/>
          <w:szCs w:val="20"/>
        </w:rPr>
        <w:t>COPADEH</w:t>
      </w:r>
      <w:r w:rsidR="0007498A" w:rsidRPr="008A7BD7">
        <w:rPr>
          <w:rFonts w:ascii="Cambria" w:eastAsia="Montserrat" w:hAnsi="Cambria" w:cs="Montserrat"/>
          <w:sz w:val="20"/>
          <w:szCs w:val="20"/>
        </w:rPr>
        <w:t xml:space="preserve">’s functions, and in response to different circumstances, </w:t>
      </w:r>
      <w:r w:rsidR="00C20185" w:rsidRPr="008A7BD7">
        <w:rPr>
          <w:rFonts w:ascii="Cambria" w:eastAsia="Montserrat" w:hAnsi="Cambria" w:cs="Montserrat"/>
          <w:sz w:val="20"/>
          <w:szCs w:val="20"/>
        </w:rPr>
        <w:t xml:space="preserve">the agency has given </w:t>
      </w:r>
      <w:r w:rsidR="0007498A" w:rsidRPr="008A7BD7">
        <w:rPr>
          <w:rFonts w:ascii="Cambria" w:eastAsia="Montserrat" w:hAnsi="Cambria" w:cs="Montserrat"/>
          <w:sz w:val="20"/>
          <w:szCs w:val="20"/>
        </w:rPr>
        <w:t xml:space="preserve">support to Technical </w:t>
      </w:r>
      <w:r w:rsidR="000E00C1" w:rsidRPr="008A7BD7">
        <w:rPr>
          <w:rFonts w:ascii="Cambria" w:eastAsia="Montserrat" w:hAnsi="Cambria" w:cs="Montserrat"/>
          <w:sz w:val="20"/>
          <w:szCs w:val="20"/>
        </w:rPr>
        <w:t xml:space="preserve">Working Groups </w:t>
      </w:r>
      <w:r w:rsidR="0007498A" w:rsidRPr="008A7BD7">
        <w:rPr>
          <w:rFonts w:ascii="Cambria" w:eastAsia="Montserrat" w:hAnsi="Cambria" w:cs="Montserrat"/>
          <w:sz w:val="20"/>
          <w:szCs w:val="20"/>
        </w:rPr>
        <w:t>for Inter</w:t>
      </w:r>
      <w:r w:rsidR="00033F8F" w:rsidRPr="008A7BD7">
        <w:rPr>
          <w:rFonts w:ascii="Cambria" w:eastAsia="Montserrat" w:hAnsi="Cambria" w:cs="Montserrat"/>
          <w:sz w:val="20"/>
          <w:szCs w:val="20"/>
        </w:rPr>
        <w:t>i</w:t>
      </w:r>
      <w:r w:rsidR="0007498A" w:rsidRPr="008A7BD7">
        <w:rPr>
          <w:rFonts w:ascii="Cambria" w:eastAsia="Montserrat" w:hAnsi="Cambria" w:cs="Montserrat"/>
          <w:sz w:val="20"/>
          <w:szCs w:val="20"/>
        </w:rPr>
        <w:t>nstitutional Coordination, at the request of some social organizations. Through this coordination process,</w:t>
      </w:r>
      <w:r w:rsidR="00FF2619" w:rsidRPr="008A7BD7">
        <w:rPr>
          <w:rFonts w:ascii="Cambria" w:eastAsia="Montserrat" w:hAnsi="Cambria" w:cs="Montserrat"/>
          <w:sz w:val="20"/>
          <w:szCs w:val="20"/>
        </w:rPr>
        <w:t xml:space="preserve"> COPADEH</w:t>
      </w:r>
      <w:r w:rsidR="0007498A" w:rsidRPr="008A7BD7">
        <w:rPr>
          <w:rFonts w:ascii="Cambria" w:eastAsia="Montserrat" w:hAnsi="Cambria" w:cs="Montserrat"/>
          <w:sz w:val="20"/>
          <w:szCs w:val="20"/>
        </w:rPr>
        <w:t xml:space="preserve"> has brought together different institutions to address specific cases </w:t>
      </w:r>
      <w:r w:rsidR="00C20185" w:rsidRPr="008A7BD7">
        <w:rPr>
          <w:rFonts w:ascii="Cambria" w:eastAsia="Montserrat" w:hAnsi="Cambria" w:cs="Montserrat"/>
          <w:sz w:val="20"/>
          <w:szCs w:val="20"/>
        </w:rPr>
        <w:t>by establishing</w:t>
      </w:r>
      <w:r w:rsidR="0007498A" w:rsidRPr="008A7BD7">
        <w:rPr>
          <w:rFonts w:ascii="Cambria" w:eastAsia="Montserrat" w:hAnsi="Cambria" w:cs="Montserrat"/>
          <w:sz w:val="20"/>
          <w:szCs w:val="20"/>
        </w:rPr>
        <w:t xml:space="preserve"> technical </w:t>
      </w:r>
      <w:r w:rsidR="000E00C1" w:rsidRPr="008A7BD7">
        <w:rPr>
          <w:rFonts w:ascii="Cambria" w:eastAsia="Montserrat" w:hAnsi="Cambria" w:cs="Montserrat"/>
          <w:sz w:val="20"/>
          <w:szCs w:val="20"/>
        </w:rPr>
        <w:t>working groups</w:t>
      </w:r>
      <w:r w:rsidR="0007498A" w:rsidRPr="008A7BD7">
        <w:rPr>
          <w:rFonts w:ascii="Cambria" w:eastAsia="Montserrat" w:hAnsi="Cambria" w:cs="Montserrat"/>
          <w:sz w:val="20"/>
          <w:szCs w:val="20"/>
        </w:rPr>
        <w:t>.</w:t>
      </w:r>
      <w:r w:rsidR="00FF2619" w:rsidRPr="008A7BD7">
        <w:rPr>
          <w:rStyle w:val="FootnoteReference"/>
          <w:rFonts w:ascii="Cambria" w:eastAsia="Montserrat" w:hAnsi="Cambria" w:cs="Montserrat"/>
          <w:sz w:val="20"/>
          <w:szCs w:val="20"/>
          <w:lang w:val="es-PE"/>
        </w:rPr>
        <w:footnoteReference w:id="117"/>
      </w:r>
    </w:p>
    <w:p w14:paraId="7185E74C" w14:textId="77777777" w:rsidR="00FF2619" w:rsidRPr="008A7BD7" w:rsidRDefault="00FF2619" w:rsidP="00FF2619">
      <w:pPr>
        <w:pStyle w:val="ListParagraph"/>
        <w:rPr>
          <w:rFonts w:ascii="Cambria" w:eastAsia="Calibri" w:hAnsi="Cambria" w:cs="Times New Roman"/>
          <w:sz w:val="20"/>
          <w:szCs w:val="20"/>
        </w:rPr>
      </w:pPr>
    </w:p>
    <w:p w14:paraId="01476720" w14:textId="76527047" w:rsidR="00FF2619" w:rsidRPr="008A7BD7" w:rsidRDefault="000E00C1" w:rsidP="00FF2619">
      <w:pPr>
        <w:numPr>
          <w:ilvl w:val="0"/>
          <w:numId w:val="2"/>
        </w:numPr>
        <w:ind w:left="0" w:firstLine="720"/>
        <w:jc w:val="both"/>
        <w:rPr>
          <w:rFonts w:ascii="Cambria" w:eastAsia="Times New Roman" w:hAnsi="Cambria" w:cs="Times New Roman"/>
          <w:sz w:val="20"/>
          <w:szCs w:val="20"/>
          <w:lang w:eastAsia="es-ES_tradnl"/>
        </w:rPr>
      </w:pPr>
      <w:r w:rsidRPr="008A7BD7">
        <w:rPr>
          <w:rFonts w:ascii="Cambria" w:eastAsia="Calibri" w:hAnsi="Cambria" w:cs="Times New Roman"/>
          <w:sz w:val="20"/>
          <w:szCs w:val="20"/>
        </w:rPr>
        <w:t xml:space="preserve">The State </w:t>
      </w:r>
      <w:r w:rsidR="00D53D13" w:rsidRPr="008A7BD7">
        <w:rPr>
          <w:rFonts w:ascii="Cambria" w:eastAsia="Calibri" w:hAnsi="Cambria" w:cs="Times New Roman"/>
          <w:sz w:val="20"/>
          <w:szCs w:val="20"/>
        </w:rPr>
        <w:t xml:space="preserve">underscored that the main </w:t>
      </w:r>
      <w:r w:rsidR="0083736E" w:rsidRPr="008A7BD7">
        <w:rPr>
          <w:rFonts w:ascii="Cambria" w:eastAsia="Calibri" w:hAnsi="Cambria" w:cs="Times New Roman"/>
          <w:sz w:val="20"/>
          <w:szCs w:val="20"/>
        </w:rPr>
        <w:t xml:space="preserve">actions carried out </w:t>
      </w:r>
      <w:r w:rsidR="00D53D13" w:rsidRPr="008A7BD7">
        <w:rPr>
          <w:rFonts w:ascii="Cambria" w:eastAsia="Calibri" w:hAnsi="Cambria" w:cs="Times New Roman"/>
          <w:sz w:val="20"/>
          <w:szCs w:val="20"/>
        </w:rPr>
        <w:t xml:space="preserve">by </w:t>
      </w:r>
      <w:r w:rsidR="00FF2619" w:rsidRPr="008A7BD7">
        <w:rPr>
          <w:rFonts w:ascii="Cambria" w:eastAsia="Calibri" w:hAnsi="Cambria" w:cs="Times New Roman"/>
          <w:sz w:val="20"/>
          <w:szCs w:val="20"/>
        </w:rPr>
        <w:t>COPADEH</w:t>
      </w:r>
      <w:r w:rsidR="00D53D13" w:rsidRPr="008A7BD7">
        <w:rPr>
          <w:rFonts w:ascii="Cambria" w:eastAsia="Calibri" w:hAnsi="Cambria" w:cs="Times New Roman"/>
          <w:sz w:val="20"/>
          <w:szCs w:val="20"/>
        </w:rPr>
        <w:t xml:space="preserve"> include</w:t>
      </w:r>
      <w:r w:rsidR="00FF2619" w:rsidRPr="008A7BD7">
        <w:rPr>
          <w:rFonts w:ascii="Cambria" w:eastAsia="Calibri" w:hAnsi="Cambria" w:cs="Times New Roman"/>
          <w:sz w:val="20"/>
          <w:szCs w:val="20"/>
        </w:rPr>
        <w:t xml:space="preserve"> “</w:t>
      </w:r>
      <w:r w:rsidR="00D53D13" w:rsidRPr="008A7BD7">
        <w:rPr>
          <w:rFonts w:ascii="Cambria" w:eastAsia="Calibri" w:hAnsi="Cambria" w:cs="Times New Roman"/>
          <w:sz w:val="20"/>
          <w:szCs w:val="20"/>
        </w:rPr>
        <w:t xml:space="preserve">the disbursement of </w:t>
      </w:r>
      <w:r w:rsidR="00FF2619" w:rsidRPr="008A7BD7">
        <w:rPr>
          <w:rFonts w:ascii="Cambria" w:eastAsia="Calibri" w:hAnsi="Cambria" w:cs="Times New Roman"/>
          <w:sz w:val="20"/>
          <w:szCs w:val="20"/>
        </w:rPr>
        <w:t xml:space="preserve">Q1,816,395.93 </w:t>
      </w:r>
      <w:r w:rsidR="00D53D13" w:rsidRPr="008A7BD7">
        <w:rPr>
          <w:rFonts w:ascii="Cambria" w:eastAsia="Calibri" w:hAnsi="Cambria" w:cs="Times New Roman"/>
          <w:sz w:val="20"/>
          <w:szCs w:val="20"/>
        </w:rPr>
        <w:t>for economic compensation payments</w:t>
      </w:r>
      <w:r w:rsidR="0083736E" w:rsidRPr="008A7BD7">
        <w:rPr>
          <w:rFonts w:ascii="Cambria" w:eastAsia="Calibri" w:hAnsi="Cambria" w:cs="Times New Roman"/>
          <w:sz w:val="20"/>
          <w:szCs w:val="20"/>
        </w:rPr>
        <w:t xml:space="preserve"> in the context of</w:t>
      </w:r>
      <w:r w:rsidR="00D53D13" w:rsidRPr="008A7BD7">
        <w:rPr>
          <w:rFonts w:ascii="Cambria" w:eastAsia="Calibri" w:hAnsi="Cambria" w:cs="Times New Roman"/>
          <w:sz w:val="20"/>
          <w:szCs w:val="20"/>
        </w:rPr>
        <w:t xml:space="preserve"> the </w:t>
      </w:r>
      <w:r w:rsidR="00D53D13" w:rsidRPr="008A7BD7">
        <w:rPr>
          <w:rFonts w:ascii="Cambria" w:eastAsia="Calibri" w:hAnsi="Cambria" w:cs="Times New Roman"/>
          <w:i/>
          <w:iCs/>
          <w:sz w:val="20"/>
          <w:szCs w:val="20"/>
        </w:rPr>
        <w:t xml:space="preserve">Case of </w:t>
      </w:r>
      <w:proofErr w:type="spellStart"/>
      <w:r w:rsidR="00FF2619" w:rsidRPr="008A7BD7">
        <w:rPr>
          <w:rFonts w:ascii="Cambria" w:eastAsia="Calibri" w:hAnsi="Cambria" w:cs="Times New Roman"/>
          <w:i/>
          <w:iCs/>
          <w:sz w:val="20"/>
          <w:szCs w:val="20"/>
        </w:rPr>
        <w:t>Cuscul</w:t>
      </w:r>
      <w:proofErr w:type="spellEnd"/>
      <w:r w:rsidR="00FF2619" w:rsidRPr="008A7BD7">
        <w:rPr>
          <w:rFonts w:ascii="Cambria" w:eastAsia="Calibri" w:hAnsi="Cambria" w:cs="Times New Roman"/>
          <w:i/>
          <w:iCs/>
          <w:sz w:val="20"/>
          <w:szCs w:val="20"/>
        </w:rPr>
        <w:t xml:space="preserve"> </w:t>
      </w:r>
      <w:proofErr w:type="spellStart"/>
      <w:r w:rsidR="00FF2619" w:rsidRPr="008A7BD7">
        <w:rPr>
          <w:rFonts w:ascii="Cambria" w:eastAsia="Calibri" w:hAnsi="Cambria" w:cs="Times New Roman"/>
          <w:i/>
          <w:iCs/>
          <w:sz w:val="20"/>
          <w:szCs w:val="20"/>
        </w:rPr>
        <w:t>Pivaral</w:t>
      </w:r>
      <w:proofErr w:type="spellEnd"/>
      <w:r w:rsidR="00FF2619" w:rsidRPr="008A7BD7">
        <w:rPr>
          <w:rFonts w:ascii="Cambria" w:eastAsia="Calibri" w:hAnsi="Cambria" w:cs="Times New Roman"/>
          <w:i/>
          <w:iCs/>
          <w:sz w:val="20"/>
          <w:szCs w:val="20"/>
        </w:rPr>
        <w:t xml:space="preserve"> </w:t>
      </w:r>
      <w:r w:rsidR="00D53D13" w:rsidRPr="008A7BD7">
        <w:rPr>
          <w:rFonts w:ascii="Cambria" w:eastAsia="Calibri" w:hAnsi="Cambria" w:cs="Times New Roman"/>
          <w:i/>
          <w:iCs/>
          <w:sz w:val="20"/>
          <w:szCs w:val="20"/>
        </w:rPr>
        <w:t>et al. v.</w:t>
      </w:r>
      <w:r w:rsidR="00FF2619" w:rsidRPr="008A7BD7">
        <w:rPr>
          <w:rFonts w:ascii="Cambria" w:eastAsia="Calibri" w:hAnsi="Cambria" w:cs="Times New Roman"/>
          <w:i/>
          <w:iCs/>
          <w:sz w:val="20"/>
          <w:szCs w:val="20"/>
        </w:rPr>
        <w:t xml:space="preserve"> Guatemala</w:t>
      </w:r>
      <w:r w:rsidR="00FF2619" w:rsidRPr="008A7BD7">
        <w:rPr>
          <w:rFonts w:ascii="Cambria" w:eastAsia="Calibri" w:hAnsi="Cambria" w:cs="Times New Roman"/>
          <w:sz w:val="20"/>
          <w:szCs w:val="20"/>
        </w:rPr>
        <w:t xml:space="preserve">, </w:t>
      </w:r>
      <w:r w:rsidR="00D53D13" w:rsidRPr="008A7BD7">
        <w:rPr>
          <w:rFonts w:ascii="Cambria" w:eastAsia="Calibri" w:hAnsi="Cambria" w:cs="Times New Roman"/>
          <w:sz w:val="20"/>
          <w:szCs w:val="20"/>
        </w:rPr>
        <w:t xml:space="preserve">in which </w:t>
      </w:r>
      <w:r w:rsidR="00C75FEF" w:rsidRPr="008A7BD7">
        <w:rPr>
          <w:rFonts w:ascii="Cambria" w:eastAsia="Calibri" w:hAnsi="Cambria" w:cs="Times New Roman"/>
          <w:sz w:val="20"/>
          <w:szCs w:val="20"/>
        </w:rPr>
        <w:t xml:space="preserve">there was a judgment against </w:t>
      </w:r>
      <w:r w:rsidR="00D53D13" w:rsidRPr="008A7BD7">
        <w:rPr>
          <w:rFonts w:ascii="Cambria" w:eastAsia="Calibri" w:hAnsi="Cambria" w:cs="Times New Roman"/>
          <w:sz w:val="20"/>
          <w:szCs w:val="20"/>
        </w:rPr>
        <w:t xml:space="preserve">the State of </w:t>
      </w:r>
      <w:r w:rsidR="00FF2619" w:rsidRPr="008A7BD7">
        <w:rPr>
          <w:rFonts w:ascii="Cambria" w:eastAsia="Calibri" w:hAnsi="Cambria" w:cs="Times New Roman"/>
          <w:sz w:val="20"/>
          <w:szCs w:val="20"/>
        </w:rPr>
        <w:t>Guatemala</w:t>
      </w:r>
      <w:r w:rsidR="00D53D13" w:rsidRPr="008A7BD7">
        <w:rPr>
          <w:rFonts w:ascii="Cambria" w:eastAsia="Calibri" w:hAnsi="Cambria" w:cs="Times New Roman"/>
          <w:sz w:val="20"/>
          <w:szCs w:val="20"/>
        </w:rPr>
        <w:t xml:space="preserve">. The disbursement of </w:t>
      </w:r>
      <w:r w:rsidR="00FF2619" w:rsidRPr="008A7BD7">
        <w:rPr>
          <w:rFonts w:ascii="Cambria" w:eastAsia="Calibri" w:hAnsi="Cambria" w:cs="Times New Roman"/>
          <w:sz w:val="20"/>
          <w:szCs w:val="20"/>
        </w:rPr>
        <w:t>Q1,184,948.20</w:t>
      </w:r>
      <w:r w:rsidR="00D53D13" w:rsidRPr="008A7BD7">
        <w:rPr>
          <w:rFonts w:ascii="Cambria" w:eastAsia="Calibri" w:hAnsi="Cambria" w:cs="Times New Roman"/>
          <w:sz w:val="20"/>
          <w:szCs w:val="20"/>
        </w:rPr>
        <w:t xml:space="preserve"> is also </w:t>
      </w:r>
      <w:r w:rsidR="005D3950" w:rsidRPr="008A7BD7">
        <w:rPr>
          <w:rFonts w:ascii="Cambria" w:eastAsia="Calibri" w:hAnsi="Cambria" w:cs="Times New Roman"/>
          <w:sz w:val="20"/>
          <w:szCs w:val="20"/>
        </w:rPr>
        <w:t>planned</w:t>
      </w:r>
      <w:r w:rsidR="00D53D13" w:rsidRPr="008A7BD7">
        <w:rPr>
          <w:rFonts w:ascii="Cambria" w:eastAsia="Calibri" w:hAnsi="Cambria" w:cs="Times New Roman"/>
          <w:sz w:val="20"/>
          <w:szCs w:val="20"/>
        </w:rPr>
        <w:t xml:space="preserve"> to comply with the commitments stemming from the following cases</w:t>
      </w:r>
      <w:r w:rsidR="00FF2619" w:rsidRPr="008A7BD7">
        <w:rPr>
          <w:rFonts w:ascii="Cambria" w:eastAsia="Calibri" w:hAnsi="Cambria" w:cs="Times New Roman"/>
          <w:sz w:val="20"/>
          <w:szCs w:val="20"/>
        </w:rPr>
        <w:t xml:space="preserve">: </w:t>
      </w:r>
      <w:r w:rsidR="00D53D13" w:rsidRPr="008A7BD7">
        <w:rPr>
          <w:rFonts w:ascii="Cambria" w:eastAsia="Calibri" w:hAnsi="Cambria" w:cs="Times New Roman"/>
          <w:sz w:val="20"/>
          <w:szCs w:val="20"/>
        </w:rPr>
        <w:t>(</w:t>
      </w:r>
      <w:r w:rsidR="00FF2619" w:rsidRPr="008A7BD7">
        <w:rPr>
          <w:rFonts w:ascii="Cambria" w:eastAsia="Calibri" w:hAnsi="Cambria" w:cs="Times New Roman"/>
          <w:sz w:val="20"/>
          <w:szCs w:val="20"/>
        </w:rPr>
        <w:t xml:space="preserve">a) </w:t>
      </w:r>
      <w:r w:rsidR="00FF2619" w:rsidRPr="008A7BD7">
        <w:rPr>
          <w:rFonts w:ascii="Cambria" w:eastAsia="Calibri" w:hAnsi="Cambria" w:cs="Times New Roman"/>
          <w:i/>
          <w:iCs/>
          <w:sz w:val="20"/>
          <w:szCs w:val="20"/>
        </w:rPr>
        <w:t>Cas</w:t>
      </w:r>
      <w:r w:rsidR="00D53D13" w:rsidRPr="008A7BD7">
        <w:rPr>
          <w:rFonts w:ascii="Cambria" w:eastAsia="Calibri" w:hAnsi="Cambria" w:cs="Times New Roman"/>
          <w:i/>
          <w:iCs/>
          <w:sz w:val="20"/>
          <w:szCs w:val="20"/>
        </w:rPr>
        <w:t>e of</w:t>
      </w:r>
      <w:r w:rsidR="00FF2619" w:rsidRPr="008A7BD7">
        <w:rPr>
          <w:rFonts w:ascii="Cambria" w:eastAsia="Calibri" w:hAnsi="Cambria" w:cs="Times New Roman"/>
          <w:i/>
          <w:iCs/>
          <w:sz w:val="20"/>
          <w:szCs w:val="20"/>
        </w:rPr>
        <w:t xml:space="preserve"> </w:t>
      </w:r>
      <w:proofErr w:type="spellStart"/>
      <w:r w:rsidR="00FF2619" w:rsidRPr="008A7BD7">
        <w:rPr>
          <w:rFonts w:ascii="Cambria" w:eastAsia="Calibri" w:hAnsi="Cambria" w:cs="Times New Roman"/>
          <w:i/>
          <w:iCs/>
          <w:sz w:val="20"/>
          <w:szCs w:val="20"/>
        </w:rPr>
        <w:t>Girón</w:t>
      </w:r>
      <w:proofErr w:type="spellEnd"/>
      <w:r w:rsidR="00FF2619" w:rsidRPr="008A7BD7">
        <w:rPr>
          <w:rFonts w:ascii="Cambria" w:eastAsia="Calibri" w:hAnsi="Cambria" w:cs="Times New Roman"/>
          <w:i/>
          <w:iCs/>
          <w:sz w:val="20"/>
          <w:szCs w:val="20"/>
        </w:rPr>
        <w:t xml:space="preserve"> </w:t>
      </w:r>
      <w:r w:rsidR="00D53D13" w:rsidRPr="008A7BD7">
        <w:rPr>
          <w:rFonts w:ascii="Cambria" w:eastAsia="Calibri" w:hAnsi="Cambria" w:cs="Times New Roman"/>
          <w:i/>
          <w:iCs/>
          <w:sz w:val="20"/>
          <w:szCs w:val="20"/>
        </w:rPr>
        <w:t>et al. v.</w:t>
      </w:r>
      <w:r w:rsidR="00FF2619" w:rsidRPr="008A7BD7">
        <w:rPr>
          <w:rFonts w:ascii="Cambria" w:eastAsia="Calibri" w:hAnsi="Cambria" w:cs="Times New Roman"/>
          <w:i/>
          <w:iCs/>
          <w:sz w:val="20"/>
          <w:szCs w:val="20"/>
        </w:rPr>
        <w:t xml:space="preserve"> Guatemala</w:t>
      </w:r>
      <w:r w:rsidR="00FF2619" w:rsidRPr="008A7BD7">
        <w:rPr>
          <w:rFonts w:ascii="Cambria" w:eastAsia="Calibri" w:hAnsi="Cambria" w:cs="Times New Roman"/>
          <w:sz w:val="20"/>
          <w:szCs w:val="20"/>
        </w:rPr>
        <w:t xml:space="preserve">; </w:t>
      </w:r>
      <w:r w:rsidR="00D53D13" w:rsidRPr="008A7BD7">
        <w:rPr>
          <w:rFonts w:ascii="Cambria" w:eastAsia="Calibri" w:hAnsi="Cambria" w:cs="Times New Roman"/>
          <w:sz w:val="20"/>
          <w:szCs w:val="20"/>
        </w:rPr>
        <w:t>(</w:t>
      </w:r>
      <w:r w:rsidR="00FF2619" w:rsidRPr="008A7BD7">
        <w:rPr>
          <w:rFonts w:ascii="Cambria" w:eastAsia="Calibri" w:hAnsi="Cambria" w:cs="Times New Roman"/>
          <w:sz w:val="20"/>
          <w:szCs w:val="20"/>
        </w:rPr>
        <w:t xml:space="preserve">b) </w:t>
      </w:r>
      <w:r w:rsidR="00FF2619" w:rsidRPr="008A7BD7">
        <w:rPr>
          <w:rFonts w:ascii="Cambria" w:eastAsia="Calibri" w:hAnsi="Cambria" w:cs="Times New Roman"/>
          <w:i/>
          <w:iCs/>
          <w:sz w:val="20"/>
          <w:szCs w:val="20"/>
        </w:rPr>
        <w:t>Cas</w:t>
      </w:r>
      <w:r w:rsidR="00D53D13" w:rsidRPr="008A7BD7">
        <w:rPr>
          <w:rFonts w:ascii="Cambria" w:eastAsia="Calibri" w:hAnsi="Cambria" w:cs="Times New Roman"/>
          <w:i/>
          <w:iCs/>
          <w:sz w:val="20"/>
          <w:szCs w:val="20"/>
        </w:rPr>
        <w:t>e of</w:t>
      </w:r>
      <w:r w:rsidR="00FF2619" w:rsidRPr="008A7BD7">
        <w:rPr>
          <w:rFonts w:ascii="Cambria" w:eastAsia="Calibri" w:hAnsi="Cambria" w:cs="Times New Roman"/>
          <w:i/>
          <w:iCs/>
          <w:sz w:val="20"/>
          <w:szCs w:val="20"/>
        </w:rPr>
        <w:t xml:space="preserve"> Rodríguez </w:t>
      </w:r>
      <w:proofErr w:type="spellStart"/>
      <w:r w:rsidR="00FF2619" w:rsidRPr="008A7BD7">
        <w:rPr>
          <w:rFonts w:ascii="Cambria" w:eastAsia="Calibri" w:hAnsi="Cambria" w:cs="Times New Roman"/>
          <w:i/>
          <w:iCs/>
          <w:sz w:val="20"/>
          <w:szCs w:val="20"/>
        </w:rPr>
        <w:t>Revolorio</w:t>
      </w:r>
      <w:proofErr w:type="spellEnd"/>
      <w:r w:rsidR="00FF2619" w:rsidRPr="008A7BD7">
        <w:rPr>
          <w:rFonts w:ascii="Cambria" w:eastAsia="Calibri" w:hAnsi="Cambria" w:cs="Times New Roman"/>
          <w:i/>
          <w:iCs/>
          <w:sz w:val="20"/>
          <w:szCs w:val="20"/>
        </w:rPr>
        <w:t xml:space="preserve"> </w:t>
      </w:r>
      <w:r w:rsidR="00D53D13" w:rsidRPr="008A7BD7">
        <w:rPr>
          <w:rFonts w:ascii="Cambria" w:eastAsia="Calibri" w:hAnsi="Cambria" w:cs="Times New Roman"/>
          <w:i/>
          <w:iCs/>
          <w:sz w:val="20"/>
          <w:szCs w:val="20"/>
        </w:rPr>
        <w:t>et al. v</w:t>
      </w:r>
      <w:r w:rsidR="00FF2619" w:rsidRPr="008A7BD7">
        <w:rPr>
          <w:rFonts w:ascii="Cambria" w:eastAsia="Calibri" w:hAnsi="Cambria" w:cs="Times New Roman"/>
          <w:i/>
          <w:iCs/>
          <w:sz w:val="20"/>
          <w:szCs w:val="20"/>
        </w:rPr>
        <w:t>. Guatemala</w:t>
      </w:r>
      <w:r w:rsidR="00FF2619" w:rsidRPr="008A7BD7">
        <w:rPr>
          <w:rFonts w:ascii="Cambria" w:eastAsia="Calibri" w:hAnsi="Cambria" w:cs="Times New Roman"/>
          <w:sz w:val="20"/>
          <w:szCs w:val="20"/>
        </w:rPr>
        <w:t xml:space="preserve">; </w:t>
      </w:r>
      <w:r w:rsidR="00D53D13" w:rsidRPr="008A7BD7">
        <w:rPr>
          <w:rFonts w:ascii="Cambria" w:eastAsia="Calibri" w:hAnsi="Cambria" w:cs="Times New Roman"/>
          <w:sz w:val="20"/>
          <w:szCs w:val="20"/>
        </w:rPr>
        <w:t>(</w:t>
      </w:r>
      <w:r w:rsidR="00FF2619" w:rsidRPr="008A7BD7">
        <w:rPr>
          <w:rFonts w:ascii="Cambria" w:eastAsia="Calibri" w:hAnsi="Cambria" w:cs="Times New Roman"/>
          <w:sz w:val="20"/>
          <w:szCs w:val="20"/>
        </w:rPr>
        <w:t xml:space="preserve">c) </w:t>
      </w:r>
      <w:r w:rsidR="00FF2619" w:rsidRPr="008A7BD7">
        <w:rPr>
          <w:rFonts w:ascii="Cambria" w:eastAsia="Calibri" w:hAnsi="Cambria" w:cs="Times New Roman"/>
          <w:i/>
          <w:iCs/>
          <w:sz w:val="20"/>
          <w:szCs w:val="20"/>
        </w:rPr>
        <w:t>Cas</w:t>
      </w:r>
      <w:r w:rsidR="00D53D13" w:rsidRPr="008A7BD7">
        <w:rPr>
          <w:rFonts w:ascii="Cambria" w:eastAsia="Calibri" w:hAnsi="Cambria" w:cs="Times New Roman"/>
          <w:i/>
          <w:iCs/>
          <w:sz w:val="20"/>
          <w:szCs w:val="20"/>
        </w:rPr>
        <w:t>e of</w:t>
      </w:r>
      <w:r w:rsidR="00FF2619" w:rsidRPr="008A7BD7">
        <w:rPr>
          <w:rFonts w:ascii="Cambria" w:eastAsia="Calibri" w:hAnsi="Cambria" w:cs="Times New Roman"/>
          <w:i/>
          <w:iCs/>
          <w:sz w:val="20"/>
          <w:szCs w:val="20"/>
        </w:rPr>
        <w:t xml:space="preserve"> Gómez </w:t>
      </w:r>
      <w:proofErr w:type="spellStart"/>
      <w:r w:rsidR="00FF2619" w:rsidRPr="008A7BD7">
        <w:rPr>
          <w:rFonts w:ascii="Cambria" w:eastAsia="Calibri" w:hAnsi="Cambria" w:cs="Times New Roman"/>
          <w:i/>
          <w:iCs/>
          <w:sz w:val="20"/>
          <w:szCs w:val="20"/>
        </w:rPr>
        <w:t>Virula</w:t>
      </w:r>
      <w:proofErr w:type="spellEnd"/>
      <w:r w:rsidR="00FF2619" w:rsidRPr="008A7BD7">
        <w:rPr>
          <w:rFonts w:ascii="Cambria" w:eastAsia="Calibri" w:hAnsi="Cambria" w:cs="Times New Roman"/>
          <w:i/>
          <w:iCs/>
          <w:sz w:val="20"/>
          <w:szCs w:val="20"/>
        </w:rPr>
        <w:t xml:space="preserve"> </w:t>
      </w:r>
      <w:r w:rsidR="00D53D13" w:rsidRPr="008A7BD7">
        <w:rPr>
          <w:rFonts w:ascii="Cambria" w:eastAsia="Calibri" w:hAnsi="Cambria" w:cs="Times New Roman"/>
          <w:i/>
          <w:iCs/>
          <w:sz w:val="20"/>
          <w:szCs w:val="20"/>
        </w:rPr>
        <w:t>v</w:t>
      </w:r>
      <w:r w:rsidR="00FF2619" w:rsidRPr="008A7BD7">
        <w:rPr>
          <w:rFonts w:ascii="Cambria" w:eastAsia="Calibri" w:hAnsi="Cambria" w:cs="Times New Roman"/>
          <w:i/>
          <w:iCs/>
          <w:sz w:val="20"/>
          <w:szCs w:val="20"/>
        </w:rPr>
        <w:t>. Guatemala</w:t>
      </w:r>
      <w:r w:rsidR="00FF2619" w:rsidRPr="008A7BD7">
        <w:rPr>
          <w:rFonts w:ascii="Cambria" w:eastAsia="Calibri" w:hAnsi="Cambria" w:cs="Times New Roman"/>
          <w:sz w:val="20"/>
          <w:szCs w:val="20"/>
        </w:rPr>
        <w:t xml:space="preserve">; </w:t>
      </w:r>
      <w:r w:rsidR="00D53D13" w:rsidRPr="008A7BD7">
        <w:rPr>
          <w:rFonts w:ascii="Cambria" w:eastAsia="Calibri" w:hAnsi="Cambria" w:cs="Times New Roman"/>
          <w:sz w:val="20"/>
          <w:szCs w:val="20"/>
        </w:rPr>
        <w:t>(</w:t>
      </w:r>
      <w:r w:rsidR="00FF2619" w:rsidRPr="008A7BD7">
        <w:rPr>
          <w:rFonts w:ascii="Cambria" w:eastAsia="Calibri" w:hAnsi="Cambria" w:cs="Times New Roman"/>
          <w:sz w:val="20"/>
          <w:szCs w:val="20"/>
        </w:rPr>
        <w:t xml:space="preserve">d) </w:t>
      </w:r>
      <w:r w:rsidR="00FF2619" w:rsidRPr="008A7BD7">
        <w:rPr>
          <w:rFonts w:ascii="Cambria" w:eastAsia="Calibri" w:hAnsi="Cambria" w:cs="Times New Roman"/>
          <w:i/>
          <w:iCs/>
          <w:sz w:val="20"/>
          <w:szCs w:val="20"/>
        </w:rPr>
        <w:t>Cas</w:t>
      </w:r>
      <w:r w:rsidR="00D53D13" w:rsidRPr="008A7BD7">
        <w:rPr>
          <w:rFonts w:ascii="Cambria" w:eastAsia="Calibri" w:hAnsi="Cambria" w:cs="Times New Roman"/>
          <w:i/>
          <w:iCs/>
          <w:sz w:val="20"/>
          <w:szCs w:val="20"/>
        </w:rPr>
        <w:t>e of</w:t>
      </w:r>
      <w:r w:rsidR="00FF2619" w:rsidRPr="008A7BD7">
        <w:rPr>
          <w:rFonts w:ascii="Cambria" w:eastAsia="Calibri" w:hAnsi="Cambria" w:cs="Times New Roman"/>
          <w:i/>
          <w:iCs/>
          <w:sz w:val="20"/>
          <w:szCs w:val="20"/>
        </w:rPr>
        <w:t xml:space="preserve"> Martínez Coronado </w:t>
      </w:r>
      <w:r w:rsidR="00D53D13" w:rsidRPr="008A7BD7">
        <w:rPr>
          <w:rFonts w:ascii="Cambria" w:eastAsia="Calibri" w:hAnsi="Cambria" w:cs="Times New Roman"/>
          <w:i/>
          <w:iCs/>
          <w:sz w:val="20"/>
          <w:szCs w:val="20"/>
        </w:rPr>
        <w:t>v</w:t>
      </w:r>
      <w:r w:rsidR="00FF2619" w:rsidRPr="008A7BD7">
        <w:rPr>
          <w:rFonts w:ascii="Cambria" w:eastAsia="Calibri" w:hAnsi="Cambria" w:cs="Times New Roman"/>
          <w:i/>
          <w:iCs/>
          <w:sz w:val="20"/>
          <w:szCs w:val="20"/>
        </w:rPr>
        <w:t>. Guatemala</w:t>
      </w:r>
      <w:r w:rsidR="00D53D13" w:rsidRPr="008A7BD7">
        <w:rPr>
          <w:rFonts w:ascii="Cambria" w:eastAsia="Calibri" w:hAnsi="Cambria" w:cs="Times New Roman"/>
          <w:sz w:val="20"/>
          <w:szCs w:val="20"/>
        </w:rPr>
        <w:t>; and (</w:t>
      </w:r>
      <w:r w:rsidR="00FF2619" w:rsidRPr="008A7BD7">
        <w:rPr>
          <w:rFonts w:ascii="Cambria" w:eastAsia="Calibri" w:hAnsi="Cambria" w:cs="Times New Roman"/>
          <w:sz w:val="20"/>
          <w:szCs w:val="20"/>
        </w:rPr>
        <w:t xml:space="preserve">e) </w:t>
      </w:r>
      <w:r w:rsidR="00FF2619" w:rsidRPr="008A7BD7">
        <w:rPr>
          <w:rFonts w:ascii="Cambria" w:eastAsia="Calibri" w:hAnsi="Cambria" w:cs="Times New Roman"/>
          <w:i/>
          <w:iCs/>
          <w:sz w:val="20"/>
          <w:szCs w:val="20"/>
        </w:rPr>
        <w:t>Cas</w:t>
      </w:r>
      <w:r w:rsidR="00CC5AB3" w:rsidRPr="008A7BD7">
        <w:rPr>
          <w:rFonts w:ascii="Cambria" w:eastAsia="Calibri" w:hAnsi="Cambria" w:cs="Times New Roman"/>
          <w:i/>
          <w:iCs/>
          <w:sz w:val="20"/>
          <w:szCs w:val="20"/>
        </w:rPr>
        <w:t>e of</w:t>
      </w:r>
      <w:r w:rsidR="00FF2619" w:rsidRPr="008A7BD7">
        <w:rPr>
          <w:rFonts w:ascii="Cambria" w:eastAsia="Calibri" w:hAnsi="Cambria" w:cs="Times New Roman"/>
          <w:i/>
          <w:iCs/>
          <w:sz w:val="20"/>
          <w:szCs w:val="20"/>
        </w:rPr>
        <w:t xml:space="preserve"> </w:t>
      </w:r>
      <w:proofErr w:type="spellStart"/>
      <w:r w:rsidR="00FF2619" w:rsidRPr="008A7BD7">
        <w:rPr>
          <w:rFonts w:ascii="Cambria" w:eastAsia="Calibri" w:hAnsi="Cambria" w:cs="Times New Roman"/>
          <w:i/>
          <w:iCs/>
          <w:sz w:val="20"/>
          <w:szCs w:val="20"/>
        </w:rPr>
        <w:t>Cuscul</w:t>
      </w:r>
      <w:proofErr w:type="spellEnd"/>
      <w:r w:rsidR="00FF2619" w:rsidRPr="008A7BD7">
        <w:rPr>
          <w:rFonts w:ascii="Cambria" w:eastAsia="Calibri" w:hAnsi="Cambria" w:cs="Times New Roman"/>
          <w:i/>
          <w:iCs/>
          <w:sz w:val="20"/>
          <w:szCs w:val="20"/>
        </w:rPr>
        <w:t xml:space="preserve"> </w:t>
      </w:r>
      <w:proofErr w:type="spellStart"/>
      <w:r w:rsidR="00FF2619" w:rsidRPr="008A7BD7">
        <w:rPr>
          <w:rFonts w:ascii="Cambria" w:eastAsia="Calibri" w:hAnsi="Cambria" w:cs="Times New Roman"/>
          <w:i/>
          <w:iCs/>
          <w:sz w:val="20"/>
          <w:szCs w:val="20"/>
        </w:rPr>
        <w:t>Pivaral</w:t>
      </w:r>
      <w:proofErr w:type="spellEnd"/>
      <w:r w:rsidR="00FF2619" w:rsidRPr="008A7BD7">
        <w:rPr>
          <w:rFonts w:ascii="Cambria" w:eastAsia="Calibri" w:hAnsi="Cambria" w:cs="Times New Roman"/>
          <w:i/>
          <w:iCs/>
          <w:sz w:val="20"/>
          <w:szCs w:val="20"/>
        </w:rPr>
        <w:t xml:space="preserve"> </w:t>
      </w:r>
      <w:r w:rsidR="00CC5AB3" w:rsidRPr="008A7BD7">
        <w:rPr>
          <w:rFonts w:ascii="Cambria" w:eastAsia="Calibri" w:hAnsi="Cambria" w:cs="Times New Roman"/>
          <w:i/>
          <w:iCs/>
          <w:sz w:val="20"/>
          <w:szCs w:val="20"/>
        </w:rPr>
        <w:t>et al. v</w:t>
      </w:r>
      <w:r w:rsidR="00FF2619" w:rsidRPr="008A7BD7">
        <w:rPr>
          <w:rFonts w:ascii="Cambria" w:eastAsia="Calibri" w:hAnsi="Cambria" w:cs="Times New Roman"/>
          <w:i/>
          <w:iCs/>
          <w:sz w:val="20"/>
          <w:szCs w:val="20"/>
        </w:rPr>
        <w:t>. Guatemala</w:t>
      </w:r>
      <w:r w:rsidR="00CC5AB3" w:rsidRPr="008A7BD7">
        <w:rPr>
          <w:rFonts w:ascii="Cambria" w:eastAsia="Calibri" w:hAnsi="Cambria" w:cs="Times New Roman"/>
          <w:sz w:val="20"/>
          <w:szCs w:val="20"/>
        </w:rPr>
        <w:t>, last partial payment.”</w:t>
      </w:r>
      <w:r w:rsidR="00FF2619" w:rsidRPr="008A7BD7">
        <w:rPr>
          <w:rStyle w:val="FootnoteReference"/>
          <w:rFonts w:ascii="Cambria" w:eastAsia="Times New Roman" w:hAnsi="Cambria" w:cs="Times New Roman"/>
          <w:sz w:val="20"/>
          <w:szCs w:val="20"/>
          <w:lang w:val="es-ES" w:eastAsia="es-ES_tradnl"/>
        </w:rPr>
        <w:footnoteReference w:id="118"/>
      </w:r>
    </w:p>
    <w:p w14:paraId="2B4BD772" w14:textId="77777777" w:rsidR="00FF2619" w:rsidRPr="008A7BD7" w:rsidRDefault="00FF2619" w:rsidP="00FF2619">
      <w:pPr>
        <w:pStyle w:val="ListParagraph"/>
        <w:rPr>
          <w:rFonts w:ascii="Cambria" w:eastAsia="Times New Roman" w:hAnsi="Cambria" w:cs="Times New Roman"/>
          <w:sz w:val="20"/>
          <w:szCs w:val="20"/>
          <w:lang w:eastAsia="es-ES"/>
        </w:rPr>
      </w:pPr>
    </w:p>
    <w:p w14:paraId="483FDE12" w14:textId="2B589B37" w:rsidR="00AC0523" w:rsidRPr="008A7BD7" w:rsidRDefault="00573F1A" w:rsidP="008A2AEC">
      <w:pPr>
        <w:numPr>
          <w:ilvl w:val="0"/>
          <w:numId w:val="2"/>
        </w:numPr>
        <w:ind w:left="0" w:firstLine="720"/>
        <w:jc w:val="both"/>
        <w:rPr>
          <w:rFonts w:ascii="Cambria" w:eastAsia="Times New Roman" w:hAnsi="Cambria" w:cs="Times"/>
          <w:sz w:val="20"/>
          <w:szCs w:val="20"/>
          <w:lang w:eastAsia="es-ES_tradnl"/>
        </w:rPr>
      </w:pPr>
      <w:r w:rsidRPr="008A7BD7">
        <w:rPr>
          <w:rFonts w:ascii="Cambria" w:eastAsia="Times New Roman" w:hAnsi="Cambria" w:cs="Times New Roman"/>
          <w:sz w:val="20"/>
          <w:szCs w:val="20"/>
          <w:lang w:eastAsia="es-ES"/>
        </w:rPr>
        <w:t xml:space="preserve">In terms of the institutional framework for peace, as will be examined later in this report (See below, VI. Memory, Truth, and Justice), the IACHR received information indicating that </w:t>
      </w:r>
      <w:r w:rsidR="00585516" w:rsidRPr="008A7BD7">
        <w:rPr>
          <w:rFonts w:ascii="Cambria" w:eastAsia="Times New Roman" w:hAnsi="Cambria" w:cs="Times New Roman"/>
          <w:sz w:val="20"/>
          <w:szCs w:val="20"/>
          <w:lang w:eastAsia="es-ES"/>
        </w:rPr>
        <w:t>reparations</w:t>
      </w:r>
      <w:r w:rsidRPr="008A7BD7">
        <w:rPr>
          <w:rFonts w:ascii="Cambria" w:eastAsia="Times New Roman" w:hAnsi="Cambria" w:cs="Times New Roman"/>
          <w:sz w:val="20"/>
          <w:szCs w:val="20"/>
          <w:lang w:eastAsia="es-ES"/>
        </w:rPr>
        <w:t xml:space="preserve"> to the victims of the internal armed conflict ha</w:t>
      </w:r>
      <w:r w:rsidR="005A5E86" w:rsidRPr="008A7BD7">
        <w:rPr>
          <w:rFonts w:ascii="Cambria" w:eastAsia="Times New Roman" w:hAnsi="Cambria" w:cs="Times New Roman"/>
          <w:sz w:val="20"/>
          <w:szCs w:val="20"/>
          <w:lang w:eastAsia="es-ES"/>
        </w:rPr>
        <w:t>ve</w:t>
      </w:r>
      <w:r w:rsidRPr="008A7BD7">
        <w:rPr>
          <w:rFonts w:ascii="Cambria" w:eastAsia="Times New Roman" w:hAnsi="Cambria" w:cs="Times New Roman"/>
          <w:sz w:val="20"/>
          <w:szCs w:val="20"/>
          <w:lang w:eastAsia="es-ES"/>
        </w:rPr>
        <w:t xml:space="preserve"> been paralyzed, due to the </w:t>
      </w:r>
      <w:r w:rsidR="00DC4A43" w:rsidRPr="008A7BD7">
        <w:rPr>
          <w:rFonts w:ascii="Cambria" w:eastAsia="Times New Roman" w:hAnsi="Cambria" w:cs="Times New Roman"/>
          <w:sz w:val="20"/>
          <w:szCs w:val="20"/>
          <w:lang w:eastAsia="es-ES"/>
        </w:rPr>
        <w:t>lack of</w:t>
      </w:r>
      <w:r w:rsidRPr="008A7BD7">
        <w:rPr>
          <w:rFonts w:ascii="Cambria" w:eastAsia="Times New Roman" w:hAnsi="Cambria" w:cs="Times New Roman"/>
          <w:sz w:val="20"/>
          <w:szCs w:val="20"/>
          <w:lang w:eastAsia="es-ES"/>
        </w:rPr>
        <w:t xml:space="preserve"> budget</w:t>
      </w:r>
      <w:r w:rsidR="00DC4A43" w:rsidRPr="008A7BD7">
        <w:rPr>
          <w:rFonts w:ascii="Cambria" w:eastAsia="Times New Roman" w:hAnsi="Cambria" w:cs="Times New Roman"/>
          <w:sz w:val="20"/>
          <w:szCs w:val="20"/>
          <w:lang w:eastAsia="es-ES"/>
        </w:rPr>
        <w:t>ary resources</w:t>
      </w:r>
      <w:r w:rsidRPr="008A7BD7">
        <w:rPr>
          <w:rFonts w:ascii="Cambria" w:eastAsia="Times New Roman" w:hAnsi="Cambria" w:cs="Times New Roman"/>
          <w:sz w:val="20"/>
          <w:szCs w:val="20"/>
          <w:lang w:eastAsia="es-ES"/>
        </w:rPr>
        <w:t xml:space="preserve"> of the Social Development Fund </w:t>
      </w:r>
      <w:r w:rsidR="00AC0523" w:rsidRPr="008A7BD7">
        <w:rPr>
          <w:rFonts w:ascii="Cambria" w:eastAsia="Times New Roman" w:hAnsi="Cambria" w:cs="Times New Roman"/>
          <w:sz w:val="20"/>
          <w:szCs w:val="20"/>
          <w:lang w:eastAsia="es-ES"/>
        </w:rPr>
        <w:t>(</w:t>
      </w:r>
      <w:r w:rsidR="00585516" w:rsidRPr="008A7BD7">
        <w:rPr>
          <w:rFonts w:ascii="Cambria" w:eastAsia="Times New Roman" w:hAnsi="Cambria" w:cs="Times New Roman"/>
          <w:sz w:val="20"/>
          <w:szCs w:val="20"/>
          <w:lang w:eastAsia="es-ES"/>
        </w:rPr>
        <w:t>FODES</w:t>
      </w:r>
      <w:r w:rsidR="00AC0523" w:rsidRPr="008A7BD7">
        <w:rPr>
          <w:rFonts w:ascii="Cambria" w:eastAsia="Times New Roman" w:hAnsi="Cambria" w:cs="Times New Roman"/>
          <w:sz w:val="20"/>
          <w:szCs w:val="20"/>
          <w:lang w:eastAsia="es-ES"/>
        </w:rPr>
        <w:t>)</w:t>
      </w:r>
      <w:r w:rsidRPr="008A7BD7">
        <w:rPr>
          <w:rFonts w:ascii="Cambria" w:eastAsia="Times New Roman" w:hAnsi="Cambria" w:cs="Times New Roman"/>
          <w:sz w:val="20"/>
          <w:szCs w:val="20"/>
          <w:lang w:eastAsia="es-ES"/>
        </w:rPr>
        <w:t xml:space="preserve">, part of the Ministry of </w:t>
      </w:r>
      <w:r w:rsidR="00DC4A43" w:rsidRPr="008A7BD7">
        <w:rPr>
          <w:rFonts w:ascii="Cambria" w:eastAsia="Times New Roman" w:hAnsi="Cambria" w:cs="Times New Roman"/>
          <w:sz w:val="20"/>
          <w:szCs w:val="20"/>
          <w:lang w:eastAsia="es-ES"/>
        </w:rPr>
        <w:t>S</w:t>
      </w:r>
      <w:r w:rsidRPr="008A7BD7">
        <w:rPr>
          <w:rFonts w:ascii="Cambria" w:eastAsia="Times New Roman" w:hAnsi="Cambria" w:cs="Times New Roman"/>
          <w:sz w:val="20"/>
          <w:szCs w:val="20"/>
          <w:lang w:eastAsia="es-ES"/>
        </w:rPr>
        <w:t xml:space="preserve">ocial </w:t>
      </w:r>
      <w:r w:rsidR="00DC4A43" w:rsidRPr="008A7BD7">
        <w:rPr>
          <w:rFonts w:ascii="Cambria" w:eastAsia="Times New Roman" w:hAnsi="Cambria" w:cs="Times New Roman"/>
          <w:sz w:val="20"/>
          <w:szCs w:val="20"/>
          <w:lang w:eastAsia="es-ES"/>
        </w:rPr>
        <w:t>D</w:t>
      </w:r>
      <w:r w:rsidRPr="008A7BD7">
        <w:rPr>
          <w:rFonts w:ascii="Cambria" w:eastAsia="Times New Roman" w:hAnsi="Cambria" w:cs="Times New Roman"/>
          <w:sz w:val="20"/>
          <w:szCs w:val="20"/>
          <w:lang w:eastAsia="es-ES"/>
        </w:rPr>
        <w:t xml:space="preserve">evelopment </w:t>
      </w:r>
      <w:r w:rsidR="00AC0523" w:rsidRPr="008A7BD7">
        <w:rPr>
          <w:rFonts w:ascii="Cambria" w:eastAsia="Times New Roman" w:hAnsi="Cambria" w:cs="Times New Roman"/>
          <w:sz w:val="20"/>
          <w:szCs w:val="20"/>
          <w:lang w:eastAsia="es-ES"/>
        </w:rPr>
        <w:t>(</w:t>
      </w:r>
      <w:r w:rsidR="00585516" w:rsidRPr="008A7BD7">
        <w:rPr>
          <w:rFonts w:ascii="Cambria" w:eastAsia="Times New Roman" w:hAnsi="Cambria" w:cs="Times New Roman"/>
          <w:sz w:val="20"/>
          <w:szCs w:val="20"/>
          <w:lang w:eastAsia="es-ES"/>
        </w:rPr>
        <w:t>MIDES</w:t>
      </w:r>
      <w:r w:rsidR="00AC0523" w:rsidRPr="008A7BD7">
        <w:rPr>
          <w:rFonts w:ascii="Cambria" w:eastAsia="Times New Roman" w:hAnsi="Cambria" w:cs="Times New Roman"/>
          <w:sz w:val="20"/>
          <w:szCs w:val="20"/>
          <w:lang w:eastAsia="es-ES"/>
        </w:rPr>
        <w:t xml:space="preserve">). </w:t>
      </w:r>
      <w:r w:rsidR="00585516" w:rsidRPr="008A7BD7">
        <w:rPr>
          <w:rFonts w:ascii="Cambria" w:eastAsia="Times New Roman" w:hAnsi="Cambria" w:cs="Times New Roman"/>
          <w:sz w:val="20"/>
          <w:szCs w:val="20"/>
          <w:lang w:eastAsia="es-ES"/>
        </w:rPr>
        <w:t xml:space="preserve">Moreover, according to the information available, since the disappearance of </w:t>
      </w:r>
      <w:r w:rsidR="00AC0523" w:rsidRPr="008A7BD7">
        <w:rPr>
          <w:rFonts w:ascii="Cambria" w:eastAsia="Times New Roman" w:hAnsi="Cambria" w:cs="Times New Roman"/>
          <w:sz w:val="20"/>
          <w:szCs w:val="20"/>
          <w:lang w:eastAsia="es-ES"/>
        </w:rPr>
        <w:t xml:space="preserve">SEPAZ, </w:t>
      </w:r>
      <w:r w:rsidR="00585516" w:rsidRPr="008A7BD7">
        <w:rPr>
          <w:rFonts w:ascii="Cambria" w:eastAsia="Times New Roman" w:hAnsi="Cambria" w:cs="Times New Roman"/>
          <w:sz w:val="20"/>
          <w:szCs w:val="20"/>
          <w:lang w:eastAsia="es-ES"/>
        </w:rPr>
        <w:t xml:space="preserve">there seems to be a legal vacuum </w:t>
      </w:r>
      <w:r w:rsidR="00DC4A43" w:rsidRPr="008A7BD7">
        <w:rPr>
          <w:rFonts w:ascii="Cambria" w:eastAsia="Times New Roman" w:hAnsi="Cambria" w:cs="Times New Roman"/>
          <w:sz w:val="20"/>
          <w:szCs w:val="20"/>
          <w:lang w:eastAsia="es-ES"/>
        </w:rPr>
        <w:t>with respect to</w:t>
      </w:r>
      <w:r w:rsidR="00585516" w:rsidRPr="008A7BD7">
        <w:rPr>
          <w:rFonts w:ascii="Cambria" w:eastAsia="Times New Roman" w:hAnsi="Cambria" w:cs="Times New Roman"/>
          <w:sz w:val="20"/>
          <w:szCs w:val="20"/>
          <w:lang w:eastAsia="es-ES"/>
        </w:rPr>
        <w:t xml:space="preserve"> the appropriate </w:t>
      </w:r>
      <w:r w:rsidR="006533DC" w:rsidRPr="008A7BD7">
        <w:rPr>
          <w:rFonts w:ascii="Cambria" w:eastAsia="Times New Roman" w:hAnsi="Cambria" w:cs="Times New Roman"/>
          <w:sz w:val="20"/>
          <w:szCs w:val="20"/>
          <w:lang w:eastAsia="es-ES"/>
        </w:rPr>
        <w:t xml:space="preserve">rules and </w:t>
      </w:r>
      <w:r w:rsidR="00585516" w:rsidRPr="008A7BD7">
        <w:rPr>
          <w:rFonts w:ascii="Cambria" w:eastAsia="Times New Roman" w:hAnsi="Cambria" w:cs="Times New Roman"/>
          <w:sz w:val="20"/>
          <w:szCs w:val="20"/>
          <w:lang w:eastAsia="es-ES"/>
        </w:rPr>
        <w:t>regulations, manuals, guidelines, and procedures govern</w:t>
      </w:r>
      <w:r w:rsidR="00BD61AC" w:rsidRPr="008A7BD7">
        <w:rPr>
          <w:rFonts w:ascii="Cambria" w:eastAsia="Times New Roman" w:hAnsi="Cambria" w:cs="Times New Roman"/>
          <w:sz w:val="20"/>
          <w:szCs w:val="20"/>
          <w:lang w:eastAsia="es-ES"/>
        </w:rPr>
        <w:t>ing</w:t>
      </w:r>
      <w:r w:rsidR="00585516" w:rsidRPr="008A7BD7">
        <w:rPr>
          <w:rFonts w:ascii="Cambria" w:eastAsia="Times New Roman" w:hAnsi="Cambria" w:cs="Times New Roman"/>
          <w:sz w:val="20"/>
          <w:szCs w:val="20"/>
          <w:lang w:eastAsia="es-ES"/>
        </w:rPr>
        <w:t xml:space="preserve"> the operations of the National Reparations Program (PNR) and FODES itself, now under </w:t>
      </w:r>
      <w:r w:rsidR="00AC0523" w:rsidRPr="008A7BD7">
        <w:rPr>
          <w:rFonts w:ascii="Cambria" w:eastAsia="Times New Roman" w:hAnsi="Cambria" w:cs="Times New Roman"/>
          <w:sz w:val="20"/>
          <w:szCs w:val="20"/>
          <w:lang w:eastAsia="es-ES"/>
        </w:rPr>
        <w:t xml:space="preserve">MIDES. </w:t>
      </w:r>
      <w:r w:rsidR="00585516" w:rsidRPr="008A7BD7">
        <w:rPr>
          <w:rFonts w:ascii="Cambria" w:eastAsia="Times New Roman" w:hAnsi="Cambria" w:cs="Times New Roman"/>
          <w:sz w:val="20"/>
          <w:szCs w:val="20"/>
          <w:lang w:eastAsia="es-ES"/>
        </w:rPr>
        <w:t xml:space="preserve">According to public information, organizations of victims </w:t>
      </w:r>
      <w:r w:rsidR="00BD61AC" w:rsidRPr="008A7BD7">
        <w:rPr>
          <w:rFonts w:ascii="Cambria" w:eastAsia="Times New Roman" w:hAnsi="Cambria" w:cs="Times New Roman"/>
          <w:sz w:val="20"/>
          <w:szCs w:val="20"/>
          <w:lang w:eastAsia="es-ES"/>
        </w:rPr>
        <w:t xml:space="preserve">denounced </w:t>
      </w:r>
      <w:r w:rsidR="00585516" w:rsidRPr="008A7BD7">
        <w:rPr>
          <w:rFonts w:ascii="Cambria" w:eastAsia="Times New Roman" w:hAnsi="Cambria" w:cs="Times New Roman"/>
          <w:sz w:val="20"/>
          <w:szCs w:val="20"/>
          <w:lang w:eastAsia="es-ES"/>
        </w:rPr>
        <w:t xml:space="preserve">this as a </w:t>
      </w:r>
      <w:r w:rsidR="00BD61AC" w:rsidRPr="008A7BD7">
        <w:rPr>
          <w:rFonts w:ascii="Cambria" w:eastAsia="Times New Roman" w:hAnsi="Cambria" w:cs="Times New Roman"/>
          <w:sz w:val="20"/>
          <w:szCs w:val="20"/>
          <w:lang w:eastAsia="es-ES"/>
        </w:rPr>
        <w:t>stalling tactic</w:t>
      </w:r>
      <w:r w:rsidR="00585516" w:rsidRPr="008A7BD7">
        <w:rPr>
          <w:rFonts w:ascii="Cambria" w:eastAsia="Times New Roman" w:hAnsi="Cambria" w:cs="Times New Roman"/>
          <w:sz w:val="20"/>
          <w:szCs w:val="20"/>
          <w:lang w:eastAsia="es-ES"/>
        </w:rPr>
        <w:t xml:space="preserve"> </w:t>
      </w:r>
      <w:r w:rsidR="00BD61AC" w:rsidRPr="008A7BD7">
        <w:rPr>
          <w:rFonts w:ascii="Cambria" w:eastAsia="Times New Roman" w:hAnsi="Cambria" w:cs="Times New Roman"/>
          <w:sz w:val="20"/>
          <w:szCs w:val="20"/>
          <w:lang w:eastAsia="es-ES"/>
        </w:rPr>
        <w:t xml:space="preserve">to avoid paying </w:t>
      </w:r>
      <w:r w:rsidR="00585516" w:rsidRPr="008A7BD7">
        <w:rPr>
          <w:rFonts w:ascii="Cambria" w:eastAsia="Times New Roman" w:hAnsi="Cambria" w:cs="Times New Roman"/>
          <w:sz w:val="20"/>
          <w:szCs w:val="20"/>
          <w:lang w:eastAsia="es-ES"/>
        </w:rPr>
        <w:t xml:space="preserve">reparations to victims of the armed </w:t>
      </w:r>
      <w:r w:rsidR="00585516" w:rsidRPr="008A7BD7">
        <w:rPr>
          <w:rFonts w:ascii="Cambria" w:eastAsia="Times New Roman" w:hAnsi="Cambria" w:cs="Times New Roman"/>
          <w:sz w:val="20"/>
          <w:szCs w:val="20"/>
          <w:lang w:eastAsia="es-ES"/>
        </w:rPr>
        <w:lastRenderedPageBreak/>
        <w:t xml:space="preserve">conflict before the expiration of the deadline established in the agreement creating the </w:t>
      </w:r>
      <w:r w:rsidR="00AC0523" w:rsidRPr="008A7BD7">
        <w:rPr>
          <w:rFonts w:ascii="Cambria" w:eastAsia="Times New Roman" w:hAnsi="Cambria" w:cs="Times New Roman"/>
          <w:sz w:val="20"/>
          <w:szCs w:val="20"/>
          <w:lang w:eastAsia="es-ES"/>
        </w:rPr>
        <w:t xml:space="preserve">PNR, </w:t>
      </w:r>
      <w:r w:rsidR="00585516" w:rsidRPr="008A7BD7">
        <w:rPr>
          <w:rFonts w:ascii="Cambria" w:eastAsia="Times New Roman" w:hAnsi="Cambria" w:cs="Times New Roman"/>
          <w:sz w:val="20"/>
          <w:szCs w:val="20"/>
          <w:lang w:eastAsia="es-ES"/>
        </w:rPr>
        <w:t xml:space="preserve">in effect until December </w:t>
      </w:r>
      <w:r w:rsidR="00AC0523" w:rsidRPr="008A7BD7">
        <w:rPr>
          <w:rFonts w:ascii="Cambria" w:eastAsia="Times New Roman" w:hAnsi="Cambria" w:cs="Times New Roman"/>
          <w:sz w:val="20"/>
          <w:szCs w:val="20"/>
          <w:lang w:eastAsia="es-ES"/>
        </w:rPr>
        <w:t>31</w:t>
      </w:r>
      <w:r w:rsidR="00585516" w:rsidRPr="008A7BD7">
        <w:rPr>
          <w:rFonts w:ascii="Cambria" w:eastAsia="Times New Roman" w:hAnsi="Cambria" w:cs="Times New Roman"/>
          <w:sz w:val="20"/>
          <w:szCs w:val="20"/>
          <w:lang w:eastAsia="es-ES"/>
        </w:rPr>
        <w:t xml:space="preserve">, </w:t>
      </w:r>
      <w:r w:rsidR="00AC0523" w:rsidRPr="008A7BD7">
        <w:rPr>
          <w:rFonts w:ascii="Cambria" w:eastAsia="Times New Roman" w:hAnsi="Cambria" w:cs="Times New Roman"/>
          <w:sz w:val="20"/>
          <w:szCs w:val="20"/>
          <w:lang w:eastAsia="es-ES"/>
        </w:rPr>
        <w:t>2023</w:t>
      </w:r>
      <w:r w:rsidR="00585516" w:rsidRPr="008A7BD7">
        <w:rPr>
          <w:rFonts w:ascii="Cambria" w:eastAsia="Times New Roman" w:hAnsi="Cambria" w:cs="Times New Roman"/>
          <w:sz w:val="20"/>
          <w:szCs w:val="20"/>
          <w:lang w:eastAsia="es-ES"/>
        </w:rPr>
        <w:t>.</w:t>
      </w:r>
      <w:r w:rsidR="00AC0523" w:rsidRPr="008A7BD7">
        <w:rPr>
          <w:rFonts w:ascii="Cambria" w:eastAsia="Times New Roman" w:hAnsi="Cambria" w:cs="Noto Serif"/>
          <w:color w:val="333333"/>
          <w:sz w:val="20"/>
          <w:szCs w:val="20"/>
          <w:vertAlign w:val="superscript"/>
          <w:lang w:val="es-US" w:eastAsia="es-ES"/>
        </w:rPr>
        <w:footnoteReference w:id="119"/>
      </w:r>
    </w:p>
    <w:p w14:paraId="098E47FE" w14:textId="77777777" w:rsidR="00AC0523" w:rsidRPr="008A7BD7" w:rsidRDefault="00AC0523">
      <w:pPr>
        <w:rPr>
          <w:rFonts w:ascii="Cambria" w:eastAsia="Times New Roman" w:hAnsi="Cambria" w:cs="Tahoma"/>
          <w:color w:val="000000"/>
          <w:sz w:val="20"/>
          <w:szCs w:val="20"/>
          <w:lang w:eastAsia="es-ES_tradnl"/>
        </w:rPr>
      </w:pPr>
    </w:p>
    <w:p w14:paraId="180534A8" w14:textId="0B7FD04F" w:rsidR="009C4A37" w:rsidRPr="008A7BD7" w:rsidRDefault="006D2D33" w:rsidP="00F0442F">
      <w:pPr>
        <w:pStyle w:val="Heading1"/>
      </w:pPr>
      <w:r w:rsidRPr="008A7BD7">
        <w:t xml:space="preserve">SITUATION </w:t>
      </w:r>
      <w:r w:rsidR="00B464AF" w:rsidRPr="008A7BD7">
        <w:t>OF</w:t>
      </w:r>
      <w:r w:rsidRPr="008A7BD7">
        <w:t xml:space="preserve"> FREEDOM OF EXPRESSION</w:t>
      </w:r>
      <w:r w:rsidR="001A2977" w:rsidRPr="008A7BD7">
        <w:t xml:space="preserve"> </w:t>
      </w:r>
    </w:p>
    <w:p w14:paraId="498D8D5B" w14:textId="5674B2AD" w:rsidR="009C4A37" w:rsidRPr="008A7BD7" w:rsidRDefault="009C4A37" w:rsidP="009C4A37">
      <w:pPr>
        <w:jc w:val="both"/>
        <w:rPr>
          <w:rFonts w:ascii="Cambria" w:eastAsia="Times New Roman" w:hAnsi="Cambria" w:cs="Tahoma"/>
          <w:color w:val="000000"/>
          <w:sz w:val="20"/>
          <w:szCs w:val="20"/>
          <w:lang w:eastAsia="es-ES_tradnl"/>
        </w:rPr>
      </w:pPr>
    </w:p>
    <w:p w14:paraId="06106D1D" w14:textId="0E2DC8CC" w:rsidR="009C4A37" w:rsidRPr="008A7BD7" w:rsidRDefault="006D2D33"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themeColor="text1"/>
          <w:sz w:val="20"/>
          <w:szCs w:val="20"/>
          <w:lang w:eastAsia="es-ES"/>
        </w:rPr>
        <w:t>In</w:t>
      </w:r>
      <w:r w:rsidR="009C4A37" w:rsidRPr="008A7BD7">
        <w:rPr>
          <w:rFonts w:ascii="Cambria" w:eastAsia="Times New Roman" w:hAnsi="Cambria" w:cs="Tahoma"/>
          <w:color w:val="000000" w:themeColor="text1"/>
          <w:sz w:val="20"/>
          <w:szCs w:val="20"/>
          <w:lang w:eastAsia="es-ES"/>
        </w:rPr>
        <w:t xml:space="preserve"> 2021, </w:t>
      </w:r>
      <w:r w:rsidRPr="008A7BD7">
        <w:rPr>
          <w:rFonts w:ascii="Cambria" w:eastAsia="Times New Roman" w:hAnsi="Cambria" w:cs="Tahoma"/>
          <w:color w:val="000000" w:themeColor="text1"/>
          <w:sz w:val="20"/>
          <w:szCs w:val="20"/>
          <w:lang w:eastAsia="es-ES"/>
        </w:rPr>
        <w:t xml:space="preserve">the Office of the Special Rapporteur for Freedom of Expression has </w:t>
      </w:r>
      <w:r w:rsidR="00AF41B0" w:rsidRPr="008A7BD7">
        <w:rPr>
          <w:rFonts w:ascii="Cambria" w:eastAsia="Times New Roman" w:hAnsi="Cambria" w:cs="Tahoma"/>
          <w:color w:val="000000" w:themeColor="text1"/>
          <w:sz w:val="20"/>
          <w:szCs w:val="20"/>
          <w:lang w:eastAsia="es-ES"/>
        </w:rPr>
        <w:t xml:space="preserve">found that the </w:t>
      </w:r>
      <w:r w:rsidRPr="008A7BD7">
        <w:rPr>
          <w:rFonts w:ascii="Cambria" w:eastAsia="Times New Roman" w:hAnsi="Cambria" w:cs="Tahoma"/>
          <w:color w:val="000000" w:themeColor="text1"/>
          <w:sz w:val="20"/>
          <w:szCs w:val="20"/>
          <w:lang w:eastAsia="es-ES"/>
        </w:rPr>
        <w:t>work of journalism i</w:t>
      </w:r>
      <w:r w:rsidR="009C4A37" w:rsidRPr="008A7BD7">
        <w:rPr>
          <w:rFonts w:ascii="Cambria" w:eastAsia="Times New Roman" w:hAnsi="Cambria" w:cs="Tahoma"/>
          <w:color w:val="000000" w:themeColor="text1"/>
          <w:sz w:val="20"/>
          <w:szCs w:val="20"/>
          <w:lang w:eastAsia="es-ES"/>
        </w:rPr>
        <w:t>n Guatemala</w:t>
      </w:r>
      <w:r w:rsidR="00AF41B0" w:rsidRPr="008A7BD7">
        <w:rPr>
          <w:rFonts w:ascii="Cambria" w:eastAsia="Times New Roman" w:hAnsi="Cambria" w:cs="Tahoma"/>
          <w:color w:val="000000" w:themeColor="text1"/>
          <w:sz w:val="20"/>
          <w:szCs w:val="20"/>
          <w:lang w:eastAsia="es-ES"/>
        </w:rPr>
        <w:t xml:space="preserve"> continues to be subject to risks</w:t>
      </w:r>
      <w:r w:rsidR="009C4A37" w:rsidRPr="008A7BD7">
        <w:rPr>
          <w:rFonts w:ascii="Cambria" w:eastAsia="Times New Roman" w:hAnsi="Cambria" w:cs="Tahoma"/>
          <w:color w:val="000000" w:themeColor="text1"/>
          <w:sz w:val="20"/>
          <w:szCs w:val="20"/>
          <w:lang w:eastAsia="es-ES"/>
        </w:rPr>
        <w:t xml:space="preserve">, </w:t>
      </w:r>
      <w:r w:rsidR="00985BBA" w:rsidRPr="008A7BD7">
        <w:rPr>
          <w:rFonts w:ascii="Cambria" w:eastAsia="Times New Roman" w:hAnsi="Cambria" w:cs="Tahoma"/>
          <w:color w:val="000000" w:themeColor="text1"/>
          <w:sz w:val="20"/>
          <w:szCs w:val="20"/>
          <w:lang w:eastAsia="es-ES"/>
        </w:rPr>
        <w:t xml:space="preserve">with the </w:t>
      </w:r>
      <w:r w:rsidR="00825859" w:rsidRPr="008A7BD7">
        <w:rPr>
          <w:rFonts w:ascii="Cambria" w:eastAsia="Times New Roman" w:hAnsi="Cambria" w:cs="Tahoma"/>
          <w:color w:val="000000" w:themeColor="text1"/>
          <w:sz w:val="20"/>
          <w:szCs w:val="20"/>
          <w:lang w:eastAsia="es-ES"/>
        </w:rPr>
        <w:t xml:space="preserve">reported </w:t>
      </w:r>
      <w:r w:rsidR="00985BBA" w:rsidRPr="008A7BD7">
        <w:rPr>
          <w:rFonts w:ascii="Cambria" w:eastAsia="Times New Roman" w:hAnsi="Cambria" w:cs="Tahoma"/>
          <w:color w:val="000000" w:themeColor="text1"/>
          <w:sz w:val="20"/>
          <w:szCs w:val="20"/>
          <w:lang w:eastAsia="es-ES"/>
        </w:rPr>
        <w:t>murders of at least two media</w:t>
      </w:r>
      <w:r w:rsidR="00825859" w:rsidRPr="008A7BD7">
        <w:rPr>
          <w:rFonts w:ascii="Cambria" w:eastAsia="Times New Roman" w:hAnsi="Cambria" w:cs="Tahoma"/>
          <w:color w:val="000000" w:themeColor="text1"/>
          <w:sz w:val="20"/>
          <w:szCs w:val="20"/>
          <w:lang w:eastAsia="es-ES"/>
        </w:rPr>
        <w:t xml:space="preserve"> workers</w:t>
      </w:r>
      <w:r w:rsidR="00985BBA" w:rsidRPr="008A7BD7">
        <w:rPr>
          <w:rFonts w:ascii="Cambria" w:eastAsia="Times New Roman" w:hAnsi="Cambria" w:cs="Tahoma"/>
          <w:color w:val="000000" w:themeColor="text1"/>
          <w:sz w:val="20"/>
          <w:szCs w:val="20"/>
          <w:lang w:eastAsia="es-ES"/>
        </w:rPr>
        <w:t xml:space="preserve">, episodes of harassment and intimidation, </w:t>
      </w:r>
      <w:r w:rsidR="00825859" w:rsidRPr="008A7BD7">
        <w:rPr>
          <w:rFonts w:ascii="Cambria" w:eastAsia="Times New Roman" w:hAnsi="Cambria" w:cs="Tahoma"/>
          <w:color w:val="000000" w:themeColor="text1"/>
          <w:sz w:val="20"/>
          <w:szCs w:val="20"/>
          <w:lang w:eastAsia="es-ES"/>
        </w:rPr>
        <w:t>attacks</w:t>
      </w:r>
      <w:r w:rsidR="00985BBA" w:rsidRPr="008A7BD7">
        <w:rPr>
          <w:rFonts w:ascii="Cambria" w:eastAsia="Times New Roman" w:hAnsi="Cambria" w:cs="Tahoma"/>
          <w:color w:val="000000" w:themeColor="text1"/>
          <w:sz w:val="20"/>
          <w:szCs w:val="20"/>
          <w:lang w:eastAsia="es-ES"/>
        </w:rPr>
        <w:t xml:space="preserve"> in the context of social </w:t>
      </w:r>
      <w:r w:rsidR="00825859" w:rsidRPr="008A7BD7">
        <w:rPr>
          <w:rFonts w:ascii="Cambria" w:eastAsia="Times New Roman" w:hAnsi="Cambria" w:cs="Tahoma"/>
          <w:color w:val="000000" w:themeColor="text1"/>
          <w:sz w:val="20"/>
          <w:szCs w:val="20"/>
          <w:lang w:eastAsia="es-ES"/>
        </w:rPr>
        <w:t>protests</w:t>
      </w:r>
      <w:r w:rsidR="00985BBA" w:rsidRPr="008A7BD7">
        <w:rPr>
          <w:rFonts w:ascii="Cambria" w:eastAsia="Times New Roman" w:hAnsi="Cambria" w:cs="Tahoma"/>
          <w:color w:val="000000" w:themeColor="text1"/>
          <w:sz w:val="20"/>
          <w:szCs w:val="20"/>
          <w:lang w:eastAsia="es-ES"/>
        </w:rPr>
        <w:t xml:space="preserve">, and obstructions to the coverage of official events. </w:t>
      </w:r>
      <w:r w:rsidR="00825859" w:rsidRPr="008A7BD7">
        <w:rPr>
          <w:rFonts w:ascii="Cambria" w:eastAsia="Times New Roman" w:hAnsi="Cambria" w:cs="Tahoma"/>
          <w:color w:val="000000" w:themeColor="text1"/>
          <w:sz w:val="20"/>
          <w:szCs w:val="20"/>
          <w:lang w:eastAsia="es-ES"/>
        </w:rPr>
        <w:t>T</w:t>
      </w:r>
      <w:r w:rsidR="00985BBA" w:rsidRPr="008A7BD7">
        <w:rPr>
          <w:rFonts w:ascii="Cambria" w:eastAsia="Times New Roman" w:hAnsi="Cambria" w:cs="Tahoma"/>
          <w:color w:val="000000" w:themeColor="text1"/>
          <w:sz w:val="20"/>
          <w:szCs w:val="20"/>
          <w:lang w:eastAsia="es-ES"/>
        </w:rPr>
        <w:t>he Unit for the Protection of Human Rights Defenders</w:t>
      </w:r>
      <w:r w:rsidR="00987D54" w:rsidRPr="008A7BD7">
        <w:rPr>
          <w:rFonts w:ascii="Cambria" w:eastAsia="Times New Roman" w:hAnsi="Cambria" w:cs="Tahoma"/>
          <w:color w:val="000000" w:themeColor="text1"/>
          <w:sz w:val="20"/>
          <w:szCs w:val="20"/>
          <w:lang w:eastAsia="es-ES"/>
        </w:rPr>
        <w:t xml:space="preserve"> </w:t>
      </w:r>
      <w:r w:rsidR="00C10E25" w:rsidRPr="008A7BD7">
        <w:rPr>
          <w:rFonts w:ascii="Cambria" w:eastAsia="Times New Roman" w:hAnsi="Cambria" w:cs="Tahoma"/>
          <w:color w:val="000000" w:themeColor="text1"/>
          <w:sz w:val="20"/>
          <w:szCs w:val="20"/>
          <w:lang w:eastAsia="es-ES"/>
        </w:rPr>
        <w:t>in</w:t>
      </w:r>
      <w:r w:rsidR="00987D54" w:rsidRPr="008A7BD7">
        <w:rPr>
          <w:rFonts w:ascii="Cambria" w:eastAsia="Times New Roman" w:hAnsi="Cambria" w:cs="Tahoma"/>
          <w:color w:val="000000" w:themeColor="text1"/>
          <w:sz w:val="20"/>
          <w:szCs w:val="20"/>
          <w:lang w:eastAsia="es-ES"/>
        </w:rPr>
        <w:t xml:space="preserve"> Guatemala</w:t>
      </w:r>
      <w:r w:rsidR="00985BBA" w:rsidRPr="008A7BD7">
        <w:rPr>
          <w:rFonts w:ascii="Cambria" w:eastAsia="Times New Roman" w:hAnsi="Cambria" w:cs="Tahoma"/>
          <w:color w:val="000000" w:themeColor="text1"/>
          <w:sz w:val="20"/>
          <w:szCs w:val="20"/>
          <w:lang w:eastAsia="es-ES"/>
        </w:rPr>
        <w:t xml:space="preserve"> </w:t>
      </w:r>
      <w:r w:rsidR="00825859" w:rsidRPr="008A7BD7">
        <w:rPr>
          <w:rFonts w:ascii="Cambria" w:eastAsia="Times New Roman" w:hAnsi="Cambria" w:cs="Tahoma"/>
          <w:color w:val="000000" w:themeColor="text1"/>
          <w:sz w:val="20"/>
          <w:szCs w:val="20"/>
          <w:lang w:eastAsia="es-ES"/>
        </w:rPr>
        <w:t>registered</w:t>
      </w:r>
      <w:r w:rsidR="00887155" w:rsidRPr="008A7BD7">
        <w:rPr>
          <w:rFonts w:ascii="Cambria" w:eastAsia="Times New Roman" w:hAnsi="Cambria" w:cs="Tahoma"/>
          <w:color w:val="000000" w:themeColor="text1"/>
          <w:sz w:val="20"/>
          <w:szCs w:val="20"/>
          <w:lang w:eastAsia="es-ES"/>
        </w:rPr>
        <w:t xml:space="preserve"> </w:t>
      </w:r>
      <w:r w:rsidR="00985BBA" w:rsidRPr="008A7BD7">
        <w:rPr>
          <w:rFonts w:ascii="Cambria" w:eastAsia="Times New Roman" w:hAnsi="Cambria" w:cs="Tahoma"/>
          <w:color w:val="000000" w:themeColor="text1"/>
          <w:sz w:val="20"/>
          <w:szCs w:val="20"/>
          <w:lang w:eastAsia="es-ES"/>
        </w:rPr>
        <w:t xml:space="preserve">87 </w:t>
      </w:r>
      <w:r w:rsidR="00825859" w:rsidRPr="008A7BD7">
        <w:rPr>
          <w:rFonts w:ascii="Cambria" w:eastAsia="Times New Roman" w:hAnsi="Cambria" w:cs="Tahoma"/>
          <w:color w:val="000000" w:themeColor="text1"/>
          <w:sz w:val="20"/>
          <w:szCs w:val="20"/>
          <w:lang w:eastAsia="es-ES"/>
        </w:rPr>
        <w:t>incidents</w:t>
      </w:r>
      <w:r w:rsidR="00985BBA" w:rsidRPr="008A7BD7">
        <w:rPr>
          <w:rFonts w:ascii="Cambria" w:eastAsia="Times New Roman" w:hAnsi="Cambria" w:cs="Tahoma"/>
          <w:color w:val="000000" w:themeColor="text1"/>
          <w:sz w:val="20"/>
          <w:szCs w:val="20"/>
          <w:lang w:eastAsia="es-ES"/>
        </w:rPr>
        <w:t xml:space="preserve"> of attacks on journalists and</w:t>
      </w:r>
      <w:r w:rsidR="00825859" w:rsidRPr="008A7BD7">
        <w:rPr>
          <w:rFonts w:ascii="Cambria" w:eastAsia="Times New Roman" w:hAnsi="Cambria" w:cs="Tahoma"/>
          <w:color w:val="000000" w:themeColor="text1"/>
          <w:sz w:val="20"/>
          <w:szCs w:val="20"/>
          <w:lang w:eastAsia="es-ES"/>
        </w:rPr>
        <w:t xml:space="preserve"> </w:t>
      </w:r>
      <w:r w:rsidR="00985BBA" w:rsidRPr="008A7BD7">
        <w:rPr>
          <w:rFonts w:ascii="Cambria" w:eastAsia="Times New Roman" w:hAnsi="Cambria" w:cs="Tahoma"/>
          <w:color w:val="000000" w:themeColor="text1"/>
          <w:sz w:val="20"/>
          <w:szCs w:val="20"/>
          <w:lang w:eastAsia="es-ES"/>
        </w:rPr>
        <w:t xml:space="preserve">media </w:t>
      </w:r>
      <w:r w:rsidR="00825859" w:rsidRPr="008A7BD7">
        <w:rPr>
          <w:rFonts w:ascii="Cambria" w:eastAsia="Times New Roman" w:hAnsi="Cambria" w:cs="Tahoma"/>
          <w:color w:val="000000" w:themeColor="text1"/>
          <w:sz w:val="20"/>
          <w:szCs w:val="20"/>
          <w:lang w:eastAsia="es-ES"/>
        </w:rPr>
        <w:t xml:space="preserve">workers </w:t>
      </w:r>
      <w:r w:rsidR="00985BBA" w:rsidRPr="008A7BD7">
        <w:rPr>
          <w:rFonts w:ascii="Cambria" w:eastAsia="Times New Roman" w:hAnsi="Cambria" w:cs="Tahoma"/>
          <w:color w:val="000000" w:themeColor="text1"/>
          <w:sz w:val="20"/>
          <w:szCs w:val="20"/>
          <w:lang w:eastAsia="es-ES"/>
        </w:rPr>
        <w:t>between January and June</w:t>
      </w:r>
      <w:r w:rsidR="00887155" w:rsidRPr="008A7BD7">
        <w:rPr>
          <w:rFonts w:ascii="Cambria" w:eastAsia="Times New Roman" w:hAnsi="Cambria" w:cs="Tahoma"/>
          <w:color w:val="000000" w:themeColor="text1"/>
          <w:sz w:val="20"/>
          <w:szCs w:val="20"/>
          <w:lang w:eastAsia="es-ES"/>
        </w:rPr>
        <w:t xml:space="preserve"> 2021</w:t>
      </w:r>
      <w:r w:rsidR="009C4A37" w:rsidRPr="008A7BD7">
        <w:rPr>
          <w:rFonts w:ascii="Cambria" w:eastAsia="Times New Roman" w:hAnsi="Cambria" w:cs="Tahoma"/>
          <w:color w:val="000000" w:themeColor="text1"/>
          <w:sz w:val="20"/>
          <w:szCs w:val="20"/>
          <w:lang w:eastAsia="es-ES"/>
        </w:rPr>
        <w:t xml:space="preserve">. </w:t>
      </w:r>
      <w:r w:rsidR="00887155" w:rsidRPr="008A7BD7">
        <w:rPr>
          <w:rFonts w:ascii="Cambria" w:eastAsia="Times New Roman" w:hAnsi="Cambria" w:cs="Tahoma"/>
          <w:color w:val="000000" w:themeColor="text1"/>
          <w:sz w:val="20"/>
          <w:szCs w:val="20"/>
          <w:lang w:eastAsia="es-ES"/>
        </w:rPr>
        <w:t>The IACHR has also learned that</w:t>
      </w:r>
      <w:r w:rsidR="00825859" w:rsidRPr="008A7BD7">
        <w:rPr>
          <w:rFonts w:ascii="Cambria" w:eastAsia="Times New Roman" w:hAnsi="Cambria" w:cs="Tahoma"/>
          <w:color w:val="000000" w:themeColor="text1"/>
          <w:sz w:val="20"/>
          <w:szCs w:val="20"/>
          <w:lang w:eastAsia="es-ES"/>
        </w:rPr>
        <w:t xml:space="preserve"> </w:t>
      </w:r>
      <w:r w:rsidR="00887155" w:rsidRPr="008A7BD7">
        <w:rPr>
          <w:rFonts w:ascii="Cambria" w:eastAsia="Times New Roman" w:hAnsi="Cambria" w:cs="Tahoma"/>
          <w:color w:val="000000" w:themeColor="text1"/>
          <w:sz w:val="20"/>
          <w:szCs w:val="20"/>
          <w:lang w:eastAsia="es-ES"/>
        </w:rPr>
        <w:t xml:space="preserve">judicial cases </w:t>
      </w:r>
      <w:r w:rsidR="00825859" w:rsidRPr="008A7BD7">
        <w:rPr>
          <w:rFonts w:ascii="Cambria" w:eastAsia="Times New Roman" w:hAnsi="Cambria" w:cs="Tahoma"/>
          <w:color w:val="000000" w:themeColor="text1"/>
          <w:sz w:val="20"/>
          <w:szCs w:val="20"/>
          <w:lang w:eastAsia="es-ES"/>
        </w:rPr>
        <w:t xml:space="preserve">have been opened </w:t>
      </w:r>
      <w:r w:rsidR="00887155" w:rsidRPr="008A7BD7">
        <w:rPr>
          <w:rFonts w:ascii="Cambria" w:eastAsia="Times New Roman" w:hAnsi="Cambria" w:cs="Tahoma"/>
          <w:color w:val="000000" w:themeColor="text1"/>
          <w:sz w:val="20"/>
          <w:szCs w:val="20"/>
          <w:lang w:eastAsia="es-ES"/>
        </w:rPr>
        <w:t xml:space="preserve">and threats of investigations </w:t>
      </w:r>
      <w:r w:rsidR="00F30DD6" w:rsidRPr="008A7BD7">
        <w:rPr>
          <w:rFonts w:ascii="Cambria" w:eastAsia="Times New Roman" w:hAnsi="Cambria" w:cs="Tahoma"/>
          <w:color w:val="000000" w:themeColor="text1"/>
          <w:sz w:val="20"/>
          <w:szCs w:val="20"/>
          <w:lang w:eastAsia="es-ES"/>
        </w:rPr>
        <w:t xml:space="preserve">have been made </w:t>
      </w:r>
      <w:r w:rsidR="00887155" w:rsidRPr="008A7BD7">
        <w:rPr>
          <w:rFonts w:ascii="Cambria" w:eastAsia="Times New Roman" w:hAnsi="Cambria" w:cs="Tahoma"/>
          <w:color w:val="000000" w:themeColor="text1"/>
          <w:sz w:val="20"/>
          <w:szCs w:val="20"/>
          <w:lang w:eastAsia="es-ES"/>
        </w:rPr>
        <w:t>against journalists, especially from the outlet</w:t>
      </w:r>
      <w:r w:rsidR="009C4A37" w:rsidRPr="008A7BD7">
        <w:rPr>
          <w:rFonts w:ascii="Cambria" w:eastAsia="Times New Roman" w:hAnsi="Cambria" w:cs="Tahoma"/>
          <w:color w:val="000000" w:themeColor="text1"/>
          <w:sz w:val="20"/>
          <w:szCs w:val="20"/>
          <w:lang w:eastAsia="es-ES"/>
        </w:rPr>
        <w:t xml:space="preserve"> </w:t>
      </w:r>
      <w:r w:rsidR="009C4A37" w:rsidRPr="008A7BD7">
        <w:rPr>
          <w:rFonts w:ascii="Cambria" w:eastAsia="Times New Roman" w:hAnsi="Cambria" w:cs="Tahoma"/>
          <w:i/>
          <w:iCs/>
          <w:color w:val="000000" w:themeColor="text1"/>
          <w:sz w:val="20"/>
          <w:szCs w:val="20"/>
          <w:lang w:eastAsia="es-ES"/>
        </w:rPr>
        <w:t xml:space="preserve">El </w:t>
      </w:r>
      <w:proofErr w:type="spellStart"/>
      <w:r w:rsidR="009C4A37" w:rsidRPr="008A7BD7">
        <w:rPr>
          <w:rFonts w:ascii="Cambria" w:eastAsia="Times New Roman" w:hAnsi="Cambria" w:cs="Tahoma"/>
          <w:i/>
          <w:iCs/>
          <w:color w:val="000000" w:themeColor="text1"/>
          <w:sz w:val="20"/>
          <w:szCs w:val="20"/>
          <w:lang w:eastAsia="es-ES"/>
        </w:rPr>
        <w:t>Peri</w:t>
      </w:r>
      <w:r w:rsidR="000B2759" w:rsidRPr="008A7BD7">
        <w:rPr>
          <w:rFonts w:ascii="Cambria" w:eastAsia="Times New Roman" w:hAnsi="Cambria" w:cs="Tahoma"/>
          <w:i/>
          <w:iCs/>
          <w:color w:val="000000" w:themeColor="text1"/>
          <w:sz w:val="20"/>
          <w:szCs w:val="20"/>
          <w:lang w:eastAsia="es-ES"/>
        </w:rPr>
        <w:t>ó</w:t>
      </w:r>
      <w:r w:rsidR="009C4A37" w:rsidRPr="008A7BD7">
        <w:rPr>
          <w:rFonts w:ascii="Cambria" w:eastAsia="Times New Roman" w:hAnsi="Cambria" w:cs="Tahoma"/>
          <w:i/>
          <w:iCs/>
          <w:color w:val="000000" w:themeColor="text1"/>
          <w:sz w:val="20"/>
          <w:szCs w:val="20"/>
          <w:lang w:eastAsia="es-ES"/>
        </w:rPr>
        <w:t>dico</w:t>
      </w:r>
      <w:proofErr w:type="spellEnd"/>
      <w:r w:rsidR="009C4A37" w:rsidRPr="008A7BD7">
        <w:rPr>
          <w:rFonts w:ascii="Cambria" w:eastAsia="Times New Roman" w:hAnsi="Cambria" w:cs="Tahoma"/>
          <w:color w:val="000000" w:themeColor="text1"/>
          <w:sz w:val="20"/>
          <w:szCs w:val="20"/>
          <w:lang w:eastAsia="es-ES"/>
        </w:rPr>
        <w:t xml:space="preserve">. </w:t>
      </w:r>
      <w:r w:rsidR="00887155" w:rsidRPr="008A7BD7">
        <w:rPr>
          <w:rFonts w:ascii="Cambria" w:eastAsia="Times New Roman" w:hAnsi="Cambria" w:cs="Tahoma"/>
          <w:color w:val="000000" w:themeColor="text1"/>
          <w:sz w:val="20"/>
          <w:szCs w:val="20"/>
          <w:lang w:eastAsia="es-ES"/>
        </w:rPr>
        <w:t xml:space="preserve">The IACHR also observed with concern that various types of </w:t>
      </w:r>
      <w:r w:rsidR="003932B1" w:rsidRPr="008A7BD7">
        <w:rPr>
          <w:rFonts w:ascii="Cambria" w:eastAsia="Times New Roman" w:hAnsi="Cambria" w:cs="Tahoma"/>
          <w:color w:val="000000" w:themeColor="text1"/>
          <w:sz w:val="20"/>
          <w:szCs w:val="20"/>
          <w:lang w:eastAsia="es-ES"/>
        </w:rPr>
        <w:t>punitive</w:t>
      </w:r>
      <w:r w:rsidR="00887155" w:rsidRPr="008A7BD7">
        <w:rPr>
          <w:rFonts w:ascii="Cambria" w:eastAsia="Times New Roman" w:hAnsi="Cambria" w:cs="Tahoma"/>
          <w:color w:val="000000" w:themeColor="text1"/>
          <w:sz w:val="20"/>
          <w:szCs w:val="20"/>
          <w:lang w:eastAsia="es-ES"/>
        </w:rPr>
        <w:t xml:space="preserve"> measures ha</w:t>
      </w:r>
      <w:r w:rsidR="00F30DD6" w:rsidRPr="008A7BD7">
        <w:rPr>
          <w:rFonts w:ascii="Cambria" w:eastAsia="Times New Roman" w:hAnsi="Cambria" w:cs="Tahoma"/>
          <w:color w:val="000000" w:themeColor="text1"/>
          <w:sz w:val="20"/>
          <w:szCs w:val="20"/>
          <w:lang w:eastAsia="es-ES"/>
        </w:rPr>
        <w:t>ve</w:t>
      </w:r>
      <w:r w:rsidR="00887155" w:rsidRPr="008A7BD7">
        <w:rPr>
          <w:rFonts w:ascii="Cambria" w:eastAsia="Times New Roman" w:hAnsi="Cambria" w:cs="Tahoma"/>
          <w:color w:val="000000" w:themeColor="text1"/>
          <w:sz w:val="20"/>
          <w:szCs w:val="20"/>
          <w:lang w:eastAsia="es-ES"/>
        </w:rPr>
        <w:t xml:space="preserve"> been used to restrict the work of journalism. In the context</w:t>
      </w:r>
      <w:r w:rsidR="009C4A37" w:rsidRPr="008A7BD7">
        <w:rPr>
          <w:rFonts w:ascii="Cambria" w:eastAsia="Times New Roman" w:hAnsi="Cambria" w:cs="Tahoma"/>
          <w:color w:val="000000" w:themeColor="text1"/>
          <w:sz w:val="20"/>
          <w:szCs w:val="20"/>
          <w:lang w:eastAsia="es-ES"/>
        </w:rPr>
        <w:t xml:space="preserve"> </w:t>
      </w:r>
      <w:r w:rsidR="00887155" w:rsidRPr="008A7BD7">
        <w:rPr>
          <w:rFonts w:ascii="Cambria" w:eastAsia="Times New Roman" w:hAnsi="Cambria" w:cs="Tahoma"/>
          <w:color w:val="000000" w:themeColor="text1"/>
          <w:sz w:val="20"/>
          <w:szCs w:val="20"/>
          <w:lang w:eastAsia="es-ES"/>
        </w:rPr>
        <w:t xml:space="preserve">of the pandemic, it also identified restrictions to protest through the establishment of states of emergency. Also of concern is the entry into force of the new NGO </w:t>
      </w:r>
      <w:r w:rsidR="00F30DD6" w:rsidRPr="008A7BD7">
        <w:rPr>
          <w:rFonts w:ascii="Cambria" w:eastAsia="Times New Roman" w:hAnsi="Cambria" w:cs="Tahoma"/>
          <w:color w:val="000000" w:themeColor="text1"/>
          <w:sz w:val="20"/>
          <w:szCs w:val="20"/>
          <w:lang w:eastAsia="es-ES"/>
        </w:rPr>
        <w:t>L</w:t>
      </w:r>
      <w:r w:rsidR="00887155" w:rsidRPr="008A7BD7">
        <w:rPr>
          <w:rFonts w:ascii="Cambria" w:eastAsia="Times New Roman" w:hAnsi="Cambria" w:cs="Tahoma"/>
          <w:color w:val="000000" w:themeColor="text1"/>
          <w:sz w:val="20"/>
          <w:szCs w:val="20"/>
          <w:lang w:eastAsia="es-ES"/>
        </w:rPr>
        <w:t>aw, which UN and OAS experts have described as “</w:t>
      </w:r>
      <w:r w:rsidR="005C54F0" w:rsidRPr="008A7BD7">
        <w:rPr>
          <w:rFonts w:ascii="Cambria" w:eastAsia="Times New Roman" w:hAnsi="Cambria" w:cs="Tahoma"/>
          <w:color w:val="000000" w:themeColor="text1"/>
          <w:sz w:val="20"/>
          <w:szCs w:val="20"/>
          <w:lang w:eastAsia="es-ES"/>
        </w:rPr>
        <w:t>choking</w:t>
      </w:r>
      <w:r w:rsidR="00887155" w:rsidRPr="008A7BD7">
        <w:rPr>
          <w:rFonts w:ascii="Cambria" w:eastAsia="Times New Roman" w:hAnsi="Cambria" w:cs="Tahoma"/>
          <w:color w:val="000000" w:themeColor="text1"/>
          <w:sz w:val="20"/>
          <w:szCs w:val="20"/>
          <w:lang w:eastAsia="es-ES"/>
        </w:rPr>
        <w:t xml:space="preserve">” the work of civil society. </w:t>
      </w:r>
    </w:p>
    <w:p w14:paraId="56B92140"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3F36B712" w14:textId="2EA6446A" w:rsidR="009C4A37" w:rsidRPr="00F0442F" w:rsidRDefault="00887155" w:rsidP="00F0442F">
      <w:pPr>
        <w:pStyle w:val="Heading2"/>
      </w:pPr>
      <w:r w:rsidRPr="00F0442F">
        <w:t xml:space="preserve">Journalism and </w:t>
      </w:r>
      <w:r w:rsidR="00B464AF" w:rsidRPr="00F0442F">
        <w:t>D</w:t>
      </w:r>
      <w:r w:rsidRPr="00F0442F">
        <w:t>emocracy</w:t>
      </w:r>
    </w:p>
    <w:p w14:paraId="4BABA1BA" w14:textId="77777777" w:rsidR="009C4A37" w:rsidRPr="008A7BD7" w:rsidRDefault="009C4A37" w:rsidP="009C4A37">
      <w:pPr>
        <w:ind w:left="1440"/>
        <w:jc w:val="both"/>
        <w:rPr>
          <w:rFonts w:ascii="Cambria" w:eastAsia="Times New Roman" w:hAnsi="Cambria" w:cs="Tahoma"/>
          <w:b/>
          <w:color w:val="000000"/>
          <w:sz w:val="20"/>
          <w:szCs w:val="20"/>
          <w:lang w:eastAsia="es-ES_tradnl"/>
        </w:rPr>
      </w:pPr>
    </w:p>
    <w:p w14:paraId="3CCECFA9" w14:textId="5E238A65" w:rsidR="009C4A37" w:rsidRPr="008A7BD7" w:rsidRDefault="00B464AF"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themeColor="text1"/>
          <w:sz w:val="20"/>
          <w:szCs w:val="20"/>
          <w:lang w:eastAsia="es-ES"/>
        </w:rPr>
        <w:t>In</w:t>
      </w:r>
      <w:r w:rsidR="009C4A37" w:rsidRPr="008A7BD7">
        <w:rPr>
          <w:rFonts w:ascii="Cambria" w:eastAsia="Times New Roman" w:hAnsi="Cambria" w:cs="Tahoma"/>
          <w:color w:val="000000" w:themeColor="text1"/>
          <w:sz w:val="20"/>
          <w:szCs w:val="20"/>
          <w:lang w:eastAsia="es-ES"/>
        </w:rPr>
        <w:t xml:space="preserve"> 2021, </w:t>
      </w:r>
      <w:r w:rsidRPr="008A7BD7">
        <w:rPr>
          <w:rFonts w:ascii="Cambria" w:eastAsia="Times New Roman" w:hAnsi="Cambria" w:cs="Tahoma"/>
          <w:color w:val="000000" w:themeColor="text1"/>
          <w:sz w:val="20"/>
          <w:szCs w:val="20"/>
          <w:lang w:eastAsia="es-ES"/>
        </w:rPr>
        <w:t xml:space="preserve">the IACHR received reports of at least two murders of journalists in </w:t>
      </w:r>
      <w:r w:rsidR="009C4A37" w:rsidRPr="008A7BD7">
        <w:rPr>
          <w:rFonts w:ascii="Cambria" w:eastAsia="Times New Roman" w:hAnsi="Cambria" w:cs="Tahoma"/>
          <w:color w:val="000000" w:themeColor="text1"/>
          <w:sz w:val="20"/>
          <w:szCs w:val="20"/>
          <w:lang w:eastAsia="es-ES"/>
        </w:rPr>
        <w:t>Guatemala.</w:t>
      </w:r>
      <w:r w:rsidRPr="008A7BD7">
        <w:rPr>
          <w:rFonts w:ascii="Cambria" w:eastAsia="Times New Roman" w:hAnsi="Cambria" w:cs="Tahoma"/>
          <w:color w:val="000000" w:themeColor="text1"/>
          <w:sz w:val="20"/>
          <w:szCs w:val="20"/>
          <w:lang w:eastAsia="es-ES"/>
        </w:rPr>
        <w:t xml:space="preserve"> In addition, journalists who investigate matters of public interest such as corruption have reported being targets of surveillance, intimidation, and judicial harassment. The IACHR also heard accounts of attempts to </w:t>
      </w:r>
      <w:r w:rsidR="00345B3E" w:rsidRPr="008A7BD7">
        <w:rPr>
          <w:rFonts w:ascii="Cambria" w:eastAsia="Times New Roman" w:hAnsi="Cambria" w:cs="Tahoma"/>
          <w:color w:val="000000" w:themeColor="text1"/>
          <w:sz w:val="20"/>
          <w:szCs w:val="20"/>
          <w:lang w:eastAsia="es-ES"/>
        </w:rPr>
        <w:t>keep the</w:t>
      </w:r>
      <w:r w:rsidRPr="008A7BD7">
        <w:rPr>
          <w:rFonts w:ascii="Cambria" w:eastAsia="Times New Roman" w:hAnsi="Cambria" w:cs="Tahoma"/>
          <w:color w:val="000000" w:themeColor="text1"/>
          <w:sz w:val="20"/>
          <w:szCs w:val="20"/>
          <w:lang w:eastAsia="es-ES"/>
        </w:rPr>
        <w:t xml:space="preserve"> press </w:t>
      </w:r>
      <w:r w:rsidR="00345B3E" w:rsidRPr="008A7BD7">
        <w:rPr>
          <w:rFonts w:ascii="Cambria" w:eastAsia="Times New Roman" w:hAnsi="Cambria" w:cs="Tahoma"/>
          <w:color w:val="000000" w:themeColor="text1"/>
          <w:sz w:val="20"/>
          <w:szCs w:val="20"/>
          <w:lang w:eastAsia="es-ES"/>
        </w:rPr>
        <w:t>from entering</w:t>
      </w:r>
      <w:r w:rsidRPr="008A7BD7">
        <w:rPr>
          <w:rFonts w:ascii="Cambria" w:eastAsia="Times New Roman" w:hAnsi="Cambria" w:cs="Tahoma"/>
          <w:color w:val="000000" w:themeColor="text1"/>
          <w:sz w:val="20"/>
          <w:szCs w:val="20"/>
          <w:lang w:eastAsia="es-ES"/>
        </w:rPr>
        <w:t xml:space="preserve"> official buildings and events</w:t>
      </w:r>
      <w:r w:rsidR="001A0EFB" w:rsidRPr="008A7BD7">
        <w:rPr>
          <w:rFonts w:ascii="Cambria" w:eastAsia="Times New Roman" w:hAnsi="Cambria" w:cs="Tahoma"/>
          <w:color w:val="000000" w:themeColor="text1"/>
          <w:sz w:val="20"/>
          <w:szCs w:val="20"/>
          <w:lang w:eastAsia="es-ES"/>
        </w:rPr>
        <w:t>,</w:t>
      </w:r>
      <w:r w:rsidRPr="008A7BD7">
        <w:rPr>
          <w:rFonts w:ascii="Cambria" w:eastAsia="Times New Roman" w:hAnsi="Cambria" w:cs="Tahoma"/>
          <w:color w:val="000000" w:themeColor="text1"/>
          <w:sz w:val="20"/>
          <w:szCs w:val="20"/>
          <w:lang w:eastAsia="es-ES"/>
        </w:rPr>
        <w:t xml:space="preserve"> to obstruct </w:t>
      </w:r>
      <w:r w:rsidR="00345B3E" w:rsidRPr="008A7BD7">
        <w:rPr>
          <w:rFonts w:ascii="Cambria" w:eastAsia="Times New Roman" w:hAnsi="Cambria" w:cs="Tahoma"/>
          <w:color w:val="000000" w:themeColor="text1"/>
          <w:sz w:val="20"/>
          <w:szCs w:val="20"/>
          <w:lang w:eastAsia="es-ES"/>
        </w:rPr>
        <w:t>press</w:t>
      </w:r>
      <w:r w:rsidRPr="008A7BD7">
        <w:rPr>
          <w:rFonts w:ascii="Cambria" w:eastAsia="Times New Roman" w:hAnsi="Cambria" w:cs="Tahoma"/>
          <w:color w:val="000000" w:themeColor="text1"/>
          <w:sz w:val="20"/>
          <w:szCs w:val="20"/>
          <w:lang w:eastAsia="es-ES"/>
        </w:rPr>
        <w:t xml:space="preserve"> access to </w:t>
      </w:r>
      <w:r w:rsidR="00345B3E" w:rsidRPr="008A7BD7">
        <w:rPr>
          <w:rFonts w:ascii="Cambria" w:eastAsia="Times New Roman" w:hAnsi="Cambria" w:cs="Tahoma"/>
          <w:color w:val="000000" w:themeColor="text1"/>
          <w:sz w:val="20"/>
          <w:szCs w:val="20"/>
          <w:lang w:eastAsia="es-ES"/>
        </w:rPr>
        <w:t xml:space="preserve">information. There have also been reports of attempts to censor </w:t>
      </w:r>
      <w:r w:rsidR="001A0EFB" w:rsidRPr="008A7BD7">
        <w:rPr>
          <w:rFonts w:ascii="Cambria" w:eastAsia="Times New Roman" w:hAnsi="Cambria" w:cs="Tahoma"/>
          <w:color w:val="000000" w:themeColor="text1"/>
          <w:sz w:val="20"/>
          <w:szCs w:val="20"/>
          <w:lang w:eastAsia="es-ES"/>
        </w:rPr>
        <w:t xml:space="preserve">published </w:t>
      </w:r>
      <w:r w:rsidR="00345B3E" w:rsidRPr="008A7BD7">
        <w:rPr>
          <w:rFonts w:ascii="Cambria" w:eastAsia="Times New Roman" w:hAnsi="Cambria" w:cs="Tahoma"/>
          <w:color w:val="000000" w:themeColor="text1"/>
          <w:sz w:val="20"/>
          <w:szCs w:val="20"/>
          <w:lang w:eastAsia="es-ES"/>
        </w:rPr>
        <w:t>content related to COVID-19</w:t>
      </w:r>
      <w:r w:rsidRPr="008A7BD7">
        <w:rPr>
          <w:rFonts w:ascii="Cambria" w:eastAsia="Times New Roman" w:hAnsi="Cambria" w:cs="Tahoma"/>
          <w:color w:val="000000" w:themeColor="text1"/>
          <w:sz w:val="20"/>
          <w:szCs w:val="20"/>
          <w:lang w:eastAsia="es-ES"/>
        </w:rPr>
        <w:t xml:space="preserve"> </w:t>
      </w:r>
      <w:r w:rsidR="002D332E" w:rsidRPr="008A7BD7">
        <w:rPr>
          <w:rFonts w:ascii="Cambria" w:eastAsia="Times New Roman" w:hAnsi="Cambria" w:cs="Tahoma"/>
          <w:color w:val="000000" w:themeColor="text1"/>
          <w:sz w:val="20"/>
          <w:szCs w:val="20"/>
          <w:lang w:eastAsia="es-ES"/>
        </w:rPr>
        <w:t>with the aim of preventing</w:t>
      </w:r>
      <w:r w:rsidR="00345B3E" w:rsidRPr="008A7BD7">
        <w:rPr>
          <w:rFonts w:ascii="Cambria" w:eastAsia="Times New Roman" w:hAnsi="Cambria" w:cs="Tahoma"/>
          <w:color w:val="000000" w:themeColor="text1"/>
          <w:sz w:val="20"/>
          <w:szCs w:val="20"/>
          <w:lang w:eastAsia="es-ES"/>
        </w:rPr>
        <w:t xml:space="preserve"> panic or confusion</w:t>
      </w:r>
      <w:r w:rsidR="009C4A37" w:rsidRPr="008A7BD7">
        <w:rPr>
          <w:rFonts w:ascii="Cambria" w:eastAsia="Times New Roman" w:hAnsi="Cambria" w:cs="Tahoma"/>
          <w:color w:val="000000" w:themeColor="text1"/>
          <w:sz w:val="20"/>
          <w:szCs w:val="20"/>
          <w:lang w:eastAsia="es-ES"/>
        </w:rPr>
        <w:t>.</w:t>
      </w:r>
      <w:r w:rsidR="00345B3E" w:rsidRPr="008A7BD7">
        <w:rPr>
          <w:rFonts w:ascii="Cambria" w:eastAsia="Times New Roman" w:hAnsi="Cambria" w:cs="Tahoma"/>
          <w:color w:val="000000" w:themeColor="text1"/>
          <w:sz w:val="20"/>
          <w:szCs w:val="20"/>
          <w:lang w:eastAsia="es-ES"/>
        </w:rPr>
        <w:t xml:space="preserve"> </w:t>
      </w:r>
      <w:r w:rsidR="009C4A37" w:rsidRPr="008A7BD7">
        <w:rPr>
          <w:rFonts w:ascii="Cambria" w:eastAsia="Times New Roman" w:hAnsi="Cambria" w:cs="Tahoma"/>
          <w:color w:val="000000" w:themeColor="text1"/>
          <w:sz w:val="20"/>
          <w:szCs w:val="20"/>
          <w:lang w:eastAsia="es-ES"/>
        </w:rPr>
        <w:t xml:space="preserve"> </w:t>
      </w:r>
    </w:p>
    <w:p w14:paraId="7FAD9CC9"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342A0B85" w14:textId="4CD93C22" w:rsidR="009C4A37" w:rsidRPr="008A7BD7" w:rsidRDefault="00345B3E"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On June</w:t>
      </w:r>
      <w:r w:rsidR="009C4A37" w:rsidRPr="008A7BD7">
        <w:rPr>
          <w:rFonts w:ascii="Cambria" w:eastAsia="Times New Roman" w:hAnsi="Cambria" w:cs="Tahoma"/>
          <w:color w:val="000000"/>
          <w:sz w:val="20"/>
          <w:szCs w:val="20"/>
          <w:lang w:eastAsia="es-ES"/>
        </w:rPr>
        <w:t xml:space="preserve"> 9</w:t>
      </w:r>
      <w:r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 xml:space="preserve">2021, </w:t>
      </w:r>
      <w:r w:rsidR="005456A3" w:rsidRPr="008A7BD7">
        <w:rPr>
          <w:rFonts w:ascii="Cambria" w:eastAsia="Times New Roman" w:hAnsi="Cambria" w:cs="Tahoma"/>
          <w:color w:val="000000"/>
          <w:sz w:val="20"/>
          <w:szCs w:val="20"/>
          <w:lang w:eastAsia="es-ES"/>
        </w:rPr>
        <w:t xml:space="preserve">Frank </w:t>
      </w:r>
      <w:proofErr w:type="spellStart"/>
      <w:r w:rsidR="005456A3" w:rsidRPr="008A7BD7">
        <w:rPr>
          <w:rFonts w:ascii="Cambria" w:eastAsia="Times New Roman" w:hAnsi="Cambria" w:cs="Tahoma"/>
          <w:color w:val="000000"/>
          <w:sz w:val="20"/>
          <w:szCs w:val="20"/>
          <w:lang w:eastAsia="es-ES"/>
        </w:rPr>
        <w:t>Stalyn</w:t>
      </w:r>
      <w:proofErr w:type="spellEnd"/>
      <w:r w:rsidR="005456A3" w:rsidRPr="008A7BD7">
        <w:rPr>
          <w:rFonts w:ascii="Cambria" w:eastAsia="Times New Roman" w:hAnsi="Cambria" w:cs="Tahoma"/>
          <w:color w:val="000000"/>
          <w:sz w:val="20"/>
          <w:szCs w:val="20"/>
          <w:lang w:eastAsia="es-ES"/>
        </w:rPr>
        <w:t xml:space="preserve"> </w:t>
      </w:r>
      <w:proofErr w:type="spellStart"/>
      <w:r w:rsidR="005456A3" w:rsidRPr="008A7BD7">
        <w:rPr>
          <w:rFonts w:ascii="Cambria" w:eastAsia="Times New Roman" w:hAnsi="Cambria" w:cs="Tahoma"/>
          <w:color w:val="000000"/>
          <w:sz w:val="20"/>
          <w:szCs w:val="20"/>
          <w:lang w:eastAsia="es-ES"/>
        </w:rPr>
        <w:t>Ramazzini</w:t>
      </w:r>
      <w:proofErr w:type="spellEnd"/>
      <w:r w:rsidR="005456A3" w:rsidRPr="008A7BD7">
        <w:rPr>
          <w:rFonts w:ascii="Cambria" w:eastAsia="Times New Roman" w:hAnsi="Cambria" w:cs="Tahoma"/>
          <w:color w:val="000000"/>
          <w:sz w:val="20"/>
          <w:szCs w:val="20"/>
          <w:lang w:eastAsia="es-ES"/>
        </w:rPr>
        <w:t xml:space="preserve">, a </w:t>
      </w:r>
      <w:r w:rsidRPr="008A7BD7">
        <w:rPr>
          <w:rFonts w:ascii="Cambria" w:eastAsia="Times New Roman" w:hAnsi="Cambria" w:cs="Tahoma"/>
          <w:color w:val="000000"/>
          <w:sz w:val="20"/>
          <w:szCs w:val="20"/>
          <w:lang w:eastAsia="es-ES"/>
        </w:rPr>
        <w:t xml:space="preserve">journalist, human rights defender, and president of the </w:t>
      </w:r>
      <w:proofErr w:type="spellStart"/>
      <w:r w:rsidR="009C4A37" w:rsidRPr="008A7BD7">
        <w:rPr>
          <w:rFonts w:ascii="Cambria" w:eastAsia="Times New Roman" w:hAnsi="Cambria" w:cs="Tahoma"/>
          <w:color w:val="000000"/>
          <w:sz w:val="20"/>
          <w:szCs w:val="20"/>
          <w:lang w:eastAsia="es-ES"/>
        </w:rPr>
        <w:t>Asociación</w:t>
      </w:r>
      <w:proofErr w:type="spellEnd"/>
      <w:r w:rsidR="009C4A37" w:rsidRPr="008A7BD7">
        <w:rPr>
          <w:rFonts w:ascii="Cambria" w:eastAsia="Times New Roman" w:hAnsi="Cambria" w:cs="Tahoma"/>
          <w:color w:val="000000"/>
          <w:sz w:val="20"/>
          <w:szCs w:val="20"/>
          <w:lang w:eastAsia="es-ES"/>
        </w:rPr>
        <w:t xml:space="preserve"> </w:t>
      </w:r>
      <w:proofErr w:type="spellStart"/>
      <w:r w:rsidR="009C4A37" w:rsidRPr="008A7BD7">
        <w:rPr>
          <w:rFonts w:ascii="Cambria" w:eastAsia="Times New Roman" w:hAnsi="Cambria" w:cs="Tahoma"/>
          <w:color w:val="000000"/>
          <w:sz w:val="20"/>
          <w:szCs w:val="20"/>
          <w:lang w:eastAsia="es-ES"/>
        </w:rPr>
        <w:t>Fiscalizadora</w:t>
      </w:r>
      <w:proofErr w:type="spellEnd"/>
      <w:r w:rsidR="009C4A37" w:rsidRPr="008A7BD7">
        <w:rPr>
          <w:rFonts w:ascii="Cambria" w:eastAsia="Times New Roman" w:hAnsi="Cambria" w:cs="Tahoma"/>
          <w:color w:val="000000"/>
          <w:sz w:val="20"/>
          <w:szCs w:val="20"/>
          <w:lang w:eastAsia="es-ES"/>
        </w:rPr>
        <w:t xml:space="preserve"> Pro-Justicia y Derechos Humanos, </w:t>
      </w:r>
      <w:r w:rsidRPr="008A7BD7">
        <w:rPr>
          <w:rFonts w:ascii="Cambria" w:eastAsia="Times New Roman" w:hAnsi="Cambria" w:cs="Tahoma"/>
          <w:color w:val="000000"/>
          <w:sz w:val="20"/>
          <w:szCs w:val="20"/>
          <w:lang w:eastAsia="es-ES"/>
        </w:rPr>
        <w:t xml:space="preserve">was killed in an armed attack in a </w:t>
      </w:r>
      <w:r w:rsidR="006174AB" w:rsidRPr="008A7BD7">
        <w:rPr>
          <w:rFonts w:ascii="Cambria" w:eastAsia="Times New Roman" w:hAnsi="Cambria" w:cs="Tahoma"/>
          <w:color w:val="000000"/>
          <w:sz w:val="20"/>
          <w:szCs w:val="20"/>
          <w:lang w:eastAsia="es-ES"/>
        </w:rPr>
        <w:t xml:space="preserve">Guatemala City </w:t>
      </w:r>
      <w:r w:rsidR="005456A3" w:rsidRPr="008A7BD7">
        <w:rPr>
          <w:rFonts w:ascii="Cambria" w:eastAsia="Times New Roman" w:hAnsi="Cambria" w:cs="Tahoma"/>
          <w:color w:val="000000"/>
          <w:sz w:val="20"/>
          <w:szCs w:val="20"/>
          <w:lang w:eastAsia="es-ES"/>
        </w:rPr>
        <w:t>nightclub</w:t>
      </w:r>
      <w:r w:rsidR="006174AB" w:rsidRPr="008A7BD7">
        <w:rPr>
          <w:rFonts w:ascii="Cambria" w:eastAsia="Times New Roman" w:hAnsi="Cambria" w:cs="Tahoma"/>
          <w:color w:val="000000"/>
          <w:sz w:val="20"/>
          <w:szCs w:val="20"/>
          <w:lang w:eastAsia="es-ES"/>
        </w:rPr>
        <w:t xml:space="preserve"> in which three other people also died. In addition to his work as a defender of the labor rights of National Civil Police</w:t>
      </w:r>
      <w:r w:rsidR="00732683" w:rsidRPr="008A7BD7">
        <w:rPr>
          <w:rFonts w:ascii="Cambria" w:eastAsia="Times New Roman" w:hAnsi="Cambria" w:cs="Tahoma"/>
          <w:color w:val="000000"/>
          <w:sz w:val="20"/>
          <w:szCs w:val="20"/>
          <w:lang w:eastAsia="es-ES"/>
        </w:rPr>
        <w:t xml:space="preserve"> officers</w:t>
      </w:r>
      <w:r w:rsidR="006174AB" w:rsidRPr="008A7BD7">
        <w:rPr>
          <w:rFonts w:ascii="Cambria" w:eastAsia="Times New Roman" w:hAnsi="Cambria" w:cs="Tahoma"/>
          <w:color w:val="000000"/>
          <w:sz w:val="20"/>
          <w:szCs w:val="20"/>
          <w:lang w:eastAsia="es-ES"/>
        </w:rPr>
        <w:t xml:space="preserve">, he </w:t>
      </w:r>
      <w:r w:rsidR="005456A3" w:rsidRPr="008A7BD7">
        <w:rPr>
          <w:rFonts w:ascii="Cambria" w:eastAsia="Times New Roman" w:hAnsi="Cambria" w:cs="Tahoma"/>
          <w:color w:val="000000"/>
          <w:sz w:val="20"/>
          <w:szCs w:val="20"/>
          <w:lang w:eastAsia="es-ES"/>
        </w:rPr>
        <w:t xml:space="preserve">periodically </w:t>
      </w:r>
      <w:r w:rsidR="006174AB" w:rsidRPr="008A7BD7">
        <w:rPr>
          <w:rFonts w:ascii="Cambria" w:eastAsia="Times New Roman" w:hAnsi="Cambria" w:cs="Tahoma"/>
          <w:color w:val="000000"/>
          <w:sz w:val="20"/>
          <w:szCs w:val="20"/>
          <w:lang w:eastAsia="es-ES"/>
        </w:rPr>
        <w:t>investigated and published</w:t>
      </w:r>
      <w:r w:rsidR="006B039D" w:rsidRPr="008A7BD7">
        <w:rPr>
          <w:rFonts w:ascii="Cambria" w:eastAsia="Times New Roman" w:hAnsi="Cambria" w:cs="Tahoma"/>
          <w:color w:val="000000"/>
          <w:sz w:val="20"/>
          <w:szCs w:val="20"/>
          <w:lang w:eastAsia="es-ES"/>
        </w:rPr>
        <w:t xml:space="preserve">, through </w:t>
      </w:r>
      <w:r w:rsidR="000F402C" w:rsidRPr="008A7BD7">
        <w:rPr>
          <w:rFonts w:ascii="Cambria" w:eastAsia="Times New Roman" w:hAnsi="Cambria" w:cs="Tahoma"/>
          <w:color w:val="000000"/>
          <w:sz w:val="20"/>
          <w:szCs w:val="20"/>
          <w:lang w:eastAsia="es-ES"/>
        </w:rPr>
        <w:t>a social media site</w:t>
      </w:r>
      <w:r w:rsidR="006B039D" w:rsidRPr="008A7BD7">
        <w:rPr>
          <w:rFonts w:ascii="Cambria" w:eastAsia="Times New Roman" w:hAnsi="Cambria" w:cs="Tahoma"/>
          <w:color w:val="000000"/>
          <w:sz w:val="20"/>
          <w:szCs w:val="20"/>
          <w:lang w:eastAsia="es-ES"/>
        </w:rPr>
        <w:t>,</w:t>
      </w:r>
      <w:r w:rsidR="000F402C" w:rsidRPr="008A7BD7">
        <w:rPr>
          <w:rFonts w:ascii="Cambria" w:eastAsia="Times New Roman" w:hAnsi="Cambria" w:cs="Tahoma"/>
          <w:color w:val="000000"/>
          <w:sz w:val="20"/>
          <w:szCs w:val="20"/>
          <w:lang w:eastAsia="es-ES"/>
        </w:rPr>
        <w:t xml:space="preserve"> </w:t>
      </w:r>
      <w:r w:rsidR="006B039D" w:rsidRPr="008A7BD7">
        <w:rPr>
          <w:rFonts w:ascii="Cambria" w:eastAsia="Times New Roman" w:hAnsi="Cambria" w:cs="Tahoma"/>
          <w:color w:val="000000"/>
          <w:sz w:val="20"/>
          <w:szCs w:val="20"/>
          <w:lang w:eastAsia="es-ES"/>
        </w:rPr>
        <w:t xml:space="preserve">information </w:t>
      </w:r>
      <w:r w:rsidR="000F402C" w:rsidRPr="008A7BD7">
        <w:rPr>
          <w:rFonts w:ascii="Cambria" w:eastAsia="Times New Roman" w:hAnsi="Cambria" w:cs="Tahoma"/>
          <w:color w:val="000000"/>
          <w:sz w:val="20"/>
          <w:szCs w:val="20"/>
          <w:lang w:eastAsia="es-ES"/>
        </w:rPr>
        <w:t xml:space="preserve">that was critical of the government and of </w:t>
      </w:r>
      <w:r w:rsidR="0094005B" w:rsidRPr="008A7BD7">
        <w:rPr>
          <w:rFonts w:ascii="Cambria" w:eastAsia="Times New Roman" w:hAnsi="Cambria" w:cs="Tahoma"/>
          <w:color w:val="000000"/>
          <w:sz w:val="20"/>
          <w:szCs w:val="20"/>
          <w:lang w:eastAsia="es-ES"/>
        </w:rPr>
        <w:t>considerable</w:t>
      </w:r>
      <w:r w:rsidR="000F402C" w:rsidRPr="008A7BD7">
        <w:rPr>
          <w:rFonts w:ascii="Cambria" w:eastAsia="Times New Roman" w:hAnsi="Cambria" w:cs="Tahoma"/>
          <w:color w:val="000000"/>
          <w:sz w:val="20"/>
          <w:szCs w:val="20"/>
          <w:lang w:eastAsia="es-ES"/>
        </w:rPr>
        <w:t xml:space="preserve"> public interest, especially about alleged cases of corruption in the prison system.</w:t>
      </w:r>
      <w:r w:rsidR="009C4A37" w:rsidRPr="008A7BD7">
        <w:rPr>
          <w:rFonts w:ascii="Cambria" w:eastAsia="Times New Roman" w:hAnsi="Cambria" w:cs="Tahoma"/>
          <w:color w:val="000000"/>
          <w:sz w:val="20"/>
          <w:szCs w:val="20"/>
          <w:vertAlign w:val="superscript"/>
          <w:lang w:val="es-419" w:eastAsia="es-ES"/>
        </w:rPr>
        <w:footnoteReference w:id="120"/>
      </w:r>
      <w:r w:rsidR="009C4A37" w:rsidRPr="008A7BD7">
        <w:rPr>
          <w:rFonts w:ascii="Cambria" w:eastAsia="Times New Roman" w:hAnsi="Cambria" w:cs="Tahoma"/>
          <w:color w:val="000000"/>
          <w:sz w:val="20"/>
          <w:szCs w:val="20"/>
          <w:lang w:eastAsia="es-ES"/>
        </w:rPr>
        <w:t xml:space="preserve"> </w:t>
      </w:r>
      <w:r w:rsidR="006B039D" w:rsidRPr="008A7BD7">
        <w:rPr>
          <w:rFonts w:ascii="Cambria" w:eastAsia="Times New Roman" w:hAnsi="Cambria" w:cs="Tahoma"/>
          <w:color w:val="000000"/>
          <w:sz w:val="20"/>
          <w:szCs w:val="20"/>
          <w:lang w:eastAsia="es-ES"/>
        </w:rPr>
        <w:t>On</w:t>
      </w:r>
      <w:r w:rsidR="00732683" w:rsidRPr="008A7BD7">
        <w:rPr>
          <w:rFonts w:ascii="Cambria" w:eastAsia="Times New Roman" w:hAnsi="Cambria" w:cs="Tahoma"/>
          <w:color w:val="000000"/>
          <w:sz w:val="20"/>
          <w:szCs w:val="20"/>
          <w:lang w:eastAsia="es-ES"/>
        </w:rPr>
        <w:t xml:space="preserve"> June</w:t>
      </w:r>
      <w:r w:rsidR="009C4A37" w:rsidRPr="008A7BD7">
        <w:rPr>
          <w:rFonts w:ascii="Cambria" w:eastAsia="Times New Roman" w:hAnsi="Cambria" w:cs="Tahoma"/>
          <w:color w:val="000000"/>
          <w:sz w:val="20"/>
          <w:szCs w:val="20"/>
          <w:lang w:eastAsia="es-ES"/>
        </w:rPr>
        <w:t xml:space="preserve"> 10</w:t>
      </w:r>
      <w:r w:rsidR="00732683"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lang w:eastAsia="es-ES"/>
        </w:rPr>
        <w:t xml:space="preserve"> </w:t>
      </w:r>
      <w:r w:rsidR="00732683" w:rsidRPr="008A7BD7">
        <w:rPr>
          <w:rFonts w:ascii="Cambria" w:eastAsia="Times New Roman" w:hAnsi="Cambria" w:cs="Tahoma"/>
          <w:color w:val="000000"/>
          <w:sz w:val="20"/>
          <w:szCs w:val="20"/>
          <w:lang w:eastAsia="es-ES"/>
        </w:rPr>
        <w:t xml:space="preserve">the Office of the Prosecutor for Crimes against Life and </w:t>
      </w:r>
      <w:r w:rsidR="006B039D" w:rsidRPr="008A7BD7">
        <w:rPr>
          <w:rFonts w:ascii="Cambria" w:eastAsia="Times New Roman" w:hAnsi="Cambria" w:cs="Tahoma"/>
          <w:color w:val="000000"/>
          <w:sz w:val="20"/>
          <w:szCs w:val="20"/>
          <w:lang w:eastAsia="es-ES"/>
        </w:rPr>
        <w:t xml:space="preserve">the </w:t>
      </w:r>
      <w:r w:rsidR="00732683" w:rsidRPr="008A7BD7">
        <w:rPr>
          <w:rFonts w:ascii="Cambria" w:eastAsia="Times New Roman" w:hAnsi="Cambria" w:cs="Tahoma"/>
          <w:color w:val="000000"/>
          <w:sz w:val="20"/>
          <w:szCs w:val="20"/>
          <w:lang w:eastAsia="es-ES"/>
        </w:rPr>
        <w:t xml:space="preserve">Integrity </w:t>
      </w:r>
      <w:r w:rsidR="006B039D" w:rsidRPr="008A7BD7">
        <w:rPr>
          <w:rFonts w:ascii="Cambria" w:eastAsia="Times New Roman" w:hAnsi="Cambria" w:cs="Tahoma"/>
          <w:color w:val="000000"/>
          <w:sz w:val="20"/>
          <w:szCs w:val="20"/>
          <w:lang w:eastAsia="es-ES"/>
        </w:rPr>
        <w:t xml:space="preserve">of Persons </w:t>
      </w:r>
      <w:r w:rsidR="00732683" w:rsidRPr="008A7BD7">
        <w:rPr>
          <w:rFonts w:ascii="Cambria" w:eastAsia="Times New Roman" w:hAnsi="Cambria" w:cs="Tahoma"/>
          <w:color w:val="000000"/>
          <w:sz w:val="20"/>
          <w:szCs w:val="20"/>
          <w:lang w:eastAsia="es-ES"/>
        </w:rPr>
        <w:t xml:space="preserve">reported that it had processed </w:t>
      </w:r>
      <w:r w:rsidR="006B039D" w:rsidRPr="008A7BD7">
        <w:rPr>
          <w:rFonts w:ascii="Cambria" w:eastAsia="Times New Roman" w:hAnsi="Cambria" w:cs="Tahoma"/>
          <w:color w:val="000000"/>
          <w:sz w:val="20"/>
          <w:szCs w:val="20"/>
          <w:lang w:eastAsia="es-ES"/>
        </w:rPr>
        <w:t>the crime scene.</w:t>
      </w:r>
      <w:r w:rsidR="009C4A37" w:rsidRPr="008A7BD7">
        <w:rPr>
          <w:rFonts w:ascii="Cambria" w:eastAsia="Times New Roman" w:hAnsi="Cambria" w:cs="Tahoma"/>
          <w:color w:val="000000"/>
          <w:sz w:val="20"/>
          <w:szCs w:val="20"/>
          <w:vertAlign w:val="superscript"/>
          <w:lang w:val="es-419" w:eastAsia="es-ES"/>
        </w:rPr>
        <w:footnoteReference w:id="121"/>
      </w:r>
      <w:r w:rsidR="009C4A37" w:rsidRPr="008A7BD7">
        <w:rPr>
          <w:rFonts w:ascii="Cambria" w:eastAsia="Times New Roman" w:hAnsi="Cambria" w:cs="Tahoma"/>
          <w:color w:val="000000"/>
          <w:sz w:val="20"/>
          <w:szCs w:val="20"/>
          <w:lang w:eastAsia="es-ES"/>
        </w:rPr>
        <w:t xml:space="preserve"> </w:t>
      </w:r>
      <w:r w:rsidR="004A584A" w:rsidRPr="008A7BD7">
        <w:rPr>
          <w:rFonts w:ascii="Cambria" w:eastAsia="Times New Roman" w:hAnsi="Cambria" w:cs="Tahoma"/>
          <w:color w:val="000000"/>
          <w:sz w:val="20"/>
          <w:szCs w:val="20"/>
          <w:lang w:eastAsia="es-ES"/>
        </w:rPr>
        <w:t>A</w:t>
      </w:r>
      <w:r w:rsidR="006B039D" w:rsidRPr="008A7BD7">
        <w:rPr>
          <w:rFonts w:ascii="Cambria" w:eastAsia="Times New Roman" w:hAnsi="Cambria" w:cs="Tahoma"/>
          <w:color w:val="000000"/>
          <w:sz w:val="20"/>
          <w:szCs w:val="20"/>
          <w:lang w:eastAsia="es-ES"/>
        </w:rPr>
        <w:t xml:space="preserve">ccording to the information available, </w:t>
      </w:r>
      <w:r w:rsidR="00AA60EE" w:rsidRPr="008A7BD7">
        <w:rPr>
          <w:rFonts w:ascii="Cambria" w:eastAsia="Times New Roman" w:hAnsi="Cambria" w:cs="Tahoma"/>
          <w:color w:val="000000"/>
          <w:sz w:val="20"/>
          <w:szCs w:val="20"/>
          <w:lang w:eastAsia="es-ES"/>
        </w:rPr>
        <w:t xml:space="preserve">on September 12, 2021, </w:t>
      </w:r>
      <w:r w:rsidR="006B039D" w:rsidRPr="008A7BD7">
        <w:rPr>
          <w:rFonts w:ascii="Cambria" w:eastAsia="Times New Roman" w:hAnsi="Cambria" w:cs="Tahoma"/>
          <w:color w:val="000000"/>
          <w:sz w:val="20"/>
          <w:szCs w:val="20"/>
          <w:lang w:eastAsia="es-ES"/>
        </w:rPr>
        <w:t xml:space="preserve">the Public Prosecutor’s Office concluded that the weapons found at the scene were used in the journalist’s killing and that there was apparently no connection between this crime and </w:t>
      </w:r>
      <w:r w:rsidR="00472E3E" w:rsidRPr="008A7BD7">
        <w:rPr>
          <w:rFonts w:ascii="Cambria" w:eastAsia="Times New Roman" w:hAnsi="Cambria" w:cs="Tahoma"/>
          <w:color w:val="000000"/>
          <w:sz w:val="20"/>
          <w:szCs w:val="20"/>
          <w:lang w:eastAsia="es-ES"/>
        </w:rPr>
        <w:t>an</w:t>
      </w:r>
      <w:r w:rsidR="000F1957" w:rsidRPr="008A7BD7">
        <w:rPr>
          <w:rFonts w:ascii="Cambria" w:eastAsia="Times New Roman" w:hAnsi="Cambria" w:cs="Tahoma"/>
          <w:color w:val="000000"/>
          <w:sz w:val="20"/>
          <w:szCs w:val="20"/>
          <w:lang w:eastAsia="es-ES"/>
        </w:rPr>
        <w:t xml:space="preserve"> </w:t>
      </w:r>
      <w:r w:rsidR="006B039D" w:rsidRPr="008A7BD7">
        <w:rPr>
          <w:rFonts w:ascii="Cambria" w:eastAsia="Times New Roman" w:hAnsi="Cambria" w:cs="Tahoma"/>
          <w:color w:val="000000"/>
          <w:sz w:val="20"/>
          <w:szCs w:val="20"/>
          <w:lang w:eastAsia="es-ES"/>
        </w:rPr>
        <w:t xml:space="preserve">armed attack </w:t>
      </w:r>
      <w:r w:rsidR="00472E3E" w:rsidRPr="008A7BD7">
        <w:rPr>
          <w:rFonts w:ascii="Cambria" w:eastAsia="Times New Roman" w:hAnsi="Cambria" w:cs="Tahoma"/>
          <w:color w:val="000000"/>
          <w:sz w:val="20"/>
          <w:szCs w:val="20"/>
          <w:lang w:eastAsia="es-ES"/>
        </w:rPr>
        <w:t xml:space="preserve">in  2018 </w:t>
      </w:r>
      <w:r w:rsidR="006B039D" w:rsidRPr="008A7BD7">
        <w:rPr>
          <w:rFonts w:ascii="Cambria" w:eastAsia="Times New Roman" w:hAnsi="Cambria" w:cs="Tahoma"/>
          <w:color w:val="000000"/>
          <w:sz w:val="20"/>
          <w:szCs w:val="20"/>
          <w:lang w:eastAsia="es-ES"/>
        </w:rPr>
        <w:t xml:space="preserve">in which </w:t>
      </w:r>
      <w:r w:rsidR="009C4A37" w:rsidRPr="008A7BD7">
        <w:rPr>
          <w:rFonts w:ascii="Cambria" w:eastAsia="Times New Roman" w:hAnsi="Cambria" w:cs="Tahoma"/>
          <w:color w:val="000000"/>
          <w:sz w:val="20"/>
          <w:szCs w:val="20"/>
          <w:lang w:eastAsia="es-ES"/>
        </w:rPr>
        <w:t xml:space="preserve">Frank </w:t>
      </w:r>
      <w:proofErr w:type="spellStart"/>
      <w:r w:rsidR="009C4A37" w:rsidRPr="008A7BD7">
        <w:rPr>
          <w:rFonts w:ascii="Cambria" w:eastAsia="Times New Roman" w:hAnsi="Cambria" w:cs="Tahoma"/>
          <w:color w:val="000000"/>
          <w:sz w:val="20"/>
          <w:szCs w:val="20"/>
          <w:lang w:eastAsia="es-ES"/>
        </w:rPr>
        <w:t>Stalyn</w:t>
      </w:r>
      <w:proofErr w:type="spellEnd"/>
      <w:r w:rsidR="009C4A37" w:rsidRPr="008A7BD7">
        <w:rPr>
          <w:rFonts w:ascii="Cambria" w:eastAsia="Times New Roman" w:hAnsi="Cambria" w:cs="Tahoma"/>
          <w:color w:val="000000"/>
          <w:sz w:val="20"/>
          <w:szCs w:val="20"/>
          <w:lang w:eastAsia="es-ES"/>
        </w:rPr>
        <w:t xml:space="preserve"> </w:t>
      </w:r>
      <w:proofErr w:type="spellStart"/>
      <w:r w:rsidR="009C4A37" w:rsidRPr="008A7BD7">
        <w:rPr>
          <w:rFonts w:ascii="Cambria" w:eastAsia="Times New Roman" w:hAnsi="Cambria" w:cs="Tahoma"/>
          <w:color w:val="000000"/>
          <w:sz w:val="20"/>
          <w:szCs w:val="20"/>
          <w:lang w:eastAsia="es-ES"/>
        </w:rPr>
        <w:t>Ramazzino</w:t>
      </w:r>
      <w:proofErr w:type="spellEnd"/>
      <w:r w:rsidR="009C4A37" w:rsidRPr="008A7BD7">
        <w:rPr>
          <w:rFonts w:ascii="Cambria" w:eastAsia="Times New Roman" w:hAnsi="Cambria" w:cs="Tahoma"/>
          <w:color w:val="000000"/>
          <w:sz w:val="20"/>
          <w:szCs w:val="20"/>
          <w:lang w:eastAsia="es-ES"/>
        </w:rPr>
        <w:t xml:space="preserve"> </w:t>
      </w:r>
      <w:r w:rsidR="004A584A" w:rsidRPr="008A7BD7">
        <w:rPr>
          <w:rFonts w:ascii="Cambria" w:eastAsia="Times New Roman" w:hAnsi="Cambria" w:cs="Tahoma"/>
          <w:color w:val="000000"/>
          <w:sz w:val="20"/>
          <w:szCs w:val="20"/>
          <w:lang w:eastAsia="es-ES"/>
        </w:rPr>
        <w:t xml:space="preserve">was wounded by </w:t>
      </w:r>
      <w:r w:rsidR="00472E3E" w:rsidRPr="008A7BD7">
        <w:rPr>
          <w:rFonts w:ascii="Cambria" w:eastAsia="Times New Roman" w:hAnsi="Cambria" w:cs="Tahoma"/>
          <w:color w:val="000000"/>
          <w:sz w:val="20"/>
          <w:szCs w:val="20"/>
          <w:lang w:eastAsia="es-ES"/>
        </w:rPr>
        <w:t>gunfire</w:t>
      </w:r>
      <w:r w:rsidR="006B039D"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vertAlign w:val="superscript"/>
          <w:lang w:val="es-419" w:eastAsia="es-ES"/>
        </w:rPr>
        <w:footnoteReference w:id="122"/>
      </w:r>
    </w:p>
    <w:p w14:paraId="24CB9470" w14:textId="77777777" w:rsidR="004E0CAC" w:rsidRPr="008A7BD7" w:rsidRDefault="004E0CAC" w:rsidP="00FE0673">
      <w:pPr>
        <w:rPr>
          <w:rFonts w:ascii="Cambria" w:eastAsia="Times New Roman" w:hAnsi="Cambria" w:cs="Tahoma"/>
          <w:color w:val="000000"/>
          <w:sz w:val="20"/>
          <w:szCs w:val="20"/>
          <w:lang w:eastAsia="es-ES_tradnl"/>
        </w:rPr>
      </w:pPr>
    </w:p>
    <w:p w14:paraId="710A82DD" w14:textId="1E41B118" w:rsidR="004E0CAC" w:rsidRPr="008A7BD7" w:rsidRDefault="00A03267"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 xml:space="preserve">On July 30, 2021, Pedro Alfonso </w:t>
      </w:r>
      <w:proofErr w:type="spellStart"/>
      <w:r w:rsidRPr="008A7BD7">
        <w:rPr>
          <w:rFonts w:ascii="Cambria" w:eastAsia="Times New Roman" w:hAnsi="Cambria" w:cs="Tahoma"/>
          <w:color w:val="000000"/>
          <w:sz w:val="20"/>
          <w:szCs w:val="20"/>
          <w:lang w:eastAsia="es-ES"/>
        </w:rPr>
        <w:t>Guadrón</w:t>
      </w:r>
      <w:proofErr w:type="spellEnd"/>
      <w:r w:rsidRPr="008A7BD7">
        <w:rPr>
          <w:rFonts w:ascii="Cambria" w:eastAsia="Times New Roman" w:hAnsi="Cambria" w:cs="Tahoma"/>
          <w:color w:val="000000"/>
          <w:sz w:val="20"/>
          <w:szCs w:val="20"/>
          <w:lang w:eastAsia="es-ES"/>
        </w:rPr>
        <w:t xml:space="preserve"> Hernández, founder of the Facebook page </w:t>
      </w:r>
      <w:hyperlink r:id="rId11">
        <w:r w:rsidRPr="008A7BD7">
          <w:rPr>
            <w:rStyle w:val="Hyperlink"/>
            <w:rFonts w:ascii="Cambria" w:eastAsia="Times New Roman" w:hAnsi="Cambria" w:cs="Tahoma"/>
            <w:sz w:val="20"/>
            <w:szCs w:val="20"/>
            <w:lang w:eastAsia="es-ES"/>
          </w:rPr>
          <w:t>Concepción Las Minas Mi Tierra</w:t>
        </w:r>
      </w:hyperlink>
      <w:r w:rsidRPr="008A7BD7">
        <w:rPr>
          <w:rFonts w:ascii="Cambria" w:eastAsia="Times New Roman" w:hAnsi="Cambria" w:cs="Tahoma"/>
          <w:color w:val="000000"/>
          <w:sz w:val="20"/>
          <w:szCs w:val="20"/>
          <w:lang w:eastAsia="es-ES"/>
        </w:rPr>
        <w:t>, in which he reported on local news, died from multiple gunshot wounds after unidentified individuals attacked him near his home.</w:t>
      </w:r>
      <w:r w:rsidR="004E0CAC" w:rsidRPr="008A7BD7">
        <w:rPr>
          <w:rFonts w:ascii="Cambria" w:eastAsia="Cambria" w:hAnsi="Cambria" w:cs="Cambria"/>
          <w:sz w:val="20"/>
          <w:szCs w:val="20"/>
          <w:vertAlign w:val="superscript"/>
          <w:lang w:val="es-419"/>
        </w:rPr>
        <w:footnoteReference w:id="123"/>
      </w:r>
      <w:r w:rsidR="004E0CAC" w:rsidRPr="008A7BD7">
        <w:rPr>
          <w:rFonts w:ascii="Cambria" w:eastAsia="Cambria" w:hAnsi="Cambria" w:cs="Cambria"/>
          <w:sz w:val="20"/>
          <w:szCs w:val="20"/>
        </w:rPr>
        <w:t xml:space="preserve"> </w:t>
      </w:r>
      <w:r w:rsidRPr="008A7BD7">
        <w:rPr>
          <w:rFonts w:ascii="Cambria" w:eastAsia="Times New Roman" w:hAnsi="Cambria" w:cs="Tahoma"/>
          <w:color w:val="000000"/>
          <w:sz w:val="20"/>
          <w:szCs w:val="20"/>
          <w:lang w:eastAsia="es-ES"/>
        </w:rPr>
        <w:t xml:space="preserve">According to the Association of Journalists of </w:t>
      </w:r>
      <w:r w:rsidRPr="008A7BD7">
        <w:rPr>
          <w:rFonts w:ascii="Cambria" w:eastAsia="Times New Roman" w:hAnsi="Cambria" w:cs="Tahoma"/>
          <w:color w:val="000000"/>
          <w:sz w:val="20"/>
          <w:szCs w:val="20"/>
          <w:lang w:eastAsia="es-ES"/>
        </w:rPr>
        <w:lastRenderedPageBreak/>
        <w:t xml:space="preserve">Guatemala, </w:t>
      </w:r>
      <w:proofErr w:type="spellStart"/>
      <w:r w:rsidRPr="008A7BD7">
        <w:rPr>
          <w:rFonts w:ascii="Cambria" w:eastAsia="Times New Roman" w:hAnsi="Cambria" w:cs="Tahoma"/>
          <w:color w:val="000000"/>
          <w:sz w:val="20"/>
          <w:szCs w:val="20"/>
          <w:lang w:eastAsia="es-ES"/>
        </w:rPr>
        <w:t>Guadrón</w:t>
      </w:r>
      <w:proofErr w:type="spellEnd"/>
      <w:r w:rsidRPr="008A7BD7">
        <w:rPr>
          <w:rFonts w:ascii="Cambria" w:eastAsia="Times New Roman" w:hAnsi="Cambria" w:cs="Tahoma"/>
          <w:color w:val="000000"/>
          <w:sz w:val="20"/>
          <w:szCs w:val="20"/>
          <w:lang w:eastAsia="es-ES"/>
        </w:rPr>
        <w:t xml:space="preserve"> Hernández had previously filed a complaint concerning death threats </w:t>
      </w:r>
      <w:r w:rsidR="000F1957" w:rsidRPr="008A7BD7">
        <w:rPr>
          <w:rFonts w:ascii="Cambria" w:eastAsia="Times New Roman" w:hAnsi="Cambria" w:cs="Tahoma"/>
          <w:color w:val="000000"/>
          <w:sz w:val="20"/>
          <w:szCs w:val="20"/>
          <w:lang w:eastAsia="es-ES"/>
        </w:rPr>
        <w:t xml:space="preserve">he had received </w:t>
      </w:r>
      <w:r w:rsidRPr="008A7BD7">
        <w:rPr>
          <w:rFonts w:ascii="Cambria" w:eastAsia="Times New Roman" w:hAnsi="Cambria" w:cs="Tahoma"/>
          <w:color w:val="000000"/>
          <w:sz w:val="20"/>
          <w:szCs w:val="20"/>
          <w:lang w:eastAsia="es-ES"/>
        </w:rPr>
        <w:t>through social media.</w:t>
      </w:r>
      <w:r w:rsidRPr="008A7BD7">
        <w:rPr>
          <w:rFonts w:ascii="Cambria" w:eastAsia="Cambria" w:hAnsi="Cambria" w:cs="Cambria"/>
          <w:sz w:val="20"/>
          <w:szCs w:val="20"/>
          <w:vertAlign w:val="superscript"/>
        </w:rPr>
        <w:t xml:space="preserve"> </w:t>
      </w:r>
      <w:r w:rsidR="004E0CAC" w:rsidRPr="008A7BD7">
        <w:rPr>
          <w:rFonts w:ascii="Cambria" w:eastAsia="Cambria" w:hAnsi="Cambria" w:cs="Cambria"/>
          <w:sz w:val="20"/>
          <w:szCs w:val="20"/>
          <w:vertAlign w:val="superscript"/>
          <w:lang w:val="es-419"/>
        </w:rPr>
        <w:footnoteReference w:id="124"/>
      </w:r>
      <w:r w:rsidR="004E0CAC" w:rsidRPr="008A7BD7">
        <w:rPr>
          <w:rFonts w:ascii="Cambria" w:eastAsia="Cambria" w:hAnsi="Cambria" w:cs="Cambria"/>
          <w:sz w:val="20"/>
          <w:szCs w:val="20"/>
        </w:rPr>
        <w:t xml:space="preserve"> </w:t>
      </w:r>
    </w:p>
    <w:p w14:paraId="3B4B4FA6" w14:textId="77777777" w:rsidR="004E0CAC" w:rsidRPr="008A7BD7" w:rsidRDefault="004E0CAC" w:rsidP="004E0CAC">
      <w:pPr>
        <w:pStyle w:val="ListParagraph"/>
        <w:rPr>
          <w:rFonts w:ascii="Cambria" w:eastAsia="Cambria" w:hAnsi="Cambria" w:cs="Cambria"/>
          <w:sz w:val="20"/>
          <w:szCs w:val="20"/>
        </w:rPr>
      </w:pPr>
    </w:p>
    <w:p w14:paraId="398A9A2D" w14:textId="51538032" w:rsidR="004E0CAC" w:rsidRPr="008A7BD7" w:rsidRDefault="00A03267"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In the context of attacks on the press, the IACHR also noted with concern the violent events of</w:t>
      </w:r>
      <w:r w:rsidR="00570647" w:rsidRPr="008A7BD7">
        <w:rPr>
          <w:rFonts w:ascii="Cambria" w:eastAsia="Times New Roman" w:hAnsi="Cambria" w:cs="Tahoma"/>
          <w:color w:val="000000"/>
          <w:sz w:val="20"/>
          <w:szCs w:val="20"/>
          <w:lang w:eastAsia="es-ES"/>
        </w:rPr>
        <w:t xml:space="preserve"> September 28, 2021, in </w:t>
      </w:r>
      <w:proofErr w:type="spellStart"/>
      <w:r w:rsidR="00570647" w:rsidRPr="008A7BD7">
        <w:rPr>
          <w:rFonts w:ascii="Cambria" w:eastAsia="Times New Roman" w:hAnsi="Cambria" w:cs="Tahoma"/>
          <w:color w:val="000000"/>
          <w:sz w:val="20"/>
          <w:szCs w:val="20"/>
          <w:lang w:eastAsia="es-ES"/>
        </w:rPr>
        <w:t>Chiul</w:t>
      </w:r>
      <w:proofErr w:type="spellEnd"/>
      <w:r w:rsidR="00570647" w:rsidRPr="008A7BD7">
        <w:rPr>
          <w:rFonts w:ascii="Cambria" w:eastAsia="Times New Roman" w:hAnsi="Cambria" w:cs="Tahoma"/>
          <w:color w:val="000000"/>
          <w:sz w:val="20"/>
          <w:szCs w:val="20"/>
          <w:lang w:eastAsia="es-ES"/>
        </w:rPr>
        <w:t xml:space="preserve">, in the town of </w:t>
      </w:r>
      <w:proofErr w:type="spellStart"/>
      <w:r w:rsidR="00570647" w:rsidRPr="008A7BD7">
        <w:rPr>
          <w:rFonts w:ascii="Cambria" w:eastAsia="Times New Roman" w:hAnsi="Cambria" w:cs="Tahoma"/>
          <w:color w:val="000000"/>
          <w:sz w:val="20"/>
          <w:szCs w:val="20"/>
          <w:lang w:eastAsia="es-ES"/>
        </w:rPr>
        <w:t>Cunén</w:t>
      </w:r>
      <w:proofErr w:type="spellEnd"/>
      <w:r w:rsidR="00570647" w:rsidRPr="008A7BD7">
        <w:rPr>
          <w:rFonts w:ascii="Cambria" w:eastAsia="Times New Roman" w:hAnsi="Cambria" w:cs="Tahoma"/>
          <w:color w:val="000000"/>
          <w:sz w:val="20"/>
          <w:szCs w:val="20"/>
          <w:lang w:eastAsia="es-ES"/>
        </w:rPr>
        <w:t xml:space="preserve">, El Quiché, when journalist José </w:t>
      </w:r>
      <w:proofErr w:type="spellStart"/>
      <w:r w:rsidR="00570647" w:rsidRPr="008A7BD7">
        <w:rPr>
          <w:rFonts w:ascii="Cambria" w:eastAsia="Times New Roman" w:hAnsi="Cambria" w:cs="Tahoma"/>
          <w:color w:val="000000"/>
          <w:sz w:val="20"/>
          <w:szCs w:val="20"/>
          <w:lang w:eastAsia="es-ES"/>
        </w:rPr>
        <w:t>Guarcas</w:t>
      </w:r>
      <w:proofErr w:type="spellEnd"/>
      <w:r w:rsidR="00570647" w:rsidRPr="008A7BD7">
        <w:rPr>
          <w:rFonts w:ascii="Cambria" w:eastAsia="Times New Roman" w:hAnsi="Cambria" w:cs="Tahoma"/>
          <w:color w:val="000000"/>
          <w:sz w:val="20"/>
          <w:szCs w:val="20"/>
          <w:lang w:eastAsia="es-ES"/>
        </w:rPr>
        <w:t xml:space="preserve">, a cameraman for </w:t>
      </w:r>
      <w:proofErr w:type="spellStart"/>
      <w:r w:rsidR="00570647" w:rsidRPr="008A7BD7">
        <w:rPr>
          <w:rFonts w:ascii="Cambria" w:eastAsia="Times New Roman" w:hAnsi="Cambria" w:cs="Tahoma"/>
          <w:i/>
          <w:iCs/>
          <w:color w:val="000000"/>
          <w:sz w:val="20"/>
          <w:szCs w:val="20"/>
          <w:lang w:eastAsia="es-ES"/>
        </w:rPr>
        <w:t>Xolabaj</w:t>
      </w:r>
      <w:proofErr w:type="spellEnd"/>
      <w:r w:rsidR="00570647" w:rsidRPr="008A7BD7">
        <w:rPr>
          <w:rFonts w:ascii="Cambria" w:eastAsia="Times New Roman" w:hAnsi="Cambria" w:cs="Tahoma"/>
          <w:i/>
          <w:iCs/>
          <w:color w:val="000000"/>
          <w:sz w:val="20"/>
          <w:szCs w:val="20"/>
          <w:lang w:eastAsia="es-ES"/>
        </w:rPr>
        <w:t xml:space="preserve"> TV</w:t>
      </w:r>
      <w:r w:rsidR="00570647" w:rsidRPr="008A7BD7">
        <w:rPr>
          <w:rFonts w:ascii="Cambria" w:eastAsia="Times New Roman" w:hAnsi="Cambria" w:cs="Tahoma"/>
          <w:color w:val="000000"/>
          <w:sz w:val="20"/>
          <w:szCs w:val="20"/>
          <w:lang w:eastAsia="es-ES"/>
        </w:rPr>
        <w:t xml:space="preserve">, was reportedly held for nearly four hours by individuals while he was covering an exhumation, </w:t>
      </w:r>
      <w:r w:rsidR="000F1957" w:rsidRPr="008A7BD7">
        <w:rPr>
          <w:rFonts w:ascii="Cambria" w:eastAsia="Times New Roman" w:hAnsi="Cambria" w:cs="Tahoma"/>
          <w:color w:val="000000"/>
          <w:sz w:val="20"/>
          <w:szCs w:val="20"/>
          <w:lang w:eastAsia="es-ES"/>
        </w:rPr>
        <w:t xml:space="preserve">apparently in connection with </w:t>
      </w:r>
      <w:r w:rsidR="00570647" w:rsidRPr="008A7BD7">
        <w:rPr>
          <w:rFonts w:ascii="Cambria" w:eastAsia="Times New Roman" w:hAnsi="Cambria" w:cs="Tahoma"/>
          <w:color w:val="000000"/>
          <w:sz w:val="20"/>
          <w:szCs w:val="20"/>
          <w:lang w:eastAsia="es-ES"/>
        </w:rPr>
        <w:t xml:space="preserve">the ongoing judicial investigation into the massacre of </w:t>
      </w:r>
      <w:r w:rsidR="00D40A87" w:rsidRPr="008A7BD7">
        <w:rPr>
          <w:rFonts w:ascii="Cambria" w:eastAsia="Times New Roman" w:hAnsi="Cambria" w:cs="Tahoma"/>
          <w:color w:val="000000"/>
          <w:sz w:val="20"/>
          <w:szCs w:val="20"/>
          <w:lang w:eastAsia="es-ES"/>
        </w:rPr>
        <w:t xml:space="preserve">around </w:t>
      </w:r>
      <w:r w:rsidR="00570647" w:rsidRPr="008A7BD7">
        <w:rPr>
          <w:rFonts w:ascii="Cambria" w:eastAsia="Times New Roman" w:hAnsi="Cambria" w:cs="Tahoma"/>
          <w:color w:val="000000"/>
          <w:sz w:val="20"/>
          <w:szCs w:val="20"/>
          <w:lang w:eastAsia="es-ES"/>
        </w:rPr>
        <w:t>115 children in 19</w:t>
      </w:r>
      <w:r w:rsidR="008B17BE" w:rsidRPr="008A7BD7">
        <w:rPr>
          <w:rFonts w:ascii="Cambria" w:eastAsia="Times New Roman" w:hAnsi="Cambria" w:cs="Tahoma"/>
          <w:color w:val="000000"/>
          <w:sz w:val="20"/>
          <w:szCs w:val="20"/>
          <w:lang w:eastAsia="es-ES"/>
        </w:rPr>
        <w:t>8</w:t>
      </w:r>
      <w:r w:rsidR="00570647" w:rsidRPr="008A7BD7">
        <w:rPr>
          <w:rFonts w:ascii="Cambria" w:eastAsia="Times New Roman" w:hAnsi="Cambria" w:cs="Tahoma"/>
          <w:color w:val="000000"/>
          <w:sz w:val="20"/>
          <w:szCs w:val="20"/>
          <w:lang w:eastAsia="es-ES"/>
        </w:rPr>
        <w:t xml:space="preserve">8. There had reportedly been demonstrations and conflicts in the context of the exhumation, with opposition from some </w:t>
      </w:r>
      <w:proofErr w:type="gramStart"/>
      <w:r w:rsidR="00570647" w:rsidRPr="008A7BD7">
        <w:rPr>
          <w:rFonts w:ascii="Cambria" w:eastAsia="Times New Roman" w:hAnsi="Cambria" w:cs="Tahoma"/>
          <w:color w:val="000000"/>
          <w:sz w:val="20"/>
          <w:szCs w:val="20"/>
          <w:lang w:eastAsia="es-ES"/>
        </w:rPr>
        <w:t>local residents</w:t>
      </w:r>
      <w:proofErr w:type="gramEnd"/>
      <w:r w:rsidR="00570647" w:rsidRPr="008A7BD7">
        <w:rPr>
          <w:rFonts w:ascii="Cambria" w:eastAsia="Times New Roman" w:hAnsi="Cambria" w:cs="Tahoma"/>
          <w:color w:val="000000"/>
          <w:sz w:val="20"/>
          <w:szCs w:val="20"/>
          <w:lang w:eastAsia="es-ES"/>
        </w:rPr>
        <w:t>.</w:t>
      </w:r>
      <w:r w:rsidR="004E0CAC" w:rsidRPr="008A7BD7">
        <w:rPr>
          <w:rStyle w:val="FootnoteReference"/>
          <w:rFonts w:ascii="Cambria" w:eastAsia="Cambria" w:hAnsi="Cambria" w:cs="Cambria"/>
          <w:sz w:val="20"/>
          <w:szCs w:val="20"/>
          <w:lang w:val="es-419"/>
        </w:rPr>
        <w:footnoteReference w:id="125"/>
      </w:r>
      <w:r w:rsidR="004E0CAC" w:rsidRPr="008A7BD7">
        <w:rPr>
          <w:rFonts w:ascii="Cambria" w:eastAsia="Cambria" w:hAnsi="Cambria" w:cs="Cambria"/>
          <w:sz w:val="20"/>
          <w:szCs w:val="20"/>
        </w:rPr>
        <w:t xml:space="preserve"> </w:t>
      </w:r>
    </w:p>
    <w:p w14:paraId="2AF202DC" w14:textId="77777777" w:rsidR="004E0CAC" w:rsidRPr="008A7BD7" w:rsidRDefault="004E0CAC" w:rsidP="004E0CAC">
      <w:pPr>
        <w:pStyle w:val="ListParagraph"/>
        <w:rPr>
          <w:rFonts w:ascii="Cambria" w:eastAsia="Times New Roman" w:hAnsi="Cambria" w:cs="Tahoma"/>
          <w:color w:val="000000"/>
          <w:sz w:val="20"/>
          <w:szCs w:val="20"/>
          <w:lang w:eastAsia="es-ES_tradnl"/>
        </w:rPr>
      </w:pPr>
    </w:p>
    <w:p w14:paraId="7AA6DCE0" w14:textId="3453F806" w:rsidR="004E0CAC" w:rsidRPr="008A7BD7" w:rsidRDefault="007D27E0"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hAnsi="Cambria"/>
          <w:sz w:val="20"/>
          <w:szCs w:val="20"/>
          <w:shd w:val="clear" w:color="auto" w:fill="FFFFFF"/>
        </w:rPr>
        <w:t xml:space="preserve">In addition, on October </w:t>
      </w:r>
      <w:r w:rsidR="004E0CAC" w:rsidRPr="008A7BD7">
        <w:rPr>
          <w:rFonts w:ascii="Cambria" w:hAnsi="Cambria" w:cs="Tahoma"/>
          <w:sz w:val="20"/>
          <w:szCs w:val="20"/>
          <w:shd w:val="clear" w:color="auto" w:fill="FFFFFF"/>
        </w:rPr>
        <w:t>22</w:t>
      </w:r>
      <w:r w:rsidRPr="008A7BD7">
        <w:rPr>
          <w:rFonts w:ascii="Cambria" w:hAnsi="Cambria" w:cs="Tahoma"/>
          <w:sz w:val="20"/>
          <w:szCs w:val="20"/>
          <w:shd w:val="clear" w:color="auto" w:fill="FFFFFF"/>
        </w:rPr>
        <w:t>, at least fo</w:t>
      </w:r>
      <w:r w:rsidR="005C6191" w:rsidRPr="008A7BD7">
        <w:rPr>
          <w:rFonts w:ascii="Cambria" w:hAnsi="Cambria" w:cs="Tahoma"/>
          <w:sz w:val="20"/>
          <w:szCs w:val="20"/>
          <w:shd w:val="clear" w:color="auto" w:fill="FFFFFF"/>
        </w:rPr>
        <w:t>u</w:t>
      </w:r>
      <w:r w:rsidRPr="008A7BD7">
        <w:rPr>
          <w:rFonts w:ascii="Cambria" w:hAnsi="Cambria" w:cs="Tahoma"/>
          <w:sz w:val="20"/>
          <w:szCs w:val="20"/>
          <w:shd w:val="clear" w:color="auto" w:fill="FFFFFF"/>
        </w:rPr>
        <w:t xml:space="preserve">r journalists from </w:t>
      </w:r>
      <w:proofErr w:type="spellStart"/>
      <w:r w:rsidR="004E0CAC" w:rsidRPr="008A7BD7">
        <w:rPr>
          <w:rFonts w:ascii="Cambria" w:hAnsi="Cambria" w:cs="Tahoma"/>
          <w:i/>
          <w:iCs/>
          <w:sz w:val="20"/>
          <w:szCs w:val="20"/>
          <w:shd w:val="clear" w:color="auto" w:fill="FFFFFF"/>
        </w:rPr>
        <w:t>Prensa</w:t>
      </w:r>
      <w:proofErr w:type="spellEnd"/>
      <w:r w:rsidR="004E0CAC" w:rsidRPr="008A7BD7">
        <w:rPr>
          <w:rFonts w:ascii="Cambria" w:hAnsi="Cambria" w:cs="Tahoma"/>
          <w:i/>
          <w:iCs/>
          <w:sz w:val="20"/>
          <w:szCs w:val="20"/>
          <w:shd w:val="clear" w:color="auto" w:fill="FFFFFF"/>
        </w:rPr>
        <w:t xml:space="preserve"> </w:t>
      </w:r>
      <w:proofErr w:type="spellStart"/>
      <w:r w:rsidR="004E0CAC" w:rsidRPr="008A7BD7">
        <w:rPr>
          <w:rFonts w:ascii="Cambria" w:hAnsi="Cambria" w:cs="Tahoma"/>
          <w:i/>
          <w:iCs/>
          <w:sz w:val="20"/>
          <w:szCs w:val="20"/>
          <w:shd w:val="clear" w:color="auto" w:fill="FFFFFF"/>
        </w:rPr>
        <w:t>Comunitaria</w:t>
      </w:r>
      <w:proofErr w:type="spellEnd"/>
      <w:r w:rsidR="004E0CAC" w:rsidRPr="008A7BD7">
        <w:rPr>
          <w:rFonts w:ascii="Cambria" w:hAnsi="Cambria" w:cs="Tahoma"/>
          <w:sz w:val="20"/>
          <w:szCs w:val="20"/>
          <w:shd w:val="clear" w:color="auto" w:fill="FFFFFF"/>
        </w:rPr>
        <w:t> </w:t>
      </w:r>
      <w:r w:rsidRPr="008A7BD7">
        <w:rPr>
          <w:rFonts w:ascii="Cambria" w:hAnsi="Cambria" w:cs="Tahoma"/>
          <w:sz w:val="20"/>
          <w:szCs w:val="20"/>
          <w:shd w:val="clear" w:color="auto" w:fill="FFFFFF"/>
        </w:rPr>
        <w:t xml:space="preserve">were reportedly attacked when they were reporting on </w:t>
      </w:r>
      <w:r w:rsidR="00E4426E" w:rsidRPr="008A7BD7">
        <w:rPr>
          <w:rFonts w:ascii="Cambria" w:hAnsi="Cambria" w:cs="Tahoma"/>
          <w:sz w:val="20"/>
          <w:szCs w:val="20"/>
          <w:shd w:val="clear" w:color="auto" w:fill="FFFFFF"/>
        </w:rPr>
        <w:t xml:space="preserve">protest </w:t>
      </w:r>
      <w:r w:rsidRPr="008A7BD7">
        <w:rPr>
          <w:rFonts w:ascii="Cambria" w:hAnsi="Cambria" w:cs="Tahoma"/>
          <w:sz w:val="20"/>
          <w:szCs w:val="20"/>
          <w:shd w:val="clear" w:color="auto" w:fill="FFFFFF"/>
        </w:rPr>
        <w:t xml:space="preserve">demonstrations among the </w:t>
      </w:r>
      <w:proofErr w:type="spellStart"/>
      <w:r w:rsidR="004E0CAC" w:rsidRPr="008A7BD7">
        <w:rPr>
          <w:rFonts w:ascii="Cambria" w:hAnsi="Cambria" w:cs="Tahoma"/>
          <w:sz w:val="20"/>
          <w:szCs w:val="20"/>
          <w:shd w:val="clear" w:color="auto" w:fill="FFFFFF"/>
        </w:rPr>
        <w:t>Q’eqchi</w:t>
      </w:r>
      <w:proofErr w:type="spellEnd"/>
      <w:r w:rsidR="004E0CAC" w:rsidRPr="008A7BD7">
        <w:rPr>
          <w:rFonts w:ascii="Cambria" w:hAnsi="Cambria" w:cs="Tahoma"/>
          <w:sz w:val="20"/>
          <w:szCs w:val="20"/>
          <w:shd w:val="clear" w:color="auto" w:fill="FFFFFF"/>
        </w:rPr>
        <w:t xml:space="preserve">’ </w:t>
      </w:r>
      <w:r w:rsidRPr="008A7BD7">
        <w:rPr>
          <w:rFonts w:ascii="Cambria" w:hAnsi="Cambria" w:cs="Tahoma"/>
          <w:sz w:val="20"/>
          <w:szCs w:val="20"/>
          <w:shd w:val="clear" w:color="auto" w:fill="FFFFFF"/>
        </w:rPr>
        <w:t xml:space="preserve">population in </w:t>
      </w:r>
      <w:r w:rsidR="004E0CAC" w:rsidRPr="008A7BD7">
        <w:rPr>
          <w:rFonts w:ascii="Cambria" w:hAnsi="Cambria" w:cs="Tahoma"/>
          <w:sz w:val="20"/>
          <w:szCs w:val="20"/>
          <w:shd w:val="clear" w:color="auto" w:fill="FFFFFF"/>
        </w:rPr>
        <w:t xml:space="preserve">El </w:t>
      </w:r>
      <w:proofErr w:type="spellStart"/>
      <w:r w:rsidR="004E0CAC" w:rsidRPr="008A7BD7">
        <w:rPr>
          <w:rFonts w:ascii="Cambria" w:hAnsi="Cambria" w:cs="Tahoma"/>
          <w:sz w:val="20"/>
          <w:szCs w:val="20"/>
          <w:shd w:val="clear" w:color="auto" w:fill="FFFFFF"/>
        </w:rPr>
        <w:t>Estor</w:t>
      </w:r>
      <w:proofErr w:type="spellEnd"/>
      <w:r w:rsidR="004E0CAC" w:rsidRPr="008A7BD7">
        <w:rPr>
          <w:rFonts w:ascii="Cambria" w:hAnsi="Cambria" w:cs="Tahoma"/>
          <w:sz w:val="20"/>
          <w:szCs w:val="20"/>
          <w:shd w:val="clear" w:color="auto" w:fill="FFFFFF"/>
        </w:rPr>
        <w:t xml:space="preserve">, Izabal, </w:t>
      </w:r>
      <w:r w:rsidRPr="008A7BD7">
        <w:rPr>
          <w:rFonts w:ascii="Cambria" w:hAnsi="Cambria" w:cs="Tahoma"/>
          <w:sz w:val="20"/>
          <w:szCs w:val="20"/>
          <w:shd w:val="clear" w:color="auto" w:fill="FFFFFF"/>
        </w:rPr>
        <w:t xml:space="preserve">and on the use of law enforcement to disperse them. The </w:t>
      </w:r>
      <w:r w:rsidRPr="008A7BD7">
        <w:rPr>
          <w:rFonts w:ascii="Cambria" w:eastAsia="Times New Roman" w:hAnsi="Cambria" w:cs="Tahoma"/>
          <w:color w:val="000000" w:themeColor="text1"/>
          <w:sz w:val="20"/>
          <w:szCs w:val="20"/>
          <w:lang w:eastAsia="es-ES"/>
        </w:rPr>
        <w:t xml:space="preserve">Office of the Special Rapporteur </w:t>
      </w:r>
      <w:r w:rsidR="00E4426E" w:rsidRPr="008A7BD7">
        <w:rPr>
          <w:rFonts w:ascii="Cambria" w:eastAsia="Times New Roman" w:hAnsi="Cambria" w:cs="Tahoma"/>
          <w:color w:val="000000" w:themeColor="text1"/>
          <w:sz w:val="20"/>
          <w:szCs w:val="20"/>
          <w:lang w:eastAsia="es-ES"/>
        </w:rPr>
        <w:t>specifically</w:t>
      </w:r>
      <w:r w:rsidRPr="008A7BD7">
        <w:rPr>
          <w:rFonts w:ascii="Cambria" w:eastAsia="Times New Roman" w:hAnsi="Cambria" w:cs="Tahoma"/>
          <w:color w:val="000000" w:themeColor="text1"/>
          <w:sz w:val="20"/>
          <w:szCs w:val="20"/>
          <w:lang w:eastAsia="es-ES"/>
        </w:rPr>
        <w:t xml:space="preserve"> points to the case of journalist</w:t>
      </w:r>
      <w:r w:rsidRPr="008A7BD7">
        <w:rPr>
          <w:rFonts w:ascii="Cambria" w:hAnsi="Cambria" w:cs="Tahoma"/>
          <w:sz w:val="20"/>
          <w:szCs w:val="20"/>
          <w:shd w:val="clear" w:color="auto" w:fill="FFFFFF"/>
        </w:rPr>
        <w:t xml:space="preserve"> </w:t>
      </w:r>
      <w:r w:rsidR="004E0CAC" w:rsidRPr="008A7BD7">
        <w:rPr>
          <w:rFonts w:ascii="Cambria" w:hAnsi="Cambria" w:cs="Tahoma"/>
          <w:sz w:val="20"/>
          <w:szCs w:val="20"/>
          <w:shd w:val="clear" w:color="auto" w:fill="FFFFFF"/>
        </w:rPr>
        <w:t xml:space="preserve">Carlos Ernesto Choc, </w:t>
      </w:r>
      <w:r w:rsidRPr="008A7BD7">
        <w:rPr>
          <w:rFonts w:ascii="Cambria" w:hAnsi="Cambria" w:cs="Tahoma"/>
          <w:sz w:val="20"/>
          <w:szCs w:val="20"/>
          <w:shd w:val="clear" w:color="auto" w:fill="FFFFFF"/>
        </w:rPr>
        <w:t xml:space="preserve">who reported that police officers </w:t>
      </w:r>
      <w:r w:rsidR="00356710" w:rsidRPr="008A7BD7">
        <w:rPr>
          <w:rFonts w:ascii="Cambria" w:hAnsi="Cambria" w:cs="Tahoma"/>
          <w:sz w:val="20"/>
          <w:szCs w:val="20"/>
          <w:shd w:val="clear" w:color="auto" w:fill="FFFFFF"/>
        </w:rPr>
        <w:t xml:space="preserve">beat him and </w:t>
      </w:r>
      <w:r w:rsidR="00FE3C4C" w:rsidRPr="008A7BD7">
        <w:rPr>
          <w:rFonts w:ascii="Cambria" w:hAnsi="Cambria" w:cs="Tahoma"/>
          <w:sz w:val="20"/>
          <w:szCs w:val="20"/>
          <w:shd w:val="clear" w:color="auto" w:fill="FFFFFF"/>
        </w:rPr>
        <w:t>took</w:t>
      </w:r>
      <w:r w:rsidR="00356710" w:rsidRPr="008A7BD7">
        <w:rPr>
          <w:rFonts w:ascii="Cambria" w:hAnsi="Cambria" w:cs="Tahoma"/>
          <w:sz w:val="20"/>
          <w:szCs w:val="20"/>
          <w:shd w:val="clear" w:color="auto" w:fill="FFFFFF"/>
        </w:rPr>
        <w:t xml:space="preserve"> away his work equipment</w:t>
      </w:r>
      <w:r w:rsidR="004E0CAC" w:rsidRPr="008A7BD7">
        <w:rPr>
          <w:rFonts w:ascii="Cambria" w:hAnsi="Cambria" w:cs="Tahoma"/>
          <w:sz w:val="20"/>
          <w:szCs w:val="20"/>
          <w:shd w:val="clear" w:color="auto" w:fill="FFFFFF"/>
        </w:rPr>
        <w:t xml:space="preserve">. </w:t>
      </w:r>
      <w:r w:rsidR="00356710" w:rsidRPr="008A7BD7">
        <w:rPr>
          <w:rFonts w:ascii="Cambria" w:hAnsi="Cambria" w:cs="Tahoma"/>
          <w:sz w:val="20"/>
          <w:szCs w:val="20"/>
          <w:shd w:val="clear" w:color="auto" w:fill="FFFFFF"/>
        </w:rPr>
        <w:t xml:space="preserve">Besides reportedly threatening journalists so that they would not </w:t>
      </w:r>
      <w:r w:rsidR="00FE3C4C" w:rsidRPr="008A7BD7">
        <w:rPr>
          <w:rFonts w:ascii="Cambria" w:hAnsi="Cambria" w:cs="Tahoma"/>
          <w:sz w:val="20"/>
          <w:szCs w:val="20"/>
          <w:shd w:val="clear" w:color="auto" w:fill="FFFFFF"/>
        </w:rPr>
        <w:t>record</w:t>
      </w:r>
      <w:r w:rsidR="00356710" w:rsidRPr="008A7BD7">
        <w:rPr>
          <w:rFonts w:ascii="Cambria" w:hAnsi="Cambria" w:cs="Tahoma"/>
          <w:sz w:val="20"/>
          <w:szCs w:val="20"/>
          <w:shd w:val="clear" w:color="auto" w:fill="FFFFFF"/>
        </w:rPr>
        <w:t xml:space="preserve"> the events, police agents were </w:t>
      </w:r>
      <w:r w:rsidR="00E4426E" w:rsidRPr="008A7BD7">
        <w:rPr>
          <w:rFonts w:ascii="Cambria" w:hAnsi="Cambria" w:cs="Tahoma"/>
          <w:sz w:val="20"/>
          <w:szCs w:val="20"/>
          <w:shd w:val="clear" w:color="auto" w:fill="FFFFFF"/>
        </w:rPr>
        <w:t>said</w:t>
      </w:r>
      <w:r w:rsidR="00356710" w:rsidRPr="008A7BD7">
        <w:rPr>
          <w:rFonts w:ascii="Cambria" w:hAnsi="Cambria" w:cs="Tahoma"/>
          <w:sz w:val="20"/>
          <w:szCs w:val="20"/>
          <w:shd w:val="clear" w:color="auto" w:fill="FFFFFF"/>
        </w:rPr>
        <w:t xml:space="preserve"> to have used tear gas against the demonstrators and members of the media, some of whom </w:t>
      </w:r>
      <w:r w:rsidR="00E4426E" w:rsidRPr="008A7BD7">
        <w:rPr>
          <w:rFonts w:ascii="Cambria" w:hAnsi="Cambria" w:cs="Tahoma"/>
          <w:sz w:val="20"/>
          <w:szCs w:val="20"/>
          <w:shd w:val="clear" w:color="auto" w:fill="FFFFFF"/>
        </w:rPr>
        <w:t>were injured</w:t>
      </w:r>
      <w:r w:rsidR="00356710" w:rsidRPr="008A7BD7">
        <w:rPr>
          <w:rFonts w:ascii="Cambria" w:hAnsi="Cambria" w:cs="Tahoma"/>
          <w:sz w:val="20"/>
          <w:szCs w:val="20"/>
          <w:shd w:val="clear" w:color="auto" w:fill="FFFFFF"/>
        </w:rPr>
        <w:t xml:space="preserve">. In addition, several members of the National Civil Police were </w:t>
      </w:r>
      <w:r w:rsidR="00204762" w:rsidRPr="008A7BD7">
        <w:rPr>
          <w:rFonts w:ascii="Cambria" w:hAnsi="Cambria" w:cs="Tahoma"/>
          <w:sz w:val="20"/>
          <w:szCs w:val="20"/>
          <w:shd w:val="clear" w:color="auto" w:fill="FFFFFF"/>
        </w:rPr>
        <w:t xml:space="preserve">reportedly </w:t>
      </w:r>
      <w:r w:rsidR="00356710" w:rsidRPr="008A7BD7">
        <w:rPr>
          <w:rFonts w:ascii="Cambria" w:hAnsi="Cambria" w:cs="Tahoma"/>
          <w:sz w:val="20"/>
          <w:szCs w:val="20"/>
          <w:shd w:val="clear" w:color="auto" w:fill="FFFFFF"/>
        </w:rPr>
        <w:t xml:space="preserve">injured, including four </w:t>
      </w:r>
      <w:r w:rsidR="00204762" w:rsidRPr="008A7BD7">
        <w:rPr>
          <w:rFonts w:ascii="Cambria" w:hAnsi="Cambria" w:cs="Tahoma"/>
          <w:sz w:val="20"/>
          <w:szCs w:val="20"/>
          <w:shd w:val="clear" w:color="auto" w:fill="FFFFFF"/>
        </w:rPr>
        <w:t>with gunshot wound</w:t>
      </w:r>
      <w:r w:rsidR="00FE3C4C" w:rsidRPr="008A7BD7">
        <w:rPr>
          <w:rFonts w:ascii="Cambria" w:hAnsi="Cambria" w:cs="Tahoma"/>
          <w:sz w:val="20"/>
          <w:szCs w:val="20"/>
          <w:shd w:val="clear" w:color="auto" w:fill="FFFFFF"/>
        </w:rPr>
        <w:t>s</w:t>
      </w:r>
      <w:r w:rsidR="00356710" w:rsidRPr="008A7BD7">
        <w:rPr>
          <w:rFonts w:ascii="Cambria" w:hAnsi="Cambria" w:cs="Tahoma"/>
          <w:sz w:val="20"/>
          <w:szCs w:val="20"/>
          <w:shd w:val="clear" w:color="auto" w:fill="FFFFFF"/>
        </w:rPr>
        <w:t xml:space="preserve">. According to the government, the </w:t>
      </w:r>
      <w:r w:rsidR="00E4426E" w:rsidRPr="008A7BD7">
        <w:rPr>
          <w:rFonts w:ascii="Cambria" w:hAnsi="Cambria" w:cs="Tahoma"/>
          <w:sz w:val="20"/>
          <w:szCs w:val="20"/>
          <w:shd w:val="clear" w:color="auto" w:fill="FFFFFF"/>
        </w:rPr>
        <w:t>protests</w:t>
      </w:r>
      <w:r w:rsidR="00356710" w:rsidRPr="008A7BD7">
        <w:rPr>
          <w:rFonts w:ascii="Cambria" w:hAnsi="Cambria" w:cs="Tahoma"/>
          <w:sz w:val="20"/>
          <w:szCs w:val="20"/>
          <w:shd w:val="clear" w:color="auto" w:fill="FFFFFF"/>
        </w:rPr>
        <w:t xml:space="preserve"> were blocking access routes and </w:t>
      </w:r>
      <w:r w:rsidR="00204762" w:rsidRPr="008A7BD7">
        <w:rPr>
          <w:rFonts w:ascii="Cambria" w:hAnsi="Cambria" w:cs="Tahoma"/>
          <w:sz w:val="20"/>
          <w:szCs w:val="20"/>
          <w:shd w:val="clear" w:color="auto" w:fill="FFFFFF"/>
        </w:rPr>
        <w:t>undermining</w:t>
      </w:r>
      <w:r w:rsidR="004807B9" w:rsidRPr="008A7BD7">
        <w:rPr>
          <w:rFonts w:ascii="Cambria" w:hAnsi="Cambria" w:cs="Tahoma"/>
          <w:sz w:val="20"/>
          <w:szCs w:val="20"/>
          <w:shd w:val="clear" w:color="auto" w:fill="FFFFFF"/>
        </w:rPr>
        <w:t xml:space="preserve"> </w:t>
      </w:r>
      <w:r w:rsidR="00204762" w:rsidRPr="008A7BD7">
        <w:rPr>
          <w:rFonts w:ascii="Cambria" w:hAnsi="Cambria" w:cs="Tahoma"/>
          <w:sz w:val="20"/>
          <w:szCs w:val="20"/>
          <w:shd w:val="clear" w:color="auto" w:fill="FFFFFF"/>
        </w:rPr>
        <w:t xml:space="preserve">attempted </w:t>
      </w:r>
      <w:r w:rsidR="004807B9" w:rsidRPr="008A7BD7">
        <w:rPr>
          <w:rFonts w:ascii="Cambria" w:hAnsi="Cambria" w:cs="Tahoma"/>
          <w:sz w:val="20"/>
          <w:szCs w:val="20"/>
          <w:shd w:val="clear" w:color="auto" w:fill="FFFFFF"/>
        </w:rPr>
        <w:t>efforts at dialogue.</w:t>
      </w:r>
      <w:r w:rsidR="004E0CAC" w:rsidRPr="008A7BD7">
        <w:rPr>
          <w:rStyle w:val="FootnoteReference"/>
          <w:rFonts w:ascii="Cambria" w:hAnsi="Cambria" w:cs="Tahoma"/>
          <w:sz w:val="20"/>
          <w:szCs w:val="20"/>
          <w:shd w:val="clear" w:color="auto" w:fill="FFFFFF"/>
          <w:lang w:val="es-419"/>
        </w:rPr>
        <w:footnoteReference w:id="126"/>
      </w:r>
      <w:r w:rsidR="004E0CAC" w:rsidRPr="008A7BD7">
        <w:rPr>
          <w:rFonts w:ascii="Cambria" w:hAnsi="Cambria" w:cs="Tahoma"/>
          <w:sz w:val="20"/>
          <w:szCs w:val="20"/>
          <w:shd w:val="clear" w:color="auto" w:fill="FFFFFF"/>
        </w:rPr>
        <w:t xml:space="preserve"> </w:t>
      </w:r>
      <w:r w:rsidR="0032579F" w:rsidRPr="008A7BD7">
        <w:rPr>
          <w:rFonts w:ascii="Cambria" w:hAnsi="Cambria" w:cs="Tahoma"/>
          <w:sz w:val="20"/>
          <w:szCs w:val="20"/>
          <w:shd w:val="clear" w:color="auto" w:fill="FFFFFF"/>
        </w:rPr>
        <w:t xml:space="preserve">As a result of these </w:t>
      </w:r>
      <w:r w:rsidR="00FE3C4C" w:rsidRPr="008A7BD7">
        <w:rPr>
          <w:rFonts w:ascii="Cambria" w:hAnsi="Cambria" w:cs="Tahoma"/>
          <w:sz w:val="20"/>
          <w:szCs w:val="20"/>
          <w:shd w:val="clear" w:color="auto" w:fill="FFFFFF"/>
        </w:rPr>
        <w:t>clashes</w:t>
      </w:r>
      <w:r w:rsidR="0032579F" w:rsidRPr="008A7BD7">
        <w:rPr>
          <w:rFonts w:ascii="Cambria" w:hAnsi="Cambria" w:cs="Tahoma"/>
          <w:sz w:val="20"/>
          <w:szCs w:val="20"/>
          <w:shd w:val="clear" w:color="auto" w:fill="FFFFFF"/>
        </w:rPr>
        <w:t xml:space="preserve">, the government decreed a state of </w:t>
      </w:r>
      <w:r w:rsidR="00212C21" w:rsidRPr="008A7BD7">
        <w:rPr>
          <w:rFonts w:ascii="Cambria" w:hAnsi="Cambria" w:cs="Tahoma"/>
          <w:sz w:val="20"/>
          <w:szCs w:val="20"/>
          <w:shd w:val="clear" w:color="auto" w:fill="FFFFFF"/>
        </w:rPr>
        <w:t>siege</w:t>
      </w:r>
      <w:r w:rsidR="0032579F" w:rsidRPr="008A7BD7">
        <w:rPr>
          <w:rFonts w:ascii="Cambria" w:hAnsi="Cambria" w:cs="Tahoma"/>
          <w:sz w:val="20"/>
          <w:szCs w:val="20"/>
          <w:shd w:val="clear" w:color="auto" w:fill="FFFFFF"/>
        </w:rPr>
        <w:t xml:space="preserve"> in </w:t>
      </w:r>
      <w:r w:rsidR="004E0CAC" w:rsidRPr="008A7BD7">
        <w:rPr>
          <w:rFonts w:ascii="Cambria" w:hAnsi="Cambria" w:cs="Tahoma"/>
          <w:sz w:val="20"/>
          <w:szCs w:val="20"/>
          <w:shd w:val="clear" w:color="auto" w:fill="FFFFFF"/>
        </w:rPr>
        <w:t xml:space="preserve">Izabal </w:t>
      </w:r>
      <w:r w:rsidR="0032579F" w:rsidRPr="008A7BD7">
        <w:rPr>
          <w:rFonts w:ascii="Cambria" w:hAnsi="Cambria" w:cs="Tahoma"/>
          <w:sz w:val="20"/>
          <w:szCs w:val="20"/>
          <w:shd w:val="clear" w:color="auto" w:fill="FFFFFF"/>
        </w:rPr>
        <w:t>on October</w:t>
      </w:r>
      <w:r w:rsidR="004E0CAC" w:rsidRPr="008A7BD7">
        <w:rPr>
          <w:rFonts w:ascii="Cambria" w:hAnsi="Cambria" w:cs="Tahoma"/>
          <w:sz w:val="20"/>
          <w:szCs w:val="20"/>
          <w:shd w:val="clear" w:color="auto" w:fill="FFFFFF"/>
        </w:rPr>
        <w:t xml:space="preserve"> 24</w:t>
      </w:r>
      <w:r w:rsidR="0032579F" w:rsidRPr="008A7BD7">
        <w:rPr>
          <w:rFonts w:ascii="Cambria" w:hAnsi="Cambria" w:cs="Tahoma"/>
          <w:sz w:val="20"/>
          <w:szCs w:val="20"/>
          <w:shd w:val="clear" w:color="auto" w:fill="FFFFFF"/>
        </w:rPr>
        <w:t xml:space="preserve">, </w:t>
      </w:r>
      <w:r w:rsidR="004E0CAC" w:rsidRPr="008A7BD7">
        <w:rPr>
          <w:rFonts w:ascii="Cambria" w:hAnsi="Cambria" w:cs="Tahoma"/>
          <w:sz w:val="20"/>
          <w:szCs w:val="20"/>
          <w:shd w:val="clear" w:color="auto" w:fill="FFFFFF"/>
        </w:rPr>
        <w:t xml:space="preserve">2021, </w:t>
      </w:r>
      <w:r w:rsidR="0032579F" w:rsidRPr="008A7BD7">
        <w:rPr>
          <w:rFonts w:ascii="Cambria" w:hAnsi="Cambria" w:cs="Tahoma"/>
          <w:sz w:val="20"/>
          <w:szCs w:val="20"/>
          <w:shd w:val="clear" w:color="auto" w:fill="FFFFFF"/>
        </w:rPr>
        <w:t xml:space="preserve">a measure ratified by Congress on October </w:t>
      </w:r>
      <w:r w:rsidR="004E0CAC" w:rsidRPr="008A7BD7">
        <w:rPr>
          <w:rFonts w:ascii="Cambria" w:hAnsi="Cambria" w:cs="Tahoma"/>
          <w:sz w:val="20"/>
          <w:szCs w:val="20"/>
          <w:shd w:val="clear" w:color="auto" w:fill="FFFFFF"/>
        </w:rPr>
        <w:t>25</w:t>
      </w:r>
      <w:r w:rsidR="0032579F" w:rsidRPr="008A7BD7">
        <w:rPr>
          <w:rFonts w:ascii="Cambria" w:hAnsi="Cambria" w:cs="Tahoma"/>
          <w:sz w:val="20"/>
          <w:szCs w:val="20"/>
          <w:shd w:val="clear" w:color="auto" w:fill="FFFFFF"/>
        </w:rPr>
        <w:t>.</w:t>
      </w:r>
      <w:r w:rsidR="004E0CAC" w:rsidRPr="008A7BD7">
        <w:rPr>
          <w:rStyle w:val="FootnoteReference"/>
          <w:rFonts w:ascii="Cambria" w:hAnsi="Cambria" w:cs="Tahoma"/>
          <w:sz w:val="20"/>
          <w:szCs w:val="20"/>
          <w:shd w:val="clear" w:color="auto" w:fill="FFFFFF"/>
          <w:lang w:val="es-419"/>
        </w:rPr>
        <w:footnoteReference w:id="127"/>
      </w:r>
      <w:r w:rsidR="004E0CAC" w:rsidRPr="008A7BD7">
        <w:rPr>
          <w:rFonts w:ascii="Cambria" w:hAnsi="Cambria" w:cs="Tahoma"/>
          <w:sz w:val="20"/>
          <w:szCs w:val="20"/>
          <w:shd w:val="clear" w:color="auto" w:fill="FFFFFF"/>
        </w:rPr>
        <w:t xml:space="preserve"> </w:t>
      </w:r>
    </w:p>
    <w:p w14:paraId="04E5D53F" w14:textId="77777777" w:rsidR="004E0CAC" w:rsidRPr="008A7BD7" w:rsidRDefault="004E0CAC" w:rsidP="004E0CAC">
      <w:pPr>
        <w:ind w:left="720"/>
        <w:jc w:val="both"/>
        <w:rPr>
          <w:rFonts w:ascii="Cambria" w:eastAsia="Times New Roman" w:hAnsi="Cambria" w:cs="Tahoma"/>
          <w:color w:val="000000"/>
          <w:sz w:val="20"/>
          <w:szCs w:val="20"/>
          <w:lang w:eastAsia="es-ES_tradnl"/>
        </w:rPr>
      </w:pPr>
    </w:p>
    <w:p w14:paraId="26702DEB" w14:textId="725F355A" w:rsidR="004E0CAC" w:rsidRPr="008A7BD7" w:rsidRDefault="00B67306"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 xml:space="preserve">The IACHR </w:t>
      </w:r>
      <w:r w:rsidR="001E35DB" w:rsidRPr="008A7BD7">
        <w:rPr>
          <w:rFonts w:ascii="Cambria" w:eastAsia="Cambria" w:hAnsi="Cambria" w:cs="Cambria"/>
          <w:sz w:val="20"/>
          <w:szCs w:val="20"/>
        </w:rPr>
        <w:t>took note of the</w:t>
      </w:r>
      <w:r w:rsidR="00AA1A97" w:rsidRPr="008A7BD7">
        <w:rPr>
          <w:rFonts w:ascii="Cambria" w:eastAsia="Cambria" w:hAnsi="Cambria" w:cs="Cambria"/>
          <w:sz w:val="20"/>
          <w:szCs w:val="20"/>
        </w:rPr>
        <w:t xml:space="preserve"> </w:t>
      </w:r>
      <w:r w:rsidRPr="008A7BD7">
        <w:rPr>
          <w:rFonts w:ascii="Cambria" w:eastAsia="Cambria" w:hAnsi="Cambria" w:cs="Cambria"/>
          <w:sz w:val="20"/>
          <w:szCs w:val="20"/>
        </w:rPr>
        <w:t xml:space="preserve">progress </w:t>
      </w:r>
      <w:r w:rsidR="00AA1A97" w:rsidRPr="008A7BD7">
        <w:rPr>
          <w:rFonts w:ascii="Cambria" w:eastAsia="Cambria" w:hAnsi="Cambria" w:cs="Cambria"/>
          <w:sz w:val="20"/>
          <w:szCs w:val="20"/>
        </w:rPr>
        <w:t xml:space="preserve">made </w:t>
      </w:r>
      <w:r w:rsidRPr="008A7BD7">
        <w:rPr>
          <w:rFonts w:ascii="Cambria" w:eastAsia="Cambria" w:hAnsi="Cambria" w:cs="Cambria"/>
          <w:sz w:val="20"/>
          <w:szCs w:val="20"/>
        </w:rPr>
        <w:t xml:space="preserve">in the prosecution of those responsible for the abuse of authority and detention of journalist </w:t>
      </w:r>
      <w:r w:rsidR="004E0CAC" w:rsidRPr="008A7BD7">
        <w:rPr>
          <w:rFonts w:ascii="Cambria" w:eastAsia="Cambria" w:hAnsi="Cambria" w:cs="Cambria"/>
          <w:sz w:val="20"/>
          <w:szCs w:val="20"/>
        </w:rPr>
        <w:t xml:space="preserve">Norma </w:t>
      </w:r>
      <w:proofErr w:type="spellStart"/>
      <w:r w:rsidR="004E0CAC" w:rsidRPr="008A7BD7">
        <w:rPr>
          <w:rFonts w:ascii="Cambria" w:eastAsia="Cambria" w:hAnsi="Cambria" w:cs="Cambria"/>
          <w:sz w:val="20"/>
          <w:szCs w:val="20"/>
        </w:rPr>
        <w:t>Sancir</w:t>
      </w:r>
      <w:proofErr w:type="spellEnd"/>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who had reportedly been detained while she was documenting police action</w:t>
      </w:r>
      <w:r w:rsidR="001E35DB" w:rsidRPr="008A7BD7">
        <w:rPr>
          <w:rFonts w:ascii="Cambria" w:eastAsia="Cambria" w:hAnsi="Cambria" w:cs="Cambria"/>
          <w:sz w:val="20"/>
          <w:szCs w:val="20"/>
        </w:rPr>
        <w:t>s</w:t>
      </w:r>
      <w:r w:rsidRPr="008A7BD7">
        <w:rPr>
          <w:rFonts w:ascii="Cambria" w:eastAsia="Cambria" w:hAnsi="Cambria" w:cs="Cambria"/>
          <w:sz w:val="20"/>
          <w:szCs w:val="20"/>
        </w:rPr>
        <w:t xml:space="preserve"> during a </w:t>
      </w:r>
      <w:r w:rsidR="009E0293" w:rsidRPr="008A7BD7">
        <w:rPr>
          <w:rFonts w:ascii="Cambria" w:eastAsia="Cambria" w:hAnsi="Cambria" w:cs="Cambria"/>
          <w:sz w:val="20"/>
          <w:szCs w:val="20"/>
        </w:rPr>
        <w:t>protest</w:t>
      </w:r>
      <w:r w:rsidRPr="008A7BD7">
        <w:rPr>
          <w:rFonts w:ascii="Cambria" w:eastAsia="Cambria" w:hAnsi="Cambria" w:cs="Cambria"/>
          <w:sz w:val="20"/>
          <w:szCs w:val="20"/>
        </w:rPr>
        <w:t xml:space="preserve"> in</w:t>
      </w:r>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 xml:space="preserve">the </w:t>
      </w:r>
      <w:r w:rsidR="004E0CAC" w:rsidRPr="008A7BD7">
        <w:rPr>
          <w:rFonts w:ascii="Cambria" w:eastAsia="Cambria" w:hAnsi="Cambria" w:cs="Cambria"/>
          <w:sz w:val="20"/>
          <w:szCs w:val="20"/>
        </w:rPr>
        <w:t>Ch’orti’</w:t>
      </w:r>
      <w:r w:rsidRPr="008A7BD7">
        <w:rPr>
          <w:rFonts w:ascii="Cambria" w:eastAsia="Cambria" w:hAnsi="Cambria" w:cs="Cambria"/>
          <w:sz w:val="20"/>
          <w:szCs w:val="20"/>
        </w:rPr>
        <w:t xml:space="preserve"> region</w:t>
      </w:r>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i</w:t>
      </w:r>
      <w:r w:rsidR="004E0CAC" w:rsidRPr="008A7BD7">
        <w:rPr>
          <w:rFonts w:ascii="Cambria" w:eastAsia="Cambria" w:hAnsi="Cambria" w:cs="Cambria"/>
          <w:sz w:val="20"/>
          <w:szCs w:val="20"/>
        </w:rPr>
        <w:t xml:space="preserve">n Chiquimula. </w:t>
      </w:r>
      <w:r w:rsidR="001E7704" w:rsidRPr="008A7BD7">
        <w:rPr>
          <w:rFonts w:ascii="Cambria" w:eastAsia="Cambria" w:hAnsi="Cambria" w:cs="Cambria"/>
          <w:sz w:val="20"/>
          <w:szCs w:val="20"/>
        </w:rPr>
        <w:t xml:space="preserve">According to reports, the journalist </w:t>
      </w:r>
      <w:r w:rsidR="001E35DB" w:rsidRPr="008A7BD7">
        <w:rPr>
          <w:rFonts w:ascii="Cambria" w:eastAsia="Cambria" w:hAnsi="Cambria" w:cs="Cambria"/>
          <w:sz w:val="20"/>
          <w:szCs w:val="20"/>
        </w:rPr>
        <w:t>was</w:t>
      </w:r>
      <w:r w:rsidR="001E7704" w:rsidRPr="008A7BD7">
        <w:rPr>
          <w:rFonts w:ascii="Cambria" w:eastAsia="Cambria" w:hAnsi="Cambria" w:cs="Cambria"/>
          <w:sz w:val="20"/>
          <w:szCs w:val="20"/>
        </w:rPr>
        <w:t xml:space="preserve"> </w:t>
      </w:r>
      <w:r w:rsidR="00EA0375" w:rsidRPr="008A7BD7">
        <w:rPr>
          <w:rFonts w:ascii="Cambria" w:eastAsia="Cambria" w:hAnsi="Cambria" w:cs="Cambria"/>
          <w:sz w:val="20"/>
          <w:szCs w:val="20"/>
        </w:rPr>
        <w:t>held</w:t>
      </w:r>
      <w:r w:rsidR="001E7704" w:rsidRPr="008A7BD7">
        <w:rPr>
          <w:rFonts w:ascii="Cambria" w:eastAsia="Cambria" w:hAnsi="Cambria" w:cs="Cambria"/>
          <w:sz w:val="20"/>
          <w:szCs w:val="20"/>
        </w:rPr>
        <w:t xml:space="preserve"> for four days.</w:t>
      </w:r>
      <w:r w:rsidR="004E0CAC" w:rsidRPr="008A7BD7">
        <w:rPr>
          <w:rFonts w:ascii="Cambria" w:eastAsia="Cambria" w:hAnsi="Cambria" w:cs="Cambria"/>
          <w:sz w:val="20"/>
          <w:szCs w:val="20"/>
          <w:vertAlign w:val="superscript"/>
          <w:lang w:val="es-419"/>
        </w:rPr>
        <w:footnoteReference w:id="128"/>
      </w:r>
      <w:r w:rsidR="004E0CAC" w:rsidRPr="008A7BD7">
        <w:rPr>
          <w:rFonts w:ascii="Cambria" w:eastAsia="Cambria" w:hAnsi="Cambria" w:cs="Cambria"/>
          <w:sz w:val="20"/>
          <w:szCs w:val="20"/>
        </w:rPr>
        <w:t xml:space="preserve"> </w:t>
      </w:r>
      <w:r w:rsidR="00AA1A97" w:rsidRPr="008A7BD7">
        <w:rPr>
          <w:rFonts w:ascii="Cambria" w:eastAsia="Cambria" w:hAnsi="Cambria" w:cs="Cambria"/>
          <w:sz w:val="20"/>
          <w:szCs w:val="20"/>
        </w:rPr>
        <w:t>T</w:t>
      </w:r>
      <w:r w:rsidR="001E7704" w:rsidRPr="008A7BD7">
        <w:rPr>
          <w:rFonts w:ascii="Cambria" w:eastAsia="Cambria" w:hAnsi="Cambria" w:cs="Cambria"/>
          <w:sz w:val="20"/>
          <w:szCs w:val="20"/>
        </w:rPr>
        <w:t>he information available</w:t>
      </w:r>
      <w:r w:rsidR="00AA1A97" w:rsidRPr="008A7BD7">
        <w:rPr>
          <w:rFonts w:ascii="Cambria" w:eastAsia="Cambria" w:hAnsi="Cambria" w:cs="Cambria"/>
          <w:sz w:val="20"/>
          <w:szCs w:val="20"/>
        </w:rPr>
        <w:t xml:space="preserve"> indicates that</w:t>
      </w:r>
      <w:r w:rsidR="001E7704" w:rsidRPr="008A7BD7">
        <w:rPr>
          <w:rFonts w:ascii="Cambria" w:eastAsia="Cambria" w:hAnsi="Cambria" w:cs="Cambria"/>
          <w:sz w:val="20"/>
          <w:szCs w:val="20"/>
        </w:rPr>
        <w:t xml:space="preserve"> on September 22, </w:t>
      </w:r>
      <w:r w:rsidR="004E0CAC" w:rsidRPr="008A7BD7">
        <w:rPr>
          <w:rFonts w:ascii="Cambria" w:eastAsia="Cambria" w:hAnsi="Cambria" w:cs="Cambria"/>
          <w:sz w:val="20"/>
          <w:szCs w:val="20"/>
        </w:rPr>
        <w:t xml:space="preserve">2021, </w:t>
      </w:r>
      <w:r w:rsidR="001E7704" w:rsidRPr="008A7BD7">
        <w:rPr>
          <w:rFonts w:ascii="Cambria" w:eastAsia="Cambria" w:hAnsi="Cambria" w:cs="Cambria"/>
          <w:sz w:val="20"/>
          <w:szCs w:val="20"/>
        </w:rPr>
        <w:t>the Criminal and Drug Activity Court</w:t>
      </w:r>
      <w:r w:rsidR="00080A78" w:rsidRPr="008A7BD7">
        <w:rPr>
          <w:rFonts w:ascii="Cambria" w:eastAsia="Cambria" w:hAnsi="Cambria" w:cs="Cambria"/>
          <w:sz w:val="20"/>
          <w:szCs w:val="20"/>
        </w:rPr>
        <w:t xml:space="preserve"> </w:t>
      </w:r>
      <w:r w:rsidR="001E7704" w:rsidRPr="008A7BD7">
        <w:rPr>
          <w:rFonts w:ascii="Cambria" w:eastAsia="Cambria" w:hAnsi="Cambria" w:cs="Cambria"/>
          <w:sz w:val="20"/>
          <w:szCs w:val="20"/>
        </w:rPr>
        <w:t xml:space="preserve">of </w:t>
      </w:r>
      <w:r w:rsidR="00080A78" w:rsidRPr="008A7BD7">
        <w:rPr>
          <w:rFonts w:ascii="Cambria" w:eastAsia="Cambria" w:hAnsi="Cambria" w:cs="Cambria"/>
          <w:sz w:val="20"/>
          <w:szCs w:val="20"/>
        </w:rPr>
        <w:t>F</w:t>
      </w:r>
      <w:r w:rsidR="001E7704" w:rsidRPr="008A7BD7">
        <w:rPr>
          <w:rFonts w:ascii="Cambria" w:eastAsia="Cambria" w:hAnsi="Cambria" w:cs="Cambria"/>
          <w:sz w:val="20"/>
          <w:szCs w:val="20"/>
        </w:rPr>
        <w:t xml:space="preserve">irst </w:t>
      </w:r>
      <w:r w:rsidR="00080A78" w:rsidRPr="008A7BD7">
        <w:rPr>
          <w:rFonts w:ascii="Cambria" w:eastAsia="Cambria" w:hAnsi="Cambria" w:cs="Cambria"/>
          <w:sz w:val="20"/>
          <w:szCs w:val="20"/>
        </w:rPr>
        <w:t>I</w:t>
      </w:r>
      <w:r w:rsidR="001E7704" w:rsidRPr="008A7BD7">
        <w:rPr>
          <w:rFonts w:ascii="Cambria" w:eastAsia="Cambria" w:hAnsi="Cambria" w:cs="Cambria"/>
          <w:sz w:val="20"/>
          <w:szCs w:val="20"/>
        </w:rPr>
        <w:t xml:space="preserve">nstance in </w:t>
      </w:r>
      <w:r w:rsidR="004E0CAC" w:rsidRPr="008A7BD7">
        <w:rPr>
          <w:rFonts w:ascii="Cambria" w:eastAsia="Cambria" w:hAnsi="Cambria" w:cs="Cambria"/>
          <w:sz w:val="20"/>
          <w:szCs w:val="20"/>
        </w:rPr>
        <w:t>Chiquimula</w:t>
      </w:r>
      <w:r w:rsidR="001E7704" w:rsidRPr="008A7BD7">
        <w:rPr>
          <w:rFonts w:ascii="Cambria" w:eastAsia="Cambria" w:hAnsi="Cambria" w:cs="Cambria"/>
          <w:sz w:val="20"/>
          <w:szCs w:val="20"/>
        </w:rPr>
        <w:t xml:space="preserve"> resumed the intermediate hearing </w:t>
      </w:r>
      <w:r w:rsidR="00AA1A97" w:rsidRPr="008A7BD7">
        <w:rPr>
          <w:rFonts w:ascii="Cambria" w:eastAsia="Cambria" w:hAnsi="Cambria" w:cs="Cambria"/>
          <w:sz w:val="20"/>
          <w:szCs w:val="20"/>
        </w:rPr>
        <w:t xml:space="preserve">in the case </w:t>
      </w:r>
      <w:r w:rsidR="001E7704" w:rsidRPr="008A7BD7">
        <w:rPr>
          <w:rFonts w:ascii="Cambria" w:eastAsia="Cambria" w:hAnsi="Cambria" w:cs="Cambria"/>
          <w:sz w:val="20"/>
          <w:szCs w:val="20"/>
        </w:rPr>
        <w:t>against four National Civil Police officers.</w:t>
      </w:r>
      <w:r w:rsidR="004E0CAC" w:rsidRPr="008A7BD7">
        <w:rPr>
          <w:rFonts w:ascii="Cambria" w:eastAsia="Cambria" w:hAnsi="Cambria" w:cs="Cambria"/>
          <w:sz w:val="20"/>
          <w:szCs w:val="20"/>
          <w:vertAlign w:val="superscript"/>
          <w:lang w:val="es-419"/>
        </w:rPr>
        <w:footnoteReference w:id="129"/>
      </w:r>
      <w:r w:rsidR="004E0CAC" w:rsidRPr="008A7BD7">
        <w:rPr>
          <w:rFonts w:ascii="Cambria" w:eastAsia="Cambria" w:hAnsi="Cambria" w:cs="Cambria"/>
          <w:sz w:val="20"/>
          <w:szCs w:val="20"/>
        </w:rPr>
        <w:t xml:space="preserve"> </w:t>
      </w:r>
    </w:p>
    <w:p w14:paraId="2F0FFA4B" w14:textId="77777777" w:rsidR="004E0CAC" w:rsidRPr="008A7BD7" w:rsidRDefault="004E0CAC" w:rsidP="004E0CAC">
      <w:pPr>
        <w:ind w:left="720"/>
        <w:jc w:val="both"/>
        <w:rPr>
          <w:rFonts w:ascii="Cambria" w:eastAsia="Times New Roman" w:hAnsi="Cambria" w:cs="Tahoma"/>
          <w:color w:val="000000"/>
          <w:sz w:val="20"/>
          <w:szCs w:val="20"/>
          <w:lang w:eastAsia="es-ES_tradnl"/>
        </w:rPr>
      </w:pPr>
    </w:p>
    <w:p w14:paraId="72B2BAD8" w14:textId="44642CE6" w:rsidR="00FF2619" w:rsidRPr="008A7BD7" w:rsidRDefault="00DE0D50" w:rsidP="00FF261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_tradnl"/>
        </w:rPr>
        <w:t xml:space="preserve">In its response to the draft of this report, the Guatemalan State informed the IACHR about the development of mechanisms to </w:t>
      </w:r>
      <w:r w:rsidR="007A652B" w:rsidRPr="008A7BD7">
        <w:rPr>
          <w:rFonts w:ascii="Cambria" w:eastAsia="Times New Roman" w:hAnsi="Cambria" w:cs="Tahoma"/>
          <w:color w:val="000000"/>
          <w:sz w:val="20"/>
          <w:szCs w:val="20"/>
          <w:lang w:eastAsia="es-ES_tradnl"/>
        </w:rPr>
        <w:t>ensure</w:t>
      </w:r>
      <w:r w:rsidRPr="008A7BD7">
        <w:rPr>
          <w:rFonts w:ascii="Cambria" w:eastAsia="Times New Roman" w:hAnsi="Cambria" w:cs="Tahoma"/>
          <w:color w:val="000000"/>
          <w:sz w:val="20"/>
          <w:szCs w:val="20"/>
          <w:lang w:eastAsia="es-ES_tradnl"/>
        </w:rPr>
        <w:t xml:space="preserve"> the security of those who suffer acts of violence in the course of their work as journalists. Among other things, it indicated that the General Directorate of the National Civil Police implements the “Protocol for risk </w:t>
      </w:r>
      <w:r w:rsidR="00900252" w:rsidRPr="008A7BD7">
        <w:rPr>
          <w:rFonts w:ascii="Cambria" w:eastAsia="Times New Roman" w:hAnsi="Cambria" w:cs="Tahoma"/>
          <w:color w:val="000000"/>
          <w:sz w:val="20"/>
          <w:szCs w:val="20"/>
          <w:lang w:eastAsia="es-ES_tradnl"/>
        </w:rPr>
        <w:t>and</w:t>
      </w:r>
      <w:r w:rsidRPr="008A7BD7">
        <w:rPr>
          <w:rFonts w:ascii="Cambria" w:eastAsia="Times New Roman" w:hAnsi="Cambria" w:cs="Tahoma"/>
          <w:color w:val="000000"/>
          <w:sz w:val="20"/>
          <w:szCs w:val="20"/>
          <w:lang w:eastAsia="es-ES_tradnl"/>
        </w:rPr>
        <w:t xml:space="preserve"> security analysis and granting of security measures.” It also indicated that “based on digital records and physical files </w:t>
      </w:r>
      <w:r w:rsidR="00900252" w:rsidRPr="008A7BD7">
        <w:rPr>
          <w:rFonts w:ascii="Cambria" w:eastAsia="Times New Roman" w:hAnsi="Cambria" w:cs="Tahoma"/>
          <w:color w:val="000000"/>
          <w:sz w:val="20"/>
          <w:szCs w:val="20"/>
          <w:lang w:eastAsia="es-ES_tradnl"/>
        </w:rPr>
        <w:t>kept</w:t>
      </w:r>
      <w:r w:rsidRPr="008A7BD7">
        <w:rPr>
          <w:rFonts w:ascii="Cambria" w:eastAsia="Times New Roman" w:hAnsi="Cambria" w:cs="Tahoma"/>
          <w:color w:val="000000"/>
          <w:sz w:val="20"/>
          <w:szCs w:val="20"/>
          <w:lang w:eastAsia="es-ES_tradnl"/>
        </w:rPr>
        <w:t xml:space="preserve"> by the </w:t>
      </w:r>
      <w:r w:rsidR="00E52D18" w:rsidRPr="008A7BD7">
        <w:rPr>
          <w:rFonts w:ascii="Cambria" w:eastAsia="Times New Roman" w:hAnsi="Cambria" w:cs="Tahoma"/>
          <w:color w:val="000000"/>
          <w:sz w:val="20"/>
          <w:szCs w:val="20"/>
          <w:lang w:eastAsia="es-ES_tradnl"/>
        </w:rPr>
        <w:t xml:space="preserve">Protection of Persons Division of the National Civil Police, the Risk Analysis Department has done risk </w:t>
      </w:r>
      <w:r w:rsidR="00900252" w:rsidRPr="008A7BD7">
        <w:rPr>
          <w:rFonts w:ascii="Cambria" w:eastAsia="Times New Roman" w:hAnsi="Cambria" w:cs="Tahoma"/>
          <w:color w:val="000000"/>
          <w:sz w:val="20"/>
          <w:szCs w:val="20"/>
          <w:lang w:eastAsia="es-ES_tradnl"/>
        </w:rPr>
        <w:t>assessment</w:t>
      </w:r>
      <w:r w:rsidR="00A06845" w:rsidRPr="008A7BD7">
        <w:rPr>
          <w:rFonts w:ascii="Cambria" w:eastAsia="Times New Roman" w:hAnsi="Cambria" w:cs="Tahoma"/>
          <w:color w:val="000000"/>
          <w:sz w:val="20"/>
          <w:szCs w:val="20"/>
          <w:lang w:eastAsia="es-ES_tradnl"/>
        </w:rPr>
        <w:t>s</w:t>
      </w:r>
      <w:r w:rsidR="00E52D18" w:rsidRPr="008A7BD7">
        <w:rPr>
          <w:rFonts w:ascii="Cambria" w:eastAsia="Times New Roman" w:hAnsi="Cambria" w:cs="Tahoma"/>
          <w:color w:val="000000"/>
          <w:sz w:val="20"/>
          <w:szCs w:val="20"/>
          <w:lang w:eastAsia="es-ES_tradnl"/>
        </w:rPr>
        <w:t xml:space="preserve"> o</w:t>
      </w:r>
      <w:r w:rsidR="00900252" w:rsidRPr="008A7BD7">
        <w:rPr>
          <w:rFonts w:ascii="Cambria" w:eastAsia="Times New Roman" w:hAnsi="Cambria" w:cs="Tahoma"/>
          <w:color w:val="000000"/>
          <w:sz w:val="20"/>
          <w:szCs w:val="20"/>
          <w:lang w:eastAsia="es-ES_tradnl"/>
        </w:rPr>
        <w:t>f</w:t>
      </w:r>
      <w:r w:rsidR="00E52D18" w:rsidRPr="008A7BD7">
        <w:rPr>
          <w:rFonts w:ascii="Cambria" w:eastAsia="Times New Roman" w:hAnsi="Cambria" w:cs="Tahoma"/>
          <w:color w:val="000000"/>
          <w:sz w:val="20"/>
          <w:szCs w:val="20"/>
          <w:lang w:eastAsia="es-ES_tradnl"/>
        </w:rPr>
        <w:t xml:space="preserve"> individuals </w:t>
      </w:r>
      <w:r w:rsidR="00A06845" w:rsidRPr="008A7BD7">
        <w:rPr>
          <w:rFonts w:ascii="Cambria" w:eastAsia="Times New Roman" w:hAnsi="Cambria" w:cs="Tahoma"/>
          <w:color w:val="000000"/>
          <w:sz w:val="20"/>
          <w:szCs w:val="20"/>
          <w:lang w:eastAsia="es-ES_tradnl"/>
        </w:rPr>
        <w:t>who fit the profile of</w:t>
      </w:r>
      <w:r w:rsidR="00E52D18" w:rsidRPr="008A7BD7">
        <w:rPr>
          <w:rFonts w:ascii="Cambria" w:eastAsia="Times New Roman" w:hAnsi="Cambria" w:cs="Tahoma"/>
          <w:color w:val="000000"/>
          <w:sz w:val="20"/>
          <w:szCs w:val="20"/>
          <w:lang w:eastAsia="es-ES_tradnl"/>
        </w:rPr>
        <w:t xml:space="preserve"> human rights defenders or </w:t>
      </w:r>
      <w:r w:rsidR="00900252" w:rsidRPr="008A7BD7">
        <w:rPr>
          <w:rFonts w:ascii="Cambria" w:eastAsia="Times New Roman" w:hAnsi="Cambria" w:cs="Tahoma"/>
          <w:color w:val="000000"/>
          <w:sz w:val="20"/>
          <w:szCs w:val="20"/>
          <w:lang w:eastAsia="es-ES_tradnl"/>
        </w:rPr>
        <w:t>activists</w:t>
      </w:r>
      <w:r w:rsidR="00E52D18" w:rsidRPr="008A7BD7">
        <w:rPr>
          <w:rFonts w:ascii="Cambria" w:eastAsia="Times New Roman" w:hAnsi="Cambria" w:cs="Tahoma"/>
          <w:color w:val="000000"/>
          <w:sz w:val="20"/>
          <w:szCs w:val="20"/>
          <w:lang w:eastAsia="es-ES_tradnl"/>
        </w:rPr>
        <w:t xml:space="preserve">, </w:t>
      </w:r>
      <w:r w:rsidR="00900252" w:rsidRPr="008A7BD7">
        <w:rPr>
          <w:rFonts w:ascii="Cambria" w:eastAsia="Times New Roman" w:hAnsi="Cambria" w:cs="Tahoma"/>
          <w:color w:val="000000"/>
          <w:sz w:val="20"/>
          <w:szCs w:val="20"/>
          <w:lang w:eastAsia="es-ES_tradnl"/>
        </w:rPr>
        <w:t>whereby it</w:t>
      </w:r>
      <w:r w:rsidR="00E52D18" w:rsidRPr="008A7BD7">
        <w:rPr>
          <w:rFonts w:ascii="Cambria" w:eastAsia="Times New Roman" w:hAnsi="Cambria" w:cs="Tahoma"/>
          <w:color w:val="000000"/>
          <w:sz w:val="20"/>
          <w:szCs w:val="20"/>
          <w:lang w:eastAsia="es-ES_tradnl"/>
        </w:rPr>
        <w:t xml:space="preserve"> has determined the level of risk they face </w:t>
      </w:r>
      <w:r w:rsidR="00A06845" w:rsidRPr="008A7BD7">
        <w:rPr>
          <w:rFonts w:ascii="Cambria" w:eastAsia="Times New Roman" w:hAnsi="Cambria" w:cs="Tahoma"/>
          <w:color w:val="000000"/>
          <w:sz w:val="20"/>
          <w:szCs w:val="20"/>
          <w:lang w:eastAsia="es-ES_tradnl"/>
        </w:rPr>
        <w:t>so as to then</w:t>
      </w:r>
      <w:r w:rsidR="00E52D18" w:rsidRPr="008A7BD7">
        <w:rPr>
          <w:rFonts w:ascii="Cambria" w:eastAsia="Times New Roman" w:hAnsi="Cambria" w:cs="Tahoma"/>
          <w:color w:val="000000"/>
          <w:sz w:val="20"/>
          <w:szCs w:val="20"/>
          <w:lang w:eastAsia="es-ES_tradnl"/>
        </w:rPr>
        <w:t xml:space="preserve"> recommend </w:t>
      </w:r>
      <w:r w:rsidR="00E52D18" w:rsidRPr="008A7BD7">
        <w:rPr>
          <w:rFonts w:ascii="Cambria" w:eastAsia="Times New Roman" w:hAnsi="Cambria" w:cs="Tahoma"/>
          <w:color w:val="000000"/>
          <w:sz w:val="20"/>
          <w:szCs w:val="20"/>
          <w:lang w:eastAsia="es-ES_tradnl"/>
        </w:rPr>
        <w:lastRenderedPageBreak/>
        <w:t>security measures for support or risk mitigation.”</w:t>
      </w:r>
      <w:r w:rsidR="00FF2619" w:rsidRPr="008A7BD7">
        <w:rPr>
          <w:rStyle w:val="FootnoteReference"/>
          <w:rFonts w:ascii="Cambria" w:eastAsia="Times New Roman" w:hAnsi="Cambria" w:cs="Tahoma"/>
          <w:color w:val="000000"/>
          <w:sz w:val="20"/>
          <w:szCs w:val="20"/>
          <w:lang w:val="es-419" w:eastAsia="es-ES_tradnl"/>
        </w:rPr>
        <w:footnoteReference w:id="130"/>
      </w:r>
      <w:r w:rsidR="00FF2619" w:rsidRPr="008A7BD7">
        <w:rPr>
          <w:rFonts w:ascii="Cambria" w:eastAsia="Times New Roman" w:hAnsi="Cambria" w:cs="Tahoma"/>
          <w:color w:val="000000"/>
          <w:sz w:val="20"/>
          <w:szCs w:val="20"/>
          <w:lang w:eastAsia="es-ES_tradnl"/>
        </w:rPr>
        <w:t xml:space="preserve"> </w:t>
      </w:r>
      <w:r w:rsidR="00E52D18" w:rsidRPr="008A7BD7">
        <w:rPr>
          <w:rFonts w:ascii="Cambria" w:eastAsia="Times New Roman" w:hAnsi="Cambria" w:cs="Tahoma"/>
          <w:color w:val="000000"/>
          <w:sz w:val="20"/>
          <w:szCs w:val="20"/>
          <w:lang w:eastAsia="es-ES_tradnl"/>
        </w:rPr>
        <w:t>According to information provided by the State, the following table shows the security measures provided, based on the degree of risk determined through the</w:t>
      </w:r>
      <w:r w:rsidR="00A06845" w:rsidRPr="008A7BD7">
        <w:rPr>
          <w:rFonts w:ascii="Cambria" w:eastAsia="Times New Roman" w:hAnsi="Cambria" w:cs="Tahoma"/>
          <w:color w:val="000000"/>
          <w:sz w:val="20"/>
          <w:szCs w:val="20"/>
          <w:lang w:eastAsia="es-ES_tradnl"/>
        </w:rPr>
        <w:t xml:space="preserve"> aforementioned</w:t>
      </w:r>
      <w:r w:rsidR="00E52D18" w:rsidRPr="008A7BD7">
        <w:rPr>
          <w:rFonts w:ascii="Cambria" w:eastAsia="Times New Roman" w:hAnsi="Cambria" w:cs="Tahoma"/>
          <w:color w:val="000000"/>
          <w:sz w:val="20"/>
          <w:szCs w:val="20"/>
          <w:lang w:eastAsia="es-ES_tradnl"/>
        </w:rPr>
        <w:t xml:space="preserve"> </w:t>
      </w:r>
      <w:r w:rsidR="00A06845" w:rsidRPr="008A7BD7">
        <w:rPr>
          <w:rFonts w:ascii="Cambria" w:eastAsia="Times New Roman" w:hAnsi="Cambria" w:cs="Tahoma"/>
          <w:color w:val="000000"/>
          <w:sz w:val="20"/>
          <w:szCs w:val="20"/>
          <w:lang w:eastAsia="es-ES_tradnl"/>
        </w:rPr>
        <w:t>analysis</w:t>
      </w:r>
      <w:r w:rsidR="00FF2619" w:rsidRPr="008A7BD7">
        <w:rPr>
          <w:rFonts w:ascii="Cambria" w:eastAsia="Times New Roman" w:hAnsi="Cambria" w:cs="Tahoma"/>
          <w:color w:val="000000"/>
          <w:sz w:val="20"/>
          <w:szCs w:val="20"/>
          <w:lang w:eastAsia="es-ES_tradnl"/>
        </w:rPr>
        <w:t>:</w:t>
      </w:r>
    </w:p>
    <w:p w14:paraId="4DB6ECED" w14:textId="77777777" w:rsidR="00FF2619" w:rsidRPr="008A7BD7" w:rsidRDefault="00FF2619" w:rsidP="00FF2619">
      <w:pPr>
        <w:pStyle w:val="ListParagraph"/>
        <w:rPr>
          <w:rFonts w:ascii="Cambria" w:eastAsia="Times New Roman" w:hAnsi="Cambria" w:cs="Tahoma"/>
          <w:color w:val="000000"/>
          <w:sz w:val="20"/>
          <w:szCs w:val="20"/>
          <w:lang w:eastAsia="es-ES_tradnl"/>
        </w:rPr>
      </w:pPr>
    </w:p>
    <w:p w14:paraId="7DAC0EB2" w14:textId="77777777" w:rsidR="00FF2619" w:rsidRPr="008A7BD7" w:rsidRDefault="00FF2619" w:rsidP="00FF2619">
      <w:pPr>
        <w:ind w:left="720"/>
        <w:jc w:val="both"/>
        <w:rPr>
          <w:rFonts w:ascii="Cambria" w:eastAsia="Times New Roman" w:hAnsi="Cambria" w:cs="Tahoma"/>
          <w:color w:val="000000"/>
          <w:sz w:val="20"/>
          <w:szCs w:val="20"/>
          <w:lang w:val="es-419" w:eastAsia="es-ES_tradnl"/>
        </w:rPr>
      </w:pPr>
      <w:r w:rsidRPr="008A7BD7">
        <w:rPr>
          <w:rFonts w:ascii="Montserrat" w:eastAsia="Montserrat" w:hAnsi="Montserrat" w:cs="Montserrat"/>
          <w:noProof/>
        </w:rPr>
        <w:drawing>
          <wp:inline distT="0" distB="0" distL="0" distR="0" wp14:anchorId="7DE90EB5" wp14:editId="70E63EDF">
            <wp:extent cx="4505325" cy="1543050"/>
            <wp:effectExtent l="0" t="0" r="0" b="0"/>
            <wp:docPr id="83" name="image11.png" descr="https://lh6.googleusercontent.com/xYEqC7Mc5cZDCf4RQiwhasKCkiVlPYfU9lyuZQbW5DX9qwkyHTVYqq5AxWBcwl8rO3dXcjOBlnKaAX7wyPUXkxz8IQEaMSvitp0oY79z5qo-IYkpD9eLI1yNXMAAow"/>
            <wp:cNvGraphicFramePr/>
            <a:graphic xmlns:a="http://schemas.openxmlformats.org/drawingml/2006/main">
              <a:graphicData uri="http://schemas.openxmlformats.org/drawingml/2006/picture">
                <pic:pic xmlns:pic="http://schemas.openxmlformats.org/drawingml/2006/picture">
                  <pic:nvPicPr>
                    <pic:cNvPr id="0" name="image11.png" descr="https://lh6.googleusercontent.com/xYEqC7Mc5cZDCf4RQiwhasKCkiVlPYfU9lyuZQbW5DX9qwkyHTVYqq5AxWBcwl8rO3dXcjOBlnKaAX7wyPUXkxz8IQEaMSvitp0oY79z5qo-IYkpD9eLI1yNXMAAow"/>
                    <pic:cNvPicPr preferRelativeResize="0"/>
                  </pic:nvPicPr>
                  <pic:blipFill>
                    <a:blip r:embed="rId12"/>
                    <a:srcRect/>
                    <a:stretch>
                      <a:fillRect/>
                    </a:stretch>
                  </pic:blipFill>
                  <pic:spPr>
                    <a:xfrm>
                      <a:off x="0" y="0"/>
                      <a:ext cx="4505325" cy="1543050"/>
                    </a:xfrm>
                    <a:prstGeom prst="rect">
                      <a:avLst/>
                    </a:prstGeom>
                    <a:ln/>
                  </pic:spPr>
                </pic:pic>
              </a:graphicData>
            </a:graphic>
          </wp:inline>
        </w:drawing>
      </w:r>
    </w:p>
    <w:p w14:paraId="64618D61" w14:textId="256CDC66" w:rsidR="00FF2619" w:rsidRPr="008A7BD7" w:rsidRDefault="00F06675" w:rsidP="00FF2619">
      <w:pPr>
        <w:ind w:left="720"/>
        <w:jc w:val="both"/>
        <w:rPr>
          <w:rFonts w:ascii="Cambria" w:eastAsia="Times New Roman" w:hAnsi="Cambria" w:cs="Tahoma"/>
          <w:color w:val="000000"/>
          <w:sz w:val="16"/>
          <w:szCs w:val="16"/>
          <w:lang w:eastAsia="es-ES_tradnl"/>
        </w:rPr>
      </w:pPr>
      <w:r w:rsidRPr="008A7BD7">
        <w:rPr>
          <w:rFonts w:ascii="Cambria" w:eastAsia="Times New Roman" w:hAnsi="Cambria" w:cs="Tahoma"/>
          <w:color w:val="000000"/>
          <w:sz w:val="16"/>
          <w:szCs w:val="16"/>
          <w:lang w:eastAsia="es-ES_tradnl"/>
        </w:rPr>
        <w:t>Source</w:t>
      </w:r>
      <w:r w:rsidR="00FF2619" w:rsidRPr="008A7BD7">
        <w:rPr>
          <w:rFonts w:ascii="Cambria" w:eastAsia="Times New Roman" w:hAnsi="Cambria" w:cs="Tahoma"/>
          <w:color w:val="000000"/>
          <w:sz w:val="16"/>
          <w:szCs w:val="16"/>
          <w:lang w:eastAsia="es-ES_tradnl"/>
        </w:rPr>
        <w:t>:</w:t>
      </w:r>
      <w:r w:rsidR="00FF2619" w:rsidRPr="008A7BD7">
        <w:rPr>
          <w:sz w:val="21"/>
          <w:szCs w:val="21"/>
        </w:rPr>
        <w:t xml:space="preserve"> </w:t>
      </w:r>
      <w:r w:rsidRPr="008A7BD7">
        <w:rPr>
          <w:rFonts w:ascii="Cambria" w:hAnsi="Cambria"/>
          <w:sz w:val="16"/>
          <w:szCs w:val="16"/>
        </w:rPr>
        <w:t>Response from the State of</w:t>
      </w:r>
      <w:r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Pr="008A7BD7">
        <w:rPr>
          <w:rFonts w:ascii="Cambria" w:hAnsi="Cambria"/>
          <w:sz w:val="16"/>
          <w:szCs w:val="16"/>
        </w:rPr>
        <w:t>OEA</w:t>
      </w:r>
      <w:r w:rsidRPr="008A7BD7">
        <w:rPr>
          <w:rFonts w:ascii="Cambria" w:eastAsia="Cambria" w:hAnsi="Cambria" w:cs="Cambria"/>
          <w:color w:val="000000"/>
          <w:sz w:val="16"/>
          <w:szCs w:val="16"/>
        </w:rPr>
        <w:t>-M4-980-2021, December 22, 2021, p.</w:t>
      </w:r>
      <w:r w:rsidR="00FF2619" w:rsidRPr="008A7BD7">
        <w:rPr>
          <w:rFonts w:ascii="Cambria" w:eastAsia="Times New Roman" w:hAnsi="Cambria" w:cs="Tahoma"/>
          <w:color w:val="000000"/>
          <w:sz w:val="16"/>
          <w:szCs w:val="16"/>
          <w:lang w:eastAsia="es-ES_tradnl"/>
        </w:rPr>
        <w:t xml:space="preserve"> 49.</w:t>
      </w:r>
    </w:p>
    <w:p w14:paraId="0D79AF6A" w14:textId="77777777" w:rsidR="00FF2619" w:rsidRPr="008A7BD7" w:rsidRDefault="00FF2619" w:rsidP="00FF2619">
      <w:pPr>
        <w:pStyle w:val="ListParagraph"/>
        <w:rPr>
          <w:rFonts w:ascii="Cambria" w:eastAsia="Cambria" w:hAnsi="Cambria" w:cs="Cambria"/>
          <w:sz w:val="20"/>
          <w:szCs w:val="20"/>
        </w:rPr>
      </w:pPr>
    </w:p>
    <w:p w14:paraId="0EA2A1DC" w14:textId="759BD51F" w:rsidR="004E0CAC" w:rsidRPr="008A7BD7" w:rsidRDefault="00AA1A97"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At the same time</w:t>
      </w:r>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 xml:space="preserve">the IACHR has received multiple reports of judicial </w:t>
      </w:r>
      <w:r w:rsidR="00105437" w:rsidRPr="008A7BD7">
        <w:rPr>
          <w:rFonts w:ascii="Cambria" w:eastAsia="Cambria" w:hAnsi="Cambria" w:cs="Cambria"/>
          <w:sz w:val="20"/>
          <w:szCs w:val="20"/>
        </w:rPr>
        <w:t>proceedings</w:t>
      </w:r>
      <w:r w:rsidRPr="008A7BD7">
        <w:rPr>
          <w:rFonts w:ascii="Cambria" w:eastAsia="Cambria" w:hAnsi="Cambria" w:cs="Cambria"/>
          <w:sz w:val="20"/>
          <w:szCs w:val="20"/>
        </w:rPr>
        <w:t xml:space="preserve"> being brought against journalists and media outlets to restrict the publication of information of public interest. For example, on May 21, </w:t>
      </w:r>
      <w:r w:rsidR="004E0CAC" w:rsidRPr="008A7BD7">
        <w:rPr>
          <w:rFonts w:ascii="Cambria" w:eastAsia="Cambria" w:hAnsi="Cambria" w:cs="Cambria"/>
          <w:sz w:val="20"/>
          <w:szCs w:val="20"/>
        </w:rPr>
        <w:t xml:space="preserve">Joselyn Fernanda Mérida Solano, </w:t>
      </w:r>
      <w:r w:rsidR="003B2C89" w:rsidRPr="008A7BD7">
        <w:rPr>
          <w:rFonts w:ascii="Cambria" w:eastAsia="Cambria" w:hAnsi="Cambria" w:cs="Cambria"/>
          <w:sz w:val="20"/>
          <w:szCs w:val="20"/>
        </w:rPr>
        <w:t xml:space="preserve">head of communication for the Congress of the Republic, and </w:t>
      </w:r>
      <w:r w:rsidR="00A2528C" w:rsidRPr="008A7BD7">
        <w:rPr>
          <w:rFonts w:ascii="Cambria" w:eastAsia="Cambria" w:hAnsi="Cambria" w:cs="Cambria"/>
          <w:sz w:val="20"/>
          <w:szCs w:val="20"/>
        </w:rPr>
        <w:t>relatives</w:t>
      </w:r>
      <w:r w:rsidR="003B2C89" w:rsidRPr="008A7BD7">
        <w:rPr>
          <w:rFonts w:ascii="Cambria" w:eastAsia="Cambria" w:hAnsi="Cambria" w:cs="Cambria"/>
          <w:sz w:val="20"/>
          <w:szCs w:val="20"/>
        </w:rPr>
        <w:t xml:space="preserve"> of </w:t>
      </w:r>
      <w:r w:rsidR="004E0CAC" w:rsidRPr="008A7BD7">
        <w:rPr>
          <w:rFonts w:ascii="Cambria" w:eastAsia="Cambria" w:hAnsi="Cambria" w:cs="Cambria"/>
          <w:sz w:val="20"/>
          <w:szCs w:val="20"/>
        </w:rPr>
        <w:t xml:space="preserve">Miguel Martínez Morales, </w:t>
      </w:r>
      <w:r w:rsidR="003B2C89" w:rsidRPr="008A7BD7">
        <w:rPr>
          <w:rFonts w:ascii="Cambria" w:eastAsia="Cambria" w:hAnsi="Cambria" w:cs="Cambria"/>
          <w:sz w:val="20"/>
          <w:szCs w:val="20"/>
        </w:rPr>
        <w:t xml:space="preserve">former director of the Government </w:t>
      </w:r>
      <w:r w:rsidR="004E0CAC" w:rsidRPr="008A7BD7">
        <w:rPr>
          <w:rFonts w:ascii="Cambria" w:eastAsia="Cambria" w:hAnsi="Cambria" w:cs="Cambria"/>
          <w:sz w:val="20"/>
          <w:szCs w:val="20"/>
        </w:rPr>
        <w:t>Cent</w:t>
      </w:r>
      <w:r w:rsidR="003B2C89" w:rsidRPr="008A7BD7">
        <w:rPr>
          <w:rFonts w:ascii="Cambria" w:eastAsia="Cambria" w:hAnsi="Cambria" w:cs="Cambria"/>
          <w:sz w:val="20"/>
          <w:szCs w:val="20"/>
        </w:rPr>
        <w:t xml:space="preserve">er, reportedly filed complaints against journalists </w:t>
      </w:r>
      <w:r w:rsidR="004E0CAC" w:rsidRPr="008A7BD7">
        <w:rPr>
          <w:rFonts w:ascii="Cambria" w:eastAsia="Cambria" w:hAnsi="Cambria" w:cs="Cambria"/>
          <w:sz w:val="20"/>
          <w:szCs w:val="20"/>
        </w:rPr>
        <w:t xml:space="preserve">Sonny Figueroa </w:t>
      </w:r>
      <w:r w:rsidR="003B2C89" w:rsidRPr="008A7BD7">
        <w:rPr>
          <w:rFonts w:ascii="Cambria" w:eastAsia="Cambria" w:hAnsi="Cambria" w:cs="Cambria"/>
          <w:sz w:val="20"/>
          <w:szCs w:val="20"/>
        </w:rPr>
        <w:t>and</w:t>
      </w:r>
      <w:r w:rsidR="004E0CAC" w:rsidRPr="008A7BD7">
        <w:rPr>
          <w:rFonts w:ascii="Cambria" w:eastAsia="Cambria" w:hAnsi="Cambria" w:cs="Cambria"/>
          <w:sz w:val="20"/>
          <w:szCs w:val="20"/>
        </w:rPr>
        <w:t xml:space="preserve"> Marvin del Cid </w:t>
      </w:r>
      <w:r w:rsidR="003B2C89" w:rsidRPr="008A7BD7">
        <w:rPr>
          <w:rFonts w:ascii="Cambria" w:eastAsia="Cambria" w:hAnsi="Cambria" w:cs="Cambria"/>
          <w:sz w:val="20"/>
          <w:szCs w:val="20"/>
        </w:rPr>
        <w:t xml:space="preserve">following the publication of journalistic investigations </w:t>
      </w:r>
      <w:r w:rsidR="00105437" w:rsidRPr="008A7BD7">
        <w:rPr>
          <w:rFonts w:ascii="Cambria" w:eastAsia="Cambria" w:hAnsi="Cambria" w:cs="Cambria"/>
          <w:sz w:val="20"/>
          <w:szCs w:val="20"/>
        </w:rPr>
        <w:t>that involved</w:t>
      </w:r>
      <w:r w:rsidR="003B2C89" w:rsidRPr="008A7BD7">
        <w:rPr>
          <w:rFonts w:ascii="Cambria" w:eastAsia="Cambria" w:hAnsi="Cambria" w:cs="Cambria"/>
          <w:sz w:val="20"/>
          <w:szCs w:val="20"/>
        </w:rPr>
        <w:t xml:space="preserve"> them.</w:t>
      </w:r>
      <w:r w:rsidR="004E0CAC" w:rsidRPr="008A7BD7">
        <w:rPr>
          <w:rFonts w:ascii="Cambria" w:eastAsia="Cambria" w:hAnsi="Cambria" w:cs="Cambria"/>
          <w:sz w:val="20"/>
          <w:szCs w:val="20"/>
          <w:vertAlign w:val="superscript"/>
          <w:lang w:val="es-419"/>
        </w:rPr>
        <w:footnoteReference w:id="131"/>
      </w:r>
      <w:r w:rsidR="004E0CAC" w:rsidRPr="008A7BD7">
        <w:rPr>
          <w:rFonts w:ascii="Cambria" w:eastAsia="Cambria" w:hAnsi="Cambria" w:cs="Cambria"/>
          <w:sz w:val="20"/>
          <w:szCs w:val="20"/>
        </w:rPr>
        <w:t xml:space="preserve"> </w:t>
      </w:r>
      <w:r w:rsidR="003B2C89" w:rsidRPr="008A7BD7">
        <w:rPr>
          <w:rFonts w:ascii="Cambria" w:eastAsia="Cambria" w:hAnsi="Cambria" w:cs="Cambria"/>
          <w:sz w:val="20"/>
          <w:szCs w:val="20"/>
        </w:rPr>
        <w:t xml:space="preserve">From May </w:t>
      </w:r>
      <w:r w:rsidR="004E0CAC" w:rsidRPr="008A7BD7">
        <w:rPr>
          <w:rFonts w:ascii="Cambria" w:eastAsia="Cambria" w:hAnsi="Cambria" w:cs="Cambria"/>
          <w:sz w:val="20"/>
          <w:szCs w:val="20"/>
        </w:rPr>
        <w:t xml:space="preserve">21 </w:t>
      </w:r>
      <w:r w:rsidR="003B2C89" w:rsidRPr="008A7BD7">
        <w:rPr>
          <w:rFonts w:ascii="Cambria" w:eastAsia="Cambria" w:hAnsi="Cambria" w:cs="Cambria"/>
          <w:sz w:val="20"/>
          <w:szCs w:val="20"/>
        </w:rPr>
        <w:t xml:space="preserve">to August </w:t>
      </w:r>
      <w:r w:rsidR="004E0CAC" w:rsidRPr="008A7BD7">
        <w:rPr>
          <w:rFonts w:ascii="Cambria" w:eastAsia="Cambria" w:hAnsi="Cambria" w:cs="Cambria"/>
          <w:sz w:val="20"/>
          <w:szCs w:val="20"/>
        </w:rPr>
        <w:t>2</w:t>
      </w:r>
      <w:r w:rsidR="003B2C89" w:rsidRPr="008A7BD7">
        <w:rPr>
          <w:rFonts w:ascii="Cambria" w:eastAsia="Cambria" w:hAnsi="Cambria" w:cs="Cambria"/>
          <w:sz w:val="20"/>
          <w:szCs w:val="20"/>
        </w:rPr>
        <w:t>, there was a judicial order in place prohibiting the journalists from publishing on issues related to the alleged victims and their family circles.</w:t>
      </w:r>
      <w:r w:rsidR="004E0CAC" w:rsidRPr="008A7BD7">
        <w:rPr>
          <w:rFonts w:ascii="Cambria" w:eastAsia="Cambria" w:hAnsi="Cambria" w:cs="Cambria"/>
          <w:sz w:val="20"/>
          <w:szCs w:val="20"/>
          <w:vertAlign w:val="superscript"/>
          <w:lang w:val="es-419"/>
        </w:rPr>
        <w:footnoteReference w:id="132"/>
      </w:r>
      <w:r w:rsidR="004E0CAC" w:rsidRPr="008A7BD7">
        <w:rPr>
          <w:rFonts w:ascii="Cambria" w:eastAsia="Cambria" w:hAnsi="Cambria" w:cs="Cambria"/>
          <w:sz w:val="20"/>
          <w:szCs w:val="20"/>
        </w:rPr>
        <w:t xml:space="preserve"> </w:t>
      </w:r>
    </w:p>
    <w:p w14:paraId="764C0423" w14:textId="77777777" w:rsidR="00FF2619" w:rsidRPr="008A7BD7" w:rsidRDefault="00FF2619" w:rsidP="00FF2619">
      <w:pPr>
        <w:ind w:left="720"/>
        <w:jc w:val="both"/>
        <w:rPr>
          <w:rFonts w:ascii="Cambria" w:eastAsia="Times New Roman" w:hAnsi="Cambria" w:cs="Tahoma"/>
          <w:color w:val="000000"/>
          <w:sz w:val="20"/>
          <w:szCs w:val="20"/>
          <w:lang w:eastAsia="es-ES_tradnl"/>
        </w:rPr>
      </w:pPr>
    </w:p>
    <w:p w14:paraId="3BE01666" w14:textId="7E4F6DF4" w:rsidR="00FF2619" w:rsidRPr="008A7BD7" w:rsidRDefault="00F06675" w:rsidP="00FF261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_tradnl"/>
        </w:rPr>
        <w:t>In that regard, the Guatemalan State stressed that on August 3,</w:t>
      </w:r>
      <w:r w:rsidRPr="008A7BD7">
        <w:rPr>
          <w:rFonts w:ascii="Cambria" w:eastAsia="Montserrat" w:hAnsi="Cambria" w:cs="Montserrat"/>
          <w:sz w:val="20"/>
          <w:szCs w:val="20"/>
        </w:rPr>
        <w:t xml:space="preserve"> </w:t>
      </w:r>
      <w:r w:rsidR="00FF2619" w:rsidRPr="008A7BD7">
        <w:rPr>
          <w:rFonts w:ascii="Cambria" w:eastAsia="Montserrat" w:hAnsi="Cambria" w:cs="Montserrat"/>
          <w:sz w:val="20"/>
          <w:szCs w:val="20"/>
        </w:rPr>
        <w:t xml:space="preserve">2021, </w:t>
      </w:r>
      <w:r w:rsidRPr="008A7BD7">
        <w:rPr>
          <w:rFonts w:ascii="Cambria" w:eastAsia="Montserrat" w:hAnsi="Cambria" w:cs="Montserrat"/>
          <w:sz w:val="20"/>
          <w:szCs w:val="20"/>
        </w:rPr>
        <w:t xml:space="preserve">during a hearing </w:t>
      </w:r>
      <w:r w:rsidR="00E35B68" w:rsidRPr="008A7BD7">
        <w:rPr>
          <w:rFonts w:ascii="Cambria" w:eastAsia="Montserrat" w:hAnsi="Cambria" w:cs="Montserrat"/>
          <w:sz w:val="20"/>
          <w:szCs w:val="20"/>
        </w:rPr>
        <w:t xml:space="preserve">to oppose </w:t>
      </w:r>
      <w:r w:rsidRPr="008A7BD7">
        <w:rPr>
          <w:rFonts w:ascii="Cambria" w:eastAsia="Montserrat" w:hAnsi="Cambria" w:cs="Montserrat"/>
          <w:sz w:val="20"/>
          <w:szCs w:val="20"/>
        </w:rPr>
        <w:t>security measures</w:t>
      </w:r>
      <w:r w:rsidR="00E35B68" w:rsidRPr="008A7BD7">
        <w:rPr>
          <w:rFonts w:ascii="Cambria" w:eastAsia="Montserrat" w:hAnsi="Cambria" w:cs="Montserrat"/>
          <w:sz w:val="20"/>
          <w:szCs w:val="20"/>
        </w:rPr>
        <w:t>,</w:t>
      </w:r>
      <w:r w:rsidRPr="008A7BD7">
        <w:rPr>
          <w:rFonts w:ascii="Cambria" w:eastAsia="Montserrat" w:hAnsi="Cambria" w:cs="Montserrat"/>
          <w:sz w:val="20"/>
          <w:szCs w:val="20"/>
        </w:rPr>
        <w:t xml:space="preserve"> </w:t>
      </w:r>
      <w:r w:rsidR="002E4656" w:rsidRPr="008A7BD7">
        <w:rPr>
          <w:rFonts w:ascii="Cambria" w:eastAsia="Montserrat" w:hAnsi="Cambria" w:cs="Montserrat"/>
          <w:sz w:val="20"/>
          <w:szCs w:val="20"/>
        </w:rPr>
        <w:t xml:space="preserve">held </w:t>
      </w:r>
      <w:r w:rsidRPr="008A7BD7">
        <w:rPr>
          <w:rFonts w:ascii="Cambria" w:eastAsia="Montserrat" w:hAnsi="Cambria" w:cs="Montserrat"/>
          <w:sz w:val="20"/>
          <w:szCs w:val="20"/>
        </w:rPr>
        <w:t xml:space="preserve">at the headquarters of the Office of the Public Prosecutor, the judge established that the journalists </w:t>
      </w:r>
      <w:r w:rsidR="00FF2619" w:rsidRPr="008A7BD7">
        <w:rPr>
          <w:rFonts w:ascii="Cambria" w:eastAsia="Montserrat" w:hAnsi="Cambria" w:cs="Montserrat"/>
          <w:sz w:val="20"/>
          <w:szCs w:val="20"/>
        </w:rPr>
        <w:t xml:space="preserve">Marvin Del Cid </w:t>
      </w:r>
      <w:r w:rsidRPr="008A7BD7">
        <w:rPr>
          <w:rFonts w:ascii="Cambria" w:eastAsia="Montserrat" w:hAnsi="Cambria" w:cs="Montserrat"/>
          <w:sz w:val="20"/>
          <w:szCs w:val="20"/>
        </w:rPr>
        <w:t>and</w:t>
      </w:r>
      <w:r w:rsidR="00FF2619" w:rsidRPr="008A7BD7">
        <w:rPr>
          <w:rFonts w:ascii="Cambria" w:eastAsia="Montserrat" w:hAnsi="Cambria" w:cs="Montserrat"/>
          <w:sz w:val="20"/>
          <w:szCs w:val="20"/>
        </w:rPr>
        <w:t xml:space="preserve"> Sonny Figueroa </w:t>
      </w:r>
      <w:r w:rsidRPr="008A7BD7">
        <w:rPr>
          <w:rFonts w:ascii="Cambria" w:eastAsia="Montserrat" w:hAnsi="Cambria" w:cs="Montserrat"/>
          <w:sz w:val="20"/>
          <w:szCs w:val="20"/>
        </w:rPr>
        <w:t>did not commit the crime of violence against women</w:t>
      </w:r>
      <w:r w:rsidR="005812A5" w:rsidRPr="008A7BD7">
        <w:rPr>
          <w:rFonts w:ascii="Cambria" w:eastAsia="Montserrat" w:hAnsi="Cambria" w:cs="Montserrat"/>
          <w:sz w:val="20"/>
          <w:szCs w:val="20"/>
        </w:rPr>
        <w:t xml:space="preserve"> </w:t>
      </w:r>
      <w:r w:rsidR="00E35B68" w:rsidRPr="008A7BD7">
        <w:rPr>
          <w:rFonts w:ascii="Cambria" w:eastAsia="Montserrat" w:hAnsi="Cambria" w:cs="Montserrat"/>
          <w:sz w:val="20"/>
          <w:szCs w:val="20"/>
        </w:rPr>
        <w:t>of</w:t>
      </w:r>
      <w:r w:rsidR="005812A5" w:rsidRPr="008A7BD7">
        <w:rPr>
          <w:rFonts w:ascii="Cambria" w:eastAsia="Montserrat" w:hAnsi="Cambria" w:cs="Montserrat"/>
          <w:sz w:val="20"/>
          <w:szCs w:val="20"/>
        </w:rPr>
        <w:t xml:space="preserve"> which they had been accused, and revoked the restraining orders that had been imposed on the jour</w:t>
      </w:r>
      <w:r w:rsidR="002E4656" w:rsidRPr="008A7BD7">
        <w:rPr>
          <w:rFonts w:ascii="Cambria" w:eastAsia="Montserrat" w:hAnsi="Cambria" w:cs="Montserrat"/>
          <w:sz w:val="20"/>
          <w:szCs w:val="20"/>
        </w:rPr>
        <w:t>n</w:t>
      </w:r>
      <w:r w:rsidR="005812A5" w:rsidRPr="008A7BD7">
        <w:rPr>
          <w:rFonts w:ascii="Cambria" w:eastAsia="Montserrat" w:hAnsi="Cambria" w:cs="Montserrat"/>
          <w:sz w:val="20"/>
          <w:szCs w:val="20"/>
        </w:rPr>
        <w:t xml:space="preserve">alists. The State also indicated that “the aggrieved parties did not </w:t>
      </w:r>
      <w:r w:rsidR="00E35B68" w:rsidRPr="008A7BD7">
        <w:rPr>
          <w:rFonts w:ascii="Cambria" w:eastAsia="Montserrat" w:hAnsi="Cambria" w:cs="Montserrat"/>
          <w:sz w:val="20"/>
          <w:szCs w:val="20"/>
        </w:rPr>
        <w:t>pursue</w:t>
      </w:r>
      <w:r w:rsidR="005812A5" w:rsidRPr="008A7BD7">
        <w:rPr>
          <w:rFonts w:ascii="Cambria" w:eastAsia="Montserrat" w:hAnsi="Cambria" w:cs="Montserrat"/>
          <w:sz w:val="20"/>
          <w:szCs w:val="20"/>
        </w:rPr>
        <w:t xml:space="preserve"> the proper avenues for requesting a clarification or correction of the news item published in the digital media outlets </w:t>
      </w:r>
      <w:proofErr w:type="spellStart"/>
      <w:r w:rsidR="00FF2619" w:rsidRPr="008A7BD7">
        <w:rPr>
          <w:rFonts w:ascii="Cambria" w:eastAsia="Montserrat" w:hAnsi="Cambria" w:cs="Montserrat"/>
          <w:i/>
          <w:iCs/>
          <w:sz w:val="20"/>
          <w:szCs w:val="20"/>
        </w:rPr>
        <w:t>Artículo</w:t>
      </w:r>
      <w:proofErr w:type="spellEnd"/>
      <w:r w:rsidR="00FF2619" w:rsidRPr="008A7BD7">
        <w:rPr>
          <w:rFonts w:ascii="Cambria" w:eastAsia="Montserrat" w:hAnsi="Cambria" w:cs="Montserrat"/>
          <w:i/>
          <w:iCs/>
          <w:sz w:val="20"/>
          <w:szCs w:val="20"/>
        </w:rPr>
        <w:t xml:space="preserve"> 35</w:t>
      </w:r>
      <w:r w:rsidR="00FF2619" w:rsidRPr="008A7BD7">
        <w:rPr>
          <w:rFonts w:ascii="Cambria" w:eastAsia="Montserrat" w:hAnsi="Cambria" w:cs="Montserrat"/>
          <w:sz w:val="20"/>
          <w:szCs w:val="20"/>
        </w:rPr>
        <w:t xml:space="preserve"> </w:t>
      </w:r>
      <w:r w:rsidR="005812A5" w:rsidRPr="008A7BD7">
        <w:rPr>
          <w:rFonts w:ascii="Cambria" w:eastAsia="Montserrat" w:hAnsi="Cambria" w:cs="Montserrat"/>
          <w:sz w:val="20"/>
          <w:szCs w:val="20"/>
        </w:rPr>
        <w:t>and</w:t>
      </w:r>
      <w:r w:rsidR="00FF2619" w:rsidRPr="008A7BD7">
        <w:rPr>
          <w:rFonts w:ascii="Cambria" w:eastAsia="Montserrat" w:hAnsi="Cambria" w:cs="Montserrat"/>
          <w:sz w:val="20"/>
          <w:szCs w:val="20"/>
        </w:rPr>
        <w:t xml:space="preserve"> </w:t>
      </w:r>
      <w:r w:rsidR="00FF2619" w:rsidRPr="008A7BD7">
        <w:rPr>
          <w:rFonts w:ascii="Cambria" w:eastAsia="Montserrat" w:hAnsi="Cambria" w:cs="Montserrat"/>
          <w:i/>
          <w:iCs/>
          <w:sz w:val="20"/>
          <w:szCs w:val="20"/>
        </w:rPr>
        <w:t>Vox Populi</w:t>
      </w:r>
      <w:r w:rsidR="00FF2619" w:rsidRPr="008A7BD7">
        <w:rPr>
          <w:rFonts w:ascii="Cambria" w:eastAsia="Montserrat" w:hAnsi="Cambria" w:cs="Montserrat"/>
          <w:sz w:val="20"/>
          <w:szCs w:val="20"/>
        </w:rPr>
        <w:t xml:space="preserve">. </w:t>
      </w:r>
      <w:r w:rsidR="002E4656" w:rsidRPr="008A7BD7">
        <w:rPr>
          <w:rFonts w:ascii="Cambria" w:eastAsia="Montserrat" w:hAnsi="Cambria" w:cs="Montserrat"/>
          <w:sz w:val="20"/>
          <w:szCs w:val="20"/>
        </w:rPr>
        <w:t xml:space="preserve">Therefore, it was unnecessary to bar </w:t>
      </w:r>
      <w:r w:rsidR="00FF2619" w:rsidRPr="008A7BD7">
        <w:rPr>
          <w:rFonts w:ascii="Cambria" w:eastAsia="Montserrat" w:hAnsi="Cambria" w:cs="Montserrat"/>
          <w:sz w:val="20"/>
          <w:szCs w:val="20"/>
        </w:rPr>
        <w:t xml:space="preserve">Del Cid </w:t>
      </w:r>
      <w:r w:rsidR="002E4656" w:rsidRPr="008A7BD7">
        <w:rPr>
          <w:rFonts w:ascii="Cambria" w:eastAsia="Montserrat" w:hAnsi="Cambria" w:cs="Montserrat"/>
          <w:sz w:val="20"/>
          <w:szCs w:val="20"/>
        </w:rPr>
        <w:t>and</w:t>
      </w:r>
      <w:r w:rsidR="00FF2619" w:rsidRPr="008A7BD7">
        <w:rPr>
          <w:rFonts w:ascii="Cambria" w:eastAsia="Montserrat" w:hAnsi="Cambria" w:cs="Montserrat"/>
          <w:sz w:val="20"/>
          <w:szCs w:val="20"/>
        </w:rPr>
        <w:t xml:space="preserve"> Figueroa </w:t>
      </w:r>
      <w:r w:rsidR="002E4656" w:rsidRPr="008A7BD7">
        <w:rPr>
          <w:rFonts w:ascii="Cambria" w:eastAsia="Montserrat" w:hAnsi="Cambria" w:cs="Montserrat"/>
          <w:sz w:val="20"/>
          <w:szCs w:val="20"/>
        </w:rPr>
        <w:t xml:space="preserve">from the rights to freedom of the press, freedom of expression, and </w:t>
      </w:r>
      <w:r w:rsidR="00E35B68" w:rsidRPr="008A7BD7">
        <w:rPr>
          <w:rFonts w:ascii="Cambria" w:eastAsia="Montserrat" w:hAnsi="Cambria" w:cs="Montserrat"/>
          <w:sz w:val="20"/>
          <w:szCs w:val="20"/>
        </w:rPr>
        <w:t>right</w:t>
      </w:r>
      <w:r w:rsidR="002E4656" w:rsidRPr="008A7BD7">
        <w:rPr>
          <w:rFonts w:ascii="Cambria" w:eastAsia="Montserrat" w:hAnsi="Cambria" w:cs="Montserrat"/>
          <w:sz w:val="20"/>
          <w:szCs w:val="20"/>
        </w:rPr>
        <w:t xml:space="preserve"> of access to sources of public information.”</w:t>
      </w:r>
      <w:r w:rsidR="00FF2619" w:rsidRPr="008A7BD7">
        <w:rPr>
          <w:rStyle w:val="FootnoteReference"/>
          <w:rFonts w:ascii="Cambria" w:eastAsia="Montserrat" w:hAnsi="Cambria" w:cs="Montserrat"/>
          <w:sz w:val="20"/>
          <w:szCs w:val="20"/>
          <w:lang w:val="es-US"/>
        </w:rPr>
        <w:footnoteReference w:id="133"/>
      </w:r>
    </w:p>
    <w:p w14:paraId="1028385C" w14:textId="77777777" w:rsidR="004E0CAC" w:rsidRPr="008A7BD7" w:rsidRDefault="004E0CAC" w:rsidP="00FF2619">
      <w:pPr>
        <w:ind w:left="720"/>
        <w:jc w:val="both"/>
        <w:rPr>
          <w:rFonts w:ascii="Cambria" w:eastAsia="Times New Roman" w:hAnsi="Cambria" w:cs="Tahoma"/>
          <w:color w:val="000000"/>
          <w:sz w:val="20"/>
          <w:szCs w:val="20"/>
          <w:lang w:eastAsia="es-ES_tradnl"/>
        </w:rPr>
      </w:pPr>
    </w:p>
    <w:p w14:paraId="2238323E" w14:textId="674D2ECA" w:rsidR="004E0CAC" w:rsidRPr="008A7BD7" w:rsidRDefault="006A3E20"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In August</w:t>
      </w:r>
      <w:r w:rsidR="004E0CAC" w:rsidRPr="008A7BD7">
        <w:rPr>
          <w:rFonts w:ascii="Cambria" w:eastAsia="Cambria" w:hAnsi="Cambria" w:cs="Cambria"/>
          <w:sz w:val="20"/>
          <w:szCs w:val="20"/>
        </w:rPr>
        <w:t xml:space="preserve">, Alejandra Carrillo, </w:t>
      </w:r>
      <w:r w:rsidRPr="008A7BD7">
        <w:rPr>
          <w:rFonts w:ascii="Cambria" w:eastAsia="Cambria" w:hAnsi="Cambria" w:cs="Cambria"/>
          <w:sz w:val="20"/>
          <w:szCs w:val="20"/>
        </w:rPr>
        <w:t xml:space="preserve">director of the Victims Institute, reportedly filed a complaint against journalists from the newspaper </w:t>
      </w:r>
      <w:r w:rsidR="004E0CAC" w:rsidRPr="008A7BD7">
        <w:rPr>
          <w:rFonts w:ascii="Cambria" w:eastAsia="Cambria" w:hAnsi="Cambria" w:cs="Cambria"/>
          <w:i/>
          <w:iCs/>
          <w:sz w:val="20"/>
          <w:szCs w:val="20"/>
        </w:rPr>
        <w:t>La Hora</w:t>
      </w:r>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after it published stories that were critical of her work as a congress</w:t>
      </w:r>
      <w:r w:rsidR="00851CDD" w:rsidRPr="008A7BD7">
        <w:rPr>
          <w:rFonts w:ascii="Cambria" w:eastAsia="Cambria" w:hAnsi="Cambria" w:cs="Cambria"/>
          <w:sz w:val="20"/>
          <w:szCs w:val="20"/>
        </w:rPr>
        <w:t>woman</w:t>
      </w:r>
      <w:r w:rsidR="00D25A92" w:rsidRPr="008A7BD7">
        <w:rPr>
          <w:rFonts w:ascii="Cambria" w:eastAsia="Cambria" w:hAnsi="Cambria" w:cs="Cambria"/>
          <w:sz w:val="20"/>
          <w:szCs w:val="20"/>
        </w:rPr>
        <w:t xml:space="preserve"> from </w:t>
      </w:r>
      <w:r w:rsidR="004E0CAC" w:rsidRPr="008A7BD7">
        <w:rPr>
          <w:rFonts w:ascii="Cambria" w:eastAsia="Cambria" w:hAnsi="Cambria" w:cs="Cambria"/>
          <w:sz w:val="20"/>
          <w:szCs w:val="20"/>
        </w:rPr>
        <w:t xml:space="preserve">2015 </w:t>
      </w:r>
      <w:r w:rsidR="00D25A92" w:rsidRPr="008A7BD7">
        <w:rPr>
          <w:rFonts w:ascii="Cambria" w:eastAsia="Cambria" w:hAnsi="Cambria" w:cs="Cambria"/>
          <w:sz w:val="20"/>
          <w:szCs w:val="20"/>
        </w:rPr>
        <w:t>to</w:t>
      </w:r>
      <w:r w:rsidR="004E0CAC" w:rsidRPr="008A7BD7">
        <w:rPr>
          <w:rFonts w:ascii="Cambria" w:eastAsia="Cambria" w:hAnsi="Cambria" w:cs="Cambria"/>
          <w:sz w:val="20"/>
          <w:szCs w:val="20"/>
        </w:rPr>
        <w:t xml:space="preserve"> 2019</w:t>
      </w:r>
      <w:r w:rsidR="00105437" w:rsidRPr="008A7BD7">
        <w:rPr>
          <w:rFonts w:ascii="Cambria" w:eastAsia="Cambria" w:hAnsi="Cambria" w:cs="Cambria"/>
          <w:sz w:val="20"/>
          <w:szCs w:val="20"/>
        </w:rPr>
        <w:t xml:space="preserve">, </w:t>
      </w:r>
      <w:r w:rsidR="00D25A92" w:rsidRPr="008A7BD7">
        <w:rPr>
          <w:rFonts w:ascii="Cambria" w:eastAsia="Cambria" w:hAnsi="Cambria" w:cs="Cambria"/>
          <w:sz w:val="20"/>
          <w:szCs w:val="20"/>
        </w:rPr>
        <w:t xml:space="preserve">in the context of corruption complaints against </w:t>
      </w:r>
      <w:r w:rsidR="00851CDD" w:rsidRPr="008A7BD7">
        <w:rPr>
          <w:rFonts w:ascii="Cambria" w:eastAsia="Cambria" w:hAnsi="Cambria" w:cs="Cambria"/>
          <w:sz w:val="20"/>
          <w:szCs w:val="20"/>
        </w:rPr>
        <w:t>congressman</w:t>
      </w:r>
      <w:r w:rsidR="00D25A92" w:rsidRPr="008A7BD7">
        <w:rPr>
          <w:rFonts w:ascii="Cambria" w:eastAsia="Cambria" w:hAnsi="Cambria" w:cs="Cambria"/>
          <w:sz w:val="20"/>
          <w:szCs w:val="20"/>
        </w:rPr>
        <w:t xml:space="preserve"> </w:t>
      </w:r>
      <w:r w:rsidR="004E0CAC" w:rsidRPr="008A7BD7">
        <w:rPr>
          <w:rFonts w:ascii="Cambria" w:eastAsia="Cambria" w:hAnsi="Cambria" w:cs="Cambria"/>
          <w:sz w:val="20"/>
          <w:szCs w:val="20"/>
        </w:rPr>
        <w:t xml:space="preserve">Felipe </w:t>
      </w:r>
      <w:proofErr w:type="spellStart"/>
      <w:r w:rsidR="004E0CAC" w:rsidRPr="008A7BD7">
        <w:rPr>
          <w:rFonts w:ascii="Cambria" w:eastAsia="Cambria" w:hAnsi="Cambria" w:cs="Cambria"/>
          <w:sz w:val="20"/>
          <w:szCs w:val="20"/>
        </w:rPr>
        <w:t>Alejos</w:t>
      </w:r>
      <w:proofErr w:type="spellEnd"/>
      <w:r w:rsidR="004E0CAC" w:rsidRPr="008A7BD7">
        <w:rPr>
          <w:rFonts w:ascii="Cambria" w:eastAsia="Cambria" w:hAnsi="Cambria" w:cs="Cambria"/>
          <w:sz w:val="20"/>
          <w:szCs w:val="20"/>
        </w:rPr>
        <w:t xml:space="preserve">, </w:t>
      </w:r>
      <w:r w:rsidR="00D25A92" w:rsidRPr="008A7BD7">
        <w:rPr>
          <w:rFonts w:ascii="Cambria" w:eastAsia="Cambria" w:hAnsi="Cambria" w:cs="Cambria"/>
          <w:sz w:val="20"/>
          <w:szCs w:val="20"/>
        </w:rPr>
        <w:t>her husband.</w:t>
      </w:r>
      <w:r w:rsidR="004E0CAC" w:rsidRPr="008A7BD7">
        <w:rPr>
          <w:rFonts w:ascii="Cambria" w:eastAsia="Cambria" w:hAnsi="Cambria" w:cs="Cambria"/>
          <w:sz w:val="20"/>
          <w:szCs w:val="20"/>
          <w:vertAlign w:val="superscript"/>
          <w:lang w:val="es-419"/>
        </w:rPr>
        <w:footnoteReference w:id="134"/>
      </w:r>
      <w:r w:rsidR="004E0CAC" w:rsidRPr="008A7BD7">
        <w:rPr>
          <w:rFonts w:ascii="Cambria" w:eastAsia="Cambria" w:hAnsi="Cambria" w:cs="Cambria"/>
          <w:sz w:val="20"/>
          <w:szCs w:val="20"/>
        </w:rPr>
        <w:t xml:space="preserve"> </w:t>
      </w:r>
      <w:r w:rsidR="00D25A92" w:rsidRPr="008A7BD7">
        <w:rPr>
          <w:rFonts w:ascii="Cambria" w:eastAsia="Cambria" w:hAnsi="Cambria" w:cs="Cambria"/>
          <w:sz w:val="20"/>
          <w:szCs w:val="20"/>
        </w:rPr>
        <w:t xml:space="preserve">In addition, on September </w:t>
      </w:r>
      <w:r w:rsidR="004E0CAC" w:rsidRPr="008A7BD7">
        <w:rPr>
          <w:rFonts w:ascii="Cambria" w:hAnsi="Cambria" w:cs="Tahoma"/>
          <w:sz w:val="20"/>
          <w:szCs w:val="20"/>
          <w:shd w:val="clear" w:color="auto" w:fill="FFFFFF"/>
        </w:rPr>
        <w:t>27</w:t>
      </w:r>
      <w:r w:rsidR="00D25A92" w:rsidRPr="008A7BD7">
        <w:rPr>
          <w:rFonts w:ascii="Cambria" w:hAnsi="Cambria" w:cs="Tahoma"/>
          <w:sz w:val="20"/>
          <w:szCs w:val="20"/>
          <w:shd w:val="clear" w:color="auto" w:fill="FFFFFF"/>
        </w:rPr>
        <w:t xml:space="preserve">, </w:t>
      </w:r>
      <w:r w:rsidR="004E0CAC" w:rsidRPr="008A7BD7">
        <w:rPr>
          <w:rFonts w:ascii="Cambria" w:hAnsi="Cambria" w:cs="Tahoma"/>
          <w:sz w:val="20"/>
          <w:szCs w:val="20"/>
          <w:shd w:val="clear" w:color="auto" w:fill="FFFFFF"/>
        </w:rPr>
        <w:t xml:space="preserve">2021, </w:t>
      </w:r>
      <w:r w:rsidR="00D25A92" w:rsidRPr="008A7BD7">
        <w:rPr>
          <w:rFonts w:ascii="Cambria" w:hAnsi="Cambria" w:cs="Tahoma"/>
          <w:sz w:val="20"/>
          <w:szCs w:val="20"/>
          <w:shd w:val="clear" w:color="auto" w:fill="FFFFFF"/>
        </w:rPr>
        <w:t>the Supreme Court determined that the Public Prosecutor</w:t>
      </w:r>
      <w:r w:rsidR="00851CDD" w:rsidRPr="008A7BD7">
        <w:rPr>
          <w:rFonts w:ascii="Cambria" w:hAnsi="Cambria" w:cs="Tahoma"/>
          <w:sz w:val="20"/>
          <w:szCs w:val="20"/>
          <w:shd w:val="clear" w:color="auto" w:fill="FFFFFF"/>
        </w:rPr>
        <w:t xml:space="preserve">’s </w:t>
      </w:r>
      <w:r w:rsidR="00851CDD" w:rsidRPr="008A7BD7">
        <w:rPr>
          <w:rFonts w:ascii="Cambria" w:hAnsi="Cambria" w:cs="Tahoma"/>
          <w:sz w:val="20"/>
          <w:szCs w:val="20"/>
          <w:shd w:val="clear" w:color="auto" w:fill="FFFFFF"/>
        </w:rPr>
        <w:lastRenderedPageBreak/>
        <w:t>Office</w:t>
      </w:r>
      <w:r w:rsidR="00D25A92" w:rsidRPr="008A7BD7">
        <w:rPr>
          <w:rFonts w:ascii="Cambria" w:hAnsi="Cambria" w:cs="Tahoma"/>
          <w:sz w:val="20"/>
          <w:szCs w:val="20"/>
          <w:shd w:val="clear" w:color="auto" w:fill="FFFFFF"/>
        </w:rPr>
        <w:t xml:space="preserve"> should investigate </w:t>
      </w:r>
      <w:r w:rsidR="004E0CAC" w:rsidRPr="008A7BD7">
        <w:rPr>
          <w:rFonts w:ascii="Cambria" w:hAnsi="Cambria" w:cs="Tahoma"/>
          <w:i/>
          <w:iCs/>
          <w:sz w:val="20"/>
          <w:szCs w:val="20"/>
          <w:shd w:val="clear" w:color="auto" w:fill="FFFFFF"/>
        </w:rPr>
        <w:t xml:space="preserve">El </w:t>
      </w:r>
      <w:proofErr w:type="spellStart"/>
      <w:r w:rsidR="004E0CAC" w:rsidRPr="008A7BD7">
        <w:rPr>
          <w:rFonts w:ascii="Cambria" w:hAnsi="Cambria" w:cs="Tahoma"/>
          <w:i/>
          <w:iCs/>
          <w:sz w:val="20"/>
          <w:szCs w:val="20"/>
          <w:shd w:val="clear" w:color="auto" w:fill="FFFFFF"/>
        </w:rPr>
        <w:t>Periódico</w:t>
      </w:r>
      <w:proofErr w:type="spellEnd"/>
      <w:r w:rsidR="004E0CAC" w:rsidRPr="008A7BD7">
        <w:rPr>
          <w:rFonts w:ascii="Cambria" w:hAnsi="Cambria" w:cs="Tahoma"/>
          <w:i/>
          <w:iCs/>
          <w:sz w:val="20"/>
          <w:szCs w:val="20"/>
          <w:shd w:val="clear" w:color="auto" w:fill="FFFFFF"/>
        </w:rPr>
        <w:t xml:space="preserve"> </w:t>
      </w:r>
      <w:r w:rsidR="00D25A92" w:rsidRPr="008A7BD7">
        <w:rPr>
          <w:rFonts w:ascii="Cambria" w:hAnsi="Cambria" w:cs="Tahoma"/>
          <w:sz w:val="20"/>
          <w:szCs w:val="20"/>
          <w:shd w:val="clear" w:color="auto" w:fill="FFFFFF"/>
        </w:rPr>
        <w:t>for the</w:t>
      </w:r>
      <w:r w:rsidR="004E0CAC" w:rsidRPr="008A7BD7">
        <w:rPr>
          <w:rFonts w:ascii="Cambria" w:hAnsi="Cambria" w:cs="Tahoma"/>
          <w:sz w:val="20"/>
          <w:szCs w:val="20"/>
          <w:shd w:val="clear" w:color="auto" w:fill="FFFFFF"/>
        </w:rPr>
        <w:t xml:space="preserve"> “</w:t>
      </w:r>
      <w:r w:rsidR="00D25A92" w:rsidRPr="008A7BD7">
        <w:rPr>
          <w:rFonts w:ascii="Cambria" w:hAnsi="Cambria" w:cs="Tahoma"/>
          <w:sz w:val="20"/>
          <w:szCs w:val="20"/>
          <w:shd w:val="clear" w:color="auto" w:fill="FFFFFF"/>
        </w:rPr>
        <w:t>possible commission of</w:t>
      </w:r>
      <w:r w:rsidR="00786497" w:rsidRPr="008A7BD7">
        <w:rPr>
          <w:rFonts w:ascii="Cambria" w:hAnsi="Cambria" w:cs="Tahoma"/>
          <w:sz w:val="20"/>
          <w:szCs w:val="20"/>
          <w:shd w:val="clear" w:color="auto" w:fill="FFFFFF"/>
        </w:rPr>
        <w:t xml:space="preserve"> illicit acts stemming from the publication and use, as a means of conviction, of a document containing testimony in the case file</w:t>
      </w:r>
      <w:r w:rsidR="00786497" w:rsidRPr="008A7BD7">
        <w:rPr>
          <w:rFonts w:ascii="Cambria" w:hAnsi="Cambria"/>
          <w:sz w:val="20"/>
          <w:szCs w:val="20"/>
          <w:shd w:val="clear" w:color="auto" w:fill="FFFFFF"/>
        </w:rPr>
        <w:t xml:space="preserve"> </w:t>
      </w:r>
      <w:r w:rsidR="004E0CAC" w:rsidRPr="008A7BD7">
        <w:rPr>
          <w:rFonts w:ascii="Cambria" w:hAnsi="Cambria"/>
          <w:sz w:val="20"/>
          <w:szCs w:val="20"/>
          <w:shd w:val="clear" w:color="auto" w:fill="FFFFFF"/>
        </w:rPr>
        <w:t xml:space="preserve">(…) </w:t>
      </w:r>
      <w:r w:rsidR="00786497" w:rsidRPr="008A7BD7">
        <w:rPr>
          <w:rFonts w:ascii="Cambria" w:hAnsi="Cambria"/>
          <w:sz w:val="20"/>
          <w:szCs w:val="20"/>
          <w:shd w:val="clear" w:color="auto" w:fill="FFFFFF"/>
        </w:rPr>
        <w:t>as well as any other action related to the procur</w:t>
      </w:r>
      <w:r w:rsidR="001B67EE" w:rsidRPr="008A7BD7">
        <w:rPr>
          <w:rFonts w:ascii="Cambria" w:hAnsi="Cambria"/>
          <w:sz w:val="20"/>
          <w:szCs w:val="20"/>
          <w:shd w:val="clear" w:color="auto" w:fill="FFFFFF"/>
        </w:rPr>
        <w:t>ement</w:t>
      </w:r>
      <w:r w:rsidR="00786497" w:rsidRPr="008A7BD7">
        <w:rPr>
          <w:rFonts w:ascii="Cambria" w:hAnsi="Cambria"/>
          <w:sz w:val="20"/>
          <w:szCs w:val="20"/>
          <w:shd w:val="clear" w:color="auto" w:fill="FFFFFF"/>
        </w:rPr>
        <w:t xml:space="preserve"> and publication of the information inside a summary case file</w:t>
      </w:r>
      <w:r w:rsidR="000313B3" w:rsidRPr="008A7BD7">
        <w:rPr>
          <w:rFonts w:ascii="Cambria" w:hAnsi="Cambria"/>
          <w:sz w:val="20"/>
          <w:szCs w:val="20"/>
          <w:shd w:val="clear" w:color="auto" w:fill="FFFFFF"/>
        </w:rPr>
        <w:t xml:space="preserve">.” This was referring to the publication of an article by </w:t>
      </w:r>
      <w:r w:rsidR="004E0CAC" w:rsidRPr="008A7BD7">
        <w:rPr>
          <w:rFonts w:ascii="Cambria" w:hAnsi="Cambria"/>
          <w:i/>
          <w:iCs/>
          <w:sz w:val="20"/>
          <w:szCs w:val="20"/>
          <w:shd w:val="clear" w:color="auto" w:fill="FFFFFF"/>
        </w:rPr>
        <w:t xml:space="preserve">El </w:t>
      </w:r>
      <w:proofErr w:type="spellStart"/>
      <w:r w:rsidR="004E0CAC" w:rsidRPr="008A7BD7">
        <w:rPr>
          <w:rFonts w:ascii="Cambria" w:hAnsi="Cambria"/>
          <w:i/>
          <w:iCs/>
          <w:sz w:val="20"/>
          <w:szCs w:val="20"/>
          <w:shd w:val="clear" w:color="auto" w:fill="FFFFFF"/>
        </w:rPr>
        <w:t>Periódico</w:t>
      </w:r>
      <w:proofErr w:type="spellEnd"/>
      <w:r w:rsidR="004E0CAC" w:rsidRPr="008A7BD7">
        <w:rPr>
          <w:rFonts w:ascii="Cambria" w:hAnsi="Cambria"/>
          <w:sz w:val="20"/>
          <w:szCs w:val="20"/>
          <w:shd w:val="clear" w:color="auto" w:fill="FFFFFF"/>
        </w:rPr>
        <w:t xml:space="preserve"> </w:t>
      </w:r>
      <w:r w:rsidR="00703E9D" w:rsidRPr="008A7BD7">
        <w:rPr>
          <w:rFonts w:ascii="Cambria" w:hAnsi="Cambria"/>
          <w:sz w:val="20"/>
          <w:szCs w:val="20"/>
          <w:shd w:val="clear" w:color="auto" w:fill="FFFFFF"/>
        </w:rPr>
        <w:t>which included</w:t>
      </w:r>
      <w:r w:rsidR="000313B3" w:rsidRPr="008A7BD7">
        <w:rPr>
          <w:rFonts w:ascii="Cambria" w:hAnsi="Cambria"/>
          <w:sz w:val="20"/>
          <w:szCs w:val="20"/>
          <w:shd w:val="clear" w:color="auto" w:fill="FFFFFF"/>
        </w:rPr>
        <w:t xml:space="preserve"> testimony provided to the </w:t>
      </w:r>
      <w:r w:rsidR="00A4771F" w:rsidRPr="008A7BD7">
        <w:rPr>
          <w:rFonts w:ascii="Cambria" w:eastAsia="Times New Roman" w:hAnsi="Cambria" w:cs="Times New Roman"/>
          <w:sz w:val="20"/>
          <w:szCs w:val="20"/>
          <w:lang w:eastAsia="es-ES"/>
        </w:rPr>
        <w:t>Office of the Special Prosecutor against Impunity</w:t>
      </w:r>
      <w:r w:rsidR="00703E9D" w:rsidRPr="008A7BD7">
        <w:rPr>
          <w:rFonts w:ascii="Cambria" w:eastAsia="Times New Roman" w:hAnsi="Cambria" w:cs="Times New Roman"/>
          <w:sz w:val="20"/>
          <w:szCs w:val="20"/>
          <w:lang w:eastAsia="es-ES"/>
        </w:rPr>
        <w:t xml:space="preserve"> and</w:t>
      </w:r>
      <w:r w:rsidR="000313B3" w:rsidRPr="008A7BD7">
        <w:rPr>
          <w:rFonts w:ascii="Cambria" w:eastAsia="Times New Roman" w:hAnsi="Cambria" w:cs="Times New Roman"/>
          <w:sz w:val="20"/>
          <w:szCs w:val="20"/>
          <w:lang w:eastAsia="es-ES"/>
        </w:rPr>
        <w:t xml:space="preserve"> which reportedly revealed acts of corruption engaged in by high-ranking public authorities.</w:t>
      </w:r>
      <w:r w:rsidR="004E0CAC" w:rsidRPr="008A7BD7">
        <w:rPr>
          <w:rStyle w:val="FootnoteReference"/>
          <w:rFonts w:ascii="Cambria" w:hAnsi="Cambria"/>
          <w:sz w:val="20"/>
          <w:szCs w:val="20"/>
          <w:shd w:val="clear" w:color="auto" w:fill="FFFFFF"/>
          <w:lang w:val="es-419"/>
        </w:rPr>
        <w:footnoteReference w:id="135"/>
      </w:r>
      <w:r w:rsidR="004E0CAC" w:rsidRPr="008A7BD7">
        <w:rPr>
          <w:rFonts w:ascii="Cambria" w:hAnsi="Cambria"/>
          <w:sz w:val="20"/>
          <w:szCs w:val="20"/>
          <w:shd w:val="clear" w:color="auto" w:fill="FFFFFF"/>
        </w:rPr>
        <w:t xml:space="preserve"> </w:t>
      </w:r>
    </w:p>
    <w:p w14:paraId="60EC4119" w14:textId="77777777" w:rsidR="004E0CAC" w:rsidRPr="008A7BD7" w:rsidRDefault="004E0CAC" w:rsidP="00FF2619">
      <w:pPr>
        <w:rPr>
          <w:rFonts w:ascii="Cambria" w:hAnsi="Cambria" w:cs="Tahoma"/>
          <w:sz w:val="20"/>
          <w:szCs w:val="20"/>
          <w:shd w:val="clear" w:color="auto" w:fill="FFFFFF"/>
        </w:rPr>
      </w:pPr>
    </w:p>
    <w:p w14:paraId="19CD0D99" w14:textId="57AE2281" w:rsidR="004E0CAC" w:rsidRPr="008A7BD7" w:rsidRDefault="001B4786"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hAnsi="Cambria" w:cs="Tahoma"/>
          <w:sz w:val="20"/>
          <w:szCs w:val="20"/>
          <w:shd w:val="clear" w:color="auto" w:fill="FFFFFF"/>
        </w:rPr>
        <w:t>The newspaper</w:t>
      </w:r>
      <w:r w:rsidR="004E0CAC" w:rsidRPr="008A7BD7">
        <w:rPr>
          <w:rFonts w:ascii="Cambria" w:hAnsi="Cambria" w:cs="Tahoma"/>
          <w:sz w:val="20"/>
          <w:szCs w:val="20"/>
          <w:shd w:val="clear" w:color="auto" w:fill="FFFFFF"/>
        </w:rPr>
        <w:t xml:space="preserve"> </w:t>
      </w:r>
      <w:r w:rsidR="004E0CAC" w:rsidRPr="008A7BD7">
        <w:rPr>
          <w:rFonts w:ascii="Cambria" w:hAnsi="Cambria" w:cs="Tahoma"/>
          <w:i/>
          <w:iCs/>
          <w:sz w:val="20"/>
          <w:szCs w:val="20"/>
          <w:shd w:val="clear" w:color="auto" w:fill="FFFFFF"/>
        </w:rPr>
        <w:t>La Hora</w:t>
      </w:r>
      <w:r w:rsidR="004E0CAC" w:rsidRPr="008A7BD7">
        <w:rPr>
          <w:rFonts w:ascii="Cambria" w:hAnsi="Cambria" w:cs="Tahoma"/>
          <w:sz w:val="20"/>
          <w:szCs w:val="20"/>
          <w:shd w:val="clear" w:color="auto" w:fill="FFFFFF"/>
        </w:rPr>
        <w:t xml:space="preserve"> </w:t>
      </w:r>
      <w:r w:rsidRPr="008A7BD7">
        <w:rPr>
          <w:rFonts w:ascii="Cambria" w:hAnsi="Cambria" w:cs="Tahoma"/>
          <w:sz w:val="20"/>
          <w:szCs w:val="20"/>
          <w:shd w:val="clear" w:color="auto" w:fill="FFFFFF"/>
        </w:rPr>
        <w:t xml:space="preserve">also reported that on October </w:t>
      </w:r>
      <w:r w:rsidR="004E0CAC" w:rsidRPr="008A7BD7">
        <w:rPr>
          <w:rFonts w:ascii="Cambria" w:hAnsi="Cambria" w:cs="Tahoma"/>
          <w:sz w:val="20"/>
          <w:szCs w:val="20"/>
          <w:shd w:val="clear" w:color="auto" w:fill="FFFFFF"/>
        </w:rPr>
        <w:t xml:space="preserve">2 </w:t>
      </w:r>
      <w:r w:rsidRPr="008A7BD7">
        <w:rPr>
          <w:rFonts w:ascii="Cambria" w:hAnsi="Cambria" w:cs="Tahoma"/>
          <w:sz w:val="20"/>
          <w:szCs w:val="20"/>
          <w:shd w:val="clear" w:color="auto" w:fill="FFFFFF"/>
        </w:rPr>
        <w:t xml:space="preserve">it received a communication requesting information from one of its journalists </w:t>
      </w:r>
      <w:r w:rsidR="001C0306" w:rsidRPr="008A7BD7">
        <w:rPr>
          <w:rFonts w:ascii="Cambria" w:hAnsi="Cambria" w:cs="Tahoma"/>
          <w:sz w:val="20"/>
          <w:szCs w:val="20"/>
          <w:shd w:val="clear" w:color="auto" w:fill="FFFFFF"/>
        </w:rPr>
        <w:t xml:space="preserve">who was </w:t>
      </w:r>
      <w:r w:rsidRPr="008A7BD7">
        <w:rPr>
          <w:rFonts w:ascii="Cambria" w:hAnsi="Cambria" w:cs="Tahoma"/>
          <w:sz w:val="20"/>
          <w:szCs w:val="20"/>
          <w:shd w:val="clear" w:color="auto" w:fill="FFFFFF"/>
        </w:rPr>
        <w:t xml:space="preserve">responsible for publishing a story in </w:t>
      </w:r>
      <w:r w:rsidR="004E0CAC" w:rsidRPr="008A7BD7">
        <w:rPr>
          <w:rFonts w:ascii="Cambria" w:hAnsi="Cambria" w:cs="Tahoma"/>
          <w:sz w:val="20"/>
          <w:szCs w:val="20"/>
          <w:shd w:val="clear" w:color="auto" w:fill="FFFFFF"/>
        </w:rPr>
        <w:t>2019</w:t>
      </w:r>
      <w:r w:rsidRPr="008A7BD7">
        <w:rPr>
          <w:rFonts w:ascii="Cambria" w:hAnsi="Cambria" w:cs="Tahoma"/>
          <w:sz w:val="20"/>
          <w:szCs w:val="20"/>
          <w:shd w:val="clear" w:color="auto" w:fill="FFFFFF"/>
        </w:rPr>
        <w:t xml:space="preserve"> about operations reportedly carried out by the</w:t>
      </w:r>
      <w:r w:rsidRPr="008A7BD7">
        <w:rPr>
          <w:rFonts w:ascii="Cambria" w:eastAsia="Times New Roman" w:hAnsi="Cambria" w:cs="Times New Roman"/>
          <w:sz w:val="20"/>
          <w:szCs w:val="20"/>
          <w:lang w:eastAsia="es-ES"/>
        </w:rPr>
        <w:t xml:space="preserve"> </w:t>
      </w:r>
      <w:r w:rsidR="00A4771F" w:rsidRPr="008A7BD7">
        <w:rPr>
          <w:rFonts w:ascii="Cambria" w:eastAsia="Times New Roman" w:hAnsi="Cambria" w:cs="Times New Roman"/>
          <w:sz w:val="20"/>
          <w:szCs w:val="20"/>
          <w:lang w:eastAsia="es-ES"/>
        </w:rPr>
        <w:t xml:space="preserve">Office of the </w:t>
      </w:r>
      <w:r w:rsidRPr="008A7BD7">
        <w:rPr>
          <w:rFonts w:ascii="Cambria" w:eastAsia="Times New Roman" w:hAnsi="Cambria" w:cs="Times New Roman"/>
          <w:sz w:val="20"/>
          <w:szCs w:val="20"/>
          <w:lang w:eastAsia="es-ES"/>
        </w:rPr>
        <w:t>Special Prosecutor</w:t>
      </w:r>
      <w:r w:rsidR="00A4771F" w:rsidRPr="008A7BD7">
        <w:rPr>
          <w:rFonts w:ascii="Cambria" w:eastAsia="Times New Roman" w:hAnsi="Cambria" w:cs="Times New Roman"/>
          <w:sz w:val="20"/>
          <w:szCs w:val="20"/>
          <w:lang w:eastAsia="es-ES"/>
        </w:rPr>
        <w:t xml:space="preserve"> against</w:t>
      </w:r>
      <w:r w:rsidRPr="008A7BD7">
        <w:rPr>
          <w:rFonts w:ascii="Cambria" w:eastAsia="Times New Roman" w:hAnsi="Cambria" w:cs="Times New Roman"/>
          <w:sz w:val="20"/>
          <w:szCs w:val="20"/>
          <w:lang w:eastAsia="es-ES"/>
        </w:rPr>
        <w:t xml:space="preserve"> Impunity</w:t>
      </w:r>
      <w:r w:rsidR="0061566F" w:rsidRPr="008A7BD7">
        <w:rPr>
          <w:rFonts w:ascii="Cambria" w:hAnsi="Cambria" w:cs="Tahoma"/>
          <w:sz w:val="20"/>
          <w:szCs w:val="20"/>
          <w:shd w:val="clear" w:color="auto" w:fill="FFFFFF"/>
        </w:rPr>
        <w:t xml:space="preserve"> </w:t>
      </w:r>
      <w:r w:rsidR="001C0306" w:rsidRPr="008A7BD7">
        <w:rPr>
          <w:rFonts w:ascii="Cambria" w:hAnsi="Cambria" w:cs="Tahoma"/>
          <w:sz w:val="20"/>
          <w:szCs w:val="20"/>
          <w:shd w:val="clear" w:color="auto" w:fill="FFFFFF"/>
        </w:rPr>
        <w:t xml:space="preserve">(FECI) </w:t>
      </w:r>
      <w:r w:rsidR="0061566F" w:rsidRPr="008A7BD7">
        <w:rPr>
          <w:rFonts w:ascii="Cambria" w:hAnsi="Cambria" w:cs="Tahoma"/>
          <w:sz w:val="20"/>
          <w:szCs w:val="20"/>
          <w:shd w:val="clear" w:color="auto" w:fill="FFFFFF"/>
        </w:rPr>
        <w:t xml:space="preserve">and the International Commission against Impunity in </w:t>
      </w:r>
      <w:r w:rsidR="004E0CAC" w:rsidRPr="008A7BD7">
        <w:rPr>
          <w:rFonts w:ascii="Cambria" w:hAnsi="Cambria" w:cs="Tahoma"/>
          <w:sz w:val="20"/>
          <w:szCs w:val="20"/>
          <w:shd w:val="clear" w:color="auto" w:fill="FFFFFF"/>
        </w:rPr>
        <w:t>Guatemala</w:t>
      </w:r>
      <w:r w:rsidR="001C0306" w:rsidRPr="008A7BD7">
        <w:rPr>
          <w:rFonts w:ascii="Cambria" w:hAnsi="Cambria" w:cs="Tahoma"/>
          <w:sz w:val="20"/>
          <w:szCs w:val="20"/>
          <w:shd w:val="clear" w:color="auto" w:fill="FFFFFF"/>
        </w:rPr>
        <w:t xml:space="preserve"> (CICIG)</w:t>
      </w:r>
      <w:r w:rsidR="0061566F" w:rsidRPr="008A7BD7">
        <w:rPr>
          <w:rFonts w:ascii="Cambria" w:hAnsi="Cambria" w:cs="Tahoma"/>
          <w:sz w:val="20"/>
          <w:szCs w:val="20"/>
          <w:shd w:val="clear" w:color="auto" w:fill="FFFFFF"/>
        </w:rPr>
        <w:t xml:space="preserve">, which were leaked </w:t>
      </w:r>
      <w:r w:rsidR="00597655" w:rsidRPr="008A7BD7">
        <w:rPr>
          <w:rFonts w:ascii="Cambria" w:hAnsi="Cambria" w:cs="Tahoma"/>
          <w:sz w:val="20"/>
          <w:szCs w:val="20"/>
          <w:shd w:val="clear" w:color="auto" w:fill="FFFFFF"/>
        </w:rPr>
        <w:t>in advance</w:t>
      </w:r>
      <w:r w:rsidR="0086127B" w:rsidRPr="008A7BD7">
        <w:rPr>
          <w:rFonts w:ascii="Cambria" w:hAnsi="Cambria" w:cs="Tahoma"/>
          <w:sz w:val="20"/>
          <w:szCs w:val="20"/>
          <w:shd w:val="clear" w:color="auto" w:fill="FFFFFF"/>
        </w:rPr>
        <w:t xml:space="preserve"> </w:t>
      </w:r>
      <w:r w:rsidR="0061566F" w:rsidRPr="008A7BD7">
        <w:rPr>
          <w:rFonts w:ascii="Cambria" w:hAnsi="Cambria" w:cs="Tahoma"/>
          <w:sz w:val="20"/>
          <w:szCs w:val="20"/>
          <w:shd w:val="clear" w:color="auto" w:fill="FFFFFF"/>
        </w:rPr>
        <w:t>through social media</w:t>
      </w:r>
      <w:r w:rsidR="0086127B" w:rsidRPr="008A7BD7">
        <w:rPr>
          <w:rFonts w:ascii="Cambria" w:hAnsi="Cambria" w:cs="Tahoma"/>
          <w:sz w:val="20"/>
          <w:szCs w:val="20"/>
          <w:shd w:val="clear" w:color="auto" w:fill="FFFFFF"/>
        </w:rPr>
        <w:t>.</w:t>
      </w:r>
      <w:r w:rsidR="004E0CAC" w:rsidRPr="008A7BD7">
        <w:rPr>
          <w:rStyle w:val="FootnoteReference"/>
          <w:rFonts w:ascii="Cambria" w:hAnsi="Cambria" w:cs="Tahoma"/>
          <w:sz w:val="20"/>
          <w:szCs w:val="20"/>
          <w:shd w:val="clear" w:color="auto" w:fill="FFFFFF"/>
          <w:lang w:val="es-419"/>
        </w:rPr>
        <w:footnoteReference w:id="136"/>
      </w:r>
      <w:r w:rsidR="0086127B" w:rsidRPr="008A7BD7">
        <w:rPr>
          <w:rFonts w:ascii="Cambria" w:hAnsi="Cambria" w:cs="Tahoma"/>
          <w:sz w:val="20"/>
          <w:szCs w:val="20"/>
          <w:shd w:val="clear" w:color="auto" w:fill="FFFFFF"/>
        </w:rPr>
        <w:t xml:space="preserve"> In addition, on October </w:t>
      </w:r>
      <w:r w:rsidR="004E0CAC" w:rsidRPr="008A7BD7">
        <w:rPr>
          <w:rFonts w:ascii="Cambria" w:hAnsi="Cambria" w:cs="Tahoma"/>
          <w:sz w:val="20"/>
          <w:szCs w:val="20"/>
          <w:shd w:val="clear" w:color="auto" w:fill="FFFFFF"/>
        </w:rPr>
        <w:t>19</w:t>
      </w:r>
      <w:r w:rsidR="0086127B" w:rsidRPr="008A7BD7">
        <w:rPr>
          <w:rFonts w:ascii="Cambria" w:hAnsi="Cambria" w:cs="Tahoma"/>
          <w:sz w:val="20"/>
          <w:szCs w:val="20"/>
          <w:shd w:val="clear" w:color="auto" w:fill="FFFFFF"/>
        </w:rPr>
        <w:t>, the journalist and president of</w:t>
      </w:r>
      <w:r w:rsidR="004E0CAC" w:rsidRPr="008A7BD7">
        <w:rPr>
          <w:rFonts w:ascii="Cambria" w:hAnsi="Cambria" w:cs="Tahoma"/>
          <w:sz w:val="20"/>
          <w:szCs w:val="20"/>
          <w:shd w:val="clear" w:color="auto" w:fill="FFFFFF"/>
        </w:rPr>
        <w:t> </w:t>
      </w:r>
      <w:r w:rsidR="004E0CAC" w:rsidRPr="008A7BD7">
        <w:rPr>
          <w:rFonts w:ascii="Cambria" w:hAnsi="Cambria" w:cs="Tahoma"/>
          <w:i/>
          <w:iCs/>
          <w:sz w:val="20"/>
          <w:szCs w:val="20"/>
          <w:shd w:val="clear" w:color="auto" w:fill="FFFFFF"/>
        </w:rPr>
        <w:t xml:space="preserve">El </w:t>
      </w:r>
      <w:proofErr w:type="spellStart"/>
      <w:r w:rsidR="004E0CAC" w:rsidRPr="008A7BD7">
        <w:rPr>
          <w:rFonts w:ascii="Cambria" w:hAnsi="Cambria" w:cs="Tahoma"/>
          <w:i/>
          <w:iCs/>
          <w:sz w:val="20"/>
          <w:szCs w:val="20"/>
          <w:shd w:val="clear" w:color="auto" w:fill="FFFFFF"/>
        </w:rPr>
        <w:t>Periódico</w:t>
      </w:r>
      <w:proofErr w:type="spellEnd"/>
      <w:r w:rsidR="004E0CAC" w:rsidRPr="008A7BD7">
        <w:rPr>
          <w:rFonts w:ascii="Cambria" w:hAnsi="Cambria" w:cs="Tahoma"/>
          <w:sz w:val="20"/>
          <w:szCs w:val="20"/>
          <w:shd w:val="clear" w:color="auto" w:fill="FFFFFF"/>
        </w:rPr>
        <w:t xml:space="preserve"> José Rubén Zamora </w:t>
      </w:r>
      <w:r w:rsidR="00610CA3" w:rsidRPr="008A7BD7">
        <w:rPr>
          <w:rFonts w:ascii="Cambria" w:hAnsi="Cambria" w:cs="Tahoma"/>
          <w:sz w:val="20"/>
          <w:szCs w:val="20"/>
          <w:shd w:val="clear" w:color="auto" w:fill="FFFFFF"/>
        </w:rPr>
        <w:t xml:space="preserve">denounced acts of </w:t>
      </w:r>
      <w:r w:rsidR="00E55DB9" w:rsidRPr="008A7BD7">
        <w:rPr>
          <w:rFonts w:ascii="Cambria" w:hAnsi="Cambria" w:cs="Tahoma"/>
          <w:sz w:val="20"/>
          <w:szCs w:val="20"/>
          <w:shd w:val="clear" w:color="auto" w:fill="FFFFFF"/>
        </w:rPr>
        <w:t>criminal</w:t>
      </w:r>
      <w:r w:rsidR="00610CA3" w:rsidRPr="008A7BD7">
        <w:rPr>
          <w:rFonts w:ascii="Cambria" w:hAnsi="Cambria" w:cs="Tahoma"/>
          <w:sz w:val="20"/>
          <w:szCs w:val="20"/>
          <w:shd w:val="clear" w:color="auto" w:fill="FFFFFF"/>
        </w:rPr>
        <w:t xml:space="preserve"> persecution </w:t>
      </w:r>
      <w:r w:rsidR="00E55DB9" w:rsidRPr="008A7BD7">
        <w:rPr>
          <w:rFonts w:ascii="Cambria" w:hAnsi="Cambria" w:cs="Tahoma"/>
          <w:sz w:val="20"/>
          <w:szCs w:val="20"/>
          <w:shd w:val="clear" w:color="auto" w:fill="FFFFFF"/>
        </w:rPr>
        <w:t xml:space="preserve">carried out </w:t>
      </w:r>
      <w:r w:rsidR="00610CA3" w:rsidRPr="008A7BD7">
        <w:rPr>
          <w:rFonts w:ascii="Cambria" w:hAnsi="Cambria" w:cs="Tahoma"/>
          <w:sz w:val="20"/>
          <w:szCs w:val="20"/>
          <w:shd w:val="clear" w:color="auto" w:fill="FFFFFF"/>
        </w:rPr>
        <w:t xml:space="preserve">by high-level public officials for </w:t>
      </w:r>
      <w:r w:rsidR="00E55DB9" w:rsidRPr="008A7BD7">
        <w:rPr>
          <w:rFonts w:ascii="Cambria" w:hAnsi="Cambria" w:cs="Tahoma"/>
          <w:sz w:val="20"/>
          <w:szCs w:val="20"/>
          <w:shd w:val="clear" w:color="auto" w:fill="FFFFFF"/>
        </w:rPr>
        <w:t>purposes</w:t>
      </w:r>
      <w:r w:rsidR="00597655" w:rsidRPr="008A7BD7">
        <w:rPr>
          <w:rFonts w:ascii="Cambria" w:hAnsi="Cambria" w:cs="Tahoma"/>
          <w:sz w:val="20"/>
          <w:szCs w:val="20"/>
          <w:shd w:val="clear" w:color="auto" w:fill="FFFFFF"/>
        </w:rPr>
        <w:t xml:space="preserve"> of intimidation</w:t>
      </w:r>
      <w:r w:rsidR="004E0CAC" w:rsidRPr="008A7BD7">
        <w:rPr>
          <w:rFonts w:ascii="Cambria" w:hAnsi="Cambria" w:cs="Tahoma"/>
          <w:sz w:val="20"/>
          <w:szCs w:val="20"/>
          <w:shd w:val="clear" w:color="auto" w:fill="FFFFFF"/>
        </w:rPr>
        <w:t xml:space="preserve">. </w:t>
      </w:r>
      <w:r w:rsidR="00E55DB9" w:rsidRPr="008A7BD7">
        <w:rPr>
          <w:rFonts w:ascii="Cambria" w:hAnsi="Cambria" w:cs="Tahoma"/>
          <w:sz w:val="20"/>
          <w:szCs w:val="20"/>
          <w:shd w:val="clear" w:color="auto" w:fill="FFFFFF"/>
        </w:rPr>
        <w:t xml:space="preserve">As far as the Office of the Special Rapporteur was able to learn, the Public Prosecutor’s Office confirmed </w:t>
      </w:r>
      <w:r w:rsidR="006A5652" w:rsidRPr="008A7BD7">
        <w:rPr>
          <w:rFonts w:ascii="Cambria" w:hAnsi="Cambria" w:cs="Tahoma"/>
          <w:sz w:val="20"/>
          <w:szCs w:val="20"/>
          <w:shd w:val="clear" w:color="auto" w:fill="FFFFFF"/>
        </w:rPr>
        <w:t>t</w:t>
      </w:r>
      <w:r w:rsidR="00E55DB9" w:rsidRPr="008A7BD7">
        <w:rPr>
          <w:rFonts w:ascii="Cambria" w:hAnsi="Cambria" w:cs="Tahoma"/>
          <w:sz w:val="20"/>
          <w:szCs w:val="20"/>
          <w:shd w:val="clear" w:color="auto" w:fill="FFFFFF"/>
        </w:rPr>
        <w:t>he existence of an investigation dating back to</w:t>
      </w:r>
      <w:r w:rsidR="004E0CAC" w:rsidRPr="008A7BD7">
        <w:rPr>
          <w:rFonts w:ascii="Cambria" w:hAnsi="Cambria" w:cs="Tahoma"/>
          <w:sz w:val="20"/>
          <w:szCs w:val="20"/>
          <w:shd w:val="clear" w:color="auto" w:fill="FFFFFF"/>
        </w:rPr>
        <w:t xml:space="preserve"> 2013, </w:t>
      </w:r>
      <w:r w:rsidR="00E55DB9" w:rsidRPr="008A7BD7">
        <w:rPr>
          <w:rFonts w:ascii="Cambria" w:hAnsi="Cambria" w:cs="Tahoma"/>
          <w:sz w:val="20"/>
          <w:szCs w:val="20"/>
          <w:shd w:val="clear" w:color="auto" w:fill="FFFFFF"/>
        </w:rPr>
        <w:t xml:space="preserve">conducted by the Office of the Prosecutor for Administrative Crimes, following a complaint filed </w:t>
      </w:r>
      <w:r w:rsidR="007402DB" w:rsidRPr="008A7BD7">
        <w:rPr>
          <w:rFonts w:ascii="Cambria" w:hAnsi="Cambria" w:cs="Tahoma"/>
          <w:sz w:val="20"/>
          <w:szCs w:val="20"/>
          <w:shd w:val="clear" w:color="auto" w:fill="FFFFFF"/>
        </w:rPr>
        <w:t>in connection with</w:t>
      </w:r>
      <w:r w:rsidR="00E55DB9" w:rsidRPr="008A7BD7">
        <w:rPr>
          <w:rFonts w:ascii="Cambria" w:hAnsi="Cambria" w:cs="Tahoma"/>
          <w:sz w:val="20"/>
          <w:szCs w:val="20"/>
          <w:shd w:val="clear" w:color="auto" w:fill="FFFFFF"/>
        </w:rPr>
        <w:t xml:space="preserve"> an internal audit of the Guatemalan Social Security Institute</w:t>
      </w:r>
      <w:r w:rsidR="004E0CAC" w:rsidRPr="008A7BD7">
        <w:rPr>
          <w:rFonts w:ascii="Cambria" w:hAnsi="Cambria" w:cs="Tahoma"/>
          <w:sz w:val="20"/>
          <w:szCs w:val="20"/>
          <w:shd w:val="clear" w:color="auto" w:fill="FFFFFF"/>
        </w:rPr>
        <w:t xml:space="preserve"> (IGSS)</w:t>
      </w:r>
      <w:r w:rsidR="00E55DB9" w:rsidRPr="008A7BD7">
        <w:rPr>
          <w:rFonts w:ascii="Cambria" w:hAnsi="Cambria" w:cs="Tahoma"/>
          <w:sz w:val="20"/>
          <w:szCs w:val="20"/>
          <w:shd w:val="clear" w:color="auto" w:fill="FFFFFF"/>
        </w:rPr>
        <w:t>.</w:t>
      </w:r>
      <w:r w:rsidR="004E0CAC" w:rsidRPr="008A7BD7">
        <w:rPr>
          <w:rStyle w:val="FootnoteReference"/>
          <w:rFonts w:ascii="Cambria" w:hAnsi="Cambria" w:cs="Tahoma"/>
          <w:sz w:val="20"/>
          <w:szCs w:val="20"/>
          <w:shd w:val="clear" w:color="auto" w:fill="FFFFFF"/>
          <w:lang w:val="es-419"/>
        </w:rPr>
        <w:footnoteReference w:id="137"/>
      </w:r>
      <w:r w:rsidR="004E0CAC" w:rsidRPr="008A7BD7">
        <w:rPr>
          <w:rFonts w:ascii="Cambria" w:eastAsia="Cambria" w:hAnsi="Cambria" w:cs="Cambria"/>
          <w:sz w:val="20"/>
          <w:szCs w:val="20"/>
        </w:rPr>
        <w:t xml:space="preserve"> </w:t>
      </w:r>
    </w:p>
    <w:p w14:paraId="6A8F5A35" w14:textId="77777777" w:rsidR="004E0CAC" w:rsidRPr="008A7BD7" w:rsidRDefault="004E0CAC" w:rsidP="004E0CAC">
      <w:pPr>
        <w:pStyle w:val="ListParagraph"/>
        <w:rPr>
          <w:rFonts w:ascii="Cambria" w:eastAsia="Cambria" w:hAnsi="Cambria" w:cs="Cambria"/>
          <w:sz w:val="20"/>
          <w:szCs w:val="20"/>
        </w:rPr>
      </w:pPr>
    </w:p>
    <w:p w14:paraId="5096EA15" w14:textId="2FCE3F37" w:rsidR="004E0CAC" w:rsidRPr="008A7BD7" w:rsidRDefault="0050550F"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Some of these complaints</w:t>
      </w:r>
      <w:r w:rsidR="004E0CAC" w:rsidRPr="008A7BD7">
        <w:rPr>
          <w:rFonts w:ascii="Cambria" w:eastAsia="Cambria" w:hAnsi="Cambria" w:cs="Cambria"/>
          <w:sz w:val="20"/>
          <w:szCs w:val="20"/>
        </w:rPr>
        <w:t xml:space="preserve"> </w:t>
      </w:r>
      <w:r w:rsidR="002A4B5C" w:rsidRPr="008A7BD7">
        <w:rPr>
          <w:rFonts w:ascii="Cambria" w:eastAsia="Cambria" w:hAnsi="Cambria" w:cs="Cambria"/>
          <w:sz w:val="20"/>
          <w:szCs w:val="20"/>
        </w:rPr>
        <w:t>involved journalists who had reportedly been victims of alleged attacks, stigmatizing messages, and other acts of harassment.</w:t>
      </w:r>
      <w:r w:rsidR="004E0CAC" w:rsidRPr="008A7BD7">
        <w:rPr>
          <w:rStyle w:val="FootnoteReference"/>
          <w:rFonts w:ascii="Cambria" w:hAnsi="Cambria"/>
          <w:sz w:val="20"/>
          <w:szCs w:val="20"/>
          <w:shd w:val="clear" w:color="auto" w:fill="FFFFFF"/>
          <w:lang w:val="es-419"/>
        </w:rPr>
        <w:footnoteReference w:id="138"/>
      </w:r>
      <w:r w:rsidR="004E0CAC" w:rsidRPr="008A7BD7">
        <w:rPr>
          <w:rStyle w:val="normaltextrun"/>
          <w:rFonts w:ascii="Cambria" w:hAnsi="Cambria"/>
          <w:sz w:val="20"/>
          <w:szCs w:val="20"/>
          <w:shd w:val="clear" w:color="auto" w:fill="FFFFFF"/>
        </w:rPr>
        <w:t xml:space="preserve"> </w:t>
      </w:r>
      <w:r w:rsidR="002A4B5C" w:rsidRPr="008A7BD7">
        <w:rPr>
          <w:rStyle w:val="normaltextrun"/>
          <w:rFonts w:ascii="Cambria" w:hAnsi="Cambria"/>
          <w:sz w:val="20"/>
          <w:szCs w:val="20"/>
          <w:shd w:val="clear" w:color="auto" w:fill="FFFFFF"/>
        </w:rPr>
        <w:t xml:space="preserve">For example, on March </w:t>
      </w:r>
      <w:r w:rsidR="004E0CAC" w:rsidRPr="008A7BD7">
        <w:rPr>
          <w:rFonts w:ascii="Cambria" w:eastAsia="Cambria" w:hAnsi="Cambria" w:cs="Cambria"/>
          <w:sz w:val="20"/>
          <w:szCs w:val="20"/>
        </w:rPr>
        <w:t>31</w:t>
      </w:r>
      <w:r w:rsidR="002A4B5C" w:rsidRPr="008A7BD7">
        <w:rPr>
          <w:rFonts w:ascii="Cambria" w:eastAsia="Cambria" w:hAnsi="Cambria" w:cs="Cambria"/>
          <w:sz w:val="20"/>
          <w:szCs w:val="20"/>
        </w:rPr>
        <w:t xml:space="preserve">, </w:t>
      </w:r>
      <w:r w:rsidR="004E0CAC" w:rsidRPr="008A7BD7">
        <w:rPr>
          <w:rFonts w:ascii="Cambria" w:eastAsia="Cambria" w:hAnsi="Cambria" w:cs="Cambria"/>
          <w:sz w:val="20"/>
          <w:szCs w:val="20"/>
        </w:rPr>
        <w:t xml:space="preserve">2021, </w:t>
      </w:r>
      <w:r w:rsidR="002A4B5C" w:rsidRPr="008A7BD7">
        <w:rPr>
          <w:rFonts w:ascii="Cambria" w:eastAsia="Cambria" w:hAnsi="Cambria" w:cs="Cambria"/>
          <w:sz w:val="20"/>
          <w:szCs w:val="20"/>
        </w:rPr>
        <w:t xml:space="preserve">the police stopped </w:t>
      </w:r>
      <w:r w:rsidR="008F6385" w:rsidRPr="008A7BD7">
        <w:rPr>
          <w:rFonts w:ascii="Cambria" w:eastAsia="Cambria" w:hAnsi="Cambria" w:cs="Cambria"/>
          <w:sz w:val="20"/>
          <w:szCs w:val="20"/>
        </w:rPr>
        <w:t xml:space="preserve">and held </w:t>
      </w:r>
      <w:r w:rsidR="002A4B5C" w:rsidRPr="008A7BD7">
        <w:rPr>
          <w:rFonts w:ascii="Cambria" w:eastAsia="Cambria" w:hAnsi="Cambria" w:cs="Cambria"/>
          <w:sz w:val="20"/>
          <w:szCs w:val="20"/>
        </w:rPr>
        <w:t xml:space="preserve">Marvin Del Cid’s vehicle </w:t>
      </w:r>
      <w:r w:rsidR="008F6385" w:rsidRPr="008A7BD7">
        <w:rPr>
          <w:rFonts w:ascii="Cambria" w:eastAsia="Cambria" w:hAnsi="Cambria" w:cs="Cambria"/>
          <w:sz w:val="20"/>
          <w:szCs w:val="20"/>
        </w:rPr>
        <w:t xml:space="preserve">for more than 20 minutes </w:t>
      </w:r>
      <w:r w:rsidR="002A4B5C" w:rsidRPr="008A7BD7">
        <w:rPr>
          <w:rFonts w:ascii="Cambria" w:eastAsia="Cambria" w:hAnsi="Cambria" w:cs="Cambria"/>
          <w:sz w:val="20"/>
          <w:szCs w:val="20"/>
        </w:rPr>
        <w:t>a few blocks from his home</w:t>
      </w:r>
      <w:r w:rsidR="008F6385" w:rsidRPr="008A7BD7">
        <w:rPr>
          <w:rFonts w:ascii="Cambria" w:eastAsia="Cambria" w:hAnsi="Cambria" w:cs="Cambria"/>
          <w:sz w:val="20"/>
          <w:szCs w:val="20"/>
        </w:rPr>
        <w:t xml:space="preserve">, allegedly to verify </w:t>
      </w:r>
      <w:r w:rsidR="00E3331F" w:rsidRPr="008A7BD7">
        <w:rPr>
          <w:rFonts w:ascii="Cambria" w:eastAsia="Cambria" w:hAnsi="Cambria" w:cs="Cambria"/>
          <w:sz w:val="20"/>
          <w:szCs w:val="20"/>
        </w:rPr>
        <w:t xml:space="preserve">documentation on him </w:t>
      </w:r>
      <w:r w:rsidR="008F6385" w:rsidRPr="008A7BD7">
        <w:rPr>
          <w:rFonts w:ascii="Cambria" w:eastAsia="Cambria" w:hAnsi="Cambria" w:cs="Cambria"/>
          <w:sz w:val="20"/>
          <w:szCs w:val="20"/>
        </w:rPr>
        <w:t>and the vehicle. According to the journalist, the official vehicle had already been parked in front of his house and had followed him for several blocks when the lights and siren on the police car went on.</w:t>
      </w:r>
      <w:r w:rsidR="004E0CAC" w:rsidRPr="008A7BD7">
        <w:rPr>
          <w:rFonts w:ascii="Cambria" w:eastAsia="Cambria" w:hAnsi="Cambria" w:cs="Cambria"/>
          <w:sz w:val="20"/>
          <w:szCs w:val="20"/>
          <w:vertAlign w:val="superscript"/>
          <w:lang w:val="es-419"/>
        </w:rPr>
        <w:footnoteReference w:id="139"/>
      </w:r>
    </w:p>
    <w:p w14:paraId="489EFE65" w14:textId="77777777" w:rsidR="004E0CAC" w:rsidRPr="008A7BD7" w:rsidRDefault="004E0CAC" w:rsidP="004E0CAC">
      <w:pPr>
        <w:pStyle w:val="ListParagraph"/>
        <w:rPr>
          <w:rFonts w:ascii="Cambria" w:eastAsia="Cambria" w:hAnsi="Cambria" w:cs="Cambria"/>
          <w:sz w:val="20"/>
          <w:szCs w:val="20"/>
        </w:rPr>
      </w:pPr>
    </w:p>
    <w:p w14:paraId="6833640A" w14:textId="45E5D1F3" w:rsidR="004E0CAC" w:rsidRPr="008A7BD7" w:rsidRDefault="00977D87"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The IACHR has also received information concerning various campaigns to harass or discredit journalists.</w:t>
      </w:r>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 xml:space="preserve">On March 8, </w:t>
      </w:r>
      <w:r w:rsidR="004E0CAC" w:rsidRPr="008A7BD7">
        <w:rPr>
          <w:rFonts w:ascii="Cambria" w:eastAsia="Cambria" w:hAnsi="Cambria" w:cs="Cambria"/>
          <w:sz w:val="20"/>
          <w:szCs w:val="20"/>
        </w:rPr>
        <w:t xml:space="preserve">2021, </w:t>
      </w:r>
      <w:r w:rsidRPr="008A7BD7">
        <w:rPr>
          <w:rFonts w:ascii="Cambria" w:eastAsia="Cambria" w:hAnsi="Cambria" w:cs="Cambria"/>
          <w:sz w:val="20"/>
          <w:szCs w:val="20"/>
        </w:rPr>
        <w:t xml:space="preserve">the Spanish journalist </w:t>
      </w:r>
      <w:proofErr w:type="spellStart"/>
      <w:r w:rsidR="004E0CAC" w:rsidRPr="008A7BD7">
        <w:rPr>
          <w:rFonts w:ascii="Cambria" w:eastAsia="Cambria" w:hAnsi="Cambria" w:cs="Cambria"/>
          <w:sz w:val="20"/>
          <w:szCs w:val="20"/>
        </w:rPr>
        <w:t>Asier</w:t>
      </w:r>
      <w:proofErr w:type="spellEnd"/>
      <w:r w:rsidR="004E0CAC" w:rsidRPr="008A7BD7">
        <w:rPr>
          <w:rFonts w:ascii="Cambria" w:eastAsia="Cambria" w:hAnsi="Cambria" w:cs="Cambria"/>
          <w:sz w:val="20"/>
          <w:szCs w:val="20"/>
        </w:rPr>
        <w:t xml:space="preserve"> Vera </w:t>
      </w:r>
      <w:r w:rsidRPr="008A7BD7">
        <w:rPr>
          <w:rFonts w:ascii="Cambria" w:eastAsia="Cambria" w:hAnsi="Cambria" w:cs="Cambria"/>
          <w:sz w:val="20"/>
          <w:szCs w:val="20"/>
        </w:rPr>
        <w:t xml:space="preserve">was a victim of digital harassment </w:t>
      </w:r>
      <w:r w:rsidR="00E3331F" w:rsidRPr="008A7BD7">
        <w:rPr>
          <w:rFonts w:ascii="Cambria" w:eastAsia="Cambria" w:hAnsi="Cambria" w:cs="Cambria"/>
          <w:sz w:val="20"/>
          <w:szCs w:val="20"/>
        </w:rPr>
        <w:t xml:space="preserve">campaigns </w:t>
      </w:r>
      <w:r w:rsidRPr="008A7BD7">
        <w:rPr>
          <w:rFonts w:ascii="Cambria" w:eastAsia="Cambria" w:hAnsi="Cambria" w:cs="Cambria"/>
          <w:sz w:val="20"/>
          <w:szCs w:val="20"/>
        </w:rPr>
        <w:t xml:space="preserve">after a defamatory phrase about him was painted on a sidewalk in the </w:t>
      </w:r>
      <w:r w:rsidR="00E3331F" w:rsidRPr="008A7BD7">
        <w:rPr>
          <w:rFonts w:ascii="Cambria" w:eastAsia="Cambria" w:hAnsi="Cambria" w:cs="Cambria"/>
          <w:sz w:val="20"/>
          <w:szCs w:val="20"/>
        </w:rPr>
        <w:t xml:space="preserve">Guatemalan </w:t>
      </w:r>
      <w:r w:rsidRPr="008A7BD7">
        <w:rPr>
          <w:rFonts w:ascii="Cambria" w:eastAsia="Cambria" w:hAnsi="Cambria" w:cs="Cambria"/>
          <w:sz w:val="20"/>
          <w:szCs w:val="20"/>
        </w:rPr>
        <w:t>capital.</w:t>
      </w:r>
      <w:r w:rsidR="004E0CAC" w:rsidRPr="008A7BD7">
        <w:rPr>
          <w:rFonts w:ascii="Cambria" w:eastAsia="Cambria" w:hAnsi="Cambria" w:cs="Cambria"/>
          <w:sz w:val="20"/>
          <w:szCs w:val="20"/>
          <w:vertAlign w:val="superscript"/>
          <w:lang w:val="es-419"/>
        </w:rPr>
        <w:footnoteReference w:id="140"/>
      </w:r>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 xml:space="preserve">On May </w:t>
      </w:r>
      <w:r w:rsidR="004E0CAC" w:rsidRPr="008A7BD7">
        <w:rPr>
          <w:rFonts w:ascii="Cambria" w:eastAsia="Cambria" w:hAnsi="Cambria" w:cs="Cambria"/>
          <w:sz w:val="20"/>
          <w:szCs w:val="20"/>
        </w:rPr>
        <w:t>17</w:t>
      </w:r>
      <w:r w:rsidRPr="008A7BD7">
        <w:rPr>
          <w:rFonts w:ascii="Cambria" w:eastAsia="Cambria" w:hAnsi="Cambria" w:cs="Cambria"/>
          <w:sz w:val="20"/>
          <w:szCs w:val="20"/>
        </w:rPr>
        <w:t xml:space="preserve">, </w:t>
      </w:r>
      <w:r w:rsidR="004E0CAC" w:rsidRPr="008A7BD7">
        <w:rPr>
          <w:rFonts w:ascii="Cambria" w:eastAsia="Cambria" w:hAnsi="Cambria" w:cs="Cambria"/>
          <w:sz w:val="20"/>
          <w:szCs w:val="20"/>
        </w:rPr>
        <w:t xml:space="preserve">2021, </w:t>
      </w:r>
      <w:r w:rsidRPr="008A7BD7">
        <w:rPr>
          <w:rFonts w:ascii="Cambria" w:eastAsia="Cambria" w:hAnsi="Cambria" w:cs="Cambria"/>
          <w:sz w:val="20"/>
          <w:szCs w:val="20"/>
        </w:rPr>
        <w:t xml:space="preserve">photos of </w:t>
      </w:r>
      <w:r w:rsidR="00AE28B4" w:rsidRPr="008A7BD7">
        <w:rPr>
          <w:rFonts w:ascii="Cambria" w:eastAsia="Cambria" w:hAnsi="Cambria" w:cs="Cambria"/>
          <w:i/>
          <w:iCs/>
          <w:sz w:val="20"/>
          <w:szCs w:val="20"/>
        </w:rPr>
        <w:t xml:space="preserve">CNN </w:t>
      </w:r>
      <w:proofErr w:type="spellStart"/>
      <w:r w:rsidR="00AE28B4" w:rsidRPr="008A7BD7">
        <w:rPr>
          <w:rFonts w:ascii="Cambria" w:eastAsia="Cambria" w:hAnsi="Cambria" w:cs="Cambria"/>
          <w:i/>
          <w:iCs/>
          <w:sz w:val="20"/>
          <w:szCs w:val="20"/>
        </w:rPr>
        <w:t>en</w:t>
      </w:r>
      <w:proofErr w:type="spellEnd"/>
      <w:r w:rsidR="00AE28B4" w:rsidRPr="008A7BD7">
        <w:rPr>
          <w:rFonts w:ascii="Cambria" w:eastAsia="Cambria" w:hAnsi="Cambria" w:cs="Cambria"/>
          <w:i/>
          <w:iCs/>
          <w:sz w:val="20"/>
          <w:szCs w:val="20"/>
        </w:rPr>
        <w:t xml:space="preserve"> </w:t>
      </w:r>
      <w:proofErr w:type="spellStart"/>
      <w:r w:rsidR="00AE28B4" w:rsidRPr="008A7BD7">
        <w:rPr>
          <w:rFonts w:ascii="Cambria" w:eastAsia="Cambria" w:hAnsi="Cambria" w:cs="Cambria"/>
          <w:i/>
          <w:iCs/>
          <w:sz w:val="20"/>
          <w:szCs w:val="20"/>
        </w:rPr>
        <w:t>Español</w:t>
      </w:r>
      <w:proofErr w:type="spellEnd"/>
      <w:r w:rsidR="00AE28B4" w:rsidRPr="008A7BD7">
        <w:rPr>
          <w:rFonts w:ascii="Cambria" w:eastAsia="Cambria" w:hAnsi="Cambria" w:cs="Cambria"/>
          <w:sz w:val="20"/>
          <w:szCs w:val="20"/>
        </w:rPr>
        <w:t xml:space="preserve"> correspondent </w:t>
      </w:r>
      <w:r w:rsidR="004E0CAC" w:rsidRPr="008A7BD7">
        <w:rPr>
          <w:rFonts w:ascii="Cambria" w:eastAsia="Cambria" w:hAnsi="Cambria" w:cs="Cambria"/>
          <w:sz w:val="20"/>
          <w:szCs w:val="20"/>
        </w:rPr>
        <w:t>Michelle Mendoza</w:t>
      </w:r>
      <w:r w:rsidR="00525E60" w:rsidRPr="008A7BD7">
        <w:rPr>
          <w:rFonts w:ascii="Cambria" w:eastAsia="Cambria" w:hAnsi="Cambria" w:cs="Cambria"/>
          <w:sz w:val="20"/>
          <w:szCs w:val="20"/>
        </w:rPr>
        <w:t xml:space="preserve"> (</w:t>
      </w:r>
      <w:r w:rsidR="00AE28B4" w:rsidRPr="008A7BD7">
        <w:rPr>
          <w:rFonts w:ascii="Cambria" w:eastAsia="Cambria" w:hAnsi="Cambria" w:cs="Cambria"/>
          <w:sz w:val="20"/>
          <w:szCs w:val="20"/>
        </w:rPr>
        <w:t xml:space="preserve">allegedly taken by a Supreme Court </w:t>
      </w:r>
      <w:r w:rsidR="0077498A" w:rsidRPr="008A7BD7">
        <w:rPr>
          <w:rFonts w:ascii="Cambria" w:eastAsia="Cambria" w:hAnsi="Cambria" w:cs="Cambria"/>
          <w:sz w:val="20"/>
          <w:szCs w:val="20"/>
        </w:rPr>
        <w:t xml:space="preserve">justice </w:t>
      </w:r>
      <w:r w:rsidR="00AE28B4" w:rsidRPr="008A7BD7">
        <w:rPr>
          <w:rFonts w:ascii="Cambria" w:eastAsia="Cambria" w:hAnsi="Cambria" w:cs="Cambria"/>
          <w:sz w:val="20"/>
          <w:szCs w:val="20"/>
        </w:rPr>
        <w:t>while the journalist was covering the launch of the Annual Report of the Public Prosecutor</w:t>
      </w:r>
      <w:r w:rsidR="003370BD" w:rsidRPr="008A7BD7">
        <w:rPr>
          <w:rFonts w:ascii="Cambria" w:eastAsia="Cambria" w:hAnsi="Cambria" w:cs="Cambria"/>
          <w:sz w:val="20"/>
          <w:szCs w:val="20"/>
        </w:rPr>
        <w:t>’s Office</w:t>
      </w:r>
      <w:r w:rsidR="00525E60" w:rsidRPr="008A7BD7">
        <w:rPr>
          <w:rFonts w:ascii="Cambria" w:eastAsia="Cambria" w:hAnsi="Cambria" w:cs="Cambria"/>
          <w:sz w:val="20"/>
          <w:szCs w:val="20"/>
        </w:rPr>
        <w:t xml:space="preserve">) </w:t>
      </w:r>
      <w:r w:rsidR="00AE28B4" w:rsidRPr="008A7BD7">
        <w:rPr>
          <w:rFonts w:ascii="Cambria" w:eastAsia="Cambria" w:hAnsi="Cambria" w:cs="Cambria"/>
          <w:sz w:val="20"/>
          <w:szCs w:val="20"/>
        </w:rPr>
        <w:t xml:space="preserve">were </w:t>
      </w:r>
      <w:r w:rsidR="003370BD" w:rsidRPr="008A7BD7">
        <w:rPr>
          <w:rFonts w:ascii="Cambria" w:eastAsia="Cambria" w:hAnsi="Cambria" w:cs="Cambria"/>
          <w:sz w:val="20"/>
          <w:szCs w:val="20"/>
        </w:rPr>
        <w:t>posted</w:t>
      </w:r>
      <w:r w:rsidR="00AE28B4" w:rsidRPr="008A7BD7">
        <w:rPr>
          <w:rFonts w:ascii="Cambria" w:eastAsia="Cambria" w:hAnsi="Cambria" w:cs="Cambria"/>
          <w:sz w:val="20"/>
          <w:szCs w:val="20"/>
        </w:rPr>
        <w:t xml:space="preserve"> on Twitter by the account </w:t>
      </w:r>
      <w:r w:rsidR="004E0CAC" w:rsidRPr="008A7BD7">
        <w:rPr>
          <w:rFonts w:ascii="Cambria" w:eastAsia="Cambria" w:hAnsi="Cambria" w:cs="Cambria"/>
          <w:sz w:val="20"/>
          <w:szCs w:val="20"/>
        </w:rPr>
        <w:t>@LordVaderGT</w:t>
      </w:r>
      <w:r w:rsidR="00544A1F" w:rsidRPr="008A7BD7">
        <w:rPr>
          <w:rFonts w:ascii="Cambria" w:eastAsia="Cambria" w:hAnsi="Cambria" w:cs="Cambria"/>
          <w:sz w:val="20"/>
          <w:szCs w:val="20"/>
        </w:rPr>
        <w:t xml:space="preserve">, with the caption, </w:t>
      </w:r>
      <w:r w:rsidR="004E0CAC" w:rsidRPr="008A7BD7">
        <w:rPr>
          <w:rFonts w:ascii="Cambria" w:eastAsia="Cambria" w:hAnsi="Cambria" w:cs="Cambria"/>
          <w:sz w:val="20"/>
          <w:szCs w:val="20"/>
        </w:rPr>
        <w:t>“</w:t>
      </w:r>
      <w:r w:rsidR="00E52FC4" w:rsidRPr="008A7BD7">
        <w:rPr>
          <w:rFonts w:ascii="Cambria" w:eastAsia="Cambria" w:hAnsi="Cambria" w:cs="Cambria"/>
          <w:sz w:val="20"/>
          <w:szCs w:val="20"/>
        </w:rPr>
        <w:t>The little ice cream cart reporting for you from the H</w:t>
      </w:r>
      <w:r w:rsidR="004E0CAC" w:rsidRPr="008A7BD7">
        <w:rPr>
          <w:rFonts w:ascii="Cambria" w:eastAsia="Cambria" w:hAnsi="Cambria" w:cs="Cambria"/>
          <w:sz w:val="20"/>
          <w:szCs w:val="20"/>
        </w:rPr>
        <w:t>otel Camino Real</w:t>
      </w:r>
      <w:r w:rsidR="00E52FC4" w:rsidRPr="008A7BD7">
        <w:rPr>
          <w:rFonts w:ascii="Cambria" w:eastAsia="Cambria" w:hAnsi="Cambria" w:cs="Cambria"/>
          <w:sz w:val="20"/>
          <w:szCs w:val="20"/>
        </w:rPr>
        <w:t>.</w:t>
      </w:r>
      <w:r w:rsidR="004E0CAC" w:rsidRPr="008A7BD7">
        <w:rPr>
          <w:rFonts w:ascii="Cambria" w:eastAsia="Cambria" w:hAnsi="Cambria" w:cs="Cambria"/>
          <w:sz w:val="20"/>
          <w:szCs w:val="20"/>
        </w:rPr>
        <w:t xml:space="preserve">” </w:t>
      </w:r>
      <w:r w:rsidR="00E52FC4" w:rsidRPr="008A7BD7">
        <w:rPr>
          <w:rFonts w:ascii="Cambria" w:eastAsia="Cambria" w:hAnsi="Cambria" w:cs="Cambria"/>
          <w:sz w:val="20"/>
          <w:szCs w:val="20"/>
        </w:rPr>
        <w:t>According to the information</w:t>
      </w:r>
      <w:r w:rsidR="003370BD" w:rsidRPr="008A7BD7">
        <w:rPr>
          <w:rFonts w:ascii="Cambria" w:eastAsia="Cambria" w:hAnsi="Cambria" w:cs="Cambria"/>
          <w:sz w:val="20"/>
          <w:szCs w:val="20"/>
        </w:rPr>
        <w:t xml:space="preserve"> available</w:t>
      </w:r>
      <w:r w:rsidR="00E52FC4" w:rsidRPr="008A7BD7">
        <w:rPr>
          <w:rFonts w:ascii="Cambria" w:eastAsia="Cambria" w:hAnsi="Cambria" w:cs="Cambria"/>
          <w:sz w:val="20"/>
          <w:szCs w:val="20"/>
        </w:rPr>
        <w:t>, the now-suspended Twitter account</w:t>
      </w:r>
      <w:r w:rsidR="004E0CAC" w:rsidRPr="008A7BD7">
        <w:rPr>
          <w:rFonts w:ascii="Cambria" w:eastAsia="Cambria" w:hAnsi="Cambria" w:cs="Cambria"/>
          <w:iCs/>
          <w:sz w:val="20"/>
          <w:szCs w:val="20"/>
          <w:vertAlign w:val="superscript"/>
          <w:lang w:val="es-419"/>
        </w:rPr>
        <w:footnoteReference w:id="141"/>
      </w:r>
      <w:r w:rsidR="004E0CAC" w:rsidRPr="008A7BD7">
        <w:rPr>
          <w:rFonts w:ascii="Cambria" w:eastAsia="Cambria" w:hAnsi="Cambria" w:cs="Cambria"/>
          <w:i/>
          <w:sz w:val="20"/>
          <w:szCs w:val="20"/>
        </w:rPr>
        <w:t xml:space="preserve"> </w:t>
      </w:r>
      <w:r w:rsidR="00E52FC4" w:rsidRPr="008A7BD7">
        <w:rPr>
          <w:rFonts w:ascii="Cambria" w:eastAsia="Cambria" w:hAnsi="Cambria" w:cs="Cambria"/>
          <w:sz w:val="20"/>
          <w:szCs w:val="20"/>
        </w:rPr>
        <w:t>described itself as a vehicle to expose “the Injustices of Justice</w:t>
      </w:r>
      <w:r w:rsidR="0065010E" w:rsidRPr="008A7BD7">
        <w:rPr>
          <w:rFonts w:ascii="Cambria" w:eastAsia="Cambria" w:hAnsi="Cambria" w:cs="Cambria"/>
          <w:sz w:val="20"/>
          <w:szCs w:val="20"/>
        </w:rPr>
        <w:t>,</w:t>
      </w:r>
      <w:r w:rsidR="00AF4274" w:rsidRPr="008A7BD7">
        <w:rPr>
          <w:rFonts w:ascii="Cambria" w:eastAsia="Cambria" w:hAnsi="Cambria" w:cs="Cambria"/>
          <w:sz w:val="20"/>
          <w:szCs w:val="20"/>
        </w:rPr>
        <w:t xml:space="preserve"> </w:t>
      </w:r>
      <w:r w:rsidR="0065010E" w:rsidRPr="008A7BD7">
        <w:rPr>
          <w:rFonts w:ascii="Cambria" w:eastAsia="Cambria" w:hAnsi="Cambria" w:cs="Cambria"/>
          <w:sz w:val="20"/>
          <w:szCs w:val="20"/>
        </w:rPr>
        <w:t>for my friends all and for my enemi</w:t>
      </w:r>
      <w:r w:rsidR="00493B0E" w:rsidRPr="008A7BD7">
        <w:rPr>
          <w:rFonts w:ascii="Cambria" w:eastAsia="Cambria" w:hAnsi="Cambria" w:cs="Cambria"/>
          <w:sz w:val="20"/>
          <w:szCs w:val="20"/>
        </w:rPr>
        <w:t>e</w:t>
      </w:r>
      <w:r w:rsidR="0065010E" w:rsidRPr="008A7BD7">
        <w:rPr>
          <w:rFonts w:ascii="Cambria" w:eastAsia="Cambria" w:hAnsi="Cambria" w:cs="Cambria"/>
          <w:sz w:val="20"/>
          <w:szCs w:val="20"/>
        </w:rPr>
        <w:t xml:space="preserve">s, the Prosecutors, the Judges, Justices, some </w:t>
      </w:r>
      <w:proofErr w:type="spellStart"/>
      <w:r w:rsidR="0065010E" w:rsidRPr="008A7BD7">
        <w:rPr>
          <w:rFonts w:ascii="Cambria" w:eastAsia="Cambria" w:hAnsi="Cambria" w:cs="Cambria"/>
          <w:sz w:val="20"/>
          <w:szCs w:val="20"/>
        </w:rPr>
        <w:t>Journaliztz</w:t>
      </w:r>
      <w:proofErr w:type="spellEnd"/>
      <w:r w:rsidR="00493B0E" w:rsidRPr="008A7BD7">
        <w:rPr>
          <w:rFonts w:ascii="Cambria" w:eastAsia="Cambria" w:hAnsi="Cambria" w:cs="Cambria"/>
          <w:sz w:val="20"/>
          <w:szCs w:val="20"/>
        </w:rPr>
        <w:t xml:space="preserve"> [</w:t>
      </w:r>
      <w:proofErr w:type="spellStart"/>
      <w:r w:rsidR="00493B0E" w:rsidRPr="008A7BD7">
        <w:rPr>
          <w:rFonts w:ascii="Cambria" w:eastAsia="Cambria" w:hAnsi="Cambria" w:cs="Cambria"/>
          <w:i/>
          <w:iCs/>
          <w:sz w:val="20"/>
          <w:szCs w:val="20"/>
        </w:rPr>
        <w:t>Periodiztaz</w:t>
      </w:r>
      <w:proofErr w:type="spellEnd"/>
      <w:r w:rsidR="00493B0E" w:rsidRPr="008A7BD7">
        <w:rPr>
          <w:rFonts w:ascii="Cambria" w:eastAsia="Cambria" w:hAnsi="Cambria" w:cs="Cambria"/>
          <w:sz w:val="20"/>
          <w:szCs w:val="20"/>
        </w:rPr>
        <w:t>]</w:t>
      </w:r>
      <w:r w:rsidR="0065010E" w:rsidRPr="008A7BD7">
        <w:rPr>
          <w:rFonts w:ascii="Cambria" w:eastAsia="Cambria" w:hAnsi="Cambria" w:cs="Cambria"/>
          <w:sz w:val="20"/>
          <w:szCs w:val="20"/>
        </w:rPr>
        <w:t xml:space="preserve">, and </w:t>
      </w:r>
      <w:proofErr w:type="spellStart"/>
      <w:r w:rsidR="0065010E" w:rsidRPr="008A7BD7">
        <w:rPr>
          <w:rFonts w:ascii="Cambria" w:eastAsia="Cambria" w:hAnsi="Cambria" w:cs="Cambria"/>
          <w:i/>
          <w:iCs/>
          <w:sz w:val="20"/>
          <w:szCs w:val="20"/>
        </w:rPr>
        <w:t>el</w:t>
      </w:r>
      <w:proofErr w:type="spellEnd"/>
      <w:r w:rsidR="0065010E" w:rsidRPr="008A7BD7">
        <w:rPr>
          <w:rFonts w:ascii="Cambria" w:eastAsia="Cambria" w:hAnsi="Cambria" w:cs="Cambria"/>
          <w:i/>
          <w:iCs/>
          <w:sz w:val="20"/>
          <w:szCs w:val="20"/>
        </w:rPr>
        <w:t xml:space="preserve"> Non </w:t>
      </w:r>
      <w:proofErr w:type="spellStart"/>
      <w:r w:rsidR="0065010E" w:rsidRPr="008A7BD7">
        <w:rPr>
          <w:rFonts w:ascii="Cambria" w:eastAsia="Cambria" w:hAnsi="Cambria" w:cs="Cambria"/>
          <w:i/>
          <w:iCs/>
          <w:sz w:val="20"/>
          <w:szCs w:val="20"/>
        </w:rPr>
        <w:t>Grato</w:t>
      </w:r>
      <w:proofErr w:type="spellEnd"/>
      <w:r w:rsidR="0065010E" w:rsidRPr="008A7BD7">
        <w:rPr>
          <w:rFonts w:ascii="Cambria" w:eastAsia="Cambria" w:hAnsi="Cambria" w:cs="Cambria"/>
          <w:sz w:val="20"/>
          <w:szCs w:val="20"/>
        </w:rPr>
        <w:t>.”</w:t>
      </w:r>
      <w:r w:rsidR="004E0CAC" w:rsidRPr="008A7BD7">
        <w:rPr>
          <w:rFonts w:ascii="Cambria" w:eastAsia="Cambria" w:hAnsi="Cambria" w:cs="Cambria"/>
          <w:sz w:val="20"/>
          <w:szCs w:val="20"/>
          <w:vertAlign w:val="superscript"/>
          <w:lang w:val="es-419"/>
        </w:rPr>
        <w:footnoteReference w:id="142"/>
      </w:r>
      <w:r w:rsidR="004E0CAC" w:rsidRPr="008A7BD7">
        <w:rPr>
          <w:rFonts w:ascii="Cambria" w:eastAsia="Cambria" w:hAnsi="Cambria" w:cs="Cambria"/>
          <w:sz w:val="20"/>
          <w:szCs w:val="20"/>
        </w:rPr>
        <w:t xml:space="preserve"> </w:t>
      </w:r>
      <w:r w:rsidR="00493B0E" w:rsidRPr="008A7BD7">
        <w:rPr>
          <w:rFonts w:ascii="Cambria" w:eastAsia="Cambria" w:hAnsi="Cambria" w:cs="Cambria"/>
          <w:sz w:val="20"/>
          <w:szCs w:val="20"/>
        </w:rPr>
        <w:t xml:space="preserve">The </w:t>
      </w:r>
      <w:r w:rsidR="00AF4274" w:rsidRPr="008A7BD7">
        <w:rPr>
          <w:rFonts w:ascii="Cambria" w:eastAsia="Cambria" w:hAnsi="Cambria" w:cs="Cambria"/>
          <w:sz w:val="20"/>
          <w:szCs w:val="20"/>
        </w:rPr>
        <w:t xml:space="preserve">IACHR </w:t>
      </w:r>
      <w:r w:rsidR="00493B0E" w:rsidRPr="008A7BD7">
        <w:rPr>
          <w:rFonts w:ascii="Cambria" w:eastAsia="Cambria" w:hAnsi="Cambria" w:cs="Cambria"/>
          <w:sz w:val="20"/>
          <w:szCs w:val="20"/>
        </w:rPr>
        <w:t xml:space="preserve">Office of the Special Rapporteur </w:t>
      </w:r>
      <w:r w:rsidR="00493B0E" w:rsidRPr="008A7BD7">
        <w:rPr>
          <w:rFonts w:ascii="Cambria" w:eastAsia="Cambria" w:hAnsi="Cambria" w:cs="Cambria"/>
          <w:sz w:val="20"/>
          <w:szCs w:val="20"/>
        </w:rPr>
        <w:lastRenderedPageBreak/>
        <w:t xml:space="preserve">was also informed of a cyberattack to the website of </w:t>
      </w:r>
      <w:r w:rsidR="004E0CAC" w:rsidRPr="008A7BD7">
        <w:rPr>
          <w:rFonts w:ascii="Cambria" w:eastAsia="Cambria" w:hAnsi="Cambria" w:cs="Cambria"/>
          <w:i/>
          <w:iCs/>
          <w:sz w:val="20"/>
          <w:szCs w:val="20"/>
        </w:rPr>
        <w:t>La Hora</w:t>
      </w:r>
      <w:r w:rsidR="004E0CAC" w:rsidRPr="008A7BD7">
        <w:rPr>
          <w:rFonts w:ascii="Cambria" w:eastAsia="Cambria" w:hAnsi="Cambria" w:cs="Cambria"/>
          <w:sz w:val="20"/>
          <w:szCs w:val="20"/>
        </w:rPr>
        <w:t xml:space="preserve"> a</w:t>
      </w:r>
      <w:r w:rsidR="00493B0E" w:rsidRPr="008A7BD7">
        <w:rPr>
          <w:rFonts w:ascii="Cambria" w:eastAsia="Cambria" w:hAnsi="Cambria" w:cs="Cambria"/>
          <w:sz w:val="20"/>
          <w:szCs w:val="20"/>
        </w:rPr>
        <w:t xml:space="preserve">round 5 p.m. on July </w:t>
      </w:r>
      <w:r w:rsidR="004E0CAC" w:rsidRPr="008A7BD7">
        <w:rPr>
          <w:rFonts w:ascii="Cambria" w:eastAsia="Cambria" w:hAnsi="Cambria" w:cs="Cambria"/>
          <w:sz w:val="20"/>
          <w:szCs w:val="20"/>
        </w:rPr>
        <w:t>23</w:t>
      </w:r>
      <w:r w:rsidR="00493B0E" w:rsidRPr="008A7BD7">
        <w:rPr>
          <w:rFonts w:ascii="Cambria" w:eastAsia="Cambria" w:hAnsi="Cambria" w:cs="Cambria"/>
          <w:sz w:val="20"/>
          <w:szCs w:val="20"/>
        </w:rPr>
        <w:t xml:space="preserve">, </w:t>
      </w:r>
      <w:r w:rsidR="004E0CAC" w:rsidRPr="008A7BD7">
        <w:rPr>
          <w:rFonts w:ascii="Cambria" w:eastAsia="Cambria" w:hAnsi="Cambria" w:cs="Cambria"/>
          <w:sz w:val="20"/>
          <w:szCs w:val="20"/>
        </w:rPr>
        <w:t xml:space="preserve">2021, </w:t>
      </w:r>
      <w:r w:rsidR="00493B0E" w:rsidRPr="008A7BD7">
        <w:rPr>
          <w:rFonts w:ascii="Cambria" w:eastAsia="Cambria" w:hAnsi="Cambria" w:cs="Cambria"/>
          <w:sz w:val="20"/>
          <w:szCs w:val="20"/>
        </w:rPr>
        <w:t xml:space="preserve">which blocked readers’ access to the newspaper’s website. </w:t>
      </w:r>
    </w:p>
    <w:p w14:paraId="72B51335" w14:textId="77777777" w:rsidR="004E0CAC" w:rsidRPr="008A7BD7" w:rsidRDefault="004E0CAC" w:rsidP="004E0CAC">
      <w:pPr>
        <w:ind w:left="720"/>
        <w:jc w:val="both"/>
        <w:rPr>
          <w:rFonts w:ascii="Cambria" w:eastAsia="Times New Roman" w:hAnsi="Cambria" w:cs="Tahoma"/>
          <w:color w:val="000000"/>
          <w:sz w:val="20"/>
          <w:szCs w:val="20"/>
          <w:lang w:eastAsia="es-ES_tradnl"/>
        </w:rPr>
      </w:pPr>
    </w:p>
    <w:p w14:paraId="085E3D2F" w14:textId="6A38937B" w:rsidR="004E0CAC" w:rsidRPr="008A7BD7" w:rsidRDefault="003266B0"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 xml:space="preserve">The IACHR also learned of various cases in which journalists’ residences were </w:t>
      </w:r>
      <w:r w:rsidR="00DA70A3" w:rsidRPr="008A7BD7">
        <w:rPr>
          <w:rFonts w:ascii="Cambria" w:eastAsia="Cambria" w:hAnsi="Cambria" w:cs="Cambria"/>
          <w:sz w:val="20"/>
          <w:szCs w:val="20"/>
        </w:rPr>
        <w:t>raided and searched</w:t>
      </w:r>
      <w:r w:rsidRPr="008A7BD7">
        <w:rPr>
          <w:rFonts w:ascii="Cambria" w:eastAsia="Cambria" w:hAnsi="Cambria" w:cs="Cambria"/>
          <w:sz w:val="20"/>
          <w:szCs w:val="20"/>
        </w:rPr>
        <w:t xml:space="preserve"> in the context of police investigations. On June </w:t>
      </w:r>
      <w:r w:rsidR="004E0CAC" w:rsidRPr="008A7BD7">
        <w:rPr>
          <w:rFonts w:ascii="Cambria" w:eastAsia="Cambria" w:hAnsi="Cambria" w:cs="Cambria"/>
          <w:sz w:val="20"/>
          <w:szCs w:val="20"/>
        </w:rPr>
        <w:t>10</w:t>
      </w:r>
      <w:r w:rsidRPr="008A7BD7">
        <w:rPr>
          <w:rFonts w:ascii="Cambria" w:eastAsia="Cambria" w:hAnsi="Cambria" w:cs="Cambria"/>
          <w:sz w:val="20"/>
          <w:szCs w:val="20"/>
        </w:rPr>
        <w:t xml:space="preserve">, </w:t>
      </w:r>
      <w:r w:rsidR="004E0CAC" w:rsidRPr="008A7BD7">
        <w:rPr>
          <w:rFonts w:ascii="Cambria" w:eastAsia="Cambria" w:hAnsi="Cambria" w:cs="Cambria"/>
          <w:sz w:val="20"/>
          <w:szCs w:val="20"/>
        </w:rPr>
        <w:t xml:space="preserve">2021, </w:t>
      </w:r>
      <w:r w:rsidRPr="008A7BD7">
        <w:rPr>
          <w:rFonts w:ascii="Cambria" w:eastAsia="Cambria" w:hAnsi="Cambria" w:cs="Cambria"/>
          <w:sz w:val="20"/>
          <w:szCs w:val="20"/>
        </w:rPr>
        <w:t xml:space="preserve">police and members of the Public Prosecutor’s Office </w:t>
      </w:r>
      <w:r w:rsidR="00DA70A3" w:rsidRPr="008A7BD7">
        <w:rPr>
          <w:rFonts w:ascii="Cambria" w:eastAsia="Cambria" w:hAnsi="Cambria" w:cs="Cambria"/>
          <w:sz w:val="20"/>
          <w:szCs w:val="20"/>
        </w:rPr>
        <w:t xml:space="preserve">raided </w:t>
      </w:r>
      <w:r w:rsidRPr="008A7BD7">
        <w:rPr>
          <w:rFonts w:ascii="Cambria" w:eastAsia="Cambria" w:hAnsi="Cambria" w:cs="Cambria"/>
          <w:sz w:val="20"/>
          <w:szCs w:val="20"/>
        </w:rPr>
        <w:t xml:space="preserve">the home of journalist </w:t>
      </w:r>
      <w:r w:rsidR="004E0CAC" w:rsidRPr="008A7BD7">
        <w:rPr>
          <w:rFonts w:ascii="Cambria" w:eastAsia="Cambria" w:hAnsi="Cambria" w:cs="Cambria"/>
          <w:sz w:val="20"/>
          <w:szCs w:val="20"/>
        </w:rPr>
        <w:t xml:space="preserve">Juan José </w:t>
      </w:r>
      <w:proofErr w:type="spellStart"/>
      <w:r w:rsidR="004E0CAC" w:rsidRPr="008A7BD7">
        <w:rPr>
          <w:rFonts w:ascii="Cambria" w:eastAsia="Cambria" w:hAnsi="Cambria" w:cs="Cambria"/>
          <w:sz w:val="20"/>
          <w:szCs w:val="20"/>
        </w:rPr>
        <w:t>Corado</w:t>
      </w:r>
      <w:proofErr w:type="spellEnd"/>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 xml:space="preserve">sports </w:t>
      </w:r>
      <w:r w:rsidR="004E0CAC" w:rsidRPr="008A7BD7">
        <w:rPr>
          <w:rFonts w:ascii="Cambria" w:eastAsia="Cambria" w:hAnsi="Cambria" w:cs="Cambria"/>
          <w:sz w:val="20"/>
          <w:szCs w:val="20"/>
        </w:rPr>
        <w:t xml:space="preserve">editor </w:t>
      </w:r>
      <w:r w:rsidRPr="008A7BD7">
        <w:rPr>
          <w:rFonts w:ascii="Cambria" w:eastAsia="Cambria" w:hAnsi="Cambria" w:cs="Cambria"/>
          <w:sz w:val="20"/>
          <w:szCs w:val="20"/>
        </w:rPr>
        <w:t xml:space="preserve">at </w:t>
      </w:r>
      <w:r w:rsidR="004E0CAC" w:rsidRPr="008A7BD7">
        <w:rPr>
          <w:rFonts w:ascii="Cambria" w:eastAsia="Cambria" w:hAnsi="Cambria" w:cs="Cambria"/>
          <w:i/>
          <w:sz w:val="20"/>
          <w:szCs w:val="20"/>
        </w:rPr>
        <w:t xml:space="preserve">El </w:t>
      </w:r>
      <w:proofErr w:type="spellStart"/>
      <w:r w:rsidR="004E0CAC" w:rsidRPr="008A7BD7">
        <w:rPr>
          <w:rFonts w:ascii="Cambria" w:eastAsia="Cambria" w:hAnsi="Cambria" w:cs="Cambria"/>
          <w:i/>
          <w:sz w:val="20"/>
          <w:szCs w:val="20"/>
        </w:rPr>
        <w:t>Periódico</w:t>
      </w:r>
      <w:proofErr w:type="spellEnd"/>
      <w:r w:rsidR="004E0CAC" w:rsidRPr="008A7BD7">
        <w:rPr>
          <w:rFonts w:ascii="Cambria" w:eastAsia="Cambria" w:hAnsi="Cambria" w:cs="Cambria"/>
          <w:i/>
          <w:sz w:val="20"/>
          <w:szCs w:val="20"/>
        </w:rPr>
        <w:t>,</w:t>
      </w:r>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 xml:space="preserve">after an arrest warrant </w:t>
      </w:r>
      <w:r w:rsidR="00AF4274" w:rsidRPr="008A7BD7">
        <w:rPr>
          <w:rFonts w:ascii="Cambria" w:eastAsia="Cambria" w:hAnsi="Cambria" w:cs="Cambria"/>
          <w:sz w:val="20"/>
          <w:szCs w:val="20"/>
        </w:rPr>
        <w:t>was issued as part of</w:t>
      </w:r>
      <w:r w:rsidRPr="008A7BD7">
        <w:rPr>
          <w:rFonts w:ascii="Cambria" w:eastAsia="Cambria" w:hAnsi="Cambria" w:cs="Cambria"/>
          <w:sz w:val="20"/>
          <w:szCs w:val="20"/>
        </w:rPr>
        <w:t xml:space="preserve"> an investigation </w:t>
      </w:r>
      <w:r w:rsidR="008A4537" w:rsidRPr="008A7BD7">
        <w:rPr>
          <w:rFonts w:ascii="Cambria" w:eastAsia="Cambria" w:hAnsi="Cambria" w:cs="Cambria"/>
          <w:sz w:val="20"/>
          <w:szCs w:val="20"/>
        </w:rPr>
        <w:t>into</w:t>
      </w:r>
      <w:r w:rsidRPr="008A7BD7">
        <w:rPr>
          <w:rFonts w:ascii="Cambria" w:eastAsia="Cambria" w:hAnsi="Cambria" w:cs="Cambria"/>
          <w:sz w:val="20"/>
          <w:szCs w:val="20"/>
        </w:rPr>
        <w:t xml:space="preserve"> a possible </w:t>
      </w:r>
      <w:r w:rsidR="008A4537" w:rsidRPr="008A7BD7">
        <w:rPr>
          <w:rFonts w:ascii="Cambria" w:eastAsia="Cambria" w:hAnsi="Cambria" w:cs="Cambria"/>
          <w:sz w:val="20"/>
          <w:szCs w:val="20"/>
        </w:rPr>
        <w:t>criminal network</w:t>
      </w:r>
      <w:r w:rsidRPr="008A7BD7">
        <w:rPr>
          <w:rFonts w:ascii="Cambria" w:eastAsia="Cambria" w:hAnsi="Cambria" w:cs="Cambria"/>
          <w:sz w:val="20"/>
          <w:szCs w:val="20"/>
        </w:rPr>
        <w:t xml:space="preserve"> dedicated to vehicle theft. According to the information available, data from the </w:t>
      </w:r>
      <w:r w:rsidR="00093558" w:rsidRPr="008A7BD7">
        <w:rPr>
          <w:rFonts w:ascii="Cambria" w:eastAsia="Cambria" w:hAnsi="Cambria" w:cs="Cambria"/>
          <w:sz w:val="20"/>
          <w:szCs w:val="20"/>
        </w:rPr>
        <w:t xml:space="preserve">Cadastral and Real Estate Assessment Office showed that one of the individuals linked to the network under investigation could be living at the address of the journalist’s home. During the search, he was reportedly prohibited from any communication with his lawyer. The journalist indicated that he was never provided information about the </w:t>
      </w:r>
      <w:r w:rsidR="00FE12E4" w:rsidRPr="008A7BD7">
        <w:rPr>
          <w:rFonts w:ascii="Cambria" w:eastAsia="Cambria" w:hAnsi="Cambria" w:cs="Cambria"/>
          <w:sz w:val="20"/>
          <w:szCs w:val="20"/>
        </w:rPr>
        <w:t>grounds</w:t>
      </w:r>
      <w:r w:rsidR="00093558" w:rsidRPr="008A7BD7">
        <w:rPr>
          <w:rFonts w:ascii="Cambria" w:eastAsia="Cambria" w:hAnsi="Cambria" w:cs="Cambria"/>
          <w:sz w:val="20"/>
          <w:szCs w:val="20"/>
        </w:rPr>
        <w:t xml:space="preserve"> for the search; rather, the police reportedly told him that if he needed more details, he should go to the Public Prosecutor’s Office</w:t>
      </w:r>
      <w:r w:rsidR="004E0CAC" w:rsidRPr="008A7BD7">
        <w:rPr>
          <w:rFonts w:ascii="Cambria" w:eastAsia="Cambria" w:hAnsi="Cambria" w:cs="Cambria"/>
          <w:sz w:val="20"/>
          <w:szCs w:val="20"/>
        </w:rPr>
        <w:t xml:space="preserve">. </w:t>
      </w:r>
      <w:r w:rsidR="00093558" w:rsidRPr="008A7BD7">
        <w:rPr>
          <w:rFonts w:ascii="Cambria" w:eastAsia="Cambria" w:hAnsi="Cambria" w:cs="Cambria"/>
          <w:sz w:val="20"/>
          <w:szCs w:val="20"/>
        </w:rPr>
        <w:t xml:space="preserve">Hours later, police spokesman </w:t>
      </w:r>
      <w:r w:rsidR="004E0CAC" w:rsidRPr="008A7BD7">
        <w:rPr>
          <w:rFonts w:ascii="Cambria" w:eastAsia="Cambria" w:hAnsi="Cambria" w:cs="Cambria"/>
          <w:sz w:val="20"/>
          <w:szCs w:val="20"/>
        </w:rPr>
        <w:t xml:space="preserve">Jorge Aguilar Chinchilla </w:t>
      </w:r>
      <w:r w:rsidR="00093558" w:rsidRPr="008A7BD7">
        <w:rPr>
          <w:rFonts w:ascii="Cambria" w:eastAsia="Cambria" w:hAnsi="Cambria" w:cs="Cambria"/>
          <w:sz w:val="20"/>
          <w:szCs w:val="20"/>
        </w:rPr>
        <w:t xml:space="preserve">reported that the </w:t>
      </w:r>
      <w:r w:rsidR="004E0CAC" w:rsidRPr="008A7BD7">
        <w:rPr>
          <w:rFonts w:ascii="Cambria" w:eastAsia="Cambria" w:hAnsi="Cambria" w:cs="Cambria"/>
          <w:i/>
          <w:iCs/>
          <w:sz w:val="20"/>
          <w:szCs w:val="20"/>
        </w:rPr>
        <w:t xml:space="preserve">El </w:t>
      </w:r>
      <w:proofErr w:type="spellStart"/>
      <w:r w:rsidR="004E0CAC" w:rsidRPr="008A7BD7">
        <w:rPr>
          <w:rFonts w:ascii="Cambria" w:eastAsia="Cambria" w:hAnsi="Cambria" w:cs="Cambria"/>
          <w:i/>
          <w:iCs/>
          <w:sz w:val="20"/>
          <w:szCs w:val="20"/>
        </w:rPr>
        <w:t>Periódico</w:t>
      </w:r>
      <w:proofErr w:type="spellEnd"/>
      <w:r w:rsidR="004E0CAC" w:rsidRPr="008A7BD7">
        <w:rPr>
          <w:rFonts w:ascii="Cambria" w:eastAsia="Cambria" w:hAnsi="Cambria" w:cs="Cambria"/>
          <w:sz w:val="20"/>
          <w:szCs w:val="20"/>
        </w:rPr>
        <w:t xml:space="preserve"> </w:t>
      </w:r>
      <w:r w:rsidR="00093558" w:rsidRPr="008A7BD7">
        <w:rPr>
          <w:rFonts w:ascii="Cambria" w:eastAsia="Cambria" w:hAnsi="Cambria" w:cs="Cambria"/>
          <w:sz w:val="20"/>
          <w:szCs w:val="20"/>
        </w:rPr>
        <w:t xml:space="preserve">editor had nothing to do with the crimes </w:t>
      </w:r>
      <w:r w:rsidR="00FE12E4" w:rsidRPr="008A7BD7">
        <w:rPr>
          <w:rFonts w:ascii="Cambria" w:eastAsia="Cambria" w:hAnsi="Cambria" w:cs="Cambria"/>
          <w:sz w:val="20"/>
          <w:szCs w:val="20"/>
        </w:rPr>
        <w:t>under</w:t>
      </w:r>
      <w:r w:rsidR="00093558" w:rsidRPr="008A7BD7">
        <w:rPr>
          <w:rFonts w:ascii="Cambria" w:eastAsia="Cambria" w:hAnsi="Cambria" w:cs="Cambria"/>
          <w:sz w:val="20"/>
          <w:szCs w:val="20"/>
        </w:rPr>
        <w:t xml:space="preserve"> investigat</w:t>
      </w:r>
      <w:r w:rsidR="00FE12E4" w:rsidRPr="008A7BD7">
        <w:rPr>
          <w:rFonts w:ascii="Cambria" w:eastAsia="Cambria" w:hAnsi="Cambria" w:cs="Cambria"/>
          <w:sz w:val="20"/>
          <w:szCs w:val="20"/>
        </w:rPr>
        <w:t>ion</w:t>
      </w:r>
      <w:r w:rsidR="00093558" w:rsidRPr="008A7BD7">
        <w:rPr>
          <w:rFonts w:ascii="Cambria" w:eastAsia="Cambria" w:hAnsi="Cambria" w:cs="Cambria"/>
          <w:sz w:val="20"/>
          <w:szCs w:val="20"/>
        </w:rPr>
        <w:t>.</w:t>
      </w:r>
      <w:r w:rsidR="004E0CAC" w:rsidRPr="008A7BD7">
        <w:rPr>
          <w:rFonts w:ascii="Cambria" w:eastAsia="Cambria" w:hAnsi="Cambria" w:cs="Cambria"/>
          <w:sz w:val="20"/>
          <w:szCs w:val="20"/>
          <w:vertAlign w:val="superscript"/>
          <w:lang w:val="es-419"/>
        </w:rPr>
        <w:footnoteReference w:id="143"/>
      </w:r>
      <w:r w:rsidR="004E0CAC" w:rsidRPr="008A7BD7">
        <w:rPr>
          <w:rFonts w:ascii="Cambria" w:eastAsia="Cambria" w:hAnsi="Cambria" w:cs="Cambria"/>
          <w:sz w:val="20"/>
          <w:szCs w:val="20"/>
        </w:rPr>
        <w:t xml:space="preserve"> </w:t>
      </w:r>
    </w:p>
    <w:p w14:paraId="73E6A4EA" w14:textId="77777777" w:rsidR="00FF2619" w:rsidRPr="008A7BD7" w:rsidRDefault="00FF2619" w:rsidP="00FF2619">
      <w:pPr>
        <w:pStyle w:val="ListParagraph"/>
        <w:rPr>
          <w:rFonts w:ascii="Cambria" w:eastAsia="Times New Roman" w:hAnsi="Cambria" w:cs="Tahoma"/>
          <w:color w:val="000000"/>
          <w:sz w:val="20"/>
          <w:szCs w:val="20"/>
          <w:lang w:eastAsia="es-ES_tradnl"/>
        </w:rPr>
      </w:pPr>
    </w:p>
    <w:p w14:paraId="177EBB5D" w14:textId="50F29019" w:rsidR="00FF2619" w:rsidRPr="008A7BD7" w:rsidRDefault="008D734D" w:rsidP="00FF2619">
      <w:pPr>
        <w:numPr>
          <w:ilvl w:val="0"/>
          <w:numId w:val="2"/>
        </w:numPr>
        <w:ind w:left="0" w:firstLine="720"/>
        <w:jc w:val="both"/>
        <w:rPr>
          <w:rFonts w:ascii="Cambria" w:eastAsia="Montserrat" w:hAnsi="Cambria" w:cs="Montserrat"/>
          <w:sz w:val="20"/>
          <w:szCs w:val="20"/>
        </w:rPr>
      </w:pPr>
      <w:proofErr w:type="gramStart"/>
      <w:r w:rsidRPr="008A7BD7">
        <w:rPr>
          <w:rFonts w:ascii="Cambria" w:eastAsia="Montserrat" w:hAnsi="Cambria" w:cs="Montserrat"/>
          <w:sz w:val="20"/>
          <w:szCs w:val="20"/>
        </w:rPr>
        <w:t>With regard to</w:t>
      </w:r>
      <w:proofErr w:type="gramEnd"/>
      <w:r w:rsidRPr="008A7BD7">
        <w:rPr>
          <w:rFonts w:ascii="Cambria" w:eastAsia="Montserrat" w:hAnsi="Cambria" w:cs="Montserrat"/>
          <w:sz w:val="20"/>
          <w:szCs w:val="20"/>
        </w:rPr>
        <w:t xml:space="preserve"> the information about the search of the home of</w:t>
      </w:r>
      <w:r w:rsidR="007A652B" w:rsidRPr="008A7BD7">
        <w:rPr>
          <w:rFonts w:ascii="Cambria" w:eastAsia="Montserrat" w:hAnsi="Cambria" w:cs="Montserrat"/>
          <w:sz w:val="20"/>
          <w:szCs w:val="20"/>
        </w:rPr>
        <w:t xml:space="preserve"> </w:t>
      </w:r>
      <w:r w:rsidRPr="008A7BD7">
        <w:rPr>
          <w:rFonts w:ascii="Cambria" w:eastAsia="Montserrat" w:hAnsi="Cambria" w:cs="Montserrat"/>
          <w:sz w:val="20"/>
          <w:szCs w:val="20"/>
        </w:rPr>
        <w:t xml:space="preserve">journalist </w:t>
      </w:r>
      <w:r w:rsidR="00FF2619" w:rsidRPr="008A7BD7">
        <w:rPr>
          <w:rFonts w:ascii="Cambria" w:eastAsia="Montserrat" w:hAnsi="Cambria" w:cs="Montserrat"/>
          <w:sz w:val="20"/>
          <w:szCs w:val="20"/>
        </w:rPr>
        <w:t xml:space="preserve">Juan José </w:t>
      </w:r>
      <w:proofErr w:type="spellStart"/>
      <w:r w:rsidR="00FF2619" w:rsidRPr="008A7BD7">
        <w:rPr>
          <w:rFonts w:ascii="Cambria" w:eastAsia="Montserrat" w:hAnsi="Cambria" w:cs="Montserrat"/>
          <w:sz w:val="20"/>
          <w:szCs w:val="20"/>
        </w:rPr>
        <w:t>Corado</w:t>
      </w:r>
      <w:proofErr w:type="spellEnd"/>
      <w:r w:rsidR="00FF2619" w:rsidRPr="008A7BD7">
        <w:rPr>
          <w:rFonts w:ascii="Cambria" w:eastAsia="Montserrat" w:hAnsi="Cambria" w:cs="Montserrat"/>
          <w:sz w:val="20"/>
          <w:szCs w:val="20"/>
        </w:rPr>
        <w:t xml:space="preserve">, </w:t>
      </w:r>
      <w:r w:rsidRPr="008A7BD7">
        <w:rPr>
          <w:rFonts w:ascii="Cambria" w:eastAsia="Montserrat" w:hAnsi="Cambria" w:cs="Montserrat"/>
          <w:sz w:val="20"/>
          <w:szCs w:val="20"/>
        </w:rPr>
        <w:t xml:space="preserve">the State reported that the Specialized Criminal Investigation Division, Department of Investigation of Crimes </w:t>
      </w:r>
      <w:r w:rsidR="00906169" w:rsidRPr="008A7BD7">
        <w:rPr>
          <w:rFonts w:ascii="Cambria" w:eastAsia="Montserrat" w:hAnsi="Cambria" w:cs="Montserrat"/>
          <w:sz w:val="20"/>
          <w:szCs w:val="20"/>
        </w:rPr>
        <w:t>of</w:t>
      </w:r>
      <w:r w:rsidRPr="008A7BD7">
        <w:rPr>
          <w:rFonts w:ascii="Cambria" w:eastAsia="Montserrat" w:hAnsi="Cambria" w:cs="Montserrat"/>
          <w:sz w:val="20"/>
          <w:szCs w:val="20"/>
        </w:rPr>
        <w:t xml:space="preserve"> Organized Crime, Section </w:t>
      </w:r>
      <w:r w:rsidR="00AB19DD" w:rsidRPr="008A7BD7">
        <w:rPr>
          <w:rFonts w:ascii="Cambria" w:eastAsia="Montserrat" w:hAnsi="Cambria" w:cs="Montserrat"/>
          <w:sz w:val="20"/>
          <w:szCs w:val="20"/>
        </w:rPr>
        <w:t>on Vehicle</w:t>
      </w:r>
      <w:r w:rsidRPr="008A7BD7">
        <w:rPr>
          <w:rFonts w:ascii="Cambria" w:eastAsia="Montserrat" w:hAnsi="Cambria" w:cs="Montserrat"/>
          <w:sz w:val="20"/>
          <w:szCs w:val="20"/>
        </w:rPr>
        <w:t xml:space="preserve"> </w:t>
      </w:r>
      <w:r w:rsidR="00AB19DD" w:rsidRPr="008A7BD7">
        <w:rPr>
          <w:rFonts w:ascii="Cambria" w:eastAsia="Montserrat" w:hAnsi="Cambria" w:cs="Montserrat"/>
          <w:sz w:val="20"/>
          <w:szCs w:val="20"/>
        </w:rPr>
        <w:t xml:space="preserve">Robbery and Theft </w:t>
      </w:r>
      <w:r w:rsidR="00FF2619" w:rsidRPr="008A7BD7">
        <w:rPr>
          <w:rFonts w:ascii="Cambria" w:eastAsia="Montserrat" w:hAnsi="Cambria" w:cs="Montserrat"/>
          <w:sz w:val="20"/>
          <w:szCs w:val="20"/>
        </w:rPr>
        <w:t xml:space="preserve">(DEIC) </w:t>
      </w:r>
      <w:r w:rsidR="00AB19DD" w:rsidRPr="008A7BD7">
        <w:rPr>
          <w:rFonts w:ascii="Cambria" w:eastAsia="Montserrat" w:hAnsi="Cambria" w:cs="Montserrat"/>
          <w:sz w:val="20"/>
          <w:szCs w:val="20"/>
        </w:rPr>
        <w:t xml:space="preserve">of the National Civil Police </w:t>
      </w:r>
      <w:r w:rsidR="00906169" w:rsidRPr="008A7BD7">
        <w:rPr>
          <w:rFonts w:ascii="Cambria" w:eastAsia="Montserrat" w:hAnsi="Cambria" w:cs="Montserrat"/>
          <w:sz w:val="20"/>
          <w:szCs w:val="20"/>
        </w:rPr>
        <w:t xml:space="preserve">located a record of an investigation into </w:t>
      </w:r>
      <w:r w:rsidR="00AB19DD" w:rsidRPr="008A7BD7">
        <w:rPr>
          <w:rFonts w:ascii="Cambria" w:eastAsia="Montserrat" w:hAnsi="Cambria" w:cs="Montserrat"/>
          <w:sz w:val="20"/>
          <w:szCs w:val="20"/>
        </w:rPr>
        <w:t xml:space="preserve">an individual with the initials </w:t>
      </w:r>
      <w:r w:rsidR="00FF2619" w:rsidRPr="008A7BD7">
        <w:rPr>
          <w:rFonts w:ascii="Cambria" w:eastAsia="Montserrat" w:hAnsi="Cambria" w:cs="Montserrat"/>
          <w:sz w:val="20"/>
          <w:szCs w:val="20"/>
        </w:rPr>
        <w:t>LEPM</w:t>
      </w:r>
      <w:r w:rsidR="009A1606" w:rsidRPr="008A7BD7">
        <w:rPr>
          <w:rFonts w:ascii="Cambria" w:eastAsia="Montserrat" w:hAnsi="Cambria" w:cs="Montserrat"/>
          <w:sz w:val="20"/>
          <w:szCs w:val="20"/>
        </w:rPr>
        <w:t xml:space="preserve"> who had </w:t>
      </w:r>
      <w:r w:rsidR="002C6641" w:rsidRPr="008A7BD7">
        <w:rPr>
          <w:rFonts w:ascii="Cambria" w:eastAsia="Montserrat" w:hAnsi="Cambria" w:cs="Montserrat"/>
          <w:sz w:val="20"/>
          <w:szCs w:val="20"/>
        </w:rPr>
        <w:t>registered</w:t>
      </w:r>
      <w:r w:rsidR="009A1606" w:rsidRPr="008A7BD7">
        <w:rPr>
          <w:rFonts w:ascii="Cambria" w:eastAsia="Montserrat" w:hAnsi="Cambria" w:cs="Montserrat"/>
          <w:sz w:val="20"/>
          <w:szCs w:val="20"/>
        </w:rPr>
        <w:t xml:space="preserve"> the </w:t>
      </w:r>
      <w:r w:rsidR="002C6641" w:rsidRPr="008A7BD7">
        <w:rPr>
          <w:rFonts w:ascii="Cambria" w:eastAsia="Montserrat" w:hAnsi="Cambria" w:cs="Montserrat"/>
          <w:sz w:val="20"/>
          <w:szCs w:val="20"/>
        </w:rPr>
        <w:t xml:space="preserve">address of the </w:t>
      </w:r>
      <w:r w:rsidR="009A1606" w:rsidRPr="008A7BD7">
        <w:rPr>
          <w:rFonts w:ascii="Cambria" w:eastAsia="Montserrat" w:hAnsi="Cambria" w:cs="Montserrat"/>
          <w:sz w:val="20"/>
          <w:szCs w:val="20"/>
        </w:rPr>
        <w:t>searched residence with different public agencies. That was why, on July 9, 2021, the search warrant authorized by the judge</w:t>
      </w:r>
      <w:r w:rsidR="007737D8" w:rsidRPr="008A7BD7">
        <w:rPr>
          <w:rFonts w:ascii="Cambria" w:eastAsia="Montserrat" w:hAnsi="Cambria" w:cs="Montserrat"/>
          <w:sz w:val="20"/>
          <w:szCs w:val="20"/>
        </w:rPr>
        <w:t xml:space="preserve"> </w:t>
      </w:r>
      <w:r w:rsidR="002C6641" w:rsidRPr="008A7BD7">
        <w:rPr>
          <w:rFonts w:ascii="Cambria" w:eastAsia="Montserrat" w:hAnsi="Cambria" w:cs="Montserrat"/>
          <w:sz w:val="20"/>
          <w:szCs w:val="20"/>
        </w:rPr>
        <w:t xml:space="preserve">in charge of the case </w:t>
      </w:r>
      <w:r w:rsidR="007737D8" w:rsidRPr="008A7BD7">
        <w:rPr>
          <w:rFonts w:ascii="Cambria" w:eastAsia="Montserrat" w:hAnsi="Cambria" w:cs="Montserrat"/>
          <w:sz w:val="20"/>
          <w:szCs w:val="20"/>
        </w:rPr>
        <w:t xml:space="preserve">was </w:t>
      </w:r>
      <w:r w:rsidR="002C6641" w:rsidRPr="008A7BD7">
        <w:rPr>
          <w:rFonts w:ascii="Cambria" w:eastAsia="Montserrat" w:hAnsi="Cambria" w:cs="Montserrat"/>
          <w:sz w:val="20"/>
          <w:szCs w:val="20"/>
        </w:rPr>
        <w:t>executed</w:t>
      </w:r>
      <w:r w:rsidR="00FF2619" w:rsidRPr="008A7BD7">
        <w:rPr>
          <w:rFonts w:ascii="Cambria" w:eastAsia="Montserrat" w:hAnsi="Cambria" w:cs="Montserrat"/>
          <w:sz w:val="20"/>
          <w:szCs w:val="20"/>
        </w:rPr>
        <w:t>,</w:t>
      </w:r>
      <w:r w:rsidR="007737D8" w:rsidRPr="008A7BD7">
        <w:rPr>
          <w:rFonts w:ascii="Cambria" w:eastAsia="Montserrat" w:hAnsi="Cambria" w:cs="Montserrat"/>
          <w:sz w:val="20"/>
          <w:szCs w:val="20"/>
        </w:rPr>
        <w:t xml:space="preserve"> in which </w:t>
      </w:r>
      <w:r w:rsidR="00FF2619" w:rsidRPr="008A7BD7">
        <w:rPr>
          <w:rFonts w:ascii="Cambria" w:eastAsia="Montserrat" w:hAnsi="Cambria" w:cs="Montserrat"/>
          <w:sz w:val="20"/>
          <w:szCs w:val="20"/>
        </w:rPr>
        <w:t xml:space="preserve">Juan José </w:t>
      </w:r>
      <w:proofErr w:type="spellStart"/>
      <w:r w:rsidR="00FF2619" w:rsidRPr="008A7BD7">
        <w:rPr>
          <w:rFonts w:ascii="Cambria" w:eastAsia="Montserrat" w:hAnsi="Cambria" w:cs="Montserrat"/>
          <w:sz w:val="20"/>
          <w:szCs w:val="20"/>
        </w:rPr>
        <w:t>Corado</w:t>
      </w:r>
      <w:proofErr w:type="spellEnd"/>
      <w:r w:rsidR="00FF2619" w:rsidRPr="008A7BD7">
        <w:rPr>
          <w:rFonts w:ascii="Cambria" w:eastAsia="Montserrat" w:hAnsi="Cambria" w:cs="Montserrat"/>
          <w:sz w:val="20"/>
          <w:szCs w:val="20"/>
        </w:rPr>
        <w:t xml:space="preserve"> Flores</w:t>
      </w:r>
      <w:r w:rsidR="007737D8" w:rsidRPr="008A7BD7">
        <w:rPr>
          <w:rFonts w:ascii="Cambria" w:eastAsia="Montserrat" w:hAnsi="Cambria" w:cs="Montserrat"/>
          <w:sz w:val="20"/>
          <w:szCs w:val="20"/>
        </w:rPr>
        <w:t xml:space="preserve"> was notified</w:t>
      </w:r>
      <w:r w:rsidR="00FF2619" w:rsidRPr="008A7BD7">
        <w:rPr>
          <w:rFonts w:ascii="Cambria" w:eastAsia="Montserrat" w:hAnsi="Cambria" w:cs="Montserrat"/>
          <w:sz w:val="20"/>
          <w:szCs w:val="20"/>
        </w:rPr>
        <w:t xml:space="preserve">. </w:t>
      </w:r>
      <w:r w:rsidR="007737D8" w:rsidRPr="008A7BD7">
        <w:rPr>
          <w:rFonts w:ascii="Cambria" w:eastAsia="Montserrat" w:hAnsi="Cambria" w:cs="Montserrat"/>
          <w:sz w:val="20"/>
          <w:szCs w:val="20"/>
        </w:rPr>
        <w:t xml:space="preserve">The State indicated that Mr. </w:t>
      </w:r>
      <w:proofErr w:type="spellStart"/>
      <w:r w:rsidR="00FF2619" w:rsidRPr="008A7BD7">
        <w:rPr>
          <w:rFonts w:ascii="Cambria" w:eastAsia="Montserrat" w:hAnsi="Cambria" w:cs="Montserrat"/>
          <w:sz w:val="20"/>
          <w:szCs w:val="20"/>
        </w:rPr>
        <w:t>Corado</w:t>
      </w:r>
      <w:proofErr w:type="spellEnd"/>
      <w:r w:rsidR="00FF2619" w:rsidRPr="008A7BD7">
        <w:rPr>
          <w:rFonts w:ascii="Cambria" w:eastAsia="Montserrat" w:hAnsi="Cambria" w:cs="Montserrat"/>
          <w:sz w:val="20"/>
          <w:szCs w:val="20"/>
        </w:rPr>
        <w:t xml:space="preserve"> Flores </w:t>
      </w:r>
      <w:r w:rsidR="007737D8" w:rsidRPr="008A7BD7">
        <w:rPr>
          <w:rFonts w:ascii="Cambria" w:eastAsia="Montserrat" w:hAnsi="Cambria" w:cs="Montserrat"/>
          <w:sz w:val="20"/>
          <w:szCs w:val="20"/>
        </w:rPr>
        <w:t xml:space="preserve">signed the search warrant and the record of the search, in which he affirmed that his constitutional rights were respected and </w:t>
      </w:r>
      <w:r w:rsidR="003A39EA" w:rsidRPr="008A7BD7">
        <w:rPr>
          <w:rFonts w:ascii="Cambria" w:eastAsia="Montserrat" w:hAnsi="Cambria" w:cs="Montserrat"/>
          <w:sz w:val="20"/>
          <w:szCs w:val="20"/>
        </w:rPr>
        <w:t xml:space="preserve">that </w:t>
      </w:r>
      <w:r w:rsidR="007737D8" w:rsidRPr="008A7BD7">
        <w:rPr>
          <w:rFonts w:ascii="Cambria" w:eastAsia="Montserrat" w:hAnsi="Cambria" w:cs="Montserrat"/>
          <w:sz w:val="20"/>
          <w:szCs w:val="20"/>
        </w:rPr>
        <w:t xml:space="preserve">he received the property in satisfactory condition </w:t>
      </w:r>
      <w:r w:rsidR="002C6641" w:rsidRPr="008A7BD7">
        <w:rPr>
          <w:rFonts w:ascii="Cambria" w:eastAsia="Montserrat" w:hAnsi="Cambria" w:cs="Montserrat"/>
          <w:sz w:val="20"/>
          <w:szCs w:val="20"/>
        </w:rPr>
        <w:t>after the search was completed,</w:t>
      </w:r>
      <w:r w:rsidR="003A39EA" w:rsidRPr="008A7BD7">
        <w:rPr>
          <w:rFonts w:ascii="Cambria" w:eastAsia="Montserrat" w:hAnsi="Cambria" w:cs="Montserrat"/>
          <w:sz w:val="20"/>
          <w:szCs w:val="20"/>
        </w:rPr>
        <w:t xml:space="preserve"> and</w:t>
      </w:r>
      <w:r w:rsidR="007737D8" w:rsidRPr="008A7BD7">
        <w:rPr>
          <w:rFonts w:ascii="Cambria" w:eastAsia="Montserrat" w:hAnsi="Cambria" w:cs="Montserrat"/>
          <w:sz w:val="20"/>
          <w:szCs w:val="20"/>
        </w:rPr>
        <w:t xml:space="preserve"> no one with an outstanding arrest warrant was </w:t>
      </w:r>
      <w:r w:rsidR="003A39EA" w:rsidRPr="008A7BD7">
        <w:rPr>
          <w:rFonts w:ascii="Cambria" w:eastAsia="Montserrat" w:hAnsi="Cambria" w:cs="Montserrat"/>
          <w:sz w:val="20"/>
          <w:szCs w:val="20"/>
        </w:rPr>
        <w:t xml:space="preserve">able to be </w:t>
      </w:r>
      <w:r w:rsidR="007737D8" w:rsidRPr="008A7BD7">
        <w:rPr>
          <w:rFonts w:ascii="Cambria" w:eastAsia="Montserrat" w:hAnsi="Cambria" w:cs="Montserrat"/>
          <w:sz w:val="20"/>
          <w:szCs w:val="20"/>
        </w:rPr>
        <w:t>found</w:t>
      </w:r>
      <w:r w:rsidR="003A39EA" w:rsidRPr="008A7BD7">
        <w:rPr>
          <w:rFonts w:ascii="Cambria" w:eastAsia="Montserrat" w:hAnsi="Cambria" w:cs="Montserrat"/>
          <w:sz w:val="20"/>
          <w:szCs w:val="20"/>
        </w:rPr>
        <w:t xml:space="preserve"> at that location</w:t>
      </w:r>
      <w:r w:rsidR="007737D8" w:rsidRPr="008A7BD7">
        <w:rPr>
          <w:rFonts w:ascii="Cambria" w:eastAsia="Montserrat" w:hAnsi="Cambria" w:cs="Montserrat"/>
          <w:sz w:val="20"/>
          <w:szCs w:val="20"/>
        </w:rPr>
        <w:t xml:space="preserve">. The search began at </w:t>
      </w:r>
      <w:r w:rsidR="00FF2619" w:rsidRPr="008A7BD7">
        <w:rPr>
          <w:rFonts w:ascii="Cambria" w:eastAsia="Montserrat" w:hAnsi="Cambria" w:cs="Montserrat"/>
          <w:sz w:val="20"/>
          <w:szCs w:val="20"/>
        </w:rPr>
        <w:t xml:space="preserve">6:01 </w:t>
      </w:r>
      <w:r w:rsidR="007737D8" w:rsidRPr="008A7BD7">
        <w:rPr>
          <w:rFonts w:ascii="Cambria" w:eastAsia="Montserrat" w:hAnsi="Cambria" w:cs="Montserrat"/>
          <w:sz w:val="20"/>
          <w:szCs w:val="20"/>
        </w:rPr>
        <w:t xml:space="preserve">and ended at </w:t>
      </w:r>
      <w:r w:rsidR="00FF2619" w:rsidRPr="008A7BD7">
        <w:rPr>
          <w:rFonts w:ascii="Cambria" w:eastAsia="Montserrat" w:hAnsi="Cambria" w:cs="Montserrat"/>
          <w:sz w:val="20"/>
          <w:szCs w:val="20"/>
        </w:rPr>
        <w:t xml:space="preserve">7:14 </w:t>
      </w:r>
      <w:r w:rsidR="007737D8" w:rsidRPr="008A7BD7">
        <w:rPr>
          <w:rFonts w:ascii="Cambria" w:eastAsia="Montserrat" w:hAnsi="Cambria" w:cs="Montserrat"/>
          <w:sz w:val="20"/>
          <w:szCs w:val="20"/>
        </w:rPr>
        <w:t xml:space="preserve">that same day, June </w:t>
      </w:r>
      <w:r w:rsidR="00FF2619" w:rsidRPr="008A7BD7">
        <w:rPr>
          <w:rFonts w:ascii="Cambria" w:eastAsia="Montserrat" w:hAnsi="Cambria" w:cs="Montserrat"/>
          <w:sz w:val="20"/>
          <w:szCs w:val="20"/>
        </w:rPr>
        <w:t>9</w:t>
      </w:r>
      <w:r w:rsidR="007737D8" w:rsidRPr="008A7BD7">
        <w:rPr>
          <w:rFonts w:ascii="Cambria" w:eastAsia="Montserrat" w:hAnsi="Cambria" w:cs="Montserrat"/>
          <w:sz w:val="20"/>
          <w:szCs w:val="20"/>
        </w:rPr>
        <w:t>,</w:t>
      </w:r>
      <w:r w:rsidR="00FF2619" w:rsidRPr="008A7BD7">
        <w:rPr>
          <w:rFonts w:ascii="Cambria" w:eastAsia="Montserrat" w:hAnsi="Cambria" w:cs="Montserrat"/>
          <w:sz w:val="20"/>
          <w:szCs w:val="20"/>
        </w:rPr>
        <w:t xml:space="preserve"> 2021</w:t>
      </w:r>
      <w:r w:rsidR="007737D8" w:rsidRPr="008A7BD7">
        <w:rPr>
          <w:rFonts w:ascii="Cambria" w:eastAsia="Montserrat" w:hAnsi="Cambria" w:cs="Montserrat"/>
          <w:sz w:val="20"/>
          <w:szCs w:val="20"/>
        </w:rPr>
        <w:t>.</w:t>
      </w:r>
      <w:r w:rsidR="00FF2619" w:rsidRPr="008A7BD7">
        <w:rPr>
          <w:rStyle w:val="FootnoteReference"/>
          <w:rFonts w:ascii="Cambria" w:eastAsia="Montserrat" w:hAnsi="Cambria" w:cs="Montserrat"/>
          <w:sz w:val="20"/>
          <w:szCs w:val="20"/>
          <w:lang w:val="es-US"/>
        </w:rPr>
        <w:footnoteReference w:id="144"/>
      </w:r>
    </w:p>
    <w:p w14:paraId="094F0977" w14:textId="77777777" w:rsidR="004E0CAC" w:rsidRPr="008A7BD7" w:rsidRDefault="004E0CAC" w:rsidP="004E0CAC">
      <w:pPr>
        <w:ind w:left="720"/>
        <w:jc w:val="both"/>
        <w:rPr>
          <w:rFonts w:ascii="Cambria" w:eastAsia="Times New Roman" w:hAnsi="Cambria" w:cs="Tahoma"/>
          <w:color w:val="000000"/>
          <w:sz w:val="20"/>
          <w:szCs w:val="20"/>
          <w:lang w:eastAsia="es-ES_tradnl"/>
        </w:rPr>
      </w:pPr>
    </w:p>
    <w:p w14:paraId="43E348BC" w14:textId="0942FF93" w:rsidR="004E0CAC" w:rsidRPr="008A7BD7" w:rsidRDefault="00DA70A3"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 xml:space="preserve">The IACHR also received information </w:t>
      </w:r>
      <w:r w:rsidR="00050B87" w:rsidRPr="008A7BD7">
        <w:rPr>
          <w:rFonts w:ascii="Cambria" w:eastAsia="Cambria" w:hAnsi="Cambria" w:cs="Cambria"/>
          <w:sz w:val="20"/>
          <w:szCs w:val="20"/>
        </w:rPr>
        <w:t>indicating that on October 26, 2021, the National Civil Police raided and searched the home of a correspondent for</w:t>
      </w:r>
      <w:r w:rsidRPr="008A7BD7">
        <w:rPr>
          <w:rFonts w:ascii="Cambria" w:eastAsia="Cambria" w:hAnsi="Cambria" w:cs="Cambria"/>
          <w:sz w:val="20"/>
          <w:szCs w:val="20"/>
        </w:rPr>
        <w:t xml:space="preserve"> </w:t>
      </w:r>
      <w:proofErr w:type="spellStart"/>
      <w:r w:rsidR="004E0CAC" w:rsidRPr="008A7BD7">
        <w:rPr>
          <w:rFonts w:ascii="Cambria" w:hAnsi="Cambria" w:cs="Tahoma"/>
          <w:i/>
          <w:iCs/>
          <w:sz w:val="20"/>
          <w:szCs w:val="20"/>
          <w:shd w:val="clear" w:color="auto" w:fill="FFFFFF"/>
        </w:rPr>
        <w:t>Prensa</w:t>
      </w:r>
      <w:proofErr w:type="spellEnd"/>
      <w:r w:rsidR="004E0CAC" w:rsidRPr="008A7BD7">
        <w:rPr>
          <w:rFonts w:ascii="Cambria" w:hAnsi="Cambria" w:cs="Tahoma"/>
          <w:i/>
          <w:iCs/>
          <w:sz w:val="20"/>
          <w:szCs w:val="20"/>
          <w:shd w:val="clear" w:color="auto" w:fill="FFFFFF"/>
        </w:rPr>
        <w:t xml:space="preserve"> </w:t>
      </w:r>
      <w:proofErr w:type="spellStart"/>
      <w:r w:rsidR="004E0CAC" w:rsidRPr="008A7BD7">
        <w:rPr>
          <w:rFonts w:ascii="Cambria" w:hAnsi="Cambria" w:cs="Tahoma"/>
          <w:i/>
          <w:iCs/>
          <w:sz w:val="20"/>
          <w:szCs w:val="20"/>
          <w:shd w:val="clear" w:color="auto" w:fill="FFFFFF"/>
        </w:rPr>
        <w:t>Comunitaria</w:t>
      </w:r>
      <w:proofErr w:type="spellEnd"/>
      <w:r w:rsidR="004E0CAC" w:rsidRPr="008A7BD7">
        <w:rPr>
          <w:rFonts w:ascii="Cambria" w:hAnsi="Cambria" w:cs="Tahoma"/>
          <w:sz w:val="20"/>
          <w:szCs w:val="20"/>
          <w:shd w:val="clear" w:color="auto" w:fill="FFFFFF"/>
        </w:rPr>
        <w:t xml:space="preserve">, Juan Bautista </w:t>
      </w:r>
      <w:proofErr w:type="spellStart"/>
      <w:r w:rsidR="004E0CAC" w:rsidRPr="008A7BD7">
        <w:rPr>
          <w:rFonts w:ascii="Cambria" w:hAnsi="Cambria" w:cs="Tahoma"/>
          <w:sz w:val="20"/>
          <w:szCs w:val="20"/>
          <w:shd w:val="clear" w:color="auto" w:fill="FFFFFF"/>
        </w:rPr>
        <w:t>Xol</w:t>
      </w:r>
      <w:proofErr w:type="spellEnd"/>
      <w:r w:rsidR="00050B87" w:rsidRPr="008A7BD7">
        <w:rPr>
          <w:rFonts w:ascii="Cambria" w:hAnsi="Cambria" w:cs="Tahoma"/>
          <w:sz w:val="20"/>
          <w:szCs w:val="20"/>
          <w:shd w:val="clear" w:color="auto" w:fill="FFFFFF"/>
        </w:rPr>
        <w:t xml:space="preserve">. According to </w:t>
      </w:r>
      <w:r w:rsidR="001D1320" w:rsidRPr="008A7BD7">
        <w:rPr>
          <w:rFonts w:ascii="Cambria" w:hAnsi="Cambria" w:cs="Tahoma"/>
          <w:sz w:val="20"/>
          <w:szCs w:val="20"/>
          <w:shd w:val="clear" w:color="auto" w:fill="FFFFFF"/>
        </w:rPr>
        <w:t>a published account</w:t>
      </w:r>
      <w:r w:rsidR="00050B87" w:rsidRPr="008A7BD7">
        <w:rPr>
          <w:rFonts w:ascii="Cambria" w:hAnsi="Cambria" w:cs="Tahoma"/>
          <w:sz w:val="20"/>
          <w:szCs w:val="20"/>
          <w:shd w:val="clear" w:color="auto" w:fill="FFFFFF"/>
        </w:rPr>
        <w:t>, the operation had been authorized in connection with a judicial investigation that was underway.</w:t>
      </w:r>
      <w:r w:rsidR="004E0CAC" w:rsidRPr="008A7BD7">
        <w:rPr>
          <w:rStyle w:val="FootnoteReference"/>
          <w:rFonts w:ascii="Cambria" w:hAnsi="Cambria" w:cs="Tahoma"/>
          <w:sz w:val="20"/>
          <w:szCs w:val="20"/>
          <w:shd w:val="clear" w:color="auto" w:fill="FFFFFF"/>
          <w:lang w:val="es-419"/>
        </w:rPr>
        <w:footnoteReference w:id="145"/>
      </w:r>
      <w:r w:rsidR="004E0CAC" w:rsidRPr="008A7BD7">
        <w:rPr>
          <w:rFonts w:ascii="Cambria" w:hAnsi="Cambria" w:cs="Tahoma"/>
          <w:sz w:val="20"/>
          <w:szCs w:val="20"/>
          <w:shd w:val="clear" w:color="auto" w:fill="FFFFFF"/>
        </w:rPr>
        <w:t xml:space="preserve"> </w:t>
      </w:r>
      <w:r w:rsidR="00050B87" w:rsidRPr="008A7BD7">
        <w:rPr>
          <w:rFonts w:ascii="Cambria" w:hAnsi="Cambria" w:cs="Tahoma"/>
          <w:sz w:val="20"/>
          <w:szCs w:val="20"/>
          <w:shd w:val="clear" w:color="auto" w:fill="FFFFFF"/>
        </w:rPr>
        <w:t>A</w:t>
      </w:r>
      <w:r w:rsidR="00F5135E" w:rsidRPr="008A7BD7">
        <w:rPr>
          <w:rFonts w:ascii="Cambria" w:hAnsi="Cambria" w:cs="Tahoma"/>
          <w:sz w:val="20"/>
          <w:szCs w:val="20"/>
          <w:shd w:val="clear" w:color="auto" w:fill="FFFFFF"/>
        </w:rPr>
        <w:t>ccording to information received by</w:t>
      </w:r>
      <w:r w:rsidR="00050B87" w:rsidRPr="008A7BD7">
        <w:rPr>
          <w:rFonts w:ascii="Cambria" w:hAnsi="Cambria" w:cs="Tahoma"/>
          <w:sz w:val="20"/>
          <w:szCs w:val="20"/>
          <w:shd w:val="clear" w:color="auto" w:fill="FFFFFF"/>
        </w:rPr>
        <w:t xml:space="preserve"> the Office of the Special Rapporteur</w:t>
      </w:r>
      <w:r w:rsidR="00F5135E" w:rsidRPr="008A7BD7">
        <w:rPr>
          <w:rFonts w:ascii="Cambria" w:hAnsi="Cambria" w:cs="Tahoma"/>
          <w:sz w:val="20"/>
          <w:szCs w:val="20"/>
          <w:shd w:val="clear" w:color="auto" w:fill="FFFFFF"/>
        </w:rPr>
        <w:t xml:space="preserve">, </w:t>
      </w:r>
      <w:r w:rsidR="006D4534" w:rsidRPr="008A7BD7">
        <w:rPr>
          <w:rFonts w:ascii="Cambria" w:hAnsi="Cambria" w:cs="Tahoma"/>
          <w:sz w:val="20"/>
          <w:szCs w:val="20"/>
          <w:shd w:val="clear" w:color="auto" w:fill="FFFFFF"/>
        </w:rPr>
        <w:t xml:space="preserve">in the weeks before that, </w:t>
      </w:r>
      <w:r w:rsidR="00050B87" w:rsidRPr="008A7BD7">
        <w:rPr>
          <w:rFonts w:ascii="Cambria" w:hAnsi="Cambria" w:cs="Tahoma"/>
          <w:sz w:val="20"/>
          <w:szCs w:val="20"/>
          <w:shd w:val="clear" w:color="auto" w:fill="FFFFFF"/>
        </w:rPr>
        <w:t xml:space="preserve">the journalist had </w:t>
      </w:r>
      <w:r w:rsidR="006D4534" w:rsidRPr="008A7BD7">
        <w:rPr>
          <w:rFonts w:ascii="Cambria" w:hAnsi="Cambria" w:cs="Tahoma"/>
          <w:sz w:val="20"/>
          <w:szCs w:val="20"/>
          <w:shd w:val="clear" w:color="auto" w:fill="FFFFFF"/>
        </w:rPr>
        <w:t xml:space="preserve">been providing </w:t>
      </w:r>
      <w:r w:rsidR="002A1FF6" w:rsidRPr="008A7BD7">
        <w:rPr>
          <w:rFonts w:ascii="Cambria" w:hAnsi="Cambria" w:cs="Tahoma"/>
          <w:sz w:val="20"/>
          <w:szCs w:val="20"/>
          <w:shd w:val="clear" w:color="auto" w:fill="FFFFFF"/>
        </w:rPr>
        <w:t>ongoing</w:t>
      </w:r>
      <w:r w:rsidR="006D4534" w:rsidRPr="008A7BD7">
        <w:rPr>
          <w:rFonts w:ascii="Cambria" w:hAnsi="Cambria" w:cs="Tahoma"/>
          <w:sz w:val="20"/>
          <w:szCs w:val="20"/>
          <w:shd w:val="clear" w:color="auto" w:fill="FFFFFF"/>
        </w:rPr>
        <w:t xml:space="preserve"> coverage of </w:t>
      </w:r>
      <w:r w:rsidR="002A1FF6" w:rsidRPr="008A7BD7">
        <w:rPr>
          <w:rFonts w:ascii="Cambria" w:hAnsi="Cambria" w:cs="Tahoma"/>
          <w:sz w:val="20"/>
          <w:szCs w:val="20"/>
          <w:shd w:val="clear" w:color="auto" w:fill="FFFFFF"/>
        </w:rPr>
        <w:t>protests and other events</w:t>
      </w:r>
      <w:r w:rsidR="006D4534" w:rsidRPr="008A7BD7">
        <w:rPr>
          <w:rFonts w:ascii="Cambria" w:hAnsi="Cambria" w:cs="Tahoma"/>
          <w:sz w:val="20"/>
          <w:szCs w:val="20"/>
          <w:shd w:val="clear" w:color="auto" w:fill="FFFFFF"/>
        </w:rPr>
        <w:t xml:space="preserve"> of public interest.</w:t>
      </w:r>
      <w:r w:rsidR="004E0CAC" w:rsidRPr="008A7BD7">
        <w:rPr>
          <w:rStyle w:val="FootnoteReference"/>
          <w:rFonts w:ascii="Cambria" w:hAnsi="Cambria" w:cs="Tahoma"/>
          <w:sz w:val="20"/>
          <w:szCs w:val="20"/>
          <w:shd w:val="clear" w:color="auto" w:fill="FFFFFF"/>
          <w:lang w:val="es-419"/>
        </w:rPr>
        <w:footnoteReference w:id="146"/>
      </w:r>
      <w:r w:rsidR="004E0CAC" w:rsidRPr="008A7BD7">
        <w:rPr>
          <w:rFonts w:ascii="Cambria" w:hAnsi="Cambria" w:cs="Tahoma"/>
          <w:sz w:val="20"/>
          <w:szCs w:val="20"/>
          <w:shd w:val="clear" w:color="auto" w:fill="FFFFFF"/>
        </w:rPr>
        <w:t xml:space="preserve"> </w:t>
      </w:r>
    </w:p>
    <w:p w14:paraId="016A2EAA" w14:textId="77777777" w:rsidR="004E0CAC" w:rsidRPr="008A7BD7" w:rsidRDefault="004E0CAC" w:rsidP="004E0CAC">
      <w:pPr>
        <w:pStyle w:val="ListParagraph"/>
        <w:rPr>
          <w:rFonts w:ascii="Cambria" w:eastAsia="Cambria" w:hAnsi="Cambria" w:cs="Cambria"/>
          <w:sz w:val="20"/>
          <w:szCs w:val="20"/>
        </w:rPr>
      </w:pPr>
    </w:p>
    <w:p w14:paraId="74A49F9C" w14:textId="79BAAD5C" w:rsidR="004E0CAC" w:rsidRPr="008A7BD7" w:rsidRDefault="00CA1E6F"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In the context of the pandemic, the IACHR observe</w:t>
      </w:r>
      <w:r w:rsidR="00665B54" w:rsidRPr="008A7BD7">
        <w:rPr>
          <w:rFonts w:ascii="Cambria" w:eastAsia="Cambria" w:hAnsi="Cambria" w:cs="Cambria"/>
          <w:sz w:val="20"/>
          <w:szCs w:val="20"/>
        </w:rPr>
        <w:t>d with concern</w:t>
      </w:r>
      <w:r w:rsidRPr="008A7BD7">
        <w:rPr>
          <w:rFonts w:ascii="Cambria" w:eastAsia="Cambria" w:hAnsi="Cambria" w:cs="Cambria"/>
          <w:sz w:val="20"/>
          <w:szCs w:val="20"/>
        </w:rPr>
        <w:t xml:space="preserve"> that </w:t>
      </w:r>
      <w:r w:rsidR="00C93F3B" w:rsidRPr="008A7BD7">
        <w:rPr>
          <w:rFonts w:ascii="Cambria" w:eastAsia="Cambria" w:hAnsi="Cambria" w:cs="Cambria"/>
          <w:sz w:val="20"/>
          <w:szCs w:val="20"/>
        </w:rPr>
        <w:t>special</w:t>
      </w:r>
      <w:r w:rsidRPr="008A7BD7">
        <w:rPr>
          <w:rFonts w:ascii="Cambria" w:eastAsia="Cambria" w:hAnsi="Cambria" w:cs="Cambria"/>
          <w:sz w:val="20"/>
          <w:szCs w:val="20"/>
        </w:rPr>
        <w:t xml:space="preserve"> legislative measures were </w:t>
      </w:r>
      <w:r w:rsidR="00C93F3B" w:rsidRPr="008A7BD7">
        <w:rPr>
          <w:rFonts w:ascii="Cambria" w:eastAsia="Cambria" w:hAnsi="Cambria" w:cs="Cambria"/>
          <w:sz w:val="20"/>
          <w:szCs w:val="20"/>
        </w:rPr>
        <w:t>used</w:t>
      </w:r>
      <w:r w:rsidRPr="008A7BD7">
        <w:rPr>
          <w:rFonts w:ascii="Cambria" w:eastAsia="Cambria" w:hAnsi="Cambria" w:cs="Cambria"/>
          <w:sz w:val="20"/>
          <w:szCs w:val="20"/>
        </w:rPr>
        <w:t xml:space="preserve"> to restrict journalists’ freedom of expression and the activities of media outlets.</w:t>
      </w:r>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 xml:space="preserve">The Office of the Special Rapporteur received information indicating that </w:t>
      </w:r>
      <w:r w:rsidR="005A79EF" w:rsidRPr="008A7BD7">
        <w:rPr>
          <w:rFonts w:ascii="Cambria" w:eastAsia="Cambria" w:hAnsi="Cambria" w:cs="Cambria"/>
          <w:sz w:val="20"/>
          <w:szCs w:val="20"/>
        </w:rPr>
        <w:t xml:space="preserve">Governmental Decrees </w:t>
      </w:r>
      <w:r w:rsidR="004E0CAC" w:rsidRPr="008A7BD7">
        <w:rPr>
          <w:rFonts w:ascii="Cambria" w:eastAsia="Cambria" w:hAnsi="Cambria" w:cs="Cambria"/>
          <w:sz w:val="20"/>
          <w:szCs w:val="20"/>
        </w:rPr>
        <w:t xml:space="preserve">6-2021 </w:t>
      </w:r>
      <w:r w:rsidR="005A79EF" w:rsidRPr="008A7BD7">
        <w:rPr>
          <w:rFonts w:ascii="Cambria" w:eastAsia="Cambria" w:hAnsi="Cambria" w:cs="Cambria"/>
          <w:sz w:val="20"/>
          <w:szCs w:val="20"/>
        </w:rPr>
        <w:t>and</w:t>
      </w:r>
      <w:r w:rsidR="004E0CAC" w:rsidRPr="008A7BD7">
        <w:rPr>
          <w:rFonts w:ascii="Cambria" w:eastAsia="Cambria" w:hAnsi="Cambria" w:cs="Cambria"/>
          <w:sz w:val="20"/>
          <w:szCs w:val="20"/>
        </w:rPr>
        <w:t xml:space="preserve"> 7-2021</w:t>
      </w:r>
      <w:r w:rsidR="005A79EF" w:rsidRPr="008A7BD7">
        <w:rPr>
          <w:rFonts w:ascii="Cambria" w:eastAsia="Cambria" w:hAnsi="Cambria" w:cs="Cambria"/>
          <w:sz w:val="20"/>
          <w:szCs w:val="20"/>
        </w:rPr>
        <w:t xml:space="preserve">, along with their presidential provisions, included arbitrary restrictions to freedom of the press by establishing that </w:t>
      </w:r>
      <w:r w:rsidR="004E0CAC" w:rsidRPr="008A7BD7">
        <w:rPr>
          <w:rFonts w:ascii="Cambria" w:eastAsia="Cambria" w:hAnsi="Cambria" w:cs="Cambria"/>
          <w:sz w:val="20"/>
          <w:szCs w:val="20"/>
        </w:rPr>
        <w:t>“</w:t>
      </w:r>
      <w:r w:rsidR="005A79EF" w:rsidRPr="008A7BD7">
        <w:rPr>
          <w:rFonts w:ascii="Cambria" w:eastAsia="Cambria" w:hAnsi="Cambria" w:cs="Cambria"/>
          <w:sz w:val="20"/>
          <w:szCs w:val="20"/>
        </w:rPr>
        <w:t xml:space="preserve">based on the </w:t>
      </w:r>
      <w:r w:rsidR="00510D95" w:rsidRPr="008A7BD7">
        <w:rPr>
          <w:rFonts w:ascii="Cambria" w:eastAsia="Cambria" w:hAnsi="Cambria" w:cs="Cambria"/>
          <w:sz w:val="20"/>
          <w:szCs w:val="20"/>
        </w:rPr>
        <w:t xml:space="preserve">Law of </w:t>
      </w:r>
      <w:r w:rsidR="005A79EF" w:rsidRPr="008A7BD7">
        <w:rPr>
          <w:rFonts w:ascii="Cambria" w:eastAsia="Cambria" w:hAnsi="Cambria" w:cs="Cambria"/>
          <w:sz w:val="20"/>
          <w:szCs w:val="20"/>
        </w:rPr>
        <w:t xml:space="preserve">Public Order, </w:t>
      </w:r>
      <w:r w:rsidR="00510D95" w:rsidRPr="008A7BD7">
        <w:rPr>
          <w:rFonts w:ascii="Cambria" w:eastAsia="Cambria" w:hAnsi="Cambria" w:cs="Cambria"/>
          <w:sz w:val="20"/>
          <w:szCs w:val="20"/>
        </w:rPr>
        <w:t>publicity organs,</w:t>
      </w:r>
      <w:r w:rsidR="00826D1F" w:rsidRPr="008A7BD7">
        <w:rPr>
          <w:rFonts w:ascii="Cambria" w:eastAsia="Cambria" w:hAnsi="Cambria" w:cs="Cambria"/>
          <w:sz w:val="20"/>
          <w:szCs w:val="20"/>
        </w:rPr>
        <w:t xml:space="preserve"> communication</w:t>
      </w:r>
      <w:r w:rsidR="00510D95" w:rsidRPr="008A7BD7">
        <w:rPr>
          <w:rFonts w:ascii="Cambria" w:eastAsia="Cambria" w:hAnsi="Cambria" w:cs="Cambria"/>
          <w:sz w:val="20"/>
          <w:szCs w:val="20"/>
        </w:rPr>
        <w:t>s</w:t>
      </w:r>
      <w:r w:rsidR="00826D1F" w:rsidRPr="008A7BD7">
        <w:rPr>
          <w:rFonts w:ascii="Cambria" w:eastAsia="Cambria" w:hAnsi="Cambria" w:cs="Cambria"/>
          <w:sz w:val="20"/>
          <w:szCs w:val="20"/>
        </w:rPr>
        <w:t xml:space="preserve"> and broadcast media</w:t>
      </w:r>
      <w:r w:rsidR="00510D95" w:rsidRPr="008A7BD7">
        <w:rPr>
          <w:rFonts w:ascii="Cambria" w:eastAsia="Cambria" w:hAnsi="Cambria" w:cs="Cambria"/>
          <w:sz w:val="20"/>
          <w:szCs w:val="20"/>
        </w:rPr>
        <w:t>,</w:t>
      </w:r>
      <w:r w:rsidR="00826D1F" w:rsidRPr="008A7BD7">
        <w:rPr>
          <w:rFonts w:ascii="Cambria" w:eastAsia="Cambria" w:hAnsi="Cambria" w:cs="Cambria"/>
          <w:sz w:val="20"/>
          <w:szCs w:val="20"/>
        </w:rPr>
        <w:t xml:space="preserve"> must avoid </w:t>
      </w:r>
      <w:r w:rsidR="00AE0319" w:rsidRPr="008A7BD7">
        <w:rPr>
          <w:rFonts w:ascii="Cambria" w:eastAsia="Cambria" w:hAnsi="Cambria" w:cs="Cambria"/>
          <w:sz w:val="20"/>
          <w:szCs w:val="20"/>
        </w:rPr>
        <w:t>publishing</w:t>
      </w:r>
      <w:r w:rsidR="00510D95" w:rsidRPr="008A7BD7">
        <w:rPr>
          <w:rFonts w:ascii="Cambria" w:eastAsia="Cambria" w:hAnsi="Cambria" w:cs="Cambria"/>
          <w:sz w:val="20"/>
          <w:szCs w:val="20"/>
        </w:rPr>
        <w:t xml:space="preserve"> anything</w:t>
      </w:r>
      <w:r w:rsidR="00826D1F" w:rsidRPr="008A7BD7">
        <w:rPr>
          <w:rFonts w:ascii="Cambria" w:eastAsia="Cambria" w:hAnsi="Cambria" w:cs="Cambria"/>
          <w:sz w:val="20"/>
          <w:szCs w:val="20"/>
        </w:rPr>
        <w:t xml:space="preserve"> that may cause confusion or panic or exacerbate the situation, assuming the responsibilities</w:t>
      </w:r>
      <w:r w:rsidR="00120413" w:rsidRPr="008A7BD7">
        <w:rPr>
          <w:rFonts w:ascii="Cambria" w:eastAsia="Cambria" w:hAnsi="Cambria" w:cs="Cambria"/>
          <w:sz w:val="20"/>
          <w:szCs w:val="20"/>
        </w:rPr>
        <w:t xml:space="preserve"> derived therefrom.”</w:t>
      </w:r>
      <w:r w:rsidR="004E0CAC" w:rsidRPr="008A7BD7">
        <w:rPr>
          <w:rFonts w:ascii="Cambria" w:eastAsia="Cambria" w:hAnsi="Cambria" w:cs="Cambria"/>
          <w:sz w:val="20"/>
          <w:szCs w:val="20"/>
          <w:vertAlign w:val="superscript"/>
          <w:lang w:val="es-419"/>
        </w:rPr>
        <w:footnoteReference w:id="147"/>
      </w:r>
      <w:r w:rsidR="004E0CAC" w:rsidRPr="008A7BD7">
        <w:rPr>
          <w:rFonts w:ascii="Cambria" w:eastAsia="Cambria" w:hAnsi="Cambria" w:cs="Cambria"/>
          <w:sz w:val="20"/>
          <w:szCs w:val="20"/>
        </w:rPr>
        <w:t xml:space="preserve"> </w:t>
      </w:r>
      <w:r w:rsidR="00120413" w:rsidRPr="008A7BD7">
        <w:rPr>
          <w:rFonts w:ascii="Cambria" w:eastAsia="Cambria" w:hAnsi="Cambria" w:cs="Cambria"/>
          <w:sz w:val="20"/>
          <w:szCs w:val="20"/>
        </w:rPr>
        <w:t xml:space="preserve">According to the information available, on August </w:t>
      </w:r>
      <w:r w:rsidR="004E0CAC" w:rsidRPr="008A7BD7">
        <w:rPr>
          <w:rFonts w:ascii="Cambria" w:eastAsia="Cambria" w:hAnsi="Cambria" w:cs="Cambria"/>
          <w:sz w:val="20"/>
          <w:szCs w:val="20"/>
        </w:rPr>
        <w:t>22</w:t>
      </w:r>
      <w:r w:rsidR="00120413" w:rsidRPr="008A7BD7">
        <w:rPr>
          <w:rFonts w:ascii="Cambria" w:eastAsia="Cambria" w:hAnsi="Cambria" w:cs="Cambria"/>
          <w:sz w:val="20"/>
          <w:szCs w:val="20"/>
        </w:rPr>
        <w:t xml:space="preserve">, </w:t>
      </w:r>
      <w:r w:rsidR="004E0CAC" w:rsidRPr="008A7BD7">
        <w:rPr>
          <w:rFonts w:ascii="Cambria" w:eastAsia="Cambria" w:hAnsi="Cambria" w:cs="Cambria"/>
          <w:sz w:val="20"/>
          <w:szCs w:val="20"/>
        </w:rPr>
        <w:t xml:space="preserve">2021, </w:t>
      </w:r>
      <w:r w:rsidR="00120413" w:rsidRPr="008A7BD7">
        <w:rPr>
          <w:rFonts w:ascii="Cambria" w:eastAsia="Cambria" w:hAnsi="Cambria" w:cs="Cambria"/>
          <w:sz w:val="20"/>
          <w:szCs w:val="20"/>
        </w:rPr>
        <w:t xml:space="preserve">the Office </w:t>
      </w:r>
      <w:r w:rsidR="00120413" w:rsidRPr="008A7BD7">
        <w:rPr>
          <w:rFonts w:ascii="Cambria" w:eastAsia="Cambria" w:hAnsi="Cambria" w:cs="Cambria"/>
          <w:sz w:val="20"/>
          <w:szCs w:val="20"/>
        </w:rPr>
        <w:lastRenderedPageBreak/>
        <w:t>of the Human Rights Ombudsman</w:t>
      </w:r>
      <w:r w:rsidR="00B61503" w:rsidRPr="008A7BD7">
        <w:rPr>
          <w:rFonts w:ascii="Cambria" w:eastAsia="Cambria" w:hAnsi="Cambria" w:cs="Cambria"/>
          <w:sz w:val="20"/>
          <w:szCs w:val="20"/>
        </w:rPr>
        <w:t xml:space="preserve"> filed a</w:t>
      </w:r>
      <w:r w:rsidR="00155E8C" w:rsidRPr="008A7BD7">
        <w:rPr>
          <w:rFonts w:ascii="Cambria" w:eastAsia="Cambria" w:hAnsi="Cambria" w:cs="Cambria"/>
          <w:sz w:val="20"/>
          <w:szCs w:val="20"/>
        </w:rPr>
        <w:t>n</w:t>
      </w:r>
      <w:r w:rsidR="00B61503" w:rsidRPr="008A7BD7">
        <w:rPr>
          <w:rFonts w:ascii="Cambria" w:eastAsia="Cambria" w:hAnsi="Cambria" w:cs="Cambria"/>
          <w:sz w:val="20"/>
          <w:szCs w:val="20"/>
        </w:rPr>
        <w:t xml:space="preserve"> appeal </w:t>
      </w:r>
      <w:r w:rsidR="00155E8C" w:rsidRPr="008A7BD7">
        <w:rPr>
          <w:rFonts w:ascii="Cambria" w:eastAsia="Cambria" w:hAnsi="Cambria" w:cs="Cambria"/>
          <w:sz w:val="20"/>
          <w:szCs w:val="20"/>
        </w:rPr>
        <w:t xml:space="preserve">for constitutional </w:t>
      </w:r>
      <w:r w:rsidR="002A77B4" w:rsidRPr="008A7BD7">
        <w:rPr>
          <w:rFonts w:ascii="Cambria" w:eastAsia="Cambria" w:hAnsi="Cambria" w:cs="Cambria"/>
          <w:sz w:val="20"/>
          <w:szCs w:val="20"/>
        </w:rPr>
        <w:t>protection</w:t>
      </w:r>
      <w:r w:rsidR="00155E8C" w:rsidRPr="008A7BD7">
        <w:rPr>
          <w:rFonts w:ascii="Cambria" w:eastAsia="Cambria" w:hAnsi="Cambria" w:cs="Cambria"/>
          <w:sz w:val="20"/>
          <w:szCs w:val="20"/>
        </w:rPr>
        <w:t xml:space="preserve"> </w:t>
      </w:r>
      <w:r w:rsidR="00B61503" w:rsidRPr="008A7BD7">
        <w:rPr>
          <w:rFonts w:ascii="Cambria" w:eastAsia="Cambria" w:hAnsi="Cambria" w:cs="Cambria"/>
          <w:sz w:val="20"/>
          <w:szCs w:val="20"/>
        </w:rPr>
        <w:t>(</w:t>
      </w:r>
      <w:r w:rsidR="004E0CAC" w:rsidRPr="008A7BD7">
        <w:rPr>
          <w:rFonts w:ascii="Cambria" w:eastAsia="Cambria" w:hAnsi="Cambria" w:cs="Cambria"/>
          <w:i/>
          <w:iCs/>
          <w:sz w:val="20"/>
          <w:szCs w:val="20"/>
        </w:rPr>
        <w:t>amparo</w:t>
      </w:r>
      <w:r w:rsidR="00B61503" w:rsidRPr="008A7BD7">
        <w:rPr>
          <w:rFonts w:ascii="Cambria" w:eastAsia="Cambria" w:hAnsi="Cambria" w:cs="Cambria"/>
          <w:sz w:val="20"/>
          <w:szCs w:val="20"/>
        </w:rPr>
        <w:t>)</w:t>
      </w:r>
      <w:r w:rsidR="004E0CAC" w:rsidRPr="008A7BD7">
        <w:rPr>
          <w:rFonts w:ascii="Cambria" w:eastAsia="Cambria" w:hAnsi="Cambria" w:cs="Cambria"/>
          <w:sz w:val="20"/>
          <w:szCs w:val="20"/>
        </w:rPr>
        <w:t xml:space="preserve"> </w:t>
      </w:r>
      <w:r w:rsidR="00B61503" w:rsidRPr="008A7BD7">
        <w:rPr>
          <w:rFonts w:ascii="Cambria" w:eastAsia="Cambria" w:hAnsi="Cambria" w:cs="Cambria"/>
          <w:sz w:val="20"/>
          <w:szCs w:val="20"/>
        </w:rPr>
        <w:t xml:space="preserve">challenging Governmental Decree </w:t>
      </w:r>
      <w:r w:rsidR="004E0CAC" w:rsidRPr="008A7BD7">
        <w:rPr>
          <w:rFonts w:ascii="Cambria" w:eastAsia="Cambria" w:hAnsi="Cambria" w:cs="Cambria"/>
          <w:sz w:val="20"/>
          <w:szCs w:val="20"/>
        </w:rPr>
        <w:t>7</w:t>
      </w:r>
      <w:r w:rsidR="00665B54" w:rsidRPr="008A7BD7">
        <w:rPr>
          <w:rFonts w:ascii="Cambria" w:eastAsia="Cambria" w:hAnsi="Cambria" w:cs="Cambria"/>
          <w:sz w:val="20"/>
          <w:szCs w:val="20"/>
        </w:rPr>
        <w:t>-</w:t>
      </w:r>
      <w:r w:rsidR="004E0CAC" w:rsidRPr="008A7BD7">
        <w:rPr>
          <w:rFonts w:ascii="Cambria" w:eastAsia="Cambria" w:hAnsi="Cambria" w:cs="Cambria"/>
          <w:sz w:val="20"/>
          <w:szCs w:val="20"/>
        </w:rPr>
        <w:t xml:space="preserve">2021 </w:t>
      </w:r>
      <w:r w:rsidR="00510D95" w:rsidRPr="008A7BD7">
        <w:rPr>
          <w:rFonts w:ascii="Cambria" w:eastAsia="Cambria" w:hAnsi="Cambria" w:cs="Cambria"/>
          <w:sz w:val="20"/>
          <w:szCs w:val="20"/>
        </w:rPr>
        <w:t xml:space="preserve">on grounds that it violates </w:t>
      </w:r>
      <w:r w:rsidR="00B61503" w:rsidRPr="008A7BD7">
        <w:rPr>
          <w:rFonts w:ascii="Cambria" w:eastAsia="Cambria" w:hAnsi="Cambria" w:cs="Cambria"/>
          <w:sz w:val="20"/>
          <w:szCs w:val="20"/>
        </w:rPr>
        <w:t>freedom of expression, freedom of information, and free access to sources.</w:t>
      </w:r>
      <w:r w:rsidR="004E0CAC" w:rsidRPr="008A7BD7">
        <w:rPr>
          <w:rFonts w:ascii="Cambria" w:eastAsia="Cambria" w:hAnsi="Cambria" w:cs="Cambria"/>
          <w:sz w:val="20"/>
          <w:szCs w:val="20"/>
          <w:vertAlign w:val="superscript"/>
          <w:lang w:val="es-419"/>
        </w:rPr>
        <w:footnoteReference w:id="148"/>
      </w:r>
      <w:r w:rsidR="004E0CAC" w:rsidRPr="008A7BD7">
        <w:rPr>
          <w:rFonts w:ascii="Cambria" w:eastAsia="Cambria" w:hAnsi="Cambria" w:cs="Cambria"/>
          <w:sz w:val="20"/>
          <w:szCs w:val="20"/>
        </w:rPr>
        <w:t xml:space="preserve"> </w:t>
      </w:r>
      <w:r w:rsidR="00B61503" w:rsidRPr="008A7BD7">
        <w:rPr>
          <w:rFonts w:ascii="Cambria" w:eastAsia="Cambria" w:hAnsi="Cambria" w:cs="Cambria"/>
          <w:sz w:val="20"/>
          <w:szCs w:val="20"/>
        </w:rPr>
        <w:t xml:space="preserve">Also, on August </w:t>
      </w:r>
      <w:r w:rsidR="004E0CAC" w:rsidRPr="008A7BD7">
        <w:rPr>
          <w:rFonts w:ascii="Cambria" w:eastAsia="Cambria" w:hAnsi="Cambria" w:cs="Cambria"/>
          <w:sz w:val="20"/>
          <w:szCs w:val="20"/>
        </w:rPr>
        <w:t>23</w:t>
      </w:r>
      <w:r w:rsidR="00B61503" w:rsidRPr="008A7BD7">
        <w:rPr>
          <w:rFonts w:ascii="Cambria" w:eastAsia="Cambria" w:hAnsi="Cambria" w:cs="Cambria"/>
          <w:sz w:val="20"/>
          <w:szCs w:val="20"/>
        </w:rPr>
        <w:t xml:space="preserve">, congressional representatives from the </w:t>
      </w:r>
      <w:r w:rsidR="004E0CAC" w:rsidRPr="008A7BD7">
        <w:rPr>
          <w:rFonts w:ascii="Cambria" w:eastAsia="Cambria" w:hAnsi="Cambria" w:cs="Cambria"/>
          <w:sz w:val="20"/>
          <w:szCs w:val="20"/>
        </w:rPr>
        <w:t xml:space="preserve">Unidad Nacional de la Esperanza (UNE) </w:t>
      </w:r>
      <w:r w:rsidR="00B61503" w:rsidRPr="008A7BD7">
        <w:rPr>
          <w:rFonts w:ascii="Cambria" w:eastAsia="Cambria" w:hAnsi="Cambria" w:cs="Cambria"/>
          <w:sz w:val="20"/>
          <w:szCs w:val="20"/>
        </w:rPr>
        <w:t xml:space="preserve">also filed an </w:t>
      </w:r>
      <w:r w:rsidR="009047E7" w:rsidRPr="008A7BD7">
        <w:rPr>
          <w:rFonts w:ascii="Cambria" w:eastAsia="Cambria" w:hAnsi="Cambria" w:cs="Cambria"/>
          <w:sz w:val="20"/>
          <w:szCs w:val="20"/>
        </w:rPr>
        <w:t xml:space="preserve">action of </w:t>
      </w:r>
      <w:r w:rsidR="00B61503" w:rsidRPr="008A7BD7">
        <w:rPr>
          <w:rFonts w:ascii="Cambria" w:eastAsia="Cambria" w:hAnsi="Cambria" w:cs="Cambria"/>
          <w:sz w:val="20"/>
          <w:szCs w:val="20"/>
        </w:rPr>
        <w:t xml:space="preserve">unconstitutionality </w:t>
      </w:r>
      <w:r w:rsidR="009047E7" w:rsidRPr="008A7BD7">
        <w:rPr>
          <w:rFonts w:ascii="Cambria" w:eastAsia="Cambria" w:hAnsi="Cambria" w:cs="Cambria"/>
          <w:sz w:val="20"/>
          <w:szCs w:val="20"/>
        </w:rPr>
        <w:t>challenging</w:t>
      </w:r>
      <w:r w:rsidR="00B61503" w:rsidRPr="008A7BD7">
        <w:rPr>
          <w:rFonts w:ascii="Cambria" w:eastAsia="Cambria" w:hAnsi="Cambria" w:cs="Cambria"/>
          <w:sz w:val="20"/>
          <w:szCs w:val="20"/>
        </w:rPr>
        <w:t xml:space="preserve"> the declaration of a state of calamity.</w:t>
      </w:r>
      <w:r w:rsidR="004E0CAC" w:rsidRPr="008A7BD7">
        <w:rPr>
          <w:rStyle w:val="FootnoteReference"/>
          <w:rFonts w:ascii="Cambria" w:eastAsia="Cambria" w:hAnsi="Cambria" w:cs="Cambria"/>
          <w:sz w:val="20"/>
          <w:szCs w:val="20"/>
          <w:lang w:val="es-419"/>
        </w:rPr>
        <w:footnoteReference w:id="149"/>
      </w:r>
      <w:r w:rsidR="004E0CAC" w:rsidRPr="008A7BD7">
        <w:rPr>
          <w:rFonts w:ascii="Cambria" w:eastAsia="Cambria" w:hAnsi="Cambria" w:cs="Cambria"/>
          <w:sz w:val="20"/>
          <w:szCs w:val="20"/>
        </w:rPr>
        <w:t xml:space="preserve"> </w:t>
      </w:r>
      <w:r w:rsidR="00B61503" w:rsidRPr="008A7BD7">
        <w:rPr>
          <w:rFonts w:ascii="Cambria" w:eastAsia="Cambria" w:hAnsi="Cambria" w:cs="Cambria"/>
          <w:sz w:val="20"/>
          <w:szCs w:val="20"/>
        </w:rPr>
        <w:t>On August 24, before the Constitutional Court had examined these actions, the plenary of the Guatemalan Congress rejected Decrees</w:t>
      </w:r>
      <w:r w:rsidR="004E0CAC" w:rsidRPr="008A7BD7">
        <w:rPr>
          <w:rFonts w:ascii="Cambria" w:eastAsia="Cambria" w:hAnsi="Cambria" w:cs="Cambria"/>
          <w:sz w:val="20"/>
          <w:szCs w:val="20"/>
        </w:rPr>
        <w:t xml:space="preserve"> 6-2021</w:t>
      </w:r>
      <w:r w:rsidR="00B61503" w:rsidRPr="008A7BD7">
        <w:rPr>
          <w:rFonts w:ascii="Cambria" w:eastAsia="Cambria" w:hAnsi="Cambria" w:cs="Cambria"/>
          <w:sz w:val="20"/>
          <w:szCs w:val="20"/>
        </w:rPr>
        <w:t xml:space="preserve"> and</w:t>
      </w:r>
      <w:r w:rsidR="004E0CAC" w:rsidRPr="008A7BD7">
        <w:rPr>
          <w:rFonts w:ascii="Cambria" w:eastAsia="Cambria" w:hAnsi="Cambria" w:cs="Cambria"/>
          <w:sz w:val="20"/>
          <w:szCs w:val="20"/>
        </w:rPr>
        <w:t xml:space="preserve"> 7-2021 </w:t>
      </w:r>
      <w:r w:rsidR="00B61503" w:rsidRPr="008A7BD7">
        <w:rPr>
          <w:rFonts w:ascii="Cambria" w:eastAsia="Cambria" w:hAnsi="Cambria" w:cs="Cambria"/>
          <w:sz w:val="20"/>
          <w:szCs w:val="20"/>
        </w:rPr>
        <w:t>and their amendments.</w:t>
      </w:r>
      <w:r w:rsidR="004E0CAC" w:rsidRPr="008A7BD7">
        <w:rPr>
          <w:rFonts w:ascii="Cambria" w:eastAsia="Cambria" w:hAnsi="Cambria" w:cs="Cambria"/>
          <w:sz w:val="20"/>
          <w:szCs w:val="20"/>
          <w:vertAlign w:val="superscript"/>
          <w:lang w:val="es-419"/>
        </w:rPr>
        <w:footnoteReference w:id="150"/>
      </w:r>
      <w:r w:rsidR="00B61503" w:rsidRPr="008A7BD7">
        <w:rPr>
          <w:rFonts w:ascii="Cambria" w:eastAsia="Cambria" w:hAnsi="Cambria" w:cs="Cambria"/>
          <w:sz w:val="20"/>
          <w:szCs w:val="20"/>
        </w:rPr>
        <w:t xml:space="preserve"> </w:t>
      </w:r>
    </w:p>
    <w:p w14:paraId="199A448B" w14:textId="77777777" w:rsidR="004E0CAC" w:rsidRPr="008A7BD7" w:rsidRDefault="004E0CAC" w:rsidP="004E0CAC">
      <w:pPr>
        <w:ind w:left="720"/>
        <w:jc w:val="both"/>
        <w:rPr>
          <w:rFonts w:ascii="Cambria" w:eastAsia="Times New Roman" w:hAnsi="Cambria" w:cs="Tahoma"/>
          <w:color w:val="000000"/>
          <w:sz w:val="20"/>
          <w:szCs w:val="20"/>
          <w:lang w:eastAsia="es-ES_tradnl"/>
        </w:rPr>
      </w:pPr>
    </w:p>
    <w:p w14:paraId="5F952B48" w14:textId="507D0DE3" w:rsidR="004E0CAC" w:rsidRPr="008A7BD7" w:rsidRDefault="009B7138"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In</w:t>
      </w:r>
      <w:r w:rsidR="004E0CAC" w:rsidRPr="008A7BD7">
        <w:rPr>
          <w:rFonts w:ascii="Cambria" w:eastAsia="Cambria" w:hAnsi="Cambria" w:cs="Cambria"/>
          <w:sz w:val="20"/>
          <w:szCs w:val="20"/>
        </w:rPr>
        <w:t xml:space="preserve"> 2021, </w:t>
      </w:r>
      <w:r w:rsidRPr="008A7BD7">
        <w:rPr>
          <w:rFonts w:ascii="Cambria" w:eastAsia="Cambria" w:hAnsi="Cambria" w:cs="Cambria"/>
          <w:sz w:val="20"/>
          <w:szCs w:val="20"/>
        </w:rPr>
        <w:t xml:space="preserve">the IACHR and its Office of the Special Rapporteur </w:t>
      </w:r>
      <w:r w:rsidR="002069B8" w:rsidRPr="008A7BD7">
        <w:rPr>
          <w:rFonts w:ascii="Cambria" w:eastAsia="Cambria" w:hAnsi="Cambria" w:cs="Cambria"/>
          <w:sz w:val="20"/>
          <w:szCs w:val="20"/>
        </w:rPr>
        <w:t xml:space="preserve">for Freedom of Expression </w:t>
      </w:r>
      <w:r w:rsidRPr="008A7BD7">
        <w:rPr>
          <w:rFonts w:ascii="Cambria" w:eastAsia="Cambria" w:hAnsi="Cambria" w:cs="Cambria"/>
          <w:sz w:val="20"/>
          <w:szCs w:val="20"/>
        </w:rPr>
        <w:t xml:space="preserve">were alerted about difficulties related to </w:t>
      </w:r>
      <w:r w:rsidR="002069B8" w:rsidRPr="008A7BD7">
        <w:rPr>
          <w:rFonts w:ascii="Cambria" w:eastAsia="Cambria" w:hAnsi="Cambria" w:cs="Cambria"/>
          <w:sz w:val="20"/>
          <w:szCs w:val="20"/>
        </w:rPr>
        <w:t xml:space="preserve">press </w:t>
      </w:r>
      <w:r w:rsidRPr="008A7BD7">
        <w:rPr>
          <w:rFonts w:ascii="Cambria" w:eastAsia="Cambria" w:hAnsi="Cambria" w:cs="Cambria"/>
          <w:sz w:val="20"/>
          <w:szCs w:val="20"/>
        </w:rPr>
        <w:t>access</w:t>
      </w:r>
      <w:r w:rsidR="002069B8" w:rsidRPr="008A7BD7">
        <w:rPr>
          <w:rFonts w:ascii="Cambria" w:eastAsia="Cambria" w:hAnsi="Cambria" w:cs="Cambria"/>
          <w:sz w:val="20"/>
          <w:szCs w:val="20"/>
        </w:rPr>
        <w:t xml:space="preserve"> </w:t>
      </w:r>
      <w:r w:rsidRPr="008A7BD7">
        <w:rPr>
          <w:rFonts w:ascii="Cambria" w:eastAsia="Cambria" w:hAnsi="Cambria" w:cs="Cambria"/>
          <w:sz w:val="20"/>
          <w:szCs w:val="20"/>
        </w:rPr>
        <w:t xml:space="preserve">to public buildings and press conferences of public interest, which </w:t>
      </w:r>
      <w:r w:rsidR="001B0084" w:rsidRPr="008A7BD7">
        <w:rPr>
          <w:rFonts w:ascii="Cambria" w:eastAsia="Cambria" w:hAnsi="Cambria" w:cs="Cambria"/>
          <w:sz w:val="20"/>
          <w:szCs w:val="20"/>
        </w:rPr>
        <w:t>were reported to have</w:t>
      </w:r>
      <w:r w:rsidRPr="008A7BD7">
        <w:rPr>
          <w:rFonts w:ascii="Cambria" w:eastAsia="Cambria" w:hAnsi="Cambria" w:cs="Cambria"/>
          <w:sz w:val="20"/>
          <w:szCs w:val="20"/>
        </w:rPr>
        <w:t xml:space="preserve"> adversely affect</w:t>
      </w:r>
      <w:r w:rsidR="001B0084" w:rsidRPr="008A7BD7">
        <w:rPr>
          <w:rFonts w:ascii="Cambria" w:eastAsia="Cambria" w:hAnsi="Cambria" w:cs="Cambria"/>
          <w:sz w:val="20"/>
          <w:szCs w:val="20"/>
        </w:rPr>
        <w:t>ed</w:t>
      </w:r>
      <w:r w:rsidRPr="008A7BD7">
        <w:rPr>
          <w:rFonts w:ascii="Cambria" w:eastAsia="Cambria" w:hAnsi="Cambria" w:cs="Cambria"/>
          <w:sz w:val="20"/>
          <w:szCs w:val="20"/>
        </w:rPr>
        <w:t xml:space="preserve"> access to information. On June </w:t>
      </w:r>
      <w:r w:rsidR="004E0CAC" w:rsidRPr="008A7BD7">
        <w:rPr>
          <w:rFonts w:ascii="Cambria" w:eastAsia="Cambria" w:hAnsi="Cambria" w:cs="Cambria"/>
          <w:sz w:val="20"/>
          <w:szCs w:val="20"/>
        </w:rPr>
        <w:t>22</w:t>
      </w:r>
      <w:r w:rsidRPr="008A7BD7">
        <w:rPr>
          <w:rFonts w:ascii="Cambria" w:eastAsia="Cambria" w:hAnsi="Cambria" w:cs="Cambria"/>
          <w:sz w:val="20"/>
          <w:szCs w:val="20"/>
        </w:rPr>
        <w:t xml:space="preserve">, </w:t>
      </w:r>
      <w:r w:rsidR="004E0CAC" w:rsidRPr="008A7BD7">
        <w:rPr>
          <w:rFonts w:ascii="Cambria" w:eastAsia="Cambria" w:hAnsi="Cambria" w:cs="Cambria"/>
          <w:sz w:val="20"/>
          <w:szCs w:val="20"/>
        </w:rPr>
        <w:t xml:space="preserve">2021, </w:t>
      </w:r>
      <w:r w:rsidRPr="008A7BD7">
        <w:rPr>
          <w:rFonts w:ascii="Cambria" w:eastAsia="Cambria" w:hAnsi="Cambria" w:cs="Cambria"/>
          <w:sz w:val="20"/>
          <w:szCs w:val="20"/>
        </w:rPr>
        <w:t xml:space="preserve">journalists </w:t>
      </w:r>
      <w:r w:rsidR="004E0CAC" w:rsidRPr="008A7BD7">
        <w:rPr>
          <w:rFonts w:ascii="Cambria" w:eastAsia="Cambria" w:hAnsi="Cambria" w:cs="Cambria"/>
          <w:sz w:val="20"/>
          <w:szCs w:val="20"/>
        </w:rPr>
        <w:t xml:space="preserve">Edwin </w:t>
      </w:r>
      <w:proofErr w:type="spellStart"/>
      <w:r w:rsidR="004E0CAC" w:rsidRPr="008A7BD7">
        <w:rPr>
          <w:rFonts w:ascii="Cambria" w:eastAsia="Cambria" w:hAnsi="Cambria" w:cs="Cambria"/>
          <w:sz w:val="20"/>
          <w:szCs w:val="20"/>
        </w:rPr>
        <w:t>Bercian</w:t>
      </w:r>
      <w:proofErr w:type="spellEnd"/>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of</w:t>
      </w:r>
      <w:r w:rsidR="004E0CAC" w:rsidRPr="008A7BD7">
        <w:rPr>
          <w:rFonts w:ascii="Cambria" w:eastAsia="Cambria" w:hAnsi="Cambria" w:cs="Cambria"/>
          <w:sz w:val="20"/>
          <w:szCs w:val="20"/>
        </w:rPr>
        <w:t xml:space="preserve"> </w:t>
      </w:r>
      <w:proofErr w:type="spellStart"/>
      <w:r w:rsidR="004E0CAC" w:rsidRPr="008A7BD7">
        <w:rPr>
          <w:rFonts w:ascii="Cambria" w:eastAsia="Cambria" w:hAnsi="Cambria" w:cs="Cambria"/>
          <w:i/>
          <w:iCs/>
          <w:sz w:val="20"/>
          <w:szCs w:val="20"/>
        </w:rPr>
        <w:t>Publinews</w:t>
      </w:r>
      <w:proofErr w:type="spellEnd"/>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and</w:t>
      </w:r>
      <w:r w:rsidR="004E0CAC" w:rsidRPr="008A7BD7">
        <w:rPr>
          <w:rFonts w:ascii="Cambria" w:eastAsia="Cambria" w:hAnsi="Cambria" w:cs="Cambria"/>
          <w:sz w:val="20"/>
          <w:szCs w:val="20"/>
        </w:rPr>
        <w:t xml:space="preserve"> Rolanda García </w:t>
      </w:r>
      <w:r w:rsidRPr="008A7BD7">
        <w:rPr>
          <w:rFonts w:ascii="Cambria" w:eastAsia="Cambria" w:hAnsi="Cambria" w:cs="Cambria"/>
          <w:sz w:val="20"/>
          <w:szCs w:val="20"/>
        </w:rPr>
        <w:t xml:space="preserve">were reportedly denied access to a public </w:t>
      </w:r>
      <w:r w:rsidR="001148DD" w:rsidRPr="008A7BD7">
        <w:rPr>
          <w:rFonts w:ascii="Cambria" w:eastAsia="Cambria" w:hAnsi="Cambria" w:cs="Cambria"/>
          <w:sz w:val="20"/>
          <w:szCs w:val="20"/>
        </w:rPr>
        <w:t>judicial</w:t>
      </w:r>
      <w:r w:rsidRPr="008A7BD7">
        <w:rPr>
          <w:rFonts w:ascii="Cambria" w:eastAsia="Cambria" w:hAnsi="Cambria" w:cs="Cambria"/>
          <w:sz w:val="20"/>
          <w:szCs w:val="20"/>
        </w:rPr>
        <w:t xml:space="preserve"> hearing in the </w:t>
      </w:r>
      <w:proofErr w:type="spellStart"/>
      <w:r w:rsidR="004E0CAC" w:rsidRPr="008A7BD7">
        <w:rPr>
          <w:rFonts w:ascii="Cambria" w:eastAsia="Cambria" w:hAnsi="Cambria" w:cs="Cambria"/>
          <w:i/>
          <w:iCs/>
          <w:sz w:val="20"/>
          <w:szCs w:val="20"/>
        </w:rPr>
        <w:t>Di</w:t>
      </w:r>
      <w:r w:rsidRPr="008A7BD7">
        <w:rPr>
          <w:rFonts w:ascii="Cambria" w:eastAsia="Cambria" w:hAnsi="Cambria" w:cs="Cambria"/>
          <w:i/>
          <w:iCs/>
          <w:sz w:val="20"/>
          <w:szCs w:val="20"/>
        </w:rPr>
        <w:t>a</w:t>
      </w:r>
      <w:r w:rsidR="004E0CAC" w:rsidRPr="008A7BD7">
        <w:rPr>
          <w:rFonts w:ascii="Cambria" w:eastAsia="Cambria" w:hAnsi="Cambria" w:cs="Cambria"/>
          <w:i/>
          <w:iCs/>
          <w:sz w:val="20"/>
          <w:szCs w:val="20"/>
        </w:rPr>
        <w:t>rio</w:t>
      </w:r>
      <w:proofErr w:type="spellEnd"/>
      <w:r w:rsidR="004E0CAC" w:rsidRPr="008A7BD7">
        <w:rPr>
          <w:rFonts w:ascii="Cambria" w:eastAsia="Cambria" w:hAnsi="Cambria" w:cs="Cambria"/>
          <w:i/>
          <w:iCs/>
          <w:sz w:val="20"/>
          <w:szCs w:val="20"/>
        </w:rPr>
        <w:t xml:space="preserve"> </w:t>
      </w:r>
      <w:proofErr w:type="spellStart"/>
      <w:r w:rsidR="004E0CAC" w:rsidRPr="008A7BD7">
        <w:rPr>
          <w:rFonts w:ascii="Cambria" w:eastAsia="Cambria" w:hAnsi="Cambria" w:cs="Cambria"/>
          <w:i/>
          <w:iCs/>
          <w:sz w:val="20"/>
          <w:szCs w:val="20"/>
        </w:rPr>
        <w:t>Militar</w:t>
      </w:r>
      <w:proofErr w:type="spellEnd"/>
      <w:r w:rsidRPr="008A7BD7">
        <w:rPr>
          <w:rFonts w:ascii="Cambria" w:eastAsia="Cambria" w:hAnsi="Cambria" w:cs="Cambria"/>
          <w:sz w:val="20"/>
          <w:szCs w:val="20"/>
        </w:rPr>
        <w:t xml:space="preserve"> case</w:t>
      </w:r>
      <w:r w:rsidR="004E0CAC" w:rsidRPr="008A7BD7">
        <w:rPr>
          <w:rFonts w:ascii="Cambria" w:eastAsia="Cambria" w:hAnsi="Cambria" w:cs="Cambria"/>
          <w:sz w:val="20"/>
          <w:szCs w:val="20"/>
        </w:rPr>
        <w:t xml:space="preserve">, </w:t>
      </w:r>
      <w:r w:rsidR="00BD417B" w:rsidRPr="008A7BD7">
        <w:rPr>
          <w:rFonts w:ascii="Cambria" w:eastAsia="Cambria" w:hAnsi="Cambria" w:cs="Cambria"/>
          <w:sz w:val="20"/>
          <w:szCs w:val="20"/>
        </w:rPr>
        <w:t>taking place at the Military Medical Center.</w:t>
      </w:r>
      <w:r w:rsidR="004E0CAC" w:rsidRPr="008A7BD7">
        <w:rPr>
          <w:rFonts w:ascii="Cambria" w:eastAsia="Cambria" w:hAnsi="Cambria" w:cs="Cambria"/>
          <w:sz w:val="20"/>
          <w:szCs w:val="20"/>
          <w:vertAlign w:val="superscript"/>
          <w:lang w:val="es-419"/>
        </w:rPr>
        <w:footnoteReference w:id="151"/>
      </w:r>
      <w:r w:rsidR="004E0CAC" w:rsidRPr="008A7BD7">
        <w:rPr>
          <w:rFonts w:ascii="Cambria" w:eastAsia="Cambria" w:hAnsi="Cambria" w:cs="Cambria"/>
          <w:sz w:val="20"/>
          <w:szCs w:val="20"/>
        </w:rPr>
        <w:t xml:space="preserve"> </w:t>
      </w:r>
      <w:r w:rsidR="00BD417B" w:rsidRPr="008A7BD7">
        <w:rPr>
          <w:rFonts w:ascii="Cambria" w:eastAsia="Cambria" w:hAnsi="Cambria" w:cs="Cambria"/>
          <w:sz w:val="20"/>
          <w:szCs w:val="20"/>
        </w:rPr>
        <w:t xml:space="preserve">On that same occasion, a military </w:t>
      </w:r>
      <w:r w:rsidR="00433CD7" w:rsidRPr="008A7BD7">
        <w:rPr>
          <w:rFonts w:ascii="Cambria" w:eastAsia="Cambria" w:hAnsi="Cambria" w:cs="Cambria"/>
          <w:sz w:val="20"/>
          <w:szCs w:val="20"/>
        </w:rPr>
        <w:t xml:space="preserve">officer </w:t>
      </w:r>
      <w:r w:rsidR="00BD417B" w:rsidRPr="008A7BD7">
        <w:rPr>
          <w:rFonts w:ascii="Cambria" w:eastAsia="Cambria" w:hAnsi="Cambria" w:cs="Cambria"/>
          <w:sz w:val="20"/>
          <w:szCs w:val="20"/>
        </w:rPr>
        <w:t xml:space="preserve">was said to have </w:t>
      </w:r>
      <w:r w:rsidR="00433CD7" w:rsidRPr="008A7BD7">
        <w:rPr>
          <w:rFonts w:ascii="Cambria" w:eastAsia="Cambria" w:hAnsi="Cambria" w:cs="Cambria"/>
          <w:sz w:val="20"/>
          <w:szCs w:val="20"/>
        </w:rPr>
        <w:t xml:space="preserve">asked </w:t>
      </w:r>
      <w:r w:rsidR="004E0CAC" w:rsidRPr="008A7BD7">
        <w:rPr>
          <w:rFonts w:ascii="Cambria" w:eastAsia="Cambria" w:hAnsi="Cambria" w:cs="Cambria"/>
          <w:sz w:val="20"/>
          <w:szCs w:val="20"/>
        </w:rPr>
        <w:t xml:space="preserve">Edwin </w:t>
      </w:r>
      <w:proofErr w:type="spellStart"/>
      <w:r w:rsidR="004E0CAC" w:rsidRPr="008A7BD7">
        <w:rPr>
          <w:rFonts w:ascii="Cambria" w:eastAsia="Cambria" w:hAnsi="Cambria" w:cs="Cambria"/>
          <w:sz w:val="20"/>
          <w:szCs w:val="20"/>
        </w:rPr>
        <w:t>Bercian</w:t>
      </w:r>
      <w:proofErr w:type="spellEnd"/>
      <w:r w:rsidR="004E0CAC" w:rsidRPr="008A7BD7">
        <w:rPr>
          <w:rFonts w:ascii="Cambria" w:eastAsia="Cambria" w:hAnsi="Cambria" w:cs="Cambria"/>
          <w:sz w:val="20"/>
          <w:szCs w:val="20"/>
        </w:rPr>
        <w:t xml:space="preserve"> </w:t>
      </w:r>
      <w:r w:rsidR="00BD417B" w:rsidRPr="008A7BD7">
        <w:rPr>
          <w:rFonts w:ascii="Cambria" w:eastAsia="Cambria" w:hAnsi="Cambria" w:cs="Cambria"/>
          <w:sz w:val="20"/>
          <w:szCs w:val="20"/>
        </w:rPr>
        <w:t>what his ideology was. In addition, on September 2, the president of the Congress, A</w:t>
      </w:r>
      <w:r w:rsidR="004E0CAC" w:rsidRPr="008A7BD7">
        <w:rPr>
          <w:rFonts w:ascii="Cambria" w:eastAsia="Cambria" w:hAnsi="Cambria" w:cs="Cambria"/>
          <w:sz w:val="20"/>
          <w:szCs w:val="20"/>
        </w:rPr>
        <w:t xml:space="preserve">llan Rodríguez, </w:t>
      </w:r>
      <w:r w:rsidR="00BD417B" w:rsidRPr="008A7BD7">
        <w:rPr>
          <w:rFonts w:ascii="Cambria" w:eastAsia="Cambria" w:hAnsi="Cambria" w:cs="Cambria"/>
          <w:sz w:val="20"/>
          <w:szCs w:val="20"/>
        </w:rPr>
        <w:t xml:space="preserve">reportedly </w:t>
      </w:r>
      <w:r w:rsidR="006B6126" w:rsidRPr="008A7BD7">
        <w:rPr>
          <w:rFonts w:ascii="Cambria" w:eastAsia="Cambria" w:hAnsi="Cambria" w:cs="Cambria"/>
          <w:sz w:val="20"/>
          <w:szCs w:val="20"/>
        </w:rPr>
        <w:t>barred</w:t>
      </w:r>
      <w:r w:rsidR="00BD417B" w:rsidRPr="008A7BD7">
        <w:rPr>
          <w:rFonts w:ascii="Cambria" w:eastAsia="Cambria" w:hAnsi="Cambria" w:cs="Cambria"/>
          <w:sz w:val="20"/>
          <w:szCs w:val="20"/>
        </w:rPr>
        <w:t xml:space="preserve"> journalist Enrique García</w:t>
      </w:r>
      <w:r w:rsidR="000E2A0A" w:rsidRPr="008A7BD7">
        <w:rPr>
          <w:rFonts w:ascii="Cambria" w:eastAsia="Cambria" w:hAnsi="Cambria" w:cs="Cambria"/>
          <w:sz w:val="20"/>
          <w:szCs w:val="20"/>
        </w:rPr>
        <w:t xml:space="preserve"> </w:t>
      </w:r>
      <w:r w:rsidR="006B6126" w:rsidRPr="008A7BD7">
        <w:rPr>
          <w:rFonts w:ascii="Cambria" w:eastAsia="Cambria" w:hAnsi="Cambria" w:cs="Cambria"/>
          <w:sz w:val="20"/>
          <w:szCs w:val="20"/>
        </w:rPr>
        <w:t>of</w:t>
      </w:r>
      <w:r w:rsidR="000E2A0A" w:rsidRPr="008A7BD7">
        <w:rPr>
          <w:rFonts w:ascii="Cambria" w:eastAsia="Cambria" w:hAnsi="Cambria" w:cs="Cambria"/>
          <w:sz w:val="20"/>
          <w:szCs w:val="20"/>
        </w:rPr>
        <w:t xml:space="preserve"> </w:t>
      </w:r>
      <w:proofErr w:type="spellStart"/>
      <w:r w:rsidR="006B6126" w:rsidRPr="008A7BD7">
        <w:rPr>
          <w:rFonts w:ascii="Cambria" w:eastAsia="Cambria" w:hAnsi="Cambria" w:cs="Cambria"/>
          <w:i/>
          <w:iCs/>
          <w:sz w:val="20"/>
          <w:szCs w:val="20"/>
        </w:rPr>
        <w:t>e</w:t>
      </w:r>
      <w:r w:rsidR="000E2A0A" w:rsidRPr="008A7BD7">
        <w:rPr>
          <w:rFonts w:ascii="Cambria" w:eastAsia="Cambria" w:hAnsi="Cambria" w:cs="Cambria"/>
          <w:i/>
          <w:iCs/>
          <w:sz w:val="20"/>
          <w:szCs w:val="20"/>
        </w:rPr>
        <w:t>lPeriódico</w:t>
      </w:r>
      <w:proofErr w:type="spellEnd"/>
      <w:r w:rsidR="00BD417B" w:rsidRPr="008A7BD7">
        <w:rPr>
          <w:rFonts w:ascii="Cambria" w:eastAsia="Cambria" w:hAnsi="Cambria" w:cs="Cambria"/>
          <w:sz w:val="20"/>
          <w:szCs w:val="20"/>
        </w:rPr>
        <w:t xml:space="preserve"> </w:t>
      </w:r>
      <w:r w:rsidR="006B6126" w:rsidRPr="008A7BD7">
        <w:rPr>
          <w:rFonts w:ascii="Cambria" w:eastAsia="Cambria" w:hAnsi="Cambria" w:cs="Cambria"/>
          <w:sz w:val="20"/>
          <w:szCs w:val="20"/>
        </w:rPr>
        <w:t xml:space="preserve">from </w:t>
      </w:r>
      <w:r w:rsidR="00BD417B" w:rsidRPr="008A7BD7">
        <w:rPr>
          <w:rFonts w:ascii="Cambria" w:eastAsia="Cambria" w:hAnsi="Cambria" w:cs="Cambria"/>
          <w:sz w:val="20"/>
          <w:szCs w:val="20"/>
        </w:rPr>
        <w:t xml:space="preserve">a press conference Rodríguez was holding in his office, where he was to talk about the draft budget for </w:t>
      </w:r>
      <w:r w:rsidR="004E0CAC" w:rsidRPr="008A7BD7">
        <w:rPr>
          <w:rFonts w:ascii="Cambria" w:eastAsia="Cambria" w:hAnsi="Cambria" w:cs="Cambria"/>
          <w:sz w:val="20"/>
          <w:szCs w:val="20"/>
        </w:rPr>
        <w:t xml:space="preserve">2022. </w:t>
      </w:r>
      <w:r w:rsidR="00BD417B" w:rsidRPr="008A7BD7">
        <w:rPr>
          <w:rFonts w:ascii="Cambria" w:eastAsia="Cambria" w:hAnsi="Cambria" w:cs="Cambria"/>
          <w:sz w:val="20"/>
          <w:szCs w:val="20"/>
        </w:rPr>
        <w:t xml:space="preserve">The congressional president </w:t>
      </w:r>
      <w:r w:rsidR="006B6126" w:rsidRPr="008A7BD7">
        <w:rPr>
          <w:rFonts w:ascii="Cambria" w:eastAsia="Cambria" w:hAnsi="Cambria" w:cs="Cambria"/>
          <w:sz w:val="20"/>
          <w:szCs w:val="20"/>
        </w:rPr>
        <w:t xml:space="preserve">had </w:t>
      </w:r>
      <w:r w:rsidR="0057258A" w:rsidRPr="008A7BD7">
        <w:rPr>
          <w:rFonts w:ascii="Cambria" w:eastAsia="Cambria" w:hAnsi="Cambria" w:cs="Cambria"/>
          <w:sz w:val="20"/>
          <w:szCs w:val="20"/>
        </w:rPr>
        <w:t xml:space="preserve">reportedly </w:t>
      </w:r>
      <w:r w:rsidR="00BD417B" w:rsidRPr="008A7BD7">
        <w:rPr>
          <w:rFonts w:ascii="Cambria" w:eastAsia="Cambria" w:hAnsi="Cambria" w:cs="Cambria"/>
          <w:sz w:val="20"/>
          <w:szCs w:val="20"/>
        </w:rPr>
        <w:t xml:space="preserve">accused the media of </w:t>
      </w:r>
      <w:r w:rsidR="0057258A" w:rsidRPr="008A7BD7">
        <w:rPr>
          <w:rFonts w:ascii="Cambria" w:eastAsia="Cambria" w:hAnsi="Cambria" w:cs="Cambria"/>
          <w:sz w:val="20"/>
          <w:szCs w:val="20"/>
        </w:rPr>
        <w:t>failing to provide objective information to the public about the budget and said that only “worthy” media outlets could go into his office.</w:t>
      </w:r>
      <w:r w:rsidR="004E0CAC" w:rsidRPr="008A7BD7">
        <w:rPr>
          <w:rFonts w:ascii="Cambria" w:eastAsia="Cambria" w:hAnsi="Cambria" w:cs="Cambria"/>
          <w:sz w:val="20"/>
          <w:szCs w:val="20"/>
          <w:vertAlign w:val="superscript"/>
          <w:lang w:val="es-419"/>
        </w:rPr>
        <w:footnoteReference w:id="152"/>
      </w:r>
      <w:r w:rsidR="004E0CAC" w:rsidRPr="008A7BD7">
        <w:rPr>
          <w:rFonts w:ascii="Cambria" w:eastAsia="Cambria" w:hAnsi="Cambria" w:cs="Cambria"/>
          <w:sz w:val="20"/>
          <w:szCs w:val="20"/>
        </w:rPr>
        <w:t xml:space="preserve"> </w:t>
      </w:r>
    </w:p>
    <w:p w14:paraId="78AA5786" w14:textId="77777777" w:rsidR="004E0CAC" w:rsidRPr="008A7BD7" w:rsidRDefault="004E0CAC" w:rsidP="004E0CAC">
      <w:pPr>
        <w:pStyle w:val="ListParagraph"/>
        <w:rPr>
          <w:rFonts w:ascii="Cambria" w:eastAsia="Cambria" w:hAnsi="Cambria" w:cs="Cambria"/>
          <w:sz w:val="20"/>
          <w:szCs w:val="20"/>
        </w:rPr>
      </w:pPr>
    </w:p>
    <w:p w14:paraId="64167AEF" w14:textId="69A61785" w:rsidR="004E0CAC" w:rsidRPr="008A7BD7" w:rsidRDefault="00941DD4" w:rsidP="008A2AEC">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 xml:space="preserve">In addition, on June 30, 2021, journalist </w:t>
      </w:r>
      <w:r w:rsidR="004E0CAC" w:rsidRPr="008A7BD7">
        <w:rPr>
          <w:rFonts w:ascii="Cambria" w:eastAsia="Cambria" w:hAnsi="Cambria" w:cs="Cambria"/>
          <w:sz w:val="20"/>
          <w:szCs w:val="20"/>
        </w:rPr>
        <w:t xml:space="preserve">Jorge </w:t>
      </w:r>
      <w:proofErr w:type="spellStart"/>
      <w:r w:rsidR="004E0CAC" w:rsidRPr="008A7BD7">
        <w:rPr>
          <w:rFonts w:ascii="Cambria" w:eastAsia="Cambria" w:hAnsi="Cambria" w:cs="Cambria"/>
          <w:sz w:val="20"/>
          <w:szCs w:val="20"/>
        </w:rPr>
        <w:t>Roldán</w:t>
      </w:r>
      <w:proofErr w:type="spellEnd"/>
      <w:r w:rsidR="004E0CAC" w:rsidRPr="008A7BD7">
        <w:rPr>
          <w:rFonts w:ascii="Cambria" w:eastAsia="Cambria" w:hAnsi="Cambria" w:cs="Cambria"/>
          <w:sz w:val="20"/>
          <w:szCs w:val="20"/>
        </w:rPr>
        <w:t xml:space="preserve"> </w:t>
      </w:r>
      <w:r w:rsidRPr="008A7BD7">
        <w:rPr>
          <w:rFonts w:ascii="Cambria" w:eastAsia="Cambria" w:hAnsi="Cambria" w:cs="Cambria"/>
          <w:sz w:val="20"/>
          <w:szCs w:val="20"/>
        </w:rPr>
        <w:t xml:space="preserve">was covering </w:t>
      </w:r>
      <w:r w:rsidR="00E73329" w:rsidRPr="008A7BD7">
        <w:rPr>
          <w:rFonts w:ascii="Cambria" w:eastAsia="Cambria" w:hAnsi="Cambria" w:cs="Cambria"/>
          <w:sz w:val="20"/>
          <w:szCs w:val="20"/>
        </w:rPr>
        <w:t xml:space="preserve">a </w:t>
      </w:r>
      <w:r w:rsidR="00D05C9B" w:rsidRPr="008A7BD7">
        <w:rPr>
          <w:rFonts w:ascii="Cambria" w:eastAsia="Cambria" w:hAnsi="Cambria" w:cs="Cambria"/>
          <w:sz w:val="20"/>
          <w:szCs w:val="20"/>
        </w:rPr>
        <w:t xml:space="preserve">vaccination shutdown </w:t>
      </w:r>
      <w:r w:rsidR="00E73329" w:rsidRPr="008A7BD7">
        <w:rPr>
          <w:rFonts w:ascii="Cambria" w:eastAsia="Cambria" w:hAnsi="Cambria" w:cs="Cambria"/>
          <w:sz w:val="20"/>
          <w:szCs w:val="20"/>
        </w:rPr>
        <w:t xml:space="preserve">at a health center in the community of </w:t>
      </w:r>
      <w:r w:rsidR="004E0CAC" w:rsidRPr="008A7BD7">
        <w:rPr>
          <w:rFonts w:ascii="Cambria" w:eastAsia="Cambria" w:hAnsi="Cambria" w:cs="Cambria"/>
          <w:sz w:val="20"/>
          <w:szCs w:val="20"/>
        </w:rPr>
        <w:t>T</w:t>
      </w:r>
      <w:r w:rsidR="00E73329" w:rsidRPr="008A7BD7">
        <w:rPr>
          <w:rFonts w:ascii="Cambria" w:eastAsia="Cambria" w:hAnsi="Cambria" w:cs="Cambria"/>
          <w:sz w:val="20"/>
          <w:szCs w:val="20"/>
        </w:rPr>
        <w:t>i</w:t>
      </w:r>
      <w:r w:rsidR="004E0CAC" w:rsidRPr="008A7BD7">
        <w:rPr>
          <w:rFonts w:ascii="Cambria" w:eastAsia="Cambria" w:hAnsi="Cambria" w:cs="Cambria"/>
          <w:sz w:val="20"/>
          <w:szCs w:val="20"/>
        </w:rPr>
        <w:t>erra Nueva</w:t>
      </w:r>
      <w:r w:rsidR="004728BB" w:rsidRPr="008A7BD7">
        <w:rPr>
          <w:rFonts w:ascii="Cambria" w:eastAsia="Cambria" w:hAnsi="Cambria" w:cs="Cambria"/>
          <w:sz w:val="20"/>
          <w:szCs w:val="20"/>
        </w:rPr>
        <w:t xml:space="preserve">, </w:t>
      </w:r>
      <w:r w:rsidR="006B6126" w:rsidRPr="008A7BD7">
        <w:rPr>
          <w:rFonts w:ascii="Cambria" w:eastAsia="Cambria" w:hAnsi="Cambria" w:cs="Cambria"/>
          <w:sz w:val="20"/>
          <w:szCs w:val="20"/>
        </w:rPr>
        <w:t>using his phone to record</w:t>
      </w:r>
      <w:r w:rsidR="004728BB" w:rsidRPr="008A7BD7">
        <w:rPr>
          <w:rFonts w:ascii="Cambria" w:eastAsia="Cambria" w:hAnsi="Cambria" w:cs="Cambria"/>
          <w:sz w:val="20"/>
          <w:szCs w:val="20"/>
        </w:rPr>
        <w:t xml:space="preserve"> images of the site and interviews</w:t>
      </w:r>
      <w:r w:rsidR="006B6126" w:rsidRPr="008A7BD7">
        <w:rPr>
          <w:rFonts w:ascii="Cambria" w:eastAsia="Cambria" w:hAnsi="Cambria" w:cs="Cambria"/>
          <w:sz w:val="20"/>
          <w:szCs w:val="20"/>
        </w:rPr>
        <w:t>. W</w:t>
      </w:r>
      <w:r w:rsidR="004728BB" w:rsidRPr="008A7BD7">
        <w:rPr>
          <w:rFonts w:ascii="Cambria" w:eastAsia="Cambria" w:hAnsi="Cambria" w:cs="Cambria"/>
          <w:sz w:val="20"/>
          <w:szCs w:val="20"/>
        </w:rPr>
        <w:t>hen he tried to interview staff from the Ministry of Public Health and Social Assistance, an agent of the State reportedly took his phone away</w:t>
      </w:r>
      <w:r w:rsidR="00D7770E" w:rsidRPr="008A7BD7">
        <w:rPr>
          <w:rFonts w:ascii="Cambria" w:eastAsia="Cambria" w:hAnsi="Cambria" w:cs="Cambria"/>
          <w:sz w:val="20"/>
          <w:szCs w:val="20"/>
        </w:rPr>
        <w:t>, erased all the images, and informed him that they would not be able to give him any type of information at the vaccination site about the national campaign.</w:t>
      </w:r>
    </w:p>
    <w:p w14:paraId="134FD10E" w14:textId="77777777" w:rsidR="00DA59A7" w:rsidRPr="008A7BD7" w:rsidRDefault="00DA59A7" w:rsidP="00224C9C">
      <w:pPr>
        <w:jc w:val="both"/>
        <w:rPr>
          <w:rFonts w:ascii="Cambria" w:eastAsia="Times New Roman" w:hAnsi="Cambria" w:cs="Tahoma"/>
          <w:color w:val="000000"/>
          <w:sz w:val="20"/>
          <w:szCs w:val="20"/>
          <w:lang w:eastAsia="es-ES_tradnl"/>
        </w:rPr>
      </w:pPr>
    </w:p>
    <w:p w14:paraId="403AD646" w14:textId="550CEDA7" w:rsidR="009C4A37" w:rsidRPr="008A7BD7" w:rsidRDefault="00B42A7E" w:rsidP="00F0442F">
      <w:pPr>
        <w:pStyle w:val="Heading2"/>
      </w:pPr>
      <w:r w:rsidRPr="008A7BD7">
        <w:t>Rule of Law and Freedom of Expression</w:t>
      </w:r>
    </w:p>
    <w:p w14:paraId="13644912" w14:textId="77777777" w:rsidR="009C4A37" w:rsidRPr="008A7BD7" w:rsidRDefault="009C4A37" w:rsidP="009C4A37">
      <w:pPr>
        <w:pStyle w:val="ListParagraph"/>
        <w:ind w:left="1440"/>
        <w:jc w:val="both"/>
        <w:rPr>
          <w:rFonts w:ascii="Cambria" w:eastAsia="Times New Roman" w:hAnsi="Cambria" w:cs="Tahoma"/>
          <w:b/>
          <w:color w:val="000000"/>
          <w:sz w:val="20"/>
          <w:szCs w:val="20"/>
          <w:lang w:eastAsia="es-ES_tradnl"/>
        </w:rPr>
      </w:pPr>
    </w:p>
    <w:p w14:paraId="2C3B0E9A" w14:textId="29817CB3" w:rsidR="009C4A37" w:rsidRPr="008A7BD7" w:rsidRDefault="00347C35"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Cambria" w:hAnsi="Cambria" w:cs="Cambria"/>
          <w:sz w:val="20"/>
          <w:szCs w:val="20"/>
        </w:rPr>
        <w:t>The</w:t>
      </w:r>
      <w:r w:rsidRPr="008A7BD7">
        <w:rPr>
          <w:rFonts w:ascii="Cambria" w:eastAsia="Times New Roman" w:hAnsi="Cambria" w:cs="Tahoma"/>
          <w:color w:val="000000" w:themeColor="text1"/>
          <w:sz w:val="20"/>
          <w:szCs w:val="20"/>
          <w:lang w:eastAsia="es-ES"/>
        </w:rPr>
        <w:t xml:space="preserve"> IACHR </w:t>
      </w:r>
      <w:r w:rsidR="0088517B" w:rsidRPr="008A7BD7">
        <w:rPr>
          <w:rFonts w:ascii="Cambria" w:eastAsia="Times New Roman" w:hAnsi="Cambria" w:cs="Tahoma"/>
          <w:color w:val="000000" w:themeColor="text1"/>
          <w:sz w:val="20"/>
          <w:szCs w:val="20"/>
          <w:lang w:eastAsia="es-ES"/>
        </w:rPr>
        <w:t>expressed its</w:t>
      </w:r>
      <w:r w:rsidRPr="008A7BD7">
        <w:rPr>
          <w:rFonts w:ascii="Cambria" w:eastAsia="Times New Roman" w:hAnsi="Cambria" w:cs="Tahoma"/>
          <w:color w:val="000000" w:themeColor="text1"/>
          <w:sz w:val="20"/>
          <w:szCs w:val="20"/>
          <w:lang w:eastAsia="es-ES"/>
        </w:rPr>
        <w:t xml:space="preserve"> concern </w:t>
      </w:r>
      <w:r w:rsidR="0088517B" w:rsidRPr="008A7BD7">
        <w:rPr>
          <w:rFonts w:ascii="Cambria" w:eastAsia="Times New Roman" w:hAnsi="Cambria" w:cs="Tahoma"/>
          <w:color w:val="000000" w:themeColor="text1"/>
          <w:sz w:val="20"/>
          <w:szCs w:val="20"/>
          <w:lang w:eastAsia="es-ES"/>
        </w:rPr>
        <w:t xml:space="preserve">regarding </w:t>
      </w:r>
      <w:r w:rsidRPr="008A7BD7">
        <w:rPr>
          <w:rFonts w:ascii="Cambria" w:eastAsia="Times New Roman" w:hAnsi="Cambria" w:cs="Tahoma"/>
          <w:color w:val="000000" w:themeColor="text1"/>
          <w:sz w:val="20"/>
          <w:szCs w:val="20"/>
          <w:lang w:eastAsia="es-ES"/>
        </w:rPr>
        <w:t xml:space="preserve">the entry into force of </w:t>
      </w:r>
      <w:r w:rsidR="0088517B" w:rsidRPr="008A7BD7">
        <w:rPr>
          <w:rFonts w:ascii="Cambria" w:eastAsia="Times New Roman" w:hAnsi="Cambria" w:cs="Tahoma"/>
          <w:color w:val="000000" w:themeColor="text1"/>
          <w:sz w:val="20"/>
          <w:szCs w:val="20"/>
          <w:lang w:eastAsia="es-ES"/>
        </w:rPr>
        <w:t>amendments</w:t>
      </w:r>
      <w:r w:rsidRPr="008A7BD7">
        <w:rPr>
          <w:rFonts w:ascii="Cambria" w:eastAsia="Times New Roman" w:hAnsi="Cambria" w:cs="Tahoma"/>
          <w:color w:val="000000" w:themeColor="text1"/>
          <w:sz w:val="20"/>
          <w:szCs w:val="20"/>
          <w:lang w:eastAsia="es-ES"/>
        </w:rPr>
        <w:t xml:space="preserve"> to the Law on Nongovernmental </w:t>
      </w:r>
      <w:r w:rsidR="007C030C" w:rsidRPr="008A7BD7">
        <w:rPr>
          <w:rFonts w:ascii="Cambria" w:eastAsia="Times New Roman" w:hAnsi="Cambria" w:cs="Tahoma"/>
          <w:color w:val="000000" w:themeColor="text1"/>
          <w:sz w:val="20"/>
          <w:szCs w:val="20"/>
          <w:lang w:eastAsia="es-ES"/>
        </w:rPr>
        <w:t xml:space="preserve">Development </w:t>
      </w:r>
      <w:r w:rsidRPr="008A7BD7">
        <w:rPr>
          <w:rFonts w:ascii="Cambria" w:eastAsia="Times New Roman" w:hAnsi="Cambria" w:cs="Tahoma"/>
          <w:color w:val="000000" w:themeColor="text1"/>
          <w:sz w:val="20"/>
          <w:szCs w:val="20"/>
          <w:lang w:eastAsia="es-ES"/>
        </w:rPr>
        <w:t xml:space="preserve">Organizations and to the Civil Code of </w:t>
      </w:r>
      <w:r w:rsidR="009C4A37" w:rsidRPr="008A7BD7">
        <w:rPr>
          <w:rFonts w:ascii="Cambria" w:eastAsia="Times New Roman" w:hAnsi="Cambria" w:cs="Tahoma"/>
          <w:color w:val="000000" w:themeColor="text1"/>
          <w:sz w:val="20"/>
          <w:szCs w:val="20"/>
          <w:lang w:eastAsia="es-ES"/>
        </w:rPr>
        <w:t xml:space="preserve">Guatemala. </w:t>
      </w:r>
      <w:r w:rsidRPr="008A7BD7">
        <w:rPr>
          <w:rFonts w:ascii="Cambria" w:eastAsia="Times New Roman" w:hAnsi="Cambria" w:cs="Tahoma"/>
          <w:color w:val="000000" w:themeColor="text1"/>
          <w:sz w:val="20"/>
          <w:szCs w:val="20"/>
          <w:lang w:eastAsia="es-ES"/>
        </w:rPr>
        <w:t xml:space="preserve">It also </w:t>
      </w:r>
      <w:r w:rsidR="0088517B" w:rsidRPr="008A7BD7">
        <w:rPr>
          <w:rFonts w:ascii="Cambria" w:eastAsia="Times New Roman" w:hAnsi="Cambria" w:cs="Tahoma"/>
          <w:color w:val="000000" w:themeColor="text1"/>
          <w:sz w:val="20"/>
          <w:szCs w:val="20"/>
          <w:lang w:eastAsia="es-ES"/>
        </w:rPr>
        <w:t>took note of</w:t>
      </w:r>
      <w:r w:rsidRPr="008A7BD7">
        <w:rPr>
          <w:rFonts w:ascii="Cambria" w:eastAsia="Times New Roman" w:hAnsi="Cambria" w:cs="Tahoma"/>
          <w:color w:val="000000" w:themeColor="text1"/>
          <w:sz w:val="20"/>
          <w:szCs w:val="20"/>
          <w:lang w:eastAsia="es-ES"/>
        </w:rPr>
        <w:t xml:space="preserve"> various </w:t>
      </w:r>
      <w:r w:rsidR="007C030C" w:rsidRPr="008A7BD7">
        <w:rPr>
          <w:rFonts w:ascii="Cambria" w:eastAsia="Times New Roman" w:hAnsi="Cambria" w:cs="Tahoma"/>
          <w:color w:val="000000" w:themeColor="text1"/>
          <w:sz w:val="20"/>
          <w:szCs w:val="20"/>
          <w:lang w:eastAsia="es-ES"/>
        </w:rPr>
        <w:t>versions</w:t>
      </w:r>
      <w:r w:rsidRPr="008A7BD7">
        <w:rPr>
          <w:rFonts w:ascii="Cambria" w:eastAsia="Times New Roman" w:hAnsi="Cambria" w:cs="Tahoma"/>
          <w:color w:val="000000" w:themeColor="text1"/>
          <w:sz w:val="20"/>
          <w:szCs w:val="20"/>
          <w:lang w:eastAsia="es-ES"/>
        </w:rPr>
        <w:t xml:space="preserve"> of decrees</w:t>
      </w:r>
      <w:r w:rsidR="0088517B" w:rsidRPr="008A7BD7">
        <w:rPr>
          <w:rFonts w:ascii="Cambria" w:eastAsia="Times New Roman" w:hAnsi="Cambria" w:cs="Tahoma"/>
          <w:color w:val="000000" w:themeColor="text1"/>
          <w:sz w:val="20"/>
          <w:szCs w:val="20"/>
          <w:lang w:eastAsia="es-ES"/>
        </w:rPr>
        <w:t xml:space="preserve"> </w:t>
      </w:r>
      <w:r w:rsidRPr="008A7BD7">
        <w:rPr>
          <w:rFonts w:ascii="Cambria" w:eastAsia="Times New Roman" w:hAnsi="Cambria" w:cs="Tahoma"/>
          <w:color w:val="000000" w:themeColor="text1"/>
          <w:sz w:val="20"/>
          <w:szCs w:val="20"/>
          <w:lang w:eastAsia="es-ES"/>
        </w:rPr>
        <w:t xml:space="preserve">declaring states of emergency in the context of the </w:t>
      </w:r>
      <w:r w:rsidR="009C4A37" w:rsidRPr="008A7BD7">
        <w:rPr>
          <w:rFonts w:ascii="Cambria" w:eastAsia="Times New Roman" w:hAnsi="Cambria" w:cs="Tahoma"/>
          <w:color w:val="000000" w:themeColor="text1"/>
          <w:sz w:val="20"/>
          <w:szCs w:val="20"/>
          <w:lang w:eastAsia="es-ES"/>
        </w:rPr>
        <w:t xml:space="preserve">COVID-19 </w:t>
      </w:r>
      <w:r w:rsidRPr="008A7BD7">
        <w:rPr>
          <w:rFonts w:ascii="Cambria" w:eastAsia="Times New Roman" w:hAnsi="Cambria" w:cs="Tahoma"/>
          <w:color w:val="000000" w:themeColor="text1"/>
          <w:sz w:val="20"/>
          <w:szCs w:val="20"/>
          <w:lang w:eastAsia="es-ES"/>
        </w:rPr>
        <w:t xml:space="preserve">pandemic as </w:t>
      </w:r>
      <w:r w:rsidR="00F53E1B" w:rsidRPr="008A7BD7">
        <w:rPr>
          <w:rFonts w:ascii="Cambria" w:eastAsia="Times New Roman" w:hAnsi="Cambria" w:cs="Tahoma"/>
          <w:color w:val="000000" w:themeColor="text1"/>
          <w:sz w:val="20"/>
          <w:szCs w:val="20"/>
          <w:lang w:eastAsia="es-ES"/>
        </w:rPr>
        <w:t>alleged</w:t>
      </w:r>
      <w:r w:rsidRPr="008A7BD7">
        <w:rPr>
          <w:rFonts w:ascii="Cambria" w:eastAsia="Times New Roman" w:hAnsi="Cambria" w:cs="Tahoma"/>
          <w:color w:val="000000" w:themeColor="text1"/>
          <w:sz w:val="20"/>
          <w:szCs w:val="20"/>
          <w:lang w:eastAsia="es-ES"/>
        </w:rPr>
        <w:t xml:space="preserve"> attempts to restrict citizens from protesting freely. The IACHR has also </w:t>
      </w:r>
      <w:r w:rsidR="0088517B" w:rsidRPr="008A7BD7">
        <w:rPr>
          <w:rFonts w:ascii="Cambria" w:eastAsia="Times New Roman" w:hAnsi="Cambria" w:cs="Tahoma"/>
          <w:color w:val="000000" w:themeColor="text1"/>
          <w:sz w:val="20"/>
          <w:szCs w:val="20"/>
          <w:lang w:eastAsia="es-ES"/>
        </w:rPr>
        <w:t>noted</w:t>
      </w:r>
      <w:r w:rsidRPr="008A7BD7">
        <w:rPr>
          <w:rFonts w:ascii="Cambria" w:eastAsia="Times New Roman" w:hAnsi="Cambria" w:cs="Tahoma"/>
          <w:color w:val="000000" w:themeColor="text1"/>
          <w:sz w:val="20"/>
          <w:szCs w:val="20"/>
          <w:lang w:eastAsia="es-ES"/>
        </w:rPr>
        <w:t xml:space="preserve"> </w:t>
      </w:r>
      <w:r w:rsidR="0088517B" w:rsidRPr="008A7BD7">
        <w:rPr>
          <w:rFonts w:ascii="Cambria" w:eastAsia="Times New Roman" w:hAnsi="Cambria" w:cs="Tahoma"/>
          <w:color w:val="000000" w:themeColor="text1"/>
          <w:sz w:val="20"/>
          <w:szCs w:val="20"/>
          <w:lang w:eastAsia="es-ES"/>
        </w:rPr>
        <w:t xml:space="preserve">that </w:t>
      </w:r>
      <w:r w:rsidRPr="008A7BD7">
        <w:rPr>
          <w:rFonts w:ascii="Cambria" w:eastAsia="Times New Roman" w:hAnsi="Cambria" w:cs="Tahoma"/>
          <w:color w:val="000000" w:themeColor="text1"/>
          <w:sz w:val="20"/>
          <w:szCs w:val="20"/>
          <w:lang w:eastAsia="es-ES"/>
        </w:rPr>
        <w:t xml:space="preserve">various </w:t>
      </w:r>
      <w:r w:rsidR="0088517B" w:rsidRPr="008A7BD7">
        <w:rPr>
          <w:rFonts w:ascii="Cambria" w:eastAsia="Times New Roman" w:hAnsi="Cambria" w:cs="Tahoma"/>
          <w:color w:val="000000" w:themeColor="text1"/>
          <w:sz w:val="20"/>
          <w:szCs w:val="20"/>
          <w:lang w:eastAsia="es-ES"/>
        </w:rPr>
        <w:t>clashes</w:t>
      </w:r>
      <w:r w:rsidRPr="008A7BD7">
        <w:rPr>
          <w:rFonts w:ascii="Cambria" w:eastAsia="Times New Roman" w:hAnsi="Cambria" w:cs="Tahoma"/>
          <w:color w:val="000000" w:themeColor="text1"/>
          <w:sz w:val="20"/>
          <w:szCs w:val="20"/>
          <w:lang w:eastAsia="es-ES"/>
        </w:rPr>
        <w:t xml:space="preserve"> </w:t>
      </w:r>
      <w:r w:rsidR="0088517B" w:rsidRPr="008A7BD7">
        <w:rPr>
          <w:rFonts w:ascii="Cambria" w:eastAsia="Times New Roman" w:hAnsi="Cambria" w:cs="Tahoma"/>
          <w:color w:val="000000" w:themeColor="text1"/>
          <w:sz w:val="20"/>
          <w:szCs w:val="20"/>
          <w:lang w:eastAsia="es-ES"/>
        </w:rPr>
        <w:t xml:space="preserve">have taken place </w:t>
      </w:r>
      <w:r w:rsidRPr="008A7BD7">
        <w:rPr>
          <w:rFonts w:ascii="Cambria" w:eastAsia="Times New Roman" w:hAnsi="Cambria" w:cs="Tahoma"/>
          <w:color w:val="000000" w:themeColor="text1"/>
          <w:sz w:val="20"/>
          <w:szCs w:val="20"/>
          <w:lang w:eastAsia="es-ES"/>
        </w:rPr>
        <w:t>in the context of protests, particularly du</w:t>
      </w:r>
      <w:r w:rsidR="0087624B" w:rsidRPr="008A7BD7">
        <w:rPr>
          <w:rFonts w:ascii="Cambria" w:eastAsia="Times New Roman" w:hAnsi="Cambria" w:cs="Tahoma"/>
          <w:color w:val="000000" w:themeColor="text1"/>
          <w:sz w:val="20"/>
          <w:szCs w:val="20"/>
          <w:lang w:eastAsia="es-ES"/>
        </w:rPr>
        <w:t xml:space="preserve">ring </w:t>
      </w:r>
      <w:r w:rsidRPr="008A7BD7">
        <w:rPr>
          <w:rFonts w:ascii="Cambria" w:eastAsia="Times New Roman" w:hAnsi="Cambria" w:cs="Tahoma"/>
          <w:color w:val="000000" w:themeColor="text1"/>
          <w:sz w:val="20"/>
          <w:szCs w:val="20"/>
          <w:lang w:eastAsia="es-ES"/>
        </w:rPr>
        <w:t xml:space="preserve">national </w:t>
      </w:r>
      <w:r w:rsidR="00922F3F" w:rsidRPr="008A7BD7">
        <w:rPr>
          <w:rFonts w:ascii="Cambria" w:eastAsia="Times New Roman" w:hAnsi="Cambria" w:cs="Tahoma"/>
          <w:color w:val="000000" w:themeColor="text1"/>
          <w:sz w:val="20"/>
          <w:szCs w:val="20"/>
          <w:lang w:eastAsia="es-ES"/>
        </w:rPr>
        <w:t>stoppages</w:t>
      </w:r>
      <w:r w:rsidR="008E4163" w:rsidRPr="008A7BD7">
        <w:rPr>
          <w:rFonts w:ascii="Cambria" w:eastAsia="Times New Roman" w:hAnsi="Cambria" w:cs="Tahoma"/>
          <w:color w:val="000000" w:themeColor="text1"/>
          <w:sz w:val="20"/>
          <w:szCs w:val="20"/>
          <w:lang w:eastAsia="es-ES"/>
        </w:rPr>
        <w:t xml:space="preserve">, </w:t>
      </w:r>
      <w:r w:rsidR="002E3B63" w:rsidRPr="008A7BD7">
        <w:rPr>
          <w:rFonts w:ascii="Cambria" w:eastAsia="Times New Roman" w:hAnsi="Cambria" w:cs="Tahoma"/>
          <w:color w:val="000000" w:themeColor="text1"/>
          <w:sz w:val="20"/>
          <w:szCs w:val="20"/>
          <w:lang w:eastAsia="es-ES"/>
        </w:rPr>
        <w:t xml:space="preserve">during </w:t>
      </w:r>
      <w:r w:rsidR="0087624B" w:rsidRPr="008A7BD7">
        <w:rPr>
          <w:rFonts w:ascii="Cambria" w:eastAsia="Times New Roman" w:hAnsi="Cambria" w:cs="Tahoma"/>
          <w:color w:val="000000" w:themeColor="text1"/>
          <w:sz w:val="20"/>
          <w:szCs w:val="20"/>
          <w:lang w:eastAsia="es-ES"/>
        </w:rPr>
        <w:t xml:space="preserve">the forced entry of military retirees into the Legislative Palace on October 19, 2021, </w:t>
      </w:r>
      <w:r w:rsidR="008E4163" w:rsidRPr="008A7BD7">
        <w:rPr>
          <w:rFonts w:ascii="Cambria" w:eastAsia="Times New Roman" w:hAnsi="Cambria" w:cs="Tahoma"/>
          <w:color w:val="000000" w:themeColor="text1"/>
          <w:sz w:val="20"/>
          <w:szCs w:val="20"/>
          <w:lang w:eastAsia="es-ES"/>
        </w:rPr>
        <w:t xml:space="preserve">and </w:t>
      </w:r>
      <w:r w:rsidR="0087624B" w:rsidRPr="008A7BD7">
        <w:rPr>
          <w:rFonts w:ascii="Cambria" w:eastAsia="Times New Roman" w:hAnsi="Cambria" w:cs="Tahoma"/>
          <w:color w:val="000000" w:themeColor="text1"/>
          <w:sz w:val="20"/>
          <w:szCs w:val="20"/>
          <w:lang w:eastAsia="es-ES"/>
        </w:rPr>
        <w:t xml:space="preserve">in the context of ongoing protests by the </w:t>
      </w:r>
      <w:proofErr w:type="spellStart"/>
      <w:r w:rsidR="009C4A37" w:rsidRPr="008A7BD7">
        <w:rPr>
          <w:rFonts w:ascii="Cambria" w:eastAsia="Times New Roman" w:hAnsi="Cambria" w:cs="Tahoma"/>
          <w:color w:val="000000" w:themeColor="text1"/>
          <w:sz w:val="20"/>
          <w:szCs w:val="20"/>
          <w:lang w:eastAsia="es-ES"/>
        </w:rPr>
        <w:t>Q’eqchi</w:t>
      </w:r>
      <w:proofErr w:type="spellEnd"/>
      <w:r w:rsidR="009C4A37" w:rsidRPr="008A7BD7">
        <w:rPr>
          <w:rFonts w:ascii="Cambria" w:eastAsia="Times New Roman" w:hAnsi="Cambria" w:cs="Tahoma"/>
          <w:color w:val="000000" w:themeColor="text1"/>
          <w:sz w:val="20"/>
          <w:szCs w:val="20"/>
          <w:lang w:eastAsia="es-ES"/>
        </w:rPr>
        <w:t xml:space="preserve">’ </w:t>
      </w:r>
      <w:r w:rsidR="0087624B" w:rsidRPr="008A7BD7">
        <w:rPr>
          <w:rFonts w:ascii="Cambria" w:eastAsia="Times New Roman" w:hAnsi="Cambria" w:cs="Tahoma"/>
          <w:color w:val="000000" w:themeColor="text1"/>
          <w:sz w:val="20"/>
          <w:szCs w:val="20"/>
          <w:lang w:eastAsia="es-ES"/>
        </w:rPr>
        <w:t>people i</w:t>
      </w:r>
      <w:r w:rsidR="009C4A37" w:rsidRPr="008A7BD7">
        <w:rPr>
          <w:rFonts w:ascii="Cambria" w:eastAsia="Times New Roman" w:hAnsi="Cambria" w:cs="Tahoma"/>
          <w:color w:val="000000" w:themeColor="text1"/>
          <w:sz w:val="20"/>
          <w:szCs w:val="20"/>
          <w:lang w:eastAsia="es-ES"/>
        </w:rPr>
        <w:t xml:space="preserve">n El </w:t>
      </w:r>
      <w:proofErr w:type="spellStart"/>
      <w:r w:rsidR="009C4A37" w:rsidRPr="008A7BD7">
        <w:rPr>
          <w:rFonts w:ascii="Cambria" w:eastAsia="Times New Roman" w:hAnsi="Cambria" w:cs="Tahoma"/>
          <w:color w:val="000000" w:themeColor="text1"/>
          <w:sz w:val="20"/>
          <w:szCs w:val="20"/>
          <w:lang w:eastAsia="es-ES"/>
        </w:rPr>
        <w:t>Estor</w:t>
      </w:r>
      <w:proofErr w:type="spellEnd"/>
      <w:r w:rsidR="009C4A37" w:rsidRPr="008A7BD7">
        <w:rPr>
          <w:rFonts w:ascii="Cambria" w:eastAsia="Times New Roman" w:hAnsi="Cambria" w:cs="Tahoma"/>
          <w:color w:val="000000" w:themeColor="text1"/>
          <w:sz w:val="20"/>
          <w:szCs w:val="20"/>
          <w:lang w:eastAsia="es-ES"/>
        </w:rPr>
        <w:t>, Izabal</w:t>
      </w:r>
      <w:r w:rsidR="00A522DE" w:rsidRPr="008A7BD7">
        <w:rPr>
          <w:rFonts w:ascii="Cambria" w:eastAsia="Times New Roman" w:hAnsi="Cambria" w:cs="Tahoma"/>
          <w:color w:val="000000" w:themeColor="text1"/>
          <w:sz w:val="20"/>
          <w:szCs w:val="20"/>
          <w:lang w:eastAsia="es-ES"/>
        </w:rPr>
        <w:t xml:space="preserve">, the latter of </w:t>
      </w:r>
      <w:r w:rsidR="0087624B" w:rsidRPr="008A7BD7">
        <w:rPr>
          <w:rFonts w:ascii="Cambria" w:eastAsia="Times New Roman" w:hAnsi="Cambria" w:cs="Tahoma"/>
          <w:color w:val="000000" w:themeColor="text1"/>
          <w:sz w:val="20"/>
          <w:szCs w:val="20"/>
          <w:lang w:eastAsia="es-ES"/>
        </w:rPr>
        <w:t xml:space="preserve">which culminated in the declaration of a state of siege. </w:t>
      </w:r>
    </w:p>
    <w:p w14:paraId="7BEEF5FA"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70ABF53F" w14:textId="0262018E" w:rsidR="009C4A37" w:rsidRPr="008A7BD7" w:rsidRDefault="0087624B" w:rsidP="003D3059">
      <w:pPr>
        <w:numPr>
          <w:ilvl w:val="0"/>
          <w:numId w:val="2"/>
        </w:numPr>
        <w:ind w:left="0" w:firstLine="720"/>
        <w:jc w:val="both"/>
        <w:rPr>
          <w:rFonts w:ascii="Cambria" w:eastAsia="Times New Roman" w:hAnsi="Cambria" w:cs="Tahoma"/>
          <w:color w:val="000000"/>
          <w:sz w:val="20"/>
          <w:szCs w:val="20"/>
          <w:lang w:eastAsia="es-ES_tradnl"/>
        </w:rPr>
      </w:pPr>
      <w:bookmarkStart w:id="2" w:name="_Hlk90289841"/>
      <w:r w:rsidRPr="008A7BD7">
        <w:rPr>
          <w:rFonts w:ascii="Cambria" w:eastAsia="Times New Roman" w:hAnsi="Cambria" w:cs="Tahoma"/>
          <w:color w:val="000000"/>
          <w:sz w:val="20"/>
          <w:szCs w:val="20"/>
          <w:lang w:eastAsia="es-ES"/>
        </w:rPr>
        <w:t>On May</w:t>
      </w:r>
      <w:r w:rsidR="009C4A37" w:rsidRPr="008A7BD7">
        <w:rPr>
          <w:rFonts w:ascii="Cambria" w:eastAsia="Times New Roman" w:hAnsi="Cambria" w:cs="Tahoma"/>
          <w:color w:val="000000"/>
          <w:sz w:val="20"/>
          <w:szCs w:val="20"/>
          <w:lang w:eastAsia="es-ES"/>
        </w:rPr>
        <w:t xml:space="preserve"> 12</w:t>
      </w:r>
      <w:r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 xml:space="preserve">2021, </w:t>
      </w:r>
      <w:r w:rsidRPr="008A7BD7">
        <w:rPr>
          <w:rFonts w:ascii="Cambria" w:eastAsia="Times New Roman" w:hAnsi="Cambria" w:cs="Tahoma"/>
          <w:color w:val="000000"/>
          <w:sz w:val="20"/>
          <w:szCs w:val="20"/>
          <w:lang w:eastAsia="es-ES"/>
        </w:rPr>
        <w:t xml:space="preserve">Guatemala’s Constitutional Court </w:t>
      </w:r>
      <w:r w:rsidR="007C030C" w:rsidRPr="008A7BD7">
        <w:rPr>
          <w:rFonts w:ascii="Cambria" w:eastAsia="Times New Roman" w:hAnsi="Cambria" w:cs="Tahoma"/>
          <w:color w:val="000000"/>
          <w:sz w:val="20"/>
          <w:szCs w:val="20"/>
          <w:lang w:eastAsia="es-ES"/>
        </w:rPr>
        <w:t>overturned</w:t>
      </w:r>
      <w:r w:rsidRPr="008A7BD7">
        <w:rPr>
          <w:rFonts w:ascii="Cambria" w:eastAsia="Times New Roman" w:hAnsi="Cambria" w:cs="Tahoma"/>
          <w:color w:val="000000"/>
          <w:sz w:val="20"/>
          <w:szCs w:val="20"/>
          <w:lang w:eastAsia="es-ES"/>
        </w:rPr>
        <w:t xml:space="preserve"> a provisional </w:t>
      </w:r>
      <w:r w:rsidR="007C030C" w:rsidRPr="008A7BD7">
        <w:rPr>
          <w:rFonts w:ascii="Cambria" w:eastAsia="Times New Roman" w:hAnsi="Cambria" w:cs="Tahoma"/>
          <w:color w:val="000000"/>
          <w:sz w:val="20"/>
          <w:szCs w:val="20"/>
          <w:lang w:eastAsia="es-ES"/>
        </w:rPr>
        <w:t>injunction</w:t>
      </w:r>
      <w:r w:rsidRPr="008A7BD7">
        <w:rPr>
          <w:rFonts w:ascii="Cambria" w:eastAsia="Times New Roman" w:hAnsi="Cambria" w:cs="Tahoma"/>
          <w:color w:val="000000"/>
          <w:sz w:val="20"/>
          <w:szCs w:val="20"/>
          <w:lang w:eastAsia="es-ES"/>
        </w:rPr>
        <w:t xml:space="preserve"> and </w:t>
      </w:r>
      <w:r w:rsidR="00396DD8" w:rsidRPr="008A7BD7">
        <w:rPr>
          <w:rFonts w:ascii="Cambria" w:eastAsia="Times New Roman" w:hAnsi="Cambria" w:cs="Tahoma"/>
          <w:color w:val="000000"/>
          <w:sz w:val="20"/>
          <w:szCs w:val="20"/>
          <w:lang w:eastAsia="es-ES"/>
        </w:rPr>
        <w:t xml:space="preserve">revoked </w:t>
      </w:r>
      <w:r w:rsidRPr="008A7BD7">
        <w:rPr>
          <w:rFonts w:ascii="Cambria" w:eastAsia="Times New Roman" w:hAnsi="Cambria" w:cs="Tahoma"/>
          <w:color w:val="000000"/>
          <w:sz w:val="20"/>
          <w:szCs w:val="20"/>
          <w:lang w:eastAsia="es-ES"/>
        </w:rPr>
        <w:t xml:space="preserve">several appeals that had been filed to </w:t>
      </w:r>
      <w:r w:rsidR="007C030C" w:rsidRPr="008A7BD7">
        <w:rPr>
          <w:rFonts w:ascii="Cambria" w:eastAsia="Times New Roman" w:hAnsi="Cambria" w:cs="Tahoma"/>
          <w:color w:val="000000"/>
          <w:sz w:val="20"/>
          <w:szCs w:val="20"/>
          <w:lang w:eastAsia="es-ES"/>
        </w:rPr>
        <w:t>prevent</w:t>
      </w:r>
      <w:r w:rsidRPr="008A7BD7">
        <w:rPr>
          <w:rFonts w:ascii="Cambria" w:eastAsia="Times New Roman" w:hAnsi="Cambria" w:cs="Tahoma"/>
          <w:color w:val="000000"/>
          <w:sz w:val="20"/>
          <w:szCs w:val="20"/>
          <w:lang w:eastAsia="es-ES"/>
        </w:rPr>
        <w:t xml:space="preserve"> the entry into force of the approved amendments to the </w:t>
      </w:r>
      <w:r w:rsidR="00E84107" w:rsidRPr="008A7BD7">
        <w:rPr>
          <w:rFonts w:ascii="Cambria" w:eastAsia="Times New Roman" w:hAnsi="Cambria" w:cs="Tahoma"/>
          <w:color w:val="000000"/>
          <w:sz w:val="20"/>
          <w:szCs w:val="20"/>
          <w:lang w:eastAsia="es-ES"/>
        </w:rPr>
        <w:t xml:space="preserve">Law on </w:t>
      </w:r>
      <w:r w:rsidRPr="008A7BD7">
        <w:rPr>
          <w:rFonts w:ascii="Cambria" w:eastAsia="Times New Roman" w:hAnsi="Cambria" w:cs="Tahoma"/>
          <w:color w:val="000000" w:themeColor="text1"/>
          <w:sz w:val="20"/>
          <w:szCs w:val="20"/>
          <w:lang w:eastAsia="es-ES"/>
        </w:rPr>
        <w:t xml:space="preserve">Nongovernmental </w:t>
      </w:r>
      <w:r w:rsidR="007C030C" w:rsidRPr="008A7BD7">
        <w:rPr>
          <w:rFonts w:ascii="Cambria" w:eastAsia="Times New Roman" w:hAnsi="Cambria" w:cs="Tahoma"/>
          <w:color w:val="000000" w:themeColor="text1"/>
          <w:sz w:val="20"/>
          <w:szCs w:val="20"/>
          <w:lang w:eastAsia="es-ES"/>
        </w:rPr>
        <w:t xml:space="preserve">Development </w:t>
      </w:r>
      <w:r w:rsidRPr="008A7BD7">
        <w:rPr>
          <w:rFonts w:ascii="Cambria" w:eastAsia="Times New Roman" w:hAnsi="Cambria" w:cs="Tahoma"/>
          <w:color w:val="000000" w:themeColor="text1"/>
          <w:sz w:val="20"/>
          <w:szCs w:val="20"/>
          <w:lang w:eastAsia="es-ES"/>
        </w:rPr>
        <w:t xml:space="preserve">Organizations </w:t>
      </w:r>
      <w:r w:rsidR="007C030C" w:rsidRPr="008A7BD7">
        <w:rPr>
          <w:rFonts w:ascii="Cambria" w:eastAsia="Times New Roman" w:hAnsi="Cambria" w:cs="Tahoma"/>
          <w:color w:val="000000" w:themeColor="text1"/>
          <w:sz w:val="20"/>
          <w:szCs w:val="20"/>
          <w:lang w:eastAsia="es-ES"/>
        </w:rPr>
        <w:t xml:space="preserve">and </w:t>
      </w:r>
      <w:r w:rsidRPr="008A7BD7">
        <w:rPr>
          <w:rFonts w:ascii="Cambria" w:eastAsia="Times New Roman" w:hAnsi="Cambria" w:cs="Tahoma"/>
          <w:color w:val="000000" w:themeColor="text1"/>
          <w:sz w:val="20"/>
          <w:szCs w:val="20"/>
          <w:lang w:eastAsia="es-ES"/>
        </w:rPr>
        <w:t>to the</w:t>
      </w:r>
      <w:r w:rsidR="001C0259" w:rsidRPr="008A7BD7">
        <w:rPr>
          <w:rFonts w:ascii="Cambria" w:eastAsia="Times New Roman" w:hAnsi="Cambria" w:cs="Tahoma"/>
          <w:color w:val="000000" w:themeColor="text1"/>
          <w:sz w:val="20"/>
          <w:szCs w:val="20"/>
          <w:lang w:eastAsia="es-ES"/>
        </w:rPr>
        <w:t xml:space="preserve"> Guatemalan</w:t>
      </w:r>
      <w:r w:rsidRPr="008A7BD7">
        <w:rPr>
          <w:rFonts w:ascii="Cambria" w:eastAsia="Times New Roman" w:hAnsi="Cambria" w:cs="Tahoma"/>
          <w:color w:val="000000" w:themeColor="text1"/>
          <w:sz w:val="20"/>
          <w:szCs w:val="20"/>
          <w:lang w:eastAsia="es-ES"/>
        </w:rPr>
        <w:t xml:space="preserve"> Civil Code</w:t>
      </w:r>
      <w:r w:rsidR="009C4A37" w:rsidRPr="008A7BD7">
        <w:rPr>
          <w:rFonts w:ascii="Cambria" w:eastAsia="Times New Roman" w:hAnsi="Cambria" w:cs="Tahoma"/>
          <w:color w:val="000000"/>
          <w:sz w:val="20"/>
          <w:szCs w:val="20"/>
          <w:lang w:eastAsia="es-ES"/>
        </w:rPr>
        <w:t xml:space="preserve">. </w:t>
      </w:r>
      <w:r w:rsidR="001C0259" w:rsidRPr="008A7BD7">
        <w:rPr>
          <w:rFonts w:ascii="Cambria" w:eastAsia="Times New Roman" w:hAnsi="Cambria" w:cs="Tahoma"/>
          <w:color w:val="000000"/>
          <w:sz w:val="20"/>
          <w:szCs w:val="20"/>
          <w:lang w:eastAsia="es-ES"/>
        </w:rPr>
        <w:t xml:space="preserve">These reforms had </w:t>
      </w:r>
      <w:r w:rsidR="001C0259" w:rsidRPr="008A7BD7">
        <w:rPr>
          <w:rFonts w:ascii="Cambria" w:eastAsia="Times New Roman" w:hAnsi="Cambria" w:cs="Tahoma"/>
          <w:color w:val="000000"/>
          <w:sz w:val="20"/>
          <w:szCs w:val="20"/>
          <w:lang w:eastAsia="es-ES"/>
        </w:rPr>
        <w:lastRenderedPageBreak/>
        <w:t xml:space="preserve">been approved by Congress through Decree </w:t>
      </w:r>
      <w:r w:rsidR="009C4A37" w:rsidRPr="008A7BD7">
        <w:rPr>
          <w:rFonts w:ascii="Cambria" w:eastAsia="Times New Roman" w:hAnsi="Cambria" w:cs="Tahoma"/>
          <w:color w:val="000000"/>
          <w:sz w:val="20"/>
          <w:szCs w:val="20"/>
          <w:lang w:eastAsia="es-ES"/>
        </w:rPr>
        <w:t xml:space="preserve">4-2020 </w:t>
      </w:r>
      <w:r w:rsidR="001C0259" w:rsidRPr="008A7BD7">
        <w:rPr>
          <w:rFonts w:ascii="Cambria" w:eastAsia="Times New Roman" w:hAnsi="Cambria" w:cs="Tahoma"/>
          <w:color w:val="000000"/>
          <w:sz w:val="20"/>
          <w:szCs w:val="20"/>
          <w:lang w:eastAsia="es-ES"/>
        </w:rPr>
        <w:t xml:space="preserve">of </w:t>
      </w:r>
      <w:proofErr w:type="gramStart"/>
      <w:r w:rsidR="001C0259" w:rsidRPr="008A7BD7">
        <w:rPr>
          <w:rFonts w:ascii="Cambria" w:eastAsia="Times New Roman" w:hAnsi="Cambria" w:cs="Tahoma"/>
          <w:color w:val="000000"/>
          <w:sz w:val="20"/>
          <w:szCs w:val="20"/>
          <w:lang w:eastAsia="es-ES"/>
        </w:rPr>
        <w:t xml:space="preserve">February 11, </w:t>
      </w:r>
      <w:r w:rsidR="009C4A37" w:rsidRPr="008A7BD7">
        <w:rPr>
          <w:rFonts w:ascii="Cambria" w:eastAsia="Times New Roman" w:hAnsi="Cambria" w:cs="Tahoma"/>
          <w:color w:val="000000"/>
          <w:sz w:val="20"/>
          <w:szCs w:val="20"/>
          <w:lang w:eastAsia="es-ES"/>
        </w:rPr>
        <w:t xml:space="preserve">2020, </w:t>
      </w:r>
      <w:r w:rsidR="001C0259" w:rsidRPr="008A7BD7">
        <w:rPr>
          <w:rFonts w:ascii="Cambria" w:eastAsia="Times New Roman" w:hAnsi="Cambria" w:cs="Tahoma"/>
          <w:color w:val="000000"/>
          <w:sz w:val="20"/>
          <w:szCs w:val="20"/>
          <w:lang w:eastAsia="es-ES"/>
        </w:rPr>
        <w:t>and</w:t>
      </w:r>
      <w:proofErr w:type="gramEnd"/>
      <w:r w:rsidR="001C0259" w:rsidRPr="008A7BD7">
        <w:rPr>
          <w:rFonts w:ascii="Cambria" w:eastAsia="Times New Roman" w:hAnsi="Cambria" w:cs="Tahoma"/>
          <w:color w:val="000000"/>
          <w:sz w:val="20"/>
          <w:szCs w:val="20"/>
          <w:lang w:eastAsia="es-ES"/>
        </w:rPr>
        <w:t xml:space="preserve"> </w:t>
      </w:r>
      <w:r w:rsidR="001C7740" w:rsidRPr="008A7BD7">
        <w:rPr>
          <w:rFonts w:ascii="Cambria" w:eastAsia="Times New Roman" w:hAnsi="Cambria" w:cs="Tahoma"/>
          <w:color w:val="000000"/>
          <w:sz w:val="20"/>
          <w:szCs w:val="20"/>
          <w:lang w:eastAsia="es-ES"/>
        </w:rPr>
        <w:t>sanctioned by the President</w:t>
      </w:r>
      <w:r w:rsidR="001C0259" w:rsidRPr="008A7BD7">
        <w:rPr>
          <w:rFonts w:ascii="Cambria" w:eastAsia="Times New Roman" w:hAnsi="Cambria" w:cs="Tahoma"/>
          <w:color w:val="000000"/>
          <w:sz w:val="20"/>
          <w:szCs w:val="20"/>
          <w:lang w:eastAsia="es-ES"/>
        </w:rPr>
        <w:t xml:space="preserve"> on February </w:t>
      </w:r>
      <w:r w:rsidR="009C4A37" w:rsidRPr="008A7BD7">
        <w:rPr>
          <w:rFonts w:ascii="Cambria" w:eastAsia="Times New Roman" w:hAnsi="Cambria" w:cs="Tahoma"/>
          <w:color w:val="000000"/>
          <w:sz w:val="20"/>
          <w:szCs w:val="20"/>
          <w:lang w:eastAsia="es-ES"/>
        </w:rPr>
        <w:t>27</w:t>
      </w:r>
      <w:r w:rsidR="001C0259"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 xml:space="preserve">2020. </w:t>
      </w:r>
      <w:r w:rsidR="001C0259" w:rsidRPr="008A7BD7">
        <w:rPr>
          <w:rFonts w:ascii="Cambria" w:eastAsia="Times New Roman" w:hAnsi="Cambria" w:cs="Tahoma"/>
          <w:color w:val="000000"/>
          <w:sz w:val="20"/>
          <w:szCs w:val="20"/>
          <w:lang w:eastAsia="es-ES"/>
        </w:rPr>
        <w:t xml:space="preserve">With that decision, the law entered into force on June 21, </w:t>
      </w:r>
      <w:r w:rsidR="009C4A37" w:rsidRPr="008A7BD7">
        <w:rPr>
          <w:rFonts w:ascii="Cambria" w:eastAsia="Times New Roman" w:hAnsi="Cambria" w:cs="Tahoma"/>
          <w:color w:val="000000"/>
          <w:sz w:val="20"/>
          <w:szCs w:val="20"/>
          <w:lang w:eastAsia="es-ES"/>
        </w:rPr>
        <w:t>2021</w:t>
      </w:r>
      <w:bookmarkEnd w:id="2"/>
      <w:r w:rsidR="001C0259"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vertAlign w:val="superscript"/>
          <w:lang w:val="es-419" w:eastAsia="es-ES"/>
        </w:rPr>
        <w:footnoteReference w:id="153"/>
      </w:r>
      <w:r w:rsidR="009C4A37" w:rsidRPr="008A7BD7">
        <w:rPr>
          <w:rFonts w:ascii="Cambria" w:eastAsia="Times New Roman" w:hAnsi="Cambria" w:cs="Tahoma"/>
          <w:color w:val="000000"/>
          <w:sz w:val="20"/>
          <w:szCs w:val="20"/>
          <w:lang w:eastAsia="es-ES"/>
        </w:rPr>
        <w:t xml:space="preserve"> </w:t>
      </w:r>
    </w:p>
    <w:p w14:paraId="741E1694"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0FEC60C9" w14:textId="7B336560" w:rsidR="009C4A37" w:rsidRPr="008A7BD7" w:rsidRDefault="00DD09D3" w:rsidP="003D3059">
      <w:pPr>
        <w:numPr>
          <w:ilvl w:val="0"/>
          <w:numId w:val="2"/>
        </w:numPr>
        <w:ind w:left="0" w:firstLine="720"/>
        <w:jc w:val="both"/>
        <w:rPr>
          <w:rFonts w:ascii="Cambria" w:eastAsia="Times New Roman" w:hAnsi="Cambria" w:cs="Tahoma"/>
          <w:color w:val="000000"/>
          <w:sz w:val="20"/>
          <w:szCs w:val="20"/>
          <w:lang w:eastAsia="es-ES_tradnl"/>
        </w:rPr>
      </w:pPr>
      <w:bookmarkStart w:id="3" w:name="_Hlk90747026"/>
      <w:r w:rsidRPr="008A7BD7">
        <w:rPr>
          <w:rFonts w:ascii="Cambria" w:eastAsia="Times New Roman" w:hAnsi="Cambria" w:cs="Tahoma"/>
          <w:color w:val="000000" w:themeColor="text1"/>
          <w:sz w:val="20"/>
          <w:szCs w:val="20"/>
          <w:lang w:eastAsia="es-ES"/>
        </w:rPr>
        <w:t xml:space="preserve">The IACHR observes that the law in question establishes a series of requirements </w:t>
      </w:r>
      <w:r w:rsidR="009C07EB" w:rsidRPr="008A7BD7">
        <w:rPr>
          <w:rFonts w:ascii="Cambria" w:eastAsia="Times New Roman" w:hAnsi="Cambria" w:cs="Tahoma"/>
          <w:color w:val="000000" w:themeColor="text1"/>
          <w:sz w:val="20"/>
          <w:szCs w:val="20"/>
          <w:lang w:eastAsia="es-ES"/>
        </w:rPr>
        <w:t>regarding</w:t>
      </w:r>
      <w:r w:rsidRPr="008A7BD7">
        <w:rPr>
          <w:rFonts w:ascii="Cambria" w:eastAsia="Times New Roman" w:hAnsi="Cambria" w:cs="Tahoma"/>
          <w:color w:val="000000" w:themeColor="text1"/>
          <w:sz w:val="20"/>
          <w:szCs w:val="20"/>
          <w:lang w:eastAsia="es-ES"/>
        </w:rPr>
        <w:t xml:space="preserve"> the establishment, registration, regulation, operation, and </w:t>
      </w:r>
      <w:r w:rsidR="004075D5" w:rsidRPr="008A7BD7">
        <w:rPr>
          <w:rFonts w:ascii="Cambria" w:eastAsia="Times New Roman" w:hAnsi="Cambria" w:cs="Tahoma"/>
          <w:color w:val="000000" w:themeColor="text1"/>
          <w:sz w:val="20"/>
          <w:szCs w:val="20"/>
          <w:lang w:eastAsia="es-ES"/>
        </w:rPr>
        <w:t>monitoring</w:t>
      </w:r>
      <w:r w:rsidRPr="008A7BD7">
        <w:rPr>
          <w:rFonts w:ascii="Cambria" w:eastAsia="Times New Roman" w:hAnsi="Cambria" w:cs="Tahoma"/>
          <w:color w:val="000000" w:themeColor="text1"/>
          <w:sz w:val="20"/>
          <w:szCs w:val="20"/>
          <w:lang w:eastAsia="es-ES"/>
        </w:rPr>
        <w:t xml:space="preserve"> of </w:t>
      </w:r>
      <w:r w:rsidR="004075D5" w:rsidRPr="008A7BD7">
        <w:rPr>
          <w:rFonts w:ascii="Cambria" w:eastAsia="Times New Roman" w:hAnsi="Cambria" w:cs="Tahoma"/>
          <w:color w:val="000000" w:themeColor="text1"/>
          <w:sz w:val="20"/>
          <w:szCs w:val="20"/>
          <w:lang w:eastAsia="es-ES"/>
        </w:rPr>
        <w:t>Guatemalan</w:t>
      </w:r>
      <w:r w:rsidRPr="008A7BD7">
        <w:rPr>
          <w:rFonts w:ascii="Cambria" w:eastAsia="Times New Roman" w:hAnsi="Cambria" w:cs="Tahoma"/>
          <w:color w:val="000000" w:themeColor="text1"/>
          <w:sz w:val="20"/>
          <w:szCs w:val="20"/>
          <w:lang w:eastAsia="es-ES"/>
        </w:rPr>
        <w:t xml:space="preserve"> and international NGOs</w:t>
      </w:r>
      <w:r w:rsidR="004075D5" w:rsidRPr="008A7BD7">
        <w:rPr>
          <w:rFonts w:ascii="Cambria" w:eastAsia="Times New Roman" w:hAnsi="Cambria" w:cs="Tahoma"/>
          <w:color w:val="000000" w:themeColor="text1"/>
          <w:sz w:val="20"/>
          <w:szCs w:val="20"/>
          <w:lang w:eastAsia="es-ES"/>
        </w:rPr>
        <w:t>. In addition to being</w:t>
      </w:r>
      <w:r w:rsidRPr="008A7BD7">
        <w:rPr>
          <w:rFonts w:ascii="Cambria" w:eastAsia="Times New Roman" w:hAnsi="Cambria" w:cs="Tahoma"/>
          <w:color w:val="000000" w:themeColor="text1"/>
          <w:sz w:val="20"/>
          <w:szCs w:val="20"/>
          <w:lang w:eastAsia="es-ES"/>
        </w:rPr>
        <w:t xml:space="preserve"> excessive and disproportionate</w:t>
      </w:r>
      <w:r w:rsidR="004075D5" w:rsidRPr="008A7BD7">
        <w:rPr>
          <w:rFonts w:ascii="Cambria" w:eastAsia="Times New Roman" w:hAnsi="Cambria" w:cs="Tahoma"/>
          <w:color w:val="000000" w:themeColor="text1"/>
          <w:sz w:val="20"/>
          <w:szCs w:val="20"/>
          <w:lang w:eastAsia="es-ES"/>
        </w:rPr>
        <w:t xml:space="preserve">, these requirements could be applied </w:t>
      </w:r>
      <w:r w:rsidRPr="008A7BD7">
        <w:rPr>
          <w:rFonts w:ascii="Cambria" w:eastAsia="Times New Roman" w:hAnsi="Cambria" w:cs="Tahoma"/>
          <w:color w:val="000000" w:themeColor="text1"/>
          <w:sz w:val="20"/>
          <w:szCs w:val="20"/>
          <w:lang w:eastAsia="es-ES"/>
        </w:rPr>
        <w:t xml:space="preserve">in a discretionary or arbitrary </w:t>
      </w:r>
      <w:r w:rsidR="004075D5" w:rsidRPr="008A7BD7">
        <w:rPr>
          <w:rFonts w:ascii="Cambria" w:eastAsia="Times New Roman" w:hAnsi="Cambria" w:cs="Tahoma"/>
          <w:color w:val="000000" w:themeColor="text1"/>
          <w:sz w:val="20"/>
          <w:szCs w:val="20"/>
          <w:lang w:eastAsia="es-ES"/>
        </w:rPr>
        <w:t>manner to the detriment of</w:t>
      </w:r>
      <w:r w:rsidRPr="008A7BD7">
        <w:rPr>
          <w:rFonts w:ascii="Cambria" w:eastAsia="Times New Roman" w:hAnsi="Cambria" w:cs="Tahoma"/>
          <w:color w:val="000000" w:themeColor="text1"/>
          <w:sz w:val="20"/>
          <w:szCs w:val="20"/>
          <w:lang w:eastAsia="es-ES"/>
        </w:rPr>
        <w:t xml:space="preserve"> </w:t>
      </w:r>
      <w:r w:rsidR="00A64596" w:rsidRPr="008A7BD7">
        <w:rPr>
          <w:rFonts w:ascii="Cambria" w:eastAsia="Times New Roman" w:hAnsi="Cambria" w:cs="Tahoma"/>
          <w:color w:val="000000" w:themeColor="text1"/>
          <w:sz w:val="20"/>
          <w:szCs w:val="20"/>
          <w:lang w:eastAsia="es-ES"/>
        </w:rPr>
        <w:t>civil society organizations in the country</w:t>
      </w:r>
      <w:r w:rsidR="009C4A37" w:rsidRPr="008A7BD7">
        <w:rPr>
          <w:rFonts w:ascii="Cambria" w:eastAsia="Times New Roman" w:hAnsi="Cambria" w:cs="Tahoma"/>
          <w:color w:val="000000"/>
          <w:sz w:val="20"/>
          <w:szCs w:val="20"/>
          <w:lang w:eastAsia="es-ES"/>
        </w:rPr>
        <w:t xml:space="preserve">. </w:t>
      </w:r>
      <w:r w:rsidR="00A64596" w:rsidRPr="008A7BD7">
        <w:rPr>
          <w:rFonts w:ascii="Cambria" w:eastAsia="Times New Roman" w:hAnsi="Cambria" w:cs="Tahoma"/>
          <w:color w:val="000000"/>
          <w:sz w:val="20"/>
          <w:szCs w:val="20"/>
          <w:lang w:eastAsia="es-ES"/>
        </w:rPr>
        <w:t xml:space="preserve">Moreover, the law </w:t>
      </w:r>
      <w:r w:rsidR="008736BF" w:rsidRPr="008A7BD7">
        <w:rPr>
          <w:rFonts w:ascii="Cambria" w:eastAsia="Times New Roman" w:hAnsi="Cambria" w:cs="Tahoma"/>
          <w:color w:val="000000"/>
          <w:sz w:val="20"/>
          <w:szCs w:val="20"/>
          <w:lang w:eastAsia="es-ES"/>
        </w:rPr>
        <w:t xml:space="preserve">establishes </w:t>
      </w:r>
      <w:r w:rsidR="00A64596" w:rsidRPr="008A7BD7">
        <w:rPr>
          <w:rFonts w:ascii="Cambria" w:eastAsia="Times New Roman" w:hAnsi="Cambria" w:cs="Tahoma"/>
          <w:color w:val="000000"/>
          <w:sz w:val="20"/>
          <w:szCs w:val="20"/>
          <w:lang w:eastAsia="es-ES"/>
        </w:rPr>
        <w:t>rigid</w:t>
      </w:r>
      <w:r w:rsidR="008736BF" w:rsidRPr="008A7BD7">
        <w:rPr>
          <w:rFonts w:ascii="Cambria" w:eastAsia="Times New Roman" w:hAnsi="Cambria" w:cs="Tahoma"/>
          <w:color w:val="000000"/>
          <w:sz w:val="20"/>
          <w:szCs w:val="20"/>
          <w:lang w:eastAsia="es-ES"/>
        </w:rPr>
        <w:t xml:space="preserve">, restrictive definitions of what </w:t>
      </w:r>
      <w:r w:rsidR="00A64596" w:rsidRPr="008A7BD7">
        <w:rPr>
          <w:rFonts w:ascii="Cambria" w:eastAsia="Times New Roman" w:hAnsi="Cambria" w:cs="Tahoma"/>
          <w:color w:val="000000"/>
          <w:sz w:val="20"/>
          <w:szCs w:val="20"/>
          <w:lang w:eastAsia="es-ES"/>
        </w:rPr>
        <w:t>constitutes an NGO and</w:t>
      </w:r>
      <w:r w:rsidR="009C4A37" w:rsidRPr="008A7BD7">
        <w:rPr>
          <w:rFonts w:ascii="Cambria" w:eastAsia="Times New Roman" w:hAnsi="Cambria" w:cs="Tahoma"/>
          <w:color w:val="000000"/>
          <w:sz w:val="20"/>
          <w:szCs w:val="20"/>
          <w:lang w:eastAsia="es-ES"/>
        </w:rPr>
        <w:t xml:space="preserve">, </w:t>
      </w:r>
      <w:r w:rsidR="00A64596" w:rsidRPr="008A7BD7">
        <w:rPr>
          <w:rFonts w:ascii="Cambria" w:eastAsia="Times New Roman" w:hAnsi="Cambria" w:cs="Tahoma"/>
          <w:color w:val="000000"/>
          <w:sz w:val="20"/>
          <w:szCs w:val="20"/>
          <w:lang w:eastAsia="es-ES"/>
        </w:rPr>
        <w:t xml:space="preserve">using vague and ambiguous criteria, restricts access to foreign </w:t>
      </w:r>
      <w:r w:rsidR="00910C76" w:rsidRPr="008A7BD7">
        <w:rPr>
          <w:rFonts w:ascii="Cambria" w:eastAsia="Times New Roman" w:hAnsi="Cambria" w:cs="Tahoma"/>
          <w:color w:val="000000"/>
          <w:sz w:val="20"/>
          <w:szCs w:val="20"/>
          <w:lang w:eastAsia="es-ES"/>
        </w:rPr>
        <w:t>funding</w:t>
      </w:r>
      <w:r w:rsidR="00A64596" w:rsidRPr="008A7BD7">
        <w:rPr>
          <w:rFonts w:ascii="Cambria" w:eastAsia="Times New Roman" w:hAnsi="Cambria" w:cs="Tahoma"/>
          <w:color w:val="000000"/>
          <w:sz w:val="20"/>
          <w:szCs w:val="20"/>
          <w:lang w:eastAsia="es-ES"/>
        </w:rPr>
        <w:t xml:space="preserve"> </w:t>
      </w:r>
      <w:r w:rsidR="00910C76" w:rsidRPr="008A7BD7">
        <w:rPr>
          <w:rFonts w:ascii="Cambria" w:eastAsia="Times New Roman" w:hAnsi="Cambria" w:cs="Tahoma"/>
          <w:color w:val="000000"/>
          <w:sz w:val="20"/>
          <w:szCs w:val="20"/>
          <w:lang w:eastAsia="es-ES"/>
        </w:rPr>
        <w:t>on grounds</w:t>
      </w:r>
      <w:r w:rsidR="00A64596" w:rsidRPr="008A7BD7">
        <w:rPr>
          <w:rFonts w:ascii="Cambria" w:eastAsia="Times New Roman" w:hAnsi="Cambria" w:cs="Tahoma"/>
          <w:color w:val="000000"/>
          <w:sz w:val="20"/>
          <w:szCs w:val="20"/>
          <w:lang w:eastAsia="es-ES"/>
        </w:rPr>
        <w:t xml:space="preserve"> of “public order” </w:t>
      </w:r>
      <w:r w:rsidR="00910C76" w:rsidRPr="008A7BD7">
        <w:rPr>
          <w:rFonts w:ascii="Cambria" w:eastAsia="Times New Roman" w:hAnsi="Cambria" w:cs="Tahoma"/>
          <w:color w:val="000000"/>
          <w:sz w:val="20"/>
          <w:szCs w:val="20"/>
          <w:lang w:eastAsia="es-ES"/>
        </w:rPr>
        <w:t>by imposing</w:t>
      </w:r>
      <w:r w:rsidR="00847011" w:rsidRPr="008A7BD7">
        <w:rPr>
          <w:rFonts w:ascii="Cambria" w:eastAsia="Times New Roman" w:hAnsi="Cambria" w:cs="Tahoma"/>
          <w:color w:val="000000"/>
          <w:sz w:val="20"/>
          <w:szCs w:val="20"/>
          <w:lang w:eastAsia="es-ES"/>
        </w:rPr>
        <w:t xml:space="preserve"> </w:t>
      </w:r>
      <w:r w:rsidR="00A64596" w:rsidRPr="008A7BD7">
        <w:rPr>
          <w:rFonts w:ascii="Cambria" w:eastAsia="Times New Roman" w:hAnsi="Cambria" w:cs="Tahoma"/>
          <w:color w:val="000000"/>
          <w:sz w:val="20"/>
          <w:szCs w:val="20"/>
          <w:lang w:eastAsia="es-ES"/>
        </w:rPr>
        <w:t xml:space="preserve">sanctions, </w:t>
      </w:r>
      <w:r w:rsidR="00910C76" w:rsidRPr="008A7BD7">
        <w:rPr>
          <w:rFonts w:ascii="Cambria" w:eastAsia="Times New Roman" w:hAnsi="Cambria" w:cs="Tahoma"/>
          <w:color w:val="000000"/>
          <w:sz w:val="20"/>
          <w:szCs w:val="20"/>
          <w:lang w:eastAsia="es-ES"/>
        </w:rPr>
        <w:t xml:space="preserve">canceling permits, and initiating </w:t>
      </w:r>
      <w:r w:rsidR="00A64596" w:rsidRPr="008A7BD7">
        <w:rPr>
          <w:rFonts w:ascii="Cambria" w:eastAsia="Times New Roman" w:hAnsi="Cambria" w:cs="Tahoma"/>
          <w:color w:val="000000"/>
          <w:sz w:val="20"/>
          <w:szCs w:val="20"/>
          <w:lang w:eastAsia="es-ES"/>
        </w:rPr>
        <w:t xml:space="preserve">criminal </w:t>
      </w:r>
      <w:r w:rsidR="00910C76" w:rsidRPr="008A7BD7">
        <w:rPr>
          <w:rFonts w:ascii="Cambria" w:eastAsia="Times New Roman" w:hAnsi="Cambria" w:cs="Tahoma"/>
          <w:color w:val="000000"/>
          <w:sz w:val="20"/>
          <w:szCs w:val="20"/>
          <w:lang w:eastAsia="es-ES"/>
        </w:rPr>
        <w:t>proceedings</w:t>
      </w:r>
      <w:r w:rsidR="00A64596" w:rsidRPr="008A7BD7">
        <w:rPr>
          <w:rFonts w:ascii="Cambria" w:eastAsia="Times New Roman" w:hAnsi="Cambria" w:cs="Tahoma"/>
          <w:color w:val="000000"/>
          <w:sz w:val="20"/>
          <w:szCs w:val="20"/>
          <w:lang w:eastAsia="es-ES"/>
        </w:rPr>
        <w:t>.</w:t>
      </w:r>
      <w:r w:rsidR="00847011" w:rsidRPr="008A7BD7">
        <w:rPr>
          <w:rFonts w:ascii="Cambria" w:eastAsia="Times New Roman" w:hAnsi="Cambria" w:cs="Tahoma"/>
          <w:color w:val="000000"/>
          <w:sz w:val="20"/>
          <w:szCs w:val="20"/>
          <w:lang w:eastAsia="es-ES"/>
        </w:rPr>
        <w:t xml:space="preserve"> </w:t>
      </w:r>
      <w:r w:rsidR="00A64596" w:rsidRPr="008A7BD7">
        <w:rPr>
          <w:rFonts w:ascii="Cambria" w:eastAsia="Times New Roman" w:hAnsi="Cambria" w:cs="Tahoma"/>
          <w:color w:val="000000"/>
          <w:sz w:val="20"/>
          <w:szCs w:val="20"/>
          <w:lang w:eastAsia="es-ES"/>
        </w:rPr>
        <w:t xml:space="preserve">The IACHR also </w:t>
      </w:r>
      <w:r w:rsidR="009C07EB" w:rsidRPr="008A7BD7">
        <w:rPr>
          <w:rFonts w:ascii="Cambria" w:eastAsia="Times New Roman" w:hAnsi="Cambria" w:cs="Tahoma"/>
          <w:color w:val="000000"/>
          <w:sz w:val="20"/>
          <w:szCs w:val="20"/>
          <w:lang w:eastAsia="es-ES"/>
        </w:rPr>
        <w:t>note</w:t>
      </w:r>
      <w:r w:rsidR="00F4575B" w:rsidRPr="008A7BD7">
        <w:rPr>
          <w:rFonts w:ascii="Cambria" w:eastAsia="Times New Roman" w:hAnsi="Cambria" w:cs="Tahoma"/>
          <w:color w:val="000000"/>
          <w:sz w:val="20"/>
          <w:szCs w:val="20"/>
          <w:lang w:eastAsia="es-ES"/>
        </w:rPr>
        <w:t>s</w:t>
      </w:r>
      <w:r w:rsidR="009C07EB" w:rsidRPr="008A7BD7">
        <w:rPr>
          <w:rFonts w:ascii="Cambria" w:eastAsia="Times New Roman" w:hAnsi="Cambria" w:cs="Tahoma"/>
          <w:color w:val="000000"/>
          <w:sz w:val="20"/>
          <w:szCs w:val="20"/>
          <w:lang w:eastAsia="es-ES"/>
        </w:rPr>
        <w:t xml:space="preserve"> with </w:t>
      </w:r>
      <w:r w:rsidR="00A64596" w:rsidRPr="008A7BD7">
        <w:rPr>
          <w:rFonts w:ascii="Cambria" w:eastAsia="Times New Roman" w:hAnsi="Cambria" w:cs="Tahoma"/>
          <w:color w:val="000000"/>
          <w:sz w:val="20"/>
          <w:szCs w:val="20"/>
          <w:lang w:eastAsia="es-ES"/>
        </w:rPr>
        <w:t>concern</w:t>
      </w:r>
      <w:r w:rsidR="009C07EB" w:rsidRPr="008A7BD7">
        <w:rPr>
          <w:rFonts w:ascii="Cambria" w:eastAsia="Times New Roman" w:hAnsi="Cambria" w:cs="Tahoma"/>
          <w:color w:val="000000"/>
          <w:sz w:val="20"/>
          <w:szCs w:val="20"/>
          <w:lang w:eastAsia="es-ES"/>
        </w:rPr>
        <w:t xml:space="preserve"> </w:t>
      </w:r>
      <w:r w:rsidR="00A64596" w:rsidRPr="008A7BD7">
        <w:rPr>
          <w:rFonts w:ascii="Cambria" w:eastAsia="Times New Roman" w:hAnsi="Cambria" w:cs="Tahoma"/>
          <w:color w:val="000000"/>
          <w:sz w:val="20"/>
          <w:szCs w:val="20"/>
          <w:lang w:eastAsia="es-ES"/>
        </w:rPr>
        <w:t xml:space="preserve">that Decree </w:t>
      </w:r>
      <w:r w:rsidR="009C4A37" w:rsidRPr="008A7BD7">
        <w:rPr>
          <w:rFonts w:ascii="Cambria" w:eastAsia="Times New Roman" w:hAnsi="Cambria" w:cs="Tahoma"/>
          <w:color w:val="000000"/>
          <w:sz w:val="20"/>
          <w:szCs w:val="20"/>
          <w:lang w:eastAsia="es-ES"/>
        </w:rPr>
        <w:t xml:space="preserve">4-2020 </w:t>
      </w:r>
      <w:r w:rsidR="00A64596" w:rsidRPr="008A7BD7">
        <w:rPr>
          <w:rFonts w:ascii="Cambria" w:eastAsia="Times New Roman" w:hAnsi="Cambria" w:cs="Tahoma"/>
          <w:color w:val="000000"/>
          <w:sz w:val="20"/>
          <w:szCs w:val="20"/>
          <w:lang w:eastAsia="es-ES"/>
        </w:rPr>
        <w:t xml:space="preserve">would </w:t>
      </w:r>
      <w:r w:rsidR="004525F2" w:rsidRPr="008A7BD7">
        <w:rPr>
          <w:rFonts w:ascii="Cambria" w:eastAsia="Times New Roman" w:hAnsi="Cambria" w:cs="Tahoma"/>
          <w:color w:val="000000"/>
          <w:sz w:val="20"/>
          <w:szCs w:val="20"/>
          <w:lang w:eastAsia="es-ES"/>
        </w:rPr>
        <w:t>amend</w:t>
      </w:r>
      <w:r w:rsidR="00A64596" w:rsidRPr="008A7BD7">
        <w:rPr>
          <w:rFonts w:ascii="Cambria" w:eastAsia="Times New Roman" w:hAnsi="Cambria" w:cs="Tahoma"/>
          <w:color w:val="000000"/>
          <w:sz w:val="20"/>
          <w:szCs w:val="20"/>
          <w:lang w:eastAsia="es-ES"/>
        </w:rPr>
        <w:t xml:space="preserve"> the Civil Code</w:t>
      </w:r>
      <w:r w:rsidR="000F10E2" w:rsidRPr="008A7BD7">
        <w:rPr>
          <w:rFonts w:ascii="Cambria" w:eastAsia="Times New Roman" w:hAnsi="Cambria" w:cs="Tahoma"/>
          <w:color w:val="000000" w:themeColor="text1"/>
          <w:sz w:val="20"/>
          <w:szCs w:val="20"/>
          <w:lang w:eastAsia="es-ES"/>
        </w:rPr>
        <w:t xml:space="preserve"> of Guatemala</w:t>
      </w:r>
      <w:r w:rsidR="00910C76" w:rsidRPr="008A7BD7">
        <w:rPr>
          <w:rFonts w:ascii="Cambria" w:eastAsia="Times New Roman" w:hAnsi="Cambria" w:cs="Tahoma"/>
          <w:color w:val="000000"/>
          <w:sz w:val="20"/>
          <w:szCs w:val="20"/>
          <w:lang w:eastAsia="es-ES"/>
        </w:rPr>
        <w:t xml:space="preserve"> to give the executive branch </w:t>
      </w:r>
      <w:r w:rsidR="00A64596" w:rsidRPr="008A7BD7">
        <w:rPr>
          <w:rFonts w:ascii="Cambria" w:eastAsia="Times New Roman" w:hAnsi="Cambria" w:cs="Tahoma"/>
          <w:color w:val="000000"/>
          <w:sz w:val="20"/>
          <w:szCs w:val="20"/>
          <w:lang w:eastAsia="es-ES"/>
        </w:rPr>
        <w:t>discretionary powers related to</w:t>
      </w:r>
      <w:r w:rsidR="00847011" w:rsidRPr="008A7BD7">
        <w:rPr>
          <w:rFonts w:ascii="Cambria" w:eastAsia="Times New Roman" w:hAnsi="Cambria" w:cs="Tahoma"/>
          <w:color w:val="000000"/>
          <w:sz w:val="20"/>
          <w:szCs w:val="20"/>
          <w:lang w:eastAsia="es-ES"/>
        </w:rPr>
        <w:t xml:space="preserve"> </w:t>
      </w:r>
      <w:r w:rsidR="00910C76" w:rsidRPr="008A7BD7">
        <w:rPr>
          <w:rFonts w:ascii="Cambria" w:eastAsia="Times New Roman" w:hAnsi="Cambria" w:cs="Tahoma"/>
          <w:color w:val="000000"/>
          <w:sz w:val="20"/>
          <w:szCs w:val="20"/>
          <w:lang w:eastAsia="es-ES"/>
        </w:rPr>
        <w:t xml:space="preserve">the supervision and </w:t>
      </w:r>
      <w:r w:rsidR="00A64596" w:rsidRPr="008A7BD7">
        <w:rPr>
          <w:rFonts w:ascii="Cambria" w:eastAsia="Times New Roman" w:hAnsi="Cambria" w:cs="Tahoma"/>
          <w:color w:val="000000"/>
          <w:sz w:val="20"/>
          <w:szCs w:val="20"/>
          <w:lang w:eastAsia="es-ES"/>
        </w:rPr>
        <w:t xml:space="preserve">monitoring </w:t>
      </w:r>
      <w:r w:rsidR="00910C76" w:rsidRPr="008A7BD7">
        <w:rPr>
          <w:rFonts w:ascii="Cambria" w:eastAsia="Times New Roman" w:hAnsi="Cambria" w:cs="Tahoma"/>
          <w:color w:val="000000"/>
          <w:sz w:val="20"/>
          <w:szCs w:val="20"/>
          <w:lang w:eastAsia="es-ES"/>
        </w:rPr>
        <w:t>of NGO</w:t>
      </w:r>
      <w:r w:rsidR="00847011" w:rsidRPr="008A7BD7">
        <w:rPr>
          <w:rFonts w:ascii="Cambria" w:eastAsia="Times New Roman" w:hAnsi="Cambria" w:cs="Tahoma"/>
          <w:color w:val="000000"/>
          <w:sz w:val="20"/>
          <w:szCs w:val="20"/>
          <w:lang w:eastAsia="es-ES"/>
        </w:rPr>
        <w:t xml:space="preserve"> </w:t>
      </w:r>
      <w:r w:rsidR="00DF5BF1" w:rsidRPr="008A7BD7">
        <w:rPr>
          <w:rFonts w:ascii="Cambria" w:eastAsia="Times New Roman" w:hAnsi="Cambria" w:cs="Tahoma"/>
          <w:color w:val="000000"/>
          <w:sz w:val="20"/>
          <w:szCs w:val="20"/>
          <w:lang w:eastAsia="es-ES"/>
        </w:rPr>
        <w:t>activities</w:t>
      </w:r>
      <w:r w:rsidR="00847011" w:rsidRPr="008A7BD7">
        <w:rPr>
          <w:rFonts w:ascii="Cambria" w:eastAsia="Times New Roman" w:hAnsi="Cambria" w:cs="Tahoma"/>
          <w:color w:val="000000"/>
          <w:sz w:val="20"/>
          <w:szCs w:val="20"/>
          <w:lang w:eastAsia="es-ES"/>
        </w:rPr>
        <w:t xml:space="preserve">, including the power to dissolve </w:t>
      </w:r>
      <w:r w:rsidR="00910C76" w:rsidRPr="008A7BD7">
        <w:rPr>
          <w:rFonts w:ascii="Cambria" w:eastAsia="Times New Roman" w:hAnsi="Cambria" w:cs="Tahoma"/>
          <w:color w:val="000000"/>
          <w:sz w:val="20"/>
          <w:szCs w:val="20"/>
          <w:lang w:eastAsia="es-ES"/>
        </w:rPr>
        <w:t xml:space="preserve">such organizations on grounds </w:t>
      </w:r>
      <w:r w:rsidR="00847011" w:rsidRPr="008A7BD7">
        <w:rPr>
          <w:rFonts w:ascii="Cambria" w:eastAsia="Times New Roman" w:hAnsi="Cambria" w:cs="Tahoma"/>
          <w:color w:val="000000"/>
          <w:sz w:val="20"/>
          <w:szCs w:val="20"/>
          <w:lang w:eastAsia="es-ES"/>
        </w:rPr>
        <w:t>of “public order.</w:t>
      </w:r>
      <w:r w:rsidR="009C4A37"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vertAlign w:val="superscript"/>
          <w:lang w:val="es-419" w:eastAsia="es-ES"/>
        </w:rPr>
        <w:footnoteReference w:id="154"/>
      </w:r>
      <w:r w:rsidR="009C4A37" w:rsidRPr="008A7BD7">
        <w:rPr>
          <w:rFonts w:ascii="Cambria" w:eastAsia="Times New Roman" w:hAnsi="Cambria" w:cs="Tahoma"/>
          <w:color w:val="000000"/>
          <w:sz w:val="20"/>
          <w:szCs w:val="20"/>
          <w:lang w:eastAsia="es-ES"/>
        </w:rPr>
        <w:t xml:space="preserve"> </w:t>
      </w:r>
    </w:p>
    <w:p w14:paraId="09FC9355" w14:textId="77777777" w:rsidR="00F97F2A" w:rsidRPr="008A7BD7" w:rsidRDefault="00F97F2A" w:rsidP="00F97F2A">
      <w:pPr>
        <w:pStyle w:val="ListParagraph"/>
        <w:rPr>
          <w:rFonts w:ascii="Cambria" w:eastAsia="Times New Roman" w:hAnsi="Cambria" w:cs="Tahoma"/>
          <w:color w:val="000000"/>
          <w:sz w:val="20"/>
          <w:szCs w:val="20"/>
          <w:lang w:eastAsia="es-ES_tradnl"/>
        </w:rPr>
      </w:pPr>
    </w:p>
    <w:p w14:paraId="7DC50277" w14:textId="7D745CAB" w:rsidR="00F97F2A" w:rsidRPr="008A7BD7" w:rsidRDefault="00F51882" w:rsidP="00F97F2A">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_tradnl"/>
        </w:rPr>
        <w:t xml:space="preserve">In that regard, in its response to the draft report, the Guatemalan State indicated that “the content of Decree </w:t>
      </w:r>
      <w:r w:rsidR="00F97F2A" w:rsidRPr="008A7BD7">
        <w:rPr>
          <w:rFonts w:ascii="Cambria" w:eastAsia="Times New Roman" w:hAnsi="Cambria" w:cs="Tahoma"/>
          <w:color w:val="000000"/>
          <w:sz w:val="20"/>
          <w:szCs w:val="20"/>
          <w:lang w:eastAsia="es-ES_tradnl"/>
        </w:rPr>
        <w:t xml:space="preserve">4-2020 </w:t>
      </w:r>
      <w:r w:rsidRPr="008A7BD7">
        <w:rPr>
          <w:rFonts w:ascii="Cambria" w:eastAsia="Times New Roman" w:hAnsi="Cambria" w:cs="Tahoma"/>
          <w:color w:val="000000"/>
          <w:sz w:val="20"/>
          <w:szCs w:val="20"/>
          <w:lang w:eastAsia="es-ES_tradnl"/>
        </w:rPr>
        <w:t xml:space="preserve">of the Congress of the Republic seeks to strengthen the development of </w:t>
      </w:r>
      <w:r w:rsidR="00F97F2A" w:rsidRPr="008A7BD7">
        <w:rPr>
          <w:rFonts w:ascii="Cambria" w:eastAsia="Times New Roman" w:hAnsi="Cambria" w:cs="Tahoma"/>
          <w:color w:val="000000"/>
          <w:sz w:val="20"/>
          <w:szCs w:val="20"/>
          <w:lang w:eastAsia="es-ES_tradnl"/>
        </w:rPr>
        <w:t>Guatemala</w:t>
      </w:r>
      <w:r w:rsidR="00F31820" w:rsidRPr="008A7BD7">
        <w:rPr>
          <w:rFonts w:ascii="Cambria" w:eastAsia="Times New Roman" w:hAnsi="Cambria" w:cs="Tahoma"/>
          <w:color w:val="000000"/>
          <w:sz w:val="20"/>
          <w:szCs w:val="20"/>
          <w:lang w:eastAsia="es-ES_tradnl"/>
        </w:rPr>
        <w:t xml:space="preserve"> by</w:t>
      </w:r>
      <w:r w:rsidRPr="008A7BD7">
        <w:rPr>
          <w:rFonts w:ascii="Cambria" w:eastAsia="Times New Roman" w:hAnsi="Cambria" w:cs="Tahoma"/>
          <w:color w:val="000000"/>
          <w:sz w:val="20"/>
          <w:szCs w:val="20"/>
          <w:lang w:eastAsia="es-ES_tradnl"/>
        </w:rPr>
        <w:t xml:space="preserve"> establishing mechanisms that allow for transparency of action </w:t>
      </w:r>
      <w:r w:rsidR="009E7689" w:rsidRPr="008A7BD7">
        <w:rPr>
          <w:rFonts w:ascii="Cambria" w:eastAsia="Times New Roman" w:hAnsi="Cambria" w:cs="Tahoma"/>
          <w:color w:val="000000"/>
          <w:sz w:val="20"/>
          <w:szCs w:val="20"/>
          <w:lang w:eastAsia="es-ES_tradnl"/>
        </w:rPr>
        <w:t>by</w:t>
      </w:r>
      <w:r w:rsidRPr="008A7BD7">
        <w:rPr>
          <w:rFonts w:ascii="Cambria" w:eastAsia="Times New Roman" w:hAnsi="Cambria" w:cs="Tahoma"/>
          <w:color w:val="000000"/>
          <w:sz w:val="20"/>
          <w:szCs w:val="20"/>
          <w:lang w:eastAsia="es-ES_tradnl"/>
        </w:rPr>
        <w:t xml:space="preserve"> the nongovernmental organizations operating in</w:t>
      </w:r>
      <w:r w:rsidR="00F97F2A" w:rsidRPr="008A7BD7">
        <w:rPr>
          <w:rFonts w:ascii="Cambria" w:eastAsia="Times New Roman" w:hAnsi="Cambria" w:cs="Tahoma"/>
          <w:color w:val="000000"/>
          <w:sz w:val="20"/>
          <w:szCs w:val="20"/>
          <w:lang w:eastAsia="es-ES_tradnl"/>
        </w:rPr>
        <w:t xml:space="preserve"> Guatemala</w:t>
      </w:r>
      <w:r w:rsidR="00D15054" w:rsidRPr="008A7BD7">
        <w:rPr>
          <w:rFonts w:ascii="Cambria" w:eastAsia="Times New Roman" w:hAnsi="Cambria" w:cs="Tahoma"/>
          <w:color w:val="000000"/>
          <w:sz w:val="20"/>
          <w:szCs w:val="20"/>
          <w:lang w:eastAsia="es-ES_tradnl"/>
        </w:rPr>
        <w:t>. This in no way restricts</w:t>
      </w:r>
      <w:r w:rsidR="00C767A4" w:rsidRPr="008A7BD7">
        <w:rPr>
          <w:rFonts w:ascii="Cambria" w:eastAsia="Times New Roman" w:hAnsi="Cambria" w:cs="Tahoma"/>
          <w:color w:val="000000"/>
          <w:sz w:val="20"/>
          <w:szCs w:val="20"/>
          <w:lang w:eastAsia="es-ES_tradnl"/>
        </w:rPr>
        <w:t xml:space="preserve"> the rights of association and freedom of expression, nor does it disproportionately hinder Guatemalans’ public participation and defense of human rights or the performance of the activities of the NGOs.”</w:t>
      </w:r>
      <w:r w:rsidR="00F97F2A" w:rsidRPr="008A7BD7">
        <w:rPr>
          <w:rStyle w:val="FootnoteReference"/>
          <w:rFonts w:ascii="Cambria" w:eastAsia="Montserrat" w:hAnsi="Cambria" w:cs="Montserrat"/>
          <w:sz w:val="20"/>
          <w:szCs w:val="20"/>
          <w:lang w:val="es-US"/>
        </w:rPr>
        <w:footnoteReference w:id="155"/>
      </w:r>
    </w:p>
    <w:p w14:paraId="6CA05297" w14:textId="77777777" w:rsidR="009C4A37" w:rsidRPr="008A7BD7" w:rsidRDefault="009C4A37" w:rsidP="009C4A37">
      <w:pPr>
        <w:ind w:left="720"/>
        <w:jc w:val="both"/>
        <w:rPr>
          <w:rFonts w:ascii="Cambria" w:eastAsia="Times New Roman" w:hAnsi="Cambria" w:cs="Tahoma"/>
          <w:color w:val="000000"/>
          <w:sz w:val="20"/>
          <w:szCs w:val="20"/>
          <w:lang w:eastAsia="es-ES_tradnl"/>
        </w:rPr>
      </w:pPr>
    </w:p>
    <w:bookmarkEnd w:id="3"/>
    <w:p w14:paraId="77548F30" w14:textId="637033E7" w:rsidR="009C4A37" w:rsidRPr="008A7BD7" w:rsidRDefault="007814CA"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Meanwhile</w:t>
      </w:r>
      <w:r w:rsidR="00DF5BF1" w:rsidRPr="008A7BD7">
        <w:rPr>
          <w:rFonts w:ascii="Cambria" w:eastAsia="Times New Roman" w:hAnsi="Cambria" w:cs="Tahoma"/>
          <w:color w:val="000000"/>
          <w:sz w:val="20"/>
          <w:szCs w:val="20"/>
          <w:lang w:eastAsia="es-ES"/>
        </w:rPr>
        <w:t xml:space="preserve">, in the context of </w:t>
      </w:r>
      <w:proofErr w:type="gramStart"/>
      <w:r w:rsidR="00DF5BF1" w:rsidRPr="008A7BD7">
        <w:rPr>
          <w:rFonts w:ascii="Cambria" w:eastAsia="Times New Roman" w:hAnsi="Cambria" w:cs="Tahoma"/>
          <w:color w:val="000000"/>
          <w:sz w:val="20"/>
          <w:szCs w:val="20"/>
          <w:lang w:eastAsia="es-ES"/>
        </w:rPr>
        <w:t>protests against</w:t>
      </w:r>
      <w:proofErr w:type="gramEnd"/>
      <w:r w:rsidR="00DF5BF1" w:rsidRPr="008A7BD7">
        <w:rPr>
          <w:rFonts w:ascii="Cambria" w:eastAsia="Times New Roman" w:hAnsi="Cambria" w:cs="Tahoma"/>
          <w:color w:val="000000"/>
          <w:sz w:val="20"/>
          <w:szCs w:val="20"/>
          <w:lang w:eastAsia="es-ES"/>
        </w:rPr>
        <w:t xml:space="preserve"> the President of the Republic, the leader and his Council of Ministers approved Decree</w:t>
      </w:r>
      <w:r w:rsidR="009C4A37" w:rsidRPr="008A7BD7">
        <w:rPr>
          <w:rFonts w:ascii="Cambria" w:eastAsia="Times New Roman" w:hAnsi="Cambria" w:cs="Tahoma"/>
          <w:color w:val="000000"/>
          <w:sz w:val="20"/>
          <w:szCs w:val="20"/>
          <w:lang w:eastAsia="es-ES"/>
        </w:rPr>
        <w:t xml:space="preserve"> 5-2021</w:t>
      </w:r>
      <w:r w:rsidR="00DF5BF1" w:rsidRPr="008A7BD7">
        <w:rPr>
          <w:rFonts w:ascii="Cambria" w:eastAsia="Times New Roman" w:hAnsi="Cambria" w:cs="Tahoma"/>
          <w:color w:val="000000"/>
          <w:sz w:val="20"/>
          <w:szCs w:val="20"/>
          <w:lang w:eastAsia="es-ES"/>
        </w:rPr>
        <w:t xml:space="preserve"> on August 13, 2021</w:t>
      </w:r>
      <w:r w:rsidR="009C4A37" w:rsidRPr="008A7BD7">
        <w:rPr>
          <w:rFonts w:ascii="Cambria" w:eastAsia="Times New Roman" w:hAnsi="Cambria" w:cs="Tahoma"/>
          <w:color w:val="000000"/>
          <w:sz w:val="20"/>
          <w:szCs w:val="20"/>
          <w:lang w:eastAsia="es-ES"/>
        </w:rPr>
        <w:t xml:space="preserve">, </w:t>
      </w:r>
      <w:r w:rsidR="00DF5BF1" w:rsidRPr="008A7BD7">
        <w:rPr>
          <w:rFonts w:ascii="Cambria" w:eastAsia="Times New Roman" w:hAnsi="Cambria" w:cs="Tahoma"/>
          <w:color w:val="000000"/>
          <w:sz w:val="20"/>
          <w:szCs w:val="20"/>
          <w:lang w:eastAsia="es-ES"/>
        </w:rPr>
        <w:t xml:space="preserve">to take effect on August </w:t>
      </w:r>
      <w:r w:rsidR="009C4A37" w:rsidRPr="008A7BD7">
        <w:rPr>
          <w:rFonts w:ascii="Cambria" w:eastAsia="Times New Roman" w:hAnsi="Cambria" w:cs="Tahoma"/>
          <w:color w:val="000000"/>
          <w:sz w:val="20"/>
          <w:szCs w:val="20"/>
          <w:lang w:eastAsia="es-ES"/>
        </w:rPr>
        <w:t>14</w:t>
      </w:r>
      <w:r w:rsidR="00DF5BF1" w:rsidRPr="008A7BD7">
        <w:rPr>
          <w:rFonts w:ascii="Cambria" w:eastAsia="Times New Roman" w:hAnsi="Cambria" w:cs="Tahoma"/>
          <w:color w:val="000000"/>
          <w:sz w:val="20"/>
          <w:szCs w:val="20"/>
          <w:lang w:eastAsia="es-ES"/>
        </w:rPr>
        <w:t>, which established a “state of prevention” for 15 days to combat the COVID-19 pandemic.</w:t>
      </w:r>
      <w:r w:rsidR="009C4A37" w:rsidRPr="008A7BD7">
        <w:rPr>
          <w:rFonts w:ascii="Cambria" w:eastAsia="Times New Roman" w:hAnsi="Cambria" w:cs="Tahoma"/>
          <w:color w:val="000000"/>
          <w:sz w:val="20"/>
          <w:szCs w:val="20"/>
          <w:vertAlign w:val="superscript"/>
          <w:lang w:val="es-419" w:eastAsia="es-ES"/>
        </w:rPr>
        <w:footnoteReference w:id="156"/>
      </w:r>
      <w:r w:rsidR="009C4A37" w:rsidRPr="008A7BD7">
        <w:rPr>
          <w:rFonts w:ascii="Cambria" w:eastAsia="Times New Roman" w:hAnsi="Cambria" w:cs="Tahoma"/>
          <w:color w:val="000000"/>
          <w:sz w:val="20"/>
          <w:szCs w:val="20"/>
          <w:lang w:eastAsia="es-ES"/>
        </w:rPr>
        <w:t xml:space="preserve"> </w:t>
      </w:r>
      <w:r w:rsidR="00DF5BF1" w:rsidRPr="008A7BD7">
        <w:rPr>
          <w:rFonts w:ascii="Cambria" w:eastAsia="Times New Roman" w:hAnsi="Cambria" w:cs="Tahoma"/>
          <w:color w:val="000000" w:themeColor="text1"/>
          <w:sz w:val="20"/>
          <w:szCs w:val="20"/>
          <w:lang w:eastAsia="es-ES"/>
        </w:rPr>
        <w:t>The IACHR also takes note with concern of the impact</w:t>
      </w:r>
      <w:r w:rsidR="003C4B8B" w:rsidRPr="008A7BD7">
        <w:rPr>
          <w:rFonts w:ascii="Cambria" w:eastAsia="Times New Roman" w:hAnsi="Cambria" w:cs="Tahoma"/>
          <w:color w:val="000000" w:themeColor="text1"/>
          <w:sz w:val="20"/>
          <w:szCs w:val="20"/>
          <w:lang w:eastAsia="es-ES"/>
        </w:rPr>
        <w:t>s</w:t>
      </w:r>
      <w:r w:rsidR="00DF5BF1" w:rsidRPr="008A7BD7">
        <w:rPr>
          <w:rFonts w:ascii="Cambria" w:eastAsia="Times New Roman" w:hAnsi="Cambria" w:cs="Tahoma"/>
          <w:color w:val="000000" w:themeColor="text1"/>
          <w:sz w:val="20"/>
          <w:szCs w:val="20"/>
          <w:lang w:eastAsia="es-ES"/>
        </w:rPr>
        <w:t xml:space="preserve"> the measures may have produced in terms of the exercise of citizens’ freedom of expression</w:t>
      </w:r>
      <w:r w:rsidR="009C4A37" w:rsidRPr="008A7BD7">
        <w:rPr>
          <w:rFonts w:ascii="Cambria" w:eastAsia="Times New Roman" w:hAnsi="Cambria" w:cs="Tahoma"/>
          <w:color w:val="000000"/>
          <w:sz w:val="20"/>
          <w:szCs w:val="20"/>
          <w:lang w:eastAsia="es-ES"/>
        </w:rPr>
        <w:t xml:space="preserve">. </w:t>
      </w:r>
      <w:r w:rsidR="00DF5BF1" w:rsidRPr="008A7BD7">
        <w:rPr>
          <w:rFonts w:ascii="Cambria" w:eastAsia="Times New Roman" w:hAnsi="Cambria" w:cs="Tahoma"/>
          <w:color w:val="000000"/>
          <w:sz w:val="20"/>
          <w:szCs w:val="20"/>
          <w:lang w:eastAsia="es-ES"/>
        </w:rPr>
        <w:t xml:space="preserve">Among the </w:t>
      </w:r>
      <w:r w:rsidR="003C4B8B" w:rsidRPr="008A7BD7">
        <w:rPr>
          <w:rFonts w:ascii="Cambria" w:eastAsia="Times New Roman" w:hAnsi="Cambria" w:cs="Tahoma"/>
          <w:color w:val="000000"/>
          <w:sz w:val="20"/>
          <w:szCs w:val="20"/>
          <w:lang w:eastAsia="es-ES"/>
        </w:rPr>
        <w:t>special</w:t>
      </w:r>
      <w:r w:rsidR="00DF5BF1" w:rsidRPr="008A7BD7">
        <w:rPr>
          <w:rFonts w:ascii="Cambria" w:eastAsia="Times New Roman" w:hAnsi="Cambria" w:cs="Tahoma"/>
          <w:color w:val="000000"/>
          <w:sz w:val="20"/>
          <w:szCs w:val="20"/>
          <w:lang w:eastAsia="es-ES"/>
        </w:rPr>
        <w:t xml:space="preserve"> measures taken, the government ordered “</w:t>
      </w:r>
      <w:r w:rsidR="00BB5E13" w:rsidRPr="008A7BD7">
        <w:rPr>
          <w:rFonts w:ascii="Cambria" w:eastAsia="Times New Roman" w:hAnsi="Cambria" w:cs="Tahoma"/>
          <w:color w:val="000000"/>
          <w:sz w:val="20"/>
          <w:szCs w:val="20"/>
          <w:lang w:eastAsia="es-ES"/>
        </w:rPr>
        <w:t>the holding of gatherings outdoors in those cases in which attendees do not abide by physical distancing, the use of masks</w:t>
      </w:r>
      <w:r w:rsidR="00DC2AD6" w:rsidRPr="008A7BD7">
        <w:rPr>
          <w:rFonts w:ascii="Cambria" w:eastAsia="Times New Roman" w:hAnsi="Cambria" w:cs="Tahoma"/>
          <w:color w:val="000000"/>
          <w:sz w:val="20"/>
          <w:szCs w:val="20"/>
          <w:lang w:eastAsia="es-ES"/>
        </w:rPr>
        <w:t>,</w:t>
      </w:r>
      <w:r w:rsidR="00BB5E13" w:rsidRPr="008A7BD7">
        <w:rPr>
          <w:rFonts w:ascii="Cambria" w:eastAsia="Times New Roman" w:hAnsi="Cambria" w:cs="Tahoma"/>
          <w:color w:val="000000"/>
          <w:sz w:val="20"/>
          <w:szCs w:val="20"/>
          <w:lang w:eastAsia="es-ES"/>
        </w:rPr>
        <w:t xml:space="preserve"> and biosecurity measures that ensure </w:t>
      </w:r>
      <w:r w:rsidR="00740E2C" w:rsidRPr="008A7BD7">
        <w:rPr>
          <w:rFonts w:ascii="Cambria" w:eastAsia="Times New Roman" w:hAnsi="Cambria" w:cs="Tahoma"/>
          <w:color w:val="000000"/>
          <w:sz w:val="20"/>
          <w:szCs w:val="20"/>
          <w:lang w:eastAsia="es-ES"/>
        </w:rPr>
        <w:t xml:space="preserve">non-transmission. Demonstrations are not prohibited </w:t>
      </w:r>
      <w:proofErr w:type="gramStart"/>
      <w:r w:rsidR="00740E2C" w:rsidRPr="008A7BD7">
        <w:rPr>
          <w:rFonts w:ascii="Cambria" w:eastAsia="Times New Roman" w:hAnsi="Cambria" w:cs="Tahoma"/>
          <w:color w:val="000000"/>
          <w:sz w:val="20"/>
          <w:szCs w:val="20"/>
          <w:lang w:eastAsia="es-ES"/>
        </w:rPr>
        <w:t>as long as</w:t>
      </w:r>
      <w:proofErr w:type="gramEnd"/>
      <w:r w:rsidR="00740E2C" w:rsidRPr="008A7BD7">
        <w:rPr>
          <w:rFonts w:ascii="Cambria" w:eastAsia="Times New Roman" w:hAnsi="Cambria" w:cs="Tahoma"/>
          <w:color w:val="000000"/>
          <w:sz w:val="20"/>
          <w:szCs w:val="20"/>
          <w:lang w:eastAsia="es-ES"/>
        </w:rPr>
        <w:t xml:space="preserve"> they comply with the biosecurity measures already established by the Ministry of Public Health and Social Assistance.” The decree also established that</w:t>
      </w:r>
      <w:r w:rsidR="00F56A0E" w:rsidRPr="008A7BD7">
        <w:rPr>
          <w:rFonts w:ascii="Cambria" w:eastAsia="Times New Roman" w:hAnsi="Cambria" w:cs="Tahoma"/>
          <w:color w:val="000000"/>
          <w:sz w:val="20"/>
          <w:szCs w:val="20"/>
          <w:lang w:eastAsia="es-ES"/>
        </w:rPr>
        <w:t xml:space="preserve"> “</w:t>
      </w:r>
      <w:r w:rsidR="0043495C" w:rsidRPr="008A7BD7">
        <w:rPr>
          <w:rFonts w:ascii="Cambria" w:eastAsia="Times New Roman" w:hAnsi="Cambria" w:cs="Tahoma"/>
          <w:color w:val="000000"/>
          <w:sz w:val="20"/>
          <w:szCs w:val="20"/>
          <w:lang w:eastAsia="es-ES"/>
        </w:rPr>
        <w:t xml:space="preserve">in the case of </w:t>
      </w:r>
      <w:r w:rsidR="00F56A0E" w:rsidRPr="008A7BD7">
        <w:rPr>
          <w:rFonts w:ascii="Cambria" w:eastAsia="Times New Roman" w:hAnsi="Cambria" w:cs="Tahoma"/>
          <w:color w:val="000000"/>
          <w:sz w:val="20"/>
          <w:szCs w:val="20"/>
          <w:lang w:eastAsia="es-ES"/>
        </w:rPr>
        <w:t xml:space="preserve">any </w:t>
      </w:r>
      <w:r w:rsidR="00CB13D4" w:rsidRPr="008A7BD7">
        <w:rPr>
          <w:rFonts w:ascii="Cambria" w:eastAsia="Times New Roman" w:hAnsi="Cambria" w:cs="Tahoma"/>
          <w:color w:val="000000"/>
          <w:sz w:val="20"/>
          <w:szCs w:val="20"/>
          <w:lang w:eastAsia="es-ES"/>
        </w:rPr>
        <w:t>gathering</w:t>
      </w:r>
      <w:r w:rsidR="00F56A0E" w:rsidRPr="008A7BD7">
        <w:rPr>
          <w:rFonts w:ascii="Cambria" w:eastAsia="Times New Roman" w:hAnsi="Cambria" w:cs="Tahoma"/>
          <w:color w:val="000000"/>
          <w:sz w:val="20"/>
          <w:szCs w:val="20"/>
          <w:lang w:eastAsia="es-ES"/>
        </w:rPr>
        <w:t xml:space="preserve">, group, or public demonstration that takes place without being duly authorized or that, having been authorized, is carried out without </w:t>
      </w:r>
      <w:r w:rsidR="002520EA" w:rsidRPr="008A7BD7">
        <w:rPr>
          <w:rFonts w:ascii="Cambria" w:eastAsia="Times New Roman" w:hAnsi="Cambria" w:cs="Tahoma"/>
          <w:color w:val="000000"/>
          <w:sz w:val="20"/>
          <w:szCs w:val="20"/>
          <w:lang w:eastAsia="es-ES"/>
        </w:rPr>
        <w:t>compliance</w:t>
      </w:r>
      <w:r w:rsidR="00F56A0E" w:rsidRPr="008A7BD7">
        <w:rPr>
          <w:rFonts w:ascii="Cambria" w:eastAsia="Times New Roman" w:hAnsi="Cambria" w:cs="Tahoma"/>
          <w:color w:val="000000"/>
          <w:sz w:val="20"/>
          <w:szCs w:val="20"/>
          <w:lang w:eastAsia="es-ES"/>
        </w:rPr>
        <w:t xml:space="preserve"> with the necessary health measures</w:t>
      </w:r>
      <w:r w:rsidR="002520EA" w:rsidRPr="008A7BD7">
        <w:rPr>
          <w:rFonts w:ascii="Cambria" w:eastAsia="Times New Roman" w:hAnsi="Cambria" w:cs="Tahoma"/>
          <w:color w:val="000000"/>
          <w:sz w:val="20"/>
          <w:szCs w:val="20"/>
          <w:lang w:eastAsia="es-ES"/>
        </w:rPr>
        <w:t xml:space="preserve">, </w:t>
      </w:r>
      <w:r w:rsidR="00F56A0E" w:rsidRPr="008A7BD7">
        <w:rPr>
          <w:rFonts w:ascii="Cambria" w:eastAsia="Times New Roman" w:hAnsi="Cambria" w:cs="Tahoma"/>
          <w:color w:val="000000"/>
          <w:sz w:val="20"/>
          <w:szCs w:val="20"/>
          <w:lang w:eastAsia="es-ES"/>
        </w:rPr>
        <w:t xml:space="preserve">with </w:t>
      </w:r>
      <w:r w:rsidR="002520EA" w:rsidRPr="008A7BD7">
        <w:rPr>
          <w:rFonts w:ascii="Cambria" w:eastAsia="Times New Roman" w:hAnsi="Cambria" w:cs="Tahoma"/>
          <w:color w:val="000000"/>
          <w:sz w:val="20"/>
          <w:szCs w:val="20"/>
          <w:lang w:eastAsia="es-ES"/>
        </w:rPr>
        <w:t xml:space="preserve">the bearing of arms </w:t>
      </w:r>
      <w:r w:rsidR="00F56A0E" w:rsidRPr="008A7BD7">
        <w:rPr>
          <w:rFonts w:ascii="Cambria" w:eastAsia="Times New Roman" w:hAnsi="Cambria" w:cs="Tahoma"/>
          <w:color w:val="000000"/>
          <w:sz w:val="20"/>
          <w:szCs w:val="20"/>
          <w:lang w:eastAsia="es-ES"/>
        </w:rPr>
        <w:t xml:space="preserve">or other elements of violence, </w:t>
      </w:r>
      <w:r w:rsidR="0043495C" w:rsidRPr="008A7BD7">
        <w:rPr>
          <w:rFonts w:ascii="Cambria" w:eastAsia="Times New Roman" w:hAnsi="Cambria" w:cs="Tahoma"/>
          <w:color w:val="000000"/>
          <w:sz w:val="20"/>
          <w:szCs w:val="20"/>
          <w:lang w:eastAsia="es-ES"/>
        </w:rPr>
        <w:t xml:space="preserve">a warning </w:t>
      </w:r>
      <w:r w:rsidR="00F56A0E" w:rsidRPr="008A7BD7">
        <w:rPr>
          <w:rFonts w:ascii="Cambria" w:eastAsia="Times New Roman" w:hAnsi="Cambria" w:cs="Tahoma"/>
          <w:color w:val="000000"/>
          <w:sz w:val="20"/>
          <w:szCs w:val="20"/>
          <w:lang w:eastAsia="es-ES"/>
        </w:rPr>
        <w:t xml:space="preserve">shall be </w:t>
      </w:r>
      <w:r w:rsidR="0043495C" w:rsidRPr="008A7BD7">
        <w:rPr>
          <w:rFonts w:ascii="Cambria" w:eastAsia="Times New Roman" w:hAnsi="Cambria" w:cs="Tahoma"/>
          <w:color w:val="000000"/>
          <w:sz w:val="20"/>
          <w:szCs w:val="20"/>
          <w:lang w:eastAsia="es-ES"/>
        </w:rPr>
        <w:t xml:space="preserve">issued </w:t>
      </w:r>
      <w:r w:rsidR="001258EE" w:rsidRPr="008A7BD7">
        <w:rPr>
          <w:rFonts w:ascii="Cambria" w:eastAsia="Times New Roman" w:hAnsi="Cambria" w:cs="Tahoma"/>
          <w:color w:val="000000"/>
          <w:sz w:val="20"/>
          <w:szCs w:val="20"/>
          <w:lang w:eastAsia="es-ES"/>
        </w:rPr>
        <w:t>for compliance</w:t>
      </w:r>
      <w:r w:rsidR="0043495C" w:rsidRPr="008A7BD7">
        <w:rPr>
          <w:rFonts w:ascii="Cambria" w:eastAsia="Times New Roman" w:hAnsi="Cambria" w:cs="Tahoma"/>
          <w:color w:val="000000"/>
          <w:sz w:val="20"/>
          <w:szCs w:val="20"/>
          <w:lang w:eastAsia="es-ES"/>
        </w:rPr>
        <w:t xml:space="preserve"> with these measures</w:t>
      </w:r>
      <w:r w:rsidR="00DD4905" w:rsidRPr="008A7BD7">
        <w:rPr>
          <w:rFonts w:ascii="Cambria" w:eastAsia="Times New Roman" w:hAnsi="Cambria" w:cs="Tahoma"/>
          <w:color w:val="000000"/>
          <w:sz w:val="20"/>
          <w:szCs w:val="20"/>
          <w:lang w:eastAsia="es-ES"/>
        </w:rPr>
        <w:t>,</w:t>
      </w:r>
      <w:r w:rsidR="0043495C" w:rsidRPr="008A7BD7">
        <w:rPr>
          <w:rFonts w:ascii="Cambria" w:eastAsia="Times New Roman" w:hAnsi="Cambria" w:cs="Tahoma"/>
          <w:color w:val="000000"/>
          <w:sz w:val="20"/>
          <w:szCs w:val="20"/>
          <w:lang w:eastAsia="es-ES"/>
        </w:rPr>
        <w:t xml:space="preserve"> </w:t>
      </w:r>
      <w:r w:rsidR="00DD4905" w:rsidRPr="008A7BD7">
        <w:rPr>
          <w:rFonts w:ascii="Cambria" w:eastAsia="Times New Roman" w:hAnsi="Cambria" w:cs="Tahoma"/>
          <w:color w:val="000000"/>
          <w:sz w:val="20"/>
          <w:szCs w:val="20"/>
          <w:lang w:eastAsia="es-ES"/>
        </w:rPr>
        <w:t xml:space="preserve">pursuant to </w:t>
      </w:r>
      <w:r w:rsidR="0043495C" w:rsidRPr="008A7BD7">
        <w:rPr>
          <w:rFonts w:ascii="Cambria" w:eastAsia="Times New Roman" w:hAnsi="Cambria" w:cs="Tahoma"/>
          <w:color w:val="000000"/>
          <w:sz w:val="20"/>
          <w:szCs w:val="20"/>
          <w:lang w:eastAsia="es-ES"/>
        </w:rPr>
        <w:t xml:space="preserve">the </w:t>
      </w:r>
      <w:r w:rsidR="002060FA" w:rsidRPr="008A7BD7">
        <w:rPr>
          <w:rFonts w:ascii="Cambria" w:eastAsia="Times New Roman" w:hAnsi="Cambria" w:cs="Tahoma"/>
          <w:color w:val="000000"/>
          <w:sz w:val="20"/>
          <w:szCs w:val="20"/>
          <w:lang w:eastAsia="es-ES"/>
        </w:rPr>
        <w:t xml:space="preserve">Law of </w:t>
      </w:r>
      <w:r w:rsidR="0043495C" w:rsidRPr="008A7BD7">
        <w:rPr>
          <w:rFonts w:ascii="Cambria" w:eastAsia="Times New Roman" w:hAnsi="Cambria" w:cs="Tahoma"/>
          <w:color w:val="000000"/>
          <w:sz w:val="20"/>
          <w:szCs w:val="20"/>
          <w:lang w:eastAsia="es-ES"/>
        </w:rPr>
        <w:t xml:space="preserve">Public Order, and </w:t>
      </w:r>
      <w:r w:rsidR="001258EE" w:rsidRPr="008A7BD7">
        <w:rPr>
          <w:rFonts w:ascii="Cambria" w:eastAsia="Times New Roman" w:hAnsi="Cambria" w:cs="Tahoma"/>
          <w:color w:val="000000"/>
          <w:sz w:val="20"/>
          <w:szCs w:val="20"/>
          <w:lang w:eastAsia="es-ES"/>
        </w:rPr>
        <w:t>dissolution</w:t>
      </w:r>
      <w:r w:rsidR="0043495C" w:rsidRPr="008A7BD7">
        <w:rPr>
          <w:rFonts w:ascii="Cambria" w:eastAsia="Times New Roman" w:hAnsi="Cambria" w:cs="Tahoma"/>
          <w:color w:val="000000"/>
          <w:sz w:val="20"/>
          <w:szCs w:val="20"/>
          <w:lang w:eastAsia="es-ES"/>
        </w:rPr>
        <w:t xml:space="preserve"> </w:t>
      </w:r>
      <w:r w:rsidR="002F3C18" w:rsidRPr="008A7BD7">
        <w:rPr>
          <w:rFonts w:ascii="Cambria" w:eastAsia="Times New Roman" w:hAnsi="Cambria" w:cs="Tahoma"/>
          <w:color w:val="000000"/>
          <w:sz w:val="20"/>
          <w:szCs w:val="20"/>
          <w:lang w:eastAsia="es-ES"/>
        </w:rPr>
        <w:t xml:space="preserve">shall proceed </w:t>
      </w:r>
      <w:r w:rsidR="0043495C" w:rsidRPr="008A7BD7">
        <w:rPr>
          <w:rFonts w:ascii="Cambria" w:eastAsia="Times New Roman" w:hAnsi="Cambria" w:cs="Tahoma"/>
          <w:color w:val="000000"/>
          <w:sz w:val="20"/>
          <w:szCs w:val="20"/>
          <w:lang w:eastAsia="es-ES"/>
        </w:rPr>
        <w:t>when health and public safety so warrant.</w:t>
      </w:r>
      <w:r w:rsidR="009C4A37"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vertAlign w:val="superscript"/>
          <w:lang w:val="es-419" w:eastAsia="es-ES"/>
        </w:rPr>
        <w:footnoteReference w:id="157"/>
      </w:r>
      <w:r w:rsidR="009C4A37" w:rsidRPr="008A7BD7">
        <w:rPr>
          <w:rFonts w:ascii="Cambria" w:eastAsia="Times New Roman" w:hAnsi="Cambria" w:cs="Tahoma"/>
          <w:color w:val="000000"/>
          <w:sz w:val="20"/>
          <w:szCs w:val="20"/>
          <w:lang w:eastAsia="es-ES"/>
        </w:rPr>
        <w:t xml:space="preserve"> </w:t>
      </w:r>
      <w:r w:rsidR="0043495C" w:rsidRPr="008A7BD7">
        <w:rPr>
          <w:rFonts w:ascii="Cambria" w:eastAsia="Times New Roman" w:hAnsi="Cambria" w:cs="Tahoma"/>
          <w:color w:val="000000" w:themeColor="text1"/>
          <w:sz w:val="20"/>
          <w:szCs w:val="20"/>
          <w:lang w:eastAsia="es-ES"/>
        </w:rPr>
        <w:t>On July</w:t>
      </w:r>
      <w:r w:rsidR="009C4A37" w:rsidRPr="008A7BD7">
        <w:rPr>
          <w:rFonts w:ascii="Cambria" w:eastAsia="Times New Roman" w:hAnsi="Cambria" w:cs="Tahoma"/>
          <w:color w:val="000000"/>
          <w:sz w:val="20"/>
          <w:szCs w:val="20"/>
          <w:lang w:eastAsia="es-ES"/>
        </w:rPr>
        <w:t xml:space="preserve"> 13</w:t>
      </w:r>
      <w:r w:rsidR="0043495C"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 xml:space="preserve">2021, </w:t>
      </w:r>
      <w:r w:rsidR="0043495C" w:rsidRPr="008A7BD7">
        <w:rPr>
          <w:rFonts w:ascii="Cambria" w:eastAsia="Times New Roman" w:hAnsi="Cambria" w:cs="Tahoma"/>
          <w:color w:val="000000"/>
          <w:sz w:val="20"/>
          <w:szCs w:val="20"/>
          <w:lang w:eastAsia="es-ES"/>
        </w:rPr>
        <w:t xml:space="preserve">the </w:t>
      </w:r>
      <w:r w:rsidR="003A47E2" w:rsidRPr="008A7BD7">
        <w:rPr>
          <w:rFonts w:ascii="Cambria" w:eastAsia="Times New Roman" w:hAnsi="Cambria" w:cs="Tahoma"/>
          <w:color w:val="000000"/>
          <w:sz w:val="20"/>
          <w:szCs w:val="20"/>
          <w:lang w:eastAsia="es-ES"/>
        </w:rPr>
        <w:t xml:space="preserve">Office of the </w:t>
      </w:r>
      <w:r w:rsidR="0043495C" w:rsidRPr="008A7BD7">
        <w:rPr>
          <w:rFonts w:ascii="Cambria" w:eastAsia="Times New Roman" w:hAnsi="Cambria" w:cs="Tahoma"/>
          <w:color w:val="000000"/>
          <w:sz w:val="20"/>
          <w:szCs w:val="20"/>
          <w:lang w:eastAsia="es-ES"/>
        </w:rPr>
        <w:t>Human Rights Ombudsman</w:t>
      </w:r>
      <w:r w:rsidR="003A47E2" w:rsidRPr="008A7BD7">
        <w:rPr>
          <w:rFonts w:ascii="Cambria" w:eastAsia="Times New Roman" w:hAnsi="Cambria" w:cs="Tahoma"/>
          <w:color w:val="000000"/>
          <w:sz w:val="20"/>
          <w:szCs w:val="20"/>
          <w:lang w:eastAsia="es-ES"/>
        </w:rPr>
        <w:t xml:space="preserve"> </w:t>
      </w:r>
      <w:r w:rsidR="0043495C" w:rsidRPr="008A7BD7">
        <w:rPr>
          <w:rFonts w:ascii="Cambria" w:eastAsia="Times New Roman" w:hAnsi="Cambria" w:cs="Tahoma"/>
          <w:color w:val="000000"/>
          <w:sz w:val="20"/>
          <w:szCs w:val="20"/>
          <w:lang w:eastAsia="es-ES"/>
        </w:rPr>
        <w:t xml:space="preserve">filed an </w:t>
      </w:r>
      <w:r w:rsidR="009C4A37" w:rsidRPr="008A7BD7">
        <w:rPr>
          <w:rFonts w:ascii="Cambria" w:eastAsia="Times New Roman" w:hAnsi="Cambria" w:cs="Tahoma"/>
          <w:i/>
          <w:iCs/>
          <w:color w:val="000000"/>
          <w:sz w:val="20"/>
          <w:szCs w:val="20"/>
          <w:lang w:eastAsia="es-ES"/>
        </w:rPr>
        <w:t>amparo</w:t>
      </w:r>
      <w:r w:rsidR="009C4A37" w:rsidRPr="008A7BD7">
        <w:rPr>
          <w:rFonts w:ascii="Cambria" w:eastAsia="Times New Roman" w:hAnsi="Cambria" w:cs="Tahoma"/>
          <w:color w:val="000000"/>
          <w:sz w:val="20"/>
          <w:szCs w:val="20"/>
          <w:lang w:eastAsia="es-ES"/>
        </w:rPr>
        <w:t xml:space="preserve"> </w:t>
      </w:r>
      <w:r w:rsidR="0043495C" w:rsidRPr="008A7BD7">
        <w:rPr>
          <w:rFonts w:ascii="Cambria" w:eastAsia="Times New Roman" w:hAnsi="Cambria" w:cs="Tahoma"/>
          <w:color w:val="000000"/>
          <w:sz w:val="20"/>
          <w:szCs w:val="20"/>
          <w:lang w:eastAsia="es-ES"/>
        </w:rPr>
        <w:t>against the president before the Constitutional Court.</w:t>
      </w:r>
      <w:r w:rsidR="009C4A37" w:rsidRPr="008A7BD7">
        <w:rPr>
          <w:rFonts w:ascii="Cambria" w:eastAsia="Times New Roman" w:hAnsi="Cambria" w:cs="Tahoma"/>
          <w:color w:val="000000"/>
          <w:sz w:val="20"/>
          <w:szCs w:val="20"/>
          <w:vertAlign w:val="superscript"/>
          <w:lang w:val="es-419" w:eastAsia="es-ES"/>
        </w:rPr>
        <w:footnoteReference w:id="158"/>
      </w:r>
      <w:r w:rsidR="009C4A37" w:rsidRPr="008A7BD7">
        <w:rPr>
          <w:rFonts w:ascii="Cambria" w:eastAsia="Times New Roman" w:hAnsi="Cambria" w:cs="Tahoma"/>
          <w:color w:val="000000"/>
          <w:sz w:val="20"/>
          <w:szCs w:val="20"/>
          <w:lang w:eastAsia="es-ES"/>
        </w:rPr>
        <w:t xml:space="preserve"> </w:t>
      </w:r>
    </w:p>
    <w:p w14:paraId="091101B5"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10DFCC5A" w14:textId="18F41A5B" w:rsidR="009C4A37" w:rsidRPr="008A7BD7" w:rsidRDefault="003A47E2"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On July</w:t>
      </w:r>
      <w:r w:rsidR="009C4A37" w:rsidRPr="008A7BD7">
        <w:rPr>
          <w:rFonts w:ascii="Cambria" w:eastAsia="Times New Roman" w:hAnsi="Cambria" w:cs="Tahoma"/>
          <w:color w:val="000000"/>
          <w:sz w:val="20"/>
          <w:szCs w:val="20"/>
          <w:lang w:eastAsia="es-ES"/>
        </w:rPr>
        <w:t xml:space="preserve"> 28</w:t>
      </w:r>
      <w:r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 xml:space="preserve">2021, </w:t>
      </w:r>
      <w:r w:rsidRPr="008A7BD7">
        <w:rPr>
          <w:rFonts w:ascii="Cambria" w:eastAsia="Times New Roman" w:hAnsi="Cambria" w:cs="Tahoma"/>
          <w:color w:val="000000"/>
          <w:sz w:val="20"/>
          <w:szCs w:val="20"/>
          <w:lang w:eastAsia="es-ES"/>
        </w:rPr>
        <w:t xml:space="preserve">the Constitutional Court granted provisional </w:t>
      </w:r>
      <w:r w:rsidRPr="008A7BD7">
        <w:rPr>
          <w:rFonts w:ascii="Cambria" w:eastAsia="Times New Roman" w:hAnsi="Cambria" w:cs="Tahoma"/>
          <w:i/>
          <w:iCs/>
          <w:color w:val="000000"/>
          <w:sz w:val="20"/>
          <w:szCs w:val="20"/>
          <w:lang w:eastAsia="es-ES"/>
        </w:rPr>
        <w:t>amparo</w:t>
      </w:r>
      <w:r w:rsidRPr="008A7BD7">
        <w:rPr>
          <w:rFonts w:ascii="Cambria" w:eastAsia="Times New Roman" w:hAnsi="Cambria" w:cs="Tahoma"/>
          <w:color w:val="000000"/>
          <w:sz w:val="20"/>
          <w:szCs w:val="20"/>
          <w:lang w:eastAsia="es-ES"/>
        </w:rPr>
        <w:t xml:space="preserve"> to the Ombudsman’s Office to ensure the right to protest, particularly in the context in which days of citizen protests had been called for July </w:t>
      </w:r>
      <w:r w:rsidR="009C4A37" w:rsidRPr="008A7BD7">
        <w:rPr>
          <w:rFonts w:ascii="Cambria" w:eastAsia="Times New Roman" w:hAnsi="Cambria" w:cs="Tahoma"/>
          <w:color w:val="000000"/>
          <w:sz w:val="20"/>
          <w:szCs w:val="20"/>
          <w:lang w:eastAsia="es-ES"/>
        </w:rPr>
        <w:t>29</w:t>
      </w:r>
      <w:r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2021</w:t>
      </w:r>
      <w:r w:rsidR="00922F3F" w:rsidRPr="008A7BD7">
        <w:rPr>
          <w:rFonts w:ascii="Cambria" w:eastAsia="Times New Roman" w:hAnsi="Cambria" w:cs="Tahoma"/>
          <w:color w:val="000000"/>
          <w:sz w:val="20"/>
          <w:szCs w:val="20"/>
          <w:lang w:eastAsia="es-ES"/>
        </w:rPr>
        <w:t xml:space="preserve">, </w:t>
      </w:r>
      <w:r w:rsidR="003820F4" w:rsidRPr="008A7BD7">
        <w:rPr>
          <w:rFonts w:ascii="Cambria" w:eastAsia="Times New Roman" w:hAnsi="Cambria" w:cs="Tahoma"/>
          <w:color w:val="000000"/>
          <w:sz w:val="20"/>
          <w:szCs w:val="20"/>
          <w:lang w:eastAsia="es-ES"/>
        </w:rPr>
        <w:t xml:space="preserve">as a </w:t>
      </w:r>
      <w:r w:rsidR="00922F3F" w:rsidRPr="008A7BD7">
        <w:rPr>
          <w:rFonts w:ascii="Cambria" w:eastAsia="Times New Roman" w:hAnsi="Cambria" w:cs="Tahoma"/>
          <w:color w:val="000000"/>
          <w:sz w:val="20"/>
          <w:szCs w:val="20"/>
          <w:lang w:eastAsia="es-ES"/>
        </w:rPr>
        <w:t>“national stoppage”</w:t>
      </w:r>
      <w:r w:rsidR="009C4A37" w:rsidRPr="008A7BD7">
        <w:rPr>
          <w:rFonts w:ascii="Cambria" w:eastAsia="Times New Roman" w:hAnsi="Cambria" w:cs="Tahoma"/>
          <w:color w:val="000000"/>
          <w:sz w:val="20"/>
          <w:szCs w:val="20"/>
          <w:lang w:eastAsia="es-ES"/>
        </w:rPr>
        <w:t xml:space="preserve"> </w:t>
      </w:r>
      <w:r w:rsidR="00922F3F" w:rsidRPr="008A7BD7">
        <w:rPr>
          <w:rFonts w:ascii="Cambria" w:eastAsia="Times New Roman" w:hAnsi="Cambria" w:cs="Tahoma"/>
          <w:color w:val="000000"/>
          <w:sz w:val="20"/>
          <w:szCs w:val="20"/>
          <w:lang w:eastAsia="es-ES"/>
        </w:rPr>
        <w:t xml:space="preserve">to reject the dismissal from his post of the head of the </w:t>
      </w:r>
      <w:r w:rsidR="00A4771F" w:rsidRPr="008A7BD7">
        <w:rPr>
          <w:rFonts w:ascii="Cambria" w:eastAsia="Times New Roman" w:hAnsi="Cambria" w:cs="Times New Roman"/>
          <w:sz w:val="20"/>
          <w:szCs w:val="20"/>
          <w:lang w:eastAsia="es-ES"/>
        </w:rPr>
        <w:t>Office of the Special Prosecutor against Impunity</w:t>
      </w:r>
      <w:r w:rsidR="00A4771F" w:rsidRPr="008A7BD7">
        <w:rPr>
          <w:rFonts w:ascii="Cambria" w:hAnsi="Cambria" w:cs="Tahoma"/>
          <w:sz w:val="20"/>
          <w:szCs w:val="20"/>
          <w:shd w:val="clear" w:color="auto" w:fill="FFFFFF"/>
        </w:rPr>
        <w:t xml:space="preserve"> </w:t>
      </w:r>
      <w:r w:rsidR="009C4A37" w:rsidRPr="008A7BD7">
        <w:rPr>
          <w:rFonts w:ascii="Cambria" w:eastAsia="Times New Roman" w:hAnsi="Cambria" w:cs="Tahoma"/>
          <w:color w:val="000000"/>
          <w:sz w:val="20"/>
          <w:szCs w:val="20"/>
          <w:lang w:eastAsia="es-ES"/>
        </w:rPr>
        <w:t xml:space="preserve">(FECI), Juan Francisco Sandoval, </w:t>
      </w:r>
      <w:r w:rsidR="00922F3F" w:rsidRPr="008A7BD7">
        <w:rPr>
          <w:rFonts w:ascii="Cambria" w:eastAsia="Times New Roman" w:hAnsi="Cambria" w:cs="Tahoma"/>
          <w:color w:val="000000"/>
          <w:sz w:val="20"/>
          <w:szCs w:val="20"/>
          <w:lang w:eastAsia="es-ES"/>
        </w:rPr>
        <w:t>by</w:t>
      </w:r>
      <w:r w:rsidR="009C4A37" w:rsidRPr="008A7BD7">
        <w:rPr>
          <w:rFonts w:ascii="Cambria" w:eastAsia="Times New Roman" w:hAnsi="Cambria" w:cs="Tahoma"/>
          <w:color w:val="000000"/>
          <w:sz w:val="20"/>
          <w:szCs w:val="20"/>
          <w:lang w:eastAsia="es-ES"/>
        </w:rPr>
        <w:t xml:space="preserve"> </w:t>
      </w:r>
      <w:r w:rsidR="004F414F" w:rsidRPr="008A7BD7">
        <w:rPr>
          <w:rFonts w:ascii="Cambria" w:eastAsia="Times New Roman" w:hAnsi="Cambria" w:cs="Tahoma"/>
          <w:color w:val="000000"/>
          <w:sz w:val="20"/>
          <w:szCs w:val="20"/>
          <w:lang w:eastAsia="es-ES"/>
        </w:rPr>
        <w:t xml:space="preserve">Guatemalan Attorney General </w:t>
      </w:r>
      <w:r w:rsidR="009C4A37" w:rsidRPr="008A7BD7">
        <w:rPr>
          <w:rFonts w:ascii="Cambria" w:eastAsia="Times New Roman" w:hAnsi="Cambria" w:cs="Tahoma"/>
          <w:color w:val="000000"/>
          <w:sz w:val="20"/>
          <w:szCs w:val="20"/>
          <w:lang w:eastAsia="es-ES"/>
        </w:rPr>
        <w:t>Mar</w:t>
      </w:r>
      <w:r w:rsidR="00922F3F" w:rsidRPr="008A7BD7">
        <w:rPr>
          <w:rFonts w:ascii="Cambria" w:eastAsia="Times New Roman" w:hAnsi="Cambria" w:cs="Tahoma"/>
          <w:color w:val="000000"/>
          <w:sz w:val="20"/>
          <w:szCs w:val="20"/>
          <w:lang w:eastAsia="es-ES"/>
        </w:rPr>
        <w:t>í</w:t>
      </w:r>
      <w:r w:rsidR="009C4A37" w:rsidRPr="008A7BD7">
        <w:rPr>
          <w:rFonts w:ascii="Cambria" w:eastAsia="Times New Roman" w:hAnsi="Cambria" w:cs="Tahoma"/>
          <w:color w:val="000000"/>
          <w:sz w:val="20"/>
          <w:szCs w:val="20"/>
          <w:lang w:eastAsia="es-ES"/>
        </w:rPr>
        <w:t xml:space="preserve">a </w:t>
      </w:r>
      <w:r w:rsidR="009C4A37" w:rsidRPr="008A7BD7">
        <w:rPr>
          <w:rFonts w:ascii="Cambria" w:eastAsia="Times New Roman" w:hAnsi="Cambria" w:cs="Tahoma"/>
          <w:color w:val="000000"/>
          <w:sz w:val="20"/>
          <w:szCs w:val="20"/>
          <w:lang w:eastAsia="es-ES"/>
        </w:rPr>
        <w:lastRenderedPageBreak/>
        <w:t>Consuelo Porras</w:t>
      </w:r>
      <w:r w:rsidR="00922F3F"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vertAlign w:val="superscript"/>
          <w:lang w:val="es-419" w:eastAsia="es-ES"/>
        </w:rPr>
        <w:footnoteReference w:id="159"/>
      </w:r>
      <w:r w:rsidR="009C4A37" w:rsidRPr="008A7BD7">
        <w:rPr>
          <w:rFonts w:ascii="Cambria" w:eastAsia="Times New Roman" w:hAnsi="Cambria" w:cs="Tahoma"/>
          <w:color w:val="000000"/>
          <w:sz w:val="20"/>
          <w:szCs w:val="20"/>
          <w:lang w:eastAsia="es-ES"/>
        </w:rPr>
        <w:t xml:space="preserve"> </w:t>
      </w:r>
      <w:r w:rsidR="00922F3F" w:rsidRPr="008A7BD7">
        <w:rPr>
          <w:rFonts w:ascii="Cambria" w:eastAsia="Times New Roman" w:hAnsi="Cambria" w:cs="Tahoma"/>
          <w:color w:val="000000"/>
          <w:sz w:val="20"/>
          <w:szCs w:val="20"/>
          <w:lang w:eastAsia="es-ES"/>
        </w:rPr>
        <w:t>The stoppag</w:t>
      </w:r>
      <w:r w:rsidR="003820F4" w:rsidRPr="008A7BD7">
        <w:rPr>
          <w:rFonts w:ascii="Cambria" w:eastAsia="Times New Roman" w:hAnsi="Cambria" w:cs="Tahoma"/>
          <w:color w:val="000000"/>
          <w:sz w:val="20"/>
          <w:szCs w:val="20"/>
          <w:lang w:eastAsia="es-ES"/>
        </w:rPr>
        <w:t>es continued into August, with demands for Porras to leave her post and the president to resign, and included roadblocks set up on key thoroughfares and arteries in Guatemala City.</w:t>
      </w:r>
      <w:r w:rsidR="009C4A37" w:rsidRPr="008A7BD7">
        <w:rPr>
          <w:rFonts w:ascii="Cambria" w:eastAsia="Times New Roman" w:hAnsi="Cambria" w:cs="Tahoma"/>
          <w:color w:val="000000"/>
          <w:sz w:val="20"/>
          <w:szCs w:val="20"/>
          <w:vertAlign w:val="superscript"/>
          <w:lang w:val="es-419" w:eastAsia="es-ES"/>
        </w:rPr>
        <w:footnoteReference w:id="160"/>
      </w:r>
      <w:r w:rsidR="003820F4" w:rsidRPr="008A7BD7">
        <w:rPr>
          <w:rFonts w:ascii="Cambria" w:eastAsia="Times New Roman" w:hAnsi="Cambria" w:cs="Tahoma"/>
          <w:color w:val="000000"/>
          <w:sz w:val="20"/>
          <w:szCs w:val="20"/>
          <w:lang w:eastAsia="es-ES"/>
        </w:rPr>
        <w:t xml:space="preserve"> On August </w:t>
      </w:r>
      <w:r w:rsidR="009C4A37" w:rsidRPr="008A7BD7">
        <w:rPr>
          <w:rFonts w:ascii="Cambria" w:eastAsia="Times New Roman" w:hAnsi="Cambria" w:cs="Tahoma"/>
          <w:color w:val="000000"/>
          <w:sz w:val="20"/>
          <w:szCs w:val="20"/>
          <w:lang w:eastAsia="es-ES"/>
        </w:rPr>
        <w:t>9</w:t>
      </w:r>
      <w:r w:rsidR="003820F4"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2021</w:t>
      </w:r>
      <w:r w:rsidR="003820F4" w:rsidRPr="008A7BD7">
        <w:rPr>
          <w:rFonts w:ascii="Cambria" w:eastAsia="Times New Roman" w:hAnsi="Cambria" w:cs="Tahoma"/>
          <w:color w:val="000000"/>
          <w:sz w:val="20"/>
          <w:szCs w:val="20"/>
          <w:lang w:eastAsia="es-ES"/>
        </w:rPr>
        <w:t>, the Minister of the Economy reportedly</w:t>
      </w:r>
      <w:r w:rsidR="009C4A37" w:rsidRPr="008A7BD7">
        <w:rPr>
          <w:rFonts w:ascii="Cambria" w:eastAsia="Times New Roman" w:hAnsi="Cambria" w:cs="Tahoma"/>
          <w:color w:val="000000"/>
          <w:sz w:val="20"/>
          <w:szCs w:val="20"/>
          <w:lang w:eastAsia="es-ES"/>
        </w:rPr>
        <w:t xml:space="preserve"> </w:t>
      </w:r>
      <w:r w:rsidR="003820F4" w:rsidRPr="008A7BD7">
        <w:rPr>
          <w:rFonts w:ascii="Cambria" w:eastAsia="Times New Roman" w:hAnsi="Cambria" w:cs="Tahoma"/>
          <w:color w:val="000000"/>
          <w:sz w:val="20"/>
          <w:szCs w:val="20"/>
          <w:lang w:eastAsia="es-ES"/>
        </w:rPr>
        <w:t>said that, even though there is a right to freely protest, the roadblocks hurt economic activity and are illegal acts.</w:t>
      </w:r>
      <w:r w:rsidR="009C4A37" w:rsidRPr="008A7BD7">
        <w:rPr>
          <w:rFonts w:ascii="Cambria" w:eastAsia="Times New Roman" w:hAnsi="Cambria" w:cs="Tahoma"/>
          <w:color w:val="000000"/>
          <w:sz w:val="20"/>
          <w:szCs w:val="20"/>
          <w:vertAlign w:val="superscript"/>
          <w:lang w:val="es-419" w:eastAsia="es-ES"/>
        </w:rPr>
        <w:footnoteReference w:id="161"/>
      </w:r>
    </w:p>
    <w:p w14:paraId="6C14AB33" w14:textId="77777777" w:rsidR="009C4A37" w:rsidRPr="008A7BD7" w:rsidRDefault="009C4A37" w:rsidP="009C4A37">
      <w:pPr>
        <w:jc w:val="both"/>
        <w:rPr>
          <w:rFonts w:ascii="Cambria" w:eastAsia="Times New Roman" w:hAnsi="Cambria" w:cs="Tahoma"/>
          <w:color w:val="000000"/>
          <w:sz w:val="20"/>
          <w:szCs w:val="20"/>
          <w:lang w:eastAsia="es-ES_tradnl"/>
        </w:rPr>
      </w:pPr>
    </w:p>
    <w:p w14:paraId="29F5CC91" w14:textId="53DCC138" w:rsidR="009C4A37" w:rsidRPr="008A7BD7" w:rsidRDefault="009C4A37"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 xml:space="preserve"> </w:t>
      </w:r>
      <w:r w:rsidR="00C34891" w:rsidRPr="008A7BD7">
        <w:rPr>
          <w:rFonts w:ascii="Cambria" w:eastAsia="Times New Roman" w:hAnsi="Cambria" w:cs="Tahoma"/>
          <w:color w:val="000000"/>
          <w:sz w:val="20"/>
          <w:szCs w:val="20"/>
          <w:lang w:eastAsia="es-ES"/>
        </w:rPr>
        <w:t>In addition to</w:t>
      </w:r>
      <w:r w:rsidR="00E17A96" w:rsidRPr="008A7BD7">
        <w:rPr>
          <w:rFonts w:ascii="Cambria" w:eastAsia="Times New Roman" w:hAnsi="Cambria" w:cs="Tahoma"/>
          <w:color w:val="000000"/>
          <w:sz w:val="20"/>
          <w:szCs w:val="20"/>
          <w:lang w:eastAsia="es-ES"/>
        </w:rPr>
        <w:t xml:space="preserve"> the July 29 protests, the “national stoppage” of August 19 was </w:t>
      </w:r>
      <w:r w:rsidR="00D7653B" w:rsidRPr="008A7BD7">
        <w:rPr>
          <w:rFonts w:ascii="Cambria" w:eastAsia="Times New Roman" w:hAnsi="Cambria" w:cs="Tahoma"/>
          <w:color w:val="000000"/>
          <w:sz w:val="20"/>
          <w:szCs w:val="20"/>
          <w:lang w:eastAsia="es-ES"/>
        </w:rPr>
        <w:t>reported</w:t>
      </w:r>
      <w:r w:rsidR="00B760DA" w:rsidRPr="008A7BD7">
        <w:rPr>
          <w:rFonts w:ascii="Cambria" w:eastAsia="Times New Roman" w:hAnsi="Cambria" w:cs="Tahoma"/>
          <w:color w:val="000000"/>
          <w:sz w:val="20"/>
          <w:szCs w:val="20"/>
          <w:lang w:eastAsia="es-ES"/>
        </w:rPr>
        <w:t xml:space="preserve"> to be </w:t>
      </w:r>
      <w:r w:rsidR="00E17A96" w:rsidRPr="008A7BD7">
        <w:rPr>
          <w:rFonts w:ascii="Cambria" w:eastAsia="Times New Roman" w:hAnsi="Cambria" w:cs="Tahoma"/>
          <w:color w:val="000000"/>
          <w:sz w:val="20"/>
          <w:szCs w:val="20"/>
          <w:lang w:eastAsia="es-ES"/>
        </w:rPr>
        <w:t xml:space="preserve">particularly </w:t>
      </w:r>
      <w:r w:rsidR="00C34891" w:rsidRPr="008A7BD7">
        <w:rPr>
          <w:rFonts w:ascii="Cambria" w:eastAsia="Times New Roman" w:hAnsi="Cambria" w:cs="Tahoma"/>
          <w:color w:val="000000"/>
          <w:sz w:val="20"/>
          <w:szCs w:val="20"/>
          <w:lang w:eastAsia="es-ES"/>
        </w:rPr>
        <w:t>significant</w:t>
      </w:r>
      <w:r w:rsidR="00B760DA" w:rsidRPr="008A7BD7">
        <w:rPr>
          <w:rFonts w:ascii="Cambria" w:eastAsia="Times New Roman" w:hAnsi="Cambria" w:cs="Tahoma"/>
          <w:color w:val="000000"/>
          <w:sz w:val="20"/>
          <w:szCs w:val="20"/>
          <w:lang w:eastAsia="es-ES"/>
        </w:rPr>
        <w:t xml:space="preserve">. That was when, according to publicly available information, supposed leaders of vendors from the </w:t>
      </w:r>
      <w:r w:rsidRPr="008A7BD7">
        <w:rPr>
          <w:rFonts w:ascii="Cambria" w:eastAsia="Times New Roman" w:hAnsi="Cambria" w:cs="Tahoma"/>
          <w:color w:val="000000"/>
          <w:sz w:val="20"/>
          <w:szCs w:val="20"/>
          <w:lang w:eastAsia="es-ES"/>
        </w:rPr>
        <w:t xml:space="preserve">La Terminal </w:t>
      </w:r>
      <w:r w:rsidR="00B760DA" w:rsidRPr="008A7BD7">
        <w:rPr>
          <w:rFonts w:ascii="Cambria" w:eastAsia="Times New Roman" w:hAnsi="Cambria" w:cs="Tahoma"/>
          <w:color w:val="000000"/>
          <w:sz w:val="20"/>
          <w:szCs w:val="20"/>
          <w:lang w:eastAsia="es-ES"/>
        </w:rPr>
        <w:t xml:space="preserve">market threatened demonstrators with sticks, pipes, and other weapons for the purpose of breaking up the demonstrations because of the impact the protests and roadblocks were </w:t>
      </w:r>
      <w:r w:rsidR="005010B5" w:rsidRPr="008A7BD7">
        <w:rPr>
          <w:rFonts w:ascii="Cambria" w:eastAsia="Times New Roman" w:hAnsi="Cambria" w:cs="Tahoma"/>
          <w:color w:val="000000"/>
          <w:sz w:val="20"/>
          <w:szCs w:val="20"/>
          <w:lang w:eastAsia="es-ES"/>
        </w:rPr>
        <w:t xml:space="preserve">said to be </w:t>
      </w:r>
      <w:r w:rsidR="00B760DA" w:rsidRPr="008A7BD7">
        <w:rPr>
          <w:rFonts w:ascii="Cambria" w:eastAsia="Times New Roman" w:hAnsi="Cambria" w:cs="Tahoma"/>
          <w:color w:val="000000"/>
          <w:sz w:val="20"/>
          <w:szCs w:val="20"/>
          <w:lang w:eastAsia="es-ES"/>
        </w:rPr>
        <w:t>having on their livelihood</w:t>
      </w:r>
      <w:r w:rsidR="00D7653B" w:rsidRPr="008A7BD7">
        <w:rPr>
          <w:rFonts w:ascii="Cambria" w:eastAsia="Times New Roman" w:hAnsi="Cambria" w:cs="Tahoma"/>
          <w:color w:val="000000"/>
          <w:sz w:val="20"/>
          <w:szCs w:val="20"/>
          <w:lang w:eastAsia="es-ES"/>
        </w:rPr>
        <w:t>s</w:t>
      </w:r>
      <w:r w:rsidR="00B760DA" w:rsidRPr="008A7BD7">
        <w:rPr>
          <w:rFonts w:ascii="Cambria" w:eastAsia="Times New Roman" w:hAnsi="Cambria" w:cs="Tahoma"/>
          <w:color w:val="000000"/>
          <w:sz w:val="20"/>
          <w:szCs w:val="20"/>
          <w:lang w:eastAsia="es-ES"/>
        </w:rPr>
        <w:t>.</w:t>
      </w:r>
      <w:r w:rsidRPr="008A7BD7">
        <w:rPr>
          <w:rFonts w:ascii="Cambria" w:eastAsia="Times New Roman" w:hAnsi="Cambria" w:cs="Tahoma"/>
          <w:color w:val="000000"/>
          <w:sz w:val="20"/>
          <w:szCs w:val="20"/>
          <w:vertAlign w:val="superscript"/>
          <w:lang w:val="es-419" w:eastAsia="es-ES"/>
        </w:rPr>
        <w:footnoteReference w:id="162"/>
      </w:r>
      <w:r w:rsidRPr="008A7BD7">
        <w:rPr>
          <w:rFonts w:ascii="Cambria" w:eastAsia="Times New Roman" w:hAnsi="Cambria" w:cs="Tahoma"/>
          <w:color w:val="000000"/>
          <w:sz w:val="20"/>
          <w:szCs w:val="20"/>
          <w:lang w:eastAsia="es-ES"/>
        </w:rPr>
        <w:t xml:space="preserve"> </w:t>
      </w:r>
    </w:p>
    <w:p w14:paraId="25923AAD"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55B59A1C" w14:textId="0B9F1D6C" w:rsidR="009C4A37" w:rsidRPr="008A7BD7" w:rsidRDefault="00B760DA"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 xml:space="preserve">The impacts of the days of protests reportedly led the Chamber of Industry of Guatemala to file </w:t>
      </w:r>
      <w:r w:rsidR="008920BE" w:rsidRPr="008A7BD7">
        <w:rPr>
          <w:rFonts w:ascii="Cambria" w:eastAsia="Times New Roman" w:hAnsi="Cambria" w:cs="Tahoma"/>
          <w:color w:val="000000"/>
          <w:sz w:val="20"/>
          <w:szCs w:val="20"/>
          <w:lang w:eastAsia="es-ES"/>
        </w:rPr>
        <w:t>an</w:t>
      </w:r>
      <w:r w:rsidRPr="008A7BD7">
        <w:rPr>
          <w:rFonts w:ascii="Cambria" w:eastAsia="Times New Roman" w:hAnsi="Cambria" w:cs="Tahoma"/>
          <w:color w:val="000000"/>
          <w:sz w:val="20"/>
          <w:szCs w:val="20"/>
          <w:lang w:eastAsia="es-ES"/>
        </w:rPr>
        <w:t xml:space="preserve"> appeal</w:t>
      </w:r>
      <w:r w:rsidR="008920BE" w:rsidRPr="008A7BD7">
        <w:rPr>
          <w:rFonts w:ascii="Cambria" w:eastAsia="Times New Roman" w:hAnsi="Cambria" w:cs="Tahoma"/>
          <w:color w:val="000000"/>
          <w:sz w:val="20"/>
          <w:szCs w:val="20"/>
          <w:lang w:eastAsia="es-ES"/>
        </w:rPr>
        <w:t xml:space="preserve"> for constitutional protection</w:t>
      </w:r>
      <w:r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i/>
          <w:iCs/>
          <w:color w:val="000000"/>
          <w:sz w:val="20"/>
          <w:szCs w:val="20"/>
          <w:lang w:eastAsia="es-ES"/>
        </w:rPr>
        <w:t>amparo</w:t>
      </w:r>
      <w:r w:rsidRPr="008A7BD7">
        <w:rPr>
          <w:rFonts w:ascii="Cambria" w:eastAsia="Times New Roman" w:hAnsi="Cambria" w:cs="Tahoma"/>
          <w:color w:val="000000"/>
          <w:sz w:val="20"/>
          <w:szCs w:val="20"/>
          <w:lang w:eastAsia="es-ES"/>
        </w:rPr>
        <w:t xml:space="preserve">) before the Constitutional Court, denouncing “the </w:t>
      </w:r>
      <w:r w:rsidR="00647623" w:rsidRPr="008A7BD7">
        <w:rPr>
          <w:rFonts w:ascii="Cambria" w:eastAsia="Times New Roman" w:hAnsi="Cambria" w:cs="Tahoma"/>
          <w:color w:val="000000"/>
          <w:sz w:val="20"/>
          <w:szCs w:val="20"/>
          <w:lang w:eastAsia="es-ES"/>
        </w:rPr>
        <w:t>grave risk that the authorities being challenged will fail to properly and immediately guarantee the constitutional rights of protection of persons, guarantee of liberty, life, security, justice, peace, and integral development of the person, freedom of action, freedom of movement, and freedom of industry, commerce, and labor on the second day of August and days thereafter, as a result of the call to demonstrations and massive mobilizations that run the risk of paralyzing the country, impeding access and free movement, blocking the main access roads throughout the country.</w:t>
      </w:r>
      <w:r w:rsidR="009C4A37"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vertAlign w:val="superscript"/>
          <w:lang w:val="es-419" w:eastAsia="es-ES"/>
        </w:rPr>
        <w:footnoteReference w:id="163"/>
      </w:r>
      <w:r w:rsidR="009C4A37" w:rsidRPr="008A7BD7">
        <w:rPr>
          <w:rFonts w:ascii="Cambria" w:eastAsia="Times New Roman" w:hAnsi="Cambria" w:cs="Tahoma"/>
          <w:color w:val="000000"/>
          <w:sz w:val="20"/>
          <w:szCs w:val="20"/>
          <w:lang w:eastAsia="es-ES"/>
        </w:rPr>
        <w:t xml:space="preserve"> </w:t>
      </w:r>
      <w:r w:rsidR="000F68D7" w:rsidRPr="008A7BD7">
        <w:rPr>
          <w:rFonts w:ascii="Cambria" w:eastAsia="Times New Roman" w:hAnsi="Cambria" w:cs="Tahoma"/>
          <w:color w:val="000000"/>
          <w:sz w:val="20"/>
          <w:szCs w:val="20"/>
          <w:lang w:eastAsia="es-ES"/>
        </w:rPr>
        <w:t xml:space="preserve">In a provisional </w:t>
      </w:r>
      <w:r w:rsidR="009C4A37" w:rsidRPr="008A7BD7">
        <w:rPr>
          <w:rFonts w:ascii="Cambria" w:eastAsia="Times New Roman" w:hAnsi="Cambria" w:cs="Tahoma"/>
          <w:i/>
          <w:iCs/>
          <w:color w:val="000000"/>
          <w:sz w:val="20"/>
          <w:szCs w:val="20"/>
          <w:lang w:eastAsia="es-ES"/>
        </w:rPr>
        <w:t>amparo</w:t>
      </w:r>
      <w:r w:rsidR="009C4A37" w:rsidRPr="008A7BD7">
        <w:rPr>
          <w:rFonts w:ascii="Cambria" w:eastAsia="Times New Roman" w:hAnsi="Cambria" w:cs="Tahoma"/>
          <w:color w:val="000000"/>
          <w:sz w:val="20"/>
          <w:szCs w:val="20"/>
          <w:lang w:eastAsia="es-ES"/>
        </w:rPr>
        <w:t xml:space="preserve"> </w:t>
      </w:r>
      <w:r w:rsidR="0003159B" w:rsidRPr="008A7BD7">
        <w:rPr>
          <w:rFonts w:ascii="Cambria" w:eastAsia="Times New Roman" w:hAnsi="Cambria" w:cs="Tahoma"/>
          <w:color w:val="000000"/>
          <w:sz w:val="20"/>
          <w:szCs w:val="20"/>
          <w:lang w:eastAsia="es-ES"/>
        </w:rPr>
        <w:t xml:space="preserve">decision </w:t>
      </w:r>
      <w:r w:rsidR="000F68D7" w:rsidRPr="008A7BD7">
        <w:rPr>
          <w:rFonts w:ascii="Cambria" w:eastAsia="Times New Roman" w:hAnsi="Cambria" w:cs="Tahoma"/>
          <w:color w:val="000000"/>
          <w:sz w:val="20"/>
          <w:szCs w:val="20"/>
          <w:lang w:eastAsia="es-ES"/>
        </w:rPr>
        <w:t xml:space="preserve">on August </w:t>
      </w:r>
      <w:r w:rsidR="009C4A37" w:rsidRPr="008A7BD7">
        <w:rPr>
          <w:rFonts w:ascii="Cambria" w:eastAsia="Times New Roman" w:hAnsi="Cambria" w:cs="Tahoma"/>
          <w:color w:val="000000"/>
          <w:sz w:val="20"/>
          <w:szCs w:val="20"/>
          <w:lang w:eastAsia="es-ES"/>
        </w:rPr>
        <w:t>2</w:t>
      </w:r>
      <w:r w:rsidR="000F68D7"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 xml:space="preserve">2021, </w:t>
      </w:r>
      <w:r w:rsidR="000F68D7" w:rsidRPr="008A7BD7">
        <w:rPr>
          <w:rFonts w:ascii="Cambria" w:eastAsia="Times New Roman" w:hAnsi="Cambria" w:cs="Tahoma"/>
          <w:color w:val="000000"/>
          <w:sz w:val="20"/>
          <w:szCs w:val="20"/>
          <w:lang w:eastAsia="es-ES"/>
        </w:rPr>
        <w:t>the Constitutional Court determined that the authorities should take the necessary actions</w:t>
      </w:r>
      <w:r w:rsidR="0003159B" w:rsidRPr="008A7BD7">
        <w:rPr>
          <w:rFonts w:ascii="Cambria" w:eastAsia="Times New Roman" w:hAnsi="Cambria" w:cs="Tahoma"/>
          <w:color w:val="000000"/>
          <w:sz w:val="20"/>
          <w:szCs w:val="20"/>
          <w:lang w:eastAsia="es-ES"/>
        </w:rPr>
        <w:t xml:space="preserve"> to maintain public order</w:t>
      </w:r>
      <w:r w:rsidR="000F68D7" w:rsidRPr="008A7BD7">
        <w:rPr>
          <w:rFonts w:ascii="Cambria" w:eastAsia="Times New Roman" w:hAnsi="Cambria" w:cs="Tahoma"/>
          <w:color w:val="000000"/>
          <w:sz w:val="20"/>
          <w:szCs w:val="20"/>
          <w:lang w:eastAsia="es-ES"/>
        </w:rPr>
        <w:t xml:space="preserve">, including with the presence of elements of </w:t>
      </w:r>
      <w:r w:rsidR="00C45F3F" w:rsidRPr="008A7BD7">
        <w:rPr>
          <w:rFonts w:ascii="Cambria" w:eastAsia="Times New Roman" w:hAnsi="Cambria" w:cs="Tahoma"/>
          <w:color w:val="000000"/>
          <w:sz w:val="20"/>
          <w:szCs w:val="20"/>
          <w:lang w:eastAsia="es-ES"/>
        </w:rPr>
        <w:t xml:space="preserve">duly uniformed </w:t>
      </w:r>
      <w:r w:rsidR="000F68D7" w:rsidRPr="008A7BD7">
        <w:rPr>
          <w:rFonts w:ascii="Cambria" w:eastAsia="Times New Roman" w:hAnsi="Cambria" w:cs="Tahoma"/>
          <w:color w:val="000000"/>
          <w:sz w:val="20"/>
          <w:szCs w:val="20"/>
          <w:lang w:eastAsia="es-ES"/>
        </w:rPr>
        <w:t>security forces</w:t>
      </w:r>
      <w:r w:rsidR="00FF6F4A" w:rsidRPr="008A7BD7">
        <w:rPr>
          <w:rFonts w:ascii="Cambria" w:eastAsia="Times New Roman" w:hAnsi="Cambria" w:cs="Tahoma"/>
          <w:color w:val="000000"/>
          <w:sz w:val="20"/>
          <w:szCs w:val="20"/>
          <w:lang w:eastAsia="es-ES"/>
        </w:rPr>
        <w:t>, not only to</w:t>
      </w:r>
      <w:r w:rsidR="0003159B" w:rsidRPr="008A7BD7">
        <w:rPr>
          <w:rFonts w:ascii="Cambria" w:eastAsia="Times New Roman" w:hAnsi="Cambria" w:cs="Tahoma"/>
          <w:color w:val="000000"/>
          <w:sz w:val="20"/>
          <w:szCs w:val="20"/>
          <w:lang w:eastAsia="es-ES"/>
        </w:rPr>
        <w:t xml:space="preserve"> </w:t>
      </w:r>
      <w:r w:rsidR="00FF6F4A" w:rsidRPr="008A7BD7">
        <w:rPr>
          <w:rFonts w:ascii="Cambria" w:eastAsia="Times New Roman" w:hAnsi="Cambria" w:cs="Tahoma"/>
          <w:color w:val="000000"/>
          <w:sz w:val="20"/>
          <w:szCs w:val="20"/>
          <w:lang w:eastAsia="es-ES"/>
        </w:rPr>
        <w:t>guarantee the rights of protest, association, and freedom of expression of thought, but also</w:t>
      </w:r>
      <w:r w:rsidR="009C4A37" w:rsidRPr="008A7BD7">
        <w:rPr>
          <w:rFonts w:ascii="Cambria" w:eastAsia="Times New Roman" w:hAnsi="Cambria" w:cs="Tahoma"/>
          <w:color w:val="000000"/>
          <w:sz w:val="20"/>
          <w:szCs w:val="20"/>
          <w:lang w:eastAsia="es-ES"/>
        </w:rPr>
        <w:t xml:space="preserve"> </w:t>
      </w:r>
      <w:r w:rsidR="00FF6F4A" w:rsidRPr="008A7BD7">
        <w:rPr>
          <w:rFonts w:ascii="Cambria" w:eastAsia="Times New Roman" w:hAnsi="Cambria" w:cs="Tahoma"/>
          <w:color w:val="000000"/>
          <w:sz w:val="20"/>
          <w:szCs w:val="20"/>
          <w:lang w:eastAsia="es-ES"/>
        </w:rPr>
        <w:t>to guarantee the rights of all people in the national territory to freedom of movement</w:t>
      </w:r>
      <w:r w:rsidR="005C7BBE" w:rsidRPr="008A7BD7">
        <w:rPr>
          <w:rFonts w:ascii="Cambria" w:eastAsia="Times New Roman" w:hAnsi="Cambria" w:cs="Tahoma"/>
          <w:color w:val="000000"/>
          <w:sz w:val="20"/>
          <w:szCs w:val="20"/>
          <w:lang w:eastAsia="es-ES"/>
        </w:rPr>
        <w:t xml:space="preserve"> </w:t>
      </w:r>
      <w:r w:rsidR="00074796" w:rsidRPr="008A7BD7">
        <w:rPr>
          <w:rFonts w:ascii="Cambria" w:eastAsia="Times New Roman" w:hAnsi="Cambria" w:cs="Tahoma"/>
          <w:color w:val="000000"/>
          <w:sz w:val="20"/>
          <w:szCs w:val="20"/>
          <w:lang w:eastAsia="es-ES"/>
        </w:rPr>
        <w:t xml:space="preserve">[and] </w:t>
      </w:r>
      <w:r w:rsidR="00FF6F4A" w:rsidRPr="008A7BD7">
        <w:rPr>
          <w:rFonts w:ascii="Cambria" w:eastAsia="Times New Roman" w:hAnsi="Cambria" w:cs="Tahoma"/>
          <w:color w:val="000000"/>
          <w:sz w:val="20"/>
          <w:szCs w:val="20"/>
          <w:lang w:eastAsia="es-ES"/>
        </w:rPr>
        <w:t>freedom of industry, commerce, labor, health, life, security, integrity, and peace.</w:t>
      </w:r>
      <w:r w:rsidR="009C4A37" w:rsidRPr="008A7BD7">
        <w:rPr>
          <w:rFonts w:ascii="Cambria" w:eastAsia="Times New Roman" w:hAnsi="Cambria" w:cs="Tahoma"/>
          <w:color w:val="000000"/>
          <w:sz w:val="20"/>
          <w:szCs w:val="20"/>
          <w:vertAlign w:val="superscript"/>
          <w:lang w:val="es-419" w:eastAsia="es-ES"/>
        </w:rPr>
        <w:footnoteReference w:id="164"/>
      </w:r>
      <w:r w:rsidR="009C4A37" w:rsidRPr="008A7BD7">
        <w:rPr>
          <w:rFonts w:ascii="Cambria" w:eastAsia="Times New Roman" w:hAnsi="Cambria" w:cs="Tahoma"/>
          <w:color w:val="000000"/>
          <w:sz w:val="20"/>
          <w:szCs w:val="20"/>
          <w:lang w:eastAsia="es-ES"/>
        </w:rPr>
        <w:t xml:space="preserve"> </w:t>
      </w:r>
    </w:p>
    <w:p w14:paraId="091BCE4E"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32E6104B" w14:textId="6C4C58C1" w:rsidR="009C4A37" w:rsidRPr="008A7BD7" w:rsidRDefault="00F514F1"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On August</w:t>
      </w:r>
      <w:r w:rsidR="009C4A37" w:rsidRPr="008A7BD7">
        <w:rPr>
          <w:rFonts w:ascii="Cambria" w:eastAsia="Times New Roman" w:hAnsi="Cambria" w:cs="Tahoma"/>
          <w:color w:val="000000"/>
          <w:sz w:val="20"/>
          <w:szCs w:val="20"/>
          <w:lang w:eastAsia="es-ES"/>
        </w:rPr>
        <w:t xml:space="preserve"> 29</w:t>
      </w:r>
      <w:r w:rsidRPr="008A7BD7">
        <w:rPr>
          <w:rFonts w:ascii="Cambria" w:eastAsia="Times New Roman" w:hAnsi="Cambria" w:cs="Tahoma"/>
          <w:color w:val="000000"/>
          <w:sz w:val="20"/>
          <w:szCs w:val="20"/>
          <w:lang w:eastAsia="es-ES"/>
        </w:rPr>
        <w:t xml:space="preserve">, the Constitutional Court confirmed the provisional </w:t>
      </w:r>
      <w:r w:rsidR="009C4A37" w:rsidRPr="008A7BD7">
        <w:rPr>
          <w:rFonts w:ascii="Cambria" w:eastAsia="Times New Roman" w:hAnsi="Cambria" w:cs="Tahoma"/>
          <w:i/>
          <w:iCs/>
          <w:color w:val="000000"/>
          <w:sz w:val="20"/>
          <w:szCs w:val="20"/>
          <w:lang w:eastAsia="es-ES"/>
        </w:rPr>
        <w:t>amparo</w:t>
      </w:r>
      <w:r w:rsidRPr="008A7BD7">
        <w:rPr>
          <w:rFonts w:ascii="Cambria" w:eastAsia="Times New Roman" w:hAnsi="Cambria" w:cs="Tahoma"/>
          <w:color w:val="000000"/>
          <w:sz w:val="20"/>
          <w:szCs w:val="20"/>
          <w:lang w:eastAsia="es-ES"/>
        </w:rPr>
        <w:t xml:space="preserve">, </w:t>
      </w:r>
      <w:r w:rsidR="00821A79" w:rsidRPr="008A7BD7">
        <w:rPr>
          <w:rFonts w:ascii="Cambria" w:eastAsia="Times New Roman" w:hAnsi="Cambria" w:cs="Tahoma"/>
          <w:color w:val="000000"/>
          <w:sz w:val="20"/>
          <w:szCs w:val="20"/>
          <w:lang w:eastAsia="es-ES"/>
        </w:rPr>
        <w:t xml:space="preserve">directing </w:t>
      </w:r>
      <w:r w:rsidR="002012EE" w:rsidRPr="008A7BD7">
        <w:rPr>
          <w:rFonts w:ascii="Cambria" w:eastAsia="Times New Roman" w:hAnsi="Cambria" w:cs="Tahoma"/>
          <w:color w:val="000000"/>
          <w:sz w:val="20"/>
          <w:szCs w:val="20"/>
          <w:lang w:eastAsia="es-ES"/>
        </w:rPr>
        <w:t>the authorities,</w:t>
      </w:r>
      <w:r w:rsidRPr="008A7BD7">
        <w:rPr>
          <w:rFonts w:ascii="Cambria" w:eastAsia="Times New Roman" w:hAnsi="Cambria" w:cs="Tahoma"/>
          <w:color w:val="000000"/>
          <w:sz w:val="20"/>
          <w:szCs w:val="20"/>
          <w:lang w:eastAsia="es-ES"/>
        </w:rPr>
        <w:t xml:space="preserve"> “if there are demonstrations in streets and roads, </w:t>
      </w:r>
      <w:r w:rsidR="002012EE" w:rsidRPr="008A7BD7">
        <w:rPr>
          <w:rFonts w:ascii="Cambria" w:eastAsia="Times New Roman" w:hAnsi="Cambria" w:cs="Tahoma"/>
          <w:color w:val="000000"/>
          <w:sz w:val="20"/>
          <w:szCs w:val="20"/>
          <w:lang w:eastAsia="es-ES"/>
        </w:rPr>
        <w:t xml:space="preserve">to </w:t>
      </w:r>
      <w:r w:rsidRPr="008A7BD7">
        <w:rPr>
          <w:rFonts w:ascii="Cambria" w:eastAsia="Times New Roman" w:hAnsi="Cambria" w:cs="Tahoma"/>
          <w:color w:val="000000"/>
          <w:sz w:val="20"/>
          <w:szCs w:val="20"/>
          <w:lang w:eastAsia="es-ES"/>
        </w:rPr>
        <w:t>coordinate and implement steps designed to ensure that Guatemalans can carry out their daily</w:t>
      </w:r>
      <w:r w:rsidR="009C4A37" w:rsidRPr="008A7BD7">
        <w:rPr>
          <w:rFonts w:ascii="Cambria" w:eastAsia="Times New Roman" w:hAnsi="Cambria" w:cs="Tahoma"/>
          <w:color w:val="000000"/>
          <w:sz w:val="20"/>
          <w:szCs w:val="20"/>
          <w:lang w:eastAsia="es-ES"/>
        </w:rPr>
        <w:t xml:space="preserve"> </w:t>
      </w:r>
      <w:r w:rsidRPr="008A7BD7">
        <w:rPr>
          <w:rFonts w:ascii="Cambria" w:eastAsia="Times New Roman" w:hAnsi="Cambria" w:cs="Tahoma"/>
          <w:color w:val="000000"/>
          <w:sz w:val="20"/>
          <w:szCs w:val="20"/>
          <w:lang w:eastAsia="es-ES"/>
        </w:rPr>
        <w:t>activities without being affected by the right to protest,</w:t>
      </w:r>
      <w:r w:rsidR="002012EE" w:rsidRPr="008A7BD7">
        <w:rPr>
          <w:rFonts w:ascii="Cambria" w:eastAsia="Times New Roman" w:hAnsi="Cambria" w:cs="Tahoma"/>
          <w:color w:val="000000"/>
          <w:sz w:val="20"/>
          <w:szCs w:val="20"/>
          <w:lang w:eastAsia="es-ES"/>
        </w:rPr>
        <w:t xml:space="preserve"> [and] if necessary, provide specific lanes on roads that could</w:t>
      </w:r>
      <w:r w:rsidR="004C16D8" w:rsidRPr="008A7BD7">
        <w:rPr>
          <w:rFonts w:ascii="Cambria" w:eastAsia="Times New Roman" w:hAnsi="Cambria" w:cs="Tahoma"/>
          <w:color w:val="000000"/>
          <w:sz w:val="20"/>
          <w:szCs w:val="20"/>
          <w:lang w:eastAsia="es-ES"/>
        </w:rPr>
        <w:t xml:space="preserve"> be affected, so that people can </w:t>
      </w:r>
      <w:r w:rsidR="00074796" w:rsidRPr="008A7BD7">
        <w:rPr>
          <w:rFonts w:ascii="Cambria" w:eastAsia="Times New Roman" w:hAnsi="Cambria" w:cs="Tahoma"/>
          <w:color w:val="000000"/>
          <w:sz w:val="20"/>
          <w:szCs w:val="20"/>
          <w:lang w:eastAsia="es-ES"/>
        </w:rPr>
        <w:t>hold</w:t>
      </w:r>
      <w:r w:rsidR="004C16D8" w:rsidRPr="008A7BD7">
        <w:rPr>
          <w:rFonts w:ascii="Cambria" w:eastAsia="Times New Roman" w:hAnsi="Cambria" w:cs="Tahoma"/>
          <w:color w:val="000000"/>
          <w:sz w:val="20"/>
          <w:szCs w:val="20"/>
          <w:lang w:eastAsia="es-ES"/>
        </w:rPr>
        <w:t xml:space="preserve"> demonstrations without interrupting the exercise of the rights of the rest of the citizens in terms of their freedom of movement</w:t>
      </w:r>
      <w:r w:rsidR="00074796" w:rsidRPr="008A7BD7">
        <w:rPr>
          <w:rFonts w:ascii="Cambria" w:eastAsia="Times New Roman" w:hAnsi="Cambria" w:cs="Tahoma"/>
          <w:color w:val="000000"/>
          <w:sz w:val="20"/>
          <w:szCs w:val="20"/>
          <w:lang w:eastAsia="es-ES"/>
        </w:rPr>
        <w:t>,</w:t>
      </w:r>
      <w:r w:rsidR="004C16D8" w:rsidRPr="008A7BD7">
        <w:rPr>
          <w:rFonts w:ascii="Cambria" w:eastAsia="Times New Roman" w:hAnsi="Cambria" w:cs="Tahoma"/>
          <w:color w:val="000000"/>
          <w:sz w:val="20"/>
          <w:szCs w:val="20"/>
          <w:lang w:eastAsia="es-ES"/>
        </w:rPr>
        <w:t xml:space="preserve"> access to commercial transportation services</w:t>
      </w:r>
      <w:r w:rsidR="00074796" w:rsidRPr="008A7BD7">
        <w:rPr>
          <w:rFonts w:ascii="Cambria" w:eastAsia="Times New Roman" w:hAnsi="Cambria" w:cs="Tahoma"/>
          <w:color w:val="000000"/>
          <w:sz w:val="20"/>
          <w:szCs w:val="20"/>
          <w:lang w:eastAsia="es-ES"/>
        </w:rPr>
        <w:t>,</w:t>
      </w:r>
      <w:r w:rsidR="004C16D8" w:rsidRPr="008A7BD7">
        <w:rPr>
          <w:rFonts w:ascii="Cambria" w:eastAsia="Times New Roman" w:hAnsi="Cambria" w:cs="Tahoma"/>
          <w:color w:val="000000"/>
          <w:sz w:val="20"/>
          <w:szCs w:val="20"/>
          <w:lang w:eastAsia="es-ES"/>
        </w:rPr>
        <w:t xml:space="preserve"> and </w:t>
      </w:r>
      <w:r w:rsidR="00074796" w:rsidRPr="008A7BD7">
        <w:rPr>
          <w:rFonts w:ascii="Cambria" w:eastAsia="Times New Roman" w:hAnsi="Cambria" w:cs="Tahoma"/>
          <w:color w:val="000000"/>
          <w:sz w:val="20"/>
          <w:szCs w:val="20"/>
          <w:lang w:eastAsia="es-ES"/>
        </w:rPr>
        <w:t>[access] by</w:t>
      </w:r>
      <w:r w:rsidR="004C16D8" w:rsidRPr="008A7BD7">
        <w:rPr>
          <w:rFonts w:ascii="Cambria" w:eastAsia="Times New Roman" w:hAnsi="Cambria" w:cs="Tahoma"/>
          <w:color w:val="000000"/>
          <w:sz w:val="20"/>
          <w:szCs w:val="20"/>
          <w:lang w:eastAsia="es-ES"/>
        </w:rPr>
        <w:t xml:space="preserve"> people.”</w:t>
      </w:r>
      <w:r w:rsidR="009C4A37" w:rsidRPr="008A7BD7">
        <w:rPr>
          <w:rFonts w:ascii="Cambria" w:eastAsia="Times New Roman" w:hAnsi="Cambria" w:cs="Tahoma"/>
          <w:color w:val="000000"/>
          <w:sz w:val="20"/>
          <w:szCs w:val="20"/>
          <w:lang w:eastAsia="es-ES"/>
        </w:rPr>
        <w:t xml:space="preserve"> </w:t>
      </w:r>
      <w:r w:rsidR="004C16D8" w:rsidRPr="008A7BD7">
        <w:rPr>
          <w:rFonts w:ascii="Cambria" w:eastAsia="Times New Roman" w:hAnsi="Cambria" w:cs="Tahoma"/>
          <w:color w:val="000000"/>
          <w:sz w:val="20"/>
          <w:szCs w:val="20"/>
          <w:lang w:eastAsia="es-ES"/>
        </w:rPr>
        <w:t xml:space="preserve">The Constitutional Court also decided that to maintain order and security, security forces could break up </w:t>
      </w:r>
      <w:r w:rsidR="00074796" w:rsidRPr="008A7BD7">
        <w:rPr>
          <w:rFonts w:ascii="Cambria" w:eastAsia="Times New Roman" w:hAnsi="Cambria" w:cs="Tahoma"/>
          <w:color w:val="000000"/>
          <w:sz w:val="20"/>
          <w:szCs w:val="20"/>
          <w:lang w:eastAsia="es-ES"/>
        </w:rPr>
        <w:t>a</w:t>
      </w:r>
      <w:r w:rsidR="004C16D8" w:rsidRPr="008A7BD7">
        <w:rPr>
          <w:rFonts w:ascii="Cambria" w:eastAsia="Times New Roman" w:hAnsi="Cambria" w:cs="Tahoma"/>
          <w:color w:val="000000"/>
          <w:sz w:val="20"/>
          <w:szCs w:val="20"/>
          <w:lang w:eastAsia="es-ES"/>
        </w:rPr>
        <w:t xml:space="preserve"> gathering when it caus</w:t>
      </w:r>
      <w:r w:rsidR="00074796" w:rsidRPr="008A7BD7">
        <w:rPr>
          <w:rFonts w:ascii="Cambria" w:eastAsia="Times New Roman" w:hAnsi="Cambria" w:cs="Tahoma"/>
          <w:color w:val="000000"/>
          <w:sz w:val="20"/>
          <w:szCs w:val="20"/>
          <w:lang w:eastAsia="es-ES"/>
        </w:rPr>
        <w:t>es</w:t>
      </w:r>
      <w:r w:rsidR="004C16D8" w:rsidRPr="008A7BD7">
        <w:rPr>
          <w:rFonts w:ascii="Cambria" w:eastAsia="Times New Roman" w:hAnsi="Cambria" w:cs="Tahoma"/>
          <w:color w:val="000000"/>
          <w:sz w:val="20"/>
          <w:szCs w:val="20"/>
          <w:lang w:eastAsia="es-ES"/>
        </w:rPr>
        <w:t xml:space="preserve"> </w:t>
      </w:r>
      <w:r w:rsidR="00074796" w:rsidRPr="008A7BD7">
        <w:rPr>
          <w:rFonts w:ascii="Cambria" w:eastAsia="Times New Roman" w:hAnsi="Cambria" w:cs="Tahoma"/>
          <w:color w:val="000000"/>
          <w:sz w:val="20"/>
          <w:szCs w:val="20"/>
          <w:lang w:eastAsia="es-ES"/>
        </w:rPr>
        <w:t xml:space="preserve">a </w:t>
      </w:r>
      <w:r w:rsidR="0032027A" w:rsidRPr="008A7BD7">
        <w:rPr>
          <w:rFonts w:ascii="Cambria" w:eastAsia="Times New Roman" w:hAnsi="Cambria" w:cs="Tahoma"/>
          <w:color w:val="000000"/>
          <w:sz w:val="20"/>
          <w:szCs w:val="20"/>
          <w:lang w:eastAsia="es-ES"/>
        </w:rPr>
        <w:t>major</w:t>
      </w:r>
      <w:r w:rsidR="004C16D8" w:rsidRPr="008A7BD7">
        <w:rPr>
          <w:rFonts w:ascii="Cambria" w:eastAsia="Times New Roman" w:hAnsi="Cambria" w:cs="Tahoma"/>
          <w:color w:val="000000"/>
          <w:sz w:val="20"/>
          <w:szCs w:val="20"/>
          <w:lang w:eastAsia="es-ES"/>
        </w:rPr>
        <w:t xml:space="preserve"> disturbance, such as </w:t>
      </w:r>
      <w:r w:rsidR="0032027A" w:rsidRPr="008A7BD7">
        <w:rPr>
          <w:rFonts w:ascii="Cambria" w:eastAsia="Times New Roman" w:hAnsi="Cambria" w:cs="Tahoma"/>
          <w:color w:val="000000"/>
          <w:sz w:val="20"/>
          <w:szCs w:val="20"/>
          <w:lang w:eastAsia="es-ES"/>
        </w:rPr>
        <w:t xml:space="preserve">long traffic jams, and </w:t>
      </w:r>
      <w:r w:rsidR="003160D6" w:rsidRPr="008A7BD7">
        <w:rPr>
          <w:rFonts w:ascii="Cambria" w:eastAsia="Times New Roman" w:hAnsi="Cambria" w:cs="Tahoma"/>
          <w:color w:val="000000"/>
          <w:sz w:val="20"/>
          <w:szCs w:val="20"/>
          <w:lang w:eastAsia="es-ES"/>
        </w:rPr>
        <w:t xml:space="preserve">when </w:t>
      </w:r>
      <w:r w:rsidR="0032027A" w:rsidRPr="008A7BD7">
        <w:rPr>
          <w:rFonts w:ascii="Cambria" w:eastAsia="Times New Roman" w:hAnsi="Cambria" w:cs="Tahoma"/>
          <w:color w:val="000000"/>
          <w:sz w:val="20"/>
          <w:szCs w:val="20"/>
          <w:lang w:eastAsia="es-ES"/>
        </w:rPr>
        <w:t>the disturbance is serious and sustained.</w:t>
      </w:r>
      <w:r w:rsidR="009C4A37" w:rsidRPr="008A7BD7">
        <w:rPr>
          <w:rFonts w:ascii="Cambria" w:eastAsia="Times New Roman" w:hAnsi="Cambria" w:cs="Tahoma"/>
          <w:color w:val="000000"/>
          <w:sz w:val="20"/>
          <w:szCs w:val="20"/>
          <w:vertAlign w:val="superscript"/>
          <w:lang w:val="es-419" w:eastAsia="es-ES"/>
        </w:rPr>
        <w:footnoteReference w:id="165"/>
      </w:r>
      <w:r w:rsidR="009C4A37" w:rsidRPr="008A7BD7">
        <w:rPr>
          <w:rFonts w:ascii="Cambria" w:eastAsia="Times New Roman" w:hAnsi="Cambria" w:cs="Tahoma"/>
          <w:color w:val="000000"/>
          <w:sz w:val="20"/>
          <w:szCs w:val="20"/>
          <w:lang w:eastAsia="es-ES"/>
        </w:rPr>
        <w:t xml:space="preserve"> </w:t>
      </w:r>
    </w:p>
    <w:p w14:paraId="5F3B1E97"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3F0BEB35" w14:textId="0B8ED335" w:rsidR="009C4A37" w:rsidRPr="008A7BD7" w:rsidRDefault="0032027A"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 xml:space="preserve">The IACHR received information </w:t>
      </w:r>
      <w:r w:rsidR="00C43F8E" w:rsidRPr="008A7BD7">
        <w:rPr>
          <w:rFonts w:ascii="Cambria" w:eastAsia="Times New Roman" w:hAnsi="Cambria" w:cs="Tahoma"/>
          <w:color w:val="000000"/>
          <w:sz w:val="20"/>
          <w:szCs w:val="20"/>
          <w:lang w:eastAsia="es-ES"/>
        </w:rPr>
        <w:t>concerning</w:t>
      </w:r>
      <w:r w:rsidRPr="008A7BD7">
        <w:rPr>
          <w:rFonts w:ascii="Cambria" w:eastAsia="Times New Roman" w:hAnsi="Cambria" w:cs="Tahoma"/>
          <w:color w:val="000000"/>
          <w:sz w:val="20"/>
          <w:szCs w:val="20"/>
          <w:lang w:eastAsia="es-ES"/>
        </w:rPr>
        <w:t xml:space="preserve"> particularly violent </w:t>
      </w:r>
      <w:r w:rsidR="00932679" w:rsidRPr="008A7BD7">
        <w:rPr>
          <w:rFonts w:ascii="Cambria" w:eastAsia="Times New Roman" w:hAnsi="Cambria" w:cs="Tahoma"/>
          <w:color w:val="000000"/>
          <w:sz w:val="20"/>
          <w:szCs w:val="20"/>
          <w:lang w:eastAsia="es-ES"/>
        </w:rPr>
        <w:t>clashes</w:t>
      </w:r>
      <w:r w:rsidRPr="008A7BD7">
        <w:rPr>
          <w:rFonts w:ascii="Cambria" w:eastAsia="Times New Roman" w:hAnsi="Cambria" w:cs="Tahoma"/>
          <w:color w:val="000000"/>
          <w:sz w:val="20"/>
          <w:szCs w:val="20"/>
          <w:lang w:eastAsia="es-ES"/>
        </w:rPr>
        <w:t xml:space="preserve"> between the </w:t>
      </w:r>
      <w:r w:rsidR="00932679" w:rsidRPr="008A7BD7">
        <w:rPr>
          <w:rFonts w:ascii="Cambria" w:eastAsia="Times New Roman" w:hAnsi="Cambria" w:cs="Tahoma"/>
          <w:color w:val="000000"/>
          <w:sz w:val="20"/>
          <w:szCs w:val="20"/>
          <w:lang w:eastAsia="es-ES"/>
        </w:rPr>
        <w:t xml:space="preserve">National Civil Police and demonstrators in </w:t>
      </w:r>
      <w:proofErr w:type="spellStart"/>
      <w:r w:rsidR="009C4A37" w:rsidRPr="008A7BD7">
        <w:rPr>
          <w:rFonts w:ascii="Cambria" w:eastAsia="Times New Roman" w:hAnsi="Cambria" w:cs="Tahoma"/>
          <w:color w:val="000000"/>
          <w:sz w:val="20"/>
          <w:szCs w:val="20"/>
          <w:lang w:eastAsia="es-ES"/>
        </w:rPr>
        <w:t>Cuyotenango</w:t>
      </w:r>
      <w:proofErr w:type="spellEnd"/>
      <w:r w:rsidR="009C4A37" w:rsidRPr="008A7BD7">
        <w:rPr>
          <w:rFonts w:ascii="Cambria" w:eastAsia="Times New Roman" w:hAnsi="Cambria" w:cs="Tahoma"/>
          <w:color w:val="000000"/>
          <w:sz w:val="20"/>
          <w:szCs w:val="20"/>
          <w:lang w:eastAsia="es-ES"/>
        </w:rPr>
        <w:t>, Suchitepéquez</w:t>
      </w:r>
      <w:r w:rsidR="00932679" w:rsidRPr="008A7BD7">
        <w:rPr>
          <w:rFonts w:ascii="Cambria" w:eastAsia="Times New Roman" w:hAnsi="Cambria" w:cs="Tahoma"/>
          <w:color w:val="000000"/>
          <w:sz w:val="20"/>
          <w:szCs w:val="20"/>
          <w:lang w:eastAsia="es-ES"/>
        </w:rPr>
        <w:t xml:space="preserve">, on September </w:t>
      </w:r>
      <w:r w:rsidR="009C4A37" w:rsidRPr="008A7BD7">
        <w:rPr>
          <w:rFonts w:ascii="Cambria" w:eastAsia="Times New Roman" w:hAnsi="Cambria" w:cs="Tahoma"/>
          <w:color w:val="000000"/>
          <w:sz w:val="20"/>
          <w:szCs w:val="20"/>
          <w:lang w:eastAsia="es-ES"/>
        </w:rPr>
        <w:t>27</w:t>
      </w:r>
      <w:r w:rsidR="00932679"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 xml:space="preserve">2021, </w:t>
      </w:r>
      <w:r w:rsidR="00932679" w:rsidRPr="008A7BD7">
        <w:rPr>
          <w:rFonts w:ascii="Cambria" w:eastAsia="Times New Roman" w:hAnsi="Cambria" w:cs="Tahoma"/>
          <w:color w:val="000000"/>
          <w:sz w:val="20"/>
          <w:szCs w:val="20"/>
          <w:lang w:eastAsia="es-ES"/>
        </w:rPr>
        <w:t xml:space="preserve">stemming from </w:t>
      </w:r>
      <w:r w:rsidR="009C4A37" w:rsidRPr="008A7BD7">
        <w:rPr>
          <w:rFonts w:ascii="Cambria" w:eastAsia="Times New Roman" w:hAnsi="Cambria" w:cs="Tahoma"/>
          <w:color w:val="000000"/>
          <w:sz w:val="20"/>
          <w:szCs w:val="20"/>
          <w:lang w:eastAsia="es-ES"/>
        </w:rPr>
        <w:t>a</w:t>
      </w:r>
      <w:r w:rsidR="00932679" w:rsidRPr="008A7BD7">
        <w:rPr>
          <w:rFonts w:ascii="Cambria" w:eastAsia="Times New Roman" w:hAnsi="Cambria" w:cs="Tahoma"/>
          <w:color w:val="000000"/>
          <w:sz w:val="20"/>
          <w:szCs w:val="20"/>
          <w:lang w:eastAsia="es-ES"/>
        </w:rPr>
        <w:t xml:space="preserve"> roadblock protest over the lack of electric power in the region. According to the information available, at least </w:t>
      </w:r>
      <w:r w:rsidR="009C4A37" w:rsidRPr="008A7BD7">
        <w:rPr>
          <w:rFonts w:ascii="Cambria" w:eastAsia="Times New Roman" w:hAnsi="Cambria" w:cs="Tahoma"/>
          <w:color w:val="000000"/>
          <w:sz w:val="20"/>
          <w:szCs w:val="20"/>
          <w:lang w:eastAsia="es-ES"/>
        </w:rPr>
        <w:lastRenderedPageBreak/>
        <w:t xml:space="preserve">12 </w:t>
      </w:r>
      <w:r w:rsidR="00932679" w:rsidRPr="008A7BD7">
        <w:rPr>
          <w:rFonts w:ascii="Cambria" w:eastAsia="Times New Roman" w:hAnsi="Cambria" w:cs="Tahoma"/>
          <w:color w:val="000000"/>
          <w:sz w:val="20"/>
          <w:szCs w:val="20"/>
          <w:lang w:eastAsia="es-ES"/>
        </w:rPr>
        <w:t xml:space="preserve">people were taken to the </w:t>
      </w:r>
      <w:proofErr w:type="spellStart"/>
      <w:r w:rsidR="009C4A37" w:rsidRPr="008A7BD7">
        <w:rPr>
          <w:rFonts w:ascii="Cambria" w:eastAsia="Times New Roman" w:hAnsi="Cambria" w:cs="Tahoma"/>
          <w:color w:val="000000"/>
          <w:sz w:val="20"/>
          <w:szCs w:val="20"/>
          <w:lang w:eastAsia="es-ES"/>
        </w:rPr>
        <w:t>Mazatenango</w:t>
      </w:r>
      <w:proofErr w:type="spellEnd"/>
      <w:r w:rsidR="009C4A37" w:rsidRPr="008A7BD7">
        <w:rPr>
          <w:rFonts w:ascii="Cambria" w:eastAsia="Times New Roman" w:hAnsi="Cambria" w:cs="Tahoma"/>
          <w:color w:val="000000"/>
          <w:sz w:val="20"/>
          <w:szCs w:val="20"/>
          <w:lang w:eastAsia="es-ES"/>
        </w:rPr>
        <w:t xml:space="preserve"> </w:t>
      </w:r>
      <w:r w:rsidR="00932679" w:rsidRPr="008A7BD7">
        <w:rPr>
          <w:rFonts w:ascii="Cambria" w:eastAsia="Times New Roman" w:hAnsi="Cambria" w:cs="Tahoma"/>
          <w:color w:val="000000"/>
          <w:sz w:val="20"/>
          <w:szCs w:val="20"/>
          <w:lang w:eastAsia="es-ES"/>
        </w:rPr>
        <w:t>National Hospital for tear gas pois</w:t>
      </w:r>
      <w:r w:rsidR="009D5CDF" w:rsidRPr="008A7BD7">
        <w:rPr>
          <w:rFonts w:ascii="Cambria" w:eastAsia="Times New Roman" w:hAnsi="Cambria" w:cs="Tahoma"/>
          <w:color w:val="000000"/>
          <w:sz w:val="20"/>
          <w:szCs w:val="20"/>
          <w:lang w:eastAsia="es-ES"/>
        </w:rPr>
        <w:t>on</w:t>
      </w:r>
      <w:r w:rsidR="00932679" w:rsidRPr="008A7BD7">
        <w:rPr>
          <w:rFonts w:ascii="Cambria" w:eastAsia="Times New Roman" w:hAnsi="Cambria" w:cs="Tahoma"/>
          <w:color w:val="000000"/>
          <w:sz w:val="20"/>
          <w:szCs w:val="20"/>
          <w:lang w:eastAsia="es-ES"/>
        </w:rPr>
        <w:t>ing</w:t>
      </w:r>
      <w:r w:rsidR="009D5CDF" w:rsidRPr="008A7BD7">
        <w:rPr>
          <w:rFonts w:ascii="Cambria" w:eastAsia="Times New Roman" w:hAnsi="Cambria" w:cs="Tahoma"/>
          <w:color w:val="000000"/>
          <w:sz w:val="20"/>
          <w:szCs w:val="20"/>
          <w:lang w:eastAsia="es-ES"/>
        </w:rPr>
        <w:t>,</w:t>
      </w:r>
      <w:r w:rsidR="00932679" w:rsidRPr="008A7BD7">
        <w:rPr>
          <w:rFonts w:ascii="Cambria" w:eastAsia="Times New Roman" w:hAnsi="Cambria" w:cs="Tahoma"/>
          <w:color w:val="000000"/>
          <w:sz w:val="20"/>
          <w:szCs w:val="20"/>
          <w:lang w:eastAsia="es-ES"/>
        </w:rPr>
        <w:t xml:space="preserve"> and 10 police officers were injured.</w:t>
      </w:r>
      <w:r w:rsidR="009C4A37" w:rsidRPr="008A7BD7">
        <w:rPr>
          <w:rFonts w:ascii="Cambria" w:eastAsia="Times New Roman" w:hAnsi="Cambria" w:cs="Tahoma"/>
          <w:color w:val="000000"/>
          <w:sz w:val="20"/>
          <w:szCs w:val="20"/>
          <w:vertAlign w:val="superscript"/>
          <w:lang w:val="es-419" w:eastAsia="es-ES"/>
        </w:rPr>
        <w:footnoteReference w:id="166"/>
      </w:r>
    </w:p>
    <w:p w14:paraId="3234CB7F" w14:textId="4EC9F30D" w:rsidR="76C9D40B" w:rsidRPr="008A7BD7" w:rsidRDefault="76C9D40B" w:rsidP="76C9D40B">
      <w:pPr>
        <w:ind w:left="360"/>
        <w:jc w:val="both"/>
        <w:rPr>
          <w:rFonts w:ascii="Cambria" w:eastAsia="Times New Roman" w:hAnsi="Cambria" w:cs="Tahoma"/>
          <w:color w:val="000000" w:themeColor="text1"/>
          <w:sz w:val="20"/>
          <w:szCs w:val="20"/>
          <w:lang w:eastAsia="es-ES"/>
        </w:rPr>
      </w:pPr>
    </w:p>
    <w:p w14:paraId="474B218D" w14:textId="6E820E29" w:rsidR="009C4A37" w:rsidRPr="008A7BD7" w:rsidRDefault="00156B3D"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themeColor="text1"/>
          <w:sz w:val="20"/>
          <w:szCs w:val="20"/>
          <w:lang w:eastAsia="es-ES"/>
        </w:rPr>
        <w:t xml:space="preserve">The IACHR noted that on October </w:t>
      </w:r>
      <w:r w:rsidR="009C4A37" w:rsidRPr="008A7BD7">
        <w:rPr>
          <w:rFonts w:ascii="Cambria" w:eastAsia="Times New Roman" w:hAnsi="Cambria" w:cs="Tahoma"/>
          <w:color w:val="000000"/>
          <w:sz w:val="20"/>
          <w:szCs w:val="20"/>
          <w:lang w:eastAsia="es-ES"/>
        </w:rPr>
        <w:t>19</w:t>
      </w:r>
      <w:r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 xml:space="preserve">2021, </w:t>
      </w:r>
      <w:r w:rsidRPr="008A7BD7">
        <w:rPr>
          <w:rFonts w:ascii="Cambria" w:eastAsia="Times New Roman" w:hAnsi="Cambria" w:cs="Tahoma"/>
          <w:color w:val="000000"/>
          <w:sz w:val="20"/>
          <w:szCs w:val="20"/>
          <w:lang w:eastAsia="es-ES"/>
        </w:rPr>
        <w:t xml:space="preserve">during a protest in which military </w:t>
      </w:r>
      <w:r w:rsidR="00FA4700" w:rsidRPr="008A7BD7">
        <w:rPr>
          <w:rFonts w:ascii="Cambria" w:eastAsia="Times New Roman" w:hAnsi="Cambria" w:cs="Tahoma"/>
          <w:color w:val="000000"/>
          <w:sz w:val="20"/>
          <w:szCs w:val="20"/>
          <w:lang w:eastAsia="es-ES"/>
        </w:rPr>
        <w:t xml:space="preserve">retirees demanded the approval of the </w:t>
      </w:r>
      <w:r w:rsidR="00B53EDF" w:rsidRPr="008A7BD7">
        <w:rPr>
          <w:rFonts w:ascii="Cambria" w:eastAsia="Times New Roman" w:hAnsi="Cambria" w:cs="Tahoma"/>
          <w:color w:val="000000"/>
          <w:sz w:val="20"/>
          <w:szCs w:val="20"/>
          <w:lang w:eastAsia="es-ES"/>
        </w:rPr>
        <w:t xml:space="preserve">Law on </w:t>
      </w:r>
      <w:r w:rsidR="00FA4700" w:rsidRPr="008A7BD7">
        <w:rPr>
          <w:rFonts w:ascii="Cambria" w:eastAsia="Times New Roman" w:hAnsi="Cambria" w:cs="Tahoma"/>
          <w:color w:val="000000"/>
          <w:sz w:val="20"/>
          <w:szCs w:val="20"/>
          <w:lang w:eastAsia="es-ES"/>
        </w:rPr>
        <w:t xml:space="preserve">Financial Compensation for Military Service, demonstrators reportedly stormed the Legislative Palace, destroyed offices, and set five vehicles on fire. Police forces </w:t>
      </w:r>
      <w:r w:rsidR="00451E29" w:rsidRPr="008A7BD7">
        <w:rPr>
          <w:rFonts w:ascii="Cambria" w:eastAsia="Times New Roman" w:hAnsi="Cambria" w:cs="Tahoma"/>
          <w:color w:val="000000"/>
          <w:sz w:val="20"/>
          <w:szCs w:val="20"/>
          <w:lang w:eastAsia="es-ES"/>
        </w:rPr>
        <w:t>were reported to have</w:t>
      </w:r>
      <w:r w:rsidR="00FA4700" w:rsidRPr="008A7BD7">
        <w:rPr>
          <w:rFonts w:ascii="Cambria" w:eastAsia="Times New Roman" w:hAnsi="Cambria" w:cs="Tahoma"/>
          <w:color w:val="000000"/>
          <w:sz w:val="20"/>
          <w:szCs w:val="20"/>
          <w:lang w:eastAsia="es-ES"/>
        </w:rPr>
        <w:t xml:space="preserve"> fired tear gas </w:t>
      </w:r>
      <w:proofErr w:type="gramStart"/>
      <w:r w:rsidR="00FA4700" w:rsidRPr="008A7BD7">
        <w:rPr>
          <w:rFonts w:ascii="Cambria" w:eastAsia="Times New Roman" w:hAnsi="Cambria" w:cs="Tahoma"/>
          <w:color w:val="000000"/>
          <w:sz w:val="20"/>
          <w:szCs w:val="20"/>
          <w:lang w:eastAsia="es-ES"/>
        </w:rPr>
        <w:t>in an attempt to</w:t>
      </w:r>
      <w:proofErr w:type="gramEnd"/>
      <w:r w:rsidR="00FA4700" w:rsidRPr="008A7BD7">
        <w:rPr>
          <w:rFonts w:ascii="Cambria" w:eastAsia="Times New Roman" w:hAnsi="Cambria" w:cs="Tahoma"/>
          <w:color w:val="000000"/>
          <w:sz w:val="20"/>
          <w:szCs w:val="20"/>
          <w:lang w:eastAsia="es-ES"/>
        </w:rPr>
        <w:t xml:space="preserve"> contain the</w:t>
      </w:r>
      <w:r w:rsidR="00451E29" w:rsidRPr="008A7BD7">
        <w:rPr>
          <w:rFonts w:ascii="Cambria" w:eastAsia="Times New Roman" w:hAnsi="Cambria" w:cs="Tahoma"/>
          <w:color w:val="000000"/>
          <w:sz w:val="20"/>
          <w:szCs w:val="20"/>
          <w:lang w:eastAsia="es-ES"/>
        </w:rPr>
        <w:t xml:space="preserve"> </w:t>
      </w:r>
      <w:r w:rsidR="00B53EDF" w:rsidRPr="008A7BD7">
        <w:rPr>
          <w:rFonts w:ascii="Cambria" w:eastAsia="Times New Roman" w:hAnsi="Cambria" w:cs="Tahoma"/>
          <w:color w:val="000000"/>
          <w:sz w:val="20"/>
          <w:szCs w:val="20"/>
          <w:lang w:eastAsia="es-ES"/>
        </w:rPr>
        <w:t>protesters</w:t>
      </w:r>
      <w:r w:rsidR="00451E29" w:rsidRPr="008A7BD7">
        <w:rPr>
          <w:rFonts w:ascii="Cambria" w:eastAsia="Times New Roman" w:hAnsi="Cambria" w:cs="Tahoma"/>
          <w:color w:val="000000"/>
          <w:sz w:val="20"/>
          <w:szCs w:val="20"/>
          <w:lang w:eastAsia="es-ES"/>
        </w:rPr>
        <w:t>.</w:t>
      </w:r>
      <w:r w:rsidR="00FA4700" w:rsidRPr="008A7BD7">
        <w:rPr>
          <w:rFonts w:ascii="Cambria" w:eastAsia="Times New Roman" w:hAnsi="Cambria" w:cs="Tahoma"/>
          <w:color w:val="000000"/>
          <w:sz w:val="20"/>
          <w:szCs w:val="20"/>
          <w:lang w:eastAsia="es-ES"/>
        </w:rPr>
        <w:t xml:space="preserve"> </w:t>
      </w:r>
      <w:r w:rsidR="00451E29" w:rsidRPr="008A7BD7">
        <w:rPr>
          <w:rFonts w:ascii="Cambria" w:eastAsia="Times New Roman" w:hAnsi="Cambria" w:cs="Tahoma"/>
          <w:color w:val="000000"/>
          <w:sz w:val="20"/>
          <w:szCs w:val="20"/>
          <w:lang w:eastAsia="es-ES"/>
        </w:rPr>
        <w:t xml:space="preserve">In this context, according to the Association of Journalists of </w:t>
      </w:r>
      <w:r w:rsidR="009C4A37" w:rsidRPr="008A7BD7">
        <w:rPr>
          <w:rFonts w:ascii="Cambria" w:eastAsia="Times New Roman" w:hAnsi="Cambria" w:cs="Tahoma"/>
          <w:color w:val="000000"/>
          <w:sz w:val="20"/>
          <w:szCs w:val="20"/>
          <w:lang w:eastAsia="es-ES"/>
        </w:rPr>
        <w:t xml:space="preserve">Guatemala, </w:t>
      </w:r>
      <w:r w:rsidR="00451E29" w:rsidRPr="008A7BD7">
        <w:rPr>
          <w:rFonts w:ascii="Cambria" w:eastAsia="Times New Roman" w:hAnsi="Cambria" w:cs="Tahoma"/>
          <w:color w:val="000000"/>
          <w:sz w:val="20"/>
          <w:szCs w:val="20"/>
          <w:lang w:eastAsia="es-ES"/>
        </w:rPr>
        <w:t>at least eight journalists were said to have suffered attacks and at least four of them were injured.</w:t>
      </w:r>
      <w:r w:rsidR="009C4A37" w:rsidRPr="008A7BD7">
        <w:rPr>
          <w:rFonts w:ascii="Cambria" w:eastAsia="Times New Roman" w:hAnsi="Cambria" w:cs="Tahoma"/>
          <w:color w:val="000000"/>
          <w:sz w:val="20"/>
          <w:szCs w:val="20"/>
          <w:vertAlign w:val="superscript"/>
          <w:lang w:val="es-419" w:eastAsia="es-ES"/>
        </w:rPr>
        <w:footnoteReference w:id="167"/>
      </w:r>
      <w:r w:rsidR="009C4A37" w:rsidRPr="008A7BD7">
        <w:rPr>
          <w:rFonts w:ascii="Cambria" w:eastAsia="Times New Roman" w:hAnsi="Cambria" w:cs="Tahoma"/>
          <w:color w:val="000000"/>
          <w:sz w:val="20"/>
          <w:szCs w:val="20"/>
          <w:lang w:eastAsia="es-ES"/>
        </w:rPr>
        <w:t xml:space="preserve"> </w:t>
      </w:r>
      <w:r w:rsidR="00451E29" w:rsidRPr="008A7BD7">
        <w:rPr>
          <w:rFonts w:ascii="Cambria" w:eastAsia="Times New Roman" w:hAnsi="Cambria" w:cs="Tahoma"/>
          <w:color w:val="000000"/>
          <w:sz w:val="20"/>
          <w:szCs w:val="20"/>
          <w:lang w:eastAsia="es-ES"/>
        </w:rPr>
        <w:t>According to the information available, the president of the Congress ordered a full investigation into the events.</w:t>
      </w:r>
      <w:r w:rsidR="009C4A37" w:rsidRPr="008A7BD7">
        <w:rPr>
          <w:rFonts w:ascii="Cambria" w:eastAsia="Times New Roman" w:hAnsi="Cambria" w:cs="Tahoma"/>
          <w:color w:val="000000"/>
          <w:sz w:val="20"/>
          <w:szCs w:val="20"/>
          <w:lang w:eastAsia="es-ES"/>
        </w:rPr>
        <w:t xml:space="preserve"> </w:t>
      </w:r>
    </w:p>
    <w:p w14:paraId="21E4BF5B"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2852FB23" w14:textId="691F43F9" w:rsidR="009C4A37" w:rsidRPr="008A7BD7" w:rsidRDefault="00451E29"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 xml:space="preserve">Moreover, </w:t>
      </w:r>
      <w:r w:rsidR="00D6296A" w:rsidRPr="008A7BD7">
        <w:rPr>
          <w:rFonts w:ascii="Cambria" w:eastAsia="Times New Roman" w:hAnsi="Cambria" w:cs="Tahoma"/>
          <w:color w:val="000000"/>
          <w:sz w:val="20"/>
          <w:szCs w:val="20"/>
          <w:lang w:eastAsia="es-ES"/>
        </w:rPr>
        <w:t>the IACHR</w:t>
      </w:r>
      <w:r w:rsidRPr="008A7BD7">
        <w:rPr>
          <w:rFonts w:ascii="Cambria" w:eastAsia="Times New Roman" w:hAnsi="Cambria" w:cs="Tahoma"/>
          <w:color w:val="000000"/>
          <w:sz w:val="20"/>
          <w:szCs w:val="20"/>
          <w:lang w:eastAsia="es-ES"/>
        </w:rPr>
        <w:t xml:space="preserve"> learn</w:t>
      </w:r>
      <w:r w:rsidR="00D6296A" w:rsidRPr="008A7BD7">
        <w:rPr>
          <w:rFonts w:ascii="Cambria" w:eastAsia="Times New Roman" w:hAnsi="Cambria" w:cs="Tahoma"/>
          <w:color w:val="000000"/>
          <w:sz w:val="20"/>
          <w:szCs w:val="20"/>
          <w:lang w:eastAsia="es-ES"/>
        </w:rPr>
        <w:t>ed that</w:t>
      </w:r>
      <w:r w:rsidRPr="008A7BD7">
        <w:rPr>
          <w:rFonts w:ascii="Cambria" w:eastAsia="Times New Roman" w:hAnsi="Cambria" w:cs="Tahoma"/>
          <w:color w:val="000000"/>
          <w:sz w:val="20"/>
          <w:szCs w:val="20"/>
          <w:lang w:eastAsia="es-ES"/>
        </w:rPr>
        <w:t xml:space="preserve"> on October 22, at least four journalists from </w:t>
      </w:r>
      <w:proofErr w:type="spellStart"/>
      <w:r w:rsidR="009C4A37" w:rsidRPr="008A7BD7">
        <w:rPr>
          <w:rFonts w:ascii="Cambria" w:eastAsia="Times New Roman" w:hAnsi="Cambria" w:cs="Tahoma"/>
          <w:i/>
          <w:iCs/>
          <w:color w:val="000000"/>
          <w:sz w:val="20"/>
          <w:szCs w:val="20"/>
          <w:lang w:eastAsia="es-ES"/>
        </w:rPr>
        <w:t>Prensa</w:t>
      </w:r>
      <w:proofErr w:type="spellEnd"/>
      <w:r w:rsidR="009C4A37" w:rsidRPr="008A7BD7">
        <w:rPr>
          <w:rFonts w:ascii="Cambria" w:eastAsia="Times New Roman" w:hAnsi="Cambria" w:cs="Tahoma"/>
          <w:i/>
          <w:iCs/>
          <w:color w:val="000000"/>
          <w:sz w:val="20"/>
          <w:szCs w:val="20"/>
          <w:lang w:eastAsia="es-ES"/>
        </w:rPr>
        <w:t xml:space="preserve"> </w:t>
      </w:r>
      <w:proofErr w:type="spellStart"/>
      <w:r w:rsidR="009C4A37" w:rsidRPr="008A7BD7">
        <w:rPr>
          <w:rFonts w:ascii="Cambria" w:eastAsia="Times New Roman" w:hAnsi="Cambria" w:cs="Tahoma"/>
          <w:i/>
          <w:iCs/>
          <w:color w:val="000000"/>
          <w:sz w:val="20"/>
          <w:szCs w:val="20"/>
          <w:lang w:eastAsia="es-ES"/>
        </w:rPr>
        <w:t>Comunitaria</w:t>
      </w:r>
      <w:proofErr w:type="spellEnd"/>
      <w:r w:rsidR="009C4A37" w:rsidRPr="008A7BD7">
        <w:rPr>
          <w:rFonts w:ascii="Cambria" w:eastAsia="Times New Roman" w:hAnsi="Cambria" w:cs="Tahoma"/>
          <w:color w:val="000000"/>
          <w:sz w:val="20"/>
          <w:szCs w:val="20"/>
          <w:lang w:eastAsia="es-ES"/>
        </w:rPr>
        <w:t> </w:t>
      </w:r>
      <w:r w:rsidRPr="008A7BD7">
        <w:rPr>
          <w:rFonts w:ascii="Cambria" w:eastAsia="Times New Roman" w:hAnsi="Cambria" w:cs="Tahoma"/>
          <w:color w:val="000000"/>
          <w:sz w:val="20"/>
          <w:szCs w:val="20"/>
          <w:lang w:eastAsia="es-ES"/>
        </w:rPr>
        <w:t xml:space="preserve">were reportedly attacked when they were reporting on the demonstrations among the </w:t>
      </w:r>
      <w:proofErr w:type="spellStart"/>
      <w:r w:rsidR="009C4A37" w:rsidRPr="008A7BD7">
        <w:rPr>
          <w:rFonts w:ascii="Cambria" w:eastAsia="Times New Roman" w:hAnsi="Cambria" w:cs="Tahoma"/>
          <w:color w:val="000000"/>
          <w:sz w:val="20"/>
          <w:szCs w:val="20"/>
          <w:lang w:eastAsia="es-ES"/>
        </w:rPr>
        <w:t>Q’eqchi</w:t>
      </w:r>
      <w:proofErr w:type="spellEnd"/>
      <w:r w:rsidR="009C4A37" w:rsidRPr="008A7BD7">
        <w:rPr>
          <w:rFonts w:ascii="Cambria" w:eastAsia="Times New Roman" w:hAnsi="Cambria" w:cs="Tahoma"/>
          <w:color w:val="000000"/>
          <w:sz w:val="20"/>
          <w:szCs w:val="20"/>
          <w:lang w:eastAsia="es-ES"/>
        </w:rPr>
        <w:t xml:space="preserve">’ </w:t>
      </w:r>
      <w:r w:rsidRPr="008A7BD7">
        <w:rPr>
          <w:rFonts w:ascii="Cambria" w:eastAsia="Times New Roman" w:hAnsi="Cambria" w:cs="Tahoma"/>
          <w:color w:val="000000"/>
          <w:sz w:val="20"/>
          <w:szCs w:val="20"/>
          <w:lang w:eastAsia="es-ES"/>
        </w:rPr>
        <w:t xml:space="preserve">population in </w:t>
      </w:r>
      <w:r w:rsidR="009C4A37" w:rsidRPr="008A7BD7">
        <w:rPr>
          <w:rFonts w:ascii="Cambria" w:eastAsia="Times New Roman" w:hAnsi="Cambria" w:cs="Tahoma"/>
          <w:color w:val="000000"/>
          <w:sz w:val="20"/>
          <w:szCs w:val="20"/>
          <w:lang w:eastAsia="es-ES"/>
        </w:rPr>
        <w:t xml:space="preserve">El </w:t>
      </w:r>
      <w:proofErr w:type="spellStart"/>
      <w:r w:rsidR="009C4A37" w:rsidRPr="008A7BD7">
        <w:rPr>
          <w:rFonts w:ascii="Cambria" w:eastAsia="Times New Roman" w:hAnsi="Cambria" w:cs="Tahoma"/>
          <w:color w:val="000000"/>
          <w:sz w:val="20"/>
          <w:szCs w:val="20"/>
          <w:lang w:eastAsia="es-ES"/>
        </w:rPr>
        <w:t>Estor</w:t>
      </w:r>
      <w:proofErr w:type="spellEnd"/>
      <w:r w:rsidR="009C4A37" w:rsidRPr="008A7BD7">
        <w:rPr>
          <w:rFonts w:ascii="Cambria" w:eastAsia="Times New Roman" w:hAnsi="Cambria" w:cs="Tahoma"/>
          <w:color w:val="000000"/>
          <w:sz w:val="20"/>
          <w:szCs w:val="20"/>
          <w:lang w:eastAsia="es-ES"/>
        </w:rPr>
        <w:t xml:space="preserve">, Izabal, </w:t>
      </w:r>
      <w:r w:rsidRPr="008A7BD7">
        <w:rPr>
          <w:rFonts w:ascii="Cambria" w:eastAsia="Times New Roman" w:hAnsi="Cambria" w:cs="Tahoma"/>
          <w:color w:val="000000"/>
          <w:sz w:val="20"/>
          <w:szCs w:val="20"/>
          <w:lang w:eastAsia="es-ES"/>
        </w:rPr>
        <w:t>and on the use of public force to disperse the</w:t>
      </w:r>
      <w:r w:rsidR="00D6296A" w:rsidRPr="008A7BD7">
        <w:rPr>
          <w:rFonts w:ascii="Cambria" w:eastAsia="Times New Roman" w:hAnsi="Cambria" w:cs="Tahoma"/>
          <w:color w:val="000000"/>
          <w:sz w:val="20"/>
          <w:szCs w:val="20"/>
          <w:lang w:eastAsia="es-ES"/>
        </w:rPr>
        <w:t xml:space="preserve"> protesters</w:t>
      </w:r>
      <w:r w:rsidRPr="008A7BD7">
        <w:rPr>
          <w:rFonts w:ascii="Cambria" w:eastAsia="Times New Roman" w:hAnsi="Cambria" w:cs="Tahoma"/>
          <w:color w:val="000000"/>
          <w:sz w:val="20"/>
          <w:szCs w:val="20"/>
          <w:lang w:eastAsia="es-ES"/>
        </w:rPr>
        <w:t xml:space="preserve">. The IACHR </w:t>
      </w:r>
      <w:r w:rsidR="00FE3C4C" w:rsidRPr="008A7BD7">
        <w:rPr>
          <w:rFonts w:ascii="Cambria" w:eastAsia="Times New Roman" w:hAnsi="Cambria" w:cs="Tahoma"/>
          <w:color w:val="000000"/>
          <w:sz w:val="20"/>
          <w:szCs w:val="20"/>
          <w:lang w:eastAsia="es-ES"/>
        </w:rPr>
        <w:t>points</w:t>
      </w:r>
      <w:r w:rsidRPr="008A7BD7">
        <w:rPr>
          <w:rFonts w:ascii="Cambria" w:eastAsia="Times New Roman" w:hAnsi="Cambria" w:cs="Tahoma"/>
          <w:color w:val="000000"/>
          <w:sz w:val="20"/>
          <w:szCs w:val="20"/>
          <w:lang w:eastAsia="es-ES"/>
        </w:rPr>
        <w:t xml:space="preserve"> to the case of journalist </w:t>
      </w:r>
      <w:r w:rsidR="009C4A37" w:rsidRPr="008A7BD7">
        <w:rPr>
          <w:rFonts w:ascii="Cambria" w:eastAsia="Times New Roman" w:hAnsi="Cambria" w:cs="Tahoma"/>
          <w:color w:val="000000"/>
          <w:sz w:val="20"/>
          <w:szCs w:val="20"/>
          <w:lang w:eastAsia="es-ES"/>
        </w:rPr>
        <w:t xml:space="preserve">Carlos Ernesto Choc, </w:t>
      </w:r>
      <w:r w:rsidRPr="008A7BD7">
        <w:rPr>
          <w:rFonts w:ascii="Cambria" w:eastAsia="Times New Roman" w:hAnsi="Cambria" w:cs="Tahoma"/>
          <w:color w:val="000000"/>
          <w:sz w:val="20"/>
          <w:szCs w:val="20"/>
          <w:lang w:eastAsia="es-ES"/>
        </w:rPr>
        <w:t xml:space="preserve">who reported that police officers beat him </w:t>
      </w:r>
      <w:r w:rsidR="00D6296A" w:rsidRPr="008A7BD7">
        <w:rPr>
          <w:rFonts w:ascii="Cambria" w:eastAsia="Times New Roman" w:hAnsi="Cambria" w:cs="Tahoma"/>
          <w:color w:val="000000"/>
          <w:sz w:val="20"/>
          <w:szCs w:val="20"/>
          <w:lang w:eastAsia="es-ES"/>
        </w:rPr>
        <w:t xml:space="preserve">and </w:t>
      </w:r>
      <w:r w:rsidR="00FE3C4C" w:rsidRPr="008A7BD7">
        <w:rPr>
          <w:rFonts w:ascii="Cambria" w:eastAsia="Times New Roman" w:hAnsi="Cambria" w:cs="Tahoma"/>
          <w:color w:val="000000"/>
          <w:sz w:val="20"/>
          <w:szCs w:val="20"/>
          <w:lang w:eastAsia="es-ES"/>
        </w:rPr>
        <w:t xml:space="preserve">took </w:t>
      </w:r>
      <w:r w:rsidR="00D6296A" w:rsidRPr="008A7BD7">
        <w:rPr>
          <w:rFonts w:ascii="Cambria" w:eastAsia="Times New Roman" w:hAnsi="Cambria" w:cs="Tahoma"/>
          <w:color w:val="000000"/>
          <w:sz w:val="20"/>
          <w:szCs w:val="20"/>
          <w:lang w:eastAsia="es-ES"/>
        </w:rPr>
        <w:t xml:space="preserve">away </w:t>
      </w:r>
      <w:r w:rsidR="00FE3C4C" w:rsidRPr="008A7BD7">
        <w:rPr>
          <w:rFonts w:ascii="Cambria" w:eastAsia="Times New Roman" w:hAnsi="Cambria" w:cs="Tahoma"/>
          <w:color w:val="000000"/>
          <w:sz w:val="20"/>
          <w:szCs w:val="20"/>
          <w:lang w:eastAsia="es-ES"/>
        </w:rPr>
        <w:t xml:space="preserve">his equipment. </w:t>
      </w:r>
      <w:r w:rsidR="00FE3C4C" w:rsidRPr="008A7BD7">
        <w:rPr>
          <w:rFonts w:ascii="Cambria" w:hAnsi="Cambria" w:cs="Tahoma"/>
          <w:sz w:val="20"/>
          <w:szCs w:val="20"/>
          <w:shd w:val="clear" w:color="auto" w:fill="FFFFFF"/>
        </w:rPr>
        <w:t>Besides reportedly threatening journalists so that they would not record</w:t>
      </w:r>
      <w:r w:rsidR="00D6296A" w:rsidRPr="008A7BD7">
        <w:rPr>
          <w:rFonts w:ascii="Cambria" w:hAnsi="Cambria" w:cs="Tahoma"/>
          <w:sz w:val="20"/>
          <w:szCs w:val="20"/>
          <w:shd w:val="clear" w:color="auto" w:fill="FFFFFF"/>
        </w:rPr>
        <w:t xml:space="preserve"> </w:t>
      </w:r>
      <w:r w:rsidR="00FE3C4C" w:rsidRPr="008A7BD7">
        <w:rPr>
          <w:rFonts w:ascii="Cambria" w:hAnsi="Cambria" w:cs="Tahoma"/>
          <w:sz w:val="20"/>
          <w:szCs w:val="20"/>
          <w:shd w:val="clear" w:color="auto" w:fill="FFFFFF"/>
        </w:rPr>
        <w:t xml:space="preserve">the events, police </w:t>
      </w:r>
      <w:r w:rsidR="00771FBC" w:rsidRPr="008A7BD7">
        <w:rPr>
          <w:rFonts w:ascii="Cambria" w:hAnsi="Cambria" w:cs="Tahoma"/>
          <w:sz w:val="20"/>
          <w:szCs w:val="20"/>
          <w:shd w:val="clear" w:color="auto" w:fill="FFFFFF"/>
        </w:rPr>
        <w:t>officers</w:t>
      </w:r>
      <w:r w:rsidR="00FE3C4C" w:rsidRPr="008A7BD7">
        <w:rPr>
          <w:rFonts w:ascii="Cambria" w:hAnsi="Cambria" w:cs="Tahoma"/>
          <w:sz w:val="20"/>
          <w:szCs w:val="20"/>
          <w:shd w:val="clear" w:color="auto" w:fill="FFFFFF"/>
        </w:rPr>
        <w:t xml:space="preserve"> were </w:t>
      </w:r>
      <w:r w:rsidR="00D6296A" w:rsidRPr="008A7BD7">
        <w:rPr>
          <w:rFonts w:ascii="Cambria" w:hAnsi="Cambria" w:cs="Tahoma"/>
          <w:sz w:val="20"/>
          <w:szCs w:val="20"/>
          <w:shd w:val="clear" w:color="auto" w:fill="FFFFFF"/>
        </w:rPr>
        <w:t>said</w:t>
      </w:r>
      <w:r w:rsidR="00FE3C4C" w:rsidRPr="008A7BD7">
        <w:rPr>
          <w:rFonts w:ascii="Cambria" w:hAnsi="Cambria" w:cs="Tahoma"/>
          <w:sz w:val="20"/>
          <w:szCs w:val="20"/>
          <w:shd w:val="clear" w:color="auto" w:fill="FFFFFF"/>
        </w:rPr>
        <w:t xml:space="preserve"> to have used tear gas against the demonstrators and media</w:t>
      </w:r>
      <w:r w:rsidR="00771FBC" w:rsidRPr="008A7BD7">
        <w:rPr>
          <w:rFonts w:ascii="Cambria" w:hAnsi="Cambria" w:cs="Tahoma"/>
          <w:sz w:val="20"/>
          <w:szCs w:val="20"/>
          <w:shd w:val="clear" w:color="auto" w:fill="FFFFFF"/>
        </w:rPr>
        <w:t xml:space="preserve"> workers</w:t>
      </w:r>
      <w:r w:rsidR="00FE3C4C" w:rsidRPr="008A7BD7">
        <w:rPr>
          <w:rFonts w:ascii="Cambria" w:hAnsi="Cambria" w:cs="Tahoma"/>
          <w:sz w:val="20"/>
          <w:szCs w:val="20"/>
          <w:shd w:val="clear" w:color="auto" w:fill="FFFFFF"/>
        </w:rPr>
        <w:t xml:space="preserve">, some of whom </w:t>
      </w:r>
      <w:r w:rsidR="00771FBC" w:rsidRPr="008A7BD7">
        <w:rPr>
          <w:rFonts w:ascii="Cambria" w:hAnsi="Cambria" w:cs="Tahoma"/>
          <w:sz w:val="20"/>
          <w:szCs w:val="20"/>
          <w:shd w:val="clear" w:color="auto" w:fill="FFFFFF"/>
        </w:rPr>
        <w:t>were injured</w:t>
      </w:r>
      <w:r w:rsidR="009C4A37" w:rsidRPr="008A7BD7">
        <w:rPr>
          <w:rFonts w:ascii="Cambria" w:eastAsia="Times New Roman" w:hAnsi="Cambria" w:cs="Tahoma"/>
          <w:color w:val="000000"/>
          <w:sz w:val="20"/>
          <w:szCs w:val="20"/>
          <w:lang w:eastAsia="es-ES"/>
        </w:rPr>
        <w:t xml:space="preserve">. </w:t>
      </w:r>
      <w:r w:rsidR="00FE3C4C" w:rsidRPr="008A7BD7">
        <w:rPr>
          <w:rFonts w:ascii="Cambria" w:hAnsi="Cambria" w:cs="Tahoma"/>
          <w:sz w:val="20"/>
          <w:szCs w:val="20"/>
          <w:shd w:val="clear" w:color="auto" w:fill="FFFFFF"/>
        </w:rPr>
        <w:t xml:space="preserve">In addition, several members of the National Civil Police were reportedly injured, including four </w:t>
      </w:r>
      <w:r w:rsidR="00BA62E1" w:rsidRPr="008A7BD7">
        <w:rPr>
          <w:rFonts w:ascii="Cambria" w:hAnsi="Cambria" w:cs="Tahoma"/>
          <w:sz w:val="20"/>
          <w:szCs w:val="20"/>
          <w:shd w:val="clear" w:color="auto" w:fill="FFFFFF"/>
        </w:rPr>
        <w:t xml:space="preserve">officers </w:t>
      </w:r>
      <w:r w:rsidR="00FE3C4C" w:rsidRPr="008A7BD7">
        <w:rPr>
          <w:rFonts w:ascii="Cambria" w:hAnsi="Cambria" w:cs="Tahoma"/>
          <w:sz w:val="20"/>
          <w:szCs w:val="20"/>
          <w:shd w:val="clear" w:color="auto" w:fill="FFFFFF"/>
        </w:rPr>
        <w:t>with gunshot wounds. According to the government, the demonstrations were blocking access routes and undermining attempted efforts at dialogue</w:t>
      </w:r>
      <w:r w:rsidR="00FE3C4C"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vertAlign w:val="superscript"/>
          <w:lang w:val="es-419" w:eastAsia="es-ES"/>
        </w:rPr>
        <w:footnoteReference w:id="168"/>
      </w:r>
      <w:r w:rsidR="009C4A37" w:rsidRPr="008A7BD7">
        <w:rPr>
          <w:rFonts w:ascii="Cambria" w:eastAsia="Times New Roman" w:hAnsi="Cambria" w:cs="Tahoma"/>
          <w:color w:val="000000"/>
          <w:sz w:val="20"/>
          <w:szCs w:val="20"/>
          <w:lang w:eastAsia="es-ES"/>
        </w:rPr>
        <w:t xml:space="preserve"> </w:t>
      </w:r>
      <w:r w:rsidR="00FE3C4C" w:rsidRPr="008A7BD7">
        <w:rPr>
          <w:rFonts w:ascii="Cambria" w:hAnsi="Cambria" w:cs="Tahoma"/>
          <w:sz w:val="20"/>
          <w:szCs w:val="20"/>
          <w:shd w:val="clear" w:color="auto" w:fill="FFFFFF"/>
        </w:rPr>
        <w:t>As a result of these clashes, the government decreed a state of siege in Izabal on October 24, 2021, a measure ratified by Congress on October 25.</w:t>
      </w:r>
      <w:r w:rsidR="009C4A37" w:rsidRPr="008A7BD7">
        <w:rPr>
          <w:rFonts w:ascii="Cambria" w:eastAsia="Times New Roman" w:hAnsi="Cambria" w:cs="Tahoma"/>
          <w:color w:val="000000"/>
          <w:sz w:val="20"/>
          <w:szCs w:val="20"/>
          <w:vertAlign w:val="superscript"/>
          <w:lang w:val="es-419" w:eastAsia="es-ES"/>
        </w:rPr>
        <w:footnoteReference w:id="169"/>
      </w:r>
      <w:r w:rsidR="009C4A37" w:rsidRPr="008A7BD7">
        <w:rPr>
          <w:rFonts w:ascii="Cambria" w:eastAsia="Times New Roman" w:hAnsi="Cambria" w:cs="Tahoma"/>
          <w:color w:val="000000"/>
          <w:sz w:val="20"/>
          <w:szCs w:val="20"/>
          <w:lang w:eastAsia="es-ES"/>
        </w:rPr>
        <w:t xml:space="preserve"> </w:t>
      </w:r>
    </w:p>
    <w:p w14:paraId="5CBD6F23"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12792A2F" w14:textId="38BF8CDF" w:rsidR="009C4A37" w:rsidRPr="008A7BD7" w:rsidRDefault="00216F57"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themeColor="text1"/>
          <w:sz w:val="20"/>
          <w:szCs w:val="20"/>
          <w:lang w:eastAsia="es-ES"/>
        </w:rPr>
        <w:t xml:space="preserve">Finally, in </w:t>
      </w:r>
      <w:r w:rsidR="009C4A37" w:rsidRPr="008A7BD7">
        <w:rPr>
          <w:rFonts w:ascii="Cambria" w:eastAsia="Times New Roman" w:hAnsi="Cambria" w:cs="Tahoma"/>
          <w:color w:val="000000" w:themeColor="text1"/>
          <w:sz w:val="20"/>
          <w:szCs w:val="20"/>
          <w:lang w:eastAsia="es-ES"/>
        </w:rPr>
        <w:t xml:space="preserve">2021, </w:t>
      </w:r>
      <w:r w:rsidRPr="008A7BD7">
        <w:rPr>
          <w:rFonts w:ascii="Cambria" w:eastAsia="Times New Roman" w:hAnsi="Cambria" w:cs="Tahoma"/>
          <w:color w:val="000000" w:themeColor="text1"/>
          <w:sz w:val="20"/>
          <w:szCs w:val="20"/>
          <w:lang w:eastAsia="es-ES"/>
        </w:rPr>
        <w:t xml:space="preserve">the IACHR documented </w:t>
      </w:r>
      <w:r w:rsidR="00D74762" w:rsidRPr="008A7BD7">
        <w:rPr>
          <w:rFonts w:ascii="Cambria" w:eastAsia="Times New Roman" w:hAnsi="Cambria" w:cs="Tahoma"/>
          <w:color w:val="000000" w:themeColor="text1"/>
          <w:sz w:val="20"/>
          <w:szCs w:val="20"/>
          <w:lang w:eastAsia="es-ES"/>
        </w:rPr>
        <w:t>that Guatemala’s executive branch implemented</w:t>
      </w:r>
      <w:r w:rsidRPr="008A7BD7">
        <w:rPr>
          <w:rFonts w:ascii="Cambria" w:eastAsia="Times New Roman" w:hAnsi="Cambria" w:cs="Tahoma"/>
          <w:color w:val="000000" w:themeColor="text1"/>
          <w:sz w:val="20"/>
          <w:szCs w:val="20"/>
          <w:lang w:eastAsia="es-ES"/>
        </w:rPr>
        <w:t xml:space="preserve"> measures to facilitat</w:t>
      </w:r>
      <w:r w:rsidR="00144B57" w:rsidRPr="008A7BD7">
        <w:rPr>
          <w:rFonts w:ascii="Cambria" w:eastAsia="Times New Roman" w:hAnsi="Cambria" w:cs="Tahoma"/>
          <w:color w:val="000000" w:themeColor="text1"/>
          <w:sz w:val="20"/>
          <w:szCs w:val="20"/>
          <w:lang w:eastAsia="es-ES"/>
        </w:rPr>
        <w:t>e</w:t>
      </w:r>
      <w:r w:rsidRPr="008A7BD7">
        <w:rPr>
          <w:rFonts w:ascii="Cambria" w:eastAsia="Times New Roman" w:hAnsi="Cambria" w:cs="Tahoma"/>
          <w:color w:val="000000" w:themeColor="text1"/>
          <w:sz w:val="20"/>
          <w:szCs w:val="20"/>
          <w:lang w:eastAsia="es-ES"/>
        </w:rPr>
        <w:t xml:space="preserve"> access to information and press coverage of issues of public interest. The State of </w:t>
      </w:r>
      <w:r w:rsidR="009C4A37" w:rsidRPr="008A7BD7">
        <w:rPr>
          <w:rFonts w:ascii="Cambria" w:eastAsia="Times New Roman" w:hAnsi="Cambria" w:cs="Tahoma"/>
          <w:color w:val="000000" w:themeColor="text1"/>
          <w:sz w:val="20"/>
          <w:szCs w:val="20"/>
          <w:lang w:eastAsia="es-ES"/>
        </w:rPr>
        <w:t xml:space="preserve">Guatemala </w:t>
      </w:r>
      <w:r w:rsidRPr="008A7BD7">
        <w:rPr>
          <w:rFonts w:ascii="Cambria" w:eastAsia="Times New Roman" w:hAnsi="Cambria" w:cs="Tahoma"/>
          <w:color w:val="000000" w:themeColor="text1"/>
          <w:sz w:val="20"/>
          <w:szCs w:val="20"/>
          <w:lang w:eastAsia="es-ES"/>
        </w:rPr>
        <w:t xml:space="preserve">informed the Commission that </w:t>
      </w:r>
      <w:r w:rsidR="00EA1E6D" w:rsidRPr="008A7BD7">
        <w:rPr>
          <w:rFonts w:ascii="Cambria" w:eastAsia="Times New Roman" w:hAnsi="Cambria" w:cs="Tahoma"/>
          <w:color w:val="000000" w:themeColor="text1"/>
          <w:sz w:val="20"/>
          <w:szCs w:val="20"/>
          <w:lang w:eastAsia="es-ES"/>
        </w:rPr>
        <w:t xml:space="preserve">on July 12, 2021, </w:t>
      </w:r>
      <w:r w:rsidRPr="008A7BD7">
        <w:rPr>
          <w:rFonts w:ascii="Cambria" w:eastAsia="Times New Roman" w:hAnsi="Cambria" w:cs="Tahoma"/>
          <w:color w:val="000000" w:themeColor="text1"/>
          <w:sz w:val="20"/>
          <w:szCs w:val="20"/>
          <w:lang w:eastAsia="es-ES"/>
        </w:rPr>
        <w:t xml:space="preserve">it </w:t>
      </w:r>
      <w:r w:rsidR="00EA1E6D" w:rsidRPr="008A7BD7">
        <w:rPr>
          <w:rFonts w:ascii="Cambria" w:eastAsia="Times New Roman" w:hAnsi="Cambria" w:cs="Tahoma"/>
          <w:color w:val="000000" w:themeColor="text1"/>
          <w:sz w:val="20"/>
          <w:szCs w:val="20"/>
          <w:lang w:eastAsia="es-ES"/>
        </w:rPr>
        <w:t>set up</w:t>
      </w:r>
      <w:r w:rsidRPr="008A7BD7">
        <w:rPr>
          <w:rFonts w:ascii="Cambria" w:eastAsia="Times New Roman" w:hAnsi="Cambria" w:cs="Tahoma"/>
          <w:color w:val="000000" w:themeColor="text1"/>
          <w:sz w:val="20"/>
          <w:szCs w:val="20"/>
          <w:lang w:eastAsia="es-ES"/>
        </w:rPr>
        <w:t xml:space="preserve"> a “Press Room</w:t>
      </w:r>
      <w:r w:rsidR="00EA1E6D" w:rsidRPr="008A7BD7">
        <w:rPr>
          <w:rFonts w:ascii="Cambria" w:eastAsia="Times New Roman" w:hAnsi="Cambria" w:cs="Tahoma"/>
          <w:color w:val="000000" w:themeColor="text1"/>
          <w:sz w:val="20"/>
          <w:szCs w:val="20"/>
          <w:lang w:eastAsia="es-ES"/>
        </w:rPr>
        <w:t>,</w:t>
      </w:r>
      <w:r w:rsidRPr="008A7BD7">
        <w:rPr>
          <w:rFonts w:ascii="Cambria" w:eastAsia="Times New Roman" w:hAnsi="Cambria" w:cs="Tahoma"/>
          <w:color w:val="000000" w:themeColor="text1"/>
          <w:sz w:val="20"/>
          <w:szCs w:val="20"/>
          <w:lang w:eastAsia="es-ES"/>
        </w:rPr>
        <w:t>”</w:t>
      </w:r>
      <w:r w:rsidR="00EA1E6D" w:rsidRPr="008A7BD7">
        <w:rPr>
          <w:rFonts w:ascii="Cambria" w:eastAsia="Times New Roman" w:hAnsi="Cambria" w:cs="Tahoma"/>
          <w:color w:val="000000" w:themeColor="text1"/>
          <w:sz w:val="20"/>
          <w:szCs w:val="20"/>
          <w:lang w:eastAsia="es-ES"/>
        </w:rPr>
        <w:t xml:space="preserve"> a digital pla</w:t>
      </w:r>
      <w:r w:rsidR="00144B57" w:rsidRPr="008A7BD7">
        <w:rPr>
          <w:rFonts w:ascii="Cambria" w:eastAsia="Times New Roman" w:hAnsi="Cambria" w:cs="Tahoma"/>
          <w:color w:val="000000" w:themeColor="text1"/>
          <w:sz w:val="20"/>
          <w:szCs w:val="20"/>
          <w:lang w:eastAsia="es-ES"/>
        </w:rPr>
        <w:t>t</w:t>
      </w:r>
      <w:r w:rsidR="00EA1E6D" w:rsidRPr="008A7BD7">
        <w:rPr>
          <w:rFonts w:ascii="Cambria" w:eastAsia="Times New Roman" w:hAnsi="Cambria" w:cs="Tahoma"/>
          <w:color w:val="000000" w:themeColor="text1"/>
          <w:sz w:val="20"/>
          <w:szCs w:val="20"/>
          <w:lang w:eastAsia="es-ES"/>
        </w:rPr>
        <w:t xml:space="preserve">form located on the government’s website where citizens </w:t>
      </w:r>
      <w:r w:rsidR="00144B57" w:rsidRPr="008A7BD7">
        <w:rPr>
          <w:rFonts w:ascii="Cambria" w:eastAsia="Times New Roman" w:hAnsi="Cambria" w:cs="Tahoma"/>
          <w:color w:val="000000" w:themeColor="text1"/>
          <w:sz w:val="20"/>
          <w:szCs w:val="20"/>
          <w:lang w:eastAsia="es-ES"/>
        </w:rPr>
        <w:t xml:space="preserve">can </w:t>
      </w:r>
      <w:r w:rsidR="00EA1E6D" w:rsidRPr="008A7BD7">
        <w:rPr>
          <w:rFonts w:ascii="Cambria" w:eastAsia="Times New Roman" w:hAnsi="Cambria" w:cs="Tahoma"/>
          <w:color w:val="000000" w:themeColor="text1"/>
          <w:sz w:val="20"/>
          <w:szCs w:val="20"/>
          <w:lang w:eastAsia="es-ES"/>
        </w:rPr>
        <w:t xml:space="preserve">have easier access to information resources such as official press releases, </w:t>
      </w:r>
      <w:r w:rsidR="00606505" w:rsidRPr="008A7BD7">
        <w:rPr>
          <w:rFonts w:ascii="Cambria" w:eastAsia="Times New Roman" w:hAnsi="Cambria" w:cs="Tahoma"/>
          <w:color w:val="000000" w:themeColor="text1"/>
          <w:sz w:val="20"/>
          <w:szCs w:val="20"/>
          <w:lang w:eastAsia="es-ES"/>
        </w:rPr>
        <w:t xml:space="preserve">notices of press conferences, communication campaigns, presidential speeches, a schedule of public activities, and multimedia resources, in addition to schedules of activities of ministries, secretariats, and agencies </w:t>
      </w:r>
      <w:r w:rsidR="00793492" w:rsidRPr="008A7BD7">
        <w:rPr>
          <w:rFonts w:ascii="Cambria" w:eastAsia="Times New Roman" w:hAnsi="Cambria" w:cs="Tahoma"/>
          <w:color w:val="000000" w:themeColor="text1"/>
          <w:sz w:val="20"/>
          <w:szCs w:val="20"/>
          <w:lang w:eastAsia="es-ES"/>
        </w:rPr>
        <w:t>that are part of</w:t>
      </w:r>
      <w:r w:rsidR="00606505" w:rsidRPr="008A7BD7">
        <w:rPr>
          <w:rFonts w:ascii="Cambria" w:eastAsia="Times New Roman" w:hAnsi="Cambria" w:cs="Tahoma"/>
          <w:color w:val="000000" w:themeColor="text1"/>
          <w:sz w:val="20"/>
          <w:szCs w:val="20"/>
          <w:lang w:eastAsia="es-ES"/>
        </w:rPr>
        <w:t xml:space="preserve"> the executive branch. In addition, the State of </w:t>
      </w:r>
      <w:r w:rsidR="009C4A37" w:rsidRPr="008A7BD7">
        <w:rPr>
          <w:rFonts w:ascii="Cambria" w:eastAsia="Times New Roman" w:hAnsi="Cambria" w:cs="Tahoma"/>
          <w:color w:val="000000" w:themeColor="text1"/>
          <w:sz w:val="20"/>
          <w:szCs w:val="20"/>
          <w:lang w:eastAsia="es-ES"/>
        </w:rPr>
        <w:t xml:space="preserve">Guatemala </w:t>
      </w:r>
      <w:r w:rsidR="00606505" w:rsidRPr="008A7BD7">
        <w:rPr>
          <w:rFonts w:ascii="Cambria" w:eastAsia="Times New Roman" w:hAnsi="Cambria" w:cs="Tahoma"/>
          <w:color w:val="000000" w:themeColor="text1"/>
          <w:sz w:val="20"/>
          <w:szCs w:val="20"/>
          <w:lang w:eastAsia="es-ES"/>
        </w:rPr>
        <w:t xml:space="preserve">reported that since January </w:t>
      </w:r>
      <w:r w:rsidR="009C4A37" w:rsidRPr="008A7BD7">
        <w:rPr>
          <w:rFonts w:ascii="Cambria" w:eastAsia="Times New Roman" w:hAnsi="Cambria" w:cs="Tahoma"/>
          <w:color w:val="000000" w:themeColor="text1"/>
          <w:sz w:val="20"/>
          <w:szCs w:val="20"/>
          <w:lang w:eastAsia="es-ES"/>
        </w:rPr>
        <w:t xml:space="preserve">2021, </w:t>
      </w:r>
      <w:r w:rsidR="00606505" w:rsidRPr="008A7BD7">
        <w:rPr>
          <w:rFonts w:ascii="Cambria" w:eastAsia="Times New Roman" w:hAnsi="Cambria" w:cs="Tahoma"/>
          <w:color w:val="000000" w:themeColor="text1"/>
          <w:sz w:val="20"/>
          <w:szCs w:val="20"/>
          <w:lang w:eastAsia="es-ES"/>
        </w:rPr>
        <w:t>the Offi</w:t>
      </w:r>
      <w:r w:rsidR="000E7DF6" w:rsidRPr="008A7BD7">
        <w:rPr>
          <w:rFonts w:ascii="Cambria" w:eastAsia="Times New Roman" w:hAnsi="Cambria" w:cs="Tahoma"/>
          <w:color w:val="000000" w:themeColor="text1"/>
          <w:sz w:val="20"/>
          <w:szCs w:val="20"/>
          <w:lang w:eastAsia="es-ES"/>
        </w:rPr>
        <w:t>c</w:t>
      </w:r>
      <w:r w:rsidR="00606505" w:rsidRPr="008A7BD7">
        <w:rPr>
          <w:rFonts w:ascii="Cambria" w:eastAsia="Times New Roman" w:hAnsi="Cambria" w:cs="Tahoma"/>
          <w:color w:val="000000" w:themeColor="text1"/>
          <w:sz w:val="20"/>
          <w:szCs w:val="20"/>
          <w:lang w:eastAsia="es-ES"/>
        </w:rPr>
        <w:t>e of the President’s Secretariat of Communication has organized weekly press conferences with officials from the executive branch</w:t>
      </w:r>
      <w:r w:rsidR="009C4A37" w:rsidRPr="008A7BD7">
        <w:rPr>
          <w:rFonts w:ascii="Cambria" w:eastAsia="Times New Roman" w:hAnsi="Cambria" w:cs="Tahoma"/>
          <w:color w:val="000000" w:themeColor="text1"/>
          <w:sz w:val="20"/>
          <w:szCs w:val="20"/>
          <w:lang w:eastAsia="es-ES"/>
        </w:rPr>
        <w:t>.</w:t>
      </w:r>
      <w:r w:rsidR="00F97F2A" w:rsidRPr="008A7BD7">
        <w:rPr>
          <w:rFonts w:ascii="Cambria" w:eastAsia="Times New Roman" w:hAnsi="Cambria" w:cs="Tahoma"/>
          <w:color w:val="000000" w:themeColor="text1"/>
          <w:sz w:val="20"/>
          <w:szCs w:val="20"/>
          <w:lang w:eastAsia="es-ES"/>
        </w:rPr>
        <w:t xml:space="preserve"> </w:t>
      </w:r>
      <w:r w:rsidR="00F31820" w:rsidRPr="008A7BD7">
        <w:rPr>
          <w:rFonts w:ascii="Cambria" w:eastAsia="Times New Roman" w:hAnsi="Cambria" w:cs="Tahoma"/>
          <w:color w:val="000000"/>
          <w:sz w:val="20"/>
          <w:szCs w:val="20"/>
          <w:lang w:eastAsia="es-ES_tradnl"/>
        </w:rPr>
        <w:t>Along the same lines, in its response to the draft report, the Guatemalan State reiterated that “the Secretariat of Communication</w:t>
      </w:r>
      <w:r w:rsidR="00F97F2A" w:rsidRPr="008A7BD7">
        <w:rPr>
          <w:rFonts w:ascii="Cambria" w:eastAsia="Times New Roman" w:hAnsi="Cambria" w:cs="Tahoma"/>
          <w:color w:val="000000"/>
          <w:sz w:val="20"/>
          <w:szCs w:val="20"/>
          <w:lang w:eastAsia="es-ES_tradnl"/>
        </w:rPr>
        <w:t xml:space="preserve"> </w:t>
      </w:r>
      <w:r w:rsidR="00F31820" w:rsidRPr="008A7BD7">
        <w:rPr>
          <w:rFonts w:ascii="Cambria" w:eastAsia="Times New Roman" w:hAnsi="Cambria" w:cs="Tahoma"/>
          <w:color w:val="000000"/>
          <w:sz w:val="20"/>
          <w:szCs w:val="20"/>
          <w:lang w:eastAsia="es-ES_tradnl"/>
        </w:rPr>
        <w:t>of the Office of the President has a policy of transparency and open doors.</w:t>
      </w:r>
      <w:r w:rsidR="00F97F2A" w:rsidRPr="008A7BD7">
        <w:rPr>
          <w:rFonts w:ascii="Cambria" w:eastAsia="Times New Roman" w:hAnsi="Cambria" w:cs="Tahoma"/>
          <w:color w:val="000000"/>
          <w:sz w:val="20"/>
          <w:szCs w:val="20"/>
          <w:lang w:eastAsia="es-ES_tradnl"/>
        </w:rPr>
        <w:t xml:space="preserve"> </w:t>
      </w:r>
      <w:r w:rsidR="00D15054" w:rsidRPr="008A7BD7">
        <w:rPr>
          <w:rFonts w:ascii="Cambria" w:eastAsia="Times New Roman" w:hAnsi="Cambria" w:cs="Tahoma"/>
          <w:color w:val="000000"/>
          <w:sz w:val="20"/>
          <w:szCs w:val="20"/>
          <w:lang w:eastAsia="es-ES_tradnl"/>
        </w:rPr>
        <w:t>By virtue of</w:t>
      </w:r>
      <w:r w:rsidR="00FF3899" w:rsidRPr="008A7BD7">
        <w:rPr>
          <w:rFonts w:ascii="Cambria" w:eastAsia="Times New Roman" w:hAnsi="Cambria" w:cs="Tahoma"/>
          <w:color w:val="000000"/>
          <w:sz w:val="20"/>
          <w:szCs w:val="20"/>
          <w:lang w:eastAsia="es-ES_tradnl"/>
        </w:rPr>
        <w:t xml:space="preserve"> that</w:t>
      </w:r>
      <w:r w:rsidR="00D15054" w:rsidRPr="008A7BD7">
        <w:rPr>
          <w:rFonts w:ascii="Cambria" w:eastAsia="Times New Roman" w:hAnsi="Cambria" w:cs="Tahoma"/>
          <w:color w:val="000000"/>
          <w:sz w:val="20"/>
          <w:szCs w:val="20"/>
          <w:lang w:eastAsia="es-ES_tradnl"/>
        </w:rPr>
        <w:t xml:space="preserve"> policy</w:t>
      </w:r>
      <w:r w:rsidR="00FF3899" w:rsidRPr="008A7BD7">
        <w:rPr>
          <w:rFonts w:ascii="Cambria" w:eastAsia="Times New Roman" w:hAnsi="Cambria" w:cs="Tahoma"/>
          <w:color w:val="000000"/>
          <w:sz w:val="20"/>
          <w:szCs w:val="20"/>
          <w:lang w:eastAsia="es-ES_tradnl"/>
        </w:rPr>
        <w:t>, access to digital public information resources by journalists and by anyone who needs it is free and unrestricted.</w:t>
      </w:r>
      <w:r w:rsidR="00F97F2A" w:rsidRPr="008A7BD7">
        <w:rPr>
          <w:rFonts w:ascii="Cambria" w:eastAsia="Times New Roman" w:hAnsi="Cambria" w:cs="Tahoma"/>
          <w:color w:val="000000"/>
          <w:sz w:val="20"/>
          <w:szCs w:val="20"/>
          <w:lang w:eastAsia="es-ES_tradnl"/>
        </w:rPr>
        <w:t xml:space="preserve">” </w:t>
      </w:r>
      <w:r w:rsidR="00564CE7" w:rsidRPr="008A7BD7">
        <w:rPr>
          <w:rFonts w:ascii="Cambria" w:eastAsia="Times New Roman" w:hAnsi="Cambria" w:cs="Tahoma"/>
          <w:color w:val="000000"/>
          <w:sz w:val="20"/>
          <w:szCs w:val="20"/>
          <w:lang w:eastAsia="es-ES_tradnl"/>
        </w:rPr>
        <w:t>Likewise, the State again provided information about the implementation of the “Press Room.”</w:t>
      </w:r>
      <w:r w:rsidR="00F97F2A" w:rsidRPr="008A7BD7">
        <w:rPr>
          <w:rStyle w:val="FootnoteReference"/>
          <w:rFonts w:ascii="Cambria" w:eastAsia="Times New Roman" w:hAnsi="Cambria" w:cs="Tahoma"/>
          <w:color w:val="000000"/>
          <w:sz w:val="20"/>
          <w:szCs w:val="20"/>
          <w:lang w:val="es-419" w:eastAsia="es-ES_tradnl"/>
        </w:rPr>
        <w:footnoteReference w:id="170"/>
      </w:r>
    </w:p>
    <w:p w14:paraId="1B74F204" w14:textId="2CBA10B6" w:rsidR="009C4A37" w:rsidRDefault="009C4A37" w:rsidP="009C4A37">
      <w:pPr>
        <w:ind w:left="720"/>
        <w:jc w:val="both"/>
        <w:rPr>
          <w:rFonts w:ascii="Cambria" w:eastAsia="Times New Roman" w:hAnsi="Cambria" w:cs="Tahoma"/>
          <w:color w:val="000000"/>
          <w:sz w:val="20"/>
          <w:szCs w:val="20"/>
          <w:lang w:eastAsia="es-ES_tradnl"/>
        </w:rPr>
      </w:pPr>
    </w:p>
    <w:p w14:paraId="791FD49B" w14:textId="552C2AE1" w:rsidR="00F0442F" w:rsidRDefault="00F0442F" w:rsidP="009C4A37">
      <w:pPr>
        <w:ind w:left="720"/>
        <w:jc w:val="both"/>
        <w:rPr>
          <w:rFonts w:ascii="Cambria" w:eastAsia="Times New Roman" w:hAnsi="Cambria" w:cs="Tahoma"/>
          <w:color w:val="000000"/>
          <w:sz w:val="20"/>
          <w:szCs w:val="20"/>
          <w:lang w:eastAsia="es-ES_tradnl"/>
        </w:rPr>
      </w:pPr>
    </w:p>
    <w:p w14:paraId="1A75DB39" w14:textId="77777777" w:rsidR="00F0442F" w:rsidRPr="008A7BD7" w:rsidRDefault="00F0442F" w:rsidP="009C4A37">
      <w:pPr>
        <w:ind w:left="720"/>
        <w:jc w:val="both"/>
        <w:rPr>
          <w:rFonts w:ascii="Cambria" w:eastAsia="Times New Roman" w:hAnsi="Cambria" w:cs="Tahoma"/>
          <w:color w:val="000000"/>
          <w:sz w:val="20"/>
          <w:szCs w:val="20"/>
          <w:lang w:eastAsia="es-ES_tradnl"/>
        </w:rPr>
      </w:pPr>
    </w:p>
    <w:p w14:paraId="4D5416F4" w14:textId="3DCC2952" w:rsidR="009C4A37" w:rsidRPr="008A7BD7" w:rsidRDefault="009C4A37" w:rsidP="00F0442F">
      <w:pPr>
        <w:pStyle w:val="Heading2"/>
      </w:pPr>
      <w:r w:rsidRPr="008A7BD7">
        <w:lastRenderedPageBreak/>
        <w:t xml:space="preserve">Internet </w:t>
      </w:r>
      <w:r w:rsidR="000E7DF6" w:rsidRPr="008A7BD7">
        <w:t>and Freedom of Expression</w:t>
      </w:r>
    </w:p>
    <w:p w14:paraId="186E655F" w14:textId="77777777" w:rsidR="009C4A37" w:rsidRPr="008A7BD7" w:rsidRDefault="009C4A37" w:rsidP="009C4A37">
      <w:pPr>
        <w:pStyle w:val="ListParagraph"/>
        <w:ind w:left="1440"/>
        <w:jc w:val="both"/>
        <w:rPr>
          <w:rFonts w:ascii="Cambria" w:eastAsia="Times New Roman" w:hAnsi="Cambria" w:cs="Tahoma"/>
          <w:b/>
          <w:color w:val="000000"/>
          <w:sz w:val="20"/>
          <w:szCs w:val="20"/>
          <w:lang w:eastAsia="es-ES_tradnl"/>
        </w:rPr>
      </w:pPr>
    </w:p>
    <w:p w14:paraId="2E016C3A" w14:textId="284A80C1" w:rsidR="009C4A37" w:rsidRPr="008A7BD7" w:rsidRDefault="00FA7346"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themeColor="text1"/>
          <w:sz w:val="20"/>
          <w:szCs w:val="20"/>
          <w:lang w:eastAsia="es-ES"/>
        </w:rPr>
        <w:t xml:space="preserve">The IACHR has received </w:t>
      </w:r>
      <w:proofErr w:type="gramStart"/>
      <w:r w:rsidRPr="008A7BD7">
        <w:rPr>
          <w:rFonts w:ascii="Cambria" w:eastAsia="Times New Roman" w:hAnsi="Cambria" w:cs="Tahoma"/>
          <w:color w:val="000000" w:themeColor="text1"/>
          <w:sz w:val="20"/>
          <w:szCs w:val="20"/>
          <w:lang w:eastAsia="es-ES"/>
        </w:rPr>
        <w:t>a number of</w:t>
      </w:r>
      <w:proofErr w:type="gramEnd"/>
      <w:r w:rsidRPr="008A7BD7">
        <w:rPr>
          <w:rFonts w:ascii="Cambria" w:eastAsia="Times New Roman" w:hAnsi="Cambria" w:cs="Tahoma"/>
          <w:color w:val="000000" w:themeColor="text1"/>
          <w:sz w:val="20"/>
          <w:szCs w:val="20"/>
          <w:lang w:eastAsia="es-ES"/>
        </w:rPr>
        <w:t xml:space="preserve"> complaints about the actions of </w:t>
      </w:r>
      <w:r w:rsidR="00BE628F" w:rsidRPr="008A7BD7">
        <w:rPr>
          <w:rFonts w:ascii="Cambria" w:eastAsia="Times New Roman" w:hAnsi="Cambria" w:cs="Tahoma"/>
          <w:color w:val="000000" w:themeColor="text1"/>
          <w:sz w:val="20"/>
          <w:szCs w:val="20"/>
          <w:lang w:eastAsia="es-ES"/>
        </w:rPr>
        <w:t>so-called “</w:t>
      </w:r>
      <w:r w:rsidR="009C4A37" w:rsidRPr="008A7BD7">
        <w:rPr>
          <w:rFonts w:ascii="Cambria" w:eastAsia="Times New Roman" w:hAnsi="Cambria" w:cs="Tahoma"/>
          <w:color w:val="000000" w:themeColor="text1"/>
          <w:sz w:val="20"/>
          <w:szCs w:val="20"/>
          <w:lang w:eastAsia="es-ES"/>
        </w:rPr>
        <w:t>net</w:t>
      </w:r>
      <w:r w:rsidR="00BE628F" w:rsidRPr="008A7BD7">
        <w:rPr>
          <w:rFonts w:ascii="Cambria" w:eastAsia="Times New Roman" w:hAnsi="Cambria" w:cs="Tahoma"/>
          <w:color w:val="000000" w:themeColor="text1"/>
          <w:sz w:val="20"/>
          <w:szCs w:val="20"/>
          <w:lang w:eastAsia="es-ES"/>
        </w:rPr>
        <w:t xml:space="preserve"> </w:t>
      </w:r>
      <w:r w:rsidR="009C4A37" w:rsidRPr="008A7BD7">
        <w:rPr>
          <w:rFonts w:ascii="Cambria" w:eastAsia="Times New Roman" w:hAnsi="Cambria" w:cs="Tahoma"/>
          <w:color w:val="000000" w:themeColor="text1"/>
          <w:sz w:val="20"/>
          <w:szCs w:val="20"/>
          <w:lang w:eastAsia="es-ES"/>
        </w:rPr>
        <w:t>centers</w:t>
      </w:r>
      <w:r w:rsidR="00BE628F" w:rsidRPr="008A7BD7">
        <w:rPr>
          <w:rFonts w:ascii="Cambria" w:eastAsia="Times New Roman" w:hAnsi="Cambria" w:cs="Tahoma"/>
          <w:color w:val="000000" w:themeColor="text1"/>
          <w:sz w:val="20"/>
          <w:szCs w:val="20"/>
          <w:lang w:eastAsia="es-ES"/>
        </w:rPr>
        <w:t>”</w:t>
      </w:r>
      <w:r w:rsidR="009C4A37" w:rsidRPr="008A7BD7">
        <w:rPr>
          <w:rFonts w:ascii="Cambria" w:eastAsia="Times New Roman" w:hAnsi="Cambria" w:cs="Tahoma"/>
          <w:color w:val="000000" w:themeColor="text1"/>
          <w:sz w:val="20"/>
          <w:szCs w:val="20"/>
          <w:lang w:eastAsia="es-ES"/>
        </w:rPr>
        <w:t xml:space="preserve"> </w:t>
      </w:r>
      <w:r w:rsidRPr="008A7BD7">
        <w:rPr>
          <w:rFonts w:ascii="Cambria" w:eastAsia="Times New Roman" w:hAnsi="Cambria" w:cs="Tahoma"/>
          <w:color w:val="000000" w:themeColor="text1"/>
          <w:sz w:val="20"/>
          <w:szCs w:val="20"/>
          <w:lang w:eastAsia="es-ES"/>
        </w:rPr>
        <w:t xml:space="preserve">that </w:t>
      </w:r>
      <w:r w:rsidR="00BE628F" w:rsidRPr="008A7BD7">
        <w:rPr>
          <w:rFonts w:ascii="Cambria" w:eastAsia="Times New Roman" w:hAnsi="Cambria" w:cs="Tahoma"/>
          <w:color w:val="000000" w:themeColor="text1"/>
          <w:sz w:val="20"/>
          <w:szCs w:val="20"/>
          <w:lang w:eastAsia="es-ES"/>
        </w:rPr>
        <w:t>run</w:t>
      </w:r>
      <w:r w:rsidRPr="008A7BD7">
        <w:rPr>
          <w:rFonts w:ascii="Cambria" w:eastAsia="Times New Roman" w:hAnsi="Cambria" w:cs="Tahoma"/>
          <w:color w:val="000000" w:themeColor="text1"/>
          <w:sz w:val="20"/>
          <w:szCs w:val="20"/>
          <w:lang w:eastAsia="es-ES"/>
        </w:rPr>
        <w:t xml:space="preserve"> online harassment campaigns against different figures in Guatemala—including journalists, as reported </w:t>
      </w:r>
      <w:r w:rsidR="00FE51FC" w:rsidRPr="008A7BD7">
        <w:rPr>
          <w:rFonts w:ascii="Cambria" w:eastAsia="Times New Roman" w:hAnsi="Cambria" w:cs="Tahoma"/>
          <w:color w:val="000000" w:themeColor="text1"/>
          <w:sz w:val="20"/>
          <w:szCs w:val="20"/>
          <w:lang w:eastAsia="es-ES"/>
        </w:rPr>
        <w:t xml:space="preserve">above, </w:t>
      </w:r>
      <w:r w:rsidRPr="008A7BD7">
        <w:rPr>
          <w:rFonts w:ascii="Cambria" w:eastAsia="Times New Roman" w:hAnsi="Cambria" w:cs="Tahoma"/>
          <w:color w:val="000000" w:themeColor="text1"/>
          <w:sz w:val="20"/>
          <w:szCs w:val="20"/>
          <w:lang w:eastAsia="es-ES"/>
        </w:rPr>
        <w:t>in the section on Journalism and Democracy</w:t>
      </w:r>
      <w:r w:rsidR="009C4A37" w:rsidRPr="008A7BD7">
        <w:rPr>
          <w:rFonts w:ascii="Cambria" w:eastAsia="Times New Roman" w:hAnsi="Cambria" w:cs="Tahoma"/>
          <w:color w:val="000000" w:themeColor="text1"/>
          <w:sz w:val="20"/>
          <w:szCs w:val="20"/>
          <w:lang w:eastAsia="es-ES"/>
        </w:rPr>
        <w:t xml:space="preserve">. </w:t>
      </w:r>
      <w:r w:rsidRPr="008A7BD7">
        <w:rPr>
          <w:rFonts w:ascii="Cambria" w:eastAsia="Times New Roman" w:hAnsi="Cambria" w:cs="Tahoma"/>
          <w:color w:val="000000" w:themeColor="text1"/>
          <w:sz w:val="20"/>
          <w:szCs w:val="20"/>
          <w:lang w:eastAsia="es-ES"/>
        </w:rPr>
        <w:t>The Office of the Special Rapporte</w:t>
      </w:r>
      <w:r w:rsidR="00BE628F" w:rsidRPr="008A7BD7">
        <w:rPr>
          <w:rFonts w:ascii="Cambria" w:eastAsia="Times New Roman" w:hAnsi="Cambria" w:cs="Tahoma"/>
          <w:color w:val="000000" w:themeColor="text1"/>
          <w:sz w:val="20"/>
          <w:szCs w:val="20"/>
          <w:lang w:eastAsia="es-ES"/>
        </w:rPr>
        <w:t>u</w:t>
      </w:r>
      <w:r w:rsidRPr="008A7BD7">
        <w:rPr>
          <w:rFonts w:ascii="Cambria" w:eastAsia="Times New Roman" w:hAnsi="Cambria" w:cs="Tahoma"/>
          <w:color w:val="000000" w:themeColor="text1"/>
          <w:sz w:val="20"/>
          <w:szCs w:val="20"/>
          <w:lang w:eastAsia="es-ES"/>
        </w:rPr>
        <w:t xml:space="preserve">r is also particularly concerned about the challenges to universal access to the Internet in </w:t>
      </w:r>
      <w:r w:rsidR="009C4A37" w:rsidRPr="008A7BD7">
        <w:rPr>
          <w:rFonts w:ascii="Cambria" w:eastAsia="Times New Roman" w:hAnsi="Cambria" w:cs="Tahoma"/>
          <w:color w:val="000000" w:themeColor="text1"/>
          <w:sz w:val="20"/>
          <w:szCs w:val="20"/>
          <w:lang w:eastAsia="es-ES"/>
        </w:rPr>
        <w:t xml:space="preserve">Guatemala </w:t>
      </w:r>
      <w:r w:rsidR="002D3911" w:rsidRPr="008A7BD7">
        <w:rPr>
          <w:rFonts w:ascii="Cambria" w:eastAsia="Times New Roman" w:hAnsi="Cambria" w:cs="Tahoma"/>
          <w:color w:val="000000" w:themeColor="text1"/>
          <w:sz w:val="20"/>
          <w:szCs w:val="20"/>
          <w:lang w:eastAsia="es-ES"/>
        </w:rPr>
        <w:t xml:space="preserve">and learned of reports of possible irregularities in administrative procedures that seek to implement </w:t>
      </w:r>
      <w:r w:rsidR="009C4A37" w:rsidRPr="008A7BD7">
        <w:rPr>
          <w:rFonts w:ascii="Cambria" w:eastAsia="Times New Roman" w:hAnsi="Cambria" w:cs="Tahoma"/>
          <w:color w:val="000000" w:themeColor="text1"/>
          <w:sz w:val="20"/>
          <w:szCs w:val="20"/>
          <w:lang w:eastAsia="es-ES"/>
        </w:rPr>
        <w:t xml:space="preserve">4G </w:t>
      </w:r>
      <w:r w:rsidR="002D3911" w:rsidRPr="008A7BD7">
        <w:rPr>
          <w:rFonts w:ascii="Cambria" w:eastAsia="Times New Roman" w:hAnsi="Cambria" w:cs="Tahoma"/>
          <w:color w:val="000000" w:themeColor="text1"/>
          <w:sz w:val="20"/>
          <w:szCs w:val="20"/>
          <w:lang w:eastAsia="es-ES"/>
        </w:rPr>
        <w:t>technology in the country</w:t>
      </w:r>
      <w:r w:rsidR="009C4A37" w:rsidRPr="008A7BD7">
        <w:rPr>
          <w:rFonts w:ascii="Cambria" w:eastAsia="Times New Roman" w:hAnsi="Cambria" w:cs="Tahoma"/>
          <w:color w:val="000000" w:themeColor="text1"/>
          <w:sz w:val="20"/>
          <w:szCs w:val="20"/>
          <w:lang w:eastAsia="es-ES"/>
        </w:rPr>
        <w:t>.</w:t>
      </w:r>
    </w:p>
    <w:p w14:paraId="1DEEB064"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07A1C1E5" w14:textId="40E28B2A" w:rsidR="009C4A37" w:rsidRPr="008A7BD7" w:rsidRDefault="00661F8F"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Net centers continued to be active t</w:t>
      </w:r>
      <w:r w:rsidR="002D3911" w:rsidRPr="008A7BD7">
        <w:rPr>
          <w:rFonts w:ascii="Cambria" w:eastAsia="Times New Roman" w:hAnsi="Cambria" w:cs="Tahoma"/>
          <w:color w:val="000000"/>
          <w:sz w:val="20"/>
          <w:szCs w:val="20"/>
          <w:lang w:eastAsia="es-ES"/>
        </w:rPr>
        <w:t xml:space="preserve">hroughout </w:t>
      </w:r>
      <w:r w:rsidR="009C4A37" w:rsidRPr="008A7BD7">
        <w:rPr>
          <w:rFonts w:ascii="Cambria" w:eastAsia="Times New Roman" w:hAnsi="Cambria" w:cs="Tahoma"/>
          <w:color w:val="000000"/>
          <w:sz w:val="20"/>
          <w:szCs w:val="20"/>
          <w:lang w:eastAsia="es-ES"/>
        </w:rPr>
        <w:t xml:space="preserve">2021, </w:t>
      </w:r>
      <w:r w:rsidR="00BE628F" w:rsidRPr="008A7BD7">
        <w:rPr>
          <w:rFonts w:ascii="Cambria" w:eastAsia="Times New Roman" w:hAnsi="Cambria" w:cs="Tahoma"/>
          <w:color w:val="000000"/>
          <w:sz w:val="20"/>
          <w:szCs w:val="20"/>
          <w:lang w:eastAsia="es-ES"/>
        </w:rPr>
        <w:t>according to publicly available information</w:t>
      </w:r>
      <w:r w:rsidRPr="008A7BD7">
        <w:rPr>
          <w:rFonts w:ascii="Cambria" w:eastAsia="Times New Roman" w:hAnsi="Cambria" w:cs="Tahoma"/>
          <w:color w:val="000000"/>
          <w:sz w:val="20"/>
          <w:szCs w:val="20"/>
          <w:lang w:eastAsia="es-ES"/>
        </w:rPr>
        <w:t xml:space="preserve">. As the 2020 Annual Report explained, these refer to settings in which people are hired to </w:t>
      </w:r>
      <w:r w:rsidR="00FE51FC" w:rsidRPr="008A7BD7">
        <w:rPr>
          <w:rFonts w:ascii="Cambria" w:eastAsia="Times New Roman" w:hAnsi="Cambria" w:cs="Tahoma"/>
          <w:color w:val="000000"/>
          <w:sz w:val="20"/>
          <w:szCs w:val="20"/>
          <w:lang w:eastAsia="es-ES"/>
        </w:rPr>
        <w:t>spread</w:t>
      </w:r>
      <w:r w:rsidRPr="008A7BD7">
        <w:rPr>
          <w:rFonts w:ascii="Cambria" w:eastAsia="Times New Roman" w:hAnsi="Cambria" w:cs="Tahoma"/>
          <w:color w:val="000000"/>
          <w:sz w:val="20"/>
          <w:szCs w:val="20"/>
          <w:lang w:eastAsia="es-ES"/>
        </w:rPr>
        <w:t xml:space="preserve"> fake news and create profiles on social networks </w:t>
      </w:r>
      <w:r w:rsidR="00C4459B" w:rsidRPr="008A7BD7">
        <w:rPr>
          <w:rFonts w:ascii="Cambria" w:eastAsia="Times New Roman" w:hAnsi="Cambria" w:cs="Tahoma"/>
          <w:color w:val="000000"/>
          <w:sz w:val="20"/>
          <w:szCs w:val="20"/>
          <w:lang w:eastAsia="es-ES"/>
        </w:rPr>
        <w:t xml:space="preserve">with the aim of launching </w:t>
      </w:r>
      <w:r w:rsidRPr="008A7BD7">
        <w:rPr>
          <w:rFonts w:ascii="Cambria" w:eastAsia="Times New Roman" w:hAnsi="Cambria" w:cs="Tahoma"/>
          <w:color w:val="000000"/>
          <w:sz w:val="20"/>
          <w:szCs w:val="20"/>
          <w:lang w:eastAsia="es-ES"/>
        </w:rPr>
        <w:t>attack</w:t>
      </w:r>
      <w:r w:rsidR="00C4459B" w:rsidRPr="008A7BD7">
        <w:rPr>
          <w:rFonts w:ascii="Cambria" w:eastAsia="Times New Roman" w:hAnsi="Cambria" w:cs="Tahoma"/>
          <w:color w:val="000000"/>
          <w:sz w:val="20"/>
          <w:szCs w:val="20"/>
          <w:lang w:eastAsia="es-ES"/>
        </w:rPr>
        <w:t>s</w:t>
      </w:r>
      <w:r w:rsidRPr="008A7BD7">
        <w:rPr>
          <w:rFonts w:ascii="Cambria" w:eastAsia="Times New Roman" w:hAnsi="Cambria" w:cs="Tahoma"/>
          <w:color w:val="000000"/>
          <w:sz w:val="20"/>
          <w:szCs w:val="20"/>
          <w:lang w:eastAsia="es-ES"/>
        </w:rPr>
        <w:t xml:space="preserve"> and disseminat</w:t>
      </w:r>
      <w:r w:rsidR="00C4459B" w:rsidRPr="008A7BD7">
        <w:rPr>
          <w:rFonts w:ascii="Cambria" w:eastAsia="Times New Roman" w:hAnsi="Cambria" w:cs="Tahoma"/>
          <w:color w:val="000000"/>
          <w:sz w:val="20"/>
          <w:szCs w:val="20"/>
          <w:lang w:eastAsia="es-ES"/>
        </w:rPr>
        <w:t>ing</w:t>
      </w:r>
      <w:r w:rsidRPr="008A7BD7">
        <w:rPr>
          <w:rFonts w:ascii="Cambria" w:eastAsia="Times New Roman" w:hAnsi="Cambria" w:cs="Tahoma"/>
          <w:color w:val="000000"/>
          <w:sz w:val="20"/>
          <w:szCs w:val="20"/>
          <w:lang w:eastAsia="es-ES"/>
        </w:rPr>
        <w:t xml:space="preserve"> distorted information</w:t>
      </w:r>
      <w:r w:rsidR="00C4459B" w:rsidRPr="008A7BD7">
        <w:rPr>
          <w:rFonts w:ascii="Cambria" w:eastAsia="Times New Roman" w:hAnsi="Cambria" w:cs="Tahoma"/>
          <w:color w:val="000000"/>
          <w:sz w:val="20"/>
          <w:szCs w:val="20"/>
          <w:lang w:eastAsia="es-ES"/>
        </w:rPr>
        <w:t xml:space="preserve">, more commonly </w:t>
      </w:r>
      <w:r w:rsidR="00FE51FC" w:rsidRPr="008A7BD7">
        <w:rPr>
          <w:rFonts w:ascii="Cambria" w:eastAsia="Times New Roman" w:hAnsi="Cambria" w:cs="Tahoma"/>
          <w:color w:val="000000"/>
          <w:sz w:val="20"/>
          <w:szCs w:val="20"/>
          <w:lang w:eastAsia="es-ES"/>
        </w:rPr>
        <w:t>known as</w:t>
      </w:r>
      <w:r w:rsidR="00C4459B" w:rsidRPr="008A7BD7">
        <w:rPr>
          <w:rFonts w:ascii="Cambria" w:eastAsia="Times New Roman" w:hAnsi="Cambria" w:cs="Tahoma"/>
          <w:color w:val="000000"/>
          <w:sz w:val="20"/>
          <w:szCs w:val="20"/>
          <w:lang w:eastAsia="es-ES"/>
        </w:rPr>
        <w:t xml:space="preserve"> “trolls for hire.</w:t>
      </w:r>
      <w:r w:rsidR="009C4A37"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vertAlign w:val="superscript"/>
          <w:lang w:val="es-419" w:eastAsia="es-ES"/>
        </w:rPr>
        <w:footnoteReference w:id="171"/>
      </w:r>
      <w:r w:rsidR="009C4A37" w:rsidRPr="008A7BD7">
        <w:rPr>
          <w:rFonts w:ascii="Cambria" w:eastAsia="Times New Roman" w:hAnsi="Cambria" w:cs="Tahoma"/>
          <w:color w:val="000000"/>
          <w:sz w:val="20"/>
          <w:szCs w:val="20"/>
          <w:lang w:eastAsia="es-ES"/>
        </w:rPr>
        <w:t xml:space="preserve"> </w:t>
      </w:r>
      <w:r w:rsidR="00C4459B" w:rsidRPr="008A7BD7">
        <w:rPr>
          <w:rFonts w:ascii="Cambria" w:eastAsia="Times New Roman" w:hAnsi="Cambria" w:cs="Tahoma"/>
          <w:color w:val="000000"/>
          <w:sz w:val="20"/>
          <w:szCs w:val="20"/>
          <w:lang w:eastAsia="es-ES"/>
        </w:rPr>
        <w:t>In this context, it was documented that the h</w:t>
      </w:r>
      <w:r w:rsidR="009C4A37" w:rsidRPr="008A7BD7">
        <w:rPr>
          <w:rFonts w:ascii="Cambria" w:eastAsia="Times New Roman" w:hAnsi="Cambria" w:cs="Tahoma"/>
          <w:color w:val="000000"/>
          <w:sz w:val="20"/>
          <w:szCs w:val="20"/>
          <w:lang w:eastAsia="es-ES"/>
        </w:rPr>
        <w:t>ashtag “</w:t>
      </w:r>
      <w:proofErr w:type="spellStart"/>
      <w:r w:rsidR="009C4A37" w:rsidRPr="008A7BD7">
        <w:rPr>
          <w:rFonts w:ascii="Cambria" w:eastAsia="Times New Roman" w:hAnsi="Cambria" w:cs="Tahoma"/>
          <w:color w:val="000000"/>
          <w:sz w:val="20"/>
          <w:szCs w:val="20"/>
          <w:lang w:eastAsia="es-ES"/>
        </w:rPr>
        <w:t>YoApoyo</w:t>
      </w:r>
      <w:r w:rsidR="00AE5B80" w:rsidRPr="008A7BD7">
        <w:rPr>
          <w:rFonts w:ascii="Cambria" w:eastAsia="Times New Roman" w:hAnsi="Cambria" w:cs="Tahoma"/>
          <w:color w:val="000000"/>
          <w:sz w:val="20"/>
          <w:szCs w:val="20"/>
          <w:lang w:eastAsia="es-ES"/>
        </w:rPr>
        <w:t>A</w:t>
      </w:r>
      <w:r w:rsidR="009C4A37" w:rsidRPr="008A7BD7">
        <w:rPr>
          <w:rFonts w:ascii="Cambria" w:eastAsia="Times New Roman" w:hAnsi="Cambria" w:cs="Tahoma"/>
          <w:color w:val="000000"/>
          <w:sz w:val="20"/>
          <w:szCs w:val="20"/>
          <w:lang w:eastAsia="es-ES"/>
        </w:rPr>
        <w:t>MiPresidente</w:t>
      </w:r>
      <w:proofErr w:type="spellEnd"/>
      <w:r w:rsidR="009C4A37" w:rsidRPr="008A7BD7">
        <w:rPr>
          <w:rFonts w:ascii="Cambria" w:eastAsia="Times New Roman" w:hAnsi="Cambria" w:cs="Tahoma"/>
          <w:color w:val="000000"/>
          <w:sz w:val="20"/>
          <w:szCs w:val="20"/>
          <w:lang w:eastAsia="es-ES"/>
        </w:rPr>
        <w:t>”</w:t>
      </w:r>
      <w:r w:rsidR="00C4459B" w:rsidRPr="008A7BD7">
        <w:rPr>
          <w:rFonts w:ascii="Cambria" w:eastAsia="Times New Roman" w:hAnsi="Cambria" w:cs="Tahoma"/>
          <w:color w:val="000000"/>
          <w:sz w:val="20"/>
          <w:szCs w:val="20"/>
          <w:lang w:eastAsia="es-ES"/>
        </w:rPr>
        <w:t xml:space="preserve"> (“</w:t>
      </w:r>
      <w:r w:rsidR="00AE5B80" w:rsidRPr="008A7BD7">
        <w:rPr>
          <w:rFonts w:ascii="Cambria" w:eastAsia="Times New Roman" w:hAnsi="Cambria" w:cs="Tahoma"/>
          <w:color w:val="000000"/>
          <w:sz w:val="20"/>
          <w:szCs w:val="20"/>
          <w:lang w:eastAsia="es-ES"/>
        </w:rPr>
        <w:t>#</w:t>
      </w:r>
      <w:proofErr w:type="spellStart"/>
      <w:r w:rsidR="00C4459B" w:rsidRPr="008A7BD7">
        <w:rPr>
          <w:rFonts w:ascii="Cambria" w:eastAsia="Times New Roman" w:hAnsi="Cambria" w:cs="Tahoma"/>
          <w:color w:val="000000"/>
          <w:sz w:val="20"/>
          <w:szCs w:val="20"/>
          <w:lang w:eastAsia="es-ES"/>
        </w:rPr>
        <w:t>ISupportMyPresident</w:t>
      </w:r>
      <w:proofErr w:type="spellEnd"/>
      <w:r w:rsidR="00C4459B" w:rsidRPr="008A7BD7">
        <w:rPr>
          <w:rFonts w:ascii="Cambria" w:eastAsia="Times New Roman" w:hAnsi="Cambria" w:cs="Tahoma"/>
          <w:color w:val="000000"/>
          <w:sz w:val="20"/>
          <w:szCs w:val="20"/>
          <w:lang w:eastAsia="es-ES"/>
        </w:rPr>
        <w:t xml:space="preserve">”), which was trending on Twitter in </w:t>
      </w:r>
      <w:r w:rsidR="009C4A37" w:rsidRPr="008A7BD7">
        <w:rPr>
          <w:rFonts w:ascii="Cambria" w:eastAsia="Times New Roman" w:hAnsi="Cambria" w:cs="Tahoma"/>
          <w:color w:val="000000"/>
          <w:sz w:val="20"/>
          <w:szCs w:val="20"/>
          <w:lang w:eastAsia="es-ES"/>
        </w:rPr>
        <w:t xml:space="preserve">Guatemala </w:t>
      </w:r>
      <w:r w:rsidR="00C4459B" w:rsidRPr="008A7BD7">
        <w:rPr>
          <w:rFonts w:ascii="Cambria" w:eastAsia="Times New Roman" w:hAnsi="Cambria" w:cs="Tahoma"/>
          <w:color w:val="000000"/>
          <w:sz w:val="20"/>
          <w:szCs w:val="20"/>
          <w:lang w:eastAsia="es-ES"/>
        </w:rPr>
        <w:t xml:space="preserve">in early July </w:t>
      </w:r>
      <w:r w:rsidR="009C4A37" w:rsidRPr="008A7BD7">
        <w:rPr>
          <w:rFonts w:ascii="Cambria" w:eastAsia="Times New Roman" w:hAnsi="Cambria" w:cs="Tahoma"/>
          <w:color w:val="000000"/>
          <w:sz w:val="20"/>
          <w:szCs w:val="20"/>
          <w:lang w:eastAsia="es-ES"/>
        </w:rPr>
        <w:t xml:space="preserve">2021, </w:t>
      </w:r>
      <w:r w:rsidR="00C4459B" w:rsidRPr="008A7BD7">
        <w:rPr>
          <w:rFonts w:ascii="Cambria" w:eastAsia="Times New Roman" w:hAnsi="Cambria" w:cs="Tahoma"/>
          <w:color w:val="000000"/>
          <w:sz w:val="20"/>
          <w:szCs w:val="20"/>
          <w:lang w:eastAsia="es-ES"/>
        </w:rPr>
        <w:t xml:space="preserve">revealed </w:t>
      </w:r>
      <w:r w:rsidR="00445ED7" w:rsidRPr="008A7BD7">
        <w:rPr>
          <w:rFonts w:ascii="Cambria" w:eastAsia="Times New Roman" w:hAnsi="Cambria" w:cs="Tahoma"/>
          <w:color w:val="000000"/>
          <w:sz w:val="20"/>
          <w:szCs w:val="20"/>
          <w:lang w:eastAsia="es-ES"/>
        </w:rPr>
        <w:t xml:space="preserve">a fictitious public </w:t>
      </w:r>
      <w:r w:rsidR="00C4459B" w:rsidRPr="008A7BD7">
        <w:rPr>
          <w:rFonts w:ascii="Cambria" w:eastAsia="Times New Roman" w:hAnsi="Cambria" w:cs="Tahoma"/>
          <w:color w:val="000000"/>
          <w:sz w:val="20"/>
          <w:szCs w:val="20"/>
          <w:lang w:eastAsia="es-ES"/>
        </w:rPr>
        <w:t>approval of the president</w:t>
      </w:r>
      <w:r w:rsidR="00445ED7" w:rsidRPr="008A7BD7">
        <w:rPr>
          <w:rFonts w:ascii="Cambria" w:eastAsia="Times New Roman" w:hAnsi="Cambria" w:cs="Tahoma"/>
          <w:color w:val="000000"/>
          <w:sz w:val="20"/>
          <w:szCs w:val="20"/>
          <w:lang w:eastAsia="es-ES"/>
        </w:rPr>
        <w:t>, after it was reported that most of the online traffic associated with the hashtag came from newly created accounts that had only interacted with each other and therefore had the characteristics of “bots</w:t>
      </w:r>
      <w:r w:rsidR="00893E82" w:rsidRPr="008A7BD7">
        <w:rPr>
          <w:rFonts w:ascii="Cambria" w:eastAsia="Times New Roman" w:hAnsi="Cambria" w:cs="Tahoma"/>
          <w:color w:val="000000"/>
          <w:sz w:val="20"/>
          <w:szCs w:val="20"/>
          <w:lang w:eastAsia="es-ES"/>
        </w:rPr>
        <w:t>,” or fake accounts operating jointly as net centers.</w:t>
      </w:r>
      <w:r w:rsidR="009C4A37" w:rsidRPr="008A7BD7">
        <w:rPr>
          <w:rFonts w:ascii="Cambria" w:eastAsia="Times New Roman" w:hAnsi="Cambria" w:cs="Tahoma"/>
          <w:color w:val="000000"/>
          <w:sz w:val="20"/>
          <w:szCs w:val="20"/>
          <w:vertAlign w:val="superscript"/>
          <w:lang w:val="es-419" w:eastAsia="es-ES"/>
        </w:rPr>
        <w:footnoteReference w:id="172"/>
      </w:r>
      <w:r w:rsidR="009C4A37" w:rsidRPr="008A7BD7">
        <w:rPr>
          <w:rFonts w:ascii="Cambria" w:eastAsia="Times New Roman" w:hAnsi="Cambria" w:cs="Tahoma"/>
          <w:color w:val="000000"/>
          <w:sz w:val="20"/>
          <w:szCs w:val="20"/>
          <w:lang w:eastAsia="es-ES"/>
        </w:rPr>
        <w:t xml:space="preserve"> </w:t>
      </w:r>
    </w:p>
    <w:p w14:paraId="76428945"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639812FB" w14:textId="4C16C365" w:rsidR="009C4A37" w:rsidRPr="008A7BD7" w:rsidRDefault="00893E82"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themeColor="text1"/>
          <w:sz w:val="20"/>
          <w:szCs w:val="20"/>
          <w:lang w:eastAsia="es-ES"/>
        </w:rPr>
        <w:t>Meanwhile, the digital gap is a major challenge for</w:t>
      </w:r>
      <w:r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 xml:space="preserve">Guatemala. </w:t>
      </w:r>
      <w:r w:rsidR="000F7825" w:rsidRPr="008A7BD7">
        <w:rPr>
          <w:rFonts w:ascii="Cambria" w:eastAsia="Times New Roman" w:hAnsi="Cambria" w:cs="Tahoma"/>
          <w:color w:val="000000"/>
          <w:sz w:val="20"/>
          <w:szCs w:val="20"/>
          <w:lang w:eastAsia="es-ES"/>
        </w:rPr>
        <w:t xml:space="preserve">It was reported in </w:t>
      </w:r>
      <w:r w:rsidR="009C4A37" w:rsidRPr="008A7BD7">
        <w:rPr>
          <w:rFonts w:ascii="Cambria" w:eastAsia="Times New Roman" w:hAnsi="Cambria" w:cs="Tahoma"/>
          <w:color w:val="000000"/>
          <w:sz w:val="20"/>
          <w:szCs w:val="20"/>
          <w:lang w:eastAsia="es-ES"/>
        </w:rPr>
        <w:t>2021</w:t>
      </w:r>
      <w:r w:rsidR="000F7825" w:rsidRPr="008A7BD7">
        <w:rPr>
          <w:rFonts w:ascii="Cambria" w:eastAsia="Times New Roman" w:hAnsi="Cambria" w:cs="Tahoma"/>
          <w:color w:val="000000"/>
          <w:sz w:val="20"/>
          <w:szCs w:val="20"/>
          <w:lang w:eastAsia="es-ES"/>
        </w:rPr>
        <w:t xml:space="preserve"> that closing the </w:t>
      </w:r>
      <w:r w:rsidR="00E00F85" w:rsidRPr="008A7BD7">
        <w:rPr>
          <w:rFonts w:ascii="Cambria" w:eastAsia="Times New Roman" w:hAnsi="Cambria" w:cs="Tahoma"/>
          <w:color w:val="000000"/>
          <w:sz w:val="20"/>
          <w:szCs w:val="20"/>
          <w:lang w:eastAsia="es-ES"/>
        </w:rPr>
        <w:t xml:space="preserve">country’s </w:t>
      </w:r>
      <w:r w:rsidR="000F7825" w:rsidRPr="008A7BD7">
        <w:rPr>
          <w:rFonts w:ascii="Cambria" w:eastAsia="Times New Roman" w:hAnsi="Cambria" w:cs="Tahoma"/>
          <w:color w:val="000000"/>
          <w:sz w:val="20"/>
          <w:szCs w:val="20"/>
          <w:lang w:eastAsia="es-ES"/>
        </w:rPr>
        <w:t>digital gap</w:t>
      </w:r>
      <w:r w:rsidR="00E00F85" w:rsidRPr="008A7BD7">
        <w:rPr>
          <w:rFonts w:ascii="Cambria" w:eastAsia="Times New Roman" w:hAnsi="Cambria" w:cs="Tahoma"/>
          <w:color w:val="000000"/>
          <w:sz w:val="20"/>
          <w:szCs w:val="20"/>
          <w:lang w:eastAsia="es-ES"/>
        </w:rPr>
        <w:t xml:space="preserve"> </w:t>
      </w:r>
      <w:r w:rsidR="000F7825" w:rsidRPr="008A7BD7">
        <w:rPr>
          <w:rFonts w:ascii="Cambria" w:eastAsia="Times New Roman" w:hAnsi="Cambria" w:cs="Tahoma"/>
          <w:color w:val="000000"/>
          <w:sz w:val="20"/>
          <w:szCs w:val="20"/>
          <w:lang w:eastAsia="es-ES"/>
        </w:rPr>
        <w:t xml:space="preserve">would require </w:t>
      </w:r>
      <w:r w:rsidR="0038153B" w:rsidRPr="008A7BD7">
        <w:rPr>
          <w:rFonts w:ascii="Cambria" w:eastAsia="Times New Roman" w:hAnsi="Cambria" w:cs="Tahoma"/>
          <w:color w:val="000000"/>
          <w:sz w:val="20"/>
          <w:szCs w:val="20"/>
          <w:lang w:eastAsia="es-ES"/>
        </w:rPr>
        <w:t>an</w:t>
      </w:r>
      <w:r w:rsidR="0069303A" w:rsidRPr="008A7BD7">
        <w:rPr>
          <w:rFonts w:ascii="Cambria" w:eastAsia="Times New Roman" w:hAnsi="Cambria" w:cs="Tahoma"/>
          <w:color w:val="000000"/>
          <w:sz w:val="20"/>
          <w:szCs w:val="20"/>
          <w:lang w:eastAsia="es-ES"/>
        </w:rPr>
        <w:t xml:space="preserve"> </w:t>
      </w:r>
      <w:r w:rsidR="000F7825" w:rsidRPr="008A7BD7">
        <w:rPr>
          <w:rFonts w:ascii="Cambria" w:eastAsia="Times New Roman" w:hAnsi="Cambria" w:cs="Tahoma"/>
          <w:color w:val="000000"/>
          <w:sz w:val="20"/>
          <w:szCs w:val="20"/>
          <w:lang w:eastAsia="es-ES"/>
        </w:rPr>
        <w:t>investment of US$</w:t>
      </w:r>
      <w:r w:rsidR="00E00F85" w:rsidRPr="008A7BD7">
        <w:rPr>
          <w:rFonts w:ascii="Cambria" w:eastAsia="Times New Roman" w:hAnsi="Cambria" w:cs="Tahoma"/>
          <w:color w:val="000000"/>
          <w:sz w:val="20"/>
          <w:szCs w:val="20"/>
          <w:lang w:eastAsia="es-ES"/>
        </w:rPr>
        <w:t xml:space="preserve"> </w:t>
      </w:r>
      <w:r w:rsidR="000F7825" w:rsidRPr="008A7BD7">
        <w:rPr>
          <w:rFonts w:ascii="Cambria" w:eastAsia="Times New Roman" w:hAnsi="Cambria" w:cs="Tahoma"/>
          <w:color w:val="000000"/>
          <w:sz w:val="20"/>
          <w:szCs w:val="20"/>
          <w:lang w:eastAsia="es-ES"/>
        </w:rPr>
        <w:t>1,125,241,6</w:t>
      </w:r>
      <w:r w:rsidR="007E3AEC" w:rsidRPr="008A7BD7">
        <w:rPr>
          <w:rFonts w:ascii="Cambria" w:eastAsia="Times New Roman" w:hAnsi="Cambria" w:cs="Tahoma"/>
          <w:color w:val="000000"/>
          <w:sz w:val="20"/>
          <w:szCs w:val="20"/>
          <w:lang w:eastAsia="es-ES"/>
        </w:rPr>
        <w:t>60</w:t>
      </w:r>
      <w:r w:rsidR="000F7825"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vertAlign w:val="superscript"/>
          <w:lang w:val="es-419" w:eastAsia="es-ES"/>
        </w:rPr>
        <w:footnoteReference w:id="173"/>
      </w:r>
      <w:r w:rsidR="009C4A37" w:rsidRPr="008A7BD7">
        <w:rPr>
          <w:rFonts w:ascii="Cambria" w:eastAsia="Times New Roman" w:hAnsi="Cambria" w:cs="Tahoma"/>
          <w:color w:val="000000"/>
          <w:sz w:val="20"/>
          <w:szCs w:val="20"/>
          <w:lang w:eastAsia="es-ES"/>
        </w:rPr>
        <w:t xml:space="preserve"> </w:t>
      </w:r>
      <w:r w:rsidR="00E00F85" w:rsidRPr="008A7BD7">
        <w:rPr>
          <w:rFonts w:ascii="Cambria" w:eastAsia="Times New Roman" w:hAnsi="Cambria" w:cs="Tahoma"/>
          <w:color w:val="000000"/>
          <w:sz w:val="20"/>
          <w:szCs w:val="20"/>
          <w:lang w:eastAsia="es-ES"/>
        </w:rPr>
        <w:t xml:space="preserve">In this context, the IACHR, through its Office of the Special Rapporteur, has </w:t>
      </w:r>
      <w:r w:rsidR="004C5948" w:rsidRPr="008A7BD7">
        <w:rPr>
          <w:rFonts w:ascii="Cambria" w:eastAsia="Times New Roman" w:hAnsi="Cambria" w:cs="Tahoma"/>
          <w:color w:val="000000"/>
          <w:sz w:val="20"/>
          <w:szCs w:val="20"/>
          <w:lang w:eastAsia="es-ES"/>
        </w:rPr>
        <w:t>taken note</w:t>
      </w:r>
      <w:r w:rsidR="00E00F85" w:rsidRPr="008A7BD7">
        <w:rPr>
          <w:rFonts w:ascii="Cambria" w:eastAsia="Times New Roman" w:hAnsi="Cambria" w:cs="Tahoma"/>
          <w:color w:val="000000"/>
          <w:sz w:val="20"/>
          <w:szCs w:val="20"/>
          <w:lang w:eastAsia="es-ES"/>
        </w:rPr>
        <w:t xml:space="preserve"> of various controversies surrounding the </w:t>
      </w:r>
      <w:r w:rsidR="0070074A" w:rsidRPr="008A7BD7">
        <w:rPr>
          <w:rFonts w:ascii="Cambria" w:eastAsia="Times New Roman" w:hAnsi="Cambria" w:cs="Tahoma"/>
          <w:color w:val="000000"/>
          <w:sz w:val="20"/>
          <w:szCs w:val="20"/>
          <w:lang w:eastAsia="es-ES"/>
        </w:rPr>
        <w:t>evolution</w:t>
      </w:r>
      <w:r w:rsidR="0068461E" w:rsidRPr="008A7BD7">
        <w:rPr>
          <w:rFonts w:ascii="Cambria" w:eastAsia="Times New Roman" w:hAnsi="Cambria" w:cs="Tahoma"/>
          <w:color w:val="000000"/>
          <w:sz w:val="20"/>
          <w:szCs w:val="20"/>
          <w:lang w:eastAsia="es-ES"/>
        </w:rPr>
        <w:t xml:space="preserve"> of</w:t>
      </w:r>
      <w:r w:rsidR="00E00F85" w:rsidRPr="008A7BD7">
        <w:rPr>
          <w:rFonts w:ascii="Cambria" w:eastAsia="Times New Roman" w:hAnsi="Cambria" w:cs="Tahoma"/>
          <w:color w:val="000000"/>
          <w:sz w:val="20"/>
          <w:szCs w:val="20"/>
          <w:lang w:eastAsia="es-ES"/>
        </w:rPr>
        <w:t xml:space="preserve"> 4G coverage</w:t>
      </w:r>
      <w:r w:rsidR="009C4A37" w:rsidRPr="008A7BD7">
        <w:rPr>
          <w:rFonts w:ascii="Cambria" w:eastAsia="Times New Roman" w:hAnsi="Cambria" w:cs="Tahoma"/>
          <w:color w:val="000000"/>
          <w:sz w:val="20"/>
          <w:szCs w:val="20"/>
          <w:lang w:eastAsia="es-ES"/>
        </w:rPr>
        <w:t xml:space="preserve"> </w:t>
      </w:r>
      <w:r w:rsidR="00E00F85" w:rsidRPr="008A7BD7">
        <w:rPr>
          <w:rFonts w:ascii="Cambria" w:eastAsia="Times New Roman" w:hAnsi="Cambria" w:cs="Tahoma"/>
          <w:color w:val="000000"/>
          <w:sz w:val="20"/>
          <w:szCs w:val="20"/>
          <w:lang w:eastAsia="es-ES"/>
        </w:rPr>
        <w:t xml:space="preserve">in </w:t>
      </w:r>
      <w:r w:rsidR="009C4A37" w:rsidRPr="008A7BD7">
        <w:rPr>
          <w:rFonts w:ascii="Cambria" w:eastAsia="Times New Roman" w:hAnsi="Cambria" w:cs="Tahoma"/>
          <w:color w:val="000000"/>
          <w:sz w:val="20"/>
          <w:szCs w:val="20"/>
          <w:lang w:eastAsia="es-ES"/>
        </w:rPr>
        <w:t xml:space="preserve">Guatemala, </w:t>
      </w:r>
      <w:r w:rsidR="009731A8" w:rsidRPr="008A7BD7">
        <w:rPr>
          <w:rFonts w:ascii="Cambria" w:eastAsia="Times New Roman" w:hAnsi="Cambria" w:cs="Tahoma"/>
          <w:color w:val="000000"/>
          <w:sz w:val="20"/>
          <w:szCs w:val="20"/>
          <w:lang w:eastAsia="es-ES"/>
        </w:rPr>
        <w:t xml:space="preserve">with </w:t>
      </w:r>
      <w:r w:rsidR="00C11E2F" w:rsidRPr="008A7BD7">
        <w:rPr>
          <w:rFonts w:ascii="Cambria" w:eastAsia="Times New Roman" w:hAnsi="Cambria" w:cs="Tahoma"/>
          <w:color w:val="000000"/>
          <w:sz w:val="20"/>
          <w:szCs w:val="20"/>
          <w:lang w:eastAsia="es-ES"/>
        </w:rPr>
        <w:t>equity</w:t>
      </w:r>
      <w:r w:rsidR="009731A8" w:rsidRPr="008A7BD7">
        <w:rPr>
          <w:rFonts w:ascii="Cambria" w:eastAsia="Times New Roman" w:hAnsi="Cambria" w:cs="Tahoma"/>
          <w:color w:val="000000"/>
          <w:sz w:val="20"/>
          <w:szCs w:val="20"/>
          <w:lang w:eastAsia="es-ES"/>
        </w:rPr>
        <w:t xml:space="preserve"> participation </w:t>
      </w:r>
      <w:r w:rsidR="00C11E2F" w:rsidRPr="008A7BD7">
        <w:rPr>
          <w:rFonts w:ascii="Cambria" w:eastAsia="Times New Roman" w:hAnsi="Cambria" w:cs="Tahoma"/>
          <w:color w:val="000000"/>
          <w:sz w:val="20"/>
          <w:szCs w:val="20"/>
          <w:lang w:eastAsia="es-ES"/>
        </w:rPr>
        <w:t>from</w:t>
      </w:r>
      <w:r w:rsidR="009731A8" w:rsidRPr="008A7BD7">
        <w:rPr>
          <w:rFonts w:ascii="Cambria" w:eastAsia="Times New Roman" w:hAnsi="Cambria" w:cs="Tahoma"/>
          <w:color w:val="000000"/>
          <w:sz w:val="20"/>
          <w:szCs w:val="20"/>
          <w:lang w:eastAsia="es-ES"/>
        </w:rPr>
        <w:t xml:space="preserve"> interested parties and the private sector. On December 30, 2020, by means of R</w:t>
      </w:r>
      <w:r w:rsidR="009C4A37" w:rsidRPr="008A7BD7">
        <w:rPr>
          <w:rFonts w:ascii="Cambria" w:eastAsia="Times New Roman" w:hAnsi="Cambria" w:cs="Tahoma"/>
          <w:color w:val="000000"/>
          <w:sz w:val="20"/>
          <w:szCs w:val="20"/>
          <w:lang w:eastAsia="es-ES"/>
        </w:rPr>
        <w:t>esolu</w:t>
      </w:r>
      <w:r w:rsidR="009731A8" w:rsidRPr="008A7BD7">
        <w:rPr>
          <w:rFonts w:ascii="Cambria" w:eastAsia="Times New Roman" w:hAnsi="Cambria" w:cs="Tahoma"/>
          <w:color w:val="000000"/>
          <w:sz w:val="20"/>
          <w:szCs w:val="20"/>
          <w:lang w:eastAsia="es-ES"/>
        </w:rPr>
        <w:t>tio</w:t>
      </w:r>
      <w:r w:rsidR="009C4A37" w:rsidRPr="008A7BD7">
        <w:rPr>
          <w:rFonts w:ascii="Cambria" w:eastAsia="Times New Roman" w:hAnsi="Cambria" w:cs="Tahoma"/>
          <w:color w:val="000000"/>
          <w:sz w:val="20"/>
          <w:szCs w:val="20"/>
          <w:lang w:eastAsia="es-ES"/>
        </w:rPr>
        <w:t xml:space="preserve">n 664-2020, </w:t>
      </w:r>
      <w:r w:rsidR="009731A8" w:rsidRPr="008A7BD7">
        <w:rPr>
          <w:rFonts w:ascii="Cambria" w:eastAsia="Times New Roman" w:hAnsi="Cambria" w:cs="Tahoma"/>
          <w:color w:val="000000"/>
          <w:sz w:val="20"/>
          <w:szCs w:val="20"/>
          <w:lang w:eastAsia="es-ES"/>
        </w:rPr>
        <w:t>the Superintendence of Telecommunications</w:t>
      </w:r>
      <w:r w:rsidR="0068461E" w:rsidRPr="008A7BD7">
        <w:rPr>
          <w:rFonts w:ascii="Cambria" w:eastAsia="Times New Roman" w:hAnsi="Cambria" w:cs="Tahoma"/>
          <w:color w:val="000000"/>
          <w:sz w:val="20"/>
          <w:szCs w:val="20"/>
          <w:lang w:eastAsia="es-ES"/>
        </w:rPr>
        <w:t xml:space="preserve"> </w:t>
      </w:r>
      <w:r w:rsidR="00325BA9" w:rsidRPr="008A7BD7">
        <w:rPr>
          <w:rFonts w:ascii="Cambria" w:eastAsia="Times New Roman" w:hAnsi="Cambria" w:cs="Tahoma"/>
          <w:color w:val="000000"/>
          <w:sz w:val="20"/>
          <w:szCs w:val="20"/>
          <w:lang w:eastAsia="es-ES"/>
        </w:rPr>
        <w:t>attested to</w:t>
      </w:r>
      <w:r w:rsidR="009731A8" w:rsidRPr="008A7BD7">
        <w:rPr>
          <w:rFonts w:ascii="Cambria" w:eastAsia="Times New Roman" w:hAnsi="Cambria" w:cs="Tahoma"/>
          <w:color w:val="000000"/>
          <w:sz w:val="20"/>
          <w:szCs w:val="20"/>
          <w:lang w:eastAsia="es-ES"/>
        </w:rPr>
        <w:t xml:space="preserve"> </w:t>
      </w:r>
      <w:r w:rsidR="00056DD8" w:rsidRPr="008A7BD7">
        <w:rPr>
          <w:rFonts w:ascii="Cambria" w:eastAsia="Times New Roman" w:hAnsi="Cambria" w:cs="Tahoma"/>
          <w:color w:val="000000"/>
          <w:sz w:val="20"/>
          <w:szCs w:val="20"/>
          <w:lang w:eastAsia="es-ES"/>
        </w:rPr>
        <w:t>the</w:t>
      </w:r>
      <w:r w:rsidR="009731A8" w:rsidRPr="008A7BD7">
        <w:rPr>
          <w:rFonts w:ascii="Cambria" w:eastAsia="Times New Roman" w:hAnsi="Cambria" w:cs="Tahoma"/>
          <w:color w:val="000000"/>
          <w:sz w:val="20"/>
          <w:szCs w:val="20"/>
          <w:lang w:eastAsia="es-ES"/>
        </w:rPr>
        <w:t xml:space="preserve"> purchase </w:t>
      </w:r>
      <w:r w:rsidR="00056DD8" w:rsidRPr="008A7BD7">
        <w:rPr>
          <w:rFonts w:ascii="Cambria" w:eastAsia="Times New Roman" w:hAnsi="Cambria" w:cs="Tahoma"/>
          <w:color w:val="000000"/>
          <w:sz w:val="20"/>
          <w:szCs w:val="20"/>
          <w:lang w:eastAsia="es-ES"/>
        </w:rPr>
        <w:t xml:space="preserve">made </w:t>
      </w:r>
      <w:r w:rsidR="00781C20" w:rsidRPr="008A7BD7">
        <w:rPr>
          <w:rFonts w:ascii="Cambria" w:eastAsia="Times New Roman" w:hAnsi="Cambria" w:cs="Tahoma"/>
          <w:color w:val="000000"/>
          <w:sz w:val="20"/>
          <w:szCs w:val="20"/>
          <w:lang w:eastAsia="es-ES"/>
        </w:rPr>
        <w:t>by</w:t>
      </w:r>
      <w:r w:rsidR="0068461E" w:rsidRPr="008A7BD7">
        <w:rPr>
          <w:rFonts w:ascii="Cambria" w:eastAsia="Times New Roman" w:hAnsi="Cambria" w:cs="Tahoma"/>
          <w:color w:val="000000"/>
          <w:sz w:val="20"/>
          <w:szCs w:val="20"/>
          <w:lang w:eastAsia="es-ES"/>
        </w:rPr>
        <w:t xml:space="preserve"> </w:t>
      </w:r>
      <w:r w:rsidR="009C4A37" w:rsidRPr="008A7BD7">
        <w:rPr>
          <w:rFonts w:ascii="Cambria" w:eastAsia="Times New Roman" w:hAnsi="Cambria" w:cs="Tahoma"/>
          <w:color w:val="000000"/>
          <w:sz w:val="20"/>
          <w:szCs w:val="20"/>
          <w:lang w:eastAsia="es-ES"/>
        </w:rPr>
        <w:t xml:space="preserve">Comunicaciones </w:t>
      </w:r>
      <w:proofErr w:type="spellStart"/>
      <w:r w:rsidR="009C4A37" w:rsidRPr="008A7BD7">
        <w:rPr>
          <w:rFonts w:ascii="Cambria" w:eastAsia="Times New Roman" w:hAnsi="Cambria" w:cs="Tahoma"/>
          <w:color w:val="000000"/>
          <w:sz w:val="20"/>
          <w:szCs w:val="20"/>
          <w:lang w:eastAsia="es-ES"/>
        </w:rPr>
        <w:t>Celulares</w:t>
      </w:r>
      <w:proofErr w:type="spellEnd"/>
      <w:r w:rsidR="009C4A37" w:rsidRPr="008A7BD7">
        <w:rPr>
          <w:rFonts w:ascii="Cambria" w:eastAsia="Times New Roman" w:hAnsi="Cambria" w:cs="Tahoma"/>
          <w:color w:val="000000"/>
          <w:sz w:val="20"/>
          <w:szCs w:val="20"/>
          <w:lang w:eastAsia="es-ES"/>
        </w:rPr>
        <w:t xml:space="preserve"> (</w:t>
      </w:r>
      <w:proofErr w:type="spellStart"/>
      <w:r w:rsidR="009C4A37" w:rsidRPr="008A7BD7">
        <w:rPr>
          <w:rFonts w:ascii="Cambria" w:eastAsia="Times New Roman" w:hAnsi="Cambria" w:cs="Tahoma"/>
          <w:color w:val="000000"/>
          <w:sz w:val="20"/>
          <w:szCs w:val="20"/>
          <w:lang w:eastAsia="es-ES"/>
        </w:rPr>
        <w:t>Tigo</w:t>
      </w:r>
      <w:proofErr w:type="spellEnd"/>
      <w:r w:rsidR="00042E37" w:rsidRPr="008A7BD7">
        <w:rPr>
          <w:rFonts w:ascii="Cambria" w:eastAsia="Times New Roman" w:hAnsi="Cambria" w:cs="Tahoma"/>
          <w:color w:val="000000"/>
          <w:sz w:val="20"/>
          <w:szCs w:val="20"/>
          <w:lang w:eastAsia="es-ES"/>
        </w:rPr>
        <w:t>)</w:t>
      </w:r>
      <w:r w:rsidR="00BD1702" w:rsidRPr="008A7BD7">
        <w:rPr>
          <w:rFonts w:ascii="Cambria" w:eastAsia="Times New Roman" w:hAnsi="Cambria" w:cs="Tahoma"/>
          <w:color w:val="000000"/>
          <w:sz w:val="20"/>
          <w:szCs w:val="20"/>
          <w:lang w:eastAsia="es-ES"/>
        </w:rPr>
        <w:t>, through a private transaction,</w:t>
      </w:r>
      <w:r w:rsidR="0068461E" w:rsidRPr="008A7BD7">
        <w:rPr>
          <w:rFonts w:ascii="Cambria" w:eastAsia="Times New Roman" w:hAnsi="Cambria" w:cs="Tahoma"/>
          <w:color w:val="000000"/>
          <w:sz w:val="20"/>
          <w:szCs w:val="20"/>
          <w:lang w:eastAsia="es-ES"/>
        </w:rPr>
        <w:t xml:space="preserve"> of </w:t>
      </w:r>
      <w:r w:rsidR="00325BA9" w:rsidRPr="008A7BD7">
        <w:rPr>
          <w:rFonts w:ascii="Cambria" w:eastAsia="Times New Roman" w:hAnsi="Cambria" w:cs="Tahoma"/>
          <w:color w:val="000000"/>
          <w:sz w:val="20"/>
          <w:szCs w:val="20"/>
          <w:lang w:eastAsia="es-ES"/>
        </w:rPr>
        <w:t xml:space="preserve">the </w:t>
      </w:r>
      <w:r w:rsidR="00781C20" w:rsidRPr="008A7BD7">
        <w:rPr>
          <w:rFonts w:ascii="Cambria" w:eastAsia="Times New Roman" w:hAnsi="Cambria" w:cs="Tahoma"/>
          <w:color w:val="000000"/>
          <w:sz w:val="20"/>
          <w:szCs w:val="20"/>
          <w:lang w:eastAsia="es-ES"/>
        </w:rPr>
        <w:t>rights of use (</w:t>
      </w:r>
      <w:r w:rsidR="00781C20" w:rsidRPr="008A7BD7">
        <w:rPr>
          <w:rFonts w:ascii="Cambria" w:eastAsia="Times New Roman" w:hAnsi="Cambria" w:cs="Tahoma"/>
          <w:i/>
          <w:iCs/>
          <w:color w:val="000000"/>
          <w:sz w:val="20"/>
          <w:szCs w:val="20"/>
          <w:lang w:eastAsia="es-ES"/>
        </w:rPr>
        <w:t xml:space="preserve">derechos de </w:t>
      </w:r>
      <w:proofErr w:type="spellStart"/>
      <w:r w:rsidR="00781C20" w:rsidRPr="008A7BD7">
        <w:rPr>
          <w:rFonts w:ascii="Cambria" w:eastAsia="Times New Roman" w:hAnsi="Cambria" w:cs="Tahoma"/>
          <w:i/>
          <w:iCs/>
          <w:color w:val="000000"/>
          <w:sz w:val="20"/>
          <w:szCs w:val="20"/>
          <w:lang w:eastAsia="es-ES"/>
        </w:rPr>
        <w:t>usufructo</w:t>
      </w:r>
      <w:proofErr w:type="spellEnd"/>
      <w:r w:rsidR="00781C20" w:rsidRPr="008A7BD7">
        <w:rPr>
          <w:rFonts w:ascii="Cambria" w:eastAsia="Times New Roman" w:hAnsi="Cambria" w:cs="Tahoma"/>
          <w:color w:val="000000"/>
          <w:sz w:val="20"/>
          <w:szCs w:val="20"/>
          <w:lang w:eastAsia="es-ES"/>
        </w:rPr>
        <w:t>)</w:t>
      </w:r>
      <w:r w:rsidR="0068461E" w:rsidRPr="008A7BD7">
        <w:rPr>
          <w:rFonts w:ascii="Cambria" w:eastAsia="Times New Roman" w:hAnsi="Cambria" w:cs="Tahoma"/>
          <w:color w:val="000000"/>
          <w:sz w:val="20"/>
          <w:szCs w:val="20"/>
          <w:lang w:eastAsia="es-ES"/>
        </w:rPr>
        <w:t xml:space="preserve"> </w:t>
      </w:r>
      <w:r w:rsidR="00692FD8" w:rsidRPr="008A7BD7">
        <w:rPr>
          <w:rFonts w:ascii="Cambria" w:eastAsia="Times New Roman" w:hAnsi="Cambria" w:cs="Tahoma"/>
          <w:color w:val="000000"/>
          <w:sz w:val="20"/>
          <w:szCs w:val="20"/>
          <w:lang w:eastAsia="es-ES"/>
        </w:rPr>
        <w:t xml:space="preserve">over approximately one third of the frequency </w:t>
      </w:r>
      <w:r w:rsidR="00D225DB" w:rsidRPr="008A7BD7">
        <w:rPr>
          <w:rFonts w:ascii="Cambria" w:eastAsia="Times New Roman" w:hAnsi="Cambria" w:cs="Tahoma"/>
          <w:color w:val="000000"/>
          <w:sz w:val="20"/>
          <w:szCs w:val="20"/>
          <w:lang w:eastAsia="es-ES"/>
        </w:rPr>
        <w:t>blocks</w:t>
      </w:r>
      <w:r w:rsidR="00692FD8" w:rsidRPr="008A7BD7">
        <w:rPr>
          <w:rFonts w:ascii="Cambria" w:eastAsia="Times New Roman" w:hAnsi="Cambria" w:cs="Tahoma"/>
          <w:color w:val="000000"/>
          <w:sz w:val="20"/>
          <w:szCs w:val="20"/>
          <w:lang w:eastAsia="es-ES"/>
        </w:rPr>
        <w:t xml:space="preserve"> on the </w:t>
      </w:r>
      <w:r w:rsidR="00BD1702" w:rsidRPr="008A7BD7">
        <w:rPr>
          <w:rFonts w:ascii="Cambria" w:eastAsia="Times New Roman" w:hAnsi="Cambria" w:cs="Tahoma"/>
          <w:color w:val="000000"/>
          <w:sz w:val="20"/>
          <w:szCs w:val="20"/>
          <w:lang w:eastAsia="es-ES"/>
        </w:rPr>
        <w:t>700-megahertz</w:t>
      </w:r>
      <w:r w:rsidR="00692FD8" w:rsidRPr="008A7BD7">
        <w:rPr>
          <w:rFonts w:ascii="Cambria" w:eastAsia="Times New Roman" w:hAnsi="Cambria" w:cs="Tahoma"/>
          <w:color w:val="000000"/>
          <w:sz w:val="20"/>
          <w:szCs w:val="20"/>
          <w:lang w:eastAsia="es-ES"/>
        </w:rPr>
        <w:t xml:space="preserve"> </w:t>
      </w:r>
      <w:r w:rsidR="00B15A12" w:rsidRPr="008A7BD7">
        <w:rPr>
          <w:rFonts w:ascii="Cambria" w:eastAsia="Times New Roman" w:hAnsi="Cambria" w:cs="Tahoma"/>
          <w:color w:val="000000"/>
          <w:sz w:val="20"/>
          <w:szCs w:val="20"/>
          <w:lang w:eastAsia="es-ES"/>
        </w:rPr>
        <w:t>(MH</w:t>
      </w:r>
      <w:r w:rsidR="00BE26C8" w:rsidRPr="008A7BD7">
        <w:rPr>
          <w:rFonts w:ascii="Cambria" w:eastAsia="Times New Roman" w:hAnsi="Cambria" w:cs="Tahoma"/>
          <w:color w:val="000000"/>
          <w:sz w:val="20"/>
          <w:szCs w:val="20"/>
          <w:lang w:eastAsia="es-ES"/>
        </w:rPr>
        <w:t>z</w:t>
      </w:r>
      <w:r w:rsidR="00B15A12" w:rsidRPr="008A7BD7">
        <w:rPr>
          <w:rFonts w:ascii="Cambria" w:eastAsia="Times New Roman" w:hAnsi="Cambria" w:cs="Tahoma"/>
          <w:color w:val="000000"/>
          <w:sz w:val="20"/>
          <w:szCs w:val="20"/>
          <w:lang w:eastAsia="es-ES"/>
        </w:rPr>
        <w:t xml:space="preserve">) </w:t>
      </w:r>
      <w:r w:rsidR="00D225DB" w:rsidRPr="008A7BD7">
        <w:rPr>
          <w:rFonts w:ascii="Cambria" w:eastAsia="Times New Roman" w:hAnsi="Cambria" w:cs="Tahoma"/>
          <w:color w:val="000000"/>
          <w:sz w:val="20"/>
          <w:szCs w:val="20"/>
          <w:lang w:eastAsia="es-ES"/>
        </w:rPr>
        <w:t>band</w:t>
      </w:r>
      <w:r w:rsidR="009C4A37" w:rsidRPr="008A7BD7">
        <w:rPr>
          <w:rFonts w:ascii="Cambria" w:eastAsia="Times New Roman" w:hAnsi="Cambria" w:cs="Tahoma"/>
          <w:color w:val="000000"/>
          <w:sz w:val="20"/>
          <w:szCs w:val="20"/>
          <w:lang w:eastAsia="es-ES"/>
        </w:rPr>
        <w:t>,</w:t>
      </w:r>
      <w:r w:rsidR="00BD1702" w:rsidRPr="008A7BD7">
        <w:rPr>
          <w:rFonts w:ascii="Cambria" w:eastAsia="Times New Roman" w:hAnsi="Cambria" w:cs="Tahoma"/>
          <w:color w:val="000000"/>
          <w:sz w:val="20"/>
          <w:szCs w:val="20"/>
          <w:lang w:eastAsia="es-ES"/>
        </w:rPr>
        <w:t xml:space="preserve"> which had been held by </w:t>
      </w:r>
      <w:r w:rsidR="009C4A37" w:rsidRPr="008A7BD7">
        <w:rPr>
          <w:rFonts w:ascii="Cambria" w:eastAsia="Times New Roman" w:hAnsi="Cambria" w:cs="Tahoma"/>
          <w:color w:val="000000"/>
          <w:sz w:val="20"/>
          <w:szCs w:val="20"/>
          <w:lang w:eastAsia="es-ES"/>
        </w:rPr>
        <w:t>Radio Televisión de Guatemala, S.A</w:t>
      </w:r>
      <w:r w:rsidR="00BD1702"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lang w:eastAsia="es-ES"/>
        </w:rPr>
        <w:t xml:space="preserve"> </w:t>
      </w:r>
      <w:r w:rsidR="00BD1702" w:rsidRPr="008A7BD7">
        <w:rPr>
          <w:rFonts w:ascii="Cambria" w:eastAsia="Times New Roman" w:hAnsi="Cambria" w:cs="Tahoma"/>
          <w:color w:val="000000"/>
          <w:sz w:val="20"/>
          <w:szCs w:val="20"/>
          <w:lang w:eastAsia="es-ES"/>
        </w:rPr>
        <w:t>and</w:t>
      </w:r>
      <w:r w:rsidR="009C4A37" w:rsidRPr="008A7BD7">
        <w:rPr>
          <w:rFonts w:ascii="Cambria" w:eastAsia="Times New Roman" w:hAnsi="Cambria" w:cs="Tahoma"/>
          <w:color w:val="000000"/>
          <w:sz w:val="20"/>
          <w:szCs w:val="20"/>
          <w:lang w:eastAsia="es-ES"/>
        </w:rPr>
        <w:t xml:space="preserve"> </w:t>
      </w:r>
      <w:proofErr w:type="spellStart"/>
      <w:r w:rsidR="009C4A37" w:rsidRPr="008A7BD7">
        <w:rPr>
          <w:rFonts w:ascii="Cambria" w:eastAsia="Times New Roman" w:hAnsi="Cambria" w:cs="Tahoma"/>
          <w:color w:val="000000"/>
          <w:sz w:val="20"/>
          <w:szCs w:val="20"/>
          <w:lang w:eastAsia="es-ES"/>
        </w:rPr>
        <w:t>Televisiete</w:t>
      </w:r>
      <w:proofErr w:type="spellEnd"/>
      <w:r w:rsidR="009C4A37" w:rsidRPr="008A7BD7">
        <w:rPr>
          <w:rFonts w:ascii="Cambria" w:eastAsia="Times New Roman" w:hAnsi="Cambria" w:cs="Tahoma"/>
          <w:color w:val="000000"/>
          <w:sz w:val="20"/>
          <w:szCs w:val="20"/>
          <w:lang w:eastAsia="es-ES"/>
        </w:rPr>
        <w:t xml:space="preserve">. </w:t>
      </w:r>
      <w:r w:rsidR="00BD1702" w:rsidRPr="008A7BD7">
        <w:rPr>
          <w:rFonts w:ascii="Cambria" w:eastAsia="Times New Roman" w:hAnsi="Cambria" w:cs="Tahoma"/>
          <w:color w:val="000000"/>
          <w:sz w:val="20"/>
          <w:szCs w:val="20"/>
          <w:lang w:eastAsia="es-ES"/>
        </w:rPr>
        <w:t>The acquisition of the rights of use of this band, considered ideal for</w:t>
      </w:r>
      <w:r w:rsidR="009C4A37" w:rsidRPr="008A7BD7">
        <w:rPr>
          <w:rFonts w:ascii="Cambria" w:eastAsia="Times New Roman" w:hAnsi="Cambria" w:cs="Tahoma"/>
          <w:color w:val="000000"/>
          <w:sz w:val="20"/>
          <w:szCs w:val="20"/>
          <w:lang w:eastAsia="es-ES"/>
        </w:rPr>
        <w:t xml:space="preserve"> 4G</w:t>
      </w:r>
      <w:r w:rsidR="00F50AF9" w:rsidRPr="008A7BD7">
        <w:rPr>
          <w:rFonts w:ascii="Cambria" w:eastAsia="Times New Roman" w:hAnsi="Cambria" w:cs="Tahoma"/>
          <w:color w:val="000000"/>
          <w:sz w:val="20"/>
          <w:szCs w:val="20"/>
          <w:lang w:eastAsia="es-ES"/>
        </w:rPr>
        <w:t xml:space="preserve"> technology</w:t>
      </w:r>
      <w:r w:rsidR="009C4A37" w:rsidRPr="008A7BD7">
        <w:rPr>
          <w:rFonts w:ascii="Cambria" w:eastAsia="Times New Roman" w:hAnsi="Cambria" w:cs="Tahoma"/>
          <w:color w:val="000000"/>
          <w:sz w:val="20"/>
          <w:szCs w:val="20"/>
          <w:lang w:eastAsia="es-ES"/>
        </w:rPr>
        <w:t xml:space="preserve">, </w:t>
      </w:r>
      <w:r w:rsidR="00BD1702" w:rsidRPr="008A7BD7">
        <w:rPr>
          <w:rFonts w:ascii="Cambria" w:eastAsia="Times New Roman" w:hAnsi="Cambria" w:cs="Tahoma"/>
          <w:color w:val="000000" w:themeColor="text1"/>
          <w:sz w:val="20"/>
          <w:szCs w:val="20"/>
          <w:lang w:eastAsia="es-ES"/>
        </w:rPr>
        <w:t xml:space="preserve">could </w:t>
      </w:r>
      <w:r w:rsidR="00042E37" w:rsidRPr="008A7BD7">
        <w:rPr>
          <w:rFonts w:ascii="Cambria" w:eastAsia="Times New Roman" w:hAnsi="Cambria" w:cs="Tahoma"/>
          <w:color w:val="000000" w:themeColor="text1"/>
          <w:sz w:val="20"/>
          <w:szCs w:val="20"/>
          <w:lang w:eastAsia="es-ES"/>
        </w:rPr>
        <w:t xml:space="preserve">potentially </w:t>
      </w:r>
      <w:r w:rsidR="00BD1702" w:rsidRPr="008A7BD7">
        <w:rPr>
          <w:rFonts w:ascii="Cambria" w:eastAsia="Times New Roman" w:hAnsi="Cambria" w:cs="Tahoma"/>
          <w:color w:val="000000" w:themeColor="text1"/>
          <w:sz w:val="20"/>
          <w:szCs w:val="20"/>
          <w:lang w:eastAsia="es-ES"/>
        </w:rPr>
        <w:t xml:space="preserve">allow </w:t>
      </w:r>
      <w:proofErr w:type="spellStart"/>
      <w:r w:rsidR="00BD1702" w:rsidRPr="008A7BD7">
        <w:rPr>
          <w:rFonts w:ascii="Cambria" w:eastAsia="Times New Roman" w:hAnsi="Cambria" w:cs="Tahoma"/>
          <w:color w:val="000000" w:themeColor="text1"/>
          <w:sz w:val="20"/>
          <w:szCs w:val="20"/>
          <w:lang w:eastAsia="es-ES"/>
        </w:rPr>
        <w:t>Tigo</w:t>
      </w:r>
      <w:proofErr w:type="spellEnd"/>
      <w:r w:rsidR="00BD1702" w:rsidRPr="008A7BD7">
        <w:rPr>
          <w:rFonts w:ascii="Cambria" w:eastAsia="Times New Roman" w:hAnsi="Cambria" w:cs="Tahoma"/>
          <w:color w:val="000000" w:themeColor="text1"/>
          <w:sz w:val="20"/>
          <w:szCs w:val="20"/>
          <w:lang w:eastAsia="es-ES"/>
        </w:rPr>
        <w:t xml:space="preserve"> to </w:t>
      </w:r>
      <w:r w:rsidR="00F50AF9" w:rsidRPr="008A7BD7">
        <w:rPr>
          <w:rFonts w:ascii="Cambria" w:eastAsia="Times New Roman" w:hAnsi="Cambria" w:cs="Tahoma"/>
          <w:color w:val="000000" w:themeColor="text1"/>
          <w:sz w:val="20"/>
          <w:szCs w:val="20"/>
          <w:lang w:eastAsia="es-ES"/>
        </w:rPr>
        <w:t xml:space="preserve">have guaranteed </w:t>
      </w:r>
      <w:r w:rsidR="00BE26C8" w:rsidRPr="008A7BD7">
        <w:rPr>
          <w:rFonts w:ascii="Cambria" w:eastAsia="Times New Roman" w:hAnsi="Cambria" w:cs="Tahoma"/>
          <w:color w:val="000000" w:themeColor="text1"/>
          <w:sz w:val="20"/>
          <w:szCs w:val="20"/>
          <w:lang w:eastAsia="es-ES"/>
        </w:rPr>
        <w:t xml:space="preserve">spectrum </w:t>
      </w:r>
      <w:r w:rsidR="00F50AF9" w:rsidRPr="008A7BD7">
        <w:rPr>
          <w:rFonts w:ascii="Cambria" w:eastAsia="Times New Roman" w:hAnsi="Cambria" w:cs="Tahoma"/>
          <w:color w:val="000000" w:themeColor="text1"/>
          <w:sz w:val="20"/>
          <w:szCs w:val="20"/>
          <w:lang w:eastAsia="es-ES"/>
        </w:rPr>
        <w:t>blocks</w:t>
      </w:r>
      <w:r w:rsidR="00BE26C8" w:rsidRPr="008A7BD7">
        <w:rPr>
          <w:rFonts w:ascii="Cambria" w:eastAsia="Times New Roman" w:hAnsi="Cambria" w:cs="Tahoma"/>
          <w:color w:val="000000" w:themeColor="text1"/>
          <w:sz w:val="20"/>
          <w:szCs w:val="20"/>
          <w:lang w:eastAsia="es-ES"/>
        </w:rPr>
        <w:t xml:space="preserve"> </w:t>
      </w:r>
      <w:r w:rsidR="00F50AF9" w:rsidRPr="008A7BD7">
        <w:rPr>
          <w:rFonts w:ascii="Cambria" w:eastAsia="Times New Roman" w:hAnsi="Cambria" w:cs="Tahoma"/>
          <w:color w:val="000000" w:themeColor="text1"/>
          <w:sz w:val="20"/>
          <w:szCs w:val="20"/>
          <w:lang w:eastAsia="es-ES"/>
        </w:rPr>
        <w:t xml:space="preserve">for </w:t>
      </w:r>
      <w:r w:rsidR="009C4A37" w:rsidRPr="008A7BD7">
        <w:rPr>
          <w:rFonts w:ascii="Cambria" w:eastAsia="Times New Roman" w:hAnsi="Cambria" w:cs="Tahoma"/>
          <w:color w:val="000000"/>
          <w:sz w:val="20"/>
          <w:szCs w:val="20"/>
          <w:lang w:eastAsia="es-ES"/>
        </w:rPr>
        <w:t>4G</w:t>
      </w:r>
      <w:r w:rsidR="009416E0" w:rsidRPr="008A7BD7">
        <w:rPr>
          <w:rFonts w:ascii="Cambria" w:eastAsia="Times New Roman" w:hAnsi="Cambria" w:cs="Tahoma"/>
          <w:color w:val="000000"/>
          <w:sz w:val="20"/>
          <w:szCs w:val="20"/>
          <w:lang w:eastAsia="es-ES"/>
        </w:rPr>
        <w:t xml:space="preserve"> (</w:t>
      </w:r>
      <w:r w:rsidR="00F50AF9" w:rsidRPr="008A7BD7">
        <w:rPr>
          <w:rFonts w:ascii="Cambria" w:eastAsia="Times New Roman" w:hAnsi="Cambria" w:cs="Tahoma"/>
          <w:color w:val="000000"/>
          <w:sz w:val="20"/>
          <w:szCs w:val="20"/>
          <w:lang w:eastAsia="es-ES"/>
        </w:rPr>
        <w:t xml:space="preserve">which is being implemented gradually in </w:t>
      </w:r>
      <w:r w:rsidR="009C4A37" w:rsidRPr="008A7BD7">
        <w:rPr>
          <w:rFonts w:ascii="Cambria" w:eastAsia="Times New Roman" w:hAnsi="Cambria" w:cs="Tahoma"/>
          <w:color w:val="000000"/>
          <w:sz w:val="20"/>
          <w:szCs w:val="20"/>
          <w:lang w:eastAsia="es-ES"/>
        </w:rPr>
        <w:t>Guatemala</w:t>
      </w:r>
      <w:r w:rsidR="009416E0"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lang w:eastAsia="es-ES"/>
        </w:rPr>
        <w:t xml:space="preserve"> </w:t>
      </w:r>
      <w:r w:rsidR="00F50AF9" w:rsidRPr="008A7BD7">
        <w:rPr>
          <w:rFonts w:ascii="Cambria" w:eastAsia="Times New Roman" w:hAnsi="Cambria" w:cs="Tahoma"/>
          <w:color w:val="000000"/>
          <w:sz w:val="20"/>
          <w:szCs w:val="20"/>
          <w:lang w:eastAsia="es-ES"/>
        </w:rPr>
        <w:t>without participating in public auctions</w:t>
      </w:r>
      <w:r w:rsidR="009416E0" w:rsidRPr="008A7BD7">
        <w:rPr>
          <w:rFonts w:ascii="Cambria" w:eastAsia="Times New Roman" w:hAnsi="Cambria" w:cs="Tahoma"/>
          <w:color w:val="000000"/>
          <w:sz w:val="20"/>
          <w:szCs w:val="20"/>
          <w:lang w:eastAsia="es-ES"/>
        </w:rPr>
        <w:t>,</w:t>
      </w:r>
      <w:r w:rsidR="00F50AF9" w:rsidRPr="008A7BD7">
        <w:rPr>
          <w:rFonts w:ascii="Cambria" w:eastAsia="Times New Roman" w:hAnsi="Cambria" w:cs="Tahoma"/>
          <w:color w:val="000000"/>
          <w:sz w:val="20"/>
          <w:szCs w:val="20"/>
          <w:lang w:eastAsia="es-ES"/>
        </w:rPr>
        <w:t xml:space="preserve"> and </w:t>
      </w:r>
      <w:r w:rsidR="002E4CDF" w:rsidRPr="008A7BD7">
        <w:rPr>
          <w:rFonts w:ascii="Cambria" w:eastAsia="Times New Roman" w:hAnsi="Cambria" w:cs="Tahoma"/>
          <w:color w:val="000000"/>
          <w:sz w:val="20"/>
          <w:szCs w:val="20"/>
          <w:lang w:eastAsia="es-ES"/>
        </w:rPr>
        <w:t xml:space="preserve">could put the company </w:t>
      </w:r>
      <w:r w:rsidR="0070074A" w:rsidRPr="008A7BD7">
        <w:rPr>
          <w:rFonts w:ascii="Cambria" w:eastAsia="Times New Roman" w:hAnsi="Cambria" w:cs="Tahoma"/>
          <w:color w:val="000000"/>
          <w:sz w:val="20"/>
          <w:szCs w:val="20"/>
          <w:lang w:eastAsia="es-ES"/>
        </w:rPr>
        <w:t>at a</w:t>
      </w:r>
      <w:r w:rsidR="00F50AF9" w:rsidRPr="008A7BD7">
        <w:rPr>
          <w:rFonts w:ascii="Cambria" w:eastAsia="Times New Roman" w:hAnsi="Cambria" w:cs="Tahoma"/>
          <w:color w:val="000000"/>
          <w:sz w:val="20"/>
          <w:szCs w:val="20"/>
          <w:lang w:eastAsia="es-ES"/>
        </w:rPr>
        <w:t>n advantage</w:t>
      </w:r>
      <w:r w:rsidR="0070074A" w:rsidRPr="008A7BD7">
        <w:rPr>
          <w:rFonts w:ascii="Cambria" w:eastAsia="Times New Roman" w:hAnsi="Cambria" w:cs="Tahoma"/>
          <w:color w:val="000000"/>
          <w:sz w:val="20"/>
          <w:szCs w:val="20"/>
          <w:lang w:eastAsia="es-ES"/>
        </w:rPr>
        <w:t xml:space="preserve"> </w:t>
      </w:r>
      <w:r w:rsidR="00F50AF9" w:rsidRPr="008A7BD7">
        <w:rPr>
          <w:rFonts w:ascii="Cambria" w:eastAsia="Times New Roman" w:hAnsi="Cambria" w:cs="Tahoma"/>
          <w:color w:val="000000"/>
          <w:sz w:val="20"/>
          <w:szCs w:val="20"/>
          <w:lang w:eastAsia="es-ES"/>
        </w:rPr>
        <w:t xml:space="preserve">to dominate the technology. The blocks for which </w:t>
      </w:r>
      <w:proofErr w:type="spellStart"/>
      <w:r w:rsidR="00F50AF9" w:rsidRPr="008A7BD7">
        <w:rPr>
          <w:rFonts w:ascii="Cambria" w:eastAsia="Times New Roman" w:hAnsi="Cambria" w:cs="Tahoma"/>
          <w:color w:val="000000"/>
          <w:sz w:val="20"/>
          <w:szCs w:val="20"/>
          <w:lang w:eastAsia="es-ES"/>
        </w:rPr>
        <w:t>Tigo</w:t>
      </w:r>
      <w:proofErr w:type="spellEnd"/>
      <w:r w:rsidR="00F50AF9" w:rsidRPr="008A7BD7">
        <w:rPr>
          <w:rFonts w:ascii="Cambria" w:eastAsia="Times New Roman" w:hAnsi="Cambria" w:cs="Tahoma"/>
          <w:color w:val="000000"/>
          <w:sz w:val="20"/>
          <w:szCs w:val="20"/>
          <w:lang w:eastAsia="es-ES"/>
        </w:rPr>
        <w:t xml:space="preserve"> acquired rights of use had previously been used or authorized for transmission by television channels</w:t>
      </w:r>
      <w:r w:rsidR="009C4A37" w:rsidRPr="008A7BD7">
        <w:rPr>
          <w:rFonts w:ascii="Cambria" w:eastAsia="Times New Roman" w:hAnsi="Cambria" w:cs="Tahoma"/>
          <w:color w:val="000000"/>
          <w:sz w:val="20"/>
          <w:szCs w:val="20"/>
          <w:lang w:eastAsia="es-ES"/>
        </w:rPr>
        <w:t xml:space="preserve">. </w:t>
      </w:r>
      <w:r w:rsidR="00642B3E" w:rsidRPr="008A7BD7">
        <w:rPr>
          <w:rFonts w:ascii="Cambria" w:eastAsia="Times New Roman" w:hAnsi="Cambria" w:cs="Tahoma"/>
          <w:color w:val="000000"/>
          <w:sz w:val="20"/>
          <w:szCs w:val="20"/>
          <w:lang w:eastAsia="es-ES"/>
        </w:rPr>
        <w:t xml:space="preserve">Under </w:t>
      </w:r>
      <w:r w:rsidR="00F50AF9" w:rsidRPr="008A7BD7">
        <w:rPr>
          <w:rFonts w:ascii="Cambria" w:eastAsia="Times New Roman" w:hAnsi="Cambria" w:cs="Tahoma"/>
          <w:color w:val="000000"/>
          <w:sz w:val="20"/>
          <w:szCs w:val="20"/>
          <w:lang w:eastAsia="es-ES"/>
        </w:rPr>
        <w:t xml:space="preserve">Resolution </w:t>
      </w:r>
      <w:r w:rsidR="009C4A37" w:rsidRPr="008A7BD7">
        <w:rPr>
          <w:rFonts w:ascii="Cambria" w:eastAsia="Times New Roman" w:hAnsi="Cambria" w:cs="Tahoma"/>
          <w:color w:val="000000"/>
          <w:sz w:val="20"/>
          <w:szCs w:val="20"/>
          <w:lang w:eastAsia="es-ES"/>
        </w:rPr>
        <w:t xml:space="preserve">664-2020, </w:t>
      </w:r>
      <w:r w:rsidR="00CD6747" w:rsidRPr="008A7BD7">
        <w:rPr>
          <w:rFonts w:ascii="Cambria" w:eastAsia="Times New Roman" w:hAnsi="Cambria" w:cs="Tahoma"/>
          <w:color w:val="000000"/>
          <w:sz w:val="20"/>
          <w:szCs w:val="20"/>
          <w:lang w:eastAsia="es-ES"/>
        </w:rPr>
        <w:t xml:space="preserve">which </w:t>
      </w:r>
      <w:r w:rsidR="008707FC" w:rsidRPr="008A7BD7">
        <w:rPr>
          <w:rFonts w:ascii="Cambria" w:eastAsia="Times New Roman" w:hAnsi="Cambria" w:cs="Tahoma"/>
          <w:color w:val="000000"/>
          <w:sz w:val="20"/>
          <w:szCs w:val="20"/>
          <w:lang w:eastAsia="es-ES"/>
        </w:rPr>
        <w:t>started</w:t>
      </w:r>
      <w:r w:rsidR="00B15A12" w:rsidRPr="008A7BD7">
        <w:rPr>
          <w:rFonts w:ascii="Cambria" w:eastAsia="Times New Roman" w:hAnsi="Cambria" w:cs="Tahoma"/>
          <w:color w:val="000000"/>
          <w:sz w:val="20"/>
          <w:szCs w:val="20"/>
          <w:lang w:eastAsia="es-ES"/>
        </w:rPr>
        <w:t xml:space="preserve"> </w:t>
      </w:r>
      <w:r w:rsidR="008707FC" w:rsidRPr="008A7BD7">
        <w:rPr>
          <w:rFonts w:ascii="Cambria" w:eastAsia="Times New Roman" w:hAnsi="Cambria" w:cs="Tahoma"/>
          <w:color w:val="000000"/>
          <w:sz w:val="20"/>
          <w:szCs w:val="20"/>
          <w:lang w:eastAsia="es-ES"/>
        </w:rPr>
        <w:t>a</w:t>
      </w:r>
      <w:r w:rsidR="00B15A12" w:rsidRPr="008A7BD7">
        <w:rPr>
          <w:rFonts w:ascii="Cambria" w:eastAsia="Times New Roman" w:hAnsi="Cambria" w:cs="Tahoma"/>
          <w:color w:val="000000"/>
          <w:sz w:val="20"/>
          <w:szCs w:val="20"/>
          <w:lang w:eastAsia="es-ES"/>
        </w:rPr>
        <w:t xml:space="preserve"> </w:t>
      </w:r>
      <w:r w:rsidR="008707FC" w:rsidRPr="008A7BD7">
        <w:rPr>
          <w:rFonts w:ascii="Cambria" w:eastAsia="Times New Roman" w:hAnsi="Cambria" w:cs="Tahoma"/>
          <w:color w:val="000000"/>
          <w:sz w:val="20"/>
          <w:szCs w:val="20"/>
          <w:lang w:eastAsia="es-ES"/>
        </w:rPr>
        <w:t>process to reconfigure the spectrum</w:t>
      </w:r>
      <w:r w:rsidR="00B15A12" w:rsidRPr="008A7BD7">
        <w:rPr>
          <w:rFonts w:ascii="Cambria" w:eastAsia="Times New Roman" w:hAnsi="Cambria" w:cs="Tahoma"/>
          <w:color w:val="000000"/>
          <w:sz w:val="20"/>
          <w:szCs w:val="20"/>
          <w:lang w:eastAsia="es-ES"/>
        </w:rPr>
        <w:t xml:space="preserve"> for </w:t>
      </w:r>
      <w:r w:rsidR="009C4A37" w:rsidRPr="008A7BD7">
        <w:rPr>
          <w:rFonts w:ascii="Cambria" w:eastAsia="Times New Roman" w:hAnsi="Cambria" w:cs="Tahoma"/>
          <w:color w:val="000000"/>
          <w:sz w:val="20"/>
          <w:szCs w:val="20"/>
          <w:lang w:eastAsia="es-ES"/>
        </w:rPr>
        <w:t xml:space="preserve">4G, </w:t>
      </w:r>
      <w:r w:rsidR="00B15A12" w:rsidRPr="008A7BD7">
        <w:rPr>
          <w:rFonts w:ascii="Cambria" w:eastAsia="Times New Roman" w:hAnsi="Cambria" w:cs="Tahoma"/>
          <w:color w:val="000000"/>
          <w:sz w:val="20"/>
          <w:szCs w:val="20"/>
          <w:lang w:eastAsia="es-ES"/>
        </w:rPr>
        <w:t xml:space="preserve">the </w:t>
      </w:r>
      <w:r w:rsidR="0070074A" w:rsidRPr="008A7BD7">
        <w:rPr>
          <w:rFonts w:ascii="Cambria" w:eastAsia="Times New Roman" w:hAnsi="Cambria" w:cs="Tahoma"/>
          <w:color w:val="000000"/>
          <w:sz w:val="20"/>
          <w:szCs w:val="20"/>
          <w:lang w:eastAsia="es-ES"/>
        </w:rPr>
        <w:t>spectrum blocks for which</w:t>
      </w:r>
      <w:r w:rsidR="009B400B" w:rsidRPr="008A7BD7">
        <w:rPr>
          <w:rFonts w:ascii="Cambria" w:eastAsia="Times New Roman" w:hAnsi="Cambria" w:cs="Tahoma"/>
          <w:color w:val="000000"/>
          <w:sz w:val="20"/>
          <w:szCs w:val="20"/>
          <w:lang w:eastAsia="es-ES"/>
        </w:rPr>
        <w:t xml:space="preserve"> </w:t>
      </w:r>
      <w:proofErr w:type="spellStart"/>
      <w:r w:rsidR="009B400B" w:rsidRPr="008A7BD7">
        <w:rPr>
          <w:rFonts w:ascii="Cambria" w:eastAsia="Times New Roman" w:hAnsi="Cambria" w:cs="Tahoma"/>
          <w:color w:val="000000"/>
          <w:sz w:val="20"/>
          <w:szCs w:val="20"/>
          <w:lang w:eastAsia="es-ES"/>
        </w:rPr>
        <w:t>Tigo</w:t>
      </w:r>
      <w:proofErr w:type="spellEnd"/>
      <w:r w:rsidR="009B400B" w:rsidRPr="008A7BD7">
        <w:rPr>
          <w:rFonts w:ascii="Cambria" w:eastAsia="Times New Roman" w:hAnsi="Cambria" w:cs="Tahoma"/>
          <w:color w:val="000000"/>
          <w:sz w:val="20"/>
          <w:szCs w:val="20"/>
          <w:lang w:eastAsia="es-ES"/>
        </w:rPr>
        <w:t xml:space="preserve"> </w:t>
      </w:r>
      <w:r w:rsidR="00642B3E" w:rsidRPr="008A7BD7">
        <w:rPr>
          <w:rFonts w:ascii="Cambria" w:eastAsia="Times New Roman" w:hAnsi="Cambria" w:cs="Tahoma"/>
          <w:color w:val="000000"/>
          <w:sz w:val="20"/>
          <w:szCs w:val="20"/>
          <w:lang w:eastAsia="es-ES"/>
        </w:rPr>
        <w:t xml:space="preserve">allegedly </w:t>
      </w:r>
      <w:r w:rsidR="009B400B" w:rsidRPr="008A7BD7">
        <w:rPr>
          <w:rFonts w:ascii="Cambria" w:eastAsia="Times New Roman" w:hAnsi="Cambria" w:cs="Tahoma"/>
          <w:color w:val="000000"/>
          <w:sz w:val="20"/>
          <w:szCs w:val="20"/>
          <w:lang w:eastAsia="es-ES"/>
        </w:rPr>
        <w:t xml:space="preserve">has rights of use </w:t>
      </w:r>
      <w:r w:rsidR="008707FC" w:rsidRPr="008A7BD7">
        <w:rPr>
          <w:rFonts w:ascii="Cambria" w:eastAsia="Times New Roman" w:hAnsi="Cambria" w:cs="Tahoma"/>
          <w:color w:val="000000"/>
          <w:sz w:val="20"/>
          <w:szCs w:val="20"/>
          <w:lang w:eastAsia="es-ES"/>
        </w:rPr>
        <w:t>were</w:t>
      </w:r>
      <w:r w:rsidR="009B400B" w:rsidRPr="008A7BD7">
        <w:rPr>
          <w:rFonts w:ascii="Cambria" w:eastAsia="Times New Roman" w:hAnsi="Cambria" w:cs="Tahoma"/>
          <w:color w:val="000000"/>
          <w:sz w:val="20"/>
          <w:szCs w:val="20"/>
          <w:lang w:eastAsia="es-ES"/>
        </w:rPr>
        <w:t xml:space="preserve"> </w:t>
      </w:r>
      <w:r w:rsidR="00642B3E" w:rsidRPr="008A7BD7">
        <w:rPr>
          <w:rFonts w:ascii="Cambria" w:eastAsia="Times New Roman" w:hAnsi="Cambria" w:cs="Tahoma"/>
          <w:color w:val="000000"/>
          <w:sz w:val="20"/>
          <w:szCs w:val="20"/>
          <w:lang w:eastAsia="es-ES"/>
        </w:rPr>
        <w:t xml:space="preserve">already </w:t>
      </w:r>
      <w:r w:rsidR="009B400B" w:rsidRPr="008A7BD7">
        <w:rPr>
          <w:rFonts w:ascii="Cambria" w:eastAsia="Times New Roman" w:hAnsi="Cambria" w:cs="Tahoma"/>
          <w:color w:val="000000"/>
          <w:sz w:val="20"/>
          <w:szCs w:val="20"/>
          <w:lang w:eastAsia="es-ES"/>
        </w:rPr>
        <w:t>excluded from the auction process.</w:t>
      </w:r>
      <w:r w:rsidR="009C4A37" w:rsidRPr="008A7BD7">
        <w:rPr>
          <w:rFonts w:ascii="Cambria" w:eastAsia="Times New Roman" w:hAnsi="Cambria" w:cs="Tahoma"/>
          <w:color w:val="000000"/>
          <w:sz w:val="20"/>
          <w:szCs w:val="20"/>
          <w:vertAlign w:val="superscript"/>
          <w:lang w:val="es-419" w:eastAsia="es-ES"/>
        </w:rPr>
        <w:footnoteReference w:id="174"/>
      </w:r>
      <w:r w:rsidR="009C4A37" w:rsidRPr="008A7BD7">
        <w:rPr>
          <w:rFonts w:ascii="Cambria" w:eastAsia="Times New Roman" w:hAnsi="Cambria" w:cs="Tahoma"/>
          <w:color w:val="000000"/>
          <w:sz w:val="20"/>
          <w:szCs w:val="20"/>
          <w:lang w:eastAsia="es-ES"/>
        </w:rPr>
        <w:t xml:space="preserve"> </w:t>
      </w:r>
    </w:p>
    <w:p w14:paraId="37863FAE"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5C1D0824" w14:textId="168995A8" w:rsidR="009C4A37" w:rsidRPr="008A7BD7" w:rsidRDefault="00FD63AF"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 xml:space="preserve">Even though the Superintendence of Telecommunications has not confirmed that </w:t>
      </w:r>
      <w:proofErr w:type="spellStart"/>
      <w:r w:rsidR="009C4A37" w:rsidRPr="008A7BD7">
        <w:rPr>
          <w:rFonts w:ascii="Cambria" w:eastAsia="Times New Roman" w:hAnsi="Cambria" w:cs="Tahoma"/>
          <w:color w:val="000000"/>
          <w:sz w:val="20"/>
          <w:szCs w:val="20"/>
          <w:lang w:eastAsia="es-ES"/>
        </w:rPr>
        <w:t>Tigo</w:t>
      </w:r>
      <w:proofErr w:type="spellEnd"/>
      <w:r w:rsidR="009C4A37" w:rsidRPr="008A7BD7">
        <w:rPr>
          <w:rFonts w:ascii="Cambria" w:eastAsia="Times New Roman" w:hAnsi="Cambria" w:cs="Tahoma"/>
          <w:color w:val="000000"/>
          <w:sz w:val="20"/>
          <w:szCs w:val="20"/>
          <w:lang w:eastAsia="es-ES"/>
        </w:rPr>
        <w:t xml:space="preserve"> </w:t>
      </w:r>
      <w:r w:rsidRPr="008A7BD7">
        <w:rPr>
          <w:rFonts w:ascii="Cambria" w:eastAsia="Times New Roman" w:hAnsi="Cambria" w:cs="Tahoma"/>
          <w:color w:val="000000"/>
          <w:sz w:val="20"/>
          <w:szCs w:val="20"/>
          <w:lang w:eastAsia="es-ES"/>
        </w:rPr>
        <w:t xml:space="preserve">would be able to use the bands acquired from the </w:t>
      </w:r>
      <w:r w:rsidR="00642B3E" w:rsidRPr="008A7BD7">
        <w:rPr>
          <w:rFonts w:ascii="Cambria" w:eastAsia="Times New Roman" w:hAnsi="Cambria" w:cs="Tahoma"/>
          <w:color w:val="000000"/>
          <w:sz w:val="20"/>
          <w:szCs w:val="20"/>
          <w:lang w:eastAsia="es-ES"/>
        </w:rPr>
        <w:t>television</w:t>
      </w:r>
      <w:r w:rsidRPr="008A7BD7">
        <w:rPr>
          <w:rFonts w:ascii="Cambria" w:eastAsia="Times New Roman" w:hAnsi="Cambria" w:cs="Tahoma"/>
          <w:color w:val="000000"/>
          <w:sz w:val="20"/>
          <w:szCs w:val="20"/>
          <w:lang w:eastAsia="es-ES"/>
        </w:rPr>
        <w:t xml:space="preserve"> spectrum for the implementation </w:t>
      </w:r>
      <w:r w:rsidR="00B45566" w:rsidRPr="008A7BD7">
        <w:rPr>
          <w:rFonts w:ascii="Cambria" w:eastAsia="Times New Roman" w:hAnsi="Cambria" w:cs="Tahoma"/>
          <w:color w:val="000000"/>
          <w:sz w:val="20"/>
          <w:szCs w:val="20"/>
          <w:lang w:eastAsia="es-ES"/>
        </w:rPr>
        <w:t xml:space="preserve">of 4G mobile technology, the company </w:t>
      </w:r>
      <w:proofErr w:type="spellStart"/>
      <w:r w:rsidR="009C4A37" w:rsidRPr="008A7BD7">
        <w:rPr>
          <w:rFonts w:ascii="Cambria" w:eastAsia="Times New Roman" w:hAnsi="Cambria" w:cs="Tahoma"/>
          <w:color w:val="000000"/>
          <w:sz w:val="20"/>
          <w:szCs w:val="20"/>
          <w:lang w:eastAsia="es-ES"/>
        </w:rPr>
        <w:t>Telecomunicaciones</w:t>
      </w:r>
      <w:proofErr w:type="spellEnd"/>
      <w:r w:rsidR="009C4A37" w:rsidRPr="008A7BD7">
        <w:rPr>
          <w:rFonts w:ascii="Cambria" w:eastAsia="Times New Roman" w:hAnsi="Cambria" w:cs="Tahoma"/>
          <w:color w:val="000000"/>
          <w:sz w:val="20"/>
          <w:szCs w:val="20"/>
          <w:lang w:eastAsia="es-ES"/>
        </w:rPr>
        <w:t xml:space="preserve"> de Guatemala, S.A. (</w:t>
      </w:r>
      <w:r w:rsidR="00B45566" w:rsidRPr="008A7BD7">
        <w:rPr>
          <w:rFonts w:ascii="Cambria" w:eastAsia="Times New Roman" w:hAnsi="Cambria" w:cs="Tahoma"/>
          <w:color w:val="000000"/>
          <w:sz w:val="20"/>
          <w:szCs w:val="20"/>
          <w:lang w:eastAsia="es-ES"/>
        </w:rPr>
        <w:t>doing business as</w:t>
      </w:r>
      <w:r w:rsidR="009C4A37" w:rsidRPr="008A7BD7">
        <w:rPr>
          <w:rFonts w:ascii="Cambria" w:eastAsia="Times New Roman" w:hAnsi="Cambria" w:cs="Tahoma"/>
          <w:color w:val="000000"/>
          <w:sz w:val="20"/>
          <w:szCs w:val="20"/>
          <w:lang w:eastAsia="es-ES"/>
        </w:rPr>
        <w:t xml:space="preserve"> Claro) </w:t>
      </w:r>
      <w:r w:rsidR="00B45566" w:rsidRPr="008A7BD7">
        <w:rPr>
          <w:rFonts w:ascii="Cambria" w:eastAsia="Times New Roman" w:hAnsi="Cambria" w:cs="Tahoma"/>
          <w:color w:val="000000"/>
          <w:sz w:val="20"/>
          <w:szCs w:val="20"/>
          <w:lang w:eastAsia="es-ES"/>
        </w:rPr>
        <w:t>and the Office of the Human Rights Ombudsman both filed motions with the Superintendence of Telecommunications on January 6, 2021, challenging Resolution</w:t>
      </w:r>
      <w:r w:rsidR="009C4A37" w:rsidRPr="008A7BD7">
        <w:rPr>
          <w:rFonts w:ascii="Cambria" w:eastAsia="Times New Roman" w:hAnsi="Cambria" w:cs="Tahoma"/>
          <w:color w:val="000000"/>
          <w:sz w:val="20"/>
          <w:szCs w:val="20"/>
          <w:lang w:eastAsia="es-ES"/>
        </w:rPr>
        <w:t xml:space="preserve"> 664-2020. </w:t>
      </w:r>
      <w:r w:rsidR="00D92848" w:rsidRPr="008A7BD7">
        <w:rPr>
          <w:rFonts w:ascii="Cambria" w:eastAsia="Times New Roman" w:hAnsi="Cambria" w:cs="Tahoma"/>
          <w:color w:val="000000"/>
          <w:sz w:val="20"/>
          <w:szCs w:val="20"/>
          <w:lang w:eastAsia="es-ES"/>
        </w:rPr>
        <w:t xml:space="preserve">In addition, according to publicly available information, the Public Prosecutor’s Office launched investigations into the acquisition of the rights of use by </w:t>
      </w:r>
      <w:proofErr w:type="spellStart"/>
      <w:r w:rsidR="00D92848" w:rsidRPr="008A7BD7">
        <w:rPr>
          <w:rFonts w:ascii="Cambria" w:eastAsia="Times New Roman" w:hAnsi="Cambria" w:cs="Tahoma"/>
          <w:color w:val="000000"/>
          <w:sz w:val="20"/>
          <w:szCs w:val="20"/>
          <w:lang w:eastAsia="es-ES"/>
        </w:rPr>
        <w:t>Tigo</w:t>
      </w:r>
      <w:proofErr w:type="spellEnd"/>
      <w:r w:rsidR="00D92848" w:rsidRPr="008A7BD7">
        <w:rPr>
          <w:rFonts w:ascii="Cambria" w:eastAsia="Times New Roman" w:hAnsi="Cambria" w:cs="Tahoma"/>
          <w:color w:val="000000"/>
          <w:sz w:val="20"/>
          <w:szCs w:val="20"/>
          <w:lang w:eastAsia="es-ES"/>
        </w:rPr>
        <w:t>, under suspicion of corruption.</w:t>
      </w:r>
      <w:r w:rsidR="009C4A37" w:rsidRPr="008A7BD7">
        <w:rPr>
          <w:rFonts w:ascii="Cambria" w:eastAsia="Times New Roman" w:hAnsi="Cambria" w:cs="Tahoma"/>
          <w:color w:val="000000"/>
          <w:sz w:val="20"/>
          <w:szCs w:val="20"/>
          <w:vertAlign w:val="superscript"/>
          <w:lang w:val="es-419" w:eastAsia="es-ES"/>
        </w:rPr>
        <w:footnoteReference w:id="175"/>
      </w:r>
      <w:r w:rsidR="009C4A37" w:rsidRPr="008A7BD7">
        <w:rPr>
          <w:rFonts w:ascii="Cambria" w:eastAsia="Times New Roman" w:hAnsi="Cambria" w:cs="Tahoma"/>
          <w:color w:val="000000"/>
          <w:sz w:val="20"/>
          <w:szCs w:val="20"/>
          <w:lang w:eastAsia="es-ES"/>
        </w:rPr>
        <w:t xml:space="preserve"> </w:t>
      </w:r>
      <w:r w:rsidR="005637E5" w:rsidRPr="008A7BD7">
        <w:rPr>
          <w:rFonts w:ascii="Cambria" w:eastAsia="Times New Roman" w:hAnsi="Cambria" w:cs="Tahoma"/>
          <w:color w:val="000000"/>
          <w:sz w:val="20"/>
          <w:szCs w:val="20"/>
          <w:lang w:eastAsia="es-ES"/>
        </w:rPr>
        <w:t xml:space="preserve">In this context, former superintendent of telecommunications </w:t>
      </w:r>
      <w:r w:rsidR="009C4A37" w:rsidRPr="008A7BD7">
        <w:rPr>
          <w:rFonts w:ascii="Cambria" w:eastAsia="Times New Roman" w:hAnsi="Cambria" w:cs="Tahoma"/>
          <w:color w:val="000000"/>
          <w:sz w:val="20"/>
          <w:szCs w:val="20"/>
          <w:lang w:eastAsia="es-ES"/>
        </w:rPr>
        <w:t xml:space="preserve">Jose Fernando </w:t>
      </w:r>
      <w:proofErr w:type="spellStart"/>
      <w:r w:rsidR="009C4A37" w:rsidRPr="008A7BD7">
        <w:rPr>
          <w:rFonts w:ascii="Cambria" w:eastAsia="Times New Roman" w:hAnsi="Cambria" w:cs="Tahoma"/>
          <w:color w:val="000000"/>
          <w:sz w:val="20"/>
          <w:szCs w:val="20"/>
          <w:lang w:eastAsia="es-ES"/>
        </w:rPr>
        <w:t>Monterrosa</w:t>
      </w:r>
      <w:proofErr w:type="spellEnd"/>
      <w:r w:rsidR="009C4A37" w:rsidRPr="008A7BD7">
        <w:rPr>
          <w:rFonts w:ascii="Cambria" w:eastAsia="Times New Roman" w:hAnsi="Cambria" w:cs="Tahoma"/>
          <w:color w:val="000000"/>
          <w:sz w:val="20"/>
          <w:szCs w:val="20"/>
          <w:lang w:eastAsia="es-ES"/>
        </w:rPr>
        <w:t xml:space="preserve"> Mendel, </w:t>
      </w:r>
      <w:r w:rsidR="005637E5" w:rsidRPr="008A7BD7">
        <w:rPr>
          <w:rFonts w:ascii="Cambria" w:eastAsia="Times New Roman" w:hAnsi="Cambria" w:cs="Tahoma"/>
          <w:color w:val="000000"/>
          <w:sz w:val="20"/>
          <w:szCs w:val="20"/>
          <w:lang w:eastAsia="es-ES"/>
        </w:rPr>
        <w:t xml:space="preserve">who had led the agency until December </w:t>
      </w:r>
      <w:r w:rsidR="009C4A37" w:rsidRPr="008A7BD7">
        <w:rPr>
          <w:rFonts w:ascii="Cambria" w:eastAsia="Times New Roman" w:hAnsi="Cambria" w:cs="Tahoma"/>
          <w:color w:val="000000"/>
          <w:sz w:val="20"/>
          <w:szCs w:val="20"/>
          <w:lang w:eastAsia="es-ES"/>
        </w:rPr>
        <w:t>23</w:t>
      </w:r>
      <w:r w:rsidR="005637E5" w:rsidRPr="008A7BD7">
        <w:rPr>
          <w:rFonts w:ascii="Cambria" w:eastAsia="Times New Roman" w:hAnsi="Cambria" w:cs="Tahoma"/>
          <w:color w:val="000000"/>
          <w:sz w:val="20"/>
          <w:szCs w:val="20"/>
          <w:lang w:eastAsia="es-ES"/>
        </w:rPr>
        <w:t xml:space="preserve">, </w:t>
      </w:r>
      <w:r w:rsidR="009416E0" w:rsidRPr="008A7BD7">
        <w:rPr>
          <w:rFonts w:ascii="Cambria" w:eastAsia="Times New Roman" w:hAnsi="Cambria" w:cs="Tahoma"/>
          <w:color w:val="000000"/>
          <w:sz w:val="20"/>
          <w:szCs w:val="20"/>
          <w:lang w:eastAsia="es-ES"/>
        </w:rPr>
        <w:t xml:space="preserve">2020, </w:t>
      </w:r>
      <w:r w:rsidR="005637E5" w:rsidRPr="008A7BD7">
        <w:rPr>
          <w:rFonts w:ascii="Cambria" w:eastAsia="Times New Roman" w:hAnsi="Cambria" w:cs="Tahoma"/>
          <w:color w:val="000000"/>
          <w:sz w:val="20"/>
          <w:szCs w:val="20"/>
          <w:lang w:eastAsia="es-ES"/>
        </w:rPr>
        <w:t xml:space="preserve">reportedly said that he was dismissed from his </w:t>
      </w:r>
      <w:r w:rsidR="005637E5" w:rsidRPr="008A7BD7">
        <w:rPr>
          <w:rFonts w:ascii="Cambria" w:eastAsia="Times New Roman" w:hAnsi="Cambria" w:cs="Tahoma"/>
          <w:color w:val="000000"/>
          <w:sz w:val="20"/>
          <w:szCs w:val="20"/>
          <w:lang w:eastAsia="es-ES"/>
        </w:rPr>
        <w:lastRenderedPageBreak/>
        <w:t>position by the President of</w:t>
      </w:r>
      <w:r w:rsidR="009C4A37" w:rsidRPr="008A7BD7">
        <w:rPr>
          <w:rFonts w:ascii="Cambria" w:eastAsia="Times New Roman" w:hAnsi="Cambria" w:cs="Tahoma"/>
          <w:color w:val="000000"/>
          <w:sz w:val="20"/>
          <w:szCs w:val="20"/>
          <w:lang w:eastAsia="es-ES"/>
        </w:rPr>
        <w:t xml:space="preserve"> Guatemala </w:t>
      </w:r>
      <w:r w:rsidR="005637E5" w:rsidRPr="008A7BD7">
        <w:rPr>
          <w:rFonts w:ascii="Cambria" w:eastAsia="Times New Roman" w:hAnsi="Cambria" w:cs="Tahoma"/>
          <w:color w:val="000000"/>
          <w:sz w:val="20"/>
          <w:szCs w:val="20"/>
          <w:lang w:eastAsia="es-ES"/>
        </w:rPr>
        <w:t>because he opposed the resolution and would not sign it in the time frame that the government considered appropriate.</w:t>
      </w:r>
      <w:r w:rsidR="009C4A37" w:rsidRPr="008A7BD7">
        <w:rPr>
          <w:rFonts w:ascii="Cambria" w:eastAsia="Times New Roman" w:hAnsi="Cambria" w:cs="Tahoma"/>
          <w:color w:val="000000"/>
          <w:sz w:val="20"/>
          <w:szCs w:val="20"/>
          <w:vertAlign w:val="superscript"/>
          <w:lang w:val="es-419" w:eastAsia="es-ES"/>
        </w:rPr>
        <w:footnoteReference w:id="176"/>
      </w:r>
      <w:r w:rsidR="009C4A37" w:rsidRPr="008A7BD7">
        <w:rPr>
          <w:rFonts w:ascii="Cambria" w:eastAsia="Times New Roman" w:hAnsi="Cambria" w:cs="Tahoma"/>
          <w:color w:val="000000"/>
          <w:sz w:val="20"/>
          <w:szCs w:val="20"/>
          <w:lang w:eastAsia="es-ES"/>
        </w:rPr>
        <w:t xml:space="preserve"> </w:t>
      </w:r>
    </w:p>
    <w:p w14:paraId="3E7797AD"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60CE2890" w14:textId="4E518A7E" w:rsidR="009C4A37" w:rsidRPr="008A7BD7" w:rsidRDefault="00884C35" w:rsidP="00F0442F">
      <w:pPr>
        <w:pStyle w:val="Heading2"/>
      </w:pPr>
      <w:r w:rsidRPr="008A7BD7">
        <w:t xml:space="preserve">Freedom of Expression and the Fight against Discrimination and Exclusion </w:t>
      </w:r>
    </w:p>
    <w:p w14:paraId="750F1583" w14:textId="77777777" w:rsidR="009C4A37" w:rsidRPr="008A7BD7" w:rsidRDefault="009C4A37" w:rsidP="009C4A37">
      <w:pPr>
        <w:pStyle w:val="ListParagraph"/>
        <w:jc w:val="both"/>
        <w:rPr>
          <w:rFonts w:ascii="Cambria" w:eastAsia="Times New Roman" w:hAnsi="Cambria" w:cs="Tahoma"/>
          <w:b/>
          <w:color w:val="000000"/>
          <w:sz w:val="20"/>
          <w:szCs w:val="20"/>
          <w:lang w:eastAsia="es-ES_tradnl"/>
        </w:rPr>
      </w:pPr>
    </w:p>
    <w:p w14:paraId="5FF71432" w14:textId="5CA0764D" w:rsidR="009C4A37" w:rsidRPr="008A7BD7" w:rsidRDefault="00884C35"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themeColor="text1"/>
          <w:sz w:val="20"/>
          <w:szCs w:val="20"/>
          <w:lang w:eastAsia="es-ES"/>
        </w:rPr>
        <w:t>Since</w:t>
      </w:r>
      <w:r w:rsidR="009C4A37" w:rsidRPr="008A7BD7">
        <w:rPr>
          <w:rFonts w:ascii="Cambria" w:eastAsia="Times New Roman" w:hAnsi="Cambria" w:cs="Tahoma"/>
          <w:color w:val="000000"/>
          <w:sz w:val="20"/>
          <w:szCs w:val="20"/>
          <w:lang w:eastAsia="es-ES"/>
        </w:rPr>
        <w:t xml:space="preserve"> 2000, </w:t>
      </w:r>
      <w:r w:rsidRPr="008A7BD7">
        <w:rPr>
          <w:rFonts w:ascii="Cambria" w:eastAsia="Times New Roman" w:hAnsi="Cambria" w:cs="Tahoma"/>
          <w:color w:val="000000"/>
          <w:sz w:val="20"/>
          <w:szCs w:val="20"/>
          <w:lang w:eastAsia="es-ES"/>
        </w:rPr>
        <w:t xml:space="preserve">the IACHR and its Office of the Special Rapporteur for Freedom of Expression have issued recommendations to the Guatemalan State </w:t>
      </w:r>
      <w:r w:rsidR="00AF4C4F" w:rsidRPr="008A7BD7">
        <w:rPr>
          <w:rFonts w:ascii="Cambria" w:eastAsia="Times New Roman" w:hAnsi="Cambria" w:cs="Tahoma"/>
          <w:color w:val="000000"/>
          <w:sz w:val="20"/>
          <w:szCs w:val="20"/>
          <w:lang w:eastAsia="es-ES"/>
        </w:rPr>
        <w:t>related to</w:t>
      </w:r>
      <w:r w:rsidRPr="008A7BD7">
        <w:rPr>
          <w:rFonts w:ascii="Cambria" w:eastAsia="Times New Roman" w:hAnsi="Cambria" w:cs="Tahoma"/>
          <w:color w:val="000000"/>
          <w:sz w:val="20"/>
          <w:szCs w:val="20"/>
          <w:lang w:eastAsia="es-ES"/>
        </w:rPr>
        <w:t xml:space="preserve"> two </w:t>
      </w:r>
      <w:proofErr w:type="gramStart"/>
      <w:r w:rsidRPr="008A7BD7">
        <w:rPr>
          <w:rFonts w:ascii="Cambria" w:eastAsia="Times New Roman" w:hAnsi="Cambria" w:cs="Tahoma"/>
          <w:color w:val="000000"/>
          <w:sz w:val="20"/>
          <w:szCs w:val="20"/>
          <w:lang w:eastAsia="es-ES"/>
        </w:rPr>
        <w:t>particular aspects</w:t>
      </w:r>
      <w:proofErr w:type="gramEnd"/>
      <w:r w:rsidRPr="008A7BD7">
        <w:rPr>
          <w:rFonts w:ascii="Cambria" w:eastAsia="Times New Roman" w:hAnsi="Cambria" w:cs="Tahoma"/>
          <w:color w:val="000000"/>
          <w:sz w:val="20"/>
          <w:szCs w:val="20"/>
          <w:lang w:eastAsia="es-ES"/>
        </w:rPr>
        <w:t xml:space="preserve">: the need for a </w:t>
      </w:r>
      <w:r w:rsidR="00AF4C4F" w:rsidRPr="008A7BD7">
        <w:rPr>
          <w:rFonts w:ascii="Cambria" w:eastAsia="Times New Roman" w:hAnsi="Cambria" w:cs="Tahoma"/>
          <w:color w:val="000000"/>
          <w:sz w:val="20"/>
          <w:szCs w:val="20"/>
          <w:lang w:eastAsia="es-ES"/>
        </w:rPr>
        <w:t xml:space="preserve">fairer, more inclusive legal framework for community broadcasting, and the decriminalization of broadcasting without a license in the country. Picking up again on its 2020 assessment, the IACHR notes that to date there has been no progress with respect to the law on community media, part of </w:t>
      </w:r>
      <w:r w:rsidR="00F65E52" w:rsidRPr="008A7BD7">
        <w:rPr>
          <w:rFonts w:ascii="Cambria" w:eastAsia="Times New Roman" w:hAnsi="Cambria" w:cs="Tahoma"/>
          <w:color w:val="000000"/>
          <w:sz w:val="20"/>
          <w:szCs w:val="20"/>
          <w:lang w:eastAsia="es-ES"/>
        </w:rPr>
        <w:t xml:space="preserve">congressional </w:t>
      </w:r>
      <w:r w:rsidR="00AF4C4F" w:rsidRPr="008A7BD7">
        <w:rPr>
          <w:rFonts w:ascii="Cambria" w:eastAsia="Times New Roman" w:hAnsi="Cambria" w:cs="Tahoma"/>
          <w:color w:val="000000"/>
          <w:sz w:val="20"/>
          <w:szCs w:val="20"/>
          <w:lang w:eastAsia="es-ES"/>
        </w:rPr>
        <w:t xml:space="preserve">bill </w:t>
      </w:r>
      <w:r w:rsidR="009C4A37" w:rsidRPr="008A7BD7">
        <w:rPr>
          <w:rFonts w:ascii="Cambria" w:eastAsia="Times New Roman" w:hAnsi="Cambria" w:cs="Tahoma"/>
          <w:color w:val="000000"/>
          <w:sz w:val="20"/>
          <w:szCs w:val="20"/>
          <w:lang w:eastAsia="es-ES"/>
        </w:rPr>
        <w:t>4087, o</w:t>
      </w:r>
      <w:r w:rsidR="00AF4C4F" w:rsidRPr="008A7BD7">
        <w:rPr>
          <w:rFonts w:ascii="Cambria" w:eastAsia="Times New Roman" w:hAnsi="Cambria" w:cs="Tahoma"/>
          <w:color w:val="000000"/>
          <w:sz w:val="20"/>
          <w:szCs w:val="20"/>
          <w:lang w:eastAsia="es-ES"/>
        </w:rPr>
        <w:t xml:space="preserve">r with respect to any other initiative to legalize community radio stations, adopt positive measures </w:t>
      </w:r>
      <w:r w:rsidR="00C67773" w:rsidRPr="008A7BD7">
        <w:rPr>
          <w:rFonts w:ascii="Cambria" w:eastAsia="Times New Roman" w:hAnsi="Cambria" w:cs="Tahoma"/>
          <w:color w:val="000000"/>
          <w:sz w:val="20"/>
          <w:szCs w:val="20"/>
          <w:lang w:eastAsia="es-ES"/>
        </w:rPr>
        <w:t>on their behalf</w:t>
      </w:r>
      <w:r w:rsidR="006E7AA3" w:rsidRPr="008A7BD7">
        <w:rPr>
          <w:rFonts w:ascii="Cambria" w:eastAsia="Times New Roman" w:hAnsi="Cambria" w:cs="Tahoma"/>
          <w:color w:val="000000"/>
          <w:sz w:val="20"/>
          <w:szCs w:val="20"/>
          <w:lang w:eastAsia="es-ES"/>
        </w:rPr>
        <w:t xml:space="preserve">, </w:t>
      </w:r>
      <w:r w:rsidR="00C67773" w:rsidRPr="008A7BD7">
        <w:rPr>
          <w:rFonts w:ascii="Cambria" w:eastAsia="Times New Roman" w:hAnsi="Cambria" w:cs="Tahoma"/>
          <w:color w:val="000000"/>
          <w:sz w:val="20"/>
          <w:szCs w:val="20"/>
          <w:lang w:eastAsia="es-ES"/>
        </w:rPr>
        <w:t>or</w:t>
      </w:r>
      <w:r w:rsidR="006E7AA3" w:rsidRPr="008A7BD7">
        <w:rPr>
          <w:rFonts w:ascii="Cambria" w:eastAsia="Times New Roman" w:hAnsi="Cambria" w:cs="Tahoma"/>
          <w:color w:val="000000"/>
          <w:sz w:val="20"/>
          <w:szCs w:val="20"/>
          <w:lang w:eastAsia="es-ES"/>
        </w:rPr>
        <w:t xml:space="preserve"> </w:t>
      </w:r>
      <w:r w:rsidR="00C67773" w:rsidRPr="008A7BD7">
        <w:rPr>
          <w:rFonts w:ascii="Cambria" w:eastAsia="Times New Roman" w:hAnsi="Cambria" w:cs="Tahoma"/>
          <w:color w:val="000000"/>
          <w:sz w:val="20"/>
          <w:szCs w:val="20"/>
          <w:lang w:eastAsia="es-ES"/>
        </w:rPr>
        <w:t>grant</w:t>
      </w:r>
      <w:r w:rsidR="006E7AA3" w:rsidRPr="008A7BD7">
        <w:rPr>
          <w:rFonts w:ascii="Cambria" w:eastAsia="Times New Roman" w:hAnsi="Cambria" w:cs="Tahoma"/>
          <w:color w:val="000000"/>
          <w:sz w:val="20"/>
          <w:szCs w:val="20"/>
          <w:lang w:eastAsia="es-ES"/>
        </w:rPr>
        <w:t xml:space="preserve"> them space on the radio spectrum. In 2021, the organizations Article</w:t>
      </w:r>
      <w:r w:rsidR="009C4A37" w:rsidRPr="008A7BD7">
        <w:rPr>
          <w:rFonts w:ascii="Cambria" w:eastAsia="Times New Roman" w:hAnsi="Cambria" w:cs="Tahoma"/>
          <w:color w:val="000000"/>
          <w:sz w:val="20"/>
          <w:szCs w:val="20"/>
          <w:lang w:eastAsia="es-ES"/>
        </w:rPr>
        <w:t xml:space="preserve"> 19, Centro Civitas, </w:t>
      </w:r>
      <w:r w:rsidR="006E7AA3" w:rsidRPr="008A7BD7">
        <w:rPr>
          <w:rFonts w:ascii="Cambria" w:eastAsia="Times New Roman" w:hAnsi="Cambria" w:cs="Tahoma"/>
          <w:color w:val="000000" w:themeColor="text1"/>
          <w:sz w:val="20"/>
          <w:szCs w:val="20"/>
          <w:lang w:eastAsia="es-ES"/>
        </w:rPr>
        <w:t>and</w:t>
      </w:r>
      <w:r w:rsidR="008C4260" w:rsidRPr="008A7BD7">
        <w:rPr>
          <w:rFonts w:ascii="Cambria" w:eastAsia="Times New Roman" w:hAnsi="Cambria" w:cs="Tahoma"/>
          <w:color w:val="000000" w:themeColor="text1"/>
          <w:sz w:val="20"/>
          <w:szCs w:val="20"/>
          <w:lang w:eastAsia="es-ES"/>
        </w:rPr>
        <w:t xml:space="preserve"> </w:t>
      </w:r>
      <w:proofErr w:type="spellStart"/>
      <w:r w:rsidR="009C4A37" w:rsidRPr="008A7BD7">
        <w:rPr>
          <w:rFonts w:ascii="Cambria" w:eastAsia="Times New Roman" w:hAnsi="Cambria" w:cs="Tahoma"/>
          <w:color w:val="000000"/>
          <w:sz w:val="20"/>
          <w:szCs w:val="20"/>
          <w:lang w:eastAsia="es-ES"/>
        </w:rPr>
        <w:t>Artículo</w:t>
      </w:r>
      <w:proofErr w:type="spellEnd"/>
      <w:r w:rsidR="009C4A37" w:rsidRPr="008A7BD7">
        <w:rPr>
          <w:rFonts w:ascii="Cambria" w:eastAsia="Times New Roman" w:hAnsi="Cambria" w:cs="Tahoma"/>
          <w:color w:val="000000"/>
          <w:sz w:val="20"/>
          <w:szCs w:val="20"/>
          <w:lang w:eastAsia="es-ES"/>
        </w:rPr>
        <w:t xml:space="preserve"> 35 </w:t>
      </w:r>
      <w:r w:rsidR="006E7AA3" w:rsidRPr="008A7BD7">
        <w:rPr>
          <w:rFonts w:ascii="Cambria" w:eastAsia="Times New Roman" w:hAnsi="Cambria" w:cs="Tahoma"/>
          <w:color w:val="000000"/>
          <w:sz w:val="20"/>
          <w:szCs w:val="20"/>
          <w:lang w:eastAsia="es-ES"/>
        </w:rPr>
        <w:t xml:space="preserve">concluded that the criminalization and criminal prosecution of community radio stations was one of the </w:t>
      </w:r>
      <w:r w:rsidR="006E7AA3" w:rsidRPr="008A7BD7">
        <w:rPr>
          <w:rFonts w:ascii="Cambria" w:eastAsia="Times New Roman" w:hAnsi="Cambria" w:cs="Tahoma"/>
          <w:color w:val="000000" w:themeColor="text1"/>
          <w:sz w:val="20"/>
          <w:szCs w:val="20"/>
          <w:lang w:eastAsia="es-ES"/>
        </w:rPr>
        <w:t xml:space="preserve">biggest problems related to the exercise of freedom of expression in Guatemala between </w:t>
      </w:r>
      <w:r w:rsidR="009C4A37" w:rsidRPr="008A7BD7">
        <w:rPr>
          <w:rFonts w:ascii="Cambria" w:eastAsia="Times New Roman" w:hAnsi="Cambria" w:cs="Tahoma"/>
          <w:color w:val="000000"/>
          <w:sz w:val="20"/>
          <w:szCs w:val="20"/>
          <w:lang w:eastAsia="es-ES"/>
        </w:rPr>
        <w:t xml:space="preserve">2011 </w:t>
      </w:r>
      <w:r w:rsidR="006E7AA3" w:rsidRPr="008A7BD7">
        <w:rPr>
          <w:rFonts w:ascii="Cambria" w:eastAsia="Times New Roman" w:hAnsi="Cambria" w:cs="Tahoma"/>
          <w:color w:val="000000"/>
          <w:sz w:val="20"/>
          <w:szCs w:val="20"/>
          <w:lang w:eastAsia="es-ES"/>
        </w:rPr>
        <w:t>and</w:t>
      </w:r>
      <w:r w:rsidR="009C4A37" w:rsidRPr="008A7BD7">
        <w:rPr>
          <w:rFonts w:ascii="Cambria" w:eastAsia="Times New Roman" w:hAnsi="Cambria" w:cs="Tahoma"/>
          <w:color w:val="000000"/>
          <w:sz w:val="20"/>
          <w:szCs w:val="20"/>
          <w:lang w:eastAsia="es-ES"/>
        </w:rPr>
        <w:t xml:space="preserve"> 2020</w:t>
      </w:r>
      <w:r w:rsidR="006E7AA3"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vertAlign w:val="superscript"/>
          <w:lang w:val="es-419" w:eastAsia="es-ES"/>
        </w:rPr>
        <w:footnoteReference w:id="177"/>
      </w:r>
      <w:r w:rsidR="009C4A37" w:rsidRPr="008A7BD7">
        <w:rPr>
          <w:rFonts w:ascii="Cambria" w:eastAsia="Times New Roman" w:hAnsi="Cambria" w:cs="Tahoma"/>
          <w:color w:val="000000"/>
          <w:sz w:val="20"/>
          <w:szCs w:val="20"/>
          <w:lang w:eastAsia="es-ES"/>
        </w:rPr>
        <w:t xml:space="preserve">  </w:t>
      </w:r>
    </w:p>
    <w:p w14:paraId="2F575DF8"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24CEB3FB" w14:textId="05346C1F" w:rsidR="009C4A37" w:rsidRPr="008A7BD7" w:rsidRDefault="00E86CC0"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themeColor="text1"/>
          <w:sz w:val="20"/>
          <w:szCs w:val="20"/>
          <w:lang w:eastAsia="es-ES"/>
        </w:rPr>
        <w:t xml:space="preserve">The Inter-American Court is examining that </w:t>
      </w:r>
      <w:r w:rsidR="00535090" w:rsidRPr="008A7BD7">
        <w:rPr>
          <w:rFonts w:ascii="Cambria" w:eastAsia="Times New Roman" w:hAnsi="Cambria" w:cs="Tahoma"/>
          <w:color w:val="000000" w:themeColor="text1"/>
          <w:sz w:val="20"/>
          <w:szCs w:val="20"/>
          <w:lang w:eastAsia="es-ES"/>
        </w:rPr>
        <w:t>issue</w:t>
      </w:r>
      <w:r w:rsidRPr="008A7BD7">
        <w:rPr>
          <w:rFonts w:ascii="Cambria" w:eastAsia="Times New Roman" w:hAnsi="Cambria" w:cs="Tahoma"/>
          <w:color w:val="000000" w:themeColor="text1"/>
          <w:sz w:val="20"/>
          <w:szCs w:val="20"/>
          <w:lang w:eastAsia="es-ES"/>
        </w:rPr>
        <w:t xml:space="preserve">, along with the searches and seizures, confiscation of equipment, and initiation of criminal proceedings against </w:t>
      </w:r>
      <w:r w:rsidR="00535090" w:rsidRPr="008A7BD7">
        <w:rPr>
          <w:rFonts w:ascii="Cambria" w:eastAsia="Times New Roman" w:hAnsi="Cambria" w:cs="Tahoma"/>
          <w:color w:val="000000" w:themeColor="text1"/>
          <w:sz w:val="20"/>
          <w:szCs w:val="20"/>
          <w:lang w:eastAsia="es-ES"/>
        </w:rPr>
        <w:t xml:space="preserve">unlicensed </w:t>
      </w:r>
      <w:r w:rsidRPr="008A7BD7">
        <w:rPr>
          <w:rFonts w:ascii="Cambria" w:eastAsia="Times New Roman" w:hAnsi="Cambria" w:cs="Tahoma"/>
          <w:color w:val="000000" w:themeColor="text1"/>
          <w:sz w:val="20"/>
          <w:szCs w:val="20"/>
          <w:lang w:eastAsia="es-ES"/>
        </w:rPr>
        <w:t>community radio stations</w:t>
      </w:r>
      <w:r w:rsidR="00535090" w:rsidRPr="008A7BD7">
        <w:rPr>
          <w:rFonts w:ascii="Cambria" w:eastAsia="Times New Roman" w:hAnsi="Cambria" w:cs="Tahoma"/>
          <w:color w:val="000000" w:themeColor="text1"/>
          <w:sz w:val="20"/>
          <w:szCs w:val="20"/>
          <w:lang w:eastAsia="es-ES"/>
        </w:rPr>
        <w:t>,</w:t>
      </w:r>
      <w:r w:rsidRPr="008A7BD7">
        <w:rPr>
          <w:rFonts w:ascii="Cambria" w:eastAsia="Times New Roman" w:hAnsi="Cambria" w:cs="Tahoma"/>
          <w:color w:val="000000" w:themeColor="text1"/>
          <w:sz w:val="20"/>
          <w:szCs w:val="20"/>
          <w:lang w:eastAsia="es-ES"/>
        </w:rPr>
        <w:t xml:space="preserve"> in the </w:t>
      </w:r>
      <w:r w:rsidRPr="008A7BD7">
        <w:rPr>
          <w:rFonts w:ascii="Cambria" w:eastAsia="Times New Roman" w:hAnsi="Cambria" w:cs="Tahoma"/>
          <w:i/>
          <w:iCs/>
          <w:color w:val="000000" w:themeColor="text1"/>
          <w:sz w:val="20"/>
          <w:szCs w:val="20"/>
          <w:lang w:eastAsia="es-ES"/>
        </w:rPr>
        <w:t xml:space="preserve">Case of the Maya </w:t>
      </w:r>
      <w:proofErr w:type="spellStart"/>
      <w:r w:rsidRPr="008A7BD7">
        <w:rPr>
          <w:rFonts w:ascii="Cambria" w:eastAsia="Times New Roman" w:hAnsi="Cambria" w:cs="Tahoma"/>
          <w:i/>
          <w:iCs/>
          <w:color w:val="000000" w:themeColor="text1"/>
          <w:sz w:val="20"/>
          <w:szCs w:val="20"/>
          <w:lang w:eastAsia="es-ES"/>
        </w:rPr>
        <w:t>Kaqchikel</w:t>
      </w:r>
      <w:proofErr w:type="spellEnd"/>
      <w:r w:rsidRPr="008A7BD7">
        <w:rPr>
          <w:rFonts w:ascii="Cambria" w:eastAsia="Times New Roman" w:hAnsi="Cambria" w:cs="Tahoma"/>
          <w:i/>
          <w:iCs/>
          <w:color w:val="000000" w:themeColor="text1"/>
          <w:sz w:val="20"/>
          <w:szCs w:val="20"/>
          <w:lang w:eastAsia="es-ES"/>
        </w:rPr>
        <w:t xml:space="preserve"> Indigenous Peoples of </w:t>
      </w:r>
      <w:proofErr w:type="spellStart"/>
      <w:r w:rsidRPr="008A7BD7">
        <w:rPr>
          <w:rFonts w:ascii="Cambria" w:eastAsia="Times New Roman" w:hAnsi="Cambria" w:cs="Tahoma"/>
          <w:i/>
          <w:iCs/>
          <w:color w:val="000000" w:themeColor="text1"/>
          <w:sz w:val="20"/>
          <w:szCs w:val="20"/>
          <w:lang w:eastAsia="es-ES"/>
        </w:rPr>
        <w:t>Sumpango</w:t>
      </w:r>
      <w:proofErr w:type="spellEnd"/>
      <w:r w:rsidRPr="008A7BD7">
        <w:rPr>
          <w:rFonts w:ascii="Cambria" w:eastAsia="Times New Roman" w:hAnsi="Cambria" w:cs="Tahoma"/>
          <w:i/>
          <w:iCs/>
          <w:color w:val="000000" w:themeColor="text1"/>
          <w:sz w:val="20"/>
          <w:szCs w:val="20"/>
          <w:lang w:eastAsia="es-ES"/>
        </w:rPr>
        <w:t xml:space="preserve"> et al. v. Guatemala</w:t>
      </w:r>
      <w:r w:rsidRPr="008A7BD7">
        <w:rPr>
          <w:rFonts w:ascii="Cambria" w:eastAsia="Times New Roman" w:hAnsi="Cambria" w:cs="Tahoma"/>
          <w:color w:val="000000" w:themeColor="text1"/>
          <w:sz w:val="20"/>
          <w:szCs w:val="20"/>
          <w:lang w:eastAsia="es-ES"/>
        </w:rPr>
        <w:t xml:space="preserve">. </w:t>
      </w:r>
      <w:r w:rsidR="0025101B" w:rsidRPr="008A7BD7">
        <w:rPr>
          <w:rFonts w:ascii="Cambria" w:eastAsia="Times New Roman" w:hAnsi="Cambria" w:cs="Tahoma"/>
          <w:color w:val="000000" w:themeColor="text1"/>
          <w:sz w:val="20"/>
          <w:szCs w:val="20"/>
          <w:lang w:eastAsia="es-ES"/>
        </w:rPr>
        <w:t xml:space="preserve">From June 9 to 11, 2021, the Inter-American Court </w:t>
      </w:r>
      <w:r w:rsidR="00535090" w:rsidRPr="008A7BD7">
        <w:rPr>
          <w:rFonts w:ascii="Cambria" w:eastAsia="Times New Roman" w:hAnsi="Cambria" w:cs="Tahoma"/>
          <w:color w:val="000000" w:themeColor="text1"/>
          <w:sz w:val="20"/>
          <w:szCs w:val="20"/>
          <w:lang w:eastAsia="es-ES"/>
        </w:rPr>
        <w:t>held</w:t>
      </w:r>
      <w:r w:rsidR="0025101B" w:rsidRPr="008A7BD7">
        <w:rPr>
          <w:rFonts w:ascii="Cambria" w:eastAsia="Times New Roman" w:hAnsi="Cambria" w:cs="Tahoma"/>
          <w:color w:val="000000" w:themeColor="text1"/>
          <w:sz w:val="20"/>
          <w:szCs w:val="20"/>
          <w:lang w:eastAsia="es-ES"/>
        </w:rPr>
        <w:t xml:space="preserve"> the public hearing in that case. </w:t>
      </w:r>
    </w:p>
    <w:p w14:paraId="1B153EB9"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28DB7AA7" w14:textId="068E1713" w:rsidR="009C4A37" w:rsidRPr="008A7BD7" w:rsidRDefault="0025101B"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 xml:space="preserve">The IACHR also learned that police officers allegedly searched the premises of the community radio station </w:t>
      </w:r>
      <w:proofErr w:type="spellStart"/>
      <w:r w:rsidR="009C4A37" w:rsidRPr="008A7BD7">
        <w:rPr>
          <w:rFonts w:ascii="Cambria" w:eastAsia="Times New Roman" w:hAnsi="Cambria" w:cs="Tahoma"/>
          <w:i/>
          <w:iCs/>
          <w:color w:val="000000"/>
          <w:sz w:val="20"/>
          <w:szCs w:val="20"/>
          <w:lang w:eastAsia="es-ES"/>
        </w:rPr>
        <w:t>Xyaab</w:t>
      </w:r>
      <w:proofErr w:type="spellEnd"/>
      <w:r w:rsidR="009C4A37" w:rsidRPr="008A7BD7">
        <w:rPr>
          <w:rFonts w:ascii="Cambria" w:eastAsia="Times New Roman" w:hAnsi="Cambria" w:cs="Tahoma"/>
          <w:i/>
          <w:iCs/>
          <w:color w:val="000000"/>
          <w:sz w:val="20"/>
          <w:szCs w:val="20"/>
          <w:lang w:eastAsia="es-ES"/>
        </w:rPr>
        <w:t xml:space="preserve">’ </w:t>
      </w:r>
      <w:proofErr w:type="spellStart"/>
      <w:r w:rsidR="009C4A37" w:rsidRPr="008A7BD7">
        <w:rPr>
          <w:rFonts w:ascii="Cambria" w:eastAsia="Times New Roman" w:hAnsi="Cambria" w:cs="Tahoma"/>
          <w:i/>
          <w:iCs/>
          <w:color w:val="000000"/>
          <w:sz w:val="20"/>
          <w:szCs w:val="20"/>
          <w:lang w:eastAsia="es-ES"/>
        </w:rPr>
        <w:t>Tzuultaq’a</w:t>
      </w:r>
      <w:proofErr w:type="spellEnd"/>
      <w:r w:rsidR="009C4A37" w:rsidRPr="008A7BD7">
        <w:rPr>
          <w:rFonts w:ascii="Cambria" w:eastAsia="Times New Roman" w:hAnsi="Cambria" w:cs="Tahoma"/>
          <w:i/>
          <w:iCs/>
          <w:color w:val="000000"/>
          <w:sz w:val="20"/>
          <w:szCs w:val="20"/>
          <w:lang w:eastAsia="es-ES"/>
        </w:rPr>
        <w:t> </w:t>
      </w:r>
      <w:r w:rsidRPr="008A7BD7">
        <w:rPr>
          <w:rFonts w:ascii="Cambria" w:eastAsia="Times New Roman" w:hAnsi="Cambria" w:cs="Tahoma"/>
          <w:color w:val="000000"/>
          <w:sz w:val="20"/>
          <w:szCs w:val="20"/>
          <w:lang w:eastAsia="es-ES"/>
        </w:rPr>
        <w:t xml:space="preserve">on October </w:t>
      </w:r>
      <w:r w:rsidR="009C4A37" w:rsidRPr="008A7BD7">
        <w:rPr>
          <w:rFonts w:ascii="Cambria" w:eastAsia="Times New Roman" w:hAnsi="Cambria" w:cs="Tahoma"/>
          <w:color w:val="000000"/>
          <w:sz w:val="20"/>
          <w:szCs w:val="20"/>
          <w:lang w:eastAsia="es-ES"/>
        </w:rPr>
        <w:t>24</w:t>
      </w:r>
      <w:r w:rsidRPr="008A7BD7">
        <w:rPr>
          <w:rFonts w:ascii="Cambria" w:eastAsia="Times New Roman" w:hAnsi="Cambria" w:cs="Tahoma"/>
          <w:color w:val="000000"/>
          <w:sz w:val="20"/>
          <w:szCs w:val="20"/>
          <w:lang w:eastAsia="es-ES"/>
        </w:rPr>
        <w:t>, after a state of siege was declared in</w:t>
      </w:r>
      <w:r w:rsidR="009C4A37" w:rsidRPr="008A7BD7">
        <w:rPr>
          <w:rFonts w:ascii="Cambria" w:eastAsia="Times New Roman" w:hAnsi="Cambria" w:cs="Tahoma"/>
          <w:color w:val="000000"/>
          <w:sz w:val="20"/>
          <w:szCs w:val="20"/>
          <w:lang w:eastAsia="es-ES"/>
        </w:rPr>
        <w:t xml:space="preserve"> </w:t>
      </w:r>
      <w:r w:rsidRPr="008A7BD7">
        <w:rPr>
          <w:rFonts w:ascii="Cambria" w:eastAsia="Times New Roman" w:hAnsi="Cambria" w:cs="Tahoma"/>
          <w:color w:val="000000"/>
          <w:sz w:val="20"/>
          <w:szCs w:val="20"/>
          <w:lang w:eastAsia="es-ES"/>
        </w:rPr>
        <w:t xml:space="preserve">the town of </w:t>
      </w:r>
      <w:r w:rsidR="009C4A37" w:rsidRPr="008A7BD7">
        <w:rPr>
          <w:rFonts w:ascii="Cambria" w:eastAsia="Times New Roman" w:hAnsi="Cambria" w:cs="Tahoma"/>
          <w:color w:val="000000"/>
          <w:sz w:val="20"/>
          <w:szCs w:val="20"/>
          <w:lang w:eastAsia="es-ES"/>
        </w:rPr>
        <w:t xml:space="preserve">El </w:t>
      </w:r>
      <w:proofErr w:type="spellStart"/>
      <w:r w:rsidR="009C4A37" w:rsidRPr="008A7BD7">
        <w:rPr>
          <w:rFonts w:ascii="Cambria" w:eastAsia="Times New Roman" w:hAnsi="Cambria" w:cs="Tahoma"/>
          <w:color w:val="000000"/>
          <w:sz w:val="20"/>
          <w:szCs w:val="20"/>
          <w:lang w:eastAsia="es-ES"/>
        </w:rPr>
        <w:t>Estor</w:t>
      </w:r>
      <w:proofErr w:type="spellEnd"/>
      <w:r w:rsidR="009C4A37" w:rsidRPr="008A7BD7">
        <w:rPr>
          <w:rFonts w:ascii="Cambria" w:eastAsia="Times New Roman" w:hAnsi="Cambria" w:cs="Tahoma"/>
          <w:color w:val="000000"/>
          <w:sz w:val="20"/>
          <w:szCs w:val="20"/>
          <w:lang w:eastAsia="es-ES"/>
        </w:rPr>
        <w:t xml:space="preserve">. </w:t>
      </w:r>
      <w:r w:rsidR="00C60D74" w:rsidRPr="008A7BD7">
        <w:rPr>
          <w:rFonts w:ascii="Cambria" w:eastAsia="Times New Roman" w:hAnsi="Cambria" w:cs="Tahoma"/>
          <w:color w:val="000000"/>
          <w:sz w:val="20"/>
          <w:szCs w:val="20"/>
          <w:lang w:eastAsia="es-ES"/>
        </w:rPr>
        <w:t xml:space="preserve">Weeks earlier, </w:t>
      </w:r>
      <w:r w:rsidR="007B4C0B" w:rsidRPr="008A7BD7">
        <w:rPr>
          <w:rFonts w:ascii="Cambria" w:eastAsia="Times New Roman" w:hAnsi="Cambria" w:cs="Tahoma"/>
          <w:color w:val="000000"/>
          <w:sz w:val="20"/>
          <w:szCs w:val="20"/>
          <w:lang w:eastAsia="es-ES"/>
        </w:rPr>
        <w:t xml:space="preserve">according to the information available, </w:t>
      </w:r>
      <w:r w:rsidR="00C60D74" w:rsidRPr="008A7BD7">
        <w:rPr>
          <w:rFonts w:ascii="Cambria" w:eastAsia="Times New Roman" w:hAnsi="Cambria" w:cs="Tahoma"/>
          <w:color w:val="000000"/>
          <w:sz w:val="20"/>
          <w:szCs w:val="20"/>
          <w:lang w:eastAsia="es-ES"/>
        </w:rPr>
        <w:t xml:space="preserve">the radio station had reported on the demands of the </w:t>
      </w:r>
      <w:proofErr w:type="spellStart"/>
      <w:r w:rsidR="009C4A37" w:rsidRPr="008A7BD7">
        <w:rPr>
          <w:rFonts w:ascii="Cambria" w:eastAsia="Times New Roman" w:hAnsi="Cambria" w:cs="Tahoma"/>
          <w:color w:val="000000"/>
          <w:sz w:val="20"/>
          <w:szCs w:val="20"/>
          <w:lang w:eastAsia="es-ES"/>
        </w:rPr>
        <w:t>Q’eqchi</w:t>
      </w:r>
      <w:proofErr w:type="spellEnd"/>
      <w:r w:rsidR="009C4A37" w:rsidRPr="008A7BD7">
        <w:rPr>
          <w:rFonts w:ascii="Cambria" w:eastAsia="Times New Roman" w:hAnsi="Cambria" w:cs="Tahoma"/>
          <w:color w:val="000000"/>
          <w:sz w:val="20"/>
          <w:szCs w:val="20"/>
          <w:lang w:eastAsia="es-ES"/>
        </w:rPr>
        <w:t xml:space="preserve">’ </w:t>
      </w:r>
      <w:r w:rsidR="00C60D74" w:rsidRPr="008A7BD7">
        <w:rPr>
          <w:rFonts w:ascii="Cambria" w:eastAsia="Times New Roman" w:hAnsi="Cambria" w:cs="Tahoma"/>
          <w:color w:val="000000"/>
          <w:sz w:val="20"/>
          <w:szCs w:val="20"/>
          <w:lang w:eastAsia="es-ES"/>
        </w:rPr>
        <w:t>Maya community, which is opposed to mining development.</w:t>
      </w:r>
      <w:r w:rsidR="009C4A37" w:rsidRPr="008A7BD7">
        <w:rPr>
          <w:rFonts w:ascii="Cambria" w:eastAsia="Times New Roman" w:hAnsi="Cambria" w:cs="Tahoma"/>
          <w:color w:val="000000"/>
          <w:sz w:val="20"/>
          <w:szCs w:val="20"/>
          <w:vertAlign w:val="superscript"/>
          <w:lang w:val="es-419" w:eastAsia="es-ES"/>
        </w:rPr>
        <w:footnoteReference w:id="178"/>
      </w:r>
    </w:p>
    <w:p w14:paraId="025AA807"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06FD23AD" w14:textId="2E73DA74" w:rsidR="009C4A37" w:rsidRPr="008A7BD7" w:rsidRDefault="005461EB"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sz w:val="20"/>
          <w:szCs w:val="20"/>
          <w:lang w:eastAsia="es-ES"/>
        </w:rPr>
        <w:t>On the other hand</w:t>
      </w:r>
      <w:r w:rsidR="0028015D" w:rsidRPr="008A7BD7">
        <w:rPr>
          <w:rFonts w:ascii="Cambria" w:eastAsia="Times New Roman" w:hAnsi="Cambria" w:cs="Tahoma"/>
          <w:color w:val="000000"/>
          <w:sz w:val="20"/>
          <w:szCs w:val="20"/>
          <w:lang w:eastAsia="es-ES"/>
        </w:rPr>
        <w:t xml:space="preserve">, the IACHR welcomes the decision </w:t>
      </w:r>
      <w:r w:rsidR="00D46541" w:rsidRPr="008A7BD7">
        <w:rPr>
          <w:rFonts w:ascii="Cambria" w:eastAsia="Times New Roman" w:hAnsi="Cambria" w:cs="Tahoma"/>
          <w:color w:val="000000"/>
          <w:sz w:val="20"/>
          <w:szCs w:val="20"/>
          <w:lang w:eastAsia="es-ES"/>
        </w:rPr>
        <w:t>issued on September 3, 2021, by the Nebaj Criminal Court of First Instance</w:t>
      </w:r>
      <w:r w:rsidR="009C4A37" w:rsidRPr="008A7BD7">
        <w:rPr>
          <w:rFonts w:ascii="Cambria" w:eastAsia="Times New Roman" w:hAnsi="Cambria" w:cs="Tahoma"/>
          <w:color w:val="000000"/>
          <w:sz w:val="20"/>
          <w:szCs w:val="20"/>
          <w:lang w:eastAsia="es-ES"/>
        </w:rPr>
        <w:t xml:space="preserve"> </w:t>
      </w:r>
      <w:r w:rsidR="00D225DB" w:rsidRPr="008A7BD7">
        <w:rPr>
          <w:rFonts w:ascii="Cambria" w:eastAsia="Times New Roman" w:hAnsi="Cambria" w:cs="Tahoma"/>
          <w:color w:val="000000"/>
          <w:sz w:val="20"/>
          <w:szCs w:val="20"/>
          <w:lang w:eastAsia="es-ES"/>
        </w:rPr>
        <w:t xml:space="preserve">dismissing the criminal case that had been opened against </w:t>
      </w:r>
      <w:r w:rsidR="009C4A37" w:rsidRPr="008A7BD7">
        <w:rPr>
          <w:rFonts w:ascii="Cambria" w:eastAsia="Times New Roman" w:hAnsi="Cambria" w:cs="Tahoma"/>
          <w:color w:val="000000"/>
          <w:sz w:val="20"/>
          <w:szCs w:val="20"/>
          <w:lang w:eastAsia="es-ES"/>
        </w:rPr>
        <w:t xml:space="preserve">Anastasia Mejía </w:t>
      </w:r>
      <w:proofErr w:type="spellStart"/>
      <w:r w:rsidR="009C4A37" w:rsidRPr="008A7BD7">
        <w:rPr>
          <w:rFonts w:ascii="Cambria" w:eastAsia="Times New Roman" w:hAnsi="Cambria" w:cs="Tahoma"/>
          <w:color w:val="000000"/>
          <w:sz w:val="20"/>
          <w:szCs w:val="20"/>
          <w:lang w:eastAsia="es-ES"/>
        </w:rPr>
        <w:t>Tiriquiz</w:t>
      </w:r>
      <w:proofErr w:type="spellEnd"/>
      <w:r w:rsidR="009C4A37" w:rsidRPr="008A7BD7">
        <w:rPr>
          <w:rFonts w:ascii="Cambria" w:eastAsia="Times New Roman" w:hAnsi="Cambria" w:cs="Tahoma"/>
          <w:color w:val="000000"/>
          <w:sz w:val="20"/>
          <w:szCs w:val="20"/>
          <w:lang w:eastAsia="es-ES"/>
        </w:rPr>
        <w:t xml:space="preserve">, </w:t>
      </w:r>
      <w:r w:rsidR="00D225DB" w:rsidRPr="008A7BD7">
        <w:rPr>
          <w:rFonts w:ascii="Cambria" w:eastAsia="Times New Roman" w:hAnsi="Cambria" w:cs="Tahoma"/>
          <w:color w:val="000000"/>
          <w:sz w:val="20"/>
          <w:szCs w:val="20"/>
          <w:lang w:eastAsia="es-ES"/>
        </w:rPr>
        <w:t>a</w:t>
      </w:r>
      <w:r w:rsidR="009C4A37" w:rsidRPr="008A7BD7">
        <w:rPr>
          <w:rFonts w:ascii="Cambria" w:eastAsia="Times New Roman" w:hAnsi="Cambria" w:cs="Tahoma"/>
          <w:color w:val="000000"/>
          <w:sz w:val="20"/>
          <w:szCs w:val="20"/>
          <w:lang w:eastAsia="es-ES"/>
        </w:rPr>
        <w:t xml:space="preserve"> Maya </w:t>
      </w:r>
      <w:proofErr w:type="spellStart"/>
      <w:r w:rsidR="009C4A37" w:rsidRPr="008A7BD7">
        <w:rPr>
          <w:rFonts w:ascii="Cambria" w:eastAsia="Times New Roman" w:hAnsi="Cambria" w:cs="Tahoma"/>
          <w:color w:val="000000"/>
          <w:sz w:val="20"/>
          <w:szCs w:val="20"/>
          <w:lang w:eastAsia="es-ES"/>
        </w:rPr>
        <w:t>K’ich’e</w:t>
      </w:r>
      <w:proofErr w:type="spellEnd"/>
      <w:r w:rsidR="00D225DB" w:rsidRPr="008A7BD7">
        <w:rPr>
          <w:rFonts w:ascii="Cambria" w:eastAsia="Times New Roman" w:hAnsi="Cambria" w:cs="Tahoma"/>
          <w:color w:val="000000"/>
          <w:sz w:val="20"/>
          <w:szCs w:val="20"/>
          <w:lang w:eastAsia="es-ES"/>
        </w:rPr>
        <w:t xml:space="preserve"> journalist, for supposed crimes of “sedition</w:t>
      </w:r>
      <w:r w:rsidR="00E30A91" w:rsidRPr="008A7BD7">
        <w:rPr>
          <w:rFonts w:ascii="Cambria" w:eastAsia="Times New Roman" w:hAnsi="Cambria" w:cs="Tahoma"/>
          <w:color w:val="000000"/>
          <w:sz w:val="20"/>
          <w:szCs w:val="20"/>
          <w:lang w:eastAsia="es-ES"/>
        </w:rPr>
        <w:t>” and “</w:t>
      </w:r>
      <w:r w:rsidR="00C10E25" w:rsidRPr="008A7BD7">
        <w:rPr>
          <w:rFonts w:ascii="Cambria" w:eastAsia="Times New Roman" w:hAnsi="Cambria" w:cs="Tahoma"/>
          <w:color w:val="000000"/>
          <w:sz w:val="20"/>
          <w:szCs w:val="20"/>
          <w:lang w:eastAsia="es-ES"/>
        </w:rPr>
        <w:t>assault</w:t>
      </w:r>
      <w:r w:rsidR="009C4A37" w:rsidRPr="008A7BD7">
        <w:rPr>
          <w:rFonts w:ascii="Cambria" w:eastAsia="Times New Roman" w:hAnsi="Cambria" w:cs="Tahoma"/>
          <w:color w:val="000000"/>
          <w:sz w:val="20"/>
          <w:szCs w:val="20"/>
          <w:lang w:eastAsia="es-ES"/>
        </w:rPr>
        <w:t xml:space="preserve"> </w:t>
      </w:r>
      <w:r w:rsidR="00E30A91" w:rsidRPr="008A7BD7">
        <w:rPr>
          <w:rFonts w:ascii="Cambria" w:eastAsia="Times New Roman" w:hAnsi="Cambria" w:cs="Tahoma"/>
          <w:color w:val="000000"/>
          <w:sz w:val="20"/>
          <w:szCs w:val="20"/>
          <w:lang w:eastAsia="es-ES"/>
        </w:rPr>
        <w:t xml:space="preserve">with specific </w:t>
      </w:r>
      <w:r w:rsidR="003C09EC" w:rsidRPr="008A7BD7">
        <w:rPr>
          <w:rFonts w:ascii="Cambria" w:eastAsia="Times New Roman" w:hAnsi="Cambria" w:cs="Tahoma"/>
          <w:color w:val="000000"/>
          <w:sz w:val="20"/>
          <w:szCs w:val="20"/>
          <w:lang w:eastAsia="es-ES"/>
        </w:rPr>
        <w:t>aggravating circumstances</w:t>
      </w:r>
      <w:r w:rsidR="00E30A91" w:rsidRPr="008A7BD7">
        <w:rPr>
          <w:rFonts w:ascii="Cambria" w:eastAsia="Times New Roman" w:hAnsi="Cambria" w:cs="Tahoma"/>
          <w:color w:val="000000"/>
          <w:sz w:val="20"/>
          <w:szCs w:val="20"/>
          <w:lang w:eastAsia="es-ES"/>
        </w:rPr>
        <w:t>.</w:t>
      </w:r>
      <w:r w:rsidR="00CF5C0F" w:rsidRPr="008A7BD7">
        <w:rPr>
          <w:rFonts w:ascii="Cambria" w:eastAsia="Times New Roman" w:hAnsi="Cambria" w:cs="Tahoma"/>
          <w:color w:val="000000"/>
          <w:sz w:val="20"/>
          <w:szCs w:val="20"/>
          <w:lang w:eastAsia="es-ES"/>
        </w:rPr>
        <w:t>”</w:t>
      </w:r>
      <w:r w:rsidR="009C4A37" w:rsidRPr="008A7BD7">
        <w:rPr>
          <w:rFonts w:ascii="Cambria" w:eastAsia="Times New Roman" w:hAnsi="Cambria" w:cs="Tahoma"/>
          <w:color w:val="000000"/>
          <w:sz w:val="20"/>
          <w:szCs w:val="20"/>
          <w:vertAlign w:val="superscript"/>
          <w:lang w:val="es-419" w:eastAsia="es-ES"/>
        </w:rPr>
        <w:footnoteReference w:id="179"/>
      </w:r>
      <w:r w:rsidR="009C4A37" w:rsidRPr="008A7BD7">
        <w:rPr>
          <w:rFonts w:ascii="Cambria" w:eastAsia="Times New Roman" w:hAnsi="Cambria" w:cs="Tahoma"/>
          <w:color w:val="000000"/>
          <w:sz w:val="20"/>
          <w:szCs w:val="20"/>
          <w:lang w:eastAsia="es-ES"/>
        </w:rPr>
        <w:t xml:space="preserve"> </w:t>
      </w:r>
      <w:r w:rsidR="00CF5C0F" w:rsidRPr="008A7BD7">
        <w:rPr>
          <w:rFonts w:ascii="Cambria" w:eastAsia="Times New Roman" w:hAnsi="Cambria" w:cs="Tahoma"/>
          <w:color w:val="000000" w:themeColor="text1"/>
          <w:sz w:val="20"/>
          <w:szCs w:val="20"/>
          <w:lang w:eastAsia="es-ES"/>
        </w:rPr>
        <w:t xml:space="preserve">As indicated in the 2020 Annual Report, the community journalist </w:t>
      </w:r>
      <w:r w:rsidR="009C4A37" w:rsidRPr="008A7BD7">
        <w:rPr>
          <w:rFonts w:ascii="Cambria" w:eastAsia="Times New Roman" w:hAnsi="Cambria" w:cs="Tahoma"/>
          <w:color w:val="000000"/>
          <w:sz w:val="20"/>
          <w:szCs w:val="20"/>
          <w:lang w:eastAsia="es-ES"/>
        </w:rPr>
        <w:t xml:space="preserve">Anastasia Mejía </w:t>
      </w:r>
      <w:r w:rsidR="00CF5C0F" w:rsidRPr="008A7BD7">
        <w:rPr>
          <w:rFonts w:ascii="Cambria" w:eastAsia="Times New Roman" w:hAnsi="Cambria" w:cs="Tahoma"/>
          <w:color w:val="000000"/>
          <w:sz w:val="20"/>
          <w:szCs w:val="20"/>
          <w:lang w:eastAsia="es-ES"/>
        </w:rPr>
        <w:t xml:space="preserve">was </w:t>
      </w:r>
      <w:r w:rsidR="00A02BD1" w:rsidRPr="008A7BD7">
        <w:rPr>
          <w:rFonts w:ascii="Cambria" w:eastAsia="Times New Roman" w:hAnsi="Cambria" w:cs="Tahoma"/>
          <w:color w:val="000000"/>
          <w:sz w:val="20"/>
          <w:szCs w:val="20"/>
          <w:lang w:eastAsia="es-ES"/>
        </w:rPr>
        <w:t xml:space="preserve">covering protests when she was </w:t>
      </w:r>
      <w:r w:rsidR="00CF5C0F" w:rsidRPr="008A7BD7">
        <w:rPr>
          <w:rFonts w:ascii="Cambria" w:eastAsia="Times New Roman" w:hAnsi="Cambria" w:cs="Tahoma"/>
          <w:color w:val="000000"/>
          <w:sz w:val="20"/>
          <w:szCs w:val="20"/>
          <w:lang w:eastAsia="es-ES"/>
        </w:rPr>
        <w:t>arrested</w:t>
      </w:r>
      <w:r w:rsidR="00795800" w:rsidRPr="008A7BD7">
        <w:rPr>
          <w:rFonts w:ascii="Cambria" w:eastAsia="Times New Roman" w:hAnsi="Cambria" w:cs="Tahoma"/>
          <w:color w:val="000000"/>
          <w:sz w:val="20"/>
          <w:szCs w:val="20"/>
          <w:lang w:eastAsia="es-ES"/>
        </w:rPr>
        <w:t>. She was</w:t>
      </w:r>
      <w:r w:rsidR="00CF5C0F" w:rsidRPr="008A7BD7">
        <w:rPr>
          <w:rFonts w:ascii="Cambria" w:eastAsia="Times New Roman" w:hAnsi="Cambria" w:cs="Tahoma"/>
          <w:color w:val="000000"/>
          <w:sz w:val="20"/>
          <w:szCs w:val="20"/>
          <w:lang w:eastAsia="es-ES"/>
        </w:rPr>
        <w:t xml:space="preserve"> held for </w:t>
      </w:r>
      <w:r w:rsidR="00663049" w:rsidRPr="008A7BD7">
        <w:rPr>
          <w:rFonts w:ascii="Cambria" w:eastAsia="Times New Roman" w:hAnsi="Cambria" w:cs="Tahoma"/>
          <w:color w:val="000000"/>
          <w:sz w:val="20"/>
          <w:szCs w:val="20"/>
          <w:lang w:eastAsia="es-ES"/>
        </w:rPr>
        <w:t>some</w:t>
      </w:r>
      <w:r w:rsidR="00CF5C0F" w:rsidRPr="008A7BD7">
        <w:rPr>
          <w:rFonts w:ascii="Cambria" w:eastAsia="Times New Roman" w:hAnsi="Cambria" w:cs="Tahoma"/>
          <w:color w:val="000000" w:themeColor="text1"/>
          <w:sz w:val="20"/>
          <w:szCs w:val="20"/>
          <w:lang w:eastAsia="es-ES"/>
        </w:rPr>
        <w:t xml:space="preserve"> </w:t>
      </w:r>
      <w:r w:rsidR="009C4A37" w:rsidRPr="008A7BD7">
        <w:rPr>
          <w:rFonts w:ascii="Cambria" w:eastAsia="Times New Roman" w:hAnsi="Cambria" w:cs="Tahoma"/>
          <w:color w:val="000000"/>
          <w:sz w:val="20"/>
          <w:szCs w:val="20"/>
          <w:lang w:eastAsia="es-ES"/>
        </w:rPr>
        <w:t xml:space="preserve">38 </w:t>
      </w:r>
      <w:r w:rsidR="00CF5C0F" w:rsidRPr="008A7BD7">
        <w:rPr>
          <w:rFonts w:ascii="Cambria" w:eastAsia="Times New Roman" w:hAnsi="Cambria" w:cs="Tahoma"/>
          <w:color w:val="000000"/>
          <w:sz w:val="20"/>
          <w:szCs w:val="20"/>
          <w:lang w:eastAsia="es-ES"/>
        </w:rPr>
        <w:t xml:space="preserve">days without </w:t>
      </w:r>
      <w:r w:rsidR="00383C51" w:rsidRPr="008A7BD7">
        <w:rPr>
          <w:rFonts w:ascii="Cambria" w:eastAsia="Times New Roman" w:hAnsi="Cambria" w:cs="Tahoma"/>
          <w:color w:val="000000"/>
          <w:sz w:val="20"/>
          <w:szCs w:val="20"/>
          <w:lang w:eastAsia="es-ES"/>
        </w:rPr>
        <w:t xml:space="preserve">a </w:t>
      </w:r>
      <w:r w:rsidR="00CF5C0F" w:rsidRPr="008A7BD7">
        <w:rPr>
          <w:rFonts w:ascii="Cambria" w:eastAsia="Times New Roman" w:hAnsi="Cambria" w:cs="Tahoma"/>
          <w:color w:val="000000"/>
          <w:sz w:val="20"/>
          <w:szCs w:val="20"/>
          <w:lang w:eastAsia="es-ES"/>
        </w:rPr>
        <w:t>pretrial detention order</w:t>
      </w:r>
      <w:r w:rsidR="00795800" w:rsidRPr="008A7BD7">
        <w:rPr>
          <w:rFonts w:ascii="Cambria" w:eastAsia="Times New Roman" w:hAnsi="Cambria" w:cs="Tahoma"/>
          <w:color w:val="000000"/>
          <w:sz w:val="20"/>
          <w:szCs w:val="20"/>
          <w:lang w:eastAsia="es-ES"/>
        </w:rPr>
        <w:t xml:space="preserve">, </w:t>
      </w:r>
      <w:r w:rsidR="005D061D" w:rsidRPr="008A7BD7">
        <w:rPr>
          <w:rFonts w:ascii="Cambria" w:eastAsia="Times New Roman" w:hAnsi="Cambria" w:cs="Tahoma"/>
          <w:color w:val="000000"/>
          <w:sz w:val="20"/>
          <w:szCs w:val="20"/>
          <w:lang w:eastAsia="es-ES"/>
        </w:rPr>
        <w:t xml:space="preserve">after which she was </w:t>
      </w:r>
      <w:r w:rsidR="00CF5C0F" w:rsidRPr="008A7BD7">
        <w:rPr>
          <w:rFonts w:ascii="Cambria" w:eastAsia="Times New Roman" w:hAnsi="Cambria" w:cs="Tahoma"/>
          <w:color w:val="000000"/>
          <w:sz w:val="20"/>
          <w:szCs w:val="20"/>
          <w:lang w:eastAsia="es-ES"/>
        </w:rPr>
        <w:t xml:space="preserve">released </w:t>
      </w:r>
      <w:r w:rsidR="00383C51" w:rsidRPr="008A7BD7">
        <w:rPr>
          <w:rFonts w:ascii="Cambria" w:eastAsia="Times New Roman" w:hAnsi="Cambria" w:cs="Tahoma"/>
          <w:color w:val="000000"/>
          <w:sz w:val="20"/>
          <w:szCs w:val="20"/>
          <w:lang w:eastAsia="es-ES"/>
        </w:rPr>
        <w:t>to</w:t>
      </w:r>
      <w:r w:rsidR="00795800" w:rsidRPr="008A7BD7">
        <w:rPr>
          <w:rFonts w:ascii="Cambria" w:eastAsia="Times New Roman" w:hAnsi="Cambria" w:cs="Tahoma"/>
          <w:color w:val="000000"/>
          <w:sz w:val="20"/>
          <w:szCs w:val="20"/>
          <w:lang w:eastAsia="es-ES"/>
        </w:rPr>
        <w:t xml:space="preserve"> </w:t>
      </w:r>
      <w:r w:rsidR="003C09EC" w:rsidRPr="008A7BD7">
        <w:rPr>
          <w:rFonts w:ascii="Cambria" w:eastAsia="Times New Roman" w:hAnsi="Cambria" w:cs="Tahoma"/>
          <w:color w:val="000000"/>
          <w:sz w:val="20"/>
          <w:szCs w:val="20"/>
          <w:lang w:eastAsia="es-ES"/>
        </w:rPr>
        <w:t xml:space="preserve">house arrest </w:t>
      </w:r>
      <w:r w:rsidR="00091DA1" w:rsidRPr="008A7BD7">
        <w:rPr>
          <w:rFonts w:ascii="Cambria" w:eastAsia="Times New Roman" w:hAnsi="Cambria" w:cs="Tahoma"/>
          <w:color w:val="000000"/>
          <w:sz w:val="20"/>
          <w:szCs w:val="20"/>
          <w:lang w:eastAsia="es-ES"/>
        </w:rPr>
        <w:t>pending criminal proceedings</w:t>
      </w:r>
      <w:r w:rsidR="004A3959" w:rsidRPr="008A7BD7">
        <w:rPr>
          <w:rFonts w:ascii="Cambria" w:eastAsia="Times New Roman" w:hAnsi="Cambria" w:cs="Tahoma"/>
          <w:color w:val="000000"/>
          <w:sz w:val="20"/>
          <w:szCs w:val="20"/>
          <w:lang w:eastAsia="es-ES"/>
        </w:rPr>
        <w:t xml:space="preserve"> on</w:t>
      </w:r>
      <w:r w:rsidR="00A02BD1" w:rsidRPr="008A7BD7">
        <w:rPr>
          <w:rFonts w:ascii="Cambria" w:eastAsia="Times New Roman" w:hAnsi="Cambria" w:cs="Tahoma"/>
          <w:color w:val="000000"/>
          <w:sz w:val="20"/>
          <w:szCs w:val="20"/>
          <w:lang w:eastAsia="es-ES"/>
        </w:rPr>
        <w:t xml:space="preserve"> </w:t>
      </w:r>
      <w:r w:rsidR="005D061D" w:rsidRPr="008A7BD7">
        <w:rPr>
          <w:rFonts w:ascii="Cambria" w:eastAsia="Times New Roman" w:hAnsi="Cambria" w:cs="Tahoma"/>
          <w:color w:val="000000"/>
          <w:sz w:val="20"/>
          <w:szCs w:val="20"/>
          <w:lang w:eastAsia="es-ES"/>
        </w:rPr>
        <w:t xml:space="preserve">charges </w:t>
      </w:r>
      <w:r w:rsidR="00A02BD1" w:rsidRPr="008A7BD7">
        <w:rPr>
          <w:rFonts w:ascii="Cambria" w:eastAsia="Times New Roman" w:hAnsi="Cambria" w:cs="Tahoma"/>
          <w:color w:val="000000"/>
          <w:sz w:val="20"/>
          <w:szCs w:val="20"/>
          <w:lang w:eastAsia="es-ES"/>
        </w:rPr>
        <w:t xml:space="preserve">of sedition and </w:t>
      </w:r>
      <w:r w:rsidR="004A3959" w:rsidRPr="008A7BD7">
        <w:rPr>
          <w:rFonts w:ascii="Cambria" w:eastAsia="Times New Roman" w:hAnsi="Cambria" w:cs="Tahoma"/>
          <w:color w:val="000000"/>
          <w:sz w:val="20"/>
          <w:szCs w:val="20"/>
          <w:lang w:eastAsia="es-ES"/>
        </w:rPr>
        <w:t>aggravated assault.</w:t>
      </w:r>
      <w:r w:rsidR="009C4A37" w:rsidRPr="008A7BD7">
        <w:rPr>
          <w:rFonts w:ascii="Cambria" w:eastAsia="Times New Roman" w:hAnsi="Cambria" w:cs="Tahoma"/>
          <w:color w:val="000000"/>
          <w:sz w:val="20"/>
          <w:szCs w:val="20"/>
          <w:vertAlign w:val="superscript"/>
          <w:lang w:val="es-419" w:eastAsia="es-ES"/>
        </w:rPr>
        <w:footnoteReference w:id="180"/>
      </w:r>
      <w:r w:rsidR="009C4A37" w:rsidRPr="008A7BD7">
        <w:rPr>
          <w:rFonts w:ascii="Cambria" w:eastAsia="Times New Roman" w:hAnsi="Cambria" w:cs="Tahoma"/>
          <w:color w:val="000000"/>
          <w:sz w:val="20"/>
          <w:szCs w:val="20"/>
          <w:lang w:eastAsia="es-ES"/>
        </w:rPr>
        <w:t xml:space="preserve"> </w:t>
      </w:r>
      <w:r w:rsidR="005D061D" w:rsidRPr="008A7BD7">
        <w:rPr>
          <w:rFonts w:ascii="Cambria" w:eastAsia="Times New Roman" w:hAnsi="Cambria" w:cs="Tahoma"/>
          <w:color w:val="000000"/>
          <w:sz w:val="20"/>
          <w:szCs w:val="20"/>
          <w:lang w:eastAsia="es-ES"/>
        </w:rPr>
        <w:t>T</w:t>
      </w:r>
      <w:r w:rsidR="00A02BD1" w:rsidRPr="008A7BD7">
        <w:rPr>
          <w:rFonts w:ascii="Cambria" w:eastAsia="Times New Roman" w:hAnsi="Cambria" w:cs="Tahoma"/>
          <w:color w:val="000000"/>
          <w:sz w:val="20"/>
          <w:szCs w:val="20"/>
          <w:lang w:eastAsia="es-ES"/>
        </w:rPr>
        <w:t>he</w:t>
      </w:r>
      <w:r w:rsidR="005D061D" w:rsidRPr="008A7BD7">
        <w:rPr>
          <w:rFonts w:ascii="Cambria" w:eastAsia="Times New Roman" w:hAnsi="Cambria" w:cs="Tahoma"/>
          <w:color w:val="000000"/>
          <w:sz w:val="20"/>
          <w:szCs w:val="20"/>
          <w:lang w:eastAsia="es-ES"/>
        </w:rPr>
        <w:t xml:space="preserve"> ruling found that there was insuffi</w:t>
      </w:r>
      <w:r w:rsidR="00C10E25" w:rsidRPr="008A7BD7">
        <w:rPr>
          <w:rFonts w:ascii="Cambria" w:eastAsia="Times New Roman" w:hAnsi="Cambria" w:cs="Tahoma"/>
          <w:color w:val="000000"/>
          <w:sz w:val="20"/>
          <w:szCs w:val="20"/>
          <w:lang w:eastAsia="es-ES"/>
        </w:rPr>
        <w:t>ci</w:t>
      </w:r>
      <w:r w:rsidR="005D061D" w:rsidRPr="008A7BD7">
        <w:rPr>
          <w:rFonts w:ascii="Cambria" w:eastAsia="Times New Roman" w:hAnsi="Cambria" w:cs="Tahoma"/>
          <w:color w:val="000000"/>
          <w:sz w:val="20"/>
          <w:szCs w:val="20"/>
          <w:lang w:eastAsia="es-ES"/>
        </w:rPr>
        <w:t xml:space="preserve">ent evidence to pursue the charges against </w:t>
      </w:r>
      <w:r w:rsidR="009C4A37" w:rsidRPr="008A7BD7">
        <w:rPr>
          <w:rFonts w:ascii="Cambria" w:eastAsia="Times New Roman" w:hAnsi="Cambria" w:cs="Tahoma"/>
          <w:color w:val="000000"/>
          <w:sz w:val="20"/>
          <w:szCs w:val="20"/>
          <w:lang w:eastAsia="es-ES"/>
        </w:rPr>
        <w:t xml:space="preserve">Mejía </w:t>
      </w:r>
      <w:proofErr w:type="spellStart"/>
      <w:r w:rsidR="009C4A37" w:rsidRPr="008A7BD7">
        <w:rPr>
          <w:rFonts w:ascii="Cambria" w:eastAsia="Times New Roman" w:hAnsi="Cambria" w:cs="Tahoma"/>
          <w:color w:val="000000"/>
          <w:sz w:val="20"/>
          <w:szCs w:val="20"/>
          <w:lang w:eastAsia="es-ES"/>
        </w:rPr>
        <w:t>Tiriquiz</w:t>
      </w:r>
      <w:proofErr w:type="spellEnd"/>
      <w:r w:rsidR="009C4A37" w:rsidRPr="008A7BD7">
        <w:rPr>
          <w:rFonts w:ascii="Cambria" w:eastAsia="Times New Roman" w:hAnsi="Cambria" w:cs="Tahoma"/>
          <w:color w:val="000000"/>
          <w:sz w:val="20"/>
          <w:szCs w:val="20"/>
          <w:lang w:eastAsia="es-ES"/>
        </w:rPr>
        <w:t xml:space="preserve"> </w:t>
      </w:r>
      <w:r w:rsidR="005D061D" w:rsidRPr="008A7BD7">
        <w:rPr>
          <w:rFonts w:ascii="Cambria" w:eastAsia="Times New Roman" w:hAnsi="Cambria" w:cs="Tahoma"/>
          <w:color w:val="000000"/>
          <w:sz w:val="20"/>
          <w:szCs w:val="20"/>
          <w:lang w:eastAsia="es-ES"/>
        </w:rPr>
        <w:t>for those crimes</w:t>
      </w:r>
      <w:r w:rsidR="009C4A37" w:rsidRPr="008A7BD7">
        <w:rPr>
          <w:rFonts w:ascii="Cambria" w:eastAsia="Times New Roman" w:hAnsi="Cambria" w:cs="Tahoma"/>
          <w:color w:val="000000"/>
          <w:sz w:val="20"/>
          <w:szCs w:val="20"/>
          <w:lang w:eastAsia="es-ES"/>
        </w:rPr>
        <w:t>.</w:t>
      </w:r>
    </w:p>
    <w:p w14:paraId="4D3B3FD0" w14:textId="77777777" w:rsidR="009C4A37" w:rsidRPr="008A7BD7" w:rsidRDefault="009C4A37" w:rsidP="009C4A37">
      <w:pPr>
        <w:ind w:left="720"/>
        <w:jc w:val="both"/>
        <w:rPr>
          <w:rFonts w:ascii="Cambria" w:eastAsia="Times New Roman" w:hAnsi="Cambria" w:cs="Tahoma"/>
          <w:color w:val="000000"/>
          <w:sz w:val="20"/>
          <w:szCs w:val="20"/>
          <w:lang w:eastAsia="es-ES_tradnl"/>
        </w:rPr>
      </w:pPr>
    </w:p>
    <w:p w14:paraId="384E5081" w14:textId="05ECFB53" w:rsidR="009C4A37" w:rsidRPr="008A7BD7" w:rsidRDefault="00C1774F" w:rsidP="003D3059">
      <w:pPr>
        <w:numPr>
          <w:ilvl w:val="0"/>
          <w:numId w:val="2"/>
        </w:numPr>
        <w:ind w:left="0" w:firstLine="720"/>
        <w:jc w:val="both"/>
        <w:rPr>
          <w:rFonts w:ascii="Cambria" w:eastAsia="Times New Roman" w:hAnsi="Cambria" w:cs="Tahoma"/>
          <w:color w:val="000000"/>
          <w:sz w:val="20"/>
          <w:szCs w:val="20"/>
          <w:lang w:eastAsia="es-ES_tradnl"/>
        </w:rPr>
      </w:pPr>
      <w:r w:rsidRPr="008A7BD7">
        <w:rPr>
          <w:rFonts w:ascii="Cambria" w:eastAsia="Times New Roman" w:hAnsi="Cambria" w:cs="Tahoma"/>
          <w:color w:val="000000" w:themeColor="text1"/>
          <w:sz w:val="20"/>
          <w:szCs w:val="20"/>
          <w:lang w:eastAsia="es-ES"/>
        </w:rPr>
        <w:t xml:space="preserve">The IACHR also takes note of the campaign called </w:t>
      </w:r>
      <w:r w:rsidR="009C4A37" w:rsidRPr="008A7BD7">
        <w:rPr>
          <w:rFonts w:ascii="Cambria" w:eastAsia="Times New Roman" w:hAnsi="Cambria" w:cs="Tahoma"/>
          <w:color w:val="000000"/>
          <w:sz w:val="20"/>
          <w:szCs w:val="20"/>
          <w:lang w:eastAsia="es-ES"/>
        </w:rPr>
        <w:t>#TengoMiedo</w:t>
      </w:r>
      <w:r w:rsidRPr="008A7BD7">
        <w:rPr>
          <w:rFonts w:ascii="Cambria" w:eastAsia="Times New Roman" w:hAnsi="Cambria" w:cs="Tahoma"/>
          <w:color w:val="000000"/>
          <w:sz w:val="20"/>
          <w:szCs w:val="20"/>
          <w:lang w:eastAsia="es-ES"/>
        </w:rPr>
        <w:t xml:space="preserve"> (#I’mAfraid)</w:t>
      </w:r>
      <w:r w:rsidR="009C4A37" w:rsidRPr="008A7BD7">
        <w:rPr>
          <w:rFonts w:ascii="Cambria" w:eastAsia="Times New Roman" w:hAnsi="Cambria" w:cs="Tahoma"/>
          <w:color w:val="000000"/>
          <w:sz w:val="20"/>
          <w:szCs w:val="20"/>
          <w:lang w:eastAsia="es-ES"/>
        </w:rPr>
        <w:t xml:space="preserve">, </w:t>
      </w:r>
      <w:r w:rsidRPr="008A7BD7">
        <w:rPr>
          <w:rFonts w:ascii="Cambria" w:eastAsia="Times New Roman" w:hAnsi="Cambria" w:cs="Tahoma"/>
          <w:color w:val="000000"/>
          <w:sz w:val="20"/>
          <w:szCs w:val="20"/>
          <w:lang w:eastAsia="es-ES"/>
        </w:rPr>
        <w:t xml:space="preserve">by which Guatemalan women </w:t>
      </w:r>
      <w:r w:rsidR="0076768E" w:rsidRPr="008A7BD7">
        <w:rPr>
          <w:rFonts w:ascii="Cambria" w:eastAsia="Times New Roman" w:hAnsi="Cambria" w:cs="Tahoma"/>
          <w:color w:val="000000"/>
          <w:sz w:val="20"/>
          <w:szCs w:val="20"/>
          <w:lang w:eastAsia="es-ES"/>
        </w:rPr>
        <w:t>offered testimonials on social media about their fear of femicide and other forms of gender-</w:t>
      </w:r>
      <w:r w:rsidR="004A3959" w:rsidRPr="008A7BD7">
        <w:rPr>
          <w:rFonts w:ascii="Cambria" w:eastAsia="Times New Roman" w:hAnsi="Cambria" w:cs="Tahoma"/>
          <w:color w:val="000000"/>
          <w:sz w:val="20"/>
          <w:szCs w:val="20"/>
          <w:lang w:eastAsia="es-ES"/>
        </w:rPr>
        <w:t>based</w:t>
      </w:r>
      <w:r w:rsidR="0076768E" w:rsidRPr="008A7BD7">
        <w:rPr>
          <w:rFonts w:ascii="Cambria" w:eastAsia="Times New Roman" w:hAnsi="Cambria" w:cs="Tahoma"/>
          <w:color w:val="000000"/>
          <w:sz w:val="20"/>
          <w:szCs w:val="20"/>
          <w:lang w:eastAsia="es-ES"/>
        </w:rPr>
        <w:t xml:space="preserve"> violence and shared personal experiences.</w:t>
      </w:r>
      <w:r w:rsidR="009C4A37" w:rsidRPr="008A7BD7">
        <w:rPr>
          <w:rFonts w:ascii="Cambria" w:eastAsia="Times New Roman" w:hAnsi="Cambria" w:cs="Tahoma"/>
          <w:color w:val="000000"/>
          <w:sz w:val="20"/>
          <w:szCs w:val="20"/>
          <w:vertAlign w:val="superscript"/>
          <w:lang w:val="es-419" w:eastAsia="es-ES"/>
        </w:rPr>
        <w:footnoteReference w:id="181"/>
      </w:r>
      <w:r w:rsidR="009C4A37" w:rsidRPr="008A7BD7">
        <w:rPr>
          <w:rFonts w:ascii="Cambria" w:eastAsia="Times New Roman" w:hAnsi="Cambria" w:cs="Tahoma"/>
          <w:color w:val="000000"/>
          <w:sz w:val="20"/>
          <w:szCs w:val="20"/>
          <w:lang w:eastAsia="es-ES"/>
        </w:rPr>
        <w:t xml:space="preserve"> </w:t>
      </w:r>
      <w:r w:rsidR="0076768E" w:rsidRPr="008A7BD7">
        <w:rPr>
          <w:rFonts w:ascii="Cambria" w:eastAsia="Times New Roman" w:hAnsi="Cambria" w:cs="Tahoma"/>
          <w:color w:val="000000"/>
          <w:sz w:val="20"/>
          <w:szCs w:val="20"/>
          <w:lang w:eastAsia="es-ES"/>
        </w:rPr>
        <w:t>The IACHR has received information indicating that the National Civil Service Office had rescinded the work contract of</w:t>
      </w:r>
      <w:r w:rsidR="0076768E" w:rsidRPr="008A7BD7">
        <w:rPr>
          <w:rFonts w:ascii="Cambria" w:eastAsia="Times New Roman" w:hAnsi="Cambria" w:cs="Tahoma"/>
          <w:color w:val="000000" w:themeColor="text1"/>
          <w:sz w:val="20"/>
          <w:szCs w:val="20"/>
          <w:lang w:eastAsia="es-ES"/>
        </w:rPr>
        <w:t xml:space="preserve"> </w:t>
      </w:r>
      <w:r w:rsidR="009C4A37" w:rsidRPr="008A7BD7">
        <w:rPr>
          <w:rFonts w:ascii="Cambria" w:eastAsia="Times New Roman" w:hAnsi="Cambria" w:cs="Tahoma"/>
          <w:color w:val="000000"/>
          <w:sz w:val="20"/>
          <w:szCs w:val="20"/>
          <w:lang w:eastAsia="es-ES"/>
        </w:rPr>
        <w:t xml:space="preserve">María Alejandra Morales Arana, </w:t>
      </w:r>
      <w:r w:rsidR="0076768E" w:rsidRPr="008A7BD7">
        <w:rPr>
          <w:rFonts w:ascii="Cambria" w:eastAsia="Times New Roman" w:hAnsi="Cambria" w:cs="Tahoma"/>
          <w:color w:val="000000"/>
          <w:sz w:val="20"/>
          <w:szCs w:val="20"/>
          <w:lang w:eastAsia="es-ES"/>
        </w:rPr>
        <w:t xml:space="preserve">one of the </w:t>
      </w:r>
      <w:r w:rsidR="0076768E" w:rsidRPr="008A7BD7">
        <w:rPr>
          <w:rFonts w:ascii="Cambria" w:eastAsia="Times New Roman" w:hAnsi="Cambria" w:cs="Tahoma"/>
          <w:color w:val="000000"/>
          <w:sz w:val="20"/>
          <w:szCs w:val="20"/>
          <w:lang w:eastAsia="es-ES"/>
        </w:rPr>
        <w:lastRenderedPageBreak/>
        <w:t xml:space="preserve">organizers of the </w:t>
      </w:r>
      <w:r w:rsidR="009C4A37" w:rsidRPr="008A7BD7">
        <w:rPr>
          <w:rFonts w:ascii="Cambria" w:eastAsia="Times New Roman" w:hAnsi="Cambria" w:cs="Tahoma"/>
          <w:color w:val="000000"/>
          <w:sz w:val="20"/>
          <w:szCs w:val="20"/>
          <w:lang w:eastAsia="es-ES"/>
        </w:rPr>
        <w:t>#TengoMiedo</w:t>
      </w:r>
      <w:r w:rsidR="0076768E" w:rsidRPr="008A7BD7">
        <w:rPr>
          <w:rFonts w:ascii="Cambria" w:eastAsia="Times New Roman" w:hAnsi="Cambria" w:cs="Tahoma"/>
          <w:color w:val="000000"/>
          <w:sz w:val="20"/>
          <w:szCs w:val="20"/>
          <w:lang w:eastAsia="es-ES"/>
        </w:rPr>
        <w:t xml:space="preserve"> movement</w:t>
      </w:r>
      <w:r w:rsidR="009C4A37" w:rsidRPr="008A7BD7">
        <w:rPr>
          <w:rFonts w:ascii="Cambria" w:eastAsia="Times New Roman" w:hAnsi="Cambria" w:cs="Tahoma"/>
          <w:color w:val="000000"/>
          <w:sz w:val="20"/>
          <w:szCs w:val="20"/>
          <w:lang w:eastAsia="es-ES"/>
        </w:rPr>
        <w:t xml:space="preserve">. </w:t>
      </w:r>
      <w:r w:rsidR="007864D1" w:rsidRPr="008A7BD7">
        <w:rPr>
          <w:rFonts w:ascii="Cambria" w:eastAsia="Times New Roman" w:hAnsi="Cambria" w:cs="Tahoma"/>
          <w:color w:val="000000"/>
          <w:sz w:val="20"/>
          <w:szCs w:val="20"/>
          <w:lang w:eastAsia="es-ES"/>
        </w:rPr>
        <w:t xml:space="preserve">The former adviser </w:t>
      </w:r>
      <w:r w:rsidR="004A3959" w:rsidRPr="008A7BD7">
        <w:rPr>
          <w:rFonts w:ascii="Cambria" w:eastAsia="Times New Roman" w:hAnsi="Cambria" w:cs="Tahoma"/>
          <w:color w:val="000000"/>
          <w:sz w:val="20"/>
          <w:szCs w:val="20"/>
          <w:lang w:eastAsia="es-ES"/>
        </w:rPr>
        <w:t>claimed</w:t>
      </w:r>
      <w:r w:rsidR="007864D1" w:rsidRPr="008A7BD7">
        <w:rPr>
          <w:rFonts w:ascii="Cambria" w:eastAsia="Times New Roman" w:hAnsi="Cambria" w:cs="Tahoma"/>
          <w:color w:val="000000"/>
          <w:sz w:val="20"/>
          <w:szCs w:val="20"/>
          <w:lang w:eastAsia="es-ES"/>
        </w:rPr>
        <w:t xml:space="preserve"> that the reason for the rescindment was her role in the campaign and filed an </w:t>
      </w:r>
      <w:r w:rsidR="007864D1" w:rsidRPr="008A7BD7">
        <w:rPr>
          <w:rFonts w:ascii="Cambria" w:eastAsia="Times New Roman" w:hAnsi="Cambria" w:cs="Tahoma"/>
          <w:i/>
          <w:iCs/>
          <w:color w:val="000000"/>
          <w:sz w:val="20"/>
          <w:szCs w:val="20"/>
          <w:lang w:eastAsia="es-ES"/>
        </w:rPr>
        <w:t>amparo</w:t>
      </w:r>
      <w:r w:rsidR="007864D1" w:rsidRPr="008A7BD7">
        <w:rPr>
          <w:rFonts w:ascii="Cambria" w:eastAsia="Times New Roman" w:hAnsi="Cambria" w:cs="Tahoma"/>
          <w:color w:val="000000"/>
          <w:sz w:val="20"/>
          <w:szCs w:val="20"/>
          <w:lang w:eastAsia="es-ES"/>
        </w:rPr>
        <w:t xml:space="preserve"> motion with the Constitutional Court.</w:t>
      </w:r>
      <w:r w:rsidR="00AB216B" w:rsidRPr="008A7BD7">
        <w:rPr>
          <w:rFonts w:ascii="Cambria" w:eastAsia="Times New Roman" w:hAnsi="Cambria" w:cs="Tahoma"/>
          <w:color w:val="000000"/>
          <w:sz w:val="20"/>
          <w:szCs w:val="20"/>
          <w:lang w:eastAsia="es-ES"/>
        </w:rPr>
        <w:t xml:space="preserve"> The Human Rights Ombudsman’s Office asked the National Civil Service Office to </w:t>
      </w:r>
      <w:r w:rsidR="007777A5" w:rsidRPr="008A7BD7">
        <w:rPr>
          <w:rFonts w:ascii="Cambria" w:eastAsia="Times New Roman" w:hAnsi="Cambria" w:cs="Tahoma"/>
          <w:color w:val="000000"/>
          <w:sz w:val="20"/>
          <w:szCs w:val="20"/>
          <w:lang w:eastAsia="es-ES"/>
        </w:rPr>
        <w:t>conduct an objective analysis of the decision not to renew her contract.</w:t>
      </w:r>
      <w:r w:rsidR="009C4A37" w:rsidRPr="008A7BD7">
        <w:rPr>
          <w:rFonts w:ascii="Cambria" w:eastAsia="Times New Roman" w:hAnsi="Cambria" w:cs="Tahoma"/>
          <w:color w:val="000000"/>
          <w:sz w:val="20"/>
          <w:szCs w:val="20"/>
          <w:vertAlign w:val="superscript"/>
          <w:lang w:val="es-419" w:eastAsia="es-ES"/>
        </w:rPr>
        <w:footnoteReference w:id="182"/>
      </w:r>
    </w:p>
    <w:p w14:paraId="44C650BF" w14:textId="631C2F82" w:rsidR="00082F09" w:rsidRPr="008A7BD7" w:rsidRDefault="00082F09" w:rsidP="00082F09">
      <w:pPr>
        <w:rPr>
          <w:rFonts w:ascii="Cambria" w:eastAsia="Times New Roman" w:hAnsi="Cambria" w:cs="Tahoma"/>
          <w:color w:val="000000"/>
          <w:sz w:val="20"/>
          <w:szCs w:val="20"/>
          <w:lang w:eastAsia="es-ES_tradnl"/>
        </w:rPr>
      </w:pPr>
    </w:p>
    <w:p w14:paraId="776D3017" w14:textId="0A0BA9FF" w:rsidR="00082F09" w:rsidRPr="00C63448" w:rsidRDefault="00A305C4" w:rsidP="00F0442F">
      <w:pPr>
        <w:pStyle w:val="Heading1"/>
        <w:rPr>
          <w:lang w:val="en-US"/>
        </w:rPr>
      </w:pPr>
      <w:r w:rsidRPr="00C63448">
        <w:rPr>
          <w:lang w:val="en-US"/>
        </w:rPr>
        <w:t xml:space="preserve">ECONOMIC, SOCIAL, CULTURAL, AND ENVIRONMENTAL RIGHTS </w:t>
      </w:r>
    </w:p>
    <w:p w14:paraId="071A857C" w14:textId="1F7FA13E" w:rsidR="00E0555A" w:rsidRPr="008A7BD7" w:rsidRDefault="00E0555A">
      <w:pPr>
        <w:rPr>
          <w:rFonts w:ascii="Cambria" w:eastAsia="Times New Roman" w:hAnsi="Cambria" w:cs="Tahoma"/>
          <w:color w:val="000000"/>
          <w:sz w:val="20"/>
          <w:szCs w:val="20"/>
          <w:lang w:eastAsia="es-ES_tradnl"/>
        </w:rPr>
      </w:pPr>
    </w:p>
    <w:p w14:paraId="0C32AE53" w14:textId="159B7B0A" w:rsidR="00E0555A" w:rsidRPr="008A7BD7" w:rsidRDefault="00396C3C" w:rsidP="003D3059">
      <w:pPr>
        <w:numPr>
          <w:ilvl w:val="0"/>
          <w:numId w:val="2"/>
        </w:numPr>
        <w:ind w:left="0" w:firstLine="720"/>
        <w:jc w:val="both"/>
        <w:rPr>
          <w:rFonts w:eastAsiaTheme="minorEastAsia"/>
          <w:sz w:val="20"/>
          <w:szCs w:val="20"/>
        </w:rPr>
      </w:pPr>
      <w:r w:rsidRPr="008A7BD7">
        <w:rPr>
          <w:rFonts w:ascii="Cambria" w:hAnsi="Cambria"/>
          <w:sz w:val="20"/>
          <w:szCs w:val="20"/>
        </w:rPr>
        <w:t xml:space="preserve">With respect to the situation of </w:t>
      </w:r>
      <w:r w:rsidR="009A54C4" w:rsidRPr="008A7BD7">
        <w:rPr>
          <w:rFonts w:ascii="Cambria" w:hAnsi="Cambria"/>
          <w:sz w:val="20"/>
          <w:szCs w:val="20"/>
        </w:rPr>
        <w:t>economic</w:t>
      </w:r>
      <w:r w:rsidRPr="008A7BD7">
        <w:rPr>
          <w:rFonts w:ascii="Cambria" w:hAnsi="Cambria"/>
          <w:sz w:val="20"/>
          <w:szCs w:val="20"/>
        </w:rPr>
        <w:t xml:space="preserve">, social, cultural, and environmental rights in Guatemala, the Commission and </w:t>
      </w:r>
      <w:r w:rsidR="009A54C4" w:rsidRPr="008A7BD7">
        <w:rPr>
          <w:rFonts w:ascii="Cambria" w:hAnsi="Cambria"/>
          <w:sz w:val="20"/>
          <w:szCs w:val="20"/>
        </w:rPr>
        <w:t>its</w:t>
      </w:r>
      <w:r w:rsidRPr="008A7BD7">
        <w:rPr>
          <w:rFonts w:ascii="Cambria" w:hAnsi="Cambria"/>
          <w:sz w:val="20"/>
          <w:szCs w:val="20"/>
        </w:rPr>
        <w:t xml:space="preserve"> Special </w:t>
      </w:r>
      <w:proofErr w:type="spellStart"/>
      <w:r w:rsidRPr="008A7BD7">
        <w:rPr>
          <w:rFonts w:ascii="Cambria" w:hAnsi="Cambria"/>
          <w:sz w:val="20"/>
          <w:szCs w:val="20"/>
        </w:rPr>
        <w:t>Rapporteurship</w:t>
      </w:r>
      <w:proofErr w:type="spellEnd"/>
      <w:r w:rsidR="00E0555A" w:rsidRPr="008A7BD7">
        <w:rPr>
          <w:rFonts w:ascii="Cambria" w:hAnsi="Cambria"/>
          <w:sz w:val="20"/>
          <w:szCs w:val="20"/>
        </w:rPr>
        <w:t xml:space="preserve"> </w:t>
      </w:r>
      <w:r w:rsidR="00BE08B5" w:rsidRPr="008A7BD7">
        <w:rPr>
          <w:rFonts w:ascii="Cambria" w:hAnsi="Cambria"/>
          <w:sz w:val="20"/>
          <w:szCs w:val="20"/>
        </w:rPr>
        <w:t xml:space="preserve">for this area (REDESCA, for its Spanish acronym) </w:t>
      </w:r>
      <w:r w:rsidR="00D4133F" w:rsidRPr="008A7BD7">
        <w:rPr>
          <w:rFonts w:ascii="Cambria" w:hAnsi="Cambria"/>
          <w:sz w:val="20"/>
          <w:szCs w:val="20"/>
        </w:rPr>
        <w:t xml:space="preserve">once again express their concern over the </w:t>
      </w:r>
      <w:r w:rsidR="00277878" w:rsidRPr="008A7BD7">
        <w:rPr>
          <w:rFonts w:ascii="Cambria" w:hAnsi="Cambria"/>
          <w:sz w:val="20"/>
          <w:szCs w:val="20"/>
        </w:rPr>
        <w:t xml:space="preserve">country’s </w:t>
      </w:r>
      <w:r w:rsidR="00D4133F" w:rsidRPr="008A7BD7">
        <w:rPr>
          <w:rFonts w:ascii="Cambria" w:hAnsi="Cambria"/>
          <w:sz w:val="20"/>
          <w:szCs w:val="20"/>
        </w:rPr>
        <w:t xml:space="preserve">high rates of poverty and inequality, which </w:t>
      </w:r>
      <w:r w:rsidR="00DC4D79" w:rsidRPr="008A7BD7">
        <w:rPr>
          <w:rFonts w:ascii="Cambria" w:hAnsi="Cambria"/>
          <w:sz w:val="20"/>
          <w:szCs w:val="20"/>
        </w:rPr>
        <w:t xml:space="preserve">particularly affect </w:t>
      </w:r>
      <w:r w:rsidR="00D4133F" w:rsidRPr="008A7BD7">
        <w:rPr>
          <w:rFonts w:ascii="Cambria" w:hAnsi="Cambria"/>
          <w:sz w:val="20"/>
          <w:szCs w:val="20"/>
        </w:rPr>
        <w:t>indigenous peoples and other groups that are especially vulnerable.</w:t>
      </w:r>
      <w:r w:rsidR="00E0555A" w:rsidRPr="008A7BD7">
        <w:rPr>
          <w:rFonts w:ascii="Cambria" w:hAnsi="Cambria"/>
          <w:sz w:val="20"/>
          <w:szCs w:val="20"/>
        </w:rPr>
        <w:t xml:space="preserve"> </w:t>
      </w:r>
      <w:r w:rsidR="00D4133F" w:rsidRPr="008A7BD7">
        <w:rPr>
          <w:rFonts w:ascii="Cambria" w:hAnsi="Cambria"/>
          <w:sz w:val="20"/>
          <w:szCs w:val="20"/>
        </w:rPr>
        <w:t xml:space="preserve">As </w:t>
      </w:r>
      <w:r w:rsidR="00184E31" w:rsidRPr="008A7BD7">
        <w:rPr>
          <w:rFonts w:ascii="Cambria" w:hAnsi="Cambria"/>
          <w:sz w:val="20"/>
          <w:szCs w:val="20"/>
        </w:rPr>
        <w:t>OXFAM</w:t>
      </w:r>
      <w:r w:rsidR="00277878" w:rsidRPr="008A7BD7">
        <w:rPr>
          <w:rFonts w:ascii="Cambria" w:hAnsi="Cambria"/>
          <w:sz w:val="20"/>
          <w:szCs w:val="20"/>
        </w:rPr>
        <w:t xml:space="preserve"> International states in its report </w:t>
      </w:r>
      <w:r w:rsidR="00E0555A" w:rsidRPr="008A7BD7">
        <w:rPr>
          <w:rFonts w:ascii="Cambria" w:hAnsi="Cambria"/>
          <w:i/>
          <w:iCs/>
          <w:sz w:val="20"/>
          <w:szCs w:val="20"/>
        </w:rPr>
        <w:t xml:space="preserve">Entre </w:t>
      </w:r>
      <w:proofErr w:type="spellStart"/>
      <w:r w:rsidR="00E0555A" w:rsidRPr="008A7BD7">
        <w:rPr>
          <w:rFonts w:ascii="Cambria" w:hAnsi="Cambria"/>
          <w:i/>
          <w:iCs/>
          <w:sz w:val="20"/>
          <w:szCs w:val="20"/>
        </w:rPr>
        <w:t>el</w:t>
      </w:r>
      <w:proofErr w:type="spellEnd"/>
      <w:r w:rsidR="00E0555A" w:rsidRPr="008A7BD7">
        <w:rPr>
          <w:rFonts w:ascii="Cambria" w:hAnsi="Cambria"/>
          <w:i/>
          <w:iCs/>
          <w:sz w:val="20"/>
          <w:szCs w:val="20"/>
        </w:rPr>
        <w:t xml:space="preserve"> </w:t>
      </w:r>
      <w:proofErr w:type="spellStart"/>
      <w:r w:rsidR="00184E31" w:rsidRPr="008A7BD7">
        <w:rPr>
          <w:rFonts w:ascii="Cambria" w:hAnsi="Cambria"/>
          <w:i/>
          <w:iCs/>
          <w:sz w:val="20"/>
          <w:szCs w:val="20"/>
        </w:rPr>
        <w:t>suelo</w:t>
      </w:r>
      <w:proofErr w:type="spellEnd"/>
      <w:r w:rsidR="00184E31" w:rsidRPr="008A7BD7">
        <w:rPr>
          <w:rFonts w:ascii="Cambria" w:hAnsi="Cambria"/>
          <w:i/>
          <w:iCs/>
          <w:sz w:val="20"/>
          <w:szCs w:val="20"/>
        </w:rPr>
        <w:t xml:space="preserve"> y </w:t>
      </w:r>
      <w:proofErr w:type="spellStart"/>
      <w:r w:rsidR="00184E31" w:rsidRPr="008A7BD7">
        <w:rPr>
          <w:rFonts w:ascii="Cambria" w:hAnsi="Cambria"/>
          <w:i/>
          <w:iCs/>
          <w:sz w:val="20"/>
          <w:szCs w:val="20"/>
        </w:rPr>
        <w:t>el</w:t>
      </w:r>
      <w:proofErr w:type="spellEnd"/>
      <w:r w:rsidR="00184E31" w:rsidRPr="008A7BD7">
        <w:rPr>
          <w:rFonts w:ascii="Cambria" w:hAnsi="Cambria"/>
          <w:i/>
          <w:iCs/>
          <w:sz w:val="20"/>
          <w:szCs w:val="20"/>
        </w:rPr>
        <w:t xml:space="preserve"> </w:t>
      </w:r>
      <w:proofErr w:type="spellStart"/>
      <w:r w:rsidR="00E0555A" w:rsidRPr="008A7BD7">
        <w:rPr>
          <w:rFonts w:ascii="Cambria" w:hAnsi="Cambria"/>
          <w:i/>
          <w:iCs/>
          <w:sz w:val="20"/>
          <w:szCs w:val="20"/>
        </w:rPr>
        <w:t>cielo</w:t>
      </w:r>
      <w:proofErr w:type="spellEnd"/>
      <w:r w:rsidR="00DB5B27" w:rsidRPr="008A7BD7">
        <w:rPr>
          <w:rFonts w:ascii="Cambria" w:hAnsi="Cambria"/>
          <w:sz w:val="20"/>
          <w:szCs w:val="20"/>
        </w:rPr>
        <w:t xml:space="preserve"> [Between Earth and Sky],</w:t>
      </w:r>
      <w:r w:rsidR="00E0555A" w:rsidRPr="008A7BD7">
        <w:rPr>
          <w:rFonts w:ascii="Cambria" w:hAnsi="Cambria"/>
          <w:sz w:val="20"/>
          <w:szCs w:val="20"/>
        </w:rPr>
        <w:t xml:space="preserve"> </w:t>
      </w:r>
      <w:r w:rsidR="00277878" w:rsidRPr="008A7BD7">
        <w:rPr>
          <w:rFonts w:ascii="Cambria" w:hAnsi="Cambria"/>
          <w:sz w:val="20"/>
          <w:szCs w:val="20"/>
        </w:rPr>
        <w:t xml:space="preserve">the structural nature of inequality in Guatemala is reflected in the lack of access to and enjoyment of human rights in general and economic, social, cultural, and environmental </w:t>
      </w:r>
      <w:proofErr w:type="gramStart"/>
      <w:r w:rsidR="00277878" w:rsidRPr="008A7BD7">
        <w:rPr>
          <w:rFonts w:ascii="Cambria" w:hAnsi="Cambria"/>
          <w:sz w:val="20"/>
          <w:szCs w:val="20"/>
        </w:rPr>
        <w:t>rights in particular, such</w:t>
      </w:r>
      <w:proofErr w:type="gramEnd"/>
      <w:r w:rsidR="00277878" w:rsidRPr="008A7BD7">
        <w:rPr>
          <w:rFonts w:ascii="Cambria" w:hAnsi="Cambria"/>
          <w:sz w:val="20"/>
          <w:szCs w:val="20"/>
        </w:rPr>
        <w:t xml:space="preserve"> as the right to health, to nutrition, to education, or to employment.</w:t>
      </w:r>
      <w:r w:rsidR="00E0555A" w:rsidRPr="008A7BD7">
        <w:rPr>
          <w:rStyle w:val="FootnoteReference"/>
          <w:rFonts w:ascii="Cambria" w:hAnsi="Cambria"/>
          <w:sz w:val="20"/>
          <w:szCs w:val="20"/>
          <w:lang w:val="es-419"/>
        </w:rPr>
        <w:footnoteReference w:id="183"/>
      </w:r>
      <w:r w:rsidR="00E0555A" w:rsidRPr="008A7BD7">
        <w:rPr>
          <w:rFonts w:ascii="Cambria" w:hAnsi="Cambria"/>
          <w:sz w:val="20"/>
          <w:szCs w:val="20"/>
        </w:rPr>
        <w:t xml:space="preserve"> </w:t>
      </w:r>
    </w:p>
    <w:p w14:paraId="0F565D9A" w14:textId="77777777" w:rsidR="00E0555A" w:rsidRPr="008A7BD7" w:rsidRDefault="00E0555A" w:rsidP="00E0555A">
      <w:pPr>
        <w:ind w:left="720"/>
        <w:jc w:val="both"/>
        <w:rPr>
          <w:rFonts w:eastAsiaTheme="minorEastAsia"/>
          <w:sz w:val="20"/>
          <w:szCs w:val="20"/>
        </w:rPr>
      </w:pPr>
    </w:p>
    <w:p w14:paraId="7F51A04D" w14:textId="147A8EDF" w:rsidR="00E0555A" w:rsidRPr="008A7BD7" w:rsidRDefault="0022377A" w:rsidP="003D3059">
      <w:pPr>
        <w:numPr>
          <w:ilvl w:val="0"/>
          <w:numId w:val="2"/>
        </w:numPr>
        <w:ind w:left="0" w:firstLine="720"/>
        <w:jc w:val="both"/>
        <w:rPr>
          <w:rFonts w:eastAsiaTheme="minorEastAsia"/>
          <w:sz w:val="20"/>
          <w:szCs w:val="20"/>
        </w:rPr>
      </w:pPr>
      <w:r w:rsidRPr="008A7BD7">
        <w:rPr>
          <w:rFonts w:ascii="Cambria" w:hAnsi="Cambria"/>
          <w:sz w:val="20"/>
          <w:szCs w:val="20"/>
        </w:rPr>
        <w:t xml:space="preserve">In terms of the right to health, the IACHR and </w:t>
      </w:r>
      <w:r w:rsidR="00BE08B5" w:rsidRPr="008A7BD7">
        <w:rPr>
          <w:rFonts w:ascii="Cambria" w:hAnsi="Cambria"/>
          <w:sz w:val="20"/>
          <w:szCs w:val="20"/>
        </w:rPr>
        <w:t xml:space="preserve">REDESCA </w:t>
      </w:r>
      <w:r w:rsidRPr="008A7BD7">
        <w:rPr>
          <w:rFonts w:ascii="Cambria" w:hAnsi="Cambria"/>
          <w:sz w:val="20"/>
          <w:szCs w:val="20"/>
        </w:rPr>
        <w:t xml:space="preserve">note that </w:t>
      </w:r>
      <w:r w:rsidR="00BE0B1B" w:rsidRPr="008A7BD7">
        <w:rPr>
          <w:rFonts w:ascii="Cambria" w:hAnsi="Cambria"/>
          <w:sz w:val="20"/>
          <w:szCs w:val="20"/>
        </w:rPr>
        <w:t>Guatemala’s</w:t>
      </w:r>
      <w:r w:rsidRPr="008A7BD7">
        <w:rPr>
          <w:rFonts w:ascii="Cambria" w:hAnsi="Cambria"/>
          <w:sz w:val="20"/>
          <w:szCs w:val="20"/>
        </w:rPr>
        <w:t xml:space="preserve"> health-care system</w:t>
      </w:r>
      <w:r w:rsidR="00BE0B1B" w:rsidRPr="008A7BD7">
        <w:rPr>
          <w:rFonts w:ascii="Cambria" w:hAnsi="Cambria"/>
          <w:sz w:val="20"/>
          <w:szCs w:val="20"/>
        </w:rPr>
        <w:t xml:space="preserve"> </w:t>
      </w:r>
      <w:r w:rsidRPr="008A7BD7">
        <w:rPr>
          <w:rFonts w:ascii="Cambria" w:hAnsi="Cambria"/>
          <w:sz w:val="20"/>
          <w:szCs w:val="20"/>
        </w:rPr>
        <w:t xml:space="preserve">has been facing structural deficiencies and challenges for years, leaving broad segments of the population unable to access or enjoy their right to health </w:t>
      </w:r>
      <w:r w:rsidR="009416E0" w:rsidRPr="008A7BD7">
        <w:rPr>
          <w:rFonts w:ascii="Cambria" w:hAnsi="Cambria"/>
          <w:sz w:val="20"/>
          <w:szCs w:val="20"/>
        </w:rPr>
        <w:t>consistent</w:t>
      </w:r>
      <w:r w:rsidRPr="008A7BD7">
        <w:rPr>
          <w:rFonts w:ascii="Cambria" w:hAnsi="Cambria"/>
          <w:sz w:val="20"/>
          <w:szCs w:val="20"/>
        </w:rPr>
        <w:t xml:space="preserve"> with </w:t>
      </w:r>
      <w:r w:rsidR="00CB69C7" w:rsidRPr="008A7BD7">
        <w:rPr>
          <w:rFonts w:ascii="Cambria" w:hAnsi="Cambria"/>
          <w:sz w:val="20"/>
          <w:szCs w:val="20"/>
        </w:rPr>
        <w:t xml:space="preserve">relevant </w:t>
      </w:r>
      <w:r w:rsidRPr="008A7BD7">
        <w:rPr>
          <w:rFonts w:ascii="Cambria" w:hAnsi="Cambria"/>
          <w:sz w:val="20"/>
          <w:szCs w:val="20"/>
        </w:rPr>
        <w:t xml:space="preserve">inter-American and </w:t>
      </w:r>
      <w:r w:rsidR="009416E0" w:rsidRPr="008A7BD7">
        <w:rPr>
          <w:rFonts w:ascii="Cambria" w:hAnsi="Cambria"/>
          <w:sz w:val="20"/>
          <w:szCs w:val="20"/>
        </w:rPr>
        <w:t>universal</w:t>
      </w:r>
      <w:r w:rsidRPr="008A7BD7">
        <w:rPr>
          <w:rFonts w:ascii="Cambria" w:hAnsi="Cambria"/>
          <w:sz w:val="20"/>
          <w:szCs w:val="20"/>
        </w:rPr>
        <w:t xml:space="preserve"> obligations.</w:t>
      </w:r>
      <w:r w:rsidR="00E0555A" w:rsidRPr="008A7BD7">
        <w:rPr>
          <w:rStyle w:val="FootnoteReference"/>
          <w:rFonts w:ascii="Cambria" w:hAnsi="Cambria"/>
          <w:sz w:val="20"/>
          <w:szCs w:val="20"/>
          <w:lang w:val="es-419"/>
        </w:rPr>
        <w:footnoteReference w:id="184"/>
      </w:r>
      <w:r w:rsidR="00E0555A" w:rsidRPr="008A7BD7">
        <w:rPr>
          <w:rFonts w:ascii="Cambria" w:hAnsi="Cambria"/>
          <w:sz w:val="20"/>
          <w:szCs w:val="20"/>
        </w:rPr>
        <w:t xml:space="preserve"> </w:t>
      </w:r>
      <w:r w:rsidRPr="008A7BD7">
        <w:rPr>
          <w:rFonts w:ascii="Cambria" w:hAnsi="Cambria"/>
          <w:sz w:val="20"/>
          <w:szCs w:val="20"/>
        </w:rPr>
        <w:t xml:space="preserve">The pandemic has </w:t>
      </w:r>
      <w:r w:rsidR="00EF7408" w:rsidRPr="008A7BD7">
        <w:rPr>
          <w:rFonts w:ascii="Cambria" w:hAnsi="Cambria"/>
          <w:sz w:val="20"/>
          <w:szCs w:val="20"/>
        </w:rPr>
        <w:t xml:space="preserve">markedly aggravated the situation. It is a matter of concern that, according to the Human Rights Ombudsman, there has been a lack of diligent management by high-level authorities in the Ministry of Public Health and Social Assistance </w:t>
      </w:r>
      <w:r w:rsidR="00E0555A" w:rsidRPr="008A7BD7">
        <w:rPr>
          <w:rFonts w:ascii="Cambria" w:hAnsi="Cambria"/>
          <w:sz w:val="20"/>
          <w:szCs w:val="20"/>
        </w:rPr>
        <w:t xml:space="preserve">(MSPAS) </w:t>
      </w:r>
      <w:r w:rsidR="005F4F0E" w:rsidRPr="008A7BD7">
        <w:rPr>
          <w:rFonts w:ascii="Cambria" w:hAnsi="Cambria"/>
          <w:sz w:val="20"/>
          <w:szCs w:val="20"/>
        </w:rPr>
        <w:t>in the</w:t>
      </w:r>
      <w:r w:rsidR="00EF7408" w:rsidRPr="008A7BD7">
        <w:rPr>
          <w:rFonts w:ascii="Cambria" w:hAnsi="Cambria"/>
          <w:sz w:val="20"/>
          <w:szCs w:val="20"/>
        </w:rPr>
        <w:t xml:space="preserve"> contain</w:t>
      </w:r>
      <w:r w:rsidR="005F4F0E" w:rsidRPr="008A7BD7">
        <w:rPr>
          <w:rFonts w:ascii="Cambria" w:hAnsi="Cambria"/>
          <w:sz w:val="20"/>
          <w:szCs w:val="20"/>
        </w:rPr>
        <w:t>ment of</w:t>
      </w:r>
      <w:r w:rsidR="00EF7408" w:rsidRPr="008A7BD7">
        <w:rPr>
          <w:rFonts w:ascii="Cambria" w:hAnsi="Cambria"/>
          <w:sz w:val="20"/>
          <w:szCs w:val="20"/>
        </w:rPr>
        <w:t xml:space="preserve"> </w:t>
      </w:r>
      <w:r w:rsidR="00E0555A" w:rsidRPr="008A7BD7">
        <w:rPr>
          <w:rFonts w:ascii="Cambria" w:hAnsi="Cambria"/>
          <w:sz w:val="20"/>
          <w:szCs w:val="20"/>
        </w:rPr>
        <w:t xml:space="preserve">COVID-19 </w:t>
      </w:r>
      <w:r w:rsidR="00EF7408" w:rsidRPr="008A7BD7">
        <w:rPr>
          <w:rFonts w:ascii="Cambria" w:hAnsi="Cambria"/>
          <w:sz w:val="20"/>
          <w:szCs w:val="20"/>
        </w:rPr>
        <w:t xml:space="preserve">and </w:t>
      </w:r>
      <w:r w:rsidR="005F4F0E" w:rsidRPr="008A7BD7">
        <w:rPr>
          <w:rFonts w:ascii="Cambria" w:hAnsi="Cambria"/>
          <w:sz w:val="20"/>
          <w:szCs w:val="20"/>
        </w:rPr>
        <w:t xml:space="preserve">the </w:t>
      </w:r>
      <w:r w:rsidR="00EF7408" w:rsidRPr="008A7BD7">
        <w:rPr>
          <w:rFonts w:ascii="Cambria" w:hAnsi="Cambria"/>
          <w:sz w:val="20"/>
          <w:szCs w:val="20"/>
        </w:rPr>
        <w:t>implement</w:t>
      </w:r>
      <w:r w:rsidR="005F4F0E" w:rsidRPr="008A7BD7">
        <w:rPr>
          <w:rFonts w:ascii="Cambria" w:hAnsi="Cambria"/>
          <w:sz w:val="20"/>
          <w:szCs w:val="20"/>
        </w:rPr>
        <w:t>ation of</w:t>
      </w:r>
      <w:r w:rsidR="00EF7408" w:rsidRPr="008A7BD7">
        <w:rPr>
          <w:rFonts w:ascii="Cambria" w:hAnsi="Cambria"/>
          <w:sz w:val="20"/>
          <w:szCs w:val="20"/>
        </w:rPr>
        <w:t xml:space="preserve"> the National Vaccination Plan</w:t>
      </w:r>
      <w:r w:rsidR="00E0555A" w:rsidRPr="008A7BD7">
        <w:rPr>
          <w:rFonts w:ascii="Cambria" w:hAnsi="Cambria"/>
          <w:sz w:val="20"/>
          <w:szCs w:val="20"/>
        </w:rPr>
        <w:t>.</w:t>
      </w:r>
      <w:r w:rsidR="00E0555A" w:rsidRPr="008A7BD7">
        <w:rPr>
          <w:rStyle w:val="FootnoteReference"/>
          <w:rFonts w:ascii="Cambria" w:hAnsi="Cambria"/>
          <w:sz w:val="20"/>
          <w:szCs w:val="20"/>
          <w:lang w:val="es-419"/>
        </w:rPr>
        <w:footnoteReference w:id="185"/>
      </w:r>
    </w:p>
    <w:p w14:paraId="797FB57C" w14:textId="77777777" w:rsidR="00E0555A" w:rsidRPr="008A7BD7" w:rsidRDefault="00E0555A" w:rsidP="00E0555A">
      <w:pPr>
        <w:ind w:left="360"/>
        <w:jc w:val="both"/>
        <w:rPr>
          <w:rFonts w:ascii="Cambria" w:hAnsi="Cambria"/>
          <w:sz w:val="20"/>
          <w:szCs w:val="20"/>
        </w:rPr>
      </w:pPr>
    </w:p>
    <w:p w14:paraId="33625EA4" w14:textId="7DFE88F0" w:rsidR="00E0555A" w:rsidRPr="008A7BD7" w:rsidRDefault="0024591E" w:rsidP="003D3059">
      <w:pPr>
        <w:numPr>
          <w:ilvl w:val="0"/>
          <w:numId w:val="2"/>
        </w:numPr>
        <w:ind w:left="0" w:firstLine="720"/>
        <w:jc w:val="both"/>
        <w:rPr>
          <w:sz w:val="20"/>
          <w:szCs w:val="20"/>
        </w:rPr>
      </w:pPr>
      <w:r w:rsidRPr="008A7BD7">
        <w:rPr>
          <w:rFonts w:ascii="Cambria" w:hAnsi="Cambria"/>
          <w:sz w:val="20"/>
          <w:szCs w:val="20"/>
        </w:rPr>
        <w:t xml:space="preserve">The Commission and </w:t>
      </w:r>
      <w:r w:rsidR="00BE08B5" w:rsidRPr="008A7BD7">
        <w:rPr>
          <w:rFonts w:ascii="Cambria" w:hAnsi="Cambria"/>
          <w:sz w:val="20"/>
          <w:szCs w:val="20"/>
        </w:rPr>
        <w:t xml:space="preserve">REDESCA </w:t>
      </w:r>
      <w:r w:rsidRPr="008A7BD7">
        <w:rPr>
          <w:rFonts w:ascii="Cambria" w:hAnsi="Cambria"/>
          <w:sz w:val="20"/>
          <w:szCs w:val="20"/>
        </w:rPr>
        <w:t xml:space="preserve">note with concern that on June 22, 2021, the </w:t>
      </w:r>
      <w:r w:rsidR="003D2381" w:rsidRPr="008A7BD7">
        <w:rPr>
          <w:rFonts w:ascii="Cambria" w:hAnsi="Cambria"/>
          <w:sz w:val="20"/>
          <w:szCs w:val="20"/>
        </w:rPr>
        <w:t xml:space="preserve">Office of the </w:t>
      </w:r>
      <w:r w:rsidRPr="008A7BD7">
        <w:rPr>
          <w:rFonts w:ascii="Cambria" w:hAnsi="Cambria"/>
          <w:sz w:val="20"/>
          <w:szCs w:val="20"/>
        </w:rPr>
        <w:t>Human Rights Ombudsman</w:t>
      </w:r>
      <w:r w:rsidR="003D2381" w:rsidRPr="008A7BD7">
        <w:rPr>
          <w:rFonts w:ascii="Cambria" w:hAnsi="Cambria"/>
          <w:sz w:val="20"/>
          <w:szCs w:val="20"/>
        </w:rPr>
        <w:t xml:space="preserve"> </w:t>
      </w:r>
      <w:r w:rsidRPr="008A7BD7">
        <w:rPr>
          <w:rFonts w:ascii="Cambria" w:hAnsi="Cambria"/>
          <w:sz w:val="20"/>
          <w:szCs w:val="20"/>
        </w:rPr>
        <w:t xml:space="preserve">declared the administrative conduct harmful to the interests of Guatemalans </w:t>
      </w:r>
      <w:r w:rsidR="00A86F1A" w:rsidRPr="008A7BD7">
        <w:rPr>
          <w:rFonts w:ascii="Cambria" w:hAnsi="Cambria"/>
          <w:sz w:val="20"/>
          <w:szCs w:val="20"/>
        </w:rPr>
        <w:t>and</w:t>
      </w:r>
      <w:r w:rsidR="003D2381" w:rsidRPr="008A7BD7">
        <w:rPr>
          <w:rFonts w:ascii="Cambria" w:hAnsi="Cambria"/>
          <w:sz w:val="20"/>
          <w:szCs w:val="20"/>
        </w:rPr>
        <w:t>,</w:t>
      </w:r>
      <w:r w:rsidR="00A86F1A" w:rsidRPr="008A7BD7">
        <w:rPr>
          <w:rFonts w:ascii="Cambria" w:hAnsi="Cambria"/>
          <w:sz w:val="20"/>
          <w:szCs w:val="20"/>
        </w:rPr>
        <w:t xml:space="preserve"> consequently, a violation of the human right to </w:t>
      </w:r>
      <w:r w:rsidR="00A01011" w:rsidRPr="008A7BD7">
        <w:rPr>
          <w:rFonts w:ascii="Cambria" w:hAnsi="Cambria"/>
          <w:sz w:val="20"/>
          <w:szCs w:val="20"/>
        </w:rPr>
        <w:t>integral</w:t>
      </w:r>
      <w:r w:rsidR="00A86F1A" w:rsidRPr="008A7BD7">
        <w:rPr>
          <w:rFonts w:ascii="Cambria" w:hAnsi="Cambria"/>
          <w:sz w:val="20"/>
          <w:szCs w:val="20"/>
        </w:rPr>
        <w:t xml:space="preserve"> health of the people who should </w:t>
      </w:r>
      <w:r w:rsidR="00A01011" w:rsidRPr="008A7BD7">
        <w:rPr>
          <w:rFonts w:ascii="Cambria" w:hAnsi="Cambria"/>
          <w:sz w:val="20"/>
          <w:szCs w:val="20"/>
        </w:rPr>
        <w:t>be vaccinated</w:t>
      </w:r>
      <w:r w:rsidR="00A86F1A" w:rsidRPr="008A7BD7">
        <w:rPr>
          <w:rFonts w:ascii="Cambria" w:hAnsi="Cambria"/>
          <w:sz w:val="20"/>
          <w:szCs w:val="20"/>
        </w:rPr>
        <w:t xml:space="preserve"> </w:t>
      </w:r>
      <w:r w:rsidR="00A01011" w:rsidRPr="008A7BD7">
        <w:rPr>
          <w:rFonts w:ascii="Cambria" w:hAnsi="Cambria"/>
          <w:sz w:val="20"/>
          <w:szCs w:val="20"/>
        </w:rPr>
        <w:t>under</w:t>
      </w:r>
      <w:r w:rsidR="00A86F1A" w:rsidRPr="008A7BD7">
        <w:rPr>
          <w:rFonts w:ascii="Cambria" w:hAnsi="Cambria"/>
          <w:sz w:val="20"/>
          <w:szCs w:val="20"/>
        </w:rPr>
        <w:t xml:space="preserve"> the State of Guatemala</w:t>
      </w:r>
      <w:r w:rsidR="00A01011" w:rsidRPr="008A7BD7">
        <w:rPr>
          <w:rFonts w:ascii="Cambria" w:hAnsi="Cambria"/>
          <w:sz w:val="20"/>
          <w:szCs w:val="20"/>
        </w:rPr>
        <w:t>’s</w:t>
      </w:r>
      <w:r w:rsidR="00A86F1A" w:rsidRPr="008A7BD7">
        <w:rPr>
          <w:rFonts w:ascii="Cambria" w:hAnsi="Cambria"/>
          <w:sz w:val="20"/>
          <w:szCs w:val="20"/>
        </w:rPr>
        <w:t xml:space="preserve"> National Vaccination Plan</w:t>
      </w:r>
      <w:r w:rsidR="008446E3" w:rsidRPr="008A7BD7">
        <w:rPr>
          <w:rFonts w:ascii="Cambria" w:hAnsi="Cambria"/>
          <w:sz w:val="20"/>
          <w:szCs w:val="20"/>
        </w:rPr>
        <w:t>, through the MSPAS</w:t>
      </w:r>
      <w:r w:rsidR="00A86F1A" w:rsidRPr="008A7BD7">
        <w:rPr>
          <w:rFonts w:ascii="Cambria" w:hAnsi="Cambria"/>
          <w:sz w:val="20"/>
          <w:szCs w:val="20"/>
        </w:rPr>
        <w:t xml:space="preserve">. The Ombudsman’s Office also issued a series of recommendations to the </w:t>
      </w:r>
      <w:r w:rsidR="00E0555A" w:rsidRPr="008A7BD7">
        <w:rPr>
          <w:rFonts w:ascii="Cambria" w:hAnsi="Cambria"/>
          <w:sz w:val="20"/>
          <w:szCs w:val="20"/>
        </w:rPr>
        <w:t xml:space="preserve">MSPAS </w:t>
      </w:r>
      <w:r w:rsidR="00A86F1A" w:rsidRPr="008A7BD7">
        <w:rPr>
          <w:rFonts w:ascii="Cambria" w:hAnsi="Cambria"/>
          <w:sz w:val="20"/>
          <w:szCs w:val="20"/>
        </w:rPr>
        <w:t xml:space="preserve">to ensure the availability of </w:t>
      </w:r>
      <w:r w:rsidR="00E0555A" w:rsidRPr="008A7BD7">
        <w:rPr>
          <w:rFonts w:ascii="Cambria" w:hAnsi="Cambria"/>
          <w:sz w:val="20"/>
          <w:szCs w:val="20"/>
        </w:rPr>
        <w:t xml:space="preserve">COVID-19 </w:t>
      </w:r>
      <w:r w:rsidR="00A86F1A" w:rsidRPr="008A7BD7">
        <w:rPr>
          <w:rFonts w:ascii="Cambria" w:hAnsi="Cambria"/>
          <w:sz w:val="20"/>
          <w:szCs w:val="20"/>
        </w:rPr>
        <w:t xml:space="preserve">vaccines and improve the vaccination process to </w:t>
      </w:r>
      <w:r w:rsidR="00CC26F6" w:rsidRPr="008A7BD7">
        <w:rPr>
          <w:rFonts w:ascii="Cambria" w:hAnsi="Cambria"/>
          <w:sz w:val="20"/>
          <w:szCs w:val="20"/>
        </w:rPr>
        <w:t>provide adequate care to the population</w:t>
      </w:r>
      <w:r w:rsidR="00E0555A" w:rsidRPr="008A7BD7">
        <w:rPr>
          <w:rFonts w:ascii="Cambria" w:hAnsi="Cambria"/>
          <w:sz w:val="20"/>
          <w:szCs w:val="20"/>
        </w:rPr>
        <w:t>.</w:t>
      </w:r>
      <w:r w:rsidR="00E0555A" w:rsidRPr="008A7BD7">
        <w:rPr>
          <w:rFonts w:ascii="Cambria" w:hAnsi="Cambria"/>
          <w:sz w:val="20"/>
          <w:szCs w:val="20"/>
          <w:vertAlign w:val="superscript"/>
        </w:rPr>
        <w:footnoteReference w:id="186"/>
      </w:r>
      <w:r w:rsidR="00E0555A" w:rsidRPr="008A7BD7">
        <w:rPr>
          <w:rFonts w:ascii="Cambria" w:hAnsi="Cambria"/>
          <w:sz w:val="20"/>
          <w:szCs w:val="20"/>
        </w:rPr>
        <w:t xml:space="preserve"> </w:t>
      </w:r>
    </w:p>
    <w:p w14:paraId="5FD59883" w14:textId="77777777" w:rsidR="00E0555A" w:rsidRPr="008A7BD7" w:rsidRDefault="00E0555A" w:rsidP="00E0555A">
      <w:pPr>
        <w:ind w:left="360"/>
        <w:jc w:val="both"/>
        <w:rPr>
          <w:rFonts w:ascii="Cambria" w:hAnsi="Cambria"/>
          <w:sz w:val="20"/>
          <w:szCs w:val="20"/>
        </w:rPr>
      </w:pPr>
    </w:p>
    <w:p w14:paraId="2048B8C0" w14:textId="010D3839" w:rsidR="00E0555A" w:rsidRPr="008A7BD7" w:rsidRDefault="00F152DB" w:rsidP="003D3059">
      <w:pPr>
        <w:numPr>
          <w:ilvl w:val="0"/>
          <w:numId w:val="2"/>
        </w:numPr>
        <w:ind w:left="0" w:firstLine="720"/>
        <w:jc w:val="both"/>
        <w:rPr>
          <w:rFonts w:eastAsiaTheme="minorEastAsia"/>
          <w:sz w:val="20"/>
          <w:szCs w:val="20"/>
        </w:rPr>
      </w:pPr>
      <w:r w:rsidRPr="008A7BD7">
        <w:rPr>
          <w:rFonts w:ascii="Cambria" w:hAnsi="Cambria"/>
          <w:sz w:val="20"/>
          <w:szCs w:val="20"/>
        </w:rPr>
        <w:t xml:space="preserve">In addition, on July </w:t>
      </w:r>
      <w:r w:rsidR="00E0555A" w:rsidRPr="008A7BD7">
        <w:rPr>
          <w:rFonts w:ascii="Cambria" w:hAnsi="Cambria"/>
          <w:sz w:val="20"/>
          <w:szCs w:val="20"/>
        </w:rPr>
        <w:t>2</w:t>
      </w:r>
      <w:r w:rsidRPr="008A7BD7">
        <w:rPr>
          <w:rFonts w:ascii="Cambria" w:hAnsi="Cambria"/>
          <w:sz w:val="20"/>
          <w:szCs w:val="20"/>
        </w:rPr>
        <w:t xml:space="preserve">, </w:t>
      </w:r>
      <w:r w:rsidR="00E0555A" w:rsidRPr="008A7BD7">
        <w:rPr>
          <w:rFonts w:ascii="Cambria" w:hAnsi="Cambria"/>
          <w:sz w:val="20"/>
          <w:szCs w:val="20"/>
        </w:rPr>
        <w:t xml:space="preserve">2021, </w:t>
      </w:r>
      <w:r w:rsidRPr="008A7BD7">
        <w:rPr>
          <w:rFonts w:ascii="Cambria" w:hAnsi="Cambria"/>
          <w:sz w:val="20"/>
          <w:szCs w:val="20"/>
        </w:rPr>
        <w:t xml:space="preserve">the </w:t>
      </w:r>
      <w:r w:rsidR="00D129B8" w:rsidRPr="008A7BD7">
        <w:rPr>
          <w:rFonts w:ascii="Cambria" w:hAnsi="Cambria"/>
          <w:sz w:val="20"/>
          <w:szCs w:val="20"/>
        </w:rPr>
        <w:t xml:space="preserve">Office of the </w:t>
      </w:r>
      <w:r w:rsidRPr="008A7BD7">
        <w:rPr>
          <w:rFonts w:ascii="Cambria" w:hAnsi="Cambria"/>
          <w:sz w:val="20"/>
          <w:szCs w:val="20"/>
        </w:rPr>
        <w:t xml:space="preserve">Comptroller General of </w:t>
      </w:r>
      <w:r w:rsidR="00E0555A" w:rsidRPr="008A7BD7">
        <w:rPr>
          <w:rFonts w:ascii="Cambria" w:hAnsi="Cambria"/>
          <w:sz w:val="20"/>
          <w:szCs w:val="20"/>
        </w:rPr>
        <w:t xml:space="preserve">Guatemala </w:t>
      </w:r>
      <w:r w:rsidRPr="008A7BD7">
        <w:rPr>
          <w:rFonts w:ascii="Cambria" w:hAnsi="Cambria"/>
          <w:sz w:val="20"/>
          <w:szCs w:val="20"/>
        </w:rPr>
        <w:t xml:space="preserve">filed a criminal complaint against the Ministry of Health for the crimes of abuse of authority, failure to comply with duties, and embezzlement related to the purchase of </w:t>
      </w:r>
      <w:r w:rsidR="00E0555A" w:rsidRPr="008A7BD7">
        <w:rPr>
          <w:rFonts w:ascii="Cambria" w:hAnsi="Cambria"/>
          <w:sz w:val="20"/>
          <w:szCs w:val="20"/>
        </w:rPr>
        <w:t>COVID-19</w:t>
      </w:r>
      <w:r w:rsidRPr="008A7BD7">
        <w:rPr>
          <w:rFonts w:ascii="Cambria" w:hAnsi="Cambria"/>
          <w:sz w:val="20"/>
          <w:szCs w:val="20"/>
        </w:rPr>
        <w:t xml:space="preserve"> vaccines</w:t>
      </w:r>
      <w:r w:rsidR="00E0555A" w:rsidRPr="008A7BD7">
        <w:rPr>
          <w:rFonts w:ascii="Cambria" w:hAnsi="Cambria"/>
          <w:sz w:val="20"/>
          <w:szCs w:val="20"/>
        </w:rPr>
        <w:t>.</w:t>
      </w:r>
      <w:r w:rsidR="00E0555A" w:rsidRPr="008A7BD7">
        <w:rPr>
          <w:rFonts w:ascii="Cambria" w:hAnsi="Cambria"/>
          <w:sz w:val="20"/>
          <w:szCs w:val="20"/>
          <w:vertAlign w:val="superscript"/>
          <w:lang w:val="es-ES"/>
        </w:rPr>
        <w:footnoteReference w:id="187"/>
      </w:r>
      <w:r w:rsidR="00E0555A" w:rsidRPr="008A7BD7">
        <w:rPr>
          <w:rFonts w:ascii="Cambria" w:hAnsi="Cambria"/>
          <w:sz w:val="20"/>
          <w:szCs w:val="20"/>
        </w:rPr>
        <w:t xml:space="preserve"> </w:t>
      </w:r>
      <w:r w:rsidRPr="008A7BD7">
        <w:rPr>
          <w:rFonts w:ascii="Cambria" w:hAnsi="Cambria"/>
          <w:sz w:val="20"/>
          <w:szCs w:val="20"/>
        </w:rPr>
        <w:t xml:space="preserve">According to the Comptroller General’s Office, the complaint was filed because guarantees </w:t>
      </w:r>
      <w:r w:rsidR="00D129B8" w:rsidRPr="008A7BD7">
        <w:rPr>
          <w:rFonts w:ascii="Cambria" w:hAnsi="Cambria"/>
          <w:sz w:val="20"/>
          <w:szCs w:val="20"/>
        </w:rPr>
        <w:t>had not been</w:t>
      </w:r>
      <w:r w:rsidR="00F110B8" w:rsidRPr="008A7BD7">
        <w:rPr>
          <w:rFonts w:ascii="Cambria" w:hAnsi="Cambria"/>
          <w:sz w:val="20"/>
          <w:szCs w:val="20"/>
        </w:rPr>
        <w:t xml:space="preserve"> </w:t>
      </w:r>
      <w:r w:rsidR="00D129B8" w:rsidRPr="008A7BD7">
        <w:rPr>
          <w:rFonts w:ascii="Cambria" w:hAnsi="Cambria"/>
          <w:sz w:val="20"/>
          <w:szCs w:val="20"/>
        </w:rPr>
        <w:t>put</w:t>
      </w:r>
      <w:r w:rsidR="00F110B8" w:rsidRPr="008A7BD7">
        <w:rPr>
          <w:rFonts w:ascii="Cambria" w:hAnsi="Cambria"/>
          <w:sz w:val="20"/>
          <w:szCs w:val="20"/>
        </w:rPr>
        <w:t xml:space="preserve"> in place to ensure that the contract would </w:t>
      </w:r>
      <w:r w:rsidR="00560FFE" w:rsidRPr="008A7BD7">
        <w:rPr>
          <w:rFonts w:ascii="Cambria" w:hAnsi="Cambria"/>
          <w:sz w:val="20"/>
          <w:szCs w:val="20"/>
        </w:rPr>
        <w:t>have</w:t>
      </w:r>
      <w:r w:rsidR="00F110B8" w:rsidRPr="008A7BD7">
        <w:rPr>
          <w:rFonts w:ascii="Cambria" w:hAnsi="Cambria"/>
          <w:sz w:val="20"/>
          <w:szCs w:val="20"/>
        </w:rPr>
        <w:t xml:space="preserve"> its </w:t>
      </w:r>
      <w:r w:rsidR="00734FDF" w:rsidRPr="008A7BD7">
        <w:rPr>
          <w:rFonts w:ascii="Cambria" w:hAnsi="Cambria"/>
          <w:sz w:val="20"/>
          <w:szCs w:val="20"/>
        </w:rPr>
        <w:t>intended</w:t>
      </w:r>
      <w:r w:rsidR="00F110B8" w:rsidRPr="008A7BD7">
        <w:rPr>
          <w:rFonts w:ascii="Cambria" w:hAnsi="Cambria"/>
          <w:sz w:val="20"/>
          <w:szCs w:val="20"/>
        </w:rPr>
        <w:t xml:space="preserve"> effects, the necessary information </w:t>
      </w:r>
      <w:r w:rsidRPr="008A7BD7">
        <w:rPr>
          <w:rFonts w:ascii="Cambria" w:hAnsi="Cambria"/>
          <w:sz w:val="20"/>
          <w:szCs w:val="20"/>
        </w:rPr>
        <w:t xml:space="preserve">had not been </w:t>
      </w:r>
      <w:r w:rsidR="00F110B8" w:rsidRPr="008A7BD7">
        <w:rPr>
          <w:rFonts w:ascii="Cambria" w:hAnsi="Cambria"/>
          <w:sz w:val="20"/>
          <w:szCs w:val="20"/>
        </w:rPr>
        <w:t xml:space="preserve">disseminated, and the signing of the contract was outside the </w:t>
      </w:r>
      <w:r w:rsidR="00CE5850" w:rsidRPr="008A7BD7">
        <w:rPr>
          <w:rFonts w:ascii="Cambria" w:hAnsi="Cambria"/>
          <w:sz w:val="20"/>
          <w:szCs w:val="20"/>
        </w:rPr>
        <w:t xml:space="preserve">jurisdiction of the </w:t>
      </w:r>
      <w:r w:rsidR="00F110B8" w:rsidRPr="008A7BD7">
        <w:rPr>
          <w:rFonts w:ascii="Cambria" w:hAnsi="Cambria"/>
          <w:sz w:val="20"/>
          <w:szCs w:val="20"/>
        </w:rPr>
        <w:t>Ministry of Health</w:t>
      </w:r>
      <w:r w:rsidR="00E0555A" w:rsidRPr="008A7BD7">
        <w:rPr>
          <w:rFonts w:ascii="Cambria" w:hAnsi="Cambria"/>
          <w:sz w:val="20"/>
          <w:szCs w:val="20"/>
        </w:rPr>
        <w:t>.</w:t>
      </w:r>
      <w:r w:rsidR="00E0555A" w:rsidRPr="008A7BD7">
        <w:rPr>
          <w:rFonts w:ascii="Cambria" w:hAnsi="Cambria"/>
          <w:sz w:val="20"/>
          <w:szCs w:val="20"/>
          <w:vertAlign w:val="superscript"/>
          <w:lang w:val="es-ES"/>
        </w:rPr>
        <w:footnoteReference w:id="188"/>
      </w:r>
      <w:r w:rsidR="00E0555A" w:rsidRPr="008A7BD7">
        <w:rPr>
          <w:rFonts w:ascii="Cambria" w:hAnsi="Cambria"/>
          <w:sz w:val="20"/>
          <w:szCs w:val="20"/>
        </w:rPr>
        <w:t xml:space="preserve"> </w:t>
      </w:r>
    </w:p>
    <w:p w14:paraId="20E46B74" w14:textId="77777777" w:rsidR="00E0555A" w:rsidRPr="008A7BD7" w:rsidRDefault="00E0555A" w:rsidP="00E0555A">
      <w:pPr>
        <w:rPr>
          <w:rFonts w:ascii="Cambria" w:hAnsi="Cambria"/>
          <w:sz w:val="20"/>
          <w:szCs w:val="20"/>
        </w:rPr>
      </w:pPr>
    </w:p>
    <w:p w14:paraId="75FB027A" w14:textId="4F636129" w:rsidR="00E0555A" w:rsidRPr="008A7BD7" w:rsidRDefault="00027FA6" w:rsidP="003D3059">
      <w:pPr>
        <w:numPr>
          <w:ilvl w:val="0"/>
          <w:numId w:val="2"/>
        </w:numPr>
        <w:ind w:left="0" w:firstLine="720"/>
        <w:jc w:val="both"/>
        <w:rPr>
          <w:rFonts w:eastAsiaTheme="minorEastAsia"/>
          <w:sz w:val="20"/>
          <w:szCs w:val="20"/>
        </w:rPr>
      </w:pPr>
      <w:r w:rsidRPr="008A7BD7">
        <w:rPr>
          <w:rFonts w:ascii="Cambria" w:hAnsi="Cambria"/>
          <w:sz w:val="20"/>
          <w:szCs w:val="20"/>
        </w:rPr>
        <w:lastRenderedPageBreak/>
        <w:t xml:space="preserve">For their part, the Commission and </w:t>
      </w:r>
      <w:r w:rsidR="00BE08B5" w:rsidRPr="008A7BD7">
        <w:rPr>
          <w:rFonts w:ascii="Cambria" w:hAnsi="Cambria"/>
          <w:sz w:val="20"/>
          <w:szCs w:val="20"/>
        </w:rPr>
        <w:t xml:space="preserve">REDESCA </w:t>
      </w:r>
      <w:r w:rsidRPr="008A7BD7">
        <w:rPr>
          <w:rFonts w:ascii="Cambria" w:hAnsi="Cambria"/>
          <w:sz w:val="20"/>
          <w:szCs w:val="20"/>
        </w:rPr>
        <w:t xml:space="preserve">observe that in addition to the health crisis provoked by the pandemic, there are other matters that have had a critical impact on the State’s capacity and response </w:t>
      </w:r>
      <w:r w:rsidR="002528E7" w:rsidRPr="008A7BD7">
        <w:rPr>
          <w:rFonts w:ascii="Cambria" w:hAnsi="Cambria"/>
          <w:sz w:val="20"/>
          <w:szCs w:val="20"/>
        </w:rPr>
        <w:t>in terms of</w:t>
      </w:r>
      <w:r w:rsidRPr="008A7BD7">
        <w:rPr>
          <w:rFonts w:ascii="Cambria" w:hAnsi="Cambria"/>
          <w:sz w:val="20"/>
          <w:szCs w:val="20"/>
        </w:rPr>
        <w:t xml:space="preserve"> ensur</w:t>
      </w:r>
      <w:r w:rsidR="002528E7" w:rsidRPr="008A7BD7">
        <w:rPr>
          <w:rFonts w:ascii="Cambria" w:hAnsi="Cambria"/>
          <w:sz w:val="20"/>
          <w:szCs w:val="20"/>
        </w:rPr>
        <w:t>ing</w:t>
      </w:r>
      <w:r w:rsidRPr="008A7BD7">
        <w:rPr>
          <w:rFonts w:ascii="Cambria" w:hAnsi="Cambria"/>
          <w:sz w:val="20"/>
          <w:szCs w:val="20"/>
        </w:rPr>
        <w:t xml:space="preserve"> the right to health without discrimination. In this regard, the Commission and </w:t>
      </w:r>
      <w:r w:rsidR="0076394C" w:rsidRPr="008A7BD7">
        <w:rPr>
          <w:rFonts w:ascii="Cambria" w:hAnsi="Cambria"/>
          <w:sz w:val="20"/>
          <w:szCs w:val="20"/>
        </w:rPr>
        <w:t xml:space="preserve">REDESCA </w:t>
      </w:r>
      <w:r w:rsidRPr="008A7BD7">
        <w:rPr>
          <w:rFonts w:ascii="Cambria" w:hAnsi="Cambria"/>
          <w:sz w:val="20"/>
          <w:szCs w:val="20"/>
        </w:rPr>
        <w:t>take note of situations such as the lack of essential medications</w:t>
      </w:r>
      <w:r w:rsidR="00132AC1" w:rsidRPr="008A7BD7">
        <w:rPr>
          <w:rFonts w:ascii="Cambria" w:hAnsi="Cambria"/>
          <w:sz w:val="20"/>
          <w:szCs w:val="20"/>
        </w:rPr>
        <w:t xml:space="preserve"> and the lack of sufficient equipment and other emergency supplies that are reportedly contributing to the high </w:t>
      </w:r>
      <w:r w:rsidR="002528E7" w:rsidRPr="008A7BD7">
        <w:rPr>
          <w:rFonts w:ascii="Cambria" w:hAnsi="Cambria"/>
          <w:sz w:val="20"/>
          <w:szCs w:val="20"/>
        </w:rPr>
        <w:t>mortality</w:t>
      </w:r>
      <w:r w:rsidR="00132AC1" w:rsidRPr="008A7BD7">
        <w:rPr>
          <w:rFonts w:ascii="Cambria" w:hAnsi="Cambria"/>
          <w:sz w:val="20"/>
          <w:szCs w:val="20"/>
        </w:rPr>
        <w:t xml:space="preserve"> rate for people suffering from diseases</w:t>
      </w:r>
      <w:r w:rsidR="00E0555A" w:rsidRPr="008A7BD7">
        <w:rPr>
          <w:rFonts w:ascii="Cambria" w:hAnsi="Cambria"/>
          <w:sz w:val="20"/>
          <w:szCs w:val="20"/>
        </w:rPr>
        <w:t>.</w:t>
      </w:r>
      <w:r w:rsidR="00E0555A" w:rsidRPr="008A7BD7">
        <w:rPr>
          <w:rFonts w:ascii="Cambria" w:hAnsi="Cambria"/>
          <w:sz w:val="20"/>
          <w:szCs w:val="20"/>
          <w:vertAlign w:val="superscript"/>
        </w:rPr>
        <w:footnoteReference w:id="189"/>
      </w:r>
      <w:r w:rsidR="00E0555A" w:rsidRPr="008A7BD7">
        <w:rPr>
          <w:rFonts w:ascii="Cambria" w:hAnsi="Cambria"/>
          <w:sz w:val="20"/>
          <w:szCs w:val="20"/>
        </w:rPr>
        <w:t xml:space="preserve"> </w:t>
      </w:r>
    </w:p>
    <w:p w14:paraId="55E30768" w14:textId="77777777" w:rsidR="00F97F2A" w:rsidRPr="008A7BD7" w:rsidRDefault="00F97F2A" w:rsidP="00F97F2A">
      <w:pPr>
        <w:pStyle w:val="ListParagraph"/>
        <w:rPr>
          <w:rFonts w:eastAsiaTheme="minorEastAsia"/>
          <w:sz w:val="20"/>
          <w:szCs w:val="20"/>
        </w:rPr>
      </w:pPr>
    </w:p>
    <w:p w14:paraId="01A008C9" w14:textId="56F4C1B8" w:rsidR="00F97F2A" w:rsidRPr="008A7BD7" w:rsidRDefault="00423FEC" w:rsidP="00F97F2A">
      <w:pPr>
        <w:numPr>
          <w:ilvl w:val="0"/>
          <w:numId w:val="2"/>
        </w:numPr>
        <w:ind w:left="0" w:firstLine="720"/>
        <w:jc w:val="both"/>
        <w:rPr>
          <w:rFonts w:ascii="Cambria" w:eastAsiaTheme="minorEastAsia" w:hAnsi="Cambria"/>
          <w:sz w:val="20"/>
          <w:szCs w:val="20"/>
        </w:rPr>
      </w:pPr>
      <w:r w:rsidRPr="008A7BD7">
        <w:rPr>
          <w:rFonts w:ascii="Cambria" w:eastAsiaTheme="minorEastAsia" w:hAnsi="Cambria"/>
          <w:sz w:val="20"/>
          <w:szCs w:val="20"/>
        </w:rPr>
        <w:t xml:space="preserve">In its response to the draft of this report, the Guatemalan State </w:t>
      </w:r>
      <w:r w:rsidR="00FD55A3" w:rsidRPr="008A7BD7">
        <w:rPr>
          <w:rFonts w:ascii="Cambria" w:eastAsiaTheme="minorEastAsia" w:hAnsi="Cambria"/>
          <w:sz w:val="20"/>
          <w:szCs w:val="20"/>
        </w:rPr>
        <w:t>informed the Commission about</w:t>
      </w:r>
      <w:r w:rsidRPr="008A7BD7">
        <w:rPr>
          <w:rFonts w:ascii="Cambria" w:eastAsiaTheme="minorEastAsia" w:hAnsi="Cambria"/>
          <w:sz w:val="20"/>
          <w:szCs w:val="20"/>
        </w:rPr>
        <w:t xml:space="preserve"> several actions taken by the</w:t>
      </w:r>
      <w:r w:rsidR="00F97F2A" w:rsidRPr="008A7BD7">
        <w:rPr>
          <w:rFonts w:ascii="Cambria" w:eastAsiaTheme="minorEastAsia" w:hAnsi="Cambria"/>
          <w:sz w:val="20"/>
          <w:szCs w:val="20"/>
        </w:rPr>
        <w:t xml:space="preserve"> </w:t>
      </w:r>
      <w:r w:rsidRPr="008A7BD7">
        <w:rPr>
          <w:rFonts w:ascii="Cambria" w:eastAsiaTheme="minorEastAsia" w:hAnsi="Cambria"/>
          <w:sz w:val="20"/>
          <w:szCs w:val="20"/>
        </w:rPr>
        <w:t xml:space="preserve">Secretariat for Planning and Programming of the Office of the President </w:t>
      </w:r>
      <w:r w:rsidR="00F97F2A" w:rsidRPr="008A7BD7">
        <w:rPr>
          <w:rFonts w:ascii="Cambria" w:eastAsiaTheme="minorEastAsia" w:hAnsi="Cambria"/>
          <w:sz w:val="20"/>
          <w:szCs w:val="20"/>
        </w:rPr>
        <w:t xml:space="preserve">(SEGEPLAN), </w:t>
      </w:r>
      <w:r w:rsidRPr="008A7BD7">
        <w:rPr>
          <w:rFonts w:ascii="Cambria" w:eastAsiaTheme="minorEastAsia" w:hAnsi="Cambria"/>
          <w:sz w:val="20"/>
          <w:szCs w:val="20"/>
        </w:rPr>
        <w:t xml:space="preserve">the Ministry of Social Development, and other entities to address the pandemic during fiscal year </w:t>
      </w:r>
      <w:r w:rsidR="00F97F2A" w:rsidRPr="008A7BD7">
        <w:rPr>
          <w:rFonts w:ascii="Cambria" w:eastAsiaTheme="minorEastAsia" w:hAnsi="Cambria"/>
          <w:sz w:val="20"/>
          <w:szCs w:val="20"/>
        </w:rPr>
        <w:t xml:space="preserve">2020, </w:t>
      </w:r>
      <w:r w:rsidRPr="008A7BD7">
        <w:rPr>
          <w:rFonts w:ascii="Cambria" w:eastAsiaTheme="minorEastAsia" w:hAnsi="Cambria"/>
          <w:sz w:val="20"/>
          <w:szCs w:val="20"/>
        </w:rPr>
        <w:t>through the Family Voucher program (</w:t>
      </w:r>
      <w:r w:rsidR="00F97F2A" w:rsidRPr="008A7BD7">
        <w:rPr>
          <w:rFonts w:ascii="Cambria" w:eastAsiaTheme="minorEastAsia" w:hAnsi="Cambria"/>
          <w:sz w:val="20"/>
          <w:szCs w:val="20"/>
        </w:rPr>
        <w:t>Bono Familia</w:t>
      </w:r>
      <w:r w:rsidRPr="008A7BD7">
        <w:rPr>
          <w:rFonts w:ascii="Cambria" w:eastAsiaTheme="minorEastAsia" w:hAnsi="Cambria"/>
          <w:sz w:val="20"/>
          <w:szCs w:val="20"/>
        </w:rPr>
        <w:t>)</w:t>
      </w:r>
      <w:r w:rsidR="00631891" w:rsidRPr="008A7BD7">
        <w:rPr>
          <w:rFonts w:ascii="Cambria" w:eastAsiaTheme="minorEastAsia" w:hAnsi="Cambria"/>
          <w:sz w:val="20"/>
          <w:szCs w:val="20"/>
        </w:rPr>
        <w:t xml:space="preserve"> and</w:t>
      </w:r>
      <w:r w:rsidRPr="008A7BD7">
        <w:rPr>
          <w:rFonts w:ascii="Cambria" w:eastAsiaTheme="minorEastAsia" w:hAnsi="Cambria"/>
          <w:sz w:val="20"/>
          <w:szCs w:val="20"/>
        </w:rPr>
        <w:t xml:space="preserve"> the Temporary Food Support Program, a</w:t>
      </w:r>
      <w:r w:rsidR="00631891" w:rsidRPr="008A7BD7">
        <w:rPr>
          <w:rFonts w:ascii="Cambria" w:eastAsiaTheme="minorEastAsia" w:hAnsi="Cambria"/>
          <w:sz w:val="20"/>
          <w:szCs w:val="20"/>
        </w:rPr>
        <w:t>mong</w:t>
      </w:r>
      <w:r w:rsidRPr="008A7BD7">
        <w:rPr>
          <w:rFonts w:ascii="Cambria" w:eastAsiaTheme="minorEastAsia" w:hAnsi="Cambria"/>
          <w:sz w:val="20"/>
          <w:szCs w:val="20"/>
        </w:rPr>
        <w:t xml:space="preserve"> others</w:t>
      </w:r>
      <w:r w:rsidR="00FD55A3" w:rsidRPr="008A7BD7">
        <w:rPr>
          <w:rFonts w:ascii="Cambria" w:eastAsiaTheme="minorEastAsia" w:hAnsi="Cambria"/>
          <w:sz w:val="20"/>
          <w:szCs w:val="20"/>
        </w:rPr>
        <w:t>.</w:t>
      </w:r>
      <w:r w:rsidR="00F97F2A" w:rsidRPr="008A7BD7">
        <w:rPr>
          <w:rStyle w:val="FootnoteReference"/>
          <w:rFonts w:ascii="Cambria" w:eastAsiaTheme="minorEastAsia" w:hAnsi="Cambria"/>
          <w:sz w:val="20"/>
          <w:szCs w:val="20"/>
          <w:lang w:val="es-US"/>
        </w:rPr>
        <w:footnoteReference w:id="190"/>
      </w:r>
      <w:r w:rsidR="00F97F2A" w:rsidRPr="008A7BD7">
        <w:rPr>
          <w:rFonts w:ascii="Cambria" w:eastAsiaTheme="minorEastAsia" w:hAnsi="Cambria"/>
          <w:sz w:val="20"/>
          <w:szCs w:val="20"/>
        </w:rPr>
        <w:t xml:space="preserve"> </w:t>
      </w:r>
      <w:r w:rsidRPr="008A7BD7">
        <w:rPr>
          <w:rFonts w:ascii="Cambria" w:eastAsiaTheme="minorEastAsia" w:hAnsi="Cambria"/>
          <w:sz w:val="20"/>
          <w:szCs w:val="20"/>
        </w:rPr>
        <w:t>The State likewise provided general information about public policies to guarantee the economic, social, and cultural rights of the Guatemalan people, including the right to education and health.</w:t>
      </w:r>
      <w:r w:rsidR="00F97F2A" w:rsidRPr="008A7BD7">
        <w:rPr>
          <w:rStyle w:val="FootnoteReference"/>
          <w:rFonts w:ascii="Cambria" w:eastAsiaTheme="minorEastAsia" w:hAnsi="Cambria"/>
          <w:sz w:val="20"/>
          <w:szCs w:val="20"/>
          <w:lang w:val="es-US"/>
        </w:rPr>
        <w:footnoteReference w:id="191"/>
      </w:r>
    </w:p>
    <w:p w14:paraId="737DBEFD" w14:textId="77777777" w:rsidR="00F97F2A" w:rsidRPr="008A7BD7" w:rsidRDefault="00F97F2A" w:rsidP="00F97F2A">
      <w:pPr>
        <w:pStyle w:val="ListParagraph"/>
        <w:rPr>
          <w:rFonts w:ascii="Cambria" w:eastAsiaTheme="minorEastAsia" w:hAnsi="Cambria"/>
          <w:sz w:val="20"/>
          <w:szCs w:val="20"/>
        </w:rPr>
      </w:pPr>
    </w:p>
    <w:p w14:paraId="32933EF5" w14:textId="06B8A722" w:rsidR="00F97F2A" w:rsidRPr="008A7BD7" w:rsidRDefault="00FD55A3" w:rsidP="00F97F2A">
      <w:pPr>
        <w:numPr>
          <w:ilvl w:val="0"/>
          <w:numId w:val="2"/>
        </w:numPr>
        <w:ind w:left="0" w:firstLine="720"/>
        <w:jc w:val="both"/>
        <w:rPr>
          <w:rFonts w:ascii="Cambria" w:eastAsiaTheme="minorEastAsia" w:hAnsi="Cambria"/>
          <w:sz w:val="20"/>
          <w:szCs w:val="20"/>
        </w:rPr>
      </w:pPr>
      <w:proofErr w:type="gramStart"/>
      <w:r w:rsidRPr="008A7BD7">
        <w:rPr>
          <w:rFonts w:ascii="Cambria" w:eastAsiaTheme="minorEastAsia" w:hAnsi="Cambria"/>
          <w:sz w:val="20"/>
          <w:szCs w:val="20"/>
        </w:rPr>
        <w:t>With regard to</w:t>
      </w:r>
      <w:proofErr w:type="gramEnd"/>
      <w:r w:rsidR="003F09EE" w:rsidRPr="008A7BD7">
        <w:rPr>
          <w:rFonts w:ascii="Cambria" w:eastAsiaTheme="minorEastAsia" w:hAnsi="Cambria"/>
          <w:sz w:val="20"/>
          <w:szCs w:val="20"/>
        </w:rPr>
        <w:t xml:space="preserve"> the </w:t>
      </w:r>
      <w:r w:rsidRPr="008A7BD7">
        <w:rPr>
          <w:rFonts w:ascii="Cambria" w:eastAsiaTheme="minorEastAsia" w:hAnsi="Cambria"/>
          <w:sz w:val="20"/>
          <w:szCs w:val="20"/>
        </w:rPr>
        <w:t xml:space="preserve">process of </w:t>
      </w:r>
      <w:r w:rsidR="003F09EE" w:rsidRPr="008A7BD7">
        <w:rPr>
          <w:rFonts w:ascii="Cambria" w:eastAsiaTheme="minorEastAsia" w:hAnsi="Cambria"/>
          <w:sz w:val="20"/>
          <w:szCs w:val="20"/>
        </w:rPr>
        <w:t xml:space="preserve">vaccination </w:t>
      </w:r>
      <w:r w:rsidR="00A1743F" w:rsidRPr="008A7BD7">
        <w:rPr>
          <w:rFonts w:ascii="Cambria" w:eastAsiaTheme="minorEastAsia" w:hAnsi="Cambria"/>
          <w:sz w:val="20"/>
          <w:szCs w:val="20"/>
        </w:rPr>
        <w:t>against</w:t>
      </w:r>
      <w:r w:rsidR="003F09EE" w:rsidRPr="008A7BD7">
        <w:rPr>
          <w:rFonts w:ascii="Cambria" w:eastAsiaTheme="minorEastAsia" w:hAnsi="Cambria"/>
          <w:sz w:val="20"/>
          <w:szCs w:val="20"/>
        </w:rPr>
        <w:t xml:space="preserve"> </w:t>
      </w:r>
      <w:r w:rsidR="00F97F2A" w:rsidRPr="008A7BD7">
        <w:rPr>
          <w:rFonts w:ascii="Cambria" w:eastAsiaTheme="minorEastAsia" w:hAnsi="Cambria"/>
          <w:sz w:val="20"/>
          <w:szCs w:val="20"/>
        </w:rPr>
        <w:t xml:space="preserve">COVID-19, </w:t>
      </w:r>
      <w:r w:rsidR="003F09EE" w:rsidRPr="008A7BD7">
        <w:rPr>
          <w:rFonts w:ascii="Cambria" w:eastAsiaTheme="minorEastAsia" w:hAnsi="Cambria"/>
          <w:sz w:val="20"/>
          <w:szCs w:val="20"/>
        </w:rPr>
        <w:t xml:space="preserve">the State indicated that it had received </w:t>
      </w:r>
      <w:r w:rsidR="00A1743F" w:rsidRPr="008A7BD7">
        <w:rPr>
          <w:rFonts w:ascii="Cambria" w:eastAsia="Montserrat" w:hAnsi="Cambria" w:cs="Montserrat"/>
          <w:sz w:val="20"/>
          <w:szCs w:val="20"/>
        </w:rPr>
        <w:t xml:space="preserve">724,604 doses </w:t>
      </w:r>
      <w:r w:rsidRPr="008A7BD7">
        <w:rPr>
          <w:rFonts w:ascii="Cambria" w:eastAsia="Montserrat" w:hAnsi="Cambria" w:cs="Montserrat"/>
          <w:sz w:val="20"/>
          <w:szCs w:val="20"/>
        </w:rPr>
        <w:t xml:space="preserve">of the vaccine </w:t>
      </w:r>
      <w:r w:rsidR="00A1743F" w:rsidRPr="008A7BD7">
        <w:rPr>
          <w:rFonts w:ascii="Cambria" w:eastAsia="Montserrat" w:hAnsi="Cambria" w:cs="Montserrat"/>
          <w:sz w:val="20"/>
          <w:szCs w:val="20"/>
        </w:rPr>
        <w:t>as of</w:t>
      </w:r>
      <w:r w:rsidR="00A1743F" w:rsidRPr="008A7BD7">
        <w:rPr>
          <w:rFonts w:ascii="Cambria" w:eastAsiaTheme="minorEastAsia" w:hAnsi="Cambria"/>
          <w:sz w:val="20"/>
          <w:szCs w:val="20"/>
        </w:rPr>
        <w:t xml:space="preserve"> September</w:t>
      </w:r>
      <w:r w:rsidR="00F97F2A" w:rsidRPr="008A7BD7">
        <w:rPr>
          <w:rFonts w:ascii="Cambria" w:eastAsia="Montserrat" w:hAnsi="Cambria" w:cs="Montserrat"/>
          <w:sz w:val="20"/>
          <w:szCs w:val="20"/>
        </w:rPr>
        <w:t xml:space="preserve"> 10</w:t>
      </w:r>
      <w:r w:rsidR="00A1743F" w:rsidRPr="008A7BD7">
        <w:rPr>
          <w:rFonts w:ascii="Cambria" w:eastAsia="Montserrat" w:hAnsi="Cambria" w:cs="Montserrat"/>
          <w:sz w:val="20"/>
          <w:szCs w:val="20"/>
        </w:rPr>
        <w:t xml:space="preserve">, </w:t>
      </w:r>
      <w:r w:rsidR="00F97F2A" w:rsidRPr="008A7BD7">
        <w:rPr>
          <w:rFonts w:ascii="Cambria" w:eastAsia="Montserrat" w:hAnsi="Cambria" w:cs="Montserrat"/>
          <w:sz w:val="20"/>
          <w:szCs w:val="20"/>
        </w:rPr>
        <w:t xml:space="preserve">2021. </w:t>
      </w:r>
      <w:r w:rsidR="00A1743F" w:rsidRPr="008A7BD7">
        <w:rPr>
          <w:rFonts w:ascii="Cambria" w:eastAsia="Montserrat" w:hAnsi="Cambria" w:cs="Montserrat"/>
          <w:sz w:val="20"/>
          <w:szCs w:val="20"/>
        </w:rPr>
        <w:t>It also informed the IACHR that it had administ</w:t>
      </w:r>
      <w:r w:rsidR="009676CE" w:rsidRPr="008A7BD7">
        <w:rPr>
          <w:rFonts w:ascii="Cambria" w:eastAsia="Montserrat" w:hAnsi="Cambria" w:cs="Montserrat"/>
          <w:sz w:val="20"/>
          <w:szCs w:val="20"/>
        </w:rPr>
        <w:t>er</w:t>
      </w:r>
      <w:r w:rsidR="00A1743F" w:rsidRPr="008A7BD7">
        <w:rPr>
          <w:rFonts w:ascii="Cambria" w:eastAsia="Montserrat" w:hAnsi="Cambria" w:cs="Montserrat"/>
          <w:sz w:val="20"/>
          <w:szCs w:val="20"/>
        </w:rPr>
        <w:t>ed a total of</w:t>
      </w:r>
      <w:r w:rsidR="00F97F2A" w:rsidRPr="008A7BD7">
        <w:rPr>
          <w:rFonts w:ascii="Cambria" w:eastAsia="Montserrat" w:hAnsi="Cambria" w:cs="Montserrat"/>
          <w:sz w:val="20"/>
          <w:szCs w:val="20"/>
        </w:rPr>
        <w:t xml:space="preserve"> 566,183 dos</w:t>
      </w:r>
      <w:r w:rsidR="00A1743F" w:rsidRPr="008A7BD7">
        <w:rPr>
          <w:rFonts w:ascii="Cambria" w:eastAsia="Montserrat" w:hAnsi="Cambria" w:cs="Montserrat"/>
          <w:sz w:val="20"/>
          <w:szCs w:val="20"/>
        </w:rPr>
        <w:t>e</w:t>
      </w:r>
      <w:r w:rsidR="00F97F2A" w:rsidRPr="008A7BD7">
        <w:rPr>
          <w:rFonts w:ascii="Cambria" w:eastAsia="Montserrat" w:hAnsi="Cambria" w:cs="Montserrat"/>
          <w:sz w:val="20"/>
          <w:szCs w:val="20"/>
        </w:rPr>
        <w:t xml:space="preserve">s; </w:t>
      </w:r>
      <w:r w:rsidR="00A1743F" w:rsidRPr="008A7BD7">
        <w:rPr>
          <w:rFonts w:ascii="Cambria" w:eastAsia="Montserrat" w:hAnsi="Cambria" w:cs="Montserrat"/>
          <w:sz w:val="20"/>
          <w:szCs w:val="20"/>
        </w:rPr>
        <w:t xml:space="preserve">of those, </w:t>
      </w:r>
      <w:r w:rsidR="00F97F2A" w:rsidRPr="008A7BD7">
        <w:rPr>
          <w:rFonts w:ascii="Cambria" w:eastAsia="Montserrat" w:hAnsi="Cambria" w:cs="Montserrat"/>
          <w:sz w:val="20"/>
          <w:szCs w:val="20"/>
        </w:rPr>
        <w:t xml:space="preserve">362,994 </w:t>
      </w:r>
      <w:r w:rsidR="00A1743F" w:rsidRPr="008A7BD7">
        <w:rPr>
          <w:rFonts w:ascii="Cambria" w:eastAsia="Montserrat" w:hAnsi="Cambria" w:cs="Montserrat"/>
          <w:sz w:val="20"/>
          <w:szCs w:val="20"/>
        </w:rPr>
        <w:t xml:space="preserve">were first doses and </w:t>
      </w:r>
      <w:r w:rsidR="00F97F2A" w:rsidRPr="008A7BD7">
        <w:rPr>
          <w:rFonts w:ascii="Cambria" w:eastAsia="Montserrat" w:hAnsi="Cambria" w:cs="Montserrat"/>
          <w:sz w:val="20"/>
          <w:szCs w:val="20"/>
        </w:rPr>
        <w:t xml:space="preserve">203,189 </w:t>
      </w:r>
      <w:r w:rsidR="00A1743F" w:rsidRPr="008A7BD7">
        <w:rPr>
          <w:rFonts w:ascii="Cambria" w:eastAsia="Montserrat" w:hAnsi="Cambria" w:cs="Montserrat"/>
          <w:sz w:val="20"/>
          <w:szCs w:val="20"/>
        </w:rPr>
        <w:t xml:space="preserve">were second doses of </w:t>
      </w:r>
      <w:bookmarkStart w:id="4" w:name="_Hlk94801462"/>
      <w:r w:rsidR="00A1743F" w:rsidRPr="008A7BD7">
        <w:rPr>
          <w:rFonts w:ascii="Cambria" w:eastAsia="Montserrat" w:hAnsi="Cambria" w:cs="Montserrat"/>
          <w:sz w:val="20"/>
          <w:szCs w:val="20"/>
        </w:rPr>
        <w:t xml:space="preserve">the </w:t>
      </w:r>
      <w:r w:rsidR="009676CE" w:rsidRPr="008A7BD7">
        <w:rPr>
          <w:rFonts w:ascii="Cambria" w:eastAsia="Montserrat" w:hAnsi="Cambria" w:cs="Montserrat"/>
          <w:sz w:val="20"/>
          <w:szCs w:val="20"/>
        </w:rPr>
        <w:t xml:space="preserve">currently recommended </w:t>
      </w:r>
      <w:r w:rsidR="00A1743F" w:rsidRPr="008A7BD7">
        <w:rPr>
          <w:rFonts w:ascii="Cambria" w:eastAsia="Montserrat" w:hAnsi="Cambria" w:cs="Montserrat"/>
          <w:sz w:val="20"/>
          <w:szCs w:val="20"/>
        </w:rPr>
        <w:t>vaccination regime</w:t>
      </w:r>
      <w:r w:rsidR="009676CE" w:rsidRPr="008A7BD7">
        <w:rPr>
          <w:rFonts w:ascii="Cambria" w:eastAsia="Montserrat" w:hAnsi="Cambria" w:cs="Montserrat"/>
          <w:sz w:val="20"/>
          <w:szCs w:val="20"/>
        </w:rPr>
        <w:t>n</w:t>
      </w:r>
      <w:r w:rsidR="00A1743F" w:rsidRPr="008A7BD7">
        <w:rPr>
          <w:rFonts w:ascii="Cambria" w:eastAsia="Montserrat" w:hAnsi="Cambria" w:cs="Montserrat"/>
          <w:sz w:val="20"/>
          <w:szCs w:val="20"/>
        </w:rPr>
        <w:t>s</w:t>
      </w:r>
      <w:bookmarkEnd w:id="4"/>
      <w:r w:rsidR="00A1743F" w:rsidRPr="008A7BD7">
        <w:rPr>
          <w:rFonts w:ascii="Cambria" w:eastAsia="Montserrat" w:hAnsi="Cambria" w:cs="Montserrat"/>
          <w:sz w:val="20"/>
          <w:szCs w:val="20"/>
        </w:rPr>
        <w:t>.</w:t>
      </w:r>
      <w:r w:rsidR="009676CE" w:rsidRPr="008A7BD7">
        <w:rPr>
          <w:rFonts w:ascii="Cambria" w:eastAsia="Montserrat" w:hAnsi="Cambria" w:cs="Montserrat"/>
          <w:sz w:val="20"/>
          <w:szCs w:val="20"/>
        </w:rPr>
        <w:t xml:space="preserve"> </w:t>
      </w:r>
      <w:r w:rsidR="00A1743F" w:rsidRPr="008A7BD7">
        <w:rPr>
          <w:rFonts w:ascii="Cambria" w:eastAsia="Montserrat" w:hAnsi="Cambria" w:cs="Montserrat"/>
          <w:sz w:val="20"/>
          <w:szCs w:val="20"/>
        </w:rPr>
        <w:t>Of the doses</w:t>
      </w:r>
      <w:r w:rsidR="009676CE" w:rsidRPr="008A7BD7">
        <w:rPr>
          <w:rFonts w:ascii="Cambria" w:eastAsia="Montserrat" w:hAnsi="Cambria" w:cs="Montserrat"/>
          <w:sz w:val="20"/>
          <w:szCs w:val="20"/>
        </w:rPr>
        <w:t xml:space="preserve"> </w:t>
      </w:r>
      <w:r w:rsidR="00A1743F" w:rsidRPr="008A7BD7">
        <w:rPr>
          <w:rFonts w:ascii="Cambria" w:eastAsia="Montserrat" w:hAnsi="Cambria" w:cs="Montserrat"/>
          <w:sz w:val="20"/>
          <w:szCs w:val="20"/>
        </w:rPr>
        <w:t xml:space="preserve">administered, </w:t>
      </w:r>
      <w:r w:rsidR="00F97F2A" w:rsidRPr="008A7BD7">
        <w:rPr>
          <w:rFonts w:ascii="Cambria" w:eastAsia="Montserrat" w:hAnsi="Cambria" w:cs="Montserrat"/>
          <w:sz w:val="20"/>
          <w:szCs w:val="20"/>
        </w:rPr>
        <w:t xml:space="preserve">“52.74% </w:t>
      </w:r>
      <w:r w:rsidR="00A1743F" w:rsidRPr="008A7BD7">
        <w:rPr>
          <w:rFonts w:ascii="Cambria" w:eastAsia="Montserrat" w:hAnsi="Cambria" w:cs="Montserrat"/>
          <w:sz w:val="20"/>
          <w:szCs w:val="20"/>
        </w:rPr>
        <w:t xml:space="preserve">were administered to males and </w:t>
      </w:r>
      <w:r w:rsidR="00F97F2A" w:rsidRPr="008A7BD7">
        <w:rPr>
          <w:rFonts w:ascii="Cambria" w:eastAsia="Montserrat" w:hAnsi="Cambria" w:cs="Montserrat"/>
          <w:sz w:val="20"/>
          <w:szCs w:val="20"/>
        </w:rPr>
        <w:t xml:space="preserve">47.26% </w:t>
      </w:r>
      <w:r w:rsidR="00A1743F" w:rsidRPr="008A7BD7">
        <w:rPr>
          <w:rFonts w:ascii="Cambria" w:eastAsia="Montserrat" w:hAnsi="Cambria" w:cs="Montserrat"/>
          <w:sz w:val="20"/>
          <w:szCs w:val="20"/>
        </w:rPr>
        <w:t>to females. Likewise, the vaccines have been adminis</w:t>
      </w:r>
      <w:r w:rsidR="009676CE" w:rsidRPr="008A7BD7">
        <w:rPr>
          <w:rFonts w:ascii="Cambria" w:eastAsia="Montserrat" w:hAnsi="Cambria" w:cs="Montserrat"/>
          <w:sz w:val="20"/>
          <w:szCs w:val="20"/>
        </w:rPr>
        <w:t>ter</w:t>
      </w:r>
      <w:r w:rsidR="00A1743F" w:rsidRPr="008A7BD7">
        <w:rPr>
          <w:rFonts w:ascii="Cambria" w:eastAsia="Montserrat" w:hAnsi="Cambria" w:cs="Montserrat"/>
          <w:sz w:val="20"/>
          <w:szCs w:val="20"/>
        </w:rPr>
        <w:t xml:space="preserve">ed as the phases and sub-phases of the National Plan for Vaccination against </w:t>
      </w:r>
      <w:r w:rsidR="00F97F2A" w:rsidRPr="008A7BD7">
        <w:rPr>
          <w:rFonts w:ascii="Cambria" w:eastAsia="Montserrat" w:hAnsi="Cambria" w:cs="Montserrat"/>
          <w:sz w:val="20"/>
          <w:szCs w:val="20"/>
        </w:rPr>
        <w:t>COVID-19</w:t>
      </w:r>
      <w:r w:rsidR="00A1743F" w:rsidRPr="008A7BD7">
        <w:rPr>
          <w:rFonts w:ascii="Cambria" w:eastAsia="Montserrat" w:hAnsi="Cambria" w:cs="Montserrat"/>
          <w:sz w:val="20"/>
          <w:szCs w:val="20"/>
        </w:rPr>
        <w:t xml:space="preserve"> have </w:t>
      </w:r>
      <w:r w:rsidR="009676CE" w:rsidRPr="008A7BD7">
        <w:rPr>
          <w:rFonts w:ascii="Cambria" w:eastAsia="Montserrat" w:hAnsi="Cambria" w:cs="Montserrat"/>
          <w:sz w:val="20"/>
          <w:szCs w:val="20"/>
        </w:rPr>
        <w:t>been launched</w:t>
      </w:r>
      <w:r w:rsidR="00A1743F" w:rsidRPr="008A7BD7">
        <w:rPr>
          <w:rFonts w:ascii="Cambria" w:eastAsia="Montserrat" w:hAnsi="Cambria" w:cs="Montserrat"/>
          <w:sz w:val="20"/>
          <w:szCs w:val="20"/>
        </w:rPr>
        <w:t>.</w:t>
      </w:r>
      <w:r w:rsidR="00F97F2A" w:rsidRPr="008A7BD7">
        <w:rPr>
          <w:rFonts w:ascii="Cambria" w:eastAsia="Montserrat" w:hAnsi="Cambria" w:cs="Montserrat"/>
          <w:sz w:val="20"/>
          <w:szCs w:val="20"/>
        </w:rPr>
        <w:t xml:space="preserve">” </w:t>
      </w:r>
      <w:r w:rsidR="00A1743F" w:rsidRPr="008A7BD7">
        <w:rPr>
          <w:rFonts w:ascii="Cambria" w:eastAsia="Montserrat" w:hAnsi="Cambria" w:cs="Montserrat"/>
          <w:sz w:val="20"/>
          <w:szCs w:val="20"/>
        </w:rPr>
        <w:t>The State further noted that since the beginning of the pandemic, the Guatemalan Social Security Institute has carried out different campaigns to counter disinformation about vaccines and ensure access to appropriate information.</w:t>
      </w:r>
      <w:r w:rsidR="00F97F2A" w:rsidRPr="008A7BD7">
        <w:rPr>
          <w:rStyle w:val="FootnoteReference"/>
          <w:rFonts w:ascii="Cambria" w:eastAsiaTheme="minorEastAsia" w:hAnsi="Cambria"/>
          <w:sz w:val="20"/>
          <w:szCs w:val="20"/>
          <w:lang w:val="es-US"/>
        </w:rPr>
        <w:footnoteReference w:id="192"/>
      </w:r>
    </w:p>
    <w:p w14:paraId="399AEB25" w14:textId="77777777" w:rsidR="00E0555A" w:rsidRPr="008A7BD7" w:rsidRDefault="00E0555A" w:rsidP="00E0555A">
      <w:pPr>
        <w:ind w:left="360"/>
        <w:jc w:val="both"/>
        <w:rPr>
          <w:rFonts w:ascii="Cambria" w:hAnsi="Cambria"/>
          <w:sz w:val="20"/>
          <w:szCs w:val="20"/>
        </w:rPr>
      </w:pPr>
    </w:p>
    <w:p w14:paraId="073BC8C8" w14:textId="5ACE4395" w:rsidR="00E0555A" w:rsidRPr="008A7BD7" w:rsidRDefault="00E32F9C" w:rsidP="003D3059">
      <w:pPr>
        <w:numPr>
          <w:ilvl w:val="0"/>
          <w:numId w:val="2"/>
        </w:numPr>
        <w:ind w:left="0" w:firstLine="720"/>
        <w:jc w:val="both"/>
        <w:rPr>
          <w:sz w:val="20"/>
          <w:szCs w:val="20"/>
        </w:rPr>
      </w:pPr>
      <w:r w:rsidRPr="008A7BD7">
        <w:rPr>
          <w:rFonts w:ascii="Cambria" w:hAnsi="Cambria"/>
          <w:sz w:val="20"/>
          <w:szCs w:val="20"/>
        </w:rPr>
        <w:t xml:space="preserve">Additionally, the Commission and </w:t>
      </w:r>
      <w:r w:rsidR="00BE08B5" w:rsidRPr="008A7BD7">
        <w:rPr>
          <w:rFonts w:ascii="Cambria" w:hAnsi="Cambria"/>
          <w:sz w:val="20"/>
          <w:szCs w:val="20"/>
        </w:rPr>
        <w:t xml:space="preserve">REDESCA </w:t>
      </w:r>
      <w:r w:rsidRPr="008A7BD7">
        <w:rPr>
          <w:rFonts w:ascii="Cambria" w:hAnsi="Cambria"/>
          <w:sz w:val="20"/>
          <w:szCs w:val="20"/>
        </w:rPr>
        <w:t>have received information regarding certain factors said to be noticeably limiting the effective enjoyment of the rights of health</w:t>
      </w:r>
      <w:r w:rsidR="007A4F12" w:rsidRPr="008A7BD7">
        <w:rPr>
          <w:rFonts w:ascii="Cambria" w:hAnsi="Cambria"/>
          <w:sz w:val="20"/>
          <w:szCs w:val="20"/>
        </w:rPr>
        <w:t>-</w:t>
      </w:r>
      <w:r w:rsidRPr="008A7BD7">
        <w:rPr>
          <w:rFonts w:ascii="Cambria" w:hAnsi="Cambria"/>
          <w:sz w:val="20"/>
          <w:szCs w:val="20"/>
        </w:rPr>
        <w:t xml:space="preserve">care workers. According to publicly available information, the </w:t>
      </w:r>
      <w:r w:rsidR="00C92905" w:rsidRPr="008A7BD7">
        <w:rPr>
          <w:rFonts w:ascii="Cambria" w:hAnsi="Cambria"/>
          <w:sz w:val="20"/>
          <w:szCs w:val="20"/>
        </w:rPr>
        <w:t xml:space="preserve">saturation of hospitals as a result of </w:t>
      </w:r>
      <w:r w:rsidR="00E0555A" w:rsidRPr="008A7BD7">
        <w:rPr>
          <w:rFonts w:ascii="Cambria" w:hAnsi="Cambria"/>
          <w:sz w:val="20"/>
          <w:szCs w:val="20"/>
        </w:rPr>
        <w:t>COVID-19</w:t>
      </w:r>
      <w:r w:rsidR="00C92905" w:rsidRPr="008A7BD7">
        <w:rPr>
          <w:rFonts w:ascii="Cambria" w:hAnsi="Cambria"/>
          <w:sz w:val="20"/>
          <w:szCs w:val="20"/>
        </w:rPr>
        <w:t xml:space="preserve"> cases, along with low salaries and the lack of better </w:t>
      </w:r>
      <w:r w:rsidR="00DE48FE" w:rsidRPr="008A7BD7">
        <w:rPr>
          <w:rFonts w:ascii="Cambria" w:hAnsi="Cambria"/>
          <w:sz w:val="20"/>
          <w:szCs w:val="20"/>
        </w:rPr>
        <w:t>labor protections</w:t>
      </w:r>
      <w:r w:rsidR="00C92905" w:rsidRPr="008A7BD7">
        <w:rPr>
          <w:rFonts w:ascii="Cambria" w:hAnsi="Cambria"/>
          <w:sz w:val="20"/>
          <w:szCs w:val="20"/>
        </w:rPr>
        <w:t xml:space="preserve">, have led health professionals to leave positions in public service and </w:t>
      </w:r>
      <w:r w:rsidR="00E135A2" w:rsidRPr="008A7BD7">
        <w:rPr>
          <w:rFonts w:ascii="Cambria" w:hAnsi="Cambria"/>
          <w:sz w:val="20"/>
          <w:szCs w:val="20"/>
        </w:rPr>
        <w:t>move</w:t>
      </w:r>
      <w:r w:rsidR="00C92905" w:rsidRPr="008A7BD7">
        <w:rPr>
          <w:rFonts w:ascii="Cambria" w:hAnsi="Cambria"/>
          <w:sz w:val="20"/>
          <w:szCs w:val="20"/>
        </w:rPr>
        <w:t xml:space="preserve"> to private hospitals</w:t>
      </w:r>
      <w:r w:rsidR="00E0555A" w:rsidRPr="008A7BD7">
        <w:rPr>
          <w:rFonts w:ascii="Cambria" w:hAnsi="Cambria"/>
          <w:sz w:val="20"/>
          <w:szCs w:val="20"/>
        </w:rPr>
        <w:t xml:space="preserve">, </w:t>
      </w:r>
      <w:r w:rsidR="00C92905" w:rsidRPr="008A7BD7">
        <w:rPr>
          <w:rFonts w:ascii="Cambria" w:hAnsi="Cambria"/>
          <w:sz w:val="20"/>
          <w:szCs w:val="20"/>
        </w:rPr>
        <w:t>leading to an even bigger drop in the quality standards of medical service in public hospitals.</w:t>
      </w:r>
      <w:r w:rsidR="00E0555A" w:rsidRPr="008A7BD7">
        <w:rPr>
          <w:rFonts w:ascii="Cambria" w:hAnsi="Cambria"/>
          <w:sz w:val="20"/>
          <w:szCs w:val="20"/>
          <w:vertAlign w:val="superscript"/>
        </w:rPr>
        <w:footnoteReference w:id="193"/>
      </w:r>
      <w:r w:rsidR="00C92905" w:rsidRPr="008A7BD7">
        <w:rPr>
          <w:rFonts w:ascii="Cambria" w:hAnsi="Cambria"/>
          <w:sz w:val="20"/>
          <w:szCs w:val="20"/>
        </w:rPr>
        <w:t xml:space="preserve"> </w:t>
      </w:r>
      <w:r w:rsidR="001C410E" w:rsidRPr="008A7BD7">
        <w:rPr>
          <w:rFonts w:ascii="Cambria" w:hAnsi="Cambria"/>
          <w:sz w:val="20"/>
          <w:szCs w:val="20"/>
        </w:rPr>
        <w:t>Mindful of that</w:t>
      </w:r>
      <w:r w:rsidR="00E135A2" w:rsidRPr="008A7BD7">
        <w:rPr>
          <w:rFonts w:ascii="Cambria" w:hAnsi="Cambria"/>
          <w:sz w:val="20"/>
          <w:szCs w:val="20"/>
        </w:rPr>
        <w:t xml:space="preserve"> situation</w:t>
      </w:r>
      <w:r w:rsidR="001C410E" w:rsidRPr="008A7BD7">
        <w:rPr>
          <w:rFonts w:ascii="Cambria" w:hAnsi="Cambria"/>
          <w:sz w:val="20"/>
          <w:szCs w:val="20"/>
        </w:rPr>
        <w:t xml:space="preserve">, the Commission and </w:t>
      </w:r>
      <w:r w:rsidR="00BE08B5" w:rsidRPr="008A7BD7">
        <w:rPr>
          <w:rFonts w:ascii="Cambria" w:hAnsi="Cambria"/>
          <w:sz w:val="20"/>
          <w:szCs w:val="20"/>
        </w:rPr>
        <w:t xml:space="preserve">REDESCA </w:t>
      </w:r>
      <w:r w:rsidR="00300851" w:rsidRPr="008A7BD7">
        <w:rPr>
          <w:rFonts w:ascii="Cambria" w:hAnsi="Cambria"/>
          <w:sz w:val="20"/>
          <w:szCs w:val="20"/>
        </w:rPr>
        <w:t>call on the country’s authorities to improve the labor conditions of health</w:t>
      </w:r>
      <w:r w:rsidR="00DC4EE9" w:rsidRPr="008A7BD7">
        <w:rPr>
          <w:rFonts w:ascii="Cambria" w:hAnsi="Cambria"/>
          <w:sz w:val="20"/>
          <w:szCs w:val="20"/>
        </w:rPr>
        <w:t>-</w:t>
      </w:r>
      <w:r w:rsidR="00300851" w:rsidRPr="008A7BD7">
        <w:rPr>
          <w:rFonts w:ascii="Cambria" w:hAnsi="Cambria"/>
          <w:sz w:val="20"/>
          <w:szCs w:val="20"/>
        </w:rPr>
        <w:t>care workers in hospitals. In that regard, they call to mind that as Resolution</w:t>
      </w:r>
      <w:r w:rsidR="00E0555A" w:rsidRPr="008A7BD7">
        <w:rPr>
          <w:rFonts w:ascii="Cambria" w:hAnsi="Cambria"/>
          <w:sz w:val="20"/>
          <w:szCs w:val="20"/>
        </w:rPr>
        <w:t xml:space="preserve"> 4/20 </w:t>
      </w:r>
      <w:r w:rsidR="00300851" w:rsidRPr="008A7BD7">
        <w:rPr>
          <w:rFonts w:ascii="Cambria" w:hAnsi="Cambria"/>
          <w:sz w:val="20"/>
          <w:szCs w:val="20"/>
        </w:rPr>
        <w:t>of the IACHR indicates, States have the obligation, especially in the context of the pandemic,</w:t>
      </w:r>
      <w:r w:rsidR="005F5170" w:rsidRPr="008A7BD7">
        <w:rPr>
          <w:rFonts w:ascii="Cambria" w:hAnsi="Cambria"/>
          <w:sz w:val="20"/>
          <w:szCs w:val="20"/>
        </w:rPr>
        <w:t xml:space="preserve"> to fully guarantee the labor rights of health</w:t>
      </w:r>
      <w:r w:rsidR="00DC4EE9" w:rsidRPr="008A7BD7">
        <w:rPr>
          <w:rFonts w:ascii="Cambria" w:hAnsi="Cambria"/>
          <w:sz w:val="20"/>
          <w:szCs w:val="20"/>
        </w:rPr>
        <w:t>-</w:t>
      </w:r>
      <w:r w:rsidR="005F5170" w:rsidRPr="008A7BD7">
        <w:rPr>
          <w:rFonts w:ascii="Cambria" w:hAnsi="Cambria"/>
          <w:sz w:val="20"/>
          <w:szCs w:val="20"/>
        </w:rPr>
        <w:t>care workers and other caregivers</w:t>
      </w:r>
      <w:r w:rsidR="00E0555A" w:rsidRPr="008A7BD7">
        <w:rPr>
          <w:rFonts w:ascii="Cambria" w:hAnsi="Cambria"/>
          <w:sz w:val="20"/>
          <w:szCs w:val="20"/>
        </w:rPr>
        <w:t xml:space="preserve">. </w:t>
      </w:r>
    </w:p>
    <w:p w14:paraId="1B924812" w14:textId="77777777" w:rsidR="00E0555A" w:rsidRPr="008A7BD7" w:rsidRDefault="00E0555A" w:rsidP="00E0555A">
      <w:pPr>
        <w:pStyle w:val="ListParagraph"/>
        <w:rPr>
          <w:rFonts w:ascii="Cambria" w:hAnsi="Cambria"/>
          <w:sz w:val="20"/>
          <w:szCs w:val="20"/>
        </w:rPr>
      </w:pPr>
    </w:p>
    <w:p w14:paraId="55E3A2D8" w14:textId="4494D590" w:rsidR="00E0555A" w:rsidRPr="008A7BD7" w:rsidRDefault="005F5170" w:rsidP="003D3059">
      <w:pPr>
        <w:numPr>
          <w:ilvl w:val="0"/>
          <w:numId w:val="2"/>
        </w:numPr>
        <w:ind w:left="0" w:firstLine="720"/>
        <w:jc w:val="both"/>
        <w:rPr>
          <w:rFonts w:ascii="Cambria" w:eastAsiaTheme="minorEastAsia" w:hAnsi="Cambria"/>
          <w:sz w:val="20"/>
          <w:szCs w:val="20"/>
        </w:rPr>
      </w:pPr>
      <w:r w:rsidRPr="008A7BD7">
        <w:rPr>
          <w:rFonts w:ascii="Cambria" w:hAnsi="Cambria"/>
          <w:sz w:val="20"/>
          <w:szCs w:val="20"/>
        </w:rPr>
        <w:t xml:space="preserve">The Commission and </w:t>
      </w:r>
      <w:r w:rsidR="00BE08B5" w:rsidRPr="008A7BD7">
        <w:rPr>
          <w:rFonts w:ascii="Cambria" w:hAnsi="Cambria"/>
          <w:sz w:val="20"/>
          <w:szCs w:val="20"/>
        </w:rPr>
        <w:t xml:space="preserve">REDESCA </w:t>
      </w:r>
      <w:r w:rsidRPr="008A7BD7">
        <w:rPr>
          <w:rFonts w:ascii="Cambria" w:hAnsi="Cambria"/>
          <w:sz w:val="20"/>
          <w:szCs w:val="20"/>
        </w:rPr>
        <w:t xml:space="preserve">also </w:t>
      </w:r>
      <w:r w:rsidR="003D3780" w:rsidRPr="008A7BD7">
        <w:rPr>
          <w:rFonts w:ascii="Cambria" w:hAnsi="Cambria"/>
          <w:sz w:val="20"/>
          <w:szCs w:val="20"/>
        </w:rPr>
        <w:t>draw attention to</w:t>
      </w:r>
      <w:r w:rsidRPr="008A7BD7">
        <w:rPr>
          <w:rFonts w:ascii="Cambria" w:hAnsi="Cambria"/>
          <w:sz w:val="20"/>
          <w:szCs w:val="20"/>
        </w:rPr>
        <w:t xml:space="preserve"> the consequences that the climate emergency could</w:t>
      </w:r>
      <w:r w:rsidR="00E0555A" w:rsidRPr="008A7BD7">
        <w:rPr>
          <w:rFonts w:ascii="Cambria" w:hAnsi="Cambria"/>
          <w:sz w:val="20"/>
          <w:szCs w:val="20"/>
        </w:rPr>
        <w:t xml:space="preserve"> </w:t>
      </w:r>
      <w:r w:rsidRPr="008A7BD7">
        <w:rPr>
          <w:rFonts w:ascii="Cambria" w:hAnsi="Cambria"/>
          <w:sz w:val="20"/>
          <w:szCs w:val="20"/>
        </w:rPr>
        <w:t xml:space="preserve">bring to the country, and </w:t>
      </w:r>
      <w:r w:rsidR="003D3780" w:rsidRPr="008A7BD7">
        <w:rPr>
          <w:rFonts w:ascii="Cambria" w:hAnsi="Cambria"/>
          <w:sz w:val="20"/>
          <w:szCs w:val="20"/>
        </w:rPr>
        <w:t xml:space="preserve">take note of </w:t>
      </w:r>
      <w:r w:rsidRPr="008A7BD7">
        <w:rPr>
          <w:rFonts w:ascii="Cambria" w:hAnsi="Cambria"/>
          <w:sz w:val="20"/>
          <w:szCs w:val="20"/>
        </w:rPr>
        <w:t xml:space="preserve">the statement issued </w:t>
      </w:r>
      <w:r w:rsidR="00541EC9" w:rsidRPr="008A7BD7">
        <w:rPr>
          <w:rFonts w:ascii="Cambria" w:hAnsi="Cambria"/>
          <w:sz w:val="20"/>
          <w:szCs w:val="20"/>
        </w:rPr>
        <w:t xml:space="preserve">on August 18, 2021, </w:t>
      </w:r>
      <w:r w:rsidRPr="008A7BD7">
        <w:rPr>
          <w:rFonts w:ascii="Cambria" w:hAnsi="Cambria"/>
          <w:sz w:val="20"/>
          <w:szCs w:val="20"/>
        </w:rPr>
        <w:t>by</w:t>
      </w:r>
      <w:r w:rsidR="00E0555A" w:rsidRPr="008A7BD7">
        <w:rPr>
          <w:rFonts w:ascii="Cambria" w:hAnsi="Cambria"/>
          <w:sz w:val="20"/>
          <w:szCs w:val="20"/>
        </w:rPr>
        <w:t xml:space="preserve"> </w:t>
      </w:r>
      <w:proofErr w:type="spellStart"/>
      <w:r w:rsidR="00E0555A" w:rsidRPr="008A7BD7">
        <w:rPr>
          <w:rFonts w:ascii="Cambria" w:hAnsi="Cambria"/>
          <w:sz w:val="20"/>
          <w:szCs w:val="20"/>
        </w:rPr>
        <w:t>Foro</w:t>
      </w:r>
      <w:proofErr w:type="spellEnd"/>
      <w:r w:rsidR="00E0555A" w:rsidRPr="008A7BD7">
        <w:rPr>
          <w:rFonts w:ascii="Cambria" w:hAnsi="Cambria"/>
          <w:sz w:val="20"/>
          <w:szCs w:val="20"/>
        </w:rPr>
        <w:t xml:space="preserve"> </w:t>
      </w:r>
      <w:r w:rsidR="00E0555A" w:rsidRPr="008A7BD7">
        <w:rPr>
          <w:rFonts w:ascii="Cambria" w:hAnsi="Cambria"/>
          <w:sz w:val="20"/>
          <w:szCs w:val="20"/>
        </w:rPr>
        <w:lastRenderedPageBreak/>
        <w:t>Guatemala</w:t>
      </w:r>
      <w:r w:rsidRPr="008A7BD7">
        <w:rPr>
          <w:rFonts w:ascii="Cambria" w:hAnsi="Cambria"/>
          <w:sz w:val="20"/>
          <w:szCs w:val="20"/>
        </w:rPr>
        <w:t>,</w:t>
      </w:r>
      <w:r w:rsidR="00E0555A" w:rsidRPr="008A7BD7">
        <w:rPr>
          <w:rFonts w:ascii="Cambria" w:hAnsi="Cambria"/>
          <w:sz w:val="20"/>
          <w:szCs w:val="20"/>
        </w:rPr>
        <w:t xml:space="preserve"> “</w:t>
      </w:r>
      <w:r w:rsidR="00E0555A" w:rsidRPr="008A7BD7">
        <w:rPr>
          <w:rFonts w:ascii="Cambria" w:hAnsi="Cambria"/>
          <w:i/>
          <w:iCs/>
          <w:sz w:val="20"/>
          <w:szCs w:val="20"/>
        </w:rPr>
        <w:t>¡</w:t>
      </w:r>
      <w:proofErr w:type="spellStart"/>
      <w:r w:rsidR="00E0555A" w:rsidRPr="008A7BD7">
        <w:rPr>
          <w:rFonts w:ascii="Cambria" w:hAnsi="Cambria"/>
          <w:i/>
          <w:iCs/>
          <w:sz w:val="20"/>
          <w:szCs w:val="20"/>
        </w:rPr>
        <w:t>Unida</w:t>
      </w:r>
      <w:proofErr w:type="spellEnd"/>
      <w:r w:rsidR="00E0555A" w:rsidRPr="008A7BD7">
        <w:rPr>
          <w:rFonts w:ascii="Cambria" w:hAnsi="Cambria"/>
          <w:i/>
          <w:iCs/>
          <w:sz w:val="20"/>
          <w:szCs w:val="20"/>
        </w:rPr>
        <w:t xml:space="preserve"> </w:t>
      </w:r>
      <w:proofErr w:type="spellStart"/>
      <w:r w:rsidR="00E0555A" w:rsidRPr="008A7BD7">
        <w:rPr>
          <w:rFonts w:ascii="Cambria" w:hAnsi="Cambria"/>
          <w:i/>
          <w:iCs/>
          <w:sz w:val="20"/>
          <w:szCs w:val="20"/>
        </w:rPr>
        <w:t>por</w:t>
      </w:r>
      <w:proofErr w:type="spellEnd"/>
      <w:r w:rsidR="00E0555A" w:rsidRPr="008A7BD7">
        <w:rPr>
          <w:rFonts w:ascii="Cambria" w:hAnsi="Cambria"/>
          <w:i/>
          <w:iCs/>
          <w:sz w:val="20"/>
          <w:szCs w:val="20"/>
        </w:rPr>
        <w:t xml:space="preserve"> la </w:t>
      </w:r>
      <w:proofErr w:type="spellStart"/>
      <w:r w:rsidR="00E0555A" w:rsidRPr="008A7BD7">
        <w:rPr>
          <w:rFonts w:ascii="Cambria" w:hAnsi="Cambria"/>
          <w:i/>
          <w:iCs/>
          <w:sz w:val="20"/>
          <w:szCs w:val="20"/>
        </w:rPr>
        <w:t>vida</w:t>
      </w:r>
      <w:proofErr w:type="spellEnd"/>
      <w:r w:rsidR="00E0555A" w:rsidRPr="008A7BD7">
        <w:rPr>
          <w:rFonts w:ascii="Cambria" w:hAnsi="Cambria"/>
          <w:i/>
          <w:iCs/>
          <w:sz w:val="20"/>
          <w:szCs w:val="20"/>
        </w:rPr>
        <w:t>!</w:t>
      </w:r>
      <w:r w:rsidR="00E0555A" w:rsidRPr="008A7BD7">
        <w:rPr>
          <w:rFonts w:ascii="Cambria" w:hAnsi="Cambria"/>
          <w:sz w:val="20"/>
          <w:szCs w:val="20"/>
        </w:rPr>
        <w:t>”</w:t>
      </w:r>
      <w:r w:rsidRPr="008A7BD7">
        <w:rPr>
          <w:rFonts w:ascii="Cambria" w:hAnsi="Cambria"/>
          <w:sz w:val="20"/>
          <w:szCs w:val="20"/>
        </w:rPr>
        <w:t xml:space="preserve"> </w:t>
      </w:r>
      <w:r w:rsidR="008626D4" w:rsidRPr="008A7BD7">
        <w:rPr>
          <w:rFonts w:ascii="Cambria" w:hAnsi="Cambria"/>
          <w:sz w:val="20"/>
          <w:szCs w:val="20"/>
        </w:rPr>
        <w:t>[</w:t>
      </w:r>
      <w:r w:rsidRPr="008A7BD7">
        <w:rPr>
          <w:rFonts w:ascii="Cambria" w:hAnsi="Cambria"/>
          <w:sz w:val="20"/>
          <w:szCs w:val="20"/>
        </w:rPr>
        <w:t>United for Life!</w:t>
      </w:r>
      <w:r w:rsidR="008626D4" w:rsidRPr="008A7BD7">
        <w:rPr>
          <w:rFonts w:ascii="Cambria" w:hAnsi="Cambria"/>
          <w:sz w:val="20"/>
          <w:szCs w:val="20"/>
        </w:rPr>
        <w:t>]</w:t>
      </w:r>
      <w:r w:rsidR="00E0555A" w:rsidRPr="008A7BD7">
        <w:rPr>
          <w:rFonts w:ascii="Cambria" w:hAnsi="Cambria"/>
          <w:sz w:val="20"/>
          <w:szCs w:val="20"/>
        </w:rPr>
        <w:t xml:space="preserve">, </w:t>
      </w:r>
      <w:r w:rsidR="00BA5407" w:rsidRPr="008A7BD7">
        <w:rPr>
          <w:rFonts w:ascii="Cambria" w:hAnsi="Cambria"/>
          <w:sz w:val="20"/>
          <w:szCs w:val="20"/>
        </w:rPr>
        <w:t>recognizing Guatemala’s vulnerability to disasters</w:t>
      </w:r>
      <w:r w:rsidR="00E0555A" w:rsidRPr="008A7BD7">
        <w:rPr>
          <w:rFonts w:ascii="Cambria" w:hAnsi="Cambria"/>
          <w:sz w:val="20"/>
          <w:szCs w:val="20"/>
        </w:rPr>
        <w:t>.</w:t>
      </w:r>
      <w:r w:rsidR="00E0555A" w:rsidRPr="008A7BD7">
        <w:rPr>
          <w:rStyle w:val="FootnoteReference"/>
          <w:rFonts w:ascii="Cambria" w:hAnsi="Cambria"/>
          <w:sz w:val="20"/>
          <w:szCs w:val="20"/>
          <w:lang w:val="es-419"/>
        </w:rPr>
        <w:footnoteReference w:id="194"/>
      </w:r>
      <w:r w:rsidR="00E0555A" w:rsidRPr="008A7BD7">
        <w:rPr>
          <w:rFonts w:ascii="Cambria" w:hAnsi="Cambria"/>
          <w:sz w:val="20"/>
          <w:szCs w:val="20"/>
        </w:rPr>
        <w:t xml:space="preserve"> </w:t>
      </w:r>
      <w:r w:rsidR="00BA5407" w:rsidRPr="008A7BD7">
        <w:rPr>
          <w:rFonts w:ascii="Cambria" w:hAnsi="Cambria"/>
          <w:sz w:val="20"/>
          <w:szCs w:val="20"/>
        </w:rPr>
        <w:t xml:space="preserve">In addition, according to the </w:t>
      </w:r>
      <w:proofErr w:type="spellStart"/>
      <w:r w:rsidR="00BA5407" w:rsidRPr="008A7BD7">
        <w:rPr>
          <w:rFonts w:ascii="Cambria" w:hAnsi="Cambria"/>
          <w:sz w:val="20"/>
          <w:szCs w:val="20"/>
        </w:rPr>
        <w:t>Germanwatch</w:t>
      </w:r>
      <w:proofErr w:type="spellEnd"/>
      <w:r w:rsidR="00BA5407" w:rsidRPr="008A7BD7">
        <w:rPr>
          <w:rFonts w:ascii="Cambria" w:hAnsi="Cambria"/>
          <w:sz w:val="20"/>
          <w:szCs w:val="20"/>
        </w:rPr>
        <w:t xml:space="preserve"> Global Climate Risk Index,</w:t>
      </w:r>
      <w:r w:rsidR="005B38A2" w:rsidRPr="008A7BD7">
        <w:rPr>
          <w:rFonts w:ascii="Cambria" w:hAnsi="Cambria"/>
          <w:sz w:val="20"/>
          <w:szCs w:val="20"/>
        </w:rPr>
        <w:t xml:space="preserve"> </w:t>
      </w:r>
      <w:r w:rsidR="00E0555A" w:rsidRPr="008A7BD7">
        <w:rPr>
          <w:rFonts w:ascii="Cambria" w:hAnsi="Cambria"/>
          <w:sz w:val="20"/>
          <w:szCs w:val="20"/>
        </w:rPr>
        <w:t xml:space="preserve">Guatemala </w:t>
      </w:r>
      <w:r w:rsidR="005B38A2" w:rsidRPr="008A7BD7">
        <w:rPr>
          <w:rFonts w:ascii="Cambria" w:hAnsi="Cambria"/>
          <w:sz w:val="20"/>
          <w:szCs w:val="20"/>
        </w:rPr>
        <w:t xml:space="preserve">was among the </w:t>
      </w:r>
      <w:r w:rsidR="00E0555A" w:rsidRPr="008A7BD7">
        <w:rPr>
          <w:rFonts w:ascii="Cambria" w:hAnsi="Cambria"/>
          <w:sz w:val="20"/>
          <w:szCs w:val="20"/>
        </w:rPr>
        <w:t xml:space="preserve">20 </w:t>
      </w:r>
      <w:r w:rsidR="005B38A2" w:rsidRPr="008A7BD7">
        <w:rPr>
          <w:rFonts w:ascii="Cambria" w:hAnsi="Cambria"/>
          <w:sz w:val="20"/>
          <w:szCs w:val="20"/>
        </w:rPr>
        <w:t xml:space="preserve">countries at highest risk for climate change </w:t>
      </w:r>
      <w:r w:rsidR="00414FF4" w:rsidRPr="008A7BD7">
        <w:rPr>
          <w:rFonts w:ascii="Cambria" w:hAnsi="Cambria"/>
          <w:sz w:val="20"/>
          <w:szCs w:val="20"/>
        </w:rPr>
        <w:t>from</w:t>
      </w:r>
      <w:r w:rsidR="005B38A2" w:rsidRPr="008A7BD7">
        <w:rPr>
          <w:rFonts w:ascii="Cambria" w:hAnsi="Cambria"/>
          <w:sz w:val="20"/>
          <w:szCs w:val="20"/>
        </w:rPr>
        <w:t xml:space="preserve"> </w:t>
      </w:r>
      <w:r w:rsidR="00E0555A" w:rsidRPr="008A7BD7">
        <w:rPr>
          <w:rFonts w:ascii="Cambria" w:hAnsi="Cambria"/>
          <w:sz w:val="20"/>
          <w:szCs w:val="20"/>
        </w:rPr>
        <w:t xml:space="preserve">2000 </w:t>
      </w:r>
      <w:r w:rsidR="00414FF4" w:rsidRPr="008A7BD7">
        <w:rPr>
          <w:rFonts w:ascii="Cambria" w:hAnsi="Cambria"/>
          <w:sz w:val="20"/>
          <w:szCs w:val="20"/>
        </w:rPr>
        <w:t>to</w:t>
      </w:r>
      <w:r w:rsidR="00E0555A" w:rsidRPr="008A7BD7">
        <w:rPr>
          <w:rFonts w:ascii="Cambria" w:hAnsi="Cambria"/>
          <w:sz w:val="20"/>
          <w:szCs w:val="20"/>
        </w:rPr>
        <w:t xml:space="preserve"> 2019.</w:t>
      </w:r>
      <w:r w:rsidR="00E0555A" w:rsidRPr="008A7BD7">
        <w:rPr>
          <w:rStyle w:val="FootnoteReference"/>
          <w:rFonts w:ascii="Cambria" w:hAnsi="Cambria"/>
          <w:sz w:val="20"/>
          <w:szCs w:val="20"/>
          <w:lang w:val="es-419"/>
        </w:rPr>
        <w:footnoteReference w:id="195"/>
      </w:r>
      <w:r w:rsidR="00E0555A" w:rsidRPr="008A7BD7">
        <w:rPr>
          <w:rFonts w:ascii="Cambria" w:hAnsi="Cambria"/>
          <w:sz w:val="20"/>
          <w:szCs w:val="20"/>
        </w:rPr>
        <w:t xml:space="preserve"> </w:t>
      </w:r>
      <w:r w:rsidR="0029151D" w:rsidRPr="008A7BD7">
        <w:rPr>
          <w:rFonts w:ascii="Cambria" w:hAnsi="Cambria"/>
          <w:sz w:val="20"/>
          <w:szCs w:val="20"/>
        </w:rPr>
        <w:t>Thus, f</w:t>
      </w:r>
      <w:r w:rsidR="004D4DE1" w:rsidRPr="008A7BD7">
        <w:rPr>
          <w:rFonts w:ascii="Cambria" w:hAnsi="Cambria"/>
          <w:sz w:val="20"/>
          <w:szCs w:val="20"/>
        </w:rPr>
        <w:t xml:space="preserve">rom a human rights standpoint, any measures that </w:t>
      </w:r>
      <w:r w:rsidR="00E0555A" w:rsidRPr="008A7BD7">
        <w:rPr>
          <w:rFonts w:ascii="Cambria" w:hAnsi="Cambria"/>
          <w:sz w:val="20"/>
          <w:szCs w:val="20"/>
        </w:rPr>
        <w:t xml:space="preserve">Guatemala </w:t>
      </w:r>
      <w:r w:rsidR="004D4DE1" w:rsidRPr="008A7BD7">
        <w:rPr>
          <w:rFonts w:ascii="Cambria" w:hAnsi="Cambria"/>
          <w:sz w:val="20"/>
          <w:szCs w:val="20"/>
        </w:rPr>
        <w:t xml:space="preserve">can adopt to protect its population from the effects of climate change are of maximum urgency. </w:t>
      </w:r>
    </w:p>
    <w:p w14:paraId="18EB1D2D" w14:textId="77777777" w:rsidR="00E0555A" w:rsidRPr="008A7BD7" w:rsidRDefault="00E0555A" w:rsidP="00E0555A">
      <w:pPr>
        <w:pStyle w:val="ListParagraph"/>
        <w:rPr>
          <w:rFonts w:ascii="Cambria" w:hAnsi="Cambria"/>
          <w:sz w:val="20"/>
          <w:szCs w:val="20"/>
        </w:rPr>
      </w:pPr>
    </w:p>
    <w:p w14:paraId="0ECAFF9F" w14:textId="154884C7" w:rsidR="00E0555A" w:rsidRPr="008A7BD7" w:rsidRDefault="00231B85" w:rsidP="003D3059">
      <w:pPr>
        <w:numPr>
          <w:ilvl w:val="0"/>
          <w:numId w:val="2"/>
        </w:numPr>
        <w:ind w:left="0" w:firstLine="720"/>
        <w:jc w:val="both"/>
        <w:rPr>
          <w:rFonts w:ascii="Cambria" w:eastAsiaTheme="minorEastAsia" w:hAnsi="Cambria"/>
          <w:sz w:val="20"/>
          <w:szCs w:val="20"/>
        </w:rPr>
      </w:pPr>
      <w:r w:rsidRPr="008A7BD7">
        <w:rPr>
          <w:rFonts w:ascii="Cambria" w:hAnsi="Cambria"/>
          <w:sz w:val="20"/>
          <w:szCs w:val="20"/>
        </w:rPr>
        <w:t xml:space="preserve">The Commission and </w:t>
      </w:r>
      <w:r w:rsidR="00BE08B5" w:rsidRPr="008A7BD7">
        <w:rPr>
          <w:rFonts w:ascii="Cambria" w:hAnsi="Cambria"/>
          <w:sz w:val="20"/>
          <w:szCs w:val="20"/>
        </w:rPr>
        <w:t xml:space="preserve">REDESCA </w:t>
      </w:r>
      <w:r w:rsidRPr="008A7BD7">
        <w:rPr>
          <w:rFonts w:ascii="Cambria" w:hAnsi="Cambria"/>
          <w:sz w:val="20"/>
          <w:szCs w:val="20"/>
        </w:rPr>
        <w:t xml:space="preserve">are likewise concerned about the availability of water in the country. According to civil society sources, of the total amount of water that can be consumed, only </w:t>
      </w:r>
      <w:r w:rsidR="00E0555A" w:rsidRPr="008A7BD7">
        <w:rPr>
          <w:rFonts w:ascii="Cambria" w:hAnsi="Cambria"/>
          <w:sz w:val="20"/>
          <w:szCs w:val="20"/>
        </w:rPr>
        <w:t xml:space="preserve">2% </w:t>
      </w:r>
      <w:r w:rsidRPr="008A7BD7">
        <w:rPr>
          <w:rFonts w:ascii="Cambria" w:hAnsi="Cambria"/>
          <w:sz w:val="20"/>
          <w:szCs w:val="20"/>
        </w:rPr>
        <w:t xml:space="preserve">is used in homes, while </w:t>
      </w:r>
      <w:r w:rsidR="00E0555A" w:rsidRPr="008A7BD7">
        <w:rPr>
          <w:rFonts w:ascii="Cambria" w:hAnsi="Cambria"/>
          <w:sz w:val="20"/>
          <w:szCs w:val="20"/>
        </w:rPr>
        <w:t xml:space="preserve">39% </w:t>
      </w:r>
      <w:r w:rsidRPr="008A7BD7">
        <w:rPr>
          <w:rFonts w:ascii="Cambria" w:hAnsi="Cambria"/>
          <w:sz w:val="20"/>
          <w:szCs w:val="20"/>
        </w:rPr>
        <w:t>is used in industry</w:t>
      </w:r>
      <w:r w:rsidR="00E0555A" w:rsidRPr="008A7BD7">
        <w:rPr>
          <w:rFonts w:ascii="Cambria" w:hAnsi="Cambria"/>
          <w:sz w:val="20"/>
          <w:szCs w:val="20"/>
        </w:rPr>
        <w:t xml:space="preserve">, 27% </w:t>
      </w:r>
      <w:r w:rsidRPr="008A7BD7">
        <w:rPr>
          <w:rFonts w:ascii="Cambria" w:hAnsi="Cambria"/>
          <w:sz w:val="20"/>
          <w:szCs w:val="20"/>
        </w:rPr>
        <w:t xml:space="preserve">in agriculture, and </w:t>
      </w:r>
      <w:r w:rsidR="00E0555A" w:rsidRPr="008A7BD7">
        <w:rPr>
          <w:rFonts w:ascii="Cambria" w:hAnsi="Cambria"/>
          <w:sz w:val="20"/>
          <w:szCs w:val="20"/>
        </w:rPr>
        <w:t xml:space="preserve">26% </w:t>
      </w:r>
      <w:r w:rsidRPr="008A7BD7">
        <w:rPr>
          <w:rFonts w:ascii="Cambria" w:hAnsi="Cambria"/>
          <w:sz w:val="20"/>
          <w:szCs w:val="20"/>
        </w:rPr>
        <w:t xml:space="preserve">for hydroelectric </w:t>
      </w:r>
      <w:r w:rsidR="009D2FEB" w:rsidRPr="008A7BD7">
        <w:rPr>
          <w:rFonts w:ascii="Cambria" w:hAnsi="Cambria"/>
          <w:sz w:val="20"/>
          <w:szCs w:val="20"/>
        </w:rPr>
        <w:t>plants</w:t>
      </w:r>
      <w:r w:rsidR="00E0555A" w:rsidRPr="008A7BD7">
        <w:rPr>
          <w:rFonts w:ascii="Cambria" w:hAnsi="Cambria"/>
          <w:sz w:val="20"/>
          <w:szCs w:val="20"/>
        </w:rPr>
        <w:t xml:space="preserve">. </w:t>
      </w:r>
      <w:r w:rsidR="00117416" w:rsidRPr="008A7BD7">
        <w:rPr>
          <w:rFonts w:ascii="Cambria" w:hAnsi="Cambria"/>
          <w:sz w:val="20"/>
          <w:szCs w:val="20"/>
        </w:rPr>
        <w:t xml:space="preserve">Although there are </w:t>
      </w:r>
      <w:r w:rsidR="00E0555A" w:rsidRPr="008A7BD7">
        <w:rPr>
          <w:rFonts w:ascii="Cambria" w:hAnsi="Cambria"/>
          <w:sz w:val="20"/>
          <w:szCs w:val="20"/>
        </w:rPr>
        <w:t xml:space="preserve">28 </w:t>
      </w:r>
      <w:r w:rsidR="00117416" w:rsidRPr="008A7BD7">
        <w:rPr>
          <w:rFonts w:ascii="Cambria" w:hAnsi="Cambria"/>
          <w:sz w:val="20"/>
          <w:szCs w:val="20"/>
        </w:rPr>
        <w:t xml:space="preserve">legislative bills </w:t>
      </w:r>
      <w:r w:rsidR="009D2FEB" w:rsidRPr="008A7BD7">
        <w:rPr>
          <w:rFonts w:ascii="Cambria" w:hAnsi="Cambria"/>
          <w:sz w:val="20"/>
          <w:szCs w:val="20"/>
        </w:rPr>
        <w:t>concerning</w:t>
      </w:r>
      <w:r w:rsidR="00117416" w:rsidRPr="008A7BD7">
        <w:rPr>
          <w:rFonts w:ascii="Cambria" w:hAnsi="Cambria"/>
          <w:sz w:val="20"/>
          <w:szCs w:val="20"/>
        </w:rPr>
        <w:t xml:space="preserve"> water, no specific law is yet in place. The </w:t>
      </w:r>
      <w:r w:rsidR="00C72483" w:rsidRPr="008A7BD7">
        <w:rPr>
          <w:rFonts w:ascii="Cambria" w:hAnsi="Cambria"/>
          <w:sz w:val="20"/>
          <w:szCs w:val="20"/>
        </w:rPr>
        <w:t>IACHR</w:t>
      </w:r>
      <w:r w:rsidR="00117416" w:rsidRPr="008A7BD7">
        <w:rPr>
          <w:rFonts w:ascii="Cambria" w:hAnsi="Cambria"/>
          <w:sz w:val="20"/>
          <w:szCs w:val="20"/>
        </w:rPr>
        <w:t xml:space="preserve"> and the Special </w:t>
      </w:r>
      <w:proofErr w:type="spellStart"/>
      <w:r w:rsidR="00117416" w:rsidRPr="008A7BD7">
        <w:rPr>
          <w:rFonts w:ascii="Cambria" w:hAnsi="Cambria"/>
          <w:sz w:val="20"/>
          <w:szCs w:val="20"/>
        </w:rPr>
        <w:t>Rapporteurship</w:t>
      </w:r>
      <w:proofErr w:type="spellEnd"/>
      <w:r w:rsidR="00117416" w:rsidRPr="008A7BD7">
        <w:rPr>
          <w:rFonts w:ascii="Cambria" w:hAnsi="Cambria"/>
          <w:sz w:val="20"/>
          <w:szCs w:val="20"/>
        </w:rPr>
        <w:t xml:space="preserve"> believe it is urgent for </w:t>
      </w:r>
      <w:r w:rsidR="00E0555A" w:rsidRPr="008A7BD7">
        <w:rPr>
          <w:rFonts w:ascii="Cambria" w:hAnsi="Cambria"/>
          <w:sz w:val="20"/>
          <w:szCs w:val="20"/>
        </w:rPr>
        <w:t xml:space="preserve">Guatemala </w:t>
      </w:r>
      <w:r w:rsidR="00117416" w:rsidRPr="008A7BD7">
        <w:rPr>
          <w:rFonts w:ascii="Cambria" w:hAnsi="Cambria"/>
          <w:sz w:val="20"/>
          <w:szCs w:val="20"/>
        </w:rPr>
        <w:t xml:space="preserve">to have a </w:t>
      </w:r>
      <w:r w:rsidR="009D2FEB" w:rsidRPr="008A7BD7">
        <w:rPr>
          <w:rFonts w:ascii="Cambria" w:hAnsi="Cambria"/>
          <w:sz w:val="20"/>
          <w:szCs w:val="20"/>
        </w:rPr>
        <w:t>regulatory</w:t>
      </w:r>
      <w:r w:rsidR="00117416" w:rsidRPr="008A7BD7">
        <w:rPr>
          <w:rFonts w:ascii="Cambria" w:hAnsi="Cambria"/>
          <w:sz w:val="20"/>
          <w:szCs w:val="20"/>
        </w:rPr>
        <w:t xml:space="preserve"> and policy framework that focuses on the human right to water. In this regard, </w:t>
      </w:r>
      <w:r w:rsidR="001C5C06" w:rsidRPr="008A7BD7">
        <w:rPr>
          <w:rFonts w:ascii="Cambria" w:hAnsi="Cambria"/>
          <w:sz w:val="20"/>
          <w:szCs w:val="20"/>
        </w:rPr>
        <w:t xml:space="preserve">they are mindful of the call to implement a watershed approach to water management, considering the existence of an intersection between water recharging areas and forests in </w:t>
      </w:r>
      <w:r w:rsidR="00E0555A" w:rsidRPr="008A7BD7">
        <w:rPr>
          <w:rFonts w:ascii="Cambria" w:hAnsi="Cambria"/>
          <w:sz w:val="20"/>
          <w:szCs w:val="20"/>
        </w:rPr>
        <w:t>Maya, Gar</w:t>
      </w:r>
      <w:r w:rsidR="001C5C06" w:rsidRPr="008A7BD7">
        <w:rPr>
          <w:rFonts w:ascii="Cambria" w:hAnsi="Cambria"/>
          <w:sz w:val="20"/>
          <w:szCs w:val="20"/>
        </w:rPr>
        <w:t>if</w:t>
      </w:r>
      <w:r w:rsidR="00E0555A" w:rsidRPr="008A7BD7">
        <w:rPr>
          <w:rFonts w:ascii="Cambria" w:hAnsi="Cambria"/>
          <w:sz w:val="20"/>
          <w:szCs w:val="20"/>
        </w:rPr>
        <w:t>una</w:t>
      </w:r>
      <w:r w:rsidR="001C5C06" w:rsidRPr="008A7BD7">
        <w:rPr>
          <w:rFonts w:ascii="Cambria" w:hAnsi="Cambria"/>
          <w:sz w:val="20"/>
          <w:szCs w:val="20"/>
        </w:rPr>
        <w:t xml:space="preserve">, and </w:t>
      </w:r>
      <w:proofErr w:type="spellStart"/>
      <w:r w:rsidR="00E0555A" w:rsidRPr="008A7BD7">
        <w:rPr>
          <w:rFonts w:ascii="Cambria" w:hAnsi="Cambria"/>
          <w:sz w:val="20"/>
          <w:szCs w:val="20"/>
        </w:rPr>
        <w:t>Xinca</w:t>
      </w:r>
      <w:proofErr w:type="spellEnd"/>
      <w:r w:rsidR="001C5C06" w:rsidRPr="008A7BD7">
        <w:rPr>
          <w:rFonts w:ascii="Cambria" w:hAnsi="Cambria"/>
          <w:sz w:val="20"/>
          <w:szCs w:val="20"/>
        </w:rPr>
        <w:t xml:space="preserve"> areas where there are mining and hydroelectric interests.</w:t>
      </w:r>
      <w:r w:rsidR="00E0555A" w:rsidRPr="008A7BD7">
        <w:rPr>
          <w:rStyle w:val="FootnoteReference"/>
          <w:rFonts w:ascii="Cambria" w:hAnsi="Cambria"/>
          <w:sz w:val="20"/>
          <w:szCs w:val="20"/>
          <w:lang w:val="es-419"/>
        </w:rPr>
        <w:footnoteReference w:id="196"/>
      </w:r>
    </w:p>
    <w:p w14:paraId="1CBD3A0D" w14:textId="77777777" w:rsidR="00E0555A" w:rsidRPr="008A7BD7" w:rsidRDefault="00E0555A" w:rsidP="00E0555A">
      <w:pPr>
        <w:pStyle w:val="ListParagraph"/>
        <w:rPr>
          <w:rFonts w:ascii="Cambria" w:hAnsi="Cambria"/>
          <w:sz w:val="20"/>
          <w:szCs w:val="20"/>
        </w:rPr>
      </w:pPr>
    </w:p>
    <w:p w14:paraId="2268BC8C" w14:textId="2F949680" w:rsidR="00E0555A" w:rsidRPr="008A7BD7" w:rsidRDefault="005B1C3E" w:rsidP="003D3059">
      <w:pPr>
        <w:numPr>
          <w:ilvl w:val="0"/>
          <w:numId w:val="2"/>
        </w:numPr>
        <w:ind w:left="0" w:firstLine="720"/>
        <w:jc w:val="both"/>
        <w:rPr>
          <w:rFonts w:ascii="Cambria" w:eastAsiaTheme="minorEastAsia" w:hAnsi="Cambria"/>
          <w:sz w:val="20"/>
          <w:szCs w:val="20"/>
        </w:rPr>
      </w:pPr>
      <w:r w:rsidRPr="008A7BD7">
        <w:rPr>
          <w:rFonts w:ascii="Cambria" w:hAnsi="Cambria"/>
          <w:sz w:val="20"/>
          <w:szCs w:val="20"/>
        </w:rPr>
        <w:t xml:space="preserve">As </w:t>
      </w:r>
      <w:r w:rsidR="003915FA" w:rsidRPr="008A7BD7">
        <w:rPr>
          <w:rFonts w:ascii="Cambria" w:hAnsi="Cambria"/>
          <w:sz w:val="20"/>
          <w:szCs w:val="20"/>
        </w:rPr>
        <w:t>a telling</w:t>
      </w:r>
      <w:r w:rsidRPr="008A7BD7">
        <w:rPr>
          <w:rFonts w:ascii="Cambria" w:hAnsi="Cambria"/>
          <w:sz w:val="20"/>
          <w:szCs w:val="20"/>
        </w:rPr>
        <w:t xml:space="preserve"> example, the Commission and the Special </w:t>
      </w:r>
      <w:proofErr w:type="spellStart"/>
      <w:r w:rsidRPr="008A7BD7">
        <w:rPr>
          <w:rFonts w:ascii="Cambria" w:hAnsi="Cambria"/>
          <w:sz w:val="20"/>
          <w:szCs w:val="20"/>
        </w:rPr>
        <w:t>Rapporteurship</w:t>
      </w:r>
      <w:proofErr w:type="spellEnd"/>
      <w:r w:rsidRPr="008A7BD7">
        <w:rPr>
          <w:rFonts w:ascii="Cambria" w:hAnsi="Cambria"/>
          <w:sz w:val="20"/>
          <w:szCs w:val="20"/>
        </w:rPr>
        <w:t xml:space="preserve"> took note of </w:t>
      </w:r>
      <w:r w:rsidR="00256894" w:rsidRPr="008A7BD7">
        <w:rPr>
          <w:rFonts w:ascii="Cambria" w:hAnsi="Cambria"/>
          <w:sz w:val="20"/>
          <w:szCs w:val="20"/>
        </w:rPr>
        <w:t>the heavy rains</w:t>
      </w:r>
      <w:r w:rsidR="00B5202B" w:rsidRPr="008A7BD7">
        <w:rPr>
          <w:rFonts w:ascii="Cambria" w:hAnsi="Cambria"/>
          <w:sz w:val="20"/>
          <w:szCs w:val="20"/>
        </w:rPr>
        <w:t xml:space="preserve"> </w:t>
      </w:r>
      <w:r w:rsidR="00256894" w:rsidRPr="008A7BD7">
        <w:rPr>
          <w:rFonts w:ascii="Cambria" w:hAnsi="Cambria"/>
          <w:sz w:val="20"/>
          <w:szCs w:val="20"/>
        </w:rPr>
        <w:t>that fell</w:t>
      </w:r>
      <w:r w:rsidR="00B5202B" w:rsidRPr="008A7BD7">
        <w:rPr>
          <w:rFonts w:ascii="Cambria" w:hAnsi="Cambria"/>
          <w:sz w:val="20"/>
          <w:szCs w:val="20"/>
        </w:rPr>
        <w:t xml:space="preserve"> on </w:t>
      </w:r>
      <w:r w:rsidRPr="008A7BD7">
        <w:rPr>
          <w:rFonts w:ascii="Cambria" w:hAnsi="Cambria"/>
          <w:sz w:val="20"/>
          <w:szCs w:val="20"/>
        </w:rPr>
        <w:t xml:space="preserve">June </w:t>
      </w:r>
      <w:r w:rsidR="00B5202B" w:rsidRPr="008A7BD7">
        <w:rPr>
          <w:rFonts w:ascii="Cambria" w:hAnsi="Cambria"/>
          <w:sz w:val="20"/>
          <w:szCs w:val="20"/>
        </w:rPr>
        <w:t xml:space="preserve">15, </w:t>
      </w:r>
      <w:r w:rsidR="00E0555A" w:rsidRPr="008A7BD7">
        <w:rPr>
          <w:rFonts w:ascii="Cambria" w:hAnsi="Cambria"/>
          <w:sz w:val="20"/>
          <w:szCs w:val="20"/>
        </w:rPr>
        <w:t>20</w:t>
      </w:r>
      <w:r w:rsidR="00B5202B" w:rsidRPr="008A7BD7">
        <w:rPr>
          <w:rFonts w:ascii="Cambria" w:hAnsi="Cambria"/>
          <w:sz w:val="20"/>
          <w:szCs w:val="20"/>
        </w:rPr>
        <w:t>21,</w:t>
      </w:r>
      <w:r w:rsidR="00E0555A" w:rsidRPr="008A7BD7">
        <w:rPr>
          <w:rFonts w:ascii="Cambria" w:hAnsi="Cambria"/>
          <w:sz w:val="20"/>
          <w:szCs w:val="20"/>
        </w:rPr>
        <w:t xml:space="preserve"> </w:t>
      </w:r>
      <w:r w:rsidRPr="008A7BD7">
        <w:rPr>
          <w:rFonts w:ascii="Cambria" w:hAnsi="Cambria"/>
          <w:sz w:val="20"/>
          <w:szCs w:val="20"/>
        </w:rPr>
        <w:t xml:space="preserve">in various parts of </w:t>
      </w:r>
      <w:r w:rsidR="00E0555A" w:rsidRPr="008A7BD7">
        <w:rPr>
          <w:rFonts w:ascii="Cambria" w:hAnsi="Cambria"/>
          <w:sz w:val="20"/>
          <w:szCs w:val="20"/>
        </w:rPr>
        <w:t xml:space="preserve">Guatemala, </w:t>
      </w:r>
      <w:r w:rsidR="00B5202B" w:rsidRPr="008A7BD7">
        <w:rPr>
          <w:rFonts w:ascii="Cambria" w:hAnsi="Cambria"/>
          <w:sz w:val="20"/>
          <w:szCs w:val="20"/>
        </w:rPr>
        <w:t>especially in</w:t>
      </w:r>
      <w:r w:rsidRPr="008A7BD7">
        <w:rPr>
          <w:rFonts w:ascii="Cambria" w:hAnsi="Cambria"/>
          <w:sz w:val="20"/>
          <w:szCs w:val="20"/>
        </w:rPr>
        <w:t xml:space="preserve"> the </w:t>
      </w:r>
      <w:r w:rsidR="00992C6A" w:rsidRPr="008A7BD7">
        <w:rPr>
          <w:rFonts w:ascii="Cambria" w:hAnsi="Cambria"/>
          <w:sz w:val="20"/>
          <w:szCs w:val="20"/>
        </w:rPr>
        <w:t>d</w:t>
      </w:r>
      <w:r w:rsidR="00E0555A" w:rsidRPr="008A7BD7">
        <w:rPr>
          <w:rFonts w:ascii="Cambria" w:hAnsi="Cambria"/>
          <w:sz w:val="20"/>
          <w:szCs w:val="20"/>
        </w:rPr>
        <w:t>epartment</w:t>
      </w:r>
      <w:r w:rsidRPr="008A7BD7">
        <w:rPr>
          <w:rFonts w:ascii="Cambria" w:hAnsi="Cambria"/>
          <w:sz w:val="20"/>
          <w:szCs w:val="20"/>
        </w:rPr>
        <w:t xml:space="preserve"> of</w:t>
      </w:r>
      <w:r w:rsidR="00E0555A" w:rsidRPr="008A7BD7">
        <w:rPr>
          <w:rFonts w:ascii="Cambria" w:hAnsi="Cambria"/>
          <w:sz w:val="20"/>
          <w:szCs w:val="20"/>
        </w:rPr>
        <w:t xml:space="preserve"> Sololá. </w:t>
      </w:r>
      <w:r w:rsidRPr="008A7BD7">
        <w:rPr>
          <w:rFonts w:ascii="Cambria" w:hAnsi="Cambria"/>
          <w:sz w:val="20"/>
          <w:szCs w:val="20"/>
        </w:rPr>
        <w:t xml:space="preserve">Five people </w:t>
      </w:r>
      <w:r w:rsidR="00992C6A" w:rsidRPr="008A7BD7">
        <w:rPr>
          <w:rFonts w:ascii="Cambria" w:hAnsi="Cambria"/>
          <w:sz w:val="20"/>
          <w:szCs w:val="20"/>
        </w:rPr>
        <w:t xml:space="preserve">reportedly </w:t>
      </w:r>
      <w:r w:rsidRPr="008A7BD7">
        <w:rPr>
          <w:rFonts w:ascii="Cambria" w:hAnsi="Cambria"/>
          <w:sz w:val="20"/>
          <w:szCs w:val="20"/>
        </w:rPr>
        <w:t>died and more than</w:t>
      </w:r>
      <w:r w:rsidR="00E0555A" w:rsidRPr="008A7BD7">
        <w:rPr>
          <w:rFonts w:ascii="Cambria" w:hAnsi="Cambria"/>
          <w:sz w:val="20"/>
          <w:szCs w:val="20"/>
        </w:rPr>
        <w:t xml:space="preserve"> 200</w:t>
      </w:r>
      <w:r w:rsidRPr="008A7BD7">
        <w:rPr>
          <w:rFonts w:ascii="Cambria" w:hAnsi="Cambria"/>
          <w:sz w:val="20"/>
          <w:szCs w:val="20"/>
        </w:rPr>
        <w:t>,000 were affected</w:t>
      </w:r>
      <w:r w:rsidR="00E0555A" w:rsidRPr="008A7BD7">
        <w:rPr>
          <w:rFonts w:ascii="Cambria" w:hAnsi="Cambria"/>
          <w:sz w:val="20"/>
          <w:szCs w:val="20"/>
        </w:rPr>
        <w:t>.</w:t>
      </w:r>
      <w:r w:rsidR="00E0555A" w:rsidRPr="008A7BD7">
        <w:rPr>
          <w:rStyle w:val="FootnoteReference"/>
          <w:rFonts w:ascii="Cambria" w:hAnsi="Cambria"/>
          <w:sz w:val="20"/>
          <w:szCs w:val="20"/>
          <w:lang w:val="es-419"/>
        </w:rPr>
        <w:footnoteReference w:id="197"/>
      </w:r>
      <w:r w:rsidR="00E0555A" w:rsidRPr="008A7BD7">
        <w:rPr>
          <w:rFonts w:ascii="Cambria" w:hAnsi="Cambria"/>
          <w:sz w:val="20"/>
          <w:szCs w:val="20"/>
        </w:rPr>
        <w:t xml:space="preserve"> </w:t>
      </w:r>
      <w:r w:rsidRPr="008A7BD7">
        <w:rPr>
          <w:rFonts w:ascii="Cambria" w:hAnsi="Cambria"/>
          <w:sz w:val="20"/>
          <w:szCs w:val="20"/>
        </w:rPr>
        <w:t xml:space="preserve">The Red Cross reported that it had worked to set up temporary </w:t>
      </w:r>
      <w:r w:rsidR="00992C6A" w:rsidRPr="008A7BD7">
        <w:rPr>
          <w:rFonts w:ascii="Cambria" w:hAnsi="Cambria"/>
          <w:sz w:val="20"/>
          <w:szCs w:val="20"/>
        </w:rPr>
        <w:t>lodging</w:t>
      </w:r>
      <w:r w:rsidRPr="008A7BD7">
        <w:rPr>
          <w:rFonts w:ascii="Cambria" w:hAnsi="Cambria"/>
          <w:sz w:val="20"/>
          <w:szCs w:val="20"/>
        </w:rPr>
        <w:t xml:space="preserve"> for around 10,000 residents from the village of</w:t>
      </w:r>
      <w:r w:rsidR="00E0555A" w:rsidRPr="008A7BD7">
        <w:rPr>
          <w:rFonts w:ascii="Cambria" w:hAnsi="Cambria"/>
          <w:sz w:val="20"/>
          <w:szCs w:val="20"/>
        </w:rPr>
        <w:t xml:space="preserve"> </w:t>
      </w:r>
      <w:proofErr w:type="spellStart"/>
      <w:r w:rsidR="00E0555A" w:rsidRPr="008A7BD7">
        <w:rPr>
          <w:rFonts w:ascii="Cambria" w:hAnsi="Cambria"/>
          <w:sz w:val="20"/>
          <w:szCs w:val="20"/>
        </w:rPr>
        <w:t>Guineales</w:t>
      </w:r>
      <w:proofErr w:type="spellEnd"/>
      <w:r w:rsidR="00E0555A" w:rsidRPr="008A7BD7">
        <w:rPr>
          <w:rFonts w:ascii="Cambria" w:hAnsi="Cambria"/>
          <w:sz w:val="20"/>
          <w:szCs w:val="20"/>
        </w:rPr>
        <w:t xml:space="preserve"> </w:t>
      </w:r>
      <w:r w:rsidRPr="008A7BD7">
        <w:rPr>
          <w:rFonts w:ascii="Cambria" w:hAnsi="Cambria"/>
          <w:sz w:val="20"/>
          <w:szCs w:val="20"/>
        </w:rPr>
        <w:t>and surrounding areas, in</w:t>
      </w:r>
      <w:r w:rsidR="00E0555A" w:rsidRPr="008A7BD7">
        <w:rPr>
          <w:rFonts w:ascii="Cambria" w:hAnsi="Cambria"/>
          <w:sz w:val="20"/>
          <w:szCs w:val="20"/>
        </w:rPr>
        <w:t xml:space="preserve"> Santa Catarina </w:t>
      </w:r>
      <w:proofErr w:type="spellStart"/>
      <w:r w:rsidR="00E0555A" w:rsidRPr="008A7BD7">
        <w:rPr>
          <w:rFonts w:ascii="Cambria" w:hAnsi="Cambria"/>
          <w:sz w:val="20"/>
          <w:szCs w:val="20"/>
        </w:rPr>
        <w:t>Ixtahuacán</w:t>
      </w:r>
      <w:proofErr w:type="spellEnd"/>
      <w:r w:rsidR="00E0555A" w:rsidRPr="008A7BD7">
        <w:rPr>
          <w:rFonts w:ascii="Cambria" w:hAnsi="Cambria"/>
          <w:sz w:val="20"/>
          <w:szCs w:val="20"/>
        </w:rPr>
        <w:t>.</w:t>
      </w:r>
      <w:r w:rsidR="00E0555A" w:rsidRPr="008A7BD7">
        <w:rPr>
          <w:rFonts w:ascii="Cambria" w:hAnsi="Cambria"/>
          <w:sz w:val="20"/>
          <w:szCs w:val="20"/>
          <w:vertAlign w:val="superscript"/>
        </w:rPr>
        <w:footnoteReference w:id="198"/>
      </w:r>
    </w:p>
    <w:p w14:paraId="271606B3" w14:textId="77777777" w:rsidR="00E0555A" w:rsidRPr="008A7BD7" w:rsidRDefault="00E0555A" w:rsidP="00E0555A">
      <w:pPr>
        <w:pStyle w:val="ListParagraph"/>
        <w:rPr>
          <w:rFonts w:ascii="Cambria" w:hAnsi="Cambria"/>
          <w:sz w:val="20"/>
          <w:szCs w:val="20"/>
        </w:rPr>
      </w:pPr>
    </w:p>
    <w:p w14:paraId="130BD194" w14:textId="414BCF4F" w:rsidR="00E0555A" w:rsidRPr="008A7BD7" w:rsidRDefault="00FD21E3" w:rsidP="003D3059">
      <w:pPr>
        <w:numPr>
          <w:ilvl w:val="0"/>
          <w:numId w:val="2"/>
        </w:numPr>
        <w:ind w:left="0" w:firstLine="720"/>
        <w:jc w:val="both"/>
        <w:rPr>
          <w:rFonts w:ascii="Cambria" w:eastAsiaTheme="minorEastAsia" w:hAnsi="Cambria"/>
          <w:sz w:val="20"/>
          <w:szCs w:val="20"/>
        </w:rPr>
      </w:pPr>
      <w:r w:rsidRPr="008A7BD7">
        <w:rPr>
          <w:rFonts w:ascii="Cambria" w:hAnsi="Cambria"/>
          <w:sz w:val="20"/>
          <w:szCs w:val="20"/>
        </w:rPr>
        <w:t xml:space="preserve">Impacts have also been reported from large-scale climate events, such as in areas near the </w:t>
      </w:r>
      <w:proofErr w:type="spellStart"/>
      <w:r w:rsidR="00E0555A" w:rsidRPr="008A7BD7">
        <w:rPr>
          <w:rFonts w:ascii="Cambria" w:hAnsi="Cambria"/>
          <w:sz w:val="20"/>
          <w:szCs w:val="20"/>
        </w:rPr>
        <w:t>Pantaleón</w:t>
      </w:r>
      <w:proofErr w:type="spellEnd"/>
      <w:r w:rsidRPr="008A7BD7">
        <w:rPr>
          <w:rFonts w:ascii="Cambria" w:hAnsi="Cambria"/>
          <w:sz w:val="20"/>
          <w:szCs w:val="20"/>
        </w:rPr>
        <w:t xml:space="preserve"> River</w:t>
      </w:r>
      <w:r w:rsidR="00E0555A" w:rsidRPr="008A7BD7">
        <w:rPr>
          <w:rFonts w:ascii="Cambria" w:hAnsi="Cambria"/>
          <w:sz w:val="20"/>
          <w:szCs w:val="20"/>
        </w:rPr>
        <w:t xml:space="preserve">, </w:t>
      </w:r>
      <w:r w:rsidR="00C31606" w:rsidRPr="008A7BD7">
        <w:rPr>
          <w:rFonts w:ascii="Cambria" w:hAnsi="Cambria"/>
          <w:sz w:val="20"/>
          <w:szCs w:val="20"/>
        </w:rPr>
        <w:t xml:space="preserve">where heavy rains and the accumulation of sediment in the river bed changed the flow of the river and produced significant flooding in the region, </w:t>
      </w:r>
      <w:r w:rsidR="0021109B" w:rsidRPr="008A7BD7">
        <w:rPr>
          <w:rFonts w:ascii="Cambria" w:hAnsi="Cambria"/>
          <w:sz w:val="20"/>
          <w:szCs w:val="20"/>
        </w:rPr>
        <w:t>causing</w:t>
      </w:r>
      <w:r w:rsidR="00C31606" w:rsidRPr="008A7BD7">
        <w:rPr>
          <w:rFonts w:ascii="Cambria" w:hAnsi="Cambria"/>
          <w:sz w:val="20"/>
          <w:szCs w:val="20"/>
        </w:rPr>
        <w:t xml:space="preserve"> impacts to communities, roads and bridges, crops, cattle, shrimp fishing, and housing, as well as putting mangrove areas at risk and threatening livelihoods connected to the estuary, such as fishing and tourism</w:t>
      </w:r>
      <w:r w:rsidR="00E0555A" w:rsidRPr="008A7BD7">
        <w:rPr>
          <w:rFonts w:ascii="Cambria" w:hAnsi="Cambria"/>
          <w:sz w:val="20"/>
          <w:szCs w:val="20"/>
        </w:rPr>
        <w:t>.</w:t>
      </w:r>
      <w:r w:rsidR="00E0555A" w:rsidRPr="008A7BD7">
        <w:rPr>
          <w:rFonts w:ascii="Cambria" w:hAnsi="Cambria"/>
          <w:sz w:val="20"/>
          <w:szCs w:val="20"/>
          <w:vertAlign w:val="superscript"/>
        </w:rPr>
        <w:footnoteReference w:id="199"/>
      </w:r>
      <w:r w:rsidR="00E0555A" w:rsidRPr="008A7BD7">
        <w:rPr>
          <w:rFonts w:ascii="Cambria" w:hAnsi="Cambria"/>
          <w:sz w:val="20"/>
          <w:szCs w:val="20"/>
        </w:rPr>
        <w:t xml:space="preserve"> </w:t>
      </w:r>
    </w:p>
    <w:p w14:paraId="4773D85B" w14:textId="77777777" w:rsidR="00E0555A" w:rsidRPr="008A7BD7" w:rsidRDefault="00E0555A" w:rsidP="00E0555A">
      <w:pPr>
        <w:pStyle w:val="ListParagraph"/>
        <w:rPr>
          <w:rFonts w:ascii="Cambria" w:hAnsi="Cambria"/>
          <w:sz w:val="20"/>
          <w:szCs w:val="20"/>
        </w:rPr>
      </w:pPr>
    </w:p>
    <w:p w14:paraId="424000BD" w14:textId="643882A8" w:rsidR="00E0555A" w:rsidRPr="008A7BD7" w:rsidRDefault="009B6F19" w:rsidP="003D3059">
      <w:pPr>
        <w:numPr>
          <w:ilvl w:val="0"/>
          <w:numId w:val="2"/>
        </w:numPr>
        <w:ind w:left="0" w:firstLine="720"/>
        <w:jc w:val="both"/>
        <w:rPr>
          <w:rFonts w:eastAsiaTheme="minorEastAsia"/>
          <w:sz w:val="20"/>
          <w:szCs w:val="20"/>
        </w:rPr>
      </w:pPr>
      <w:r w:rsidRPr="008A7BD7">
        <w:rPr>
          <w:rFonts w:ascii="Cambria" w:hAnsi="Cambria"/>
          <w:sz w:val="20"/>
          <w:szCs w:val="20"/>
        </w:rPr>
        <w:t xml:space="preserve">The Commission and the Special </w:t>
      </w:r>
      <w:proofErr w:type="spellStart"/>
      <w:r w:rsidRPr="008A7BD7">
        <w:rPr>
          <w:rFonts w:ascii="Cambria" w:hAnsi="Cambria"/>
          <w:sz w:val="20"/>
          <w:szCs w:val="20"/>
        </w:rPr>
        <w:t>Rapporteurship</w:t>
      </w:r>
      <w:proofErr w:type="spellEnd"/>
      <w:r w:rsidRPr="008A7BD7">
        <w:rPr>
          <w:rFonts w:ascii="Cambria" w:hAnsi="Cambria"/>
          <w:sz w:val="20"/>
          <w:szCs w:val="20"/>
        </w:rPr>
        <w:t xml:space="preserve"> express their concern </w:t>
      </w:r>
      <w:r w:rsidR="0021109B" w:rsidRPr="008A7BD7">
        <w:rPr>
          <w:rFonts w:ascii="Cambria" w:hAnsi="Cambria"/>
          <w:sz w:val="20"/>
          <w:szCs w:val="20"/>
        </w:rPr>
        <w:t>about</w:t>
      </w:r>
      <w:r w:rsidRPr="008A7BD7">
        <w:rPr>
          <w:rFonts w:ascii="Cambria" w:hAnsi="Cambria"/>
          <w:sz w:val="20"/>
          <w:szCs w:val="20"/>
        </w:rPr>
        <w:t xml:space="preserve"> this situation, </w:t>
      </w:r>
      <w:r w:rsidR="00047B1F" w:rsidRPr="008A7BD7">
        <w:rPr>
          <w:rFonts w:ascii="Cambria" w:hAnsi="Cambria"/>
          <w:sz w:val="20"/>
          <w:szCs w:val="20"/>
        </w:rPr>
        <w:t>given</w:t>
      </w:r>
      <w:r w:rsidRPr="008A7BD7">
        <w:rPr>
          <w:rFonts w:ascii="Cambria" w:hAnsi="Cambria"/>
          <w:sz w:val="20"/>
          <w:szCs w:val="20"/>
        </w:rPr>
        <w:t xml:space="preserve"> that the effects of climate change and environmental degradation are particularly </w:t>
      </w:r>
      <w:r w:rsidR="0021109B" w:rsidRPr="008A7BD7">
        <w:rPr>
          <w:rFonts w:ascii="Cambria" w:hAnsi="Cambria"/>
          <w:sz w:val="20"/>
          <w:szCs w:val="20"/>
        </w:rPr>
        <w:t>severe</w:t>
      </w:r>
      <w:r w:rsidRPr="008A7BD7">
        <w:rPr>
          <w:rFonts w:ascii="Cambria" w:hAnsi="Cambria"/>
          <w:sz w:val="20"/>
          <w:szCs w:val="20"/>
        </w:rPr>
        <w:t xml:space="preserve"> for </w:t>
      </w:r>
      <w:r w:rsidR="008729FC" w:rsidRPr="008A7BD7">
        <w:rPr>
          <w:rFonts w:ascii="Cambria" w:hAnsi="Cambria"/>
          <w:sz w:val="20"/>
          <w:szCs w:val="20"/>
        </w:rPr>
        <w:t xml:space="preserve">those </w:t>
      </w:r>
      <w:r w:rsidRPr="008A7BD7">
        <w:rPr>
          <w:rFonts w:ascii="Cambria" w:hAnsi="Cambria"/>
          <w:sz w:val="20"/>
          <w:szCs w:val="20"/>
        </w:rPr>
        <w:t xml:space="preserve">populations that are </w:t>
      </w:r>
      <w:r w:rsidR="008729FC" w:rsidRPr="008A7BD7">
        <w:rPr>
          <w:rFonts w:ascii="Cambria" w:hAnsi="Cambria"/>
          <w:sz w:val="20"/>
          <w:szCs w:val="20"/>
        </w:rPr>
        <w:t xml:space="preserve">in an </w:t>
      </w:r>
      <w:r w:rsidRPr="008A7BD7">
        <w:rPr>
          <w:rFonts w:ascii="Cambria" w:hAnsi="Cambria"/>
          <w:sz w:val="20"/>
          <w:szCs w:val="20"/>
        </w:rPr>
        <w:t xml:space="preserve">especially vulnerable </w:t>
      </w:r>
      <w:r w:rsidR="008729FC" w:rsidRPr="008A7BD7">
        <w:rPr>
          <w:rFonts w:ascii="Cambria" w:hAnsi="Cambria"/>
          <w:sz w:val="20"/>
          <w:szCs w:val="20"/>
        </w:rPr>
        <w:t xml:space="preserve">situation </w:t>
      </w:r>
      <w:r w:rsidRPr="008A7BD7">
        <w:rPr>
          <w:rFonts w:ascii="Cambria" w:hAnsi="Cambria"/>
          <w:sz w:val="20"/>
          <w:szCs w:val="20"/>
        </w:rPr>
        <w:t xml:space="preserve">or have </w:t>
      </w:r>
      <w:r w:rsidR="0021109B" w:rsidRPr="008A7BD7">
        <w:rPr>
          <w:rFonts w:ascii="Cambria" w:hAnsi="Cambria"/>
          <w:sz w:val="20"/>
          <w:szCs w:val="20"/>
        </w:rPr>
        <w:t>historicall</w:t>
      </w:r>
      <w:r w:rsidR="00EE6299" w:rsidRPr="008A7BD7">
        <w:rPr>
          <w:rFonts w:ascii="Cambria" w:hAnsi="Cambria"/>
          <w:sz w:val="20"/>
          <w:szCs w:val="20"/>
        </w:rPr>
        <w:t xml:space="preserve">y </w:t>
      </w:r>
      <w:r w:rsidRPr="008A7BD7">
        <w:rPr>
          <w:rFonts w:ascii="Cambria" w:hAnsi="Cambria"/>
          <w:sz w:val="20"/>
          <w:szCs w:val="20"/>
        </w:rPr>
        <w:t>faced discrimination</w:t>
      </w:r>
      <w:r w:rsidR="00EE6299" w:rsidRPr="008A7BD7">
        <w:rPr>
          <w:rFonts w:ascii="Cambria" w:hAnsi="Cambria"/>
          <w:sz w:val="20"/>
          <w:szCs w:val="20"/>
        </w:rPr>
        <w:t>,</w:t>
      </w:r>
      <w:r w:rsidRPr="008A7BD7">
        <w:rPr>
          <w:rFonts w:ascii="Cambria" w:hAnsi="Cambria"/>
          <w:sz w:val="20"/>
          <w:szCs w:val="20"/>
        </w:rPr>
        <w:t xml:space="preserve"> and </w:t>
      </w:r>
      <w:r w:rsidR="008729FC" w:rsidRPr="008A7BD7">
        <w:rPr>
          <w:rFonts w:ascii="Cambria" w:hAnsi="Cambria"/>
          <w:sz w:val="20"/>
          <w:szCs w:val="20"/>
        </w:rPr>
        <w:t>who</w:t>
      </w:r>
      <w:r w:rsidR="00EE6299" w:rsidRPr="008A7BD7">
        <w:rPr>
          <w:rFonts w:ascii="Cambria" w:hAnsi="Cambria"/>
          <w:sz w:val="20"/>
          <w:szCs w:val="20"/>
        </w:rPr>
        <w:t>se</w:t>
      </w:r>
      <w:r w:rsidR="008729FC" w:rsidRPr="008A7BD7">
        <w:rPr>
          <w:rFonts w:ascii="Cambria" w:hAnsi="Cambria"/>
          <w:sz w:val="20"/>
          <w:szCs w:val="20"/>
        </w:rPr>
        <w:t xml:space="preserve"> contribut</w:t>
      </w:r>
      <w:r w:rsidR="00EE6299" w:rsidRPr="008A7BD7">
        <w:rPr>
          <w:rFonts w:ascii="Cambria" w:hAnsi="Cambria"/>
          <w:sz w:val="20"/>
          <w:szCs w:val="20"/>
        </w:rPr>
        <w:t xml:space="preserve">ion </w:t>
      </w:r>
      <w:r w:rsidRPr="008A7BD7">
        <w:rPr>
          <w:rFonts w:ascii="Cambria" w:hAnsi="Cambria"/>
          <w:sz w:val="20"/>
          <w:szCs w:val="20"/>
        </w:rPr>
        <w:t xml:space="preserve">to greenhouse gas emissions is very marginal; these include women, children and adolescents, indigenous peoples, people of African descent, and people </w:t>
      </w:r>
      <w:r w:rsidR="0024223C" w:rsidRPr="008A7BD7">
        <w:rPr>
          <w:rFonts w:ascii="Cambria" w:hAnsi="Cambria"/>
          <w:sz w:val="20"/>
          <w:szCs w:val="20"/>
        </w:rPr>
        <w:t>living</w:t>
      </w:r>
      <w:r w:rsidRPr="008A7BD7">
        <w:rPr>
          <w:rFonts w:ascii="Cambria" w:hAnsi="Cambria"/>
          <w:sz w:val="20"/>
          <w:szCs w:val="20"/>
        </w:rPr>
        <w:t xml:space="preserve"> in rural areas or liv</w:t>
      </w:r>
      <w:r w:rsidR="0024223C" w:rsidRPr="008A7BD7">
        <w:rPr>
          <w:rFonts w:ascii="Cambria" w:hAnsi="Cambria"/>
          <w:sz w:val="20"/>
          <w:szCs w:val="20"/>
        </w:rPr>
        <w:t>ing</w:t>
      </w:r>
      <w:r w:rsidRPr="008A7BD7">
        <w:rPr>
          <w:rFonts w:ascii="Cambria" w:hAnsi="Cambria"/>
          <w:sz w:val="20"/>
          <w:szCs w:val="20"/>
        </w:rPr>
        <w:t xml:space="preserve"> poverty</w:t>
      </w:r>
      <w:r w:rsidR="00E0555A" w:rsidRPr="008A7BD7">
        <w:rPr>
          <w:rFonts w:ascii="Cambria" w:eastAsia="Cambria" w:hAnsi="Cambria" w:cs="Cambria"/>
          <w:color w:val="333333"/>
          <w:sz w:val="19"/>
          <w:szCs w:val="19"/>
        </w:rPr>
        <w:t>.</w:t>
      </w:r>
      <w:r w:rsidR="00E0555A" w:rsidRPr="008A7BD7">
        <w:rPr>
          <w:rFonts w:ascii="Cambria" w:eastAsia="Cambria" w:hAnsi="Cambria" w:cs="Cambria"/>
          <w:sz w:val="20"/>
          <w:szCs w:val="20"/>
          <w:vertAlign w:val="superscript"/>
          <w:lang w:val="es-US"/>
        </w:rPr>
        <w:footnoteReference w:id="200"/>
      </w:r>
      <w:r w:rsidR="00E0555A" w:rsidRPr="008A7BD7">
        <w:rPr>
          <w:rFonts w:ascii="Cambria" w:eastAsia="Cambria" w:hAnsi="Cambria" w:cs="Cambria"/>
          <w:sz w:val="20"/>
          <w:szCs w:val="20"/>
        </w:rPr>
        <w:t xml:space="preserve"> </w:t>
      </w:r>
      <w:r w:rsidR="00FE54C7" w:rsidRPr="008A7BD7">
        <w:rPr>
          <w:rFonts w:ascii="Cambria" w:eastAsia="Cambria" w:hAnsi="Cambria" w:cs="Cambria"/>
          <w:sz w:val="20"/>
          <w:szCs w:val="20"/>
        </w:rPr>
        <w:t xml:space="preserve">The </w:t>
      </w:r>
      <w:r w:rsidR="00FE54C7" w:rsidRPr="008A7BD7">
        <w:rPr>
          <w:rFonts w:ascii="Cambria" w:hAnsi="Cambria"/>
          <w:sz w:val="20"/>
          <w:szCs w:val="20"/>
        </w:rPr>
        <w:t xml:space="preserve">Commission and the Special </w:t>
      </w:r>
      <w:proofErr w:type="spellStart"/>
      <w:r w:rsidR="00FE54C7" w:rsidRPr="008A7BD7">
        <w:rPr>
          <w:rFonts w:ascii="Cambria" w:hAnsi="Cambria"/>
          <w:sz w:val="20"/>
          <w:szCs w:val="20"/>
        </w:rPr>
        <w:t>Rapporteurship</w:t>
      </w:r>
      <w:proofErr w:type="spellEnd"/>
      <w:r w:rsidR="00FE54C7" w:rsidRPr="008A7BD7">
        <w:rPr>
          <w:rFonts w:ascii="Cambria" w:hAnsi="Cambria"/>
          <w:sz w:val="20"/>
          <w:szCs w:val="20"/>
        </w:rPr>
        <w:t xml:space="preserve"> are therefore keeping a close watch on the </w:t>
      </w:r>
      <w:r w:rsidR="00FB671D" w:rsidRPr="008A7BD7">
        <w:rPr>
          <w:rFonts w:ascii="Cambria" w:hAnsi="Cambria"/>
          <w:sz w:val="20"/>
          <w:szCs w:val="20"/>
        </w:rPr>
        <w:t xml:space="preserve">recurrence of </w:t>
      </w:r>
      <w:r w:rsidR="00617378" w:rsidRPr="008A7BD7">
        <w:rPr>
          <w:rFonts w:ascii="Cambria" w:hAnsi="Cambria"/>
          <w:sz w:val="20"/>
          <w:szCs w:val="20"/>
        </w:rPr>
        <w:t>rain</w:t>
      </w:r>
      <w:r w:rsidR="00256894" w:rsidRPr="008A7BD7">
        <w:rPr>
          <w:rFonts w:ascii="Cambria" w:hAnsi="Cambria"/>
          <w:sz w:val="20"/>
          <w:szCs w:val="20"/>
        </w:rPr>
        <w:t>s</w:t>
      </w:r>
      <w:r w:rsidR="00617378" w:rsidRPr="008A7BD7">
        <w:rPr>
          <w:rFonts w:ascii="Cambria" w:hAnsi="Cambria"/>
          <w:sz w:val="20"/>
          <w:szCs w:val="20"/>
        </w:rPr>
        <w:t xml:space="preserve"> and other climate events recorded by the State’s National Coordinator for Reduction of Natural Disaster</w:t>
      </w:r>
      <w:r w:rsidR="00FB671D" w:rsidRPr="008A7BD7">
        <w:rPr>
          <w:rFonts w:ascii="Cambria" w:hAnsi="Cambria"/>
          <w:sz w:val="20"/>
          <w:szCs w:val="20"/>
        </w:rPr>
        <w:t>s</w:t>
      </w:r>
      <w:r w:rsidR="00617378" w:rsidRPr="008A7BD7">
        <w:rPr>
          <w:rFonts w:ascii="Cambria" w:hAnsi="Cambria"/>
          <w:sz w:val="20"/>
          <w:szCs w:val="20"/>
        </w:rPr>
        <w:t xml:space="preserve"> </w:t>
      </w:r>
      <w:r w:rsidR="00E0555A" w:rsidRPr="008A7BD7">
        <w:rPr>
          <w:rFonts w:ascii="Cambria" w:hAnsi="Cambria"/>
          <w:sz w:val="20"/>
          <w:szCs w:val="20"/>
        </w:rPr>
        <w:t>(CONRED)</w:t>
      </w:r>
      <w:r w:rsidR="00617378" w:rsidRPr="008A7BD7">
        <w:rPr>
          <w:rFonts w:ascii="Cambria" w:hAnsi="Cambria"/>
          <w:sz w:val="20"/>
          <w:szCs w:val="20"/>
        </w:rPr>
        <w:t xml:space="preserve">. According to </w:t>
      </w:r>
      <w:r w:rsidR="00E0555A" w:rsidRPr="008A7BD7">
        <w:rPr>
          <w:rFonts w:ascii="Cambria" w:hAnsi="Cambria"/>
          <w:sz w:val="20"/>
          <w:szCs w:val="20"/>
        </w:rPr>
        <w:t xml:space="preserve">CONRED, </w:t>
      </w:r>
      <w:r w:rsidR="00617378" w:rsidRPr="008A7BD7">
        <w:rPr>
          <w:rFonts w:ascii="Cambria" w:hAnsi="Cambria"/>
          <w:sz w:val="20"/>
          <w:szCs w:val="20"/>
        </w:rPr>
        <w:t xml:space="preserve">during the </w:t>
      </w:r>
      <w:r w:rsidR="00E0555A" w:rsidRPr="008A7BD7">
        <w:rPr>
          <w:rFonts w:ascii="Cambria" w:hAnsi="Cambria"/>
          <w:sz w:val="20"/>
          <w:szCs w:val="20"/>
        </w:rPr>
        <w:t>2021</w:t>
      </w:r>
      <w:r w:rsidR="00617378" w:rsidRPr="008A7BD7">
        <w:rPr>
          <w:rFonts w:ascii="Cambria" w:hAnsi="Cambria"/>
          <w:sz w:val="20"/>
          <w:szCs w:val="20"/>
        </w:rPr>
        <w:t xml:space="preserve"> rainy season, which goes from May to October, the authorities </w:t>
      </w:r>
      <w:r w:rsidR="00381E7B" w:rsidRPr="008A7BD7">
        <w:rPr>
          <w:rFonts w:ascii="Cambria" w:hAnsi="Cambria"/>
          <w:sz w:val="20"/>
          <w:szCs w:val="20"/>
        </w:rPr>
        <w:t>had tallied</w:t>
      </w:r>
      <w:r w:rsidR="00221410" w:rsidRPr="008A7BD7">
        <w:rPr>
          <w:rFonts w:ascii="Cambria" w:hAnsi="Cambria"/>
          <w:sz w:val="20"/>
          <w:szCs w:val="20"/>
        </w:rPr>
        <w:t>, as of June,</w:t>
      </w:r>
      <w:r w:rsidR="00B5202B" w:rsidRPr="008A7BD7">
        <w:rPr>
          <w:rFonts w:ascii="Cambria" w:hAnsi="Cambria"/>
          <w:sz w:val="20"/>
          <w:szCs w:val="20"/>
        </w:rPr>
        <w:t xml:space="preserve"> </w:t>
      </w:r>
      <w:r w:rsidR="00221410" w:rsidRPr="008A7BD7">
        <w:rPr>
          <w:rFonts w:ascii="Cambria" w:hAnsi="Cambria"/>
          <w:sz w:val="20"/>
          <w:szCs w:val="20"/>
        </w:rPr>
        <w:t>five</w:t>
      </w:r>
      <w:r w:rsidR="00E0555A" w:rsidRPr="008A7BD7">
        <w:rPr>
          <w:rFonts w:ascii="Cambria" w:hAnsi="Cambria"/>
          <w:sz w:val="20"/>
          <w:szCs w:val="20"/>
        </w:rPr>
        <w:t xml:space="preserve"> </w:t>
      </w:r>
      <w:r w:rsidR="00B5202B" w:rsidRPr="008A7BD7">
        <w:rPr>
          <w:rFonts w:ascii="Cambria" w:hAnsi="Cambria"/>
          <w:sz w:val="20"/>
          <w:szCs w:val="20"/>
        </w:rPr>
        <w:t>deaths,</w:t>
      </w:r>
      <w:r w:rsidR="00381E7B" w:rsidRPr="008A7BD7">
        <w:rPr>
          <w:rFonts w:ascii="Cambria" w:hAnsi="Cambria"/>
          <w:sz w:val="20"/>
          <w:szCs w:val="20"/>
        </w:rPr>
        <w:t xml:space="preserve"> </w:t>
      </w:r>
      <w:r w:rsidR="00221410" w:rsidRPr="008A7BD7">
        <w:rPr>
          <w:rFonts w:ascii="Cambria" w:hAnsi="Cambria"/>
          <w:sz w:val="20"/>
          <w:szCs w:val="20"/>
        </w:rPr>
        <w:t>two</w:t>
      </w:r>
      <w:r w:rsidR="00381E7B" w:rsidRPr="008A7BD7">
        <w:rPr>
          <w:rFonts w:ascii="Cambria" w:hAnsi="Cambria"/>
          <w:sz w:val="20"/>
          <w:szCs w:val="20"/>
        </w:rPr>
        <w:t xml:space="preserve"> injuries, </w:t>
      </w:r>
      <w:r w:rsidR="00E0555A" w:rsidRPr="008A7BD7">
        <w:rPr>
          <w:rFonts w:ascii="Cambria" w:hAnsi="Cambria"/>
          <w:sz w:val="20"/>
          <w:szCs w:val="20"/>
        </w:rPr>
        <w:t>266</w:t>
      </w:r>
      <w:r w:rsidR="00381E7B" w:rsidRPr="008A7BD7">
        <w:rPr>
          <w:rFonts w:ascii="Cambria" w:hAnsi="Cambria"/>
          <w:sz w:val="20"/>
          <w:szCs w:val="20"/>
        </w:rPr>
        <w:t>,000 people affected, 1,170 left homeless, 4,430 evacuated, 178 in shelters, and 6,363 people attended to. In addition, by the</w:t>
      </w:r>
      <w:r w:rsidR="00E0555A" w:rsidRPr="008A7BD7">
        <w:rPr>
          <w:rFonts w:ascii="Cambria" w:hAnsi="Cambria"/>
          <w:sz w:val="20"/>
          <w:szCs w:val="20"/>
        </w:rPr>
        <w:t xml:space="preserve"> </w:t>
      </w:r>
      <w:r w:rsidR="00381E7B" w:rsidRPr="008A7BD7">
        <w:rPr>
          <w:rFonts w:ascii="Cambria" w:hAnsi="Cambria"/>
          <w:sz w:val="20"/>
          <w:szCs w:val="20"/>
        </w:rPr>
        <w:t xml:space="preserve">agency’s count, 34 houses had </w:t>
      </w:r>
      <w:r w:rsidR="00221410" w:rsidRPr="008A7BD7">
        <w:rPr>
          <w:rFonts w:ascii="Cambria" w:hAnsi="Cambria"/>
          <w:sz w:val="20"/>
          <w:szCs w:val="20"/>
        </w:rPr>
        <w:lastRenderedPageBreak/>
        <w:t xml:space="preserve">sustained </w:t>
      </w:r>
      <w:r w:rsidR="00381E7B" w:rsidRPr="008A7BD7">
        <w:rPr>
          <w:rFonts w:ascii="Cambria" w:hAnsi="Cambria"/>
          <w:sz w:val="20"/>
          <w:szCs w:val="20"/>
        </w:rPr>
        <w:t xml:space="preserve">severe damage, </w:t>
      </w:r>
      <w:r w:rsidR="00E0555A" w:rsidRPr="008A7BD7">
        <w:rPr>
          <w:rFonts w:ascii="Cambria" w:hAnsi="Cambria"/>
          <w:sz w:val="20"/>
          <w:szCs w:val="20"/>
        </w:rPr>
        <w:t xml:space="preserve">768 </w:t>
      </w:r>
      <w:r w:rsidR="00381E7B" w:rsidRPr="008A7BD7">
        <w:rPr>
          <w:rFonts w:ascii="Cambria" w:hAnsi="Cambria"/>
          <w:sz w:val="20"/>
          <w:szCs w:val="20"/>
        </w:rPr>
        <w:t xml:space="preserve">had moderate damage, and </w:t>
      </w:r>
      <w:r w:rsidR="00E0555A" w:rsidRPr="008A7BD7">
        <w:rPr>
          <w:rFonts w:ascii="Cambria" w:hAnsi="Cambria"/>
          <w:sz w:val="20"/>
          <w:szCs w:val="20"/>
        </w:rPr>
        <w:t xml:space="preserve">368 </w:t>
      </w:r>
      <w:r w:rsidR="00381E7B" w:rsidRPr="008A7BD7">
        <w:rPr>
          <w:rFonts w:ascii="Cambria" w:hAnsi="Cambria"/>
          <w:sz w:val="20"/>
          <w:szCs w:val="20"/>
        </w:rPr>
        <w:t xml:space="preserve">had light damage, and at least </w:t>
      </w:r>
      <w:r w:rsidR="00E0555A" w:rsidRPr="008A7BD7">
        <w:rPr>
          <w:rFonts w:ascii="Cambria" w:hAnsi="Cambria"/>
          <w:sz w:val="20"/>
          <w:szCs w:val="20"/>
        </w:rPr>
        <w:t xml:space="preserve">34 </w:t>
      </w:r>
      <w:r w:rsidR="00381E7B" w:rsidRPr="008A7BD7">
        <w:rPr>
          <w:rFonts w:ascii="Cambria" w:hAnsi="Cambria"/>
          <w:sz w:val="20"/>
          <w:szCs w:val="20"/>
        </w:rPr>
        <w:t>roads were destroyed.</w:t>
      </w:r>
      <w:r w:rsidR="00E0555A" w:rsidRPr="008A7BD7">
        <w:rPr>
          <w:rFonts w:ascii="Cambria" w:hAnsi="Cambria"/>
          <w:sz w:val="20"/>
          <w:szCs w:val="20"/>
          <w:vertAlign w:val="superscript"/>
        </w:rPr>
        <w:footnoteReference w:id="201"/>
      </w:r>
      <w:r w:rsidR="00E0555A" w:rsidRPr="008A7BD7">
        <w:rPr>
          <w:rFonts w:ascii="Cambria" w:hAnsi="Cambria"/>
          <w:sz w:val="20"/>
          <w:szCs w:val="20"/>
        </w:rPr>
        <w:t xml:space="preserve"> </w:t>
      </w:r>
    </w:p>
    <w:p w14:paraId="2C6918CB" w14:textId="77777777" w:rsidR="00E0555A" w:rsidRPr="008A7BD7" w:rsidRDefault="00E0555A" w:rsidP="00E0555A">
      <w:pPr>
        <w:pStyle w:val="ListParagraph"/>
        <w:rPr>
          <w:rFonts w:ascii="Cambria" w:hAnsi="Cambria"/>
          <w:sz w:val="20"/>
          <w:szCs w:val="20"/>
        </w:rPr>
      </w:pPr>
    </w:p>
    <w:p w14:paraId="56E8FE2F" w14:textId="62739F8B" w:rsidR="00E0555A" w:rsidRPr="008A7BD7" w:rsidRDefault="002C3D5A" w:rsidP="003D3059">
      <w:pPr>
        <w:numPr>
          <w:ilvl w:val="0"/>
          <w:numId w:val="2"/>
        </w:numPr>
        <w:ind w:left="0" w:firstLine="720"/>
        <w:jc w:val="both"/>
        <w:rPr>
          <w:rFonts w:ascii="Cambria" w:eastAsiaTheme="minorEastAsia" w:hAnsi="Cambria"/>
          <w:sz w:val="20"/>
          <w:szCs w:val="20"/>
        </w:rPr>
      </w:pPr>
      <w:r w:rsidRPr="008A7BD7">
        <w:rPr>
          <w:rFonts w:ascii="Cambria" w:hAnsi="Cambria"/>
          <w:sz w:val="20"/>
          <w:szCs w:val="20"/>
        </w:rPr>
        <w:t>At the same time</w:t>
      </w:r>
      <w:r w:rsidR="00E0555A" w:rsidRPr="008A7BD7">
        <w:rPr>
          <w:rFonts w:ascii="Cambria" w:hAnsi="Cambria"/>
          <w:sz w:val="20"/>
          <w:szCs w:val="20"/>
        </w:rPr>
        <w:t xml:space="preserve">, </w:t>
      </w:r>
      <w:r w:rsidRPr="008A7BD7">
        <w:rPr>
          <w:rFonts w:ascii="Cambria" w:hAnsi="Cambria"/>
          <w:sz w:val="20"/>
          <w:szCs w:val="20"/>
        </w:rPr>
        <w:t xml:space="preserve">the Commission and the Special </w:t>
      </w:r>
      <w:proofErr w:type="spellStart"/>
      <w:r w:rsidRPr="008A7BD7">
        <w:rPr>
          <w:rFonts w:ascii="Cambria" w:hAnsi="Cambria"/>
          <w:sz w:val="20"/>
          <w:szCs w:val="20"/>
        </w:rPr>
        <w:t>Rapporteurship</w:t>
      </w:r>
      <w:proofErr w:type="spellEnd"/>
      <w:r w:rsidRPr="008A7BD7">
        <w:rPr>
          <w:rFonts w:ascii="Cambria" w:hAnsi="Cambria"/>
          <w:sz w:val="20"/>
          <w:szCs w:val="20"/>
        </w:rPr>
        <w:t xml:space="preserve"> take note of a report issued by the International Organization for Migration</w:t>
      </w:r>
      <w:r w:rsidR="00E0555A" w:rsidRPr="008A7BD7">
        <w:rPr>
          <w:rFonts w:ascii="Cambria" w:hAnsi="Cambria"/>
          <w:sz w:val="20"/>
          <w:szCs w:val="20"/>
        </w:rPr>
        <w:t xml:space="preserve"> </w:t>
      </w:r>
      <w:r w:rsidRPr="008A7BD7">
        <w:rPr>
          <w:rFonts w:ascii="Cambria" w:hAnsi="Cambria"/>
          <w:sz w:val="20"/>
          <w:szCs w:val="20"/>
        </w:rPr>
        <w:t xml:space="preserve">(IOM) which said that in one in ten households in the departments of </w:t>
      </w:r>
      <w:r w:rsidR="00E0555A" w:rsidRPr="008A7BD7">
        <w:rPr>
          <w:rFonts w:ascii="Cambria" w:hAnsi="Cambria"/>
          <w:sz w:val="20"/>
          <w:szCs w:val="20"/>
        </w:rPr>
        <w:t xml:space="preserve">Alta Verapaz </w:t>
      </w:r>
      <w:r w:rsidRPr="008A7BD7">
        <w:rPr>
          <w:rFonts w:ascii="Cambria" w:hAnsi="Cambria"/>
          <w:sz w:val="20"/>
          <w:szCs w:val="20"/>
        </w:rPr>
        <w:t>and</w:t>
      </w:r>
      <w:r w:rsidR="00E0555A" w:rsidRPr="008A7BD7">
        <w:rPr>
          <w:rFonts w:ascii="Cambria" w:hAnsi="Cambria"/>
          <w:sz w:val="20"/>
          <w:szCs w:val="20"/>
        </w:rPr>
        <w:t xml:space="preserve"> Huehuetenango</w:t>
      </w:r>
      <w:r w:rsidRPr="008A7BD7">
        <w:rPr>
          <w:rFonts w:ascii="Cambria" w:hAnsi="Cambria"/>
          <w:sz w:val="20"/>
          <w:szCs w:val="20"/>
        </w:rPr>
        <w:t>, some member of the immediate family intends to migrate in the next 12 months to seek better living conditions or because of natural disasters caused by climate change</w:t>
      </w:r>
      <w:r w:rsidR="00E0555A" w:rsidRPr="008A7BD7">
        <w:rPr>
          <w:rFonts w:ascii="Cambria" w:hAnsi="Cambria"/>
          <w:sz w:val="20"/>
          <w:szCs w:val="20"/>
        </w:rPr>
        <w:t>.</w:t>
      </w:r>
      <w:r w:rsidR="00E0555A" w:rsidRPr="008A7BD7">
        <w:rPr>
          <w:rStyle w:val="FootnoteReference"/>
          <w:rFonts w:ascii="Cambria" w:hAnsi="Cambria"/>
          <w:sz w:val="20"/>
          <w:szCs w:val="20"/>
          <w:lang w:val="es-419"/>
        </w:rPr>
        <w:footnoteReference w:id="202"/>
      </w:r>
      <w:r w:rsidR="00120A9A" w:rsidRPr="008A7BD7">
        <w:rPr>
          <w:rFonts w:ascii="Cambria" w:hAnsi="Cambria"/>
          <w:sz w:val="20"/>
          <w:szCs w:val="20"/>
        </w:rPr>
        <w:t xml:space="preserve"> </w:t>
      </w:r>
      <w:r w:rsidR="009E3C95" w:rsidRPr="008A7BD7">
        <w:rPr>
          <w:rFonts w:ascii="Cambria" w:hAnsi="Cambria"/>
          <w:sz w:val="20"/>
          <w:szCs w:val="20"/>
        </w:rPr>
        <w:t>T</w:t>
      </w:r>
      <w:r w:rsidR="00493611" w:rsidRPr="008A7BD7">
        <w:rPr>
          <w:rFonts w:ascii="Cambria" w:hAnsi="Cambria"/>
          <w:sz w:val="20"/>
          <w:szCs w:val="20"/>
        </w:rPr>
        <w:t xml:space="preserve">he biggest losses recorded </w:t>
      </w:r>
      <w:r w:rsidR="009E3C95" w:rsidRPr="008A7BD7">
        <w:rPr>
          <w:rFonts w:ascii="Cambria" w:hAnsi="Cambria"/>
          <w:sz w:val="20"/>
          <w:szCs w:val="20"/>
        </w:rPr>
        <w:t xml:space="preserve">in this context </w:t>
      </w:r>
      <w:r w:rsidR="00493611" w:rsidRPr="008A7BD7">
        <w:rPr>
          <w:rFonts w:ascii="Cambria" w:hAnsi="Cambria"/>
          <w:sz w:val="20"/>
          <w:szCs w:val="20"/>
        </w:rPr>
        <w:t>were from the destruction of private homes, with</w:t>
      </w:r>
      <w:r w:rsidR="00E0555A" w:rsidRPr="008A7BD7">
        <w:rPr>
          <w:rFonts w:ascii="Cambria" w:hAnsi="Cambria"/>
          <w:sz w:val="20"/>
          <w:szCs w:val="20"/>
        </w:rPr>
        <w:t xml:space="preserve"> </w:t>
      </w:r>
      <w:r w:rsidR="00493611" w:rsidRPr="008A7BD7">
        <w:rPr>
          <w:rFonts w:ascii="Cambria" w:hAnsi="Cambria"/>
          <w:sz w:val="20"/>
          <w:szCs w:val="20"/>
        </w:rPr>
        <w:t xml:space="preserve">damages estimated at </w:t>
      </w:r>
      <w:r w:rsidR="00E0555A" w:rsidRPr="008A7BD7">
        <w:rPr>
          <w:rFonts w:ascii="Cambria" w:hAnsi="Cambria"/>
          <w:sz w:val="20"/>
          <w:szCs w:val="20"/>
        </w:rPr>
        <w:t>2</w:t>
      </w:r>
      <w:r w:rsidR="00493611" w:rsidRPr="008A7BD7">
        <w:rPr>
          <w:rFonts w:ascii="Cambria" w:hAnsi="Cambria"/>
          <w:sz w:val="20"/>
          <w:szCs w:val="20"/>
        </w:rPr>
        <w:t>,444,000,000</w:t>
      </w:r>
      <w:r w:rsidR="00E0555A" w:rsidRPr="008A7BD7">
        <w:rPr>
          <w:rFonts w:ascii="Cambria" w:hAnsi="Cambria"/>
          <w:sz w:val="20"/>
          <w:szCs w:val="20"/>
        </w:rPr>
        <w:t xml:space="preserve"> </w:t>
      </w:r>
      <w:r w:rsidR="00493611" w:rsidRPr="008A7BD7">
        <w:rPr>
          <w:rFonts w:ascii="Cambria" w:hAnsi="Cambria"/>
          <w:sz w:val="20"/>
          <w:szCs w:val="20"/>
        </w:rPr>
        <w:t>quetzals.</w:t>
      </w:r>
      <w:r w:rsidR="00E0555A" w:rsidRPr="008A7BD7">
        <w:rPr>
          <w:rFonts w:ascii="Cambria" w:hAnsi="Cambria"/>
          <w:sz w:val="20"/>
          <w:szCs w:val="20"/>
          <w:vertAlign w:val="superscript"/>
        </w:rPr>
        <w:footnoteReference w:id="203"/>
      </w:r>
      <w:r w:rsidR="00E0555A" w:rsidRPr="008A7BD7">
        <w:rPr>
          <w:rFonts w:ascii="Cambria" w:hAnsi="Cambria"/>
          <w:sz w:val="20"/>
          <w:szCs w:val="20"/>
        </w:rPr>
        <w:t xml:space="preserve"> </w:t>
      </w:r>
      <w:r w:rsidR="0061639D" w:rsidRPr="008A7BD7">
        <w:rPr>
          <w:rFonts w:ascii="Cambria" w:hAnsi="Cambria"/>
          <w:sz w:val="20"/>
          <w:szCs w:val="20"/>
        </w:rPr>
        <w:t>The IOM indicated</w:t>
      </w:r>
      <w:r w:rsidR="00E0555A" w:rsidRPr="008A7BD7">
        <w:rPr>
          <w:rFonts w:ascii="Cambria" w:hAnsi="Cambria"/>
          <w:sz w:val="20"/>
          <w:szCs w:val="20"/>
        </w:rPr>
        <w:t xml:space="preserve"> </w:t>
      </w:r>
      <w:r w:rsidR="0061639D" w:rsidRPr="008A7BD7">
        <w:rPr>
          <w:rFonts w:ascii="Cambria" w:hAnsi="Cambria"/>
          <w:sz w:val="20"/>
          <w:szCs w:val="20"/>
        </w:rPr>
        <w:t xml:space="preserve">that </w:t>
      </w:r>
      <w:r w:rsidR="00E0555A" w:rsidRPr="008A7BD7">
        <w:rPr>
          <w:rFonts w:ascii="Cambria" w:hAnsi="Cambria"/>
          <w:sz w:val="20"/>
          <w:szCs w:val="20"/>
        </w:rPr>
        <w:t xml:space="preserve">1,084 </w:t>
      </w:r>
      <w:r w:rsidR="0061639D" w:rsidRPr="008A7BD7">
        <w:rPr>
          <w:rFonts w:ascii="Cambria" w:hAnsi="Cambria"/>
          <w:sz w:val="20"/>
          <w:szCs w:val="20"/>
        </w:rPr>
        <w:t xml:space="preserve">households were displaced by Hurricanes Eta and Iota in seven communities in the municipalities of </w:t>
      </w:r>
      <w:r w:rsidR="00E0555A" w:rsidRPr="008A7BD7">
        <w:rPr>
          <w:rFonts w:ascii="Cambria" w:hAnsi="Cambria"/>
          <w:sz w:val="20"/>
          <w:szCs w:val="20"/>
        </w:rPr>
        <w:t xml:space="preserve">San Cristóbal Verapaz, </w:t>
      </w:r>
      <w:proofErr w:type="spellStart"/>
      <w:r w:rsidR="00E0555A" w:rsidRPr="008A7BD7">
        <w:rPr>
          <w:rFonts w:ascii="Cambria" w:hAnsi="Cambria"/>
          <w:sz w:val="20"/>
          <w:szCs w:val="20"/>
        </w:rPr>
        <w:t>Chiantla</w:t>
      </w:r>
      <w:proofErr w:type="spellEnd"/>
      <w:r w:rsidR="0061639D" w:rsidRPr="008A7BD7">
        <w:rPr>
          <w:rFonts w:ascii="Cambria" w:hAnsi="Cambria"/>
          <w:sz w:val="20"/>
          <w:szCs w:val="20"/>
        </w:rPr>
        <w:t xml:space="preserve">, and </w:t>
      </w:r>
      <w:proofErr w:type="spellStart"/>
      <w:r w:rsidR="00E0555A" w:rsidRPr="008A7BD7">
        <w:rPr>
          <w:rFonts w:ascii="Cambria" w:hAnsi="Cambria"/>
          <w:sz w:val="20"/>
          <w:szCs w:val="20"/>
        </w:rPr>
        <w:t>Cuilco</w:t>
      </w:r>
      <w:proofErr w:type="spellEnd"/>
      <w:r w:rsidR="00E0555A" w:rsidRPr="008A7BD7">
        <w:rPr>
          <w:rFonts w:ascii="Cambria" w:hAnsi="Cambria"/>
          <w:sz w:val="20"/>
          <w:szCs w:val="20"/>
        </w:rPr>
        <w:t xml:space="preserve">. </w:t>
      </w:r>
      <w:r w:rsidR="0061639D" w:rsidRPr="008A7BD7">
        <w:rPr>
          <w:rFonts w:ascii="Cambria" w:hAnsi="Cambria"/>
          <w:sz w:val="20"/>
          <w:szCs w:val="20"/>
        </w:rPr>
        <w:t xml:space="preserve">However, </w:t>
      </w:r>
      <w:r w:rsidR="0031716B" w:rsidRPr="008A7BD7">
        <w:rPr>
          <w:rFonts w:ascii="Cambria" w:hAnsi="Cambria"/>
          <w:sz w:val="20"/>
          <w:szCs w:val="20"/>
        </w:rPr>
        <w:t>it</w:t>
      </w:r>
      <w:r w:rsidR="0061639D" w:rsidRPr="008A7BD7">
        <w:rPr>
          <w:rFonts w:ascii="Cambria" w:hAnsi="Cambria"/>
          <w:sz w:val="20"/>
          <w:szCs w:val="20"/>
        </w:rPr>
        <w:t xml:space="preserve"> notes that </w:t>
      </w:r>
      <w:r w:rsidR="0092379A" w:rsidRPr="008A7BD7">
        <w:rPr>
          <w:rFonts w:ascii="Cambria" w:hAnsi="Cambria"/>
          <w:sz w:val="20"/>
          <w:szCs w:val="20"/>
        </w:rPr>
        <w:t>there</w:t>
      </w:r>
      <w:r w:rsidR="0031716B" w:rsidRPr="008A7BD7">
        <w:rPr>
          <w:rFonts w:ascii="Cambria" w:hAnsi="Cambria"/>
          <w:sz w:val="20"/>
          <w:szCs w:val="20"/>
        </w:rPr>
        <w:t xml:space="preserve"> are </w:t>
      </w:r>
      <w:r w:rsidR="0061639D" w:rsidRPr="008A7BD7">
        <w:rPr>
          <w:rFonts w:ascii="Cambria" w:hAnsi="Cambria"/>
          <w:sz w:val="20"/>
          <w:szCs w:val="20"/>
        </w:rPr>
        <w:t xml:space="preserve">more </w:t>
      </w:r>
      <w:r w:rsidR="009E3C95" w:rsidRPr="008A7BD7">
        <w:rPr>
          <w:rFonts w:ascii="Cambria" w:hAnsi="Cambria"/>
          <w:sz w:val="20"/>
          <w:szCs w:val="20"/>
        </w:rPr>
        <w:t>households affected by the storm</w:t>
      </w:r>
      <w:r w:rsidR="0031716B" w:rsidRPr="008A7BD7">
        <w:rPr>
          <w:rFonts w:ascii="Cambria" w:hAnsi="Cambria"/>
          <w:sz w:val="20"/>
          <w:szCs w:val="20"/>
        </w:rPr>
        <w:t xml:space="preserve"> that do not show up in the report.</w:t>
      </w:r>
      <w:r w:rsidR="00E0555A" w:rsidRPr="008A7BD7">
        <w:rPr>
          <w:rStyle w:val="FootnoteReference"/>
          <w:rFonts w:ascii="Cambria" w:hAnsi="Cambria"/>
          <w:sz w:val="20"/>
          <w:szCs w:val="20"/>
          <w:lang w:val="es-419"/>
        </w:rPr>
        <w:footnoteReference w:id="204"/>
      </w:r>
    </w:p>
    <w:p w14:paraId="436C3421" w14:textId="77777777" w:rsidR="00E0555A" w:rsidRPr="008A7BD7" w:rsidRDefault="00E0555A" w:rsidP="00E0555A">
      <w:pPr>
        <w:pStyle w:val="ListParagraph"/>
        <w:rPr>
          <w:rFonts w:ascii="Cambria" w:hAnsi="Cambria"/>
          <w:sz w:val="20"/>
          <w:szCs w:val="20"/>
        </w:rPr>
      </w:pPr>
    </w:p>
    <w:p w14:paraId="2918B4C6" w14:textId="0362D54F" w:rsidR="00E0555A" w:rsidRPr="008A7BD7" w:rsidRDefault="00170A87" w:rsidP="003D3059">
      <w:pPr>
        <w:numPr>
          <w:ilvl w:val="0"/>
          <w:numId w:val="2"/>
        </w:numPr>
        <w:ind w:left="0" w:firstLine="720"/>
        <w:jc w:val="both"/>
        <w:rPr>
          <w:rFonts w:ascii="Cambria" w:eastAsiaTheme="minorEastAsia" w:hAnsi="Cambria"/>
          <w:sz w:val="20"/>
          <w:szCs w:val="20"/>
        </w:rPr>
      </w:pPr>
      <w:r w:rsidRPr="008A7BD7">
        <w:rPr>
          <w:rFonts w:ascii="Cambria" w:hAnsi="Cambria"/>
          <w:sz w:val="20"/>
          <w:szCs w:val="20"/>
        </w:rPr>
        <w:t xml:space="preserve">In addition, the Commission and the Special </w:t>
      </w:r>
      <w:proofErr w:type="spellStart"/>
      <w:r w:rsidRPr="008A7BD7">
        <w:rPr>
          <w:rFonts w:ascii="Cambria" w:hAnsi="Cambria"/>
          <w:sz w:val="20"/>
          <w:szCs w:val="20"/>
        </w:rPr>
        <w:t>Rapporteurship</w:t>
      </w:r>
      <w:proofErr w:type="spellEnd"/>
      <w:r w:rsidRPr="008A7BD7">
        <w:rPr>
          <w:rFonts w:ascii="Cambria" w:hAnsi="Cambria"/>
          <w:sz w:val="20"/>
          <w:szCs w:val="20"/>
        </w:rPr>
        <w:t xml:space="preserve"> are aware that in June, more than 80 civil society organizations and around 17 individuals requested urgent ratification of the </w:t>
      </w:r>
      <w:proofErr w:type="spellStart"/>
      <w:r w:rsidR="00E0555A" w:rsidRPr="008A7BD7">
        <w:rPr>
          <w:rFonts w:ascii="Cambria" w:hAnsi="Cambria"/>
          <w:sz w:val="20"/>
          <w:szCs w:val="20"/>
        </w:rPr>
        <w:t>Escazú</w:t>
      </w:r>
      <w:proofErr w:type="spellEnd"/>
      <w:r w:rsidRPr="008A7BD7">
        <w:rPr>
          <w:rFonts w:ascii="Cambria" w:hAnsi="Cambria"/>
          <w:sz w:val="20"/>
          <w:szCs w:val="20"/>
        </w:rPr>
        <w:t xml:space="preserve"> Agreement</w:t>
      </w:r>
      <w:r w:rsidR="00E0555A" w:rsidRPr="008A7BD7">
        <w:rPr>
          <w:rFonts w:ascii="Cambria" w:hAnsi="Cambria"/>
          <w:sz w:val="20"/>
          <w:szCs w:val="20"/>
        </w:rPr>
        <w:t xml:space="preserve">, </w:t>
      </w:r>
      <w:r w:rsidR="00825F6B" w:rsidRPr="008A7BD7">
        <w:rPr>
          <w:rFonts w:ascii="Cambria" w:hAnsi="Cambria"/>
          <w:sz w:val="20"/>
          <w:szCs w:val="20"/>
        </w:rPr>
        <w:t xml:space="preserve">which was </w:t>
      </w:r>
      <w:r w:rsidRPr="008A7BD7">
        <w:rPr>
          <w:rFonts w:ascii="Cambria" w:hAnsi="Cambria"/>
          <w:sz w:val="20"/>
          <w:szCs w:val="20"/>
        </w:rPr>
        <w:t xml:space="preserve">signed for its adoption in Guatemala on March 4, 2018, </w:t>
      </w:r>
      <w:r w:rsidR="00825F6B" w:rsidRPr="008A7BD7">
        <w:rPr>
          <w:rFonts w:ascii="Cambria" w:hAnsi="Cambria"/>
          <w:sz w:val="20"/>
          <w:szCs w:val="20"/>
        </w:rPr>
        <w:t xml:space="preserve">and </w:t>
      </w:r>
      <w:r w:rsidRPr="008A7BD7">
        <w:rPr>
          <w:rFonts w:ascii="Cambria" w:hAnsi="Cambria"/>
          <w:sz w:val="20"/>
          <w:szCs w:val="20"/>
        </w:rPr>
        <w:t xml:space="preserve">which </w:t>
      </w:r>
      <w:r w:rsidR="00ED10F1" w:rsidRPr="008A7BD7">
        <w:rPr>
          <w:rFonts w:ascii="Cambria" w:hAnsi="Cambria"/>
          <w:sz w:val="20"/>
          <w:szCs w:val="20"/>
        </w:rPr>
        <w:t xml:space="preserve">the </w:t>
      </w:r>
      <w:r w:rsidRPr="008A7BD7">
        <w:rPr>
          <w:rFonts w:ascii="Cambria" w:hAnsi="Cambria"/>
          <w:sz w:val="20"/>
          <w:szCs w:val="20"/>
        </w:rPr>
        <w:t xml:space="preserve">Congress reportedly does not </w:t>
      </w:r>
      <w:r w:rsidR="00825F6B" w:rsidRPr="008A7BD7">
        <w:rPr>
          <w:rFonts w:ascii="Cambria" w:hAnsi="Cambria"/>
          <w:sz w:val="20"/>
          <w:szCs w:val="20"/>
        </w:rPr>
        <w:t>intend</w:t>
      </w:r>
      <w:r w:rsidRPr="008A7BD7">
        <w:rPr>
          <w:rFonts w:ascii="Cambria" w:hAnsi="Cambria"/>
          <w:sz w:val="20"/>
          <w:szCs w:val="20"/>
        </w:rPr>
        <w:t xml:space="preserve"> to approve</w:t>
      </w:r>
      <w:r w:rsidR="00ED10F1" w:rsidRPr="008A7BD7">
        <w:rPr>
          <w:rFonts w:ascii="Cambria" w:hAnsi="Cambria"/>
          <w:sz w:val="20"/>
          <w:szCs w:val="20"/>
        </w:rPr>
        <w:t>.</w:t>
      </w:r>
      <w:r w:rsidR="00825F6B" w:rsidRPr="008A7BD7">
        <w:rPr>
          <w:rFonts w:ascii="Cambria" w:hAnsi="Cambria"/>
          <w:sz w:val="20"/>
          <w:szCs w:val="20"/>
        </w:rPr>
        <w:t xml:space="preserve"> The statement</w:t>
      </w:r>
      <w:r w:rsidR="00E0555A" w:rsidRPr="008A7BD7">
        <w:rPr>
          <w:rFonts w:ascii="Cambria" w:hAnsi="Cambria"/>
          <w:sz w:val="20"/>
          <w:szCs w:val="20"/>
        </w:rPr>
        <w:t xml:space="preserve"> </w:t>
      </w:r>
      <w:r w:rsidR="00825F6B" w:rsidRPr="008A7BD7">
        <w:rPr>
          <w:rFonts w:ascii="Cambria" w:hAnsi="Cambria"/>
          <w:sz w:val="20"/>
          <w:szCs w:val="20"/>
        </w:rPr>
        <w:t xml:space="preserve">stressed the importance of the agreement as a legal instrument for environmental protection, which in turn would strengthen the State’s actions vis-à-vis environmental </w:t>
      </w:r>
      <w:r w:rsidR="00C10B9E" w:rsidRPr="008A7BD7">
        <w:rPr>
          <w:rFonts w:ascii="Cambria" w:hAnsi="Cambria"/>
          <w:sz w:val="20"/>
          <w:szCs w:val="20"/>
        </w:rPr>
        <w:t>problems</w:t>
      </w:r>
      <w:r w:rsidR="00825F6B" w:rsidRPr="008A7BD7">
        <w:rPr>
          <w:rFonts w:ascii="Cambria" w:hAnsi="Cambria"/>
          <w:sz w:val="20"/>
          <w:szCs w:val="20"/>
        </w:rPr>
        <w:t>.</w:t>
      </w:r>
      <w:r w:rsidR="00E0555A" w:rsidRPr="008A7BD7">
        <w:rPr>
          <w:rFonts w:ascii="Cambria" w:hAnsi="Cambria"/>
          <w:sz w:val="20"/>
          <w:szCs w:val="20"/>
          <w:vertAlign w:val="superscript"/>
        </w:rPr>
        <w:footnoteReference w:id="205"/>
      </w:r>
      <w:r w:rsidR="00E0555A" w:rsidRPr="008A7BD7">
        <w:rPr>
          <w:rFonts w:ascii="Cambria" w:hAnsi="Cambria"/>
          <w:sz w:val="20"/>
          <w:szCs w:val="20"/>
        </w:rPr>
        <w:t xml:space="preserve"> </w:t>
      </w:r>
      <w:r w:rsidR="00825F6B" w:rsidRPr="008A7BD7">
        <w:rPr>
          <w:rFonts w:ascii="Cambria" w:hAnsi="Cambria"/>
          <w:sz w:val="20"/>
          <w:szCs w:val="20"/>
        </w:rPr>
        <w:t>Th</w:t>
      </w:r>
      <w:r w:rsidR="004077D9" w:rsidRPr="008A7BD7">
        <w:rPr>
          <w:rFonts w:ascii="Cambria" w:hAnsi="Cambria"/>
          <w:sz w:val="20"/>
          <w:szCs w:val="20"/>
        </w:rPr>
        <w:t xml:space="preserve">e statement also requested </w:t>
      </w:r>
      <w:r w:rsidR="0016619C" w:rsidRPr="008A7BD7">
        <w:rPr>
          <w:rFonts w:ascii="Cambria" w:hAnsi="Cambria"/>
          <w:sz w:val="20"/>
          <w:szCs w:val="20"/>
        </w:rPr>
        <w:t xml:space="preserve">gradual </w:t>
      </w:r>
      <w:r w:rsidR="00B91ABE" w:rsidRPr="008A7BD7">
        <w:rPr>
          <w:rFonts w:ascii="Cambria" w:hAnsi="Cambria"/>
          <w:sz w:val="20"/>
          <w:szCs w:val="20"/>
        </w:rPr>
        <w:t xml:space="preserve">compliance with the </w:t>
      </w:r>
      <w:r w:rsidR="00F62B66" w:rsidRPr="008A7BD7">
        <w:rPr>
          <w:rFonts w:ascii="Cambria" w:hAnsi="Cambria"/>
          <w:sz w:val="20"/>
          <w:szCs w:val="20"/>
        </w:rPr>
        <w:t>adoption</w:t>
      </w:r>
      <w:r w:rsidR="00B91ABE" w:rsidRPr="008A7BD7">
        <w:rPr>
          <w:rFonts w:ascii="Cambria" w:hAnsi="Cambria"/>
          <w:sz w:val="20"/>
          <w:szCs w:val="20"/>
        </w:rPr>
        <w:t xml:space="preserve"> of </w:t>
      </w:r>
      <w:r w:rsidR="004077D9" w:rsidRPr="008A7BD7">
        <w:rPr>
          <w:rFonts w:ascii="Cambria" w:hAnsi="Cambria"/>
          <w:sz w:val="20"/>
          <w:szCs w:val="20"/>
        </w:rPr>
        <w:t xml:space="preserve">supplementary legislation to introduce the standards </w:t>
      </w:r>
      <w:r w:rsidR="00F62B66" w:rsidRPr="008A7BD7">
        <w:rPr>
          <w:rFonts w:ascii="Cambria" w:hAnsi="Cambria"/>
          <w:sz w:val="20"/>
          <w:szCs w:val="20"/>
        </w:rPr>
        <w:t xml:space="preserve">established in the </w:t>
      </w:r>
      <w:proofErr w:type="spellStart"/>
      <w:r w:rsidR="004077D9" w:rsidRPr="008A7BD7">
        <w:rPr>
          <w:rFonts w:ascii="Cambria" w:hAnsi="Cambria"/>
          <w:sz w:val="20"/>
          <w:szCs w:val="20"/>
        </w:rPr>
        <w:t>Escazú</w:t>
      </w:r>
      <w:proofErr w:type="spellEnd"/>
      <w:r w:rsidR="004077D9" w:rsidRPr="008A7BD7">
        <w:rPr>
          <w:rFonts w:ascii="Cambria" w:hAnsi="Cambria"/>
          <w:sz w:val="20"/>
          <w:szCs w:val="20"/>
        </w:rPr>
        <w:t xml:space="preserve"> Agreement regarding access to information, access to participation, and access to justice in environmental matters, </w:t>
      </w:r>
      <w:r w:rsidR="00DF30A3" w:rsidRPr="008A7BD7">
        <w:rPr>
          <w:rFonts w:ascii="Cambria" w:hAnsi="Cambria"/>
          <w:sz w:val="20"/>
          <w:szCs w:val="20"/>
        </w:rPr>
        <w:t>as well as</w:t>
      </w:r>
      <w:r w:rsidR="004077D9" w:rsidRPr="008A7BD7">
        <w:rPr>
          <w:rFonts w:ascii="Cambria" w:hAnsi="Cambria"/>
          <w:sz w:val="20"/>
          <w:szCs w:val="20"/>
        </w:rPr>
        <w:t xml:space="preserve"> measures of prevention and protection </w:t>
      </w:r>
      <w:r w:rsidR="00DF30A3" w:rsidRPr="008A7BD7">
        <w:rPr>
          <w:rFonts w:ascii="Cambria" w:hAnsi="Cambria"/>
          <w:sz w:val="20"/>
          <w:szCs w:val="20"/>
        </w:rPr>
        <w:t>for</w:t>
      </w:r>
      <w:r w:rsidR="004077D9" w:rsidRPr="008A7BD7">
        <w:rPr>
          <w:rFonts w:ascii="Cambria" w:hAnsi="Cambria"/>
          <w:sz w:val="20"/>
          <w:szCs w:val="20"/>
        </w:rPr>
        <w:t xml:space="preserve"> environmental defenders.</w:t>
      </w:r>
      <w:r w:rsidR="00E0555A" w:rsidRPr="008A7BD7">
        <w:rPr>
          <w:rFonts w:ascii="Cambria" w:hAnsi="Cambria"/>
          <w:sz w:val="20"/>
          <w:szCs w:val="20"/>
          <w:vertAlign w:val="superscript"/>
        </w:rPr>
        <w:footnoteReference w:id="206"/>
      </w:r>
      <w:r w:rsidR="004077D9" w:rsidRPr="008A7BD7">
        <w:rPr>
          <w:rFonts w:ascii="Cambria" w:hAnsi="Cambria"/>
          <w:sz w:val="20"/>
          <w:szCs w:val="20"/>
        </w:rPr>
        <w:t xml:space="preserve"> </w:t>
      </w:r>
      <w:r w:rsidR="00E0555A" w:rsidRPr="008A7BD7">
        <w:rPr>
          <w:rFonts w:ascii="Cambria" w:hAnsi="Cambria"/>
          <w:sz w:val="20"/>
          <w:szCs w:val="20"/>
        </w:rPr>
        <w:t xml:space="preserve"> </w:t>
      </w:r>
    </w:p>
    <w:p w14:paraId="33DBE127" w14:textId="77777777" w:rsidR="00E0555A" w:rsidRPr="008A7BD7" w:rsidRDefault="00E0555A" w:rsidP="00E0555A">
      <w:pPr>
        <w:pStyle w:val="ListParagraph"/>
        <w:rPr>
          <w:rFonts w:ascii="Cambria" w:hAnsi="Cambria"/>
          <w:sz w:val="20"/>
          <w:szCs w:val="20"/>
        </w:rPr>
      </w:pPr>
    </w:p>
    <w:p w14:paraId="15596B1D" w14:textId="65776FF0" w:rsidR="00E0555A" w:rsidRPr="008A7BD7" w:rsidRDefault="0034021D" w:rsidP="003D3059">
      <w:pPr>
        <w:numPr>
          <w:ilvl w:val="0"/>
          <w:numId w:val="2"/>
        </w:numPr>
        <w:ind w:left="0" w:firstLine="720"/>
        <w:jc w:val="both"/>
        <w:rPr>
          <w:rFonts w:ascii="Cambria" w:eastAsiaTheme="minorEastAsia" w:hAnsi="Cambria"/>
          <w:sz w:val="20"/>
          <w:szCs w:val="20"/>
        </w:rPr>
      </w:pPr>
      <w:r w:rsidRPr="008A7BD7">
        <w:rPr>
          <w:rFonts w:ascii="Cambria" w:hAnsi="Cambria"/>
          <w:sz w:val="20"/>
          <w:szCs w:val="20"/>
        </w:rPr>
        <w:t xml:space="preserve">The IACHR and </w:t>
      </w:r>
      <w:r w:rsidR="00FB157B" w:rsidRPr="008A7BD7">
        <w:rPr>
          <w:rFonts w:ascii="Cambria" w:hAnsi="Cambria"/>
          <w:sz w:val="20"/>
          <w:szCs w:val="20"/>
        </w:rPr>
        <w:t xml:space="preserve">REDESCA </w:t>
      </w:r>
      <w:r w:rsidRPr="008A7BD7">
        <w:rPr>
          <w:rFonts w:ascii="Cambria" w:hAnsi="Cambria"/>
          <w:sz w:val="20"/>
          <w:szCs w:val="20"/>
        </w:rPr>
        <w:t xml:space="preserve">note that Guatemala has yet to join the </w:t>
      </w:r>
      <w:proofErr w:type="spellStart"/>
      <w:r w:rsidRPr="008A7BD7">
        <w:rPr>
          <w:rFonts w:ascii="Cambria" w:hAnsi="Cambria"/>
          <w:sz w:val="20"/>
          <w:szCs w:val="20"/>
        </w:rPr>
        <w:t>Escazú</w:t>
      </w:r>
      <w:proofErr w:type="spellEnd"/>
      <w:r w:rsidRPr="008A7BD7">
        <w:rPr>
          <w:rFonts w:ascii="Cambria" w:hAnsi="Cambria"/>
          <w:sz w:val="20"/>
          <w:szCs w:val="20"/>
        </w:rPr>
        <w:t xml:space="preserve"> Agreement even though it has been a signatory since </w:t>
      </w:r>
      <w:r w:rsidR="00E0555A" w:rsidRPr="008A7BD7">
        <w:rPr>
          <w:rFonts w:ascii="Cambria" w:hAnsi="Cambria"/>
          <w:sz w:val="20"/>
          <w:szCs w:val="20"/>
        </w:rPr>
        <w:t xml:space="preserve">2018. </w:t>
      </w:r>
      <w:r w:rsidR="0006708A" w:rsidRPr="008A7BD7">
        <w:rPr>
          <w:rFonts w:ascii="Cambria" w:hAnsi="Cambria"/>
          <w:sz w:val="20"/>
          <w:szCs w:val="20"/>
        </w:rPr>
        <w:t xml:space="preserve">Taking into consideration what was indicated above, the Commission and the Special </w:t>
      </w:r>
      <w:proofErr w:type="spellStart"/>
      <w:r w:rsidR="0006708A" w:rsidRPr="008A7BD7">
        <w:rPr>
          <w:rFonts w:ascii="Cambria" w:hAnsi="Cambria"/>
          <w:sz w:val="20"/>
          <w:szCs w:val="20"/>
        </w:rPr>
        <w:t>Rapporteurship</w:t>
      </w:r>
      <w:proofErr w:type="spellEnd"/>
      <w:r w:rsidR="0006708A" w:rsidRPr="008A7BD7">
        <w:rPr>
          <w:rFonts w:ascii="Cambria" w:hAnsi="Cambria"/>
          <w:sz w:val="20"/>
          <w:szCs w:val="20"/>
        </w:rPr>
        <w:t xml:space="preserve"> </w:t>
      </w:r>
      <w:r w:rsidR="00BC6279" w:rsidRPr="008A7BD7">
        <w:rPr>
          <w:rFonts w:ascii="Cambria" w:hAnsi="Cambria"/>
          <w:sz w:val="20"/>
          <w:szCs w:val="20"/>
        </w:rPr>
        <w:t>call to mind</w:t>
      </w:r>
      <w:r w:rsidR="0006708A" w:rsidRPr="008A7BD7">
        <w:rPr>
          <w:rFonts w:ascii="Cambria" w:hAnsi="Cambria"/>
          <w:sz w:val="20"/>
          <w:szCs w:val="20"/>
        </w:rPr>
        <w:t xml:space="preserve"> that this instrument also represents a significant </w:t>
      </w:r>
      <w:r w:rsidR="003A59D1" w:rsidRPr="008A7BD7">
        <w:rPr>
          <w:rFonts w:ascii="Cambria" w:hAnsi="Cambria"/>
          <w:sz w:val="20"/>
          <w:szCs w:val="20"/>
        </w:rPr>
        <w:t>legal</w:t>
      </w:r>
      <w:r w:rsidR="0006708A" w:rsidRPr="008A7BD7">
        <w:rPr>
          <w:rFonts w:ascii="Cambria" w:hAnsi="Cambria"/>
          <w:sz w:val="20"/>
          <w:szCs w:val="20"/>
        </w:rPr>
        <w:t xml:space="preserve"> step forward in </w:t>
      </w:r>
      <w:r w:rsidR="00C94F7C" w:rsidRPr="008A7BD7">
        <w:rPr>
          <w:rFonts w:ascii="Cambria" w:hAnsi="Cambria"/>
          <w:sz w:val="20"/>
          <w:szCs w:val="20"/>
        </w:rPr>
        <w:t xml:space="preserve">terms </w:t>
      </w:r>
      <w:r w:rsidR="00BC6279" w:rsidRPr="008A7BD7">
        <w:rPr>
          <w:rFonts w:ascii="Cambria" w:hAnsi="Cambria"/>
          <w:sz w:val="20"/>
          <w:szCs w:val="20"/>
        </w:rPr>
        <w:t>of</w:t>
      </w:r>
      <w:r w:rsidR="0006708A" w:rsidRPr="008A7BD7">
        <w:rPr>
          <w:rFonts w:ascii="Cambria" w:hAnsi="Cambria"/>
          <w:sz w:val="20"/>
          <w:szCs w:val="20"/>
        </w:rPr>
        <w:t xml:space="preserve"> environmental degradation and climate change, in a</w:t>
      </w:r>
      <w:r w:rsidR="00BC6279" w:rsidRPr="008A7BD7">
        <w:rPr>
          <w:rFonts w:ascii="Cambria" w:hAnsi="Cambria"/>
          <w:sz w:val="20"/>
          <w:szCs w:val="20"/>
        </w:rPr>
        <w:t xml:space="preserve"> context of growing concern </w:t>
      </w:r>
      <w:r w:rsidR="0006708A" w:rsidRPr="008A7BD7">
        <w:rPr>
          <w:rFonts w:ascii="Cambria" w:hAnsi="Cambria"/>
          <w:sz w:val="20"/>
          <w:szCs w:val="20"/>
        </w:rPr>
        <w:t>for the planet</w:t>
      </w:r>
      <w:r w:rsidR="00BC6279" w:rsidRPr="008A7BD7">
        <w:rPr>
          <w:rFonts w:ascii="Cambria" w:hAnsi="Cambria"/>
          <w:sz w:val="20"/>
          <w:szCs w:val="20"/>
        </w:rPr>
        <w:t xml:space="preserve"> and for those who defend the environment</w:t>
      </w:r>
      <w:r w:rsidR="00E0555A" w:rsidRPr="008A7BD7">
        <w:rPr>
          <w:rFonts w:ascii="Cambria" w:eastAsiaTheme="minorEastAsia" w:hAnsi="Cambria"/>
          <w:sz w:val="20"/>
          <w:szCs w:val="20"/>
        </w:rPr>
        <w:t xml:space="preserve">. </w:t>
      </w:r>
      <w:r w:rsidR="003A59D1" w:rsidRPr="008A7BD7">
        <w:rPr>
          <w:rFonts w:ascii="Cambria" w:eastAsiaTheme="minorEastAsia" w:hAnsi="Cambria"/>
          <w:sz w:val="20"/>
          <w:szCs w:val="20"/>
        </w:rPr>
        <w:t xml:space="preserve">This is because </w:t>
      </w:r>
      <w:r w:rsidR="005C29B2" w:rsidRPr="008A7BD7">
        <w:rPr>
          <w:rFonts w:ascii="Cambria" w:eastAsiaTheme="minorEastAsia" w:hAnsi="Cambria"/>
          <w:sz w:val="20"/>
          <w:szCs w:val="20"/>
        </w:rPr>
        <w:t>the agreement</w:t>
      </w:r>
      <w:r w:rsidR="003A59D1" w:rsidRPr="008A7BD7">
        <w:rPr>
          <w:rFonts w:ascii="Cambria" w:eastAsiaTheme="minorEastAsia" w:hAnsi="Cambria"/>
          <w:sz w:val="20"/>
          <w:szCs w:val="20"/>
        </w:rPr>
        <w:t xml:space="preserve"> reinforces principles and obligations established in inter-American </w:t>
      </w:r>
      <w:r w:rsidR="005C29B2" w:rsidRPr="008A7BD7">
        <w:rPr>
          <w:rFonts w:ascii="Cambria" w:eastAsiaTheme="minorEastAsia" w:hAnsi="Cambria"/>
          <w:sz w:val="20"/>
          <w:szCs w:val="20"/>
        </w:rPr>
        <w:t>standards</w:t>
      </w:r>
      <w:r w:rsidR="003A59D1" w:rsidRPr="008A7BD7">
        <w:rPr>
          <w:rFonts w:ascii="Cambria" w:eastAsiaTheme="minorEastAsia" w:hAnsi="Cambria"/>
          <w:sz w:val="20"/>
          <w:szCs w:val="20"/>
        </w:rPr>
        <w:t xml:space="preserve"> and jurisprudence on the right to a healthy environment, highlighting the need </w:t>
      </w:r>
      <w:r w:rsidR="00DF30A3" w:rsidRPr="008A7BD7">
        <w:rPr>
          <w:rFonts w:ascii="Cambria" w:eastAsiaTheme="minorEastAsia" w:hAnsi="Cambria"/>
          <w:sz w:val="20"/>
          <w:szCs w:val="20"/>
        </w:rPr>
        <w:t xml:space="preserve">for </w:t>
      </w:r>
      <w:r w:rsidR="00483BDA" w:rsidRPr="008A7BD7">
        <w:rPr>
          <w:rFonts w:ascii="Cambria" w:eastAsiaTheme="minorEastAsia" w:hAnsi="Cambria"/>
          <w:sz w:val="20"/>
          <w:szCs w:val="20"/>
        </w:rPr>
        <w:t xml:space="preserve">the </w:t>
      </w:r>
      <w:r w:rsidR="00A73C02" w:rsidRPr="008A7BD7">
        <w:rPr>
          <w:rFonts w:ascii="Cambria" w:eastAsiaTheme="minorEastAsia" w:hAnsi="Cambria"/>
          <w:sz w:val="20"/>
          <w:szCs w:val="20"/>
        </w:rPr>
        <w:t xml:space="preserve">so-called “access rights” to </w:t>
      </w:r>
      <w:r w:rsidR="00DF30A3" w:rsidRPr="008A7BD7">
        <w:rPr>
          <w:rFonts w:ascii="Cambria" w:eastAsiaTheme="minorEastAsia" w:hAnsi="Cambria"/>
          <w:sz w:val="20"/>
          <w:szCs w:val="20"/>
        </w:rPr>
        <w:t xml:space="preserve">be guaranteed </w:t>
      </w:r>
      <w:proofErr w:type="gramStart"/>
      <w:r w:rsidR="00DF30A3" w:rsidRPr="008A7BD7">
        <w:rPr>
          <w:rFonts w:ascii="Cambria" w:eastAsiaTheme="minorEastAsia" w:hAnsi="Cambria"/>
          <w:sz w:val="20"/>
          <w:szCs w:val="20"/>
        </w:rPr>
        <w:t xml:space="preserve">in order </w:t>
      </w:r>
      <w:r w:rsidR="00E26523" w:rsidRPr="008A7BD7">
        <w:rPr>
          <w:rFonts w:ascii="Cambria" w:eastAsiaTheme="minorEastAsia" w:hAnsi="Cambria"/>
          <w:sz w:val="20"/>
          <w:szCs w:val="20"/>
        </w:rPr>
        <w:t>to</w:t>
      </w:r>
      <w:proofErr w:type="gramEnd"/>
      <w:r w:rsidR="00E26523" w:rsidRPr="008A7BD7">
        <w:rPr>
          <w:rFonts w:ascii="Cambria" w:eastAsiaTheme="minorEastAsia" w:hAnsi="Cambria"/>
          <w:sz w:val="20"/>
          <w:szCs w:val="20"/>
        </w:rPr>
        <w:t xml:space="preserve"> </w:t>
      </w:r>
      <w:r w:rsidR="00A73C02" w:rsidRPr="008A7BD7">
        <w:rPr>
          <w:rFonts w:ascii="Cambria" w:eastAsiaTheme="minorEastAsia" w:hAnsi="Cambria"/>
          <w:sz w:val="20"/>
          <w:szCs w:val="20"/>
        </w:rPr>
        <w:t xml:space="preserve">ensure </w:t>
      </w:r>
      <w:r w:rsidR="00DF30A3" w:rsidRPr="008A7BD7">
        <w:rPr>
          <w:rFonts w:ascii="Cambria" w:eastAsiaTheme="minorEastAsia" w:hAnsi="Cambria"/>
          <w:sz w:val="20"/>
          <w:szCs w:val="20"/>
        </w:rPr>
        <w:t xml:space="preserve">the </w:t>
      </w:r>
      <w:r w:rsidR="00007755" w:rsidRPr="008A7BD7">
        <w:rPr>
          <w:rFonts w:ascii="Cambria" w:eastAsiaTheme="minorEastAsia" w:hAnsi="Cambria"/>
          <w:sz w:val="20"/>
          <w:szCs w:val="20"/>
        </w:rPr>
        <w:t>exercise</w:t>
      </w:r>
      <w:r w:rsidR="00DF30A3" w:rsidRPr="008A7BD7">
        <w:rPr>
          <w:rFonts w:ascii="Cambria" w:eastAsiaTheme="minorEastAsia" w:hAnsi="Cambria"/>
          <w:sz w:val="20"/>
          <w:szCs w:val="20"/>
        </w:rPr>
        <w:t xml:space="preserve"> of this right</w:t>
      </w:r>
      <w:r w:rsidR="00A73C02" w:rsidRPr="008A7BD7">
        <w:rPr>
          <w:rFonts w:ascii="Cambria" w:eastAsiaTheme="minorEastAsia" w:hAnsi="Cambria"/>
          <w:sz w:val="20"/>
          <w:szCs w:val="20"/>
        </w:rPr>
        <w:t xml:space="preserve">, </w:t>
      </w:r>
      <w:r w:rsidR="00007755" w:rsidRPr="008A7BD7">
        <w:rPr>
          <w:rFonts w:ascii="Cambria" w:eastAsiaTheme="minorEastAsia" w:hAnsi="Cambria"/>
          <w:sz w:val="20"/>
          <w:szCs w:val="20"/>
        </w:rPr>
        <w:t xml:space="preserve">such as the </w:t>
      </w:r>
      <w:r w:rsidR="00A73C02" w:rsidRPr="008A7BD7">
        <w:rPr>
          <w:rFonts w:ascii="Cambria" w:eastAsiaTheme="minorEastAsia" w:hAnsi="Cambria"/>
          <w:sz w:val="20"/>
          <w:szCs w:val="20"/>
        </w:rPr>
        <w:t>effective protection of the right for people to defend the environment</w:t>
      </w:r>
      <w:r w:rsidR="00E0555A" w:rsidRPr="008A7BD7">
        <w:rPr>
          <w:rFonts w:ascii="Cambria" w:eastAsiaTheme="minorEastAsia" w:hAnsi="Cambria"/>
          <w:sz w:val="20"/>
          <w:szCs w:val="20"/>
        </w:rPr>
        <w:t>.</w:t>
      </w:r>
      <w:r w:rsidR="00E0555A" w:rsidRPr="008A7BD7">
        <w:rPr>
          <w:rStyle w:val="FootnoteReference"/>
          <w:rFonts w:ascii="Cambria" w:hAnsi="Cambria"/>
          <w:sz w:val="20"/>
          <w:szCs w:val="20"/>
          <w:lang w:val="es-419"/>
        </w:rPr>
        <w:footnoteReference w:id="207"/>
      </w:r>
    </w:p>
    <w:p w14:paraId="6C6001C8" w14:textId="77777777" w:rsidR="00F97F2A" w:rsidRPr="008A7BD7" w:rsidRDefault="00F97F2A" w:rsidP="00F97F2A">
      <w:pPr>
        <w:pStyle w:val="ListParagraph"/>
        <w:rPr>
          <w:rFonts w:ascii="Cambria" w:eastAsiaTheme="minorEastAsia" w:hAnsi="Cambria"/>
          <w:sz w:val="20"/>
          <w:szCs w:val="20"/>
        </w:rPr>
      </w:pPr>
    </w:p>
    <w:p w14:paraId="3A314766" w14:textId="75888A51" w:rsidR="00F97F2A" w:rsidRPr="008A7BD7" w:rsidRDefault="00A8344D" w:rsidP="00F97F2A">
      <w:pPr>
        <w:numPr>
          <w:ilvl w:val="0"/>
          <w:numId w:val="2"/>
        </w:numPr>
        <w:ind w:left="0" w:firstLine="720"/>
        <w:jc w:val="both"/>
        <w:rPr>
          <w:rFonts w:ascii="Cambria" w:hAnsi="Cambria"/>
          <w:sz w:val="20"/>
          <w:szCs w:val="20"/>
        </w:rPr>
      </w:pPr>
      <w:r w:rsidRPr="008A7BD7">
        <w:rPr>
          <w:rFonts w:ascii="Cambria" w:eastAsiaTheme="minorEastAsia" w:hAnsi="Cambria"/>
          <w:sz w:val="20"/>
          <w:szCs w:val="20"/>
        </w:rPr>
        <w:t xml:space="preserve">In its response to the draft report, the State of </w:t>
      </w:r>
      <w:r w:rsidR="00F97F2A" w:rsidRPr="008A7BD7">
        <w:rPr>
          <w:rFonts w:ascii="Cambria" w:eastAsiaTheme="minorEastAsia" w:hAnsi="Cambria"/>
          <w:sz w:val="20"/>
          <w:szCs w:val="20"/>
        </w:rPr>
        <w:t xml:space="preserve">Guatemala </w:t>
      </w:r>
      <w:r w:rsidRPr="008A7BD7">
        <w:rPr>
          <w:rFonts w:ascii="Cambria" w:eastAsiaTheme="minorEastAsia" w:hAnsi="Cambria"/>
          <w:sz w:val="20"/>
          <w:szCs w:val="20"/>
        </w:rPr>
        <w:t xml:space="preserve">recognized the importance of addressing climate change and its effects. It indicated that “conservation, protection, and restoration are vital to mitigate and improve </w:t>
      </w:r>
      <w:r w:rsidR="00521434" w:rsidRPr="008A7BD7">
        <w:rPr>
          <w:rFonts w:ascii="Cambria" w:eastAsiaTheme="minorEastAsia" w:hAnsi="Cambria"/>
          <w:sz w:val="20"/>
          <w:szCs w:val="20"/>
        </w:rPr>
        <w:t xml:space="preserve">adaptive </w:t>
      </w:r>
      <w:r w:rsidRPr="008A7BD7">
        <w:rPr>
          <w:rFonts w:ascii="Cambria" w:eastAsiaTheme="minorEastAsia" w:hAnsi="Cambria"/>
          <w:sz w:val="20"/>
          <w:szCs w:val="20"/>
        </w:rPr>
        <w:t>forest management through the use of agroforestry systems that help to ensure food security.</w:t>
      </w:r>
      <w:r w:rsidR="00F97F2A" w:rsidRPr="008A7BD7">
        <w:rPr>
          <w:rFonts w:ascii="Cambria" w:eastAsia="Montserrat" w:hAnsi="Cambria" w:cs="Montserrat"/>
          <w:sz w:val="20"/>
          <w:szCs w:val="20"/>
        </w:rPr>
        <w:t xml:space="preserve">” </w:t>
      </w:r>
      <w:r w:rsidR="00617513" w:rsidRPr="008A7BD7">
        <w:rPr>
          <w:rFonts w:ascii="Cambria" w:eastAsia="Montserrat" w:hAnsi="Cambria" w:cs="Montserrat"/>
          <w:sz w:val="20"/>
          <w:szCs w:val="20"/>
        </w:rPr>
        <w:t>T</w:t>
      </w:r>
      <w:r w:rsidRPr="008A7BD7">
        <w:rPr>
          <w:rFonts w:ascii="Cambria" w:eastAsia="Montserrat" w:hAnsi="Cambria" w:cs="Montserrat"/>
          <w:sz w:val="20"/>
          <w:szCs w:val="20"/>
        </w:rPr>
        <w:t>hese lines of action</w:t>
      </w:r>
      <w:r w:rsidR="00617513" w:rsidRPr="008A7BD7">
        <w:rPr>
          <w:rFonts w:ascii="Cambria" w:eastAsia="Montserrat" w:hAnsi="Cambria" w:cs="Montserrat"/>
          <w:sz w:val="20"/>
          <w:szCs w:val="20"/>
        </w:rPr>
        <w:t>, the State said,</w:t>
      </w:r>
      <w:r w:rsidRPr="008A7BD7">
        <w:rPr>
          <w:rFonts w:ascii="Cambria" w:eastAsia="Montserrat" w:hAnsi="Cambria" w:cs="Montserrat"/>
          <w:sz w:val="20"/>
          <w:szCs w:val="20"/>
        </w:rPr>
        <w:t xml:space="preserve"> “help to recognize the effects of climate change.</w:t>
      </w:r>
      <w:r w:rsidR="00F97F2A" w:rsidRPr="008A7BD7">
        <w:rPr>
          <w:rFonts w:ascii="Cambria" w:eastAsia="Montserrat" w:hAnsi="Cambria" w:cs="Montserrat"/>
          <w:sz w:val="20"/>
          <w:szCs w:val="20"/>
        </w:rPr>
        <w:t xml:space="preserve">” </w:t>
      </w:r>
      <w:r w:rsidR="00137D4C" w:rsidRPr="008A7BD7">
        <w:rPr>
          <w:rFonts w:ascii="Cambria" w:eastAsia="Montserrat" w:hAnsi="Cambria" w:cs="Montserrat"/>
          <w:sz w:val="20"/>
          <w:szCs w:val="20"/>
        </w:rPr>
        <w:t>Accordingly, the</w:t>
      </w:r>
      <w:r w:rsidR="00617513" w:rsidRPr="008A7BD7">
        <w:rPr>
          <w:rFonts w:ascii="Cambria" w:eastAsia="Montserrat" w:hAnsi="Cambria" w:cs="Montserrat"/>
          <w:sz w:val="20"/>
          <w:szCs w:val="20"/>
        </w:rPr>
        <w:t xml:space="preserve"> State</w:t>
      </w:r>
      <w:r w:rsidRPr="008A7BD7">
        <w:rPr>
          <w:rFonts w:ascii="Cambria" w:eastAsia="Montserrat" w:hAnsi="Cambria" w:cs="Montserrat"/>
          <w:sz w:val="20"/>
          <w:szCs w:val="20"/>
        </w:rPr>
        <w:t xml:space="preserve"> informed the IACHR about a series of actions taken </w:t>
      </w:r>
      <w:proofErr w:type="gramStart"/>
      <w:r w:rsidRPr="008A7BD7">
        <w:rPr>
          <w:rFonts w:ascii="Cambria" w:eastAsia="Montserrat" w:hAnsi="Cambria" w:cs="Montserrat"/>
          <w:sz w:val="20"/>
          <w:szCs w:val="20"/>
        </w:rPr>
        <w:t>with regard to</w:t>
      </w:r>
      <w:proofErr w:type="gramEnd"/>
      <w:r w:rsidRPr="008A7BD7">
        <w:rPr>
          <w:rFonts w:ascii="Cambria" w:eastAsia="Montserrat" w:hAnsi="Cambria" w:cs="Montserrat"/>
          <w:sz w:val="20"/>
          <w:szCs w:val="20"/>
        </w:rPr>
        <w:t xml:space="preserve"> the establishment, </w:t>
      </w:r>
      <w:r w:rsidRPr="008A7BD7">
        <w:rPr>
          <w:rFonts w:ascii="Cambria" w:eastAsia="Montserrat" w:hAnsi="Cambria" w:cs="Montserrat"/>
          <w:sz w:val="20"/>
          <w:szCs w:val="20"/>
        </w:rPr>
        <w:lastRenderedPageBreak/>
        <w:t xml:space="preserve">recovery, restoration, management, production, and protection of forests in </w:t>
      </w:r>
      <w:r w:rsidR="00F97F2A" w:rsidRPr="008A7BD7">
        <w:rPr>
          <w:rFonts w:ascii="Cambria" w:eastAsia="Montserrat" w:hAnsi="Cambria" w:cs="Montserrat"/>
          <w:sz w:val="20"/>
          <w:szCs w:val="20"/>
        </w:rPr>
        <w:t>Guatemala</w:t>
      </w:r>
      <w:r w:rsidRPr="008A7BD7">
        <w:rPr>
          <w:rFonts w:ascii="Cambria" w:eastAsia="Montserrat" w:hAnsi="Cambria" w:cs="Montserrat"/>
          <w:sz w:val="20"/>
          <w:szCs w:val="20"/>
        </w:rPr>
        <w:t>.</w:t>
      </w:r>
      <w:r w:rsidR="00F97F2A" w:rsidRPr="008A7BD7">
        <w:rPr>
          <w:rStyle w:val="FootnoteReference"/>
          <w:rFonts w:ascii="Cambria" w:eastAsiaTheme="minorEastAsia" w:hAnsi="Cambria"/>
          <w:sz w:val="20"/>
          <w:szCs w:val="20"/>
          <w:lang w:val="es-US"/>
        </w:rPr>
        <w:footnoteReference w:id="208"/>
      </w:r>
      <w:r w:rsidR="00F97F2A" w:rsidRPr="008A7BD7">
        <w:rPr>
          <w:rFonts w:ascii="Cambria" w:eastAsia="Montserrat" w:hAnsi="Cambria" w:cs="Montserrat"/>
          <w:sz w:val="20"/>
          <w:szCs w:val="20"/>
        </w:rPr>
        <w:t xml:space="preserve"> </w:t>
      </w:r>
      <w:r w:rsidR="009B1383" w:rsidRPr="008A7BD7">
        <w:rPr>
          <w:rFonts w:ascii="Cambria" w:eastAsia="Montserrat" w:hAnsi="Cambria" w:cs="Montserrat"/>
          <w:sz w:val="20"/>
          <w:szCs w:val="20"/>
        </w:rPr>
        <w:t xml:space="preserve">The State also </w:t>
      </w:r>
      <w:r w:rsidR="00137D4C" w:rsidRPr="008A7BD7">
        <w:rPr>
          <w:rFonts w:ascii="Cambria" w:eastAsia="Montserrat" w:hAnsi="Cambria" w:cs="Montserrat"/>
          <w:sz w:val="20"/>
          <w:szCs w:val="20"/>
        </w:rPr>
        <w:t>pointed to</w:t>
      </w:r>
      <w:r w:rsidR="009B1383" w:rsidRPr="008A7BD7">
        <w:rPr>
          <w:rFonts w:ascii="Cambria" w:eastAsia="Montserrat" w:hAnsi="Cambria" w:cs="Montserrat"/>
          <w:sz w:val="20"/>
          <w:szCs w:val="20"/>
        </w:rPr>
        <w:t xml:space="preserve"> the legal framework adopted in recent years on the issue of climate change</w:t>
      </w:r>
      <w:r w:rsidR="00137D4C" w:rsidRPr="008A7BD7">
        <w:rPr>
          <w:rFonts w:ascii="Cambria" w:eastAsia="Montserrat" w:hAnsi="Cambria" w:cs="Montserrat"/>
          <w:sz w:val="20"/>
          <w:szCs w:val="20"/>
        </w:rPr>
        <w:t xml:space="preserve">, all of which it considers progress </w:t>
      </w:r>
      <w:r w:rsidR="009B1383" w:rsidRPr="008A7BD7">
        <w:rPr>
          <w:rFonts w:ascii="Cambria" w:eastAsia="Montserrat" w:hAnsi="Cambria" w:cs="Montserrat"/>
          <w:sz w:val="20"/>
          <w:szCs w:val="20"/>
        </w:rPr>
        <w:t xml:space="preserve">in Guatemala’s </w:t>
      </w:r>
      <w:r w:rsidR="00137D4C" w:rsidRPr="008A7BD7">
        <w:rPr>
          <w:rFonts w:ascii="Cambria" w:eastAsia="Montserrat" w:hAnsi="Cambria" w:cs="Montserrat"/>
          <w:sz w:val="20"/>
          <w:szCs w:val="20"/>
        </w:rPr>
        <w:t xml:space="preserve">compliance with </w:t>
      </w:r>
      <w:r w:rsidR="008E2A39" w:rsidRPr="008A7BD7">
        <w:rPr>
          <w:rFonts w:ascii="Cambria" w:eastAsia="Montserrat" w:hAnsi="Cambria" w:cs="Montserrat"/>
          <w:sz w:val="20"/>
          <w:szCs w:val="20"/>
        </w:rPr>
        <w:t xml:space="preserve">its </w:t>
      </w:r>
      <w:r w:rsidR="009B1383" w:rsidRPr="008A7BD7">
        <w:rPr>
          <w:rFonts w:ascii="Cambria" w:eastAsia="Montserrat" w:hAnsi="Cambria" w:cs="Montserrat"/>
          <w:sz w:val="20"/>
          <w:szCs w:val="20"/>
        </w:rPr>
        <w:t xml:space="preserve">international commitments </w:t>
      </w:r>
      <w:r w:rsidR="008E2A39" w:rsidRPr="008A7BD7">
        <w:rPr>
          <w:rFonts w:ascii="Cambria" w:eastAsia="Montserrat" w:hAnsi="Cambria" w:cs="Montserrat"/>
          <w:sz w:val="20"/>
          <w:szCs w:val="20"/>
        </w:rPr>
        <w:t>regarding</w:t>
      </w:r>
      <w:r w:rsidR="009B1383" w:rsidRPr="008A7BD7">
        <w:rPr>
          <w:rFonts w:ascii="Cambria" w:eastAsia="Montserrat" w:hAnsi="Cambria" w:cs="Montserrat"/>
          <w:sz w:val="20"/>
          <w:szCs w:val="20"/>
        </w:rPr>
        <w:t xml:space="preserve"> the United Nations Framework Convention on Climate Change.</w:t>
      </w:r>
      <w:r w:rsidR="00F97F2A" w:rsidRPr="008A7BD7">
        <w:rPr>
          <w:rStyle w:val="FootnoteReference"/>
          <w:rFonts w:ascii="Cambria" w:eastAsiaTheme="minorEastAsia" w:hAnsi="Cambria"/>
          <w:sz w:val="20"/>
          <w:szCs w:val="20"/>
          <w:lang w:val="es-US"/>
        </w:rPr>
        <w:footnoteReference w:id="209"/>
      </w:r>
    </w:p>
    <w:p w14:paraId="226EF820" w14:textId="77777777" w:rsidR="00E0555A" w:rsidRPr="008A7BD7" w:rsidRDefault="00E0555A" w:rsidP="00F97F2A">
      <w:pPr>
        <w:ind w:left="720"/>
        <w:jc w:val="both"/>
        <w:rPr>
          <w:rFonts w:ascii="Cambria" w:eastAsiaTheme="minorEastAsia" w:hAnsi="Cambria"/>
          <w:sz w:val="20"/>
          <w:szCs w:val="20"/>
        </w:rPr>
      </w:pPr>
    </w:p>
    <w:p w14:paraId="1631AD22" w14:textId="764B4E43" w:rsidR="00E0555A" w:rsidRPr="008A7BD7" w:rsidRDefault="000C4F5B" w:rsidP="003D3059">
      <w:pPr>
        <w:numPr>
          <w:ilvl w:val="0"/>
          <w:numId w:val="2"/>
        </w:numPr>
        <w:ind w:left="0" w:firstLine="720"/>
        <w:jc w:val="both"/>
        <w:rPr>
          <w:rFonts w:ascii="Cambria" w:eastAsiaTheme="minorEastAsia" w:hAnsi="Cambria"/>
          <w:sz w:val="20"/>
          <w:szCs w:val="20"/>
        </w:rPr>
      </w:pPr>
      <w:bookmarkStart w:id="5" w:name="_Hlk90365760"/>
      <w:proofErr w:type="gramStart"/>
      <w:r w:rsidRPr="008A7BD7">
        <w:rPr>
          <w:rFonts w:ascii="Cambria" w:hAnsi="Cambria"/>
          <w:sz w:val="20"/>
          <w:szCs w:val="20"/>
        </w:rPr>
        <w:t>With regard to</w:t>
      </w:r>
      <w:proofErr w:type="gramEnd"/>
      <w:r w:rsidRPr="008A7BD7">
        <w:rPr>
          <w:rFonts w:ascii="Cambria" w:hAnsi="Cambria"/>
          <w:sz w:val="20"/>
          <w:szCs w:val="20"/>
        </w:rPr>
        <w:t xml:space="preserve"> business and human rights, the Commission and </w:t>
      </w:r>
      <w:r w:rsidR="00E0555A" w:rsidRPr="008A7BD7">
        <w:rPr>
          <w:rFonts w:ascii="Cambria" w:hAnsi="Cambria"/>
          <w:sz w:val="20"/>
          <w:szCs w:val="20"/>
        </w:rPr>
        <w:t xml:space="preserve">REDESCA </w:t>
      </w:r>
      <w:r w:rsidRPr="008A7BD7">
        <w:rPr>
          <w:rFonts w:ascii="Cambria" w:hAnsi="Cambria"/>
          <w:sz w:val="20"/>
          <w:szCs w:val="20"/>
        </w:rPr>
        <w:t>point to their statement of November 4, 2021, in which they condemn the excessive use of force and repression directed against M</w:t>
      </w:r>
      <w:r w:rsidR="00E0555A" w:rsidRPr="008A7BD7">
        <w:rPr>
          <w:rFonts w:ascii="Cambria" w:hAnsi="Cambria"/>
          <w:sz w:val="20"/>
          <w:szCs w:val="20"/>
        </w:rPr>
        <w:t xml:space="preserve">aya </w:t>
      </w:r>
      <w:proofErr w:type="spellStart"/>
      <w:r w:rsidRPr="008A7BD7">
        <w:rPr>
          <w:rFonts w:ascii="Cambria" w:hAnsi="Cambria"/>
          <w:sz w:val="20"/>
          <w:szCs w:val="20"/>
        </w:rPr>
        <w:t>Q</w:t>
      </w:r>
      <w:r w:rsidR="00E0555A" w:rsidRPr="008A7BD7">
        <w:rPr>
          <w:rFonts w:ascii="Cambria" w:hAnsi="Cambria"/>
          <w:sz w:val="20"/>
          <w:szCs w:val="20"/>
        </w:rPr>
        <w:t>’eqchi</w:t>
      </w:r>
      <w:proofErr w:type="spellEnd"/>
      <w:r w:rsidRPr="008A7BD7">
        <w:rPr>
          <w:rFonts w:ascii="Cambria" w:hAnsi="Cambria"/>
          <w:sz w:val="20"/>
          <w:szCs w:val="20"/>
        </w:rPr>
        <w:t xml:space="preserve"> </w:t>
      </w:r>
      <w:r w:rsidR="00E82252" w:rsidRPr="008A7BD7">
        <w:rPr>
          <w:rFonts w:ascii="Cambria" w:hAnsi="Cambria"/>
          <w:sz w:val="20"/>
          <w:szCs w:val="20"/>
        </w:rPr>
        <w:t>indigenous people</w:t>
      </w:r>
      <w:r w:rsidR="003D6897" w:rsidRPr="008A7BD7">
        <w:rPr>
          <w:rFonts w:ascii="Cambria" w:hAnsi="Cambria"/>
          <w:sz w:val="20"/>
          <w:szCs w:val="20"/>
        </w:rPr>
        <w:t>s</w:t>
      </w:r>
      <w:r w:rsidRPr="008A7BD7">
        <w:rPr>
          <w:rFonts w:ascii="Cambria" w:hAnsi="Cambria"/>
          <w:sz w:val="20"/>
          <w:szCs w:val="20"/>
        </w:rPr>
        <w:t xml:space="preserve">, journalists, and media outlets. Specifically, in the context of </w:t>
      </w:r>
      <w:r w:rsidR="005C6B6E" w:rsidRPr="008A7BD7">
        <w:rPr>
          <w:rFonts w:ascii="Cambria" w:hAnsi="Cambria"/>
          <w:sz w:val="20"/>
          <w:szCs w:val="20"/>
        </w:rPr>
        <w:t xml:space="preserve">the mining </w:t>
      </w:r>
      <w:r w:rsidR="00CE1A1A" w:rsidRPr="008A7BD7">
        <w:rPr>
          <w:rFonts w:ascii="Cambria" w:hAnsi="Cambria"/>
          <w:sz w:val="20"/>
          <w:szCs w:val="20"/>
        </w:rPr>
        <w:t xml:space="preserve">activities at the “Phoenix” </w:t>
      </w:r>
      <w:r w:rsidR="00E26523" w:rsidRPr="008A7BD7">
        <w:rPr>
          <w:rFonts w:ascii="Cambria" w:hAnsi="Cambria"/>
          <w:sz w:val="20"/>
          <w:szCs w:val="20"/>
        </w:rPr>
        <w:t xml:space="preserve">project, </w:t>
      </w:r>
      <w:r w:rsidR="00CE1A1A" w:rsidRPr="008A7BD7">
        <w:rPr>
          <w:rFonts w:ascii="Cambria" w:hAnsi="Cambria"/>
          <w:sz w:val="20"/>
          <w:szCs w:val="20"/>
        </w:rPr>
        <w:t xml:space="preserve">the Special </w:t>
      </w:r>
      <w:proofErr w:type="spellStart"/>
      <w:r w:rsidR="00CE1A1A" w:rsidRPr="008A7BD7">
        <w:rPr>
          <w:rFonts w:ascii="Cambria" w:hAnsi="Cambria"/>
          <w:sz w:val="20"/>
          <w:szCs w:val="20"/>
        </w:rPr>
        <w:t>Rapporteurship</w:t>
      </w:r>
      <w:proofErr w:type="spellEnd"/>
      <w:r w:rsidR="00CE1A1A" w:rsidRPr="008A7BD7">
        <w:rPr>
          <w:rFonts w:ascii="Cambria" w:hAnsi="Cambria"/>
          <w:sz w:val="20"/>
          <w:szCs w:val="20"/>
        </w:rPr>
        <w:t xml:space="preserve"> notes that the mining exploitation being carried out by the </w:t>
      </w:r>
      <w:proofErr w:type="spellStart"/>
      <w:r w:rsidR="00E0555A" w:rsidRPr="008A7BD7">
        <w:rPr>
          <w:rFonts w:ascii="Cambria" w:hAnsi="Cambria"/>
          <w:sz w:val="20"/>
          <w:szCs w:val="20"/>
        </w:rPr>
        <w:t>Compañía</w:t>
      </w:r>
      <w:proofErr w:type="spellEnd"/>
      <w:r w:rsidR="00E0555A" w:rsidRPr="008A7BD7">
        <w:rPr>
          <w:rFonts w:ascii="Cambria" w:hAnsi="Cambria"/>
          <w:sz w:val="20"/>
          <w:szCs w:val="20"/>
        </w:rPr>
        <w:t xml:space="preserve"> </w:t>
      </w:r>
      <w:proofErr w:type="spellStart"/>
      <w:r w:rsidR="00E0555A" w:rsidRPr="008A7BD7">
        <w:rPr>
          <w:rFonts w:ascii="Cambria" w:hAnsi="Cambria"/>
          <w:sz w:val="20"/>
          <w:szCs w:val="20"/>
        </w:rPr>
        <w:t>Guatemalteca</w:t>
      </w:r>
      <w:proofErr w:type="spellEnd"/>
      <w:r w:rsidR="00E0555A" w:rsidRPr="008A7BD7">
        <w:rPr>
          <w:rFonts w:ascii="Cambria" w:hAnsi="Cambria"/>
          <w:sz w:val="20"/>
          <w:szCs w:val="20"/>
        </w:rPr>
        <w:t xml:space="preserve"> de </w:t>
      </w:r>
      <w:proofErr w:type="spellStart"/>
      <w:r w:rsidR="00E0555A" w:rsidRPr="008A7BD7">
        <w:rPr>
          <w:rFonts w:ascii="Cambria" w:hAnsi="Cambria"/>
          <w:sz w:val="20"/>
          <w:szCs w:val="20"/>
        </w:rPr>
        <w:t>Níquel</w:t>
      </w:r>
      <w:proofErr w:type="spellEnd"/>
      <w:r w:rsidR="00E0555A" w:rsidRPr="008A7BD7">
        <w:rPr>
          <w:rFonts w:ascii="Cambria" w:hAnsi="Cambria"/>
          <w:sz w:val="20"/>
          <w:szCs w:val="20"/>
        </w:rPr>
        <w:t xml:space="preserve"> (CGN), </w:t>
      </w:r>
      <w:r w:rsidR="00CE1A1A" w:rsidRPr="008A7BD7">
        <w:rPr>
          <w:rFonts w:ascii="Cambria" w:hAnsi="Cambria"/>
          <w:sz w:val="20"/>
          <w:szCs w:val="20"/>
        </w:rPr>
        <w:t xml:space="preserve">a subsidiary of the Russian company </w:t>
      </w:r>
      <w:r w:rsidR="00E0555A" w:rsidRPr="008A7BD7">
        <w:rPr>
          <w:rFonts w:ascii="Cambria" w:hAnsi="Cambria"/>
          <w:sz w:val="20"/>
          <w:szCs w:val="20"/>
        </w:rPr>
        <w:t xml:space="preserve">Solway Investment Group, </w:t>
      </w:r>
      <w:r w:rsidR="000F2817" w:rsidRPr="008A7BD7">
        <w:rPr>
          <w:rFonts w:ascii="Cambria" w:hAnsi="Cambria"/>
          <w:sz w:val="20"/>
          <w:szCs w:val="20"/>
        </w:rPr>
        <w:t xml:space="preserve">could </w:t>
      </w:r>
      <w:r w:rsidR="000F32E6" w:rsidRPr="008A7BD7">
        <w:rPr>
          <w:rFonts w:ascii="Cambria" w:hAnsi="Cambria"/>
          <w:sz w:val="20"/>
          <w:szCs w:val="20"/>
        </w:rPr>
        <w:t xml:space="preserve">produce </w:t>
      </w:r>
      <w:r w:rsidR="000F2817" w:rsidRPr="008A7BD7">
        <w:rPr>
          <w:rFonts w:ascii="Cambria" w:hAnsi="Cambria"/>
          <w:sz w:val="20"/>
          <w:szCs w:val="20"/>
        </w:rPr>
        <w:t>serious</w:t>
      </w:r>
      <w:r w:rsidR="000F32E6" w:rsidRPr="008A7BD7">
        <w:rPr>
          <w:rFonts w:ascii="Cambria" w:hAnsi="Cambria"/>
          <w:sz w:val="20"/>
          <w:szCs w:val="20"/>
        </w:rPr>
        <w:t xml:space="preserve"> pollution in </w:t>
      </w:r>
      <w:r w:rsidR="00E0555A" w:rsidRPr="008A7BD7">
        <w:rPr>
          <w:rFonts w:ascii="Cambria" w:hAnsi="Cambria"/>
          <w:sz w:val="20"/>
          <w:szCs w:val="20"/>
        </w:rPr>
        <w:t>Izabal</w:t>
      </w:r>
      <w:r w:rsidR="000F2817" w:rsidRPr="008A7BD7">
        <w:rPr>
          <w:rFonts w:ascii="Cambria" w:hAnsi="Cambria"/>
          <w:sz w:val="20"/>
          <w:szCs w:val="20"/>
        </w:rPr>
        <w:t xml:space="preserve"> Lake, </w:t>
      </w:r>
      <w:r w:rsidR="00501F6D" w:rsidRPr="008A7BD7">
        <w:rPr>
          <w:rFonts w:ascii="Cambria" w:hAnsi="Cambria"/>
          <w:sz w:val="20"/>
          <w:szCs w:val="20"/>
        </w:rPr>
        <w:t>destroy the region</w:t>
      </w:r>
      <w:r w:rsidR="00E26523" w:rsidRPr="008A7BD7">
        <w:rPr>
          <w:rFonts w:ascii="Cambria" w:hAnsi="Cambria"/>
          <w:sz w:val="20"/>
          <w:szCs w:val="20"/>
        </w:rPr>
        <w:t>’s</w:t>
      </w:r>
      <w:r w:rsidR="00501F6D" w:rsidRPr="008A7BD7">
        <w:rPr>
          <w:rFonts w:ascii="Cambria" w:hAnsi="Cambria"/>
          <w:sz w:val="20"/>
          <w:szCs w:val="20"/>
        </w:rPr>
        <w:t xml:space="preserve"> flora and fauna, and endanger the health and lives of the people in the area</w:t>
      </w:r>
      <w:r w:rsidR="00E0555A" w:rsidRPr="008A7BD7">
        <w:rPr>
          <w:rFonts w:ascii="Cambria" w:hAnsi="Cambria"/>
          <w:sz w:val="20"/>
          <w:szCs w:val="20"/>
        </w:rPr>
        <w:t xml:space="preserve">, </w:t>
      </w:r>
      <w:r w:rsidR="000F32E6" w:rsidRPr="008A7BD7">
        <w:rPr>
          <w:rFonts w:ascii="Cambria" w:hAnsi="Cambria"/>
          <w:sz w:val="20"/>
          <w:szCs w:val="20"/>
        </w:rPr>
        <w:t xml:space="preserve">which is why these activities have been rejected by the </w:t>
      </w:r>
      <w:r w:rsidR="00EB6CEB" w:rsidRPr="008A7BD7">
        <w:rPr>
          <w:rFonts w:ascii="Cambria" w:hAnsi="Cambria"/>
          <w:sz w:val="20"/>
          <w:szCs w:val="20"/>
        </w:rPr>
        <w:t xml:space="preserve">local </w:t>
      </w:r>
      <w:r w:rsidR="00DE1C15" w:rsidRPr="008A7BD7">
        <w:rPr>
          <w:rFonts w:ascii="Cambria" w:hAnsi="Cambria"/>
          <w:sz w:val="20"/>
          <w:szCs w:val="20"/>
        </w:rPr>
        <w:t>population and M</w:t>
      </w:r>
      <w:r w:rsidR="00E0555A" w:rsidRPr="008A7BD7">
        <w:rPr>
          <w:rFonts w:ascii="Cambria" w:hAnsi="Cambria"/>
          <w:sz w:val="20"/>
          <w:szCs w:val="20"/>
        </w:rPr>
        <w:t xml:space="preserve">aya </w:t>
      </w:r>
      <w:proofErr w:type="spellStart"/>
      <w:r w:rsidR="00DE1C15" w:rsidRPr="008A7BD7">
        <w:rPr>
          <w:rFonts w:ascii="Cambria" w:hAnsi="Cambria"/>
          <w:sz w:val="20"/>
          <w:szCs w:val="20"/>
        </w:rPr>
        <w:t>Q</w:t>
      </w:r>
      <w:r w:rsidR="00E0555A" w:rsidRPr="008A7BD7">
        <w:rPr>
          <w:rFonts w:ascii="Cambria" w:hAnsi="Cambria"/>
          <w:sz w:val="20"/>
          <w:szCs w:val="20"/>
        </w:rPr>
        <w:t>'eqchi</w:t>
      </w:r>
      <w:proofErr w:type="spellEnd"/>
      <w:r w:rsidR="00E0555A" w:rsidRPr="008A7BD7">
        <w:rPr>
          <w:rFonts w:ascii="Cambria" w:hAnsi="Cambria"/>
          <w:sz w:val="20"/>
          <w:szCs w:val="20"/>
        </w:rPr>
        <w:t>'</w:t>
      </w:r>
      <w:r w:rsidR="00DE1C15" w:rsidRPr="008A7BD7">
        <w:rPr>
          <w:rFonts w:ascii="Cambria" w:hAnsi="Cambria"/>
          <w:sz w:val="20"/>
          <w:szCs w:val="20"/>
        </w:rPr>
        <w:t xml:space="preserve"> communities</w:t>
      </w:r>
      <w:bookmarkEnd w:id="5"/>
      <w:r w:rsidR="00E0555A" w:rsidRPr="008A7BD7">
        <w:rPr>
          <w:rFonts w:ascii="Cambria" w:hAnsi="Cambria"/>
          <w:sz w:val="20"/>
          <w:szCs w:val="20"/>
        </w:rPr>
        <w:t>.</w:t>
      </w:r>
      <w:r w:rsidR="00E0555A" w:rsidRPr="008A7BD7">
        <w:rPr>
          <w:rStyle w:val="FootnoteReference"/>
          <w:rFonts w:ascii="Cambria" w:hAnsi="Cambria"/>
          <w:sz w:val="20"/>
          <w:szCs w:val="20"/>
          <w:lang w:val="es-419"/>
        </w:rPr>
        <w:footnoteReference w:id="210"/>
      </w:r>
      <w:r w:rsidR="00E0555A" w:rsidRPr="008A7BD7">
        <w:rPr>
          <w:rFonts w:ascii="Cambria" w:hAnsi="Cambria"/>
          <w:sz w:val="20"/>
          <w:szCs w:val="20"/>
        </w:rPr>
        <w:t xml:space="preserve"> </w:t>
      </w:r>
    </w:p>
    <w:p w14:paraId="0ACBAC19" w14:textId="77777777" w:rsidR="00E0555A" w:rsidRPr="008A7BD7" w:rsidRDefault="00E0555A" w:rsidP="00E0555A">
      <w:pPr>
        <w:pStyle w:val="ListParagraph"/>
        <w:rPr>
          <w:rFonts w:ascii="Cambria" w:hAnsi="Cambria"/>
          <w:sz w:val="20"/>
          <w:szCs w:val="20"/>
        </w:rPr>
      </w:pPr>
    </w:p>
    <w:p w14:paraId="4295FE25" w14:textId="185F508E" w:rsidR="00E0555A" w:rsidRPr="008A7BD7" w:rsidRDefault="00F6071C" w:rsidP="003D3059">
      <w:pPr>
        <w:numPr>
          <w:ilvl w:val="0"/>
          <w:numId w:val="2"/>
        </w:numPr>
        <w:ind w:left="0" w:firstLine="720"/>
        <w:jc w:val="both"/>
        <w:rPr>
          <w:rFonts w:ascii="Cambria" w:eastAsiaTheme="minorEastAsia" w:hAnsi="Cambria"/>
          <w:sz w:val="20"/>
          <w:szCs w:val="20"/>
        </w:rPr>
      </w:pPr>
      <w:r w:rsidRPr="008A7BD7">
        <w:rPr>
          <w:rFonts w:ascii="Cambria" w:hAnsi="Cambria"/>
          <w:sz w:val="20"/>
          <w:szCs w:val="20"/>
        </w:rPr>
        <w:t xml:space="preserve">Along these lines, the IACHR and </w:t>
      </w:r>
      <w:r w:rsidR="00E0555A" w:rsidRPr="008A7BD7">
        <w:rPr>
          <w:rFonts w:ascii="Cambria" w:hAnsi="Cambria"/>
          <w:sz w:val="20"/>
          <w:szCs w:val="20"/>
        </w:rPr>
        <w:t xml:space="preserve">REDESCA </w:t>
      </w:r>
      <w:r w:rsidRPr="008A7BD7">
        <w:rPr>
          <w:rFonts w:ascii="Cambria" w:hAnsi="Cambria"/>
          <w:sz w:val="20"/>
          <w:szCs w:val="20"/>
        </w:rPr>
        <w:t xml:space="preserve">remind the State that it has the duty to </w:t>
      </w:r>
      <w:r w:rsidR="004E25F1" w:rsidRPr="008A7BD7">
        <w:rPr>
          <w:rFonts w:ascii="Cambria" w:hAnsi="Cambria"/>
          <w:sz w:val="20"/>
          <w:szCs w:val="20"/>
        </w:rPr>
        <w:t xml:space="preserve">heed </w:t>
      </w:r>
      <w:r w:rsidR="00874653" w:rsidRPr="008A7BD7">
        <w:rPr>
          <w:rFonts w:ascii="Cambria" w:hAnsi="Cambria"/>
          <w:sz w:val="20"/>
          <w:szCs w:val="20"/>
        </w:rPr>
        <w:t>the</w:t>
      </w:r>
      <w:r w:rsidR="004E25F1" w:rsidRPr="008A7BD7">
        <w:rPr>
          <w:rFonts w:ascii="Cambria" w:hAnsi="Cambria"/>
          <w:sz w:val="20"/>
          <w:szCs w:val="20"/>
        </w:rPr>
        <w:t xml:space="preserve"> concerns of</w:t>
      </w:r>
      <w:r w:rsidR="00874653" w:rsidRPr="008A7BD7">
        <w:rPr>
          <w:rFonts w:ascii="Cambria" w:hAnsi="Cambria"/>
          <w:sz w:val="20"/>
          <w:szCs w:val="20"/>
        </w:rPr>
        <w:t xml:space="preserve"> </w:t>
      </w:r>
      <w:r w:rsidR="004E25F1" w:rsidRPr="008A7BD7">
        <w:rPr>
          <w:rFonts w:ascii="Cambria" w:hAnsi="Cambria"/>
          <w:sz w:val="20"/>
          <w:szCs w:val="20"/>
        </w:rPr>
        <w:t xml:space="preserve">the </w:t>
      </w:r>
      <w:r w:rsidR="00874653" w:rsidRPr="008A7BD7">
        <w:rPr>
          <w:rFonts w:ascii="Cambria" w:hAnsi="Cambria"/>
          <w:sz w:val="20"/>
          <w:szCs w:val="20"/>
        </w:rPr>
        <w:t>people, communities, and populations</w:t>
      </w:r>
      <w:r w:rsidR="004E25F1" w:rsidRPr="008A7BD7">
        <w:rPr>
          <w:rFonts w:ascii="Cambria" w:hAnsi="Cambria"/>
          <w:sz w:val="20"/>
          <w:szCs w:val="20"/>
        </w:rPr>
        <w:t xml:space="preserve"> affected</w:t>
      </w:r>
      <w:r w:rsidR="00874653" w:rsidRPr="008A7BD7">
        <w:rPr>
          <w:rFonts w:ascii="Cambria" w:hAnsi="Cambria"/>
          <w:sz w:val="20"/>
          <w:szCs w:val="20"/>
        </w:rPr>
        <w:t xml:space="preserve">, as part of its obligation to prevent violations and </w:t>
      </w:r>
      <w:r w:rsidR="00487D4A" w:rsidRPr="008A7BD7">
        <w:rPr>
          <w:rFonts w:ascii="Cambria" w:hAnsi="Cambria"/>
          <w:sz w:val="20"/>
          <w:szCs w:val="20"/>
        </w:rPr>
        <w:t>supervise</w:t>
      </w:r>
      <w:r w:rsidR="00874653" w:rsidRPr="008A7BD7">
        <w:rPr>
          <w:rFonts w:ascii="Cambria" w:hAnsi="Cambria"/>
          <w:sz w:val="20"/>
          <w:szCs w:val="20"/>
        </w:rPr>
        <w:t xml:space="preserve"> the</w:t>
      </w:r>
      <w:r w:rsidR="004E25F1" w:rsidRPr="008A7BD7">
        <w:rPr>
          <w:rFonts w:ascii="Cambria" w:hAnsi="Cambria"/>
          <w:sz w:val="20"/>
          <w:szCs w:val="20"/>
        </w:rPr>
        <w:t xml:space="preserve"> </w:t>
      </w:r>
      <w:r w:rsidR="00874653" w:rsidRPr="008A7BD7">
        <w:rPr>
          <w:rFonts w:ascii="Cambria" w:hAnsi="Cambria"/>
          <w:sz w:val="20"/>
          <w:szCs w:val="20"/>
        </w:rPr>
        <w:t>effective enjoyment of human rights in</w:t>
      </w:r>
      <w:r w:rsidR="00487D4A" w:rsidRPr="008A7BD7">
        <w:rPr>
          <w:rFonts w:ascii="Cambria" w:hAnsi="Cambria"/>
          <w:sz w:val="20"/>
          <w:szCs w:val="20"/>
        </w:rPr>
        <w:t xml:space="preserve"> the context of business activities. Such obligations are reinforced whe</w:t>
      </w:r>
      <w:r w:rsidR="00DE569D" w:rsidRPr="008A7BD7">
        <w:rPr>
          <w:rFonts w:ascii="Cambria" w:hAnsi="Cambria"/>
          <w:sz w:val="20"/>
          <w:szCs w:val="20"/>
        </w:rPr>
        <w:t xml:space="preserve">n, as is the case with those who live in the municipality of </w:t>
      </w:r>
      <w:r w:rsidR="00E0555A" w:rsidRPr="008A7BD7">
        <w:rPr>
          <w:rFonts w:ascii="Cambria" w:hAnsi="Cambria"/>
          <w:sz w:val="20"/>
          <w:szCs w:val="20"/>
        </w:rPr>
        <w:t xml:space="preserve">El </w:t>
      </w:r>
      <w:proofErr w:type="spellStart"/>
      <w:r w:rsidR="00E0555A" w:rsidRPr="008A7BD7">
        <w:rPr>
          <w:rFonts w:ascii="Cambria" w:hAnsi="Cambria"/>
          <w:sz w:val="20"/>
          <w:szCs w:val="20"/>
        </w:rPr>
        <w:t>Estor</w:t>
      </w:r>
      <w:proofErr w:type="spellEnd"/>
      <w:r w:rsidR="00E0555A" w:rsidRPr="008A7BD7">
        <w:rPr>
          <w:rFonts w:ascii="Cambria" w:hAnsi="Cambria"/>
          <w:sz w:val="20"/>
          <w:szCs w:val="20"/>
        </w:rPr>
        <w:t xml:space="preserve">, </w:t>
      </w:r>
      <w:r w:rsidR="00DE569D" w:rsidRPr="008A7BD7">
        <w:rPr>
          <w:rFonts w:ascii="Cambria" w:hAnsi="Cambria"/>
          <w:sz w:val="20"/>
          <w:szCs w:val="20"/>
        </w:rPr>
        <w:t xml:space="preserve">the protection of territories is essential for the </w:t>
      </w:r>
      <w:r w:rsidR="004E25F1" w:rsidRPr="008A7BD7">
        <w:rPr>
          <w:rFonts w:ascii="Cambria" w:hAnsi="Cambria"/>
          <w:sz w:val="20"/>
          <w:szCs w:val="20"/>
        </w:rPr>
        <w:t>enjoyment</w:t>
      </w:r>
      <w:r w:rsidR="00DE569D" w:rsidRPr="008A7BD7">
        <w:rPr>
          <w:rFonts w:ascii="Cambria" w:hAnsi="Cambria"/>
          <w:sz w:val="20"/>
          <w:szCs w:val="20"/>
        </w:rPr>
        <w:t xml:space="preserve"> of other rights</w:t>
      </w:r>
      <w:r w:rsidR="008D349B" w:rsidRPr="008A7BD7">
        <w:rPr>
          <w:rFonts w:ascii="Cambria" w:hAnsi="Cambria"/>
          <w:sz w:val="20"/>
          <w:szCs w:val="20"/>
        </w:rPr>
        <w:t xml:space="preserve"> whose satisfaction is critical for people’s subsistence</w:t>
      </w:r>
      <w:r w:rsidR="00DE569D" w:rsidRPr="008A7BD7">
        <w:rPr>
          <w:rFonts w:ascii="Cambria" w:hAnsi="Cambria"/>
          <w:sz w:val="20"/>
          <w:szCs w:val="20"/>
        </w:rPr>
        <w:t>, such as the right to food, the right to water, or the right to a healthy environment</w:t>
      </w:r>
      <w:r w:rsidR="00E0555A" w:rsidRPr="008A7BD7">
        <w:rPr>
          <w:rFonts w:ascii="Cambria" w:hAnsi="Cambria"/>
          <w:sz w:val="20"/>
          <w:szCs w:val="20"/>
        </w:rPr>
        <w:t>.</w:t>
      </w:r>
      <w:r w:rsidR="00E0555A" w:rsidRPr="008A7BD7">
        <w:rPr>
          <w:rStyle w:val="FootnoteReference"/>
          <w:rFonts w:ascii="Cambria" w:hAnsi="Cambria"/>
          <w:sz w:val="20"/>
          <w:szCs w:val="20"/>
          <w:lang w:val="es-419"/>
        </w:rPr>
        <w:footnoteReference w:id="211"/>
      </w:r>
      <w:r w:rsidR="00E0555A" w:rsidRPr="008A7BD7">
        <w:rPr>
          <w:rFonts w:ascii="Cambria" w:hAnsi="Cambria"/>
          <w:sz w:val="20"/>
          <w:szCs w:val="20"/>
        </w:rPr>
        <w:t xml:space="preserve"> </w:t>
      </w:r>
    </w:p>
    <w:p w14:paraId="0F439AB9" w14:textId="77777777" w:rsidR="00E0555A" w:rsidRPr="008A7BD7" w:rsidRDefault="00E0555A" w:rsidP="00E0555A">
      <w:pPr>
        <w:pStyle w:val="ListParagraph"/>
        <w:rPr>
          <w:rFonts w:ascii="Cambria" w:hAnsi="Cambria"/>
          <w:sz w:val="20"/>
          <w:szCs w:val="20"/>
        </w:rPr>
      </w:pPr>
    </w:p>
    <w:p w14:paraId="2F937769" w14:textId="63125109" w:rsidR="00E0555A" w:rsidRPr="008A7BD7" w:rsidRDefault="00FF79CF" w:rsidP="003D3059">
      <w:pPr>
        <w:numPr>
          <w:ilvl w:val="0"/>
          <w:numId w:val="2"/>
        </w:numPr>
        <w:ind w:left="0" w:firstLine="720"/>
        <w:jc w:val="both"/>
        <w:rPr>
          <w:rFonts w:ascii="Cambria" w:eastAsiaTheme="minorEastAsia" w:hAnsi="Cambria"/>
          <w:sz w:val="20"/>
          <w:szCs w:val="20"/>
        </w:rPr>
      </w:pPr>
      <w:r w:rsidRPr="008A7BD7">
        <w:rPr>
          <w:rFonts w:ascii="Cambria" w:hAnsi="Cambria"/>
          <w:sz w:val="20"/>
          <w:szCs w:val="20"/>
        </w:rPr>
        <w:t xml:space="preserve">Consequently, the Commission and </w:t>
      </w:r>
      <w:r w:rsidR="00E0555A" w:rsidRPr="008A7BD7">
        <w:rPr>
          <w:rFonts w:ascii="Cambria" w:hAnsi="Cambria"/>
          <w:sz w:val="20"/>
          <w:szCs w:val="20"/>
        </w:rPr>
        <w:t xml:space="preserve">REDESCA </w:t>
      </w:r>
      <w:r w:rsidRPr="008A7BD7">
        <w:rPr>
          <w:rFonts w:ascii="Cambria" w:hAnsi="Cambria"/>
          <w:sz w:val="20"/>
          <w:szCs w:val="20"/>
        </w:rPr>
        <w:t xml:space="preserve">call on the State to urgently </w:t>
      </w:r>
      <w:r w:rsidR="00AE5C1F" w:rsidRPr="008A7BD7">
        <w:rPr>
          <w:rFonts w:ascii="Cambria" w:hAnsi="Cambria"/>
          <w:sz w:val="20"/>
          <w:szCs w:val="20"/>
        </w:rPr>
        <w:t>implement</w:t>
      </w:r>
      <w:r w:rsidRPr="008A7BD7">
        <w:rPr>
          <w:rFonts w:ascii="Cambria" w:hAnsi="Cambria"/>
          <w:sz w:val="20"/>
          <w:szCs w:val="20"/>
        </w:rPr>
        <w:t xml:space="preserve"> inter-American standards </w:t>
      </w:r>
      <w:r w:rsidR="00AE5C1F" w:rsidRPr="008A7BD7">
        <w:rPr>
          <w:rFonts w:ascii="Cambria" w:hAnsi="Cambria"/>
          <w:sz w:val="20"/>
          <w:szCs w:val="20"/>
        </w:rPr>
        <w:t xml:space="preserve">on business and human rights </w:t>
      </w:r>
      <w:proofErr w:type="gramStart"/>
      <w:r w:rsidR="00FC0C0D" w:rsidRPr="008A7BD7">
        <w:rPr>
          <w:rFonts w:ascii="Cambria" w:hAnsi="Cambria"/>
          <w:sz w:val="20"/>
          <w:szCs w:val="20"/>
        </w:rPr>
        <w:t>with regard to</w:t>
      </w:r>
      <w:proofErr w:type="gramEnd"/>
      <w:r w:rsidR="00AE5C1F" w:rsidRPr="008A7BD7">
        <w:rPr>
          <w:rFonts w:ascii="Cambria" w:hAnsi="Cambria"/>
          <w:sz w:val="20"/>
          <w:szCs w:val="20"/>
        </w:rPr>
        <w:t xml:space="preserve"> any measures that may be adopted to address the social conflict </w:t>
      </w:r>
      <w:r w:rsidR="00CA6472" w:rsidRPr="008A7BD7">
        <w:rPr>
          <w:rFonts w:ascii="Cambria" w:hAnsi="Cambria"/>
          <w:sz w:val="20"/>
          <w:szCs w:val="20"/>
        </w:rPr>
        <w:t>related to the Phoenix Mine.</w:t>
      </w:r>
      <w:r w:rsidR="00587D74" w:rsidRPr="008A7BD7">
        <w:rPr>
          <w:rFonts w:ascii="Cambria" w:hAnsi="Cambria"/>
          <w:sz w:val="20"/>
          <w:szCs w:val="20"/>
        </w:rPr>
        <w:t xml:space="preserve"> </w:t>
      </w:r>
      <w:r w:rsidR="00CA6472" w:rsidRPr="008A7BD7">
        <w:rPr>
          <w:rFonts w:ascii="Cambria" w:hAnsi="Cambria"/>
          <w:sz w:val="20"/>
          <w:szCs w:val="20"/>
        </w:rPr>
        <w:t>This includes the effective exercise of the</w:t>
      </w:r>
      <w:r w:rsidR="00587D74" w:rsidRPr="008A7BD7">
        <w:rPr>
          <w:rFonts w:ascii="Cambria" w:hAnsi="Cambria"/>
          <w:sz w:val="20"/>
          <w:szCs w:val="20"/>
        </w:rPr>
        <w:t xml:space="preserve"> right to free and informed prior consultation of indigenous peoples and the population’s effective participation regarding projects and business activities that may affect them</w:t>
      </w:r>
      <w:r w:rsidR="00E0555A" w:rsidRPr="008A7BD7">
        <w:rPr>
          <w:rFonts w:ascii="Cambria" w:hAnsi="Cambria"/>
          <w:sz w:val="20"/>
          <w:szCs w:val="20"/>
        </w:rPr>
        <w:t>.</w:t>
      </w:r>
      <w:r w:rsidR="00E0555A" w:rsidRPr="008A7BD7">
        <w:rPr>
          <w:rStyle w:val="FootnoteReference"/>
          <w:rFonts w:ascii="Cambria" w:hAnsi="Cambria"/>
          <w:sz w:val="20"/>
          <w:szCs w:val="20"/>
          <w:lang w:val="es-419"/>
        </w:rPr>
        <w:footnoteReference w:id="212"/>
      </w:r>
    </w:p>
    <w:p w14:paraId="5347FFF1" w14:textId="77777777" w:rsidR="00E0555A" w:rsidRPr="008A7BD7" w:rsidRDefault="00E0555A">
      <w:pPr>
        <w:rPr>
          <w:rFonts w:ascii="Cambria" w:eastAsia="Times New Roman" w:hAnsi="Cambria" w:cs="Tahoma"/>
          <w:color w:val="000000"/>
          <w:sz w:val="20"/>
          <w:szCs w:val="20"/>
          <w:lang w:eastAsia="es-ES_tradnl"/>
        </w:rPr>
      </w:pPr>
    </w:p>
    <w:p w14:paraId="128BD211" w14:textId="20525E7C" w:rsidR="00DC16DE" w:rsidRPr="008A7BD7" w:rsidRDefault="00587D74" w:rsidP="00F0442F">
      <w:pPr>
        <w:pStyle w:val="Heading1"/>
      </w:pPr>
      <w:r w:rsidRPr="008A7BD7">
        <w:t>MEMORY, TRUTH, AND JUSTICE</w:t>
      </w:r>
      <w:r w:rsidR="00DC16DE" w:rsidRPr="008A7BD7">
        <w:t xml:space="preserve"> </w:t>
      </w:r>
    </w:p>
    <w:p w14:paraId="2CA3B89E" w14:textId="1FEE4384" w:rsidR="00DC16DE" w:rsidRPr="008A7BD7" w:rsidRDefault="00DC16DE" w:rsidP="00DC16DE">
      <w:pPr>
        <w:rPr>
          <w:rFonts w:ascii="Cambria" w:hAnsi="Cambria"/>
          <w:sz w:val="20"/>
          <w:szCs w:val="20"/>
          <w:lang w:eastAsia="es-ES"/>
        </w:rPr>
      </w:pPr>
    </w:p>
    <w:p w14:paraId="317D8F73" w14:textId="27CC8E8D" w:rsidR="00DC16DE" w:rsidRPr="008A7BD7" w:rsidRDefault="000F3DF6"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In the area of memory, truth, and justice, civil society organizations have pointed to a serious weakening of the institution</w:t>
      </w:r>
      <w:r w:rsidR="006567E4" w:rsidRPr="008A7BD7">
        <w:rPr>
          <w:rFonts w:ascii="Cambria" w:eastAsia="Cambria" w:hAnsi="Cambria" w:cs="Cambria"/>
          <w:color w:val="000000" w:themeColor="text1"/>
          <w:sz w:val="20"/>
          <w:szCs w:val="20"/>
        </w:rPr>
        <w:t>al framework</w:t>
      </w:r>
      <w:r w:rsidRPr="008A7BD7">
        <w:rPr>
          <w:rFonts w:ascii="Cambria" w:eastAsia="Cambria" w:hAnsi="Cambria" w:cs="Cambria"/>
          <w:color w:val="000000" w:themeColor="text1"/>
          <w:sz w:val="20"/>
          <w:szCs w:val="20"/>
        </w:rPr>
        <w:t xml:space="preserve"> responsible for fulfilling the provisions of the Peace Accords</w:t>
      </w:r>
      <w:r w:rsidR="006567E4" w:rsidRPr="008A7BD7">
        <w:rPr>
          <w:rFonts w:ascii="Cambria" w:eastAsia="Cambria" w:hAnsi="Cambria" w:cs="Cambria"/>
          <w:color w:val="000000" w:themeColor="text1"/>
          <w:sz w:val="20"/>
          <w:szCs w:val="20"/>
        </w:rPr>
        <w:t>, ever since Govern</w:t>
      </w:r>
      <w:r w:rsidR="000631CD" w:rsidRPr="008A7BD7">
        <w:rPr>
          <w:rFonts w:ascii="Cambria" w:eastAsia="Cambria" w:hAnsi="Cambria" w:cs="Cambria"/>
          <w:color w:val="000000" w:themeColor="text1"/>
          <w:sz w:val="20"/>
          <w:szCs w:val="20"/>
        </w:rPr>
        <w:t>mental</w:t>
      </w:r>
      <w:r w:rsidR="006567E4" w:rsidRPr="008A7BD7">
        <w:rPr>
          <w:rFonts w:ascii="Cambria" w:eastAsia="Cambria" w:hAnsi="Cambria" w:cs="Cambria"/>
          <w:color w:val="000000" w:themeColor="text1"/>
          <w:sz w:val="20"/>
          <w:szCs w:val="20"/>
        </w:rPr>
        <w:t xml:space="preserve"> Decisions </w:t>
      </w:r>
      <w:r w:rsidR="00DC16DE" w:rsidRPr="008A7BD7">
        <w:rPr>
          <w:rFonts w:ascii="Cambria" w:eastAsia="Cambria" w:hAnsi="Cambria" w:cs="Cambria"/>
          <w:color w:val="000000" w:themeColor="text1"/>
          <w:sz w:val="20"/>
          <w:szCs w:val="20"/>
        </w:rPr>
        <w:t>98-2020, 99-2020</w:t>
      </w:r>
      <w:r w:rsidR="006567E4" w:rsidRPr="008A7BD7">
        <w:rPr>
          <w:rFonts w:ascii="Cambria" w:eastAsia="Cambria" w:hAnsi="Cambria" w:cs="Cambria"/>
          <w:color w:val="000000" w:themeColor="text1"/>
          <w:sz w:val="20"/>
          <w:szCs w:val="20"/>
        </w:rPr>
        <w:t>, and</w:t>
      </w:r>
      <w:r w:rsidR="00DC16DE" w:rsidRPr="008A7BD7">
        <w:rPr>
          <w:rFonts w:ascii="Cambria" w:eastAsia="Cambria" w:hAnsi="Cambria" w:cs="Cambria"/>
          <w:color w:val="000000" w:themeColor="text1"/>
          <w:sz w:val="20"/>
          <w:szCs w:val="20"/>
        </w:rPr>
        <w:t xml:space="preserve"> 100-2020 </w:t>
      </w:r>
      <w:r w:rsidR="000631CD" w:rsidRPr="008A7BD7">
        <w:rPr>
          <w:rFonts w:ascii="Cambria" w:eastAsia="Cambria" w:hAnsi="Cambria" w:cs="Cambria"/>
          <w:color w:val="000000" w:themeColor="text1"/>
          <w:sz w:val="20"/>
          <w:szCs w:val="20"/>
        </w:rPr>
        <w:t xml:space="preserve">did away with the </w:t>
      </w:r>
      <w:r w:rsidR="00EE33AF" w:rsidRPr="008A7BD7">
        <w:rPr>
          <w:rFonts w:ascii="Cambria" w:eastAsia="Times New Roman" w:hAnsi="Cambria" w:cs="Times"/>
          <w:sz w:val="20"/>
          <w:szCs w:val="20"/>
          <w:lang w:eastAsia="es-ES"/>
        </w:rPr>
        <w:t>Secretariat for Peace</w:t>
      </w:r>
      <w:r w:rsidR="00EE33AF" w:rsidRPr="008A7BD7">
        <w:rPr>
          <w:rFonts w:ascii="Cambria" w:eastAsia="Times New Roman" w:hAnsi="Cambria" w:cs="Times New Roman"/>
          <w:sz w:val="20"/>
          <w:szCs w:val="20"/>
          <w:lang w:eastAsia="es-ES"/>
        </w:rPr>
        <w:t xml:space="preserve"> in the Office of the President of the Republic</w:t>
      </w:r>
      <w:r w:rsidR="00EE33AF" w:rsidRPr="008A7BD7">
        <w:rPr>
          <w:rFonts w:ascii="Cambria" w:eastAsia="Cambria" w:hAnsi="Cambria" w:cs="Cambria"/>
          <w:color w:val="000000" w:themeColor="text1"/>
          <w:sz w:val="20"/>
          <w:szCs w:val="20"/>
        </w:rPr>
        <w:t xml:space="preserve"> </w:t>
      </w:r>
      <w:r w:rsidR="00DC16DE" w:rsidRPr="008A7BD7">
        <w:rPr>
          <w:rFonts w:ascii="Cambria" w:eastAsia="Cambria" w:hAnsi="Cambria" w:cs="Cambria"/>
          <w:color w:val="000000" w:themeColor="text1"/>
          <w:sz w:val="20"/>
          <w:szCs w:val="20"/>
        </w:rPr>
        <w:t xml:space="preserve">(SEPAZ) </w:t>
      </w:r>
      <w:r w:rsidR="00605D7E" w:rsidRPr="008A7BD7">
        <w:rPr>
          <w:rFonts w:ascii="Cambria" w:eastAsia="Cambria" w:hAnsi="Cambria" w:cs="Cambria"/>
          <w:color w:val="000000" w:themeColor="text1"/>
          <w:sz w:val="20"/>
          <w:szCs w:val="20"/>
        </w:rPr>
        <w:t xml:space="preserve">and the Presidential </w:t>
      </w:r>
      <w:r w:rsidR="00FB406D" w:rsidRPr="008A7BD7">
        <w:rPr>
          <w:rFonts w:ascii="Cambria" w:eastAsia="Cambria" w:hAnsi="Cambria" w:cs="Cambria"/>
          <w:color w:val="000000" w:themeColor="text1"/>
          <w:sz w:val="20"/>
          <w:szCs w:val="20"/>
        </w:rPr>
        <w:t xml:space="preserve">Coordinating </w:t>
      </w:r>
      <w:r w:rsidR="00605D7E" w:rsidRPr="008A7BD7">
        <w:rPr>
          <w:rFonts w:ascii="Cambria" w:eastAsia="Cambria" w:hAnsi="Cambria" w:cs="Cambria"/>
          <w:color w:val="000000" w:themeColor="text1"/>
          <w:sz w:val="20"/>
          <w:szCs w:val="20"/>
        </w:rPr>
        <w:t>Commission for</w:t>
      </w:r>
      <w:r w:rsidR="00FB406D" w:rsidRPr="008A7BD7">
        <w:rPr>
          <w:rFonts w:ascii="Cambria" w:eastAsia="Cambria" w:hAnsi="Cambria" w:cs="Cambria"/>
          <w:color w:val="000000" w:themeColor="text1"/>
          <w:sz w:val="20"/>
          <w:szCs w:val="20"/>
        </w:rPr>
        <w:t xml:space="preserve"> </w:t>
      </w:r>
      <w:r w:rsidR="00605D7E" w:rsidRPr="008A7BD7">
        <w:rPr>
          <w:rFonts w:ascii="Cambria" w:eastAsia="Cambria" w:hAnsi="Cambria" w:cs="Cambria"/>
          <w:color w:val="000000" w:themeColor="text1"/>
          <w:sz w:val="20"/>
          <w:szCs w:val="20"/>
        </w:rPr>
        <w:t xml:space="preserve">Executive Policy on Human Rights </w:t>
      </w:r>
      <w:r w:rsidR="00DC16DE" w:rsidRPr="008A7BD7">
        <w:rPr>
          <w:rFonts w:ascii="Cambria" w:eastAsia="Cambria" w:hAnsi="Cambria" w:cs="Cambria"/>
          <w:color w:val="000000" w:themeColor="text1"/>
          <w:sz w:val="20"/>
          <w:szCs w:val="20"/>
        </w:rPr>
        <w:t xml:space="preserve">(COPREDEH) </w:t>
      </w:r>
      <w:r w:rsidR="00605D7E" w:rsidRPr="008A7BD7">
        <w:rPr>
          <w:rFonts w:ascii="Cambria" w:eastAsia="Cambria" w:hAnsi="Cambria" w:cs="Cambria"/>
          <w:color w:val="000000" w:themeColor="text1"/>
          <w:sz w:val="20"/>
          <w:szCs w:val="20"/>
        </w:rPr>
        <w:t xml:space="preserve">and established the Presidential Commission for Peace and Human Rights </w:t>
      </w:r>
      <w:r w:rsidR="00DC16DE" w:rsidRPr="008A7BD7">
        <w:rPr>
          <w:rFonts w:ascii="Cambria" w:eastAsia="Cambria" w:hAnsi="Cambria" w:cs="Cambria"/>
          <w:color w:val="000000" w:themeColor="text1"/>
          <w:sz w:val="20"/>
          <w:szCs w:val="20"/>
        </w:rPr>
        <w:t>(COPADEH)</w:t>
      </w:r>
      <w:r w:rsidR="00605D7E" w:rsidRPr="008A7BD7">
        <w:rPr>
          <w:rFonts w:ascii="Cambria" w:eastAsia="Cambria" w:hAnsi="Cambria" w:cs="Cambria"/>
          <w:color w:val="000000" w:themeColor="text1"/>
          <w:sz w:val="20"/>
          <w:szCs w:val="20"/>
        </w:rPr>
        <w:t>.</w:t>
      </w:r>
      <w:r w:rsidR="00DC16DE" w:rsidRPr="008A7BD7">
        <w:rPr>
          <w:rStyle w:val="FootnoteReference"/>
          <w:rFonts w:ascii="Cambria" w:eastAsia="Cambria" w:hAnsi="Cambria" w:cs="Cambria"/>
          <w:color w:val="000000" w:themeColor="text1"/>
          <w:sz w:val="20"/>
          <w:szCs w:val="20"/>
          <w:lang w:val="es-ES"/>
        </w:rPr>
        <w:footnoteReference w:id="213"/>
      </w:r>
      <w:r w:rsidR="00DC16DE" w:rsidRPr="008A7BD7">
        <w:rPr>
          <w:rFonts w:ascii="Cambria" w:eastAsia="Cambria" w:hAnsi="Cambria" w:cs="Cambria"/>
          <w:color w:val="000000" w:themeColor="text1"/>
          <w:sz w:val="20"/>
          <w:szCs w:val="20"/>
        </w:rPr>
        <w:t xml:space="preserve"> </w:t>
      </w:r>
    </w:p>
    <w:p w14:paraId="27A6B19F" w14:textId="77777777" w:rsidR="00DC16DE" w:rsidRPr="008A7BD7" w:rsidRDefault="00DC16DE" w:rsidP="00DC16DE">
      <w:pPr>
        <w:ind w:left="720"/>
        <w:jc w:val="both"/>
        <w:rPr>
          <w:rFonts w:ascii="Cambria" w:eastAsia="Cambria" w:hAnsi="Cambria" w:cs="Cambria"/>
          <w:color w:val="000000" w:themeColor="text1"/>
          <w:sz w:val="20"/>
          <w:szCs w:val="20"/>
        </w:rPr>
      </w:pPr>
    </w:p>
    <w:p w14:paraId="7A5E1B13" w14:textId="3F7B4FFA" w:rsidR="00DC16DE" w:rsidRPr="008A7BD7" w:rsidRDefault="003E7A5B"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In that regard, the IACHR observes that the budget allocated to </w:t>
      </w:r>
      <w:r w:rsidR="00DC16DE" w:rsidRPr="008A7BD7">
        <w:rPr>
          <w:rFonts w:ascii="Cambria" w:eastAsia="Cambria" w:hAnsi="Cambria" w:cs="Cambria"/>
          <w:color w:val="000000" w:themeColor="text1"/>
          <w:sz w:val="20"/>
          <w:szCs w:val="20"/>
        </w:rPr>
        <w:t>COPADEH represent</w:t>
      </w:r>
      <w:r w:rsidRPr="008A7BD7">
        <w:rPr>
          <w:rFonts w:ascii="Cambria" w:eastAsia="Cambria" w:hAnsi="Cambria" w:cs="Cambria"/>
          <w:color w:val="000000" w:themeColor="text1"/>
          <w:sz w:val="20"/>
          <w:szCs w:val="20"/>
        </w:rPr>
        <w:t xml:space="preserve">s </w:t>
      </w:r>
      <w:r w:rsidR="00DC16DE" w:rsidRPr="008A7BD7">
        <w:rPr>
          <w:rFonts w:ascii="Cambria" w:eastAsia="Cambria" w:hAnsi="Cambria" w:cs="Cambria"/>
          <w:color w:val="000000" w:themeColor="text1"/>
          <w:sz w:val="20"/>
          <w:szCs w:val="20"/>
        </w:rPr>
        <w:t xml:space="preserve">27% </w:t>
      </w:r>
      <w:r w:rsidRPr="008A7BD7">
        <w:rPr>
          <w:rFonts w:ascii="Cambria" w:eastAsia="Cambria" w:hAnsi="Cambria" w:cs="Cambria"/>
          <w:color w:val="000000" w:themeColor="text1"/>
          <w:sz w:val="20"/>
          <w:szCs w:val="20"/>
        </w:rPr>
        <w:t xml:space="preserve">of the total budget previously allocated to </w:t>
      </w:r>
      <w:r w:rsidR="00DC16DE" w:rsidRPr="008A7BD7">
        <w:rPr>
          <w:rFonts w:ascii="Cambria" w:eastAsia="Cambria" w:hAnsi="Cambria" w:cs="Cambria"/>
          <w:color w:val="000000" w:themeColor="text1"/>
          <w:sz w:val="20"/>
          <w:szCs w:val="20"/>
        </w:rPr>
        <w:t>COPREDEH, SEPAZ</w:t>
      </w:r>
      <w:r w:rsidRPr="008A7BD7">
        <w:rPr>
          <w:rFonts w:ascii="Cambria" w:eastAsia="Cambria" w:hAnsi="Cambria" w:cs="Cambria"/>
          <w:color w:val="000000" w:themeColor="text1"/>
          <w:sz w:val="20"/>
          <w:szCs w:val="20"/>
        </w:rPr>
        <w:t>, and the Secretariat of Agrarian Affairs, which was also abolished last year.</w:t>
      </w:r>
      <w:r w:rsidR="00DC16DE" w:rsidRPr="008A7BD7">
        <w:rPr>
          <w:rStyle w:val="FootnoteReference"/>
          <w:rFonts w:ascii="Cambria" w:eastAsia="Cambria" w:hAnsi="Cambria" w:cs="Cambria"/>
          <w:color w:val="000000" w:themeColor="text1"/>
          <w:sz w:val="20"/>
          <w:szCs w:val="20"/>
          <w:lang w:val="es-419"/>
        </w:rPr>
        <w:footnoteReference w:id="214"/>
      </w:r>
      <w:r w:rsidR="00DC16DE" w:rsidRPr="008A7BD7">
        <w:rPr>
          <w:rFonts w:ascii="Cambria" w:eastAsia="Cambria" w:hAnsi="Cambria" w:cs="Cambria"/>
          <w:color w:val="000000" w:themeColor="text1"/>
          <w:sz w:val="20"/>
          <w:szCs w:val="20"/>
        </w:rPr>
        <w:t xml:space="preserve"> </w:t>
      </w:r>
      <w:r w:rsidR="00C12D5B" w:rsidRPr="008A7BD7">
        <w:rPr>
          <w:rFonts w:ascii="Cambria" w:eastAsia="Cambria" w:hAnsi="Cambria" w:cs="Cambria"/>
          <w:color w:val="000000" w:themeColor="text1"/>
          <w:sz w:val="20"/>
          <w:szCs w:val="20"/>
        </w:rPr>
        <w:t>In addition, according to public</w:t>
      </w:r>
      <w:r w:rsidR="004B38CD" w:rsidRPr="008A7BD7">
        <w:rPr>
          <w:rFonts w:ascii="Cambria" w:eastAsia="Cambria" w:hAnsi="Cambria" w:cs="Cambria"/>
          <w:color w:val="000000" w:themeColor="text1"/>
          <w:sz w:val="20"/>
          <w:szCs w:val="20"/>
        </w:rPr>
        <w:t xml:space="preserve"> </w:t>
      </w:r>
      <w:r w:rsidR="00C12D5B" w:rsidRPr="008A7BD7">
        <w:rPr>
          <w:rFonts w:ascii="Cambria" w:eastAsia="Cambria" w:hAnsi="Cambria" w:cs="Cambria"/>
          <w:color w:val="000000" w:themeColor="text1"/>
          <w:sz w:val="20"/>
          <w:szCs w:val="20"/>
        </w:rPr>
        <w:t xml:space="preserve">information, the National </w:t>
      </w:r>
      <w:r w:rsidR="004B38CD" w:rsidRPr="008A7BD7">
        <w:rPr>
          <w:rFonts w:ascii="Cambria" w:eastAsia="Cambria" w:hAnsi="Cambria" w:cs="Cambria"/>
          <w:color w:val="000000" w:themeColor="text1"/>
          <w:sz w:val="20"/>
          <w:szCs w:val="20"/>
        </w:rPr>
        <w:t>Reparations</w:t>
      </w:r>
      <w:r w:rsidR="00C12D5B" w:rsidRPr="008A7BD7">
        <w:rPr>
          <w:rFonts w:ascii="Cambria" w:eastAsia="Cambria" w:hAnsi="Cambria" w:cs="Cambria"/>
          <w:color w:val="000000" w:themeColor="text1"/>
          <w:sz w:val="20"/>
          <w:szCs w:val="20"/>
        </w:rPr>
        <w:t xml:space="preserve"> Program ha</w:t>
      </w:r>
      <w:r w:rsidR="004B38CD" w:rsidRPr="008A7BD7">
        <w:rPr>
          <w:rFonts w:ascii="Cambria" w:eastAsia="Cambria" w:hAnsi="Cambria" w:cs="Cambria"/>
          <w:color w:val="000000" w:themeColor="text1"/>
          <w:sz w:val="20"/>
          <w:szCs w:val="20"/>
        </w:rPr>
        <w:t>s</w:t>
      </w:r>
      <w:r w:rsidR="00C12D5B" w:rsidRPr="008A7BD7">
        <w:rPr>
          <w:rFonts w:ascii="Cambria" w:eastAsia="Cambria" w:hAnsi="Cambria" w:cs="Cambria"/>
          <w:color w:val="000000" w:themeColor="text1"/>
          <w:sz w:val="20"/>
          <w:szCs w:val="20"/>
        </w:rPr>
        <w:t xml:space="preserve"> yet to be executed, which is of concern to the IACHR, particularly considering that the reparations program is set to end on December 31, </w:t>
      </w:r>
      <w:r w:rsidR="00DC16DE" w:rsidRPr="008A7BD7">
        <w:rPr>
          <w:rFonts w:ascii="Cambria" w:eastAsia="Cambria" w:hAnsi="Cambria" w:cs="Cambria"/>
          <w:color w:val="000000" w:themeColor="text1"/>
          <w:sz w:val="20"/>
          <w:szCs w:val="20"/>
        </w:rPr>
        <w:t>2023</w:t>
      </w:r>
      <w:r w:rsidR="00C12D5B" w:rsidRPr="008A7BD7">
        <w:rPr>
          <w:rFonts w:ascii="Cambria" w:eastAsia="Cambria" w:hAnsi="Cambria" w:cs="Cambria"/>
          <w:color w:val="000000" w:themeColor="text1"/>
          <w:sz w:val="20"/>
          <w:szCs w:val="20"/>
        </w:rPr>
        <w:t>, if it is not extended.</w:t>
      </w:r>
      <w:r w:rsidR="00DC16DE" w:rsidRPr="008A7BD7">
        <w:rPr>
          <w:rStyle w:val="FootnoteReference"/>
          <w:rFonts w:ascii="Cambria" w:eastAsia="Cambria" w:hAnsi="Cambria" w:cs="Cambria"/>
          <w:color w:val="000000" w:themeColor="text1"/>
          <w:sz w:val="20"/>
          <w:szCs w:val="20"/>
          <w:lang w:val="es-419"/>
        </w:rPr>
        <w:footnoteReference w:id="215"/>
      </w:r>
    </w:p>
    <w:p w14:paraId="1C8E69D9" w14:textId="77777777" w:rsidR="00F97F2A" w:rsidRPr="008A7BD7" w:rsidRDefault="00F97F2A" w:rsidP="00F97F2A">
      <w:pPr>
        <w:pStyle w:val="ListParagraph"/>
        <w:rPr>
          <w:rFonts w:ascii="Cambria" w:eastAsia="Cambria" w:hAnsi="Cambria" w:cs="Cambria"/>
          <w:color w:val="000000" w:themeColor="text1"/>
          <w:sz w:val="20"/>
          <w:szCs w:val="20"/>
        </w:rPr>
      </w:pPr>
    </w:p>
    <w:p w14:paraId="78B7F379" w14:textId="0637536F" w:rsidR="00F97F2A" w:rsidRPr="008A7BD7" w:rsidRDefault="009B1383" w:rsidP="00F97F2A">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On that point, the State informed the IACHR that, </w:t>
      </w:r>
      <w:r w:rsidR="005B5751" w:rsidRPr="008A7BD7">
        <w:rPr>
          <w:rFonts w:ascii="Cambria" w:eastAsia="Cambria" w:hAnsi="Cambria" w:cs="Cambria"/>
          <w:color w:val="000000" w:themeColor="text1"/>
          <w:sz w:val="20"/>
          <w:szCs w:val="20"/>
        </w:rPr>
        <w:t>pursuant to</w:t>
      </w:r>
      <w:r w:rsidRPr="008A7BD7">
        <w:rPr>
          <w:rFonts w:ascii="Cambria" w:eastAsia="Cambria" w:hAnsi="Cambria" w:cs="Cambria"/>
          <w:color w:val="000000" w:themeColor="text1"/>
          <w:sz w:val="20"/>
          <w:szCs w:val="20"/>
        </w:rPr>
        <w:t xml:space="preserve"> Governmental </w:t>
      </w:r>
      <w:r w:rsidR="008E2A39" w:rsidRPr="008A7BD7">
        <w:rPr>
          <w:rFonts w:ascii="Cambria" w:eastAsia="Cambria" w:hAnsi="Cambria" w:cs="Cambria"/>
          <w:color w:val="000000" w:themeColor="text1"/>
          <w:sz w:val="20"/>
          <w:szCs w:val="20"/>
        </w:rPr>
        <w:t>Decision</w:t>
      </w:r>
      <w:r w:rsidRPr="008A7BD7">
        <w:rPr>
          <w:rFonts w:ascii="Cambria" w:eastAsia="Cambria" w:hAnsi="Cambria" w:cs="Cambria"/>
          <w:color w:val="000000" w:themeColor="text1"/>
          <w:sz w:val="20"/>
          <w:szCs w:val="20"/>
        </w:rPr>
        <w:t xml:space="preserve"> </w:t>
      </w:r>
      <w:r w:rsidR="00F97F2A" w:rsidRPr="008A7BD7">
        <w:rPr>
          <w:rFonts w:ascii="Cambria" w:eastAsia="Cambria" w:hAnsi="Cambria" w:cs="Cambria"/>
          <w:color w:val="000000" w:themeColor="text1"/>
          <w:sz w:val="20"/>
          <w:szCs w:val="20"/>
        </w:rPr>
        <w:t xml:space="preserve">98-2020, </w:t>
      </w:r>
      <w:r w:rsidRPr="008A7BD7">
        <w:rPr>
          <w:rFonts w:ascii="Cambria" w:eastAsia="Cambria" w:hAnsi="Cambria" w:cs="Cambria"/>
          <w:color w:val="000000" w:themeColor="text1"/>
          <w:sz w:val="20"/>
          <w:szCs w:val="20"/>
        </w:rPr>
        <w:t xml:space="preserve">the Ministry of Social Development issued Ministerial </w:t>
      </w:r>
      <w:r w:rsidR="00D85906" w:rsidRPr="008A7BD7">
        <w:rPr>
          <w:rFonts w:ascii="Cambria" w:eastAsia="Cambria" w:hAnsi="Cambria" w:cs="Cambria"/>
          <w:color w:val="000000" w:themeColor="text1"/>
          <w:sz w:val="20"/>
          <w:szCs w:val="20"/>
        </w:rPr>
        <w:t>Decision</w:t>
      </w:r>
      <w:r w:rsidRPr="008A7BD7">
        <w:rPr>
          <w:rFonts w:ascii="Cambria" w:eastAsia="Cambria" w:hAnsi="Cambria" w:cs="Cambria"/>
          <w:color w:val="000000" w:themeColor="text1"/>
          <w:sz w:val="20"/>
          <w:szCs w:val="20"/>
        </w:rPr>
        <w:t xml:space="preserve"> </w:t>
      </w:r>
      <w:r w:rsidR="00F97F2A" w:rsidRPr="008A7BD7">
        <w:rPr>
          <w:rFonts w:ascii="Cambria" w:eastAsia="Cambria" w:hAnsi="Cambria" w:cs="Cambria"/>
          <w:color w:val="000000" w:themeColor="text1"/>
          <w:sz w:val="20"/>
          <w:szCs w:val="20"/>
        </w:rPr>
        <w:t>DS-27-2021</w:t>
      </w:r>
      <w:r w:rsidRPr="008A7BD7">
        <w:rPr>
          <w:rFonts w:ascii="Cambria" w:eastAsia="Cambria" w:hAnsi="Cambria" w:cs="Cambria"/>
          <w:color w:val="000000" w:themeColor="text1"/>
          <w:sz w:val="20"/>
          <w:szCs w:val="20"/>
        </w:rPr>
        <w:t xml:space="preserve"> on March </w:t>
      </w:r>
      <w:r w:rsidR="00F97F2A" w:rsidRPr="008A7BD7">
        <w:rPr>
          <w:rFonts w:ascii="Cambria" w:eastAsia="Cambria" w:hAnsi="Cambria" w:cs="Cambria"/>
          <w:color w:val="000000" w:themeColor="text1"/>
          <w:sz w:val="20"/>
          <w:szCs w:val="20"/>
        </w:rPr>
        <w:t>2</w:t>
      </w:r>
      <w:r w:rsidRPr="008A7BD7">
        <w:rPr>
          <w:rFonts w:ascii="Cambria" w:eastAsia="Cambria" w:hAnsi="Cambria" w:cs="Cambria"/>
          <w:color w:val="000000" w:themeColor="text1"/>
          <w:sz w:val="20"/>
          <w:szCs w:val="20"/>
        </w:rPr>
        <w:t xml:space="preserve">, </w:t>
      </w:r>
      <w:r w:rsidR="00F97F2A" w:rsidRPr="008A7BD7">
        <w:rPr>
          <w:rFonts w:ascii="Cambria" w:eastAsia="Cambria" w:hAnsi="Cambria" w:cs="Cambria"/>
          <w:color w:val="000000" w:themeColor="text1"/>
          <w:sz w:val="20"/>
          <w:szCs w:val="20"/>
        </w:rPr>
        <w:t xml:space="preserve">2021, </w:t>
      </w:r>
      <w:r w:rsidR="00FF2F51" w:rsidRPr="008A7BD7">
        <w:rPr>
          <w:rFonts w:ascii="Cambria" w:eastAsia="Cambria" w:hAnsi="Cambria" w:cs="Cambria"/>
          <w:color w:val="000000" w:themeColor="text1"/>
          <w:sz w:val="20"/>
          <w:szCs w:val="20"/>
        </w:rPr>
        <w:t>establishing that the executing unit for the Social Development Fund</w:t>
      </w:r>
      <w:r w:rsidR="00F97F2A" w:rsidRPr="008A7BD7">
        <w:rPr>
          <w:rFonts w:ascii="Cambria" w:eastAsia="Cambria" w:hAnsi="Cambria" w:cs="Cambria"/>
          <w:color w:val="000000" w:themeColor="text1"/>
          <w:sz w:val="20"/>
          <w:szCs w:val="20"/>
        </w:rPr>
        <w:t xml:space="preserve"> (FODES)</w:t>
      </w:r>
      <w:r w:rsidR="00FF2F51" w:rsidRPr="008A7BD7">
        <w:rPr>
          <w:rFonts w:ascii="Cambria" w:eastAsia="Cambria" w:hAnsi="Cambria" w:cs="Cambria"/>
          <w:color w:val="000000" w:themeColor="text1"/>
          <w:sz w:val="20"/>
          <w:szCs w:val="20"/>
        </w:rPr>
        <w:t>, par</w:t>
      </w:r>
      <w:r w:rsidR="00FE0EA0" w:rsidRPr="008A7BD7">
        <w:rPr>
          <w:rFonts w:ascii="Cambria" w:eastAsia="Cambria" w:hAnsi="Cambria" w:cs="Cambria"/>
          <w:color w:val="000000" w:themeColor="text1"/>
          <w:sz w:val="20"/>
          <w:szCs w:val="20"/>
        </w:rPr>
        <w:t>t</w:t>
      </w:r>
      <w:r w:rsidR="00FF2F51" w:rsidRPr="008A7BD7">
        <w:rPr>
          <w:rFonts w:ascii="Cambria" w:eastAsia="Cambria" w:hAnsi="Cambria" w:cs="Cambria"/>
          <w:color w:val="000000" w:themeColor="text1"/>
          <w:sz w:val="20"/>
          <w:szCs w:val="20"/>
        </w:rPr>
        <w:t xml:space="preserve"> of the Ministry of Social Development, will </w:t>
      </w:r>
      <w:proofErr w:type="gramStart"/>
      <w:r w:rsidR="00FF2F51" w:rsidRPr="008A7BD7">
        <w:rPr>
          <w:rFonts w:ascii="Cambria" w:eastAsia="Cambria" w:hAnsi="Cambria" w:cs="Cambria"/>
          <w:color w:val="000000" w:themeColor="text1"/>
          <w:sz w:val="20"/>
          <w:szCs w:val="20"/>
        </w:rPr>
        <w:t xml:space="preserve">be </w:t>
      </w:r>
      <w:r w:rsidR="00FE0EA0" w:rsidRPr="008A7BD7">
        <w:rPr>
          <w:rFonts w:ascii="Cambria" w:eastAsia="Cambria" w:hAnsi="Cambria" w:cs="Cambria"/>
          <w:color w:val="000000" w:themeColor="text1"/>
          <w:sz w:val="20"/>
          <w:szCs w:val="20"/>
        </w:rPr>
        <w:t>in charge of</w:t>
      </w:r>
      <w:proofErr w:type="gramEnd"/>
      <w:r w:rsidR="00FF2F51" w:rsidRPr="008A7BD7">
        <w:rPr>
          <w:rFonts w:ascii="Cambria" w:eastAsia="Cambria" w:hAnsi="Cambria" w:cs="Cambria"/>
          <w:color w:val="000000" w:themeColor="text1"/>
          <w:sz w:val="20"/>
          <w:szCs w:val="20"/>
        </w:rPr>
        <w:t xml:space="preserve"> continuing to implement the National</w:t>
      </w:r>
      <w:r w:rsidR="00FE0EA0" w:rsidRPr="008A7BD7">
        <w:rPr>
          <w:rFonts w:ascii="Cambria" w:eastAsia="Cambria" w:hAnsi="Cambria" w:cs="Cambria"/>
          <w:color w:val="000000" w:themeColor="text1"/>
          <w:sz w:val="20"/>
          <w:szCs w:val="20"/>
        </w:rPr>
        <w:t xml:space="preserve"> Reparations Program. As a result, in </w:t>
      </w:r>
      <w:r w:rsidR="00F97F2A" w:rsidRPr="008A7BD7">
        <w:rPr>
          <w:rFonts w:ascii="Cambria" w:eastAsia="Cambria" w:hAnsi="Cambria" w:cs="Cambria"/>
          <w:color w:val="000000" w:themeColor="text1"/>
          <w:sz w:val="20"/>
          <w:szCs w:val="20"/>
        </w:rPr>
        <w:t xml:space="preserve">2021, </w:t>
      </w:r>
      <w:r w:rsidR="005B5751" w:rsidRPr="008A7BD7">
        <w:rPr>
          <w:rFonts w:ascii="Cambria" w:eastAsia="Cambria" w:hAnsi="Cambria" w:cs="Cambria"/>
          <w:color w:val="000000" w:themeColor="text1"/>
          <w:sz w:val="20"/>
          <w:szCs w:val="20"/>
        </w:rPr>
        <w:t>FODES</w:t>
      </w:r>
      <w:r w:rsidR="00FE0EA0" w:rsidRPr="008A7BD7">
        <w:rPr>
          <w:rFonts w:ascii="Cambria" w:eastAsia="Cambria" w:hAnsi="Cambria" w:cs="Cambria"/>
          <w:color w:val="000000" w:themeColor="text1"/>
          <w:sz w:val="20"/>
          <w:szCs w:val="20"/>
        </w:rPr>
        <w:t xml:space="preserve"> </w:t>
      </w:r>
      <w:r w:rsidR="00F97F2A" w:rsidRPr="008A7BD7">
        <w:rPr>
          <w:rFonts w:ascii="Cambria" w:eastAsia="Cambria" w:hAnsi="Cambria" w:cs="Cambria"/>
          <w:color w:val="000000" w:themeColor="text1"/>
          <w:sz w:val="20"/>
          <w:szCs w:val="20"/>
        </w:rPr>
        <w:t>“</w:t>
      </w:r>
      <w:r w:rsidR="00FE0EA0" w:rsidRPr="008A7BD7">
        <w:rPr>
          <w:rFonts w:ascii="Cambria" w:eastAsia="Cambria" w:hAnsi="Cambria" w:cs="Cambria"/>
          <w:color w:val="000000" w:themeColor="text1"/>
          <w:sz w:val="20"/>
          <w:szCs w:val="20"/>
        </w:rPr>
        <w:t xml:space="preserve">received the files, assets, rights, and obligations of the National Reparations Program, </w:t>
      </w:r>
      <w:r w:rsidR="008E2A39" w:rsidRPr="008A7BD7">
        <w:rPr>
          <w:rFonts w:ascii="Cambria" w:eastAsia="Cambria" w:hAnsi="Cambria" w:cs="Cambria"/>
          <w:color w:val="000000" w:themeColor="text1"/>
          <w:sz w:val="20"/>
          <w:szCs w:val="20"/>
        </w:rPr>
        <w:t>as the agency</w:t>
      </w:r>
      <w:r w:rsidR="00FE0EA0" w:rsidRPr="008A7BD7">
        <w:rPr>
          <w:rFonts w:ascii="Cambria" w:eastAsia="Cambria" w:hAnsi="Cambria" w:cs="Cambria"/>
          <w:color w:val="000000" w:themeColor="text1"/>
          <w:sz w:val="20"/>
          <w:szCs w:val="20"/>
        </w:rPr>
        <w:t xml:space="preserve"> responsible for coordinating the administrative procedures to issue appropriate policies and </w:t>
      </w:r>
      <w:r w:rsidR="008E2A39" w:rsidRPr="008A7BD7">
        <w:rPr>
          <w:rFonts w:ascii="Cambria" w:eastAsia="Cambria" w:hAnsi="Cambria" w:cs="Cambria"/>
          <w:color w:val="000000" w:themeColor="text1"/>
          <w:sz w:val="20"/>
          <w:szCs w:val="20"/>
        </w:rPr>
        <w:t>rules</w:t>
      </w:r>
      <w:r w:rsidR="00FE0EA0" w:rsidRPr="008A7BD7">
        <w:rPr>
          <w:rFonts w:ascii="Cambria" w:eastAsia="Cambria" w:hAnsi="Cambria" w:cs="Cambria"/>
          <w:color w:val="000000" w:themeColor="text1"/>
          <w:sz w:val="20"/>
          <w:szCs w:val="20"/>
        </w:rPr>
        <w:t xml:space="preserve"> for </w:t>
      </w:r>
      <w:r w:rsidR="005B5751" w:rsidRPr="008A7BD7">
        <w:rPr>
          <w:rFonts w:ascii="Cambria" w:eastAsia="Cambria" w:hAnsi="Cambria" w:cs="Cambria"/>
          <w:color w:val="000000" w:themeColor="text1"/>
          <w:sz w:val="20"/>
          <w:szCs w:val="20"/>
        </w:rPr>
        <w:t xml:space="preserve">the </w:t>
      </w:r>
      <w:r w:rsidR="008E2A39" w:rsidRPr="008A7BD7">
        <w:rPr>
          <w:rFonts w:ascii="Cambria" w:eastAsia="Cambria" w:hAnsi="Cambria" w:cs="Cambria"/>
          <w:color w:val="000000" w:themeColor="text1"/>
          <w:sz w:val="20"/>
          <w:szCs w:val="20"/>
        </w:rPr>
        <w:t xml:space="preserve">proper </w:t>
      </w:r>
      <w:r w:rsidR="005B5751" w:rsidRPr="008A7BD7">
        <w:rPr>
          <w:rFonts w:ascii="Cambria" w:eastAsia="Cambria" w:hAnsi="Cambria" w:cs="Cambria"/>
          <w:color w:val="000000" w:themeColor="text1"/>
          <w:sz w:val="20"/>
          <w:szCs w:val="20"/>
        </w:rPr>
        <w:t xml:space="preserve">admission and execution of </w:t>
      </w:r>
      <w:r w:rsidR="00FE0EA0" w:rsidRPr="008A7BD7">
        <w:rPr>
          <w:rFonts w:ascii="Cambria" w:eastAsia="Cambria" w:hAnsi="Cambria" w:cs="Cambria"/>
          <w:color w:val="000000" w:themeColor="text1"/>
          <w:sz w:val="20"/>
          <w:szCs w:val="20"/>
        </w:rPr>
        <w:t>the Reparations Program.”</w:t>
      </w:r>
      <w:r w:rsidR="00F97F2A" w:rsidRPr="008A7BD7">
        <w:rPr>
          <w:rStyle w:val="FootnoteReference"/>
          <w:rFonts w:ascii="Cambria" w:eastAsia="Cambria" w:hAnsi="Cambria" w:cs="Cambria"/>
          <w:color w:val="000000" w:themeColor="text1"/>
          <w:sz w:val="20"/>
          <w:szCs w:val="20"/>
          <w:lang w:val="es-419"/>
        </w:rPr>
        <w:footnoteReference w:id="216"/>
      </w:r>
      <w:r w:rsidR="00F97F2A" w:rsidRPr="008A7BD7">
        <w:rPr>
          <w:rFonts w:ascii="Cambria" w:eastAsia="Cambria" w:hAnsi="Cambria" w:cs="Cambria"/>
          <w:color w:val="000000" w:themeColor="text1"/>
          <w:sz w:val="20"/>
          <w:szCs w:val="20"/>
        </w:rPr>
        <w:t xml:space="preserve"> </w:t>
      </w:r>
    </w:p>
    <w:p w14:paraId="0741AA0E" w14:textId="77777777" w:rsidR="00DC16DE" w:rsidRPr="008A7BD7" w:rsidRDefault="00DC16DE" w:rsidP="00DC16DE">
      <w:pPr>
        <w:pStyle w:val="ListParagraph"/>
        <w:rPr>
          <w:rFonts w:ascii="Cambria" w:eastAsia="Cambria" w:hAnsi="Cambria" w:cs="Cambria"/>
          <w:color w:val="000000" w:themeColor="text1"/>
          <w:sz w:val="20"/>
          <w:szCs w:val="20"/>
        </w:rPr>
      </w:pPr>
    </w:p>
    <w:p w14:paraId="27CC1A1A" w14:textId="5B4C6304" w:rsidR="00DC16DE" w:rsidRPr="008A7BD7" w:rsidRDefault="00802F09"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Meanwhile, the IACHR </w:t>
      </w:r>
      <w:hyperlink r:id="rId13">
        <w:r w:rsidRPr="008A7BD7">
          <w:rPr>
            <w:rFonts w:ascii="Cambria" w:hAnsi="Cambria"/>
            <w:color w:val="000000" w:themeColor="text1"/>
            <w:sz w:val="20"/>
            <w:szCs w:val="20"/>
            <w:u w:val="single"/>
          </w:rPr>
          <w:t>welcomed</w:t>
        </w:r>
      </w:hyperlink>
      <w:r w:rsidR="00DC16DE" w:rsidRPr="008A7BD7">
        <w:rPr>
          <w:rFonts w:ascii="Cambria" w:hAnsi="Cambria"/>
          <w:color w:val="000000" w:themeColor="text1"/>
          <w:sz w:val="20"/>
          <w:szCs w:val="20"/>
        </w:rPr>
        <w:t xml:space="preserve"> </w:t>
      </w:r>
      <w:r w:rsidRPr="008A7BD7">
        <w:rPr>
          <w:rFonts w:ascii="Cambria" w:hAnsi="Cambria"/>
          <w:color w:val="000000" w:themeColor="text1"/>
          <w:sz w:val="20"/>
          <w:szCs w:val="20"/>
        </w:rPr>
        <w:t>the</w:t>
      </w:r>
      <w:r w:rsidR="00DC16DE" w:rsidRPr="008A7BD7">
        <w:rPr>
          <w:rFonts w:ascii="Cambria" w:hAnsi="Cambria"/>
          <w:color w:val="000000" w:themeColor="text1"/>
          <w:sz w:val="20"/>
          <w:szCs w:val="20"/>
        </w:rPr>
        <w:t xml:space="preserve"> </w:t>
      </w:r>
      <w:r w:rsidR="00FA22A2" w:rsidRPr="008A7BD7">
        <w:rPr>
          <w:rFonts w:ascii="Cambria" w:hAnsi="Cambria"/>
          <w:color w:val="000000" w:themeColor="text1"/>
          <w:sz w:val="20"/>
          <w:szCs w:val="20"/>
        </w:rPr>
        <w:t>injunction</w:t>
      </w:r>
      <w:r w:rsidRPr="008A7BD7">
        <w:rPr>
          <w:rFonts w:ascii="Cambria" w:hAnsi="Cambria"/>
          <w:color w:val="000000" w:themeColor="text1"/>
          <w:sz w:val="20"/>
          <w:szCs w:val="20"/>
        </w:rPr>
        <w:t xml:space="preserve"> handed down on February 9 by the Constitutional Court of the Republic of Guatemala, which </w:t>
      </w:r>
      <w:r w:rsidR="00B427BD" w:rsidRPr="008A7BD7">
        <w:rPr>
          <w:rFonts w:ascii="Cambria" w:hAnsi="Cambria"/>
          <w:color w:val="000000" w:themeColor="text1"/>
          <w:sz w:val="20"/>
          <w:szCs w:val="20"/>
        </w:rPr>
        <w:t>conclusively</w:t>
      </w:r>
      <w:r w:rsidR="0007720F" w:rsidRPr="008A7BD7">
        <w:rPr>
          <w:rFonts w:ascii="Cambria" w:hAnsi="Cambria"/>
          <w:color w:val="000000" w:themeColor="text1"/>
          <w:sz w:val="20"/>
          <w:szCs w:val="20"/>
        </w:rPr>
        <w:t xml:space="preserve"> suspended the </w:t>
      </w:r>
      <w:r w:rsidR="00D74907" w:rsidRPr="008A7BD7">
        <w:rPr>
          <w:rFonts w:ascii="Cambria" w:hAnsi="Cambria"/>
          <w:color w:val="000000" w:themeColor="text1"/>
          <w:sz w:val="20"/>
          <w:szCs w:val="20"/>
        </w:rPr>
        <w:t>proceeding</w:t>
      </w:r>
      <w:r w:rsidR="0007720F" w:rsidRPr="008A7BD7">
        <w:rPr>
          <w:rFonts w:ascii="Cambria" w:hAnsi="Cambria"/>
          <w:color w:val="000000" w:themeColor="text1"/>
          <w:sz w:val="20"/>
          <w:szCs w:val="20"/>
        </w:rPr>
        <w:t xml:space="preserve"> to create, sanction, and promulgate the law corresponding to </w:t>
      </w:r>
      <w:r w:rsidR="00D74907" w:rsidRPr="008A7BD7">
        <w:rPr>
          <w:rFonts w:ascii="Cambria" w:hAnsi="Cambria"/>
          <w:color w:val="000000" w:themeColor="text1"/>
          <w:sz w:val="20"/>
          <w:szCs w:val="20"/>
        </w:rPr>
        <w:t>bill</w:t>
      </w:r>
      <w:r w:rsidR="0007720F" w:rsidRPr="008A7BD7">
        <w:rPr>
          <w:rFonts w:ascii="Cambria" w:hAnsi="Cambria"/>
          <w:color w:val="000000" w:themeColor="text1"/>
          <w:sz w:val="20"/>
          <w:szCs w:val="20"/>
        </w:rPr>
        <w:t xml:space="preserve"> </w:t>
      </w:r>
      <w:r w:rsidR="00DC16DE" w:rsidRPr="008A7BD7">
        <w:rPr>
          <w:rFonts w:ascii="Cambria" w:hAnsi="Cambria"/>
          <w:color w:val="000000" w:themeColor="text1"/>
          <w:sz w:val="20"/>
          <w:szCs w:val="20"/>
        </w:rPr>
        <w:t xml:space="preserve">No. 5377, </w:t>
      </w:r>
      <w:r w:rsidR="00B427BD" w:rsidRPr="008A7BD7">
        <w:rPr>
          <w:rFonts w:ascii="Cambria" w:hAnsi="Cambria"/>
          <w:color w:val="000000" w:themeColor="text1"/>
          <w:sz w:val="20"/>
          <w:szCs w:val="20"/>
        </w:rPr>
        <w:t>amending</w:t>
      </w:r>
      <w:r w:rsidR="0007720F" w:rsidRPr="008A7BD7">
        <w:rPr>
          <w:rFonts w:ascii="Cambria" w:hAnsi="Cambria"/>
          <w:color w:val="000000" w:themeColor="text1"/>
          <w:sz w:val="20"/>
          <w:szCs w:val="20"/>
        </w:rPr>
        <w:t xml:space="preserve"> Decree </w:t>
      </w:r>
      <w:r w:rsidR="00DC16DE" w:rsidRPr="008A7BD7">
        <w:rPr>
          <w:rFonts w:ascii="Cambria" w:hAnsi="Cambria"/>
          <w:color w:val="000000" w:themeColor="text1"/>
          <w:sz w:val="20"/>
          <w:szCs w:val="20"/>
        </w:rPr>
        <w:t xml:space="preserve">145-96, </w:t>
      </w:r>
      <w:r w:rsidR="00B427BD" w:rsidRPr="008A7BD7">
        <w:rPr>
          <w:rFonts w:ascii="Cambria" w:hAnsi="Cambria"/>
          <w:color w:val="000000" w:themeColor="text1"/>
          <w:sz w:val="20"/>
          <w:szCs w:val="20"/>
        </w:rPr>
        <w:t xml:space="preserve">the </w:t>
      </w:r>
      <w:r w:rsidR="005B03E9" w:rsidRPr="008A7BD7">
        <w:rPr>
          <w:rFonts w:ascii="Cambria" w:hAnsi="Cambria"/>
          <w:color w:val="000000" w:themeColor="text1"/>
          <w:sz w:val="20"/>
          <w:szCs w:val="20"/>
        </w:rPr>
        <w:t xml:space="preserve">Law on </w:t>
      </w:r>
      <w:r w:rsidR="0007720F" w:rsidRPr="008A7BD7">
        <w:rPr>
          <w:rFonts w:ascii="Cambria" w:hAnsi="Cambria"/>
          <w:color w:val="000000" w:themeColor="text1"/>
          <w:sz w:val="20"/>
          <w:szCs w:val="20"/>
        </w:rPr>
        <w:t xml:space="preserve">National Reconciliation. The Constitutional Court determined that the legislative authority must refrain from continuing with the respective </w:t>
      </w:r>
      <w:r w:rsidR="00D74907" w:rsidRPr="008A7BD7">
        <w:rPr>
          <w:rFonts w:ascii="Cambria" w:hAnsi="Cambria"/>
          <w:color w:val="000000" w:themeColor="text1"/>
          <w:sz w:val="20"/>
          <w:szCs w:val="20"/>
        </w:rPr>
        <w:t xml:space="preserve">legislation </w:t>
      </w:r>
      <w:r w:rsidR="0007720F" w:rsidRPr="008A7BD7">
        <w:rPr>
          <w:rFonts w:ascii="Cambria" w:hAnsi="Cambria"/>
          <w:color w:val="000000" w:themeColor="text1"/>
          <w:sz w:val="20"/>
          <w:szCs w:val="20"/>
        </w:rPr>
        <w:t xml:space="preserve">and </w:t>
      </w:r>
      <w:r w:rsidR="00980511" w:rsidRPr="008A7BD7">
        <w:rPr>
          <w:rFonts w:ascii="Cambria" w:hAnsi="Cambria"/>
          <w:color w:val="000000" w:themeColor="text1"/>
          <w:sz w:val="20"/>
          <w:szCs w:val="20"/>
        </w:rPr>
        <w:t xml:space="preserve">must </w:t>
      </w:r>
      <w:r w:rsidR="0007720F" w:rsidRPr="008A7BD7">
        <w:rPr>
          <w:rFonts w:ascii="Cambria" w:hAnsi="Cambria"/>
          <w:color w:val="000000" w:themeColor="text1"/>
          <w:sz w:val="20"/>
          <w:szCs w:val="20"/>
        </w:rPr>
        <w:t xml:space="preserve">proceed to archive the </w:t>
      </w:r>
      <w:r w:rsidR="00D74907" w:rsidRPr="008A7BD7">
        <w:rPr>
          <w:rFonts w:ascii="Cambria" w:hAnsi="Cambria"/>
          <w:color w:val="000000" w:themeColor="text1"/>
          <w:sz w:val="20"/>
          <w:szCs w:val="20"/>
        </w:rPr>
        <w:t>bill</w:t>
      </w:r>
      <w:r w:rsidR="0007720F" w:rsidRPr="008A7BD7">
        <w:rPr>
          <w:rFonts w:ascii="Cambria" w:hAnsi="Cambria"/>
          <w:color w:val="000000" w:themeColor="text1"/>
          <w:sz w:val="20"/>
          <w:szCs w:val="20"/>
        </w:rPr>
        <w:t>.</w:t>
      </w:r>
      <w:r w:rsidR="00DC16DE" w:rsidRPr="008A7BD7">
        <w:rPr>
          <w:rStyle w:val="FootnoteReference"/>
          <w:rFonts w:ascii="Cambria" w:hAnsi="Cambria"/>
          <w:color w:val="000000" w:themeColor="text1"/>
          <w:sz w:val="20"/>
          <w:szCs w:val="20"/>
          <w:lang w:val="es-ES"/>
        </w:rPr>
        <w:footnoteReference w:id="217"/>
      </w:r>
      <w:r w:rsidR="00DC16DE" w:rsidRPr="008A7BD7">
        <w:rPr>
          <w:rFonts w:ascii="Cambria" w:hAnsi="Cambria"/>
          <w:color w:val="000000" w:themeColor="text1"/>
          <w:sz w:val="20"/>
          <w:szCs w:val="20"/>
        </w:rPr>
        <w:t xml:space="preserve"> </w:t>
      </w:r>
    </w:p>
    <w:p w14:paraId="5C122B4A" w14:textId="77777777" w:rsidR="00DC16DE" w:rsidRPr="008A7BD7" w:rsidRDefault="00DC16DE" w:rsidP="00DC16DE">
      <w:pPr>
        <w:pStyle w:val="ListParagraph"/>
        <w:rPr>
          <w:rFonts w:ascii="Cambria" w:hAnsi="Cambria"/>
          <w:color w:val="000000" w:themeColor="text1"/>
          <w:sz w:val="20"/>
          <w:szCs w:val="20"/>
        </w:rPr>
      </w:pPr>
    </w:p>
    <w:p w14:paraId="3C34C4C4" w14:textId="7E34881A" w:rsidR="00DC16DE" w:rsidRPr="008A7BD7" w:rsidRDefault="008F54C9"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hAnsi="Cambria"/>
          <w:color w:val="000000" w:themeColor="text1"/>
          <w:sz w:val="20"/>
          <w:szCs w:val="20"/>
        </w:rPr>
        <w:t xml:space="preserve">In that regard, the Commission notes that Congress archived the </w:t>
      </w:r>
      <w:r w:rsidR="00D74907" w:rsidRPr="008A7BD7">
        <w:rPr>
          <w:rFonts w:ascii="Cambria" w:hAnsi="Cambria"/>
          <w:color w:val="000000" w:themeColor="text1"/>
          <w:sz w:val="20"/>
          <w:szCs w:val="20"/>
        </w:rPr>
        <w:t>bill</w:t>
      </w:r>
      <w:r w:rsidRPr="008A7BD7">
        <w:rPr>
          <w:rFonts w:ascii="Cambria" w:hAnsi="Cambria"/>
          <w:color w:val="000000" w:themeColor="text1"/>
          <w:sz w:val="20"/>
          <w:szCs w:val="20"/>
        </w:rPr>
        <w:t xml:space="preserve"> in April </w:t>
      </w:r>
      <w:r w:rsidR="00DC16DE" w:rsidRPr="008A7BD7">
        <w:rPr>
          <w:rFonts w:ascii="Cambria" w:hAnsi="Cambria"/>
          <w:color w:val="000000" w:themeColor="text1"/>
          <w:sz w:val="20"/>
          <w:szCs w:val="20"/>
        </w:rPr>
        <w:t>2021</w:t>
      </w:r>
      <w:r w:rsidRPr="008A7BD7">
        <w:rPr>
          <w:rFonts w:ascii="Cambria" w:hAnsi="Cambria"/>
          <w:color w:val="000000" w:themeColor="text1"/>
          <w:sz w:val="20"/>
          <w:szCs w:val="20"/>
        </w:rPr>
        <w:t>.</w:t>
      </w:r>
      <w:r w:rsidR="00DC16DE" w:rsidRPr="008A7BD7">
        <w:rPr>
          <w:rStyle w:val="FootnoteReference"/>
          <w:rFonts w:ascii="Cambria" w:hAnsi="Cambria"/>
          <w:color w:val="000000" w:themeColor="text1"/>
          <w:sz w:val="20"/>
          <w:szCs w:val="20"/>
          <w:lang w:val="es-ES"/>
        </w:rPr>
        <w:footnoteReference w:id="218"/>
      </w:r>
      <w:r w:rsidR="00DC16DE" w:rsidRPr="008A7BD7">
        <w:rPr>
          <w:rFonts w:ascii="Cambria" w:hAnsi="Cambria"/>
          <w:color w:val="000000" w:themeColor="text1"/>
          <w:sz w:val="20"/>
          <w:szCs w:val="20"/>
        </w:rPr>
        <w:t xml:space="preserve"> </w:t>
      </w:r>
      <w:r w:rsidRPr="008A7BD7">
        <w:rPr>
          <w:rFonts w:ascii="Cambria" w:eastAsia="Cambria" w:hAnsi="Cambria" w:cs="Cambria"/>
          <w:color w:val="000000" w:themeColor="text1"/>
          <w:sz w:val="20"/>
          <w:szCs w:val="20"/>
        </w:rPr>
        <w:t xml:space="preserve">However, on June </w:t>
      </w:r>
      <w:r w:rsidR="00DC16DE" w:rsidRPr="008A7BD7">
        <w:rPr>
          <w:rFonts w:ascii="Cambria" w:eastAsia="Cambria" w:hAnsi="Cambria" w:cs="Cambria"/>
          <w:color w:val="000000" w:themeColor="text1"/>
          <w:sz w:val="20"/>
          <w:szCs w:val="20"/>
        </w:rPr>
        <w:t xml:space="preserve">7 </w:t>
      </w:r>
      <w:r w:rsidRPr="008A7BD7">
        <w:rPr>
          <w:rFonts w:ascii="Cambria" w:eastAsia="Cambria" w:hAnsi="Cambria" w:cs="Cambria"/>
          <w:color w:val="000000" w:themeColor="text1"/>
          <w:sz w:val="20"/>
          <w:szCs w:val="20"/>
        </w:rPr>
        <w:t xml:space="preserve">of this year, a group of congressional representatives presented a draft “Consolidation of Peace and Reconciliation </w:t>
      </w:r>
      <w:r w:rsidR="00B97A4D" w:rsidRPr="008A7BD7">
        <w:rPr>
          <w:rFonts w:ascii="Cambria" w:eastAsia="Cambria" w:hAnsi="Cambria" w:cs="Cambria"/>
          <w:color w:val="000000" w:themeColor="text1"/>
          <w:sz w:val="20"/>
          <w:szCs w:val="20"/>
        </w:rPr>
        <w:t>Law</w:t>
      </w:r>
      <w:r w:rsidRPr="008A7BD7">
        <w:rPr>
          <w:rFonts w:ascii="Cambria" w:eastAsia="Cambria" w:hAnsi="Cambria" w:cs="Cambria"/>
          <w:color w:val="000000" w:themeColor="text1"/>
          <w:sz w:val="20"/>
          <w:szCs w:val="20"/>
        </w:rPr>
        <w:t xml:space="preserve">,” </w:t>
      </w:r>
      <w:r w:rsidR="00B97A4D" w:rsidRPr="008A7BD7">
        <w:rPr>
          <w:rFonts w:ascii="Cambria" w:eastAsia="Cambria" w:hAnsi="Cambria" w:cs="Cambria"/>
          <w:color w:val="000000" w:themeColor="text1"/>
          <w:sz w:val="20"/>
          <w:szCs w:val="20"/>
        </w:rPr>
        <w:t>bill</w:t>
      </w:r>
      <w:r w:rsidRPr="008A7BD7">
        <w:rPr>
          <w:rFonts w:ascii="Cambria" w:eastAsia="Cambria" w:hAnsi="Cambria" w:cs="Cambria"/>
          <w:color w:val="000000" w:themeColor="text1"/>
          <w:sz w:val="20"/>
          <w:szCs w:val="20"/>
        </w:rPr>
        <w:t xml:space="preserve"> </w:t>
      </w:r>
      <w:r w:rsidR="00DC16DE" w:rsidRPr="008A7BD7">
        <w:rPr>
          <w:rFonts w:ascii="Cambria" w:eastAsia="Cambria" w:hAnsi="Cambria" w:cs="Cambria"/>
          <w:color w:val="000000" w:themeColor="text1"/>
          <w:sz w:val="20"/>
          <w:szCs w:val="20"/>
        </w:rPr>
        <w:t xml:space="preserve">No. 5290, </w:t>
      </w:r>
      <w:r w:rsidRPr="008A7BD7">
        <w:rPr>
          <w:rFonts w:ascii="Cambria" w:eastAsia="Cambria" w:hAnsi="Cambria" w:cs="Cambria"/>
          <w:color w:val="000000" w:themeColor="text1"/>
          <w:sz w:val="20"/>
          <w:szCs w:val="20"/>
        </w:rPr>
        <w:t xml:space="preserve">which establishes the extinction of responsibility for the crimes committed during the internal armed conflict in the country from November 20, </w:t>
      </w:r>
      <w:r w:rsidR="00DC16DE" w:rsidRPr="008A7BD7">
        <w:rPr>
          <w:rFonts w:ascii="Cambria" w:eastAsia="Cambria" w:hAnsi="Cambria" w:cs="Cambria"/>
          <w:color w:val="000000" w:themeColor="text1"/>
          <w:sz w:val="20"/>
          <w:szCs w:val="20"/>
        </w:rPr>
        <w:t>1960</w:t>
      </w:r>
      <w:r w:rsidRPr="008A7BD7">
        <w:rPr>
          <w:rFonts w:ascii="Cambria" w:eastAsia="Cambria" w:hAnsi="Cambria" w:cs="Cambria"/>
          <w:color w:val="000000" w:themeColor="text1"/>
          <w:sz w:val="20"/>
          <w:szCs w:val="20"/>
        </w:rPr>
        <w:t xml:space="preserve">, to December </w:t>
      </w:r>
      <w:r w:rsidR="00DC16DE" w:rsidRPr="008A7BD7">
        <w:rPr>
          <w:rFonts w:ascii="Cambria" w:eastAsia="Cambria" w:hAnsi="Cambria" w:cs="Cambria"/>
          <w:color w:val="000000" w:themeColor="text1"/>
          <w:sz w:val="20"/>
          <w:szCs w:val="20"/>
        </w:rPr>
        <w:t>26</w:t>
      </w:r>
      <w:r w:rsidRPr="008A7BD7">
        <w:rPr>
          <w:rFonts w:ascii="Cambria" w:eastAsia="Cambria" w:hAnsi="Cambria" w:cs="Cambria"/>
          <w:color w:val="000000" w:themeColor="text1"/>
          <w:sz w:val="20"/>
          <w:szCs w:val="20"/>
        </w:rPr>
        <w:t xml:space="preserve">, </w:t>
      </w:r>
      <w:r w:rsidR="00DC16DE" w:rsidRPr="008A7BD7">
        <w:rPr>
          <w:rFonts w:ascii="Cambria" w:eastAsia="Cambria" w:hAnsi="Cambria" w:cs="Cambria"/>
          <w:color w:val="000000" w:themeColor="text1"/>
          <w:sz w:val="20"/>
          <w:szCs w:val="20"/>
        </w:rPr>
        <w:t>1996</w:t>
      </w:r>
      <w:r w:rsidRPr="008A7BD7">
        <w:rPr>
          <w:rFonts w:ascii="Cambria" w:eastAsia="Cambria" w:hAnsi="Cambria" w:cs="Cambria"/>
          <w:color w:val="000000" w:themeColor="text1"/>
          <w:sz w:val="20"/>
          <w:szCs w:val="20"/>
        </w:rPr>
        <w:t>.</w:t>
      </w:r>
      <w:r w:rsidR="00DC16DE" w:rsidRPr="008A7BD7">
        <w:rPr>
          <w:rStyle w:val="FootnoteReference"/>
          <w:rFonts w:ascii="Cambria" w:eastAsia="Cambria" w:hAnsi="Cambria" w:cs="Cambria"/>
          <w:color w:val="000000" w:themeColor="text1"/>
          <w:sz w:val="20"/>
          <w:szCs w:val="20"/>
          <w:lang w:val="es-419"/>
        </w:rPr>
        <w:footnoteReference w:id="219"/>
      </w:r>
      <w:r w:rsidR="00DC16DE" w:rsidRPr="008A7BD7">
        <w:rPr>
          <w:rFonts w:ascii="Cambria" w:eastAsia="Cambria" w:hAnsi="Cambria" w:cs="Cambria"/>
          <w:color w:val="000000" w:themeColor="text1"/>
          <w:sz w:val="20"/>
          <w:szCs w:val="20"/>
        </w:rPr>
        <w:t xml:space="preserve"> </w:t>
      </w:r>
      <w:r w:rsidR="006E16A7" w:rsidRPr="008A7BD7">
        <w:rPr>
          <w:rFonts w:ascii="Cambria" w:eastAsia="Cambria" w:hAnsi="Cambria" w:cs="Cambria"/>
          <w:color w:val="000000" w:themeColor="text1"/>
          <w:sz w:val="20"/>
          <w:szCs w:val="20"/>
        </w:rPr>
        <w:t xml:space="preserve">The Commission reminds the State of </w:t>
      </w:r>
      <w:r w:rsidR="00DC16DE" w:rsidRPr="008A7BD7">
        <w:rPr>
          <w:rFonts w:ascii="Cambria" w:hAnsi="Cambria"/>
          <w:color w:val="000000" w:themeColor="text1"/>
          <w:sz w:val="20"/>
          <w:szCs w:val="20"/>
        </w:rPr>
        <w:t xml:space="preserve">Guatemala </w:t>
      </w:r>
      <w:r w:rsidR="006E16A7" w:rsidRPr="008A7BD7">
        <w:rPr>
          <w:rFonts w:ascii="Cambria" w:hAnsi="Cambria"/>
          <w:color w:val="000000" w:themeColor="text1"/>
          <w:sz w:val="20"/>
          <w:szCs w:val="20"/>
        </w:rPr>
        <w:t xml:space="preserve">that laws intended to hamper the investigation and </w:t>
      </w:r>
      <w:r w:rsidR="00352CF5" w:rsidRPr="008A7BD7">
        <w:rPr>
          <w:rFonts w:ascii="Cambria" w:hAnsi="Cambria"/>
          <w:color w:val="000000" w:themeColor="text1"/>
          <w:sz w:val="20"/>
          <w:szCs w:val="20"/>
        </w:rPr>
        <w:t>punishment</w:t>
      </w:r>
      <w:r w:rsidR="006E16A7" w:rsidRPr="008A7BD7">
        <w:rPr>
          <w:rFonts w:ascii="Cambria" w:hAnsi="Cambria"/>
          <w:color w:val="000000" w:themeColor="text1"/>
          <w:sz w:val="20"/>
          <w:szCs w:val="20"/>
        </w:rPr>
        <w:t xml:space="preserve"> of serious human rights violations are incompatible with inter-American human rights standards, and urges the State of Guatemala to</w:t>
      </w:r>
      <w:r w:rsidR="00DC16DE" w:rsidRPr="008A7BD7">
        <w:rPr>
          <w:rFonts w:ascii="Cambria" w:hAnsi="Cambria"/>
          <w:color w:val="000000" w:themeColor="text1"/>
          <w:sz w:val="20"/>
          <w:szCs w:val="20"/>
        </w:rPr>
        <w:t xml:space="preserve"> </w:t>
      </w:r>
      <w:r w:rsidR="008006E0" w:rsidRPr="008A7BD7">
        <w:rPr>
          <w:rFonts w:ascii="Cambria" w:hAnsi="Cambria"/>
          <w:color w:val="000000" w:themeColor="text1"/>
          <w:sz w:val="20"/>
          <w:szCs w:val="20"/>
        </w:rPr>
        <w:t xml:space="preserve">definitively </w:t>
      </w:r>
      <w:r w:rsidR="006E16A7" w:rsidRPr="008A7BD7">
        <w:rPr>
          <w:rFonts w:ascii="Cambria" w:hAnsi="Cambria"/>
          <w:color w:val="000000" w:themeColor="text1"/>
          <w:sz w:val="20"/>
          <w:szCs w:val="20"/>
        </w:rPr>
        <w:t>archive bill</w:t>
      </w:r>
      <w:r w:rsidR="00DC16DE" w:rsidRPr="008A7BD7">
        <w:rPr>
          <w:rFonts w:ascii="Cambria" w:hAnsi="Cambria"/>
          <w:color w:val="000000" w:themeColor="text1"/>
          <w:sz w:val="20"/>
          <w:szCs w:val="20"/>
        </w:rPr>
        <w:t xml:space="preserve"> No. 5290. </w:t>
      </w:r>
    </w:p>
    <w:p w14:paraId="4F6D7655" w14:textId="77777777" w:rsidR="00DC16DE" w:rsidRPr="008A7BD7" w:rsidRDefault="00DC16DE" w:rsidP="00DC16DE">
      <w:pPr>
        <w:pStyle w:val="ListParagraph"/>
        <w:rPr>
          <w:rFonts w:ascii="Cambria" w:eastAsia="Cambria" w:hAnsi="Cambria" w:cs="Cambria"/>
          <w:color w:val="000000" w:themeColor="text1"/>
          <w:sz w:val="20"/>
          <w:szCs w:val="20"/>
        </w:rPr>
      </w:pPr>
    </w:p>
    <w:p w14:paraId="4322CC9E" w14:textId="22F1FD89" w:rsidR="00DC16DE" w:rsidRPr="008A7BD7" w:rsidRDefault="00352CF5"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On another matter, the Commission points to the progress made in the </w:t>
      </w:r>
      <w:proofErr w:type="spellStart"/>
      <w:r w:rsidR="00DC16DE" w:rsidRPr="008A7BD7">
        <w:rPr>
          <w:rFonts w:ascii="Cambria" w:eastAsia="Cambria" w:hAnsi="Cambria" w:cs="Cambria"/>
          <w:i/>
          <w:iCs/>
          <w:color w:val="000000" w:themeColor="text1"/>
          <w:sz w:val="20"/>
          <w:szCs w:val="20"/>
        </w:rPr>
        <w:t>Diario</w:t>
      </w:r>
      <w:proofErr w:type="spellEnd"/>
      <w:r w:rsidR="00DC16DE" w:rsidRPr="008A7BD7">
        <w:rPr>
          <w:rFonts w:ascii="Cambria" w:eastAsia="Cambria" w:hAnsi="Cambria" w:cs="Cambria"/>
          <w:i/>
          <w:iCs/>
          <w:color w:val="000000" w:themeColor="text1"/>
          <w:sz w:val="20"/>
          <w:szCs w:val="20"/>
        </w:rPr>
        <w:t xml:space="preserve"> </w:t>
      </w:r>
      <w:proofErr w:type="spellStart"/>
      <w:r w:rsidR="00DC16DE" w:rsidRPr="008A7BD7">
        <w:rPr>
          <w:rFonts w:ascii="Cambria" w:eastAsia="Cambria" w:hAnsi="Cambria" w:cs="Cambria"/>
          <w:i/>
          <w:iCs/>
          <w:color w:val="000000" w:themeColor="text1"/>
          <w:sz w:val="20"/>
          <w:szCs w:val="20"/>
        </w:rPr>
        <w:t>Militar</w:t>
      </w:r>
      <w:proofErr w:type="spellEnd"/>
      <w:r w:rsidRPr="008A7BD7">
        <w:rPr>
          <w:rFonts w:ascii="Cambria" w:eastAsia="Cambria" w:hAnsi="Cambria" w:cs="Cambria"/>
          <w:color w:val="000000" w:themeColor="text1"/>
          <w:sz w:val="20"/>
          <w:szCs w:val="20"/>
        </w:rPr>
        <w:t xml:space="preserve"> case, which </w:t>
      </w:r>
      <w:r w:rsidR="009F0114" w:rsidRPr="008A7BD7">
        <w:rPr>
          <w:rFonts w:ascii="Cambria" w:eastAsia="Cambria" w:hAnsi="Cambria" w:cs="Cambria"/>
          <w:color w:val="000000" w:themeColor="text1"/>
          <w:sz w:val="20"/>
          <w:szCs w:val="20"/>
        </w:rPr>
        <w:t xml:space="preserve">is </w:t>
      </w:r>
      <w:r w:rsidRPr="008A7BD7">
        <w:rPr>
          <w:rFonts w:ascii="Cambria" w:eastAsia="Cambria" w:hAnsi="Cambria" w:cs="Cambria"/>
          <w:color w:val="000000" w:themeColor="text1"/>
          <w:sz w:val="20"/>
          <w:szCs w:val="20"/>
        </w:rPr>
        <w:t>investigat</w:t>
      </w:r>
      <w:r w:rsidR="009F0114" w:rsidRPr="008A7BD7">
        <w:rPr>
          <w:rFonts w:ascii="Cambria" w:eastAsia="Cambria" w:hAnsi="Cambria" w:cs="Cambria"/>
          <w:color w:val="000000" w:themeColor="text1"/>
          <w:sz w:val="20"/>
          <w:szCs w:val="20"/>
        </w:rPr>
        <w:t>ing</w:t>
      </w:r>
      <w:r w:rsidRPr="008A7BD7">
        <w:rPr>
          <w:rFonts w:ascii="Cambria" w:eastAsia="Cambria" w:hAnsi="Cambria" w:cs="Cambria"/>
          <w:color w:val="000000" w:themeColor="text1"/>
          <w:sz w:val="20"/>
          <w:szCs w:val="20"/>
        </w:rPr>
        <w:t xml:space="preserve"> crimes such as forced disappearance, torture, sexual violence, and extrajudicial execution by at least </w:t>
      </w:r>
      <w:r w:rsidR="00DC16DE" w:rsidRPr="008A7BD7">
        <w:rPr>
          <w:rFonts w:ascii="Cambria" w:eastAsia="Cambria" w:hAnsi="Cambria" w:cs="Cambria"/>
          <w:color w:val="000000" w:themeColor="text1"/>
          <w:sz w:val="20"/>
          <w:szCs w:val="20"/>
        </w:rPr>
        <w:t xml:space="preserve">183 </w:t>
      </w:r>
      <w:r w:rsidRPr="008A7BD7">
        <w:rPr>
          <w:rFonts w:ascii="Cambria" w:eastAsia="Cambria" w:hAnsi="Cambria" w:cs="Cambria"/>
          <w:color w:val="000000" w:themeColor="text1"/>
          <w:sz w:val="20"/>
          <w:szCs w:val="20"/>
        </w:rPr>
        <w:t xml:space="preserve">members of the security forces between </w:t>
      </w:r>
      <w:r w:rsidR="00DC16DE" w:rsidRPr="008A7BD7">
        <w:rPr>
          <w:rFonts w:ascii="Cambria" w:eastAsia="Cambria" w:hAnsi="Cambria" w:cs="Cambria"/>
          <w:color w:val="000000" w:themeColor="text1"/>
          <w:sz w:val="20"/>
          <w:szCs w:val="20"/>
        </w:rPr>
        <w:t xml:space="preserve">1983 </w:t>
      </w:r>
      <w:r w:rsidRPr="008A7BD7">
        <w:rPr>
          <w:rFonts w:ascii="Cambria" w:eastAsia="Cambria" w:hAnsi="Cambria" w:cs="Cambria"/>
          <w:color w:val="000000" w:themeColor="text1"/>
          <w:sz w:val="20"/>
          <w:szCs w:val="20"/>
        </w:rPr>
        <w:t>and</w:t>
      </w:r>
      <w:r w:rsidR="00DC16DE" w:rsidRPr="008A7BD7">
        <w:rPr>
          <w:rFonts w:ascii="Cambria" w:eastAsia="Cambria" w:hAnsi="Cambria" w:cs="Cambria"/>
          <w:color w:val="000000" w:themeColor="text1"/>
          <w:sz w:val="20"/>
          <w:szCs w:val="20"/>
        </w:rPr>
        <w:t xml:space="preserve"> 1985</w:t>
      </w:r>
      <w:r w:rsidRPr="008A7BD7">
        <w:rPr>
          <w:rFonts w:ascii="Cambria" w:eastAsia="Cambria" w:hAnsi="Cambria" w:cs="Cambria"/>
          <w:color w:val="000000" w:themeColor="text1"/>
          <w:sz w:val="20"/>
          <w:szCs w:val="20"/>
        </w:rPr>
        <w:t>.</w:t>
      </w:r>
      <w:r w:rsidR="00DC16DE" w:rsidRPr="008A7BD7">
        <w:rPr>
          <w:rStyle w:val="FootnoteReference"/>
          <w:rFonts w:ascii="Cambria" w:eastAsia="Cambria" w:hAnsi="Cambria" w:cs="Cambria"/>
          <w:color w:val="000000" w:themeColor="text1"/>
          <w:sz w:val="20"/>
          <w:szCs w:val="20"/>
          <w:lang w:val="es-419"/>
        </w:rPr>
        <w:footnoteReference w:id="220"/>
      </w:r>
      <w:r w:rsidR="00DC16DE" w:rsidRPr="008A7BD7">
        <w:rPr>
          <w:rFonts w:ascii="Cambria" w:eastAsia="Cambria" w:hAnsi="Cambria" w:cs="Cambria"/>
          <w:color w:val="000000" w:themeColor="text1"/>
          <w:sz w:val="20"/>
          <w:szCs w:val="20"/>
        </w:rPr>
        <w:t xml:space="preserve"> </w:t>
      </w:r>
      <w:r w:rsidRPr="008A7BD7">
        <w:rPr>
          <w:rFonts w:ascii="Cambria" w:eastAsia="Cambria" w:hAnsi="Cambria" w:cs="Cambria"/>
          <w:color w:val="000000" w:themeColor="text1"/>
          <w:sz w:val="20"/>
          <w:szCs w:val="20"/>
        </w:rPr>
        <w:t xml:space="preserve">The IACHR notes that the </w:t>
      </w:r>
      <w:r w:rsidR="00370A36" w:rsidRPr="008A7BD7">
        <w:rPr>
          <w:rFonts w:ascii="Cambria" w:eastAsia="Times New Roman" w:hAnsi="Cambria" w:cs="Arial"/>
          <w:sz w:val="20"/>
          <w:szCs w:val="20"/>
          <w:lang w:eastAsia="es-ES"/>
        </w:rPr>
        <w:t>Office of the Prosecutor for Human Rights</w:t>
      </w:r>
      <w:r w:rsidR="00370A36" w:rsidRPr="008A7BD7">
        <w:rPr>
          <w:rFonts w:ascii="Cambria" w:eastAsia="Cambria" w:hAnsi="Cambria" w:cs="Cambria"/>
          <w:color w:val="000000" w:themeColor="text1"/>
          <w:sz w:val="20"/>
          <w:szCs w:val="20"/>
        </w:rPr>
        <w:t xml:space="preserve"> of</w:t>
      </w:r>
      <w:r w:rsidR="00DC16DE" w:rsidRPr="008A7BD7">
        <w:rPr>
          <w:rFonts w:ascii="Cambria" w:eastAsia="Cambria" w:hAnsi="Cambria" w:cs="Cambria"/>
          <w:color w:val="000000" w:themeColor="text1"/>
          <w:sz w:val="20"/>
          <w:szCs w:val="20"/>
        </w:rPr>
        <w:t xml:space="preserve"> Guatemala </w:t>
      </w:r>
      <w:r w:rsidR="00B726EC" w:rsidRPr="008A7BD7">
        <w:rPr>
          <w:rFonts w:ascii="Cambria" w:eastAsia="Cambria" w:hAnsi="Cambria" w:cs="Cambria"/>
          <w:color w:val="000000" w:themeColor="text1"/>
          <w:sz w:val="20"/>
          <w:szCs w:val="20"/>
        </w:rPr>
        <w:t>instituted legal proceedings</w:t>
      </w:r>
      <w:r w:rsidR="001D37AA" w:rsidRPr="008A7BD7">
        <w:rPr>
          <w:rFonts w:ascii="Cambria" w:eastAsia="Cambria" w:hAnsi="Cambria" w:cs="Cambria"/>
          <w:color w:val="000000" w:themeColor="text1"/>
          <w:sz w:val="20"/>
          <w:szCs w:val="20"/>
        </w:rPr>
        <w:t xml:space="preserve"> against</w:t>
      </w:r>
      <w:r w:rsidR="00370A36" w:rsidRPr="008A7BD7">
        <w:rPr>
          <w:rFonts w:ascii="Cambria" w:eastAsia="Cambria" w:hAnsi="Cambria" w:cs="Cambria"/>
          <w:color w:val="000000" w:themeColor="text1"/>
          <w:sz w:val="20"/>
          <w:szCs w:val="20"/>
        </w:rPr>
        <w:t xml:space="preserve"> three of the twelve retired members of the military and police who are reportedly implicated in the case. The IACHR also learned </w:t>
      </w:r>
      <w:r w:rsidR="00087061" w:rsidRPr="008A7BD7">
        <w:rPr>
          <w:rFonts w:ascii="Cambria" w:eastAsia="Cambria" w:hAnsi="Cambria" w:cs="Cambria"/>
          <w:color w:val="000000" w:themeColor="text1"/>
          <w:sz w:val="20"/>
          <w:szCs w:val="20"/>
        </w:rPr>
        <w:t xml:space="preserve">that a person was extradited from </w:t>
      </w:r>
      <w:r w:rsidR="00370A36" w:rsidRPr="008A7BD7">
        <w:rPr>
          <w:rFonts w:ascii="Cambria" w:eastAsia="Cambria" w:hAnsi="Cambria" w:cs="Cambria"/>
          <w:color w:val="000000" w:themeColor="text1"/>
          <w:sz w:val="20"/>
          <w:szCs w:val="20"/>
        </w:rPr>
        <w:t xml:space="preserve">the United States </w:t>
      </w:r>
      <w:r w:rsidR="008A4D0C" w:rsidRPr="008A7BD7">
        <w:rPr>
          <w:rFonts w:ascii="Cambria" w:eastAsia="Cambria" w:hAnsi="Cambria" w:cs="Cambria"/>
          <w:color w:val="000000" w:themeColor="text1"/>
          <w:sz w:val="20"/>
          <w:szCs w:val="20"/>
        </w:rPr>
        <w:t>to face trial</w:t>
      </w:r>
      <w:r w:rsidR="00087061" w:rsidRPr="008A7BD7">
        <w:rPr>
          <w:rFonts w:ascii="Cambria" w:eastAsia="Cambria" w:hAnsi="Cambria" w:cs="Cambria"/>
          <w:color w:val="000000" w:themeColor="text1"/>
          <w:sz w:val="20"/>
          <w:szCs w:val="20"/>
        </w:rPr>
        <w:t xml:space="preserve"> in</w:t>
      </w:r>
      <w:r w:rsidR="00DC16DE" w:rsidRPr="008A7BD7">
        <w:rPr>
          <w:rFonts w:ascii="Cambria" w:eastAsia="Cambria" w:hAnsi="Cambria" w:cs="Cambria"/>
          <w:color w:val="000000" w:themeColor="text1"/>
          <w:sz w:val="20"/>
          <w:szCs w:val="20"/>
        </w:rPr>
        <w:t xml:space="preserve"> Guatemala </w:t>
      </w:r>
      <w:r w:rsidR="008A4D0C" w:rsidRPr="008A7BD7">
        <w:rPr>
          <w:rFonts w:ascii="Cambria" w:eastAsia="Cambria" w:hAnsi="Cambria" w:cs="Cambria"/>
          <w:color w:val="000000" w:themeColor="text1"/>
          <w:sz w:val="20"/>
          <w:szCs w:val="20"/>
        </w:rPr>
        <w:t>for</w:t>
      </w:r>
      <w:r w:rsidR="00087061" w:rsidRPr="008A7BD7">
        <w:rPr>
          <w:rFonts w:ascii="Cambria" w:eastAsia="Cambria" w:hAnsi="Cambria" w:cs="Cambria"/>
          <w:color w:val="000000" w:themeColor="text1"/>
          <w:sz w:val="20"/>
          <w:szCs w:val="20"/>
        </w:rPr>
        <w:t xml:space="preserve"> murder and crimes against humanity </w:t>
      </w:r>
      <w:r w:rsidR="005426E8" w:rsidRPr="008A7BD7">
        <w:rPr>
          <w:rFonts w:ascii="Cambria" w:eastAsia="Cambria" w:hAnsi="Cambria" w:cs="Cambria"/>
          <w:color w:val="000000" w:themeColor="text1"/>
          <w:sz w:val="20"/>
          <w:szCs w:val="20"/>
        </w:rPr>
        <w:t xml:space="preserve">in connection with </w:t>
      </w:r>
      <w:r w:rsidR="00087061" w:rsidRPr="008A7BD7">
        <w:rPr>
          <w:rFonts w:ascii="Cambria" w:eastAsia="Cambria" w:hAnsi="Cambria" w:cs="Cambria"/>
          <w:color w:val="000000" w:themeColor="text1"/>
          <w:sz w:val="20"/>
          <w:szCs w:val="20"/>
        </w:rPr>
        <w:t xml:space="preserve">the </w:t>
      </w:r>
      <w:r w:rsidR="00DC16DE" w:rsidRPr="008A7BD7">
        <w:rPr>
          <w:rFonts w:ascii="Cambria" w:eastAsia="Cambria" w:hAnsi="Cambria" w:cs="Cambria"/>
          <w:color w:val="000000" w:themeColor="text1"/>
          <w:sz w:val="20"/>
          <w:szCs w:val="20"/>
        </w:rPr>
        <w:t xml:space="preserve">Dos </w:t>
      </w:r>
      <w:proofErr w:type="spellStart"/>
      <w:r w:rsidR="00DC16DE" w:rsidRPr="008A7BD7">
        <w:rPr>
          <w:rFonts w:ascii="Cambria" w:eastAsia="Cambria" w:hAnsi="Cambria" w:cs="Cambria"/>
          <w:color w:val="000000" w:themeColor="text1"/>
          <w:sz w:val="20"/>
          <w:szCs w:val="20"/>
        </w:rPr>
        <w:t>Erres</w:t>
      </w:r>
      <w:proofErr w:type="spellEnd"/>
      <w:r w:rsidR="00087061" w:rsidRPr="008A7BD7">
        <w:rPr>
          <w:rFonts w:ascii="Cambria" w:eastAsia="Cambria" w:hAnsi="Cambria" w:cs="Cambria"/>
          <w:color w:val="000000" w:themeColor="text1"/>
          <w:sz w:val="20"/>
          <w:szCs w:val="20"/>
        </w:rPr>
        <w:t xml:space="preserve"> </w:t>
      </w:r>
      <w:r w:rsidR="00884320" w:rsidRPr="008A7BD7">
        <w:rPr>
          <w:rFonts w:ascii="Cambria" w:eastAsia="Cambria" w:hAnsi="Cambria" w:cs="Cambria"/>
          <w:color w:val="000000" w:themeColor="text1"/>
          <w:sz w:val="20"/>
          <w:szCs w:val="20"/>
        </w:rPr>
        <w:t>m</w:t>
      </w:r>
      <w:r w:rsidR="00087061" w:rsidRPr="008A7BD7">
        <w:rPr>
          <w:rFonts w:ascii="Cambria" w:eastAsia="Cambria" w:hAnsi="Cambria" w:cs="Cambria"/>
          <w:color w:val="000000" w:themeColor="text1"/>
          <w:sz w:val="20"/>
          <w:szCs w:val="20"/>
        </w:rPr>
        <w:t>assacre.</w:t>
      </w:r>
      <w:r w:rsidR="00DC16DE" w:rsidRPr="008A7BD7">
        <w:rPr>
          <w:rStyle w:val="FootnoteReference"/>
          <w:rFonts w:ascii="Cambria" w:eastAsia="Cambria" w:hAnsi="Cambria" w:cs="Cambria"/>
          <w:color w:val="000000" w:themeColor="text1"/>
          <w:sz w:val="20"/>
          <w:szCs w:val="20"/>
          <w:lang w:val="es-419"/>
        </w:rPr>
        <w:footnoteReference w:id="221"/>
      </w:r>
    </w:p>
    <w:p w14:paraId="7D4A9854" w14:textId="77777777" w:rsidR="00FB10AA" w:rsidRPr="008A7BD7" w:rsidRDefault="00FB10AA" w:rsidP="00FB10AA">
      <w:pPr>
        <w:jc w:val="both"/>
        <w:rPr>
          <w:rFonts w:ascii="Cambria" w:eastAsia="Cambria" w:hAnsi="Cambria" w:cs="Cambria"/>
          <w:color w:val="333333"/>
          <w:sz w:val="20"/>
          <w:szCs w:val="20"/>
        </w:rPr>
      </w:pPr>
    </w:p>
    <w:p w14:paraId="010C278B" w14:textId="27FF452B" w:rsidR="4A69BFCE" w:rsidRPr="00C63448" w:rsidRDefault="005402F9" w:rsidP="00F0442F">
      <w:pPr>
        <w:pStyle w:val="Heading1"/>
        <w:rPr>
          <w:lang w:val="en-US"/>
        </w:rPr>
      </w:pPr>
      <w:r w:rsidRPr="00C63448">
        <w:rPr>
          <w:lang w:val="en-US"/>
        </w:rPr>
        <w:t>SPECIFIC</w:t>
      </w:r>
      <w:r w:rsidR="4A69BFCE" w:rsidRPr="00C63448">
        <w:rPr>
          <w:lang w:val="en-US"/>
        </w:rPr>
        <w:t xml:space="preserve"> </w:t>
      </w:r>
      <w:r w:rsidR="00960BAC" w:rsidRPr="00C63448">
        <w:rPr>
          <w:lang w:val="en-US"/>
        </w:rPr>
        <w:t xml:space="preserve">SITUATION </w:t>
      </w:r>
      <w:r w:rsidRPr="00C63448">
        <w:rPr>
          <w:lang w:val="en-US"/>
        </w:rPr>
        <w:t>REGARDING</w:t>
      </w:r>
      <w:r w:rsidR="00960BAC" w:rsidRPr="00C63448">
        <w:rPr>
          <w:lang w:val="en-US"/>
        </w:rPr>
        <w:t xml:space="preserve"> GROUPS OF SPECIAL CONCERN </w:t>
      </w:r>
    </w:p>
    <w:p w14:paraId="5BF54941" w14:textId="08E679FF" w:rsidR="00DC16DE" w:rsidRPr="008A7BD7" w:rsidRDefault="00DC16DE" w:rsidP="00DC16DE">
      <w:pPr>
        <w:jc w:val="both"/>
        <w:rPr>
          <w:rFonts w:ascii="Cambria" w:eastAsiaTheme="minorEastAsia" w:hAnsi="Cambria"/>
          <w:b/>
          <w:bCs/>
          <w:sz w:val="20"/>
          <w:szCs w:val="20"/>
        </w:rPr>
      </w:pPr>
    </w:p>
    <w:p w14:paraId="391FA50F" w14:textId="03552747" w:rsidR="00DA59A7" w:rsidRPr="00F0442F" w:rsidRDefault="00F0442F" w:rsidP="00F0442F">
      <w:pPr>
        <w:pStyle w:val="Heading2"/>
        <w:numPr>
          <w:ilvl w:val="0"/>
          <w:numId w:val="15"/>
        </w:numPr>
        <w:ind w:hanging="720"/>
        <w:rPr>
          <w:rFonts w:eastAsiaTheme="minorEastAsia"/>
          <w:lang w:val="es-ES"/>
        </w:rPr>
      </w:pPr>
      <w:r w:rsidRPr="00F0442F">
        <w:rPr>
          <w:lang w:val="es-ES"/>
        </w:rPr>
        <w:t xml:space="preserve">Human </w:t>
      </w:r>
      <w:proofErr w:type="spellStart"/>
      <w:r w:rsidRPr="00F0442F">
        <w:rPr>
          <w:lang w:val="es-ES"/>
        </w:rPr>
        <w:t>Rights</w:t>
      </w:r>
      <w:proofErr w:type="spellEnd"/>
      <w:r w:rsidRPr="00F0442F">
        <w:rPr>
          <w:lang w:val="es-ES"/>
        </w:rPr>
        <w:t xml:space="preserve"> </w:t>
      </w:r>
      <w:proofErr w:type="spellStart"/>
      <w:r w:rsidRPr="00F0442F">
        <w:rPr>
          <w:lang w:val="es-ES"/>
        </w:rPr>
        <w:t>Defenders</w:t>
      </w:r>
      <w:proofErr w:type="spellEnd"/>
    </w:p>
    <w:p w14:paraId="4ED063A2" w14:textId="77777777" w:rsidR="00DA59A7" w:rsidRPr="008A7BD7" w:rsidRDefault="00DA59A7" w:rsidP="00DA59A7">
      <w:pPr>
        <w:jc w:val="both"/>
        <w:rPr>
          <w:rFonts w:ascii="Cambria" w:hAnsi="Cambria"/>
          <w:b/>
          <w:bCs/>
          <w:sz w:val="20"/>
          <w:szCs w:val="20"/>
          <w:lang w:val="es-ES"/>
        </w:rPr>
      </w:pPr>
    </w:p>
    <w:p w14:paraId="4EE9EF2C" w14:textId="480B3EB3" w:rsidR="00DA59A7" w:rsidRPr="008A7BD7" w:rsidRDefault="00A9527C" w:rsidP="003D3059">
      <w:pPr>
        <w:numPr>
          <w:ilvl w:val="0"/>
          <w:numId w:val="2"/>
        </w:numPr>
        <w:ind w:left="0" w:firstLine="720"/>
        <w:jc w:val="both"/>
        <w:rPr>
          <w:rFonts w:ascii="Cambria" w:hAnsi="Cambria"/>
          <w:sz w:val="20"/>
          <w:szCs w:val="20"/>
        </w:rPr>
      </w:pPr>
      <w:r w:rsidRPr="008A7BD7">
        <w:rPr>
          <w:rFonts w:ascii="Cambria" w:hAnsi="Cambria"/>
          <w:sz w:val="20"/>
          <w:szCs w:val="20"/>
        </w:rPr>
        <w:t>During</w:t>
      </w:r>
      <w:r w:rsidR="00DA59A7" w:rsidRPr="008A7BD7">
        <w:rPr>
          <w:rFonts w:ascii="Cambria" w:hAnsi="Cambria"/>
          <w:sz w:val="20"/>
          <w:szCs w:val="20"/>
        </w:rPr>
        <w:t xml:space="preserve"> 2021, </w:t>
      </w:r>
      <w:r w:rsidRPr="008A7BD7">
        <w:rPr>
          <w:rFonts w:ascii="Cambria" w:hAnsi="Cambria"/>
          <w:sz w:val="20"/>
          <w:szCs w:val="20"/>
        </w:rPr>
        <w:t xml:space="preserve">the Inter-American Commission </w:t>
      </w:r>
      <w:r w:rsidR="00B726EC" w:rsidRPr="008A7BD7">
        <w:rPr>
          <w:rFonts w:ascii="Cambria" w:hAnsi="Cambria"/>
          <w:sz w:val="20"/>
          <w:szCs w:val="20"/>
        </w:rPr>
        <w:t>observed with</w:t>
      </w:r>
      <w:r w:rsidR="00073774" w:rsidRPr="008A7BD7">
        <w:rPr>
          <w:rFonts w:ascii="Cambria" w:hAnsi="Cambria"/>
          <w:sz w:val="20"/>
          <w:szCs w:val="20"/>
        </w:rPr>
        <w:t xml:space="preserve"> concern</w:t>
      </w:r>
      <w:r w:rsidR="00B726EC" w:rsidRPr="008A7BD7">
        <w:rPr>
          <w:rFonts w:ascii="Cambria" w:hAnsi="Cambria"/>
          <w:sz w:val="20"/>
          <w:szCs w:val="20"/>
        </w:rPr>
        <w:t xml:space="preserve"> </w:t>
      </w:r>
      <w:r w:rsidR="00C837E8" w:rsidRPr="008A7BD7">
        <w:rPr>
          <w:rFonts w:ascii="Cambria" w:hAnsi="Cambria"/>
          <w:sz w:val="20"/>
          <w:szCs w:val="20"/>
        </w:rPr>
        <w:t>that</w:t>
      </w:r>
      <w:r w:rsidR="00073774" w:rsidRPr="008A7BD7">
        <w:rPr>
          <w:rFonts w:ascii="Cambria" w:hAnsi="Cambria"/>
          <w:sz w:val="20"/>
          <w:szCs w:val="20"/>
        </w:rPr>
        <w:t xml:space="preserve"> the </w:t>
      </w:r>
      <w:r w:rsidR="00C837E8" w:rsidRPr="008A7BD7">
        <w:rPr>
          <w:rFonts w:ascii="Cambria" w:hAnsi="Cambria"/>
          <w:sz w:val="20"/>
          <w:szCs w:val="20"/>
        </w:rPr>
        <w:t xml:space="preserve">situation of </w:t>
      </w:r>
      <w:r w:rsidR="00073774" w:rsidRPr="008A7BD7">
        <w:rPr>
          <w:rFonts w:ascii="Cambria" w:hAnsi="Cambria"/>
          <w:sz w:val="20"/>
          <w:szCs w:val="20"/>
        </w:rPr>
        <w:t xml:space="preserve">human rights defenders in </w:t>
      </w:r>
      <w:r w:rsidR="00DA59A7" w:rsidRPr="008A7BD7">
        <w:rPr>
          <w:rFonts w:ascii="Cambria" w:hAnsi="Cambria"/>
          <w:sz w:val="20"/>
          <w:szCs w:val="20"/>
        </w:rPr>
        <w:t>Guatemala</w:t>
      </w:r>
      <w:r w:rsidR="00C837E8" w:rsidRPr="008A7BD7">
        <w:rPr>
          <w:rFonts w:ascii="Cambria" w:hAnsi="Cambria"/>
          <w:sz w:val="20"/>
          <w:szCs w:val="20"/>
        </w:rPr>
        <w:t xml:space="preserve"> has deteriorated</w:t>
      </w:r>
      <w:r w:rsidR="00DA59A7" w:rsidRPr="008A7BD7">
        <w:rPr>
          <w:rFonts w:ascii="Cambria" w:hAnsi="Cambria"/>
          <w:sz w:val="20"/>
          <w:szCs w:val="20"/>
        </w:rPr>
        <w:t xml:space="preserve">. </w:t>
      </w:r>
      <w:r w:rsidR="00A059CD" w:rsidRPr="008A7BD7">
        <w:rPr>
          <w:rFonts w:ascii="Cambria" w:hAnsi="Cambria"/>
          <w:sz w:val="20"/>
          <w:szCs w:val="20"/>
        </w:rPr>
        <w:t xml:space="preserve">Specifically, it noted that the acts of violence and </w:t>
      </w:r>
      <w:r w:rsidR="00980511" w:rsidRPr="008A7BD7">
        <w:rPr>
          <w:rFonts w:ascii="Cambria" w:hAnsi="Cambria"/>
          <w:sz w:val="20"/>
          <w:szCs w:val="20"/>
        </w:rPr>
        <w:t xml:space="preserve">criminal </w:t>
      </w:r>
      <w:r w:rsidR="00A059CD" w:rsidRPr="008A7BD7">
        <w:rPr>
          <w:rFonts w:ascii="Cambria" w:hAnsi="Cambria"/>
          <w:sz w:val="20"/>
          <w:szCs w:val="20"/>
        </w:rPr>
        <w:t xml:space="preserve">prosecution of </w:t>
      </w:r>
      <w:r w:rsidR="00B726EC" w:rsidRPr="008A7BD7">
        <w:rPr>
          <w:rFonts w:ascii="Cambria" w:hAnsi="Cambria"/>
          <w:sz w:val="20"/>
          <w:szCs w:val="20"/>
        </w:rPr>
        <w:t>people</w:t>
      </w:r>
      <w:r w:rsidR="00A059CD" w:rsidRPr="008A7BD7">
        <w:rPr>
          <w:rFonts w:ascii="Cambria" w:hAnsi="Cambria"/>
          <w:sz w:val="20"/>
          <w:szCs w:val="20"/>
        </w:rPr>
        <w:t xml:space="preserve"> who defend human rights in the country continued in </w:t>
      </w:r>
      <w:r w:rsidR="00DA59A7" w:rsidRPr="008A7BD7">
        <w:rPr>
          <w:rFonts w:ascii="Cambria" w:hAnsi="Cambria"/>
          <w:sz w:val="20"/>
          <w:szCs w:val="20"/>
        </w:rPr>
        <w:t xml:space="preserve">2021. </w:t>
      </w:r>
      <w:r w:rsidR="00D85445" w:rsidRPr="008A7BD7">
        <w:rPr>
          <w:rFonts w:ascii="Cambria" w:hAnsi="Cambria"/>
          <w:sz w:val="20"/>
          <w:szCs w:val="20"/>
        </w:rPr>
        <w:t>At the same time, it observed a clos</w:t>
      </w:r>
      <w:r w:rsidR="00FC1184" w:rsidRPr="008A7BD7">
        <w:rPr>
          <w:rFonts w:ascii="Cambria" w:hAnsi="Cambria"/>
          <w:sz w:val="20"/>
          <w:szCs w:val="20"/>
        </w:rPr>
        <w:t>ing</w:t>
      </w:r>
      <w:r w:rsidR="00D85445" w:rsidRPr="008A7BD7">
        <w:rPr>
          <w:rFonts w:ascii="Cambria" w:hAnsi="Cambria"/>
          <w:sz w:val="20"/>
          <w:szCs w:val="20"/>
        </w:rPr>
        <w:t xml:space="preserve"> of democratic spaces, which makes it more difficult to exercise the right to defend human rights in </w:t>
      </w:r>
      <w:r w:rsidR="00DA59A7" w:rsidRPr="008A7BD7">
        <w:rPr>
          <w:rFonts w:ascii="Cambria" w:hAnsi="Cambria"/>
          <w:sz w:val="20"/>
          <w:szCs w:val="20"/>
        </w:rPr>
        <w:t xml:space="preserve">Guatemala. </w:t>
      </w:r>
    </w:p>
    <w:p w14:paraId="7F895454" w14:textId="77777777" w:rsidR="00DA59A7" w:rsidRPr="008A7BD7" w:rsidRDefault="00DA59A7" w:rsidP="785F88E1">
      <w:pPr>
        <w:jc w:val="both"/>
        <w:rPr>
          <w:rFonts w:ascii="Cambria" w:hAnsi="Cambria"/>
          <w:sz w:val="20"/>
          <w:szCs w:val="20"/>
        </w:rPr>
      </w:pPr>
    </w:p>
    <w:p w14:paraId="5275298E" w14:textId="57886752" w:rsidR="00DA59A7" w:rsidRPr="008A7BD7" w:rsidRDefault="00276811" w:rsidP="003D3059">
      <w:pPr>
        <w:numPr>
          <w:ilvl w:val="0"/>
          <w:numId w:val="2"/>
        </w:numPr>
        <w:ind w:left="0" w:firstLine="720"/>
        <w:jc w:val="both"/>
        <w:rPr>
          <w:rFonts w:ascii="Cambria" w:eastAsiaTheme="minorEastAsia" w:hAnsi="Cambria"/>
          <w:sz w:val="20"/>
          <w:szCs w:val="20"/>
        </w:rPr>
      </w:pPr>
      <w:r w:rsidRPr="008A7BD7">
        <w:rPr>
          <w:rFonts w:ascii="Cambria" w:hAnsi="Cambria"/>
          <w:sz w:val="20"/>
          <w:szCs w:val="20"/>
        </w:rPr>
        <w:t xml:space="preserve">The Commission observed that </w:t>
      </w:r>
      <w:r w:rsidR="00DA59A7" w:rsidRPr="008A7BD7">
        <w:rPr>
          <w:rFonts w:ascii="Cambria" w:hAnsi="Cambria"/>
          <w:sz w:val="20"/>
          <w:szCs w:val="20"/>
        </w:rPr>
        <w:t xml:space="preserve">2021 </w:t>
      </w:r>
      <w:r w:rsidRPr="008A7BD7">
        <w:rPr>
          <w:rFonts w:ascii="Cambria" w:hAnsi="Cambria"/>
          <w:sz w:val="20"/>
          <w:szCs w:val="20"/>
        </w:rPr>
        <w:t xml:space="preserve">was especially dangerous for the work of defending human rights in the country. </w:t>
      </w:r>
      <w:r w:rsidR="006C1DC6" w:rsidRPr="008A7BD7">
        <w:rPr>
          <w:rFonts w:ascii="Cambria" w:hAnsi="Cambria"/>
          <w:sz w:val="20"/>
          <w:szCs w:val="20"/>
        </w:rPr>
        <w:t xml:space="preserve">According to information presented by civil society organizations, </w:t>
      </w:r>
      <w:r w:rsidR="004F2AAD" w:rsidRPr="008A7BD7">
        <w:rPr>
          <w:rFonts w:ascii="Cambria" w:hAnsi="Cambria"/>
          <w:sz w:val="20"/>
          <w:szCs w:val="20"/>
        </w:rPr>
        <w:t xml:space="preserve">at least </w:t>
      </w:r>
      <w:r w:rsidR="00DA59A7" w:rsidRPr="008A7BD7">
        <w:rPr>
          <w:rFonts w:ascii="Cambria" w:hAnsi="Cambria"/>
          <w:sz w:val="20"/>
          <w:szCs w:val="20"/>
        </w:rPr>
        <w:t xml:space="preserve">755 </w:t>
      </w:r>
      <w:r w:rsidR="004F2AAD" w:rsidRPr="008A7BD7">
        <w:rPr>
          <w:rFonts w:ascii="Cambria" w:hAnsi="Cambria"/>
          <w:sz w:val="20"/>
          <w:szCs w:val="20"/>
        </w:rPr>
        <w:t xml:space="preserve">attacks on individuals, organizations, and communities that defend human rights had been </w:t>
      </w:r>
      <w:r w:rsidR="006C5E54" w:rsidRPr="008A7BD7">
        <w:rPr>
          <w:rFonts w:ascii="Cambria" w:hAnsi="Cambria"/>
          <w:sz w:val="20"/>
          <w:szCs w:val="20"/>
        </w:rPr>
        <w:t>recorded</w:t>
      </w:r>
      <w:r w:rsidR="004F2AAD" w:rsidRPr="008A7BD7">
        <w:rPr>
          <w:rFonts w:ascii="Cambria" w:hAnsi="Cambria"/>
          <w:sz w:val="20"/>
          <w:szCs w:val="20"/>
        </w:rPr>
        <w:t xml:space="preserve"> as of October 2021</w:t>
      </w:r>
      <w:r w:rsidR="004A00CD" w:rsidRPr="008A7BD7">
        <w:rPr>
          <w:rFonts w:ascii="Cambria" w:hAnsi="Cambria"/>
          <w:sz w:val="20"/>
          <w:szCs w:val="20"/>
        </w:rPr>
        <w:t xml:space="preserve">, including </w:t>
      </w:r>
      <w:r w:rsidR="00FC1184" w:rsidRPr="008A7BD7">
        <w:rPr>
          <w:rFonts w:ascii="Cambria" w:hAnsi="Cambria"/>
          <w:sz w:val="20"/>
          <w:szCs w:val="20"/>
        </w:rPr>
        <w:t>instances</w:t>
      </w:r>
      <w:r w:rsidR="00632C48" w:rsidRPr="008A7BD7">
        <w:rPr>
          <w:rFonts w:ascii="Cambria" w:hAnsi="Cambria"/>
          <w:sz w:val="20"/>
          <w:szCs w:val="20"/>
        </w:rPr>
        <w:t xml:space="preserve"> of violence, intimidation, and threats, among others</w:t>
      </w:r>
      <w:r w:rsidR="004A00CD" w:rsidRPr="008A7BD7">
        <w:rPr>
          <w:rFonts w:ascii="Cambria" w:hAnsi="Cambria"/>
          <w:sz w:val="20"/>
          <w:szCs w:val="20"/>
        </w:rPr>
        <w:t xml:space="preserve">. </w:t>
      </w:r>
      <w:r w:rsidR="006C5E54" w:rsidRPr="008A7BD7">
        <w:rPr>
          <w:rFonts w:ascii="Cambria" w:hAnsi="Cambria"/>
          <w:sz w:val="20"/>
          <w:szCs w:val="20"/>
        </w:rPr>
        <w:t xml:space="preserve">These </w:t>
      </w:r>
      <w:r w:rsidR="0050337A" w:rsidRPr="008A7BD7">
        <w:rPr>
          <w:rFonts w:ascii="Cambria" w:hAnsi="Cambria"/>
          <w:sz w:val="20"/>
          <w:szCs w:val="20"/>
        </w:rPr>
        <w:t>figures</w:t>
      </w:r>
      <w:r w:rsidR="006C5E54" w:rsidRPr="008A7BD7">
        <w:rPr>
          <w:rFonts w:ascii="Cambria" w:hAnsi="Cambria"/>
          <w:sz w:val="20"/>
          <w:szCs w:val="20"/>
        </w:rPr>
        <w:t xml:space="preserve"> would seem to confirm </w:t>
      </w:r>
      <w:r w:rsidR="00FD7C19" w:rsidRPr="008A7BD7">
        <w:rPr>
          <w:rFonts w:ascii="Cambria" w:hAnsi="Cambria"/>
          <w:sz w:val="20"/>
          <w:szCs w:val="20"/>
        </w:rPr>
        <w:t xml:space="preserve">O de </w:t>
      </w:r>
      <w:proofErr w:type="spellStart"/>
      <w:r w:rsidR="00FD7C19" w:rsidRPr="008A7BD7">
        <w:rPr>
          <w:rFonts w:ascii="Cambria" w:hAnsi="Cambria"/>
          <w:sz w:val="20"/>
          <w:szCs w:val="20"/>
        </w:rPr>
        <w:t>plano</w:t>
      </w:r>
      <w:proofErr w:type="spellEnd"/>
      <w:r w:rsidR="00FD7C19" w:rsidRPr="008A7BD7">
        <w:rPr>
          <w:rFonts w:ascii="Cambria" w:hAnsi="Cambria"/>
          <w:sz w:val="20"/>
          <w:szCs w:val="20"/>
        </w:rPr>
        <w:t xml:space="preserve"> algo </w:t>
      </w:r>
      <w:proofErr w:type="spellStart"/>
      <w:r w:rsidR="00FD7C19" w:rsidRPr="008A7BD7">
        <w:rPr>
          <w:rFonts w:ascii="Cambria" w:hAnsi="Cambria"/>
          <w:sz w:val="20"/>
          <w:szCs w:val="20"/>
        </w:rPr>
        <w:t>más</w:t>
      </w:r>
      <w:proofErr w:type="spellEnd"/>
      <w:r w:rsidR="00FD7C19" w:rsidRPr="008A7BD7">
        <w:rPr>
          <w:rFonts w:ascii="Cambria" w:hAnsi="Cambria"/>
          <w:sz w:val="20"/>
          <w:szCs w:val="20"/>
        </w:rPr>
        <w:t xml:space="preserve"> claro </w:t>
      </w:r>
      <w:proofErr w:type="spellStart"/>
      <w:r w:rsidR="00FD7C19" w:rsidRPr="008A7BD7">
        <w:rPr>
          <w:rFonts w:ascii="Cambria" w:hAnsi="Cambria"/>
          <w:sz w:val="20"/>
          <w:szCs w:val="20"/>
        </w:rPr>
        <w:t>como</w:t>
      </w:r>
      <w:proofErr w:type="spellEnd"/>
      <w:r w:rsidR="00FD7C19" w:rsidRPr="008A7BD7">
        <w:rPr>
          <w:rFonts w:ascii="Cambria" w:hAnsi="Cambria"/>
          <w:sz w:val="20"/>
          <w:szCs w:val="20"/>
        </w:rPr>
        <w:t xml:space="preserve"> 2x1 </w:t>
      </w:r>
      <w:proofErr w:type="spellStart"/>
      <w:r w:rsidR="00FD7C19" w:rsidRPr="008A7BD7">
        <w:rPr>
          <w:rFonts w:ascii="Cambria" w:hAnsi="Cambria"/>
          <w:sz w:val="20"/>
          <w:szCs w:val="20"/>
        </w:rPr>
        <w:t>durante</w:t>
      </w:r>
      <w:proofErr w:type="spellEnd"/>
      <w:r w:rsidR="00FD7C19" w:rsidRPr="008A7BD7">
        <w:rPr>
          <w:rFonts w:ascii="Cambria" w:hAnsi="Cambria"/>
          <w:sz w:val="20"/>
          <w:szCs w:val="20"/>
        </w:rPr>
        <w:t xml:space="preserve"> </w:t>
      </w:r>
      <w:proofErr w:type="spellStart"/>
      <w:r w:rsidR="00FD7C19" w:rsidRPr="008A7BD7">
        <w:rPr>
          <w:rFonts w:ascii="Cambria" w:hAnsi="Cambria"/>
          <w:sz w:val="20"/>
          <w:szCs w:val="20"/>
        </w:rPr>
        <w:t>enero</w:t>
      </w:r>
      <w:proofErr w:type="spellEnd"/>
      <w:r w:rsidR="00FD7C19" w:rsidRPr="008A7BD7">
        <w:rPr>
          <w:rFonts w:ascii="Cambria" w:hAnsi="Cambria"/>
          <w:sz w:val="20"/>
          <w:szCs w:val="20"/>
        </w:rPr>
        <w:t xml:space="preserve"> y </w:t>
      </w:r>
      <w:proofErr w:type="spellStart"/>
      <w:r w:rsidR="00FD7C19" w:rsidRPr="008A7BD7">
        <w:rPr>
          <w:rFonts w:ascii="Cambria" w:hAnsi="Cambria"/>
          <w:sz w:val="20"/>
          <w:szCs w:val="20"/>
        </w:rPr>
        <w:t>febrero</w:t>
      </w:r>
      <w:r w:rsidR="006C5E54" w:rsidRPr="008A7BD7">
        <w:rPr>
          <w:rFonts w:ascii="Cambria" w:hAnsi="Cambria"/>
          <w:sz w:val="20"/>
          <w:szCs w:val="20"/>
        </w:rPr>
        <w:t>with</w:t>
      </w:r>
      <w:proofErr w:type="spellEnd"/>
      <w:r w:rsidR="006C5E54" w:rsidRPr="008A7BD7">
        <w:rPr>
          <w:rFonts w:ascii="Cambria" w:hAnsi="Cambria"/>
          <w:sz w:val="20"/>
          <w:szCs w:val="20"/>
        </w:rPr>
        <w:t xml:space="preserve"> respect to the numbers </w:t>
      </w:r>
      <w:r w:rsidR="00980511" w:rsidRPr="008A7BD7">
        <w:rPr>
          <w:rFonts w:ascii="Cambria" w:hAnsi="Cambria"/>
          <w:sz w:val="20"/>
          <w:szCs w:val="20"/>
        </w:rPr>
        <w:t xml:space="preserve">recorded </w:t>
      </w:r>
      <w:r w:rsidR="006C5E54" w:rsidRPr="008A7BD7">
        <w:rPr>
          <w:rFonts w:ascii="Cambria" w:hAnsi="Cambria"/>
          <w:sz w:val="20"/>
          <w:szCs w:val="20"/>
        </w:rPr>
        <w:t xml:space="preserve">for all of </w:t>
      </w:r>
      <w:r w:rsidR="00DA59A7" w:rsidRPr="008A7BD7">
        <w:rPr>
          <w:rFonts w:ascii="Cambria" w:hAnsi="Cambria"/>
          <w:sz w:val="20"/>
          <w:szCs w:val="20"/>
        </w:rPr>
        <w:t xml:space="preserve">2020, </w:t>
      </w:r>
      <w:r w:rsidR="006C5E54" w:rsidRPr="008A7BD7">
        <w:rPr>
          <w:rFonts w:ascii="Cambria" w:hAnsi="Cambria"/>
          <w:sz w:val="20"/>
          <w:szCs w:val="20"/>
        </w:rPr>
        <w:t xml:space="preserve">when </w:t>
      </w:r>
      <w:r w:rsidR="00980511" w:rsidRPr="008A7BD7">
        <w:rPr>
          <w:rFonts w:ascii="Cambria" w:hAnsi="Cambria"/>
          <w:sz w:val="20"/>
          <w:szCs w:val="20"/>
        </w:rPr>
        <w:t xml:space="preserve">there </w:t>
      </w:r>
      <w:proofErr w:type="gramStart"/>
      <w:r w:rsidR="00980511" w:rsidRPr="008A7BD7">
        <w:rPr>
          <w:rFonts w:ascii="Cambria" w:hAnsi="Cambria"/>
          <w:sz w:val="20"/>
          <w:szCs w:val="20"/>
        </w:rPr>
        <w:t>were</w:t>
      </w:r>
      <w:proofErr w:type="gramEnd"/>
      <w:r w:rsidR="00980511" w:rsidRPr="008A7BD7">
        <w:rPr>
          <w:rFonts w:ascii="Cambria" w:hAnsi="Cambria"/>
          <w:sz w:val="20"/>
          <w:szCs w:val="20"/>
        </w:rPr>
        <w:t xml:space="preserve"> </w:t>
      </w:r>
      <w:r w:rsidR="006C5E54" w:rsidRPr="008A7BD7">
        <w:rPr>
          <w:rFonts w:ascii="Cambria" w:hAnsi="Cambria"/>
          <w:sz w:val="20"/>
          <w:szCs w:val="20"/>
        </w:rPr>
        <w:t xml:space="preserve">a total of </w:t>
      </w:r>
      <w:r w:rsidR="00DA59A7" w:rsidRPr="008A7BD7">
        <w:rPr>
          <w:rFonts w:ascii="Cambria" w:hAnsi="Cambria"/>
          <w:sz w:val="20"/>
          <w:szCs w:val="20"/>
        </w:rPr>
        <w:t>1</w:t>
      </w:r>
      <w:r w:rsidR="006C5E54" w:rsidRPr="008A7BD7">
        <w:rPr>
          <w:rFonts w:ascii="Cambria" w:hAnsi="Cambria"/>
          <w:sz w:val="20"/>
          <w:szCs w:val="20"/>
        </w:rPr>
        <w:t>,</w:t>
      </w:r>
      <w:r w:rsidR="00DA59A7" w:rsidRPr="008A7BD7">
        <w:rPr>
          <w:rFonts w:ascii="Cambria" w:hAnsi="Cambria"/>
          <w:sz w:val="20"/>
          <w:szCs w:val="20"/>
        </w:rPr>
        <w:t>055</w:t>
      </w:r>
      <w:r w:rsidR="006C5E54" w:rsidRPr="008A7BD7">
        <w:rPr>
          <w:rFonts w:ascii="Cambria" w:hAnsi="Cambria"/>
          <w:sz w:val="20"/>
          <w:szCs w:val="20"/>
        </w:rPr>
        <w:t xml:space="preserve"> </w:t>
      </w:r>
      <w:r w:rsidR="0050337A" w:rsidRPr="008A7BD7">
        <w:rPr>
          <w:rFonts w:ascii="Cambria" w:hAnsi="Cambria"/>
          <w:sz w:val="20"/>
          <w:szCs w:val="20"/>
        </w:rPr>
        <w:t>attacks</w:t>
      </w:r>
      <w:r w:rsidR="003051FB" w:rsidRPr="008A7BD7">
        <w:rPr>
          <w:rFonts w:ascii="Cambria" w:hAnsi="Cambria"/>
          <w:sz w:val="20"/>
          <w:szCs w:val="20"/>
        </w:rPr>
        <w:t xml:space="preserve">. According to the information available, </w:t>
      </w:r>
      <w:r w:rsidR="72123F4B" w:rsidRPr="008A7BD7">
        <w:rPr>
          <w:rFonts w:ascii="Cambria" w:eastAsia="Cambria" w:hAnsi="Cambria" w:cs="Cambria"/>
          <w:sz w:val="20"/>
          <w:szCs w:val="20"/>
        </w:rPr>
        <w:t xml:space="preserve">45% </w:t>
      </w:r>
      <w:r w:rsidR="003051FB" w:rsidRPr="008A7BD7">
        <w:rPr>
          <w:rFonts w:ascii="Cambria" w:eastAsia="Cambria" w:hAnsi="Cambria" w:cs="Cambria"/>
          <w:sz w:val="20"/>
          <w:szCs w:val="20"/>
        </w:rPr>
        <w:t xml:space="preserve">of these attacks were directed against </w:t>
      </w:r>
      <w:r w:rsidR="006C1848" w:rsidRPr="008A7BD7">
        <w:rPr>
          <w:rFonts w:ascii="Cambria" w:eastAsia="Cambria" w:hAnsi="Cambria" w:cs="Cambria"/>
          <w:sz w:val="20"/>
          <w:szCs w:val="20"/>
        </w:rPr>
        <w:t>men</w:t>
      </w:r>
      <w:r w:rsidR="003051FB" w:rsidRPr="008A7BD7">
        <w:rPr>
          <w:rFonts w:ascii="Cambria" w:eastAsia="Cambria" w:hAnsi="Cambria" w:cs="Cambria"/>
          <w:sz w:val="20"/>
          <w:szCs w:val="20"/>
        </w:rPr>
        <w:t xml:space="preserve">, </w:t>
      </w:r>
      <w:r w:rsidR="72123F4B" w:rsidRPr="008A7BD7">
        <w:rPr>
          <w:rFonts w:ascii="Cambria" w:eastAsia="Cambria" w:hAnsi="Cambria" w:cs="Cambria"/>
          <w:sz w:val="20"/>
          <w:szCs w:val="20"/>
        </w:rPr>
        <w:t xml:space="preserve">42% </w:t>
      </w:r>
      <w:r w:rsidR="003051FB" w:rsidRPr="008A7BD7">
        <w:rPr>
          <w:rFonts w:ascii="Cambria" w:eastAsia="Cambria" w:hAnsi="Cambria" w:cs="Cambria"/>
          <w:sz w:val="20"/>
          <w:szCs w:val="20"/>
        </w:rPr>
        <w:t xml:space="preserve">against </w:t>
      </w:r>
      <w:r w:rsidR="006C1848" w:rsidRPr="008A7BD7">
        <w:rPr>
          <w:rFonts w:ascii="Cambria" w:eastAsia="Cambria" w:hAnsi="Cambria" w:cs="Cambria"/>
          <w:sz w:val="20"/>
          <w:szCs w:val="20"/>
        </w:rPr>
        <w:t>women</w:t>
      </w:r>
      <w:r w:rsidR="003051FB" w:rsidRPr="008A7BD7">
        <w:rPr>
          <w:rFonts w:ascii="Cambria" w:eastAsia="Cambria" w:hAnsi="Cambria" w:cs="Cambria"/>
          <w:sz w:val="20"/>
          <w:szCs w:val="20"/>
        </w:rPr>
        <w:t xml:space="preserve">, and </w:t>
      </w:r>
      <w:r w:rsidR="72123F4B" w:rsidRPr="008A7BD7">
        <w:rPr>
          <w:rFonts w:ascii="Cambria" w:eastAsia="Cambria" w:hAnsi="Cambria" w:cs="Cambria"/>
          <w:sz w:val="20"/>
          <w:szCs w:val="20"/>
        </w:rPr>
        <w:t xml:space="preserve">14% </w:t>
      </w:r>
      <w:r w:rsidR="003051FB" w:rsidRPr="008A7BD7">
        <w:rPr>
          <w:rFonts w:ascii="Cambria" w:eastAsia="Cambria" w:hAnsi="Cambria" w:cs="Cambria"/>
          <w:sz w:val="20"/>
          <w:szCs w:val="20"/>
        </w:rPr>
        <w:t>against organizations, institutions, or communities that defend human rights.</w:t>
      </w:r>
      <w:r w:rsidR="00DA59A7" w:rsidRPr="008A7BD7">
        <w:rPr>
          <w:rStyle w:val="FootnoteReference"/>
          <w:rFonts w:ascii="Cambria" w:hAnsi="Cambria"/>
          <w:sz w:val="20"/>
          <w:szCs w:val="20"/>
          <w:lang w:val="es-ES"/>
        </w:rPr>
        <w:footnoteReference w:id="222"/>
      </w:r>
    </w:p>
    <w:p w14:paraId="73C7FCFB" w14:textId="77777777" w:rsidR="00DA59A7" w:rsidRPr="008A7BD7" w:rsidRDefault="00DA59A7" w:rsidP="785F88E1">
      <w:pPr>
        <w:jc w:val="both"/>
        <w:rPr>
          <w:rFonts w:ascii="Cambria" w:hAnsi="Cambria"/>
          <w:sz w:val="20"/>
          <w:szCs w:val="20"/>
        </w:rPr>
      </w:pPr>
    </w:p>
    <w:p w14:paraId="5A412590" w14:textId="4B1F724C" w:rsidR="00DA59A7" w:rsidRPr="008A7BD7" w:rsidRDefault="0088683B"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The Commission is concerned that </w:t>
      </w:r>
      <w:r w:rsidR="004071A4" w:rsidRPr="008A7BD7">
        <w:rPr>
          <w:rFonts w:ascii="Cambria" w:hAnsi="Cambria"/>
          <w:sz w:val="20"/>
          <w:szCs w:val="20"/>
        </w:rPr>
        <w:t xml:space="preserve">members of </w:t>
      </w:r>
      <w:r w:rsidR="00E027AC" w:rsidRPr="008A7BD7">
        <w:rPr>
          <w:rFonts w:ascii="Cambria" w:hAnsi="Cambria"/>
          <w:sz w:val="20"/>
          <w:szCs w:val="20"/>
        </w:rPr>
        <w:t xml:space="preserve">the </w:t>
      </w:r>
      <w:proofErr w:type="spellStart"/>
      <w:r w:rsidR="00114929" w:rsidRPr="008A7BD7">
        <w:rPr>
          <w:rFonts w:ascii="Cambria" w:hAnsi="Cambria"/>
          <w:sz w:val="20"/>
          <w:szCs w:val="20"/>
        </w:rPr>
        <w:t>Comité</w:t>
      </w:r>
      <w:proofErr w:type="spellEnd"/>
      <w:r w:rsidR="00114929" w:rsidRPr="008A7BD7">
        <w:rPr>
          <w:rFonts w:ascii="Cambria" w:hAnsi="Cambria"/>
          <w:sz w:val="20"/>
          <w:szCs w:val="20"/>
        </w:rPr>
        <w:t xml:space="preserve"> de Desarrollo Campesino </w:t>
      </w:r>
      <w:r w:rsidR="00E027AC" w:rsidRPr="008A7BD7">
        <w:rPr>
          <w:rFonts w:ascii="Cambria" w:hAnsi="Cambria"/>
          <w:sz w:val="20"/>
          <w:szCs w:val="20"/>
        </w:rPr>
        <w:t>(</w:t>
      </w:r>
      <w:r w:rsidR="00824BA2" w:rsidRPr="008A7BD7">
        <w:rPr>
          <w:rFonts w:ascii="Cambria" w:hAnsi="Cambria"/>
          <w:sz w:val="20"/>
          <w:szCs w:val="20"/>
        </w:rPr>
        <w:t>CODECA</w:t>
      </w:r>
      <w:r w:rsidR="00E027AC" w:rsidRPr="008A7BD7">
        <w:rPr>
          <w:rFonts w:ascii="Cambria" w:hAnsi="Cambria"/>
          <w:sz w:val="20"/>
          <w:szCs w:val="20"/>
        </w:rPr>
        <w:t>)</w:t>
      </w:r>
      <w:r w:rsidR="00824BA2" w:rsidRPr="008A7BD7">
        <w:rPr>
          <w:rFonts w:ascii="Cambria" w:hAnsi="Cambria"/>
          <w:sz w:val="20"/>
          <w:szCs w:val="20"/>
        </w:rPr>
        <w:t xml:space="preserve"> </w:t>
      </w:r>
      <w:r w:rsidR="004071A4" w:rsidRPr="008A7BD7">
        <w:rPr>
          <w:rFonts w:ascii="Cambria" w:hAnsi="Cambria"/>
          <w:sz w:val="20"/>
          <w:szCs w:val="20"/>
        </w:rPr>
        <w:t xml:space="preserve">continued to be killed in </w:t>
      </w:r>
      <w:r w:rsidR="00824BA2" w:rsidRPr="008A7BD7">
        <w:rPr>
          <w:rFonts w:ascii="Cambria" w:hAnsi="Cambria"/>
          <w:sz w:val="20"/>
          <w:szCs w:val="20"/>
        </w:rPr>
        <w:t>2021.</w:t>
      </w:r>
      <w:r w:rsidR="00E027AC" w:rsidRPr="008A7BD7">
        <w:rPr>
          <w:rFonts w:ascii="Cambria" w:hAnsi="Cambria"/>
          <w:sz w:val="20"/>
          <w:szCs w:val="20"/>
        </w:rPr>
        <w:t xml:space="preserve"> The Commission had previously expressed its concern</w:t>
      </w:r>
      <w:r w:rsidR="00645F3C" w:rsidRPr="008A7BD7">
        <w:rPr>
          <w:rFonts w:ascii="Cambria" w:hAnsi="Cambria"/>
          <w:sz w:val="20"/>
          <w:szCs w:val="20"/>
        </w:rPr>
        <w:t xml:space="preserve"> </w:t>
      </w:r>
      <w:r w:rsidR="005117FA" w:rsidRPr="008A7BD7">
        <w:rPr>
          <w:rFonts w:ascii="Cambria" w:hAnsi="Cambria"/>
          <w:sz w:val="20"/>
          <w:szCs w:val="20"/>
        </w:rPr>
        <w:t>regarding the murder of human rights defenders active in the defense of the land and territory of indigenous co</w:t>
      </w:r>
      <w:r w:rsidR="00391145" w:rsidRPr="008A7BD7">
        <w:rPr>
          <w:rFonts w:ascii="Cambria" w:hAnsi="Cambria"/>
          <w:sz w:val="20"/>
          <w:szCs w:val="20"/>
        </w:rPr>
        <w:t>m</w:t>
      </w:r>
      <w:r w:rsidR="005117FA" w:rsidRPr="008A7BD7">
        <w:rPr>
          <w:rFonts w:ascii="Cambria" w:hAnsi="Cambria"/>
          <w:sz w:val="20"/>
          <w:szCs w:val="20"/>
        </w:rPr>
        <w:t>munities</w:t>
      </w:r>
      <w:r w:rsidR="00AE247E" w:rsidRPr="008A7BD7">
        <w:rPr>
          <w:rFonts w:ascii="Cambria" w:hAnsi="Cambria"/>
          <w:sz w:val="20"/>
          <w:szCs w:val="20"/>
        </w:rPr>
        <w:t xml:space="preserve"> who </w:t>
      </w:r>
      <w:r w:rsidR="006C1848" w:rsidRPr="008A7BD7">
        <w:rPr>
          <w:rFonts w:ascii="Cambria" w:hAnsi="Cambria"/>
          <w:sz w:val="20"/>
          <w:szCs w:val="20"/>
        </w:rPr>
        <w:t xml:space="preserve">had </w:t>
      </w:r>
      <w:r w:rsidR="00AE247E" w:rsidRPr="008A7BD7">
        <w:rPr>
          <w:rFonts w:ascii="Cambria" w:hAnsi="Cambria"/>
          <w:sz w:val="20"/>
          <w:szCs w:val="20"/>
        </w:rPr>
        <w:t>also belong</w:t>
      </w:r>
      <w:r w:rsidR="00391145" w:rsidRPr="008A7BD7">
        <w:rPr>
          <w:rFonts w:ascii="Cambria" w:hAnsi="Cambria"/>
          <w:sz w:val="20"/>
          <w:szCs w:val="20"/>
        </w:rPr>
        <w:t>ed</w:t>
      </w:r>
      <w:r w:rsidR="00AE247E" w:rsidRPr="008A7BD7">
        <w:rPr>
          <w:rFonts w:ascii="Cambria" w:hAnsi="Cambria"/>
          <w:sz w:val="20"/>
          <w:szCs w:val="20"/>
        </w:rPr>
        <w:t xml:space="preserve"> to </w:t>
      </w:r>
      <w:r w:rsidR="00824BA2" w:rsidRPr="008A7BD7">
        <w:rPr>
          <w:rFonts w:ascii="Cambria" w:hAnsi="Cambria"/>
          <w:sz w:val="20"/>
          <w:szCs w:val="20"/>
        </w:rPr>
        <w:t>CODECA</w:t>
      </w:r>
      <w:r w:rsidR="00AE247E" w:rsidRPr="008A7BD7">
        <w:rPr>
          <w:rFonts w:ascii="Cambria" w:hAnsi="Cambria"/>
          <w:sz w:val="20"/>
          <w:szCs w:val="20"/>
        </w:rPr>
        <w:t>.</w:t>
      </w:r>
      <w:r w:rsidR="00824BA2" w:rsidRPr="008A7BD7">
        <w:rPr>
          <w:rStyle w:val="FootnoteReference"/>
          <w:rFonts w:ascii="Cambria" w:hAnsi="Cambria"/>
          <w:sz w:val="20"/>
          <w:szCs w:val="20"/>
          <w:lang w:val="es-ES"/>
        </w:rPr>
        <w:footnoteReference w:id="223"/>
      </w:r>
      <w:r w:rsidR="00AE247E" w:rsidRPr="008A7BD7">
        <w:rPr>
          <w:rFonts w:ascii="Cambria" w:hAnsi="Cambria"/>
          <w:sz w:val="20"/>
          <w:szCs w:val="20"/>
        </w:rPr>
        <w:t xml:space="preserve"> </w:t>
      </w:r>
      <w:r w:rsidR="00391145" w:rsidRPr="008A7BD7">
        <w:rPr>
          <w:rFonts w:ascii="Cambria" w:hAnsi="Cambria"/>
          <w:sz w:val="20"/>
          <w:szCs w:val="20"/>
        </w:rPr>
        <w:t xml:space="preserve">In that regard, the Commission learned </w:t>
      </w:r>
      <w:r w:rsidR="004824EA" w:rsidRPr="008A7BD7">
        <w:rPr>
          <w:rFonts w:ascii="Cambria" w:hAnsi="Cambria"/>
          <w:sz w:val="20"/>
          <w:szCs w:val="20"/>
        </w:rPr>
        <w:t>that</w:t>
      </w:r>
      <w:r w:rsidR="00391145" w:rsidRPr="008A7BD7">
        <w:rPr>
          <w:rFonts w:ascii="Cambria" w:hAnsi="Cambria"/>
          <w:sz w:val="20"/>
          <w:szCs w:val="20"/>
        </w:rPr>
        <w:t xml:space="preserve"> </w:t>
      </w:r>
      <w:r w:rsidR="00DA59A7" w:rsidRPr="008A7BD7">
        <w:rPr>
          <w:rFonts w:ascii="Cambria" w:hAnsi="Cambria"/>
          <w:sz w:val="20"/>
          <w:szCs w:val="20"/>
        </w:rPr>
        <w:t xml:space="preserve">Ramón Jiménez López, </w:t>
      </w:r>
      <w:r w:rsidR="00391145" w:rsidRPr="008A7BD7">
        <w:rPr>
          <w:rFonts w:ascii="Cambria" w:hAnsi="Cambria"/>
          <w:sz w:val="20"/>
          <w:szCs w:val="20"/>
        </w:rPr>
        <w:t xml:space="preserve">a community leader and member of </w:t>
      </w:r>
      <w:r w:rsidR="00DA59A7" w:rsidRPr="008A7BD7">
        <w:rPr>
          <w:rFonts w:ascii="Cambria" w:hAnsi="Cambria"/>
          <w:sz w:val="20"/>
          <w:szCs w:val="20"/>
        </w:rPr>
        <w:t>CODECA</w:t>
      </w:r>
      <w:r w:rsidR="004824EA" w:rsidRPr="008A7BD7">
        <w:rPr>
          <w:rFonts w:ascii="Cambria" w:hAnsi="Cambria"/>
          <w:sz w:val="20"/>
          <w:szCs w:val="20"/>
        </w:rPr>
        <w:t xml:space="preserve">, was murdered on September </w:t>
      </w:r>
      <w:r w:rsidR="00DA59A7" w:rsidRPr="008A7BD7">
        <w:rPr>
          <w:rFonts w:ascii="Cambria" w:hAnsi="Cambria"/>
          <w:sz w:val="20"/>
          <w:szCs w:val="20"/>
        </w:rPr>
        <w:t>20</w:t>
      </w:r>
      <w:r w:rsidR="004824EA" w:rsidRPr="008A7BD7">
        <w:rPr>
          <w:rFonts w:ascii="Cambria" w:hAnsi="Cambria"/>
          <w:sz w:val="20"/>
          <w:szCs w:val="20"/>
        </w:rPr>
        <w:t xml:space="preserve">, </w:t>
      </w:r>
      <w:r w:rsidR="00DA59A7" w:rsidRPr="008A7BD7">
        <w:rPr>
          <w:rFonts w:ascii="Cambria" w:hAnsi="Cambria"/>
          <w:sz w:val="20"/>
          <w:szCs w:val="20"/>
        </w:rPr>
        <w:t>2021</w:t>
      </w:r>
      <w:r w:rsidR="004824EA" w:rsidRPr="008A7BD7">
        <w:rPr>
          <w:rFonts w:ascii="Cambria" w:hAnsi="Cambria"/>
          <w:sz w:val="20"/>
          <w:szCs w:val="20"/>
        </w:rPr>
        <w:t xml:space="preserve">, in the community of </w:t>
      </w:r>
      <w:proofErr w:type="spellStart"/>
      <w:r w:rsidR="00DA59A7" w:rsidRPr="008A7BD7">
        <w:rPr>
          <w:rFonts w:ascii="Cambria" w:hAnsi="Cambria"/>
          <w:sz w:val="20"/>
          <w:szCs w:val="20"/>
        </w:rPr>
        <w:t>Volcán</w:t>
      </w:r>
      <w:proofErr w:type="spellEnd"/>
      <w:r w:rsidR="00DA59A7" w:rsidRPr="008A7BD7">
        <w:rPr>
          <w:rFonts w:ascii="Cambria" w:hAnsi="Cambria"/>
          <w:sz w:val="20"/>
          <w:szCs w:val="20"/>
        </w:rPr>
        <w:t xml:space="preserve"> La Paz, Santa María </w:t>
      </w:r>
      <w:proofErr w:type="spellStart"/>
      <w:r w:rsidR="00DA59A7" w:rsidRPr="008A7BD7">
        <w:rPr>
          <w:rFonts w:ascii="Cambria" w:hAnsi="Cambria"/>
          <w:sz w:val="20"/>
          <w:szCs w:val="20"/>
        </w:rPr>
        <w:t>Xalapán</w:t>
      </w:r>
      <w:proofErr w:type="spellEnd"/>
      <w:r w:rsidR="00DA59A7" w:rsidRPr="008A7BD7">
        <w:rPr>
          <w:rFonts w:ascii="Cambria" w:hAnsi="Cambria"/>
          <w:sz w:val="20"/>
          <w:szCs w:val="20"/>
        </w:rPr>
        <w:t>, Jalapa</w:t>
      </w:r>
      <w:r w:rsidR="00347C51" w:rsidRPr="008A7BD7">
        <w:rPr>
          <w:rFonts w:ascii="Cambria" w:hAnsi="Cambria"/>
          <w:sz w:val="20"/>
          <w:szCs w:val="20"/>
        </w:rPr>
        <w:t>.</w:t>
      </w:r>
      <w:r w:rsidR="00DA59A7" w:rsidRPr="008A7BD7">
        <w:rPr>
          <w:rStyle w:val="FootnoteReference"/>
          <w:rFonts w:ascii="Cambria" w:hAnsi="Cambria"/>
          <w:sz w:val="20"/>
          <w:szCs w:val="20"/>
          <w:lang w:val="es-ES"/>
        </w:rPr>
        <w:footnoteReference w:id="224"/>
      </w:r>
      <w:r w:rsidR="00DA59A7" w:rsidRPr="008A7BD7">
        <w:rPr>
          <w:rFonts w:ascii="Cambria" w:hAnsi="Cambria"/>
          <w:sz w:val="20"/>
          <w:szCs w:val="20"/>
        </w:rPr>
        <w:t xml:space="preserve"> </w:t>
      </w:r>
      <w:r w:rsidR="00347C51" w:rsidRPr="008A7BD7">
        <w:rPr>
          <w:rFonts w:ascii="Cambria" w:hAnsi="Cambria"/>
          <w:sz w:val="20"/>
          <w:szCs w:val="20"/>
        </w:rPr>
        <w:t xml:space="preserve">The Commission also learned of the murder of </w:t>
      </w:r>
      <w:r w:rsidR="00DA59A7" w:rsidRPr="008A7BD7">
        <w:rPr>
          <w:rFonts w:ascii="Cambria" w:hAnsi="Cambria"/>
          <w:sz w:val="20"/>
          <w:szCs w:val="20"/>
        </w:rPr>
        <w:t xml:space="preserve">Emilio Aguilar Jiménez, </w:t>
      </w:r>
      <w:r w:rsidR="00347C51" w:rsidRPr="008A7BD7">
        <w:rPr>
          <w:rFonts w:ascii="Cambria" w:hAnsi="Cambria"/>
          <w:sz w:val="20"/>
          <w:szCs w:val="20"/>
        </w:rPr>
        <w:t xml:space="preserve">a land defender and member of </w:t>
      </w:r>
      <w:r w:rsidR="00DA59A7" w:rsidRPr="008A7BD7">
        <w:rPr>
          <w:rFonts w:ascii="Cambria" w:hAnsi="Cambria"/>
          <w:sz w:val="20"/>
          <w:szCs w:val="20"/>
        </w:rPr>
        <w:t xml:space="preserve">CODECA, </w:t>
      </w:r>
      <w:r w:rsidR="001270A3" w:rsidRPr="008A7BD7">
        <w:rPr>
          <w:rFonts w:ascii="Cambria" w:hAnsi="Cambria"/>
          <w:sz w:val="20"/>
          <w:szCs w:val="20"/>
        </w:rPr>
        <w:t xml:space="preserve">which </w:t>
      </w:r>
      <w:r w:rsidR="006C1848" w:rsidRPr="008A7BD7">
        <w:rPr>
          <w:rFonts w:ascii="Cambria" w:hAnsi="Cambria"/>
          <w:sz w:val="20"/>
          <w:szCs w:val="20"/>
        </w:rPr>
        <w:t xml:space="preserve">occurred </w:t>
      </w:r>
      <w:r w:rsidR="001270A3" w:rsidRPr="008A7BD7">
        <w:rPr>
          <w:rFonts w:ascii="Cambria" w:hAnsi="Cambria"/>
          <w:sz w:val="20"/>
          <w:szCs w:val="20"/>
        </w:rPr>
        <w:t>on April 11, 2021</w:t>
      </w:r>
      <w:r w:rsidR="0077354E" w:rsidRPr="008A7BD7">
        <w:rPr>
          <w:rFonts w:ascii="Cambria" w:hAnsi="Cambria"/>
          <w:sz w:val="20"/>
          <w:szCs w:val="20"/>
        </w:rPr>
        <w:t xml:space="preserve">, </w:t>
      </w:r>
      <w:r w:rsidR="006C1848" w:rsidRPr="008A7BD7">
        <w:rPr>
          <w:rFonts w:ascii="Cambria" w:hAnsi="Cambria"/>
          <w:sz w:val="20"/>
          <w:szCs w:val="20"/>
        </w:rPr>
        <w:t xml:space="preserve">based on the information available, </w:t>
      </w:r>
      <w:r w:rsidR="0077354E" w:rsidRPr="008A7BD7">
        <w:rPr>
          <w:rFonts w:ascii="Cambria" w:hAnsi="Cambria"/>
          <w:sz w:val="20"/>
          <w:szCs w:val="20"/>
        </w:rPr>
        <w:t xml:space="preserve">when unidentified individuals broke into his home in the community of </w:t>
      </w:r>
      <w:proofErr w:type="spellStart"/>
      <w:r w:rsidR="00DA59A7" w:rsidRPr="008A7BD7">
        <w:rPr>
          <w:rFonts w:ascii="Cambria" w:hAnsi="Cambria"/>
          <w:sz w:val="20"/>
          <w:szCs w:val="20"/>
        </w:rPr>
        <w:t>Saxico</w:t>
      </w:r>
      <w:proofErr w:type="spellEnd"/>
      <w:r w:rsidR="00DA59A7" w:rsidRPr="008A7BD7">
        <w:rPr>
          <w:rFonts w:ascii="Cambria" w:hAnsi="Cambria"/>
          <w:sz w:val="20"/>
          <w:szCs w:val="20"/>
        </w:rPr>
        <w:t xml:space="preserve">, </w:t>
      </w:r>
      <w:r w:rsidR="0077354E" w:rsidRPr="008A7BD7">
        <w:rPr>
          <w:rFonts w:ascii="Cambria" w:hAnsi="Cambria"/>
          <w:sz w:val="20"/>
          <w:szCs w:val="20"/>
        </w:rPr>
        <w:t xml:space="preserve">in the municipality of </w:t>
      </w:r>
      <w:r w:rsidR="00DA59A7" w:rsidRPr="008A7BD7">
        <w:rPr>
          <w:rFonts w:ascii="Cambria" w:hAnsi="Cambria"/>
          <w:sz w:val="20"/>
          <w:szCs w:val="20"/>
        </w:rPr>
        <w:t xml:space="preserve">Santa María </w:t>
      </w:r>
      <w:proofErr w:type="spellStart"/>
      <w:r w:rsidR="00DA59A7" w:rsidRPr="008A7BD7">
        <w:rPr>
          <w:rFonts w:ascii="Cambria" w:hAnsi="Cambria"/>
          <w:sz w:val="20"/>
          <w:szCs w:val="20"/>
        </w:rPr>
        <w:t>Xalapán</w:t>
      </w:r>
      <w:proofErr w:type="spellEnd"/>
      <w:r w:rsidR="00DA59A7" w:rsidRPr="008A7BD7">
        <w:rPr>
          <w:rFonts w:ascii="Cambria" w:hAnsi="Cambria"/>
          <w:sz w:val="20"/>
          <w:szCs w:val="20"/>
        </w:rPr>
        <w:t xml:space="preserve">, </w:t>
      </w:r>
      <w:r w:rsidR="0077354E" w:rsidRPr="008A7BD7">
        <w:rPr>
          <w:rFonts w:ascii="Cambria" w:hAnsi="Cambria"/>
          <w:sz w:val="20"/>
          <w:szCs w:val="20"/>
        </w:rPr>
        <w:t xml:space="preserve">department of </w:t>
      </w:r>
      <w:r w:rsidR="00DA59A7" w:rsidRPr="008A7BD7">
        <w:rPr>
          <w:rFonts w:ascii="Cambria" w:hAnsi="Cambria"/>
          <w:sz w:val="20"/>
          <w:szCs w:val="20"/>
        </w:rPr>
        <w:t>Jalapa</w:t>
      </w:r>
      <w:r w:rsidR="0077354E" w:rsidRPr="008A7BD7">
        <w:rPr>
          <w:rFonts w:ascii="Cambria" w:hAnsi="Cambria"/>
          <w:sz w:val="20"/>
          <w:szCs w:val="20"/>
        </w:rPr>
        <w:t>.</w:t>
      </w:r>
      <w:r w:rsidR="00DA59A7" w:rsidRPr="008A7BD7">
        <w:rPr>
          <w:rStyle w:val="FootnoteReference"/>
          <w:rFonts w:ascii="Cambria" w:hAnsi="Cambria"/>
          <w:sz w:val="20"/>
          <w:szCs w:val="20"/>
          <w:lang w:val="es-ES"/>
        </w:rPr>
        <w:footnoteReference w:id="225"/>
      </w:r>
      <w:r w:rsidR="00DA59A7" w:rsidRPr="008A7BD7">
        <w:rPr>
          <w:rFonts w:ascii="Cambria" w:hAnsi="Cambria"/>
          <w:sz w:val="20"/>
          <w:szCs w:val="20"/>
        </w:rPr>
        <w:t xml:space="preserve"> </w:t>
      </w:r>
      <w:r w:rsidR="00ED70AE" w:rsidRPr="008A7BD7">
        <w:rPr>
          <w:rFonts w:ascii="Cambria" w:hAnsi="Cambria"/>
          <w:sz w:val="20"/>
          <w:szCs w:val="20"/>
        </w:rPr>
        <w:t>Likewise, the Commission</w:t>
      </w:r>
      <w:r w:rsidR="00AF0442" w:rsidRPr="008A7BD7">
        <w:rPr>
          <w:rFonts w:ascii="Cambria" w:hAnsi="Cambria"/>
          <w:sz w:val="20"/>
          <w:szCs w:val="20"/>
        </w:rPr>
        <w:t xml:space="preserve"> learned of the attempted murder</w:t>
      </w:r>
      <w:r w:rsidR="00ED70AE" w:rsidRPr="008A7BD7">
        <w:rPr>
          <w:rFonts w:ascii="Cambria" w:hAnsi="Cambria"/>
          <w:sz w:val="20"/>
          <w:szCs w:val="20"/>
        </w:rPr>
        <w:t xml:space="preserve"> </w:t>
      </w:r>
      <w:r w:rsidR="00AF0442" w:rsidRPr="008A7BD7">
        <w:rPr>
          <w:rFonts w:ascii="Cambria" w:hAnsi="Cambria"/>
          <w:sz w:val="20"/>
          <w:szCs w:val="20"/>
        </w:rPr>
        <w:t xml:space="preserve">of </w:t>
      </w:r>
      <w:r w:rsidR="00DA59A7" w:rsidRPr="008A7BD7">
        <w:rPr>
          <w:rFonts w:ascii="Cambria" w:hAnsi="Cambria"/>
          <w:sz w:val="20"/>
          <w:szCs w:val="20"/>
        </w:rPr>
        <w:t>Julio David González Arango,</w:t>
      </w:r>
      <w:r w:rsidR="00DA59A7" w:rsidRPr="008A7BD7">
        <w:rPr>
          <w:rFonts w:ascii="Cambria" w:hAnsi="Cambria" w:cs="Arial"/>
          <w:color w:val="000000"/>
          <w:sz w:val="20"/>
          <w:szCs w:val="20"/>
        </w:rPr>
        <w:t xml:space="preserve"> </w:t>
      </w:r>
      <w:r w:rsidR="00AF0442" w:rsidRPr="008A7BD7">
        <w:rPr>
          <w:rFonts w:ascii="Cambria" w:hAnsi="Cambria" w:cs="Arial"/>
          <w:color w:val="000000"/>
          <w:sz w:val="20"/>
          <w:szCs w:val="20"/>
        </w:rPr>
        <w:t xml:space="preserve">a defender of the rights of the </w:t>
      </w:r>
      <w:proofErr w:type="spellStart"/>
      <w:r w:rsidR="00DA59A7" w:rsidRPr="008A7BD7">
        <w:rPr>
          <w:rFonts w:ascii="Cambria" w:hAnsi="Cambria"/>
          <w:sz w:val="20"/>
          <w:szCs w:val="20"/>
        </w:rPr>
        <w:t>Xinca</w:t>
      </w:r>
      <w:proofErr w:type="spellEnd"/>
      <w:r w:rsidR="00AF0442" w:rsidRPr="008A7BD7">
        <w:rPr>
          <w:rFonts w:ascii="Cambria" w:hAnsi="Cambria"/>
          <w:sz w:val="20"/>
          <w:szCs w:val="20"/>
        </w:rPr>
        <w:t xml:space="preserve"> people</w:t>
      </w:r>
      <w:r w:rsidR="00DA59A7" w:rsidRPr="008A7BD7">
        <w:rPr>
          <w:rFonts w:ascii="Cambria" w:hAnsi="Cambria"/>
          <w:sz w:val="20"/>
          <w:szCs w:val="20"/>
        </w:rPr>
        <w:t xml:space="preserve">, </w:t>
      </w:r>
      <w:r w:rsidR="00AF0442" w:rsidRPr="008A7BD7">
        <w:rPr>
          <w:rFonts w:ascii="Cambria" w:hAnsi="Cambria"/>
          <w:sz w:val="20"/>
          <w:szCs w:val="20"/>
        </w:rPr>
        <w:t xml:space="preserve">which took place on January 16, 2021, when </w:t>
      </w:r>
      <w:r w:rsidR="00520C25" w:rsidRPr="008A7BD7">
        <w:rPr>
          <w:rFonts w:ascii="Cambria" w:hAnsi="Cambria"/>
          <w:sz w:val="20"/>
          <w:szCs w:val="20"/>
        </w:rPr>
        <w:t>a gunman</w:t>
      </w:r>
      <w:r w:rsidR="00AF0442" w:rsidRPr="008A7BD7">
        <w:rPr>
          <w:rFonts w:ascii="Cambria" w:hAnsi="Cambria"/>
          <w:sz w:val="20"/>
          <w:szCs w:val="20"/>
        </w:rPr>
        <w:t xml:space="preserve"> fired shots into his home.</w:t>
      </w:r>
      <w:r w:rsidR="00DA59A7" w:rsidRPr="008A7BD7">
        <w:rPr>
          <w:rStyle w:val="FootnoteReference"/>
          <w:rFonts w:ascii="Cambria" w:hAnsi="Cambria"/>
          <w:sz w:val="20"/>
          <w:szCs w:val="20"/>
          <w:lang w:val="es-ES"/>
        </w:rPr>
        <w:footnoteReference w:id="226"/>
      </w:r>
      <w:r w:rsidR="00DA59A7" w:rsidRPr="008A7BD7">
        <w:rPr>
          <w:rFonts w:ascii="Cambria" w:hAnsi="Cambria"/>
          <w:sz w:val="20"/>
          <w:szCs w:val="20"/>
        </w:rPr>
        <w:t xml:space="preserve"> </w:t>
      </w:r>
    </w:p>
    <w:p w14:paraId="104AF33C" w14:textId="77777777" w:rsidR="00DA59A7" w:rsidRPr="008A7BD7" w:rsidRDefault="00DA59A7" w:rsidP="785F88E1">
      <w:pPr>
        <w:jc w:val="both"/>
        <w:rPr>
          <w:rFonts w:ascii="Cambria" w:hAnsi="Cambria"/>
          <w:sz w:val="20"/>
          <w:szCs w:val="20"/>
        </w:rPr>
      </w:pPr>
    </w:p>
    <w:p w14:paraId="26620A2F" w14:textId="02635BAD" w:rsidR="00DA59A7" w:rsidRPr="008A7BD7" w:rsidRDefault="0078787D"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The IACHR </w:t>
      </w:r>
      <w:r w:rsidR="00DB3A52" w:rsidRPr="008A7BD7">
        <w:rPr>
          <w:rFonts w:ascii="Cambria" w:hAnsi="Cambria"/>
          <w:sz w:val="20"/>
          <w:szCs w:val="20"/>
        </w:rPr>
        <w:t>notes</w:t>
      </w:r>
      <w:r w:rsidRPr="008A7BD7">
        <w:rPr>
          <w:rFonts w:ascii="Cambria" w:hAnsi="Cambria"/>
          <w:sz w:val="20"/>
          <w:szCs w:val="20"/>
        </w:rPr>
        <w:t xml:space="preserve"> that</w:t>
      </w:r>
      <w:r w:rsidR="00DB3A52" w:rsidRPr="008A7BD7">
        <w:rPr>
          <w:rFonts w:ascii="Cambria" w:hAnsi="Cambria"/>
          <w:sz w:val="20"/>
          <w:szCs w:val="20"/>
        </w:rPr>
        <w:t xml:space="preserve"> murders and other acts of violence directed against human rights defenders have a multiplier effect which goes beyond the person of the defender. When an assault is committed in reprisal for a </w:t>
      </w:r>
      <w:r w:rsidR="0067738B" w:rsidRPr="008A7BD7">
        <w:rPr>
          <w:rFonts w:ascii="Cambria" w:hAnsi="Cambria"/>
          <w:sz w:val="20"/>
          <w:szCs w:val="20"/>
        </w:rPr>
        <w:t xml:space="preserve">human rights </w:t>
      </w:r>
      <w:r w:rsidR="00DB3A52" w:rsidRPr="008A7BD7">
        <w:rPr>
          <w:rFonts w:ascii="Cambria" w:hAnsi="Cambria"/>
          <w:sz w:val="20"/>
          <w:szCs w:val="20"/>
        </w:rPr>
        <w:t xml:space="preserve">defender’s actions, it produces a chilling effect on those connected to the defense and promotion of </w:t>
      </w:r>
      <w:r w:rsidR="00627A54" w:rsidRPr="008A7BD7">
        <w:rPr>
          <w:rFonts w:ascii="Cambria" w:hAnsi="Cambria"/>
          <w:sz w:val="20"/>
          <w:szCs w:val="20"/>
        </w:rPr>
        <w:t>human rights</w:t>
      </w:r>
      <w:r w:rsidR="0067738B" w:rsidRPr="008A7BD7">
        <w:rPr>
          <w:rFonts w:ascii="Cambria" w:hAnsi="Cambria"/>
          <w:sz w:val="20"/>
          <w:szCs w:val="20"/>
        </w:rPr>
        <w:t>.</w:t>
      </w:r>
      <w:r w:rsidR="00DA59A7" w:rsidRPr="008A7BD7">
        <w:rPr>
          <w:rStyle w:val="FootnoteReference"/>
          <w:rFonts w:ascii="Cambria" w:hAnsi="Cambria"/>
          <w:sz w:val="20"/>
          <w:szCs w:val="20"/>
          <w:lang w:val="es-ES"/>
        </w:rPr>
        <w:footnoteReference w:id="227"/>
      </w:r>
      <w:r w:rsidR="00DA59A7" w:rsidRPr="008A7BD7">
        <w:rPr>
          <w:rFonts w:ascii="Cambria" w:hAnsi="Cambria"/>
          <w:sz w:val="20"/>
          <w:szCs w:val="20"/>
        </w:rPr>
        <w:t xml:space="preserve"> </w:t>
      </w:r>
      <w:r w:rsidR="00330766" w:rsidRPr="008A7BD7">
        <w:rPr>
          <w:rFonts w:ascii="Cambria" w:hAnsi="Cambria"/>
          <w:sz w:val="20"/>
          <w:szCs w:val="20"/>
        </w:rPr>
        <w:t xml:space="preserve">For indigenous communities especially, the loss of a leader or defender </w:t>
      </w:r>
      <w:r w:rsidR="00627A54" w:rsidRPr="008A7BD7">
        <w:rPr>
          <w:rFonts w:ascii="Cambria" w:hAnsi="Cambria"/>
          <w:sz w:val="20"/>
          <w:szCs w:val="20"/>
        </w:rPr>
        <w:t xml:space="preserve">has </w:t>
      </w:r>
      <w:r w:rsidR="00627A54" w:rsidRPr="008A7BD7">
        <w:rPr>
          <w:rFonts w:ascii="Cambria" w:hAnsi="Cambria"/>
          <w:sz w:val="20"/>
          <w:szCs w:val="20"/>
        </w:rPr>
        <w:lastRenderedPageBreak/>
        <w:t xml:space="preserve">a </w:t>
      </w:r>
      <w:r w:rsidR="00330766" w:rsidRPr="008A7BD7">
        <w:rPr>
          <w:rFonts w:ascii="Cambria" w:hAnsi="Cambria"/>
          <w:sz w:val="20"/>
          <w:szCs w:val="20"/>
        </w:rPr>
        <w:t>serious</w:t>
      </w:r>
      <w:r w:rsidR="00627A54" w:rsidRPr="008A7BD7">
        <w:rPr>
          <w:rFonts w:ascii="Cambria" w:hAnsi="Cambria"/>
          <w:sz w:val="20"/>
          <w:szCs w:val="20"/>
        </w:rPr>
        <w:t xml:space="preserve"> impact on their </w:t>
      </w:r>
      <w:r w:rsidR="00330766" w:rsidRPr="008A7BD7">
        <w:rPr>
          <w:rFonts w:ascii="Cambria" w:hAnsi="Cambria"/>
          <w:sz w:val="20"/>
          <w:szCs w:val="20"/>
        </w:rPr>
        <w:t>cultural integrity and break</w:t>
      </w:r>
      <w:r w:rsidR="00627A54" w:rsidRPr="008A7BD7">
        <w:rPr>
          <w:rFonts w:ascii="Cambria" w:hAnsi="Cambria"/>
          <w:sz w:val="20"/>
          <w:szCs w:val="20"/>
        </w:rPr>
        <w:t>s</w:t>
      </w:r>
      <w:r w:rsidR="00330766" w:rsidRPr="008A7BD7">
        <w:rPr>
          <w:rFonts w:ascii="Cambria" w:hAnsi="Cambria"/>
          <w:sz w:val="20"/>
          <w:szCs w:val="20"/>
        </w:rPr>
        <w:t xml:space="preserve"> down the sense of community that binds them together in their struggle to defend their human rights.</w:t>
      </w:r>
      <w:r w:rsidR="00DA59A7" w:rsidRPr="008A7BD7">
        <w:rPr>
          <w:rStyle w:val="FootnoteReference"/>
          <w:rFonts w:ascii="Cambria" w:hAnsi="Cambria"/>
          <w:sz w:val="20"/>
          <w:szCs w:val="20"/>
          <w:lang w:val="es-ES"/>
        </w:rPr>
        <w:footnoteReference w:id="228"/>
      </w:r>
    </w:p>
    <w:p w14:paraId="1A2D6832" w14:textId="77777777" w:rsidR="00DA59A7" w:rsidRPr="008A7BD7" w:rsidRDefault="00DA59A7" w:rsidP="785F88E1">
      <w:pPr>
        <w:jc w:val="both"/>
        <w:rPr>
          <w:rFonts w:ascii="Cambria" w:hAnsi="Cambria"/>
          <w:sz w:val="20"/>
          <w:szCs w:val="20"/>
        </w:rPr>
      </w:pPr>
    </w:p>
    <w:p w14:paraId="5B0305B4" w14:textId="55FAEF21" w:rsidR="00DA59A7" w:rsidRPr="008A7BD7" w:rsidRDefault="007E74AF"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The IACHR calls on the State to adopt all measures necessary to guarantee the right to life, </w:t>
      </w:r>
      <w:r w:rsidR="00B97248" w:rsidRPr="008A7BD7">
        <w:rPr>
          <w:rFonts w:ascii="Cambria" w:hAnsi="Cambria"/>
          <w:sz w:val="20"/>
          <w:szCs w:val="20"/>
        </w:rPr>
        <w:t>integrity, and security of</w:t>
      </w:r>
      <w:r w:rsidR="00DA59A7" w:rsidRPr="008A7BD7">
        <w:rPr>
          <w:rFonts w:ascii="Cambria" w:hAnsi="Cambria"/>
          <w:sz w:val="20"/>
          <w:szCs w:val="20"/>
        </w:rPr>
        <w:t xml:space="preserve"> </w:t>
      </w:r>
      <w:r w:rsidR="00C30787" w:rsidRPr="008A7BD7">
        <w:rPr>
          <w:rFonts w:ascii="Cambria" w:hAnsi="Cambria"/>
          <w:sz w:val="20"/>
          <w:szCs w:val="20"/>
        </w:rPr>
        <w:t xml:space="preserve">human rights defenders, especially indigenous leaders and those who are active in the defense of land and territory, who have been particularly </w:t>
      </w:r>
      <w:r w:rsidR="00372D93" w:rsidRPr="008A7BD7">
        <w:rPr>
          <w:rFonts w:ascii="Cambria" w:hAnsi="Cambria"/>
          <w:sz w:val="20"/>
          <w:szCs w:val="20"/>
        </w:rPr>
        <w:t>affected</w:t>
      </w:r>
      <w:r w:rsidR="00C30787" w:rsidRPr="008A7BD7">
        <w:rPr>
          <w:rFonts w:ascii="Cambria" w:hAnsi="Cambria"/>
          <w:sz w:val="20"/>
          <w:szCs w:val="20"/>
        </w:rPr>
        <w:t xml:space="preserve"> by the situation of violence. </w:t>
      </w:r>
    </w:p>
    <w:p w14:paraId="1DFEA56E" w14:textId="77777777" w:rsidR="00DA59A7" w:rsidRPr="008A7BD7" w:rsidRDefault="00DA59A7" w:rsidP="785F88E1">
      <w:pPr>
        <w:jc w:val="both"/>
        <w:rPr>
          <w:rFonts w:ascii="Cambria" w:hAnsi="Cambria"/>
          <w:sz w:val="20"/>
          <w:szCs w:val="20"/>
        </w:rPr>
      </w:pPr>
    </w:p>
    <w:p w14:paraId="4D1D3B09" w14:textId="432C013A" w:rsidR="00DA59A7" w:rsidRPr="008A7BD7" w:rsidRDefault="00B54329"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Meanwhile, the Commission observes that in </w:t>
      </w:r>
      <w:r w:rsidR="00DA59A7" w:rsidRPr="008A7BD7">
        <w:rPr>
          <w:rFonts w:ascii="Cambria" w:hAnsi="Cambria"/>
          <w:sz w:val="20"/>
          <w:szCs w:val="20"/>
        </w:rPr>
        <w:t>2021</w:t>
      </w:r>
      <w:r w:rsidRPr="008A7BD7">
        <w:rPr>
          <w:rFonts w:ascii="Cambria" w:hAnsi="Cambria"/>
          <w:sz w:val="20"/>
          <w:szCs w:val="20"/>
        </w:rPr>
        <w:t>,</w:t>
      </w:r>
      <w:r w:rsidR="00DA59A7" w:rsidRPr="008A7BD7">
        <w:rPr>
          <w:rFonts w:ascii="Cambria" w:hAnsi="Cambria"/>
          <w:sz w:val="20"/>
          <w:szCs w:val="20"/>
        </w:rPr>
        <w:t xml:space="preserve"> </w:t>
      </w:r>
      <w:r w:rsidRPr="008A7BD7">
        <w:rPr>
          <w:rFonts w:ascii="Cambria" w:hAnsi="Cambria"/>
          <w:sz w:val="20"/>
          <w:szCs w:val="20"/>
        </w:rPr>
        <w:t xml:space="preserve">the criminalization of human rights defenders continued to be one of the means used to obstruct their work of defending human rights. In that respect, the Commission learned that on September 30, </w:t>
      </w:r>
      <w:r w:rsidR="00DA59A7" w:rsidRPr="008A7BD7">
        <w:rPr>
          <w:rFonts w:ascii="Cambria" w:hAnsi="Cambria"/>
          <w:sz w:val="20"/>
          <w:szCs w:val="20"/>
        </w:rPr>
        <w:t>2021</w:t>
      </w:r>
      <w:r w:rsidRPr="008A7BD7">
        <w:rPr>
          <w:rFonts w:ascii="Cambria" w:hAnsi="Cambria"/>
          <w:sz w:val="20"/>
          <w:szCs w:val="20"/>
        </w:rPr>
        <w:t xml:space="preserve">, </w:t>
      </w:r>
      <w:r w:rsidR="00DA59A7" w:rsidRPr="008A7BD7">
        <w:rPr>
          <w:rFonts w:ascii="Cambria" w:hAnsi="Cambria"/>
          <w:sz w:val="20"/>
          <w:szCs w:val="20"/>
        </w:rPr>
        <w:t xml:space="preserve">Juan </w:t>
      </w:r>
      <w:proofErr w:type="spellStart"/>
      <w:r w:rsidR="00DA59A7" w:rsidRPr="008A7BD7">
        <w:rPr>
          <w:rFonts w:ascii="Cambria" w:hAnsi="Cambria"/>
          <w:sz w:val="20"/>
          <w:szCs w:val="20"/>
        </w:rPr>
        <w:t>Agustín</w:t>
      </w:r>
      <w:proofErr w:type="spellEnd"/>
      <w:r w:rsidR="00DA59A7" w:rsidRPr="008A7BD7">
        <w:rPr>
          <w:rFonts w:ascii="Cambria" w:hAnsi="Cambria"/>
          <w:sz w:val="20"/>
          <w:szCs w:val="20"/>
        </w:rPr>
        <w:t xml:space="preserve">, Bernardino Pérez, María Santos Méndez de Ramos, Rosa Margarita Pérez </w:t>
      </w:r>
      <w:proofErr w:type="spellStart"/>
      <w:r w:rsidR="00DA59A7" w:rsidRPr="008A7BD7">
        <w:rPr>
          <w:rFonts w:ascii="Cambria" w:hAnsi="Cambria"/>
          <w:sz w:val="20"/>
          <w:szCs w:val="20"/>
        </w:rPr>
        <w:t>Canan</w:t>
      </w:r>
      <w:proofErr w:type="spellEnd"/>
      <w:r w:rsidRPr="008A7BD7">
        <w:rPr>
          <w:rFonts w:ascii="Cambria" w:hAnsi="Cambria"/>
          <w:sz w:val="20"/>
          <w:szCs w:val="20"/>
        </w:rPr>
        <w:t>, and</w:t>
      </w:r>
      <w:r w:rsidR="00DA59A7" w:rsidRPr="008A7BD7">
        <w:rPr>
          <w:rFonts w:ascii="Cambria" w:hAnsi="Cambria"/>
          <w:sz w:val="20"/>
          <w:szCs w:val="20"/>
        </w:rPr>
        <w:t xml:space="preserve"> </w:t>
      </w:r>
      <w:proofErr w:type="spellStart"/>
      <w:r w:rsidR="00DA59A7" w:rsidRPr="008A7BD7">
        <w:rPr>
          <w:rFonts w:ascii="Cambria" w:hAnsi="Cambria"/>
          <w:sz w:val="20"/>
          <w:szCs w:val="20"/>
        </w:rPr>
        <w:t>Gerónimo</w:t>
      </w:r>
      <w:proofErr w:type="spellEnd"/>
      <w:r w:rsidR="00DA59A7" w:rsidRPr="008A7BD7">
        <w:rPr>
          <w:rFonts w:ascii="Cambria" w:hAnsi="Cambria"/>
          <w:sz w:val="20"/>
          <w:szCs w:val="20"/>
        </w:rPr>
        <w:t xml:space="preserve"> Ramos </w:t>
      </w:r>
      <w:proofErr w:type="spellStart"/>
      <w:r w:rsidR="00DA59A7" w:rsidRPr="008A7BD7">
        <w:rPr>
          <w:rFonts w:ascii="Cambria" w:hAnsi="Cambria"/>
          <w:sz w:val="20"/>
          <w:szCs w:val="20"/>
        </w:rPr>
        <w:t>Santoz</w:t>
      </w:r>
      <w:proofErr w:type="spellEnd"/>
      <w:r w:rsidR="00DA59A7" w:rsidRPr="008A7BD7">
        <w:rPr>
          <w:rFonts w:ascii="Cambria" w:hAnsi="Cambria"/>
          <w:sz w:val="20"/>
          <w:szCs w:val="20"/>
        </w:rPr>
        <w:t xml:space="preserve"> Méndez, </w:t>
      </w:r>
      <w:r w:rsidR="00562279" w:rsidRPr="008A7BD7">
        <w:rPr>
          <w:rFonts w:ascii="Cambria" w:hAnsi="Cambria"/>
          <w:sz w:val="20"/>
          <w:szCs w:val="20"/>
        </w:rPr>
        <w:t xml:space="preserve">indigenous and land </w:t>
      </w:r>
      <w:r w:rsidR="00B86A31" w:rsidRPr="008A7BD7">
        <w:rPr>
          <w:rFonts w:ascii="Cambria" w:hAnsi="Cambria"/>
          <w:sz w:val="20"/>
          <w:szCs w:val="20"/>
        </w:rPr>
        <w:t>defenders</w:t>
      </w:r>
      <w:r w:rsidR="00562279" w:rsidRPr="008A7BD7">
        <w:rPr>
          <w:rFonts w:ascii="Cambria" w:hAnsi="Cambria"/>
          <w:sz w:val="20"/>
          <w:szCs w:val="20"/>
        </w:rPr>
        <w:t xml:space="preserve">, were arrested for the alleged crime of “illegal detentions.” The five defenders were reportedly taken by the National Civil Police </w:t>
      </w:r>
      <w:r w:rsidR="00DA59A7" w:rsidRPr="008A7BD7">
        <w:rPr>
          <w:rFonts w:ascii="Cambria" w:hAnsi="Cambria"/>
          <w:sz w:val="20"/>
          <w:szCs w:val="20"/>
        </w:rPr>
        <w:t xml:space="preserve">(PNC) </w:t>
      </w:r>
      <w:r w:rsidR="00562279" w:rsidRPr="008A7BD7">
        <w:rPr>
          <w:rFonts w:ascii="Cambria" w:hAnsi="Cambria"/>
          <w:sz w:val="20"/>
          <w:szCs w:val="20"/>
        </w:rPr>
        <w:t xml:space="preserve">to the </w:t>
      </w:r>
      <w:r w:rsidR="008B29CC" w:rsidRPr="008A7BD7">
        <w:rPr>
          <w:rFonts w:ascii="Cambria" w:hAnsi="Cambria"/>
          <w:sz w:val="20"/>
          <w:szCs w:val="20"/>
        </w:rPr>
        <w:t xml:space="preserve">Chiquimula Criminal Court of </w:t>
      </w:r>
      <w:r w:rsidR="00562279" w:rsidRPr="008A7BD7">
        <w:rPr>
          <w:rFonts w:ascii="Cambria" w:hAnsi="Cambria"/>
          <w:sz w:val="20"/>
          <w:szCs w:val="20"/>
        </w:rPr>
        <w:t>First Instance</w:t>
      </w:r>
      <w:r w:rsidR="008B29CC" w:rsidRPr="008A7BD7">
        <w:rPr>
          <w:rFonts w:ascii="Cambria" w:hAnsi="Cambria"/>
          <w:sz w:val="20"/>
          <w:szCs w:val="20"/>
        </w:rPr>
        <w:t xml:space="preserve">, where criminal proceedings were opened against </w:t>
      </w:r>
      <w:proofErr w:type="gramStart"/>
      <w:r w:rsidR="008B29CC" w:rsidRPr="008A7BD7">
        <w:rPr>
          <w:rFonts w:ascii="Cambria" w:hAnsi="Cambria"/>
          <w:sz w:val="20"/>
          <w:szCs w:val="20"/>
        </w:rPr>
        <w:t>them</w:t>
      </w:r>
      <w:proofErr w:type="gramEnd"/>
      <w:r w:rsidR="008B29CC" w:rsidRPr="008A7BD7">
        <w:rPr>
          <w:rFonts w:ascii="Cambria" w:hAnsi="Cambria"/>
          <w:sz w:val="20"/>
          <w:szCs w:val="20"/>
        </w:rPr>
        <w:t xml:space="preserve"> and they were ordered under house arrest while the investigations are </w:t>
      </w:r>
      <w:r w:rsidR="0066690B" w:rsidRPr="008A7BD7">
        <w:rPr>
          <w:rFonts w:ascii="Cambria" w:hAnsi="Cambria"/>
          <w:sz w:val="20"/>
          <w:szCs w:val="20"/>
        </w:rPr>
        <w:t>ongoing</w:t>
      </w:r>
      <w:r w:rsidR="008B29CC" w:rsidRPr="008A7BD7">
        <w:rPr>
          <w:rFonts w:ascii="Cambria" w:hAnsi="Cambria"/>
          <w:sz w:val="20"/>
          <w:szCs w:val="20"/>
        </w:rPr>
        <w:t>. Organizations indicate that they are being subjected to these</w:t>
      </w:r>
      <w:r w:rsidR="0066690B" w:rsidRPr="008A7BD7">
        <w:rPr>
          <w:rFonts w:ascii="Cambria" w:hAnsi="Cambria"/>
          <w:sz w:val="20"/>
          <w:szCs w:val="20"/>
        </w:rPr>
        <w:t xml:space="preserve"> proceedings in reprisal for their peaceful resistance to mining activities </w:t>
      </w:r>
      <w:r w:rsidR="005A1616" w:rsidRPr="008A7BD7">
        <w:rPr>
          <w:rFonts w:ascii="Cambria" w:hAnsi="Cambria"/>
          <w:sz w:val="20"/>
          <w:szCs w:val="20"/>
        </w:rPr>
        <w:t xml:space="preserve">reportedly </w:t>
      </w:r>
      <w:r w:rsidR="0066690B" w:rsidRPr="008A7BD7">
        <w:rPr>
          <w:rFonts w:ascii="Cambria" w:hAnsi="Cambria"/>
          <w:sz w:val="20"/>
          <w:szCs w:val="20"/>
        </w:rPr>
        <w:t>taking place in their community.</w:t>
      </w:r>
      <w:r w:rsidR="00DA59A7" w:rsidRPr="008A7BD7">
        <w:rPr>
          <w:rStyle w:val="FootnoteReference"/>
          <w:rFonts w:ascii="Cambria" w:hAnsi="Cambria"/>
          <w:sz w:val="20"/>
          <w:szCs w:val="20"/>
          <w:lang w:val="es-ES"/>
        </w:rPr>
        <w:footnoteReference w:id="229"/>
      </w:r>
      <w:r w:rsidR="00DA59A7" w:rsidRPr="008A7BD7">
        <w:rPr>
          <w:rFonts w:ascii="Cambria" w:hAnsi="Cambria"/>
          <w:sz w:val="20"/>
          <w:szCs w:val="20"/>
        </w:rPr>
        <w:t xml:space="preserve"> </w:t>
      </w:r>
    </w:p>
    <w:p w14:paraId="756EAC72" w14:textId="77777777" w:rsidR="00DA59A7" w:rsidRPr="008A7BD7" w:rsidRDefault="00DA59A7" w:rsidP="785F88E1">
      <w:pPr>
        <w:jc w:val="both"/>
        <w:rPr>
          <w:rFonts w:ascii="Cambria" w:hAnsi="Cambria"/>
          <w:sz w:val="20"/>
          <w:szCs w:val="20"/>
        </w:rPr>
      </w:pPr>
    </w:p>
    <w:p w14:paraId="31DA8BFF" w14:textId="3E00C05F" w:rsidR="00DA59A7" w:rsidRPr="008A7BD7" w:rsidRDefault="0004692B"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Likewise, the Commission continued to follow the case of the human rights defender </w:t>
      </w:r>
      <w:r w:rsidR="00DA59A7" w:rsidRPr="008A7BD7">
        <w:rPr>
          <w:rFonts w:ascii="Cambria" w:hAnsi="Cambria"/>
          <w:sz w:val="20"/>
          <w:szCs w:val="20"/>
        </w:rPr>
        <w:t xml:space="preserve">Bernardo </w:t>
      </w:r>
      <w:proofErr w:type="spellStart"/>
      <w:r w:rsidR="00DA59A7" w:rsidRPr="008A7BD7">
        <w:rPr>
          <w:rFonts w:ascii="Cambria" w:hAnsi="Cambria"/>
          <w:sz w:val="20"/>
          <w:szCs w:val="20"/>
        </w:rPr>
        <w:t>Caal</w:t>
      </w:r>
      <w:proofErr w:type="spellEnd"/>
      <w:r w:rsidR="00DA59A7" w:rsidRPr="008A7BD7">
        <w:rPr>
          <w:rFonts w:ascii="Cambria" w:hAnsi="Cambria"/>
          <w:sz w:val="20"/>
          <w:szCs w:val="20"/>
        </w:rPr>
        <w:t xml:space="preserve"> </w:t>
      </w:r>
      <w:proofErr w:type="spellStart"/>
      <w:r w:rsidR="00DA59A7" w:rsidRPr="008A7BD7">
        <w:rPr>
          <w:rFonts w:ascii="Cambria" w:hAnsi="Cambria"/>
          <w:sz w:val="20"/>
          <w:szCs w:val="20"/>
        </w:rPr>
        <w:t>Xol</w:t>
      </w:r>
      <w:proofErr w:type="spellEnd"/>
      <w:r w:rsidRPr="008A7BD7">
        <w:rPr>
          <w:rFonts w:ascii="Cambria" w:hAnsi="Cambria"/>
          <w:sz w:val="20"/>
          <w:szCs w:val="20"/>
        </w:rPr>
        <w:t>, who reportedly remains deprived of his liberty. The M</w:t>
      </w:r>
      <w:r w:rsidR="00DA59A7" w:rsidRPr="008A7BD7">
        <w:rPr>
          <w:rFonts w:ascii="Cambria" w:hAnsi="Cambria"/>
          <w:sz w:val="20"/>
          <w:szCs w:val="20"/>
        </w:rPr>
        <w:t xml:space="preserve">aya </w:t>
      </w:r>
      <w:proofErr w:type="spellStart"/>
      <w:r w:rsidR="00DA59A7" w:rsidRPr="008A7BD7">
        <w:rPr>
          <w:rFonts w:ascii="Cambria" w:hAnsi="Cambria"/>
          <w:sz w:val="20"/>
          <w:szCs w:val="20"/>
        </w:rPr>
        <w:t>Q’eqchi</w:t>
      </w:r>
      <w:proofErr w:type="spellEnd"/>
      <w:r w:rsidR="00DA59A7" w:rsidRPr="008A7BD7">
        <w:rPr>
          <w:rFonts w:ascii="Cambria" w:hAnsi="Cambria"/>
          <w:sz w:val="20"/>
          <w:szCs w:val="20"/>
        </w:rPr>
        <w:t>’</w:t>
      </w:r>
      <w:r w:rsidRPr="008A7BD7">
        <w:rPr>
          <w:rFonts w:ascii="Cambria" w:hAnsi="Cambria"/>
          <w:sz w:val="20"/>
          <w:szCs w:val="20"/>
        </w:rPr>
        <w:t xml:space="preserve"> community leader was convicted in November </w:t>
      </w:r>
      <w:r w:rsidR="00DA59A7" w:rsidRPr="008A7BD7">
        <w:rPr>
          <w:rFonts w:ascii="Cambria" w:hAnsi="Cambria"/>
          <w:sz w:val="20"/>
          <w:szCs w:val="20"/>
        </w:rPr>
        <w:t xml:space="preserve">2018 </w:t>
      </w:r>
      <w:r w:rsidRPr="008A7BD7">
        <w:rPr>
          <w:rFonts w:ascii="Cambria" w:hAnsi="Cambria"/>
          <w:sz w:val="20"/>
          <w:szCs w:val="20"/>
        </w:rPr>
        <w:t>for crimes of aggravated robbery and illegal detentions</w:t>
      </w:r>
      <w:r w:rsidR="00891732" w:rsidRPr="008A7BD7">
        <w:rPr>
          <w:rFonts w:ascii="Cambria" w:hAnsi="Cambria"/>
          <w:sz w:val="20"/>
          <w:szCs w:val="20"/>
        </w:rPr>
        <w:t>, and his case is under appeal</w:t>
      </w:r>
      <w:r w:rsidRPr="008A7BD7">
        <w:rPr>
          <w:rFonts w:ascii="Cambria" w:hAnsi="Cambria"/>
          <w:sz w:val="20"/>
          <w:szCs w:val="20"/>
        </w:rPr>
        <w:t xml:space="preserve">. </w:t>
      </w:r>
      <w:r w:rsidR="006D7A8C" w:rsidRPr="008A7BD7">
        <w:rPr>
          <w:rFonts w:ascii="Cambria" w:hAnsi="Cambria"/>
          <w:sz w:val="20"/>
          <w:szCs w:val="20"/>
        </w:rPr>
        <w:t xml:space="preserve">A group of </w:t>
      </w:r>
      <w:r w:rsidR="00A24C62" w:rsidRPr="008A7BD7">
        <w:rPr>
          <w:rFonts w:ascii="Cambria" w:hAnsi="Cambria"/>
          <w:sz w:val="20"/>
          <w:szCs w:val="20"/>
        </w:rPr>
        <w:t xml:space="preserve">United Nations </w:t>
      </w:r>
      <w:r w:rsidR="006D7A8C" w:rsidRPr="008A7BD7">
        <w:rPr>
          <w:rFonts w:ascii="Cambria" w:hAnsi="Cambria"/>
          <w:sz w:val="20"/>
          <w:szCs w:val="20"/>
        </w:rPr>
        <w:t>experts expressed their concerns about the long periods of detention and the repeated suspension of hearings, which they said were prolonging the trial of the indigenous defender.</w:t>
      </w:r>
      <w:r w:rsidR="00DA59A7" w:rsidRPr="008A7BD7">
        <w:rPr>
          <w:rStyle w:val="FootnoteReference"/>
          <w:rFonts w:ascii="Cambria" w:hAnsi="Cambria"/>
          <w:sz w:val="20"/>
          <w:szCs w:val="20"/>
        </w:rPr>
        <w:footnoteReference w:id="230"/>
      </w:r>
      <w:r w:rsidR="00DA59A7" w:rsidRPr="008A7BD7">
        <w:rPr>
          <w:rFonts w:ascii="Cambria" w:hAnsi="Cambria"/>
          <w:sz w:val="20"/>
          <w:szCs w:val="20"/>
        </w:rPr>
        <w:t xml:space="preserve">  </w:t>
      </w:r>
    </w:p>
    <w:p w14:paraId="283995C6" w14:textId="77777777" w:rsidR="00DA59A7" w:rsidRPr="008A7BD7" w:rsidRDefault="00DA59A7" w:rsidP="785F88E1">
      <w:pPr>
        <w:rPr>
          <w:rFonts w:ascii="Cambria" w:hAnsi="Cambria"/>
          <w:sz w:val="20"/>
          <w:szCs w:val="20"/>
        </w:rPr>
      </w:pPr>
    </w:p>
    <w:p w14:paraId="44338221" w14:textId="4D7F50E8" w:rsidR="00DA59A7" w:rsidRPr="008A7BD7" w:rsidRDefault="001B243B"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In its various reports, the Commission has recommended that the State of Guatemala make sure that authorities or third parties do not manipulate the punitive power of the State and its bodies of justice </w:t>
      </w:r>
      <w:proofErr w:type="gramStart"/>
      <w:r w:rsidRPr="008A7BD7">
        <w:rPr>
          <w:rFonts w:ascii="Cambria" w:hAnsi="Cambria"/>
          <w:sz w:val="20"/>
          <w:szCs w:val="20"/>
        </w:rPr>
        <w:t>in order to</w:t>
      </w:r>
      <w:proofErr w:type="gramEnd"/>
      <w:r w:rsidRPr="008A7BD7">
        <w:rPr>
          <w:rFonts w:ascii="Cambria" w:hAnsi="Cambria"/>
          <w:sz w:val="20"/>
          <w:szCs w:val="20"/>
        </w:rPr>
        <w:t xml:space="preserve"> harass human rights defenders and justice operators.</w:t>
      </w:r>
      <w:r w:rsidR="00EA6E79" w:rsidRPr="008A7BD7">
        <w:rPr>
          <w:rFonts w:ascii="Cambria" w:hAnsi="Cambria"/>
          <w:sz w:val="20"/>
          <w:szCs w:val="20"/>
        </w:rPr>
        <w:t xml:space="preserve"> It also recommends that the State ensure that human rights defenders are not subjected to criminal proceedings for unnecessarily summary or protracted period</w:t>
      </w:r>
      <w:r w:rsidR="00747DB2" w:rsidRPr="008A7BD7">
        <w:rPr>
          <w:rFonts w:ascii="Cambria" w:hAnsi="Cambria"/>
          <w:sz w:val="20"/>
          <w:szCs w:val="20"/>
        </w:rPr>
        <w:t>s</w:t>
      </w:r>
      <w:r w:rsidR="00EA6E79" w:rsidRPr="008A7BD7">
        <w:rPr>
          <w:rFonts w:ascii="Cambria" w:hAnsi="Cambria"/>
          <w:sz w:val="20"/>
          <w:szCs w:val="20"/>
        </w:rPr>
        <w:t xml:space="preserve"> of time</w:t>
      </w:r>
      <w:r w:rsidR="00747DB2" w:rsidRPr="008A7BD7">
        <w:rPr>
          <w:rFonts w:ascii="Cambria" w:hAnsi="Cambria"/>
          <w:sz w:val="20"/>
          <w:szCs w:val="20"/>
        </w:rPr>
        <w:t>,</w:t>
      </w:r>
      <w:r w:rsidR="00EA6E79" w:rsidRPr="008A7BD7">
        <w:rPr>
          <w:rFonts w:ascii="Cambria" w:hAnsi="Cambria"/>
          <w:sz w:val="20"/>
          <w:szCs w:val="20"/>
        </w:rPr>
        <w:t xml:space="preserve"> and that it </w:t>
      </w:r>
      <w:proofErr w:type="gramStart"/>
      <w:r w:rsidR="00EA6E79" w:rsidRPr="008A7BD7">
        <w:rPr>
          <w:rFonts w:ascii="Cambria" w:hAnsi="Cambria"/>
          <w:sz w:val="20"/>
          <w:szCs w:val="20"/>
        </w:rPr>
        <w:t>take</w:t>
      </w:r>
      <w:proofErr w:type="gramEnd"/>
      <w:r w:rsidR="00EA6E79" w:rsidRPr="008A7BD7">
        <w:rPr>
          <w:rFonts w:ascii="Cambria" w:hAnsi="Cambria"/>
          <w:sz w:val="20"/>
          <w:szCs w:val="20"/>
        </w:rPr>
        <w:t xml:space="preserve"> measures to prevent the use of criminal charges</w:t>
      </w:r>
      <w:r w:rsidR="00A82A43" w:rsidRPr="008A7BD7">
        <w:rPr>
          <w:rFonts w:ascii="Cambria" w:hAnsi="Cambria"/>
          <w:sz w:val="20"/>
          <w:szCs w:val="20"/>
        </w:rPr>
        <w:t xml:space="preserve"> against human rights defenders aimed at keeping them from carrying out their work.</w:t>
      </w:r>
      <w:r w:rsidR="00DA59A7" w:rsidRPr="008A7BD7">
        <w:rPr>
          <w:rStyle w:val="FootnoteReference"/>
          <w:rFonts w:ascii="Cambria" w:hAnsi="Cambria"/>
          <w:sz w:val="20"/>
          <w:szCs w:val="20"/>
          <w:lang w:val="es-ES"/>
        </w:rPr>
        <w:footnoteReference w:id="231"/>
      </w:r>
      <w:r w:rsidR="00DA59A7" w:rsidRPr="008A7BD7">
        <w:rPr>
          <w:rFonts w:ascii="Cambria" w:hAnsi="Cambria"/>
          <w:sz w:val="20"/>
          <w:szCs w:val="20"/>
        </w:rPr>
        <w:t xml:space="preserve">  </w:t>
      </w:r>
    </w:p>
    <w:p w14:paraId="0714047B" w14:textId="77777777" w:rsidR="00DA59A7" w:rsidRPr="008A7BD7" w:rsidRDefault="00DA59A7" w:rsidP="785F88E1">
      <w:pPr>
        <w:jc w:val="both"/>
        <w:rPr>
          <w:rFonts w:ascii="Cambria" w:hAnsi="Cambria"/>
          <w:sz w:val="20"/>
          <w:szCs w:val="20"/>
        </w:rPr>
      </w:pPr>
    </w:p>
    <w:p w14:paraId="25FCAA04" w14:textId="435E9733" w:rsidR="00DA59A7" w:rsidRPr="008A7BD7" w:rsidRDefault="003A032E"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The Commission reminds the States that the criminalization of human rights defenders is a complex obstacle that </w:t>
      </w:r>
      <w:r w:rsidR="007B60AB" w:rsidRPr="008A7BD7">
        <w:rPr>
          <w:rFonts w:ascii="Cambria" w:hAnsi="Cambria"/>
          <w:sz w:val="20"/>
          <w:szCs w:val="20"/>
        </w:rPr>
        <w:t>affects</w:t>
      </w:r>
      <w:r w:rsidRPr="008A7BD7">
        <w:rPr>
          <w:rFonts w:ascii="Cambria" w:hAnsi="Cambria"/>
          <w:sz w:val="20"/>
          <w:szCs w:val="20"/>
        </w:rPr>
        <w:t xml:space="preserve"> the free exercise of the defense of human rights in </w:t>
      </w:r>
      <w:r w:rsidR="007B60AB" w:rsidRPr="008A7BD7">
        <w:rPr>
          <w:rFonts w:ascii="Cambria" w:hAnsi="Cambria"/>
          <w:sz w:val="20"/>
          <w:szCs w:val="20"/>
        </w:rPr>
        <w:t>a variety of</w:t>
      </w:r>
      <w:r w:rsidRPr="008A7BD7">
        <w:rPr>
          <w:rFonts w:ascii="Cambria" w:hAnsi="Cambria"/>
          <w:sz w:val="20"/>
          <w:szCs w:val="20"/>
        </w:rPr>
        <w:t xml:space="preserve"> ways.</w:t>
      </w:r>
      <w:r w:rsidR="00DA59A7" w:rsidRPr="008A7BD7">
        <w:rPr>
          <w:rStyle w:val="FootnoteReference"/>
          <w:rFonts w:ascii="Cambria" w:hAnsi="Cambria"/>
          <w:sz w:val="20"/>
          <w:szCs w:val="20"/>
        </w:rPr>
        <w:footnoteReference w:id="232"/>
      </w:r>
      <w:r w:rsidR="00DA59A7" w:rsidRPr="008A7BD7">
        <w:rPr>
          <w:rFonts w:ascii="Cambria" w:hAnsi="Cambria"/>
          <w:sz w:val="20"/>
          <w:szCs w:val="20"/>
        </w:rPr>
        <w:t xml:space="preserve"> </w:t>
      </w:r>
      <w:r w:rsidR="007B60AB" w:rsidRPr="008A7BD7">
        <w:rPr>
          <w:rFonts w:ascii="Cambria" w:hAnsi="Cambria"/>
          <w:sz w:val="20"/>
          <w:szCs w:val="20"/>
        </w:rPr>
        <w:t>D</w:t>
      </w:r>
      <w:r w:rsidR="00282D37" w:rsidRPr="008A7BD7">
        <w:rPr>
          <w:rFonts w:ascii="Cambria" w:hAnsi="Cambria"/>
          <w:sz w:val="20"/>
          <w:szCs w:val="20"/>
        </w:rPr>
        <w:t xml:space="preserve">ue to the nature of the </w:t>
      </w:r>
      <w:r w:rsidR="0018789E" w:rsidRPr="008A7BD7">
        <w:rPr>
          <w:rFonts w:ascii="Cambria" w:hAnsi="Cambria"/>
          <w:sz w:val="20"/>
          <w:szCs w:val="20"/>
        </w:rPr>
        <w:t xml:space="preserve">violations involved in bringing </w:t>
      </w:r>
      <w:r w:rsidR="00282D37" w:rsidRPr="008A7BD7">
        <w:rPr>
          <w:rFonts w:ascii="Cambria" w:hAnsi="Cambria"/>
          <w:sz w:val="20"/>
          <w:szCs w:val="20"/>
        </w:rPr>
        <w:t>baseless criminal actions</w:t>
      </w:r>
      <w:r w:rsidR="0018789E" w:rsidRPr="008A7BD7">
        <w:rPr>
          <w:rFonts w:ascii="Cambria" w:hAnsi="Cambria"/>
          <w:sz w:val="20"/>
          <w:szCs w:val="20"/>
        </w:rPr>
        <w:t xml:space="preserve"> </w:t>
      </w:r>
      <w:r w:rsidR="00282D37" w:rsidRPr="008A7BD7">
        <w:rPr>
          <w:rFonts w:ascii="Cambria" w:hAnsi="Cambria"/>
          <w:sz w:val="20"/>
          <w:szCs w:val="20"/>
        </w:rPr>
        <w:t xml:space="preserve">against human rights defenders, a State that engages in this practice </w:t>
      </w:r>
      <w:r w:rsidR="0018789E" w:rsidRPr="008A7BD7">
        <w:rPr>
          <w:rFonts w:ascii="Cambria" w:hAnsi="Cambria"/>
          <w:sz w:val="20"/>
          <w:szCs w:val="20"/>
        </w:rPr>
        <w:t>may bear</w:t>
      </w:r>
      <w:r w:rsidR="00282D37" w:rsidRPr="008A7BD7">
        <w:rPr>
          <w:rFonts w:ascii="Cambria" w:hAnsi="Cambria"/>
          <w:sz w:val="20"/>
          <w:szCs w:val="20"/>
        </w:rPr>
        <w:t xml:space="preserve"> international responsib</w:t>
      </w:r>
      <w:r w:rsidR="0018789E" w:rsidRPr="008A7BD7">
        <w:rPr>
          <w:rFonts w:ascii="Cambria" w:hAnsi="Cambria"/>
          <w:sz w:val="20"/>
          <w:szCs w:val="20"/>
        </w:rPr>
        <w:t>ility</w:t>
      </w:r>
      <w:r w:rsidR="00282D37" w:rsidRPr="008A7BD7">
        <w:rPr>
          <w:rFonts w:ascii="Cambria" w:hAnsi="Cambria"/>
          <w:sz w:val="20"/>
          <w:szCs w:val="20"/>
        </w:rPr>
        <w:t xml:space="preserve"> for violating various rights protected by inter-American instrument</w:t>
      </w:r>
      <w:r w:rsidR="0018789E" w:rsidRPr="008A7BD7">
        <w:rPr>
          <w:rFonts w:ascii="Cambria" w:hAnsi="Cambria"/>
          <w:sz w:val="20"/>
          <w:szCs w:val="20"/>
        </w:rPr>
        <w:t xml:space="preserve">s, by failing </w:t>
      </w:r>
      <w:r w:rsidR="007B60AB" w:rsidRPr="008A7BD7">
        <w:rPr>
          <w:rFonts w:ascii="Cambria" w:hAnsi="Cambria"/>
          <w:sz w:val="20"/>
          <w:szCs w:val="20"/>
        </w:rPr>
        <w:t xml:space="preserve">to meet its obligation to respect and guarantee the rights involved </w:t>
      </w:r>
      <w:r w:rsidR="0018789E" w:rsidRPr="008A7BD7">
        <w:rPr>
          <w:rFonts w:ascii="Cambria" w:hAnsi="Cambria"/>
          <w:sz w:val="20"/>
          <w:szCs w:val="20"/>
        </w:rPr>
        <w:t xml:space="preserve">as a result of </w:t>
      </w:r>
      <w:r w:rsidR="007B60AB" w:rsidRPr="008A7BD7">
        <w:rPr>
          <w:rFonts w:ascii="Cambria" w:hAnsi="Cambria"/>
          <w:sz w:val="20"/>
          <w:szCs w:val="20"/>
        </w:rPr>
        <w:t>the criminalization</w:t>
      </w:r>
      <w:r w:rsidR="0018789E" w:rsidRPr="008A7BD7">
        <w:rPr>
          <w:rFonts w:ascii="Cambria" w:hAnsi="Cambria"/>
          <w:sz w:val="20"/>
          <w:szCs w:val="20"/>
        </w:rPr>
        <w:t>.</w:t>
      </w:r>
      <w:r w:rsidR="00DA59A7" w:rsidRPr="008A7BD7">
        <w:rPr>
          <w:rStyle w:val="FootnoteReference"/>
          <w:rFonts w:ascii="Cambria" w:hAnsi="Cambria"/>
          <w:sz w:val="20"/>
          <w:szCs w:val="20"/>
        </w:rPr>
        <w:footnoteReference w:id="233"/>
      </w:r>
      <w:r w:rsidR="0018789E" w:rsidRPr="008A7BD7">
        <w:rPr>
          <w:rFonts w:ascii="Cambria" w:hAnsi="Cambria"/>
          <w:sz w:val="20"/>
          <w:szCs w:val="20"/>
        </w:rPr>
        <w:t xml:space="preserve"> </w:t>
      </w:r>
    </w:p>
    <w:p w14:paraId="6913324B" w14:textId="77777777" w:rsidR="00DA59A7" w:rsidRPr="008A7BD7" w:rsidRDefault="00DA59A7" w:rsidP="785F88E1">
      <w:pPr>
        <w:jc w:val="both"/>
        <w:rPr>
          <w:rFonts w:ascii="Cambria" w:hAnsi="Cambria"/>
          <w:sz w:val="20"/>
          <w:szCs w:val="20"/>
        </w:rPr>
      </w:pPr>
    </w:p>
    <w:p w14:paraId="207D5518" w14:textId="13FECF12" w:rsidR="00DA59A7" w:rsidRPr="008A7BD7" w:rsidRDefault="009516D0"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In addition, the </w:t>
      </w:r>
      <w:r w:rsidR="005B03E9" w:rsidRPr="008A7BD7">
        <w:rPr>
          <w:rFonts w:ascii="Cambria" w:hAnsi="Cambria"/>
          <w:sz w:val="20"/>
          <w:szCs w:val="20"/>
        </w:rPr>
        <w:t>Commission rejected the entry into force of Decree</w:t>
      </w:r>
      <w:r w:rsidR="00DA59A7" w:rsidRPr="008A7BD7">
        <w:rPr>
          <w:rFonts w:ascii="Cambria" w:hAnsi="Cambria"/>
          <w:sz w:val="20"/>
          <w:szCs w:val="20"/>
        </w:rPr>
        <w:t xml:space="preserve"> 4-2020 </w:t>
      </w:r>
      <w:r w:rsidR="00785675" w:rsidRPr="008A7BD7">
        <w:rPr>
          <w:rFonts w:ascii="Cambria" w:hAnsi="Cambria"/>
          <w:sz w:val="20"/>
          <w:szCs w:val="20"/>
        </w:rPr>
        <w:t xml:space="preserve">amending the </w:t>
      </w:r>
      <w:r w:rsidR="007F23E2" w:rsidRPr="008A7BD7">
        <w:rPr>
          <w:rFonts w:ascii="Cambria" w:hAnsi="Cambria"/>
          <w:sz w:val="20"/>
          <w:szCs w:val="20"/>
        </w:rPr>
        <w:t xml:space="preserve">Law on </w:t>
      </w:r>
      <w:r w:rsidR="00785675" w:rsidRPr="008A7BD7">
        <w:rPr>
          <w:rFonts w:ascii="Cambria" w:hAnsi="Cambria"/>
          <w:sz w:val="20"/>
          <w:szCs w:val="20"/>
        </w:rPr>
        <w:t xml:space="preserve">Nongovernmental </w:t>
      </w:r>
      <w:r w:rsidR="004525F2" w:rsidRPr="008A7BD7">
        <w:rPr>
          <w:rFonts w:ascii="Cambria" w:hAnsi="Cambria"/>
          <w:sz w:val="20"/>
          <w:szCs w:val="20"/>
        </w:rPr>
        <w:t xml:space="preserve">Development </w:t>
      </w:r>
      <w:r w:rsidR="00785675" w:rsidRPr="008A7BD7">
        <w:rPr>
          <w:rFonts w:ascii="Cambria" w:hAnsi="Cambria"/>
          <w:sz w:val="20"/>
          <w:szCs w:val="20"/>
        </w:rPr>
        <w:t xml:space="preserve">Organizations (the NGO </w:t>
      </w:r>
      <w:r w:rsidR="007F23E2" w:rsidRPr="008A7BD7">
        <w:rPr>
          <w:rFonts w:ascii="Cambria" w:hAnsi="Cambria"/>
          <w:sz w:val="20"/>
          <w:szCs w:val="20"/>
        </w:rPr>
        <w:t>Law</w:t>
      </w:r>
      <w:r w:rsidR="00785675" w:rsidRPr="008A7BD7">
        <w:rPr>
          <w:rFonts w:ascii="Cambria" w:hAnsi="Cambria"/>
          <w:sz w:val="20"/>
          <w:szCs w:val="20"/>
        </w:rPr>
        <w:t>) and the Civil Code</w:t>
      </w:r>
      <w:r w:rsidR="000F10E2" w:rsidRPr="008A7BD7">
        <w:rPr>
          <w:rFonts w:ascii="Cambria" w:eastAsia="Times New Roman" w:hAnsi="Cambria" w:cs="Tahoma"/>
          <w:color w:val="000000" w:themeColor="text1"/>
          <w:sz w:val="20"/>
          <w:szCs w:val="20"/>
          <w:lang w:eastAsia="es-ES"/>
        </w:rPr>
        <w:t xml:space="preserve"> of Guatemala</w:t>
      </w:r>
      <w:r w:rsidR="00785675" w:rsidRPr="008A7BD7">
        <w:rPr>
          <w:rFonts w:ascii="Cambria" w:hAnsi="Cambria"/>
          <w:sz w:val="20"/>
          <w:szCs w:val="20"/>
        </w:rPr>
        <w:t>.</w:t>
      </w:r>
      <w:r w:rsidR="00DA59A7" w:rsidRPr="008A7BD7">
        <w:rPr>
          <w:rStyle w:val="FootnoteReference"/>
          <w:rFonts w:ascii="Cambria" w:hAnsi="Cambria"/>
          <w:sz w:val="20"/>
          <w:szCs w:val="20"/>
        </w:rPr>
        <w:footnoteReference w:id="234"/>
      </w:r>
      <w:r w:rsidR="00DA59A7" w:rsidRPr="008A7BD7">
        <w:rPr>
          <w:rFonts w:ascii="Cambria" w:hAnsi="Cambria"/>
          <w:sz w:val="20"/>
          <w:szCs w:val="20"/>
        </w:rPr>
        <w:t xml:space="preserve"> </w:t>
      </w:r>
      <w:r w:rsidR="00D5034F" w:rsidRPr="008A7BD7">
        <w:rPr>
          <w:rFonts w:ascii="Cambria" w:hAnsi="Cambria"/>
          <w:sz w:val="20"/>
          <w:szCs w:val="20"/>
        </w:rPr>
        <w:t xml:space="preserve">According to information the Commission received, on </w:t>
      </w:r>
      <w:r w:rsidR="00D5034F" w:rsidRPr="008A7BD7">
        <w:rPr>
          <w:rFonts w:ascii="Cambria" w:eastAsia="Times New Roman" w:hAnsi="Cambria" w:cs="Tahoma"/>
          <w:color w:val="000000"/>
          <w:sz w:val="20"/>
          <w:szCs w:val="20"/>
          <w:lang w:eastAsia="es-ES"/>
        </w:rPr>
        <w:t xml:space="preserve">May 12, 2021, Guatemala’s Constitutional Court </w:t>
      </w:r>
      <w:r w:rsidR="004525F2" w:rsidRPr="008A7BD7">
        <w:rPr>
          <w:rFonts w:ascii="Cambria" w:eastAsia="Times New Roman" w:hAnsi="Cambria" w:cs="Tahoma"/>
          <w:color w:val="000000"/>
          <w:sz w:val="20"/>
          <w:szCs w:val="20"/>
          <w:lang w:eastAsia="es-ES"/>
        </w:rPr>
        <w:t>overturned</w:t>
      </w:r>
      <w:r w:rsidR="00D5034F" w:rsidRPr="008A7BD7">
        <w:rPr>
          <w:rFonts w:ascii="Cambria" w:eastAsia="Times New Roman" w:hAnsi="Cambria" w:cs="Tahoma"/>
          <w:color w:val="000000"/>
          <w:sz w:val="20"/>
          <w:szCs w:val="20"/>
          <w:lang w:eastAsia="es-ES"/>
        </w:rPr>
        <w:t xml:space="preserve"> a provisional </w:t>
      </w:r>
      <w:r w:rsidR="004525F2" w:rsidRPr="008A7BD7">
        <w:rPr>
          <w:rFonts w:ascii="Cambria" w:eastAsia="Times New Roman" w:hAnsi="Cambria" w:cs="Tahoma"/>
          <w:color w:val="000000"/>
          <w:sz w:val="20"/>
          <w:szCs w:val="20"/>
          <w:lang w:eastAsia="es-ES"/>
        </w:rPr>
        <w:t>injunction</w:t>
      </w:r>
      <w:r w:rsidR="00D5034F" w:rsidRPr="008A7BD7">
        <w:rPr>
          <w:rFonts w:ascii="Cambria" w:eastAsia="Times New Roman" w:hAnsi="Cambria" w:cs="Tahoma"/>
          <w:color w:val="000000"/>
          <w:sz w:val="20"/>
          <w:szCs w:val="20"/>
          <w:lang w:eastAsia="es-ES"/>
        </w:rPr>
        <w:t xml:space="preserve"> and </w:t>
      </w:r>
      <w:r w:rsidR="000A0684" w:rsidRPr="008A7BD7">
        <w:rPr>
          <w:rFonts w:ascii="Cambria" w:eastAsia="Times New Roman" w:hAnsi="Cambria" w:cs="Tahoma"/>
          <w:color w:val="000000"/>
          <w:sz w:val="20"/>
          <w:szCs w:val="20"/>
          <w:lang w:eastAsia="es-ES"/>
        </w:rPr>
        <w:t xml:space="preserve">revoked </w:t>
      </w:r>
      <w:r w:rsidR="00D5034F" w:rsidRPr="008A7BD7">
        <w:rPr>
          <w:rFonts w:ascii="Cambria" w:eastAsia="Times New Roman" w:hAnsi="Cambria" w:cs="Tahoma"/>
          <w:color w:val="000000"/>
          <w:sz w:val="20"/>
          <w:szCs w:val="20"/>
          <w:lang w:eastAsia="es-ES"/>
        </w:rPr>
        <w:t xml:space="preserve">several appeals that had been filed to </w:t>
      </w:r>
      <w:r w:rsidR="004525F2" w:rsidRPr="008A7BD7">
        <w:rPr>
          <w:rFonts w:ascii="Cambria" w:eastAsia="Times New Roman" w:hAnsi="Cambria" w:cs="Tahoma"/>
          <w:color w:val="000000"/>
          <w:sz w:val="20"/>
          <w:szCs w:val="20"/>
          <w:lang w:eastAsia="es-ES"/>
        </w:rPr>
        <w:t>prevent</w:t>
      </w:r>
      <w:r w:rsidR="00D5034F" w:rsidRPr="008A7BD7">
        <w:rPr>
          <w:rFonts w:ascii="Cambria" w:eastAsia="Times New Roman" w:hAnsi="Cambria" w:cs="Tahoma"/>
          <w:color w:val="000000"/>
          <w:sz w:val="20"/>
          <w:szCs w:val="20"/>
          <w:lang w:eastAsia="es-ES"/>
        </w:rPr>
        <w:t xml:space="preserve"> the law’s entry into force</w:t>
      </w:r>
      <w:r w:rsidR="00DA59A7" w:rsidRPr="008A7BD7">
        <w:rPr>
          <w:rFonts w:ascii="Cambria" w:hAnsi="Cambria"/>
          <w:sz w:val="20"/>
          <w:szCs w:val="20"/>
        </w:rPr>
        <w:t xml:space="preserve">. </w:t>
      </w:r>
      <w:r w:rsidR="00D849B8" w:rsidRPr="008A7BD7">
        <w:rPr>
          <w:rFonts w:ascii="Cambria" w:eastAsia="Times New Roman" w:hAnsi="Cambria" w:cs="Tahoma"/>
          <w:color w:val="000000"/>
          <w:sz w:val="20"/>
          <w:szCs w:val="20"/>
          <w:lang w:eastAsia="es-ES"/>
        </w:rPr>
        <w:lastRenderedPageBreak/>
        <w:t xml:space="preserve">These reforms had been approved by Congress through Decree 4-2020 of </w:t>
      </w:r>
      <w:proofErr w:type="gramStart"/>
      <w:r w:rsidR="00D849B8" w:rsidRPr="008A7BD7">
        <w:rPr>
          <w:rFonts w:ascii="Cambria" w:eastAsia="Times New Roman" w:hAnsi="Cambria" w:cs="Tahoma"/>
          <w:color w:val="000000"/>
          <w:sz w:val="20"/>
          <w:szCs w:val="20"/>
          <w:lang w:eastAsia="es-ES"/>
        </w:rPr>
        <w:t>February 11, 2020, and</w:t>
      </w:r>
      <w:proofErr w:type="gramEnd"/>
      <w:r w:rsidR="00D849B8" w:rsidRPr="008A7BD7">
        <w:rPr>
          <w:rFonts w:ascii="Cambria" w:eastAsia="Times New Roman" w:hAnsi="Cambria" w:cs="Tahoma"/>
          <w:color w:val="000000"/>
          <w:sz w:val="20"/>
          <w:szCs w:val="20"/>
          <w:lang w:eastAsia="es-ES"/>
        </w:rPr>
        <w:t xml:space="preserve"> </w:t>
      </w:r>
      <w:r w:rsidR="001C7740" w:rsidRPr="008A7BD7">
        <w:rPr>
          <w:rFonts w:ascii="Cambria" w:eastAsia="Times New Roman" w:hAnsi="Cambria" w:cs="Tahoma"/>
          <w:color w:val="000000"/>
          <w:sz w:val="20"/>
          <w:szCs w:val="20"/>
          <w:lang w:eastAsia="es-ES"/>
        </w:rPr>
        <w:t>sanctioned</w:t>
      </w:r>
      <w:r w:rsidR="00D849B8" w:rsidRPr="008A7BD7">
        <w:rPr>
          <w:rFonts w:ascii="Cambria" w:eastAsia="Times New Roman" w:hAnsi="Cambria" w:cs="Tahoma"/>
          <w:color w:val="000000"/>
          <w:sz w:val="20"/>
          <w:szCs w:val="20"/>
          <w:lang w:eastAsia="es-ES"/>
        </w:rPr>
        <w:t xml:space="preserve"> by the </w:t>
      </w:r>
      <w:r w:rsidR="001C7740" w:rsidRPr="008A7BD7">
        <w:rPr>
          <w:rFonts w:ascii="Cambria" w:eastAsia="Times New Roman" w:hAnsi="Cambria" w:cs="Tahoma"/>
          <w:color w:val="000000"/>
          <w:sz w:val="20"/>
          <w:szCs w:val="20"/>
          <w:lang w:eastAsia="es-ES"/>
        </w:rPr>
        <w:t xml:space="preserve">President </w:t>
      </w:r>
      <w:r w:rsidR="00D849B8" w:rsidRPr="008A7BD7">
        <w:rPr>
          <w:rFonts w:ascii="Cambria" w:eastAsia="Times New Roman" w:hAnsi="Cambria" w:cs="Tahoma"/>
          <w:color w:val="000000"/>
          <w:sz w:val="20"/>
          <w:szCs w:val="20"/>
          <w:lang w:eastAsia="es-ES"/>
        </w:rPr>
        <w:t>on February 27, 2020.</w:t>
      </w:r>
      <w:r w:rsidR="00DA59A7" w:rsidRPr="008A7BD7">
        <w:rPr>
          <w:rStyle w:val="FootnoteReference"/>
          <w:rFonts w:ascii="Cambria" w:hAnsi="Cambria"/>
          <w:sz w:val="20"/>
          <w:szCs w:val="20"/>
        </w:rPr>
        <w:footnoteReference w:id="235"/>
      </w:r>
      <w:r w:rsidR="00DA59A7" w:rsidRPr="008A7BD7">
        <w:rPr>
          <w:rFonts w:ascii="Cambria" w:hAnsi="Cambria"/>
          <w:sz w:val="20"/>
          <w:szCs w:val="20"/>
        </w:rPr>
        <w:t xml:space="preserve"> </w:t>
      </w:r>
      <w:r w:rsidR="004525F2" w:rsidRPr="008A7BD7">
        <w:rPr>
          <w:rFonts w:ascii="Cambria" w:hAnsi="Cambria"/>
          <w:sz w:val="20"/>
          <w:szCs w:val="20"/>
        </w:rPr>
        <w:t xml:space="preserve">The Commission has learned that the amended NGO </w:t>
      </w:r>
      <w:r w:rsidR="007F23E2" w:rsidRPr="008A7BD7">
        <w:rPr>
          <w:rFonts w:ascii="Cambria" w:hAnsi="Cambria"/>
          <w:sz w:val="20"/>
          <w:szCs w:val="20"/>
        </w:rPr>
        <w:t>Law</w:t>
      </w:r>
      <w:r w:rsidR="004525F2" w:rsidRPr="008A7BD7">
        <w:rPr>
          <w:rFonts w:ascii="Cambria" w:hAnsi="Cambria"/>
          <w:sz w:val="20"/>
          <w:szCs w:val="20"/>
        </w:rPr>
        <w:t xml:space="preserve"> entered into force on June </w:t>
      </w:r>
      <w:r w:rsidR="00DA59A7" w:rsidRPr="008A7BD7">
        <w:rPr>
          <w:rFonts w:ascii="Cambria" w:hAnsi="Cambria"/>
          <w:sz w:val="20"/>
          <w:szCs w:val="20"/>
        </w:rPr>
        <w:t>21</w:t>
      </w:r>
      <w:r w:rsidR="004525F2" w:rsidRPr="008A7BD7">
        <w:rPr>
          <w:rFonts w:ascii="Cambria" w:hAnsi="Cambria"/>
          <w:sz w:val="20"/>
          <w:szCs w:val="20"/>
        </w:rPr>
        <w:t xml:space="preserve">, </w:t>
      </w:r>
      <w:r w:rsidR="00DA59A7" w:rsidRPr="008A7BD7">
        <w:rPr>
          <w:rFonts w:ascii="Cambria" w:hAnsi="Cambria"/>
          <w:sz w:val="20"/>
          <w:szCs w:val="20"/>
        </w:rPr>
        <w:t>2021</w:t>
      </w:r>
      <w:r w:rsidR="004525F2" w:rsidRPr="008A7BD7">
        <w:rPr>
          <w:rFonts w:ascii="Cambria" w:hAnsi="Cambria"/>
          <w:sz w:val="20"/>
          <w:szCs w:val="20"/>
        </w:rPr>
        <w:t xml:space="preserve">, and its regulations were published on August 2, </w:t>
      </w:r>
      <w:r w:rsidR="00DA59A7" w:rsidRPr="008A7BD7">
        <w:rPr>
          <w:rFonts w:ascii="Cambria" w:hAnsi="Cambria"/>
          <w:sz w:val="20"/>
          <w:szCs w:val="20"/>
        </w:rPr>
        <w:t>2021</w:t>
      </w:r>
      <w:r w:rsidR="00DA59A7" w:rsidRPr="008A7BD7">
        <w:rPr>
          <w:rStyle w:val="FootnoteReference"/>
          <w:rFonts w:ascii="Cambria" w:hAnsi="Cambria"/>
          <w:sz w:val="20"/>
          <w:szCs w:val="20"/>
        </w:rPr>
        <w:footnoteReference w:id="236"/>
      </w:r>
      <w:r w:rsidR="00DA59A7" w:rsidRPr="008A7BD7">
        <w:rPr>
          <w:rFonts w:ascii="Cambria" w:hAnsi="Cambria"/>
          <w:sz w:val="20"/>
          <w:szCs w:val="20"/>
        </w:rPr>
        <w:t xml:space="preserve">. </w:t>
      </w:r>
    </w:p>
    <w:p w14:paraId="03363823" w14:textId="77777777" w:rsidR="00DA59A7" w:rsidRPr="008A7BD7" w:rsidRDefault="00DA59A7" w:rsidP="785F88E1">
      <w:pPr>
        <w:jc w:val="both"/>
        <w:rPr>
          <w:rFonts w:ascii="Cambria" w:hAnsi="Cambria"/>
          <w:sz w:val="20"/>
          <w:szCs w:val="20"/>
        </w:rPr>
      </w:pPr>
    </w:p>
    <w:p w14:paraId="521455F4" w14:textId="1EDB5FAA" w:rsidR="00DA59A7" w:rsidRPr="008A7BD7" w:rsidRDefault="006F41EF" w:rsidP="003D3059">
      <w:pPr>
        <w:numPr>
          <w:ilvl w:val="0"/>
          <w:numId w:val="2"/>
        </w:numPr>
        <w:ind w:left="0" w:firstLine="720"/>
        <w:jc w:val="both"/>
        <w:rPr>
          <w:rFonts w:ascii="Cambria" w:hAnsi="Cambria"/>
          <w:sz w:val="20"/>
          <w:szCs w:val="20"/>
        </w:rPr>
      </w:pPr>
      <w:r w:rsidRPr="008A7BD7">
        <w:rPr>
          <w:rFonts w:ascii="Cambria" w:hAnsi="Cambria"/>
          <w:sz w:val="20"/>
          <w:szCs w:val="20"/>
        </w:rPr>
        <w:t>On this matter, the Commission and its Office of the Special Rapporteur for Freedom of Expression expressed their concern</w:t>
      </w:r>
      <w:r w:rsidR="00204953" w:rsidRPr="008A7BD7">
        <w:rPr>
          <w:rFonts w:ascii="Cambria" w:hAnsi="Cambria"/>
          <w:sz w:val="20"/>
          <w:szCs w:val="20"/>
        </w:rPr>
        <w:t xml:space="preserve"> about these amendments, as they establish a</w:t>
      </w:r>
      <w:r w:rsidR="00DA59A7" w:rsidRPr="008A7BD7">
        <w:rPr>
          <w:rFonts w:ascii="Cambria" w:hAnsi="Cambria"/>
          <w:sz w:val="20"/>
          <w:szCs w:val="20"/>
        </w:rPr>
        <w:t xml:space="preserve"> </w:t>
      </w:r>
      <w:r w:rsidR="00204953" w:rsidRPr="008A7BD7">
        <w:rPr>
          <w:rFonts w:ascii="Cambria" w:eastAsia="Times New Roman" w:hAnsi="Cambria" w:cs="Tahoma"/>
          <w:color w:val="000000" w:themeColor="text1"/>
          <w:sz w:val="20"/>
          <w:szCs w:val="20"/>
          <w:lang w:eastAsia="es-ES"/>
        </w:rPr>
        <w:t>series of requirements applicable to the establishment, registration, regulation, operation, and monitoring of Guatemalan and international NGOs. In addition to being excessive and disproportionate, these requirements could be applied in a discretionary or arbitrary manner to the detriment of civil society organizations in the country</w:t>
      </w:r>
      <w:r w:rsidR="00DA59A7" w:rsidRPr="008A7BD7">
        <w:rPr>
          <w:rFonts w:ascii="Cambria" w:hAnsi="Cambria"/>
          <w:sz w:val="20"/>
          <w:szCs w:val="20"/>
        </w:rPr>
        <w:t xml:space="preserve">. </w:t>
      </w:r>
      <w:r w:rsidR="00204953" w:rsidRPr="008A7BD7">
        <w:rPr>
          <w:rFonts w:ascii="Cambria" w:hAnsi="Cambria"/>
          <w:sz w:val="20"/>
          <w:szCs w:val="20"/>
        </w:rPr>
        <w:t xml:space="preserve">Moreover, the Commission and the Office of the Special Rapporteur are concerned that the </w:t>
      </w:r>
      <w:r w:rsidR="00204953" w:rsidRPr="008A7BD7">
        <w:rPr>
          <w:rFonts w:ascii="Cambria" w:eastAsia="Times New Roman" w:hAnsi="Cambria" w:cs="Tahoma"/>
          <w:color w:val="000000"/>
          <w:sz w:val="20"/>
          <w:szCs w:val="20"/>
          <w:lang w:eastAsia="es-ES"/>
        </w:rPr>
        <w:t xml:space="preserve">law establishes rigid, restrictive definitions of what constitutes an NGO and, using vague and ambiguous criteria, restricts access to foreign funding on grounds of “public order” by imposing sanctions, canceling permits, and initiating criminal proceedings. The IACHR </w:t>
      </w:r>
      <w:r w:rsidR="00F4575B" w:rsidRPr="008A7BD7">
        <w:rPr>
          <w:rFonts w:ascii="Cambria" w:eastAsia="Times New Roman" w:hAnsi="Cambria" w:cs="Tahoma"/>
          <w:color w:val="000000"/>
          <w:sz w:val="20"/>
          <w:szCs w:val="20"/>
          <w:lang w:eastAsia="es-ES"/>
        </w:rPr>
        <w:t>also notes with concern</w:t>
      </w:r>
      <w:r w:rsidR="00204953" w:rsidRPr="008A7BD7">
        <w:rPr>
          <w:rFonts w:ascii="Cambria" w:eastAsia="Times New Roman" w:hAnsi="Cambria" w:cs="Tahoma"/>
          <w:color w:val="000000"/>
          <w:sz w:val="20"/>
          <w:szCs w:val="20"/>
          <w:lang w:eastAsia="es-ES"/>
        </w:rPr>
        <w:t xml:space="preserve"> that Decree 4-2020 would amend the Civil Code </w:t>
      </w:r>
      <w:r w:rsidR="000F10E2" w:rsidRPr="008A7BD7">
        <w:rPr>
          <w:rFonts w:ascii="Cambria" w:eastAsia="Times New Roman" w:hAnsi="Cambria" w:cs="Tahoma"/>
          <w:color w:val="000000" w:themeColor="text1"/>
          <w:sz w:val="20"/>
          <w:szCs w:val="20"/>
          <w:lang w:eastAsia="es-ES"/>
        </w:rPr>
        <w:t>of Guatemala</w:t>
      </w:r>
      <w:r w:rsidR="000F10E2" w:rsidRPr="008A7BD7">
        <w:rPr>
          <w:rFonts w:ascii="Cambria" w:eastAsia="Times New Roman" w:hAnsi="Cambria" w:cs="Tahoma"/>
          <w:color w:val="000000"/>
          <w:sz w:val="20"/>
          <w:szCs w:val="20"/>
          <w:lang w:eastAsia="es-ES"/>
        </w:rPr>
        <w:t xml:space="preserve"> </w:t>
      </w:r>
      <w:r w:rsidR="00204953" w:rsidRPr="008A7BD7">
        <w:rPr>
          <w:rFonts w:ascii="Cambria" w:eastAsia="Times New Roman" w:hAnsi="Cambria" w:cs="Tahoma"/>
          <w:color w:val="000000"/>
          <w:sz w:val="20"/>
          <w:szCs w:val="20"/>
          <w:lang w:eastAsia="es-ES"/>
        </w:rPr>
        <w:t>to give the executive branch discretionary powers related to the supervision and monitoring of NGO activities, including the power to dissolve such organizations on grounds of “public order.</w:t>
      </w:r>
      <w:r w:rsidR="00DA59A7" w:rsidRPr="008A7BD7">
        <w:rPr>
          <w:rFonts w:ascii="Cambria" w:hAnsi="Cambria"/>
          <w:sz w:val="20"/>
          <w:szCs w:val="20"/>
        </w:rPr>
        <w:t>"</w:t>
      </w:r>
      <w:r w:rsidR="00DA59A7" w:rsidRPr="008A7BD7">
        <w:rPr>
          <w:rStyle w:val="FootnoteReference"/>
          <w:rFonts w:ascii="Cambria" w:hAnsi="Cambria"/>
          <w:sz w:val="20"/>
          <w:szCs w:val="20"/>
        </w:rPr>
        <w:footnoteReference w:id="237"/>
      </w:r>
    </w:p>
    <w:p w14:paraId="7132572B" w14:textId="77777777" w:rsidR="00DA59A7" w:rsidRPr="008A7BD7" w:rsidRDefault="00DA59A7" w:rsidP="785F88E1">
      <w:pPr>
        <w:jc w:val="both"/>
        <w:rPr>
          <w:rFonts w:ascii="Cambria" w:hAnsi="Cambria"/>
          <w:sz w:val="20"/>
          <w:szCs w:val="20"/>
        </w:rPr>
      </w:pPr>
    </w:p>
    <w:p w14:paraId="3347022F" w14:textId="474A5AD3" w:rsidR="00DA59A7" w:rsidRPr="008A7BD7" w:rsidRDefault="00E70895"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The Commission reminds the State that for individuals to </w:t>
      </w:r>
      <w:proofErr w:type="gramStart"/>
      <w:r w:rsidRPr="008A7BD7">
        <w:rPr>
          <w:rFonts w:ascii="Cambria" w:hAnsi="Cambria"/>
          <w:sz w:val="20"/>
          <w:szCs w:val="20"/>
        </w:rPr>
        <w:t>fully and freely enjoy the right</w:t>
      </w:r>
      <w:proofErr w:type="gramEnd"/>
      <w:r w:rsidRPr="008A7BD7">
        <w:rPr>
          <w:rFonts w:ascii="Cambria" w:hAnsi="Cambria"/>
          <w:sz w:val="20"/>
          <w:szCs w:val="20"/>
        </w:rPr>
        <w:t xml:space="preserve"> to freedom of expression, States have the duty to create the legal and real conditions through which human rights defenders, media outlets, and journalists can go about their work freely</w:t>
      </w:r>
      <w:r w:rsidR="00DA59A7" w:rsidRPr="008A7BD7">
        <w:rPr>
          <w:rFonts w:ascii="Cambria" w:hAnsi="Cambria"/>
          <w:sz w:val="20"/>
          <w:szCs w:val="20"/>
        </w:rPr>
        <w:t xml:space="preserve">. </w:t>
      </w:r>
      <w:r w:rsidRPr="008A7BD7">
        <w:rPr>
          <w:rFonts w:ascii="Cambria" w:hAnsi="Cambria"/>
          <w:sz w:val="20"/>
          <w:szCs w:val="20"/>
        </w:rPr>
        <w:t>In this regard, the IACHR has noted that although the obligation to guarantee the right of association does not prevent a State from regulating the establishment and monitoring of organizations within its jurisdiction, the State must ensure that legal requirements do not prevent, delay, or limit the creation or operation of these organizations.</w:t>
      </w:r>
      <w:r w:rsidR="00DA59A7" w:rsidRPr="008A7BD7">
        <w:rPr>
          <w:rStyle w:val="FootnoteReference"/>
          <w:rFonts w:ascii="Cambria" w:hAnsi="Cambria"/>
          <w:sz w:val="20"/>
          <w:szCs w:val="20"/>
        </w:rPr>
        <w:footnoteReference w:id="238"/>
      </w:r>
    </w:p>
    <w:p w14:paraId="462B9EC3" w14:textId="77777777" w:rsidR="00DA59A7" w:rsidRPr="008A7BD7" w:rsidRDefault="00DA59A7" w:rsidP="785F88E1">
      <w:pPr>
        <w:jc w:val="both"/>
        <w:rPr>
          <w:rFonts w:ascii="Cambria" w:hAnsi="Cambria"/>
          <w:sz w:val="20"/>
          <w:szCs w:val="20"/>
        </w:rPr>
      </w:pPr>
    </w:p>
    <w:p w14:paraId="127688F1" w14:textId="332FBC9E" w:rsidR="00DA59A7" w:rsidRPr="008A7BD7" w:rsidRDefault="00573965"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Finally, the Commission </w:t>
      </w:r>
      <w:r w:rsidR="005855D1" w:rsidRPr="008A7BD7">
        <w:rPr>
          <w:rFonts w:ascii="Cambria" w:hAnsi="Cambria"/>
          <w:sz w:val="20"/>
          <w:szCs w:val="20"/>
        </w:rPr>
        <w:t>takes note</w:t>
      </w:r>
      <w:r w:rsidR="00672DE4" w:rsidRPr="008A7BD7">
        <w:rPr>
          <w:rFonts w:ascii="Cambria" w:hAnsi="Cambria"/>
          <w:sz w:val="20"/>
          <w:szCs w:val="20"/>
        </w:rPr>
        <w:t xml:space="preserve"> that no progress was made in </w:t>
      </w:r>
      <w:r w:rsidR="00DA59A7" w:rsidRPr="008A7BD7">
        <w:rPr>
          <w:rFonts w:ascii="Cambria" w:hAnsi="Cambria"/>
          <w:sz w:val="20"/>
          <w:szCs w:val="20"/>
        </w:rPr>
        <w:t xml:space="preserve">2021 </w:t>
      </w:r>
      <w:r w:rsidR="00672DE4" w:rsidRPr="008A7BD7">
        <w:rPr>
          <w:rFonts w:ascii="Cambria" w:hAnsi="Cambria"/>
          <w:sz w:val="20"/>
          <w:szCs w:val="20"/>
        </w:rPr>
        <w:t>toward the preparation of a comprehensive public policy for the protection of human rights defenders.</w:t>
      </w:r>
      <w:r w:rsidR="00DA59A7" w:rsidRPr="008A7BD7">
        <w:rPr>
          <w:rStyle w:val="FootnoteReference"/>
          <w:rFonts w:ascii="Cambria" w:hAnsi="Cambria"/>
          <w:sz w:val="20"/>
          <w:szCs w:val="20"/>
        </w:rPr>
        <w:footnoteReference w:id="239"/>
      </w:r>
      <w:r w:rsidR="00DA59A7" w:rsidRPr="008A7BD7">
        <w:rPr>
          <w:rFonts w:ascii="Cambria" w:hAnsi="Cambria"/>
          <w:sz w:val="20"/>
          <w:szCs w:val="20"/>
        </w:rPr>
        <w:t xml:space="preserve"> </w:t>
      </w:r>
      <w:r w:rsidR="00F84F41" w:rsidRPr="008A7BD7">
        <w:rPr>
          <w:rFonts w:ascii="Cambria" w:hAnsi="Cambria"/>
          <w:sz w:val="20"/>
          <w:szCs w:val="20"/>
        </w:rPr>
        <w:t>In that regard, civil society organizations expressed to the Commission the urgency of ensuring the continuity of that process.</w:t>
      </w:r>
      <w:r w:rsidR="00DA59A7" w:rsidRPr="008A7BD7">
        <w:rPr>
          <w:rFonts w:ascii="Cambria" w:hAnsi="Cambria"/>
          <w:sz w:val="20"/>
          <w:szCs w:val="20"/>
          <w:vertAlign w:val="superscript"/>
          <w:lang w:val="es-US"/>
        </w:rPr>
        <w:footnoteReference w:id="240"/>
      </w:r>
      <w:r w:rsidR="420E05AC" w:rsidRPr="008A7BD7">
        <w:rPr>
          <w:rFonts w:ascii="Cambria" w:hAnsi="Cambria"/>
          <w:sz w:val="20"/>
          <w:szCs w:val="20"/>
        </w:rPr>
        <w:t xml:space="preserve"> </w:t>
      </w:r>
      <w:r w:rsidR="00F84F41" w:rsidRPr="008A7BD7">
        <w:rPr>
          <w:rFonts w:ascii="Cambria" w:hAnsi="Cambria"/>
          <w:sz w:val="20"/>
          <w:szCs w:val="20"/>
        </w:rPr>
        <w:t xml:space="preserve">The Commission reiterates to the State that it is necessary to approve a public policy for the protection of human rights defenders, one that includes the implementation of a comprehensive protection program and a </w:t>
      </w:r>
      <w:r w:rsidR="00AE0261" w:rsidRPr="008A7BD7">
        <w:rPr>
          <w:rFonts w:ascii="Cambria" w:hAnsi="Cambria"/>
          <w:sz w:val="20"/>
          <w:szCs w:val="20"/>
        </w:rPr>
        <w:t xml:space="preserve">risk assessment </w:t>
      </w:r>
      <w:r w:rsidR="007144F0" w:rsidRPr="008A7BD7">
        <w:rPr>
          <w:rFonts w:ascii="Cambria" w:hAnsi="Cambria"/>
          <w:sz w:val="20"/>
          <w:szCs w:val="20"/>
        </w:rPr>
        <w:t xml:space="preserve">model </w:t>
      </w:r>
      <w:r w:rsidR="00F84F41" w:rsidRPr="008A7BD7">
        <w:rPr>
          <w:rFonts w:ascii="Cambria" w:hAnsi="Cambria"/>
          <w:sz w:val="20"/>
          <w:szCs w:val="20"/>
        </w:rPr>
        <w:t xml:space="preserve">to </w:t>
      </w:r>
      <w:r w:rsidR="00AE0261" w:rsidRPr="008A7BD7">
        <w:rPr>
          <w:rFonts w:ascii="Cambria" w:hAnsi="Cambria"/>
          <w:sz w:val="20"/>
          <w:szCs w:val="20"/>
        </w:rPr>
        <w:t xml:space="preserve">make it possible to </w:t>
      </w:r>
      <w:r w:rsidR="00F84F41" w:rsidRPr="008A7BD7">
        <w:rPr>
          <w:rFonts w:ascii="Cambria" w:hAnsi="Cambria"/>
          <w:sz w:val="20"/>
          <w:szCs w:val="20"/>
        </w:rPr>
        <w:t>determine each defender’s need for protection, incorporating differential and intersectional approaches.</w:t>
      </w:r>
      <w:r w:rsidR="00DA59A7" w:rsidRPr="008A7BD7">
        <w:rPr>
          <w:rStyle w:val="FootnoteReference"/>
          <w:rFonts w:ascii="Cambria" w:hAnsi="Cambria"/>
          <w:sz w:val="20"/>
          <w:szCs w:val="20"/>
        </w:rPr>
        <w:footnoteReference w:id="241"/>
      </w:r>
    </w:p>
    <w:p w14:paraId="14EB0580" w14:textId="77777777" w:rsidR="00F97F2A" w:rsidRPr="008A7BD7" w:rsidRDefault="00F97F2A" w:rsidP="00F97F2A">
      <w:pPr>
        <w:pStyle w:val="ListParagraph"/>
        <w:rPr>
          <w:rFonts w:ascii="Cambria" w:hAnsi="Cambria"/>
          <w:sz w:val="20"/>
          <w:szCs w:val="20"/>
        </w:rPr>
      </w:pPr>
    </w:p>
    <w:p w14:paraId="4963CE38" w14:textId="03E7D176" w:rsidR="00F97F2A" w:rsidRPr="008A7BD7" w:rsidRDefault="00540892" w:rsidP="00F97F2A">
      <w:pPr>
        <w:numPr>
          <w:ilvl w:val="0"/>
          <w:numId w:val="2"/>
        </w:numPr>
        <w:ind w:left="0" w:firstLine="720"/>
        <w:jc w:val="both"/>
        <w:rPr>
          <w:rFonts w:ascii="Cambria" w:hAnsi="Cambria"/>
          <w:sz w:val="20"/>
          <w:szCs w:val="20"/>
        </w:rPr>
      </w:pPr>
      <w:r w:rsidRPr="008A7BD7">
        <w:rPr>
          <w:rFonts w:ascii="Cambria" w:hAnsi="Cambria"/>
          <w:sz w:val="20"/>
          <w:szCs w:val="20"/>
        </w:rPr>
        <w:t xml:space="preserve">For its part, in its response to the draft of this report, the State of </w:t>
      </w:r>
      <w:r w:rsidR="00F97F2A" w:rsidRPr="008A7BD7">
        <w:rPr>
          <w:rFonts w:ascii="Cambria" w:hAnsi="Cambria"/>
          <w:sz w:val="20"/>
          <w:szCs w:val="20"/>
        </w:rPr>
        <w:t xml:space="preserve">Guatemala </w:t>
      </w:r>
      <w:r w:rsidR="00F33637" w:rsidRPr="008A7BD7">
        <w:rPr>
          <w:rFonts w:ascii="Cambria" w:hAnsi="Cambria"/>
          <w:sz w:val="20"/>
          <w:szCs w:val="20"/>
        </w:rPr>
        <w:t>said</w:t>
      </w:r>
      <w:r w:rsidRPr="008A7BD7">
        <w:rPr>
          <w:rFonts w:ascii="Cambria" w:hAnsi="Cambria"/>
          <w:sz w:val="20"/>
          <w:szCs w:val="20"/>
        </w:rPr>
        <w:t xml:space="preserve"> that it is </w:t>
      </w:r>
      <w:r w:rsidR="0077418E" w:rsidRPr="008A7BD7">
        <w:rPr>
          <w:rFonts w:ascii="Cambria" w:hAnsi="Cambria"/>
          <w:sz w:val="20"/>
          <w:szCs w:val="20"/>
        </w:rPr>
        <w:t xml:space="preserve">moving to </w:t>
      </w:r>
      <w:r w:rsidRPr="008A7BD7">
        <w:rPr>
          <w:rFonts w:ascii="Cambria" w:hAnsi="Cambria"/>
          <w:sz w:val="20"/>
          <w:szCs w:val="20"/>
        </w:rPr>
        <w:t xml:space="preserve">strengthen the </w:t>
      </w:r>
      <w:r w:rsidR="00F97F2A" w:rsidRPr="008A7BD7">
        <w:rPr>
          <w:rFonts w:ascii="Cambria" w:hAnsi="Cambria"/>
          <w:sz w:val="20"/>
          <w:szCs w:val="20"/>
        </w:rPr>
        <w:t xml:space="preserve">COPADEH </w:t>
      </w:r>
      <w:r w:rsidRPr="008A7BD7">
        <w:rPr>
          <w:rFonts w:ascii="Cambria" w:hAnsi="Cambria"/>
          <w:sz w:val="20"/>
          <w:szCs w:val="20"/>
        </w:rPr>
        <w:t xml:space="preserve">teams that will be responsible for </w:t>
      </w:r>
      <w:r w:rsidR="0077418E" w:rsidRPr="008A7BD7">
        <w:rPr>
          <w:rFonts w:ascii="Cambria" w:hAnsi="Cambria"/>
          <w:sz w:val="20"/>
          <w:szCs w:val="20"/>
        </w:rPr>
        <w:t xml:space="preserve">tracking </w:t>
      </w:r>
      <w:r w:rsidRPr="008A7BD7">
        <w:rPr>
          <w:rFonts w:ascii="Cambria" w:hAnsi="Cambria"/>
          <w:sz w:val="20"/>
          <w:szCs w:val="20"/>
        </w:rPr>
        <w:t xml:space="preserve">the processes to </w:t>
      </w:r>
      <w:r w:rsidR="004A07DF" w:rsidRPr="008A7BD7">
        <w:rPr>
          <w:rFonts w:ascii="Cambria" w:hAnsi="Cambria"/>
          <w:sz w:val="20"/>
          <w:szCs w:val="20"/>
        </w:rPr>
        <w:t>formulate</w:t>
      </w:r>
      <w:r w:rsidRPr="008A7BD7">
        <w:rPr>
          <w:rFonts w:ascii="Cambria" w:hAnsi="Cambria"/>
          <w:sz w:val="20"/>
          <w:szCs w:val="20"/>
        </w:rPr>
        <w:t xml:space="preserve"> public policy proposals on human rights defenders and journalists.</w:t>
      </w:r>
      <w:r w:rsidR="00F97F2A" w:rsidRPr="008A7BD7">
        <w:rPr>
          <w:rStyle w:val="FootnoteReference"/>
          <w:rFonts w:ascii="Cambria" w:hAnsi="Cambria"/>
          <w:sz w:val="20"/>
          <w:szCs w:val="20"/>
          <w:lang w:val="es-US"/>
        </w:rPr>
        <w:footnoteReference w:id="242"/>
      </w:r>
      <w:r w:rsidR="00F97F2A" w:rsidRPr="008A7BD7">
        <w:rPr>
          <w:rFonts w:ascii="Cambria" w:hAnsi="Cambria"/>
          <w:sz w:val="20"/>
          <w:szCs w:val="20"/>
        </w:rPr>
        <w:t xml:space="preserve"> </w:t>
      </w:r>
      <w:r w:rsidR="004A07DF" w:rsidRPr="008A7BD7">
        <w:rPr>
          <w:rFonts w:ascii="Cambria" w:hAnsi="Cambria"/>
          <w:sz w:val="20"/>
          <w:szCs w:val="20"/>
        </w:rPr>
        <w:t>It deems that</w:t>
      </w:r>
      <w:r w:rsidR="003F31F3" w:rsidRPr="008A7BD7">
        <w:rPr>
          <w:rFonts w:ascii="Cambria" w:hAnsi="Cambria"/>
          <w:sz w:val="20"/>
          <w:szCs w:val="20"/>
        </w:rPr>
        <w:t xml:space="preserve"> the</w:t>
      </w:r>
      <w:r w:rsidRPr="008A7BD7">
        <w:rPr>
          <w:rFonts w:ascii="Cambria" w:hAnsi="Cambria"/>
          <w:sz w:val="20"/>
          <w:szCs w:val="20"/>
        </w:rPr>
        <w:t xml:space="preserve"> process </w:t>
      </w:r>
      <w:r w:rsidR="00C216AE" w:rsidRPr="008A7BD7">
        <w:rPr>
          <w:rFonts w:ascii="Cambria" w:hAnsi="Cambria"/>
          <w:sz w:val="20"/>
          <w:szCs w:val="20"/>
        </w:rPr>
        <w:t xml:space="preserve">of developing </w:t>
      </w:r>
      <w:r w:rsidR="00C216AE" w:rsidRPr="008A7BD7">
        <w:rPr>
          <w:rFonts w:ascii="Cambria" w:hAnsi="Cambria"/>
          <w:sz w:val="20"/>
          <w:szCs w:val="20"/>
        </w:rPr>
        <w:lastRenderedPageBreak/>
        <w:t xml:space="preserve">and </w:t>
      </w:r>
      <w:r w:rsidRPr="008A7BD7">
        <w:rPr>
          <w:rFonts w:ascii="Cambria" w:hAnsi="Cambria"/>
          <w:sz w:val="20"/>
          <w:szCs w:val="20"/>
        </w:rPr>
        <w:t>approv</w:t>
      </w:r>
      <w:r w:rsidR="00C216AE" w:rsidRPr="008A7BD7">
        <w:rPr>
          <w:rFonts w:ascii="Cambria" w:hAnsi="Cambria"/>
          <w:sz w:val="20"/>
          <w:szCs w:val="20"/>
        </w:rPr>
        <w:t>ing</w:t>
      </w:r>
      <w:r w:rsidRPr="008A7BD7">
        <w:rPr>
          <w:rFonts w:ascii="Cambria" w:hAnsi="Cambria"/>
          <w:sz w:val="20"/>
          <w:szCs w:val="20"/>
        </w:rPr>
        <w:t xml:space="preserve"> </w:t>
      </w:r>
      <w:r w:rsidR="003F31F3" w:rsidRPr="008A7BD7">
        <w:rPr>
          <w:rFonts w:ascii="Cambria" w:hAnsi="Cambria"/>
          <w:sz w:val="20"/>
          <w:szCs w:val="20"/>
        </w:rPr>
        <w:t xml:space="preserve">public policy </w:t>
      </w:r>
      <w:r w:rsidR="004A07DF" w:rsidRPr="008A7BD7">
        <w:rPr>
          <w:rFonts w:ascii="Cambria" w:hAnsi="Cambria"/>
          <w:sz w:val="20"/>
          <w:szCs w:val="20"/>
        </w:rPr>
        <w:t>involving</w:t>
      </w:r>
      <w:r w:rsidR="003F31F3" w:rsidRPr="008A7BD7">
        <w:rPr>
          <w:rFonts w:ascii="Cambria" w:hAnsi="Cambria"/>
          <w:sz w:val="20"/>
          <w:szCs w:val="20"/>
        </w:rPr>
        <w:t xml:space="preserve"> </w:t>
      </w:r>
      <w:r w:rsidR="00B86198" w:rsidRPr="008A7BD7">
        <w:rPr>
          <w:rFonts w:ascii="Cambria" w:hAnsi="Cambria"/>
          <w:sz w:val="20"/>
          <w:szCs w:val="20"/>
        </w:rPr>
        <w:t>different</w:t>
      </w:r>
      <w:r w:rsidR="003F31F3" w:rsidRPr="008A7BD7">
        <w:rPr>
          <w:rFonts w:ascii="Cambria" w:hAnsi="Cambria"/>
          <w:sz w:val="20"/>
          <w:szCs w:val="20"/>
        </w:rPr>
        <w:t xml:space="preserve"> State institutions</w:t>
      </w:r>
      <w:r w:rsidR="004A07DF" w:rsidRPr="008A7BD7">
        <w:rPr>
          <w:rFonts w:ascii="Cambria" w:hAnsi="Cambria"/>
          <w:sz w:val="20"/>
          <w:szCs w:val="20"/>
        </w:rPr>
        <w:t xml:space="preserve"> should be carried out </w:t>
      </w:r>
      <w:r w:rsidR="006C5A4B" w:rsidRPr="008A7BD7">
        <w:rPr>
          <w:rFonts w:ascii="Cambria" w:hAnsi="Cambria"/>
          <w:sz w:val="20"/>
          <w:szCs w:val="20"/>
        </w:rPr>
        <w:t>through</w:t>
      </w:r>
      <w:r w:rsidR="00C216AE" w:rsidRPr="008A7BD7">
        <w:rPr>
          <w:rFonts w:ascii="Cambria" w:hAnsi="Cambria"/>
          <w:sz w:val="20"/>
          <w:szCs w:val="20"/>
        </w:rPr>
        <w:t xml:space="preserve"> a dialogue with the various</w:t>
      </w:r>
      <w:r w:rsidR="003F31F3" w:rsidRPr="008A7BD7">
        <w:rPr>
          <w:rFonts w:ascii="Cambria" w:hAnsi="Cambria"/>
          <w:sz w:val="20"/>
          <w:szCs w:val="20"/>
        </w:rPr>
        <w:t xml:space="preserve"> i</w:t>
      </w:r>
      <w:r w:rsidR="00C216AE" w:rsidRPr="008A7BD7">
        <w:rPr>
          <w:rFonts w:ascii="Cambria" w:hAnsi="Cambria"/>
          <w:sz w:val="20"/>
          <w:szCs w:val="20"/>
        </w:rPr>
        <w:t xml:space="preserve">nstitutions involved, </w:t>
      </w:r>
      <w:r w:rsidR="006C5A4B" w:rsidRPr="008A7BD7">
        <w:rPr>
          <w:rFonts w:ascii="Cambria" w:hAnsi="Cambria"/>
          <w:sz w:val="20"/>
          <w:szCs w:val="20"/>
        </w:rPr>
        <w:t>one that is broad, open, and inclusive</w:t>
      </w:r>
      <w:r w:rsidR="00B86198" w:rsidRPr="008A7BD7">
        <w:rPr>
          <w:rFonts w:ascii="Cambria" w:hAnsi="Cambria"/>
          <w:sz w:val="20"/>
          <w:szCs w:val="20"/>
        </w:rPr>
        <w:t>, held</w:t>
      </w:r>
      <w:r w:rsidR="003F31F3" w:rsidRPr="008A7BD7">
        <w:rPr>
          <w:rFonts w:ascii="Cambria" w:hAnsi="Cambria"/>
          <w:sz w:val="20"/>
          <w:szCs w:val="20"/>
        </w:rPr>
        <w:t xml:space="preserve"> </w:t>
      </w:r>
      <w:r w:rsidR="006C5A4B" w:rsidRPr="008A7BD7">
        <w:rPr>
          <w:rFonts w:ascii="Cambria" w:hAnsi="Cambria"/>
          <w:sz w:val="20"/>
          <w:szCs w:val="20"/>
        </w:rPr>
        <w:t>at the national level with different actors. It also reported that in the context of following up with the commitments that the State had made related to protection of journalists,</w:t>
      </w:r>
      <w:r w:rsidR="00F97F2A" w:rsidRPr="008A7BD7">
        <w:rPr>
          <w:rFonts w:ascii="Cambria" w:hAnsi="Cambria"/>
          <w:sz w:val="20"/>
          <w:szCs w:val="20"/>
        </w:rPr>
        <w:t xml:space="preserve"> COPADEH </w:t>
      </w:r>
      <w:r w:rsidR="006C5A4B" w:rsidRPr="008A7BD7">
        <w:rPr>
          <w:rFonts w:ascii="Cambria" w:hAnsi="Cambria"/>
          <w:sz w:val="20"/>
          <w:szCs w:val="20"/>
        </w:rPr>
        <w:t xml:space="preserve">convened a working meeting on June </w:t>
      </w:r>
      <w:r w:rsidR="00F97F2A" w:rsidRPr="008A7BD7">
        <w:rPr>
          <w:rFonts w:ascii="Cambria" w:hAnsi="Cambria"/>
          <w:sz w:val="20"/>
          <w:szCs w:val="20"/>
        </w:rPr>
        <w:t>18</w:t>
      </w:r>
      <w:r w:rsidR="006C5A4B" w:rsidRPr="008A7BD7">
        <w:rPr>
          <w:rFonts w:ascii="Cambria" w:hAnsi="Cambria"/>
          <w:sz w:val="20"/>
          <w:szCs w:val="20"/>
        </w:rPr>
        <w:t xml:space="preserve">, </w:t>
      </w:r>
      <w:r w:rsidR="00F97F2A" w:rsidRPr="008A7BD7">
        <w:rPr>
          <w:rFonts w:ascii="Cambria" w:hAnsi="Cambria"/>
          <w:sz w:val="20"/>
          <w:szCs w:val="20"/>
        </w:rPr>
        <w:t xml:space="preserve">2021, </w:t>
      </w:r>
      <w:proofErr w:type="gramStart"/>
      <w:r w:rsidR="006C5A4B" w:rsidRPr="008A7BD7">
        <w:rPr>
          <w:rFonts w:ascii="Cambria" w:hAnsi="Cambria"/>
          <w:sz w:val="20"/>
          <w:szCs w:val="20"/>
        </w:rPr>
        <w:t>in order to</w:t>
      </w:r>
      <w:proofErr w:type="gramEnd"/>
      <w:r w:rsidR="006C5A4B" w:rsidRPr="008A7BD7">
        <w:rPr>
          <w:rFonts w:ascii="Cambria" w:hAnsi="Cambria"/>
          <w:sz w:val="20"/>
          <w:szCs w:val="20"/>
        </w:rPr>
        <w:t xml:space="preserve"> review institutional documents and actions related to the creation of the Journalist Protection Program</w:t>
      </w:r>
      <w:r w:rsidR="00AB7203" w:rsidRPr="008A7BD7">
        <w:rPr>
          <w:rFonts w:ascii="Cambria" w:hAnsi="Cambria"/>
          <w:sz w:val="20"/>
          <w:szCs w:val="20"/>
        </w:rPr>
        <w:t>. At</w:t>
      </w:r>
      <w:r w:rsidR="006C5A4B" w:rsidRPr="008A7BD7">
        <w:rPr>
          <w:rFonts w:ascii="Cambria" w:hAnsi="Cambria"/>
          <w:sz w:val="20"/>
          <w:szCs w:val="20"/>
        </w:rPr>
        <w:t xml:space="preserve"> that meeting, a roadmap was presented to develop the proposed program.</w:t>
      </w:r>
      <w:r w:rsidR="00F97F2A" w:rsidRPr="008A7BD7">
        <w:rPr>
          <w:rStyle w:val="FootnoteReference"/>
          <w:rFonts w:ascii="Cambria" w:hAnsi="Cambria"/>
          <w:sz w:val="20"/>
          <w:szCs w:val="20"/>
          <w:lang w:val="es-US"/>
        </w:rPr>
        <w:footnoteReference w:id="243"/>
      </w:r>
      <w:r w:rsidR="00F97F2A" w:rsidRPr="008A7BD7">
        <w:rPr>
          <w:rFonts w:ascii="Cambria" w:hAnsi="Cambria"/>
          <w:sz w:val="20"/>
          <w:szCs w:val="20"/>
        </w:rPr>
        <w:t xml:space="preserve"> </w:t>
      </w:r>
    </w:p>
    <w:p w14:paraId="6EB480CC" w14:textId="77777777" w:rsidR="004D1FCF" w:rsidRPr="008A7BD7" w:rsidRDefault="004D1FCF" w:rsidP="004D1FCF">
      <w:pPr>
        <w:rPr>
          <w:rFonts w:ascii="Cambria" w:eastAsia="Cambria" w:hAnsi="Cambria" w:cs="Cambria"/>
          <w:b/>
          <w:i/>
          <w:sz w:val="16"/>
          <w:szCs w:val="16"/>
        </w:rPr>
      </w:pPr>
    </w:p>
    <w:p w14:paraId="30958A95" w14:textId="1EB909E9" w:rsidR="004D1FCF" w:rsidRPr="008A7BD7" w:rsidRDefault="00F0442F" w:rsidP="00F0442F">
      <w:pPr>
        <w:pStyle w:val="Heading2"/>
        <w:rPr>
          <w:rFonts w:eastAsia="Cambria"/>
          <w:lang w:val="es-US"/>
        </w:rPr>
      </w:pPr>
      <w:proofErr w:type="spellStart"/>
      <w:r w:rsidRPr="008A7BD7">
        <w:rPr>
          <w:rFonts w:eastAsia="Cambria"/>
          <w:lang w:val="es-US"/>
        </w:rPr>
        <w:t>Persons</w:t>
      </w:r>
      <w:proofErr w:type="spellEnd"/>
      <w:r w:rsidRPr="008A7BD7">
        <w:rPr>
          <w:rFonts w:eastAsia="Cambria"/>
          <w:lang w:val="es-US"/>
        </w:rPr>
        <w:t xml:space="preserve"> </w:t>
      </w:r>
      <w:proofErr w:type="spellStart"/>
      <w:r w:rsidRPr="008A7BD7">
        <w:rPr>
          <w:rFonts w:eastAsia="Cambria"/>
          <w:lang w:val="es-US"/>
        </w:rPr>
        <w:t>Deprived</w:t>
      </w:r>
      <w:proofErr w:type="spellEnd"/>
      <w:r w:rsidRPr="008A7BD7">
        <w:rPr>
          <w:rFonts w:eastAsia="Cambria"/>
          <w:lang w:val="es-US"/>
        </w:rPr>
        <w:t xml:space="preserve"> of Liberty</w:t>
      </w:r>
    </w:p>
    <w:p w14:paraId="773FF6BF" w14:textId="77777777" w:rsidR="004D1FCF" w:rsidRPr="008A7BD7" w:rsidRDefault="004D1FCF" w:rsidP="004D1FCF">
      <w:pPr>
        <w:pStyle w:val="ListParagraph"/>
        <w:jc w:val="both"/>
        <w:rPr>
          <w:rFonts w:ascii="Cambria" w:hAnsi="Cambria"/>
          <w:iCs/>
          <w:sz w:val="22"/>
          <w:szCs w:val="22"/>
          <w:lang w:val="es-US"/>
        </w:rPr>
      </w:pPr>
    </w:p>
    <w:p w14:paraId="73F233CB" w14:textId="5B87FC74" w:rsidR="004D1FCF" w:rsidRPr="008A7BD7" w:rsidRDefault="00F238C0" w:rsidP="003D3059">
      <w:pPr>
        <w:numPr>
          <w:ilvl w:val="0"/>
          <w:numId w:val="2"/>
        </w:numPr>
        <w:ind w:left="0" w:firstLine="720"/>
        <w:jc w:val="both"/>
        <w:rPr>
          <w:rFonts w:ascii="Cambria" w:hAnsi="Cambria"/>
          <w:sz w:val="20"/>
          <w:szCs w:val="20"/>
        </w:rPr>
      </w:pPr>
      <w:bookmarkStart w:id="6" w:name="_heading=h.1fob9te" w:colFirst="0" w:colLast="0"/>
      <w:bookmarkEnd w:id="6"/>
      <w:r w:rsidRPr="008A7BD7">
        <w:rPr>
          <w:rFonts w:ascii="Cambria" w:eastAsia="Cambria" w:hAnsi="Cambria" w:cs="Cambria"/>
          <w:sz w:val="20"/>
          <w:szCs w:val="20"/>
        </w:rPr>
        <w:t xml:space="preserve">Another structural problem that affects human rights in </w:t>
      </w:r>
      <w:r w:rsidR="00170FBC" w:rsidRPr="008A7BD7">
        <w:rPr>
          <w:rFonts w:ascii="Cambria" w:eastAsia="Cambria" w:hAnsi="Cambria" w:cs="Cambria"/>
          <w:sz w:val="20"/>
          <w:szCs w:val="20"/>
        </w:rPr>
        <w:t>Guatemala</w:t>
      </w:r>
      <w:r w:rsidRPr="008A7BD7">
        <w:rPr>
          <w:rFonts w:ascii="Cambria" w:eastAsia="Cambria" w:hAnsi="Cambria" w:cs="Cambria"/>
          <w:sz w:val="20"/>
          <w:szCs w:val="20"/>
        </w:rPr>
        <w:t xml:space="preserve"> is the situation of persons deprived of liberty. Specifically, the IACHR observes that there continue to be high levels of overcrowding in </w:t>
      </w:r>
      <w:r w:rsidR="00DB5007" w:rsidRPr="008A7BD7">
        <w:rPr>
          <w:rFonts w:ascii="Cambria" w:eastAsia="Cambria" w:hAnsi="Cambria" w:cs="Cambria"/>
          <w:sz w:val="20"/>
          <w:szCs w:val="20"/>
        </w:rPr>
        <w:t xml:space="preserve">prisons </w:t>
      </w:r>
      <w:r w:rsidR="004D1FCF" w:rsidRPr="008A7BD7">
        <w:rPr>
          <w:rFonts w:ascii="Cambria" w:eastAsia="Cambria" w:hAnsi="Cambria" w:cs="Cambria"/>
          <w:sz w:val="20"/>
          <w:szCs w:val="20"/>
        </w:rPr>
        <w:t>(</w:t>
      </w:r>
      <w:r w:rsidR="00570979" w:rsidRPr="008A7BD7">
        <w:rPr>
          <w:rFonts w:ascii="Cambria" w:eastAsia="Cambria" w:hAnsi="Cambria" w:cs="Cambria"/>
          <w:sz w:val="20"/>
          <w:szCs w:val="20"/>
        </w:rPr>
        <w:t>with a</w:t>
      </w:r>
      <w:r w:rsidR="00DE0C96" w:rsidRPr="008A7BD7">
        <w:rPr>
          <w:rFonts w:ascii="Cambria" w:eastAsia="Cambria" w:hAnsi="Cambria" w:cs="Cambria"/>
          <w:sz w:val="20"/>
          <w:szCs w:val="20"/>
        </w:rPr>
        <w:t>n excess</w:t>
      </w:r>
      <w:r w:rsidR="00DB5007" w:rsidRPr="008A7BD7">
        <w:rPr>
          <w:rFonts w:ascii="Cambria" w:eastAsia="Cambria" w:hAnsi="Cambria" w:cs="Cambria"/>
          <w:sz w:val="20"/>
          <w:szCs w:val="20"/>
        </w:rPr>
        <w:t xml:space="preserve"> population </w:t>
      </w:r>
      <w:r w:rsidR="00E70F95" w:rsidRPr="008A7BD7">
        <w:rPr>
          <w:rFonts w:ascii="Cambria" w:eastAsia="Cambria" w:hAnsi="Cambria" w:cs="Cambria"/>
          <w:sz w:val="20"/>
          <w:szCs w:val="20"/>
        </w:rPr>
        <w:t>equivalent to</w:t>
      </w:r>
      <w:r w:rsidR="00DE0C96" w:rsidRPr="008A7BD7">
        <w:rPr>
          <w:rFonts w:ascii="Cambria" w:eastAsia="Cambria" w:hAnsi="Cambria" w:cs="Cambria"/>
          <w:sz w:val="20"/>
          <w:szCs w:val="20"/>
        </w:rPr>
        <w:t xml:space="preserve"> </w:t>
      </w:r>
      <w:r w:rsidR="00575218" w:rsidRPr="008A7BD7">
        <w:rPr>
          <w:rFonts w:ascii="Cambria" w:eastAsia="Cambria" w:hAnsi="Cambria" w:cs="Cambria"/>
          <w:sz w:val="20"/>
          <w:szCs w:val="20"/>
        </w:rPr>
        <w:t>about</w:t>
      </w:r>
      <w:r w:rsidR="00DB5007" w:rsidRPr="008A7BD7">
        <w:rPr>
          <w:rFonts w:ascii="Cambria" w:eastAsia="Cambria" w:hAnsi="Cambria" w:cs="Cambria"/>
          <w:sz w:val="20"/>
          <w:szCs w:val="20"/>
        </w:rPr>
        <w:t xml:space="preserve"> </w:t>
      </w:r>
      <w:r w:rsidR="004D1FCF" w:rsidRPr="008A7BD7">
        <w:rPr>
          <w:rFonts w:ascii="Cambria" w:eastAsia="Cambria" w:hAnsi="Cambria" w:cs="Cambria"/>
          <w:sz w:val="20"/>
          <w:szCs w:val="20"/>
        </w:rPr>
        <w:t>256%</w:t>
      </w:r>
      <w:r w:rsidR="00575218" w:rsidRPr="008A7BD7">
        <w:rPr>
          <w:rFonts w:ascii="Cambria" w:eastAsia="Cambria" w:hAnsi="Cambria" w:cs="Cambria"/>
          <w:sz w:val="20"/>
          <w:szCs w:val="20"/>
        </w:rPr>
        <w:t xml:space="preserve"> of official capacity</w:t>
      </w:r>
      <w:r w:rsidR="004D1FCF" w:rsidRPr="008A7BD7">
        <w:rPr>
          <w:rFonts w:ascii="Cambria" w:eastAsia="Cambria" w:hAnsi="Cambria" w:cs="Cambria"/>
          <w:sz w:val="20"/>
          <w:szCs w:val="20"/>
        </w:rPr>
        <w:t xml:space="preserve">), </w:t>
      </w:r>
      <w:r w:rsidR="00DB5007" w:rsidRPr="008A7BD7">
        <w:rPr>
          <w:rFonts w:ascii="Cambria" w:eastAsia="Cambria" w:hAnsi="Cambria" w:cs="Cambria"/>
          <w:sz w:val="20"/>
          <w:szCs w:val="20"/>
        </w:rPr>
        <w:t xml:space="preserve">excessive use of pretrial detention </w:t>
      </w:r>
      <w:r w:rsidR="004D1FCF" w:rsidRPr="008A7BD7">
        <w:rPr>
          <w:rFonts w:ascii="Cambria" w:eastAsia="Cambria" w:hAnsi="Cambria" w:cs="Cambria"/>
          <w:sz w:val="20"/>
          <w:szCs w:val="20"/>
        </w:rPr>
        <w:t>(</w:t>
      </w:r>
      <w:r w:rsidR="00DB5007" w:rsidRPr="008A7BD7">
        <w:rPr>
          <w:rFonts w:ascii="Cambria" w:eastAsia="Cambria" w:hAnsi="Cambria" w:cs="Cambria"/>
          <w:sz w:val="20"/>
          <w:szCs w:val="20"/>
        </w:rPr>
        <w:t>over</w:t>
      </w:r>
      <w:r w:rsidR="004D1FCF" w:rsidRPr="008A7BD7">
        <w:rPr>
          <w:rFonts w:ascii="Cambria" w:eastAsia="Cambria" w:hAnsi="Cambria" w:cs="Cambria"/>
          <w:sz w:val="20"/>
          <w:szCs w:val="20"/>
        </w:rPr>
        <w:t xml:space="preserve"> 48%), </w:t>
      </w:r>
      <w:r w:rsidR="00DB5007" w:rsidRPr="008A7BD7">
        <w:rPr>
          <w:rFonts w:ascii="Cambria" w:eastAsia="Cambria" w:hAnsi="Cambria" w:cs="Cambria"/>
          <w:sz w:val="20"/>
          <w:szCs w:val="20"/>
        </w:rPr>
        <w:t>and challenges related to the application of alternative measures. In addition, the Commission has been informed about obstac</w:t>
      </w:r>
      <w:r w:rsidR="009D43AF" w:rsidRPr="008A7BD7">
        <w:rPr>
          <w:rFonts w:ascii="Cambria" w:eastAsia="Cambria" w:hAnsi="Cambria" w:cs="Cambria"/>
          <w:sz w:val="20"/>
          <w:szCs w:val="20"/>
        </w:rPr>
        <w:t>l</w:t>
      </w:r>
      <w:r w:rsidR="00DB5007" w:rsidRPr="008A7BD7">
        <w:rPr>
          <w:rFonts w:ascii="Cambria" w:eastAsia="Cambria" w:hAnsi="Cambria" w:cs="Cambria"/>
          <w:sz w:val="20"/>
          <w:szCs w:val="20"/>
        </w:rPr>
        <w:t>es related to information systems, remote hearings, and the need to strengthen the public defender system.</w:t>
      </w:r>
      <w:r w:rsidR="004D1FCF" w:rsidRPr="008A7BD7">
        <w:rPr>
          <w:rFonts w:ascii="Cambria" w:eastAsia="Cambria" w:hAnsi="Cambria" w:cs="Cambria"/>
          <w:sz w:val="20"/>
          <w:szCs w:val="20"/>
        </w:rPr>
        <w:t xml:space="preserve"> </w:t>
      </w:r>
    </w:p>
    <w:p w14:paraId="5136A169" w14:textId="77777777" w:rsidR="004D1FCF" w:rsidRPr="008A7BD7" w:rsidRDefault="004D1FCF" w:rsidP="004D1FCF">
      <w:pPr>
        <w:ind w:left="720"/>
        <w:jc w:val="both"/>
        <w:rPr>
          <w:rFonts w:ascii="Cambria" w:hAnsi="Cambria"/>
          <w:sz w:val="20"/>
          <w:szCs w:val="20"/>
        </w:rPr>
      </w:pPr>
    </w:p>
    <w:p w14:paraId="2DB9DF65" w14:textId="063700B5" w:rsidR="004D1FCF" w:rsidRPr="008A7BD7" w:rsidRDefault="009D43AF" w:rsidP="003D3059">
      <w:pPr>
        <w:numPr>
          <w:ilvl w:val="0"/>
          <w:numId w:val="2"/>
        </w:numPr>
        <w:ind w:left="0" w:firstLine="720"/>
        <w:jc w:val="both"/>
        <w:rPr>
          <w:rFonts w:ascii="Cambria" w:hAnsi="Cambria"/>
          <w:sz w:val="20"/>
          <w:szCs w:val="20"/>
        </w:rPr>
      </w:pPr>
      <w:r w:rsidRPr="008A7BD7">
        <w:rPr>
          <w:rFonts w:ascii="Cambria" w:eastAsia="Cambria" w:hAnsi="Cambria" w:cs="Cambria"/>
          <w:sz w:val="20"/>
          <w:szCs w:val="20"/>
        </w:rPr>
        <w:t xml:space="preserve">Official information reported by </w:t>
      </w:r>
      <w:r w:rsidR="004D1FCF" w:rsidRPr="008A7BD7">
        <w:rPr>
          <w:rFonts w:ascii="Cambria" w:eastAsia="Cambria" w:hAnsi="Cambria" w:cs="Cambria"/>
          <w:iCs/>
          <w:sz w:val="20"/>
          <w:szCs w:val="20"/>
        </w:rPr>
        <w:t>World Prison Brief</w:t>
      </w:r>
      <w:r w:rsidRPr="008A7BD7">
        <w:rPr>
          <w:rFonts w:ascii="Cambria" w:eastAsia="Cambria" w:hAnsi="Cambria" w:cs="Cambria"/>
          <w:sz w:val="20"/>
          <w:szCs w:val="20"/>
        </w:rPr>
        <w:t xml:space="preserve"> shows that</w:t>
      </w:r>
      <w:r w:rsidR="004D1FCF" w:rsidRPr="008A7BD7">
        <w:rPr>
          <w:rFonts w:ascii="Cambria" w:eastAsia="Cambria" w:hAnsi="Cambria" w:cs="Cambria"/>
          <w:sz w:val="20"/>
          <w:szCs w:val="20"/>
        </w:rPr>
        <w:t xml:space="preserve"> Guatemala </w:t>
      </w:r>
      <w:r w:rsidRPr="008A7BD7">
        <w:rPr>
          <w:rFonts w:ascii="Cambria" w:eastAsia="Cambria" w:hAnsi="Cambria" w:cs="Cambria"/>
          <w:sz w:val="20"/>
          <w:szCs w:val="20"/>
        </w:rPr>
        <w:t xml:space="preserve">has the second highest </w:t>
      </w:r>
      <w:r w:rsidR="004D4B3A" w:rsidRPr="008A7BD7">
        <w:rPr>
          <w:rFonts w:ascii="Cambria" w:eastAsia="Cambria" w:hAnsi="Cambria" w:cs="Cambria"/>
          <w:sz w:val="20"/>
          <w:szCs w:val="20"/>
        </w:rPr>
        <w:t>prison occupancy level</w:t>
      </w:r>
      <w:r w:rsidRPr="008A7BD7">
        <w:rPr>
          <w:rFonts w:ascii="Cambria" w:eastAsia="Cambria" w:hAnsi="Cambria" w:cs="Cambria"/>
          <w:sz w:val="20"/>
          <w:szCs w:val="20"/>
        </w:rPr>
        <w:t xml:space="preserve"> among the countries of the region and the </w:t>
      </w:r>
      <w:r w:rsidR="0037435B" w:rsidRPr="008A7BD7">
        <w:rPr>
          <w:rFonts w:ascii="Cambria" w:eastAsia="Cambria" w:hAnsi="Cambria" w:cs="Cambria"/>
          <w:sz w:val="20"/>
          <w:szCs w:val="20"/>
        </w:rPr>
        <w:t>third</w:t>
      </w:r>
      <w:r w:rsidRPr="008A7BD7">
        <w:rPr>
          <w:rFonts w:ascii="Cambria" w:eastAsia="Cambria" w:hAnsi="Cambria" w:cs="Cambria"/>
          <w:sz w:val="20"/>
          <w:szCs w:val="20"/>
        </w:rPr>
        <w:t xml:space="preserve"> highest in the world.</w:t>
      </w:r>
      <w:r w:rsidR="004D1FCF" w:rsidRPr="008A7BD7">
        <w:rPr>
          <w:rFonts w:ascii="Cambria" w:eastAsia="Cambria" w:hAnsi="Cambria" w:cs="Cambria"/>
          <w:sz w:val="20"/>
          <w:szCs w:val="20"/>
          <w:vertAlign w:val="superscript"/>
        </w:rPr>
        <w:footnoteReference w:id="244"/>
      </w:r>
      <w:r w:rsidR="004D1FCF" w:rsidRPr="008A7BD7">
        <w:rPr>
          <w:rFonts w:ascii="Cambria" w:eastAsia="Cambria" w:hAnsi="Cambria" w:cs="Cambria"/>
          <w:sz w:val="20"/>
          <w:szCs w:val="20"/>
        </w:rPr>
        <w:t xml:space="preserve"> </w:t>
      </w:r>
      <w:r w:rsidRPr="008A7BD7">
        <w:rPr>
          <w:rFonts w:ascii="Cambria" w:eastAsia="Cambria" w:hAnsi="Cambria" w:cs="Cambria"/>
          <w:sz w:val="20"/>
          <w:szCs w:val="20"/>
        </w:rPr>
        <w:t xml:space="preserve">According to </w:t>
      </w:r>
      <w:r w:rsidR="004D4B3A" w:rsidRPr="008A7BD7">
        <w:rPr>
          <w:rFonts w:ascii="Cambria" w:eastAsia="Cambria" w:hAnsi="Cambria" w:cs="Cambria"/>
          <w:sz w:val="20"/>
          <w:szCs w:val="20"/>
        </w:rPr>
        <w:t>government</w:t>
      </w:r>
      <w:r w:rsidR="004D1FCF" w:rsidRPr="008A7BD7">
        <w:rPr>
          <w:rFonts w:ascii="Cambria" w:eastAsia="Cambria" w:hAnsi="Cambria" w:cs="Cambria"/>
          <w:sz w:val="20"/>
          <w:szCs w:val="20"/>
        </w:rPr>
        <w:t xml:space="preserve"> </w:t>
      </w:r>
      <w:r w:rsidRPr="008A7BD7">
        <w:rPr>
          <w:rFonts w:ascii="Cambria" w:eastAsia="Cambria" w:hAnsi="Cambria" w:cs="Cambria"/>
          <w:sz w:val="20"/>
          <w:szCs w:val="20"/>
        </w:rPr>
        <w:t xml:space="preserve">data, as of September </w:t>
      </w:r>
      <w:r w:rsidR="004D1FCF" w:rsidRPr="008A7BD7">
        <w:rPr>
          <w:rFonts w:ascii="Cambria" w:eastAsia="Cambria" w:hAnsi="Cambria" w:cs="Cambria"/>
          <w:sz w:val="20"/>
          <w:szCs w:val="20"/>
        </w:rPr>
        <w:t>13</w:t>
      </w:r>
      <w:r w:rsidRPr="008A7BD7">
        <w:rPr>
          <w:rFonts w:ascii="Cambria" w:eastAsia="Cambria" w:hAnsi="Cambria" w:cs="Cambria"/>
          <w:sz w:val="20"/>
          <w:szCs w:val="20"/>
        </w:rPr>
        <w:t xml:space="preserve">, </w:t>
      </w:r>
      <w:r w:rsidR="004D1FCF" w:rsidRPr="008A7BD7">
        <w:rPr>
          <w:rFonts w:ascii="Cambria" w:eastAsia="Cambria" w:hAnsi="Cambria" w:cs="Cambria"/>
          <w:sz w:val="20"/>
          <w:szCs w:val="20"/>
        </w:rPr>
        <w:t xml:space="preserve">2021, </w:t>
      </w:r>
      <w:r w:rsidRPr="008A7BD7">
        <w:rPr>
          <w:rFonts w:ascii="Cambria" w:eastAsia="Cambria" w:hAnsi="Cambria" w:cs="Cambria"/>
          <w:sz w:val="20"/>
          <w:szCs w:val="20"/>
        </w:rPr>
        <w:t>there were</w:t>
      </w:r>
      <w:r w:rsidR="00570979" w:rsidRPr="008A7BD7">
        <w:rPr>
          <w:rFonts w:ascii="Cambria" w:eastAsia="Cambria" w:hAnsi="Cambria" w:cs="Cambria"/>
          <w:sz w:val="20"/>
          <w:szCs w:val="20"/>
        </w:rPr>
        <w:t xml:space="preserve"> </w:t>
      </w:r>
      <w:r w:rsidR="004D1FCF" w:rsidRPr="008A7BD7">
        <w:rPr>
          <w:rFonts w:ascii="Cambria" w:eastAsia="Cambria" w:hAnsi="Cambria" w:cs="Cambria"/>
          <w:sz w:val="20"/>
          <w:szCs w:val="20"/>
        </w:rPr>
        <w:t>24</w:t>
      </w:r>
      <w:r w:rsidR="00570979" w:rsidRPr="008A7BD7">
        <w:rPr>
          <w:rFonts w:ascii="Cambria" w:eastAsia="Cambria" w:hAnsi="Cambria" w:cs="Cambria"/>
          <w:sz w:val="20"/>
          <w:szCs w:val="20"/>
        </w:rPr>
        <w:t>,</w:t>
      </w:r>
      <w:r w:rsidR="004D1FCF" w:rsidRPr="008A7BD7">
        <w:rPr>
          <w:rFonts w:ascii="Cambria" w:eastAsia="Cambria" w:hAnsi="Cambria" w:cs="Cambria"/>
          <w:sz w:val="20"/>
          <w:szCs w:val="20"/>
        </w:rPr>
        <w:t xml:space="preserve">942 </w:t>
      </w:r>
      <w:r w:rsidR="00570979" w:rsidRPr="008A7BD7">
        <w:rPr>
          <w:rFonts w:ascii="Cambria" w:eastAsia="Cambria" w:hAnsi="Cambria" w:cs="Cambria"/>
          <w:sz w:val="20"/>
          <w:szCs w:val="20"/>
        </w:rPr>
        <w:t>people in the prison population.</w:t>
      </w:r>
      <w:r w:rsidR="004D1FCF" w:rsidRPr="008A7BD7">
        <w:rPr>
          <w:rFonts w:ascii="Cambria" w:eastAsia="Cambria" w:hAnsi="Cambria" w:cs="Cambria"/>
          <w:sz w:val="20"/>
          <w:szCs w:val="20"/>
          <w:vertAlign w:val="superscript"/>
        </w:rPr>
        <w:footnoteReference w:id="245"/>
      </w:r>
      <w:r w:rsidR="004D1FCF" w:rsidRPr="008A7BD7">
        <w:rPr>
          <w:rFonts w:ascii="Cambria" w:eastAsia="Cambria" w:hAnsi="Cambria" w:cs="Cambria"/>
          <w:sz w:val="20"/>
          <w:szCs w:val="20"/>
        </w:rPr>
        <w:t xml:space="preserve"> </w:t>
      </w:r>
      <w:r w:rsidR="004D4B3A" w:rsidRPr="008A7BD7">
        <w:rPr>
          <w:rFonts w:ascii="Cambria" w:eastAsia="Cambria" w:hAnsi="Cambria" w:cs="Cambria"/>
          <w:sz w:val="20"/>
          <w:szCs w:val="20"/>
        </w:rPr>
        <w:t xml:space="preserve">This would represent an occupancy level of </w:t>
      </w:r>
      <w:r w:rsidR="004D1FCF" w:rsidRPr="008A7BD7">
        <w:rPr>
          <w:rFonts w:ascii="Cambria" w:eastAsia="Cambria" w:hAnsi="Cambria" w:cs="Cambria"/>
          <w:sz w:val="20"/>
          <w:szCs w:val="20"/>
        </w:rPr>
        <w:t>356.47%</w:t>
      </w:r>
      <w:r w:rsidR="00EB1D85" w:rsidRPr="008A7BD7">
        <w:rPr>
          <w:rFonts w:ascii="Cambria" w:eastAsia="Cambria" w:hAnsi="Cambria" w:cs="Cambria"/>
          <w:sz w:val="20"/>
          <w:szCs w:val="20"/>
        </w:rPr>
        <w:t xml:space="preserve">, with an excess population of over </w:t>
      </w:r>
      <w:r w:rsidR="004D1FCF" w:rsidRPr="008A7BD7">
        <w:rPr>
          <w:rFonts w:ascii="Cambria" w:eastAsia="Cambria" w:hAnsi="Cambria" w:cs="Cambria"/>
          <w:sz w:val="20"/>
          <w:szCs w:val="20"/>
        </w:rPr>
        <w:t>256%</w:t>
      </w:r>
      <w:r w:rsidR="00EB1D85" w:rsidRPr="008A7BD7">
        <w:rPr>
          <w:rFonts w:ascii="Cambria" w:eastAsia="Cambria" w:hAnsi="Cambria" w:cs="Cambria"/>
          <w:sz w:val="20"/>
          <w:szCs w:val="20"/>
        </w:rPr>
        <w:t xml:space="preserve">, considering that as of October </w:t>
      </w:r>
      <w:r w:rsidR="004D1FCF" w:rsidRPr="008A7BD7">
        <w:rPr>
          <w:rFonts w:ascii="Cambria" w:eastAsia="Cambria" w:hAnsi="Cambria" w:cs="Cambria"/>
          <w:sz w:val="20"/>
          <w:szCs w:val="20"/>
        </w:rPr>
        <w:t>7</w:t>
      </w:r>
      <w:r w:rsidR="00EB1D85" w:rsidRPr="008A7BD7">
        <w:rPr>
          <w:rFonts w:ascii="Cambria" w:eastAsia="Cambria" w:hAnsi="Cambria" w:cs="Cambria"/>
          <w:sz w:val="20"/>
          <w:szCs w:val="20"/>
        </w:rPr>
        <w:t xml:space="preserve">, </w:t>
      </w:r>
      <w:r w:rsidR="004D1FCF" w:rsidRPr="008A7BD7">
        <w:rPr>
          <w:rFonts w:ascii="Cambria" w:eastAsia="Cambria" w:hAnsi="Cambria" w:cs="Cambria"/>
          <w:sz w:val="20"/>
          <w:szCs w:val="20"/>
        </w:rPr>
        <w:t xml:space="preserve">2020, </w:t>
      </w:r>
      <w:r w:rsidR="00EB1D85" w:rsidRPr="008A7BD7">
        <w:rPr>
          <w:rFonts w:ascii="Cambria" w:eastAsia="Cambria" w:hAnsi="Cambria" w:cs="Cambria"/>
          <w:sz w:val="20"/>
          <w:szCs w:val="20"/>
        </w:rPr>
        <w:t xml:space="preserve">the system had an official capacity to hold </w:t>
      </w:r>
      <w:r w:rsidR="004D1FCF" w:rsidRPr="008A7BD7">
        <w:rPr>
          <w:rFonts w:ascii="Cambria" w:eastAsia="Cambria" w:hAnsi="Cambria" w:cs="Cambria"/>
          <w:sz w:val="20"/>
          <w:szCs w:val="20"/>
        </w:rPr>
        <w:t>6</w:t>
      </w:r>
      <w:r w:rsidR="00EB1D85" w:rsidRPr="008A7BD7">
        <w:rPr>
          <w:rFonts w:ascii="Cambria" w:eastAsia="Cambria" w:hAnsi="Cambria" w:cs="Cambria"/>
          <w:sz w:val="20"/>
          <w:szCs w:val="20"/>
        </w:rPr>
        <w:t>,</w:t>
      </w:r>
      <w:r w:rsidR="004D1FCF" w:rsidRPr="008A7BD7">
        <w:rPr>
          <w:rFonts w:ascii="Cambria" w:eastAsia="Cambria" w:hAnsi="Cambria" w:cs="Cambria"/>
          <w:sz w:val="20"/>
          <w:szCs w:val="20"/>
        </w:rPr>
        <w:t xml:space="preserve">997 </w:t>
      </w:r>
      <w:r w:rsidR="00EB1D85" w:rsidRPr="008A7BD7">
        <w:rPr>
          <w:rFonts w:ascii="Cambria" w:eastAsia="Cambria" w:hAnsi="Cambria" w:cs="Cambria"/>
          <w:sz w:val="20"/>
          <w:szCs w:val="20"/>
        </w:rPr>
        <w:t>prisoners.</w:t>
      </w:r>
      <w:r w:rsidR="004D1FCF" w:rsidRPr="008A7BD7">
        <w:rPr>
          <w:rFonts w:ascii="Cambria" w:eastAsia="Cambria" w:hAnsi="Cambria" w:cs="Cambria"/>
          <w:sz w:val="20"/>
          <w:szCs w:val="20"/>
          <w:vertAlign w:val="superscript"/>
        </w:rPr>
        <w:footnoteReference w:id="246"/>
      </w:r>
      <w:r w:rsidR="004D1FCF" w:rsidRPr="008A7BD7">
        <w:rPr>
          <w:rFonts w:ascii="Cambria" w:eastAsia="Cambria" w:hAnsi="Cambria" w:cs="Cambria"/>
          <w:sz w:val="20"/>
          <w:szCs w:val="20"/>
        </w:rPr>
        <w:t xml:space="preserve"> </w:t>
      </w:r>
      <w:r w:rsidR="0013010B" w:rsidRPr="008A7BD7">
        <w:rPr>
          <w:rFonts w:ascii="Cambria" w:eastAsia="Cambria" w:hAnsi="Cambria" w:cs="Cambria"/>
          <w:sz w:val="20"/>
          <w:szCs w:val="20"/>
        </w:rPr>
        <w:t xml:space="preserve">On this point, the IACHR calls to mind that under international human rights law, </w:t>
      </w:r>
      <w:r w:rsidR="008864B8" w:rsidRPr="008A7BD7">
        <w:rPr>
          <w:rFonts w:ascii="Cambria" w:eastAsia="Cambria" w:hAnsi="Cambria" w:cs="Cambria"/>
          <w:sz w:val="20"/>
          <w:szCs w:val="20"/>
        </w:rPr>
        <w:t xml:space="preserve">the </w:t>
      </w:r>
      <w:r w:rsidR="0013010B" w:rsidRPr="008A7BD7">
        <w:rPr>
          <w:rFonts w:ascii="Cambria" w:eastAsia="Cambria" w:hAnsi="Cambria" w:cs="Cambria"/>
          <w:sz w:val="20"/>
          <w:szCs w:val="20"/>
        </w:rPr>
        <w:t>overcrowding of persons deprived of liberty in itself could constitute a form o</w:t>
      </w:r>
      <w:r w:rsidR="00F1192B" w:rsidRPr="008A7BD7">
        <w:rPr>
          <w:rFonts w:ascii="Cambria" w:eastAsia="Cambria" w:hAnsi="Cambria" w:cs="Cambria"/>
          <w:sz w:val="20"/>
          <w:szCs w:val="20"/>
        </w:rPr>
        <w:t>f</w:t>
      </w:r>
      <w:r w:rsidR="0013010B" w:rsidRPr="008A7BD7">
        <w:rPr>
          <w:rFonts w:ascii="Cambria" w:eastAsia="Cambria" w:hAnsi="Cambria" w:cs="Cambria"/>
          <w:sz w:val="20"/>
          <w:szCs w:val="20"/>
        </w:rPr>
        <w:t xml:space="preserve"> cruel, inhuman, or degrading </w:t>
      </w:r>
      <w:r w:rsidR="00575218" w:rsidRPr="008A7BD7">
        <w:rPr>
          <w:rFonts w:ascii="Cambria" w:eastAsia="Cambria" w:hAnsi="Cambria" w:cs="Cambria"/>
          <w:sz w:val="20"/>
          <w:szCs w:val="20"/>
        </w:rPr>
        <w:t>t</w:t>
      </w:r>
      <w:r w:rsidR="0013010B" w:rsidRPr="008A7BD7">
        <w:rPr>
          <w:rFonts w:ascii="Cambria" w:eastAsia="Cambria" w:hAnsi="Cambria" w:cs="Cambria"/>
          <w:sz w:val="20"/>
          <w:szCs w:val="20"/>
        </w:rPr>
        <w:t>reatment, violating the right to personal integrity and other human rights.</w:t>
      </w:r>
      <w:r w:rsidR="004D1FCF" w:rsidRPr="008A7BD7">
        <w:rPr>
          <w:rFonts w:ascii="Cambria" w:eastAsia="Cambria" w:hAnsi="Cambria" w:cs="Cambria"/>
          <w:sz w:val="20"/>
          <w:szCs w:val="20"/>
          <w:vertAlign w:val="superscript"/>
        </w:rPr>
        <w:footnoteReference w:id="247"/>
      </w:r>
      <w:r w:rsidR="0013010B" w:rsidRPr="008A7BD7">
        <w:rPr>
          <w:rFonts w:ascii="Cambria" w:eastAsia="Cambria" w:hAnsi="Cambria" w:cs="Cambria"/>
          <w:sz w:val="20"/>
          <w:szCs w:val="20"/>
        </w:rPr>
        <w:t xml:space="preserve"> Therefore, when the collapse of a prison system or of a particular detention center makes it materially impossible to provide inmates with dignified living conditions, the State can no longer continue to place individuals in those facilities, because in so doing, it is deliberately subjecting them to a situation that violates their fundamental rights.</w:t>
      </w:r>
      <w:r w:rsidR="004D1FCF" w:rsidRPr="008A7BD7">
        <w:rPr>
          <w:rFonts w:ascii="Cambria" w:eastAsia="Cambria" w:hAnsi="Cambria" w:cs="Cambria"/>
          <w:sz w:val="20"/>
          <w:szCs w:val="20"/>
          <w:vertAlign w:val="superscript"/>
        </w:rPr>
        <w:footnoteReference w:id="248"/>
      </w:r>
    </w:p>
    <w:p w14:paraId="1BAAE1F9" w14:textId="77777777" w:rsidR="004D1FCF" w:rsidRPr="008A7BD7" w:rsidRDefault="004D1FCF" w:rsidP="004D1FCF">
      <w:pPr>
        <w:ind w:left="720"/>
        <w:jc w:val="both"/>
        <w:rPr>
          <w:rFonts w:ascii="Cambria" w:hAnsi="Cambria"/>
          <w:sz w:val="20"/>
          <w:szCs w:val="20"/>
        </w:rPr>
      </w:pPr>
    </w:p>
    <w:p w14:paraId="4EBBE7DA" w14:textId="5BF78750" w:rsidR="004D1FCF" w:rsidRPr="008A7BD7" w:rsidRDefault="009679E2" w:rsidP="003D3059">
      <w:pPr>
        <w:numPr>
          <w:ilvl w:val="0"/>
          <w:numId w:val="2"/>
        </w:numPr>
        <w:ind w:left="0" w:firstLine="720"/>
        <w:jc w:val="both"/>
        <w:rPr>
          <w:rFonts w:ascii="Cambria" w:hAnsi="Cambria"/>
          <w:sz w:val="20"/>
          <w:szCs w:val="20"/>
        </w:rPr>
      </w:pPr>
      <w:r w:rsidRPr="008A7BD7">
        <w:rPr>
          <w:rFonts w:ascii="Cambria" w:eastAsia="Cambria" w:hAnsi="Cambria" w:cs="Cambria"/>
          <w:sz w:val="20"/>
          <w:szCs w:val="20"/>
        </w:rPr>
        <w:t xml:space="preserve">In this situation, the excessive use of pretrial detention is one of the main reasons behind the high levels of overcrowding. According to official information, as of September </w:t>
      </w:r>
      <w:r w:rsidR="004D1FCF" w:rsidRPr="008A7BD7">
        <w:rPr>
          <w:rFonts w:ascii="Cambria" w:eastAsia="Cambria" w:hAnsi="Cambria" w:cs="Cambria"/>
          <w:sz w:val="20"/>
          <w:szCs w:val="20"/>
        </w:rPr>
        <w:t>13</w:t>
      </w:r>
      <w:r w:rsidRPr="008A7BD7">
        <w:rPr>
          <w:rFonts w:ascii="Cambria" w:eastAsia="Cambria" w:hAnsi="Cambria" w:cs="Cambria"/>
          <w:sz w:val="20"/>
          <w:szCs w:val="20"/>
        </w:rPr>
        <w:t xml:space="preserve">, </w:t>
      </w:r>
      <w:r w:rsidR="004D1FCF" w:rsidRPr="008A7BD7">
        <w:rPr>
          <w:rFonts w:ascii="Cambria" w:eastAsia="Cambria" w:hAnsi="Cambria" w:cs="Cambria"/>
          <w:sz w:val="20"/>
          <w:szCs w:val="20"/>
        </w:rPr>
        <w:t xml:space="preserve">2021, </w:t>
      </w:r>
      <w:r w:rsidR="0096661D" w:rsidRPr="008A7BD7">
        <w:rPr>
          <w:rFonts w:ascii="Cambria" w:eastAsia="Cambria" w:hAnsi="Cambria" w:cs="Cambria"/>
          <w:sz w:val="20"/>
          <w:szCs w:val="20"/>
        </w:rPr>
        <w:t xml:space="preserve">there were </w:t>
      </w:r>
      <w:r w:rsidR="004D1FCF" w:rsidRPr="008A7BD7">
        <w:rPr>
          <w:rFonts w:ascii="Cambria" w:eastAsia="Cambria" w:hAnsi="Cambria" w:cs="Cambria"/>
          <w:sz w:val="20"/>
          <w:szCs w:val="20"/>
        </w:rPr>
        <w:t>24</w:t>
      </w:r>
      <w:r w:rsidR="0096661D" w:rsidRPr="008A7BD7">
        <w:rPr>
          <w:rFonts w:ascii="Cambria" w:eastAsia="Cambria" w:hAnsi="Cambria" w:cs="Cambria"/>
          <w:sz w:val="20"/>
          <w:szCs w:val="20"/>
        </w:rPr>
        <w:t>,</w:t>
      </w:r>
      <w:r w:rsidR="004D1FCF" w:rsidRPr="008A7BD7">
        <w:rPr>
          <w:rFonts w:ascii="Cambria" w:eastAsia="Cambria" w:hAnsi="Cambria" w:cs="Cambria"/>
          <w:sz w:val="20"/>
          <w:szCs w:val="20"/>
        </w:rPr>
        <w:t xml:space="preserve">942 </w:t>
      </w:r>
      <w:r w:rsidR="00670035" w:rsidRPr="008A7BD7">
        <w:rPr>
          <w:rFonts w:ascii="Cambria" w:eastAsia="Cambria" w:hAnsi="Cambria" w:cs="Cambria"/>
          <w:sz w:val="20"/>
          <w:szCs w:val="20"/>
        </w:rPr>
        <w:t xml:space="preserve">people deprived of liberty in Guatemala, </w:t>
      </w:r>
      <w:r w:rsidR="004D1FCF" w:rsidRPr="008A7BD7">
        <w:rPr>
          <w:rFonts w:ascii="Cambria" w:eastAsia="Cambria" w:hAnsi="Cambria" w:cs="Cambria"/>
          <w:sz w:val="20"/>
          <w:szCs w:val="20"/>
        </w:rPr>
        <w:t>12</w:t>
      </w:r>
      <w:r w:rsidR="00670035" w:rsidRPr="008A7BD7">
        <w:rPr>
          <w:rFonts w:ascii="Cambria" w:eastAsia="Cambria" w:hAnsi="Cambria" w:cs="Cambria"/>
          <w:sz w:val="20"/>
          <w:szCs w:val="20"/>
        </w:rPr>
        <w:t>,</w:t>
      </w:r>
      <w:r w:rsidR="004D1FCF" w:rsidRPr="008A7BD7">
        <w:rPr>
          <w:rFonts w:ascii="Cambria" w:eastAsia="Cambria" w:hAnsi="Cambria" w:cs="Cambria"/>
          <w:sz w:val="20"/>
          <w:szCs w:val="20"/>
        </w:rPr>
        <w:t xml:space="preserve">077 </w:t>
      </w:r>
      <w:r w:rsidR="00670035" w:rsidRPr="008A7BD7">
        <w:rPr>
          <w:rFonts w:ascii="Cambria" w:eastAsia="Cambria" w:hAnsi="Cambria" w:cs="Cambria"/>
          <w:sz w:val="20"/>
          <w:szCs w:val="20"/>
        </w:rPr>
        <w:t xml:space="preserve">of whom were in pretrial detention </w:t>
      </w:r>
      <w:r w:rsidR="004D1FCF" w:rsidRPr="008A7BD7">
        <w:rPr>
          <w:rFonts w:ascii="Cambria" w:eastAsia="Cambria" w:hAnsi="Cambria" w:cs="Cambria"/>
          <w:sz w:val="20"/>
          <w:szCs w:val="20"/>
        </w:rPr>
        <w:t>(1</w:t>
      </w:r>
      <w:r w:rsidR="00670035" w:rsidRPr="008A7BD7">
        <w:rPr>
          <w:rFonts w:ascii="Cambria" w:eastAsia="Cambria" w:hAnsi="Cambria" w:cs="Cambria"/>
          <w:sz w:val="20"/>
          <w:szCs w:val="20"/>
        </w:rPr>
        <w:t>,</w:t>
      </w:r>
      <w:r w:rsidR="004D1FCF" w:rsidRPr="008A7BD7">
        <w:rPr>
          <w:rFonts w:ascii="Cambria" w:eastAsia="Cambria" w:hAnsi="Cambria" w:cs="Cambria"/>
          <w:sz w:val="20"/>
          <w:szCs w:val="20"/>
        </w:rPr>
        <w:t xml:space="preserve">356 </w:t>
      </w:r>
      <w:r w:rsidR="00670035" w:rsidRPr="008A7BD7">
        <w:rPr>
          <w:rFonts w:ascii="Cambria" w:eastAsia="Cambria" w:hAnsi="Cambria" w:cs="Cambria"/>
          <w:sz w:val="20"/>
          <w:szCs w:val="20"/>
        </w:rPr>
        <w:t xml:space="preserve">women and </w:t>
      </w:r>
      <w:r w:rsidR="004D1FCF" w:rsidRPr="008A7BD7">
        <w:rPr>
          <w:rFonts w:ascii="Cambria" w:eastAsia="Cambria" w:hAnsi="Cambria" w:cs="Cambria"/>
          <w:sz w:val="20"/>
          <w:szCs w:val="20"/>
        </w:rPr>
        <w:t>10</w:t>
      </w:r>
      <w:r w:rsidR="00670035" w:rsidRPr="008A7BD7">
        <w:rPr>
          <w:rFonts w:ascii="Cambria" w:eastAsia="Cambria" w:hAnsi="Cambria" w:cs="Cambria"/>
          <w:sz w:val="20"/>
          <w:szCs w:val="20"/>
        </w:rPr>
        <w:t>,</w:t>
      </w:r>
      <w:r w:rsidR="004D1FCF" w:rsidRPr="008A7BD7">
        <w:rPr>
          <w:rFonts w:ascii="Cambria" w:eastAsia="Cambria" w:hAnsi="Cambria" w:cs="Cambria"/>
          <w:sz w:val="20"/>
          <w:szCs w:val="20"/>
        </w:rPr>
        <w:t xml:space="preserve">721 </w:t>
      </w:r>
      <w:r w:rsidR="00670035" w:rsidRPr="008A7BD7">
        <w:rPr>
          <w:rFonts w:ascii="Cambria" w:eastAsia="Cambria" w:hAnsi="Cambria" w:cs="Cambria"/>
          <w:sz w:val="20"/>
          <w:szCs w:val="20"/>
        </w:rPr>
        <w:t>men</w:t>
      </w:r>
      <w:r w:rsidR="004D1FCF" w:rsidRPr="008A7BD7">
        <w:rPr>
          <w:rFonts w:ascii="Cambria" w:eastAsia="Cambria" w:hAnsi="Cambria" w:cs="Cambria"/>
          <w:sz w:val="20"/>
          <w:szCs w:val="20"/>
        </w:rPr>
        <w:t>)</w:t>
      </w:r>
      <w:r w:rsidR="00670035" w:rsidRPr="008A7BD7">
        <w:rPr>
          <w:rFonts w:ascii="Cambria" w:eastAsia="Cambria" w:hAnsi="Cambria" w:cs="Cambria"/>
          <w:sz w:val="20"/>
          <w:szCs w:val="20"/>
        </w:rPr>
        <w:t>.</w:t>
      </w:r>
      <w:r w:rsidR="004D1FCF" w:rsidRPr="008A7BD7">
        <w:rPr>
          <w:rFonts w:ascii="Cambria" w:eastAsia="Cambria" w:hAnsi="Cambria" w:cs="Cambria"/>
          <w:sz w:val="20"/>
          <w:szCs w:val="20"/>
          <w:vertAlign w:val="superscript"/>
        </w:rPr>
        <w:footnoteReference w:id="249"/>
      </w:r>
      <w:r w:rsidR="004D1FCF" w:rsidRPr="008A7BD7">
        <w:rPr>
          <w:rFonts w:ascii="Cambria" w:eastAsia="Cambria" w:hAnsi="Cambria" w:cs="Cambria"/>
          <w:sz w:val="20"/>
          <w:szCs w:val="20"/>
        </w:rPr>
        <w:t xml:space="preserve"> </w:t>
      </w:r>
      <w:r w:rsidR="00373EF9" w:rsidRPr="008A7BD7">
        <w:rPr>
          <w:rFonts w:ascii="Cambria" w:eastAsia="Cambria" w:hAnsi="Cambria" w:cs="Cambria"/>
          <w:sz w:val="20"/>
          <w:szCs w:val="20"/>
        </w:rPr>
        <w:t xml:space="preserve">These figures represent a pretrial detention rate of </w:t>
      </w:r>
      <w:r w:rsidR="004D1FCF" w:rsidRPr="008A7BD7">
        <w:rPr>
          <w:rFonts w:ascii="Cambria" w:eastAsia="Cambria" w:hAnsi="Cambria" w:cs="Cambria"/>
          <w:sz w:val="20"/>
          <w:szCs w:val="20"/>
        </w:rPr>
        <w:t>48.42%.</w:t>
      </w:r>
      <w:r w:rsidR="001449B8" w:rsidRPr="008A7BD7">
        <w:rPr>
          <w:rFonts w:ascii="Cambria" w:eastAsia="Cambria" w:hAnsi="Cambria" w:cs="Cambria"/>
          <w:sz w:val="20"/>
          <w:szCs w:val="20"/>
        </w:rPr>
        <w:t xml:space="preserve"> </w:t>
      </w:r>
      <w:r w:rsidR="00EE013B" w:rsidRPr="008A7BD7">
        <w:rPr>
          <w:rFonts w:ascii="Cambria" w:eastAsia="Cambria" w:hAnsi="Cambria" w:cs="Cambria"/>
          <w:sz w:val="20"/>
          <w:szCs w:val="20"/>
        </w:rPr>
        <w:t>As to the causes that affect the excessive application of pretrial detention, the Commission again notes that one of them continues to be the imposition of mandatory pretrial detention without the possibility of alternative measures</w:t>
      </w:r>
      <w:r w:rsidR="004D1FCF" w:rsidRPr="008A7BD7">
        <w:rPr>
          <w:rFonts w:ascii="Cambria" w:eastAsia="Cambria" w:hAnsi="Cambria" w:cs="Cambria"/>
          <w:sz w:val="20"/>
          <w:szCs w:val="20"/>
        </w:rPr>
        <w:t xml:space="preserve"> </w:t>
      </w:r>
      <w:r w:rsidR="00142E21" w:rsidRPr="008A7BD7">
        <w:rPr>
          <w:rFonts w:ascii="Cambria" w:eastAsia="Cambria" w:hAnsi="Cambria" w:cs="Cambria"/>
          <w:sz w:val="20"/>
          <w:szCs w:val="20"/>
        </w:rPr>
        <w:t xml:space="preserve">and the exclusion of the benefit </w:t>
      </w:r>
      <w:r w:rsidR="00142E21" w:rsidRPr="008A7BD7">
        <w:rPr>
          <w:rFonts w:ascii="Cambria" w:eastAsia="Cambria" w:hAnsi="Cambria" w:cs="Cambria"/>
          <w:sz w:val="20"/>
          <w:szCs w:val="20"/>
        </w:rPr>
        <w:lastRenderedPageBreak/>
        <w:t xml:space="preserve">of release </w:t>
      </w:r>
      <w:r w:rsidR="00180239" w:rsidRPr="008A7BD7">
        <w:rPr>
          <w:rFonts w:ascii="Cambria" w:eastAsia="Cambria" w:hAnsi="Cambria" w:cs="Cambria"/>
          <w:sz w:val="20"/>
          <w:szCs w:val="20"/>
        </w:rPr>
        <w:t xml:space="preserve">for certain types of crimes, including the crimes in </w:t>
      </w:r>
      <w:r w:rsidR="002E3185" w:rsidRPr="008A7BD7">
        <w:rPr>
          <w:rFonts w:ascii="Cambria" w:eastAsia="Cambria" w:hAnsi="Cambria" w:cs="Cambria"/>
          <w:sz w:val="20"/>
          <w:szCs w:val="20"/>
        </w:rPr>
        <w:t xml:space="preserve">the </w:t>
      </w:r>
      <w:r w:rsidR="00180239" w:rsidRPr="008A7BD7">
        <w:rPr>
          <w:rFonts w:ascii="Cambria" w:eastAsia="Cambria" w:hAnsi="Cambria" w:cs="Cambria"/>
          <w:sz w:val="20"/>
          <w:szCs w:val="20"/>
        </w:rPr>
        <w:t>Anti-Drug Law.</w:t>
      </w:r>
      <w:r w:rsidR="004D1FCF" w:rsidRPr="008A7BD7">
        <w:rPr>
          <w:rFonts w:ascii="Cambria" w:eastAsia="Cambria" w:hAnsi="Cambria" w:cs="Cambria"/>
          <w:sz w:val="20"/>
          <w:szCs w:val="20"/>
          <w:vertAlign w:val="superscript"/>
        </w:rPr>
        <w:footnoteReference w:id="250"/>
      </w:r>
      <w:r w:rsidR="004D1FCF" w:rsidRPr="008A7BD7">
        <w:rPr>
          <w:rFonts w:ascii="Cambria" w:eastAsia="Cambria" w:hAnsi="Cambria" w:cs="Cambria"/>
          <w:sz w:val="20"/>
          <w:szCs w:val="20"/>
        </w:rPr>
        <w:t xml:space="preserve"> </w:t>
      </w:r>
      <w:r w:rsidR="00180239" w:rsidRPr="008A7BD7">
        <w:rPr>
          <w:rFonts w:ascii="Cambria" w:eastAsia="Cambria" w:hAnsi="Cambria" w:cs="Cambria"/>
          <w:sz w:val="20"/>
          <w:szCs w:val="20"/>
        </w:rPr>
        <w:t xml:space="preserve">Meanwhile, according to </w:t>
      </w:r>
      <w:r w:rsidR="00F30C96" w:rsidRPr="008A7BD7">
        <w:rPr>
          <w:rFonts w:ascii="Cambria" w:eastAsia="Cambria" w:hAnsi="Cambria" w:cs="Cambria"/>
          <w:sz w:val="20"/>
          <w:szCs w:val="20"/>
        </w:rPr>
        <w:t xml:space="preserve">civil society </w:t>
      </w:r>
      <w:r w:rsidR="00180239" w:rsidRPr="008A7BD7">
        <w:rPr>
          <w:rFonts w:ascii="Cambria" w:eastAsia="Cambria" w:hAnsi="Cambria" w:cs="Cambria"/>
          <w:sz w:val="20"/>
          <w:szCs w:val="20"/>
        </w:rPr>
        <w:t>reports</w:t>
      </w:r>
      <w:r w:rsidR="00F30C96" w:rsidRPr="008A7BD7">
        <w:rPr>
          <w:rFonts w:ascii="Cambria" w:eastAsia="Cambria" w:hAnsi="Cambria" w:cs="Cambria"/>
          <w:sz w:val="20"/>
          <w:szCs w:val="20"/>
        </w:rPr>
        <w:t xml:space="preserve">, no progress has been made in amending crime legislation and criminal procedures to change the mandatory imposition of this precautionary measure by type of </w:t>
      </w:r>
      <w:r w:rsidR="008864B8" w:rsidRPr="008A7BD7">
        <w:rPr>
          <w:rFonts w:ascii="Cambria" w:eastAsia="Cambria" w:hAnsi="Cambria" w:cs="Cambria"/>
          <w:sz w:val="20"/>
          <w:szCs w:val="20"/>
        </w:rPr>
        <w:t>offense</w:t>
      </w:r>
      <w:r w:rsidR="00F30C96" w:rsidRPr="008A7BD7">
        <w:rPr>
          <w:rFonts w:ascii="Cambria" w:eastAsia="Cambria" w:hAnsi="Cambria" w:cs="Cambria"/>
          <w:sz w:val="20"/>
          <w:szCs w:val="20"/>
        </w:rPr>
        <w:t xml:space="preserve">. </w:t>
      </w:r>
      <w:r w:rsidR="004D1FCF" w:rsidRPr="008A7BD7">
        <w:rPr>
          <w:rFonts w:ascii="Cambria" w:eastAsia="Cambria" w:hAnsi="Cambria" w:cs="Cambria"/>
          <w:sz w:val="20"/>
          <w:szCs w:val="20"/>
          <w:vertAlign w:val="superscript"/>
        </w:rPr>
        <w:footnoteReference w:id="251"/>
      </w:r>
      <w:r w:rsidR="004D1FCF" w:rsidRPr="008A7BD7">
        <w:rPr>
          <w:rFonts w:ascii="Cambria" w:eastAsia="Cambria" w:hAnsi="Cambria" w:cs="Cambria"/>
          <w:sz w:val="20"/>
          <w:szCs w:val="20"/>
          <w:vertAlign w:val="superscript"/>
        </w:rPr>
        <w:t xml:space="preserve"> </w:t>
      </w:r>
    </w:p>
    <w:p w14:paraId="7B75F111" w14:textId="77777777" w:rsidR="004D1FCF" w:rsidRPr="008A7BD7" w:rsidRDefault="004D1FCF" w:rsidP="004D1FCF">
      <w:pPr>
        <w:pStyle w:val="ListParagraph"/>
        <w:rPr>
          <w:rFonts w:ascii="Cambria" w:hAnsi="Cambria"/>
          <w:sz w:val="20"/>
          <w:szCs w:val="20"/>
        </w:rPr>
      </w:pPr>
    </w:p>
    <w:p w14:paraId="19BA7EF3" w14:textId="062851BC" w:rsidR="004D1FCF" w:rsidRPr="008A7BD7" w:rsidRDefault="001449B8" w:rsidP="003D3059">
      <w:pPr>
        <w:numPr>
          <w:ilvl w:val="0"/>
          <w:numId w:val="2"/>
        </w:numPr>
        <w:ind w:left="0" w:firstLine="720"/>
        <w:jc w:val="both"/>
        <w:rPr>
          <w:rFonts w:ascii="Cambria" w:hAnsi="Cambria"/>
          <w:sz w:val="20"/>
          <w:szCs w:val="20"/>
        </w:rPr>
      </w:pPr>
      <w:r w:rsidRPr="008A7BD7">
        <w:rPr>
          <w:rFonts w:ascii="Cambria" w:eastAsia="Cambria" w:hAnsi="Cambria" w:cs="Cambria"/>
          <w:sz w:val="20"/>
          <w:szCs w:val="20"/>
        </w:rPr>
        <w:t xml:space="preserve">In that regard, the Commission calls to mind that the use of pretrial detention </w:t>
      </w:r>
      <w:r w:rsidR="008908D8" w:rsidRPr="008A7BD7">
        <w:rPr>
          <w:rFonts w:ascii="Cambria" w:eastAsia="Cambria" w:hAnsi="Cambria" w:cs="Cambria"/>
          <w:sz w:val="20"/>
          <w:szCs w:val="20"/>
        </w:rPr>
        <w:t xml:space="preserve">must be based on </w:t>
      </w:r>
      <w:r w:rsidR="00A0154A" w:rsidRPr="008A7BD7">
        <w:rPr>
          <w:rFonts w:ascii="Cambria" w:eastAsia="Cambria" w:hAnsi="Cambria" w:cs="Cambria"/>
          <w:sz w:val="20"/>
          <w:szCs w:val="20"/>
        </w:rPr>
        <w:t xml:space="preserve">consideration of </w:t>
      </w:r>
      <w:r w:rsidR="008908D8" w:rsidRPr="008A7BD7">
        <w:rPr>
          <w:rFonts w:ascii="Cambria" w:eastAsia="Cambria" w:hAnsi="Cambria" w:cs="Cambria"/>
          <w:sz w:val="20"/>
          <w:szCs w:val="20"/>
        </w:rPr>
        <w:t>the right to the presumption of innocence and must take into account the exceptional nature of this measure and be applied in keeping with the criteria of legality, necessity, and proportionality.</w:t>
      </w:r>
      <w:r w:rsidR="004D1FCF" w:rsidRPr="008A7BD7">
        <w:rPr>
          <w:rFonts w:ascii="Cambria" w:eastAsia="Cambria" w:hAnsi="Cambria" w:cs="Cambria"/>
          <w:sz w:val="20"/>
          <w:szCs w:val="20"/>
          <w:vertAlign w:val="superscript"/>
        </w:rPr>
        <w:footnoteReference w:id="252"/>
      </w:r>
      <w:r w:rsidR="004D1FCF" w:rsidRPr="008A7BD7">
        <w:rPr>
          <w:rFonts w:ascii="Cambria" w:eastAsia="Cambria" w:hAnsi="Cambria" w:cs="Cambria"/>
          <w:sz w:val="20"/>
          <w:szCs w:val="20"/>
        </w:rPr>
        <w:t xml:space="preserve"> </w:t>
      </w:r>
      <w:r w:rsidR="006007D0" w:rsidRPr="008A7BD7">
        <w:rPr>
          <w:rFonts w:ascii="Cambria" w:eastAsia="Cambria" w:hAnsi="Cambria" w:cs="Cambria"/>
          <w:sz w:val="20"/>
          <w:szCs w:val="20"/>
        </w:rPr>
        <w:t xml:space="preserve">Thus, deprivation of liberty of the accused should be only procedural in nature and, accordingly, may be based only on legitimate procedural aims, in other words, to reasonably </w:t>
      </w:r>
      <w:r w:rsidR="00B962F2" w:rsidRPr="008A7BD7">
        <w:rPr>
          <w:rFonts w:ascii="Cambria" w:eastAsia="Cambria" w:hAnsi="Cambria" w:cs="Cambria"/>
          <w:sz w:val="20"/>
          <w:szCs w:val="20"/>
        </w:rPr>
        <w:t>avoid the risk of</w:t>
      </w:r>
      <w:r w:rsidR="006007D0" w:rsidRPr="008A7BD7">
        <w:rPr>
          <w:rFonts w:ascii="Cambria" w:eastAsia="Cambria" w:hAnsi="Cambria" w:cs="Cambria"/>
          <w:sz w:val="20"/>
          <w:szCs w:val="20"/>
        </w:rPr>
        <w:t xml:space="preserve"> flight</w:t>
      </w:r>
      <w:r w:rsidR="00B962F2" w:rsidRPr="008A7BD7">
        <w:rPr>
          <w:rFonts w:ascii="Cambria" w:eastAsia="Cambria" w:hAnsi="Cambria" w:cs="Cambria"/>
          <w:sz w:val="20"/>
          <w:szCs w:val="20"/>
        </w:rPr>
        <w:t xml:space="preserve"> </w:t>
      </w:r>
      <w:r w:rsidR="006007D0" w:rsidRPr="008A7BD7">
        <w:rPr>
          <w:rFonts w:ascii="Cambria" w:eastAsia="Cambria" w:hAnsi="Cambria" w:cs="Cambria"/>
          <w:sz w:val="20"/>
          <w:szCs w:val="20"/>
        </w:rPr>
        <w:t xml:space="preserve">or </w:t>
      </w:r>
      <w:r w:rsidR="004166D4" w:rsidRPr="008A7BD7">
        <w:rPr>
          <w:rFonts w:ascii="Cambria" w:eastAsia="Cambria" w:hAnsi="Cambria" w:cs="Cambria"/>
          <w:sz w:val="20"/>
          <w:szCs w:val="20"/>
        </w:rPr>
        <w:t>prevent</w:t>
      </w:r>
      <w:r w:rsidR="006007D0" w:rsidRPr="008A7BD7">
        <w:rPr>
          <w:rFonts w:ascii="Cambria" w:eastAsia="Cambria" w:hAnsi="Cambria" w:cs="Cambria"/>
          <w:sz w:val="20"/>
          <w:szCs w:val="20"/>
        </w:rPr>
        <w:t xml:space="preserve"> the investigation </w:t>
      </w:r>
      <w:r w:rsidR="00B962F2" w:rsidRPr="008A7BD7">
        <w:rPr>
          <w:rFonts w:ascii="Cambria" w:eastAsia="Cambria" w:hAnsi="Cambria" w:cs="Cambria"/>
          <w:sz w:val="20"/>
          <w:szCs w:val="20"/>
        </w:rPr>
        <w:t xml:space="preserve">from </w:t>
      </w:r>
      <w:r w:rsidR="006007D0" w:rsidRPr="008A7BD7">
        <w:rPr>
          <w:rFonts w:ascii="Cambria" w:eastAsia="Cambria" w:hAnsi="Cambria" w:cs="Cambria"/>
          <w:sz w:val="20"/>
          <w:szCs w:val="20"/>
        </w:rPr>
        <w:t>being thwarted</w:t>
      </w:r>
      <w:r w:rsidR="00B962F2" w:rsidRPr="008A7BD7">
        <w:rPr>
          <w:rFonts w:ascii="Cambria" w:eastAsia="Cambria" w:hAnsi="Cambria" w:cs="Cambria"/>
          <w:sz w:val="20"/>
          <w:szCs w:val="20"/>
        </w:rPr>
        <w:t>.</w:t>
      </w:r>
      <w:r w:rsidR="004D1FCF" w:rsidRPr="008A7BD7">
        <w:rPr>
          <w:rFonts w:ascii="Cambria" w:eastAsia="Cambria" w:hAnsi="Cambria" w:cs="Cambria"/>
          <w:sz w:val="20"/>
          <w:szCs w:val="20"/>
          <w:vertAlign w:val="superscript"/>
        </w:rPr>
        <w:footnoteReference w:id="253"/>
      </w:r>
    </w:p>
    <w:p w14:paraId="3F07ECBF" w14:textId="77777777" w:rsidR="004D1FCF" w:rsidRPr="008A7BD7" w:rsidRDefault="004D1FCF" w:rsidP="004D1FCF">
      <w:pPr>
        <w:pStyle w:val="ListParagraph"/>
        <w:rPr>
          <w:rFonts w:ascii="Cambria" w:hAnsi="Cambria"/>
          <w:sz w:val="20"/>
          <w:szCs w:val="20"/>
        </w:rPr>
      </w:pPr>
    </w:p>
    <w:p w14:paraId="22A4E135" w14:textId="74CAC1AC" w:rsidR="004D1FCF" w:rsidRPr="008A7BD7" w:rsidRDefault="00C2257F" w:rsidP="003D3059">
      <w:pPr>
        <w:numPr>
          <w:ilvl w:val="0"/>
          <w:numId w:val="2"/>
        </w:numPr>
        <w:ind w:left="0" w:firstLine="720"/>
        <w:jc w:val="both"/>
        <w:rPr>
          <w:rFonts w:ascii="Cambria" w:hAnsi="Cambria"/>
          <w:sz w:val="20"/>
          <w:szCs w:val="20"/>
        </w:rPr>
      </w:pPr>
      <w:r w:rsidRPr="008A7BD7">
        <w:rPr>
          <w:rFonts w:ascii="Cambria" w:eastAsia="Cambria" w:hAnsi="Cambria" w:cs="Cambria"/>
          <w:sz w:val="20"/>
          <w:szCs w:val="20"/>
        </w:rPr>
        <w:t>With respect to alternatives</w:t>
      </w:r>
      <w:r w:rsidR="004D1FCF" w:rsidRPr="008A7BD7">
        <w:rPr>
          <w:rFonts w:ascii="Cambria" w:eastAsia="Cambria" w:hAnsi="Cambria" w:cs="Cambria"/>
          <w:sz w:val="20"/>
          <w:szCs w:val="20"/>
        </w:rPr>
        <w:t xml:space="preserve"> </w:t>
      </w:r>
      <w:r w:rsidRPr="008A7BD7">
        <w:rPr>
          <w:rFonts w:ascii="Cambria" w:eastAsia="Cambria" w:hAnsi="Cambria" w:cs="Cambria"/>
          <w:sz w:val="20"/>
          <w:szCs w:val="20"/>
        </w:rPr>
        <w:t>to pretrial detention, the Commission observes that challenges remain for the implementation of an electronic surveillance system as an alternative to incarceration</w:t>
      </w:r>
      <w:r w:rsidR="004D1FCF" w:rsidRPr="008A7BD7">
        <w:rPr>
          <w:rFonts w:ascii="Cambria" w:eastAsia="Cambria" w:hAnsi="Cambria" w:cs="Cambria"/>
          <w:sz w:val="20"/>
          <w:szCs w:val="20"/>
        </w:rPr>
        <w:t xml:space="preserve">. </w:t>
      </w:r>
      <w:r w:rsidR="003739D9" w:rsidRPr="008A7BD7">
        <w:rPr>
          <w:rFonts w:ascii="Cambria" w:eastAsia="Cambria" w:hAnsi="Cambria" w:cs="Cambria"/>
          <w:sz w:val="20"/>
          <w:szCs w:val="20"/>
        </w:rPr>
        <w:t>According to publicly available information, the installation of</w:t>
      </w:r>
      <w:r w:rsidR="0019200D" w:rsidRPr="008A7BD7">
        <w:rPr>
          <w:rFonts w:ascii="Cambria" w:eastAsia="Cambria" w:hAnsi="Cambria" w:cs="Cambria"/>
          <w:sz w:val="20"/>
          <w:szCs w:val="20"/>
        </w:rPr>
        <w:t xml:space="preserve"> telematic monitoring, which took effect in December </w:t>
      </w:r>
      <w:r w:rsidR="004D1FCF" w:rsidRPr="008A7BD7">
        <w:rPr>
          <w:rFonts w:ascii="Cambria" w:eastAsia="Cambria" w:hAnsi="Cambria" w:cs="Cambria"/>
          <w:sz w:val="20"/>
          <w:szCs w:val="20"/>
        </w:rPr>
        <w:t xml:space="preserve">2016, </w:t>
      </w:r>
      <w:r w:rsidR="0019200D" w:rsidRPr="008A7BD7">
        <w:rPr>
          <w:rFonts w:ascii="Cambria" w:eastAsia="Cambria" w:hAnsi="Cambria" w:cs="Cambria"/>
          <w:sz w:val="20"/>
          <w:szCs w:val="20"/>
        </w:rPr>
        <w:t>continues to be behind schedule for administrative reasons.</w:t>
      </w:r>
      <w:r w:rsidR="004D1FCF" w:rsidRPr="008A7BD7">
        <w:rPr>
          <w:rFonts w:ascii="Cambria" w:eastAsia="Cambria" w:hAnsi="Cambria" w:cs="Cambria"/>
          <w:sz w:val="20"/>
          <w:szCs w:val="20"/>
          <w:vertAlign w:val="superscript"/>
        </w:rPr>
        <w:footnoteReference w:id="254"/>
      </w:r>
      <w:r w:rsidR="004D1FCF" w:rsidRPr="008A7BD7">
        <w:rPr>
          <w:rFonts w:ascii="Cambria" w:eastAsia="Cambria" w:hAnsi="Cambria" w:cs="Cambria"/>
          <w:sz w:val="20"/>
          <w:szCs w:val="20"/>
        </w:rPr>
        <w:t xml:space="preserve"> </w:t>
      </w:r>
      <w:r w:rsidR="0019200D" w:rsidRPr="008A7BD7">
        <w:rPr>
          <w:rFonts w:ascii="Cambria" w:eastAsia="Cambria" w:hAnsi="Cambria" w:cs="Cambria"/>
          <w:sz w:val="20"/>
          <w:szCs w:val="20"/>
        </w:rPr>
        <w:t>In July, the Ministry of the Interior reportedly rejected the actions of the commi</w:t>
      </w:r>
      <w:r w:rsidR="00190F3C" w:rsidRPr="008A7BD7">
        <w:rPr>
          <w:rFonts w:ascii="Cambria" w:eastAsia="Cambria" w:hAnsi="Cambria" w:cs="Cambria"/>
          <w:sz w:val="20"/>
          <w:szCs w:val="20"/>
        </w:rPr>
        <w:t xml:space="preserve">ttee handling the bidding on </w:t>
      </w:r>
      <w:r w:rsidR="00A67BE8" w:rsidRPr="008A7BD7">
        <w:rPr>
          <w:rFonts w:ascii="Cambria" w:eastAsia="Cambria" w:hAnsi="Cambria" w:cs="Cambria"/>
          <w:sz w:val="20"/>
          <w:szCs w:val="20"/>
        </w:rPr>
        <w:t>the lease to implement the system.</w:t>
      </w:r>
      <w:r w:rsidR="004D1FCF" w:rsidRPr="008A7BD7">
        <w:rPr>
          <w:rFonts w:ascii="Cambria" w:eastAsia="Cambria" w:hAnsi="Cambria" w:cs="Cambria"/>
          <w:sz w:val="20"/>
          <w:szCs w:val="20"/>
          <w:vertAlign w:val="superscript"/>
        </w:rPr>
        <w:footnoteReference w:id="255"/>
      </w:r>
      <w:r w:rsidR="004D1FCF" w:rsidRPr="008A7BD7">
        <w:rPr>
          <w:rFonts w:ascii="Cambria" w:eastAsia="Cambria" w:hAnsi="Cambria" w:cs="Cambria"/>
          <w:sz w:val="20"/>
          <w:szCs w:val="20"/>
        </w:rPr>
        <w:t xml:space="preserve"> </w:t>
      </w:r>
      <w:r w:rsidR="00A67BE8" w:rsidRPr="008A7BD7">
        <w:rPr>
          <w:rFonts w:ascii="Cambria" w:eastAsia="Cambria" w:hAnsi="Cambria" w:cs="Cambria"/>
          <w:sz w:val="20"/>
          <w:szCs w:val="20"/>
        </w:rPr>
        <w:t xml:space="preserve">The IACHR calls to mind that the use of measures other than pretrial detention </w:t>
      </w:r>
      <w:r w:rsidR="00C809E5" w:rsidRPr="008A7BD7">
        <w:rPr>
          <w:rFonts w:ascii="Cambria" w:eastAsia="Cambria" w:hAnsi="Cambria" w:cs="Cambria"/>
          <w:sz w:val="20"/>
          <w:szCs w:val="20"/>
        </w:rPr>
        <w:t>is one of the main steps to take to reduce the prison population.</w:t>
      </w:r>
      <w:r w:rsidR="004D1FCF" w:rsidRPr="008A7BD7">
        <w:rPr>
          <w:rFonts w:ascii="Cambria" w:eastAsia="Cambria" w:hAnsi="Cambria" w:cs="Cambria"/>
          <w:sz w:val="20"/>
          <w:szCs w:val="20"/>
          <w:vertAlign w:val="superscript"/>
        </w:rPr>
        <w:footnoteReference w:id="256"/>
      </w:r>
      <w:r w:rsidR="00C809E5" w:rsidRPr="008A7BD7">
        <w:rPr>
          <w:rFonts w:ascii="Cambria" w:eastAsia="Cambria" w:hAnsi="Cambria" w:cs="Cambria"/>
          <w:sz w:val="20"/>
          <w:szCs w:val="20"/>
        </w:rPr>
        <w:t xml:space="preserve"> It is also one of the most effective measures to, among other benefits, reduce recidivism and use public resources more effectively.</w:t>
      </w:r>
      <w:r w:rsidR="004D1FCF" w:rsidRPr="008A7BD7">
        <w:rPr>
          <w:rFonts w:ascii="Cambria" w:eastAsia="Cambria" w:hAnsi="Cambria" w:cs="Cambria"/>
          <w:sz w:val="20"/>
          <w:szCs w:val="20"/>
          <w:vertAlign w:val="superscript"/>
        </w:rPr>
        <w:footnoteReference w:id="257"/>
      </w:r>
      <w:r w:rsidR="004D1FCF" w:rsidRPr="008A7BD7">
        <w:rPr>
          <w:rFonts w:ascii="Cambria" w:eastAsia="Cambria" w:hAnsi="Cambria" w:cs="Cambria"/>
          <w:sz w:val="20"/>
          <w:szCs w:val="20"/>
        </w:rPr>
        <w:t xml:space="preserve"> </w:t>
      </w:r>
    </w:p>
    <w:p w14:paraId="372F55B0" w14:textId="77777777" w:rsidR="004D1FCF" w:rsidRPr="008A7BD7" w:rsidRDefault="004D1FCF" w:rsidP="004D1FCF">
      <w:pPr>
        <w:pStyle w:val="ListParagraph"/>
        <w:rPr>
          <w:rFonts w:ascii="Cambria" w:hAnsi="Cambria"/>
          <w:sz w:val="20"/>
          <w:szCs w:val="20"/>
        </w:rPr>
      </w:pPr>
    </w:p>
    <w:p w14:paraId="5215CC20" w14:textId="37B91BC8" w:rsidR="004D1FCF" w:rsidRPr="008A7BD7" w:rsidRDefault="00F35593" w:rsidP="003D3059">
      <w:pPr>
        <w:numPr>
          <w:ilvl w:val="0"/>
          <w:numId w:val="2"/>
        </w:numPr>
        <w:ind w:left="0" w:firstLine="720"/>
        <w:jc w:val="both"/>
        <w:rPr>
          <w:rFonts w:ascii="Cambria" w:hAnsi="Cambria"/>
          <w:sz w:val="20"/>
          <w:szCs w:val="20"/>
        </w:rPr>
      </w:pPr>
      <w:bookmarkStart w:id="9" w:name="_heading=h.d5zpakma0023" w:colFirst="0" w:colLast="0"/>
      <w:bookmarkEnd w:id="9"/>
      <w:r w:rsidRPr="008A7BD7">
        <w:rPr>
          <w:rFonts w:ascii="Cambria" w:eastAsia="Cambria" w:hAnsi="Cambria" w:cs="Cambria"/>
          <w:sz w:val="20"/>
          <w:szCs w:val="20"/>
        </w:rPr>
        <w:t>With respect to measures</w:t>
      </w:r>
      <w:r w:rsidR="004D1FCF" w:rsidRPr="008A7BD7">
        <w:rPr>
          <w:rFonts w:ascii="Cambria" w:eastAsia="Cambria" w:hAnsi="Cambria" w:cs="Cambria"/>
          <w:sz w:val="20"/>
          <w:szCs w:val="20"/>
        </w:rPr>
        <w:t xml:space="preserve"> </w:t>
      </w:r>
      <w:r w:rsidRPr="008A7BD7">
        <w:rPr>
          <w:rFonts w:ascii="Cambria" w:eastAsia="Cambria" w:hAnsi="Cambria" w:cs="Cambria"/>
          <w:sz w:val="20"/>
          <w:szCs w:val="20"/>
        </w:rPr>
        <w:t>implemented to guarantee the rights of persons deprived of liberty, the State reported the following</w:t>
      </w:r>
      <w:r w:rsidR="004D1FCF" w:rsidRPr="008A7BD7">
        <w:rPr>
          <w:rFonts w:ascii="Cambria" w:eastAsia="Cambria" w:hAnsi="Cambria" w:cs="Cambria"/>
          <w:sz w:val="20"/>
          <w:szCs w:val="20"/>
        </w:rPr>
        <w:t xml:space="preserve">: </w:t>
      </w:r>
      <w:r w:rsidRPr="008A7BD7">
        <w:rPr>
          <w:rFonts w:ascii="Cambria" w:eastAsia="Cambria" w:hAnsi="Cambria" w:cs="Cambria"/>
          <w:sz w:val="20"/>
          <w:szCs w:val="20"/>
        </w:rPr>
        <w:t>(</w:t>
      </w:r>
      <w:r w:rsidR="004D1FCF" w:rsidRPr="008A7BD7">
        <w:rPr>
          <w:rFonts w:ascii="Cambria" w:eastAsia="Cambria" w:hAnsi="Cambria" w:cs="Cambria"/>
          <w:sz w:val="20"/>
          <w:szCs w:val="20"/>
        </w:rPr>
        <w:t xml:space="preserve">i) </w:t>
      </w:r>
      <w:r w:rsidRPr="008A7BD7">
        <w:rPr>
          <w:rFonts w:ascii="Cambria" w:eastAsia="Cambria" w:hAnsi="Cambria" w:cs="Cambria"/>
          <w:sz w:val="20"/>
          <w:szCs w:val="20"/>
        </w:rPr>
        <w:t>development of academic activities on pretrial detention</w:t>
      </w:r>
      <w:r w:rsidR="004D1FCF" w:rsidRPr="008A7BD7">
        <w:rPr>
          <w:rFonts w:ascii="Cambria" w:eastAsia="Cambria" w:hAnsi="Cambria" w:cs="Cambria"/>
          <w:sz w:val="20"/>
          <w:szCs w:val="20"/>
        </w:rPr>
        <w:t xml:space="preserve">; </w:t>
      </w:r>
      <w:r w:rsidRPr="008A7BD7">
        <w:rPr>
          <w:rFonts w:ascii="Cambria" w:eastAsia="Cambria" w:hAnsi="Cambria" w:cs="Cambria"/>
          <w:sz w:val="20"/>
          <w:szCs w:val="20"/>
        </w:rPr>
        <w:t>(</w:t>
      </w:r>
      <w:r w:rsidR="004D1FCF" w:rsidRPr="008A7BD7">
        <w:rPr>
          <w:rFonts w:ascii="Cambria" w:eastAsia="Cambria" w:hAnsi="Cambria" w:cs="Cambria"/>
          <w:sz w:val="20"/>
          <w:szCs w:val="20"/>
        </w:rPr>
        <w:t>ii) implementa</w:t>
      </w:r>
      <w:r w:rsidRPr="008A7BD7">
        <w:rPr>
          <w:rFonts w:ascii="Cambria" w:eastAsia="Cambria" w:hAnsi="Cambria" w:cs="Cambria"/>
          <w:sz w:val="20"/>
          <w:szCs w:val="20"/>
        </w:rPr>
        <w:t xml:space="preserve">tion of </w:t>
      </w:r>
      <w:r w:rsidR="009B6721" w:rsidRPr="008A7BD7">
        <w:rPr>
          <w:rFonts w:ascii="Cambria" w:eastAsia="Cambria" w:hAnsi="Cambria" w:cs="Cambria"/>
          <w:sz w:val="20"/>
          <w:szCs w:val="20"/>
        </w:rPr>
        <w:t>information management systems in judicial and prison settings</w:t>
      </w:r>
      <w:r w:rsidR="004D1FCF" w:rsidRPr="008A7BD7">
        <w:rPr>
          <w:rFonts w:ascii="Cambria" w:eastAsia="Cambria" w:hAnsi="Cambria" w:cs="Cambria"/>
          <w:sz w:val="20"/>
          <w:szCs w:val="20"/>
        </w:rPr>
        <w:t xml:space="preserve">; </w:t>
      </w:r>
      <w:r w:rsidR="009B6721" w:rsidRPr="008A7BD7">
        <w:rPr>
          <w:rFonts w:ascii="Cambria" w:eastAsia="Cambria" w:hAnsi="Cambria" w:cs="Cambria"/>
          <w:sz w:val="20"/>
          <w:szCs w:val="20"/>
        </w:rPr>
        <w:t>(</w:t>
      </w:r>
      <w:r w:rsidR="004D1FCF" w:rsidRPr="008A7BD7">
        <w:rPr>
          <w:rFonts w:ascii="Cambria" w:eastAsia="Cambria" w:hAnsi="Cambria" w:cs="Cambria"/>
          <w:sz w:val="20"/>
          <w:szCs w:val="20"/>
        </w:rPr>
        <w:t xml:space="preserve">iii) </w:t>
      </w:r>
      <w:r w:rsidR="009B6721" w:rsidRPr="008A7BD7">
        <w:rPr>
          <w:rFonts w:ascii="Cambria" w:eastAsia="Cambria" w:hAnsi="Cambria" w:cs="Cambria"/>
          <w:sz w:val="20"/>
          <w:szCs w:val="20"/>
        </w:rPr>
        <w:t>increase in hearings held remotely</w:t>
      </w:r>
      <w:r w:rsidR="004D1FCF" w:rsidRPr="008A7BD7">
        <w:rPr>
          <w:rFonts w:ascii="Cambria" w:eastAsia="Cambria" w:hAnsi="Cambria" w:cs="Cambria"/>
          <w:sz w:val="20"/>
          <w:szCs w:val="20"/>
        </w:rPr>
        <w:t xml:space="preserve">; </w:t>
      </w:r>
      <w:r w:rsidR="009B6721" w:rsidRPr="008A7BD7">
        <w:rPr>
          <w:rFonts w:ascii="Cambria" w:eastAsia="Cambria" w:hAnsi="Cambria" w:cs="Cambria"/>
          <w:sz w:val="20"/>
          <w:szCs w:val="20"/>
        </w:rPr>
        <w:t>and</w:t>
      </w:r>
      <w:r w:rsidR="004D1FCF" w:rsidRPr="008A7BD7">
        <w:rPr>
          <w:rFonts w:ascii="Cambria" w:eastAsia="Cambria" w:hAnsi="Cambria" w:cs="Cambria"/>
          <w:sz w:val="20"/>
          <w:szCs w:val="20"/>
        </w:rPr>
        <w:t xml:space="preserve"> </w:t>
      </w:r>
      <w:r w:rsidR="009B6721" w:rsidRPr="008A7BD7">
        <w:rPr>
          <w:rFonts w:ascii="Cambria" w:eastAsia="Cambria" w:hAnsi="Cambria" w:cs="Cambria"/>
          <w:sz w:val="20"/>
          <w:szCs w:val="20"/>
        </w:rPr>
        <w:t>(</w:t>
      </w:r>
      <w:r w:rsidR="004D1FCF" w:rsidRPr="008A7BD7">
        <w:rPr>
          <w:rFonts w:ascii="Cambria" w:eastAsia="Cambria" w:hAnsi="Cambria" w:cs="Cambria"/>
          <w:sz w:val="20"/>
          <w:szCs w:val="20"/>
        </w:rPr>
        <w:t xml:space="preserve">iv) </w:t>
      </w:r>
      <w:r w:rsidR="009B6721" w:rsidRPr="008A7BD7">
        <w:rPr>
          <w:rFonts w:ascii="Cambria" w:eastAsia="Cambria" w:hAnsi="Cambria" w:cs="Cambria"/>
          <w:sz w:val="20"/>
          <w:szCs w:val="20"/>
        </w:rPr>
        <w:t xml:space="preserve">strengthening </w:t>
      </w:r>
      <w:r w:rsidR="00B03564" w:rsidRPr="008A7BD7">
        <w:rPr>
          <w:rFonts w:ascii="Cambria" w:eastAsia="Cambria" w:hAnsi="Cambria" w:cs="Cambria"/>
          <w:sz w:val="20"/>
          <w:szCs w:val="20"/>
        </w:rPr>
        <w:t xml:space="preserve">of </w:t>
      </w:r>
      <w:r w:rsidR="009B6721" w:rsidRPr="008A7BD7">
        <w:rPr>
          <w:rFonts w:ascii="Cambria" w:eastAsia="Cambria" w:hAnsi="Cambria" w:cs="Cambria"/>
          <w:sz w:val="20"/>
          <w:szCs w:val="20"/>
        </w:rPr>
        <w:t>public defender systems</w:t>
      </w:r>
      <w:r w:rsidR="004E4F7F" w:rsidRPr="008A7BD7">
        <w:rPr>
          <w:rFonts w:ascii="Cambria" w:eastAsia="Cambria" w:hAnsi="Cambria" w:cs="Cambria"/>
          <w:sz w:val="20"/>
          <w:szCs w:val="20"/>
        </w:rPr>
        <w:t xml:space="preserve"> for criminal cases</w:t>
      </w:r>
      <w:r w:rsidR="009B6721" w:rsidRPr="008A7BD7">
        <w:rPr>
          <w:rFonts w:ascii="Cambria" w:eastAsia="Cambria" w:hAnsi="Cambria" w:cs="Cambria"/>
          <w:sz w:val="20"/>
          <w:szCs w:val="20"/>
        </w:rPr>
        <w:t>.</w:t>
      </w:r>
      <w:r w:rsidR="004D1FCF" w:rsidRPr="008A7BD7">
        <w:rPr>
          <w:rFonts w:ascii="Cambria" w:eastAsia="Cambria" w:hAnsi="Cambria" w:cs="Cambria"/>
          <w:sz w:val="20"/>
          <w:szCs w:val="20"/>
          <w:vertAlign w:val="superscript"/>
        </w:rPr>
        <w:footnoteReference w:id="258"/>
      </w:r>
      <w:r w:rsidR="004D1FCF" w:rsidRPr="008A7BD7">
        <w:rPr>
          <w:rFonts w:ascii="Cambria" w:eastAsia="Cambria" w:hAnsi="Cambria" w:cs="Cambria"/>
          <w:sz w:val="20"/>
          <w:szCs w:val="20"/>
        </w:rPr>
        <w:t xml:space="preserve"> </w:t>
      </w:r>
      <w:r w:rsidR="009B6721" w:rsidRPr="008A7BD7">
        <w:rPr>
          <w:rFonts w:ascii="Cambria" w:eastAsia="Cambria" w:hAnsi="Cambria" w:cs="Cambria"/>
          <w:sz w:val="20"/>
          <w:szCs w:val="20"/>
        </w:rPr>
        <w:t xml:space="preserve">However, the Commission </w:t>
      </w:r>
      <w:r w:rsidR="005306F1" w:rsidRPr="008A7BD7">
        <w:rPr>
          <w:rFonts w:ascii="Cambria" w:eastAsia="Cambria" w:hAnsi="Cambria" w:cs="Cambria"/>
          <w:sz w:val="20"/>
          <w:szCs w:val="20"/>
        </w:rPr>
        <w:t>learned</w:t>
      </w:r>
      <w:r w:rsidR="009B6721" w:rsidRPr="008A7BD7">
        <w:rPr>
          <w:rFonts w:ascii="Cambria" w:eastAsia="Cambria" w:hAnsi="Cambria" w:cs="Cambria"/>
          <w:sz w:val="20"/>
          <w:szCs w:val="20"/>
        </w:rPr>
        <w:t xml:space="preserve"> about obstacles </w:t>
      </w:r>
      <w:r w:rsidR="005306F1" w:rsidRPr="008A7BD7">
        <w:rPr>
          <w:rFonts w:ascii="Cambria" w:eastAsia="Cambria" w:hAnsi="Cambria" w:cs="Cambria"/>
          <w:sz w:val="20"/>
          <w:szCs w:val="20"/>
        </w:rPr>
        <w:t>related to</w:t>
      </w:r>
      <w:r w:rsidR="009B6721" w:rsidRPr="008A7BD7">
        <w:rPr>
          <w:rFonts w:ascii="Cambria" w:eastAsia="Cambria" w:hAnsi="Cambria" w:cs="Cambria"/>
          <w:sz w:val="20"/>
          <w:szCs w:val="20"/>
        </w:rPr>
        <w:t xml:space="preserve"> these measures. Specifically, with respect to the implementation of judicial and prison information management systems, the </w:t>
      </w:r>
      <w:r w:rsidR="005306F1" w:rsidRPr="008A7BD7">
        <w:rPr>
          <w:rFonts w:ascii="Cambria" w:eastAsia="Cambria" w:hAnsi="Cambria" w:cs="Cambria"/>
          <w:sz w:val="20"/>
          <w:szCs w:val="20"/>
        </w:rPr>
        <w:t xml:space="preserve">State indicated that the </w:t>
      </w:r>
      <w:r w:rsidR="004D1FCF" w:rsidRPr="008A7BD7">
        <w:rPr>
          <w:rFonts w:ascii="Cambria" w:eastAsia="Cambria" w:hAnsi="Cambria" w:cs="Cambria"/>
          <w:sz w:val="20"/>
          <w:szCs w:val="20"/>
        </w:rPr>
        <w:t xml:space="preserve">23 </w:t>
      </w:r>
      <w:r w:rsidR="005306F1" w:rsidRPr="008A7BD7">
        <w:rPr>
          <w:rFonts w:ascii="Cambria" w:eastAsia="Cambria" w:hAnsi="Cambria" w:cs="Cambria"/>
          <w:sz w:val="20"/>
          <w:szCs w:val="20"/>
        </w:rPr>
        <w:t>correctional centers under the administration of the General Directorate of the Prison System are connected to the</w:t>
      </w:r>
      <w:r w:rsidR="00E209D4" w:rsidRPr="008A7BD7">
        <w:rPr>
          <w:rFonts w:ascii="Cambria" w:eastAsia="Cambria" w:hAnsi="Cambria" w:cs="Cambria"/>
          <w:sz w:val="20"/>
          <w:szCs w:val="20"/>
        </w:rPr>
        <w:t xml:space="preserve"> Prison Administration</w:t>
      </w:r>
      <w:r w:rsidR="005306F1" w:rsidRPr="008A7BD7">
        <w:rPr>
          <w:rFonts w:ascii="Cambria" w:eastAsia="Cambria" w:hAnsi="Cambria" w:cs="Cambria"/>
          <w:sz w:val="20"/>
          <w:szCs w:val="20"/>
        </w:rPr>
        <w:t xml:space="preserve"> </w:t>
      </w:r>
      <w:r w:rsidR="000D659E" w:rsidRPr="008A7BD7">
        <w:rPr>
          <w:rFonts w:ascii="Cambria" w:eastAsia="Cambria" w:hAnsi="Cambria" w:cs="Cambria"/>
          <w:sz w:val="20"/>
          <w:szCs w:val="20"/>
        </w:rPr>
        <w:t xml:space="preserve">Information System </w:t>
      </w:r>
      <w:r w:rsidR="004D1FCF" w:rsidRPr="008A7BD7">
        <w:rPr>
          <w:rFonts w:ascii="Cambria" w:eastAsia="Cambria" w:hAnsi="Cambria" w:cs="Cambria"/>
          <w:sz w:val="20"/>
          <w:szCs w:val="20"/>
        </w:rPr>
        <w:t xml:space="preserve">(SIAPEN), </w:t>
      </w:r>
      <w:r w:rsidR="000D659E" w:rsidRPr="008A7BD7">
        <w:rPr>
          <w:rFonts w:ascii="Cambria" w:eastAsia="Cambria" w:hAnsi="Cambria" w:cs="Cambria"/>
          <w:sz w:val="20"/>
          <w:szCs w:val="20"/>
        </w:rPr>
        <w:t xml:space="preserve">which </w:t>
      </w:r>
      <w:r w:rsidR="00E209D4" w:rsidRPr="008A7BD7">
        <w:rPr>
          <w:rFonts w:ascii="Cambria" w:eastAsia="Cambria" w:hAnsi="Cambria" w:cs="Cambria"/>
          <w:sz w:val="20"/>
          <w:szCs w:val="20"/>
        </w:rPr>
        <w:t>registers</w:t>
      </w:r>
      <w:r w:rsidR="000D659E" w:rsidRPr="008A7BD7">
        <w:rPr>
          <w:rFonts w:ascii="Cambria" w:eastAsia="Cambria" w:hAnsi="Cambria" w:cs="Cambria"/>
          <w:sz w:val="20"/>
          <w:szCs w:val="20"/>
        </w:rPr>
        <w:t xml:space="preserve"> the information provided by the </w:t>
      </w:r>
      <w:r w:rsidR="000D659E" w:rsidRPr="008A7BD7">
        <w:rPr>
          <w:rFonts w:ascii="Cambria" w:eastAsia="Cambria" w:hAnsi="Cambria" w:cs="Cambria"/>
          <w:sz w:val="20"/>
          <w:szCs w:val="20"/>
        </w:rPr>
        <w:lastRenderedPageBreak/>
        <w:t>judiciary on persons deprived of liberty.</w:t>
      </w:r>
      <w:r w:rsidR="004D1FCF" w:rsidRPr="008A7BD7">
        <w:rPr>
          <w:rFonts w:ascii="Cambria" w:eastAsia="Cambria" w:hAnsi="Cambria" w:cs="Cambria"/>
          <w:sz w:val="20"/>
          <w:szCs w:val="20"/>
          <w:vertAlign w:val="superscript"/>
        </w:rPr>
        <w:footnoteReference w:id="259"/>
      </w:r>
      <w:r w:rsidR="004D1FCF" w:rsidRPr="008A7BD7">
        <w:rPr>
          <w:rFonts w:ascii="Cambria" w:eastAsia="Cambria" w:hAnsi="Cambria" w:cs="Cambria"/>
          <w:sz w:val="20"/>
          <w:szCs w:val="20"/>
        </w:rPr>
        <w:t xml:space="preserve"> </w:t>
      </w:r>
      <w:r w:rsidR="000D659E" w:rsidRPr="008A7BD7">
        <w:rPr>
          <w:rFonts w:ascii="Cambria" w:eastAsia="Cambria" w:hAnsi="Cambria" w:cs="Cambria"/>
          <w:sz w:val="20"/>
          <w:szCs w:val="20"/>
        </w:rPr>
        <w:t xml:space="preserve">According to official data, </w:t>
      </w:r>
      <w:r w:rsidR="004D1FCF" w:rsidRPr="008A7BD7">
        <w:rPr>
          <w:rFonts w:ascii="Cambria" w:eastAsia="Cambria" w:hAnsi="Cambria" w:cs="Cambria"/>
          <w:sz w:val="20"/>
          <w:szCs w:val="20"/>
        </w:rPr>
        <w:t xml:space="preserve">SIAPEN </w:t>
      </w:r>
      <w:r w:rsidR="000D659E" w:rsidRPr="008A7BD7">
        <w:rPr>
          <w:rFonts w:ascii="Cambria" w:eastAsia="Cambria" w:hAnsi="Cambria" w:cs="Cambria"/>
          <w:sz w:val="20"/>
          <w:szCs w:val="20"/>
        </w:rPr>
        <w:t>has information related to the following</w:t>
      </w:r>
      <w:r w:rsidR="004D1FCF" w:rsidRPr="008A7BD7">
        <w:rPr>
          <w:rFonts w:ascii="Cambria" w:eastAsia="Cambria" w:hAnsi="Cambria" w:cs="Cambria"/>
          <w:sz w:val="20"/>
          <w:szCs w:val="20"/>
        </w:rPr>
        <w:t xml:space="preserve">: </w:t>
      </w:r>
      <w:r w:rsidR="000D659E" w:rsidRPr="008A7BD7">
        <w:rPr>
          <w:rFonts w:ascii="Cambria" w:eastAsia="Cambria" w:hAnsi="Cambria" w:cs="Cambria"/>
          <w:sz w:val="20"/>
          <w:szCs w:val="20"/>
        </w:rPr>
        <w:t>(</w:t>
      </w:r>
      <w:r w:rsidR="004D1FCF" w:rsidRPr="008A7BD7">
        <w:rPr>
          <w:rFonts w:ascii="Cambria" w:eastAsia="Cambria" w:hAnsi="Cambria" w:cs="Cambria"/>
          <w:sz w:val="20"/>
          <w:szCs w:val="20"/>
        </w:rPr>
        <w:t xml:space="preserve">i) </w:t>
      </w:r>
      <w:r w:rsidR="000D659E" w:rsidRPr="008A7BD7">
        <w:rPr>
          <w:rFonts w:ascii="Cambria" w:eastAsia="Cambria" w:hAnsi="Cambria" w:cs="Cambria"/>
          <w:sz w:val="20"/>
          <w:szCs w:val="20"/>
        </w:rPr>
        <w:t xml:space="preserve">the person’s case file, including photograph, full name, emergency contact, reason for and date of entry, where the person came from, location within the prison system, current status of criminal proceedings, and </w:t>
      </w:r>
      <w:r w:rsidR="00B03564" w:rsidRPr="008A7BD7">
        <w:rPr>
          <w:rFonts w:ascii="Cambria" w:eastAsia="Cambria" w:hAnsi="Cambria" w:cs="Cambria"/>
          <w:sz w:val="20"/>
          <w:szCs w:val="20"/>
        </w:rPr>
        <w:t xml:space="preserve">the </w:t>
      </w:r>
      <w:r w:rsidR="000D659E" w:rsidRPr="008A7BD7">
        <w:rPr>
          <w:rFonts w:ascii="Cambria" w:eastAsia="Cambria" w:hAnsi="Cambria" w:cs="Cambria"/>
          <w:sz w:val="20"/>
          <w:szCs w:val="20"/>
        </w:rPr>
        <w:t>court involved</w:t>
      </w:r>
      <w:r w:rsidR="004D1FCF" w:rsidRPr="008A7BD7">
        <w:rPr>
          <w:rFonts w:ascii="Cambria" w:eastAsia="Cambria" w:hAnsi="Cambria" w:cs="Cambria"/>
          <w:sz w:val="20"/>
          <w:szCs w:val="20"/>
        </w:rPr>
        <w:t xml:space="preserve">; </w:t>
      </w:r>
      <w:r w:rsidR="000D659E" w:rsidRPr="008A7BD7">
        <w:rPr>
          <w:rFonts w:ascii="Cambria" w:eastAsia="Cambria" w:hAnsi="Cambria" w:cs="Cambria"/>
          <w:sz w:val="20"/>
          <w:szCs w:val="20"/>
        </w:rPr>
        <w:t>(</w:t>
      </w:r>
      <w:r w:rsidR="004D1FCF" w:rsidRPr="008A7BD7">
        <w:rPr>
          <w:rFonts w:ascii="Cambria" w:eastAsia="Cambria" w:hAnsi="Cambria" w:cs="Cambria"/>
          <w:sz w:val="20"/>
          <w:szCs w:val="20"/>
        </w:rPr>
        <w:t xml:space="preserve">ii) </w:t>
      </w:r>
      <w:r w:rsidR="000D659E" w:rsidRPr="008A7BD7">
        <w:rPr>
          <w:rFonts w:ascii="Cambria" w:eastAsia="Cambria" w:hAnsi="Cambria" w:cs="Cambria"/>
          <w:sz w:val="20"/>
          <w:szCs w:val="20"/>
        </w:rPr>
        <w:t xml:space="preserve">complete personal data, including </w:t>
      </w:r>
      <w:r w:rsidR="00B03564" w:rsidRPr="008A7BD7">
        <w:rPr>
          <w:rFonts w:ascii="Cambria" w:eastAsia="Cambria" w:hAnsi="Cambria" w:cs="Cambria"/>
          <w:sz w:val="20"/>
          <w:szCs w:val="20"/>
        </w:rPr>
        <w:t xml:space="preserve">medical </w:t>
      </w:r>
      <w:r w:rsidR="004A4C5B" w:rsidRPr="008A7BD7">
        <w:rPr>
          <w:rFonts w:ascii="Cambria" w:eastAsia="Cambria" w:hAnsi="Cambria" w:cs="Cambria"/>
          <w:sz w:val="20"/>
          <w:szCs w:val="20"/>
        </w:rPr>
        <w:t>conditions</w:t>
      </w:r>
      <w:r w:rsidR="000D659E" w:rsidRPr="008A7BD7">
        <w:rPr>
          <w:rFonts w:ascii="Cambria" w:eastAsia="Cambria" w:hAnsi="Cambria" w:cs="Cambria"/>
          <w:sz w:val="20"/>
          <w:szCs w:val="20"/>
        </w:rPr>
        <w:t xml:space="preserve"> and physical description; </w:t>
      </w:r>
      <w:r w:rsidR="000B269A" w:rsidRPr="008A7BD7">
        <w:rPr>
          <w:rFonts w:ascii="Cambria" w:eastAsia="Cambria" w:hAnsi="Cambria" w:cs="Cambria"/>
          <w:sz w:val="20"/>
          <w:szCs w:val="20"/>
        </w:rPr>
        <w:t>(</w:t>
      </w:r>
      <w:r w:rsidR="004D1FCF" w:rsidRPr="008A7BD7">
        <w:rPr>
          <w:rFonts w:ascii="Cambria" w:eastAsia="Cambria" w:hAnsi="Cambria" w:cs="Cambria"/>
          <w:sz w:val="20"/>
          <w:szCs w:val="20"/>
        </w:rPr>
        <w:t>iii) informa</w:t>
      </w:r>
      <w:r w:rsidR="000B269A" w:rsidRPr="008A7BD7">
        <w:rPr>
          <w:rFonts w:ascii="Cambria" w:eastAsia="Cambria" w:hAnsi="Cambria" w:cs="Cambria"/>
          <w:sz w:val="20"/>
          <w:szCs w:val="20"/>
        </w:rPr>
        <w:t xml:space="preserve">tion on the person’s legal </w:t>
      </w:r>
      <w:r w:rsidR="004A4C5B" w:rsidRPr="008A7BD7">
        <w:rPr>
          <w:rFonts w:ascii="Cambria" w:eastAsia="Cambria" w:hAnsi="Cambria" w:cs="Cambria"/>
          <w:sz w:val="20"/>
          <w:szCs w:val="20"/>
        </w:rPr>
        <w:t>situation</w:t>
      </w:r>
      <w:r w:rsidR="000B269A" w:rsidRPr="008A7BD7">
        <w:rPr>
          <w:rFonts w:ascii="Cambria" w:eastAsia="Cambria" w:hAnsi="Cambria" w:cs="Cambria"/>
          <w:sz w:val="20"/>
          <w:szCs w:val="20"/>
        </w:rPr>
        <w:t>; and (</w:t>
      </w:r>
      <w:r w:rsidR="004D1FCF" w:rsidRPr="008A7BD7">
        <w:rPr>
          <w:rFonts w:ascii="Cambria" w:eastAsia="Cambria" w:hAnsi="Cambria" w:cs="Cambria"/>
          <w:sz w:val="20"/>
          <w:szCs w:val="20"/>
        </w:rPr>
        <w:t xml:space="preserve">iv) </w:t>
      </w:r>
      <w:r w:rsidR="000B269A" w:rsidRPr="008A7BD7">
        <w:rPr>
          <w:rFonts w:ascii="Cambria" w:eastAsia="Cambria" w:hAnsi="Cambria" w:cs="Cambria"/>
          <w:sz w:val="20"/>
          <w:szCs w:val="20"/>
        </w:rPr>
        <w:t>information about the person’s transfer, including location in the facility, arrival and departure dates, and the official who gives th</w:t>
      </w:r>
      <w:r w:rsidR="00834EAC" w:rsidRPr="008A7BD7">
        <w:rPr>
          <w:rFonts w:ascii="Cambria" w:eastAsia="Cambria" w:hAnsi="Cambria" w:cs="Cambria"/>
          <w:sz w:val="20"/>
          <w:szCs w:val="20"/>
        </w:rPr>
        <w:t>os</w:t>
      </w:r>
      <w:r w:rsidR="000B269A" w:rsidRPr="008A7BD7">
        <w:rPr>
          <w:rFonts w:ascii="Cambria" w:eastAsia="Cambria" w:hAnsi="Cambria" w:cs="Cambria"/>
          <w:sz w:val="20"/>
          <w:szCs w:val="20"/>
        </w:rPr>
        <w:t>e orders.</w:t>
      </w:r>
      <w:r w:rsidR="004D1FCF" w:rsidRPr="008A7BD7">
        <w:rPr>
          <w:rFonts w:ascii="Cambria" w:eastAsia="Cambria" w:hAnsi="Cambria" w:cs="Cambria"/>
          <w:sz w:val="20"/>
          <w:szCs w:val="20"/>
          <w:vertAlign w:val="superscript"/>
        </w:rPr>
        <w:footnoteReference w:id="260"/>
      </w:r>
      <w:r w:rsidR="00764782" w:rsidRPr="008A7BD7">
        <w:rPr>
          <w:rFonts w:ascii="Cambria" w:eastAsia="Cambria" w:hAnsi="Cambria" w:cs="Cambria"/>
          <w:sz w:val="20"/>
          <w:szCs w:val="20"/>
        </w:rPr>
        <w:t xml:space="preserve"> In addition, the State reported that </w:t>
      </w:r>
      <w:r w:rsidR="00E209D4" w:rsidRPr="008A7BD7">
        <w:rPr>
          <w:rFonts w:ascii="Cambria" w:eastAsia="Cambria" w:hAnsi="Cambria" w:cs="Cambria"/>
          <w:sz w:val="20"/>
          <w:szCs w:val="20"/>
        </w:rPr>
        <w:t xml:space="preserve">there is </w:t>
      </w:r>
      <w:r w:rsidR="00764782" w:rsidRPr="008A7BD7">
        <w:rPr>
          <w:rFonts w:ascii="Cambria" w:eastAsia="Cambria" w:hAnsi="Cambria" w:cs="Cambria"/>
          <w:sz w:val="20"/>
          <w:szCs w:val="20"/>
        </w:rPr>
        <w:t>a Central Regist</w:t>
      </w:r>
      <w:r w:rsidR="007D657F" w:rsidRPr="008A7BD7">
        <w:rPr>
          <w:rFonts w:ascii="Cambria" w:eastAsia="Cambria" w:hAnsi="Cambria" w:cs="Cambria"/>
          <w:sz w:val="20"/>
          <w:szCs w:val="20"/>
        </w:rPr>
        <w:t>er</w:t>
      </w:r>
      <w:r w:rsidR="00764782" w:rsidRPr="008A7BD7">
        <w:rPr>
          <w:rFonts w:ascii="Cambria" w:eastAsia="Cambria" w:hAnsi="Cambria" w:cs="Cambria"/>
          <w:sz w:val="20"/>
          <w:szCs w:val="20"/>
        </w:rPr>
        <w:t xml:space="preserve"> on Persons in Custody</w:t>
      </w:r>
      <w:r w:rsidR="004D1FCF" w:rsidRPr="008A7BD7">
        <w:rPr>
          <w:rFonts w:ascii="Cambria" w:eastAsia="Cambria" w:hAnsi="Cambria" w:cs="Cambria"/>
          <w:sz w:val="20"/>
          <w:szCs w:val="20"/>
        </w:rPr>
        <w:t xml:space="preserve"> (RECEDE)</w:t>
      </w:r>
      <w:r w:rsidR="00764782" w:rsidRPr="008A7BD7">
        <w:rPr>
          <w:rFonts w:ascii="Cambria" w:eastAsia="Cambria" w:hAnsi="Cambria" w:cs="Cambria"/>
          <w:sz w:val="20"/>
          <w:szCs w:val="20"/>
        </w:rPr>
        <w:t xml:space="preserve">, which </w:t>
      </w:r>
      <w:r w:rsidR="00E209D4" w:rsidRPr="008A7BD7">
        <w:rPr>
          <w:rFonts w:ascii="Cambria" w:eastAsia="Cambria" w:hAnsi="Cambria" w:cs="Cambria"/>
          <w:sz w:val="20"/>
          <w:szCs w:val="20"/>
        </w:rPr>
        <w:t xml:space="preserve">keeps </w:t>
      </w:r>
      <w:r w:rsidR="00764782" w:rsidRPr="008A7BD7">
        <w:rPr>
          <w:rFonts w:ascii="Cambria" w:eastAsia="Cambria" w:hAnsi="Cambria" w:cs="Cambria"/>
          <w:sz w:val="20"/>
          <w:szCs w:val="20"/>
        </w:rPr>
        <w:t xml:space="preserve">similar </w:t>
      </w:r>
      <w:r w:rsidR="00E209D4" w:rsidRPr="008A7BD7">
        <w:rPr>
          <w:rFonts w:ascii="Cambria" w:eastAsia="Cambria" w:hAnsi="Cambria" w:cs="Cambria"/>
          <w:sz w:val="20"/>
          <w:szCs w:val="20"/>
        </w:rPr>
        <w:t>records</w:t>
      </w:r>
      <w:r w:rsidR="00764782" w:rsidRPr="008A7BD7">
        <w:rPr>
          <w:rFonts w:ascii="Cambria" w:eastAsia="Cambria" w:hAnsi="Cambria" w:cs="Cambria"/>
          <w:sz w:val="20"/>
          <w:szCs w:val="20"/>
        </w:rPr>
        <w:t xml:space="preserve"> on people who are being </w:t>
      </w:r>
      <w:r w:rsidR="00834EAC" w:rsidRPr="008A7BD7">
        <w:rPr>
          <w:rFonts w:ascii="Cambria" w:eastAsia="Cambria" w:hAnsi="Cambria" w:cs="Cambria"/>
          <w:sz w:val="20"/>
          <w:szCs w:val="20"/>
        </w:rPr>
        <w:t>held</w:t>
      </w:r>
      <w:r w:rsidR="00764782" w:rsidRPr="008A7BD7">
        <w:rPr>
          <w:rFonts w:ascii="Cambria" w:eastAsia="Cambria" w:hAnsi="Cambria" w:cs="Cambria"/>
          <w:sz w:val="20"/>
          <w:szCs w:val="20"/>
        </w:rPr>
        <w:t>.</w:t>
      </w:r>
      <w:r w:rsidR="004D1FCF" w:rsidRPr="008A7BD7">
        <w:rPr>
          <w:rFonts w:ascii="Cambria" w:eastAsia="Cambria" w:hAnsi="Cambria" w:cs="Cambria"/>
          <w:sz w:val="20"/>
          <w:szCs w:val="20"/>
          <w:vertAlign w:val="superscript"/>
        </w:rPr>
        <w:footnoteReference w:id="261"/>
      </w:r>
      <w:r w:rsidR="004D1FCF" w:rsidRPr="008A7BD7">
        <w:rPr>
          <w:rFonts w:ascii="Cambria" w:eastAsia="Cambria" w:hAnsi="Cambria" w:cs="Cambria"/>
          <w:sz w:val="20"/>
          <w:szCs w:val="20"/>
        </w:rPr>
        <w:t xml:space="preserve"> </w:t>
      </w:r>
    </w:p>
    <w:p w14:paraId="27F5A3EF" w14:textId="77777777" w:rsidR="004D1FCF" w:rsidRPr="008A7BD7" w:rsidRDefault="004D1FCF" w:rsidP="004D1FCF">
      <w:pPr>
        <w:ind w:left="720"/>
        <w:jc w:val="both"/>
        <w:rPr>
          <w:rFonts w:ascii="Cambria" w:hAnsi="Cambria"/>
          <w:sz w:val="20"/>
          <w:szCs w:val="20"/>
        </w:rPr>
      </w:pPr>
    </w:p>
    <w:p w14:paraId="2944CF7A" w14:textId="39CF1A6A" w:rsidR="004D1FCF" w:rsidRPr="008A7BD7" w:rsidRDefault="003C19EC" w:rsidP="003D3059">
      <w:pPr>
        <w:numPr>
          <w:ilvl w:val="0"/>
          <w:numId w:val="2"/>
        </w:numPr>
        <w:ind w:left="0" w:firstLine="720"/>
        <w:jc w:val="both"/>
        <w:rPr>
          <w:rFonts w:ascii="Cambria" w:hAnsi="Cambria"/>
          <w:sz w:val="20"/>
          <w:szCs w:val="20"/>
        </w:rPr>
      </w:pPr>
      <w:r w:rsidRPr="008A7BD7">
        <w:rPr>
          <w:rFonts w:ascii="Cambria" w:eastAsia="Cambria" w:hAnsi="Cambria" w:cs="Cambria"/>
          <w:sz w:val="20"/>
          <w:szCs w:val="20"/>
        </w:rPr>
        <w:t xml:space="preserve">However, as the Commission was informed by civil society, the records at Guatemalan detention centers </w:t>
      </w:r>
      <w:r w:rsidR="00B60ABF" w:rsidRPr="008A7BD7">
        <w:rPr>
          <w:rFonts w:ascii="Cambria" w:eastAsia="Cambria" w:hAnsi="Cambria" w:cs="Cambria"/>
          <w:sz w:val="20"/>
          <w:szCs w:val="20"/>
        </w:rPr>
        <w:t>have flaws, which include, most notably</w:t>
      </w:r>
      <w:r w:rsidR="004D1FCF" w:rsidRPr="008A7BD7">
        <w:rPr>
          <w:rFonts w:ascii="Cambria" w:eastAsia="Cambria" w:hAnsi="Cambria" w:cs="Cambria"/>
          <w:sz w:val="20"/>
          <w:szCs w:val="20"/>
        </w:rPr>
        <w:t xml:space="preserve">: </w:t>
      </w:r>
      <w:r w:rsidR="005E060E" w:rsidRPr="008A7BD7">
        <w:rPr>
          <w:rFonts w:ascii="Cambria" w:eastAsia="Cambria" w:hAnsi="Cambria" w:cs="Cambria"/>
          <w:sz w:val="20"/>
          <w:szCs w:val="20"/>
        </w:rPr>
        <w:t>(</w:t>
      </w:r>
      <w:r w:rsidR="004D1FCF" w:rsidRPr="008A7BD7">
        <w:rPr>
          <w:rFonts w:ascii="Cambria" w:eastAsia="Cambria" w:hAnsi="Cambria" w:cs="Cambria"/>
          <w:sz w:val="20"/>
          <w:szCs w:val="20"/>
        </w:rPr>
        <w:t xml:space="preserve">i) </w:t>
      </w:r>
      <w:r w:rsidR="005E060E" w:rsidRPr="008A7BD7">
        <w:rPr>
          <w:rFonts w:ascii="Cambria" w:eastAsia="Cambria" w:hAnsi="Cambria" w:cs="Cambria"/>
          <w:sz w:val="20"/>
          <w:szCs w:val="20"/>
        </w:rPr>
        <w:t xml:space="preserve">a failure to update in real time the legal </w:t>
      </w:r>
      <w:r w:rsidR="00987EF2" w:rsidRPr="008A7BD7">
        <w:rPr>
          <w:rFonts w:ascii="Cambria" w:eastAsia="Cambria" w:hAnsi="Cambria" w:cs="Cambria"/>
          <w:sz w:val="20"/>
          <w:szCs w:val="20"/>
        </w:rPr>
        <w:t>status</w:t>
      </w:r>
      <w:r w:rsidR="005E060E" w:rsidRPr="008A7BD7">
        <w:rPr>
          <w:rFonts w:ascii="Cambria" w:eastAsia="Cambria" w:hAnsi="Cambria" w:cs="Cambria"/>
          <w:sz w:val="20"/>
          <w:szCs w:val="20"/>
        </w:rPr>
        <w:t xml:space="preserve"> of persons deprived of liberty</w:t>
      </w:r>
      <w:r w:rsidR="004D1FCF" w:rsidRPr="008A7BD7">
        <w:rPr>
          <w:rFonts w:ascii="Cambria" w:eastAsia="Cambria" w:hAnsi="Cambria" w:cs="Cambria"/>
          <w:sz w:val="20"/>
          <w:szCs w:val="20"/>
        </w:rPr>
        <w:t xml:space="preserve">; </w:t>
      </w:r>
      <w:r w:rsidR="005E060E" w:rsidRPr="008A7BD7">
        <w:rPr>
          <w:rFonts w:ascii="Cambria" w:eastAsia="Cambria" w:hAnsi="Cambria" w:cs="Cambria"/>
          <w:sz w:val="20"/>
          <w:szCs w:val="20"/>
        </w:rPr>
        <w:t>(</w:t>
      </w:r>
      <w:r w:rsidR="004D1FCF" w:rsidRPr="008A7BD7">
        <w:rPr>
          <w:rFonts w:ascii="Cambria" w:eastAsia="Cambria" w:hAnsi="Cambria" w:cs="Cambria"/>
          <w:sz w:val="20"/>
          <w:szCs w:val="20"/>
        </w:rPr>
        <w:t xml:space="preserve">ii) </w:t>
      </w:r>
      <w:r w:rsidR="005E060E" w:rsidRPr="008A7BD7">
        <w:rPr>
          <w:rFonts w:ascii="Cambria" w:eastAsia="Cambria" w:hAnsi="Cambria" w:cs="Cambria"/>
          <w:sz w:val="20"/>
          <w:szCs w:val="20"/>
        </w:rPr>
        <w:t>the lack of a gender-based approach</w:t>
      </w:r>
      <w:r w:rsidR="004D1FCF" w:rsidRPr="008A7BD7">
        <w:rPr>
          <w:rFonts w:ascii="Cambria" w:eastAsia="Cambria" w:hAnsi="Cambria" w:cs="Cambria"/>
          <w:sz w:val="20"/>
          <w:szCs w:val="20"/>
        </w:rPr>
        <w:t xml:space="preserve">; </w:t>
      </w:r>
      <w:r w:rsidR="005E060E" w:rsidRPr="008A7BD7">
        <w:rPr>
          <w:rFonts w:ascii="Cambria" w:eastAsia="Cambria" w:hAnsi="Cambria" w:cs="Cambria"/>
          <w:sz w:val="20"/>
          <w:szCs w:val="20"/>
        </w:rPr>
        <w:t>and</w:t>
      </w:r>
      <w:r w:rsidR="004D1FCF" w:rsidRPr="008A7BD7">
        <w:rPr>
          <w:rFonts w:ascii="Cambria" w:eastAsia="Cambria" w:hAnsi="Cambria" w:cs="Cambria"/>
          <w:sz w:val="20"/>
          <w:szCs w:val="20"/>
        </w:rPr>
        <w:t xml:space="preserve"> </w:t>
      </w:r>
      <w:r w:rsidR="005E060E" w:rsidRPr="008A7BD7">
        <w:rPr>
          <w:rFonts w:ascii="Cambria" w:eastAsia="Cambria" w:hAnsi="Cambria" w:cs="Cambria"/>
          <w:sz w:val="20"/>
          <w:szCs w:val="20"/>
        </w:rPr>
        <w:t>(</w:t>
      </w:r>
      <w:r w:rsidR="004D1FCF" w:rsidRPr="008A7BD7">
        <w:rPr>
          <w:rFonts w:ascii="Cambria" w:eastAsia="Cambria" w:hAnsi="Cambria" w:cs="Cambria"/>
          <w:sz w:val="20"/>
          <w:szCs w:val="20"/>
        </w:rPr>
        <w:t xml:space="preserve">iii) </w:t>
      </w:r>
      <w:r w:rsidR="005E060E" w:rsidRPr="008A7BD7">
        <w:rPr>
          <w:rFonts w:ascii="Cambria" w:eastAsia="Cambria" w:hAnsi="Cambria" w:cs="Cambria"/>
          <w:sz w:val="20"/>
          <w:szCs w:val="20"/>
        </w:rPr>
        <w:t>the absence of any consideration of the children who live with their mothers in prison.</w:t>
      </w:r>
      <w:r w:rsidR="004D1FCF" w:rsidRPr="008A7BD7">
        <w:rPr>
          <w:rFonts w:ascii="Cambria" w:eastAsia="Cambria" w:hAnsi="Cambria" w:cs="Cambria"/>
          <w:sz w:val="20"/>
          <w:szCs w:val="20"/>
          <w:vertAlign w:val="superscript"/>
        </w:rPr>
        <w:footnoteReference w:id="262"/>
      </w:r>
      <w:r w:rsidR="004D1FCF" w:rsidRPr="008A7BD7">
        <w:rPr>
          <w:rFonts w:ascii="Cambria" w:eastAsia="Cambria" w:hAnsi="Cambria" w:cs="Cambria"/>
          <w:sz w:val="20"/>
          <w:szCs w:val="20"/>
        </w:rPr>
        <w:t xml:space="preserve"> </w:t>
      </w:r>
      <w:r w:rsidR="007D657F" w:rsidRPr="008A7BD7">
        <w:rPr>
          <w:rFonts w:ascii="Cambria" w:eastAsia="Cambria" w:hAnsi="Cambria" w:cs="Cambria"/>
          <w:sz w:val="20"/>
          <w:szCs w:val="20"/>
        </w:rPr>
        <w:t xml:space="preserve">Moreover, according to civil society, the RECEDE is not linked to the </w:t>
      </w:r>
      <w:r w:rsidR="00E209D4" w:rsidRPr="008A7BD7">
        <w:rPr>
          <w:rFonts w:ascii="Cambria" w:eastAsia="Cambria" w:hAnsi="Cambria" w:cs="Cambria"/>
          <w:sz w:val="20"/>
          <w:szCs w:val="20"/>
        </w:rPr>
        <w:t xml:space="preserve">prison system’s </w:t>
      </w:r>
      <w:r w:rsidR="004A4C5B" w:rsidRPr="008A7BD7">
        <w:rPr>
          <w:rFonts w:ascii="Cambria" w:eastAsia="Cambria" w:hAnsi="Cambria" w:cs="Cambria"/>
          <w:sz w:val="20"/>
          <w:szCs w:val="20"/>
        </w:rPr>
        <w:t>records</w:t>
      </w:r>
      <w:r w:rsidR="00E209D4" w:rsidRPr="008A7BD7">
        <w:rPr>
          <w:rFonts w:ascii="Cambria" w:eastAsia="Cambria" w:hAnsi="Cambria" w:cs="Cambria"/>
          <w:sz w:val="20"/>
          <w:szCs w:val="20"/>
        </w:rPr>
        <w:t xml:space="preserve">, which reportedly leads to delays in the provision of information and legal status </w:t>
      </w:r>
      <w:r w:rsidR="00987EF2" w:rsidRPr="008A7BD7">
        <w:rPr>
          <w:rFonts w:ascii="Cambria" w:eastAsia="Cambria" w:hAnsi="Cambria" w:cs="Cambria"/>
          <w:sz w:val="20"/>
          <w:szCs w:val="20"/>
        </w:rPr>
        <w:t>with respect to</w:t>
      </w:r>
      <w:r w:rsidR="00E209D4" w:rsidRPr="008A7BD7">
        <w:rPr>
          <w:rFonts w:ascii="Cambria" w:eastAsia="Cambria" w:hAnsi="Cambria" w:cs="Cambria"/>
          <w:sz w:val="20"/>
          <w:szCs w:val="20"/>
        </w:rPr>
        <w:t xml:space="preserve"> those in custody.</w:t>
      </w:r>
      <w:r w:rsidR="004D1FCF" w:rsidRPr="008A7BD7">
        <w:rPr>
          <w:rFonts w:ascii="Cambria" w:eastAsia="Cambria" w:hAnsi="Cambria" w:cs="Cambria"/>
          <w:sz w:val="20"/>
          <w:szCs w:val="20"/>
          <w:vertAlign w:val="superscript"/>
        </w:rPr>
        <w:footnoteReference w:id="263"/>
      </w:r>
      <w:r w:rsidR="00E209D4" w:rsidRPr="008A7BD7">
        <w:rPr>
          <w:rFonts w:ascii="Cambria" w:eastAsia="Cambria" w:hAnsi="Cambria" w:cs="Cambria"/>
          <w:sz w:val="20"/>
          <w:szCs w:val="20"/>
        </w:rPr>
        <w:t xml:space="preserve"> </w:t>
      </w:r>
      <w:r w:rsidR="004D1FCF" w:rsidRPr="008A7BD7">
        <w:rPr>
          <w:rFonts w:ascii="Cambria" w:eastAsia="Cambria" w:hAnsi="Cambria" w:cs="Cambria"/>
          <w:sz w:val="20"/>
          <w:szCs w:val="20"/>
        </w:rPr>
        <w:t xml:space="preserve"> </w:t>
      </w:r>
    </w:p>
    <w:p w14:paraId="2191126A" w14:textId="77777777" w:rsidR="004D1FCF" w:rsidRPr="008A7BD7" w:rsidRDefault="004D1FCF" w:rsidP="004D1FCF">
      <w:pPr>
        <w:pStyle w:val="ListParagraph"/>
        <w:rPr>
          <w:rFonts w:ascii="Cambria" w:hAnsi="Cambria"/>
          <w:sz w:val="20"/>
          <w:szCs w:val="20"/>
        </w:rPr>
      </w:pPr>
    </w:p>
    <w:p w14:paraId="7AE9E3E7" w14:textId="0935B3E0" w:rsidR="004D1FCF" w:rsidRPr="008A7BD7" w:rsidRDefault="00FD3A0D" w:rsidP="003D3059">
      <w:pPr>
        <w:numPr>
          <w:ilvl w:val="0"/>
          <w:numId w:val="2"/>
        </w:numPr>
        <w:ind w:left="0" w:firstLine="720"/>
        <w:jc w:val="both"/>
        <w:rPr>
          <w:rFonts w:ascii="Cambria" w:hAnsi="Cambria"/>
          <w:color w:val="000000" w:themeColor="text1"/>
          <w:sz w:val="20"/>
          <w:szCs w:val="20"/>
        </w:rPr>
      </w:pPr>
      <w:bookmarkStart w:id="12" w:name="_heading=h.3znysh7" w:colFirst="0" w:colLast="0"/>
      <w:bookmarkEnd w:id="12"/>
      <w:r w:rsidRPr="008A7BD7">
        <w:rPr>
          <w:rFonts w:ascii="Cambria" w:eastAsia="Cambria" w:hAnsi="Cambria" w:cs="Cambria"/>
          <w:sz w:val="20"/>
          <w:szCs w:val="20"/>
        </w:rPr>
        <w:t xml:space="preserve">With respect to the increase in the number of remote hearings held in detention centers, the State reported that, according to official </w:t>
      </w:r>
      <w:r w:rsidR="0032276B" w:rsidRPr="008A7BD7">
        <w:rPr>
          <w:rFonts w:ascii="Cambria" w:eastAsia="Cambria" w:hAnsi="Cambria" w:cs="Cambria"/>
          <w:sz w:val="20"/>
          <w:szCs w:val="20"/>
        </w:rPr>
        <w:t>data</w:t>
      </w:r>
      <w:r w:rsidRPr="008A7BD7">
        <w:rPr>
          <w:rFonts w:ascii="Cambria" w:eastAsia="Cambria" w:hAnsi="Cambria" w:cs="Cambria"/>
          <w:sz w:val="20"/>
          <w:szCs w:val="20"/>
        </w:rPr>
        <w:t xml:space="preserve"> from the </w:t>
      </w:r>
      <w:r w:rsidR="00854CAF" w:rsidRPr="008A7BD7">
        <w:rPr>
          <w:rFonts w:ascii="Cambria" w:eastAsia="Cambria" w:hAnsi="Cambria" w:cs="Cambria"/>
          <w:sz w:val="20"/>
          <w:szCs w:val="20"/>
        </w:rPr>
        <w:t>Ministry of the Interior (</w:t>
      </w:r>
      <w:proofErr w:type="spellStart"/>
      <w:r w:rsidR="004D1FCF" w:rsidRPr="008A7BD7">
        <w:rPr>
          <w:rFonts w:ascii="Cambria" w:eastAsia="Cambria" w:hAnsi="Cambria" w:cs="Cambria"/>
          <w:i/>
          <w:iCs/>
          <w:sz w:val="20"/>
          <w:szCs w:val="20"/>
        </w:rPr>
        <w:t>Ministerio</w:t>
      </w:r>
      <w:proofErr w:type="spellEnd"/>
      <w:r w:rsidR="004D1FCF" w:rsidRPr="008A7BD7">
        <w:rPr>
          <w:rFonts w:ascii="Cambria" w:eastAsia="Cambria" w:hAnsi="Cambria" w:cs="Cambria"/>
          <w:i/>
          <w:iCs/>
          <w:sz w:val="20"/>
          <w:szCs w:val="20"/>
        </w:rPr>
        <w:t xml:space="preserve"> de </w:t>
      </w:r>
      <w:proofErr w:type="spellStart"/>
      <w:r w:rsidR="004D1FCF" w:rsidRPr="008A7BD7">
        <w:rPr>
          <w:rFonts w:ascii="Cambria" w:eastAsia="Cambria" w:hAnsi="Cambria" w:cs="Cambria"/>
          <w:i/>
          <w:iCs/>
          <w:sz w:val="20"/>
          <w:szCs w:val="20"/>
        </w:rPr>
        <w:t>Gobernación</w:t>
      </w:r>
      <w:proofErr w:type="spellEnd"/>
      <w:r w:rsidR="00854CAF" w:rsidRPr="008A7BD7">
        <w:rPr>
          <w:rFonts w:ascii="Cambria" w:eastAsia="Cambria" w:hAnsi="Cambria" w:cs="Cambria"/>
          <w:sz w:val="20"/>
          <w:szCs w:val="20"/>
        </w:rPr>
        <w:t>)</w:t>
      </w:r>
      <w:r w:rsidR="004D1FCF" w:rsidRPr="008A7BD7">
        <w:rPr>
          <w:rFonts w:ascii="Cambria" w:eastAsia="Cambria" w:hAnsi="Cambria" w:cs="Cambria"/>
          <w:sz w:val="20"/>
          <w:szCs w:val="20"/>
        </w:rPr>
        <w:t>,</w:t>
      </w:r>
      <w:r w:rsidR="00854CAF" w:rsidRPr="008A7BD7">
        <w:rPr>
          <w:rFonts w:ascii="Cambria" w:eastAsia="Cambria" w:hAnsi="Cambria" w:cs="Cambria"/>
          <w:sz w:val="20"/>
          <w:szCs w:val="20"/>
        </w:rPr>
        <w:t xml:space="preserve"> 1,885 videoconferences had been held from different prisons in 2021, through May 31, whereas in 2020 there wer</w:t>
      </w:r>
      <w:r w:rsidR="003A69FF" w:rsidRPr="008A7BD7">
        <w:rPr>
          <w:rFonts w:ascii="Cambria" w:eastAsia="Cambria" w:hAnsi="Cambria" w:cs="Cambria"/>
          <w:sz w:val="20"/>
          <w:szCs w:val="20"/>
        </w:rPr>
        <w:t>e</w:t>
      </w:r>
      <w:r w:rsidR="00854CAF" w:rsidRPr="008A7BD7">
        <w:rPr>
          <w:rFonts w:ascii="Cambria" w:eastAsia="Cambria" w:hAnsi="Cambria" w:cs="Cambria"/>
          <w:sz w:val="20"/>
          <w:szCs w:val="20"/>
        </w:rPr>
        <w:t xml:space="preserve"> a total of 1,</w:t>
      </w:r>
      <w:r w:rsidR="004D1FCF" w:rsidRPr="008A7BD7">
        <w:rPr>
          <w:rFonts w:ascii="Cambria" w:eastAsia="Cambria" w:hAnsi="Cambria" w:cs="Cambria"/>
          <w:sz w:val="20"/>
          <w:szCs w:val="20"/>
        </w:rPr>
        <w:t xml:space="preserve">943 </w:t>
      </w:r>
      <w:r w:rsidR="00854CAF" w:rsidRPr="008A7BD7">
        <w:rPr>
          <w:rFonts w:ascii="Cambria" w:eastAsia="Cambria" w:hAnsi="Cambria" w:cs="Cambria"/>
          <w:sz w:val="20"/>
          <w:szCs w:val="20"/>
        </w:rPr>
        <w:t>virtual hearings.</w:t>
      </w:r>
      <w:r w:rsidR="004D1FCF" w:rsidRPr="008A7BD7">
        <w:rPr>
          <w:rFonts w:ascii="Cambria" w:eastAsia="Cambria" w:hAnsi="Cambria" w:cs="Cambria"/>
          <w:sz w:val="20"/>
          <w:szCs w:val="20"/>
          <w:vertAlign w:val="superscript"/>
        </w:rPr>
        <w:footnoteReference w:id="264"/>
      </w:r>
      <w:r w:rsidR="004D1FCF" w:rsidRPr="008A7BD7">
        <w:rPr>
          <w:rFonts w:ascii="Cambria" w:eastAsia="Cambria" w:hAnsi="Cambria" w:cs="Cambria"/>
          <w:sz w:val="20"/>
          <w:szCs w:val="20"/>
        </w:rPr>
        <w:t xml:space="preserve"> </w:t>
      </w:r>
      <w:r w:rsidR="00365CCA" w:rsidRPr="008A7BD7">
        <w:rPr>
          <w:rFonts w:ascii="Cambria" w:eastAsia="Cambria" w:hAnsi="Cambria" w:cs="Cambria"/>
          <w:sz w:val="20"/>
          <w:szCs w:val="20"/>
        </w:rPr>
        <w:t>In addition, official information from the judiciary</w:t>
      </w:r>
      <w:r w:rsidR="003A69FF" w:rsidRPr="008A7BD7">
        <w:rPr>
          <w:rFonts w:ascii="Cambria" w:eastAsia="Cambria" w:hAnsi="Cambria" w:cs="Cambria"/>
          <w:sz w:val="20"/>
          <w:szCs w:val="20"/>
        </w:rPr>
        <w:t xml:space="preserve"> indicates that 3,949 videoconferences had been held in 16 correctional centers as of May 31, while 6,371 hearings were documented in 2020.</w:t>
      </w:r>
      <w:r w:rsidR="004D1FCF" w:rsidRPr="008A7BD7">
        <w:rPr>
          <w:rFonts w:ascii="Cambria" w:eastAsia="Cambria" w:hAnsi="Cambria" w:cs="Cambria"/>
          <w:color w:val="000000" w:themeColor="text1"/>
          <w:sz w:val="20"/>
          <w:szCs w:val="20"/>
          <w:vertAlign w:val="superscript"/>
        </w:rPr>
        <w:footnoteReference w:id="265"/>
      </w:r>
      <w:r w:rsidR="004D1FCF" w:rsidRPr="008A7BD7">
        <w:rPr>
          <w:rFonts w:ascii="Cambria" w:eastAsia="Cambria" w:hAnsi="Cambria" w:cs="Cambria"/>
          <w:color w:val="000000" w:themeColor="text1"/>
          <w:sz w:val="20"/>
          <w:szCs w:val="20"/>
        </w:rPr>
        <w:t xml:space="preserve"> </w:t>
      </w:r>
      <w:bookmarkStart w:id="13" w:name="_heading=h.t752gdch2c3z" w:colFirst="0" w:colLast="0"/>
      <w:bookmarkEnd w:id="13"/>
    </w:p>
    <w:p w14:paraId="79D9005D" w14:textId="77777777" w:rsidR="004D1FCF" w:rsidRPr="008A7BD7" w:rsidRDefault="004D1FCF" w:rsidP="004D1FCF">
      <w:pPr>
        <w:pStyle w:val="ListParagraph"/>
        <w:rPr>
          <w:rFonts w:ascii="Cambria" w:eastAsia="Cambria" w:hAnsi="Cambria" w:cs="Cambria"/>
          <w:color w:val="000000" w:themeColor="text1"/>
          <w:sz w:val="20"/>
          <w:szCs w:val="20"/>
        </w:rPr>
      </w:pPr>
    </w:p>
    <w:p w14:paraId="359C2E5D" w14:textId="2F25667A" w:rsidR="004D1FCF" w:rsidRPr="008A7BD7" w:rsidRDefault="00D84720" w:rsidP="003D3059">
      <w:pPr>
        <w:numPr>
          <w:ilvl w:val="0"/>
          <w:numId w:val="2"/>
        </w:numPr>
        <w:ind w:left="0" w:firstLine="720"/>
        <w:jc w:val="both"/>
        <w:rPr>
          <w:rFonts w:ascii="Cambria" w:hAnsi="Cambria"/>
          <w:color w:val="000000" w:themeColor="text1"/>
          <w:sz w:val="20"/>
          <w:szCs w:val="20"/>
        </w:rPr>
      </w:pPr>
      <w:r w:rsidRPr="008A7BD7">
        <w:rPr>
          <w:rFonts w:ascii="Cambria" w:eastAsia="Cambria" w:hAnsi="Cambria" w:cs="Cambria"/>
          <w:color w:val="000000" w:themeColor="text1"/>
          <w:sz w:val="20"/>
          <w:szCs w:val="20"/>
        </w:rPr>
        <w:t xml:space="preserve">Nevertheless, the Commission received information indicating that even though the pandemic had demonstrated the </w:t>
      </w:r>
      <w:r w:rsidR="00A03212" w:rsidRPr="008A7BD7">
        <w:rPr>
          <w:rFonts w:ascii="Cambria" w:eastAsia="Cambria" w:hAnsi="Cambria" w:cs="Cambria"/>
          <w:color w:val="000000" w:themeColor="text1"/>
          <w:sz w:val="20"/>
          <w:szCs w:val="20"/>
        </w:rPr>
        <w:t>efficiency</w:t>
      </w:r>
      <w:r w:rsidRPr="008A7BD7">
        <w:rPr>
          <w:rFonts w:ascii="Cambria" w:eastAsia="Cambria" w:hAnsi="Cambria" w:cs="Cambria"/>
          <w:color w:val="000000" w:themeColor="text1"/>
          <w:sz w:val="20"/>
          <w:szCs w:val="20"/>
        </w:rPr>
        <w:t xml:space="preserve"> of holding virtual hearings, </w:t>
      </w:r>
      <w:r w:rsidR="00112922" w:rsidRPr="008A7BD7">
        <w:rPr>
          <w:rFonts w:ascii="Cambria" w:eastAsia="Cambria" w:hAnsi="Cambria" w:cs="Cambria"/>
          <w:color w:val="000000" w:themeColor="text1"/>
          <w:sz w:val="20"/>
          <w:szCs w:val="20"/>
        </w:rPr>
        <w:t>effective measures must still be implemented to ensure that these can be held on an ongoing, permanent basis.</w:t>
      </w:r>
      <w:r w:rsidR="004D1FCF" w:rsidRPr="008A7BD7">
        <w:rPr>
          <w:rFonts w:ascii="Cambria" w:eastAsia="Cambria" w:hAnsi="Cambria" w:cs="Cambria"/>
          <w:color w:val="000000" w:themeColor="text1"/>
          <w:sz w:val="20"/>
          <w:szCs w:val="20"/>
          <w:vertAlign w:val="superscript"/>
        </w:rPr>
        <w:footnoteReference w:id="266"/>
      </w:r>
      <w:r w:rsidR="004D1FCF" w:rsidRPr="008A7BD7">
        <w:rPr>
          <w:rFonts w:ascii="Cambria" w:eastAsia="Cambria" w:hAnsi="Cambria" w:cs="Cambria"/>
          <w:color w:val="000000" w:themeColor="text1"/>
          <w:sz w:val="20"/>
          <w:szCs w:val="20"/>
        </w:rPr>
        <w:t xml:space="preserve"> </w:t>
      </w:r>
      <w:r w:rsidR="00112922" w:rsidRPr="008A7BD7">
        <w:rPr>
          <w:rFonts w:ascii="Cambria" w:eastAsia="Cambria" w:hAnsi="Cambria" w:cs="Cambria"/>
          <w:color w:val="000000" w:themeColor="text1"/>
          <w:sz w:val="20"/>
          <w:szCs w:val="20"/>
        </w:rPr>
        <w:t xml:space="preserve">Specifically, audio and connectivity problems </w:t>
      </w:r>
      <w:r w:rsidR="00112922" w:rsidRPr="008A7BD7">
        <w:rPr>
          <w:rFonts w:ascii="Cambria" w:eastAsia="Cambria" w:hAnsi="Cambria" w:cs="Cambria"/>
          <w:color w:val="000000" w:themeColor="text1"/>
          <w:sz w:val="20"/>
          <w:szCs w:val="20"/>
        </w:rPr>
        <w:lastRenderedPageBreak/>
        <w:t>continue to be an obstacle preventing most of the detention centers from having the necessary conditions in place to hold these hearings.</w:t>
      </w:r>
      <w:r w:rsidR="004D1FCF" w:rsidRPr="008A7BD7">
        <w:rPr>
          <w:rFonts w:ascii="Cambria" w:eastAsia="Cambria" w:hAnsi="Cambria" w:cs="Cambria"/>
          <w:color w:val="000000" w:themeColor="text1"/>
          <w:sz w:val="20"/>
          <w:szCs w:val="20"/>
          <w:vertAlign w:val="superscript"/>
        </w:rPr>
        <w:footnoteReference w:id="267"/>
      </w:r>
      <w:r w:rsidR="004D1FCF" w:rsidRPr="008A7BD7">
        <w:rPr>
          <w:rFonts w:ascii="Cambria" w:eastAsia="Cambria" w:hAnsi="Cambria" w:cs="Cambria"/>
          <w:color w:val="000000" w:themeColor="text1"/>
          <w:sz w:val="20"/>
          <w:szCs w:val="20"/>
        </w:rPr>
        <w:t xml:space="preserve"> </w:t>
      </w:r>
      <w:r w:rsidR="00C56F9D" w:rsidRPr="008A7BD7">
        <w:rPr>
          <w:rFonts w:ascii="Cambria" w:eastAsia="Cambria" w:hAnsi="Cambria" w:cs="Cambria"/>
          <w:color w:val="000000" w:themeColor="text1"/>
          <w:sz w:val="20"/>
          <w:szCs w:val="20"/>
        </w:rPr>
        <w:t xml:space="preserve">In that regard, the Commission emphasizes that holding custody hearings by videoconference could make it difficult for the judicial authorities to identify </w:t>
      </w:r>
      <w:r w:rsidR="002423EC" w:rsidRPr="008A7BD7">
        <w:rPr>
          <w:rFonts w:ascii="Cambria" w:eastAsia="Cambria" w:hAnsi="Cambria" w:cs="Cambria"/>
          <w:color w:val="000000" w:themeColor="text1"/>
          <w:sz w:val="20"/>
          <w:szCs w:val="20"/>
        </w:rPr>
        <w:t>signs</w:t>
      </w:r>
      <w:r w:rsidR="00C56F9D" w:rsidRPr="008A7BD7">
        <w:rPr>
          <w:rFonts w:ascii="Cambria" w:eastAsia="Cambria" w:hAnsi="Cambria" w:cs="Cambria"/>
          <w:color w:val="000000" w:themeColor="text1"/>
          <w:sz w:val="20"/>
          <w:szCs w:val="20"/>
        </w:rPr>
        <w:t xml:space="preserve"> of acts of torture </w:t>
      </w:r>
      <w:r w:rsidR="002423EC" w:rsidRPr="008A7BD7">
        <w:rPr>
          <w:rFonts w:ascii="Cambria" w:eastAsia="Cambria" w:hAnsi="Cambria" w:cs="Cambria"/>
          <w:color w:val="000000" w:themeColor="text1"/>
          <w:sz w:val="20"/>
          <w:szCs w:val="20"/>
        </w:rPr>
        <w:t>or</w:t>
      </w:r>
      <w:r w:rsidR="00C56F9D" w:rsidRPr="008A7BD7">
        <w:rPr>
          <w:rFonts w:ascii="Cambria" w:eastAsia="Cambria" w:hAnsi="Cambria" w:cs="Cambria"/>
          <w:color w:val="000000" w:themeColor="text1"/>
          <w:sz w:val="20"/>
          <w:szCs w:val="20"/>
        </w:rPr>
        <w:t xml:space="preserve"> ill-treatment.</w:t>
      </w:r>
      <w:r w:rsidR="004D1FCF" w:rsidRPr="008A7BD7">
        <w:rPr>
          <w:rFonts w:ascii="Cambria" w:eastAsia="Cambria" w:hAnsi="Cambria" w:cs="Cambria"/>
          <w:color w:val="000000" w:themeColor="text1"/>
          <w:sz w:val="20"/>
          <w:szCs w:val="20"/>
          <w:vertAlign w:val="superscript"/>
        </w:rPr>
        <w:footnoteReference w:id="268"/>
      </w:r>
      <w:r w:rsidR="004D1FCF" w:rsidRPr="008A7BD7">
        <w:rPr>
          <w:rFonts w:ascii="Cambria" w:eastAsia="Cambria" w:hAnsi="Cambria" w:cs="Cambria"/>
          <w:color w:val="000000" w:themeColor="text1"/>
          <w:sz w:val="20"/>
          <w:szCs w:val="20"/>
        </w:rPr>
        <w:t xml:space="preserve"> </w:t>
      </w:r>
      <w:r w:rsidR="00F103D6" w:rsidRPr="008A7BD7">
        <w:rPr>
          <w:rFonts w:ascii="Cambria" w:eastAsia="Cambria" w:hAnsi="Cambria" w:cs="Cambria"/>
          <w:color w:val="000000" w:themeColor="text1"/>
          <w:sz w:val="20"/>
          <w:szCs w:val="20"/>
        </w:rPr>
        <w:t xml:space="preserve">Moreover, the virtual environment could make people in custody feel intimidated or coerced </w:t>
      </w:r>
      <w:r w:rsidR="00987EF2" w:rsidRPr="008A7BD7">
        <w:rPr>
          <w:rFonts w:ascii="Cambria" w:eastAsia="Cambria" w:hAnsi="Cambria" w:cs="Cambria"/>
          <w:color w:val="000000" w:themeColor="text1"/>
          <w:sz w:val="20"/>
          <w:szCs w:val="20"/>
        </w:rPr>
        <w:t xml:space="preserve">in voicing </w:t>
      </w:r>
      <w:r w:rsidR="00F103D6" w:rsidRPr="008A7BD7">
        <w:rPr>
          <w:rFonts w:ascii="Cambria" w:eastAsia="Cambria" w:hAnsi="Cambria" w:cs="Cambria"/>
          <w:color w:val="000000" w:themeColor="text1"/>
          <w:sz w:val="20"/>
          <w:szCs w:val="20"/>
        </w:rPr>
        <w:t>their respective complaints</w:t>
      </w:r>
      <w:r w:rsidR="004D1FCF" w:rsidRPr="008A7BD7">
        <w:rPr>
          <w:rFonts w:ascii="Cambria" w:eastAsia="Cambria" w:hAnsi="Cambria" w:cs="Cambria"/>
          <w:color w:val="000000" w:themeColor="text1"/>
          <w:sz w:val="20"/>
          <w:szCs w:val="20"/>
        </w:rPr>
        <w:t xml:space="preserve">.  </w:t>
      </w:r>
    </w:p>
    <w:p w14:paraId="43AB82D9" w14:textId="77777777" w:rsidR="004D1FCF" w:rsidRPr="008A7BD7" w:rsidRDefault="004D1FCF" w:rsidP="004D1FCF">
      <w:pPr>
        <w:pStyle w:val="ListParagraph"/>
        <w:rPr>
          <w:rFonts w:ascii="Cambria" w:eastAsia="Cambria" w:hAnsi="Cambria" w:cs="Cambria"/>
          <w:color w:val="000000" w:themeColor="text1"/>
          <w:sz w:val="20"/>
          <w:szCs w:val="20"/>
        </w:rPr>
      </w:pPr>
    </w:p>
    <w:p w14:paraId="4D7D90D7" w14:textId="15399AEF" w:rsidR="004D1FCF" w:rsidRPr="008A7BD7" w:rsidRDefault="00F103D6" w:rsidP="003D3059">
      <w:pPr>
        <w:numPr>
          <w:ilvl w:val="0"/>
          <w:numId w:val="2"/>
        </w:numPr>
        <w:ind w:left="0" w:firstLine="720"/>
        <w:jc w:val="both"/>
        <w:rPr>
          <w:rFonts w:ascii="Cambria" w:hAnsi="Cambria"/>
          <w:color w:val="000000" w:themeColor="text1"/>
          <w:sz w:val="20"/>
          <w:szCs w:val="20"/>
        </w:rPr>
      </w:pPr>
      <w:r w:rsidRPr="008A7BD7">
        <w:rPr>
          <w:rFonts w:ascii="Cambria" w:eastAsia="Cambria" w:hAnsi="Cambria" w:cs="Cambria"/>
          <w:color w:val="000000" w:themeColor="text1"/>
          <w:sz w:val="20"/>
          <w:szCs w:val="20"/>
        </w:rPr>
        <w:t>In terms of strengthening the public defender system in criminal cases, the State provided information about measures</w:t>
      </w:r>
      <w:r w:rsidR="004D1FCF" w:rsidRPr="008A7BD7">
        <w:rPr>
          <w:rFonts w:ascii="Cambria" w:eastAsia="Cambria" w:hAnsi="Cambria" w:cs="Cambria"/>
          <w:color w:val="000000" w:themeColor="text1"/>
          <w:sz w:val="20"/>
          <w:szCs w:val="20"/>
        </w:rPr>
        <w:t xml:space="preserve"> </w:t>
      </w:r>
      <w:r w:rsidRPr="008A7BD7">
        <w:rPr>
          <w:rFonts w:ascii="Cambria" w:eastAsia="Cambria" w:hAnsi="Cambria" w:cs="Cambria"/>
          <w:color w:val="000000" w:themeColor="text1"/>
          <w:sz w:val="20"/>
          <w:szCs w:val="20"/>
        </w:rPr>
        <w:t xml:space="preserve">to provide public defenders with training and education </w:t>
      </w:r>
      <w:r w:rsidR="002423EC" w:rsidRPr="008A7BD7">
        <w:rPr>
          <w:rFonts w:ascii="Cambria" w:eastAsia="Cambria" w:hAnsi="Cambria" w:cs="Cambria"/>
          <w:color w:val="000000" w:themeColor="text1"/>
          <w:sz w:val="20"/>
          <w:szCs w:val="20"/>
        </w:rPr>
        <w:t>using</w:t>
      </w:r>
      <w:r w:rsidRPr="008A7BD7">
        <w:rPr>
          <w:rFonts w:ascii="Cambria" w:eastAsia="Cambria" w:hAnsi="Cambria" w:cs="Cambria"/>
          <w:color w:val="000000" w:themeColor="text1"/>
          <w:sz w:val="20"/>
          <w:szCs w:val="20"/>
        </w:rPr>
        <w:t xml:space="preserve"> funds allocated to the </w:t>
      </w:r>
      <w:r w:rsidR="006A3743" w:rsidRPr="008A7BD7">
        <w:rPr>
          <w:rFonts w:ascii="Cambria" w:eastAsia="Cambria" w:hAnsi="Cambria" w:cs="Cambria"/>
          <w:color w:val="000000" w:themeColor="text1"/>
          <w:sz w:val="20"/>
          <w:szCs w:val="20"/>
        </w:rPr>
        <w:t xml:space="preserve">Institute of </w:t>
      </w:r>
      <w:r w:rsidRPr="008A7BD7">
        <w:rPr>
          <w:rFonts w:ascii="Cambria" w:eastAsia="Cambria" w:hAnsi="Cambria" w:cs="Cambria"/>
          <w:color w:val="000000" w:themeColor="text1"/>
          <w:sz w:val="20"/>
          <w:szCs w:val="20"/>
        </w:rPr>
        <w:t xml:space="preserve">Public Criminal Defense </w:t>
      </w:r>
      <w:r w:rsidR="004D1FCF" w:rsidRPr="008A7BD7">
        <w:rPr>
          <w:rFonts w:ascii="Cambria" w:eastAsia="Cambria" w:hAnsi="Cambria" w:cs="Cambria"/>
          <w:color w:val="000000" w:themeColor="text1"/>
          <w:sz w:val="20"/>
          <w:szCs w:val="20"/>
        </w:rPr>
        <w:t xml:space="preserve">(IDPP), </w:t>
      </w:r>
      <w:r w:rsidR="006117A6" w:rsidRPr="008A7BD7">
        <w:rPr>
          <w:rFonts w:ascii="Cambria" w:eastAsia="Cambria" w:hAnsi="Cambria" w:cs="Cambria"/>
          <w:color w:val="000000" w:themeColor="text1"/>
          <w:sz w:val="20"/>
          <w:szCs w:val="20"/>
        </w:rPr>
        <w:t>as well as the hiring of new staff, particularly public defenders.</w:t>
      </w:r>
      <w:r w:rsidR="004D1FCF" w:rsidRPr="008A7BD7">
        <w:rPr>
          <w:rFonts w:ascii="Cambria" w:eastAsia="Cambria" w:hAnsi="Cambria" w:cs="Cambria"/>
          <w:color w:val="000000" w:themeColor="text1"/>
          <w:sz w:val="20"/>
          <w:szCs w:val="20"/>
          <w:vertAlign w:val="superscript"/>
        </w:rPr>
        <w:footnoteReference w:id="269"/>
      </w:r>
      <w:r w:rsidR="004D1FCF" w:rsidRPr="008A7BD7">
        <w:rPr>
          <w:rFonts w:ascii="Cambria" w:eastAsia="Cambria" w:hAnsi="Cambria" w:cs="Cambria"/>
          <w:color w:val="000000" w:themeColor="text1"/>
          <w:sz w:val="20"/>
          <w:szCs w:val="20"/>
        </w:rPr>
        <w:t xml:space="preserve"> </w:t>
      </w:r>
      <w:r w:rsidR="006117A6" w:rsidRPr="008A7BD7">
        <w:rPr>
          <w:rFonts w:ascii="Cambria" w:eastAsia="Cambria" w:hAnsi="Cambria" w:cs="Cambria"/>
          <w:color w:val="000000" w:themeColor="text1"/>
          <w:sz w:val="20"/>
          <w:szCs w:val="20"/>
        </w:rPr>
        <w:t>Nonetheless, despite these steps forward, the Commission was informed that the increase in</w:t>
      </w:r>
      <w:r w:rsidR="002423EC" w:rsidRPr="008A7BD7">
        <w:rPr>
          <w:rFonts w:ascii="Cambria" w:eastAsia="Cambria" w:hAnsi="Cambria" w:cs="Cambria"/>
          <w:color w:val="000000" w:themeColor="text1"/>
          <w:sz w:val="20"/>
          <w:szCs w:val="20"/>
        </w:rPr>
        <w:t xml:space="preserve"> the number of</w:t>
      </w:r>
      <w:r w:rsidR="006117A6" w:rsidRPr="008A7BD7">
        <w:rPr>
          <w:rFonts w:ascii="Cambria" w:eastAsia="Cambria" w:hAnsi="Cambria" w:cs="Cambria"/>
          <w:color w:val="000000" w:themeColor="text1"/>
          <w:sz w:val="20"/>
          <w:szCs w:val="20"/>
        </w:rPr>
        <w:t xml:space="preserve"> Prosecutor’s Offices in the country </w:t>
      </w:r>
      <w:r w:rsidR="00992DE7" w:rsidRPr="008A7BD7">
        <w:rPr>
          <w:rFonts w:ascii="Cambria" w:eastAsia="Cambria" w:hAnsi="Cambria" w:cs="Cambria"/>
          <w:color w:val="000000" w:themeColor="text1"/>
          <w:sz w:val="20"/>
          <w:szCs w:val="20"/>
        </w:rPr>
        <w:t>placed</w:t>
      </w:r>
      <w:r w:rsidR="006117A6" w:rsidRPr="008A7BD7">
        <w:rPr>
          <w:rFonts w:ascii="Cambria" w:eastAsia="Cambria" w:hAnsi="Cambria" w:cs="Cambria"/>
          <w:color w:val="000000" w:themeColor="text1"/>
          <w:sz w:val="20"/>
          <w:szCs w:val="20"/>
        </w:rPr>
        <w:t xml:space="preserve"> the IDPP at a disadvantage, </w:t>
      </w:r>
      <w:r w:rsidR="006E5B3C" w:rsidRPr="008A7BD7">
        <w:rPr>
          <w:rFonts w:ascii="Cambria" w:eastAsia="Cambria" w:hAnsi="Cambria" w:cs="Cambria"/>
          <w:color w:val="000000" w:themeColor="text1"/>
          <w:sz w:val="20"/>
          <w:szCs w:val="20"/>
        </w:rPr>
        <w:t>given</w:t>
      </w:r>
      <w:r w:rsidR="006117A6" w:rsidRPr="008A7BD7">
        <w:rPr>
          <w:rFonts w:ascii="Cambria" w:eastAsia="Cambria" w:hAnsi="Cambria" w:cs="Cambria"/>
          <w:color w:val="000000" w:themeColor="text1"/>
          <w:sz w:val="20"/>
          <w:szCs w:val="20"/>
        </w:rPr>
        <w:t xml:space="preserve"> </w:t>
      </w:r>
      <w:r w:rsidR="00A534FE" w:rsidRPr="008A7BD7">
        <w:rPr>
          <w:rFonts w:ascii="Cambria" w:eastAsia="Cambria" w:hAnsi="Cambria" w:cs="Cambria"/>
          <w:color w:val="000000" w:themeColor="text1"/>
          <w:sz w:val="20"/>
          <w:szCs w:val="20"/>
        </w:rPr>
        <w:t xml:space="preserve">that the </w:t>
      </w:r>
      <w:r w:rsidR="006117A6" w:rsidRPr="008A7BD7">
        <w:rPr>
          <w:rFonts w:ascii="Cambria" w:eastAsia="Cambria" w:hAnsi="Cambria" w:cs="Cambria"/>
          <w:color w:val="000000" w:themeColor="text1"/>
          <w:sz w:val="20"/>
          <w:szCs w:val="20"/>
        </w:rPr>
        <w:t xml:space="preserve">institution </w:t>
      </w:r>
      <w:r w:rsidR="00A534FE" w:rsidRPr="008A7BD7">
        <w:rPr>
          <w:rFonts w:ascii="Cambria" w:eastAsia="Cambria" w:hAnsi="Cambria" w:cs="Cambria"/>
          <w:color w:val="000000" w:themeColor="text1"/>
          <w:sz w:val="20"/>
          <w:szCs w:val="20"/>
        </w:rPr>
        <w:t xml:space="preserve">is </w:t>
      </w:r>
      <w:r w:rsidR="00242C3E" w:rsidRPr="008A7BD7">
        <w:rPr>
          <w:rFonts w:ascii="Cambria" w:eastAsia="Cambria" w:hAnsi="Cambria" w:cs="Cambria"/>
          <w:color w:val="000000" w:themeColor="text1"/>
          <w:sz w:val="20"/>
          <w:szCs w:val="20"/>
        </w:rPr>
        <w:t>said</w:t>
      </w:r>
      <w:r w:rsidR="00A534FE" w:rsidRPr="008A7BD7">
        <w:rPr>
          <w:rFonts w:ascii="Cambria" w:eastAsia="Cambria" w:hAnsi="Cambria" w:cs="Cambria"/>
          <w:color w:val="000000" w:themeColor="text1"/>
          <w:sz w:val="20"/>
          <w:szCs w:val="20"/>
        </w:rPr>
        <w:t xml:space="preserve"> to have </w:t>
      </w:r>
      <w:r w:rsidR="006117A6" w:rsidRPr="008A7BD7">
        <w:rPr>
          <w:rFonts w:ascii="Cambria" w:eastAsia="Cambria" w:hAnsi="Cambria" w:cs="Cambria"/>
          <w:color w:val="000000" w:themeColor="text1"/>
          <w:sz w:val="20"/>
          <w:szCs w:val="20"/>
        </w:rPr>
        <w:t>less capacity</w:t>
      </w:r>
      <w:r w:rsidR="0079609A" w:rsidRPr="008A7BD7">
        <w:rPr>
          <w:rFonts w:ascii="Cambria" w:eastAsia="Cambria" w:hAnsi="Cambria" w:cs="Cambria"/>
          <w:color w:val="000000" w:themeColor="text1"/>
          <w:sz w:val="20"/>
          <w:szCs w:val="20"/>
        </w:rPr>
        <w:t xml:space="preserve">, a situation that would </w:t>
      </w:r>
      <w:r w:rsidR="006117A6" w:rsidRPr="008A7BD7">
        <w:rPr>
          <w:rFonts w:ascii="Cambria" w:eastAsia="Cambria" w:hAnsi="Cambria" w:cs="Cambria"/>
          <w:color w:val="000000" w:themeColor="text1"/>
          <w:sz w:val="20"/>
          <w:szCs w:val="20"/>
        </w:rPr>
        <w:t>impact the</w:t>
      </w:r>
      <w:r w:rsidR="00A534FE" w:rsidRPr="008A7BD7">
        <w:rPr>
          <w:rFonts w:ascii="Cambria" w:eastAsia="Cambria" w:hAnsi="Cambria" w:cs="Cambria"/>
          <w:color w:val="000000" w:themeColor="text1"/>
          <w:sz w:val="20"/>
          <w:szCs w:val="20"/>
        </w:rPr>
        <w:t xml:space="preserve"> quality of the technical representation provided to individuals who lack other resources to access any other type of legal representation.</w:t>
      </w:r>
      <w:r w:rsidR="004D1FCF" w:rsidRPr="008A7BD7">
        <w:rPr>
          <w:rFonts w:ascii="Cambria" w:eastAsia="Cambria" w:hAnsi="Cambria" w:cs="Cambria"/>
          <w:color w:val="000000" w:themeColor="text1"/>
          <w:sz w:val="20"/>
          <w:szCs w:val="20"/>
          <w:vertAlign w:val="superscript"/>
        </w:rPr>
        <w:footnoteReference w:id="270"/>
      </w:r>
      <w:r w:rsidR="004D1FCF" w:rsidRPr="008A7BD7">
        <w:rPr>
          <w:rFonts w:ascii="Cambria" w:eastAsia="Cambria" w:hAnsi="Cambria" w:cs="Cambria"/>
          <w:color w:val="000000" w:themeColor="text1"/>
          <w:sz w:val="20"/>
          <w:szCs w:val="20"/>
        </w:rPr>
        <w:t xml:space="preserve"> </w:t>
      </w:r>
    </w:p>
    <w:p w14:paraId="493037A2" w14:textId="77777777" w:rsidR="00F97F2A" w:rsidRPr="008A7BD7" w:rsidRDefault="00F97F2A" w:rsidP="00F97F2A">
      <w:pPr>
        <w:pStyle w:val="ListParagraph"/>
        <w:rPr>
          <w:rFonts w:ascii="Cambria" w:hAnsi="Cambria"/>
          <w:color w:val="000000" w:themeColor="text1"/>
          <w:sz w:val="20"/>
          <w:szCs w:val="20"/>
        </w:rPr>
      </w:pPr>
    </w:p>
    <w:p w14:paraId="59D31193" w14:textId="4E4DD91F" w:rsidR="00F97F2A" w:rsidRPr="008A7BD7" w:rsidRDefault="00743CBB" w:rsidP="00F97F2A">
      <w:pPr>
        <w:numPr>
          <w:ilvl w:val="0"/>
          <w:numId w:val="2"/>
        </w:numPr>
        <w:ind w:left="0" w:firstLine="720"/>
        <w:jc w:val="both"/>
        <w:rPr>
          <w:rFonts w:ascii="Cambria" w:hAnsi="Cambria"/>
          <w:color w:val="000000" w:themeColor="text1"/>
          <w:sz w:val="20"/>
          <w:szCs w:val="20"/>
        </w:rPr>
      </w:pPr>
      <w:r w:rsidRPr="008A7BD7">
        <w:rPr>
          <w:rFonts w:ascii="Cambria" w:hAnsi="Cambria"/>
          <w:color w:val="000000" w:themeColor="text1"/>
          <w:sz w:val="20"/>
          <w:szCs w:val="20"/>
        </w:rPr>
        <w:t xml:space="preserve">In its response to the draft of this report, the State of </w:t>
      </w:r>
      <w:r w:rsidR="00F97F2A" w:rsidRPr="008A7BD7">
        <w:rPr>
          <w:rFonts w:ascii="Cambria" w:hAnsi="Cambria"/>
          <w:color w:val="000000" w:themeColor="text1"/>
          <w:sz w:val="20"/>
          <w:szCs w:val="20"/>
        </w:rPr>
        <w:t xml:space="preserve">Guatemala </w:t>
      </w:r>
      <w:r w:rsidR="00631CE6" w:rsidRPr="008A7BD7">
        <w:rPr>
          <w:rFonts w:ascii="Cambria" w:hAnsi="Cambria"/>
          <w:color w:val="000000" w:themeColor="text1"/>
          <w:sz w:val="20"/>
          <w:szCs w:val="20"/>
        </w:rPr>
        <w:t>informed</w:t>
      </w:r>
      <w:r w:rsidRPr="008A7BD7">
        <w:rPr>
          <w:rFonts w:ascii="Cambria" w:hAnsi="Cambria"/>
          <w:color w:val="000000" w:themeColor="text1"/>
          <w:sz w:val="20"/>
          <w:szCs w:val="20"/>
        </w:rPr>
        <w:t xml:space="preserve"> the IACHR that on December 9, 2021, the General Directorate of the Prisons System reopened the </w:t>
      </w:r>
      <w:proofErr w:type="spellStart"/>
      <w:r w:rsidRPr="008A7BD7">
        <w:rPr>
          <w:rFonts w:ascii="Cambria" w:eastAsia="Montserrat" w:hAnsi="Cambria" w:cs="Montserrat"/>
          <w:sz w:val="20"/>
          <w:szCs w:val="20"/>
        </w:rPr>
        <w:t>Fraijanes</w:t>
      </w:r>
      <w:proofErr w:type="spellEnd"/>
      <w:r w:rsidRPr="008A7BD7">
        <w:rPr>
          <w:rFonts w:ascii="Cambria" w:eastAsia="Montserrat" w:hAnsi="Cambria" w:cs="Montserrat"/>
          <w:sz w:val="20"/>
          <w:szCs w:val="20"/>
        </w:rPr>
        <w:t xml:space="preserve"> II</w:t>
      </w:r>
      <w:r w:rsidRPr="008A7BD7">
        <w:rPr>
          <w:rFonts w:ascii="Cambria" w:hAnsi="Cambria"/>
          <w:color w:val="000000" w:themeColor="text1"/>
          <w:sz w:val="20"/>
          <w:szCs w:val="20"/>
        </w:rPr>
        <w:t xml:space="preserve"> Men’s Prison, under the New Prison Management</w:t>
      </w:r>
      <w:r w:rsidRPr="008A7BD7">
        <w:rPr>
          <w:rFonts w:ascii="Cambria" w:eastAsia="Montserrat" w:hAnsi="Cambria" w:cs="Montserrat"/>
          <w:sz w:val="20"/>
          <w:szCs w:val="20"/>
        </w:rPr>
        <w:t xml:space="preserve"> </w:t>
      </w:r>
      <w:r w:rsidRPr="008A7BD7">
        <w:rPr>
          <w:rFonts w:ascii="Cambria" w:hAnsi="Cambria"/>
          <w:color w:val="000000" w:themeColor="text1"/>
          <w:sz w:val="20"/>
          <w:szCs w:val="20"/>
        </w:rPr>
        <w:t xml:space="preserve">Model </w:t>
      </w:r>
      <w:r w:rsidR="00F97F2A" w:rsidRPr="008A7BD7">
        <w:rPr>
          <w:rFonts w:ascii="Cambria" w:eastAsia="Montserrat" w:hAnsi="Cambria" w:cs="Montserrat"/>
          <w:sz w:val="20"/>
          <w:szCs w:val="20"/>
        </w:rPr>
        <w:t xml:space="preserve">(NMGP), </w:t>
      </w:r>
      <w:r w:rsidRPr="008A7BD7">
        <w:rPr>
          <w:rFonts w:ascii="Cambria" w:eastAsia="Montserrat" w:hAnsi="Cambria" w:cs="Montserrat"/>
          <w:sz w:val="20"/>
          <w:szCs w:val="20"/>
        </w:rPr>
        <w:t xml:space="preserve">a new model </w:t>
      </w:r>
      <w:r w:rsidR="008C65BD" w:rsidRPr="008A7BD7">
        <w:rPr>
          <w:rFonts w:ascii="Cambria" w:eastAsia="Montserrat" w:hAnsi="Cambria" w:cs="Montserrat"/>
          <w:sz w:val="20"/>
          <w:szCs w:val="20"/>
        </w:rPr>
        <w:t>which</w:t>
      </w:r>
      <w:r w:rsidRPr="008A7BD7">
        <w:rPr>
          <w:rFonts w:ascii="Cambria" w:eastAsia="Montserrat" w:hAnsi="Cambria" w:cs="Montserrat"/>
          <w:sz w:val="20"/>
          <w:szCs w:val="20"/>
        </w:rPr>
        <w:t xml:space="preserve"> will put into practice different strategies related to rehabilitation and respect for human rights</w:t>
      </w:r>
      <w:r w:rsidR="00C16795" w:rsidRPr="008A7BD7">
        <w:rPr>
          <w:rFonts w:ascii="Cambria" w:eastAsia="Montserrat" w:hAnsi="Cambria" w:cs="Montserrat"/>
          <w:sz w:val="20"/>
          <w:szCs w:val="20"/>
        </w:rPr>
        <w:t xml:space="preserve">. </w:t>
      </w:r>
      <w:r w:rsidR="00BC7A9E" w:rsidRPr="008A7BD7">
        <w:rPr>
          <w:rFonts w:ascii="Cambria" w:eastAsia="Montserrat" w:hAnsi="Cambria" w:cs="Montserrat"/>
          <w:sz w:val="20"/>
          <w:szCs w:val="20"/>
        </w:rPr>
        <w:t xml:space="preserve">The State also pointed to the work it has done with women deprived of liberty, noting </w:t>
      </w:r>
      <w:r w:rsidR="00BB7B3A" w:rsidRPr="008A7BD7">
        <w:rPr>
          <w:rFonts w:ascii="Cambria" w:eastAsia="Montserrat" w:hAnsi="Cambria" w:cs="Montserrat"/>
          <w:sz w:val="20"/>
          <w:szCs w:val="20"/>
        </w:rPr>
        <w:t>specifically</w:t>
      </w:r>
      <w:r w:rsidR="00BC7A9E" w:rsidRPr="008A7BD7">
        <w:rPr>
          <w:rFonts w:ascii="Cambria" w:eastAsia="Montserrat" w:hAnsi="Cambria" w:cs="Montserrat"/>
          <w:sz w:val="20"/>
          <w:szCs w:val="20"/>
        </w:rPr>
        <w:t xml:space="preserve"> that “over the course of </w:t>
      </w:r>
      <w:r w:rsidR="00BB7B3A" w:rsidRPr="008A7BD7">
        <w:rPr>
          <w:rFonts w:ascii="Cambria" w:eastAsia="Montserrat" w:hAnsi="Cambria" w:cs="Montserrat"/>
          <w:sz w:val="20"/>
          <w:szCs w:val="20"/>
        </w:rPr>
        <w:t>six</w:t>
      </w:r>
      <w:r w:rsidR="00BC7A9E" w:rsidRPr="008A7BD7">
        <w:rPr>
          <w:rFonts w:ascii="Cambria" w:eastAsia="Montserrat" w:hAnsi="Cambria" w:cs="Montserrat"/>
          <w:sz w:val="20"/>
          <w:szCs w:val="20"/>
        </w:rPr>
        <w:t xml:space="preserve"> months, various training </w:t>
      </w:r>
      <w:r w:rsidR="00631CE6" w:rsidRPr="008A7BD7">
        <w:rPr>
          <w:rFonts w:ascii="Cambria" w:eastAsia="Montserrat" w:hAnsi="Cambria" w:cs="Montserrat"/>
          <w:sz w:val="20"/>
          <w:szCs w:val="20"/>
        </w:rPr>
        <w:t>activities</w:t>
      </w:r>
      <w:r w:rsidR="00BC7A9E" w:rsidRPr="008A7BD7">
        <w:rPr>
          <w:rFonts w:ascii="Cambria" w:eastAsia="Montserrat" w:hAnsi="Cambria" w:cs="Montserrat"/>
          <w:sz w:val="20"/>
          <w:szCs w:val="20"/>
        </w:rPr>
        <w:t xml:space="preserve"> </w:t>
      </w:r>
      <w:r w:rsidR="00BB7B3A" w:rsidRPr="008A7BD7">
        <w:rPr>
          <w:rFonts w:ascii="Cambria" w:eastAsia="Montserrat" w:hAnsi="Cambria" w:cs="Montserrat"/>
          <w:sz w:val="20"/>
          <w:szCs w:val="20"/>
        </w:rPr>
        <w:t xml:space="preserve">to promote self-sustainability </w:t>
      </w:r>
      <w:r w:rsidR="00BC7A9E" w:rsidRPr="008A7BD7">
        <w:rPr>
          <w:rFonts w:ascii="Cambria" w:eastAsia="Montserrat" w:hAnsi="Cambria" w:cs="Montserrat"/>
          <w:sz w:val="20"/>
          <w:szCs w:val="20"/>
        </w:rPr>
        <w:t xml:space="preserve">were held for </w:t>
      </w:r>
      <w:r w:rsidR="00BB7B3A" w:rsidRPr="008A7BD7">
        <w:rPr>
          <w:rFonts w:ascii="Cambria" w:eastAsia="Montserrat" w:hAnsi="Cambria" w:cs="Montserrat"/>
          <w:sz w:val="20"/>
          <w:szCs w:val="20"/>
        </w:rPr>
        <w:t>a group of female inmates</w:t>
      </w:r>
      <w:r w:rsidR="00BC7A9E" w:rsidRPr="008A7BD7">
        <w:rPr>
          <w:rFonts w:ascii="Cambria" w:eastAsia="Montserrat" w:hAnsi="Cambria" w:cs="Montserrat"/>
          <w:sz w:val="20"/>
          <w:szCs w:val="20"/>
        </w:rPr>
        <w:t xml:space="preserve"> at the </w:t>
      </w:r>
      <w:r w:rsidR="00BB4161" w:rsidRPr="008A7BD7">
        <w:rPr>
          <w:rFonts w:ascii="Cambria" w:eastAsia="Montserrat" w:hAnsi="Cambria" w:cs="Montserrat"/>
          <w:sz w:val="20"/>
          <w:szCs w:val="20"/>
        </w:rPr>
        <w:t>Zone 18</w:t>
      </w:r>
      <w:r w:rsidR="00BF415D" w:rsidRPr="008A7BD7">
        <w:rPr>
          <w:rFonts w:ascii="Cambria" w:eastAsia="Montserrat" w:hAnsi="Cambria" w:cs="Montserrat"/>
          <w:sz w:val="20"/>
          <w:szCs w:val="20"/>
        </w:rPr>
        <w:t xml:space="preserve"> </w:t>
      </w:r>
      <w:r w:rsidR="00BC7A9E" w:rsidRPr="008A7BD7">
        <w:rPr>
          <w:rFonts w:ascii="Cambria" w:eastAsia="Montserrat" w:hAnsi="Cambria" w:cs="Montserrat"/>
          <w:sz w:val="20"/>
          <w:szCs w:val="20"/>
        </w:rPr>
        <w:t>Santa Teresa Detention Center for Women.</w:t>
      </w:r>
      <w:r w:rsidR="00BB4161" w:rsidRPr="008A7BD7">
        <w:rPr>
          <w:rFonts w:ascii="Cambria" w:eastAsia="Montserrat" w:hAnsi="Cambria" w:cs="Montserrat"/>
          <w:sz w:val="20"/>
          <w:szCs w:val="20"/>
        </w:rPr>
        <w:t>”</w:t>
      </w:r>
      <w:r w:rsidR="00F97F2A" w:rsidRPr="008A7BD7">
        <w:rPr>
          <w:rStyle w:val="FootnoteReference"/>
          <w:rFonts w:ascii="Cambria" w:eastAsia="Montserrat" w:hAnsi="Cambria" w:cs="Montserrat"/>
          <w:sz w:val="20"/>
          <w:szCs w:val="20"/>
          <w:lang w:val="es-US"/>
        </w:rPr>
        <w:footnoteReference w:id="271"/>
      </w:r>
      <w:r w:rsidR="00F97F2A" w:rsidRPr="008A7BD7">
        <w:rPr>
          <w:rFonts w:ascii="Cambria" w:eastAsia="Montserrat" w:hAnsi="Cambria" w:cs="Montserrat"/>
          <w:sz w:val="20"/>
          <w:szCs w:val="20"/>
        </w:rPr>
        <w:t xml:space="preserve"> </w:t>
      </w:r>
      <w:r w:rsidR="00BB4161" w:rsidRPr="008A7BD7">
        <w:rPr>
          <w:rFonts w:ascii="Cambria" w:eastAsia="Montserrat" w:hAnsi="Cambria" w:cs="Montserrat"/>
          <w:sz w:val="20"/>
          <w:szCs w:val="20"/>
        </w:rPr>
        <w:t xml:space="preserve">It also indicated that the School for Prison Studies </w:t>
      </w:r>
      <w:r w:rsidR="008C65BD" w:rsidRPr="008A7BD7">
        <w:rPr>
          <w:rFonts w:ascii="Cambria" w:eastAsia="Montserrat" w:hAnsi="Cambria" w:cs="Montserrat"/>
          <w:sz w:val="20"/>
          <w:szCs w:val="20"/>
        </w:rPr>
        <w:t xml:space="preserve">(EEP) </w:t>
      </w:r>
      <w:r w:rsidR="00BB4161" w:rsidRPr="008A7BD7">
        <w:rPr>
          <w:rFonts w:ascii="Cambria" w:eastAsia="Montserrat" w:hAnsi="Cambria" w:cs="Montserrat"/>
          <w:sz w:val="20"/>
          <w:szCs w:val="20"/>
        </w:rPr>
        <w:t>has offered workshops, certification programs, training sessions, talks,</w:t>
      </w:r>
      <w:r w:rsidR="00BB7B3A" w:rsidRPr="008A7BD7">
        <w:rPr>
          <w:rFonts w:ascii="Cambria" w:eastAsia="Montserrat" w:hAnsi="Cambria" w:cs="Montserrat"/>
          <w:sz w:val="20"/>
          <w:szCs w:val="20"/>
        </w:rPr>
        <w:t xml:space="preserve"> and other activities, </w:t>
      </w:r>
      <w:r w:rsidR="00BB4161" w:rsidRPr="008A7BD7">
        <w:rPr>
          <w:rFonts w:ascii="Cambria" w:eastAsia="Montserrat" w:hAnsi="Cambria" w:cs="Montserrat"/>
          <w:sz w:val="20"/>
          <w:szCs w:val="20"/>
        </w:rPr>
        <w:t>including through digital platforms</w:t>
      </w:r>
      <w:r w:rsidR="00BF415D" w:rsidRPr="008A7BD7">
        <w:rPr>
          <w:rFonts w:ascii="Cambria" w:eastAsia="Montserrat" w:hAnsi="Cambria" w:cs="Montserrat"/>
          <w:sz w:val="20"/>
          <w:szCs w:val="20"/>
        </w:rPr>
        <w:t>,</w:t>
      </w:r>
      <w:r w:rsidR="00BB4161" w:rsidRPr="008A7BD7">
        <w:rPr>
          <w:rFonts w:ascii="Cambria" w:eastAsia="Montserrat" w:hAnsi="Cambria" w:cs="Montserrat"/>
          <w:sz w:val="20"/>
          <w:szCs w:val="20"/>
        </w:rPr>
        <w:t xml:space="preserve"> given the ban on in-person educational activities due to the</w:t>
      </w:r>
      <w:r w:rsidR="00F97F2A" w:rsidRPr="008A7BD7">
        <w:rPr>
          <w:rFonts w:ascii="Cambria" w:eastAsia="Montserrat" w:hAnsi="Cambria" w:cs="Montserrat"/>
          <w:sz w:val="20"/>
          <w:szCs w:val="20"/>
        </w:rPr>
        <w:t xml:space="preserve"> COVID-19</w:t>
      </w:r>
      <w:r w:rsidR="00BB4161" w:rsidRPr="008A7BD7">
        <w:rPr>
          <w:rFonts w:ascii="Cambria" w:eastAsia="Montserrat" w:hAnsi="Cambria" w:cs="Montserrat"/>
          <w:sz w:val="20"/>
          <w:szCs w:val="20"/>
        </w:rPr>
        <w:t xml:space="preserve"> pandemic.</w:t>
      </w:r>
      <w:r w:rsidR="00F97F2A" w:rsidRPr="008A7BD7">
        <w:rPr>
          <w:rStyle w:val="FootnoteReference"/>
          <w:rFonts w:ascii="Cambria" w:eastAsia="Montserrat" w:hAnsi="Cambria" w:cs="Montserrat"/>
          <w:sz w:val="20"/>
          <w:szCs w:val="20"/>
          <w:lang w:val="es-US"/>
        </w:rPr>
        <w:footnoteReference w:id="272"/>
      </w:r>
    </w:p>
    <w:p w14:paraId="094654E2" w14:textId="41B8581C" w:rsidR="004D1FCF" w:rsidRPr="008A7BD7" w:rsidRDefault="00F97F2A" w:rsidP="004D1FCF">
      <w:pPr>
        <w:pBdr>
          <w:top w:val="nil"/>
          <w:left w:val="nil"/>
          <w:bottom w:val="nil"/>
          <w:right w:val="nil"/>
          <w:between w:val="nil"/>
        </w:pBdr>
        <w:spacing w:after="16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 </w:t>
      </w:r>
    </w:p>
    <w:p w14:paraId="6A33174C" w14:textId="6766FFAE" w:rsidR="004D1FCF" w:rsidRPr="008A7BD7" w:rsidRDefault="00F0442F" w:rsidP="00F0442F">
      <w:pPr>
        <w:pStyle w:val="Heading2"/>
        <w:rPr>
          <w:rFonts w:eastAsia="Cambria"/>
        </w:rPr>
      </w:pPr>
      <w:r w:rsidRPr="008A7BD7">
        <w:rPr>
          <w:rFonts w:eastAsia="Cambria"/>
        </w:rPr>
        <w:t xml:space="preserve">Migrants, Asylum Seekers, Refugees, Persons in Need </w:t>
      </w:r>
      <w:r w:rsidR="00FC47D9" w:rsidRPr="008A7BD7">
        <w:rPr>
          <w:rFonts w:eastAsia="Cambria"/>
        </w:rPr>
        <w:t xml:space="preserve">of </w:t>
      </w:r>
      <w:r w:rsidRPr="008A7BD7">
        <w:rPr>
          <w:rFonts w:eastAsia="Cambria"/>
        </w:rPr>
        <w:t xml:space="preserve">Complementary Protection, Returnees, Internally Displaced Persons, </w:t>
      </w:r>
      <w:r w:rsidR="00FC47D9" w:rsidRPr="008A7BD7">
        <w:rPr>
          <w:rFonts w:eastAsia="Cambria"/>
        </w:rPr>
        <w:t xml:space="preserve">and </w:t>
      </w:r>
      <w:r w:rsidRPr="008A7BD7">
        <w:rPr>
          <w:rFonts w:eastAsia="Cambria"/>
        </w:rPr>
        <w:t xml:space="preserve">Victims </w:t>
      </w:r>
      <w:r w:rsidR="00FC47D9" w:rsidRPr="008A7BD7">
        <w:rPr>
          <w:rFonts w:eastAsia="Cambria"/>
        </w:rPr>
        <w:t xml:space="preserve">of </w:t>
      </w:r>
      <w:r w:rsidRPr="008A7BD7">
        <w:rPr>
          <w:rFonts w:eastAsia="Cambria"/>
        </w:rPr>
        <w:t xml:space="preserve">Human Trafficking  </w:t>
      </w:r>
    </w:p>
    <w:p w14:paraId="4511BD77" w14:textId="77777777" w:rsidR="004D1FCF" w:rsidRPr="008A7BD7" w:rsidRDefault="004D1FCF" w:rsidP="004D1FCF">
      <w:pPr>
        <w:spacing w:after="120"/>
        <w:jc w:val="center"/>
        <w:rPr>
          <w:rFonts w:ascii="Cambria" w:eastAsia="Cambria" w:hAnsi="Cambria" w:cs="Cambria"/>
          <w:b/>
          <w:color w:val="000000" w:themeColor="text1"/>
          <w:sz w:val="20"/>
          <w:szCs w:val="20"/>
        </w:rPr>
      </w:pPr>
    </w:p>
    <w:p w14:paraId="24612838" w14:textId="2D748C21" w:rsidR="004D1FCF" w:rsidRPr="008A7BD7" w:rsidRDefault="00973D75"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Through its various monitoring mechanisms, the IACHR has followed the situation of migrants, asylum seekers, refugees, persons </w:t>
      </w:r>
      <w:r w:rsidR="00D7605B" w:rsidRPr="008A7BD7">
        <w:rPr>
          <w:rFonts w:ascii="Cambria" w:eastAsia="Cambria" w:hAnsi="Cambria" w:cs="Cambria"/>
          <w:color w:val="000000" w:themeColor="text1"/>
          <w:sz w:val="20"/>
          <w:szCs w:val="20"/>
        </w:rPr>
        <w:t>in need of</w:t>
      </w:r>
      <w:r w:rsidRPr="008A7BD7">
        <w:rPr>
          <w:rFonts w:ascii="Cambria" w:eastAsia="Cambria" w:hAnsi="Cambria" w:cs="Cambria"/>
          <w:color w:val="000000" w:themeColor="text1"/>
          <w:sz w:val="20"/>
          <w:szCs w:val="20"/>
        </w:rPr>
        <w:t xml:space="preserve"> complementary protection, </w:t>
      </w:r>
      <w:r w:rsidR="00D7605B" w:rsidRPr="008A7BD7">
        <w:rPr>
          <w:rFonts w:ascii="Cambria" w:eastAsia="Cambria" w:hAnsi="Cambria" w:cs="Cambria"/>
          <w:color w:val="000000" w:themeColor="text1"/>
          <w:sz w:val="20"/>
          <w:szCs w:val="20"/>
        </w:rPr>
        <w:t xml:space="preserve">returnees, </w:t>
      </w:r>
      <w:r w:rsidRPr="008A7BD7">
        <w:rPr>
          <w:rFonts w:ascii="Cambria" w:eastAsia="Cambria" w:hAnsi="Cambria" w:cs="Cambria"/>
          <w:color w:val="000000" w:themeColor="text1"/>
          <w:sz w:val="20"/>
          <w:szCs w:val="20"/>
        </w:rPr>
        <w:t>internally displaced persons, and victims of hum</w:t>
      </w:r>
      <w:r w:rsidR="00A63443" w:rsidRPr="008A7BD7">
        <w:rPr>
          <w:rFonts w:ascii="Cambria" w:eastAsia="Cambria" w:hAnsi="Cambria" w:cs="Cambria"/>
          <w:color w:val="000000" w:themeColor="text1"/>
          <w:sz w:val="20"/>
          <w:szCs w:val="20"/>
        </w:rPr>
        <w:t xml:space="preserve">an trafficking in Guatemala in </w:t>
      </w:r>
      <w:r w:rsidR="00831DFD" w:rsidRPr="008A7BD7">
        <w:rPr>
          <w:rFonts w:ascii="Cambria" w:eastAsia="Cambria" w:hAnsi="Cambria" w:cs="Cambria"/>
          <w:color w:val="000000" w:themeColor="text1"/>
          <w:sz w:val="20"/>
          <w:szCs w:val="20"/>
        </w:rPr>
        <w:t>2021</w:t>
      </w:r>
      <w:r w:rsidR="004D1FCF" w:rsidRPr="008A7BD7">
        <w:rPr>
          <w:rFonts w:ascii="Cambria" w:eastAsia="Cambria" w:hAnsi="Cambria" w:cs="Cambria"/>
          <w:color w:val="000000" w:themeColor="text1"/>
          <w:sz w:val="20"/>
          <w:szCs w:val="20"/>
        </w:rPr>
        <w:t xml:space="preserve">. </w:t>
      </w:r>
      <w:r w:rsidR="00855488" w:rsidRPr="008A7BD7">
        <w:rPr>
          <w:rFonts w:ascii="Cambria" w:eastAsia="Cambria" w:hAnsi="Cambria" w:cs="Cambria"/>
          <w:color w:val="000000" w:themeColor="text1"/>
          <w:sz w:val="20"/>
          <w:szCs w:val="20"/>
        </w:rPr>
        <w:t xml:space="preserve">In this context, the Commission has </w:t>
      </w:r>
      <w:r w:rsidR="00855488" w:rsidRPr="008A7BD7">
        <w:rPr>
          <w:rFonts w:ascii="Cambria" w:eastAsia="Cambria" w:hAnsi="Cambria" w:cs="Cambria"/>
          <w:color w:val="000000" w:themeColor="text1"/>
          <w:sz w:val="20"/>
          <w:szCs w:val="20"/>
        </w:rPr>
        <w:lastRenderedPageBreak/>
        <w:t xml:space="preserve">observed the importance </w:t>
      </w:r>
      <w:r w:rsidR="00D7605B" w:rsidRPr="008A7BD7">
        <w:rPr>
          <w:rFonts w:ascii="Cambria" w:eastAsia="Cambria" w:hAnsi="Cambria" w:cs="Cambria"/>
          <w:color w:val="000000" w:themeColor="text1"/>
          <w:sz w:val="20"/>
          <w:szCs w:val="20"/>
        </w:rPr>
        <w:t>that</w:t>
      </w:r>
      <w:r w:rsidR="00855488" w:rsidRPr="008A7BD7">
        <w:rPr>
          <w:rFonts w:ascii="Cambria" w:eastAsia="Cambria" w:hAnsi="Cambria" w:cs="Cambria"/>
          <w:color w:val="000000" w:themeColor="text1"/>
          <w:sz w:val="20"/>
          <w:szCs w:val="20"/>
        </w:rPr>
        <w:t xml:space="preserve"> changes in migration movements and dynamics </w:t>
      </w:r>
      <w:r w:rsidR="00D7605B" w:rsidRPr="008A7BD7">
        <w:rPr>
          <w:rFonts w:ascii="Cambria" w:eastAsia="Cambria" w:hAnsi="Cambria" w:cs="Cambria"/>
          <w:color w:val="000000" w:themeColor="text1"/>
          <w:sz w:val="20"/>
          <w:szCs w:val="20"/>
        </w:rPr>
        <w:t xml:space="preserve">have brought to </w:t>
      </w:r>
      <w:r w:rsidR="00855488" w:rsidRPr="008A7BD7">
        <w:rPr>
          <w:rFonts w:ascii="Cambria" w:eastAsia="Cambria" w:hAnsi="Cambria" w:cs="Cambria"/>
          <w:color w:val="000000" w:themeColor="text1"/>
          <w:sz w:val="20"/>
          <w:szCs w:val="20"/>
        </w:rPr>
        <w:t xml:space="preserve">North and Central America, including </w:t>
      </w:r>
      <w:r w:rsidR="004D1FCF" w:rsidRPr="008A7BD7">
        <w:rPr>
          <w:rFonts w:ascii="Cambria" w:eastAsia="Cambria" w:hAnsi="Cambria" w:cs="Cambria"/>
          <w:color w:val="000000" w:themeColor="text1"/>
          <w:sz w:val="20"/>
          <w:szCs w:val="20"/>
        </w:rPr>
        <w:t xml:space="preserve">Guatemala. </w:t>
      </w:r>
      <w:r w:rsidR="003E748C" w:rsidRPr="008A7BD7">
        <w:rPr>
          <w:rFonts w:ascii="Cambria" w:eastAsia="Cambria" w:hAnsi="Cambria" w:cs="Cambria"/>
          <w:color w:val="000000" w:themeColor="text1"/>
          <w:sz w:val="20"/>
          <w:szCs w:val="20"/>
        </w:rPr>
        <w:t>This is due primarily to: (</w:t>
      </w:r>
      <w:r w:rsidR="004D1FCF" w:rsidRPr="008A7BD7">
        <w:rPr>
          <w:rFonts w:ascii="Cambria" w:eastAsia="Cambria" w:hAnsi="Cambria" w:cs="Cambria"/>
          <w:color w:val="000000" w:themeColor="text1"/>
          <w:sz w:val="20"/>
          <w:szCs w:val="20"/>
        </w:rPr>
        <w:t xml:space="preserve">i) </w:t>
      </w:r>
      <w:r w:rsidR="003E748C" w:rsidRPr="008A7BD7">
        <w:rPr>
          <w:rFonts w:ascii="Cambria" w:eastAsia="Cambria" w:hAnsi="Cambria" w:cs="Cambria"/>
          <w:color w:val="000000" w:themeColor="text1"/>
          <w:sz w:val="20"/>
          <w:szCs w:val="20"/>
        </w:rPr>
        <w:t>the broad, constant volume of movement through</w:t>
      </w:r>
      <w:r w:rsidR="00D7605B" w:rsidRPr="008A7BD7">
        <w:rPr>
          <w:rFonts w:ascii="Cambria" w:eastAsia="Cambria" w:hAnsi="Cambria" w:cs="Cambria"/>
          <w:color w:val="000000" w:themeColor="text1"/>
          <w:sz w:val="20"/>
          <w:szCs w:val="20"/>
        </w:rPr>
        <w:t>out</w:t>
      </w:r>
      <w:r w:rsidR="003E748C" w:rsidRPr="008A7BD7">
        <w:rPr>
          <w:rFonts w:ascii="Cambria" w:eastAsia="Cambria" w:hAnsi="Cambria" w:cs="Cambria"/>
          <w:color w:val="000000" w:themeColor="text1"/>
          <w:sz w:val="20"/>
          <w:szCs w:val="20"/>
        </w:rPr>
        <w:t xml:space="preserve"> the region, whether forced or voluntary; and (</w:t>
      </w:r>
      <w:r w:rsidR="004D1FCF" w:rsidRPr="008A7BD7">
        <w:rPr>
          <w:rFonts w:ascii="Cambria" w:eastAsia="Cambria" w:hAnsi="Cambria" w:cs="Cambria"/>
          <w:color w:val="000000" w:themeColor="text1"/>
          <w:sz w:val="20"/>
          <w:szCs w:val="20"/>
        </w:rPr>
        <w:t xml:space="preserve">ii) </w:t>
      </w:r>
      <w:r w:rsidR="003E748C" w:rsidRPr="008A7BD7">
        <w:rPr>
          <w:rFonts w:ascii="Cambria" w:eastAsia="Cambria" w:hAnsi="Cambria" w:cs="Cambria"/>
          <w:color w:val="000000" w:themeColor="text1"/>
          <w:sz w:val="20"/>
          <w:szCs w:val="20"/>
        </w:rPr>
        <w:t xml:space="preserve">the vulnerability of </w:t>
      </w:r>
      <w:r w:rsidR="00F86B1C" w:rsidRPr="008A7BD7">
        <w:rPr>
          <w:rFonts w:ascii="Cambria" w:eastAsia="Cambria" w:hAnsi="Cambria" w:cs="Cambria"/>
          <w:color w:val="000000" w:themeColor="text1"/>
          <w:sz w:val="20"/>
          <w:szCs w:val="20"/>
        </w:rPr>
        <w:t>those</w:t>
      </w:r>
      <w:r w:rsidR="003E748C" w:rsidRPr="008A7BD7">
        <w:rPr>
          <w:rFonts w:ascii="Cambria" w:eastAsia="Cambria" w:hAnsi="Cambria" w:cs="Cambria"/>
          <w:color w:val="000000" w:themeColor="text1"/>
          <w:sz w:val="20"/>
          <w:szCs w:val="20"/>
        </w:rPr>
        <w:t xml:space="preserve"> who make up </w:t>
      </w:r>
      <w:r w:rsidR="006F5F62" w:rsidRPr="008A7BD7">
        <w:rPr>
          <w:rFonts w:ascii="Cambria" w:eastAsia="Cambria" w:hAnsi="Cambria" w:cs="Cambria"/>
          <w:color w:val="000000" w:themeColor="text1"/>
          <w:sz w:val="20"/>
          <w:szCs w:val="20"/>
        </w:rPr>
        <w:t>these</w:t>
      </w:r>
      <w:r w:rsidR="003E748C" w:rsidRPr="008A7BD7">
        <w:rPr>
          <w:rFonts w:ascii="Cambria" w:eastAsia="Cambria" w:hAnsi="Cambria" w:cs="Cambria"/>
          <w:color w:val="000000" w:themeColor="text1"/>
          <w:sz w:val="20"/>
          <w:szCs w:val="20"/>
        </w:rPr>
        <w:t xml:space="preserve"> movement</w:t>
      </w:r>
      <w:r w:rsidR="006F5F62" w:rsidRPr="008A7BD7">
        <w:rPr>
          <w:rFonts w:ascii="Cambria" w:eastAsia="Cambria" w:hAnsi="Cambria" w:cs="Cambria"/>
          <w:color w:val="000000" w:themeColor="text1"/>
          <w:sz w:val="20"/>
          <w:szCs w:val="20"/>
        </w:rPr>
        <w:t>s</w:t>
      </w:r>
      <w:r w:rsidR="003E748C" w:rsidRPr="008A7BD7">
        <w:rPr>
          <w:rFonts w:ascii="Cambria" w:eastAsia="Cambria" w:hAnsi="Cambria" w:cs="Cambria"/>
          <w:color w:val="000000" w:themeColor="text1"/>
          <w:sz w:val="20"/>
          <w:szCs w:val="20"/>
        </w:rPr>
        <w:t xml:space="preserve"> of people, most of whom </w:t>
      </w:r>
      <w:r w:rsidR="00F86B1C" w:rsidRPr="008A7BD7">
        <w:rPr>
          <w:rFonts w:ascii="Cambria" w:eastAsia="Cambria" w:hAnsi="Cambria" w:cs="Cambria"/>
          <w:color w:val="000000" w:themeColor="text1"/>
          <w:sz w:val="20"/>
          <w:szCs w:val="20"/>
        </w:rPr>
        <w:t xml:space="preserve">are migrating outside the regular channels for entry given their lack of legal alternatives. </w:t>
      </w:r>
    </w:p>
    <w:p w14:paraId="37913BA2" w14:textId="77777777" w:rsidR="004D1FCF" w:rsidRPr="008A7BD7" w:rsidRDefault="004D1FCF" w:rsidP="004D1FCF">
      <w:pPr>
        <w:ind w:left="720"/>
        <w:jc w:val="both"/>
        <w:rPr>
          <w:rFonts w:ascii="Cambria" w:eastAsia="Cambria" w:hAnsi="Cambria" w:cs="Cambria"/>
          <w:color w:val="000000" w:themeColor="text1"/>
          <w:sz w:val="20"/>
          <w:szCs w:val="20"/>
        </w:rPr>
      </w:pPr>
    </w:p>
    <w:p w14:paraId="56DF7C27" w14:textId="1F6F1E9B" w:rsidR="004D1FCF" w:rsidRPr="008A7BD7" w:rsidRDefault="00F86B1C"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In terms of the structural causes that force people to move, the Commission observes that according to the latest statistics from the United Nations High Commissioner for Refugees (UNHCR), as of the end of </w:t>
      </w:r>
      <w:r w:rsidR="004D1FCF" w:rsidRPr="008A7BD7">
        <w:rPr>
          <w:rFonts w:ascii="Cambria" w:eastAsia="Cambria" w:hAnsi="Cambria" w:cs="Cambria"/>
          <w:color w:val="000000" w:themeColor="text1"/>
          <w:sz w:val="20"/>
          <w:szCs w:val="20"/>
        </w:rPr>
        <w:t xml:space="preserve">2020 </w:t>
      </w:r>
      <w:r w:rsidRPr="008A7BD7">
        <w:rPr>
          <w:rFonts w:ascii="Cambria" w:eastAsia="Cambria" w:hAnsi="Cambria" w:cs="Cambria"/>
          <w:color w:val="000000" w:themeColor="text1"/>
          <w:sz w:val="20"/>
          <w:szCs w:val="20"/>
        </w:rPr>
        <w:t xml:space="preserve">there were a total of </w:t>
      </w:r>
      <w:r w:rsidR="004D1FCF" w:rsidRPr="008A7BD7">
        <w:rPr>
          <w:rFonts w:ascii="Cambria" w:eastAsia="Cambria" w:hAnsi="Cambria" w:cs="Cambria"/>
          <w:color w:val="000000" w:themeColor="text1"/>
          <w:sz w:val="20"/>
          <w:szCs w:val="20"/>
        </w:rPr>
        <w:t>24</w:t>
      </w:r>
      <w:r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 xml:space="preserve">559 </w:t>
      </w:r>
      <w:r w:rsidRPr="008A7BD7">
        <w:rPr>
          <w:rFonts w:ascii="Cambria" w:eastAsia="Cambria" w:hAnsi="Cambria" w:cs="Cambria"/>
          <w:color w:val="000000" w:themeColor="text1"/>
          <w:sz w:val="20"/>
          <w:szCs w:val="20"/>
        </w:rPr>
        <w:t xml:space="preserve">refugees of Guatemalan origin, </w:t>
      </w:r>
      <w:r w:rsidR="00922850" w:rsidRPr="008A7BD7">
        <w:rPr>
          <w:rFonts w:ascii="Cambria" w:eastAsia="Cambria" w:hAnsi="Cambria" w:cs="Cambria"/>
          <w:color w:val="000000" w:themeColor="text1"/>
          <w:sz w:val="20"/>
          <w:szCs w:val="20"/>
        </w:rPr>
        <w:t>and</w:t>
      </w:r>
      <w:r w:rsidRPr="008A7BD7">
        <w:rPr>
          <w:rFonts w:ascii="Cambria" w:eastAsia="Cambria" w:hAnsi="Cambria" w:cs="Cambria"/>
          <w:color w:val="000000" w:themeColor="text1"/>
          <w:sz w:val="20"/>
          <w:szCs w:val="20"/>
        </w:rPr>
        <w:t xml:space="preserve"> a total of </w:t>
      </w:r>
      <w:r w:rsidR="004D1FCF" w:rsidRPr="008A7BD7">
        <w:rPr>
          <w:rFonts w:ascii="Cambria" w:eastAsia="Cambria" w:hAnsi="Cambria" w:cs="Cambria"/>
          <w:color w:val="000000" w:themeColor="text1"/>
          <w:sz w:val="20"/>
          <w:szCs w:val="20"/>
        </w:rPr>
        <w:t>146</w:t>
      </w:r>
      <w:r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 xml:space="preserve">109 </w:t>
      </w:r>
      <w:r w:rsidRPr="008A7BD7">
        <w:rPr>
          <w:rFonts w:ascii="Cambria" w:eastAsia="Cambria" w:hAnsi="Cambria" w:cs="Cambria"/>
          <w:color w:val="000000" w:themeColor="text1"/>
          <w:sz w:val="20"/>
          <w:szCs w:val="20"/>
        </w:rPr>
        <w:t xml:space="preserve">asylum seekers </w:t>
      </w:r>
      <w:r w:rsidR="00922850" w:rsidRPr="008A7BD7">
        <w:rPr>
          <w:rFonts w:ascii="Cambria" w:eastAsia="Cambria" w:hAnsi="Cambria" w:cs="Cambria"/>
          <w:color w:val="000000" w:themeColor="text1"/>
          <w:sz w:val="20"/>
          <w:szCs w:val="20"/>
        </w:rPr>
        <w:t>whose cases are said to be pending.</w:t>
      </w:r>
      <w:r w:rsidR="004D1FCF" w:rsidRPr="008A7BD7">
        <w:rPr>
          <w:rFonts w:ascii="Cambria" w:eastAsia="Cambria" w:hAnsi="Cambria" w:cs="Cambria"/>
          <w:color w:val="000000" w:themeColor="text1"/>
          <w:sz w:val="20"/>
          <w:szCs w:val="20"/>
          <w:vertAlign w:val="superscript"/>
        </w:rPr>
        <w:footnoteReference w:id="273"/>
      </w:r>
      <w:r w:rsidR="004D1FCF" w:rsidRPr="008A7BD7">
        <w:rPr>
          <w:rFonts w:ascii="Cambria" w:eastAsia="Cambria" w:hAnsi="Cambria" w:cs="Cambria"/>
          <w:color w:val="000000" w:themeColor="text1"/>
          <w:sz w:val="20"/>
          <w:szCs w:val="20"/>
        </w:rPr>
        <w:t xml:space="preserve"> </w:t>
      </w:r>
      <w:r w:rsidR="002A138A" w:rsidRPr="008A7BD7">
        <w:rPr>
          <w:rFonts w:ascii="Cambria" w:eastAsia="Cambria" w:hAnsi="Cambria" w:cs="Cambria"/>
          <w:color w:val="000000" w:themeColor="text1"/>
          <w:sz w:val="20"/>
          <w:szCs w:val="20"/>
        </w:rPr>
        <w:t xml:space="preserve">Compared with </w:t>
      </w:r>
      <w:r w:rsidR="004D1FCF" w:rsidRPr="008A7BD7">
        <w:rPr>
          <w:rFonts w:ascii="Cambria" w:eastAsia="Cambria" w:hAnsi="Cambria" w:cs="Cambria"/>
          <w:color w:val="000000" w:themeColor="text1"/>
          <w:sz w:val="20"/>
          <w:szCs w:val="20"/>
        </w:rPr>
        <w:t>2019</w:t>
      </w:r>
      <w:r w:rsidR="002A138A" w:rsidRPr="008A7BD7">
        <w:rPr>
          <w:rFonts w:ascii="Cambria" w:eastAsia="Cambria" w:hAnsi="Cambria" w:cs="Cambria"/>
          <w:color w:val="000000" w:themeColor="text1"/>
          <w:sz w:val="20"/>
          <w:szCs w:val="20"/>
        </w:rPr>
        <w:t xml:space="preserve"> figures</w:t>
      </w:r>
      <w:r w:rsidR="004D1FCF" w:rsidRPr="008A7BD7">
        <w:rPr>
          <w:rFonts w:ascii="Cambria" w:eastAsia="Cambria" w:hAnsi="Cambria" w:cs="Cambria"/>
          <w:color w:val="000000" w:themeColor="text1"/>
          <w:sz w:val="20"/>
          <w:szCs w:val="20"/>
        </w:rPr>
        <w:t xml:space="preserve">, </w:t>
      </w:r>
      <w:r w:rsidR="002A138A" w:rsidRPr="008A7BD7">
        <w:rPr>
          <w:rFonts w:ascii="Cambria" w:eastAsia="Cambria" w:hAnsi="Cambria" w:cs="Cambria"/>
          <w:color w:val="000000" w:themeColor="text1"/>
          <w:sz w:val="20"/>
          <w:szCs w:val="20"/>
        </w:rPr>
        <w:t xml:space="preserve">this would represent an increase of </w:t>
      </w:r>
      <w:r w:rsidR="004D1FCF" w:rsidRPr="008A7BD7">
        <w:rPr>
          <w:rFonts w:ascii="Cambria" w:eastAsia="Cambria" w:hAnsi="Cambria" w:cs="Cambria"/>
          <w:color w:val="000000" w:themeColor="text1"/>
          <w:sz w:val="20"/>
          <w:szCs w:val="20"/>
        </w:rPr>
        <w:t xml:space="preserve">7% </w:t>
      </w:r>
      <w:r w:rsidR="002A138A" w:rsidRPr="008A7BD7">
        <w:rPr>
          <w:rFonts w:ascii="Cambria" w:eastAsia="Cambria" w:hAnsi="Cambria" w:cs="Cambria"/>
          <w:color w:val="000000" w:themeColor="text1"/>
          <w:sz w:val="20"/>
          <w:szCs w:val="20"/>
        </w:rPr>
        <w:t xml:space="preserve">in the number of refugees and an increase of </w:t>
      </w:r>
      <w:r w:rsidR="004D1FCF" w:rsidRPr="008A7BD7">
        <w:rPr>
          <w:rFonts w:ascii="Cambria" w:eastAsia="Cambria" w:hAnsi="Cambria" w:cs="Cambria"/>
          <w:color w:val="000000" w:themeColor="text1"/>
          <w:sz w:val="20"/>
          <w:szCs w:val="20"/>
        </w:rPr>
        <w:t xml:space="preserve">22% </w:t>
      </w:r>
      <w:r w:rsidR="002A138A" w:rsidRPr="008A7BD7">
        <w:rPr>
          <w:rFonts w:ascii="Cambria" w:eastAsia="Cambria" w:hAnsi="Cambria" w:cs="Cambria"/>
          <w:color w:val="000000" w:themeColor="text1"/>
          <w:sz w:val="20"/>
          <w:szCs w:val="20"/>
        </w:rPr>
        <w:t>with respect to asylum seekers whose cases are pending.</w:t>
      </w:r>
      <w:r w:rsidR="004D1FCF" w:rsidRPr="008A7BD7">
        <w:rPr>
          <w:rFonts w:ascii="Cambria" w:eastAsia="Cambria" w:hAnsi="Cambria" w:cs="Cambria"/>
          <w:color w:val="000000" w:themeColor="text1"/>
          <w:sz w:val="20"/>
          <w:szCs w:val="20"/>
          <w:vertAlign w:val="superscript"/>
        </w:rPr>
        <w:footnoteReference w:id="274"/>
      </w:r>
      <w:r w:rsidR="004D1FCF" w:rsidRPr="008A7BD7">
        <w:rPr>
          <w:rFonts w:ascii="Cambria" w:eastAsia="Cambria" w:hAnsi="Cambria" w:cs="Cambria"/>
          <w:color w:val="000000" w:themeColor="text1"/>
          <w:sz w:val="20"/>
          <w:szCs w:val="20"/>
        </w:rPr>
        <w:t xml:space="preserve"> </w:t>
      </w:r>
      <w:r w:rsidR="0027615A" w:rsidRPr="008A7BD7">
        <w:rPr>
          <w:rFonts w:ascii="Cambria" w:eastAsia="Cambria" w:hAnsi="Cambria" w:cs="Cambria"/>
          <w:color w:val="000000" w:themeColor="text1"/>
          <w:sz w:val="20"/>
          <w:szCs w:val="20"/>
        </w:rPr>
        <w:t xml:space="preserve">In addition, there are a total of </w:t>
      </w:r>
      <w:r w:rsidR="004D1FCF" w:rsidRPr="008A7BD7">
        <w:rPr>
          <w:rFonts w:ascii="Cambria" w:eastAsia="Cambria" w:hAnsi="Cambria" w:cs="Cambria"/>
          <w:color w:val="000000" w:themeColor="text1"/>
          <w:sz w:val="20"/>
          <w:szCs w:val="20"/>
        </w:rPr>
        <w:t xml:space="preserve">27,264 </w:t>
      </w:r>
      <w:r w:rsidR="0027615A" w:rsidRPr="008A7BD7">
        <w:rPr>
          <w:rFonts w:ascii="Cambria" w:eastAsia="Cambria" w:hAnsi="Cambria" w:cs="Cambria"/>
          <w:color w:val="000000" w:themeColor="text1"/>
          <w:sz w:val="20"/>
          <w:szCs w:val="20"/>
        </w:rPr>
        <w:t>persons of Guatemalan origin who are considered persons of concern under the UNHCR mandate.</w:t>
      </w:r>
      <w:r w:rsidR="004D1FCF" w:rsidRPr="008A7BD7">
        <w:rPr>
          <w:rFonts w:ascii="Cambria" w:eastAsia="Cambria" w:hAnsi="Cambria" w:cs="Cambria"/>
          <w:color w:val="000000" w:themeColor="text1"/>
          <w:sz w:val="20"/>
          <w:szCs w:val="20"/>
          <w:vertAlign w:val="superscript"/>
        </w:rPr>
        <w:footnoteReference w:id="275"/>
      </w:r>
    </w:p>
    <w:p w14:paraId="7BE50296" w14:textId="77777777" w:rsidR="004D1FCF" w:rsidRPr="008A7BD7" w:rsidRDefault="004D1FCF" w:rsidP="004D1FCF">
      <w:pPr>
        <w:pStyle w:val="ListParagraph"/>
        <w:rPr>
          <w:rFonts w:ascii="Cambria" w:eastAsia="Cambria" w:hAnsi="Cambria" w:cs="Cambria"/>
          <w:color w:val="000000" w:themeColor="text1"/>
          <w:sz w:val="20"/>
          <w:szCs w:val="20"/>
        </w:rPr>
      </w:pPr>
    </w:p>
    <w:p w14:paraId="56AAD203" w14:textId="6CE34F96" w:rsidR="004D1FCF" w:rsidRPr="008A7BD7" w:rsidRDefault="00FB0E7E"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Furthermore</w:t>
      </w:r>
      <w:r w:rsidR="008F3B9C" w:rsidRPr="008A7BD7">
        <w:rPr>
          <w:rFonts w:ascii="Cambria" w:eastAsia="Cambria" w:hAnsi="Cambria" w:cs="Cambria"/>
          <w:color w:val="000000" w:themeColor="text1"/>
          <w:sz w:val="20"/>
          <w:szCs w:val="20"/>
        </w:rPr>
        <w:t xml:space="preserve">, the IACHR has observed an increase in the </w:t>
      </w:r>
      <w:r w:rsidRPr="008A7BD7">
        <w:rPr>
          <w:rFonts w:ascii="Cambria" w:eastAsia="Cambria" w:hAnsi="Cambria" w:cs="Cambria"/>
          <w:color w:val="000000" w:themeColor="text1"/>
          <w:sz w:val="20"/>
          <w:szCs w:val="20"/>
        </w:rPr>
        <w:t>movement</w:t>
      </w:r>
      <w:r w:rsidR="008F3B9C" w:rsidRPr="008A7BD7">
        <w:rPr>
          <w:rFonts w:ascii="Cambria" w:eastAsia="Cambria" w:hAnsi="Cambria" w:cs="Cambria"/>
          <w:color w:val="000000" w:themeColor="text1"/>
          <w:sz w:val="20"/>
          <w:szCs w:val="20"/>
        </w:rPr>
        <w:t xml:space="preserve"> of unaccompanied or separated children and adolescents. According to the most </w:t>
      </w:r>
      <w:r w:rsidR="008A1DE1" w:rsidRPr="008A7BD7">
        <w:rPr>
          <w:rFonts w:ascii="Cambria" w:eastAsia="Cambria" w:hAnsi="Cambria" w:cs="Cambria"/>
          <w:color w:val="000000" w:themeColor="text1"/>
          <w:sz w:val="20"/>
          <w:szCs w:val="20"/>
        </w:rPr>
        <w:t>recent figures from U.S. Customs and Border Protection (CBP), at least</w:t>
      </w:r>
      <w:r w:rsidR="004D1FCF" w:rsidRPr="008A7BD7">
        <w:rPr>
          <w:rFonts w:ascii="Cambria" w:eastAsia="Cambria" w:hAnsi="Cambria" w:cs="Cambria"/>
          <w:color w:val="000000" w:themeColor="text1"/>
          <w:sz w:val="20"/>
          <w:szCs w:val="20"/>
        </w:rPr>
        <w:t xml:space="preserve"> 52</w:t>
      </w:r>
      <w:r w:rsidR="008A1DE1"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 xml:space="preserve">818 </w:t>
      </w:r>
      <w:r w:rsidR="008A1DE1" w:rsidRPr="008A7BD7">
        <w:rPr>
          <w:rFonts w:ascii="Cambria" w:eastAsia="Cambria" w:hAnsi="Cambria" w:cs="Cambria"/>
          <w:color w:val="000000" w:themeColor="text1"/>
          <w:sz w:val="20"/>
          <w:szCs w:val="20"/>
        </w:rPr>
        <w:t xml:space="preserve">unaccompanied minors who arrived at the southern border of the United States in </w:t>
      </w:r>
      <w:r w:rsidR="004D1FCF" w:rsidRPr="008A7BD7">
        <w:rPr>
          <w:rFonts w:ascii="Cambria" w:eastAsia="Cambria" w:hAnsi="Cambria" w:cs="Cambria"/>
          <w:color w:val="000000" w:themeColor="text1"/>
          <w:sz w:val="20"/>
          <w:szCs w:val="20"/>
        </w:rPr>
        <w:t xml:space="preserve">2021 </w:t>
      </w:r>
      <w:r w:rsidR="008A1DE1" w:rsidRPr="008A7BD7">
        <w:rPr>
          <w:rFonts w:ascii="Cambria" w:eastAsia="Cambria" w:hAnsi="Cambria" w:cs="Cambria"/>
          <w:color w:val="000000" w:themeColor="text1"/>
          <w:sz w:val="20"/>
          <w:szCs w:val="20"/>
        </w:rPr>
        <w:t xml:space="preserve">are from </w:t>
      </w:r>
      <w:r w:rsidR="004D1FCF" w:rsidRPr="008A7BD7">
        <w:rPr>
          <w:rFonts w:ascii="Cambria" w:eastAsia="Cambria" w:hAnsi="Cambria" w:cs="Cambria"/>
          <w:color w:val="000000" w:themeColor="text1"/>
          <w:sz w:val="20"/>
          <w:szCs w:val="20"/>
        </w:rPr>
        <w:t xml:space="preserve">Guatemala. </w:t>
      </w:r>
      <w:r w:rsidR="008A1DE1" w:rsidRPr="008A7BD7">
        <w:rPr>
          <w:rFonts w:ascii="Cambria" w:eastAsia="Cambria" w:hAnsi="Cambria" w:cs="Cambria"/>
          <w:color w:val="000000" w:themeColor="text1"/>
          <w:sz w:val="20"/>
          <w:szCs w:val="20"/>
        </w:rPr>
        <w:t xml:space="preserve">This amounts to </w:t>
      </w:r>
      <w:r w:rsidR="004D1FCF" w:rsidRPr="008A7BD7">
        <w:rPr>
          <w:rFonts w:ascii="Cambria" w:eastAsia="Cambria" w:hAnsi="Cambria" w:cs="Cambria"/>
          <w:color w:val="000000" w:themeColor="text1"/>
          <w:sz w:val="20"/>
          <w:szCs w:val="20"/>
        </w:rPr>
        <w:t xml:space="preserve">39.8% </w:t>
      </w:r>
      <w:r w:rsidR="008A1DE1" w:rsidRPr="008A7BD7">
        <w:rPr>
          <w:rFonts w:ascii="Cambria" w:eastAsia="Cambria" w:hAnsi="Cambria" w:cs="Cambria"/>
          <w:color w:val="000000" w:themeColor="text1"/>
          <w:sz w:val="20"/>
          <w:szCs w:val="20"/>
        </w:rPr>
        <w:t xml:space="preserve">of the total number of unaccompanied minors </w:t>
      </w:r>
      <w:r w:rsidR="00B765CA" w:rsidRPr="008A7BD7">
        <w:rPr>
          <w:rFonts w:ascii="Cambria" w:eastAsia="Cambria" w:hAnsi="Cambria" w:cs="Cambria"/>
          <w:color w:val="000000" w:themeColor="text1"/>
          <w:sz w:val="20"/>
          <w:szCs w:val="20"/>
        </w:rPr>
        <w:t xml:space="preserve">arriving </w:t>
      </w:r>
      <w:r w:rsidR="008A1DE1" w:rsidRPr="008A7BD7">
        <w:rPr>
          <w:rFonts w:ascii="Cambria" w:eastAsia="Cambria" w:hAnsi="Cambria" w:cs="Cambria"/>
          <w:color w:val="000000" w:themeColor="text1"/>
          <w:sz w:val="20"/>
          <w:szCs w:val="20"/>
        </w:rPr>
        <w:t>at th</w:t>
      </w:r>
      <w:r w:rsidR="00B765CA" w:rsidRPr="008A7BD7">
        <w:rPr>
          <w:rFonts w:ascii="Cambria" w:eastAsia="Cambria" w:hAnsi="Cambria" w:cs="Cambria"/>
          <w:color w:val="000000" w:themeColor="text1"/>
          <w:sz w:val="20"/>
          <w:szCs w:val="20"/>
        </w:rPr>
        <w:t>at</w:t>
      </w:r>
      <w:r w:rsidR="008A1DE1" w:rsidRPr="008A7BD7">
        <w:rPr>
          <w:rFonts w:ascii="Cambria" w:eastAsia="Cambria" w:hAnsi="Cambria" w:cs="Cambria"/>
          <w:color w:val="000000" w:themeColor="text1"/>
          <w:sz w:val="20"/>
          <w:szCs w:val="20"/>
        </w:rPr>
        <w:t xml:space="preserve"> border. </w:t>
      </w:r>
      <w:r w:rsidR="000911D0" w:rsidRPr="008A7BD7">
        <w:rPr>
          <w:rFonts w:ascii="Cambria" w:eastAsia="Cambria" w:hAnsi="Cambria" w:cs="Cambria"/>
          <w:color w:val="000000" w:themeColor="text1"/>
          <w:sz w:val="20"/>
          <w:szCs w:val="20"/>
        </w:rPr>
        <w:t>Moreover, it represents an increase of</w:t>
      </w:r>
      <w:r w:rsidR="004D1FCF" w:rsidRPr="008A7BD7">
        <w:rPr>
          <w:rFonts w:ascii="Cambria" w:eastAsia="Cambria" w:hAnsi="Cambria" w:cs="Cambria"/>
          <w:color w:val="000000" w:themeColor="text1"/>
          <w:sz w:val="20"/>
          <w:szCs w:val="20"/>
        </w:rPr>
        <w:t xml:space="preserve"> 600% </w:t>
      </w:r>
      <w:r w:rsidR="000911D0" w:rsidRPr="008A7BD7">
        <w:rPr>
          <w:rFonts w:ascii="Cambria" w:eastAsia="Cambria" w:hAnsi="Cambria" w:cs="Cambria"/>
          <w:color w:val="000000" w:themeColor="text1"/>
          <w:sz w:val="20"/>
          <w:szCs w:val="20"/>
        </w:rPr>
        <w:t xml:space="preserve">when compared with the same period in </w:t>
      </w:r>
      <w:r w:rsidR="004D1FCF" w:rsidRPr="008A7BD7">
        <w:rPr>
          <w:rFonts w:ascii="Cambria" w:eastAsia="Cambria" w:hAnsi="Cambria" w:cs="Cambria"/>
          <w:color w:val="000000" w:themeColor="text1"/>
          <w:sz w:val="20"/>
          <w:szCs w:val="20"/>
        </w:rPr>
        <w:t>2020</w:t>
      </w:r>
      <w:r w:rsidR="000911D0"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vertAlign w:val="superscript"/>
        </w:rPr>
        <w:footnoteReference w:id="276"/>
      </w:r>
    </w:p>
    <w:p w14:paraId="77B16859" w14:textId="77777777" w:rsidR="00F97F2A" w:rsidRPr="008A7BD7" w:rsidRDefault="00F97F2A" w:rsidP="00F97F2A">
      <w:pPr>
        <w:pStyle w:val="ListParagraph"/>
        <w:rPr>
          <w:rFonts w:ascii="Cambria" w:eastAsia="Cambria" w:hAnsi="Cambria" w:cs="Cambria"/>
          <w:color w:val="000000" w:themeColor="text1"/>
          <w:sz w:val="20"/>
          <w:szCs w:val="20"/>
        </w:rPr>
      </w:pPr>
    </w:p>
    <w:p w14:paraId="6BFD1311" w14:textId="711E312F" w:rsidR="00F97F2A" w:rsidRPr="008A7BD7" w:rsidRDefault="003E6461" w:rsidP="00F97F2A">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In its response to the draft report, the Guatemalan State provided data about unaccompanied Guatemalan children and adolescents served by the Public Prosecutor’s Office on Children and Adolescents</w:t>
      </w:r>
      <w:r w:rsidR="005734EA" w:rsidRPr="008A7BD7">
        <w:rPr>
          <w:rFonts w:ascii="Cambria" w:eastAsia="Cambria" w:hAnsi="Cambria" w:cs="Cambria"/>
          <w:color w:val="000000" w:themeColor="text1"/>
          <w:sz w:val="20"/>
          <w:szCs w:val="20"/>
        </w:rPr>
        <w:t xml:space="preserve"> in the Attorney General’s Office, which has an Area on Migrant Children and International Removal. </w:t>
      </w:r>
      <w:r w:rsidR="004D03CD" w:rsidRPr="008A7BD7">
        <w:rPr>
          <w:rFonts w:ascii="Cambria" w:eastAsia="Cambria" w:hAnsi="Cambria" w:cs="Cambria"/>
          <w:color w:val="000000" w:themeColor="text1"/>
          <w:sz w:val="20"/>
          <w:szCs w:val="20"/>
        </w:rPr>
        <w:t>I</w:t>
      </w:r>
      <w:r w:rsidR="005734EA" w:rsidRPr="008A7BD7">
        <w:rPr>
          <w:rFonts w:ascii="Cambria" w:eastAsia="Cambria" w:hAnsi="Cambria" w:cs="Cambria"/>
          <w:color w:val="000000" w:themeColor="text1"/>
          <w:sz w:val="20"/>
          <w:szCs w:val="20"/>
        </w:rPr>
        <w:t xml:space="preserve">n 2021, “in contrast to the cases seen in </w:t>
      </w:r>
      <w:r w:rsidR="00F97F2A" w:rsidRPr="008A7BD7">
        <w:rPr>
          <w:rFonts w:ascii="Cambria" w:eastAsia="Cambria" w:hAnsi="Cambria" w:cs="Cambria"/>
          <w:color w:val="000000" w:themeColor="text1"/>
          <w:sz w:val="20"/>
          <w:szCs w:val="20"/>
        </w:rPr>
        <w:t>2020</w:t>
      </w:r>
      <w:r w:rsidR="005734EA" w:rsidRPr="008A7BD7">
        <w:rPr>
          <w:rFonts w:ascii="Cambria" w:eastAsia="Cambria" w:hAnsi="Cambria" w:cs="Cambria"/>
          <w:color w:val="000000" w:themeColor="text1"/>
          <w:sz w:val="20"/>
          <w:szCs w:val="20"/>
        </w:rPr>
        <w:t xml:space="preserve">, there has been a considerable increase in </w:t>
      </w:r>
      <w:r w:rsidR="00FA502F" w:rsidRPr="008A7BD7">
        <w:rPr>
          <w:rFonts w:ascii="Cambria" w:eastAsia="Cambria" w:hAnsi="Cambria" w:cs="Cambria"/>
          <w:color w:val="000000" w:themeColor="text1"/>
          <w:sz w:val="20"/>
          <w:szCs w:val="20"/>
        </w:rPr>
        <w:t xml:space="preserve">the number of </w:t>
      </w:r>
      <w:r w:rsidR="005734EA" w:rsidRPr="008A7BD7">
        <w:rPr>
          <w:rFonts w:ascii="Cambria" w:eastAsia="Cambria" w:hAnsi="Cambria" w:cs="Cambria"/>
          <w:color w:val="000000" w:themeColor="text1"/>
          <w:sz w:val="20"/>
          <w:szCs w:val="20"/>
        </w:rPr>
        <w:t xml:space="preserve">children and adolescents </w:t>
      </w:r>
      <w:r w:rsidR="00366073" w:rsidRPr="008A7BD7">
        <w:rPr>
          <w:rFonts w:ascii="Cambria" w:eastAsia="Cambria" w:hAnsi="Cambria" w:cs="Cambria"/>
          <w:color w:val="000000" w:themeColor="text1"/>
          <w:sz w:val="20"/>
          <w:szCs w:val="20"/>
        </w:rPr>
        <w:t xml:space="preserve">traveling by land who were assisted, while cases involving travel </w:t>
      </w:r>
      <w:r w:rsidR="00FA502F" w:rsidRPr="008A7BD7">
        <w:rPr>
          <w:rFonts w:ascii="Cambria" w:eastAsia="Cambria" w:hAnsi="Cambria" w:cs="Cambria"/>
          <w:color w:val="000000" w:themeColor="text1"/>
          <w:sz w:val="20"/>
          <w:szCs w:val="20"/>
        </w:rPr>
        <w:t xml:space="preserve">by air </w:t>
      </w:r>
      <w:r w:rsidR="00366073" w:rsidRPr="008A7BD7">
        <w:rPr>
          <w:rFonts w:ascii="Cambria" w:eastAsia="Cambria" w:hAnsi="Cambria" w:cs="Cambria"/>
          <w:color w:val="000000" w:themeColor="text1"/>
          <w:sz w:val="20"/>
          <w:szCs w:val="20"/>
        </w:rPr>
        <w:t>showed a decline,” as shown in the chart below.</w:t>
      </w:r>
      <w:r w:rsidR="00F97F2A" w:rsidRPr="008A7BD7">
        <w:rPr>
          <w:rStyle w:val="FootnoteReference"/>
          <w:rFonts w:ascii="Cambria" w:eastAsia="Cambria" w:hAnsi="Cambria" w:cs="Cambria"/>
          <w:color w:val="000000" w:themeColor="text1"/>
          <w:sz w:val="20"/>
          <w:szCs w:val="20"/>
          <w:lang w:val="es-US"/>
        </w:rPr>
        <w:footnoteReference w:id="277"/>
      </w:r>
      <w:r w:rsidR="00F97F2A" w:rsidRPr="008A7BD7">
        <w:rPr>
          <w:rFonts w:ascii="Cambria" w:eastAsia="Cambria" w:hAnsi="Cambria" w:cs="Cambria"/>
          <w:color w:val="000000" w:themeColor="text1"/>
          <w:sz w:val="20"/>
          <w:szCs w:val="20"/>
        </w:rPr>
        <w:t xml:space="preserve"> </w:t>
      </w:r>
    </w:p>
    <w:p w14:paraId="66D17360" w14:textId="77777777" w:rsidR="00F97F2A" w:rsidRPr="008A7BD7" w:rsidRDefault="00F97F2A" w:rsidP="00F97F2A">
      <w:pPr>
        <w:pStyle w:val="ListParagraph"/>
        <w:rPr>
          <w:rFonts w:ascii="Cambria" w:eastAsia="Cambria" w:hAnsi="Cambria" w:cs="Cambria"/>
          <w:color w:val="000000" w:themeColor="text1"/>
          <w:sz w:val="20"/>
          <w:szCs w:val="20"/>
        </w:rPr>
      </w:pPr>
    </w:p>
    <w:p w14:paraId="0C4421FD" w14:textId="77777777" w:rsidR="00F97F2A" w:rsidRPr="008A7BD7" w:rsidRDefault="00F97F2A" w:rsidP="00F97F2A">
      <w:pPr>
        <w:spacing w:line="360" w:lineRule="auto"/>
        <w:jc w:val="center"/>
        <w:rPr>
          <w:rFonts w:ascii="Cambria" w:eastAsia="Montserrat" w:hAnsi="Cambria" w:cs="Montserrat"/>
          <w:b/>
          <w:sz w:val="16"/>
          <w:szCs w:val="16"/>
        </w:rPr>
      </w:pPr>
    </w:p>
    <w:tbl>
      <w:tblPr>
        <w:tblStyle w:val="12"/>
        <w:tblW w:w="8356" w:type="dxa"/>
        <w:jc w:val="center"/>
        <w:tblInd w:w="0" w:type="dxa"/>
        <w:tblLayout w:type="fixed"/>
        <w:tblLook w:val="0400" w:firstRow="0" w:lastRow="0" w:firstColumn="0" w:lastColumn="0" w:noHBand="0" w:noVBand="1"/>
      </w:tblPr>
      <w:tblGrid>
        <w:gridCol w:w="1393"/>
        <w:gridCol w:w="1535"/>
        <w:gridCol w:w="1300"/>
        <w:gridCol w:w="1393"/>
        <w:gridCol w:w="1535"/>
        <w:gridCol w:w="1200"/>
      </w:tblGrid>
      <w:tr w:rsidR="00F97F2A" w:rsidRPr="008A7BD7" w14:paraId="0DA1AE64" w14:textId="77777777" w:rsidTr="0035224A">
        <w:trPr>
          <w:trHeight w:val="300"/>
          <w:jc w:val="center"/>
        </w:trPr>
        <w:tc>
          <w:tcPr>
            <w:tcW w:w="8356" w:type="dxa"/>
            <w:gridSpan w:val="6"/>
            <w:tcBorders>
              <w:top w:val="single" w:sz="4" w:space="0" w:color="000000"/>
              <w:left w:val="single" w:sz="4" w:space="0" w:color="000000"/>
              <w:bottom w:val="single" w:sz="4" w:space="0" w:color="000000"/>
              <w:right w:val="single" w:sz="4" w:space="0" w:color="000000"/>
            </w:tcBorders>
            <w:shd w:val="clear" w:color="auto" w:fill="002060"/>
            <w:vAlign w:val="center"/>
          </w:tcPr>
          <w:p w14:paraId="2CD8A0E8" w14:textId="73B9D82E" w:rsidR="00F97F2A" w:rsidRPr="008A7BD7" w:rsidRDefault="00F97F2A" w:rsidP="0035224A">
            <w:pPr>
              <w:spacing w:line="360" w:lineRule="auto"/>
              <w:jc w:val="center"/>
              <w:rPr>
                <w:rFonts w:ascii="Cambria" w:eastAsia="Montserrat" w:hAnsi="Cambria" w:cs="Montserrat"/>
                <w:b/>
                <w:sz w:val="18"/>
                <w:szCs w:val="18"/>
              </w:rPr>
            </w:pPr>
            <w:r w:rsidRPr="008A7BD7">
              <w:rPr>
                <w:rFonts w:ascii="Cambria" w:eastAsia="Montserrat" w:hAnsi="Cambria" w:cs="Montserrat"/>
                <w:b/>
                <w:sz w:val="18"/>
                <w:szCs w:val="18"/>
              </w:rPr>
              <w:t>2020</w:t>
            </w:r>
          </w:p>
        </w:tc>
      </w:tr>
      <w:tr w:rsidR="00F97F2A" w:rsidRPr="008A7BD7" w14:paraId="77EC9917" w14:textId="77777777" w:rsidTr="0035224A">
        <w:trPr>
          <w:trHeight w:val="300"/>
          <w:jc w:val="center"/>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0EABD818" w14:textId="799F102F" w:rsidR="00F97F2A" w:rsidRPr="008A7BD7" w:rsidRDefault="004D03CD" w:rsidP="0035224A">
            <w:pPr>
              <w:spacing w:line="360" w:lineRule="auto"/>
              <w:jc w:val="center"/>
              <w:rPr>
                <w:rFonts w:ascii="Cambria" w:eastAsia="Montserrat" w:hAnsi="Cambria" w:cs="Montserrat"/>
                <w:b/>
                <w:sz w:val="18"/>
                <w:szCs w:val="18"/>
              </w:rPr>
            </w:pPr>
            <w:proofErr w:type="spellStart"/>
            <w:r w:rsidRPr="008A7BD7">
              <w:rPr>
                <w:rFonts w:ascii="Cambria" w:eastAsia="Montserrat" w:hAnsi="Cambria" w:cs="Montserrat"/>
                <w:b/>
                <w:sz w:val="18"/>
                <w:szCs w:val="18"/>
              </w:rPr>
              <w:t>By</w:t>
            </w:r>
            <w:proofErr w:type="spellEnd"/>
            <w:r w:rsidRPr="008A7BD7">
              <w:rPr>
                <w:rFonts w:ascii="Cambria" w:eastAsia="Montserrat" w:hAnsi="Cambria" w:cs="Montserrat"/>
                <w:b/>
                <w:sz w:val="18"/>
                <w:szCs w:val="18"/>
              </w:rPr>
              <w:t xml:space="preserve"> air</w:t>
            </w:r>
          </w:p>
        </w:tc>
        <w:tc>
          <w:tcPr>
            <w:tcW w:w="1300" w:type="dxa"/>
            <w:vMerge w:val="restart"/>
            <w:tcBorders>
              <w:top w:val="nil"/>
              <w:left w:val="single" w:sz="4" w:space="0" w:color="000000"/>
              <w:bottom w:val="nil"/>
              <w:right w:val="nil"/>
            </w:tcBorders>
            <w:shd w:val="clear" w:color="auto" w:fill="002060"/>
            <w:vAlign w:val="center"/>
          </w:tcPr>
          <w:p w14:paraId="718DD92C" w14:textId="77777777" w:rsidR="00F97F2A" w:rsidRPr="008A7BD7" w:rsidRDefault="00F97F2A" w:rsidP="0035224A">
            <w:pPr>
              <w:spacing w:line="360" w:lineRule="auto"/>
              <w:jc w:val="center"/>
              <w:rPr>
                <w:rFonts w:ascii="Cambria" w:eastAsia="Montserrat" w:hAnsi="Cambria" w:cs="Montserrat"/>
                <w:b/>
                <w:sz w:val="18"/>
                <w:szCs w:val="18"/>
              </w:rPr>
            </w:pPr>
            <w:r w:rsidRPr="008A7BD7">
              <w:rPr>
                <w:rFonts w:ascii="Cambria" w:eastAsia="Montserrat" w:hAnsi="Cambria" w:cs="Montserrat"/>
                <w:b/>
                <w:sz w:val="18"/>
                <w:szCs w:val="18"/>
              </w:rPr>
              <w:t>Total</w:t>
            </w:r>
          </w:p>
        </w:tc>
        <w:tc>
          <w:tcPr>
            <w:tcW w:w="2928"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69D15F9F" w14:textId="3E36EC63" w:rsidR="00F97F2A" w:rsidRPr="008A7BD7" w:rsidRDefault="004D03CD" w:rsidP="0035224A">
            <w:pPr>
              <w:spacing w:line="360" w:lineRule="auto"/>
              <w:jc w:val="center"/>
              <w:rPr>
                <w:rFonts w:ascii="Cambria" w:eastAsia="Montserrat" w:hAnsi="Cambria" w:cs="Montserrat"/>
                <w:b/>
                <w:sz w:val="18"/>
                <w:szCs w:val="18"/>
              </w:rPr>
            </w:pPr>
            <w:proofErr w:type="spellStart"/>
            <w:r w:rsidRPr="008A7BD7">
              <w:rPr>
                <w:rFonts w:ascii="Cambria" w:eastAsia="Montserrat" w:hAnsi="Cambria" w:cs="Montserrat"/>
                <w:b/>
                <w:sz w:val="18"/>
                <w:szCs w:val="18"/>
              </w:rPr>
              <w:t>By</w:t>
            </w:r>
            <w:proofErr w:type="spellEnd"/>
            <w:r w:rsidRPr="008A7BD7">
              <w:rPr>
                <w:rFonts w:ascii="Cambria" w:eastAsia="Montserrat" w:hAnsi="Cambria" w:cs="Montserrat"/>
                <w:b/>
                <w:sz w:val="18"/>
                <w:szCs w:val="18"/>
              </w:rPr>
              <w:t xml:space="preserve"> </w:t>
            </w:r>
            <w:proofErr w:type="spellStart"/>
            <w:r w:rsidRPr="008A7BD7">
              <w:rPr>
                <w:rFonts w:ascii="Cambria" w:eastAsia="Montserrat" w:hAnsi="Cambria" w:cs="Montserrat"/>
                <w:b/>
                <w:sz w:val="18"/>
                <w:szCs w:val="18"/>
              </w:rPr>
              <w:t>land</w:t>
            </w:r>
            <w:proofErr w:type="spellEnd"/>
          </w:p>
        </w:tc>
        <w:tc>
          <w:tcPr>
            <w:tcW w:w="1200" w:type="dxa"/>
            <w:vMerge w:val="restart"/>
            <w:tcBorders>
              <w:top w:val="nil"/>
              <w:left w:val="single" w:sz="4" w:space="0" w:color="000000"/>
              <w:bottom w:val="nil"/>
              <w:right w:val="nil"/>
            </w:tcBorders>
            <w:shd w:val="clear" w:color="auto" w:fill="002060"/>
            <w:vAlign w:val="center"/>
          </w:tcPr>
          <w:p w14:paraId="204E53AB" w14:textId="77777777" w:rsidR="00F97F2A" w:rsidRPr="008A7BD7" w:rsidRDefault="00F97F2A" w:rsidP="0035224A">
            <w:pPr>
              <w:spacing w:line="360" w:lineRule="auto"/>
              <w:jc w:val="center"/>
              <w:rPr>
                <w:rFonts w:ascii="Cambria" w:eastAsia="Montserrat" w:hAnsi="Cambria" w:cs="Montserrat"/>
                <w:b/>
                <w:sz w:val="18"/>
                <w:szCs w:val="18"/>
              </w:rPr>
            </w:pPr>
            <w:r w:rsidRPr="008A7BD7">
              <w:rPr>
                <w:rFonts w:ascii="Cambria" w:eastAsia="Montserrat" w:hAnsi="Cambria" w:cs="Montserrat"/>
                <w:b/>
                <w:sz w:val="18"/>
                <w:szCs w:val="18"/>
              </w:rPr>
              <w:t>Total</w:t>
            </w:r>
          </w:p>
        </w:tc>
      </w:tr>
      <w:tr w:rsidR="00F97F2A" w:rsidRPr="008A7BD7" w14:paraId="15FDA192" w14:textId="77777777" w:rsidTr="0035224A">
        <w:trPr>
          <w:trHeight w:val="300"/>
          <w:jc w:val="center"/>
        </w:trPr>
        <w:tc>
          <w:tcPr>
            <w:tcW w:w="1393" w:type="dxa"/>
            <w:tcBorders>
              <w:top w:val="nil"/>
              <w:left w:val="single" w:sz="4" w:space="0" w:color="000000"/>
              <w:bottom w:val="single" w:sz="4" w:space="0" w:color="000000"/>
              <w:right w:val="single" w:sz="4" w:space="0" w:color="000000"/>
            </w:tcBorders>
            <w:shd w:val="clear" w:color="auto" w:fill="002060"/>
            <w:vAlign w:val="center"/>
          </w:tcPr>
          <w:p w14:paraId="4AB9FC9E" w14:textId="57694140" w:rsidR="00F97F2A" w:rsidRPr="008A7BD7" w:rsidRDefault="004D03CD"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FEMALE</w:t>
            </w:r>
          </w:p>
        </w:tc>
        <w:tc>
          <w:tcPr>
            <w:tcW w:w="1535" w:type="dxa"/>
            <w:tcBorders>
              <w:top w:val="nil"/>
              <w:left w:val="nil"/>
              <w:bottom w:val="single" w:sz="4" w:space="0" w:color="000000"/>
              <w:right w:val="single" w:sz="4" w:space="0" w:color="000000"/>
            </w:tcBorders>
            <w:shd w:val="clear" w:color="auto" w:fill="002060"/>
            <w:vAlign w:val="center"/>
          </w:tcPr>
          <w:p w14:paraId="5C1D1D94" w14:textId="3C9E0103" w:rsidR="00F97F2A" w:rsidRPr="008A7BD7" w:rsidRDefault="004D03CD"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MALE</w:t>
            </w:r>
          </w:p>
        </w:tc>
        <w:tc>
          <w:tcPr>
            <w:tcW w:w="1300" w:type="dxa"/>
            <w:vMerge/>
            <w:tcBorders>
              <w:top w:val="nil"/>
              <w:left w:val="single" w:sz="4" w:space="0" w:color="000000"/>
              <w:bottom w:val="nil"/>
              <w:right w:val="nil"/>
            </w:tcBorders>
            <w:shd w:val="clear" w:color="auto" w:fill="002060"/>
            <w:vAlign w:val="center"/>
          </w:tcPr>
          <w:p w14:paraId="64048AFC" w14:textId="77777777" w:rsidR="00F97F2A" w:rsidRPr="008A7BD7" w:rsidRDefault="00F97F2A" w:rsidP="0035224A">
            <w:pPr>
              <w:pBdr>
                <w:top w:val="nil"/>
                <w:left w:val="nil"/>
                <w:bottom w:val="nil"/>
                <w:right w:val="nil"/>
                <w:between w:val="nil"/>
              </w:pBdr>
              <w:spacing w:line="276" w:lineRule="auto"/>
              <w:rPr>
                <w:rFonts w:ascii="Cambria" w:eastAsia="Montserrat" w:hAnsi="Cambria" w:cs="Montserrat"/>
                <w:sz w:val="18"/>
                <w:szCs w:val="18"/>
              </w:rPr>
            </w:pPr>
          </w:p>
        </w:tc>
        <w:tc>
          <w:tcPr>
            <w:tcW w:w="1393" w:type="dxa"/>
            <w:tcBorders>
              <w:top w:val="nil"/>
              <w:left w:val="single" w:sz="4" w:space="0" w:color="000000"/>
              <w:bottom w:val="single" w:sz="4" w:space="0" w:color="000000"/>
              <w:right w:val="single" w:sz="4" w:space="0" w:color="000000"/>
            </w:tcBorders>
            <w:shd w:val="clear" w:color="auto" w:fill="002060"/>
            <w:vAlign w:val="center"/>
          </w:tcPr>
          <w:p w14:paraId="1D54C5AF" w14:textId="624AFA58" w:rsidR="00F97F2A" w:rsidRPr="008A7BD7" w:rsidRDefault="004D03CD"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FEMALE</w:t>
            </w:r>
          </w:p>
        </w:tc>
        <w:tc>
          <w:tcPr>
            <w:tcW w:w="1535" w:type="dxa"/>
            <w:tcBorders>
              <w:top w:val="nil"/>
              <w:left w:val="nil"/>
              <w:bottom w:val="single" w:sz="4" w:space="0" w:color="000000"/>
              <w:right w:val="single" w:sz="4" w:space="0" w:color="000000"/>
            </w:tcBorders>
            <w:shd w:val="clear" w:color="auto" w:fill="002060"/>
            <w:vAlign w:val="center"/>
          </w:tcPr>
          <w:p w14:paraId="58307FC6" w14:textId="68335221" w:rsidR="00F97F2A" w:rsidRPr="008A7BD7" w:rsidRDefault="004D03CD"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MALE</w:t>
            </w:r>
          </w:p>
        </w:tc>
        <w:tc>
          <w:tcPr>
            <w:tcW w:w="1200" w:type="dxa"/>
            <w:vMerge/>
            <w:tcBorders>
              <w:top w:val="nil"/>
              <w:left w:val="single" w:sz="4" w:space="0" w:color="000000"/>
              <w:bottom w:val="nil"/>
              <w:right w:val="nil"/>
            </w:tcBorders>
            <w:shd w:val="clear" w:color="auto" w:fill="002060"/>
            <w:vAlign w:val="center"/>
          </w:tcPr>
          <w:p w14:paraId="57A2A76B" w14:textId="77777777" w:rsidR="00F97F2A" w:rsidRPr="008A7BD7" w:rsidRDefault="00F97F2A" w:rsidP="0035224A">
            <w:pPr>
              <w:pBdr>
                <w:top w:val="nil"/>
                <w:left w:val="nil"/>
                <w:bottom w:val="nil"/>
                <w:right w:val="nil"/>
                <w:between w:val="nil"/>
              </w:pBdr>
              <w:spacing w:line="276" w:lineRule="auto"/>
              <w:rPr>
                <w:rFonts w:ascii="Cambria" w:eastAsia="Montserrat" w:hAnsi="Cambria" w:cs="Montserrat"/>
                <w:sz w:val="18"/>
                <w:szCs w:val="18"/>
              </w:rPr>
            </w:pPr>
          </w:p>
        </w:tc>
      </w:tr>
      <w:tr w:rsidR="00F97F2A" w:rsidRPr="008A7BD7" w14:paraId="1AB1F7F6" w14:textId="77777777" w:rsidTr="0035224A">
        <w:trPr>
          <w:trHeight w:val="300"/>
          <w:jc w:val="center"/>
        </w:trPr>
        <w:tc>
          <w:tcPr>
            <w:tcW w:w="1393" w:type="dxa"/>
            <w:tcBorders>
              <w:top w:val="nil"/>
              <w:left w:val="single" w:sz="4" w:space="0" w:color="000000"/>
              <w:bottom w:val="single" w:sz="4" w:space="0" w:color="000000"/>
              <w:right w:val="single" w:sz="4" w:space="0" w:color="000000"/>
            </w:tcBorders>
            <w:shd w:val="clear" w:color="auto" w:fill="FFFFFF"/>
            <w:vAlign w:val="center"/>
          </w:tcPr>
          <w:p w14:paraId="3E2C0E85" w14:textId="77777777" w:rsidR="00F97F2A" w:rsidRPr="008A7BD7" w:rsidRDefault="00F97F2A"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637</w:t>
            </w:r>
          </w:p>
        </w:tc>
        <w:tc>
          <w:tcPr>
            <w:tcW w:w="1535" w:type="dxa"/>
            <w:tcBorders>
              <w:top w:val="nil"/>
              <w:left w:val="nil"/>
              <w:bottom w:val="single" w:sz="4" w:space="0" w:color="000000"/>
              <w:right w:val="single" w:sz="4" w:space="0" w:color="000000"/>
            </w:tcBorders>
            <w:shd w:val="clear" w:color="auto" w:fill="FFFFFF"/>
            <w:vAlign w:val="center"/>
          </w:tcPr>
          <w:p w14:paraId="3B35CBCC" w14:textId="77777777" w:rsidR="00F97F2A" w:rsidRPr="008A7BD7" w:rsidRDefault="00F97F2A"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1,712</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19D835E4" w14:textId="77777777" w:rsidR="00F97F2A" w:rsidRPr="008A7BD7" w:rsidRDefault="00F97F2A" w:rsidP="0035224A">
            <w:pPr>
              <w:spacing w:line="360" w:lineRule="auto"/>
              <w:jc w:val="center"/>
              <w:rPr>
                <w:rFonts w:ascii="Cambria" w:eastAsia="Montserrat" w:hAnsi="Cambria" w:cs="Montserrat"/>
                <w:b/>
                <w:sz w:val="18"/>
                <w:szCs w:val="18"/>
              </w:rPr>
            </w:pPr>
            <w:r w:rsidRPr="008A7BD7">
              <w:rPr>
                <w:rFonts w:ascii="Cambria" w:eastAsia="Montserrat" w:hAnsi="Cambria" w:cs="Montserrat"/>
                <w:b/>
                <w:sz w:val="18"/>
                <w:szCs w:val="18"/>
              </w:rPr>
              <w:t>2,349</w:t>
            </w:r>
          </w:p>
        </w:tc>
        <w:tc>
          <w:tcPr>
            <w:tcW w:w="1393" w:type="dxa"/>
            <w:tcBorders>
              <w:top w:val="nil"/>
              <w:left w:val="nil"/>
              <w:bottom w:val="single" w:sz="4" w:space="0" w:color="000000"/>
              <w:right w:val="single" w:sz="4" w:space="0" w:color="000000"/>
            </w:tcBorders>
            <w:shd w:val="clear" w:color="auto" w:fill="FFFFFF"/>
            <w:vAlign w:val="center"/>
          </w:tcPr>
          <w:p w14:paraId="16982B12" w14:textId="77777777" w:rsidR="00F97F2A" w:rsidRPr="008A7BD7" w:rsidRDefault="00F97F2A"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620</w:t>
            </w:r>
          </w:p>
        </w:tc>
        <w:tc>
          <w:tcPr>
            <w:tcW w:w="1535" w:type="dxa"/>
            <w:tcBorders>
              <w:top w:val="nil"/>
              <w:left w:val="nil"/>
              <w:bottom w:val="single" w:sz="4" w:space="0" w:color="000000"/>
              <w:right w:val="single" w:sz="4" w:space="0" w:color="000000"/>
            </w:tcBorders>
            <w:shd w:val="clear" w:color="auto" w:fill="FFFFFF"/>
            <w:vAlign w:val="center"/>
          </w:tcPr>
          <w:p w14:paraId="66B910B4" w14:textId="77777777" w:rsidR="00F97F2A" w:rsidRPr="008A7BD7" w:rsidRDefault="00F97F2A"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1,578</w:t>
            </w:r>
          </w:p>
        </w:tc>
        <w:tc>
          <w:tcPr>
            <w:tcW w:w="1200" w:type="dxa"/>
            <w:tcBorders>
              <w:top w:val="single" w:sz="4" w:space="0" w:color="000000"/>
              <w:left w:val="nil"/>
              <w:bottom w:val="single" w:sz="4" w:space="0" w:color="000000"/>
              <w:right w:val="single" w:sz="4" w:space="0" w:color="000000"/>
            </w:tcBorders>
            <w:shd w:val="clear" w:color="auto" w:fill="auto"/>
            <w:vAlign w:val="center"/>
          </w:tcPr>
          <w:p w14:paraId="64C2A7F3" w14:textId="77777777" w:rsidR="00F97F2A" w:rsidRPr="008A7BD7" w:rsidRDefault="00F97F2A" w:rsidP="0035224A">
            <w:pPr>
              <w:spacing w:line="360" w:lineRule="auto"/>
              <w:jc w:val="center"/>
              <w:rPr>
                <w:rFonts w:ascii="Cambria" w:eastAsia="Montserrat" w:hAnsi="Cambria" w:cs="Montserrat"/>
                <w:b/>
                <w:sz w:val="18"/>
                <w:szCs w:val="18"/>
              </w:rPr>
            </w:pPr>
            <w:r w:rsidRPr="008A7BD7">
              <w:rPr>
                <w:rFonts w:ascii="Cambria" w:eastAsia="Montserrat" w:hAnsi="Cambria" w:cs="Montserrat"/>
                <w:b/>
                <w:sz w:val="18"/>
                <w:szCs w:val="18"/>
              </w:rPr>
              <w:t>2,198</w:t>
            </w:r>
          </w:p>
        </w:tc>
      </w:tr>
    </w:tbl>
    <w:p w14:paraId="7AE94086" w14:textId="756BA7B9" w:rsidR="00F97F2A" w:rsidRDefault="00F97F2A" w:rsidP="00F97F2A">
      <w:pPr>
        <w:tabs>
          <w:tab w:val="left" w:pos="1980"/>
        </w:tabs>
        <w:spacing w:line="360" w:lineRule="auto"/>
        <w:jc w:val="center"/>
        <w:rPr>
          <w:rFonts w:ascii="Cambria" w:eastAsia="Montserrat" w:hAnsi="Cambria" w:cs="Montserrat"/>
          <w:b/>
          <w:sz w:val="18"/>
          <w:szCs w:val="18"/>
        </w:rPr>
      </w:pPr>
    </w:p>
    <w:p w14:paraId="3E0E6B87" w14:textId="4A3FF5AE" w:rsidR="00FC47D9" w:rsidRDefault="00FC47D9" w:rsidP="00F97F2A">
      <w:pPr>
        <w:tabs>
          <w:tab w:val="left" w:pos="1980"/>
        </w:tabs>
        <w:spacing w:line="360" w:lineRule="auto"/>
        <w:jc w:val="center"/>
        <w:rPr>
          <w:rFonts w:ascii="Cambria" w:eastAsia="Montserrat" w:hAnsi="Cambria" w:cs="Montserrat"/>
          <w:b/>
          <w:sz w:val="18"/>
          <w:szCs w:val="18"/>
        </w:rPr>
      </w:pPr>
    </w:p>
    <w:p w14:paraId="12C0F3AC" w14:textId="77777777" w:rsidR="00FC47D9" w:rsidRPr="008A7BD7" w:rsidRDefault="00FC47D9" w:rsidP="00F97F2A">
      <w:pPr>
        <w:tabs>
          <w:tab w:val="left" w:pos="1980"/>
        </w:tabs>
        <w:spacing w:line="360" w:lineRule="auto"/>
        <w:jc w:val="center"/>
        <w:rPr>
          <w:rFonts w:ascii="Cambria" w:eastAsia="Montserrat" w:hAnsi="Cambria" w:cs="Montserrat"/>
          <w:b/>
          <w:sz w:val="18"/>
          <w:szCs w:val="18"/>
        </w:rPr>
      </w:pPr>
    </w:p>
    <w:tbl>
      <w:tblPr>
        <w:tblStyle w:val="11"/>
        <w:tblW w:w="8356" w:type="dxa"/>
        <w:jc w:val="center"/>
        <w:tblInd w:w="0" w:type="dxa"/>
        <w:tblLayout w:type="fixed"/>
        <w:tblLook w:val="0400" w:firstRow="0" w:lastRow="0" w:firstColumn="0" w:lastColumn="0" w:noHBand="0" w:noVBand="1"/>
      </w:tblPr>
      <w:tblGrid>
        <w:gridCol w:w="1393"/>
        <w:gridCol w:w="1535"/>
        <w:gridCol w:w="1300"/>
        <w:gridCol w:w="1393"/>
        <w:gridCol w:w="1535"/>
        <w:gridCol w:w="1200"/>
      </w:tblGrid>
      <w:tr w:rsidR="00F97F2A" w:rsidRPr="008A7BD7" w14:paraId="53B0DDE1" w14:textId="77777777" w:rsidTr="0035224A">
        <w:trPr>
          <w:trHeight w:val="300"/>
          <w:jc w:val="center"/>
        </w:trPr>
        <w:tc>
          <w:tcPr>
            <w:tcW w:w="8356" w:type="dxa"/>
            <w:gridSpan w:val="6"/>
            <w:tcBorders>
              <w:top w:val="single" w:sz="4" w:space="0" w:color="000000"/>
              <w:left w:val="single" w:sz="4" w:space="0" w:color="000000"/>
              <w:bottom w:val="single" w:sz="4" w:space="0" w:color="000000"/>
              <w:right w:val="single" w:sz="4" w:space="0" w:color="000000"/>
            </w:tcBorders>
            <w:shd w:val="clear" w:color="auto" w:fill="002060"/>
            <w:vAlign w:val="center"/>
          </w:tcPr>
          <w:p w14:paraId="615D4F1C" w14:textId="1E4AB3A0" w:rsidR="00F97F2A" w:rsidRPr="008A7BD7" w:rsidRDefault="004D03CD" w:rsidP="0035224A">
            <w:pPr>
              <w:spacing w:line="360" w:lineRule="auto"/>
              <w:jc w:val="center"/>
              <w:rPr>
                <w:rFonts w:ascii="Cambria" w:eastAsia="Montserrat" w:hAnsi="Cambria" w:cs="Montserrat"/>
                <w:b/>
                <w:sz w:val="18"/>
                <w:szCs w:val="18"/>
              </w:rPr>
            </w:pPr>
            <w:proofErr w:type="spellStart"/>
            <w:r w:rsidRPr="008A7BD7">
              <w:rPr>
                <w:rFonts w:ascii="Cambria" w:eastAsia="Montserrat" w:hAnsi="Cambria" w:cs="Montserrat"/>
                <w:b/>
                <w:sz w:val="18"/>
                <w:szCs w:val="18"/>
              </w:rPr>
              <w:lastRenderedPageBreak/>
              <w:t>January</w:t>
            </w:r>
            <w:r w:rsidR="00F97F2A" w:rsidRPr="008A7BD7">
              <w:rPr>
                <w:rFonts w:ascii="Cambria" w:eastAsia="Montserrat" w:hAnsi="Cambria" w:cs="Montserrat"/>
                <w:b/>
                <w:sz w:val="18"/>
                <w:szCs w:val="18"/>
              </w:rPr>
              <w:t>-Nov</w:t>
            </w:r>
            <w:r w:rsidRPr="008A7BD7">
              <w:rPr>
                <w:rFonts w:ascii="Cambria" w:eastAsia="Montserrat" w:hAnsi="Cambria" w:cs="Montserrat"/>
                <w:b/>
                <w:sz w:val="18"/>
                <w:szCs w:val="18"/>
              </w:rPr>
              <w:t>ember</w:t>
            </w:r>
            <w:proofErr w:type="spellEnd"/>
            <w:r w:rsidR="00F97F2A" w:rsidRPr="008A7BD7">
              <w:rPr>
                <w:rFonts w:ascii="Cambria" w:eastAsia="Montserrat" w:hAnsi="Cambria" w:cs="Montserrat"/>
                <w:b/>
                <w:sz w:val="18"/>
                <w:szCs w:val="18"/>
              </w:rPr>
              <w:t xml:space="preserve"> 2021</w:t>
            </w:r>
          </w:p>
        </w:tc>
      </w:tr>
      <w:tr w:rsidR="00F97F2A" w:rsidRPr="008A7BD7" w14:paraId="3FE0AC50" w14:textId="77777777" w:rsidTr="0035224A">
        <w:trPr>
          <w:trHeight w:val="300"/>
          <w:jc w:val="center"/>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433CF27B" w14:textId="79C62022" w:rsidR="00F97F2A" w:rsidRPr="008A7BD7" w:rsidRDefault="004D03CD" w:rsidP="0035224A">
            <w:pPr>
              <w:spacing w:line="360" w:lineRule="auto"/>
              <w:jc w:val="center"/>
              <w:rPr>
                <w:rFonts w:ascii="Cambria" w:eastAsia="Montserrat" w:hAnsi="Cambria" w:cs="Montserrat"/>
                <w:b/>
                <w:sz w:val="18"/>
                <w:szCs w:val="18"/>
              </w:rPr>
            </w:pPr>
            <w:proofErr w:type="spellStart"/>
            <w:r w:rsidRPr="008A7BD7">
              <w:rPr>
                <w:rFonts w:ascii="Cambria" w:eastAsia="Montserrat" w:hAnsi="Cambria" w:cs="Montserrat"/>
                <w:b/>
                <w:sz w:val="18"/>
                <w:szCs w:val="18"/>
              </w:rPr>
              <w:t>By</w:t>
            </w:r>
            <w:proofErr w:type="spellEnd"/>
            <w:r w:rsidRPr="008A7BD7">
              <w:rPr>
                <w:rFonts w:ascii="Cambria" w:eastAsia="Montserrat" w:hAnsi="Cambria" w:cs="Montserrat"/>
                <w:b/>
                <w:sz w:val="18"/>
                <w:szCs w:val="18"/>
              </w:rPr>
              <w:t xml:space="preserve"> air</w:t>
            </w:r>
          </w:p>
        </w:tc>
        <w:tc>
          <w:tcPr>
            <w:tcW w:w="1300" w:type="dxa"/>
            <w:vMerge w:val="restart"/>
            <w:tcBorders>
              <w:top w:val="nil"/>
              <w:left w:val="single" w:sz="4" w:space="0" w:color="000000"/>
              <w:bottom w:val="nil"/>
              <w:right w:val="nil"/>
            </w:tcBorders>
            <w:shd w:val="clear" w:color="auto" w:fill="002060"/>
            <w:vAlign w:val="center"/>
          </w:tcPr>
          <w:p w14:paraId="142F282F" w14:textId="77777777" w:rsidR="00F97F2A" w:rsidRPr="008A7BD7" w:rsidRDefault="00F97F2A" w:rsidP="0035224A">
            <w:pPr>
              <w:spacing w:line="360" w:lineRule="auto"/>
              <w:jc w:val="center"/>
              <w:rPr>
                <w:rFonts w:ascii="Cambria" w:eastAsia="Montserrat" w:hAnsi="Cambria" w:cs="Montserrat"/>
                <w:b/>
                <w:sz w:val="18"/>
                <w:szCs w:val="18"/>
              </w:rPr>
            </w:pPr>
            <w:r w:rsidRPr="008A7BD7">
              <w:rPr>
                <w:rFonts w:ascii="Cambria" w:eastAsia="Montserrat" w:hAnsi="Cambria" w:cs="Montserrat"/>
                <w:b/>
                <w:sz w:val="18"/>
                <w:szCs w:val="18"/>
              </w:rPr>
              <w:t>Total</w:t>
            </w:r>
          </w:p>
        </w:tc>
        <w:tc>
          <w:tcPr>
            <w:tcW w:w="2928"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70256232" w14:textId="497FC335" w:rsidR="00F97F2A" w:rsidRPr="008A7BD7" w:rsidRDefault="004D03CD" w:rsidP="0035224A">
            <w:pPr>
              <w:spacing w:line="360" w:lineRule="auto"/>
              <w:jc w:val="center"/>
              <w:rPr>
                <w:rFonts w:ascii="Cambria" w:eastAsia="Montserrat" w:hAnsi="Cambria" w:cs="Montserrat"/>
                <w:b/>
                <w:sz w:val="18"/>
                <w:szCs w:val="18"/>
              </w:rPr>
            </w:pPr>
            <w:proofErr w:type="spellStart"/>
            <w:r w:rsidRPr="008A7BD7">
              <w:rPr>
                <w:rFonts w:ascii="Cambria" w:eastAsia="Montserrat" w:hAnsi="Cambria" w:cs="Montserrat"/>
                <w:b/>
                <w:sz w:val="18"/>
                <w:szCs w:val="18"/>
              </w:rPr>
              <w:t>By</w:t>
            </w:r>
            <w:proofErr w:type="spellEnd"/>
            <w:r w:rsidRPr="008A7BD7">
              <w:rPr>
                <w:rFonts w:ascii="Cambria" w:eastAsia="Montserrat" w:hAnsi="Cambria" w:cs="Montserrat"/>
                <w:b/>
                <w:sz w:val="18"/>
                <w:szCs w:val="18"/>
              </w:rPr>
              <w:t xml:space="preserve"> </w:t>
            </w:r>
            <w:proofErr w:type="spellStart"/>
            <w:r w:rsidRPr="008A7BD7">
              <w:rPr>
                <w:rFonts w:ascii="Cambria" w:eastAsia="Montserrat" w:hAnsi="Cambria" w:cs="Montserrat"/>
                <w:b/>
                <w:sz w:val="18"/>
                <w:szCs w:val="18"/>
              </w:rPr>
              <w:t>land</w:t>
            </w:r>
            <w:proofErr w:type="spellEnd"/>
          </w:p>
        </w:tc>
        <w:tc>
          <w:tcPr>
            <w:tcW w:w="1200" w:type="dxa"/>
            <w:vMerge w:val="restart"/>
            <w:tcBorders>
              <w:top w:val="nil"/>
              <w:left w:val="single" w:sz="4" w:space="0" w:color="000000"/>
              <w:bottom w:val="nil"/>
              <w:right w:val="nil"/>
            </w:tcBorders>
            <w:shd w:val="clear" w:color="auto" w:fill="002060"/>
            <w:vAlign w:val="center"/>
          </w:tcPr>
          <w:p w14:paraId="6535112C" w14:textId="77777777" w:rsidR="00F97F2A" w:rsidRPr="008A7BD7" w:rsidRDefault="00F97F2A" w:rsidP="0035224A">
            <w:pPr>
              <w:spacing w:line="360" w:lineRule="auto"/>
              <w:jc w:val="center"/>
              <w:rPr>
                <w:rFonts w:ascii="Cambria" w:eastAsia="Montserrat" w:hAnsi="Cambria" w:cs="Montserrat"/>
                <w:b/>
                <w:sz w:val="18"/>
                <w:szCs w:val="18"/>
              </w:rPr>
            </w:pPr>
            <w:r w:rsidRPr="008A7BD7">
              <w:rPr>
                <w:rFonts w:ascii="Cambria" w:eastAsia="Montserrat" w:hAnsi="Cambria" w:cs="Montserrat"/>
                <w:b/>
                <w:sz w:val="18"/>
                <w:szCs w:val="18"/>
              </w:rPr>
              <w:t>Total</w:t>
            </w:r>
          </w:p>
        </w:tc>
      </w:tr>
      <w:tr w:rsidR="00F97F2A" w:rsidRPr="008A7BD7" w14:paraId="63E5E7DF" w14:textId="77777777" w:rsidTr="0035224A">
        <w:trPr>
          <w:trHeight w:val="300"/>
          <w:jc w:val="center"/>
        </w:trPr>
        <w:tc>
          <w:tcPr>
            <w:tcW w:w="1393" w:type="dxa"/>
            <w:tcBorders>
              <w:top w:val="nil"/>
              <w:left w:val="single" w:sz="4" w:space="0" w:color="000000"/>
              <w:bottom w:val="single" w:sz="4" w:space="0" w:color="000000"/>
              <w:right w:val="single" w:sz="4" w:space="0" w:color="000000"/>
            </w:tcBorders>
            <w:shd w:val="clear" w:color="auto" w:fill="002060"/>
            <w:vAlign w:val="center"/>
          </w:tcPr>
          <w:p w14:paraId="293F3F0C" w14:textId="045122ED" w:rsidR="00F97F2A" w:rsidRPr="008A7BD7" w:rsidRDefault="004D03CD"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FEMALE</w:t>
            </w:r>
          </w:p>
        </w:tc>
        <w:tc>
          <w:tcPr>
            <w:tcW w:w="1535" w:type="dxa"/>
            <w:tcBorders>
              <w:top w:val="nil"/>
              <w:left w:val="nil"/>
              <w:bottom w:val="single" w:sz="4" w:space="0" w:color="000000"/>
              <w:right w:val="single" w:sz="4" w:space="0" w:color="000000"/>
            </w:tcBorders>
            <w:shd w:val="clear" w:color="auto" w:fill="002060"/>
            <w:vAlign w:val="center"/>
          </w:tcPr>
          <w:p w14:paraId="7A627BDC" w14:textId="1CB8D386" w:rsidR="00F97F2A" w:rsidRPr="008A7BD7" w:rsidRDefault="004D03CD"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MALE</w:t>
            </w:r>
          </w:p>
        </w:tc>
        <w:tc>
          <w:tcPr>
            <w:tcW w:w="1300" w:type="dxa"/>
            <w:vMerge/>
            <w:tcBorders>
              <w:top w:val="nil"/>
              <w:left w:val="single" w:sz="4" w:space="0" w:color="000000"/>
              <w:bottom w:val="nil"/>
              <w:right w:val="nil"/>
            </w:tcBorders>
            <w:shd w:val="clear" w:color="auto" w:fill="002060"/>
            <w:vAlign w:val="center"/>
          </w:tcPr>
          <w:p w14:paraId="2F369238" w14:textId="77777777" w:rsidR="00F97F2A" w:rsidRPr="008A7BD7" w:rsidRDefault="00F97F2A" w:rsidP="0035224A">
            <w:pPr>
              <w:pBdr>
                <w:top w:val="nil"/>
                <w:left w:val="nil"/>
                <w:bottom w:val="nil"/>
                <w:right w:val="nil"/>
                <w:between w:val="nil"/>
              </w:pBdr>
              <w:spacing w:line="276" w:lineRule="auto"/>
              <w:rPr>
                <w:rFonts w:ascii="Cambria" w:eastAsia="Montserrat" w:hAnsi="Cambria" w:cs="Montserrat"/>
                <w:sz w:val="18"/>
                <w:szCs w:val="18"/>
              </w:rPr>
            </w:pPr>
          </w:p>
        </w:tc>
        <w:tc>
          <w:tcPr>
            <w:tcW w:w="1393" w:type="dxa"/>
            <w:tcBorders>
              <w:top w:val="nil"/>
              <w:left w:val="single" w:sz="4" w:space="0" w:color="000000"/>
              <w:bottom w:val="single" w:sz="4" w:space="0" w:color="000000"/>
              <w:right w:val="single" w:sz="4" w:space="0" w:color="000000"/>
            </w:tcBorders>
            <w:shd w:val="clear" w:color="auto" w:fill="002060"/>
            <w:vAlign w:val="center"/>
          </w:tcPr>
          <w:p w14:paraId="5B944C61" w14:textId="6F2BCFEE" w:rsidR="00F97F2A" w:rsidRPr="008A7BD7" w:rsidRDefault="004D03CD"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FEMALE</w:t>
            </w:r>
          </w:p>
        </w:tc>
        <w:tc>
          <w:tcPr>
            <w:tcW w:w="1535" w:type="dxa"/>
            <w:tcBorders>
              <w:top w:val="nil"/>
              <w:left w:val="nil"/>
              <w:bottom w:val="single" w:sz="4" w:space="0" w:color="000000"/>
              <w:right w:val="single" w:sz="4" w:space="0" w:color="000000"/>
            </w:tcBorders>
            <w:shd w:val="clear" w:color="auto" w:fill="002060"/>
            <w:vAlign w:val="center"/>
          </w:tcPr>
          <w:p w14:paraId="6342FD81" w14:textId="362916B7" w:rsidR="00F97F2A" w:rsidRPr="008A7BD7" w:rsidRDefault="00F97F2A"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MA</w:t>
            </w:r>
            <w:r w:rsidR="004D03CD" w:rsidRPr="008A7BD7">
              <w:rPr>
                <w:rFonts w:ascii="Cambria" w:eastAsia="Montserrat" w:hAnsi="Cambria" w:cs="Montserrat"/>
                <w:sz w:val="18"/>
                <w:szCs w:val="18"/>
              </w:rPr>
              <w:t>LE</w:t>
            </w:r>
          </w:p>
        </w:tc>
        <w:tc>
          <w:tcPr>
            <w:tcW w:w="1200" w:type="dxa"/>
            <w:vMerge/>
            <w:tcBorders>
              <w:top w:val="nil"/>
              <w:left w:val="single" w:sz="4" w:space="0" w:color="000000"/>
              <w:bottom w:val="nil"/>
              <w:right w:val="nil"/>
            </w:tcBorders>
            <w:shd w:val="clear" w:color="auto" w:fill="002060"/>
            <w:vAlign w:val="center"/>
          </w:tcPr>
          <w:p w14:paraId="1C0416A8" w14:textId="77777777" w:rsidR="00F97F2A" w:rsidRPr="008A7BD7" w:rsidRDefault="00F97F2A" w:rsidP="0035224A">
            <w:pPr>
              <w:pBdr>
                <w:top w:val="nil"/>
                <w:left w:val="nil"/>
                <w:bottom w:val="nil"/>
                <w:right w:val="nil"/>
                <w:between w:val="nil"/>
              </w:pBdr>
              <w:spacing w:line="276" w:lineRule="auto"/>
              <w:rPr>
                <w:rFonts w:ascii="Cambria" w:eastAsia="Montserrat" w:hAnsi="Cambria" w:cs="Montserrat"/>
                <w:sz w:val="18"/>
                <w:szCs w:val="18"/>
              </w:rPr>
            </w:pPr>
          </w:p>
        </w:tc>
      </w:tr>
      <w:tr w:rsidR="00F97F2A" w:rsidRPr="008A7BD7" w14:paraId="351CFB75" w14:textId="77777777" w:rsidTr="0035224A">
        <w:trPr>
          <w:trHeight w:val="300"/>
          <w:jc w:val="center"/>
        </w:trPr>
        <w:tc>
          <w:tcPr>
            <w:tcW w:w="1393" w:type="dxa"/>
            <w:tcBorders>
              <w:top w:val="nil"/>
              <w:left w:val="single" w:sz="4" w:space="0" w:color="000000"/>
              <w:bottom w:val="single" w:sz="4" w:space="0" w:color="000000"/>
              <w:right w:val="single" w:sz="4" w:space="0" w:color="000000"/>
            </w:tcBorders>
            <w:shd w:val="clear" w:color="auto" w:fill="FFFFFF"/>
            <w:vAlign w:val="center"/>
          </w:tcPr>
          <w:p w14:paraId="05FD42BD" w14:textId="77777777" w:rsidR="00F97F2A" w:rsidRPr="008A7BD7" w:rsidRDefault="00F97F2A"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606</w:t>
            </w:r>
          </w:p>
        </w:tc>
        <w:tc>
          <w:tcPr>
            <w:tcW w:w="1535" w:type="dxa"/>
            <w:tcBorders>
              <w:top w:val="nil"/>
              <w:left w:val="nil"/>
              <w:bottom w:val="single" w:sz="4" w:space="0" w:color="000000"/>
              <w:right w:val="single" w:sz="4" w:space="0" w:color="000000"/>
            </w:tcBorders>
            <w:shd w:val="clear" w:color="auto" w:fill="FFFFFF"/>
            <w:vAlign w:val="center"/>
          </w:tcPr>
          <w:p w14:paraId="5FF5EF47" w14:textId="77777777" w:rsidR="00F97F2A" w:rsidRPr="008A7BD7" w:rsidRDefault="00F97F2A"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1,534</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78E94D7B" w14:textId="77777777" w:rsidR="00F97F2A" w:rsidRPr="008A7BD7" w:rsidRDefault="00F97F2A" w:rsidP="0035224A">
            <w:pPr>
              <w:spacing w:line="360" w:lineRule="auto"/>
              <w:jc w:val="center"/>
              <w:rPr>
                <w:rFonts w:ascii="Cambria" w:eastAsia="Montserrat" w:hAnsi="Cambria" w:cs="Montserrat"/>
                <w:b/>
                <w:sz w:val="18"/>
                <w:szCs w:val="18"/>
              </w:rPr>
            </w:pPr>
            <w:r w:rsidRPr="008A7BD7">
              <w:rPr>
                <w:rFonts w:ascii="Cambria" w:eastAsia="Montserrat" w:hAnsi="Cambria" w:cs="Montserrat"/>
                <w:b/>
                <w:sz w:val="18"/>
                <w:szCs w:val="18"/>
              </w:rPr>
              <w:t>2,140</w:t>
            </w:r>
          </w:p>
        </w:tc>
        <w:tc>
          <w:tcPr>
            <w:tcW w:w="1393" w:type="dxa"/>
            <w:tcBorders>
              <w:top w:val="nil"/>
              <w:left w:val="nil"/>
              <w:bottom w:val="single" w:sz="4" w:space="0" w:color="000000"/>
              <w:right w:val="single" w:sz="4" w:space="0" w:color="000000"/>
            </w:tcBorders>
            <w:shd w:val="clear" w:color="auto" w:fill="FFFFFF"/>
            <w:vAlign w:val="center"/>
          </w:tcPr>
          <w:p w14:paraId="294E6DF5" w14:textId="77777777" w:rsidR="00F97F2A" w:rsidRPr="008A7BD7" w:rsidRDefault="00F97F2A"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1,107</w:t>
            </w:r>
          </w:p>
        </w:tc>
        <w:tc>
          <w:tcPr>
            <w:tcW w:w="1535" w:type="dxa"/>
            <w:tcBorders>
              <w:top w:val="nil"/>
              <w:left w:val="nil"/>
              <w:bottom w:val="single" w:sz="4" w:space="0" w:color="000000"/>
              <w:right w:val="single" w:sz="4" w:space="0" w:color="000000"/>
            </w:tcBorders>
            <w:shd w:val="clear" w:color="auto" w:fill="FFFFFF"/>
            <w:vAlign w:val="center"/>
          </w:tcPr>
          <w:p w14:paraId="40DD16A9" w14:textId="77777777" w:rsidR="00F97F2A" w:rsidRPr="008A7BD7" w:rsidRDefault="00F97F2A" w:rsidP="0035224A">
            <w:pPr>
              <w:spacing w:line="360" w:lineRule="auto"/>
              <w:jc w:val="center"/>
              <w:rPr>
                <w:rFonts w:ascii="Cambria" w:eastAsia="Montserrat" w:hAnsi="Cambria" w:cs="Montserrat"/>
                <w:sz w:val="18"/>
                <w:szCs w:val="18"/>
              </w:rPr>
            </w:pPr>
            <w:r w:rsidRPr="008A7BD7">
              <w:rPr>
                <w:rFonts w:ascii="Cambria" w:eastAsia="Montserrat" w:hAnsi="Cambria" w:cs="Montserrat"/>
                <w:sz w:val="18"/>
                <w:szCs w:val="18"/>
              </w:rPr>
              <w:t>3,571</w:t>
            </w:r>
          </w:p>
        </w:tc>
        <w:tc>
          <w:tcPr>
            <w:tcW w:w="1200" w:type="dxa"/>
            <w:tcBorders>
              <w:top w:val="single" w:sz="4" w:space="0" w:color="000000"/>
              <w:left w:val="nil"/>
              <w:bottom w:val="single" w:sz="4" w:space="0" w:color="000000"/>
              <w:right w:val="single" w:sz="4" w:space="0" w:color="000000"/>
            </w:tcBorders>
            <w:shd w:val="clear" w:color="auto" w:fill="auto"/>
            <w:vAlign w:val="center"/>
          </w:tcPr>
          <w:p w14:paraId="7CBB363F" w14:textId="77777777" w:rsidR="00F97F2A" w:rsidRPr="008A7BD7" w:rsidRDefault="00F97F2A" w:rsidP="0035224A">
            <w:pPr>
              <w:spacing w:line="360" w:lineRule="auto"/>
              <w:jc w:val="center"/>
              <w:rPr>
                <w:rFonts w:ascii="Cambria" w:eastAsia="Montserrat" w:hAnsi="Cambria" w:cs="Montserrat"/>
                <w:b/>
                <w:sz w:val="18"/>
                <w:szCs w:val="18"/>
              </w:rPr>
            </w:pPr>
            <w:r w:rsidRPr="008A7BD7">
              <w:rPr>
                <w:rFonts w:ascii="Cambria" w:eastAsia="Montserrat" w:hAnsi="Cambria" w:cs="Montserrat"/>
                <w:b/>
                <w:sz w:val="18"/>
                <w:szCs w:val="18"/>
              </w:rPr>
              <w:t>4,678</w:t>
            </w:r>
          </w:p>
        </w:tc>
      </w:tr>
    </w:tbl>
    <w:p w14:paraId="6771114B" w14:textId="6E5ED8D4" w:rsidR="00F97F2A" w:rsidRPr="008A7BD7" w:rsidRDefault="00766591" w:rsidP="00F97F2A">
      <w:pPr>
        <w:jc w:val="both"/>
        <w:rPr>
          <w:rFonts w:ascii="Cambria" w:eastAsia="Montserrat" w:hAnsi="Cambria" w:cs="Montserrat"/>
          <w:sz w:val="18"/>
          <w:szCs w:val="18"/>
        </w:rPr>
      </w:pPr>
      <w:r w:rsidRPr="008A7BD7">
        <w:rPr>
          <w:rFonts w:ascii="Cambria" w:eastAsia="Montserrat" w:hAnsi="Cambria" w:cs="Montserrat"/>
          <w:b/>
          <w:sz w:val="18"/>
          <w:szCs w:val="18"/>
        </w:rPr>
        <w:t>Source</w:t>
      </w:r>
      <w:r w:rsidR="00F97F2A" w:rsidRPr="008A7BD7">
        <w:rPr>
          <w:rFonts w:ascii="Cambria" w:eastAsia="Montserrat" w:hAnsi="Cambria" w:cs="Montserrat"/>
          <w:b/>
          <w:sz w:val="18"/>
          <w:szCs w:val="18"/>
        </w:rPr>
        <w:t>:</w:t>
      </w:r>
      <w:r w:rsidR="00F97F2A" w:rsidRPr="008A7BD7">
        <w:rPr>
          <w:rFonts w:ascii="Cambria" w:eastAsia="Montserrat" w:hAnsi="Cambria" w:cs="Montserrat"/>
          <w:sz w:val="18"/>
          <w:szCs w:val="18"/>
        </w:rPr>
        <w:t xml:space="preserve"> </w:t>
      </w:r>
      <w:r w:rsidRPr="008A7BD7">
        <w:rPr>
          <w:rFonts w:ascii="Cambria" w:eastAsia="Montserrat" w:hAnsi="Cambria" w:cs="Montserrat"/>
          <w:sz w:val="18"/>
          <w:szCs w:val="18"/>
        </w:rPr>
        <w:t xml:space="preserve">Information based on statistical reports from the Regional Delegations of </w:t>
      </w:r>
      <w:r w:rsidR="00F97F2A" w:rsidRPr="008A7BD7">
        <w:rPr>
          <w:rFonts w:ascii="Cambria" w:eastAsia="Montserrat" w:hAnsi="Cambria" w:cs="Montserrat"/>
          <w:sz w:val="18"/>
          <w:szCs w:val="18"/>
        </w:rPr>
        <w:t xml:space="preserve">Quetzaltenango </w:t>
      </w:r>
      <w:r w:rsidRPr="008A7BD7">
        <w:rPr>
          <w:rFonts w:ascii="Cambria" w:eastAsia="Montserrat" w:hAnsi="Cambria" w:cs="Montserrat"/>
          <w:sz w:val="18"/>
          <w:szCs w:val="18"/>
        </w:rPr>
        <w:t>and</w:t>
      </w:r>
      <w:r w:rsidR="00F97F2A" w:rsidRPr="008A7BD7">
        <w:rPr>
          <w:rFonts w:ascii="Cambria" w:eastAsia="Montserrat" w:hAnsi="Cambria" w:cs="Montserrat"/>
          <w:sz w:val="18"/>
          <w:szCs w:val="18"/>
        </w:rPr>
        <w:t xml:space="preserve"> Guatemala, </w:t>
      </w:r>
      <w:r w:rsidRPr="008A7BD7">
        <w:rPr>
          <w:rFonts w:ascii="Cambria" w:eastAsia="Cambria" w:hAnsi="Cambria" w:cs="Cambria"/>
          <w:color w:val="000000" w:themeColor="text1"/>
          <w:sz w:val="18"/>
          <w:szCs w:val="18"/>
        </w:rPr>
        <w:t>Public Prosecutor’s Office on Children and Adolescents</w:t>
      </w:r>
      <w:r w:rsidR="00F97F2A" w:rsidRPr="008A7BD7">
        <w:rPr>
          <w:rFonts w:ascii="Cambria" w:eastAsia="Montserrat" w:hAnsi="Cambria" w:cs="Montserrat"/>
          <w:sz w:val="18"/>
          <w:szCs w:val="18"/>
        </w:rPr>
        <w:t xml:space="preserve">, </w:t>
      </w:r>
      <w:r w:rsidRPr="008A7BD7">
        <w:rPr>
          <w:rFonts w:ascii="Cambria" w:eastAsia="Montserrat" w:hAnsi="Cambria" w:cs="Montserrat"/>
          <w:sz w:val="18"/>
          <w:szCs w:val="18"/>
        </w:rPr>
        <w:t xml:space="preserve">Document </w:t>
      </w:r>
      <w:r w:rsidR="00F97F2A" w:rsidRPr="008A7BD7">
        <w:rPr>
          <w:rFonts w:ascii="Cambria" w:eastAsia="Montserrat" w:hAnsi="Cambria" w:cs="Montserrat"/>
          <w:sz w:val="18"/>
          <w:szCs w:val="18"/>
        </w:rPr>
        <w:t>PGN-PNA-583-2021/</w:t>
      </w:r>
      <w:proofErr w:type="spellStart"/>
      <w:r w:rsidR="00F97F2A" w:rsidRPr="008A7BD7">
        <w:rPr>
          <w:rFonts w:ascii="Cambria" w:eastAsia="Montserrat" w:hAnsi="Cambria" w:cs="Montserrat"/>
          <w:sz w:val="18"/>
          <w:szCs w:val="18"/>
        </w:rPr>
        <w:t>gacr</w:t>
      </w:r>
      <w:proofErr w:type="spellEnd"/>
      <w:r w:rsidR="00F97F2A" w:rsidRPr="008A7BD7">
        <w:rPr>
          <w:rFonts w:ascii="Cambria" w:eastAsia="Montserrat" w:hAnsi="Cambria" w:cs="Montserrat"/>
          <w:sz w:val="18"/>
          <w:szCs w:val="18"/>
        </w:rPr>
        <w:t xml:space="preserve">, </w:t>
      </w:r>
      <w:r w:rsidRPr="008A7BD7">
        <w:rPr>
          <w:rFonts w:ascii="Cambria" w:eastAsia="Montserrat" w:hAnsi="Cambria" w:cs="Montserrat"/>
          <w:sz w:val="18"/>
          <w:szCs w:val="18"/>
        </w:rPr>
        <w:t xml:space="preserve">dated December </w:t>
      </w:r>
      <w:r w:rsidR="00F97F2A" w:rsidRPr="008A7BD7">
        <w:rPr>
          <w:rFonts w:ascii="Cambria" w:eastAsia="Montserrat" w:hAnsi="Cambria" w:cs="Montserrat"/>
          <w:sz w:val="18"/>
          <w:szCs w:val="18"/>
        </w:rPr>
        <w:t>15</w:t>
      </w:r>
      <w:r w:rsidRPr="008A7BD7">
        <w:rPr>
          <w:rFonts w:ascii="Cambria" w:eastAsia="Montserrat" w:hAnsi="Cambria" w:cs="Montserrat"/>
          <w:sz w:val="18"/>
          <w:szCs w:val="18"/>
        </w:rPr>
        <w:t xml:space="preserve">, </w:t>
      </w:r>
      <w:r w:rsidR="00F97F2A" w:rsidRPr="008A7BD7">
        <w:rPr>
          <w:rFonts w:ascii="Cambria" w:eastAsia="Montserrat" w:hAnsi="Cambria" w:cs="Montserrat"/>
          <w:sz w:val="18"/>
          <w:szCs w:val="18"/>
        </w:rPr>
        <w:t xml:space="preserve">2021. </w:t>
      </w:r>
      <w:r w:rsidRPr="008A7BD7">
        <w:rPr>
          <w:rFonts w:ascii="Cambria" w:hAnsi="Cambria"/>
          <w:sz w:val="18"/>
          <w:szCs w:val="18"/>
        </w:rPr>
        <w:t>Response from the State of</w:t>
      </w:r>
      <w:r w:rsidRPr="008A7BD7">
        <w:rPr>
          <w:rFonts w:ascii="Cambria" w:eastAsia="Cambria" w:hAnsi="Cambria" w:cs="Cambria"/>
          <w:color w:val="000000"/>
          <w:sz w:val="18"/>
          <w:szCs w:val="18"/>
        </w:rPr>
        <w:t xml:space="preserve"> Guatemala to the draft report on Guatemala from Chapter IV.B of the Annual Report of the Inter-American Commission on Human Rights, Note from the Permanent Mission of Guatemala to the Organization of American States (OAS), NV-</w:t>
      </w:r>
      <w:r w:rsidRPr="008A7BD7">
        <w:rPr>
          <w:rFonts w:ascii="Cambria" w:hAnsi="Cambria"/>
          <w:sz w:val="18"/>
          <w:szCs w:val="18"/>
        </w:rPr>
        <w:t>OEA</w:t>
      </w:r>
      <w:r w:rsidRPr="008A7BD7">
        <w:rPr>
          <w:rFonts w:ascii="Cambria" w:eastAsia="Cambria" w:hAnsi="Cambria" w:cs="Cambria"/>
          <w:color w:val="000000"/>
          <w:sz w:val="18"/>
          <w:szCs w:val="18"/>
        </w:rPr>
        <w:t>-M4-980-2021, December 22, 2021, p</w:t>
      </w:r>
      <w:r w:rsidR="00F97F2A" w:rsidRPr="008A7BD7">
        <w:rPr>
          <w:rFonts w:ascii="Cambria" w:eastAsia="Times New Roman" w:hAnsi="Cambria" w:cs="Tahoma"/>
          <w:color w:val="000000"/>
          <w:sz w:val="18"/>
          <w:szCs w:val="18"/>
          <w:lang w:eastAsia="es-ES_tradnl"/>
        </w:rPr>
        <w:t>. 135.</w:t>
      </w:r>
    </w:p>
    <w:p w14:paraId="4A2E960E" w14:textId="77777777" w:rsidR="004D1FCF" w:rsidRPr="008A7BD7" w:rsidRDefault="004D1FCF" w:rsidP="004D1FCF">
      <w:pPr>
        <w:pStyle w:val="ListParagraph"/>
        <w:rPr>
          <w:rFonts w:ascii="Cambria" w:eastAsia="Cambria" w:hAnsi="Cambria" w:cs="Cambria"/>
          <w:color w:val="000000" w:themeColor="text1"/>
          <w:sz w:val="20"/>
          <w:szCs w:val="20"/>
        </w:rPr>
      </w:pPr>
    </w:p>
    <w:p w14:paraId="7247A1DE" w14:textId="3398EFA1" w:rsidR="004D1FCF" w:rsidRPr="008A7BD7" w:rsidRDefault="00397E85" w:rsidP="003D3059">
      <w:pPr>
        <w:numPr>
          <w:ilvl w:val="0"/>
          <w:numId w:val="2"/>
        </w:numPr>
        <w:ind w:left="0" w:firstLine="720"/>
        <w:jc w:val="both"/>
        <w:rPr>
          <w:rFonts w:ascii="Cambria" w:eastAsia="Cambria" w:hAnsi="Cambria" w:cs="Cambria"/>
          <w:color w:val="000000" w:themeColor="text1"/>
          <w:sz w:val="20"/>
          <w:szCs w:val="20"/>
        </w:rPr>
      </w:pPr>
      <w:proofErr w:type="gramStart"/>
      <w:r w:rsidRPr="008A7BD7">
        <w:rPr>
          <w:rFonts w:ascii="Cambria" w:eastAsia="Cambria" w:hAnsi="Cambria" w:cs="Cambria"/>
          <w:color w:val="000000" w:themeColor="text1"/>
          <w:sz w:val="20"/>
          <w:szCs w:val="20"/>
        </w:rPr>
        <w:t>With regard to</w:t>
      </w:r>
      <w:proofErr w:type="gramEnd"/>
      <w:r w:rsidRPr="008A7BD7">
        <w:rPr>
          <w:rFonts w:ascii="Cambria" w:eastAsia="Cambria" w:hAnsi="Cambria" w:cs="Cambria"/>
          <w:color w:val="000000" w:themeColor="text1"/>
          <w:sz w:val="20"/>
          <w:szCs w:val="20"/>
        </w:rPr>
        <w:t xml:space="preserve"> the foregoing, the United Nations Office for the Coordination of Humanitarian Affairs</w:t>
      </w:r>
      <w:r w:rsidR="004D1FCF" w:rsidRPr="008A7BD7">
        <w:rPr>
          <w:rFonts w:ascii="Cambria" w:eastAsia="Cambria" w:hAnsi="Cambria" w:cs="Cambria"/>
          <w:color w:val="000000" w:themeColor="text1"/>
          <w:sz w:val="20"/>
          <w:szCs w:val="20"/>
        </w:rPr>
        <w:t xml:space="preserve"> (OCHA) </w:t>
      </w:r>
      <w:r w:rsidR="00774903" w:rsidRPr="008A7BD7">
        <w:rPr>
          <w:rFonts w:ascii="Cambria" w:eastAsia="Cambria" w:hAnsi="Cambria" w:cs="Cambria"/>
          <w:color w:val="000000" w:themeColor="text1"/>
          <w:sz w:val="20"/>
          <w:szCs w:val="20"/>
        </w:rPr>
        <w:t xml:space="preserve">noted that the </w:t>
      </w:r>
      <w:r w:rsidR="004D1FCF" w:rsidRPr="008A7BD7">
        <w:rPr>
          <w:rFonts w:ascii="Cambria" w:eastAsia="Cambria" w:hAnsi="Cambria" w:cs="Cambria"/>
          <w:color w:val="000000" w:themeColor="text1"/>
          <w:sz w:val="20"/>
          <w:szCs w:val="20"/>
        </w:rPr>
        <w:t xml:space="preserve">COVID-19 </w:t>
      </w:r>
      <w:r w:rsidR="00774903" w:rsidRPr="008A7BD7">
        <w:rPr>
          <w:rFonts w:ascii="Cambria" w:eastAsia="Cambria" w:hAnsi="Cambria" w:cs="Cambria"/>
          <w:color w:val="000000" w:themeColor="text1"/>
          <w:sz w:val="20"/>
          <w:szCs w:val="20"/>
        </w:rPr>
        <w:t xml:space="preserve">pandemic and Hurricanes </w:t>
      </w:r>
      <w:r w:rsidR="004D1FCF" w:rsidRPr="008A7BD7">
        <w:rPr>
          <w:rFonts w:ascii="Cambria" w:eastAsia="Cambria" w:hAnsi="Cambria" w:cs="Cambria"/>
          <w:color w:val="000000" w:themeColor="text1"/>
          <w:sz w:val="20"/>
          <w:szCs w:val="20"/>
        </w:rPr>
        <w:t xml:space="preserve">Eta </w:t>
      </w:r>
      <w:r w:rsidR="00774903" w:rsidRPr="008A7BD7">
        <w:rPr>
          <w:rFonts w:ascii="Cambria" w:eastAsia="Cambria" w:hAnsi="Cambria" w:cs="Cambria"/>
          <w:color w:val="000000" w:themeColor="text1"/>
          <w:sz w:val="20"/>
          <w:szCs w:val="20"/>
        </w:rPr>
        <w:t>and</w:t>
      </w:r>
      <w:r w:rsidR="004D1FCF" w:rsidRPr="008A7BD7">
        <w:rPr>
          <w:rFonts w:ascii="Cambria" w:eastAsia="Cambria" w:hAnsi="Cambria" w:cs="Cambria"/>
          <w:color w:val="000000" w:themeColor="text1"/>
          <w:sz w:val="20"/>
          <w:szCs w:val="20"/>
        </w:rPr>
        <w:t xml:space="preserve"> Iota </w:t>
      </w:r>
      <w:r w:rsidR="00774903" w:rsidRPr="008A7BD7">
        <w:rPr>
          <w:rFonts w:ascii="Cambria" w:eastAsia="Cambria" w:hAnsi="Cambria" w:cs="Cambria"/>
          <w:color w:val="000000" w:themeColor="text1"/>
          <w:sz w:val="20"/>
          <w:szCs w:val="20"/>
        </w:rPr>
        <w:t>i</w:t>
      </w:r>
      <w:r w:rsidR="004D1FCF" w:rsidRPr="008A7BD7">
        <w:rPr>
          <w:rFonts w:ascii="Cambria" w:eastAsia="Cambria" w:hAnsi="Cambria" w:cs="Cambria"/>
          <w:color w:val="000000" w:themeColor="text1"/>
          <w:sz w:val="20"/>
          <w:szCs w:val="20"/>
        </w:rPr>
        <w:t xml:space="preserve">n 2020 </w:t>
      </w:r>
      <w:r w:rsidR="007C0662" w:rsidRPr="008A7BD7">
        <w:rPr>
          <w:rFonts w:ascii="Cambria" w:eastAsia="Cambria" w:hAnsi="Cambria" w:cs="Cambria"/>
          <w:color w:val="000000" w:themeColor="text1"/>
          <w:sz w:val="20"/>
          <w:szCs w:val="20"/>
        </w:rPr>
        <w:t xml:space="preserve">multiplied the endemic vulnerabilities that already existed in </w:t>
      </w:r>
      <w:r w:rsidR="004D1FCF" w:rsidRPr="008A7BD7">
        <w:rPr>
          <w:rFonts w:ascii="Cambria" w:eastAsia="Cambria" w:hAnsi="Cambria" w:cs="Cambria"/>
          <w:color w:val="000000" w:themeColor="text1"/>
          <w:sz w:val="20"/>
          <w:szCs w:val="20"/>
        </w:rPr>
        <w:t xml:space="preserve">Guatemala. </w:t>
      </w:r>
      <w:r w:rsidR="007C0662" w:rsidRPr="008A7BD7">
        <w:rPr>
          <w:rFonts w:ascii="Cambria" w:eastAsia="Cambria" w:hAnsi="Cambria" w:cs="Cambria"/>
          <w:color w:val="000000" w:themeColor="text1"/>
          <w:sz w:val="20"/>
          <w:szCs w:val="20"/>
        </w:rPr>
        <w:t xml:space="preserve">It also indicated that the structural and multidimensional nature of the crisis had </w:t>
      </w:r>
      <w:r w:rsidR="00690235" w:rsidRPr="008A7BD7">
        <w:rPr>
          <w:rFonts w:ascii="Cambria" w:eastAsia="Cambria" w:hAnsi="Cambria" w:cs="Cambria"/>
          <w:color w:val="000000" w:themeColor="text1"/>
          <w:sz w:val="20"/>
          <w:szCs w:val="20"/>
        </w:rPr>
        <w:t>led to</w:t>
      </w:r>
      <w:r w:rsidR="007C0662" w:rsidRPr="008A7BD7">
        <w:rPr>
          <w:rFonts w:ascii="Cambria" w:eastAsia="Cambria" w:hAnsi="Cambria" w:cs="Cambria"/>
          <w:color w:val="000000" w:themeColor="text1"/>
          <w:sz w:val="20"/>
          <w:szCs w:val="20"/>
        </w:rPr>
        <w:t xml:space="preserve"> a disproportionate impact </w:t>
      </w:r>
      <w:r w:rsidR="005D253B" w:rsidRPr="008A7BD7">
        <w:rPr>
          <w:rFonts w:ascii="Cambria" w:eastAsia="Cambria" w:hAnsi="Cambria" w:cs="Cambria"/>
          <w:color w:val="000000" w:themeColor="text1"/>
          <w:sz w:val="20"/>
          <w:szCs w:val="20"/>
        </w:rPr>
        <w:t>on</w:t>
      </w:r>
      <w:r w:rsidR="007C0662" w:rsidRPr="008A7BD7">
        <w:rPr>
          <w:rFonts w:ascii="Cambria" w:eastAsia="Cambria" w:hAnsi="Cambria" w:cs="Cambria"/>
          <w:color w:val="000000" w:themeColor="text1"/>
          <w:sz w:val="20"/>
          <w:szCs w:val="20"/>
        </w:rPr>
        <w:t xml:space="preserve"> women, children, indigenous peoples, people of African descent, LGBTI persons, and </w:t>
      </w:r>
      <w:r w:rsidR="00AA6964" w:rsidRPr="008A7BD7">
        <w:rPr>
          <w:rFonts w:ascii="Cambria" w:eastAsia="Cambria" w:hAnsi="Cambria" w:cs="Cambria"/>
          <w:color w:val="000000" w:themeColor="text1"/>
          <w:sz w:val="20"/>
          <w:szCs w:val="20"/>
        </w:rPr>
        <w:t>people</w:t>
      </w:r>
      <w:r w:rsidR="007C0662" w:rsidRPr="008A7BD7">
        <w:rPr>
          <w:rFonts w:ascii="Cambria" w:eastAsia="Cambria" w:hAnsi="Cambria" w:cs="Cambria"/>
          <w:color w:val="000000" w:themeColor="text1"/>
          <w:sz w:val="20"/>
          <w:szCs w:val="20"/>
        </w:rPr>
        <w:t xml:space="preserve"> with disabilities.</w:t>
      </w:r>
      <w:r w:rsidR="004D1FCF" w:rsidRPr="008A7BD7">
        <w:rPr>
          <w:rFonts w:ascii="Cambria" w:eastAsia="Cambria" w:hAnsi="Cambria" w:cs="Cambria"/>
          <w:color w:val="000000" w:themeColor="text1"/>
          <w:sz w:val="20"/>
          <w:szCs w:val="20"/>
          <w:vertAlign w:val="superscript"/>
        </w:rPr>
        <w:footnoteReference w:id="278"/>
      </w:r>
    </w:p>
    <w:p w14:paraId="054E32F2" w14:textId="77777777" w:rsidR="004D1FCF" w:rsidRPr="008A7BD7" w:rsidRDefault="004D1FCF" w:rsidP="004D1FCF">
      <w:pPr>
        <w:pStyle w:val="ListParagraph"/>
        <w:rPr>
          <w:rFonts w:ascii="Cambria" w:eastAsia="Cambria" w:hAnsi="Cambria" w:cs="Cambria"/>
          <w:color w:val="000000" w:themeColor="text1"/>
          <w:sz w:val="20"/>
          <w:szCs w:val="20"/>
        </w:rPr>
      </w:pPr>
    </w:p>
    <w:p w14:paraId="71F64253" w14:textId="65CA5AD1" w:rsidR="004D1FCF" w:rsidRPr="008A7BD7" w:rsidRDefault="00EA22F2"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In addition, a report by </w:t>
      </w:r>
      <w:r w:rsidR="004D1FCF" w:rsidRPr="008A7BD7">
        <w:rPr>
          <w:rFonts w:ascii="Cambria" w:eastAsia="Cambria" w:hAnsi="Cambria" w:cs="Cambria"/>
          <w:color w:val="000000" w:themeColor="text1"/>
          <w:sz w:val="20"/>
          <w:szCs w:val="20"/>
        </w:rPr>
        <w:t>OXFAM Interna</w:t>
      </w:r>
      <w:r w:rsidRPr="008A7BD7">
        <w:rPr>
          <w:rFonts w:ascii="Cambria" w:eastAsia="Cambria" w:hAnsi="Cambria" w:cs="Cambria"/>
          <w:color w:val="000000" w:themeColor="text1"/>
          <w:sz w:val="20"/>
          <w:szCs w:val="20"/>
        </w:rPr>
        <w:t>tional indicated that the levels of extreme poverty in</w:t>
      </w:r>
      <w:r w:rsidR="004D1FCF" w:rsidRPr="008A7BD7">
        <w:rPr>
          <w:rFonts w:ascii="Cambria" w:eastAsia="Cambria" w:hAnsi="Cambria" w:cs="Cambria"/>
          <w:color w:val="000000" w:themeColor="text1"/>
          <w:sz w:val="20"/>
          <w:szCs w:val="20"/>
        </w:rPr>
        <w:t xml:space="preserve"> Guatemala </w:t>
      </w:r>
      <w:r w:rsidR="00CC0D80" w:rsidRPr="008A7BD7">
        <w:rPr>
          <w:rFonts w:ascii="Cambria" w:eastAsia="Cambria" w:hAnsi="Cambria" w:cs="Cambria"/>
          <w:color w:val="000000" w:themeColor="text1"/>
          <w:sz w:val="20"/>
          <w:szCs w:val="20"/>
        </w:rPr>
        <w:t>could grow</w:t>
      </w:r>
      <w:r w:rsidRPr="008A7BD7">
        <w:rPr>
          <w:rFonts w:ascii="Cambria" w:eastAsia="Cambria" w:hAnsi="Cambria" w:cs="Cambria"/>
          <w:color w:val="000000" w:themeColor="text1"/>
          <w:sz w:val="20"/>
          <w:szCs w:val="20"/>
        </w:rPr>
        <w:t xml:space="preserve"> from </w:t>
      </w:r>
      <w:r w:rsidR="004D1FCF" w:rsidRPr="008A7BD7">
        <w:rPr>
          <w:rFonts w:ascii="Cambria" w:eastAsia="Cambria" w:hAnsi="Cambria" w:cs="Cambria"/>
          <w:color w:val="000000" w:themeColor="text1"/>
          <w:sz w:val="20"/>
          <w:szCs w:val="20"/>
        </w:rPr>
        <w:t xml:space="preserve">19.8% </w:t>
      </w:r>
      <w:r w:rsidRPr="008A7BD7">
        <w:rPr>
          <w:rFonts w:ascii="Cambria" w:eastAsia="Cambria" w:hAnsi="Cambria" w:cs="Cambria"/>
          <w:color w:val="000000" w:themeColor="text1"/>
          <w:sz w:val="20"/>
          <w:szCs w:val="20"/>
        </w:rPr>
        <w:t>to</w:t>
      </w:r>
      <w:r w:rsidR="004D1FCF" w:rsidRPr="008A7BD7">
        <w:rPr>
          <w:rFonts w:ascii="Cambria" w:eastAsia="Cambria" w:hAnsi="Cambria" w:cs="Cambria"/>
          <w:color w:val="000000" w:themeColor="text1"/>
          <w:sz w:val="20"/>
          <w:szCs w:val="20"/>
        </w:rPr>
        <w:t xml:space="preserve"> 22.7%. </w:t>
      </w:r>
      <w:r w:rsidRPr="008A7BD7">
        <w:rPr>
          <w:rFonts w:ascii="Cambria" w:eastAsia="Cambria" w:hAnsi="Cambria" w:cs="Cambria"/>
          <w:color w:val="000000" w:themeColor="text1"/>
          <w:sz w:val="20"/>
          <w:szCs w:val="20"/>
        </w:rPr>
        <w:t xml:space="preserve">That could lead people to </w:t>
      </w:r>
      <w:r w:rsidR="00CC0D80" w:rsidRPr="008A7BD7">
        <w:rPr>
          <w:rFonts w:ascii="Cambria" w:eastAsia="Cambria" w:hAnsi="Cambria" w:cs="Cambria"/>
          <w:color w:val="000000" w:themeColor="text1"/>
          <w:sz w:val="20"/>
          <w:szCs w:val="20"/>
        </w:rPr>
        <w:t>seek</w:t>
      </w:r>
      <w:r w:rsidRPr="008A7BD7">
        <w:rPr>
          <w:rFonts w:ascii="Cambria" w:eastAsia="Cambria" w:hAnsi="Cambria" w:cs="Cambria"/>
          <w:color w:val="000000" w:themeColor="text1"/>
          <w:sz w:val="20"/>
          <w:szCs w:val="20"/>
        </w:rPr>
        <w:t xml:space="preserve"> informal employment—with no social or health</w:t>
      </w:r>
      <w:r w:rsidR="00CC0D80" w:rsidRPr="008A7BD7">
        <w:rPr>
          <w:rFonts w:ascii="Cambria" w:eastAsia="Cambria" w:hAnsi="Cambria" w:cs="Cambria"/>
          <w:color w:val="000000" w:themeColor="text1"/>
          <w:sz w:val="20"/>
          <w:szCs w:val="20"/>
        </w:rPr>
        <w:t>-care</w:t>
      </w:r>
      <w:r w:rsidRPr="008A7BD7">
        <w:rPr>
          <w:rFonts w:ascii="Cambria" w:eastAsia="Cambria" w:hAnsi="Cambria" w:cs="Cambria"/>
          <w:color w:val="000000" w:themeColor="text1"/>
          <w:sz w:val="20"/>
          <w:szCs w:val="20"/>
        </w:rPr>
        <w:t xml:space="preserve"> </w:t>
      </w:r>
      <w:r w:rsidR="00CC0D80" w:rsidRPr="008A7BD7">
        <w:rPr>
          <w:rFonts w:ascii="Cambria" w:eastAsia="Cambria" w:hAnsi="Cambria" w:cs="Cambria"/>
          <w:color w:val="000000" w:themeColor="text1"/>
          <w:sz w:val="20"/>
          <w:szCs w:val="20"/>
        </w:rPr>
        <w:t>benefits</w:t>
      </w:r>
      <w:r w:rsidR="004D1FCF" w:rsidRPr="008A7BD7">
        <w:rPr>
          <w:rFonts w:ascii="Cambria" w:eastAsia="Cambria" w:hAnsi="Cambria" w:cs="Cambria"/>
          <w:color w:val="000000" w:themeColor="text1"/>
          <w:sz w:val="20"/>
          <w:szCs w:val="20"/>
        </w:rPr>
        <w:t>—</w:t>
      </w:r>
      <w:r w:rsidRPr="008A7BD7">
        <w:rPr>
          <w:rFonts w:ascii="Cambria" w:eastAsia="Cambria" w:hAnsi="Cambria" w:cs="Cambria"/>
          <w:color w:val="000000" w:themeColor="text1"/>
          <w:sz w:val="20"/>
          <w:szCs w:val="20"/>
        </w:rPr>
        <w:t xml:space="preserve">or to look for </w:t>
      </w:r>
      <w:r w:rsidR="00CC0D80" w:rsidRPr="008A7BD7">
        <w:rPr>
          <w:rFonts w:ascii="Cambria" w:eastAsia="Cambria" w:hAnsi="Cambria" w:cs="Cambria"/>
          <w:color w:val="000000" w:themeColor="text1"/>
          <w:sz w:val="20"/>
          <w:szCs w:val="20"/>
        </w:rPr>
        <w:t xml:space="preserve">other </w:t>
      </w:r>
      <w:r w:rsidRPr="008A7BD7">
        <w:rPr>
          <w:rFonts w:ascii="Cambria" w:eastAsia="Cambria" w:hAnsi="Cambria" w:cs="Cambria"/>
          <w:color w:val="000000" w:themeColor="text1"/>
          <w:sz w:val="20"/>
          <w:szCs w:val="20"/>
        </w:rPr>
        <w:t xml:space="preserve">alternatives to </w:t>
      </w:r>
      <w:r w:rsidR="00CC0D80" w:rsidRPr="008A7BD7">
        <w:rPr>
          <w:rFonts w:ascii="Cambria" w:eastAsia="Cambria" w:hAnsi="Cambria" w:cs="Cambria"/>
          <w:color w:val="000000" w:themeColor="text1"/>
          <w:sz w:val="20"/>
          <w:szCs w:val="20"/>
        </w:rPr>
        <w:t xml:space="preserve">generate </w:t>
      </w:r>
      <w:r w:rsidR="00414730" w:rsidRPr="008A7BD7">
        <w:rPr>
          <w:rFonts w:ascii="Cambria" w:eastAsia="Cambria" w:hAnsi="Cambria" w:cs="Cambria"/>
          <w:color w:val="000000" w:themeColor="text1"/>
          <w:sz w:val="20"/>
          <w:szCs w:val="20"/>
        </w:rPr>
        <w:t>enough</w:t>
      </w:r>
      <w:r w:rsidRPr="008A7BD7">
        <w:rPr>
          <w:rFonts w:ascii="Cambria" w:eastAsia="Cambria" w:hAnsi="Cambria" w:cs="Cambria"/>
          <w:color w:val="000000" w:themeColor="text1"/>
          <w:sz w:val="20"/>
          <w:szCs w:val="20"/>
        </w:rPr>
        <w:t xml:space="preserve"> income</w:t>
      </w:r>
      <w:r w:rsidR="00414730" w:rsidRPr="008A7BD7">
        <w:rPr>
          <w:rFonts w:ascii="Cambria" w:eastAsia="Cambria" w:hAnsi="Cambria" w:cs="Cambria"/>
          <w:color w:val="000000" w:themeColor="text1"/>
          <w:sz w:val="20"/>
          <w:szCs w:val="20"/>
        </w:rPr>
        <w:t xml:space="preserve"> </w:t>
      </w:r>
      <w:r w:rsidRPr="008A7BD7">
        <w:rPr>
          <w:rFonts w:ascii="Cambria" w:eastAsia="Cambria" w:hAnsi="Cambria" w:cs="Cambria"/>
          <w:color w:val="000000" w:themeColor="text1"/>
          <w:sz w:val="20"/>
          <w:szCs w:val="20"/>
        </w:rPr>
        <w:t xml:space="preserve">to cover </w:t>
      </w:r>
      <w:r w:rsidR="00CC0D80" w:rsidRPr="008A7BD7">
        <w:rPr>
          <w:rFonts w:ascii="Cambria" w:eastAsia="Cambria" w:hAnsi="Cambria" w:cs="Cambria"/>
          <w:color w:val="000000" w:themeColor="text1"/>
          <w:sz w:val="20"/>
          <w:szCs w:val="20"/>
        </w:rPr>
        <w:t xml:space="preserve">their </w:t>
      </w:r>
      <w:r w:rsidRPr="008A7BD7">
        <w:rPr>
          <w:rFonts w:ascii="Cambria" w:eastAsia="Cambria" w:hAnsi="Cambria" w:cs="Cambria"/>
          <w:color w:val="000000" w:themeColor="text1"/>
          <w:sz w:val="20"/>
          <w:szCs w:val="20"/>
        </w:rPr>
        <w:t xml:space="preserve">basic needs </w:t>
      </w:r>
      <w:r w:rsidR="00CC0D80" w:rsidRPr="008A7BD7">
        <w:rPr>
          <w:rFonts w:ascii="Cambria" w:eastAsia="Cambria" w:hAnsi="Cambria" w:cs="Cambria"/>
          <w:color w:val="000000" w:themeColor="text1"/>
          <w:sz w:val="20"/>
          <w:szCs w:val="20"/>
        </w:rPr>
        <w:t>and provide for</w:t>
      </w:r>
      <w:r w:rsidRPr="008A7BD7">
        <w:rPr>
          <w:rFonts w:ascii="Cambria" w:eastAsia="Cambria" w:hAnsi="Cambria" w:cs="Cambria"/>
          <w:color w:val="000000" w:themeColor="text1"/>
          <w:sz w:val="20"/>
          <w:szCs w:val="20"/>
        </w:rPr>
        <w:t xml:space="preserve"> their families. These options </w:t>
      </w:r>
      <w:r w:rsidR="00414730" w:rsidRPr="008A7BD7">
        <w:rPr>
          <w:rFonts w:ascii="Cambria" w:eastAsia="Cambria" w:hAnsi="Cambria" w:cs="Cambria"/>
          <w:color w:val="000000" w:themeColor="text1"/>
          <w:sz w:val="20"/>
          <w:szCs w:val="20"/>
        </w:rPr>
        <w:t>may focus on</w:t>
      </w:r>
      <w:r w:rsidR="00003720" w:rsidRPr="008A7BD7">
        <w:rPr>
          <w:rFonts w:ascii="Cambria" w:eastAsia="Cambria" w:hAnsi="Cambria" w:cs="Cambria"/>
          <w:color w:val="000000" w:themeColor="text1"/>
          <w:sz w:val="20"/>
          <w:szCs w:val="20"/>
        </w:rPr>
        <w:t xml:space="preserve"> irregular migration or other activities that could jeopardize their fun</w:t>
      </w:r>
      <w:r w:rsidR="006E0506" w:rsidRPr="008A7BD7">
        <w:rPr>
          <w:rFonts w:ascii="Cambria" w:eastAsia="Cambria" w:hAnsi="Cambria" w:cs="Cambria"/>
          <w:color w:val="000000" w:themeColor="text1"/>
          <w:sz w:val="20"/>
          <w:szCs w:val="20"/>
        </w:rPr>
        <w:t>d</w:t>
      </w:r>
      <w:r w:rsidR="00003720" w:rsidRPr="008A7BD7">
        <w:rPr>
          <w:rFonts w:ascii="Cambria" w:eastAsia="Cambria" w:hAnsi="Cambria" w:cs="Cambria"/>
          <w:color w:val="000000" w:themeColor="text1"/>
          <w:sz w:val="20"/>
          <w:szCs w:val="20"/>
        </w:rPr>
        <w:t>amental rights.</w:t>
      </w:r>
      <w:r w:rsidR="004D1FCF" w:rsidRPr="008A7BD7">
        <w:rPr>
          <w:rFonts w:ascii="Cambria" w:eastAsia="Cambria" w:hAnsi="Cambria" w:cs="Cambria"/>
          <w:color w:val="000000" w:themeColor="text1"/>
          <w:sz w:val="20"/>
          <w:szCs w:val="20"/>
          <w:vertAlign w:val="superscript"/>
        </w:rPr>
        <w:footnoteReference w:id="279"/>
      </w:r>
      <w:r w:rsidR="004D1FCF" w:rsidRPr="008A7BD7">
        <w:rPr>
          <w:rFonts w:ascii="Cambria" w:eastAsia="Cambria" w:hAnsi="Cambria" w:cs="Cambria"/>
          <w:color w:val="000000" w:themeColor="text1"/>
          <w:sz w:val="20"/>
          <w:szCs w:val="20"/>
        </w:rPr>
        <w:t xml:space="preserve"> </w:t>
      </w:r>
      <w:r w:rsidR="00003720" w:rsidRPr="008A7BD7">
        <w:rPr>
          <w:rFonts w:ascii="Cambria" w:eastAsia="Cambria" w:hAnsi="Cambria" w:cs="Cambria"/>
          <w:color w:val="000000" w:themeColor="text1"/>
          <w:sz w:val="20"/>
          <w:szCs w:val="20"/>
        </w:rPr>
        <w:t>In addition, the International Organization for Migration</w:t>
      </w:r>
      <w:r w:rsidR="004D1FCF" w:rsidRPr="008A7BD7">
        <w:rPr>
          <w:rFonts w:ascii="Cambria" w:eastAsia="Cambria" w:hAnsi="Cambria" w:cs="Cambria"/>
          <w:color w:val="000000" w:themeColor="text1"/>
          <w:sz w:val="20"/>
          <w:szCs w:val="20"/>
        </w:rPr>
        <w:t xml:space="preserve"> (</w:t>
      </w:r>
      <w:r w:rsidR="00003720" w:rsidRPr="008A7BD7">
        <w:rPr>
          <w:rFonts w:ascii="Cambria" w:eastAsia="Cambria" w:hAnsi="Cambria" w:cs="Cambria"/>
          <w:color w:val="000000" w:themeColor="text1"/>
          <w:sz w:val="20"/>
          <w:szCs w:val="20"/>
        </w:rPr>
        <w:t>IO</w:t>
      </w:r>
      <w:r w:rsidR="004D1FCF" w:rsidRPr="008A7BD7">
        <w:rPr>
          <w:rFonts w:ascii="Cambria" w:eastAsia="Cambria" w:hAnsi="Cambria" w:cs="Cambria"/>
          <w:color w:val="000000" w:themeColor="text1"/>
          <w:sz w:val="20"/>
          <w:szCs w:val="20"/>
        </w:rPr>
        <w:t xml:space="preserve">M) </w:t>
      </w:r>
      <w:r w:rsidR="007205E7" w:rsidRPr="008A7BD7">
        <w:rPr>
          <w:rFonts w:ascii="Cambria" w:eastAsia="Cambria" w:hAnsi="Cambria" w:cs="Cambria"/>
          <w:color w:val="000000" w:themeColor="text1"/>
          <w:sz w:val="20"/>
          <w:szCs w:val="20"/>
        </w:rPr>
        <w:t xml:space="preserve">and the United Nations Population Fund </w:t>
      </w:r>
      <w:r w:rsidR="004D1FCF" w:rsidRPr="008A7BD7">
        <w:rPr>
          <w:rFonts w:ascii="Cambria" w:eastAsia="Cambria" w:hAnsi="Cambria" w:cs="Cambria"/>
          <w:color w:val="000000" w:themeColor="text1"/>
          <w:sz w:val="20"/>
          <w:szCs w:val="20"/>
        </w:rPr>
        <w:t xml:space="preserve">(UNFPA) </w:t>
      </w:r>
      <w:r w:rsidR="00E456DD" w:rsidRPr="008A7BD7">
        <w:rPr>
          <w:rFonts w:ascii="Cambria" w:eastAsia="Cambria" w:hAnsi="Cambria" w:cs="Cambria"/>
          <w:color w:val="000000" w:themeColor="text1"/>
          <w:sz w:val="20"/>
          <w:szCs w:val="20"/>
        </w:rPr>
        <w:t xml:space="preserve">indicated that while it is </w:t>
      </w:r>
      <w:r w:rsidR="00690235" w:rsidRPr="008A7BD7">
        <w:rPr>
          <w:rFonts w:ascii="Cambria" w:eastAsia="Cambria" w:hAnsi="Cambria" w:cs="Cambria"/>
          <w:color w:val="000000" w:themeColor="text1"/>
          <w:sz w:val="20"/>
          <w:szCs w:val="20"/>
        </w:rPr>
        <w:t>not yet</w:t>
      </w:r>
      <w:r w:rsidR="00E456DD" w:rsidRPr="008A7BD7">
        <w:rPr>
          <w:rFonts w:ascii="Cambria" w:eastAsia="Cambria" w:hAnsi="Cambria" w:cs="Cambria"/>
          <w:color w:val="000000" w:themeColor="text1"/>
          <w:sz w:val="20"/>
          <w:szCs w:val="20"/>
        </w:rPr>
        <w:t xml:space="preserve"> possible to </w:t>
      </w:r>
      <w:r w:rsidR="00690235" w:rsidRPr="008A7BD7">
        <w:rPr>
          <w:rFonts w:ascii="Cambria" w:eastAsia="Cambria" w:hAnsi="Cambria" w:cs="Cambria"/>
          <w:color w:val="000000" w:themeColor="text1"/>
          <w:sz w:val="20"/>
          <w:szCs w:val="20"/>
        </w:rPr>
        <w:t>fully understand</w:t>
      </w:r>
      <w:r w:rsidR="00E456DD" w:rsidRPr="008A7BD7">
        <w:rPr>
          <w:rFonts w:ascii="Cambria" w:eastAsia="Cambria" w:hAnsi="Cambria" w:cs="Cambria"/>
          <w:color w:val="000000" w:themeColor="text1"/>
          <w:sz w:val="20"/>
          <w:szCs w:val="20"/>
        </w:rPr>
        <w:t xml:space="preserve"> the current juncture marked by the </w:t>
      </w:r>
      <w:r w:rsidR="004D1FCF" w:rsidRPr="008A7BD7">
        <w:rPr>
          <w:rFonts w:ascii="Cambria" w:eastAsia="Cambria" w:hAnsi="Cambria" w:cs="Cambria"/>
          <w:color w:val="000000" w:themeColor="text1"/>
          <w:sz w:val="20"/>
          <w:szCs w:val="20"/>
        </w:rPr>
        <w:t>COVID-19</w:t>
      </w:r>
      <w:r w:rsidR="00E456DD" w:rsidRPr="008A7BD7">
        <w:rPr>
          <w:rFonts w:ascii="Cambria" w:eastAsia="Cambria" w:hAnsi="Cambria" w:cs="Cambria"/>
          <w:color w:val="000000" w:themeColor="text1"/>
          <w:sz w:val="20"/>
          <w:szCs w:val="20"/>
        </w:rPr>
        <w:t xml:space="preserve"> pandemic, some analyses show that the population groups that were already vulnerable</w:t>
      </w:r>
      <w:r w:rsidR="00690235" w:rsidRPr="008A7BD7">
        <w:rPr>
          <w:rFonts w:ascii="Cambria" w:eastAsia="Cambria" w:hAnsi="Cambria" w:cs="Cambria"/>
          <w:color w:val="000000" w:themeColor="text1"/>
          <w:sz w:val="20"/>
          <w:szCs w:val="20"/>
        </w:rPr>
        <w:t xml:space="preserve"> have been</w:t>
      </w:r>
      <w:r w:rsidR="00E456DD" w:rsidRPr="008A7BD7">
        <w:rPr>
          <w:rFonts w:ascii="Cambria" w:eastAsia="Cambria" w:hAnsi="Cambria" w:cs="Cambria"/>
          <w:color w:val="000000" w:themeColor="text1"/>
          <w:sz w:val="20"/>
          <w:szCs w:val="20"/>
        </w:rPr>
        <w:t xml:space="preserve"> among the hardest hit. </w:t>
      </w:r>
      <w:r w:rsidR="00CA5A32" w:rsidRPr="008A7BD7">
        <w:rPr>
          <w:rFonts w:ascii="Cambria" w:eastAsia="Cambria" w:hAnsi="Cambria" w:cs="Cambria"/>
          <w:color w:val="000000" w:themeColor="text1"/>
          <w:sz w:val="20"/>
          <w:szCs w:val="20"/>
        </w:rPr>
        <w:t>G</w:t>
      </w:r>
      <w:r w:rsidR="00E456DD" w:rsidRPr="008A7BD7">
        <w:rPr>
          <w:rFonts w:ascii="Cambria" w:eastAsia="Cambria" w:hAnsi="Cambria" w:cs="Cambria"/>
          <w:color w:val="000000" w:themeColor="text1"/>
          <w:sz w:val="20"/>
          <w:szCs w:val="20"/>
        </w:rPr>
        <w:t xml:space="preserve">iven </w:t>
      </w:r>
      <w:r w:rsidR="00CA5A32" w:rsidRPr="008A7BD7">
        <w:rPr>
          <w:rFonts w:ascii="Cambria" w:eastAsia="Cambria" w:hAnsi="Cambria" w:cs="Cambria"/>
          <w:color w:val="000000" w:themeColor="text1"/>
          <w:sz w:val="20"/>
          <w:szCs w:val="20"/>
        </w:rPr>
        <w:t xml:space="preserve">that </w:t>
      </w:r>
      <w:r w:rsidR="00E456DD" w:rsidRPr="008A7BD7">
        <w:rPr>
          <w:rFonts w:ascii="Cambria" w:eastAsia="Cambria" w:hAnsi="Cambria" w:cs="Cambria"/>
          <w:color w:val="000000" w:themeColor="text1"/>
          <w:sz w:val="20"/>
          <w:szCs w:val="20"/>
        </w:rPr>
        <w:t xml:space="preserve">conditions of exclusion and vulnerability </w:t>
      </w:r>
      <w:r w:rsidR="00CA5A32" w:rsidRPr="008A7BD7">
        <w:rPr>
          <w:rFonts w:ascii="Cambria" w:eastAsia="Cambria" w:hAnsi="Cambria" w:cs="Cambria"/>
          <w:color w:val="000000" w:themeColor="text1"/>
          <w:sz w:val="20"/>
          <w:szCs w:val="20"/>
        </w:rPr>
        <w:t>are worsening</w:t>
      </w:r>
      <w:r w:rsidR="00E456DD" w:rsidRPr="008A7BD7">
        <w:rPr>
          <w:rFonts w:ascii="Cambria" w:eastAsia="Cambria" w:hAnsi="Cambria" w:cs="Cambria"/>
          <w:color w:val="000000" w:themeColor="text1"/>
          <w:sz w:val="20"/>
          <w:szCs w:val="20"/>
        </w:rPr>
        <w:t xml:space="preserve">, </w:t>
      </w:r>
      <w:r w:rsidR="00CA5A32" w:rsidRPr="008A7BD7">
        <w:rPr>
          <w:rFonts w:ascii="Cambria" w:eastAsia="Cambria" w:hAnsi="Cambria" w:cs="Cambria"/>
          <w:color w:val="000000" w:themeColor="text1"/>
          <w:sz w:val="20"/>
          <w:szCs w:val="20"/>
        </w:rPr>
        <w:t xml:space="preserve">they added, </w:t>
      </w:r>
      <w:r w:rsidR="00E456DD" w:rsidRPr="008A7BD7">
        <w:rPr>
          <w:rFonts w:ascii="Cambria" w:eastAsia="Cambria" w:hAnsi="Cambria" w:cs="Cambria"/>
          <w:color w:val="000000" w:themeColor="text1"/>
          <w:sz w:val="20"/>
          <w:szCs w:val="20"/>
        </w:rPr>
        <w:t xml:space="preserve">it </w:t>
      </w:r>
      <w:r w:rsidR="00CA5A32" w:rsidRPr="008A7BD7">
        <w:rPr>
          <w:rFonts w:ascii="Cambria" w:eastAsia="Cambria" w:hAnsi="Cambria" w:cs="Cambria"/>
          <w:color w:val="000000" w:themeColor="text1"/>
          <w:sz w:val="20"/>
          <w:szCs w:val="20"/>
        </w:rPr>
        <w:t>is likely</w:t>
      </w:r>
      <w:r w:rsidR="00E456DD" w:rsidRPr="008A7BD7">
        <w:rPr>
          <w:rFonts w:ascii="Cambria" w:eastAsia="Cambria" w:hAnsi="Cambria" w:cs="Cambria"/>
          <w:color w:val="000000" w:themeColor="text1"/>
          <w:sz w:val="20"/>
          <w:szCs w:val="20"/>
        </w:rPr>
        <w:t xml:space="preserve"> that migration would now be seen as an option for people who before</w:t>
      </w:r>
      <w:r w:rsidR="00690235" w:rsidRPr="008A7BD7">
        <w:rPr>
          <w:rFonts w:ascii="Cambria" w:eastAsia="Cambria" w:hAnsi="Cambria" w:cs="Cambria"/>
          <w:color w:val="000000" w:themeColor="text1"/>
          <w:sz w:val="20"/>
          <w:szCs w:val="20"/>
        </w:rPr>
        <w:t xml:space="preserve"> the pandemic</w:t>
      </w:r>
      <w:r w:rsidR="00E456DD" w:rsidRPr="008A7BD7">
        <w:rPr>
          <w:rFonts w:ascii="Cambria" w:eastAsia="Cambria" w:hAnsi="Cambria" w:cs="Cambria"/>
          <w:color w:val="000000" w:themeColor="text1"/>
          <w:sz w:val="20"/>
          <w:szCs w:val="20"/>
        </w:rPr>
        <w:t xml:space="preserve"> had not considered it as such</w:t>
      </w:r>
      <w:r w:rsidR="004D1FCF"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vertAlign w:val="superscript"/>
        </w:rPr>
        <w:footnoteReference w:id="280"/>
      </w:r>
    </w:p>
    <w:p w14:paraId="3E1518F3" w14:textId="77777777" w:rsidR="004D1FCF" w:rsidRPr="008A7BD7" w:rsidRDefault="004D1FCF" w:rsidP="004D1FCF">
      <w:pPr>
        <w:ind w:left="720"/>
        <w:jc w:val="both"/>
        <w:rPr>
          <w:rFonts w:ascii="Cambria" w:eastAsia="Cambria" w:hAnsi="Cambria" w:cs="Cambria"/>
          <w:color w:val="000000" w:themeColor="text1"/>
          <w:sz w:val="20"/>
          <w:szCs w:val="20"/>
        </w:rPr>
      </w:pPr>
    </w:p>
    <w:p w14:paraId="3146D18E" w14:textId="3F02B46C" w:rsidR="004D1FCF" w:rsidRPr="008A7BD7" w:rsidRDefault="00ED06B6"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In this regard, the IACHR has indicated that States should contribute to the prevention and elimination of irregular migration, bearing in mind that irregular migration increases the vulnerability of migrants and persons subject to international protection, putting their lives, dignity, and security at risk.</w:t>
      </w:r>
      <w:r w:rsidR="004D1FCF" w:rsidRPr="008A7BD7">
        <w:rPr>
          <w:rFonts w:ascii="Cambria" w:eastAsia="Cambria" w:hAnsi="Cambria" w:cs="Cambria"/>
          <w:color w:val="000000" w:themeColor="text1"/>
          <w:sz w:val="20"/>
          <w:szCs w:val="20"/>
          <w:vertAlign w:val="superscript"/>
        </w:rPr>
        <w:footnoteReference w:id="281"/>
      </w:r>
    </w:p>
    <w:p w14:paraId="04E1F88D" w14:textId="77777777" w:rsidR="004D1FCF" w:rsidRPr="008A7BD7" w:rsidRDefault="004D1FCF" w:rsidP="004D1FCF">
      <w:pPr>
        <w:pStyle w:val="ListParagraph"/>
        <w:rPr>
          <w:rFonts w:ascii="Cambria" w:eastAsia="Cambria" w:hAnsi="Cambria" w:cs="Cambria"/>
          <w:color w:val="000000" w:themeColor="text1"/>
          <w:sz w:val="20"/>
          <w:szCs w:val="20"/>
        </w:rPr>
      </w:pPr>
    </w:p>
    <w:p w14:paraId="6F2CDBDA" w14:textId="6C160AF4" w:rsidR="004D1FCF" w:rsidRPr="008A7BD7" w:rsidRDefault="00AA4D70"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In terms of </w:t>
      </w:r>
      <w:r w:rsidR="00960162" w:rsidRPr="008A7BD7">
        <w:rPr>
          <w:rFonts w:ascii="Cambria" w:eastAsia="Cambria" w:hAnsi="Cambria" w:cs="Cambria"/>
          <w:color w:val="000000" w:themeColor="text1"/>
          <w:sz w:val="20"/>
          <w:szCs w:val="20"/>
        </w:rPr>
        <w:t>migrants</w:t>
      </w:r>
      <w:r w:rsidRPr="008A7BD7">
        <w:rPr>
          <w:rFonts w:ascii="Cambria" w:eastAsia="Cambria" w:hAnsi="Cambria" w:cs="Cambria"/>
          <w:color w:val="000000" w:themeColor="text1"/>
          <w:sz w:val="20"/>
          <w:szCs w:val="20"/>
        </w:rPr>
        <w:t xml:space="preserve"> in transit, in a press release on January </w:t>
      </w:r>
      <w:r w:rsidR="004D1FCF" w:rsidRPr="008A7BD7">
        <w:rPr>
          <w:rFonts w:ascii="Cambria" w:eastAsia="Cambria" w:hAnsi="Cambria" w:cs="Cambria"/>
          <w:color w:val="000000" w:themeColor="text1"/>
          <w:sz w:val="20"/>
          <w:szCs w:val="20"/>
        </w:rPr>
        <w:t>28</w:t>
      </w:r>
      <w:r w:rsidRPr="008A7BD7">
        <w:rPr>
          <w:rFonts w:ascii="Cambria" w:eastAsia="Cambria" w:hAnsi="Cambria" w:cs="Cambria"/>
          <w:color w:val="000000" w:themeColor="text1"/>
          <w:sz w:val="20"/>
          <w:szCs w:val="20"/>
        </w:rPr>
        <w:t xml:space="preserve">, </w:t>
      </w:r>
      <w:r w:rsidR="004D1FCF" w:rsidRPr="008A7BD7">
        <w:rPr>
          <w:rFonts w:ascii="Cambria" w:eastAsia="Cambria" w:hAnsi="Cambria" w:cs="Cambria"/>
          <w:color w:val="000000" w:themeColor="text1"/>
          <w:sz w:val="20"/>
          <w:szCs w:val="20"/>
        </w:rPr>
        <w:t>2021</w:t>
      </w:r>
      <w:r w:rsidRPr="008A7BD7">
        <w:rPr>
          <w:rFonts w:ascii="Cambria" w:eastAsia="Cambria" w:hAnsi="Cambria" w:cs="Cambria"/>
          <w:color w:val="000000" w:themeColor="text1"/>
          <w:sz w:val="20"/>
          <w:szCs w:val="20"/>
        </w:rPr>
        <w:t xml:space="preserve">, the Commission condemned the excessive use of force by members of the Guatemalan police and army against </w:t>
      </w:r>
      <w:r w:rsidR="007037E0" w:rsidRPr="008A7BD7">
        <w:rPr>
          <w:rFonts w:ascii="Cambria" w:eastAsia="Cambria" w:hAnsi="Cambria" w:cs="Cambria"/>
          <w:color w:val="000000" w:themeColor="text1"/>
          <w:sz w:val="20"/>
          <w:szCs w:val="20"/>
        </w:rPr>
        <w:t>a</w:t>
      </w:r>
      <w:r w:rsidRPr="008A7BD7">
        <w:rPr>
          <w:rFonts w:ascii="Cambria" w:eastAsia="Cambria" w:hAnsi="Cambria" w:cs="Cambria"/>
          <w:color w:val="000000" w:themeColor="text1"/>
          <w:sz w:val="20"/>
          <w:szCs w:val="20"/>
        </w:rPr>
        <w:t xml:space="preserve"> caravan of migrants from Honduras during operations carried out </w:t>
      </w:r>
      <w:r w:rsidR="007037E0" w:rsidRPr="008A7BD7">
        <w:rPr>
          <w:rFonts w:ascii="Cambria" w:eastAsia="Cambria" w:hAnsi="Cambria" w:cs="Cambria"/>
          <w:color w:val="000000" w:themeColor="text1"/>
          <w:sz w:val="20"/>
          <w:szCs w:val="20"/>
        </w:rPr>
        <w:t xml:space="preserve">on </w:t>
      </w:r>
      <w:r w:rsidRPr="008A7BD7">
        <w:rPr>
          <w:rFonts w:ascii="Cambria" w:eastAsia="Cambria" w:hAnsi="Cambria" w:cs="Cambria"/>
          <w:color w:val="000000" w:themeColor="text1"/>
          <w:sz w:val="20"/>
          <w:szCs w:val="20"/>
        </w:rPr>
        <w:t xml:space="preserve">January </w:t>
      </w:r>
      <w:r w:rsidR="004D1FCF" w:rsidRPr="008A7BD7">
        <w:rPr>
          <w:rFonts w:ascii="Cambria" w:eastAsia="Cambria" w:hAnsi="Cambria" w:cs="Cambria"/>
          <w:color w:val="000000" w:themeColor="text1"/>
          <w:sz w:val="20"/>
          <w:szCs w:val="20"/>
        </w:rPr>
        <w:t xml:space="preserve">17 </w:t>
      </w:r>
      <w:r w:rsidRPr="008A7BD7">
        <w:rPr>
          <w:rFonts w:ascii="Cambria" w:eastAsia="Cambria" w:hAnsi="Cambria" w:cs="Cambria"/>
          <w:color w:val="000000" w:themeColor="text1"/>
          <w:sz w:val="20"/>
          <w:szCs w:val="20"/>
        </w:rPr>
        <w:t>and</w:t>
      </w:r>
      <w:r w:rsidR="004D1FCF" w:rsidRPr="008A7BD7">
        <w:rPr>
          <w:rFonts w:ascii="Cambria" w:eastAsia="Cambria" w:hAnsi="Cambria" w:cs="Cambria"/>
          <w:color w:val="000000" w:themeColor="text1"/>
          <w:sz w:val="20"/>
          <w:szCs w:val="20"/>
        </w:rPr>
        <w:t xml:space="preserve"> 18</w:t>
      </w:r>
      <w:r w:rsidRPr="008A7BD7">
        <w:rPr>
          <w:rFonts w:ascii="Cambria" w:eastAsia="Cambria" w:hAnsi="Cambria" w:cs="Cambria"/>
          <w:color w:val="000000" w:themeColor="text1"/>
          <w:sz w:val="20"/>
          <w:szCs w:val="20"/>
        </w:rPr>
        <w:t xml:space="preserve">. According to the information the Commission received, law enforcement and </w:t>
      </w:r>
      <w:r w:rsidR="000F793D" w:rsidRPr="008A7BD7">
        <w:rPr>
          <w:rFonts w:ascii="Cambria" w:eastAsia="Cambria" w:hAnsi="Cambria" w:cs="Cambria"/>
          <w:color w:val="000000" w:themeColor="text1"/>
          <w:sz w:val="20"/>
          <w:szCs w:val="20"/>
        </w:rPr>
        <w:t xml:space="preserve">soldiers beat migrants with sticks and used </w:t>
      </w:r>
      <w:r w:rsidRPr="008A7BD7">
        <w:rPr>
          <w:rFonts w:ascii="Cambria" w:eastAsia="Cambria" w:hAnsi="Cambria" w:cs="Cambria"/>
          <w:color w:val="000000" w:themeColor="text1"/>
          <w:sz w:val="20"/>
          <w:szCs w:val="20"/>
        </w:rPr>
        <w:t xml:space="preserve">tear gas </w:t>
      </w:r>
      <w:r w:rsidR="000F793D" w:rsidRPr="008A7BD7">
        <w:rPr>
          <w:rFonts w:ascii="Cambria" w:eastAsia="Cambria" w:hAnsi="Cambria" w:cs="Cambria"/>
          <w:color w:val="000000" w:themeColor="text1"/>
          <w:sz w:val="20"/>
          <w:szCs w:val="20"/>
        </w:rPr>
        <w:t>to disperse and stop the caravan.</w:t>
      </w:r>
      <w:r w:rsidR="004D1FCF" w:rsidRPr="008A7BD7">
        <w:rPr>
          <w:rFonts w:ascii="Cambria" w:eastAsia="Cambria" w:hAnsi="Cambria" w:cs="Cambria"/>
          <w:color w:val="000000" w:themeColor="text1"/>
          <w:sz w:val="20"/>
          <w:szCs w:val="20"/>
        </w:rPr>
        <w:t xml:space="preserve"> </w:t>
      </w:r>
      <w:r w:rsidR="000111EB" w:rsidRPr="008A7BD7">
        <w:rPr>
          <w:rFonts w:ascii="Cambria" w:eastAsia="Cambria" w:hAnsi="Cambria" w:cs="Cambria"/>
          <w:color w:val="000000" w:themeColor="text1"/>
          <w:sz w:val="20"/>
          <w:szCs w:val="20"/>
        </w:rPr>
        <w:t>The Commission also noted with concern that the Guatemalan authorities had returned around 3,000 people to their country of origin, this in a context in which positive coronavirus cases had been identified.</w:t>
      </w:r>
      <w:r w:rsidR="004D1FCF" w:rsidRPr="008A7BD7">
        <w:rPr>
          <w:rFonts w:ascii="Cambria" w:eastAsia="Cambria" w:hAnsi="Cambria" w:cs="Cambria"/>
          <w:color w:val="000000" w:themeColor="text1"/>
          <w:sz w:val="20"/>
          <w:szCs w:val="20"/>
          <w:vertAlign w:val="superscript"/>
        </w:rPr>
        <w:footnoteReference w:id="282"/>
      </w:r>
      <w:r w:rsidR="004D1FCF" w:rsidRPr="008A7BD7">
        <w:rPr>
          <w:rFonts w:ascii="Cambria" w:eastAsia="Cambria" w:hAnsi="Cambria" w:cs="Cambria"/>
          <w:color w:val="000000" w:themeColor="text1"/>
          <w:sz w:val="20"/>
          <w:szCs w:val="20"/>
        </w:rPr>
        <w:t xml:space="preserve"> </w:t>
      </w:r>
      <w:r w:rsidR="00797B41" w:rsidRPr="008A7BD7">
        <w:rPr>
          <w:rFonts w:ascii="Cambria" w:eastAsia="Cambria" w:hAnsi="Cambria" w:cs="Cambria"/>
          <w:color w:val="000000" w:themeColor="text1"/>
          <w:sz w:val="20"/>
          <w:szCs w:val="20"/>
        </w:rPr>
        <w:t xml:space="preserve">Along the same lines, in a press release on April 1, </w:t>
      </w:r>
      <w:r w:rsidR="004D1FCF" w:rsidRPr="008A7BD7">
        <w:rPr>
          <w:rFonts w:ascii="Cambria" w:eastAsia="Cambria" w:hAnsi="Cambria" w:cs="Cambria"/>
          <w:color w:val="000000" w:themeColor="text1"/>
          <w:sz w:val="20"/>
          <w:szCs w:val="20"/>
        </w:rPr>
        <w:t>2021,</w:t>
      </w:r>
      <w:r w:rsidR="00CE2629" w:rsidRPr="008A7BD7">
        <w:rPr>
          <w:rFonts w:ascii="Cambria" w:eastAsia="Cambria" w:hAnsi="Cambria" w:cs="Cambria"/>
          <w:color w:val="000000" w:themeColor="text1"/>
          <w:sz w:val="20"/>
          <w:szCs w:val="20"/>
        </w:rPr>
        <w:t xml:space="preserve"> the Commission noted that days before th</w:t>
      </w:r>
      <w:r w:rsidR="00960162" w:rsidRPr="008A7BD7">
        <w:rPr>
          <w:rFonts w:ascii="Cambria" w:eastAsia="Cambria" w:hAnsi="Cambria" w:cs="Cambria"/>
          <w:color w:val="000000" w:themeColor="text1"/>
          <w:sz w:val="20"/>
          <w:szCs w:val="20"/>
        </w:rPr>
        <w:t>e</w:t>
      </w:r>
      <w:r w:rsidR="00CE2629" w:rsidRPr="008A7BD7">
        <w:rPr>
          <w:rFonts w:ascii="Cambria" w:eastAsia="Cambria" w:hAnsi="Cambria" w:cs="Cambria"/>
          <w:color w:val="000000" w:themeColor="text1"/>
          <w:sz w:val="20"/>
          <w:szCs w:val="20"/>
        </w:rPr>
        <w:t xml:space="preserve"> entry of the migrant caravan</w:t>
      </w:r>
      <w:r w:rsidR="007037E0" w:rsidRPr="008A7BD7">
        <w:rPr>
          <w:rFonts w:ascii="Cambria" w:eastAsia="Cambria" w:hAnsi="Cambria" w:cs="Cambria"/>
          <w:color w:val="000000" w:themeColor="text1"/>
          <w:sz w:val="20"/>
          <w:szCs w:val="20"/>
        </w:rPr>
        <w:t xml:space="preserve"> in question</w:t>
      </w:r>
      <w:r w:rsidR="00CE2629" w:rsidRPr="008A7BD7">
        <w:rPr>
          <w:rFonts w:ascii="Cambria" w:eastAsia="Cambria" w:hAnsi="Cambria" w:cs="Cambria"/>
          <w:color w:val="000000" w:themeColor="text1"/>
          <w:sz w:val="20"/>
          <w:szCs w:val="20"/>
        </w:rPr>
        <w:t>, the Office of the President adopted Government</w:t>
      </w:r>
      <w:r w:rsidR="007037E0" w:rsidRPr="008A7BD7">
        <w:rPr>
          <w:rFonts w:ascii="Cambria" w:eastAsia="Cambria" w:hAnsi="Cambria" w:cs="Cambria"/>
          <w:color w:val="000000" w:themeColor="text1"/>
          <w:sz w:val="20"/>
          <w:szCs w:val="20"/>
        </w:rPr>
        <w:t>al</w:t>
      </w:r>
      <w:r w:rsidR="00CE2629" w:rsidRPr="008A7BD7">
        <w:rPr>
          <w:rFonts w:ascii="Cambria" w:eastAsia="Cambria" w:hAnsi="Cambria" w:cs="Cambria"/>
          <w:color w:val="000000" w:themeColor="text1"/>
          <w:sz w:val="20"/>
          <w:szCs w:val="20"/>
        </w:rPr>
        <w:t xml:space="preserve"> Decree No. </w:t>
      </w:r>
      <w:r w:rsidR="004D1FCF" w:rsidRPr="008A7BD7">
        <w:rPr>
          <w:rFonts w:ascii="Cambria" w:eastAsia="Cambria" w:hAnsi="Cambria" w:cs="Cambria"/>
          <w:color w:val="000000" w:themeColor="text1"/>
          <w:sz w:val="20"/>
          <w:szCs w:val="20"/>
        </w:rPr>
        <w:t>1-</w:t>
      </w:r>
      <w:r w:rsidR="004D1FCF" w:rsidRPr="008A7BD7">
        <w:rPr>
          <w:rFonts w:ascii="Cambria" w:eastAsia="Cambria" w:hAnsi="Cambria" w:cs="Cambria"/>
          <w:color w:val="000000" w:themeColor="text1"/>
          <w:sz w:val="20"/>
          <w:szCs w:val="20"/>
        </w:rPr>
        <w:lastRenderedPageBreak/>
        <w:t>2021</w:t>
      </w:r>
      <w:r w:rsidR="00CE2629" w:rsidRPr="008A7BD7">
        <w:rPr>
          <w:rFonts w:ascii="Cambria" w:eastAsia="Cambria" w:hAnsi="Cambria" w:cs="Cambria"/>
          <w:color w:val="000000" w:themeColor="text1"/>
          <w:sz w:val="20"/>
          <w:szCs w:val="20"/>
        </w:rPr>
        <w:t xml:space="preserve"> authorizing the use of force to break up any unauthorized meetings, gatherings of people, or demonstrations in municipalities near the border with Honduras. It also noted that these types of decrees had been adopted before the </w:t>
      </w:r>
      <w:r w:rsidR="00C31348" w:rsidRPr="008A7BD7">
        <w:rPr>
          <w:rFonts w:ascii="Cambria" w:eastAsia="Cambria" w:hAnsi="Cambria" w:cs="Cambria"/>
          <w:color w:val="000000" w:themeColor="text1"/>
          <w:sz w:val="20"/>
          <w:szCs w:val="20"/>
        </w:rPr>
        <w:t xml:space="preserve">advent of the </w:t>
      </w:r>
      <w:r w:rsidR="00CE2629" w:rsidRPr="008A7BD7">
        <w:rPr>
          <w:rFonts w:ascii="Cambria" w:eastAsia="Cambria" w:hAnsi="Cambria" w:cs="Cambria"/>
          <w:color w:val="000000" w:themeColor="text1"/>
          <w:sz w:val="20"/>
          <w:szCs w:val="20"/>
        </w:rPr>
        <w:t>latest mixed, large-scale migration movements.</w:t>
      </w:r>
      <w:r w:rsidR="004D1FCF" w:rsidRPr="008A7BD7">
        <w:rPr>
          <w:rFonts w:ascii="Cambria" w:eastAsia="Cambria" w:hAnsi="Cambria" w:cs="Cambria"/>
          <w:color w:val="000000" w:themeColor="text1"/>
          <w:sz w:val="20"/>
          <w:szCs w:val="20"/>
          <w:vertAlign w:val="superscript"/>
        </w:rPr>
        <w:footnoteReference w:id="283"/>
      </w:r>
    </w:p>
    <w:p w14:paraId="0688F16F" w14:textId="77777777" w:rsidR="004D1FCF" w:rsidRPr="008A7BD7" w:rsidRDefault="004D1FCF" w:rsidP="004D1FCF">
      <w:pPr>
        <w:ind w:left="720"/>
        <w:jc w:val="both"/>
        <w:rPr>
          <w:rFonts w:ascii="Cambria" w:eastAsia="Cambria" w:hAnsi="Cambria" w:cs="Cambria"/>
          <w:color w:val="000000" w:themeColor="text1"/>
          <w:sz w:val="20"/>
          <w:szCs w:val="20"/>
        </w:rPr>
      </w:pPr>
    </w:p>
    <w:p w14:paraId="26FB1CE1" w14:textId="5109B4E1" w:rsidR="004D1FCF" w:rsidRPr="008A7BD7" w:rsidRDefault="0004164E"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In this context, the IACHR </w:t>
      </w:r>
      <w:r w:rsidR="00A6047E" w:rsidRPr="008A7BD7">
        <w:rPr>
          <w:rFonts w:ascii="Cambria" w:eastAsia="Cambria" w:hAnsi="Cambria" w:cs="Cambria"/>
          <w:color w:val="000000" w:themeColor="text1"/>
          <w:sz w:val="20"/>
          <w:szCs w:val="20"/>
        </w:rPr>
        <w:t>highlighted</w:t>
      </w:r>
      <w:r w:rsidRPr="008A7BD7">
        <w:rPr>
          <w:rFonts w:ascii="Cambria" w:eastAsia="Cambria" w:hAnsi="Cambria" w:cs="Cambria"/>
          <w:color w:val="000000" w:themeColor="text1"/>
          <w:sz w:val="20"/>
          <w:szCs w:val="20"/>
        </w:rPr>
        <w:t xml:space="preserve"> the complexity of the issue of human mobility and the challenges that States</w:t>
      </w:r>
      <w:r w:rsidR="00765F9E" w:rsidRPr="008A7BD7">
        <w:rPr>
          <w:rFonts w:ascii="Cambria" w:eastAsia="Cambria" w:hAnsi="Cambria" w:cs="Cambria"/>
          <w:color w:val="000000" w:themeColor="text1"/>
          <w:sz w:val="20"/>
          <w:szCs w:val="20"/>
        </w:rPr>
        <w:t xml:space="preserve"> face in finding adequate solutions for handling this population, in accordance with inter-American standards </w:t>
      </w:r>
      <w:r w:rsidR="00A1389C" w:rsidRPr="008A7BD7">
        <w:rPr>
          <w:rFonts w:ascii="Cambria" w:eastAsia="Cambria" w:hAnsi="Cambria" w:cs="Cambria"/>
          <w:color w:val="000000" w:themeColor="text1"/>
          <w:sz w:val="20"/>
          <w:szCs w:val="20"/>
        </w:rPr>
        <w:t>o</w:t>
      </w:r>
      <w:r w:rsidR="00765F9E" w:rsidRPr="008A7BD7">
        <w:rPr>
          <w:rFonts w:ascii="Cambria" w:eastAsia="Cambria" w:hAnsi="Cambria" w:cs="Cambria"/>
          <w:color w:val="000000" w:themeColor="text1"/>
          <w:sz w:val="20"/>
          <w:szCs w:val="20"/>
        </w:rPr>
        <w:t>n the matter.</w:t>
      </w:r>
      <w:r w:rsidR="004D1FCF" w:rsidRPr="008A7BD7">
        <w:rPr>
          <w:rFonts w:ascii="Cambria" w:eastAsia="Cambria" w:hAnsi="Cambria" w:cs="Cambria"/>
          <w:color w:val="000000" w:themeColor="text1"/>
          <w:sz w:val="20"/>
          <w:szCs w:val="20"/>
          <w:vertAlign w:val="superscript"/>
        </w:rPr>
        <w:footnoteReference w:id="284"/>
      </w:r>
      <w:r w:rsidR="004D1FCF" w:rsidRPr="008A7BD7">
        <w:rPr>
          <w:rFonts w:ascii="Cambria" w:eastAsia="Cambria" w:hAnsi="Cambria" w:cs="Cambria"/>
          <w:color w:val="000000" w:themeColor="text1"/>
          <w:sz w:val="20"/>
          <w:szCs w:val="20"/>
        </w:rPr>
        <w:t xml:space="preserve"> </w:t>
      </w:r>
      <w:r w:rsidR="00765F9E" w:rsidRPr="008A7BD7">
        <w:rPr>
          <w:rFonts w:ascii="Cambria" w:eastAsia="Cambria" w:hAnsi="Cambria" w:cs="Cambria"/>
          <w:color w:val="000000" w:themeColor="text1"/>
          <w:sz w:val="20"/>
          <w:szCs w:val="20"/>
        </w:rPr>
        <w:t xml:space="preserve">The Commission also </w:t>
      </w:r>
      <w:r w:rsidR="00A6047E" w:rsidRPr="008A7BD7">
        <w:rPr>
          <w:rFonts w:ascii="Cambria" w:eastAsia="Cambria" w:hAnsi="Cambria" w:cs="Cambria"/>
          <w:color w:val="000000" w:themeColor="text1"/>
          <w:sz w:val="20"/>
          <w:szCs w:val="20"/>
        </w:rPr>
        <w:t>reiterated the need to adopt structural, well-coordinated response measures based on the comprehensive protection of human rights and on differentiated, intersectional approaches that comply with the obligation to prevent violations of the human rights of the affected individuals.</w:t>
      </w:r>
      <w:r w:rsidR="004D1FCF" w:rsidRPr="008A7BD7">
        <w:rPr>
          <w:rFonts w:ascii="Cambria" w:eastAsia="Cambria" w:hAnsi="Cambria" w:cs="Cambria"/>
          <w:color w:val="000000" w:themeColor="text1"/>
          <w:sz w:val="20"/>
          <w:szCs w:val="20"/>
          <w:vertAlign w:val="superscript"/>
        </w:rPr>
        <w:footnoteReference w:id="285"/>
      </w:r>
    </w:p>
    <w:p w14:paraId="751324FE" w14:textId="77777777" w:rsidR="004D1FCF" w:rsidRPr="008A7BD7" w:rsidRDefault="004D1FCF" w:rsidP="004D1FCF">
      <w:pPr>
        <w:pStyle w:val="ListParagraph"/>
        <w:rPr>
          <w:rFonts w:ascii="Cambria" w:eastAsia="Cambria" w:hAnsi="Cambria" w:cs="Cambria"/>
          <w:color w:val="000000" w:themeColor="text1"/>
          <w:sz w:val="20"/>
          <w:szCs w:val="20"/>
        </w:rPr>
      </w:pPr>
    </w:p>
    <w:p w14:paraId="0A8F9FC2" w14:textId="11B25A2C" w:rsidR="004D1FCF" w:rsidRPr="008A7BD7" w:rsidRDefault="00FF7E39"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Meanwhile, the IACHR has observed an increase in the number of </w:t>
      </w:r>
      <w:r w:rsidR="006B26B9" w:rsidRPr="008A7BD7">
        <w:rPr>
          <w:rFonts w:ascii="Cambria" w:eastAsia="Cambria" w:hAnsi="Cambria" w:cs="Cambria"/>
          <w:color w:val="000000" w:themeColor="text1"/>
          <w:sz w:val="20"/>
          <w:szCs w:val="20"/>
        </w:rPr>
        <w:t>people seeking</w:t>
      </w:r>
      <w:r w:rsidRPr="008A7BD7">
        <w:rPr>
          <w:rFonts w:ascii="Cambria" w:eastAsia="Cambria" w:hAnsi="Cambria" w:cs="Cambria"/>
          <w:color w:val="000000" w:themeColor="text1"/>
          <w:sz w:val="20"/>
          <w:szCs w:val="20"/>
        </w:rPr>
        <w:t xml:space="preserve"> asylum or protection in </w:t>
      </w:r>
      <w:r w:rsidR="004D1FCF" w:rsidRPr="008A7BD7">
        <w:rPr>
          <w:rFonts w:ascii="Cambria" w:eastAsia="Cambria" w:hAnsi="Cambria" w:cs="Cambria"/>
          <w:color w:val="000000" w:themeColor="text1"/>
          <w:sz w:val="20"/>
          <w:szCs w:val="20"/>
        </w:rPr>
        <w:t>Guatemala</w:t>
      </w:r>
      <w:r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vertAlign w:val="superscript"/>
        </w:rPr>
        <w:footnoteReference w:id="286"/>
      </w:r>
      <w:r w:rsidR="004D1FCF" w:rsidRPr="008A7BD7">
        <w:rPr>
          <w:rFonts w:ascii="Cambria" w:eastAsia="Cambria" w:hAnsi="Cambria" w:cs="Cambria"/>
          <w:color w:val="000000" w:themeColor="text1"/>
          <w:sz w:val="20"/>
          <w:szCs w:val="20"/>
        </w:rPr>
        <w:t xml:space="preserve"> </w:t>
      </w:r>
      <w:r w:rsidR="00A77332" w:rsidRPr="008A7BD7">
        <w:rPr>
          <w:rFonts w:ascii="Cambria" w:eastAsia="Cambria" w:hAnsi="Cambria" w:cs="Cambria"/>
          <w:color w:val="000000" w:themeColor="text1"/>
          <w:sz w:val="20"/>
          <w:szCs w:val="20"/>
        </w:rPr>
        <w:t>This could be related to the implementation of regional agreements that</w:t>
      </w:r>
      <w:r w:rsidR="00560307" w:rsidRPr="008A7BD7">
        <w:rPr>
          <w:rFonts w:ascii="Cambria" w:eastAsia="Cambria" w:hAnsi="Cambria" w:cs="Cambria"/>
          <w:color w:val="000000" w:themeColor="text1"/>
          <w:sz w:val="20"/>
          <w:szCs w:val="20"/>
        </w:rPr>
        <w:t xml:space="preserve"> </w:t>
      </w:r>
      <w:r w:rsidR="00377E73" w:rsidRPr="008A7BD7">
        <w:rPr>
          <w:rFonts w:ascii="Cambria" w:eastAsia="Cambria" w:hAnsi="Cambria" w:cs="Cambria"/>
          <w:color w:val="000000" w:themeColor="text1"/>
          <w:sz w:val="20"/>
          <w:szCs w:val="20"/>
        </w:rPr>
        <w:t>send back to Guatemala people who may</w:t>
      </w:r>
      <w:r w:rsidR="00560307" w:rsidRPr="008A7BD7">
        <w:rPr>
          <w:rFonts w:ascii="Cambria" w:eastAsia="Cambria" w:hAnsi="Cambria" w:cs="Cambria"/>
          <w:color w:val="000000" w:themeColor="text1"/>
          <w:sz w:val="20"/>
          <w:szCs w:val="20"/>
        </w:rPr>
        <w:t xml:space="preserve"> need international protection.</w:t>
      </w:r>
      <w:r w:rsidR="004D1FCF" w:rsidRPr="008A7BD7">
        <w:rPr>
          <w:rFonts w:ascii="Cambria" w:eastAsia="Cambria" w:hAnsi="Cambria" w:cs="Cambria"/>
          <w:color w:val="000000" w:themeColor="text1"/>
          <w:sz w:val="20"/>
          <w:szCs w:val="20"/>
          <w:vertAlign w:val="superscript"/>
        </w:rPr>
        <w:footnoteReference w:id="287"/>
      </w:r>
      <w:r w:rsidR="004D1FCF" w:rsidRPr="008A7BD7">
        <w:rPr>
          <w:rFonts w:ascii="Cambria" w:eastAsia="Cambria" w:hAnsi="Cambria" w:cs="Cambria"/>
          <w:color w:val="000000" w:themeColor="text1"/>
          <w:sz w:val="20"/>
          <w:szCs w:val="20"/>
        </w:rPr>
        <w:t xml:space="preserve"> </w:t>
      </w:r>
      <w:r w:rsidR="00560307" w:rsidRPr="008A7BD7">
        <w:rPr>
          <w:rFonts w:ascii="Cambria" w:eastAsia="Cambria" w:hAnsi="Cambria" w:cs="Cambria"/>
          <w:color w:val="000000" w:themeColor="text1"/>
          <w:sz w:val="20"/>
          <w:szCs w:val="20"/>
        </w:rPr>
        <w:t xml:space="preserve">The most current statistics from the Guatemalan Institute for </w:t>
      </w:r>
      <w:r w:rsidR="007037E0" w:rsidRPr="008A7BD7">
        <w:rPr>
          <w:rFonts w:ascii="Cambria" w:eastAsia="Cambria" w:hAnsi="Cambria" w:cs="Cambria"/>
          <w:color w:val="000000" w:themeColor="text1"/>
          <w:sz w:val="20"/>
          <w:szCs w:val="20"/>
        </w:rPr>
        <w:t xml:space="preserve">Migration </w:t>
      </w:r>
      <w:r w:rsidR="004D1FCF" w:rsidRPr="008A7BD7">
        <w:rPr>
          <w:rFonts w:ascii="Cambria" w:eastAsia="Cambria" w:hAnsi="Cambria" w:cs="Cambria"/>
          <w:color w:val="000000" w:themeColor="text1"/>
          <w:sz w:val="20"/>
          <w:szCs w:val="20"/>
        </w:rPr>
        <w:t xml:space="preserve">(IGM) </w:t>
      </w:r>
      <w:r w:rsidR="00560307" w:rsidRPr="008A7BD7">
        <w:rPr>
          <w:rFonts w:ascii="Cambria" w:eastAsia="Cambria" w:hAnsi="Cambria" w:cs="Cambria"/>
          <w:color w:val="000000" w:themeColor="text1"/>
          <w:sz w:val="20"/>
          <w:szCs w:val="20"/>
        </w:rPr>
        <w:t xml:space="preserve">indicate that </w:t>
      </w:r>
      <w:r w:rsidR="004E56A0" w:rsidRPr="008A7BD7">
        <w:rPr>
          <w:rFonts w:ascii="Cambria" w:eastAsia="Cambria" w:hAnsi="Cambria" w:cs="Cambria"/>
          <w:color w:val="000000" w:themeColor="text1"/>
          <w:sz w:val="20"/>
          <w:szCs w:val="20"/>
        </w:rPr>
        <w:t xml:space="preserve">393 applications for recognition of refugee status were received </w:t>
      </w:r>
      <w:r w:rsidR="00560307" w:rsidRPr="008A7BD7">
        <w:rPr>
          <w:rFonts w:ascii="Cambria" w:eastAsia="Cambria" w:hAnsi="Cambria" w:cs="Cambria"/>
          <w:color w:val="000000" w:themeColor="text1"/>
          <w:sz w:val="20"/>
          <w:szCs w:val="20"/>
        </w:rPr>
        <w:t xml:space="preserve">from January through May </w:t>
      </w:r>
      <w:r w:rsidR="004D1FCF" w:rsidRPr="008A7BD7">
        <w:rPr>
          <w:rFonts w:ascii="Cambria" w:eastAsia="Cambria" w:hAnsi="Cambria" w:cs="Cambria"/>
          <w:color w:val="000000" w:themeColor="text1"/>
          <w:sz w:val="20"/>
          <w:szCs w:val="20"/>
        </w:rPr>
        <w:t xml:space="preserve">2021. </w:t>
      </w:r>
      <w:r w:rsidR="00560307" w:rsidRPr="008A7BD7">
        <w:rPr>
          <w:rFonts w:ascii="Cambria" w:eastAsia="Cambria" w:hAnsi="Cambria" w:cs="Cambria"/>
          <w:color w:val="000000" w:themeColor="text1"/>
          <w:sz w:val="20"/>
          <w:szCs w:val="20"/>
        </w:rPr>
        <w:t xml:space="preserve">However, only </w:t>
      </w:r>
      <w:r w:rsidR="004D1FCF" w:rsidRPr="008A7BD7">
        <w:rPr>
          <w:rFonts w:ascii="Cambria" w:eastAsia="Cambria" w:hAnsi="Cambria" w:cs="Cambria"/>
          <w:color w:val="000000" w:themeColor="text1"/>
          <w:sz w:val="20"/>
          <w:szCs w:val="20"/>
        </w:rPr>
        <w:t xml:space="preserve">29 </w:t>
      </w:r>
      <w:r w:rsidR="00560307" w:rsidRPr="008A7BD7">
        <w:rPr>
          <w:rFonts w:ascii="Cambria" w:eastAsia="Cambria" w:hAnsi="Cambria" w:cs="Cambria"/>
          <w:color w:val="000000" w:themeColor="text1"/>
          <w:sz w:val="20"/>
          <w:szCs w:val="20"/>
        </w:rPr>
        <w:t xml:space="preserve">people </w:t>
      </w:r>
      <w:r w:rsidR="00815BC3" w:rsidRPr="008A7BD7">
        <w:rPr>
          <w:rFonts w:ascii="Cambria" w:eastAsia="Cambria" w:hAnsi="Cambria" w:cs="Cambria"/>
          <w:color w:val="000000" w:themeColor="text1"/>
          <w:sz w:val="20"/>
          <w:szCs w:val="20"/>
        </w:rPr>
        <w:t>were reportedly recognized as refugees during that same period.</w:t>
      </w:r>
      <w:r w:rsidR="004D1FCF" w:rsidRPr="008A7BD7">
        <w:rPr>
          <w:rFonts w:ascii="Cambria" w:eastAsia="Cambria" w:hAnsi="Cambria" w:cs="Cambria"/>
          <w:color w:val="000000" w:themeColor="text1"/>
          <w:sz w:val="20"/>
          <w:szCs w:val="20"/>
          <w:vertAlign w:val="superscript"/>
        </w:rPr>
        <w:footnoteReference w:id="288"/>
      </w:r>
      <w:r w:rsidR="004D1FCF" w:rsidRPr="008A7BD7">
        <w:rPr>
          <w:rFonts w:ascii="Cambria" w:eastAsia="Cambria" w:hAnsi="Cambria" w:cs="Cambria"/>
          <w:color w:val="000000" w:themeColor="text1"/>
          <w:sz w:val="20"/>
          <w:szCs w:val="20"/>
        </w:rPr>
        <w:t xml:space="preserve"> </w:t>
      </w:r>
      <w:r w:rsidR="00815BC3" w:rsidRPr="008A7BD7">
        <w:rPr>
          <w:rFonts w:ascii="Cambria" w:eastAsia="Cambria" w:hAnsi="Cambria" w:cs="Cambria"/>
          <w:color w:val="000000" w:themeColor="text1"/>
          <w:sz w:val="20"/>
          <w:szCs w:val="20"/>
        </w:rPr>
        <w:t xml:space="preserve">The number of people requesting asylum in </w:t>
      </w:r>
      <w:r w:rsidR="004D1FCF" w:rsidRPr="008A7BD7">
        <w:rPr>
          <w:rFonts w:ascii="Cambria" w:eastAsia="Cambria" w:hAnsi="Cambria" w:cs="Cambria"/>
          <w:color w:val="000000" w:themeColor="text1"/>
          <w:sz w:val="20"/>
          <w:szCs w:val="20"/>
        </w:rPr>
        <w:t>Guatemala</w:t>
      </w:r>
      <w:r w:rsidR="00815BC3" w:rsidRPr="008A7BD7">
        <w:rPr>
          <w:rFonts w:ascii="Cambria" w:eastAsia="Cambria" w:hAnsi="Cambria" w:cs="Cambria"/>
          <w:color w:val="000000" w:themeColor="text1"/>
          <w:sz w:val="20"/>
          <w:szCs w:val="20"/>
        </w:rPr>
        <w:t xml:space="preserve"> </w:t>
      </w:r>
      <w:r w:rsidR="00377E73" w:rsidRPr="008A7BD7">
        <w:rPr>
          <w:rFonts w:ascii="Cambria" w:eastAsia="Cambria" w:hAnsi="Cambria" w:cs="Cambria"/>
          <w:color w:val="000000" w:themeColor="text1"/>
          <w:sz w:val="20"/>
          <w:szCs w:val="20"/>
        </w:rPr>
        <w:t xml:space="preserve">reportedly </w:t>
      </w:r>
      <w:r w:rsidR="00815BC3" w:rsidRPr="008A7BD7">
        <w:rPr>
          <w:rFonts w:ascii="Cambria" w:eastAsia="Cambria" w:hAnsi="Cambria" w:cs="Cambria"/>
          <w:color w:val="000000" w:themeColor="text1"/>
          <w:sz w:val="20"/>
          <w:szCs w:val="20"/>
        </w:rPr>
        <w:t>increase</w:t>
      </w:r>
      <w:r w:rsidR="00377E73" w:rsidRPr="008A7BD7">
        <w:rPr>
          <w:rFonts w:ascii="Cambria" w:eastAsia="Cambria" w:hAnsi="Cambria" w:cs="Cambria"/>
          <w:color w:val="000000" w:themeColor="text1"/>
          <w:sz w:val="20"/>
          <w:szCs w:val="20"/>
        </w:rPr>
        <w:t>d</w:t>
      </w:r>
      <w:r w:rsidR="00815BC3" w:rsidRPr="008A7BD7">
        <w:rPr>
          <w:rFonts w:ascii="Cambria" w:eastAsia="Cambria" w:hAnsi="Cambria" w:cs="Cambria"/>
          <w:color w:val="000000" w:themeColor="text1"/>
          <w:sz w:val="20"/>
          <w:szCs w:val="20"/>
        </w:rPr>
        <w:t xml:space="preserve"> by </w:t>
      </w:r>
      <w:r w:rsidR="004D1FCF" w:rsidRPr="008A7BD7">
        <w:rPr>
          <w:rFonts w:ascii="Cambria" w:eastAsia="Cambria" w:hAnsi="Cambria" w:cs="Cambria"/>
          <w:color w:val="000000" w:themeColor="text1"/>
          <w:sz w:val="20"/>
          <w:szCs w:val="20"/>
        </w:rPr>
        <w:t xml:space="preserve">97% </w:t>
      </w:r>
      <w:r w:rsidR="00815BC3" w:rsidRPr="008A7BD7">
        <w:rPr>
          <w:rFonts w:ascii="Cambria" w:eastAsia="Cambria" w:hAnsi="Cambria" w:cs="Cambria"/>
          <w:color w:val="000000" w:themeColor="text1"/>
          <w:sz w:val="20"/>
          <w:szCs w:val="20"/>
        </w:rPr>
        <w:t>over the same period in</w:t>
      </w:r>
      <w:r w:rsidR="004D1FCF" w:rsidRPr="008A7BD7">
        <w:rPr>
          <w:rFonts w:ascii="Cambria" w:eastAsia="Cambria" w:hAnsi="Cambria" w:cs="Cambria"/>
          <w:color w:val="000000" w:themeColor="text1"/>
          <w:sz w:val="20"/>
          <w:szCs w:val="20"/>
        </w:rPr>
        <w:t xml:space="preserve"> 2020.</w:t>
      </w:r>
      <w:r w:rsidR="004D1FCF" w:rsidRPr="008A7BD7">
        <w:rPr>
          <w:rFonts w:ascii="Cambria" w:eastAsia="Cambria" w:hAnsi="Cambria" w:cs="Cambria"/>
          <w:color w:val="000000" w:themeColor="text1"/>
          <w:sz w:val="20"/>
          <w:szCs w:val="20"/>
          <w:vertAlign w:val="superscript"/>
        </w:rPr>
        <w:footnoteReference w:id="289"/>
      </w:r>
      <w:r w:rsidR="00F97F2A" w:rsidRPr="008A7BD7">
        <w:rPr>
          <w:rFonts w:ascii="Cambria" w:eastAsia="Cambria" w:hAnsi="Cambria" w:cs="Cambria"/>
          <w:color w:val="000000" w:themeColor="text1"/>
          <w:sz w:val="20"/>
          <w:szCs w:val="20"/>
        </w:rPr>
        <w:t xml:space="preserve"> </w:t>
      </w:r>
      <w:r w:rsidR="00C71412" w:rsidRPr="008A7BD7">
        <w:rPr>
          <w:rFonts w:ascii="Cambria" w:eastAsia="Cambria" w:hAnsi="Cambria" w:cs="Cambria"/>
          <w:color w:val="000000" w:themeColor="text1"/>
          <w:sz w:val="20"/>
          <w:szCs w:val="20"/>
        </w:rPr>
        <w:t xml:space="preserve">In that respect, the State of </w:t>
      </w:r>
      <w:r w:rsidR="00F97F2A" w:rsidRPr="008A7BD7">
        <w:rPr>
          <w:rFonts w:ascii="Cambria" w:eastAsia="Cambria" w:hAnsi="Cambria" w:cs="Cambria"/>
          <w:color w:val="000000" w:themeColor="text1"/>
          <w:sz w:val="20"/>
          <w:szCs w:val="20"/>
        </w:rPr>
        <w:t>Guatemala inform</w:t>
      </w:r>
      <w:r w:rsidR="00C71412" w:rsidRPr="008A7BD7">
        <w:rPr>
          <w:rFonts w:ascii="Cambria" w:eastAsia="Cambria" w:hAnsi="Cambria" w:cs="Cambria"/>
          <w:color w:val="000000" w:themeColor="text1"/>
          <w:sz w:val="20"/>
          <w:szCs w:val="20"/>
        </w:rPr>
        <w:t xml:space="preserve">ed the IACHR that in </w:t>
      </w:r>
      <w:r w:rsidR="00F97F2A" w:rsidRPr="008A7BD7">
        <w:rPr>
          <w:rFonts w:ascii="Cambria" w:eastAsia="Cambria" w:hAnsi="Cambria" w:cs="Cambria"/>
          <w:color w:val="000000" w:themeColor="text1"/>
          <w:sz w:val="20"/>
          <w:szCs w:val="20"/>
        </w:rPr>
        <w:t xml:space="preserve">2021, </w:t>
      </w:r>
      <w:r w:rsidR="00C71412" w:rsidRPr="008A7BD7">
        <w:rPr>
          <w:rFonts w:ascii="Cambria" w:eastAsia="Cambria" w:hAnsi="Cambria" w:cs="Cambria"/>
          <w:color w:val="000000" w:themeColor="text1"/>
          <w:sz w:val="20"/>
          <w:szCs w:val="20"/>
        </w:rPr>
        <w:t xml:space="preserve">the Public Prosecutor’s Office on Children and Adolescents </w:t>
      </w:r>
      <w:r w:rsidR="008075E5" w:rsidRPr="008A7BD7">
        <w:rPr>
          <w:rFonts w:ascii="Cambria" w:eastAsia="Cambria" w:hAnsi="Cambria" w:cs="Cambria"/>
          <w:color w:val="000000" w:themeColor="text1"/>
          <w:sz w:val="20"/>
          <w:szCs w:val="20"/>
        </w:rPr>
        <w:t xml:space="preserve">provided advisory assistance to </w:t>
      </w:r>
      <w:r w:rsidR="00F97F2A" w:rsidRPr="008A7BD7">
        <w:rPr>
          <w:rFonts w:ascii="Cambria" w:eastAsia="Cambria" w:hAnsi="Cambria" w:cs="Cambria"/>
          <w:color w:val="000000" w:themeColor="text1"/>
          <w:sz w:val="20"/>
          <w:szCs w:val="20"/>
        </w:rPr>
        <w:t xml:space="preserve">10 </w:t>
      </w:r>
      <w:r w:rsidR="008075E5" w:rsidRPr="008A7BD7">
        <w:rPr>
          <w:rFonts w:ascii="Cambria" w:eastAsia="Cambria" w:hAnsi="Cambria" w:cs="Cambria"/>
          <w:color w:val="000000" w:themeColor="text1"/>
          <w:sz w:val="20"/>
          <w:szCs w:val="20"/>
        </w:rPr>
        <w:t>children and adolescents seeking refugee status at the Department of Recognition of Refugee Status of the Guatemalan Institute for Migration.</w:t>
      </w:r>
      <w:r w:rsidR="00F97F2A" w:rsidRPr="008A7BD7">
        <w:rPr>
          <w:rStyle w:val="FootnoteReference"/>
          <w:rFonts w:ascii="Cambria" w:eastAsia="Cambria" w:hAnsi="Cambria" w:cs="Cambria"/>
          <w:color w:val="000000" w:themeColor="text1"/>
          <w:sz w:val="20"/>
          <w:szCs w:val="20"/>
          <w:lang w:val="es-US"/>
        </w:rPr>
        <w:footnoteReference w:id="290"/>
      </w:r>
    </w:p>
    <w:p w14:paraId="74300651" w14:textId="77777777" w:rsidR="004D1FCF" w:rsidRPr="008A7BD7" w:rsidRDefault="004D1FCF" w:rsidP="004D1FCF">
      <w:pPr>
        <w:pStyle w:val="ListParagraph"/>
        <w:rPr>
          <w:rFonts w:ascii="Cambria" w:eastAsia="Cambria" w:hAnsi="Cambria" w:cs="Cambria"/>
          <w:color w:val="000000" w:themeColor="text1"/>
          <w:sz w:val="20"/>
          <w:szCs w:val="20"/>
        </w:rPr>
      </w:pPr>
    </w:p>
    <w:p w14:paraId="42F09BE9" w14:textId="48474474" w:rsidR="004D1FCF" w:rsidRPr="008A7BD7" w:rsidRDefault="005C005A"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With respect to procedures for refugee applications, the IACHR </w:t>
      </w:r>
      <w:r w:rsidR="00E01F30" w:rsidRPr="008A7BD7">
        <w:rPr>
          <w:rFonts w:ascii="Cambria" w:eastAsia="Cambria" w:hAnsi="Cambria" w:cs="Cambria"/>
          <w:color w:val="000000" w:themeColor="text1"/>
          <w:sz w:val="20"/>
          <w:szCs w:val="20"/>
        </w:rPr>
        <w:t xml:space="preserve">has </w:t>
      </w:r>
      <w:r w:rsidRPr="008A7BD7">
        <w:rPr>
          <w:rFonts w:ascii="Cambria" w:eastAsia="Cambria" w:hAnsi="Cambria" w:cs="Cambria"/>
          <w:color w:val="000000" w:themeColor="text1"/>
          <w:sz w:val="20"/>
          <w:szCs w:val="20"/>
        </w:rPr>
        <w:t>recommend</w:t>
      </w:r>
      <w:r w:rsidR="00E01F30" w:rsidRPr="008A7BD7">
        <w:rPr>
          <w:rFonts w:ascii="Cambria" w:eastAsia="Cambria" w:hAnsi="Cambria" w:cs="Cambria"/>
          <w:color w:val="000000" w:themeColor="text1"/>
          <w:sz w:val="20"/>
          <w:szCs w:val="20"/>
        </w:rPr>
        <w:t>ed</w:t>
      </w:r>
      <w:r w:rsidRPr="008A7BD7">
        <w:rPr>
          <w:rFonts w:ascii="Cambria" w:eastAsia="Cambria" w:hAnsi="Cambria" w:cs="Cambria"/>
          <w:color w:val="000000" w:themeColor="text1"/>
          <w:sz w:val="20"/>
          <w:szCs w:val="20"/>
        </w:rPr>
        <w:t xml:space="preserve"> that States </w:t>
      </w:r>
      <w:r w:rsidR="009C4ACD" w:rsidRPr="008A7BD7">
        <w:rPr>
          <w:rFonts w:ascii="Cambria" w:eastAsia="Cambria" w:hAnsi="Cambria" w:cs="Cambria"/>
          <w:color w:val="000000" w:themeColor="text1"/>
          <w:sz w:val="20"/>
          <w:szCs w:val="20"/>
        </w:rPr>
        <w:t>should</w:t>
      </w:r>
      <w:r w:rsidRPr="008A7BD7">
        <w:rPr>
          <w:rFonts w:ascii="Cambria" w:eastAsia="Cambria" w:hAnsi="Cambria" w:cs="Cambria"/>
          <w:color w:val="000000" w:themeColor="text1"/>
          <w:sz w:val="20"/>
          <w:szCs w:val="20"/>
        </w:rPr>
        <w:t>, among other</w:t>
      </w:r>
      <w:r w:rsidR="009C4ACD" w:rsidRPr="008A7BD7">
        <w:rPr>
          <w:rFonts w:ascii="Cambria" w:eastAsia="Cambria" w:hAnsi="Cambria" w:cs="Cambria"/>
          <w:color w:val="000000" w:themeColor="text1"/>
          <w:sz w:val="20"/>
          <w:szCs w:val="20"/>
        </w:rPr>
        <w:t xml:space="preserve"> thing</w:t>
      </w:r>
      <w:r w:rsidRPr="008A7BD7">
        <w:rPr>
          <w:rFonts w:ascii="Cambria" w:eastAsia="Cambria" w:hAnsi="Cambria" w:cs="Cambria"/>
          <w:color w:val="000000" w:themeColor="text1"/>
          <w:sz w:val="20"/>
          <w:szCs w:val="20"/>
        </w:rPr>
        <w:t>s</w:t>
      </w:r>
      <w:r w:rsidR="004D1FCF" w:rsidRPr="008A7BD7">
        <w:rPr>
          <w:rFonts w:ascii="Cambria" w:eastAsia="Cambria" w:hAnsi="Cambria" w:cs="Cambria"/>
          <w:color w:val="000000" w:themeColor="text1"/>
          <w:sz w:val="20"/>
          <w:szCs w:val="20"/>
        </w:rPr>
        <w:t xml:space="preserve">: </w:t>
      </w:r>
      <w:r w:rsidR="0072308B"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 xml:space="preserve">i) </w:t>
      </w:r>
      <w:r w:rsidR="009C4ACD" w:rsidRPr="008A7BD7">
        <w:rPr>
          <w:rFonts w:ascii="Cambria" w:eastAsia="Cambria" w:hAnsi="Cambria" w:cs="Cambria"/>
          <w:color w:val="000000" w:themeColor="text1"/>
          <w:sz w:val="20"/>
          <w:szCs w:val="20"/>
        </w:rPr>
        <w:t xml:space="preserve">constantly review their procedures, regulations, and practices </w:t>
      </w:r>
      <w:proofErr w:type="gramStart"/>
      <w:r w:rsidR="009C4ACD" w:rsidRPr="008A7BD7">
        <w:rPr>
          <w:rFonts w:ascii="Cambria" w:eastAsia="Cambria" w:hAnsi="Cambria" w:cs="Cambria"/>
          <w:color w:val="000000" w:themeColor="text1"/>
          <w:sz w:val="20"/>
          <w:szCs w:val="20"/>
        </w:rPr>
        <w:t>in order to</w:t>
      </w:r>
      <w:proofErr w:type="gramEnd"/>
      <w:r w:rsidR="009C4ACD" w:rsidRPr="008A7BD7">
        <w:rPr>
          <w:rFonts w:ascii="Cambria" w:eastAsia="Cambria" w:hAnsi="Cambria" w:cs="Cambria"/>
          <w:color w:val="000000" w:themeColor="text1"/>
          <w:sz w:val="20"/>
          <w:szCs w:val="20"/>
        </w:rPr>
        <w:t xml:space="preserve"> ensure comprehensive protection of procedural guarantees</w:t>
      </w:r>
      <w:r w:rsidR="004D1FCF" w:rsidRPr="008A7BD7">
        <w:rPr>
          <w:rFonts w:ascii="Cambria" w:eastAsia="Cambria" w:hAnsi="Cambria" w:cs="Cambria"/>
          <w:color w:val="000000" w:themeColor="text1"/>
          <w:sz w:val="20"/>
          <w:szCs w:val="20"/>
        </w:rPr>
        <w:t xml:space="preserve">; </w:t>
      </w:r>
      <w:r w:rsidR="009C4ACD" w:rsidRPr="008A7BD7">
        <w:rPr>
          <w:rFonts w:ascii="Cambria" w:eastAsia="Cambria" w:hAnsi="Cambria" w:cs="Cambria"/>
          <w:color w:val="000000" w:themeColor="text1"/>
          <w:sz w:val="20"/>
          <w:szCs w:val="20"/>
        </w:rPr>
        <w:t>and</w:t>
      </w:r>
      <w:r w:rsidR="004D1FCF" w:rsidRPr="008A7BD7">
        <w:rPr>
          <w:rFonts w:ascii="Cambria" w:eastAsia="Cambria" w:hAnsi="Cambria" w:cs="Cambria"/>
          <w:color w:val="000000" w:themeColor="text1"/>
          <w:sz w:val="20"/>
          <w:szCs w:val="20"/>
        </w:rPr>
        <w:t xml:space="preserve"> </w:t>
      </w:r>
      <w:r w:rsidR="0072308B"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 xml:space="preserve">ii) </w:t>
      </w:r>
      <w:r w:rsidR="009C4ACD" w:rsidRPr="008A7BD7">
        <w:rPr>
          <w:rFonts w:ascii="Cambria" w:eastAsia="Cambria" w:hAnsi="Cambria" w:cs="Cambria"/>
          <w:color w:val="000000" w:themeColor="text1"/>
          <w:sz w:val="20"/>
          <w:szCs w:val="20"/>
        </w:rPr>
        <w:t>take measures to adapt</w:t>
      </w:r>
      <w:r w:rsidR="004D1FCF" w:rsidRPr="008A7BD7">
        <w:rPr>
          <w:rFonts w:ascii="Cambria" w:eastAsia="Cambria" w:hAnsi="Cambria" w:cs="Cambria"/>
          <w:color w:val="000000" w:themeColor="text1"/>
          <w:sz w:val="20"/>
          <w:szCs w:val="20"/>
        </w:rPr>
        <w:t xml:space="preserve"> </w:t>
      </w:r>
      <w:r w:rsidR="009C4ACD" w:rsidRPr="008A7BD7">
        <w:rPr>
          <w:rFonts w:ascii="Cambria" w:eastAsia="Cambria" w:hAnsi="Cambria" w:cs="Cambria"/>
          <w:color w:val="000000" w:themeColor="text1"/>
          <w:sz w:val="20"/>
          <w:szCs w:val="20"/>
        </w:rPr>
        <w:t xml:space="preserve">existing structures and institutions so that they can </w:t>
      </w:r>
      <w:r w:rsidR="00F14456" w:rsidRPr="008A7BD7">
        <w:rPr>
          <w:rFonts w:ascii="Cambria" w:eastAsia="Cambria" w:hAnsi="Cambria" w:cs="Cambria"/>
          <w:color w:val="000000" w:themeColor="text1"/>
          <w:sz w:val="20"/>
          <w:szCs w:val="20"/>
        </w:rPr>
        <w:t>adequately respond to the current mixed migration movements in the region.</w:t>
      </w:r>
      <w:r w:rsidR="004D1FCF" w:rsidRPr="008A7BD7">
        <w:rPr>
          <w:rFonts w:ascii="Cambria" w:eastAsia="Cambria" w:hAnsi="Cambria" w:cs="Cambria"/>
          <w:color w:val="000000" w:themeColor="text1"/>
          <w:sz w:val="20"/>
          <w:szCs w:val="20"/>
          <w:vertAlign w:val="superscript"/>
        </w:rPr>
        <w:footnoteReference w:id="291"/>
      </w:r>
    </w:p>
    <w:p w14:paraId="642CA09F" w14:textId="77777777" w:rsidR="004D1FCF" w:rsidRPr="008A7BD7" w:rsidRDefault="004D1FCF" w:rsidP="004D1FCF">
      <w:pPr>
        <w:pStyle w:val="ListParagraph"/>
        <w:rPr>
          <w:rFonts w:ascii="Cambria" w:eastAsia="Cambria" w:hAnsi="Cambria" w:cs="Cambria"/>
          <w:color w:val="000000" w:themeColor="text1"/>
          <w:sz w:val="20"/>
          <w:szCs w:val="20"/>
        </w:rPr>
      </w:pPr>
    </w:p>
    <w:p w14:paraId="239A0998" w14:textId="577DAB3A" w:rsidR="004D1FCF" w:rsidRPr="008A7BD7" w:rsidRDefault="0072308B"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In terms of returnees, in a press release on September 17, </w:t>
      </w:r>
      <w:r w:rsidR="004D1FCF" w:rsidRPr="008A7BD7">
        <w:rPr>
          <w:rFonts w:ascii="Cambria" w:eastAsia="Cambria" w:hAnsi="Cambria" w:cs="Cambria"/>
          <w:color w:val="000000" w:themeColor="text1"/>
          <w:sz w:val="20"/>
          <w:szCs w:val="20"/>
        </w:rPr>
        <w:t xml:space="preserve">2021, </w:t>
      </w:r>
      <w:r w:rsidRPr="008A7BD7">
        <w:rPr>
          <w:rFonts w:ascii="Cambria" w:eastAsia="Cambria" w:hAnsi="Cambria" w:cs="Cambria"/>
          <w:color w:val="000000" w:themeColor="text1"/>
          <w:sz w:val="20"/>
          <w:szCs w:val="20"/>
        </w:rPr>
        <w:t xml:space="preserve">the IACHR expressed its concern over the </w:t>
      </w:r>
      <w:r w:rsidR="006A3F56" w:rsidRPr="008A7BD7">
        <w:rPr>
          <w:rFonts w:ascii="Cambria" w:eastAsia="Cambria" w:hAnsi="Cambria" w:cs="Cambria"/>
          <w:color w:val="000000" w:themeColor="text1"/>
          <w:sz w:val="20"/>
          <w:szCs w:val="20"/>
        </w:rPr>
        <w:t xml:space="preserve">“chain” returns reportedly being carried out from the United States </w:t>
      </w:r>
      <w:r w:rsidR="001777C2" w:rsidRPr="008A7BD7">
        <w:rPr>
          <w:rFonts w:ascii="Cambria" w:eastAsia="Cambria" w:hAnsi="Cambria" w:cs="Cambria"/>
          <w:color w:val="000000" w:themeColor="text1"/>
          <w:sz w:val="20"/>
          <w:szCs w:val="20"/>
        </w:rPr>
        <w:t xml:space="preserve">to the northern and southern borders of Mexico, and from Mexico to different borders with </w:t>
      </w:r>
      <w:r w:rsidR="004D1FCF" w:rsidRPr="008A7BD7">
        <w:rPr>
          <w:rFonts w:ascii="Cambria" w:eastAsia="Cambria" w:hAnsi="Cambria" w:cs="Cambria"/>
          <w:color w:val="000000" w:themeColor="text1"/>
          <w:sz w:val="20"/>
          <w:szCs w:val="20"/>
        </w:rPr>
        <w:t xml:space="preserve">Guatemala. </w:t>
      </w:r>
      <w:r w:rsidR="001777C2" w:rsidRPr="008A7BD7">
        <w:rPr>
          <w:rFonts w:ascii="Cambria" w:eastAsia="Cambria" w:hAnsi="Cambria" w:cs="Cambria"/>
          <w:color w:val="000000" w:themeColor="text1"/>
          <w:sz w:val="20"/>
          <w:szCs w:val="20"/>
        </w:rPr>
        <w:t xml:space="preserve">The Commission observed at that time that forced returns are serious factors for the humanitarian situation at the borders and are posing serious challenges to the receiving States in connection with protecting this group’s human rights. </w:t>
      </w:r>
      <w:r w:rsidR="00CE1A98" w:rsidRPr="008A7BD7">
        <w:rPr>
          <w:rFonts w:ascii="Cambria" w:eastAsia="Cambria" w:hAnsi="Cambria" w:cs="Cambria"/>
          <w:color w:val="000000" w:themeColor="text1"/>
          <w:sz w:val="20"/>
          <w:szCs w:val="20"/>
        </w:rPr>
        <w:t xml:space="preserve">Specifically, </w:t>
      </w:r>
      <w:r w:rsidR="00CE1A98" w:rsidRPr="008A7BD7">
        <w:rPr>
          <w:rFonts w:ascii="Cambria" w:eastAsia="Cambria" w:hAnsi="Cambria" w:cs="Cambria"/>
          <w:color w:val="000000" w:themeColor="text1"/>
          <w:sz w:val="20"/>
          <w:szCs w:val="20"/>
        </w:rPr>
        <w:lastRenderedPageBreak/>
        <w:t>it noted with concern that returnees would face a situation of uncertainty upon their arrival at the Guatemalan border, due to the lack of options for accessing asylum or protection measures in another country and, in some ca</w:t>
      </w:r>
      <w:r w:rsidR="004E531D" w:rsidRPr="008A7BD7">
        <w:rPr>
          <w:rFonts w:ascii="Cambria" w:eastAsia="Cambria" w:hAnsi="Cambria" w:cs="Cambria"/>
          <w:color w:val="000000" w:themeColor="text1"/>
          <w:sz w:val="20"/>
          <w:szCs w:val="20"/>
        </w:rPr>
        <w:t>s</w:t>
      </w:r>
      <w:r w:rsidR="00CE1A98" w:rsidRPr="008A7BD7">
        <w:rPr>
          <w:rFonts w:ascii="Cambria" w:eastAsia="Cambria" w:hAnsi="Cambria" w:cs="Cambria"/>
          <w:color w:val="000000" w:themeColor="text1"/>
          <w:sz w:val="20"/>
          <w:szCs w:val="20"/>
        </w:rPr>
        <w:t xml:space="preserve">es, fear of returning to the conditions that originally forced them to </w:t>
      </w:r>
      <w:r w:rsidR="00512C9F" w:rsidRPr="008A7BD7">
        <w:rPr>
          <w:rFonts w:ascii="Cambria" w:eastAsia="Cambria" w:hAnsi="Cambria" w:cs="Cambria"/>
          <w:color w:val="000000" w:themeColor="text1"/>
          <w:sz w:val="20"/>
          <w:szCs w:val="20"/>
        </w:rPr>
        <w:t>leave</w:t>
      </w:r>
      <w:r w:rsidR="004D1FCF"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vertAlign w:val="superscript"/>
        </w:rPr>
        <w:footnoteReference w:id="292"/>
      </w:r>
    </w:p>
    <w:p w14:paraId="5CC8AE53" w14:textId="77777777" w:rsidR="004D1FCF" w:rsidRPr="008A7BD7" w:rsidRDefault="004D1FCF" w:rsidP="004D1FCF">
      <w:pPr>
        <w:pStyle w:val="ListParagraph"/>
        <w:rPr>
          <w:rFonts w:ascii="Cambria" w:eastAsia="Cambria" w:hAnsi="Cambria" w:cs="Cambria"/>
          <w:color w:val="000000" w:themeColor="text1"/>
          <w:sz w:val="20"/>
          <w:szCs w:val="20"/>
        </w:rPr>
      </w:pPr>
    </w:p>
    <w:p w14:paraId="676EDECA" w14:textId="680B5739" w:rsidR="004D1FCF" w:rsidRPr="008A7BD7" w:rsidRDefault="004E531D"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In this regard, the IACHR urged the States to:</w:t>
      </w:r>
      <w:r w:rsidR="004D1FCF" w:rsidRPr="008A7BD7">
        <w:rPr>
          <w:rFonts w:ascii="Cambria" w:eastAsia="Cambria" w:hAnsi="Cambria" w:cs="Cambria"/>
          <w:color w:val="000000" w:themeColor="text1"/>
          <w:sz w:val="20"/>
          <w:szCs w:val="20"/>
        </w:rPr>
        <w:t xml:space="preserve"> </w:t>
      </w:r>
      <w:r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 xml:space="preserve">i) </w:t>
      </w:r>
      <w:r w:rsidRPr="008A7BD7">
        <w:rPr>
          <w:rFonts w:ascii="Cambria" w:eastAsia="Cambria" w:hAnsi="Cambria" w:cs="Cambria"/>
          <w:color w:val="000000" w:themeColor="text1"/>
          <w:sz w:val="20"/>
          <w:szCs w:val="20"/>
        </w:rPr>
        <w:t xml:space="preserve">allow people in the context of human mobility to enter their respective territories for the purpose of </w:t>
      </w:r>
      <w:r w:rsidR="004B6674" w:rsidRPr="008A7BD7">
        <w:rPr>
          <w:rFonts w:ascii="Cambria" w:eastAsia="Cambria" w:hAnsi="Cambria" w:cs="Cambria"/>
          <w:color w:val="000000" w:themeColor="text1"/>
          <w:sz w:val="20"/>
          <w:szCs w:val="20"/>
        </w:rPr>
        <w:t>ensuring</w:t>
      </w:r>
      <w:r w:rsidRPr="008A7BD7">
        <w:rPr>
          <w:rFonts w:ascii="Cambria" w:eastAsia="Cambria" w:hAnsi="Cambria" w:cs="Cambria"/>
          <w:color w:val="000000" w:themeColor="text1"/>
          <w:sz w:val="20"/>
          <w:szCs w:val="20"/>
        </w:rPr>
        <w:t xml:space="preserve"> access to procedures for </w:t>
      </w:r>
      <w:r w:rsidR="009B58E4" w:rsidRPr="008A7BD7">
        <w:rPr>
          <w:rFonts w:ascii="Cambria" w:eastAsia="Cambria" w:hAnsi="Cambria" w:cs="Cambria"/>
          <w:color w:val="000000" w:themeColor="text1"/>
          <w:sz w:val="20"/>
          <w:szCs w:val="20"/>
        </w:rPr>
        <w:t xml:space="preserve">the </w:t>
      </w:r>
      <w:r w:rsidRPr="008A7BD7">
        <w:rPr>
          <w:rFonts w:ascii="Cambria" w:eastAsia="Cambria" w:hAnsi="Cambria" w:cs="Cambria"/>
          <w:color w:val="000000" w:themeColor="text1"/>
          <w:sz w:val="20"/>
          <w:szCs w:val="20"/>
        </w:rPr>
        <w:t>recognition of refugee status, complementary protection, or regularization of migration status</w:t>
      </w:r>
      <w:r w:rsidR="004D1FCF" w:rsidRPr="008A7BD7">
        <w:rPr>
          <w:rFonts w:ascii="Cambria" w:eastAsia="Cambria" w:hAnsi="Cambria" w:cs="Cambria"/>
          <w:color w:val="000000" w:themeColor="text1"/>
          <w:sz w:val="20"/>
          <w:szCs w:val="20"/>
        </w:rPr>
        <w:t xml:space="preserve">; </w:t>
      </w:r>
      <w:r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 xml:space="preserve">ii) </w:t>
      </w:r>
      <w:r w:rsidRPr="008A7BD7">
        <w:rPr>
          <w:rFonts w:ascii="Cambria" w:eastAsia="Cambria" w:hAnsi="Cambria" w:cs="Cambria"/>
          <w:color w:val="000000" w:themeColor="text1"/>
          <w:sz w:val="20"/>
          <w:szCs w:val="20"/>
        </w:rPr>
        <w:t xml:space="preserve">create and expand existing regular channels </w:t>
      </w:r>
      <w:r w:rsidR="009B58E4" w:rsidRPr="008A7BD7">
        <w:rPr>
          <w:rFonts w:ascii="Cambria" w:eastAsia="Cambria" w:hAnsi="Cambria" w:cs="Cambria"/>
          <w:color w:val="000000" w:themeColor="text1"/>
          <w:sz w:val="20"/>
          <w:szCs w:val="20"/>
        </w:rPr>
        <w:t xml:space="preserve">so </w:t>
      </w:r>
      <w:r w:rsidRPr="008A7BD7">
        <w:rPr>
          <w:rFonts w:ascii="Cambria" w:eastAsia="Cambria" w:hAnsi="Cambria" w:cs="Cambria"/>
          <w:color w:val="000000" w:themeColor="text1"/>
          <w:sz w:val="20"/>
          <w:szCs w:val="20"/>
        </w:rPr>
        <w:t xml:space="preserve">that </w:t>
      </w:r>
      <w:r w:rsidR="009B58E4" w:rsidRPr="008A7BD7">
        <w:rPr>
          <w:rFonts w:ascii="Cambria" w:eastAsia="Cambria" w:hAnsi="Cambria" w:cs="Cambria"/>
          <w:color w:val="000000" w:themeColor="text1"/>
          <w:sz w:val="20"/>
          <w:szCs w:val="20"/>
        </w:rPr>
        <w:t xml:space="preserve">they </w:t>
      </w:r>
      <w:r w:rsidRPr="008A7BD7">
        <w:rPr>
          <w:rFonts w:ascii="Cambria" w:eastAsia="Cambria" w:hAnsi="Cambria" w:cs="Cambria"/>
          <w:color w:val="000000" w:themeColor="text1"/>
          <w:sz w:val="20"/>
          <w:szCs w:val="20"/>
        </w:rPr>
        <w:t>are safe, accessible, and affordable for international migrants</w:t>
      </w:r>
      <w:r w:rsidR="004D1FCF" w:rsidRPr="008A7BD7">
        <w:rPr>
          <w:rFonts w:ascii="Cambria" w:eastAsia="Cambria" w:hAnsi="Cambria" w:cs="Cambria"/>
          <w:color w:val="000000" w:themeColor="text1"/>
          <w:sz w:val="20"/>
          <w:szCs w:val="20"/>
        </w:rPr>
        <w:t xml:space="preserve">; </w:t>
      </w:r>
      <w:r w:rsidRPr="008A7BD7">
        <w:rPr>
          <w:rFonts w:ascii="Cambria" w:eastAsia="Cambria" w:hAnsi="Cambria" w:cs="Cambria"/>
          <w:color w:val="000000" w:themeColor="text1"/>
          <w:sz w:val="20"/>
          <w:szCs w:val="20"/>
        </w:rPr>
        <w:t>and</w:t>
      </w:r>
      <w:r w:rsidR="004D1FCF" w:rsidRPr="008A7BD7">
        <w:rPr>
          <w:rFonts w:ascii="Cambria" w:eastAsia="Cambria" w:hAnsi="Cambria" w:cs="Cambria"/>
          <w:color w:val="000000" w:themeColor="text1"/>
          <w:sz w:val="20"/>
          <w:szCs w:val="20"/>
        </w:rPr>
        <w:t xml:space="preserve"> </w:t>
      </w:r>
      <w:r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iii) implement</w:t>
      </w:r>
      <w:r w:rsidR="00F56AD1" w:rsidRPr="008A7BD7">
        <w:rPr>
          <w:rFonts w:ascii="Cambria" w:eastAsia="Cambria" w:hAnsi="Cambria" w:cs="Cambria"/>
          <w:color w:val="000000" w:themeColor="text1"/>
          <w:sz w:val="20"/>
          <w:szCs w:val="20"/>
        </w:rPr>
        <w:t xml:space="preserve"> mechanisms for regional cooperation and shared responsibility and strengthen national asylum and protection systems so that they can adapt to the complex reality of migration dynamics in the region, to adequately identify protection needs and provide timely responses</w:t>
      </w:r>
      <w:r w:rsidR="004D1FCF"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vertAlign w:val="superscript"/>
        </w:rPr>
        <w:footnoteReference w:id="293"/>
      </w:r>
    </w:p>
    <w:p w14:paraId="5FA48118" w14:textId="77777777" w:rsidR="004D1FCF" w:rsidRPr="008A7BD7" w:rsidRDefault="004D1FCF" w:rsidP="004D1FCF">
      <w:pPr>
        <w:pStyle w:val="ListParagraph"/>
        <w:rPr>
          <w:rFonts w:ascii="Cambria" w:eastAsia="Cambria" w:hAnsi="Cambria" w:cs="Cambria"/>
          <w:color w:val="000000" w:themeColor="text1"/>
          <w:sz w:val="20"/>
          <w:szCs w:val="20"/>
        </w:rPr>
      </w:pPr>
    </w:p>
    <w:p w14:paraId="7D5B75DC" w14:textId="3856980B" w:rsidR="004D1FCF" w:rsidRPr="008A7BD7" w:rsidRDefault="0019776C"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With regard to the situation of internally displaced person</w:t>
      </w:r>
      <w:r w:rsidR="00D80AA1" w:rsidRPr="008A7BD7">
        <w:rPr>
          <w:rFonts w:ascii="Cambria" w:eastAsia="Cambria" w:hAnsi="Cambria" w:cs="Cambria"/>
          <w:color w:val="000000" w:themeColor="text1"/>
          <w:sz w:val="20"/>
          <w:szCs w:val="20"/>
        </w:rPr>
        <w:t xml:space="preserve">s, the </w:t>
      </w:r>
      <w:r w:rsidR="009378CA" w:rsidRPr="008A7BD7">
        <w:rPr>
          <w:rFonts w:ascii="Cambria" w:eastAsia="Cambria" w:hAnsi="Cambria" w:cs="Cambria"/>
          <w:color w:val="000000" w:themeColor="text1"/>
          <w:sz w:val="20"/>
          <w:szCs w:val="20"/>
        </w:rPr>
        <w:t>IACHR has observed cases of forced</w:t>
      </w:r>
      <w:r w:rsidR="004D1FCF" w:rsidRPr="008A7BD7">
        <w:rPr>
          <w:rFonts w:ascii="Cambria" w:eastAsia="Cambria" w:hAnsi="Cambria" w:cs="Cambria"/>
          <w:color w:val="000000" w:themeColor="text1"/>
          <w:sz w:val="20"/>
          <w:szCs w:val="20"/>
        </w:rPr>
        <w:t xml:space="preserve"> </w:t>
      </w:r>
      <w:r w:rsidR="009378CA" w:rsidRPr="008A7BD7">
        <w:rPr>
          <w:rFonts w:ascii="Cambria" w:eastAsia="Cambria" w:hAnsi="Cambria" w:cs="Cambria"/>
          <w:color w:val="000000" w:themeColor="text1"/>
          <w:sz w:val="20"/>
          <w:szCs w:val="20"/>
        </w:rPr>
        <w:t>internal displacement reportedly arising from the practice of forced evictions in the country.</w:t>
      </w:r>
      <w:r w:rsidR="004D1FCF" w:rsidRPr="008A7BD7">
        <w:rPr>
          <w:rFonts w:ascii="Cambria" w:eastAsia="Cambria" w:hAnsi="Cambria" w:cs="Cambria"/>
          <w:color w:val="000000" w:themeColor="text1"/>
          <w:sz w:val="20"/>
          <w:szCs w:val="20"/>
          <w:vertAlign w:val="superscript"/>
        </w:rPr>
        <w:footnoteReference w:id="294"/>
      </w:r>
      <w:r w:rsidR="004D1FCF" w:rsidRPr="008A7BD7">
        <w:rPr>
          <w:rFonts w:ascii="Cambria" w:eastAsia="Cambria" w:hAnsi="Cambria" w:cs="Cambria"/>
          <w:color w:val="000000" w:themeColor="text1"/>
          <w:sz w:val="20"/>
          <w:szCs w:val="20"/>
        </w:rPr>
        <w:t xml:space="preserve"> </w:t>
      </w:r>
      <w:r w:rsidR="004D7EB4" w:rsidRPr="008A7BD7">
        <w:rPr>
          <w:rFonts w:ascii="Cambria" w:eastAsia="Cambria" w:hAnsi="Cambria" w:cs="Cambria"/>
          <w:color w:val="000000" w:themeColor="text1"/>
          <w:sz w:val="20"/>
          <w:szCs w:val="20"/>
        </w:rPr>
        <w:t xml:space="preserve">In this context, the Commission learned that at least two forced evictions were carried out in </w:t>
      </w:r>
      <w:r w:rsidR="004D1FCF" w:rsidRPr="008A7BD7">
        <w:rPr>
          <w:rFonts w:ascii="Cambria" w:eastAsia="Cambria" w:hAnsi="Cambria" w:cs="Cambria"/>
          <w:color w:val="000000" w:themeColor="text1"/>
          <w:sz w:val="20"/>
          <w:szCs w:val="20"/>
        </w:rPr>
        <w:t>2021</w:t>
      </w:r>
      <w:r w:rsidR="004D7EB4" w:rsidRPr="008A7BD7">
        <w:rPr>
          <w:rFonts w:ascii="Cambria" w:eastAsia="Cambria" w:hAnsi="Cambria" w:cs="Cambria"/>
          <w:color w:val="000000" w:themeColor="text1"/>
          <w:sz w:val="20"/>
          <w:szCs w:val="20"/>
        </w:rPr>
        <w:t xml:space="preserve">, </w:t>
      </w:r>
      <w:r w:rsidR="00910B64" w:rsidRPr="008A7BD7">
        <w:rPr>
          <w:rFonts w:ascii="Cambria" w:eastAsia="Cambria" w:hAnsi="Cambria" w:cs="Cambria"/>
          <w:color w:val="000000" w:themeColor="text1"/>
          <w:sz w:val="20"/>
          <w:szCs w:val="20"/>
        </w:rPr>
        <w:t>which affected</w:t>
      </w:r>
      <w:r w:rsidR="004D1FCF" w:rsidRPr="008A7BD7">
        <w:rPr>
          <w:rFonts w:ascii="Cambria" w:eastAsia="Cambria" w:hAnsi="Cambria" w:cs="Cambria"/>
          <w:color w:val="000000" w:themeColor="text1"/>
          <w:sz w:val="20"/>
          <w:szCs w:val="20"/>
        </w:rPr>
        <w:t xml:space="preserve">: </w:t>
      </w:r>
      <w:r w:rsidR="00FF3066"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 xml:space="preserve">i) 35 </w:t>
      </w:r>
      <w:r w:rsidR="004D7EB4" w:rsidRPr="008A7BD7">
        <w:rPr>
          <w:rFonts w:ascii="Cambria" w:eastAsia="Cambria" w:hAnsi="Cambria" w:cs="Cambria"/>
          <w:color w:val="000000" w:themeColor="text1"/>
          <w:sz w:val="20"/>
          <w:szCs w:val="20"/>
        </w:rPr>
        <w:t xml:space="preserve">peasant </w:t>
      </w:r>
      <w:r w:rsidR="004D1FCF" w:rsidRPr="008A7BD7">
        <w:rPr>
          <w:rFonts w:ascii="Cambria" w:eastAsia="Cambria" w:hAnsi="Cambria" w:cs="Cambria"/>
          <w:color w:val="000000" w:themeColor="text1"/>
          <w:sz w:val="20"/>
          <w:szCs w:val="20"/>
        </w:rPr>
        <w:t xml:space="preserve">Maya </w:t>
      </w:r>
      <w:proofErr w:type="spellStart"/>
      <w:r w:rsidR="004D1FCF" w:rsidRPr="008A7BD7">
        <w:rPr>
          <w:rFonts w:ascii="Cambria" w:eastAsia="Cambria" w:hAnsi="Cambria" w:cs="Cambria"/>
          <w:color w:val="000000" w:themeColor="text1"/>
          <w:sz w:val="20"/>
          <w:szCs w:val="20"/>
        </w:rPr>
        <w:t>Q’eqchi</w:t>
      </w:r>
      <w:proofErr w:type="spellEnd"/>
      <w:r w:rsidR="004D1FCF" w:rsidRPr="008A7BD7">
        <w:rPr>
          <w:rFonts w:ascii="Cambria" w:eastAsia="Cambria" w:hAnsi="Cambria" w:cs="Cambria"/>
          <w:color w:val="000000" w:themeColor="text1"/>
          <w:sz w:val="20"/>
          <w:szCs w:val="20"/>
        </w:rPr>
        <w:t xml:space="preserve">’ </w:t>
      </w:r>
      <w:r w:rsidR="004D7EB4" w:rsidRPr="008A7BD7">
        <w:rPr>
          <w:rFonts w:ascii="Cambria" w:eastAsia="Cambria" w:hAnsi="Cambria" w:cs="Cambria"/>
          <w:color w:val="000000" w:themeColor="text1"/>
          <w:sz w:val="20"/>
          <w:szCs w:val="20"/>
        </w:rPr>
        <w:t xml:space="preserve">families from the </w:t>
      </w:r>
      <w:r w:rsidR="00FF3066" w:rsidRPr="008A7BD7">
        <w:rPr>
          <w:rFonts w:ascii="Cambria" w:eastAsia="Cambria" w:hAnsi="Cambria" w:cs="Cambria"/>
          <w:color w:val="000000" w:themeColor="text1"/>
          <w:sz w:val="20"/>
          <w:szCs w:val="20"/>
        </w:rPr>
        <w:t xml:space="preserve">Finca </w:t>
      </w:r>
      <w:proofErr w:type="spellStart"/>
      <w:r w:rsidR="004D1FCF" w:rsidRPr="008A7BD7">
        <w:rPr>
          <w:rFonts w:ascii="Cambria" w:eastAsia="Cambria" w:hAnsi="Cambria" w:cs="Cambria"/>
          <w:color w:val="000000" w:themeColor="text1"/>
          <w:sz w:val="20"/>
          <w:szCs w:val="20"/>
        </w:rPr>
        <w:t>Canaán</w:t>
      </w:r>
      <w:proofErr w:type="spellEnd"/>
      <w:r w:rsidR="00FF3066" w:rsidRPr="008A7BD7">
        <w:rPr>
          <w:rFonts w:ascii="Cambria" w:eastAsia="Cambria" w:hAnsi="Cambria" w:cs="Cambria"/>
          <w:color w:val="000000" w:themeColor="text1"/>
          <w:sz w:val="20"/>
          <w:szCs w:val="20"/>
        </w:rPr>
        <w:t xml:space="preserve">, S.A., a farm in </w:t>
      </w:r>
      <w:r w:rsidR="004D1FCF" w:rsidRPr="008A7BD7">
        <w:rPr>
          <w:rFonts w:ascii="Cambria" w:eastAsia="Cambria" w:hAnsi="Cambria" w:cs="Cambria"/>
          <w:color w:val="000000" w:themeColor="text1"/>
          <w:sz w:val="20"/>
          <w:szCs w:val="20"/>
        </w:rPr>
        <w:t xml:space="preserve">El </w:t>
      </w:r>
      <w:proofErr w:type="spellStart"/>
      <w:r w:rsidR="004D1FCF" w:rsidRPr="008A7BD7">
        <w:rPr>
          <w:rFonts w:ascii="Cambria" w:eastAsia="Cambria" w:hAnsi="Cambria" w:cs="Cambria"/>
          <w:color w:val="000000" w:themeColor="text1"/>
          <w:sz w:val="20"/>
          <w:szCs w:val="20"/>
        </w:rPr>
        <w:t>Estor</w:t>
      </w:r>
      <w:proofErr w:type="spellEnd"/>
      <w:r w:rsidR="004D1FCF" w:rsidRPr="008A7BD7">
        <w:rPr>
          <w:rFonts w:ascii="Cambria" w:eastAsia="Cambria" w:hAnsi="Cambria" w:cs="Cambria"/>
          <w:color w:val="000000" w:themeColor="text1"/>
          <w:sz w:val="20"/>
          <w:szCs w:val="20"/>
        </w:rPr>
        <w:t>, Izabal</w:t>
      </w:r>
      <w:r w:rsidR="00FF3066" w:rsidRPr="008A7BD7">
        <w:rPr>
          <w:rFonts w:ascii="Cambria" w:eastAsia="Cambria" w:hAnsi="Cambria" w:cs="Cambria"/>
          <w:color w:val="000000" w:themeColor="text1"/>
          <w:sz w:val="20"/>
          <w:szCs w:val="20"/>
        </w:rPr>
        <w:t>, in an operati</w:t>
      </w:r>
      <w:r w:rsidR="00910B64" w:rsidRPr="008A7BD7">
        <w:rPr>
          <w:rFonts w:ascii="Cambria" w:eastAsia="Cambria" w:hAnsi="Cambria" w:cs="Cambria"/>
          <w:color w:val="000000" w:themeColor="text1"/>
          <w:sz w:val="20"/>
          <w:szCs w:val="20"/>
        </w:rPr>
        <w:t xml:space="preserve">on </w:t>
      </w:r>
      <w:r w:rsidR="00FF3066" w:rsidRPr="008A7BD7">
        <w:rPr>
          <w:rFonts w:ascii="Cambria" w:eastAsia="Cambria" w:hAnsi="Cambria" w:cs="Cambria"/>
          <w:color w:val="000000" w:themeColor="text1"/>
          <w:sz w:val="20"/>
          <w:szCs w:val="20"/>
        </w:rPr>
        <w:t>in which some 3,000 members of the</w:t>
      </w:r>
      <w:r w:rsidR="004D1FCF" w:rsidRPr="008A7BD7">
        <w:rPr>
          <w:rFonts w:ascii="Cambria" w:eastAsia="Cambria" w:hAnsi="Cambria" w:cs="Cambria"/>
          <w:color w:val="000000" w:themeColor="text1"/>
          <w:sz w:val="20"/>
          <w:szCs w:val="20"/>
        </w:rPr>
        <w:t xml:space="preserve"> </w:t>
      </w:r>
      <w:r w:rsidR="00FF3066" w:rsidRPr="008A7BD7">
        <w:rPr>
          <w:rFonts w:ascii="Cambria" w:eastAsia="Cambria" w:hAnsi="Cambria" w:cs="Cambria"/>
          <w:color w:val="000000" w:themeColor="text1"/>
          <w:sz w:val="20"/>
          <w:szCs w:val="20"/>
        </w:rPr>
        <w:t xml:space="preserve">National Civil Police (PNC) </w:t>
      </w:r>
      <w:r w:rsidR="00DE7F7B" w:rsidRPr="008A7BD7">
        <w:rPr>
          <w:rFonts w:ascii="Cambria" w:eastAsia="Cambria" w:hAnsi="Cambria" w:cs="Cambria"/>
          <w:color w:val="000000" w:themeColor="text1"/>
          <w:sz w:val="20"/>
          <w:szCs w:val="20"/>
        </w:rPr>
        <w:t>were said to have</w:t>
      </w:r>
      <w:r w:rsidR="00FF3066" w:rsidRPr="008A7BD7">
        <w:rPr>
          <w:rFonts w:ascii="Cambria" w:eastAsia="Cambria" w:hAnsi="Cambria" w:cs="Cambria"/>
          <w:color w:val="000000" w:themeColor="text1"/>
          <w:sz w:val="20"/>
          <w:szCs w:val="20"/>
        </w:rPr>
        <w:t xml:space="preserve"> participated</w:t>
      </w:r>
      <w:r w:rsidR="004D1FCF"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vertAlign w:val="superscript"/>
        </w:rPr>
        <w:footnoteReference w:id="295"/>
      </w:r>
      <w:r w:rsidR="004D1FCF" w:rsidRPr="008A7BD7">
        <w:rPr>
          <w:rFonts w:ascii="Cambria" w:eastAsia="Cambria" w:hAnsi="Cambria" w:cs="Cambria"/>
          <w:color w:val="000000" w:themeColor="text1"/>
          <w:sz w:val="20"/>
          <w:szCs w:val="20"/>
        </w:rPr>
        <w:t xml:space="preserve"> </w:t>
      </w:r>
      <w:r w:rsidR="00FF3066" w:rsidRPr="008A7BD7">
        <w:rPr>
          <w:rFonts w:ascii="Cambria" w:eastAsia="Cambria" w:hAnsi="Cambria" w:cs="Cambria"/>
          <w:color w:val="000000" w:themeColor="text1"/>
          <w:sz w:val="20"/>
          <w:szCs w:val="20"/>
        </w:rPr>
        <w:t>and (</w:t>
      </w:r>
      <w:r w:rsidR="004D1FCF" w:rsidRPr="008A7BD7">
        <w:rPr>
          <w:rFonts w:ascii="Cambria" w:eastAsia="Cambria" w:hAnsi="Cambria" w:cs="Cambria"/>
          <w:color w:val="000000" w:themeColor="text1"/>
          <w:sz w:val="20"/>
          <w:szCs w:val="20"/>
        </w:rPr>
        <w:t xml:space="preserve">ii) </w:t>
      </w:r>
      <w:proofErr w:type="spellStart"/>
      <w:r w:rsidR="004D1FCF" w:rsidRPr="008A7BD7">
        <w:rPr>
          <w:rFonts w:ascii="Cambria" w:eastAsia="Cambria" w:hAnsi="Cambria" w:cs="Cambria"/>
          <w:color w:val="000000" w:themeColor="text1"/>
          <w:sz w:val="20"/>
          <w:szCs w:val="20"/>
        </w:rPr>
        <w:t>Q'eqchi</w:t>
      </w:r>
      <w:proofErr w:type="spellEnd"/>
      <w:r w:rsidR="004D1FCF" w:rsidRPr="008A7BD7">
        <w:rPr>
          <w:rFonts w:ascii="Cambria" w:eastAsia="Cambria" w:hAnsi="Cambria" w:cs="Cambria"/>
          <w:color w:val="000000" w:themeColor="text1"/>
          <w:sz w:val="20"/>
          <w:szCs w:val="20"/>
        </w:rPr>
        <w:t xml:space="preserve">' </w:t>
      </w:r>
      <w:r w:rsidR="00FF3066" w:rsidRPr="008A7BD7">
        <w:rPr>
          <w:rFonts w:ascii="Cambria" w:eastAsia="Cambria" w:hAnsi="Cambria" w:cs="Cambria"/>
          <w:color w:val="000000" w:themeColor="text1"/>
          <w:sz w:val="20"/>
          <w:szCs w:val="20"/>
        </w:rPr>
        <w:t xml:space="preserve">families from the </w:t>
      </w:r>
      <w:proofErr w:type="spellStart"/>
      <w:r w:rsidR="004D1FCF" w:rsidRPr="008A7BD7">
        <w:rPr>
          <w:rFonts w:ascii="Cambria" w:eastAsia="Cambria" w:hAnsi="Cambria" w:cs="Cambria"/>
          <w:color w:val="000000" w:themeColor="text1"/>
          <w:sz w:val="20"/>
          <w:szCs w:val="20"/>
        </w:rPr>
        <w:t>Aktela</w:t>
      </w:r>
      <w:proofErr w:type="spellEnd"/>
      <w:r w:rsidR="00FF3066" w:rsidRPr="008A7BD7">
        <w:rPr>
          <w:rFonts w:ascii="Cambria" w:eastAsia="Cambria" w:hAnsi="Cambria" w:cs="Cambria"/>
          <w:color w:val="000000" w:themeColor="text1"/>
          <w:sz w:val="20"/>
          <w:szCs w:val="20"/>
        </w:rPr>
        <w:t xml:space="preserve"> community, located in the municipality of </w:t>
      </w:r>
      <w:r w:rsidR="004D1FCF" w:rsidRPr="008A7BD7">
        <w:rPr>
          <w:rFonts w:ascii="Cambria" w:eastAsia="Cambria" w:hAnsi="Cambria" w:cs="Cambria"/>
          <w:color w:val="000000" w:themeColor="text1"/>
          <w:sz w:val="20"/>
          <w:szCs w:val="20"/>
        </w:rPr>
        <w:t xml:space="preserve">Sierra Santa Cruz, Izabal. </w:t>
      </w:r>
      <w:r w:rsidR="00B97F8F" w:rsidRPr="008A7BD7">
        <w:rPr>
          <w:rFonts w:ascii="Cambria" w:eastAsia="Cambria" w:hAnsi="Cambria" w:cs="Cambria"/>
          <w:color w:val="000000" w:themeColor="text1"/>
          <w:sz w:val="20"/>
          <w:szCs w:val="20"/>
        </w:rPr>
        <w:t>S</w:t>
      </w:r>
      <w:r w:rsidR="00FB7554" w:rsidRPr="008A7BD7">
        <w:rPr>
          <w:rFonts w:ascii="Cambria" w:eastAsia="Cambria" w:hAnsi="Cambria" w:cs="Cambria"/>
          <w:color w:val="000000" w:themeColor="text1"/>
          <w:sz w:val="20"/>
          <w:szCs w:val="20"/>
        </w:rPr>
        <w:t xml:space="preserve">ocial media </w:t>
      </w:r>
      <w:r w:rsidR="00B97F8F" w:rsidRPr="008A7BD7">
        <w:rPr>
          <w:rFonts w:ascii="Cambria" w:eastAsia="Cambria" w:hAnsi="Cambria" w:cs="Cambria"/>
          <w:color w:val="000000" w:themeColor="text1"/>
          <w:sz w:val="20"/>
          <w:szCs w:val="20"/>
        </w:rPr>
        <w:t xml:space="preserve">reports </w:t>
      </w:r>
      <w:r w:rsidR="00525BAD" w:rsidRPr="008A7BD7">
        <w:rPr>
          <w:rFonts w:ascii="Cambria" w:eastAsia="Cambria" w:hAnsi="Cambria" w:cs="Cambria"/>
          <w:color w:val="000000" w:themeColor="text1"/>
          <w:sz w:val="20"/>
          <w:szCs w:val="20"/>
        </w:rPr>
        <w:t>alleged</w:t>
      </w:r>
      <w:r w:rsidR="00FB7554" w:rsidRPr="008A7BD7">
        <w:rPr>
          <w:rFonts w:ascii="Cambria" w:eastAsia="Cambria" w:hAnsi="Cambria" w:cs="Cambria"/>
          <w:color w:val="000000" w:themeColor="text1"/>
          <w:sz w:val="20"/>
          <w:szCs w:val="20"/>
        </w:rPr>
        <w:t xml:space="preserve"> that during the eviction, </w:t>
      </w:r>
      <w:r w:rsidR="00525BAD" w:rsidRPr="008A7BD7">
        <w:rPr>
          <w:rFonts w:ascii="Cambria" w:eastAsia="Cambria" w:hAnsi="Cambria" w:cs="Cambria"/>
          <w:color w:val="000000" w:themeColor="text1"/>
          <w:sz w:val="20"/>
          <w:szCs w:val="20"/>
        </w:rPr>
        <w:t>people’s</w:t>
      </w:r>
      <w:r w:rsidR="000520A8" w:rsidRPr="008A7BD7">
        <w:rPr>
          <w:rFonts w:ascii="Cambria" w:eastAsia="Cambria" w:hAnsi="Cambria" w:cs="Cambria"/>
          <w:color w:val="000000" w:themeColor="text1"/>
          <w:sz w:val="20"/>
          <w:szCs w:val="20"/>
        </w:rPr>
        <w:t xml:space="preserve"> homes, belongings, and food</w:t>
      </w:r>
      <w:r w:rsidR="00525BAD" w:rsidRPr="008A7BD7">
        <w:rPr>
          <w:rFonts w:ascii="Cambria" w:eastAsia="Cambria" w:hAnsi="Cambria" w:cs="Cambria"/>
          <w:color w:val="000000" w:themeColor="text1"/>
          <w:sz w:val="20"/>
          <w:szCs w:val="20"/>
        </w:rPr>
        <w:t xml:space="preserve"> were set on fire</w:t>
      </w:r>
      <w:r w:rsidR="004D1FCF"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vertAlign w:val="superscript"/>
        </w:rPr>
        <w:footnoteReference w:id="296"/>
      </w:r>
      <w:r w:rsidR="004D1FCF" w:rsidRPr="008A7BD7">
        <w:rPr>
          <w:rFonts w:ascii="Cambria" w:eastAsia="Cambria" w:hAnsi="Cambria" w:cs="Cambria"/>
          <w:color w:val="000000" w:themeColor="text1"/>
          <w:sz w:val="20"/>
          <w:szCs w:val="20"/>
        </w:rPr>
        <w:t xml:space="preserve"> </w:t>
      </w:r>
      <w:r w:rsidR="00525BAD" w:rsidRPr="008A7BD7">
        <w:rPr>
          <w:rFonts w:ascii="Cambria" w:eastAsia="Cambria" w:hAnsi="Cambria" w:cs="Cambria"/>
          <w:color w:val="000000" w:themeColor="text1"/>
          <w:sz w:val="20"/>
          <w:szCs w:val="20"/>
        </w:rPr>
        <w:t>R</w:t>
      </w:r>
      <w:r w:rsidR="000520A8" w:rsidRPr="008A7BD7">
        <w:rPr>
          <w:rFonts w:ascii="Cambria" w:eastAsia="Cambria" w:hAnsi="Cambria" w:cs="Cambria"/>
          <w:color w:val="000000" w:themeColor="text1"/>
          <w:sz w:val="20"/>
          <w:szCs w:val="20"/>
        </w:rPr>
        <w:t xml:space="preserve">epresentatives of the communities living in the </w:t>
      </w:r>
      <w:r w:rsidR="004D1FCF" w:rsidRPr="008A7BD7">
        <w:rPr>
          <w:rFonts w:ascii="Cambria" w:eastAsia="Cambria" w:hAnsi="Cambria" w:cs="Cambria"/>
          <w:color w:val="000000" w:themeColor="text1"/>
          <w:sz w:val="20"/>
          <w:szCs w:val="20"/>
        </w:rPr>
        <w:t xml:space="preserve">Sierra Santa Cruz, </w:t>
      </w:r>
      <w:r w:rsidR="000520A8" w:rsidRPr="008A7BD7">
        <w:rPr>
          <w:rFonts w:ascii="Cambria" w:eastAsia="Cambria" w:hAnsi="Cambria" w:cs="Cambria"/>
          <w:color w:val="000000" w:themeColor="text1"/>
          <w:sz w:val="20"/>
          <w:szCs w:val="20"/>
        </w:rPr>
        <w:t xml:space="preserve">in the department of </w:t>
      </w:r>
      <w:r w:rsidR="004D1FCF" w:rsidRPr="008A7BD7">
        <w:rPr>
          <w:rFonts w:ascii="Cambria" w:eastAsia="Cambria" w:hAnsi="Cambria" w:cs="Cambria"/>
          <w:color w:val="000000" w:themeColor="text1"/>
          <w:sz w:val="20"/>
          <w:szCs w:val="20"/>
        </w:rPr>
        <w:t>Izabal,</w:t>
      </w:r>
      <w:r w:rsidR="000520A8" w:rsidRPr="008A7BD7">
        <w:rPr>
          <w:rFonts w:ascii="Cambria" w:eastAsia="Cambria" w:hAnsi="Cambria" w:cs="Cambria"/>
          <w:color w:val="000000" w:themeColor="text1"/>
          <w:sz w:val="20"/>
          <w:szCs w:val="20"/>
        </w:rPr>
        <w:t xml:space="preserve"> publicly </w:t>
      </w:r>
      <w:r w:rsidR="00910B64" w:rsidRPr="008A7BD7">
        <w:rPr>
          <w:rFonts w:ascii="Cambria" w:eastAsia="Cambria" w:hAnsi="Cambria" w:cs="Cambria"/>
          <w:color w:val="000000" w:themeColor="text1"/>
          <w:sz w:val="20"/>
          <w:szCs w:val="20"/>
        </w:rPr>
        <w:t>called on</w:t>
      </w:r>
      <w:r w:rsidR="000520A8" w:rsidRPr="008A7BD7">
        <w:rPr>
          <w:rFonts w:ascii="Cambria" w:eastAsia="Cambria" w:hAnsi="Cambria" w:cs="Cambria"/>
          <w:color w:val="000000" w:themeColor="text1"/>
          <w:sz w:val="20"/>
          <w:szCs w:val="20"/>
        </w:rPr>
        <w:t xml:space="preserve"> the State of </w:t>
      </w:r>
      <w:r w:rsidR="004D1FCF" w:rsidRPr="008A7BD7">
        <w:rPr>
          <w:rFonts w:ascii="Cambria" w:eastAsia="Cambria" w:hAnsi="Cambria" w:cs="Cambria"/>
          <w:color w:val="000000" w:themeColor="text1"/>
          <w:sz w:val="20"/>
          <w:szCs w:val="20"/>
        </w:rPr>
        <w:t xml:space="preserve">Guatemala </w:t>
      </w:r>
      <w:r w:rsidR="000520A8" w:rsidRPr="008A7BD7">
        <w:rPr>
          <w:rFonts w:ascii="Cambria" w:eastAsia="Cambria" w:hAnsi="Cambria" w:cs="Cambria"/>
          <w:color w:val="000000" w:themeColor="text1"/>
          <w:sz w:val="20"/>
          <w:szCs w:val="20"/>
        </w:rPr>
        <w:t xml:space="preserve">to </w:t>
      </w:r>
      <w:proofErr w:type="gramStart"/>
      <w:r w:rsidR="003C7BBB" w:rsidRPr="008A7BD7">
        <w:rPr>
          <w:rFonts w:ascii="Cambria" w:eastAsia="Cambria" w:hAnsi="Cambria" w:cs="Cambria"/>
          <w:color w:val="000000" w:themeColor="text1"/>
          <w:sz w:val="20"/>
          <w:szCs w:val="20"/>
        </w:rPr>
        <w:t>expedite</w:t>
      </w:r>
      <w:r w:rsidR="000520A8" w:rsidRPr="008A7BD7">
        <w:rPr>
          <w:rFonts w:ascii="Cambria" w:eastAsia="Cambria" w:hAnsi="Cambria" w:cs="Cambria"/>
          <w:color w:val="000000" w:themeColor="text1"/>
          <w:sz w:val="20"/>
          <w:szCs w:val="20"/>
        </w:rPr>
        <w:t xml:space="preserve"> the </w:t>
      </w:r>
      <w:r w:rsidR="00910B64" w:rsidRPr="008A7BD7">
        <w:rPr>
          <w:rFonts w:ascii="Cambria" w:eastAsia="Cambria" w:hAnsi="Cambria" w:cs="Cambria"/>
          <w:color w:val="000000" w:themeColor="text1"/>
          <w:sz w:val="20"/>
          <w:szCs w:val="20"/>
        </w:rPr>
        <w:t>process of</w:t>
      </w:r>
      <w:proofErr w:type="gramEnd"/>
      <w:r w:rsidR="00910B64" w:rsidRPr="008A7BD7">
        <w:rPr>
          <w:rFonts w:ascii="Cambria" w:eastAsia="Cambria" w:hAnsi="Cambria" w:cs="Cambria"/>
          <w:color w:val="000000" w:themeColor="text1"/>
          <w:sz w:val="20"/>
          <w:szCs w:val="20"/>
        </w:rPr>
        <w:t xml:space="preserve"> </w:t>
      </w:r>
      <w:r w:rsidR="000520A8" w:rsidRPr="008A7BD7">
        <w:rPr>
          <w:rFonts w:ascii="Cambria" w:eastAsia="Cambria" w:hAnsi="Cambria" w:cs="Cambria"/>
          <w:color w:val="000000" w:themeColor="text1"/>
          <w:sz w:val="20"/>
          <w:szCs w:val="20"/>
        </w:rPr>
        <w:t>provid</w:t>
      </w:r>
      <w:r w:rsidR="00910B64" w:rsidRPr="008A7BD7">
        <w:rPr>
          <w:rFonts w:ascii="Cambria" w:eastAsia="Cambria" w:hAnsi="Cambria" w:cs="Cambria"/>
          <w:color w:val="000000" w:themeColor="text1"/>
          <w:sz w:val="20"/>
          <w:szCs w:val="20"/>
        </w:rPr>
        <w:t>ing</w:t>
      </w:r>
      <w:r w:rsidR="000520A8" w:rsidRPr="008A7BD7">
        <w:rPr>
          <w:rFonts w:ascii="Cambria" w:eastAsia="Cambria" w:hAnsi="Cambria" w:cs="Cambria"/>
          <w:color w:val="000000" w:themeColor="text1"/>
          <w:sz w:val="20"/>
          <w:szCs w:val="20"/>
        </w:rPr>
        <w:t xml:space="preserve"> ownership titles to their territories, in keeping with internal procedures</w:t>
      </w:r>
      <w:r w:rsidR="00525BAD" w:rsidRPr="008A7BD7">
        <w:rPr>
          <w:rFonts w:ascii="Cambria" w:eastAsia="Cambria" w:hAnsi="Cambria" w:cs="Cambria"/>
          <w:color w:val="000000" w:themeColor="text1"/>
          <w:sz w:val="20"/>
          <w:szCs w:val="20"/>
        </w:rPr>
        <w:t xml:space="preserve"> currently in effect</w:t>
      </w:r>
      <w:r w:rsidR="000520A8"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vertAlign w:val="superscript"/>
        </w:rPr>
        <w:footnoteReference w:id="297"/>
      </w:r>
    </w:p>
    <w:p w14:paraId="27D1064E" w14:textId="77777777" w:rsidR="009E52D6" w:rsidRPr="008A7BD7" w:rsidRDefault="009E52D6" w:rsidP="009E52D6">
      <w:pPr>
        <w:pStyle w:val="ListParagraph"/>
        <w:rPr>
          <w:rFonts w:ascii="Cambria" w:eastAsia="Cambria" w:hAnsi="Cambria" w:cs="Cambria"/>
          <w:color w:val="000000" w:themeColor="text1"/>
          <w:sz w:val="20"/>
          <w:szCs w:val="20"/>
        </w:rPr>
      </w:pPr>
    </w:p>
    <w:p w14:paraId="6D13B343" w14:textId="537C951D" w:rsidR="009E52D6" w:rsidRPr="008A7BD7" w:rsidRDefault="008075E5" w:rsidP="009E52D6">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In its response to the draft report, the Guatemalan State indicated to the IACHR that the Attorney General’s Office </w:t>
      </w:r>
      <w:r w:rsidR="00F549B7" w:rsidRPr="008A7BD7">
        <w:rPr>
          <w:rFonts w:ascii="Cambria" w:eastAsia="Cambria" w:hAnsi="Cambria" w:cs="Cambria"/>
          <w:color w:val="000000" w:themeColor="text1"/>
          <w:sz w:val="20"/>
          <w:szCs w:val="20"/>
        </w:rPr>
        <w:t xml:space="preserve">(PGN) </w:t>
      </w:r>
      <w:r w:rsidRPr="008A7BD7">
        <w:rPr>
          <w:rFonts w:ascii="Cambria" w:eastAsia="Cambria" w:hAnsi="Cambria" w:cs="Cambria"/>
          <w:color w:val="000000" w:themeColor="text1"/>
          <w:sz w:val="20"/>
          <w:szCs w:val="20"/>
        </w:rPr>
        <w:t xml:space="preserve">participated as an observer to </w:t>
      </w:r>
      <w:r w:rsidR="00F549B7" w:rsidRPr="008A7BD7">
        <w:rPr>
          <w:rFonts w:ascii="Cambria" w:eastAsia="Cambria" w:hAnsi="Cambria" w:cs="Cambria"/>
          <w:color w:val="000000" w:themeColor="text1"/>
          <w:sz w:val="20"/>
          <w:szCs w:val="20"/>
        </w:rPr>
        <w:t xml:space="preserve">protect the rights of </w:t>
      </w:r>
      <w:r w:rsidR="00A01CF2" w:rsidRPr="008A7BD7">
        <w:rPr>
          <w:rFonts w:ascii="Cambria" w:eastAsia="Cambria" w:hAnsi="Cambria" w:cs="Cambria"/>
          <w:color w:val="000000" w:themeColor="text1"/>
          <w:sz w:val="20"/>
          <w:szCs w:val="20"/>
        </w:rPr>
        <w:t xml:space="preserve">any </w:t>
      </w:r>
      <w:r w:rsidR="00F549B7" w:rsidRPr="008A7BD7">
        <w:rPr>
          <w:rFonts w:ascii="Cambria" w:eastAsia="Cambria" w:hAnsi="Cambria" w:cs="Cambria"/>
          <w:color w:val="000000" w:themeColor="text1"/>
          <w:sz w:val="20"/>
          <w:szCs w:val="20"/>
        </w:rPr>
        <w:t>children, adolescents, persons with disabilities, and senior citizens</w:t>
      </w:r>
      <w:r w:rsidRPr="008A7BD7">
        <w:rPr>
          <w:rFonts w:ascii="Cambria" w:eastAsia="Cambria" w:hAnsi="Cambria" w:cs="Cambria"/>
          <w:color w:val="000000" w:themeColor="text1"/>
          <w:sz w:val="20"/>
          <w:szCs w:val="20"/>
        </w:rPr>
        <w:t xml:space="preserve"> </w:t>
      </w:r>
      <w:r w:rsidR="00F549B7" w:rsidRPr="008A7BD7">
        <w:rPr>
          <w:rFonts w:ascii="Cambria" w:eastAsia="Cambria" w:hAnsi="Cambria" w:cs="Cambria"/>
          <w:color w:val="000000" w:themeColor="text1"/>
          <w:sz w:val="20"/>
          <w:szCs w:val="20"/>
        </w:rPr>
        <w:t xml:space="preserve">who may have been </w:t>
      </w:r>
      <w:r w:rsidR="00A01CF2" w:rsidRPr="008A7BD7">
        <w:rPr>
          <w:rFonts w:ascii="Cambria" w:eastAsia="Cambria" w:hAnsi="Cambria" w:cs="Cambria"/>
          <w:color w:val="000000" w:themeColor="text1"/>
          <w:sz w:val="20"/>
          <w:szCs w:val="20"/>
        </w:rPr>
        <w:t>among</w:t>
      </w:r>
      <w:r w:rsidR="00F549B7" w:rsidRPr="008A7BD7">
        <w:rPr>
          <w:rFonts w:ascii="Cambria" w:eastAsia="Cambria" w:hAnsi="Cambria" w:cs="Cambria"/>
          <w:color w:val="000000" w:themeColor="text1"/>
          <w:sz w:val="20"/>
          <w:szCs w:val="20"/>
        </w:rPr>
        <w:t xml:space="preserve"> the group of people to be evicted. </w:t>
      </w:r>
      <w:proofErr w:type="gramStart"/>
      <w:r w:rsidR="00F549B7" w:rsidRPr="008A7BD7">
        <w:rPr>
          <w:rFonts w:ascii="Cambria" w:eastAsia="Cambria" w:hAnsi="Cambria" w:cs="Cambria"/>
          <w:color w:val="000000" w:themeColor="text1"/>
          <w:sz w:val="20"/>
          <w:szCs w:val="20"/>
        </w:rPr>
        <w:t>With regard to</w:t>
      </w:r>
      <w:proofErr w:type="gramEnd"/>
      <w:r w:rsidR="00F549B7" w:rsidRPr="008A7BD7">
        <w:rPr>
          <w:rFonts w:ascii="Cambria" w:eastAsia="Cambria" w:hAnsi="Cambria" w:cs="Cambria"/>
          <w:color w:val="000000" w:themeColor="text1"/>
          <w:sz w:val="20"/>
          <w:szCs w:val="20"/>
        </w:rPr>
        <w:t xml:space="preserve"> the eviction of </w:t>
      </w:r>
      <w:r w:rsidR="009E52D6" w:rsidRPr="008A7BD7">
        <w:rPr>
          <w:rFonts w:ascii="Cambria" w:eastAsia="Montserrat" w:hAnsi="Cambria" w:cs="Montserrat"/>
          <w:sz w:val="20"/>
          <w:szCs w:val="20"/>
        </w:rPr>
        <w:t xml:space="preserve">35 </w:t>
      </w:r>
      <w:r w:rsidR="00F549B7" w:rsidRPr="008A7BD7">
        <w:rPr>
          <w:rFonts w:ascii="Cambria" w:eastAsia="Montserrat" w:hAnsi="Cambria" w:cs="Montserrat"/>
          <w:sz w:val="20"/>
          <w:szCs w:val="20"/>
        </w:rPr>
        <w:t xml:space="preserve">peasant </w:t>
      </w:r>
      <w:r w:rsidR="009E52D6" w:rsidRPr="008A7BD7">
        <w:rPr>
          <w:rFonts w:ascii="Cambria" w:eastAsia="Montserrat" w:hAnsi="Cambria" w:cs="Montserrat"/>
          <w:sz w:val="20"/>
          <w:szCs w:val="20"/>
        </w:rPr>
        <w:t xml:space="preserve">Maya </w:t>
      </w:r>
      <w:proofErr w:type="spellStart"/>
      <w:r w:rsidR="009E52D6" w:rsidRPr="008A7BD7">
        <w:rPr>
          <w:rFonts w:ascii="Cambria" w:eastAsia="Montserrat" w:hAnsi="Cambria" w:cs="Montserrat"/>
          <w:sz w:val="20"/>
          <w:szCs w:val="20"/>
        </w:rPr>
        <w:t>Q’eqchi</w:t>
      </w:r>
      <w:proofErr w:type="spellEnd"/>
      <w:r w:rsidR="009E52D6" w:rsidRPr="008A7BD7">
        <w:rPr>
          <w:rFonts w:ascii="Cambria" w:eastAsia="Montserrat" w:hAnsi="Cambria" w:cs="Montserrat"/>
          <w:sz w:val="20"/>
          <w:szCs w:val="20"/>
        </w:rPr>
        <w:t xml:space="preserve">’ </w:t>
      </w:r>
      <w:r w:rsidR="00F549B7" w:rsidRPr="008A7BD7">
        <w:rPr>
          <w:rFonts w:ascii="Cambria" w:eastAsia="Montserrat" w:hAnsi="Cambria" w:cs="Montserrat"/>
          <w:sz w:val="20"/>
          <w:szCs w:val="20"/>
        </w:rPr>
        <w:t xml:space="preserve">families from the </w:t>
      </w:r>
      <w:r w:rsidR="009E52D6" w:rsidRPr="008A7BD7">
        <w:rPr>
          <w:rFonts w:ascii="Cambria" w:eastAsia="Montserrat" w:hAnsi="Cambria" w:cs="Montserrat"/>
          <w:sz w:val="20"/>
          <w:szCs w:val="20"/>
        </w:rPr>
        <w:t>Finca</w:t>
      </w:r>
      <w:r w:rsidR="00F549B7" w:rsidRPr="008A7BD7">
        <w:rPr>
          <w:rFonts w:ascii="Cambria" w:eastAsia="Montserrat" w:hAnsi="Cambria" w:cs="Montserrat"/>
          <w:sz w:val="20"/>
          <w:szCs w:val="20"/>
        </w:rPr>
        <w:t xml:space="preserve"> </w:t>
      </w:r>
      <w:proofErr w:type="spellStart"/>
      <w:r w:rsidR="009E52D6" w:rsidRPr="008A7BD7">
        <w:rPr>
          <w:rFonts w:ascii="Cambria" w:eastAsia="Montserrat" w:hAnsi="Cambria" w:cs="Montserrat"/>
          <w:sz w:val="20"/>
          <w:szCs w:val="20"/>
        </w:rPr>
        <w:t>Canaán</w:t>
      </w:r>
      <w:proofErr w:type="spellEnd"/>
      <w:r w:rsidR="00A01CF2" w:rsidRPr="008A7BD7">
        <w:rPr>
          <w:rFonts w:ascii="Cambria" w:eastAsia="Montserrat" w:hAnsi="Cambria" w:cs="Montserrat"/>
          <w:sz w:val="20"/>
          <w:szCs w:val="20"/>
        </w:rPr>
        <w:t>,</w:t>
      </w:r>
      <w:r w:rsidR="009E52D6" w:rsidRPr="008A7BD7">
        <w:rPr>
          <w:rFonts w:ascii="Cambria" w:eastAsia="Montserrat" w:hAnsi="Cambria" w:cs="Montserrat"/>
          <w:sz w:val="20"/>
          <w:szCs w:val="20"/>
        </w:rPr>
        <w:t xml:space="preserve"> S.A.</w:t>
      </w:r>
      <w:r w:rsidR="00A01CF2" w:rsidRPr="008A7BD7">
        <w:rPr>
          <w:rFonts w:ascii="Cambria" w:eastAsia="Montserrat" w:hAnsi="Cambria" w:cs="Montserrat"/>
          <w:sz w:val="20"/>
          <w:szCs w:val="20"/>
        </w:rPr>
        <w:t xml:space="preserve"> </w:t>
      </w:r>
      <w:r w:rsidR="00F549B7" w:rsidRPr="008A7BD7">
        <w:rPr>
          <w:rFonts w:ascii="Cambria" w:eastAsia="Montserrat" w:hAnsi="Cambria" w:cs="Montserrat"/>
          <w:sz w:val="20"/>
          <w:szCs w:val="20"/>
        </w:rPr>
        <w:t xml:space="preserve">in </w:t>
      </w:r>
      <w:r w:rsidR="009E52D6" w:rsidRPr="008A7BD7">
        <w:rPr>
          <w:rFonts w:ascii="Cambria" w:eastAsia="Montserrat" w:hAnsi="Cambria" w:cs="Montserrat"/>
          <w:sz w:val="20"/>
          <w:szCs w:val="20"/>
        </w:rPr>
        <w:t xml:space="preserve">El </w:t>
      </w:r>
      <w:proofErr w:type="spellStart"/>
      <w:r w:rsidR="009E52D6" w:rsidRPr="008A7BD7">
        <w:rPr>
          <w:rFonts w:ascii="Cambria" w:eastAsia="Montserrat" w:hAnsi="Cambria" w:cs="Montserrat"/>
          <w:sz w:val="20"/>
          <w:szCs w:val="20"/>
        </w:rPr>
        <w:t>Estor</w:t>
      </w:r>
      <w:proofErr w:type="spellEnd"/>
      <w:r w:rsidR="009E52D6" w:rsidRPr="008A7BD7">
        <w:rPr>
          <w:rFonts w:ascii="Cambria" w:eastAsia="Montserrat" w:hAnsi="Cambria" w:cs="Montserrat"/>
          <w:sz w:val="20"/>
          <w:szCs w:val="20"/>
        </w:rPr>
        <w:t xml:space="preserve">, Izabal, </w:t>
      </w:r>
      <w:r w:rsidR="00F549B7" w:rsidRPr="008A7BD7">
        <w:rPr>
          <w:rFonts w:ascii="Cambria" w:eastAsia="Montserrat" w:hAnsi="Cambria" w:cs="Montserrat"/>
          <w:sz w:val="20"/>
          <w:szCs w:val="20"/>
        </w:rPr>
        <w:t>the State indicated that “the eviction was schedule</w:t>
      </w:r>
      <w:r w:rsidR="006D0109" w:rsidRPr="008A7BD7">
        <w:rPr>
          <w:rFonts w:ascii="Cambria" w:eastAsia="Montserrat" w:hAnsi="Cambria" w:cs="Montserrat"/>
          <w:sz w:val="20"/>
          <w:szCs w:val="20"/>
        </w:rPr>
        <w:t>d</w:t>
      </w:r>
      <w:r w:rsidR="00F549B7" w:rsidRPr="008A7BD7">
        <w:rPr>
          <w:rFonts w:ascii="Cambria" w:eastAsia="Montserrat" w:hAnsi="Cambria" w:cs="Montserrat"/>
          <w:sz w:val="20"/>
          <w:szCs w:val="20"/>
        </w:rPr>
        <w:t xml:space="preserve"> for June 16, </w:t>
      </w:r>
      <w:r w:rsidR="009E52D6" w:rsidRPr="008A7BD7">
        <w:rPr>
          <w:rFonts w:ascii="Cambria" w:eastAsia="Montserrat" w:hAnsi="Cambria" w:cs="Montserrat"/>
          <w:sz w:val="20"/>
          <w:szCs w:val="20"/>
        </w:rPr>
        <w:t>2021</w:t>
      </w:r>
      <w:r w:rsidR="00F549B7" w:rsidRPr="008A7BD7">
        <w:rPr>
          <w:rFonts w:ascii="Cambria" w:eastAsia="Montserrat" w:hAnsi="Cambria" w:cs="Montserrat"/>
          <w:sz w:val="20"/>
          <w:szCs w:val="20"/>
        </w:rPr>
        <w:t xml:space="preserve">, and the </w:t>
      </w:r>
      <w:r w:rsidR="009E52D6" w:rsidRPr="008A7BD7">
        <w:rPr>
          <w:rFonts w:ascii="Cambria" w:eastAsia="Montserrat" w:hAnsi="Cambria" w:cs="Montserrat"/>
          <w:sz w:val="20"/>
          <w:szCs w:val="20"/>
        </w:rPr>
        <w:t xml:space="preserve">PGN </w:t>
      </w:r>
      <w:r w:rsidR="00F549B7" w:rsidRPr="008A7BD7">
        <w:rPr>
          <w:rFonts w:ascii="Cambria" w:eastAsia="Montserrat" w:hAnsi="Cambria" w:cs="Montserrat"/>
          <w:sz w:val="20"/>
          <w:szCs w:val="20"/>
        </w:rPr>
        <w:t>representative who went to the site was able to verify that no children or adolescents, senior citizens, o</w:t>
      </w:r>
      <w:r w:rsidR="00A01CF2" w:rsidRPr="008A7BD7">
        <w:rPr>
          <w:rFonts w:ascii="Cambria" w:eastAsia="Montserrat" w:hAnsi="Cambria" w:cs="Montserrat"/>
          <w:sz w:val="20"/>
          <w:szCs w:val="20"/>
        </w:rPr>
        <w:t>r</w:t>
      </w:r>
      <w:r w:rsidR="00F549B7" w:rsidRPr="008A7BD7">
        <w:rPr>
          <w:rFonts w:ascii="Cambria" w:eastAsia="Montserrat" w:hAnsi="Cambria" w:cs="Montserrat"/>
          <w:sz w:val="20"/>
          <w:szCs w:val="20"/>
        </w:rPr>
        <w:t xml:space="preserve"> persons with disabilities were present. </w:t>
      </w:r>
      <w:r w:rsidR="00D9388B" w:rsidRPr="008A7BD7">
        <w:rPr>
          <w:rFonts w:ascii="Cambria" w:eastAsia="Montserrat" w:hAnsi="Cambria" w:cs="Montserrat"/>
          <w:sz w:val="20"/>
          <w:szCs w:val="20"/>
        </w:rPr>
        <w:t>W</w:t>
      </w:r>
      <w:r w:rsidR="00A01CF2" w:rsidRPr="008A7BD7">
        <w:rPr>
          <w:rFonts w:ascii="Cambria" w:eastAsia="Montserrat" w:hAnsi="Cambria" w:cs="Montserrat"/>
          <w:sz w:val="20"/>
          <w:szCs w:val="20"/>
        </w:rPr>
        <w:t xml:space="preserve">ith </w:t>
      </w:r>
      <w:r w:rsidR="00D9388B" w:rsidRPr="008A7BD7">
        <w:rPr>
          <w:rFonts w:ascii="Cambria" w:eastAsia="Montserrat" w:hAnsi="Cambria" w:cs="Montserrat"/>
          <w:sz w:val="20"/>
          <w:szCs w:val="20"/>
        </w:rPr>
        <w:t>members</w:t>
      </w:r>
      <w:r w:rsidR="00A01CF2" w:rsidRPr="008A7BD7">
        <w:rPr>
          <w:rFonts w:ascii="Cambria" w:eastAsia="Montserrat" w:hAnsi="Cambria" w:cs="Montserrat"/>
          <w:sz w:val="20"/>
          <w:szCs w:val="20"/>
        </w:rPr>
        <w:t xml:space="preserve"> of the National Civil Police</w:t>
      </w:r>
      <w:r w:rsidR="00D9388B" w:rsidRPr="008A7BD7">
        <w:rPr>
          <w:rFonts w:ascii="Cambria" w:eastAsia="Montserrat" w:hAnsi="Cambria" w:cs="Montserrat"/>
          <w:sz w:val="20"/>
          <w:szCs w:val="20"/>
        </w:rPr>
        <w:t>, the</w:t>
      </w:r>
      <w:r w:rsidR="00A01CF2" w:rsidRPr="008A7BD7">
        <w:rPr>
          <w:rFonts w:ascii="Cambria" w:eastAsia="Montserrat" w:hAnsi="Cambria" w:cs="Montserrat"/>
          <w:sz w:val="20"/>
          <w:szCs w:val="20"/>
        </w:rPr>
        <w:t xml:space="preserve"> </w:t>
      </w:r>
      <w:r w:rsidR="00695FED" w:rsidRPr="008A7BD7">
        <w:rPr>
          <w:rFonts w:ascii="Cambria" w:eastAsia="Montserrat" w:hAnsi="Cambria" w:cs="Montserrat"/>
          <w:sz w:val="20"/>
          <w:szCs w:val="20"/>
        </w:rPr>
        <w:t>respective Justice of the Peace</w:t>
      </w:r>
      <w:r w:rsidR="00D9388B" w:rsidRPr="008A7BD7">
        <w:rPr>
          <w:rFonts w:ascii="Cambria" w:eastAsia="Montserrat" w:hAnsi="Cambria" w:cs="Montserrat"/>
          <w:sz w:val="20"/>
          <w:szCs w:val="20"/>
        </w:rPr>
        <w:t>,</w:t>
      </w:r>
      <w:r w:rsidR="00FF2961" w:rsidRPr="008A7BD7">
        <w:rPr>
          <w:rFonts w:ascii="Cambria" w:eastAsia="Montserrat" w:hAnsi="Cambria" w:cs="Montserrat"/>
          <w:sz w:val="20"/>
          <w:szCs w:val="20"/>
        </w:rPr>
        <w:t xml:space="preserve"> </w:t>
      </w:r>
      <w:r w:rsidR="00695FED" w:rsidRPr="008A7BD7">
        <w:rPr>
          <w:rFonts w:ascii="Cambria" w:eastAsia="Montserrat" w:hAnsi="Cambria" w:cs="Montserrat"/>
          <w:sz w:val="20"/>
          <w:szCs w:val="20"/>
        </w:rPr>
        <w:t>and other institutions</w:t>
      </w:r>
      <w:r w:rsidR="00D9388B" w:rsidRPr="008A7BD7">
        <w:rPr>
          <w:rFonts w:ascii="Cambria" w:eastAsia="Montserrat" w:hAnsi="Cambria" w:cs="Montserrat"/>
          <w:sz w:val="20"/>
          <w:szCs w:val="20"/>
        </w:rPr>
        <w:t xml:space="preserve"> at the scene</w:t>
      </w:r>
      <w:r w:rsidR="00696A64" w:rsidRPr="008A7BD7">
        <w:rPr>
          <w:rFonts w:ascii="Cambria" w:eastAsia="Montserrat" w:hAnsi="Cambria" w:cs="Montserrat"/>
          <w:sz w:val="20"/>
          <w:szCs w:val="20"/>
        </w:rPr>
        <w:t>,</w:t>
      </w:r>
      <w:r w:rsidR="00D9388B" w:rsidRPr="008A7BD7">
        <w:rPr>
          <w:rFonts w:ascii="Cambria" w:eastAsia="Montserrat" w:hAnsi="Cambria" w:cs="Montserrat"/>
          <w:sz w:val="20"/>
          <w:szCs w:val="20"/>
        </w:rPr>
        <w:t xml:space="preserve"> it was</w:t>
      </w:r>
      <w:r w:rsidR="00696A64" w:rsidRPr="008A7BD7">
        <w:rPr>
          <w:rFonts w:ascii="Cambria" w:eastAsia="Montserrat" w:hAnsi="Cambria" w:cs="Montserrat"/>
          <w:sz w:val="20"/>
          <w:szCs w:val="20"/>
        </w:rPr>
        <w:t xml:space="preserve"> verified that the squatters </w:t>
      </w:r>
      <w:r w:rsidR="004D2228" w:rsidRPr="008A7BD7">
        <w:rPr>
          <w:rFonts w:ascii="Cambria" w:eastAsia="Montserrat" w:hAnsi="Cambria" w:cs="Montserrat"/>
          <w:sz w:val="20"/>
          <w:szCs w:val="20"/>
        </w:rPr>
        <w:t xml:space="preserve">on the farm </w:t>
      </w:r>
      <w:r w:rsidR="00696A64" w:rsidRPr="008A7BD7">
        <w:rPr>
          <w:rFonts w:ascii="Cambria" w:eastAsia="Montserrat" w:hAnsi="Cambria" w:cs="Montserrat"/>
          <w:sz w:val="20"/>
          <w:szCs w:val="20"/>
        </w:rPr>
        <w:t xml:space="preserve">belonged to a single family </w:t>
      </w:r>
      <w:r w:rsidR="00D9388B" w:rsidRPr="008A7BD7">
        <w:rPr>
          <w:rFonts w:ascii="Cambria" w:eastAsia="Montserrat" w:hAnsi="Cambria" w:cs="Montserrat"/>
          <w:sz w:val="20"/>
          <w:szCs w:val="20"/>
        </w:rPr>
        <w:t>of about</w:t>
      </w:r>
      <w:r w:rsidR="00696A64" w:rsidRPr="008A7BD7">
        <w:rPr>
          <w:rFonts w:ascii="Cambria" w:eastAsia="Montserrat" w:hAnsi="Cambria" w:cs="Montserrat"/>
          <w:sz w:val="20"/>
          <w:szCs w:val="20"/>
        </w:rPr>
        <w:t xml:space="preserve"> 40 people, and</w:t>
      </w:r>
      <w:r w:rsidR="009E52D6" w:rsidRPr="008A7BD7">
        <w:rPr>
          <w:rFonts w:ascii="Cambria" w:eastAsia="Montserrat" w:hAnsi="Cambria" w:cs="Montserrat"/>
          <w:sz w:val="20"/>
          <w:szCs w:val="20"/>
        </w:rPr>
        <w:t xml:space="preserve"> </w:t>
      </w:r>
      <w:r w:rsidR="00696A64" w:rsidRPr="008A7BD7">
        <w:rPr>
          <w:rFonts w:ascii="Cambria" w:eastAsia="Montserrat" w:hAnsi="Cambria" w:cs="Montserrat"/>
          <w:sz w:val="20"/>
          <w:szCs w:val="20"/>
        </w:rPr>
        <w:t>the eviction (which took approximately one hour) proceeded without incident</w:t>
      </w:r>
      <w:r w:rsidR="00400724" w:rsidRPr="008A7BD7">
        <w:rPr>
          <w:rFonts w:ascii="Cambria" w:eastAsia="Montserrat" w:hAnsi="Cambria" w:cs="Montserrat"/>
          <w:sz w:val="20"/>
          <w:szCs w:val="20"/>
        </w:rPr>
        <w:t>.</w:t>
      </w:r>
      <w:r w:rsidR="009E52D6" w:rsidRPr="008A7BD7">
        <w:rPr>
          <w:rFonts w:ascii="Cambria" w:eastAsia="Montserrat" w:hAnsi="Cambria" w:cs="Montserrat"/>
          <w:sz w:val="20"/>
          <w:szCs w:val="20"/>
        </w:rPr>
        <w:t xml:space="preserve">” </w:t>
      </w:r>
      <w:r w:rsidR="004D2228" w:rsidRPr="008A7BD7">
        <w:rPr>
          <w:rFonts w:ascii="Cambria" w:eastAsia="Montserrat" w:hAnsi="Cambria" w:cs="Montserrat"/>
          <w:sz w:val="20"/>
          <w:szCs w:val="20"/>
        </w:rPr>
        <w:t xml:space="preserve">Meanwhile, </w:t>
      </w:r>
      <w:proofErr w:type="gramStart"/>
      <w:r w:rsidR="004D2228" w:rsidRPr="008A7BD7">
        <w:rPr>
          <w:rFonts w:ascii="Cambria" w:eastAsia="Montserrat" w:hAnsi="Cambria" w:cs="Montserrat"/>
          <w:sz w:val="20"/>
          <w:szCs w:val="20"/>
        </w:rPr>
        <w:t>with regard to</w:t>
      </w:r>
      <w:proofErr w:type="gramEnd"/>
      <w:r w:rsidR="004D2228" w:rsidRPr="008A7BD7">
        <w:rPr>
          <w:rFonts w:ascii="Cambria" w:eastAsia="Montserrat" w:hAnsi="Cambria" w:cs="Montserrat"/>
          <w:sz w:val="20"/>
          <w:szCs w:val="20"/>
        </w:rPr>
        <w:t xml:space="preserve"> the </w:t>
      </w:r>
      <w:proofErr w:type="spellStart"/>
      <w:r w:rsidR="009E52D6" w:rsidRPr="008A7BD7">
        <w:rPr>
          <w:rFonts w:ascii="Cambria" w:eastAsia="Montserrat" w:hAnsi="Cambria" w:cs="Montserrat"/>
          <w:sz w:val="20"/>
          <w:szCs w:val="20"/>
        </w:rPr>
        <w:t>Q'eqchi</w:t>
      </w:r>
      <w:proofErr w:type="spellEnd"/>
      <w:r w:rsidR="009E52D6" w:rsidRPr="008A7BD7">
        <w:rPr>
          <w:rFonts w:ascii="Cambria" w:eastAsia="Montserrat" w:hAnsi="Cambria" w:cs="Montserrat"/>
          <w:sz w:val="20"/>
          <w:szCs w:val="20"/>
        </w:rPr>
        <w:t xml:space="preserve">' </w:t>
      </w:r>
      <w:r w:rsidR="004D2228" w:rsidRPr="008A7BD7">
        <w:rPr>
          <w:rFonts w:ascii="Cambria" w:eastAsia="Montserrat" w:hAnsi="Cambria" w:cs="Montserrat"/>
          <w:sz w:val="20"/>
          <w:szCs w:val="20"/>
        </w:rPr>
        <w:t xml:space="preserve">families from the </w:t>
      </w:r>
      <w:proofErr w:type="spellStart"/>
      <w:r w:rsidR="009E52D6" w:rsidRPr="008A7BD7">
        <w:rPr>
          <w:rFonts w:ascii="Cambria" w:eastAsia="Montserrat" w:hAnsi="Cambria" w:cs="Montserrat"/>
          <w:sz w:val="20"/>
          <w:szCs w:val="20"/>
        </w:rPr>
        <w:t>Aktela</w:t>
      </w:r>
      <w:proofErr w:type="spellEnd"/>
      <w:r w:rsidR="004D2228" w:rsidRPr="008A7BD7">
        <w:rPr>
          <w:rFonts w:ascii="Cambria" w:eastAsia="Montserrat" w:hAnsi="Cambria" w:cs="Montserrat"/>
          <w:sz w:val="20"/>
          <w:szCs w:val="20"/>
        </w:rPr>
        <w:t xml:space="preserve"> community in</w:t>
      </w:r>
      <w:r w:rsidR="009E52D6" w:rsidRPr="008A7BD7">
        <w:rPr>
          <w:rFonts w:ascii="Cambria" w:eastAsia="Montserrat" w:hAnsi="Cambria" w:cs="Montserrat"/>
          <w:sz w:val="20"/>
          <w:szCs w:val="20"/>
        </w:rPr>
        <w:t xml:space="preserve"> Sierra Santa Cruz, Izabal, </w:t>
      </w:r>
      <w:r w:rsidR="004D2228" w:rsidRPr="008A7BD7">
        <w:rPr>
          <w:rFonts w:ascii="Cambria" w:eastAsia="Montserrat" w:hAnsi="Cambria" w:cs="Montserrat"/>
          <w:sz w:val="20"/>
          <w:szCs w:val="20"/>
        </w:rPr>
        <w:t xml:space="preserve">the State noted that “during the verification on the ground, it was established that there were no human settlements in the entire area, and no </w:t>
      </w:r>
      <w:r w:rsidR="001062AC" w:rsidRPr="008A7BD7">
        <w:rPr>
          <w:rFonts w:ascii="Cambria" w:eastAsia="Montserrat" w:hAnsi="Cambria" w:cs="Montserrat"/>
          <w:sz w:val="20"/>
          <w:szCs w:val="20"/>
        </w:rPr>
        <w:t xml:space="preserve">alleged squatters </w:t>
      </w:r>
      <w:r w:rsidR="001062AC" w:rsidRPr="008A7BD7">
        <w:rPr>
          <w:rFonts w:ascii="Cambria" w:eastAsia="Montserrat" w:hAnsi="Cambria" w:cs="Montserrat"/>
          <w:sz w:val="20"/>
          <w:szCs w:val="20"/>
        </w:rPr>
        <w:lastRenderedPageBreak/>
        <w:t>were found</w:t>
      </w:r>
      <w:r w:rsidR="004D2228" w:rsidRPr="008A7BD7">
        <w:rPr>
          <w:rFonts w:ascii="Cambria" w:eastAsia="Montserrat" w:hAnsi="Cambria" w:cs="Montserrat"/>
          <w:sz w:val="20"/>
          <w:szCs w:val="20"/>
        </w:rPr>
        <w:t xml:space="preserve"> </w:t>
      </w:r>
      <w:r w:rsidR="001062AC" w:rsidRPr="008A7BD7">
        <w:rPr>
          <w:rFonts w:ascii="Cambria" w:eastAsia="Montserrat" w:hAnsi="Cambria" w:cs="Montserrat"/>
          <w:sz w:val="20"/>
          <w:szCs w:val="20"/>
        </w:rPr>
        <w:t>during the entire field visit</w:t>
      </w:r>
      <w:r w:rsidR="009E52D6" w:rsidRPr="008A7BD7">
        <w:rPr>
          <w:rFonts w:ascii="Cambria" w:eastAsia="Montserrat" w:hAnsi="Cambria" w:cs="Montserrat"/>
          <w:sz w:val="20"/>
          <w:szCs w:val="20"/>
        </w:rPr>
        <w:t xml:space="preserve">. </w:t>
      </w:r>
      <w:r w:rsidR="001062AC" w:rsidRPr="008A7BD7">
        <w:rPr>
          <w:rFonts w:ascii="Cambria" w:eastAsia="Montserrat" w:hAnsi="Cambria" w:cs="Montserrat"/>
          <w:sz w:val="20"/>
          <w:szCs w:val="20"/>
        </w:rPr>
        <w:t>The only thing reported during the inspection was</w:t>
      </w:r>
      <w:r w:rsidR="009E52D6" w:rsidRPr="008A7BD7">
        <w:rPr>
          <w:rFonts w:ascii="Cambria" w:eastAsia="Montserrat" w:hAnsi="Cambria" w:cs="Montserrat"/>
          <w:sz w:val="20"/>
          <w:szCs w:val="20"/>
        </w:rPr>
        <w:t xml:space="preserve"> </w:t>
      </w:r>
      <w:r w:rsidR="001062AC" w:rsidRPr="008A7BD7">
        <w:rPr>
          <w:rFonts w:ascii="Cambria" w:eastAsia="Montserrat" w:hAnsi="Cambria" w:cs="Montserrat"/>
          <w:sz w:val="20"/>
          <w:szCs w:val="20"/>
        </w:rPr>
        <w:t xml:space="preserve">that </w:t>
      </w:r>
      <w:r w:rsidR="001435A0" w:rsidRPr="008A7BD7">
        <w:rPr>
          <w:rFonts w:ascii="Cambria" w:eastAsia="Montserrat" w:hAnsi="Cambria" w:cs="Montserrat"/>
          <w:sz w:val="20"/>
          <w:szCs w:val="20"/>
        </w:rPr>
        <w:t xml:space="preserve">in </w:t>
      </w:r>
      <w:r w:rsidR="001062AC" w:rsidRPr="008A7BD7">
        <w:rPr>
          <w:rFonts w:ascii="Cambria" w:eastAsia="Montserrat" w:hAnsi="Cambria" w:cs="Montserrat"/>
          <w:sz w:val="20"/>
          <w:szCs w:val="20"/>
        </w:rPr>
        <w:t>two areas</w:t>
      </w:r>
      <w:r w:rsidR="001435A0" w:rsidRPr="008A7BD7">
        <w:rPr>
          <w:rFonts w:ascii="Cambria" w:eastAsia="Montserrat" w:hAnsi="Cambria" w:cs="Montserrat"/>
          <w:sz w:val="20"/>
          <w:szCs w:val="20"/>
        </w:rPr>
        <w:t xml:space="preserve">, </w:t>
      </w:r>
      <w:r w:rsidR="001062AC" w:rsidRPr="008A7BD7">
        <w:rPr>
          <w:rFonts w:ascii="Cambria" w:eastAsia="Montserrat" w:hAnsi="Cambria" w:cs="Montserrat"/>
          <w:sz w:val="20"/>
          <w:szCs w:val="20"/>
        </w:rPr>
        <w:t xml:space="preserve">several blocks </w:t>
      </w:r>
      <w:r w:rsidR="001435A0" w:rsidRPr="008A7BD7">
        <w:rPr>
          <w:rFonts w:ascii="Cambria" w:eastAsia="Montserrat" w:hAnsi="Cambria" w:cs="Montserrat"/>
          <w:sz w:val="20"/>
          <w:szCs w:val="20"/>
        </w:rPr>
        <w:t xml:space="preserve">of land </w:t>
      </w:r>
      <w:r w:rsidR="001062AC" w:rsidRPr="008A7BD7">
        <w:rPr>
          <w:rFonts w:ascii="Cambria" w:eastAsia="Montserrat" w:hAnsi="Cambria" w:cs="Montserrat"/>
          <w:sz w:val="20"/>
          <w:szCs w:val="20"/>
        </w:rPr>
        <w:t>had been completely cleared of trees and planted with cardamom.”</w:t>
      </w:r>
      <w:r w:rsidR="009E52D6" w:rsidRPr="008A7BD7">
        <w:rPr>
          <w:rStyle w:val="FootnoteReference"/>
          <w:rFonts w:ascii="Cambria" w:eastAsia="Montserrat" w:hAnsi="Cambria" w:cs="Montserrat"/>
          <w:sz w:val="20"/>
          <w:szCs w:val="20"/>
          <w:lang w:val="es-US"/>
        </w:rPr>
        <w:footnoteReference w:id="298"/>
      </w:r>
      <w:r w:rsidR="009E52D6" w:rsidRPr="008A7BD7">
        <w:rPr>
          <w:rFonts w:ascii="Cambria" w:eastAsia="Montserrat" w:hAnsi="Cambria" w:cs="Montserrat"/>
          <w:sz w:val="20"/>
          <w:szCs w:val="20"/>
        </w:rPr>
        <w:t xml:space="preserve"> </w:t>
      </w:r>
    </w:p>
    <w:p w14:paraId="38C57BD3" w14:textId="77777777" w:rsidR="004D1FCF" w:rsidRPr="008A7BD7" w:rsidRDefault="004D1FCF" w:rsidP="004D1FCF">
      <w:pPr>
        <w:pStyle w:val="ListParagraph"/>
        <w:rPr>
          <w:rFonts w:ascii="Cambria" w:eastAsia="Cambria" w:hAnsi="Cambria" w:cs="Cambria"/>
          <w:color w:val="000000" w:themeColor="text1"/>
          <w:sz w:val="20"/>
          <w:szCs w:val="20"/>
        </w:rPr>
      </w:pPr>
    </w:p>
    <w:p w14:paraId="4AA9AB70" w14:textId="521087E0" w:rsidR="0028307B" w:rsidRPr="008A7BD7" w:rsidRDefault="003C7BBB"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In that regard, the Commission has indicated that evictions </w:t>
      </w:r>
      <w:r w:rsidR="008F3D96" w:rsidRPr="008A7BD7">
        <w:rPr>
          <w:rFonts w:ascii="Cambria" w:eastAsia="Cambria" w:hAnsi="Cambria" w:cs="Cambria"/>
          <w:color w:val="000000" w:themeColor="text1"/>
          <w:sz w:val="20"/>
          <w:szCs w:val="20"/>
        </w:rPr>
        <w:t>must</w:t>
      </w:r>
      <w:r w:rsidRPr="008A7BD7">
        <w:rPr>
          <w:rFonts w:ascii="Cambria" w:eastAsia="Cambria" w:hAnsi="Cambria" w:cs="Cambria"/>
          <w:color w:val="000000" w:themeColor="text1"/>
          <w:sz w:val="20"/>
          <w:szCs w:val="20"/>
        </w:rPr>
        <w:t xml:space="preserve"> only be carried out in compliance with </w:t>
      </w:r>
      <w:r w:rsidR="00C63BA8" w:rsidRPr="008A7BD7">
        <w:rPr>
          <w:rFonts w:ascii="Cambria" w:eastAsia="Cambria" w:hAnsi="Cambria" w:cs="Cambria"/>
          <w:color w:val="000000" w:themeColor="text1"/>
          <w:sz w:val="20"/>
          <w:szCs w:val="20"/>
        </w:rPr>
        <w:t>universal</w:t>
      </w:r>
      <w:r w:rsidRPr="008A7BD7">
        <w:rPr>
          <w:rFonts w:ascii="Cambria" w:eastAsia="Cambria" w:hAnsi="Cambria" w:cs="Cambria"/>
          <w:color w:val="000000" w:themeColor="text1"/>
          <w:sz w:val="20"/>
          <w:szCs w:val="20"/>
        </w:rPr>
        <w:t xml:space="preserve"> and inter-American human rights norms and standards and </w:t>
      </w:r>
      <w:r w:rsidR="00C63BA8" w:rsidRPr="008A7BD7">
        <w:rPr>
          <w:rFonts w:ascii="Cambria" w:eastAsia="Cambria" w:hAnsi="Cambria" w:cs="Cambria"/>
          <w:color w:val="000000" w:themeColor="text1"/>
          <w:sz w:val="20"/>
          <w:szCs w:val="20"/>
        </w:rPr>
        <w:t xml:space="preserve">with </w:t>
      </w:r>
      <w:r w:rsidRPr="008A7BD7">
        <w:rPr>
          <w:rFonts w:ascii="Cambria" w:eastAsia="Cambria" w:hAnsi="Cambria" w:cs="Cambria"/>
          <w:color w:val="000000" w:themeColor="text1"/>
          <w:sz w:val="20"/>
          <w:szCs w:val="20"/>
        </w:rPr>
        <w:t>the principles of exceptionality, legality, proportionality, and suitability</w:t>
      </w:r>
      <w:r w:rsidR="004D1FCF" w:rsidRPr="008A7BD7">
        <w:rPr>
          <w:rFonts w:ascii="Cambria" w:eastAsia="Cambria" w:hAnsi="Cambria" w:cs="Cambria"/>
          <w:color w:val="000000" w:themeColor="text1"/>
          <w:sz w:val="20"/>
          <w:szCs w:val="20"/>
        </w:rPr>
        <w:t xml:space="preserve">, </w:t>
      </w:r>
      <w:r w:rsidRPr="008A7BD7">
        <w:rPr>
          <w:rFonts w:ascii="Cambria" w:eastAsia="Cambria" w:hAnsi="Cambria" w:cs="Cambria"/>
          <w:color w:val="000000" w:themeColor="text1"/>
          <w:sz w:val="20"/>
          <w:szCs w:val="20"/>
        </w:rPr>
        <w:t>with the legitimate aim of promoting social well-being.</w:t>
      </w:r>
      <w:r w:rsidR="008F3D96" w:rsidRPr="008A7BD7">
        <w:rPr>
          <w:rFonts w:ascii="Cambria" w:eastAsia="Cambria" w:hAnsi="Cambria" w:cs="Cambria"/>
          <w:color w:val="000000" w:themeColor="text1"/>
          <w:sz w:val="20"/>
          <w:szCs w:val="20"/>
        </w:rPr>
        <w:t xml:space="preserve"> During an eviction, it is crucial to abide by the strictest procedures, including essential procedural guarantees </w:t>
      </w:r>
      <w:r w:rsidR="00817A0E" w:rsidRPr="008A7BD7">
        <w:rPr>
          <w:rFonts w:ascii="Cambria" w:eastAsia="Cambria" w:hAnsi="Cambria" w:cs="Cambria"/>
          <w:color w:val="000000" w:themeColor="text1"/>
          <w:sz w:val="20"/>
          <w:szCs w:val="20"/>
        </w:rPr>
        <w:t>that</w:t>
      </w:r>
      <w:r w:rsidR="004D1FCF" w:rsidRPr="008A7BD7">
        <w:rPr>
          <w:rFonts w:ascii="Cambria" w:eastAsia="Cambria" w:hAnsi="Cambria" w:cs="Cambria"/>
          <w:color w:val="000000" w:themeColor="text1"/>
          <w:sz w:val="20"/>
          <w:szCs w:val="20"/>
        </w:rPr>
        <w:t xml:space="preserve">: </w:t>
      </w:r>
      <w:r w:rsidR="006C3E59"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 xml:space="preserve">i) </w:t>
      </w:r>
      <w:r w:rsidR="008F3D96" w:rsidRPr="008A7BD7">
        <w:rPr>
          <w:rFonts w:ascii="Cambria" w:eastAsia="Cambria" w:hAnsi="Cambria" w:cs="Cambria"/>
          <w:color w:val="000000" w:themeColor="text1"/>
          <w:sz w:val="20"/>
          <w:szCs w:val="20"/>
        </w:rPr>
        <w:t>ensur</w:t>
      </w:r>
      <w:r w:rsidR="00817A0E" w:rsidRPr="008A7BD7">
        <w:rPr>
          <w:rFonts w:ascii="Cambria" w:eastAsia="Cambria" w:hAnsi="Cambria" w:cs="Cambria"/>
          <w:color w:val="000000" w:themeColor="text1"/>
          <w:sz w:val="20"/>
          <w:szCs w:val="20"/>
        </w:rPr>
        <w:t>e</w:t>
      </w:r>
      <w:r w:rsidR="008F3D96" w:rsidRPr="008A7BD7">
        <w:rPr>
          <w:rFonts w:ascii="Cambria" w:eastAsia="Cambria" w:hAnsi="Cambria" w:cs="Cambria"/>
          <w:color w:val="000000" w:themeColor="text1"/>
          <w:sz w:val="20"/>
          <w:szCs w:val="20"/>
        </w:rPr>
        <w:t xml:space="preserve"> an auth</w:t>
      </w:r>
      <w:r w:rsidR="006C3E59" w:rsidRPr="008A7BD7">
        <w:rPr>
          <w:rFonts w:ascii="Cambria" w:eastAsia="Cambria" w:hAnsi="Cambria" w:cs="Cambria"/>
          <w:color w:val="000000" w:themeColor="text1"/>
          <w:sz w:val="20"/>
          <w:szCs w:val="20"/>
        </w:rPr>
        <w:t>entic opportunity for consultation with the affected persons</w:t>
      </w:r>
      <w:r w:rsidR="004D1FCF" w:rsidRPr="008A7BD7">
        <w:rPr>
          <w:rFonts w:ascii="Cambria" w:eastAsia="Cambria" w:hAnsi="Cambria" w:cs="Cambria"/>
          <w:color w:val="000000" w:themeColor="text1"/>
          <w:sz w:val="20"/>
          <w:szCs w:val="20"/>
        </w:rPr>
        <w:t xml:space="preserve">; </w:t>
      </w:r>
      <w:r w:rsidR="006C3E59"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 xml:space="preserve">ii) </w:t>
      </w:r>
      <w:r w:rsidR="006C3E59" w:rsidRPr="008A7BD7">
        <w:rPr>
          <w:rFonts w:ascii="Cambria" w:eastAsia="Cambria" w:hAnsi="Cambria" w:cs="Cambria"/>
          <w:color w:val="000000" w:themeColor="text1"/>
          <w:sz w:val="20"/>
          <w:szCs w:val="20"/>
        </w:rPr>
        <w:t>provid</w:t>
      </w:r>
      <w:r w:rsidR="00817A0E" w:rsidRPr="008A7BD7">
        <w:rPr>
          <w:rFonts w:ascii="Cambria" w:eastAsia="Cambria" w:hAnsi="Cambria" w:cs="Cambria"/>
          <w:color w:val="000000" w:themeColor="text1"/>
          <w:sz w:val="20"/>
          <w:szCs w:val="20"/>
        </w:rPr>
        <w:t>e</w:t>
      </w:r>
      <w:r w:rsidR="006C3E59" w:rsidRPr="008A7BD7">
        <w:rPr>
          <w:rFonts w:ascii="Cambria" w:eastAsia="Cambria" w:hAnsi="Cambria" w:cs="Cambria"/>
          <w:color w:val="000000" w:themeColor="text1"/>
          <w:sz w:val="20"/>
          <w:szCs w:val="20"/>
        </w:rPr>
        <w:t xml:space="preserve"> reasonable and sufficient advance notice ahead of the scheduled date of eviction; (i</w:t>
      </w:r>
      <w:r w:rsidR="004D1FCF" w:rsidRPr="008A7BD7">
        <w:rPr>
          <w:rFonts w:ascii="Cambria" w:eastAsia="Cambria" w:hAnsi="Cambria" w:cs="Cambria"/>
          <w:color w:val="000000" w:themeColor="text1"/>
          <w:sz w:val="20"/>
          <w:szCs w:val="20"/>
        </w:rPr>
        <w:t xml:space="preserve">ii) </w:t>
      </w:r>
      <w:r w:rsidR="006C3E59" w:rsidRPr="008A7BD7">
        <w:rPr>
          <w:rFonts w:ascii="Cambria" w:eastAsia="Cambria" w:hAnsi="Cambria" w:cs="Cambria"/>
          <w:color w:val="000000" w:themeColor="text1"/>
          <w:sz w:val="20"/>
          <w:szCs w:val="20"/>
        </w:rPr>
        <w:t>ensur</w:t>
      </w:r>
      <w:r w:rsidR="00817A0E" w:rsidRPr="008A7BD7">
        <w:rPr>
          <w:rFonts w:ascii="Cambria" w:eastAsia="Cambria" w:hAnsi="Cambria" w:cs="Cambria"/>
          <w:color w:val="000000" w:themeColor="text1"/>
          <w:sz w:val="20"/>
          <w:szCs w:val="20"/>
        </w:rPr>
        <w:t>e</w:t>
      </w:r>
      <w:r w:rsidR="006C3E59" w:rsidRPr="008A7BD7">
        <w:rPr>
          <w:rFonts w:ascii="Cambria" w:eastAsia="Cambria" w:hAnsi="Cambria" w:cs="Cambria"/>
          <w:color w:val="000000" w:themeColor="text1"/>
          <w:sz w:val="20"/>
          <w:szCs w:val="20"/>
        </w:rPr>
        <w:t xml:space="preserve"> access to effective legal remedies and assistance; and</w:t>
      </w:r>
      <w:r w:rsidR="004D1FCF" w:rsidRPr="008A7BD7">
        <w:rPr>
          <w:rFonts w:ascii="Cambria" w:eastAsia="Cambria" w:hAnsi="Cambria" w:cs="Cambria"/>
          <w:color w:val="000000" w:themeColor="text1"/>
          <w:sz w:val="20"/>
          <w:szCs w:val="20"/>
        </w:rPr>
        <w:t xml:space="preserve"> </w:t>
      </w:r>
      <w:r w:rsidR="006C3E59" w:rsidRPr="008A7BD7">
        <w:rPr>
          <w:rFonts w:ascii="Cambria" w:eastAsia="Cambria" w:hAnsi="Cambria" w:cs="Cambria"/>
          <w:color w:val="000000" w:themeColor="text1"/>
          <w:sz w:val="20"/>
          <w:szCs w:val="20"/>
        </w:rPr>
        <w:t>(</w:t>
      </w:r>
      <w:r w:rsidR="004D1FCF" w:rsidRPr="008A7BD7">
        <w:rPr>
          <w:rFonts w:ascii="Cambria" w:eastAsia="Cambria" w:hAnsi="Cambria" w:cs="Cambria"/>
          <w:color w:val="000000" w:themeColor="text1"/>
          <w:sz w:val="20"/>
          <w:szCs w:val="20"/>
        </w:rPr>
        <w:t xml:space="preserve">iv) </w:t>
      </w:r>
      <w:r w:rsidR="006C3E59" w:rsidRPr="008A7BD7">
        <w:rPr>
          <w:rFonts w:ascii="Cambria" w:eastAsia="Cambria" w:hAnsi="Cambria" w:cs="Cambria"/>
          <w:color w:val="000000" w:themeColor="text1"/>
          <w:sz w:val="20"/>
          <w:szCs w:val="20"/>
        </w:rPr>
        <w:t>establish</w:t>
      </w:r>
      <w:r w:rsidR="00817A0E" w:rsidRPr="008A7BD7">
        <w:rPr>
          <w:rFonts w:ascii="Cambria" w:eastAsia="Cambria" w:hAnsi="Cambria" w:cs="Cambria"/>
          <w:color w:val="000000" w:themeColor="text1"/>
          <w:sz w:val="20"/>
          <w:szCs w:val="20"/>
        </w:rPr>
        <w:t>, sufficiently in advance, a contingency plan that includes relocation and housing alternatives.</w:t>
      </w:r>
      <w:r w:rsidR="004D1FCF" w:rsidRPr="008A7BD7">
        <w:rPr>
          <w:rFonts w:ascii="Cambria" w:eastAsia="Cambria" w:hAnsi="Cambria" w:cs="Cambria"/>
          <w:color w:val="000000" w:themeColor="text1"/>
          <w:sz w:val="20"/>
          <w:szCs w:val="20"/>
          <w:vertAlign w:val="superscript"/>
        </w:rPr>
        <w:footnoteReference w:id="299"/>
      </w:r>
      <w:r w:rsidR="004D1FCF" w:rsidRPr="008A7BD7">
        <w:rPr>
          <w:rFonts w:ascii="Cambria" w:eastAsia="Cambria" w:hAnsi="Cambria" w:cs="Cambria"/>
          <w:color w:val="000000" w:themeColor="text1"/>
          <w:sz w:val="20"/>
          <w:szCs w:val="20"/>
        </w:rPr>
        <w:t xml:space="preserve"> </w:t>
      </w:r>
    </w:p>
    <w:p w14:paraId="393F9BC0" w14:textId="77777777" w:rsidR="009E52D6" w:rsidRPr="008A7BD7" w:rsidRDefault="009E52D6" w:rsidP="009E52D6">
      <w:pPr>
        <w:pStyle w:val="ListParagraph"/>
        <w:rPr>
          <w:rFonts w:ascii="Cambria" w:eastAsia="Cambria" w:hAnsi="Cambria" w:cs="Cambria"/>
          <w:color w:val="000000" w:themeColor="text1"/>
          <w:sz w:val="20"/>
          <w:szCs w:val="20"/>
        </w:rPr>
      </w:pPr>
    </w:p>
    <w:p w14:paraId="5846E2F9" w14:textId="72FC4A4A" w:rsidR="009E52D6" w:rsidRPr="008A7BD7" w:rsidRDefault="00DF47D6" w:rsidP="009E52D6">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Finally, in its response to the draft of this report, the Guatemalan State informed the IACHR about </w:t>
      </w:r>
      <w:r w:rsidR="007D1AD0" w:rsidRPr="008A7BD7">
        <w:rPr>
          <w:rFonts w:ascii="Cambria" w:eastAsia="Cambria" w:hAnsi="Cambria" w:cs="Cambria"/>
          <w:color w:val="000000" w:themeColor="text1"/>
          <w:sz w:val="20"/>
          <w:szCs w:val="20"/>
        </w:rPr>
        <w:t>steps</w:t>
      </w:r>
      <w:r w:rsidRPr="008A7BD7">
        <w:rPr>
          <w:rFonts w:ascii="Cambria" w:eastAsia="Cambria" w:hAnsi="Cambria" w:cs="Cambria"/>
          <w:color w:val="000000" w:themeColor="text1"/>
          <w:sz w:val="20"/>
          <w:szCs w:val="20"/>
        </w:rPr>
        <w:t xml:space="preserve"> </w:t>
      </w:r>
      <w:r w:rsidR="007D1AD0" w:rsidRPr="008A7BD7">
        <w:rPr>
          <w:rFonts w:ascii="Cambria" w:eastAsia="Cambria" w:hAnsi="Cambria" w:cs="Cambria"/>
          <w:color w:val="000000" w:themeColor="text1"/>
          <w:sz w:val="20"/>
          <w:szCs w:val="20"/>
        </w:rPr>
        <w:t xml:space="preserve">it has </w:t>
      </w:r>
      <w:r w:rsidRPr="008A7BD7">
        <w:rPr>
          <w:rFonts w:ascii="Cambria" w:eastAsia="Cambria" w:hAnsi="Cambria" w:cs="Cambria"/>
          <w:color w:val="000000" w:themeColor="text1"/>
          <w:sz w:val="20"/>
          <w:szCs w:val="20"/>
        </w:rPr>
        <w:t>taken through various institutions to attend to people in the context of human mobility</w:t>
      </w:r>
      <w:r w:rsidR="009E52D6" w:rsidRPr="008A7BD7">
        <w:rPr>
          <w:rFonts w:ascii="Cambria" w:eastAsia="Cambria" w:hAnsi="Cambria" w:cs="Cambria"/>
          <w:color w:val="000000" w:themeColor="text1"/>
          <w:sz w:val="20"/>
          <w:szCs w:val="20"/>
        </w:rPr>
        <w:t>.</w:t>
      </w:r>
      <w:r w:rsidR="007D1AD0" w:rsidRPr="008A7BD7">
        <w:rPr>
          <w:rFonts w:ascii="Cambria" w:eastAsia="Cambria" w:hAnsi="Cambria" w:cs="Cambria"/>
          <w:color w:val="000000" w:themeColor="text1"/>
          <w:sz w:val="20"/>
          <w:szCs w:val="20"/>
        </w:rPr>
        <w:t xml:space="preserve"> Among other things, it noted that the </w:t>
      </w:r>
      <w:r w:rsidR="00213A66" w:rsidRPr="008A7BD7">
        <w:rPr>
          <w:rFonts w:ascii="Cambria" w:eastAsia="Cambria" w:hAnsi="Cambria" w:cs="Cambria"/>
          <w:color w:val="000000" w:themeColor="text1"/>
          <w:sz w:val="20"/>
          <w:szCs w:val="20"/>
        </w:rPr>
        <w:t xml:space="preserve">Office of the President’s </w:t>
      </w:r>
      <w:r w:rsidR="007D1AD0" w:rsidRPr="008A7BD7">
        <w:rPr>
          <w:rFonts w:ascii="Cambria" w:eastAsia="Cambria" w:hAnsi="Cambria" w:cs="Cambria"/>
          <w:color w:val="000000" w:themeColor="text1"/>
          <w:sz w:val="20"/>
          <w:szCs w:val="20"/>
        </w:rPr>
        <w:t xml:space="preserve">Social Welfare Secretariat, through its </w:t>
      </w:r>
      <w:r w:rsidR="006B6EC7" w:rsidRPr="008A7BD7">
        <w:rPr>
          <w:rFonts w:ascii="Cambria" w:eastAsia="Cambria" w:hAnsi="Cambria" w:cs="Cambria"/>
          <w:color w:val="000000" w:themeColor="text1"/>
          <w:sz w:val="20"/>
          <w:szCs w:val="20"/>
        </w:rPr>
        <w:t>D</w:t>
      </w:r>
      <w:r w:rsidR="007D1AD0" w:rsidRPr="008A7BD7">
        <w:rPr>
          <w:rFonts w:ascii="Cambria" w:eastAsia="Cambria" w:hAnsi="Cambria" w:cs="Cambria"/>
          <w:color w:val="000000" w:themeColor="text1"/>
          <w:sz w:val="20"/>
          <w:szCs w:val="20"/>
        </w:rPr>
        <w:t xml:space="preserve">epartmental </w:t>
      </w:r>
      <w:r w:rsidR="006B6EC7" w:rsidRPr="008A7BD7">
        <w:rPr>
          <w:rFonts w:ascii="Cambria" w:eastAsia="Cambria" w:hAnsi="Cambria" w:cs="Cambria"/>
          <w:color w:val="000000" w:themeColor="text1"/>
          <w:sz w:val="20"/>
          <w:szCs w:val="20"/>
        </w:rPr>
        <w:t>O</w:t>
      </w:r>
      <w:r w:rsidR="007D1AD0" w:rsidRPr="008A7BD7">
        <w:rPr>
          <w:rFonts w:ascii="Cambria" w:eastAsia="Cambria" w:hAnsi="Cambria" w:cs="Cambria"/>
          <w:color w:val="000000" w:themeColor="text1"/>
          <w:sz w:val="20"/>
          <w:szCs w:val="20"/>
        </w:rPr>
        <w:t>ffices,</w:t>
      </w:r>
      <w:r w:rsidR="009E52D6" w:rsidRPr="008A7BD7">
        <w:rPr>
          <w:rFonts w:ascii="Cambria" w:eastAsia="Cambria" w:hAnsi="Cambria" w:cs="Cambria"/>
          <w:color w:val="000000" w:themeColor="text1"/>
          <w:sz w:val="20"/>
          <w:szCs w:val="20"/>
        </w:rPr>
        <w:t xml:space="preserve"> </w:t>
      </w:r>
      <w:r w:rsidR="007D1AD0" w:rsidRPr="008A7BD7">
        <w:rPr>
          <w:rFonts w:ascii="Cambria" w:eastAsia="Cambria" w:hAnsi="Cambria" w:cs="Cambria"/>
          <w:color w:val="000000" w:themeColor="text1"/>
          <w:sz w:val="20"/>
          <w:szCs w:val="20"/>
        </w:rPr>
        <w:t xml:space="preserve">provides support to the Sub-Secretariat for </w:t>
      </w:r>
      <w:r w:rsidR="000067C2" w:rsidRPr="008A7BD7">
        <w:rPr>
          <w:rFonts w:ascii="Cambria" w:eastAsia="Cambria" w:hAnsi="Cambria" w:cs="Cambria"/>
          <w:color w:val="000000" w:themeColor="text1"/>
          <w:sz w:val="20"/>
          <w:szCs w:val="20"/>
        </w:rPr>
        <w:t xml:space="preserve">the </w:t>
      </w:r>
      <w:r w:rsidR="007D1AD0" w:rsidRPr="008A7BD7">
        <w:rPr>
          <w:rFonts w:ascii="Cambria" w:eastAsia="Cambria" w:hAnsi="Cambria" w:cs="Cambria"/>
          <w:color w:val="000000" w:themeColor="text1"/>
          <w:sz w:val="20"/>
          <w:szCs w:val="20"/>
        </w:rPr>
        <w:t>Protecti</w:t>
      </w:r>
      <w:r w:rsidR="000067C2" w:rsidRPr="008A7BD7">
        <w:rPr>
          <w:rFonts w:ascii="Cambria" w:eastAsia="Cambria" w:hAnsi="Cambria" w:cs="Cambria"/>
          <w:color w:val="000000" w:themeColor="text1"/>
          <w:sz w:val="20"/>
          <w:szCs w:val="20"/>
        </w:rPr>
        <w:t>on</w:t>
      </w:r>
      <w:r w:rsidR="007D1AD0" w:rsidRPr="008A7BD7">
        <w:rPr>
          <w:rFonts w:ascii="Cambria" w:eastAsia="Cambria" w:hAnsi="Cambria" w:cs="Cambria"/>
          <w:color w:val="000000" w:themeColor="text1"/>
          <w:sz w:val="20"/>
          <w:szCs w:val="20"/>
        </w:rPr>
        <w:t xml:space="preserve"> and </w:t>
      </w:r>
      <w:r w:rsidR="000067C2" w:rsidRPr="008A7BD7">
        <w:rPr>
          <w:rFonts w:ascii="Cambria" w:eastAsia="Cambria" w:hAnsi="Cambria" w:cs="Cambria"/>
          <w:color w:val="000000" w:themeColor="text1"/>
          <w:sz w:val="20"/>
          <w:szCs w:val="20"/>
        </w:rPr>
        <w:t>Care of</w:t>
      </w:r>
      <w:r w:rsidR="007D1AD0" w:rsidRPr="008A7BD7">
        <w:rPr>
          <w:rFonts w:ascii="Cambria" w:eastAsia="Cambria" w:hAnsi="Cambria" w:cs="Cambria"/>
          <w:color w:val="000000" w:themeColor="text1"/>
          <w:sz w:val="20"/>
          <w:szCs w:val="20"/>
        </w:rPr>
        <w:t xml:space="preserve"> Children and Adolescents</w:t>
      </w:r>
      <w:r w:rsidR="00213A66" w:rsidRPr="008A7BD7">
        <w:rPr>
          <w:rFonts w:ascii="Cambria" w:eastAsia="Cambria" w:hAnsi="Cambria" w:cs="Cambria"/>
          <w:color w:val="000000" w:themeColor="text1"/>
          <w:sz w:val="20"/>
          <w:szCs w:val="20"/>
        </w:rPr>
        <w:t xml:space="preserve">, </w:t>
      </w:r>
      <w:r w:rsidR="007D1AD0" w:rsidRPr="008A7BD7">
        <w:rPr>
          <w:rFonts w:ascii="Cambria" w:eastAsia="Cambria" w:hAnsi="Cambria" w:cs="Cambria"/>
          <w:color w:val="000000" w:themeColor="text1"/>
          <w:sz w:val="20"/>
          <w:szCs w:val="20"/>
        </w:rPr>
        <w:t xml:space="preserve">specifically </w:t>
      </w:r>
      <w:r w:rsidR="000067C2" w:rsidRPr="008A7BD7">
        <w:rPr>
          <w:rFonts w:ascii="Cambria" w:eastAsia="Cambria" w:hAnsi="Cambria" w:cs="Cambria"/>
          <w:color w:val="000000" w:themeColor="text1"/>
          <w:sz w:val="20"/>
          <w:szCs w:val="20"/>
        </w:rPr>
        <w:t xml:space="preserve">to </w:t>
      </w:r>
      <w:r w:rsidR="007D1AD0" w:rsidRPr="008A7BD7">
        <w:rPr>
          <w:rFonts w:ascii="Cambria" w:eastAsia="Cambria" w:hAnsi="Cambria" w:cs="Cambria"/>
          <w:color w:val="000000" w:themeColor="text1"/>
          <w:sz w:val="20"/>
          <w:szCs w:val="20"/>
        </w:rPr>
        <w:t xml:space="preserve">the </w:t>
      </w:r>
      <w:r w:rsidR="0090785F" w:rsidRPr="008A7BD7">
        <w:rPr>
          <w:rFonts w:ascii="Cambria" w:eastAsia="Cambria" w:hAnsi="Cambria" w:cs="Cambria"/>
          <w:color w:val="000000" w:themeColor="text1"/>
          <w:sz w:val="20"/>
          <w:szCs w:val="20"/>
        </w:rPr>
        <w:t xml:space="preserve">Department of Unaccompanied Children and Adolescents, which handles cases </w:t>
      </w:r>
      <w:r w:rsidR="000067C2" w:rsidRPr="008A7BD7">
        <w:rPr>
          <w:rFonts w:ascii="Cambria" w:eastAsia="Cambria" w:hAnsi="Cambria" w:cs="Cambria"/>
          <w:color w:val="000000" w:themeColor="text1"/>
          <w:sz w:val="20"/>
          <w:szCs w:val="20"/>
        </w:rPr>
        <w:t>involving</w:t>
      </w:r>
      <w:r w:rsidR="0090785F" w:rsidRPr="008A7BD7">
        <w:rPr>
          <w:rFonts w:ascii="Cambria" w:eastAsia="Cambria" w:hAnsi="Cambria" w:cs="Cambria"/>
          <w:color w:val="000000" w:themeColor="text1"/>
          <w:sz w:val="20"/>
          <w:szCs w:val="20"/>
        </w:rPr>
        <w:t xml:space="preserve"> </w:t>
      </w:r>
      <w:r w:rsidR="000067C2" w:rsidRPr="008A7BD7">
        <w:rPr>
          <w:rFonts w:ascii="Cambria" w:eastAsia="Cambria" w:hAnsi="Cambria" w:cs="Cambria"/>
          <w:color w:val="000000" w:themeColor="text1"/>
          <w:sz w:val="20"/>
          <w:szCs w:val="20"/>
        </w:rPr>
        <w:t xml:space="preserve">unaccompanied </w:t>
      </w:r>
      <w:r w:rsidR="0090785F" w:rsidRPr="008A7BD7">
        <w:rPr>
          <w:rFonts w:ascii="Cambria" w:eastAsia="Cambria" w:hAnsi="Cambria" w:cs="Cambria"/>
          <w:color w:val="000000" w:themeColor="text1"/>
          <w:sz w:val="20"/>
          <w:szCs w:val="20"/>
        </w:rPr>
        <w:t>migrant children and adolescents who have been reunified</w:t>
      </w:r>
      <w:r w:rsidR="00213A66" w:rsidRPr="008A7BD7">
        <w:rPr>
          <w:rFonts w:ascii="Cambria" w:eastAsia="Cambria" w:hAnsi="Cambria" w:cs="Cambria"/>
          <w:color w:val="000000" w:themeColor="text1"/>
          <w:sz w:val="20"/>
          <w:szCs w:val="20"/>
        </w:rPr>
        <w:t xml:space="preserve">. </w:t>
      </w:r>
      <w:r w:rsidR="00671608" w:rsidRPr="008A7BD7">
        <w:rPr>
          <w:rFonts w:ascii="Cambria" w:eastAsia="Cambria" w:hAnsi="Cambria" w:cs="Cambria"/>
          <w:color w:val="000000" w:themeColor="text1"/>
          <w:sz w:val="20"/>
          <w:szCs w:val="20"/>
        </w:rPr>
        <w:t xml:space="preserve">The </w:t>
      </w:r>
      <w:r w:rsidR="006B6EC7" w:rsidRPr="008A7BD7">
        <w:rPr>
          <w:rFonts w:ascii="Cambria" w:eastAsia="Cambria" w:hAnsi="Cambria" w:cs="Cambria"/>
          <w:color w:val="000000" w:themeColor="text1"/>
          <w:sz w:val="20"/>
          <w:szCs w:val="20"/>
        </w:rPr>
        <w:t>D</w:t>
      </w:r>
      <w:r w:rsidR="00671608" w:rsidRPr="008A7BD7">
        <w:rPr>
          <w:rFonts w:ascii="Cambria" w:eastAsia="Cambria" w:hAnsi="Cambria" w:cs="Cambria"/>
          <w:color w:val="000000" w:themeColor="text1"/>
          <w:sz w:val="20"/>
          <w:szCs w:val="20"/>
        </w:rPr>
        <w:t xml:space="preserve">epartmental </w:t>
      </w:r>
      <w:r w:rsidR="006B6EC7" w:rsidRPr="008A7BD7">
        <w:rPr>
          <w:rFonts w:ascii="Cambria" w:eastAsia="Cambria" w:hAnsi="Cambria" w:cs="Cambria"/>
          <w:color w:val="000000" w:themeColor="text1"/>
          <w:sz w:val="20"/>
          <w:szCs w:val="20"/>
        </w:rPr>
        <w:t>O</w:t>
      </w:r>
      <w:r w:rsidR="00671608" w:rsidRPr="008A7BD7">
        <w:rPr>
          <w:rFonts w:ascii="Cambria" w:eastAsia="Cambria" w:hAnsi="Cambria" w:cs="Cambria"/>
          <w:color w:val="000000" w:themeColor="text1"/>
          <w:sz w:val="20"/>
          <w:szCs w:val="20"/>
        </w:rPr>
        <w:t xml:space="preserve">ffices </w:t>
      </w:r>
      <w:r w:rsidR="00286E62" w:rsidRPr="008A7BD7">
        <w:rPr>
          <w:rFonts w:ascii="Cambria" w:eastAsia="Cambria" w:hAnsi="Cambria" w:cs="Cambria"/>
          <w:color w:val="000000" w:themeColor="text1"/>
          <w:sz w:val="20"/>
          <w:szCs w:val="20"/>
        </w:rPr>
        <w:t xml:space="preserve">provide ambulatory </w:t>
      </w:r>
      <w:r w:rsidR="00671608" w:rsidRPr="008A7BD7">
        <w:rPr>
          <w:rFonts w:ascii="Cambria" w:eastAsia="Cambria" w:hAnsi="Cambria" w:cs="Cambria"/>
          <w:color w:val="000000" w:themeColor="text1"/>
          <w:sz w:val="20"/>
          <w:szCs w:val="20"/>
        </w:rPr>
        <w:t>follow</w:t>
      </w:r>
      <w:r w:rsidR="00286E62" w:rsidRPr="008A7BD7">
        <w:rPr>
          <w:rFonts w:ascii="Cambria" w:eastAsia="Cambria" w:hAnsi="Cambria" w:cs="Cambria"/>
          <w:color w:val="000000" w:themeColor="text1"/>
          <w:sz w:val="20"/>
          <w:szCs w:val="20"/>
        </w:rPr>
        <w:t>-</w:t>
      </w:r>
      <w:r w:rsidR="00671608" w:rsidRPr="008A7BD7">
        <w:rPr>
          <w:rFonts w:ascii="Cambria" w:eastAsia="Cambria" w:hAnsi="Cambria" w:cs="Cambria"/>
          <w:color w:val="000000" w:themeColor="text1"/>
          <w:sz w:val="20"/>
          <w:szCs w:val="20"/>
        </w:rPr>
        <w:t xml:space="preserve">up </w:t>
      </w:r>
      <w:r w:rsidR="00286E62" w:rsidRPr="008A7BD7">
        <w:rPr>
          <w:rFonts w:ascii="Cambria" w:eastAsia="Cambria" w:hAnsi="Cambria" w:cs="Cambria"/>
          <w:color w:val="000000" w:themeColor="text1"/>
          <w:sz w:val="20"/>
          <w:szCs w:val="20"/>
        </w:rPr>
        <w:t>services through</w:t>
      </w:r>
      <w:r w:rsidR="00213A66" w:rsidRPr="008A7BD7">
        <w:rPr>
          <w:rFonts w:ascii="Cambria" w:eastAsia="Cambria" w:hAnsi="Cambria" w:cs="Cambria"/>
          <w:color w:val="000000" w:themeColor="text1"/>
          <w:sz w:val="20"/>
          <w:szCs w:val="20"/>
        </w:rPr>
        <w:t xml:space="preserve"> their multidisciplinary teams (psychological, social work, pedagogical, and legal)</w:t>
      </w:r>
      <w:r w:rsidR="00671608" w:rsidRPr="008A7BD7">
        <w:rPr>
          <w:rFonts w:ascii="Cambria" w:eastAsia="Cambria" w:hAnsi="Cambria" w:cs="Cambria"/>
          <w:color w:val="000000" w:themeColor="text1"/>
          <w:sz w:val="20"/>
          <w:szCs w:val="20"/>
        </w:rPr>
        <w:t xml:space="preserve"> and counsel families on the risks of irregular migration, opportunities for distance learning coordinated through the Center for Extracurricular Education </w:t>
      </w:r>
      <w:r w:rsidR="009E52D6" w:rsidRPr="008A7BD7">
        <w:rPr>
          <w:rFonts w:ascii="Cambria" w:eastAsia="Cambria" w:hAnsi="Cambria" w:cs="Cambria"/>
          <w:color w:val="000000" w:themeColor="text1"/>
          <w:sz w:val="20"/>
          <w:szCs w:val="20"/>
        </w:rPr>
        <w:t>(CEEX)</w:t>
      </w:r>
      <w:r w:rsidR="00671608" w:rsidRPr="008A7BD7">
        <w:rPr>
          <w:rFonts w:ascii="Cambria" w:eastAsia="Cambria" w:hAnsi="Cambria" w:cs="Cambria"/>
          <w:color w:val="000000" w:themeColor="text1"/>
          <w:sz w:val="20"/>
          <w:szCs w:val="20"/>
        </w:rPr>
        <w:t>, and links</w:t>
      </w:r>
      <w:r w:rsidR="006B6EC7" w:rsidRPr="008A7BD7">
        <w:rPr>
          <w:rFonts w:ascii="Cambria" w:eastAsia="Cambria" w:hAnsi="Cambria" w:cs="Cambria"/>
          <w:color w:val="000000" w:themeColor="text1"/>
          <w:sz w:val="20"/>
          <w:szCs w:val="20"/>
        </w:rPr>
        <w:t xml:space="preserve"> to programs and services depending on the circumstances in each </w:t>
      </w:r>
      <w:r w:rsidR="00E11030" w:rsidRPr="008A7BD7">
        <w:rPr>
          <w:rFonts w:ascii="Cambria" w:eastAsia="Cambria" w:hAnsi="Cambria" w:cs="Cambria"/>
          <w:color w:val="000000" w:themeColor="text1"/>
          <w:sz w:val="20"/>
          <w:szCs w:val="20"/>
        </w:rPr>
        <w:t>location</w:t>
      </w:r>
      <w:r w:rsidR="006B6EC7" w:rsidRPr="008A7BD7">
        <w:rPr>
          <w:rFonts w:ascii="Cambria" w:eastAsia="Cambria" w:hAnsi="Cambria" w:cs="Cambria"/>
          <w:color w:val="000000" w:themeColor="text1"/>
          <w:sz w:val="20"/>
          <w:szCs w:val="20"/>
        </w:rPr>
        <w:t>.</w:t>
      </w:r>
      <w:r w:rsidR="009E52D6" w:rsidRPr="008A7BD7">
        <w:rPr>
          <w:rStyle w:val="FootnoteReference"/>
          <w:rFonts w:ascii="Cambria" w:eastAsia="Cambria" w:hAnsi="Cambria" w:cs="Cambria"/>
          <w:color w:val="000000" w:themeColor="text1"/>
          <w:sz w:val="20"/>
          <w:szCs w:val="20"/>
          <w:lang w:val="es-US"/>
        </w:rPr>
        <w:footnoteReference w:id="300"/>
      </w:r>
    </w:p>
    <w:p w14:paraId="327E5C93" w14:textId="77777777" w:rsidR="009E52D6" w:rsidRPr="008A7BD7" w:rsidRDefault="009E52D6" w:rsidP="009E52D6">
      <w:pPr>
        <w:pStyle w:val="ListParagraph"/>
        <w:rPr>
          <w:rFonts w:ascii="Cambria" w:eastAsia="Cambria" w:hAnsi="Cambria" w:cs="Cambria"/>
          <w:color w:val="000000" w:themeColor="text1"/>
          <w:sz w:val="20"/>
          <w:szCs w:val="20"/>
        </w:rPr>
      </w:pPr>
    </w:p>
    <w:p w14:paraId="5F396E0C" w14:textId="46B7DC52" w:rsidR="009E52D6" w:rsidRPr="008A7BD7" w:rsidRDefault="006B6EC7" w:rsidP="009E52D6">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The State also indicated that it provided support </w:t>
      </w:r>
      <w:r w:rsidR="00E11030" w:rsidRPr="008A7BD7">
        <w:rPr>
          <w:rFonts w:ascii="Cambria" w:eastAsia="Cambria" w:hAnsi="Cambria" w:cs="Cambria"/>
          <w:color w:val="000000" w:themeColor="text1"/>
          <w:sz w:val="20"/>
          <w:szCs w:val="20"/>
        </w:rPr>
        <w:t xml:space="preserve">this year </w:t>
      </w:r>
      <w:r w:rsidRPr="008A7BD7">
        <w:rPr>
          <w:rFonts w:ascii="Cambria" w:eastAsia="Cambria" w:hAnsi="Cambria" w:cs="Cambria"/>
          <w:color w:val="000000" w:themeColor="text1"/>
          <w:sz w:val="20"/>
          <w:szCs w:val="20"/>
        </w:rPr>
        <w:t>to address the crisis of migrant</w:t>
      </w:r>
      <w:r w:rsidR="00644E6F" w:rsidRPr="008A7BD7">
        <w:rPr>
          <w:rFonts w:ascii="Cambria" w:eastAsia="Cambria" w:hAnsi="Cambria" w:cs="Cambria"/>
          <w:color w:val="000000" w:themeColor="text1"/>
          <w:sz w:val="20"/>
          <w:szCs w:val="20"/>
        </w:rPr>
        <w:t>s</w:t>
      </w:r>
      <w:r w:rsidR="00E11030" w:rsidRPr="008A7BD7">
        <w:rPr>
          <w:rFonts w:ascii="Cambria" w:eastAsia="Cambria" w:hAnsi="Cambria" w:cs="Cambria"/>
          <w:color w:val="000000" w:themeColor="text1"/>
          <w:sz w:val="20"/>
          <w:szCs w:val="20"/>
        </w:rPr>
        <w:t xml:space="preserve"> traveling in caravans</w:t>
      </w:r>
      <w:r w:rsidRPr="008A7BD7">
        <w:rPr>
          <w:rFonts w:ascii="Cambria" w:eastAsia="Cambria" w:hAnsi="Cambria" w:cs="Cambria"/>
          <w:color w:val="000000" w:themeColor="text1"/>
          <w:sz w:val="20"/>
          <w:szCs w:val="20"/>
        </w:rPr>
        <w:t>, most of them Central Americans</w:t>
      </w:r>
      <w:r w:rsidR="00BD462B" w:rsidRPr="008A7BD7">
        <w:rPr>
          <w:rFonts w:ascii="Cambria" w:eastAsia="Cambria" w:hAnsi="Cambria" w:cs="Cambria"/>
          <w:color w:val="000000" w:themeColor="text1"/>
          <w:sz w:val="20"/>
          <w:szCs w:val="20"/>
        </w:rPr>
        <w:t>. T</w:t>
      </w:r>
      <w:r w:rsidRPr="008A7BD7">
        <w:rPr>
          <w:rFonts w:ascii="Cambria" w:eastAsia="Cambria" w:hAnsi="Cambria" w:cs="Cambria"/>
          <w:color w:val="000000" w:themeColor="text1"/>
          <w:sz w:val="20"/>
          <w:szCs w:val="20"/>
        </w:rPr>
        <w:t>he Departmental Directorate, through the Departmental Offices,</w:t>
      </w:r>
      <w:r w:rsidR="00E11030" w:rsidRPr="008A7BD7">
        <w:rPr>
          <w:rFonts w:ascii="Cambria" w:eastAsia="Cambria" w:hAnsi="Cambria" w:cs="Cambria"/>
          <w:color w:val="000000" w:themeColor="text1"/>
          <w:sz w:val="20"/>
          <w:szCs w:val="20"/>
        </w:rPr>
        <w:t xml:space="preserve"> </w:t>
      </w:r>
      <w:r w:rsidRPr="008A7BD7">
        <w:rPr>
          <w:rFonts w:ascii="Cambria" w:eastAsia="Cambria" w:hAnsi="Cambria" w:cs="Cambria"/>
          <w:color w:val="000000" w:themeColor="text1"/>
          <w:sz w:val="20"/>
          <w:szCs w:val="20"/>
        </w:rPr>
        <w:t xml:space="preserve">in conjunction with the Department of Unaccompanied Children and Adolescents, coordinated </w:t>
      </w:r>
      <w:r w:rsidR="00644E6F" w:rsidRPr="008A7BD7">
        <w:rPr>
          <w:rFonts w:ascii="Cambria" w:eastAsia="Cambria" w:hAnsi="Cambria" w:cs="Cambria"/>
          <w:color w:val="000000" w:themeColor="text1"/>
          <w:sz w:val="20"/>
          <w:szCs w:val="20"/>
        </w:rPr>
        <w:t xml:space="preserve">monitoring and psychosocial support through </w:t>
      </w:r>
      <w:r w:rsidR="006A2F0E" w:rsidRPr="008A7BD7">
        <w:rPr>
          <w:rFonts w:ascii="Cambria" w:eastAsia="Cambria" w:hAnsi="Cambria" w:cs="Cambria"/>
          <w:color w:val="000000" w:themeColor="text1"/>
          <w:sz w:val="20"/>
          <w:szCs w:val="20"/>
        </w:rPr>
        <w:t>service centers set up for irregular migrants (</w:t>
      </w:r>
      <w:r w:rsidR="00644E6F" w:rsidRPr="008A7BD7">
        <w:rPr>
          <w:rFonts w:ascii="Cambria" w:eastAsia="Cambria" w:hAnsi="Cambria" w:cs="Cambria"/>
          <w:color w:val="000000" w:themeColor="text1"/>
          <w:sz w:val="20"/>
          <w:szCs w:val="20"/>
        </w:rPr>
        <w:t>CAMIs)</w:t>
      </w:r>
      <w:r w:rsidR="00BD462B" w:rsidRPr="008A7BD7">
        <w:rPr>
          <w:rFonts w:ascii="Cambria" w:eastAsia="Cambria" w:hAnsi="Cambria" w:cs="Cambria"/>
          <w:color w:val="000000" w:themeColor="text1"/>
          <w:sz w:val="20"/>
          <w:szCs w:val="20"/>
        </w:rPr>
        <w:t>;</w:t>
      </w:r>
      <w:r w:rsidR="009E52D6" w:rsidRPr="008A7BD7">
        <w:rPr>
          <w:rFonts w:ascii="Cambria" w:eastAsia="Cambria" w:hAnsi="Cambria" w:cs="Cambria"/>
          <w:color w:val="000000" w:themeColor="text1"/>
          <w:sz w:val="20"/>
          <w:szCs w:val="20"/>
        </w:rPr>
        <w:t xml:space="preserve"> </w:t>
      </w:r>
      <w:r w:rsidR="00BD462B" w:rsidRPr="008A7BD7">
        <w:rPr>
          <w:rFonts w:ascii="Cambria" w:eastAsia="Cambria" w:hAnsi="Cambria" w:cs="Cambria"/>
          <w:color w:val="000000" w:themeColor="text1"/>
          <w:sz w:val="20"/>
          <w:szCs w:val="20"/>
        </w:rPr>
        <w:t xml:space="preserve">this is </w:t>
      </w:r>
      <w:r w:rsidR="00644E6F" w:rsidRPr="008A7BD7">
        <w:rPr>
          <w:rFonts w:ascii="Cambria" w:eastAsia="Cambria" w:hAnsi="Cambria" w:cs="Cambria"/>
          <w:color w:val="000000" w:themeColor="text1"/>
          <w:sz w:val="20"/>
          <w:szCs w:val="20"/>
        </w:rPr>
        <w:t>where the</w:t>
      </w:r>
      <w:r w:rsidR="00BC3DE4" w:rsidRPr="008A7BD7">
        <w:rPr>
          <w:rFonts w:ascii="Cambria" w:eastAsia="Cambria" w:hAnsi="Cambria" w:cs="Cambria"/>
          <w:color w:val="000000" w:themeColor="text1"/>
          <w:sz w:val="20"/>
          <w:szCs w:val="20"/>
        </w:rPr>
        <w:t xml:space="preserve"> first </w:t>
      </w:r>
      <w:r w:rsidR="00BD462B" w:rsidRPr="008A7BD7">
        <w:rPr>
          <w:rFonts w:ascii="Cambria" w:eastAsia="Cambria" w:hAnsi="Cambria" w:cs="Cambria"/>
          <w:color w:val="000000" w:themeColor="text1"/>
          <w:sz w:val="20"/>
          <w:szCs w:val="20"/>
        </w:rPr>
        <w:t xml:space="preserve">migrant </w:t>
      </w:r>
      <w:r w:rsidR="00BC3DE4" w:rsidRPr="008A7BD7">
        <w:rPr>
          <w:rFonts w:ascii="Cambria" w:eastAsia="Cambria" w:hAnsi="Cambria" w:cs="Cambria"/>
          <w:color w:val="000000" w:themeColor="text1"/>
          <w:sz w:val="20"/>
          <w:szCs w:val="20"/>
        </w:rPr>
        <w:t xml:space="preserve">caravan </w:t>
      </w:r>
      <w:r w:rsidR="00BD462B" w:rsidRPr="008A7BD7">
        <w:rPr>
          <w:rFonts w:ascii="Cambria" w:eastAsia="Cambria" w:hAnsi="Cambria" w:cs="Cambria"/>
          <w:color w:val="000000" w:themeColor="text1"/>
          <w:sz w:val="20"/>
          <w:szCs w:val="20"/>
        </w:rPr>
        <w:t>(made of primarily of</w:t>
      </w:r>
      <w:r w:rsidR="00BC3DE4" w:rsidRPr="008A7BD7">
        <w:rPr>
          <w:rFonts w:ascii="Cambria" w:eastAsia="Cambria" w:hAnsi="Cambria" w:cs="Cambria"/>
          <w:color w:val="000000" w:themeColor="text1"/>
          <w:sz w:val="20"/>
          <w:szCs w:val="20"/>
        </w:rPr>
        <w:t xml:space="preserve"> Hondurans</w:t>
      </w:r>
      <w:r w:rsidR="00BD462B" w:rsidRPr="008A7BD7">
        <w:rPr>
          <w:rFonts w:ascii="Cambria" w:eastAsia="Cambria" w:hAnsi="Cambria" w:cs="Cambria"/>
          <w:color w:val="000000" w:themeColor="text1"/>
          <w:sz w:val="20"/>
          <w:szCs w:val="20"/>
        </w:rPr>
        <w:t>) was taken.</w:t>
      </w:r>
      <w:r w:rsidR="009E52D6" w:rsidRPr="008A7BD7">
        <w:rPr>
          <w:rFonts w:ascii="Cambria" w:eastAsia="Cambria" w:hAnsi="Cambria" w:cs="Cambria"/>
          <w:color w:val="000000" w:themeColor="text1"/>
          <w:sz w:val="20"/>
          <w:szCs w:val="20"/>
        </w:rPr>
        <w:t xml:space="preserve"> </w:t>
      </w:r>
      <w:r w:rsidR="00BC3DE4" w:rsidRPr="008A7BD7">
        <w:rPr>
          <w:rFonts w:ascii="Cambria" w:eastAsia="Cambria" w:hAnsi="Cambria" w:cs="Cambria"/>
          <w:color w:val="000000" w:themeColor="text1"/>
          <w:sz w:val="20"/>
          <w:szCs w:val="20"/>
        </w:rPr>
        <w:t xml:space="preserve">Finally, in its communication the State provided details to the IACHR </w:t>
      </w:r>
      <w:r w:rsidR="00BD462B" w:rsidRPr="008A7BD7">
        <w:rPr>
          <w:rFonts w:ascii="Cambria" w:eastAsia="Cambria" w:hAnsi="Cambria" w:cs="Cambria"/>
          <w:color w:val="000000" w:themeColor="text1"/>
          <w:sz w:val="20"/>
          <w:szCs w:val="20"/>
        </w:rPr>
        <w:t>about</w:t>
      </w:r>
      <w:r w:rsidR="00BC3DE4" w:rsidRPr="008A7BD7">
        <w:rPr>
          <w:rFonts w:ascii="Cambria" w:eastAsia="Cambria" w:hAnsi="Cambria" w:cs="Cambria"/>
          <w:color w:val="000000" w:themeColor="text1"/>
          <w:sz w:val="20"/>
          <w:szCs w:val="20"/>
        </w:rPr>
        <w:t xml:space="preserve"> actions it had taken in the context of the </w:t>
      </w:r>
      <w:r w:rsidR="004A182E" w:rsidRPr="008A7BD7">
        <w:rPr>
          <w:rFonts w:ascii="Cambria" w:eastAsia="Cambria" w:hAnsi="Cambria" w:cs="Cambria"/>
          <w:color w:val="000000" w:themeColor="text1"/>
          <w:sz w:val="20"/>
          <w:szCs w:val="20"/>
        </w:rPr>
        <w:t xml:space="preserve">program </w:t>
      </w:r>
      <w:r w:rsidR="009E52D6" w:rsidRPr="008A7BD7">
        <w:rPr>
          <w:rFonts w:ascii="Cambria" w:eastAsia="Cambria" w:hAnsi="Cambria" w:cs="Cambria"/>
          <w:color w:val="000000" w:themeColor="text1"/>
          <w:sz w:val="20"/>
          <w:szCs w:val="20"/>
        </w:rPr>
        <w:t>Casa Joven</w:t>
      </w:r>
      <w:r w:rsidR="00BC3DE4" w:rsidRPr="008A7BD7">
        <w:rPr>
          <w:rFonts w:ascii="Cambria" w:eastAsia="Cambria" w:hAnsi="Cambria" w:cs="Cambria"/>
          <w:color w:val="000000" w:themeColor="text1"/>
          <w:sz w:val="20"/>
          <w:szCs w:val="20"/>
        </w:rPr>
        <w:t>;</w:t>
      </w:r>
      <w:r w:rsidR="009E52D6" w:rsidRPr="008A7BD7">
        <w:rPr>
          <w:rStyle w:val="FootnoteReference"/>
          <w:rFonts w:ascii="Cambria" w:eastAsia="Cambria" w:hAnsi="Cambria" w:cs="Cambria"/>
          <w:color w:val="000000" w:themeColor="text1"/>
          <w:sz w:val="20"/>
          <w:szCs w:val="20"/>
          <w:lang w:val="es-US"/>
        </w:rPr>
        <w:footnoteReference w:id="301"/>
      </w:r>
      <w:r w:rsidR="009E52D6" w:rsidRPr="008A7BD7">
        <w:rPr>
          <w:rFonts w:ascii="Cambria" w:eastAsia="Cambria" w:hAnsi="Cambria" w:cs="Cambria"/>
          <w:color w:val="000000" w:themeColor="text1"/>
          <w:sz w:val="20"/>
          <w:szCs w:val="20"/>
        </w:rPr>
        <w:t xml:space="preserve"> </w:t>
      </w:r>
      <w:r w:rsidR="00BC3DE4" w:rsidRPr="008A7BD7">
        <w:rPr>
          <w:rFonts w:ascii="Cambria" w:eastAsia="Cambria" w:hAnsi="Cambria" w:cs="Cambria"/>
          <w:color w:val="000000" w:themeColor="text1"/>
          <w:sz w:val="20"/>
          <w:szCs w:val="20"/>
        </w:rPr>
        <w:t xml:space="preserve">the care provided at the </w:t>
      </w:r>
      <w:r w:rsidR="009E52D6" w:rsidRPr="008A7BD7">
        <w:rPr>
          <w:rFonts w:ascii="Cambria" w:eastAsia="Cambria" w:hAnsi="Cambria" w:cs="Cambria"/>
          <w:color w:val="000000" w:themeColor="text1"/>
          <w:sz w:val="20"/>
          <w:szCs w:val="20"/>
        </w:rPr>
        <w:t xml:space="preserve">“Casa </w:t>
      </w:r>
      <w:proofErr w:type="spellStart"/>
      <w:r w:rsidR="009E52D6" w:rsidRPr="008A7BD7">
        <w:rPr>
          <w:rFonts w:ascii="Cambria" w:eastAsia="Cambria" w:hAnsi="Cambria" w:cs="Cambria"/>
          <w:color w:val="000000" w:themeColor="text1"/>
          <w:sz w:val="20"/>
          <w:szCs w:val="20"/>
        </w:rPr>
        <w:t>Nuestras</w:t>
      </w:r>
      <w:proofErr w:type="spellEnd"/>
      <w:r w:rsidR="009E52D6" w:rsidRPr="008A7BD7">
        <w:rPr>
          <w:rFonts w:ascii="Cambria" w:eastAsia="Cambria" w:hAnsi="Cambria" w:cs="Cambria"/>
          <w:color w:val="000000" w:themeColor="text1"/>
          <w:sz w:val="20"/>
          <w:szCs w:val="20"/>
        </w:rPr>
        <w:t xml:space="preserve"> </w:t>
      </w:r>
      <w:proofErr w:type="spellStart"/>
      <w:r w:rsidR="009E52D6" w:rsidRPr="008A7BD7">
        <w:rPr>
          <w:rFonts w:ascii="Cambria" w:eastAsia="Cambria" w:hAnsi="Cambria" w:cs="Cambria"/>
          <w:color w:val="000000" w:themeColor="text1"/>
          <w:sz w:val="20"/>
          <w:szCs w:val="20"/>
        </w:rPr>
        <w:t>Raíces</w:t>
      </w:r>
      <w:proofErr w:type="spellEnd"/>
      <w:r w:rsidR="009E52D6" w:rsidRPr="008A7BD7">
        <w:rPr>
          <w:rFonts w:ascii="Cambria" w:eastAsia="Cambria" w:hAnsi="Cambria" w:cs="Cambria"/>
          <w:color w:val="000000" w:themeColor="text1"/>
          <w:sz w:val="20"/>
          <w:szCs w:val="20"/>
        </w:rPr>
        <w:t xml:space="preserve">” </w:t>
      </w:r>
      <w:r w:rsidR="00BC3DE4" w:rsidRPr="008A7BD7">
        <w:rPr>
          <w:rFonts w:ascii="Cambria" w:eastAsia="Cambria" w:hAnsi="Cambria" w:cs="Cambria"/>
          <w:color w:val="000000" w:themeColor="text1"/>
          <w:sz w:val="20"/>
          <w:szCs w:val="20"/>
        </w:rPr>
        <w:t>shelters, which take in children and adolescents for</w:t>
      </w:r>
      <w:r w:rsidR="009E52D6" w:rsidRPr="008A7BD7">
        <w:rPr>
          <w:rFonts w:ascii="Cambria" w:eastAsia="Cambria" w:hAnsi="Cambria" w:cs="Cambria"/>
          <w:color w:val="000000" w:themeColor="text1"/>
          <w:sz w:val="20"/>
          <w:szCs w:val="20"/>
        </w:rPr>
        <w:t xml:space="preserve"> 72 </w:t>
      </w:r>
      <w:r w:rsidR="007F70DA" w:rsidRPr="008A7BD7">
        <w:rPr>
          <w:rFonts w:ascii="Cambria" w:eastAsia="Cambria" w:hAnsi="Cambria" w:cs="Cambria"/>
          <w:color w:val="000000" w:themeColor="text1"/>
          <w:sz w:val="20"/>
          <w:szCs w:val="20"/>
        </w:rPr>
        <w:t>hours</w:t>
      </w:r>
      <w:r w:rsidR="009E52D6" w:rsidRPr="008A7BD7">
        <w:rPr>
          <w:rFonts w:ascii="Cambria" w:eastAsia="Cambria" w:hAnsi="Cambria" w:cs="Cambria"/>
          <w:color w:val="000000" w:themeColor="text1"/>
          <w:sz w:val="20"/>
          <w:szCs w:val="20"/>
        </w:rPr>
        <w:t xml:space="preserve">; </w:t>
      </w:r>
      <w:r w:rsidR="00780A71" w:rsidRPr="008A7BD7">
        <w:rPr>
          <w:rFonts w:ascii="Cambria" w:eastAsia="Cambria" w:hAnsi="Cambria" w:cs="Cambria"/>
          <w:color w:val="000000" w:themeColor="text1"/>
          <w:sz w:val="20"/>
          <w:szCs w:val="20"/>
        </w:rPr>
        <w:t xml:space="preserve">and measures adopted by the Directorate </w:t>
      </w:r>
      <w:r w:rsidR="00BD462B" w:rsidRPr="008A7BD7">
        <w:rPr>
          <w:rFonts w:ascii="Cambria" w:eastAsia="Cambria" w:hAnsi="Cambria" w:cs="Cambria"/>
          <w:color w:val="000000" w:themeColor="text1"/>
          <w:sz w:val="20"/>
          <w:szCs w:val="20"/>
        </w:rPr>
        <w:t>of</w:t>
      </w:r>
      <w:r w:rsidR="00780A71" w:rsidRPr="008A7BD7">
        <w:rPr>
          <w:rFonts w:ascii="Cambria" w:eastAsia="Cambria" w:hAnsi="Cambria" w:cs="Cambria"/>
          <w:color w:val="000000" w:themeColor="text1"/>
          <w:sz w:val="20"/>
          <w:szCs w:val="20"/>
        </w:rPr>
        <w:t xml:space="preserve"> Special Protection for </w:t>
      </w:r>
      <w:r w:rsidR="00487B12" w:rsidRPr="008A7BD7">
        <w:rPr>
          <w:rFonts w:ascii="Cambria" w:eastAsia="Cambria" w:hAnsi="Cambria" w:cs="Cambria"/>
          <w:color w:val="000000" w:themeColor="text1"/>
          <w:sz w:val="20"/>
          <w:szCs w:val="20"/>
        </w:rPr>
        <w:t xml:space="preserve">Family and </w:t>
      </w:r>
      <w:r w:rsidR="00780A71" w:rsidRPr="008A7BD7">
        <w:rPr>
          <w:rFonts w:ascii="Cambria" w:eastAsia="Cambria" w:hAnsi="Cambria" w:cs="Cambria"/>
          <w:color w:val="000000" w:themeColor="text1"/>
          <w:sz w:val="20"/>
          <w:szCs w:val="20"/>
        </w:rPr>
        <w:t xml:space="preserve">Residential </w:t>
      </w:r>
      <w:r w:rsidR="00487B12" w:rsidRPr="008A7BD7">
        <w:rPr>
          <w:rFonts w:ascii="Cambria" w:eastAsia="Cambria" w:hAnsi="Cambria" w:cs="Cambria"/>
          <w:color w:val="000000" w:themeColor="text1"/>
          <w:sz w:val="20"/>
          <w:szCs w:val="20"/>
        </w:rPr>
        <w:t>Care</w:t>
      </w:r>
      <w:r w:rsidR="00780A71" w:rsidRPr="008A7BD7">
        <w:rPr>
          <w:rFonts w:ascii="Cambria" w:eastAsia="Cambria" w:hAnsi="Cambria" w:cs="Cambria"/>
          <w:color w:val="000000" w:themeColor="text1"/>
          <w:sz w:val="20"/>
          <w:szCs w:val="20"/>
        </w:rPr>
        <w:t>.</w:t>
      </w:r>
      <w:r w:rsidR="009E52D6" w:rsidRPr="008A7BD7">
        <w:rPr>
          <w:rStyle w:val="FootnoteReference"/>
          <w:rFonts w:ascii="Cambria" w:eastAsia="Cambria" w:hAnsi="Cambria" w:cs="Cambria"/>
          <w:color w:val="000000" w:themeColor="text1"/>
          <w:sz w:val="20"/>
          <w:szCs w:val="20"/>
          <w:lang w:val="es-US"/>
        </w:rPr>
        <w:footnoteReference w:id="302"/>
      </w:r>
      <w:r w:rsidR="009E52D6" w:rsidRPr="008A7BD7">
        <w:rPr>
          <w:rFonts w:ascii="Cambria" w:eastAsia="Cambria" w:hAnsi="Cambria" w:cs="Cambria"/>
          <w:color w:val="000000" w:themeColor="text1"/>
          <w:sz w:val="20"/>
          <w:szCs w:val="20"/>
        </w:rPr>
        <w:t xml:space="preserve"> </w:t>
      </w:r>
      <w:r w:rsidR="00487B12" w:rsidRPr="008A7BD7">
        <w:rPr>
          <w:rFonts w:ascii="Cambria" w:eastAsia="Cambria" w:hAnsi="Cambria" w:cs="Cambria"/>
          <w:color w:val="000000" w:themeColor="text1"/>
          <w:sz w:val="20"/>
          <w:szCs w:val="20"/>
        </w:rPr>
        <w:lastRenderedPageBreak/>
        <w:t xml:space="preserve">Finally, the State informed the IACHR that the Secretariat of Social Works of the First Lady is </w:t>
      </w:r>
      <w:r w:rsidR="0011588B" w:rsidRPr="008A7BD7">
        <w:rPr>
          <w:rFonts w:ascii="Cambria" w:eastAsia="Cambria" w:hAnsi="Cambria" w:cs="Cambria"/>
          <w:color w:val="000000" w:themeColor="text1"/>
          <w:sz w:val="20"/>
          <w:szCs w:val="20"/>
        </w:rPr>
        <w:t>working</w:t>
      </w:r>
      <w:r w:rsidR="00487B12" w:rsidRPr="008A7BD7">
        <w:rPr>
          <w:rFonts w:ascii="Cambria" w:eastAsia="Cambria" w:hAnsi="Cambria" w:cs="Cambria"/>
          <w:color w:val="000000" w:themeColor="text1"/>
          <w:sz w:val="20"/>
          <w:szCs w:val="20"/>
        </w:rPr>
        <w:t xml:space="preserve"> to </w:t>
      </w:r>
      <w:r w:rsidR="00FE47C7" w:rsidRPr="008A7BD7">
        <w:rPr>
          <w:rFonts w:ascii="Cambria" w:eastAsia="Cambria" w:hAnsi="Cambria" w:cs="Cambria"/>
          <w:color w:val="000000" w:themeColor="text1"/>
          <w:sz w:val="20"/>
          <w:szCs w:val="20"/>
        </w:rPr>
        <w:t>identify</w:t>
      </w:r>
      <w:r w:rsidR="00487B12" w:rsidRPr="008A7BD7">
        <w:rPr>
          <w:rFonts w:ascii="Cambria" w:eastAsia="Cambria" w:hAnsi="Cambria" w:cs="Cambria"/>
          <w:color w:val="000000" w:themeColor="text1"/>
          <w:sz w:val="20"/>
          <w:szCs w:val="20"/>
        </w:rPr>
        <w:t xml:space="preserve"> situations of </w:t>
      </w:r>
      <w:r w:rsidR="00FE47C7" w:rsidRPr="008A7BD7">
        <w:rPr>
          <w:rFonts w:ascii="Cambria" w:eastAsia="Cambria" w:hAnsi="Cambria" w:cs="Cambria"/>
          <w:color w:val="000000" w:themeColor="text1"/>
          <w:sz w:val="20"/>
          <w:szCs w:val="20"/>
        </w:rPr>
        <w:t>high vulnerability among the population being served and implement the necessary protection measures based on the Protocol for Comprehensive Care to Migrant Families with a Human Rights Focus and a Psychosocial Focus and the National Protocol for Receiving and Attending to Migrant Children and Adolescents in</w:t>
      </w:r>
      <w:r w:rsidR="009E52D6" w:rsidRPr="008A7BD7">
        <w:rPr>
          <w:rFonts w:ascii="Cambria" w:eastAsia="Cambria" w:hAnsi="Cambria" w:cs="Cambria"/>
          <w:color w:val="000000" w:themeColor="text1"/>
          <w:sz w:val="20"/>
          <w:szCs w:val="20"/>
        </w:rPr>
        <w:t xml:space="preserve"> Guatemala</w:t>
      </w:r>
      <w:r w:rsidR="00FE47C7" w:rsidRPr="008A7BD7">
        <w:rPr>
          <w:rFonts w:ascii="Cambria" w:eastAsia="Cambria" w:hAnsi="Cambria" w:cs="Cambria"/>
          <w:color w:val="000000" w:themeColor="text1"/>
          <w:sz w:val="20"/>
          <w:szCs w:val="20"/>
        </w:rPr>
        <w:t>.</w:t>
      </w:r>
      <w:r w:rsidR="009E52D6" w:rsidRPr="008A7BD7">
        <w:rPr>
          <w:rStyle w:val="FootnoteReference"/>
          <w:rFonts w:ascii="Cambria" w:eastAsia="Cambria" w:hAnsi="Cambria" w:cs="Cambria"/>
          <w:color w:val="000000" w:themeColor="text1"/>
          <w:sz w:val="20"/>
          <w:szCs w:val="20"/>
          <w:lang w:val="es-US"/>
        </w:rPr>
        <w:footnoteReference w:id="303"/>
      </w:r>
    </w:p>
    <w:p w14:paraId="6239BA76" w14:textId="77777777" w:rsidR="0028307B" w:rsidRPr="008A7BD7" w:rsidRDefault="0028307B" w:rsidP="0028307B">
      <w:pPr>
        <w:pStyle w:val="ListParagraph"/>
        <w:rPr>
          <w:rFonts w:ascii="Cambria" w:eastAsia="Cambria" w:hAnsi="Cambria" w:cs="Cambria"/>
          <w:color w:val="000000" w:themeColor="text1"/>
          <w:sz w:val="20"/>
          <w:szCs w:val="20"/>
        </w:rPr>
      </w:pPr>
    </w:p>
    <w:p w14:paraId="5BB32DBD" w14:textId="0352F3D9" w:rsidR="0028307B" w:rsidRPr="008A7BD7" w:rsidRDefault="00FC47D9" w:rsidP="00FC47D9">
      <w:pPr>
        <w:pStyle w:val="Heading2"/>
      </w:pPr>
      <w:r w:rsidRPr="008A7BD7">
        <w:t xml:space="preserve">Impact of Inequality, Discrimination, and Corruption on Indigenous Peoples </w:t>
      </w:r>
    </w:p>
    <w:p w14:paraId="6A22CD10" w14:textId="77777777" w:rsidR="0028307B" w:rsidRPr="008A7BD7" w:rsidRDefault="0028307B" w:rsidP="00460AFA">
      <w:pPr>
        <w:rPr>
          <w:rFonts w:ascii="Cambria" w:hAnsi="Cambria"/>
          <w:sz w:val="20"/>
          <w:szCs w:val="20"/>
        </w:rPr>
      </w:pPr>
    </w:p>
    <w:p w14:paraId="5D07E33F" w14:textId="50A34584" w:rsidR="0028307B" w:rsidRPr="008A7BD7" w:rsidRDefault="00A85D99" w:rsidP="003D3059">
      <w:pPr>
        <w:numPr>
          <w:ilvl w:val="0"/>
          <w:numId w:val="2"/>
        </w:numPr>
        <w:ind w:left="0" w:firstLine="720"/>
        <w:jc w:val="both"/>
        <w:rPr>
          <w:rFonts w:ascii="Cambria" w:eastAsia="Cambria" w:hAnsi="Cambria" w:cs="Cambria"/>
          <w:color w:val="000000" w:themeColor="text1"/>
          <w:sz w:val="20"/>
          <w:szCs w:val="20"/>
        </w:rPr>
      </w:pPr>
      <w:r w:rsidRPr="008A7BD7">
        <w:rPr>
          <w:rFonts w:ascii="Cambria" w:hAnsi="Cambria"/>
          <w:sz w:val="20"/>
          <w:szCs w:val="20"/>
        </w:rPr>
        <w:t>The Commission is concerned to observe the impacts of corruption on the State’s capacity to institute public and social policies to address the structural socioeconomic inequalit</w:t>
      </w:r>
      <w:r w:rsidR="00460AFA" w:rsidRPr="008A7BD7">
        <w:rPr>
          <w:rFonts w:ascii="Cambria" w:hAnsi="Cambria"/>
          <w:sz w:val="20"/>
          <w:szCs w:val="20"/>
        </w:rPr>
        <w:t>ies</w:t>
      </w:r>
      <w:r w:rsidRPr="008A7BD7">
        <w:rPr>
          <w:rFonts w:ascii="Cambria" w:hAnsi="Cambria"/>
          <w:sz w:val="20"/>
          <w:szCs w:val="20"/>
        </w:rPr>
        <w:t xml:space="preserve"> that affect the people of Guatemala, particularly indigenous peoples. According to the World Bank, </w:t>
      </w:r>
      <w:r w:rsidR="00690A37" w:rsidRPr="008A7BD7">
        <w:rPr>
          <w:rFonts w:ascii="Cambria" w:hAnsi="Cambria"/>
          <w:sz w:val="20"/>
          <w:szCs w:val="20"/>
        </w:rPr>
        <w:t xml:space="preserve">poverty increased slightly </w:t>
      </w:r>
      <w:r w:rsidRPr="008A7BD7">
        <w:rPr>
          <w:rFonts w:ascii="Cambria" w:hAnsi="Cambria"/>
          <w:sz w:val="20"/>
          <w:szCs w:val="20"/>
        </w:rPr>
        <w:t xml:space="preserve">in </w:t>
      </w:r>
      <w:r w:rsidR="0028307B" w:rsidRPr="008A7BD7">
        <w:rPr>
          <w:rFonts w:ascii="Cambria" w:hAnsi="Cambria"/>
          <w:sz w:val="20"/>
          <w:szCs w:val="20"/>
        </w:rPr>
        <w:t>2020</w:t>
      </w:r>
      <w:r w:rsidR="00690A37" w:rsidRPr="008A7BD7">
        <w:rPr>
          <w:rFonts w:ascii="Cambria" w:hAnsi="Cambria"/>
          <w:sz w:val="20"/>
          <w:szCs w:val="20"/>
        </w:rPr>
        <w:t xml:space="preserve">, from </w:t>
      </w:r>
      <w:r w:rsidR="0028307B" w:rsidRPr="008A7BD7">
        <w:rPr>
          <w:rFonts w:ascii="Cambria" w:hAnsi="Cambria"/>
          <w:sz w:val="20"/>
          <w:szCs w:val="20"/>
        </w:rPr>
        <w:t>45</w:t>
      </w:r>
      <w:r w:rsidR="00690A37" w:rsidRPr="008A7BD7">
        <w:rPr>
          <w:rFonts w:ascii="Cambria" w:hAnsi="Cambria"/>
          <w:sz w:val="20"/>
          <w:szCs w:val="20"/>
        </w:rPr>
        <w:t>.</w:t>
      </w:r>
      <w:r w:rsidR="0028307B" w:rsidRPr="008A7BD7">
        <w:rPr>
          <w:rFonts w:ascii="Cambria" w:hAnsi="Cambria"/>
          <w:sz w:val="20"/>
          <w:szCs w:val="20"/>
        </w:rPr>
        <w:t>6</w:t>
      </w:r>
      <w:r w:rsidR="00690A37" w:rsidRPr="008A7BD7">
        <w:rPr>
          <w:rFonts w:ascii="Cambria" w:hAnsi="Cambria"/>
          <w:sz w:val="20"/>
          <w:szCs w:val="20"/>
        </w:rPr>
        <w:t xml:space="preserve">% of the population to </w:t>
      </w:r>
      <w:r w:rsidR="0028307B" w:rsidRPr="008A7BD7">
        <w:rPr>
          <w:rFonts w:ascii="Cambria" w:hAnsi="Cambria"/>
          <w:sz w:val="20"/>
          <w:szCs w:val="20"/>
        </w:rPr>
        <w:t>47</w:t>
      </w:r>
      <w:r w:rsidR="00690A37" w:rsidRPr="008A7BD7">
        <w:rPr>
          <w:rFonts w:ascii="Cambria" w:hAnsi="Cambria"/>
          <w:sz w:val="20"/>
          <w:szCs w:val="20"/>
        </w:rPr>
        <w:t>%</w:t>
      </w:r>
      <w:r w:rsidR="0028307B" w:rsidRPr="008A7BD7">
        <w:rPr>
          <w:rFonts w:ascii="Cambria" w:hAnsi="Cambria"/>
          <w:sz w:val="20"/>
          <w:szCs w:val="20"/>
        </w:rPr>
        <w:t xml:space="preserve">, </w:t>
      </w:r>
      <w:r w:rsidR="00690A37" w:rsidRPr="008A7BD7">
        <w:rPr>
          <w:rFonts w:ascii="Cambria" w:hAnsi="Cambria"/>
          <w:sz w:val="20"/>
          <w:szCs w:val="20"/>
        </w:rPr>
        <w:t>and was projected to be 45.9% in 2021.</w:t>
      </w:r>
      <w:r w:rsidR="0028307B" w:rsidRPr="008A7BD7">
        <w:rPr>
          <w:rStyle w:val="FootnoteReference"/>
          <w:rFonts w:ascii="Cambria" w:hAnsi="Cambria"/>
          <w:sz w:val="20"/>
          <w:szCs w:val="20"/>
          <w:lang w:val="es-419"/>
        </w:rPr>
        <w:footnoteReference w:id="304"/>
      </w:r>
      <w:r w:rsidR="0028307B" w:rsidRPr="008A7BD7">
        <w:rPr>
          <w:rFonts w:ascii="Cambria" w:hAnsi="Cambria"/>
          <w:sz w:val="20"/>
          <w:szCs w:val="20"/>
        </w:rPr>
        <w:t xml:space="preserve"> </w:t>
      </w:r>
      <w:r w:rsidR="00690A37" w:rsidRPr="008A7BD7">
        <w:rPr>
          <w:rFonts w:ascii="Cambria" w:hAnsi="Cambria"/>
          <w:sz w:val="20"/>
          <w:szCs w:val="20"/>
        </w:rPr>
        <w:t>The impacts of poverty and social gaps are reflected in statistics indicating that 58% of indigenous children suffer from chronic childhood malnutrition and stunt</w:t>
      </w:r>
      <w:r w:rsidR="00655A8C" w:rsidRPr="008A7BD7">
        <w:rPr>
          <w:rFonts w:ascii="Cambria" w:hAnsi="Cambria"/>
          <w:sz w:val="20"/>
          <w:szCs w:val="20"/>
        </w:rPr>
        <w:t>ing.</w:t>
      </w:r>
      <w:r w:rsidR="0028307B" w:rsidRPr="008A7BD7">
        <w:rPr>
          <w:rStyle w:val="FootnoteReference"/>
          <w:rFonts w:ascii="Cambria" w:hAnsi="Cambria"/>
          <w:sz w:val="20"/>
          <w:szCs w:val="20"/>
          <w:lang w:val="es-419"/>
        </w:rPr>
        <w:footnoteReference w:id="305"/>
      </w:r>
      <w:r w:rsidR="00655A8C" w:rsidRPr="008A7BD7">
        <w:rPr>
          <w:rFonts w:ascii="Cambria" w:hAnsi="Cambria"/>
          <w:sz w:val="20"/>
          <w:szCs w:val="20"/>
        </w:rPr>
        <w:t xml:space="preserve"> The World Bank notes that low central</w:t>
      </w:r>
      <w:r w:rsidR="00460AFA" w:rsidRPr="008A7BD7">
        <w:rPr>
          <w:rFonts w:ascii="Cambria" w:hAnsi="Cambria"/>
          <w:sz w:val="20"/>
          <w:szCs w:val="20"/>
        </w:rPr>
        <w:t>-</w:t>
      </w:r>
      <w:r w:rsidR="00655A8C" w:rsidRPr="008A7BD7">
        <w:rPr>
          <w:rFonts w:ascii="Cambria" w:hAnsi="Cambria"/>
          <w:sz w:val="20"/>
          <w:szCs w:val="20"/>
        </w:rPr>
        <w:t>government revenues limit capacity for public investment to cover basic public services, such as education, health, and access to water, “</w:t>
      </w:r>
      <w:r w:rsidR="00F42495" w:rsidRPr="008A7BD7">
        <w:rPr>
          <w:rFonts w:ascii="Cambria" w:hAnsi="Cambria"/>
          <w:sz w:val="20"/>
          <w:szCs w:val="20"/>
        </w:rPr>
        <w:t>l</w:t>
      </w:r>
      <w:r w:rsidR="00655A8C" w:rsidRPr="008A7BD7">
        <w:rPr>
          <w:rFonts w:ascii="Cambria" w:hAnsi="Cambria"/>
          <w:sz w:val="20"/>
          <w:szCs w:val="20"/>
        </w:rPr>
        <w:t>argely explaining the lack of developmental progress and large social gaps, trailing behind the rest of Latin America and the Caribbean.”</w:t>
      </w:r>
      <w:r w:rsidR="0028307B" w:rsidRPr="008A7BD7">
        <w:rPr>
          <w:rStyle w:val="FootnoteReference"/>
          <w:rFonts w:ascii="Cambria" w:hAnsi="Cambria"/>
          <w:sz w:val="20"/>
          <w:szCs w:val="20"/>
          <w:lang w:val="es-419"/>
        </w:rPr>
        <w:footnoteReference w:id="306"/>
      </w:r>
      <w:r w:rsidR="0028307B" w:rsidRPr="008A7BD7">
        <w:rPr>
          <w:rFonts w:ascii="Cambria" w:hAnsi="Cambria"/>
          <w:sz w:val="20"/>
          <w:szCs w:val="20"/>
        </w:rPr>
        <w:t xml:space="preserve"> </w:t>
      </w:r>
    </w:p>
    <w:p w14:paraId="7D33A0A9" w14:textId="77777777" w:rsidR="0028307B" w:rsidRPr="008A7BD7" w:rsidRDefault="0028307B" w:rsidP="0028307B">
      <w:pPr>
        <w:ind w:left="720"/>
        <w:jc w:val="both"/>
        <w:rPr>
          <w:rFonts w:ascii="Cambria" w:eastAsia="Cambria" w:hAnsi="Cambria" w:cs="Cambria"/>
          <w:color w:val="000000" w:themeColor="text1"/>
          <w:sz w:val="20"/>
          <w:szCs w:val="20"/>
        </w:rPr>
      </w:pPr>
    </w:p>
    <w:p w14:paraId="57FC412B" w14:textId="4606675C" w:rsidR="0028307B" w:rsidRPr="008A7BD7" w:rsidRDefault="0065432C" w:rsidP="003D3059">
      <w:pPr>
        <w:numPr>
          <w:ilvl w:val="0"/>
          <w:numId w:val="2"/>
        </w:numPr>
        <w:ind w:left="0" w:firstLine="720"/>
        <w:jc w:val="both"/>
        <w:rPr>
          <w:rStyle w:val="normaltextrun"/>
          <w:rFonts w:ascii="Cambria" w:eastAsia="Cambria" w:hAnsi="Cambria" w:cs="Cambria"/>
          <w:color w:val="000000" w:themeColor="text1"/>
          <w:sz w:val="20"/>
          <w:szCs w:val="20"/>
        </w:rPr>
      </w:pPr>
      <w:r w:rsidRPr="008A7BD7">
        <w:rPr>
          <w:rFonts w:ascii="Cambria" w:hAnsi="Cambria"/>
          <w:sz w:val="20"/>
          <w:szCs w:val="20"/>
        </w:rPr>
        <w:t>However</w:t>
      </w:r>
      <w:r w:rsidR="003712D0" w:rsidRPr="008A7BD7">
        <w:rPr>
          <w:rFonts w:ascii="Cambria" w:hAnsi="Cambria"/>
          <w:sz w:val="20"/>
          <w:szCs w:val="20"/>
        </w:rPr>
        <w:t>, the</w:t>
      </w:r>
      <w:r w:rsidR="00F42495" w:rsidRPr="008A7BD7">
        <w:rPr>
          <w:rFonts w:ascii="Cambria" w:hAnsi="Cambria"/>
          <w:sz w:val="20"/>
          <w:szCs w:val="20"/>
        </w:rPr>
        <w:t xml:space="preserve"> IACHR notes</w:t>
      </w:r>
      <w:r w:rsidR="003712D0" w:rsidRPr="008A7BD7">
        <w:rPr>
          <w:rFonts w:ascii="Cambria" w:hAnsi="Cambria"/>
          <w:sz w:val="20"/>
          <w:szCs w:val="20"/>
        </w:rPr>
        <w:t xml:space="preserve"> </w:t>
      </w:r>
      <w:r w:rsidR="00F42495" w:rsidRPr="008A7BD7">
        <w:rPr>
          <w:rFonts w:ascii="Cambria" w:hAnsi="Cambria"/>
          <w:sz w:val="20"/>
          <w:szCs w:val="20"/>
        </w:rPr>
        <w:t xml:space="preserve">that </w:t>
      </w:r>
      <w:r w:rsidR="002A764D" w:rsidRPr="008A7BD7">
        <w:rPr>
          <w:rFonts w:ascii="Cambria" w:hAnsi="Cambria"/>
          <w:sz w:val="20"/>
          <w:szCs w:val="20"/>
        </w:rPr>
        <w:t xml:space="preserve">it is also important to factor in </w:t>
      </w:r>
      <w:r w:rsidR="00F42495" w:rsidRPr="008A7BD7">
        <w:rPr>
          <w:rFonts w:ascii="Cambria" w:hAnsi="Cambria"/>
          <w:sz w:val="20"/>
          <w:szCs w:val="20"/>
        </w:rPr>
        <w:t>the impacts of corruption</w:t>
      </w:r>
      <w:r w:rsidR="003712D0" w:rsidRPr="008A7BD7">
        <w:rPr>
          <w:rFonts w:ascii="Cambria" w:hAnsi="Cambria"/>
          <w:sz w:val="20"/>
          <w:szCs w:val="20"/>
        </w:rPr>
        <w:t xml:space="preserve">; in 2020, for example, 9.3 billion </w:t>
      </w:r>
      <w:r w:rsidR="00E80BD0" w:rsidRPr="008A7BD7">
        <w:rPr>
          <w:rFonts w:ascii="Cambria" w:hAnsi="Cambria"/>
          <w:sz w:val="20"/>
          <w:szCs w:val="20"/>
        </w:rPr>
        <w:t>quetzals</w:t>
      </w:r>
      <w:r w:rsidR="003712D0" w:rsidRPr="008A7BD7">
        <w:rPr>
          <w:rFonts w:ascii="Cambria" w:hAnsi="Cambria"/>
          <w:sz w:val="20"/>
          <w:szCs w:val="20"/>
        </w:rPr>
        <w:t xml:space="preserve"> earmarked for food </w:t>
      </w:r>
      <w:r w:rsidR="008D10A2" w:rsidRPr="008A7BD7">
        <w:rPr>
          <w:rFonts w:ascii="Cambria" w:hAnsi="Cambria"/>
          <w:sz w:val="20"/>
          <w:szCs w:val="20"/>
        </w:rPr>
        <w:t xml:space="preserve">reportedly ended up being spent on bribes, </w:t>
      </w:r>
      <w:r w:rsidR="003712D0" w:rsidRPr="008A7BD7">
        <w:rPr>
          <w:rFonts w:ascii="Cambria" w:hAnsi="Cambria"/>
          <w:sz w:val="20"/>
          <w:szCs w:val="20"/>
        </w:rPr>
        <w:t>according to public</w:t>
      </w:r>
      <w:r w:rsidR="002A764D" w:rsidRPr="008A7BD7">
        <w:rPr>
          <w:rFonts w:ascii="Cambria" w:hAnsi="Cambria"/>
          <w:sz w:val="20"/>
          <w:szCs w:val="20"/>
        </w:rPr>
        <w:t xml:space="preserve"> </w:t>
      </w:r>
      <w:r w:rsidR="003712D0" w:rsidRPr="008A7BD7">
        <w:rPr>
          <w:rFonts w:ascii="Cambria" w:hAnsi="Cambria"/>
          <w:sz w:val="20"/>
          <w:szCs w:val="20"/>
        </w:rPr>
        <w:t>information</w:t>
      </w:r>
      <w:r w:rsidR="008D10A2" w:rsidRPr="008A7BD7">
        <w:rPr>
          <w:rFonts w:ascii="Cambria" w:hAnsi="Cambria"/>
          <w:sz w:val="20"/>
          <w:szCs w:val="20"/>
        </w:rPr>
        <w:t>.</w:t>
      </w:r>
      <w:r w:rsidR="0028307B" w:rsidRPr="008A7BD7">
        <w:rPr>
          <w:rStyle w:val="FootnoteReference"/>
          <w:rFonts w:ascii="Cambria" w:hAnsi="Cambria"/>
          <w:color w:val="000000"/>
          <w:sz w:val="20"/>
          <w:szCs w:val="20"/>
          <w:lang w:val="es-US"/>
        </w:rPr>
        <w:footnoteReference w:id="307"/>
      </w:r>
      <w:r w:rsidR="0028307B" w:rsidRPr="008A7BD7">
        <w:rPr>
          <w:rStyle w:val="eop"/>
          <w:rFonts w:ascii="Cambria" w:hAnsi="Cambria"/>
          <w:color w:val="000000"/>
          <w:sz w:val="20"/>
          <w:szCs w:val="20"/>
          <w:shd w:val="clear" w:color="auto" w:fill="FFFFFF"/>
        </w:rPr>
        <w:t xml:space="preserve"> </w:t>
      </w:r>
      <w:r w:rsidR="00E80BD0" w:rsidRPr="008A7BD7">
        <w:rPr>
          <w:rStyle w:val="eop"/>
          <w:rFonts w:ascii="Cambria" w:hAnsi="Cambria"/>
          <w:color w:val="000000"/>
          <w:sz w:val="20"/>
          <w:szCs w:val="20"/>
          <w:shd w:val="clear" w:color="auto" w:fill="FFFFFF"/>
        </w:rPr>
        <w:t xml:space="preserve">Civil society sources have called attention to the </w:t>
      </w:r>
      <w:r w:rsidR="00D27BFF" w:rsidRPr="008A7BD7">
        <w:rPr>
          <w:rStyle w:val="eop"/>
          <w:rFonts w:ascii="Cambria" w:hAnsi="Cambria"/>
          <w:color w:val="000000"/>
          <w:sz w:val="20"/>
          <w:szCs w:val="20"/>
          <w:shd w:val="clear" w:color="auto" w:fill="FFFFFF"/>
        </w:rPr>
        <w:t xml:space="preserve">long </w:t>
      </w:r>
      <w:r w:rsidR="00E80BD0" w:rsidRPr="008A7BD7">
        <w:rPr>
          <w:rStyle w:val="eop"/>
          <w:rFonts w:ascii="Cambria" w:hAnsi="Cambria"/>
          <w:color w:val="000000"/>
          <w:sz w:val="20"/>
          <w:szCs w:val="20"/>
          <w:shd w:val="clear" w:color="auto" w:fill="FFFFFF"/>
        </w:rPr>
        <w:t xml:space="preserve">reach of corruption, indicating that they believe it “affects all areas of </w:t>
      </w:r>
      <w:r w:rsidR="00D27BFF" w:rsidRPr="008A7BD7">
        <w:rPr>
          <w:rStyle w:val="eop"/>
          <w:rFonts w:ascii="Cambria" w:hAnsi="Cambria"/>
          <w:color w:val="000000"/>
          <w:sz w:val="20"/>
          <w:szCs w:val="20"/>
          <w:shd w:val="clear" w:color="auto" w:fill="FFFFFF"/>
        </w:rPr>
        <w:t xml:space="preserve">the country’s development, including human development, and now </w:t>
      </w:r>
      <w:r w:rsidR="000A1054" w:rsidRPr="008A7BD7">
        <w:rPr>
          <w:rStyle w:val="eop"/>
          <w:rFonts w:ascii="Cambria" w:hAnsi="Cambria"/>
          <w:color w:val="000000"/>
          <w:sz w:val="20"/>
          <w:szCs w:val="20"/>
          <w:shd w:val="clear" w:color="auto" w:fill="FFFFFF"/>
        </w:rPr>
        <w:t xml:space="preserve">affects the </w:t>
      </w:r>
      <w:r w:rsidR="00D27BFF" w:rsidRPr="008A7BD7">
        <w:rPr>
          <w:rStyle w:val="eop"/>
          <w:rFonts w:ascii="Cambria" w:hAnsi="Cambria"/>
          <w:color w:val="000000"/>
          <w:sz w:val="20"/>
          <w:szCs w:val="20"/>
          <w:shd w:val="clear" w:color="auto" w:fill="FFFFFF"/>
        </w:rPr>
        <w:t>children who suffer from malnutrition in more than half the country, reflected in their short stature or inability to develop intellect</w:t>
      </w:r>
      <w:r w:rsidR="000A1054" w:rsidRPr="008A7BD7">
        <w:rPr>
          <w:rStyle w:val="eop"/>
          <w:rFonts w:ascii="Cambria" w:hAnsi="Cambria"/>
          <w:color w:val="000000"/>
          <w:sz w:val="20"/>
          <w:szCs w:val="20"/>
          <w:shd w:val="clear" w:color="auto" w:fill="FFFFFF"/>
        </w:rPr>
        <w:t>ually</w:t>
      </w:r>
      <w:r w:rsidR="00D27BFF" w:rsidRPr="008A7BD7">
        <w:rPr>
          <w:rStyle w:val="eop"/>
          <w:rFonts w:ascii="Cambria" w:hAnsi="Cambria"/>
          <w:color w:val="000000"/>
          <w:sz w:val="20"/>
          <w:szCs w:val="20"/>
          <w:shd w:val="clear" w:color="auto" w:fill="FFFFFF"/>
        </w:rPr>
        <w:t xml:space="preserve"> to </w:t>
      </w:r>
      <w:r w:rsidR="000A1054" w:rsidRPr="008A7BD7">
        <w:rPr>
          <w:rStyle w:val="eop"/>
          <w:rFonts w:ascii="Cambria" w:hAnsi="Cambria"/>
          <w:color w:val="000000"/>
          <w:sz w:val="20"/>
          <w:szCs w:val="20"/>
          <w:shd w:val="clear" w:color="auto" w:fill="FFFFFF"/>
        </w:rPr>
        <w:t>the</w:t>
      </w:r>
      <w:r w:rsidR="00D27BFF" w:rsidRPr="008A7BD7">
        <w:rPr>
          <w:rStyle w:val="eop"/>
          <w:rFonts w:ascii="Cambria" w:hAnsi="Cambria"/>
          <w:color w:val="000000"/>
          <w:sz w:val="20"/>
          <w:szCs w:val="20"/>
          <w:shd w:val="clear" w:color="auto" w:fill="FFFFFF"/>
        </w:rPr>
        <w:t xml:space="preserve"> highest potential.</w:t>
      </w:r>
      <w:r w:rsidR="0028307B" w:rsidRPr="008A7BD7">
        <w:rPr>
          <w:rStyle w:val="normaltextrun"/>
          <w:rFonts w:ascii="Cambria" w:hAnsi="Cambria"/>
          <w:color w:val="000000"/>
          <w:sz w:val="20"/>
          <w:szCs w:val="20"/>
          <w:shd w:val="clear" w:color="auto" w:fill="FFFFFF"/>
        </w:rPr>
        <w:t>”</w:t>
      </w:r>
      <w:r w:rsidR="0028307B" w:rsidRPr="008A7BD7">
        <w:rPr>
          <w:rStyle w:val="FootnoteReference"/>
          <w:rFonts w:ascii="Cambria" w:hAnsi="Cambria"/>
          <w:color w:val="000000"/>
          <w:sz w:val="20"/>
          <w:szCs w:val="20"/>
          <w:shd w:val="clear" w:color="auto" w:fill="FFFFFF"/>
          <w:lang w:val="es-419"/>
        </w:rPr>
        <w:footnoteReference w:id="308"/>
      </w:r>
      <w:r w:rsidR="0028307B" w:rsidRPr="008A7BD7">
        <w:rPr>
          <w:rStyle w:val="normaltextrun"/>
          <w:rFonts w:ascii="Cambria" w:hAnsi="Cambria"/>
          <w:color w:val="000000"/>
          <w:sz w:val="20"/>
          <w:szCs w:val="20"/>
          <w:shd w:val="clear" w:color="auto" w:fill="FFFFFF"/>
        </w:rPr>
        <w:t xml:space="preserve"> </w:t>
      </w:r>
      <w:r w:rsidR="00D27BFF" w:rsidRPr="008A7BD7">
        <w:rPr>
          <w:rStyle w:val="normaltextrun"/>
          <w:rFonts w:ascii="Cambria" w:hAnsi="Cambria"/>
          <w:color w:val="000000"/>
          <w:sz w:val="20"/>
          <w:szCs w:val="20"/>
          <w:shd w:val="clear" w:color="auto" w:fill="FFFFFF"/>
        </w:rPr>
        <w:t xml:space="preserve">This situation is especially </w:t>
      </w:r>
      <w:r w:rsidR="000A1054" w:rsidRPr="008A7BD7">
        <w:rPr>
          <w:rStyle w:val="normaltextrun"/>
          <w:rFonts w:ascii="Cambria" w:hAnsi="Cambria"/>
          <w:color w:val="000000"/>
          <w:sz w:val="20"/>
          <w:szCs w:val="20"/>
          <w:shd w:val="clear" w:color="auto" w:fill="FFFFFF"/>
        </w:rPr>
        <w:t>serious</w:t>
      </w:r>
      <w:r w:rsidR="00D27BFF" w:rsidRPr="008A7BD7">
        <w:rPr>
          <w:rStyle w:val="normaltextrun"/>
          <w:rFonts w:ascii="Cambria" w:hAnsi="Cambria"/>
          <w:color w:val="000000"/>
          <w:sz w:val="20"/>
          <w:szCs w:val="20"/>
          <w:shd w:val="clear" w:color="auto" w:fill="FFFFFF"/>
        </w:rPr>
        <w:t xml:space="preserve"> given the high percentage of children suffering from malnutrition.</w:t>
      </w:r>
      <w:r w:rsidR="0028307B" w:rsidRPr="008A7BD7">
        <w:rPr>
          <w:rStyle w:val="normaltextrun"/>
          <w:rFonts w:ascii="Cambria" w:hAnsi="Cambria"/>
          <w:color w:val="000000"/>
          <w:sz w:val="20"/>
          <w:szCs w:val="20"/>
          <w:shd w:val="clear" w:color="auto" w:fill="FFFFFF"/>
        </w:rPr>
        <w:t xml:space="preserve"> </w:t>
      </w:r>
    </w:p>
    <w:p w14:paraId="035D023D" w14:textId="77777777" w:rsidR="0028307B" w:rsidRPr="008A7BD7" w:rsidRDefault="0028307B" w:rsidP="0028307B">
      <w:pPr>
        <w:pStyle w:val="ListParagraph"/>
        <w:rPr>
          <w:rStyle w:val="normaltextrun"/>
          <w:rFonts w:ascii="Cambria" w:hAnsi="Cambria"/>
          <w:color w:val="000000"/>
          <w:sz w:val="20"/>
          <w:szCs w:val="20"/>
          <w:shd w:val="clear" w:color="auto" w:fill="FFFFFF"/>
        </w:rPr>
      </w:pPr>
    </w:p>
    <w:p w14:paraId="3AC458A6" w14:textId="7F5132ED" w:rsidR="0028307B" w:rsidRPr="008A7BD7" w:rsidRDefault="005C1FCE" w:rsidP="003D3059">
      <w:pPr>
        <w:numPr>
          <w:ilvl w:val="0"/>
          <w:numId w:val="2"/>
        </w:numPr>
        <w:ind w:left="0" w:firstLine="720"/>
        <w:jc w:val="both"/>
        <w:rPr>
          <w:rStyle w:val="eop"/>
          <w:rFonts w:ascii="Cambria" w:eastAsia="Cambria" w:hAnsi="Cambria" w:cs="Cambria"/>
          <w:color w:val="000000" w:themeColor="text1"/>
          <w:sz w:val="20"/>
          <w:szCs w:val="20"/>
        </w:rPr>
      </w:pPr>
      <w:r w:rsidRPr="008A7BD7">
        <w:rPr>
          <w:rStyle w:val="normaltextrun"/>
          <w:rFonts w:ascii="Cambria" w:hAnsi="Cambria"/>
          <w:color w:val="000000"/>
          <w:sz w:val="20"/>
          <w:szCs w:val="20"/>
          <w:shd w:val="clear" w:color="auto" w:fill="FFFFFF"/>
        </w:rPr>
        <w:t xml:space="preserve">The Commission reiterates that </w:t>
      </w:r>
      <w:r w:rsidR="00E233A1" w:rsidRPr="008A7BD7">
        <w:rPr>
          <w:rStyle w:val="normaltextrun"/>
          <w:rFonts w:ascii="Cambria" w:hAnsi="Cambria"/>
          <w:color w:val="000000"/>
          <w:sz w:val="20"/>
          <w:szCs w:val="20"/>
          <w:shd w:val="clear" w:color="auto" w:fill="FFFFFF"/>
        </w:rPr>
        <w:t xml:space="preserve">the </w:t>
      </w:r>
      <w:r w:rsidRPr="008A7BD7">
        <w:rPr>
          <w:rStyle w:val="normaltextrun"/>
          <w:rFonts w:ascii="Cambria" w:hAnsi="Cambria"/>
          <w:color w:val="000000"/>
          <w:sz w:val="20"/>
          <w:szCs w:val="20"/>
          <w:shd w:val="clear" w:color="auto" w:fill="FFFFFF"/>
        </w:rPr>
        <w:t>programs and public</w:t>
      </w:r>
      <w:r w:rsidR="00E233A1" w:rsidRPr="008A7BD7">
        <w:rPr>
          <w:rStyle w:val="normaltextrun"/>
          <w:rFonts w:ascii="Cambria" w:hAnsi="Cambria"/>
          <w:color w:val="000000"/>
          <w:sz w:val="20"/>
          <w:szCs w:val="20"/>
          <w:shd w:val="clear" w:color="auto" w:fill="FFFFFF"/>
        </w:rPr>
        <w:t xml:space="preserve"> policies on food and nutrition implemented in </w:t>
      </w:r>
      <w:r w:rsidR="00380660" w:rsidRPr="008A7BD7">
        <w:rPr>
          <w:rStyle w:val="normaltextrun"/>
          <w:rFonts w:ascii="Cambria" w:hAnsi="Cambria"/>
          <w:color w:val="000000"/>
          <w:sz w:val="20"/>
          <w:szCs w:val="20"/>
          <w:shd w:val="clear" w:color="auto" w:fill="FFFFFF"/>
        </w:rPr>
        <w:t xml:space="preserve">Guatemala </w:t>
      </w:r>
      <w:r w:rsidR="0028307B" w:rsidRPr="008A7BD7">
        <w:rPr>
          <w:rStyle w:val="normaltextrun"/>
          <w:rFonts w:ascii="Cambria" w:hAnsi="Cambria"/>
          <w:color w:val="000000"/>
          <w:sz w:val="20"/>
          <w:szCs w:val="20"/>
          <w:shd w:val="clear" w:color="auto" w:fill="FFFFFF"/>
        </w:rPr>
        <w:t>“</w:t>
      </w:r>
      <w:r w:rsidR="00E233A1" w:rsidRPr="008A7BD7">
        <w:rPr>
          <w:rStyle w:val="normaltextrun"/>
          <w:rFonts w:ascii="Cambria" w:hAnsi="Cambria"/>
          <w:color w:val="000000"/>
          <w:sz w:val="20"/>
          <w:szCs w:val="20"/>
          <w:shd w:val="clear" w:color="auto" w:fill="FFFFFF"/>
        </w:rPr>
        <w:t>should consider that the problem of malnutrition has many causes and is closely related to the lack of access to and the juridical insecurity affecting indigenous lands and territories, as well as the acquisition of such lands and territories by third persons.</w:t>
      </w:r>
      <w:r w:rsidR="0028307B" w:rsidRPr="008A7BD7">
        <w:rPr>
          <w:rStyle w:val="normaltextrun"/>
          <w:rFonts w:ascii="Cambria" w:hAnsi="Cambria"/>
          <w:color w:val="000000"/>
          <w:sz w:val="20"/>
          <w:szCs w:val="20"/>
          <w:shd w:val="clear" w:color="auto" w:fill="FFFFFF"/>
        </w:rPr>
        <w:t>”</w:t>
      </w:r>
      <w:r w:rsidR="0028307B" w:rsidRPr="008A7BD7">
        <w:rPr>
          <w:rStyle w:val="FootnoteReference"/>
          <w:rFonts w:ascii="Cambria" w:hAnsi="Cambria"/>
          <w:color w:val="000000"/>
          <w:sz w:val="20"/>
          <w:szCs w:val="20"/>
          <w:shd w:val="clear" w:color="auto" w:fill="FFFFFF"/>
          <w:lang w:val="es-419"/>
        </w:rPr>
        <w:footnoteReference w:id="309"/>
      </w:r>
      <w:r w:rsidR="0028307B" w:rsidRPr="008A7BD7">
        <w:rPr>
          <w:rStyle w:val="eop"/>
          <w:rFonts w:ascii="Cambria" w:hAnsi="Cambria"/>
          <w:color w:val="000000"/>
          <w:sz w:val="20"/>
          <w:szCs w:val="20"/>
          <w:shd w:val="clear" w:color="auto" w:fill="FFFFFF"/>
        </w:rPr>
        <w:t xml:space="preserve"> </w:t>
      </w:r>
      <w:r w:rsidR="000A1054" w:rsidRPr="008A7BD7">
        <w:rPr>
          <w:rStyle w:val="normaltextrun"/>
          <w:rFonts w:ascii="Cambria" w:hAnsi="Cambria"/>
          <w:color w:val="000000"/>
          <w:sz w:val="20"/>
          <w:szCs w:val="20"/>
        </w:rPr>
        <w:t>The Commission observes that conflicts related to the territories of indigenous peoples are ongoing. This is a result of factors such as the historically unequal distribution of agricultural land</w:t>
      </w:r>
      <w:r w:rsidR="00D97BC1" w:rsidRPr="008A7BD7">
        <w:rPr>
          <w:rStyle w:val="normaltextrun"/>
          <w:rFonts w:ascii="Cambria" w:hAnsi="Cambria"/>
          <w:color w:val="000000"/>
          <w:sz w:val="20"/>
          <w:szCs w:val="20"/>
        </w:rPr>
        <w:t>,</w:t>
      </w:r>
      <w:r w:rsidR="000A1054" w:rsidRPr="008A7BD7">
        <w:rPr>
          <w:rStyle w:val="normaltextrun"/>
          <w:rFonts w:ascii="Cambria" w:hAnsi="Cambria"/>
          <w:color w:val="000000"/>
          <w:sz w:val="20"/>
          <w:szCs w:val="20"/>
        </w:rPr>
        <w:t xml:space="preserve"> the lack of recognition and protection of indigenous territories</w:t>
      </w:r>
      <w:r w:rsidR="00D97BC1" w:rsidRPr="008A7BD7">
        <w:rPr>
          <w:rStyle w:val="normaltextrun"/>
          <w:rFonts w:ascii="Cambria" w:hAnsi="Cambria"/>
          <w:color w:val="000000"/>
          <w:sz w:val="20"/>
          <w:szCs w:val="20"/>
        </w:rPr>
        <w:t>,</w:t>
      </w:r>
      <w:r w:rsidR="000A1054" w:rsidRPr="008A7BD7">
        <w:rPr>
          <w:rStyle w:val="normaltextrun"/>
          <w:rFonts w:ascii="Cambria" w:hAnsi="Cambria"/>
          <w:color w:val="000000"/>
          <w:sz w:val="20"/>
          <w:szCs w:val="20"/>
        </w:rPr>
        <w:t xml:space="preserve"> and the implementation of </w:t>
      </w:r>
      <w:r w:rsidR="00036650" w:rsidRPr="008A7BD7">
        <w:rPr>
          <w:rStyle w:val="normaltextrun"/>
          <w:rFonts w:ascii="Cambria" w:hAnsi="Cambria"/>
          <w:color w:val="000000"/>
          <w:sz w:val="20"/>
          <w:szCs w:val="20"/>
        </w:rPr>
        <w:t>projects to explore and develop their natural resources</w:t>
      </w:r>
      <w:r w:rsidR="005B2681" w:rsidRPr="008A7BD7">
        <w:rPr>
          <w:rStyle w:val="normaltextrun"/>
          <w:rFonts w:ascii="Cambria" w:hAnsi="Cambria"/>
          <w:color w:val="000000"/>
          <w:sz w:val="20"/>
          <w:szCs w:val="20"/>
        </w:rPr>
        <w:t>, projects that are put in place</w:t>
      </w:r>
      <w:r w:rsidR="0068555B" w:rsidRPr="008A7BD7">
        <w:rPr>
          <w:rStyle w:val="normaltextrun"/>
          <w:rFonts w:ascii="Cambria" w:hAnsi="Cambria"/>
          <w:color w:val="000000"/>
          <w:sz w:val="20"/>
          <w:szCs w:val="20"/>
        </w:rPr>
        <w:t xml:space="preserve"> </w:t>
      </w:r>
      <w:r w:rsidR="00036650" w:rsidRPr="008A7BD7">
        <w:rPr>
          <w:rStyle w:val="normaltextrun"/>
          <w:rFonts w:ascii="Cambria" w:hAnsi="Cambria"/>
          <w:color w:val="000000"/>
          <w:sz w:val="20"/>
          <w:szCs w:val="20"/>
        </w:rPr>
        <w:lastRenderedPageBreak/>
        <w:t xml:space="preserve">without </w:t>
      </w:r>
      <w:r w:rsidR="0068555B" w:rsidRPr="008A7BD7">
        <w:rPr>
          <w:rStyle w:val="normaltextrun"/>
          <w:rFonts w:ascii="Cambria" w:hAnsi="Cambria"/>
          <w:color w:val="000000"/>
          <w:sz w:val="20"/>
          <w:szCs w:val="20"/>
        </w:rPr>
        <w:t xml:space="preserve">following </w:t>
      </w:r>
      <w:r w:rsidR="00036650" w:rsidRPr="008A7BD7">
        <w:rPr>
          <w:rStyle w:val="normaltextrun"/>
          <w:rFonts w:ascii="Cambria" w:hAnsi="Cambria"/>
          <w:color w:val="000000"/>
          <w:sz w:val="20"/>
          <w:szCs w:val="20"/>
        </w:rPr>
        <w:t>procedures</w:t>
      </w:r>
      <w:r w:rsidR="0068555B" w:rsidRPr="008A7BD7">
        <w:rPr>
          <w:rStyle w:val="normaltextrun"/>
          <w:rFonts w:ascii="Cambria" w:hAnsi="Cambria"/>
          <w:color w:val="000000"/>
          <w:sz w:val="20"/>
          <w:szCs w:val="20"/>
        </w:rPr>
        <w:t xml:space="preserve"> </w:t>
      </w:r>
      <w:r w:rsidR="00036650" w:rsidRPr="008A7BD7">
        <w:rPr>
          <w:rStyle w:val="normaltextrun"/>
          <w:rFonts w:ascii="Cambria" w:hAnsi="Cambria"/>
          <w:color w:val="000000"/>
          <w:sz w:val="20"/>
          <w:szCs w:val="20"/>
        </w:rPr>
        <w:t xml:space="preserve">for prior, free, and informed consultation to obtain the consent of the indigenous peoples who are affected. </w:t>
      </w:r>
      <w:r w:rsidR="0028307B" w:rsidRPr="008A7BD7">
        <w:rPr>
          <w:rStyle w:val="eop"/>
          <w:rFonts w:ascii="Cambria" w:hAnsi="Cambria"/>
          <w:color w:val="000000"/>
          <w:sz w:val="20"/>
          <w:szCs w:val="20"/>
          <w:shd w:val="clear" w:color="auto" w:fill="FFFFFF"/>
        </w:rPr>
        <w:t> </w:t>
      </w:r>
    </w:p>
    <w:p w14:paraId="19899AEB" w14:textId="77777777" w:rsidR="0028307B" w:rsidRPr="008A7BD7" w:rsidRDefault="0028307B" w:rsidP="0028307B">
      <w:pPr>
        <w:pStyle w:val="ListParagraph"/>
        <w:rPr>
          <w:rStyle w:val="eop"/>
          <w:rFonts w:ascii="Cambria" w:eastAsiaTheme="majorEastAsia" w:hAnsi="Cambria"/>
          <w:color w:val="000000"/>
          <w:sz w:val="20"/>
          <w:szCs w:val="20"/>
          <w:shd w:val="clear" w:color="auto" w:fill="FFFFFF"/>
        </w:rPr>
      </w:pPr>
    </w:p>
    <w:p w14:paraId="6FD0534B" w14:textId="5ADE6B28" w:rsidR="0028307B" w:rsidRPr="008A7BD7" w:rsidRDefault="00355124" w:rsidP="003D3059">
      <w:pPr>
        <w:numPr>
          <w:ilvl w:val="0"/>
          <w:numId w:val="2"/>
        </w:numPr>
        <w:ind w:left="0" w:firstLine="720"/>
        <w:jc w:val="both"/>
        <w:rPr>
          <w:rStyle w:val="normaltextrun"/>
          <w:rFonts w:ascii="Cambria" w:eastAsia="Cambria" w:hAnsi="Cambria" w:cs="Cambria"/>
          <w:color w:val="000000" w:themeColor="text1"/>
          <w:sz w:val="20"/>
          <w:szCs w:val="20"/>
        </w:rPr>
      </w:pPr>
      <w:proofErr w:type="gramStart"/>
      <w:r w:rsidRPr="008A7BD7">
        <w:rPr>
          <w:rStyle w:val="eop"/>
          <w:rFonts w:ascii="Cambria" w:eastAsiaTheme="majorEastAsia" w:hAnsi="Cambria"/>
          <w:color w:val="000000"/>
          <w:sz w:val="20"/>
          <w:szCs w:val="20"/>
          <w:shd w:val="clear" w:color="auto" w:fill="FFFFFF"/>
        </w:rPr>
        <w:t>With regard to</w:t>
      </w:r>
      <w:proofErr w:type="gramEnd"/>
      <w:r w:rsidRPr="008A7BD7">
        <w:rPr>
          <w:rStyle w:val="eop"/>
          <w:rFonts w:ascii="Cambria" w:eastAsiaTheme="majorEastAsia" w:hAnsi="Cambria"/>
          <w:color w:val="000000"/>
          <w:sz w:val="20"/>
          <w:szCs w:val="20"/>
          <w:shd w:val="clear" w:color="auto" w:fill="FFFFFF"/>
        </w:rPr>
        <w:t xml:space="preserve"> impunity and access to justice, the Commission observes serious challenges </w:t>
      </w:r>
      <w:r w:rsidR="00462DA5" w:rsidRPr="008A7BD7">
        <w:rPr>
          <w:rStyle w:val="eop"/>
          <w:rFonts w:ascii="Cambria" w:eastAsiaTheme="majorEastAsia" w:hAnsi="Cambria"/>
          <w:color w:val="000000"/>
          <w:sz w:val="20"/>
          <w:szCs w:val="20"/>
          <w:shd w:val="clear" w:color="auto" w:fill="FFFFFF"/>
        </w:rPr>
        <w:t>to</w:t>
      </w:r>
      <w:r w:rsidRPr="008A7BD7">
        <w:rPr>
          <w:rStyle w:val="eop"/>
          <w:rFonts w:ascii="Cambria" w:eastAsiaTheme="majorEastAsia" w:hAnsi="Cambria"/>
          <w:color w:val="000000"/>
          <w:sz w:val="20"/>
          <w:szCs w:val="20"/>
          <w:shd w:val="clear" w:color="auto" w:fill="FFFFFF"/>
        </w:rPr>
        <w:t xml:space="preserve"> the effective enjoyment of the rights of indigenous peoples to their lands, territories,</w:t>
      </w:r>
      <w:r w:rsidR="0046692B" w:rsidRPr="008A7BD7">
        <w:rPr>
          <w:rStyle w:val="eop"/>
          <w:rFonts w:ascii="Cambria" w:eastAsiaTheme="majorEastAsia" w:hAnsi="Cambria"/>
          <w:color w:val="000000"/>
          <w:sz w:val="20"/>
          <w:szCs w:val="20"/>
          <w:shd w:val="clear" w:color="auto" w:fill="FFFFFF"/>
        </w:rPr>
        <w:t xml:space="preserve"> and natural resources and their rights to </w:t>
      </w:r>
      <w:r w:rsidR="0046692B" w:rsidRPr="008A7BD7">
        <w:rPr>
          <w:rStyle w:val="normaltextrun"/>
          <w:rFonts w:ascii="Cambria" w:hAnsi="Cambria"/>
          <w:color w:val="000000"/>
          <w:sz w:val="20"/>
          <w:szCs w:val="20"/>
        </w:rPr>
        <w:t>prior, free, and informed consultation to obtain their consent</w:t>
      </w:r>
      <w:r w:rsidR="0028307B" w:rsidRPr="008A7BD7">
        <w:rPr>
          <w:rStyle w:val="eop"/>
          <w:rFonts w:ascii="Cambria" w:eastAsiaTheme="majorEastAsia" w:hAnsi="Cambria"/>
          <w:color w:val="000000"/>
          <w:sz w:val="20"/>
          <w:szCs w:val="20"/>
          <w:shd w:val="clear" w:color="auto" w:fill="FFFFFF"/>
        </w:rPr>
        <w:t xml:space="preserve">, </w:t>
      </w:r>
      <w:r w:rsidR="0046692B" w:rsidRPr="008A7BD7">
        <w:rPr>
          <w:rStyle w:val="eop"/>
          <w:rFonts w:ascii="Cambria" w:eastAsiaTheme="majorEastAsia" w:hAnsi="Cambria"/>
          <w:color w:val="000000"/>
          <w:sz w:val="20"/>
          <w:szCs w:val="20"/>
          <w:shd w:val="clear" w:color="auto" w:fill="FFFFFF"/>
        </w:rPr>
        <w:t>even when there have been judicial rulings in their favor</w:t>
      </w:r>
      <w:r w:rsidR="0028307B" w:rsidRPr="008A7BD7">
        <w:rPr>
          <w:rStyle w:val="eop"/>
          <w:rFonts w:ascii="Cambria" w:eastAsiaTheme="majorEastAsia" w:hAnsi="Cambria"/>
          <w:color w:val="000000"/>
          <w:sz w:val="20"/>
          <w:szCs w:val="20"/>
          <w:shd w:val="clear" w:color="auto" w:fill="FFFFFF"/>
        </w:rPr>
        <w:t xml:space="preserve">. </w:t>
      </w:r>
      <w:r w:rsidR="0046692B" w:rsidRPr="008A7BD7">
        <w:rPr>
          <w:rStyle w:val="eop"/>
          <w:rFonts w:ascii="Cambria" w:eastAsiaTheme="majorEastAsia" w:hAnsi="Cambria"/>
          <w:color w:val="000000"/>
          <w:sz w:val="20"/>
          <w:szCs w:val="20"/>
          <w:shd w:val="clear" w:color="auto" w:fill="FFFFFF"/>
        </w:rPr>
        <w:t xml:space="preserve">Along those lines, on November </w:t>
      </w:r>
      <w:r w:rsidR="0028307B" w:rsidRPr="008A7BD7">
        <w:rPr>
          <w:rStyle w:val="normaltextrun"/>
          <w:rFonts w:ascii="Cambria" w:eastAsiaTheme="majorEastAsia" w:hAnsi="Cambria"/>
          <w:sz w:val="20"/>
          <w:szCs w:val="20"/>
        </w:rPr>
        <w:t>4</w:t>
      </w:r>
      <w:r w:rsidR="0046692B" w:rsidRPr="008A7BD7">
        <w:rPr>
          <w:rStyle w:val="normaltextrun"/>
          <w:rFonts w:ascii="Cambria" w:eastAsiaTheme="majorEastAsia" w:hAnsi="Cambria"/>
          <w:sz w:val="20"/>
          <w:szCs w:val="20"/>
        </w:rPr>
        <w:t xml:space="preserve">, </w:t>
      </w:r>
      <w:r w:rsidR="0028307B" w:rsidRPr="008A7BD7">
        <w:rPr>
          <w:rStyle w:val="normaltextrun"/>
          <w:rFonts w:ascii="Cambria" w:eastAsiaTheme="majorEastAsia" w:hAnsi="Cambria"/>
          <w:sz w:val="20"/>
          <w:szCs w:val="20"/>
        </w:rPr>
        <w:t>2021,</w:t>
      </w:r>
      <w:r w:rsidR="007846C4" w:rsidRPr="008A7BD7">
        <w:rPr>
          <w:rStyle w:val="normaltextrun"/>
          <w:rFonts w:ascii="Cambria" w:eastAsiaTheme="majorEastAsia" w:hAnsi="Cambria"/>
          <w:sz w:val="20"/>
          <w:szCs w:val="20"/>
        </w:rPr>
        <w:t xml:space="preserve"> </w:t>
      </w:r>
      <w:r w:rsidR="0046692B" w:rsidRPr="008A7BD7">
        <w:rPr>
          <w:rStyle w:val="normaltextrun"/>
          <w:rFonts w:ascii="Cambria" w:eastAsiaTheme="majorEastAsia" w:hAnsi="Cambria"/>
          <w:sz w:val="20"/>
          <w:szCs w:val="20"/>
        </w:rPr>
        <w:t>the Commission condemned</w:t>
      </w:r>
      <w:r w:rsidR="0028307B" w:rsidRPr="008A7BD7">
        <w:rPr>
          <w:rStyle w:val="FootnoteReference"/>
          <w:rFonts w:ascii="Cambria" w:hAnsi="Cambria"/>
          <w:sz w:val="20"/>
          <w:szCs w:val="20"/>
          <w:lang w:val="es-ES"/>
        </w:rPr>
        <w:footnoteReference w:id="310"/>
      </w:r>
      <w:r w:rsidR="0028307B" w:rsidRPr="008A7BD7">
        <w:rPr>
          <w:rStyle w:val="normaltextrun"/>
          <w:rFonts w:ascii="Cambria" w:eastAsiaTheme="majorEastAsia" w:hAnsi="Cambria"/>
          <w:sz w:val="20"/>
          <w:szCs w:val="20"/>
        </w:rPr>
        <w:t> </w:t>
      </w:r>
      <w:r w:rsidR="00F10575" w:rsidRPr="008A7BD7">
        <w:rPr>
          <w:rStyle w:val="normaltextrun"/>
          <w:rFonts w:ascii="Cambria" w:eastAsiaTheme="majorEastAsia" w:hAnsi="Cambria"/>
          <w:sz w:val="20"/>
          <w:szCs w:val="20"/>
        </w:rPr>
        <w:t>the excessive use of force</w:t>
      </w:r>
      <w:r w:rsidR="009C6EE2" w:rsidRPr="008A7BD7">
        <w:rPr>
          <w:rStyle w:val="normaltextrun"/>
          <w:rFonts w:ascii="Cambria" w:eastAsiaTheme="majorEastAsia" w:hAnsi="Cambria"/>
          <w:sz w:val="20"/>
          <w:szCs w:val="20"/>
        </w:rPr>
        <w:t xml:space="preserve"> against protesters and members of M</w:t>
      </w:r>
      <w:r w:rsidR="0028307B" w:rsidRPr="008A7BD7">
        <w:rPr>
          <w:rStyle w:val="normaltextrun"/>
          <w:rFonts w:ascii="Cambria" w:eastAsiaTheme="majorEastAsia" w:hAnsi="Cambria"/>
          <w:sz w:val="20"/>
          <w:szCs w:val="20"/>
        </w:rPr>
        <w:t xml:space="preserve">aya </w:t>
      </w:r>
      <w:proofErr w:type="spellStart"/>
      <w:r w:rsidR="009C6EE2" w:rsidRPr="008A7BD7">
        <w:rPr>
          <w:rStyle w:val="normaltextrun"/>
          <w:rFonts w:ascii="Cambria" w:eastAsiaTheme="majorEastAsia" w:hAnsi="Cambria"/>
          <w:sz w:val="20"/>
          <w:szCs w:val="20"/>
        </w:rPr>
        <w:t>Q</w:t>
      </w:r>
      <w:r w:rsidR="0028307B" w:rsidRPr="008A7BD7">
        <w:rPr>
          <w:rStyle w:val="normaltextrun"/>
          <w:rFonts w:ascii="Cambria" w:eastAsiaTheme="majorEastAsia" w:hAnsi="Cambria"/>
          <w:sz w:val="20"/>
          <w:szCs w:val="20"/>
        </w:rPr>
        <w:t>'eqchi</w:t>
      </w:r>
      <w:proofErr w:type="spellEnd"/>
      <w:r w:rsidR="0028307B" w:rsidRPr="008A7BD7">
        <w:rPr>
          <w:rStyle w:val="normaltextrun"/>
          <w:rFonts w:ascii="Cambria" w:eastAsiaTheme="majorEastAsia" w:hAnsi="Cambria"/>
          <w:sz w:val="20"/>
          <w:szCs w:val="20"/>
        </w:rPr>
        <w:t xml:space="preserve">' </w:t>
      </w:r>
      <w:r w:rsidR="009C6EE2" w:rsidRPr="008A7BD7">
        <w:rPr>
          <w:rStyle w:val="normaltextrun"/>
          <w:rFonts w:ascii="Cambria" w:eastAsiaTheme="majorEastAsia" w:hAnsi="Cambria"/>
          <w:sz w:val="20"/>
          <w:szCs w:val="20"/>
        </w:rPr>
        <w:t xml:space="preserve">communities that took place in October </w:t>
      </w:r>
      <w:r w:rsidR="0028307B" w:rsidRPr="008A7BD7">
        <w:rPr>
          <w:rStyle w:val="normaltextrun"/>
          <w:rFonts w:ascii="Cambria" w:eastAsiaTheme="majorEastAsia" w:hAnsi="Cambria"/>
          <w:sz w:val="20"/>
          <w:szCs w:val="20"/>
        </w:rPr>
        <w:t>2021</w:t>
      </w:r>
      <w:r w:rsidR="00462DA5" w:rsidRPr="008A7BD7">
        <w:rPr>
          <w:rStyle w:val="normaltextrun"/>
          <w:rFonts w:ascii="Cambria" w:eastAsiaTheme="majorEastAsia" w:hAnsi="Cambria"/>
          <w:sz w:val="20"/>
          <w:szCs w:val="20"/>
        </w:rPr>
        <w:t xml:space="preserve"> </w:t>
      </w:r>
      <w:r w:rsidR="009C6EE2" w:rsidRPr="008A7BD7">
        <w:rPr>
          <w:rStyle w:val="normaltextrun"/>
          <w:rFonts w:ascii="Cambria" w:eastAsiaTheme="majorEastAsia" w:hAnsi="Cambria"/>
          <w:sz w:val="20"/>
          <w:szCs w:val="20"/>
        </w:rPr>
        <w:t xml:space="preserve">in the municipality of </w:t>
      </w:r>
      <w:r w:rsidR="0028307B" w:rsidRPr="008A7BD7">
        <w:rPr>
          <w:rStyle w:val="normaltextrun"/>
          <w:rFonts w:ascii="Cambria" w:eastAsiaTheme="majorEastAsia" w:hAnsi="Cambria"/>
          <w:sz w:val="20"/>
          <w:szCs w:val="20"/>
        </w:rPr>
        <w:t xml:space="preserve">El </w:t>
      </w:r>
      <w:proofErr w:type="spellStart"/>
      <w:r w:rsidR="0028307B" w:rsidRPr="008A7BD7">
        <w:rPr>
          <w:rStyle w:val="normaltextrun"/>
          <w:rFonts w:ascii="Cambria" w:eastAsiaTheme="majorEastAsia" w:hAnsi="Cambria"/>
          <w:sz w:val="20"/>
          <w:szCs w:val="20"/>
        </w:rPr>
        <w:t>Estor</w:t>
      </w:r>
      <w:proofErr w:type="spellEnd"/>
      <w:r w:rsidR="0028307B" w:rsidRPr="008A7BD7">
        <w:rPr>
          <w:rStyle w:val="normaltextrun"/>
          <w:rFonts w:ascii="Cambria" w:eastAsiaTheme="majorEastAsia" w:hAnsi="Cambria"/>
          <w:sz w:val="20"/>
          <w:szCs w:val="20"/>
        </w:rPr>
        <w:t xml:space="preserve">, </w:t>
      </w:r>
      <w:r w:rsidR="009C6EE2" w:rsidRPr="008A7BD7">
        <w:rPr>
          <w:rStyle w:val="normaltextrun"/>
          <w:rFonts w:ascii="Cambria" w:eastAsiaTheme="majorEastAsia" w:hAnsi="Cambria"/>
          <w:sz w:val="20"/>
          <w:szCs w:val="20"/>
        </w:rPr>
        <w:t xml:space="preserve">in the </w:t>
      </w:r>
      <w:r w:rsidR="0028307B" w:rsidRPr="008A7BD7">
        <w:rPr>
          <w:rStyle w:val="normaltextrun"/>
          <w:rFonts w:ascii="Cambria" w:eastAsiaTheme="majorEastAsia" w:hAnsi="Cambria"/>
          <w:sz w:val="20"/>
          <w:szCs w:val="20"/>
        </w:rPr>
        <w:t>department</w:t>
      </w:r>
      <w:r w:rsidR="009C6EE2" w:rsidRPr="008A7BD7">
        <w:rPr>
          <w:rStyle w:val="normaltextrun"/>
          <w:rFonts w:ascii="Cambria" w:eastAsiaTheme="majorEastAsia" w:hAnsi="Cambria"/>
          <w:sz w:val="20"/>
          <w:szCs w:val="20"/>
        </w:rPr>
        <w:t xml:space="preserve"> of</w:t>
      </w:r>
      <w:r w:rsidR="0028307B" w:rsidRPr="008A7BD7">
        <w:rPr>
          <w:rStyle w:val="normaltextrun"/>
          <w:rFonts w:ascii="Cambria" w:eastAsiaTheme="majorEastAsia" w:hAnsi="Cambria"/>
          <w:sz w:val="20"/>
          <w:szCs w:val="20"/>
        </w:rPr>
        <w:t xml:space="preserve"> Izabal </w:t>
      </w:r>
      <w:r w:rsidR="009C6EE2" w:rsidRPr="008A7BD7">
        <w:rPr>
          <w:rStyle w:val="normaltextrun"/>
          <w:rFonts w:ascii="Cambria" w:eastAsiaTheme="majorEastAsia" w:hAnsi="Cambria"/>
          <w:sz w:val="20"/>
          <w:szCs w:val="20"/>
        </w:rPr>
        <w:t>i</w:t>
      </w:r>
      <w:r w:rsidR="0028307B" w:rsidRPr="008A7BD7">
        <w:rPr>
          <w:rStyle w:val="normaltextrun"/>
          <w:rFonts w:ascii="Cambria" w:eastAsiaTheme="majorEastAsia" w:hAnsi="Cambria"/>
          <w:sz w:val="20"/>
          <w:szCs w:val="20"/>
        </w:rPr>
        <w:t>n Guatemala.</w:t>
      </w:r>
    </w:p>
    <w:p w14:paraId="26186A98" w14:textId="1DE8944C" w:rsidR="0028307B" w:rsidRPr="008A7BD7" w:rsidRDefault="009C6EE2" w:rsidP="0028307B">
      <w:pPr>
        <w:pStyle w:val="ListParagraph"/>
        <w:rPr>
          <w:rStyle w:val="normaltextrun"/>
          <w:rFonts w:ascii="Cambria" w:eastAsiaTheme="majorEastAsia" w:hAnsi="Cambria"/>
          <w:sz w:val="20"/>
          <w:szCs w:val="20"/>
        </w:rPr>
      </w:pPr>
      <w:r w:rsidRPr="008A7BD7">
        <w:rPr>
          <w:rStyle w:val="normaltextrun"/>
          <w:rFonts w:ascii="Cambria" w:eastAsiaTheme="majorEastAsia" w:hAnsi="Cambria"/>
          <w:sz w:val="20"/>
          <w:szCs w:val="20"/>
        </w:rPr>
        <w:t xml:space="preserve"> </w:t>
      </w:r>
    </w:p>
    <w:p w14:paraId="60971C1F" w14:textId="54BE746C" w:rsidR="0028307B" w:rsidRPr="008A7BD7" w:rsidRDefault="002F4DB7" w:rsidP="003D3059">
      <w:pPr>
        <w:numPr>
          <w:ilvl w:val="0"/>
          <w:numId w:val="2"/>
        </w:numPr>
        <w:ind w:left="0" w:firstLine="720"/>
        <w:jc w:val="both"/>
        <w:rPr>
          <w:rStyle w:val="eop"/>
          <w:rFonts w:ascii="Cambria" w:eastAsia="Cambria" w:hAnsi="Cambria" w:cs="Cambria"/>
          <w:color w:val="000000" w:themeColor="text1"/>
          <w:sz w:val="20"/>
          <w:szCs w:val="20"/>
        </w:rPr>
      </w:pPr>
      <w:r w:rsidRPr="008A7BD7">
        <w:rPr>
          <w:rStyle w:val="normaltextrun"/>
          <w:rFonts w:ascii="Cambria" w:eastAsiaTheme="majorEastAsia" w:hAnsi="Cambria"/>
          <w:sz w:val="20"/>
          <w:szCs w:val="20"/>
        </w:rPr>
        <w:t xml:space="preserve">The grave acts of violence took place in </w:t>
      </w:r>
      <w:r w:rsidR="0028307B" w:rsidRPr="008A7BD7">
        <w:rPr>
          <w:rStyle w:val="normaltextrun"/>
          <w:rFonts w:ascii="Cambria" w:eastAsiaTheme="majorEastAsia" w:hAnsi="Cambria"/>
          <w:sz w:val="20"/>
          <w:szCs w:val="20"/>
        </w:rPr>
        <w:t xml:space="preserve">El </w:t>
      </w:r>
      <w:proofErr w:type="spellStart"/>
      <w:r w:rsidR="0028307B" w:rsidRPr="008A7BD7">
        <w:rPr>
          <w:rStyle w:val="normaltextrun"/>
          <w:rFonts w:ascii="Cambria" w:eastAsiaTheme="majorEastAsia" w:hAnsi="Cambria"/>
          <w:sz w:val="20"/>
          <w:szCs w:val="20"/>
        </w:rPr>
        <w:t>Estor</w:t>
      </w:r>
      <w:proofErr w:type="spellEnd"/>
      <w:r w:rsidR="0028307B" w:rsidRPr="008A7BD7">
        <w:rPr>
          <w:rStyle w:val="normaltextrun"/>
          <w:rFonts w:ascii="Cambria" w:eastAsiaTheme="majorEastAsia" w:hAnsi="Cambria"/>
          <w:sz w:val="20"/>
          <w:szCs w:val="20"/>
        </w:rPr>
        <w:t xml:space="preserve">, Izabal, </w:t>
      </w:r>
      <w:r w:rsidRPr="008A7BD7">
        <w:rPr>
          <w:rStyle w:val="normaltextrun"/>
          <w:rFonts w:ascii="Cambria" w:eastAsiaTheme="majorEastAsia" w:hAnsi="Cambria"/>
          <w:sz w:val="20"/>
          <w:szCs w:val="20"/>
        </w:rPr>
        <w:t xml:space="preserve">where the National Civil Police </w:t>
      </w:r>
      <w:r w:rsidR="0028307B" w:rsidRPr="008A7BD7">
        <w:rPr>
          <w:rStyle w:val="normaltextrun"/>
          <w:rFonts w:ascii="Cambria" w:eastAsiaTheme="majorEastAsia" w:hAnsi="Cambria"/>
          <w:sz w:val="20"/>
          <w:szCs w:val="20"/>
        </w:rPr>
        <w:t xml:space="preserve">(PNC) </w:t>
      </w:r>
      <w:r w:rsidRPr="008A7BD7">
        <w:rPr>
          <w:rStyle w:val="normaltextrun"/>
          <w:rFonts w:ascii="Cambria" w:eastAsiaTheme="majorEastAsia" w:hAnsi="Cambria"/>
          <w:sz w:val="20"/>
          <w:szCs w:val="20"/>
        </w:rPr>
        <w:t>clamped down on M</w:t>
      </w:r>
      <w:r w:rsidR="0028307B" w:rsidRPr="008A7BD7">
        <w:rPr>
          <w:rStyle w:val="normaltextrun"/>
          <w:rFonts w:ascii="Cambria" w:eastAsiaTheme="majorEastAsia" w:hAnsi="Cambria"/>
          <w:sz w:val="20"/>
          <w:szCs w:val="20"/>
        </w:rPr>
        <w:t xml:space="preserve">aya </w:t>
      </w:r>
      <w:proofErr w:type="spellStart"/>
      <w:r w:rsidRPr="008A7BD7">
        <w:rPr>
          <w:rStyle w:val="normaltextrun"/>
          <w:rFonts w:ascii="Cambria" w:eastAsiaTheme="majorEastAsia" w:hAnsi="Cambria"/>
          <w:sz w:val="20"/>
          <w:szCs w:val="20"/>
        </w:rPr>
        <w:t>Q</w:t>
      </w:r>
      <w:r w:rsidR="0028307B" w:rsidRPr="008A7BD7">
        <w:rPr>
          <w:rStyle w:val="normaltextrun"/>
          <w:rFonts w:ascii="Cambria" w:eastAsiaTheme="majorEastAsia" w:hAnsi="Cambria"/>
          <w:sz w:val="20"/>
          <w:szCs w:val="20"/>
        </w:rPr>
        <w:t>’eqchi</w:t>
      </w:r>
      <w:proofErr w:type="spellEnd"/>
      <w:r w:rsidR="0028307B" w:rsidRPr="008A7BD7">
        <w:rPr>
          <w:rStyle w:val="normaltextrun"/>
          <w:rFonts w:ascii="Cambria" w:eastAsiaTheme="majorEastAsia" w:hAnsi="Cambria"/>
          <w:sz w:val="20"/>
          <w:szCs w:val="20"/>
        </w:rPr>
        <w:t xml:space="preserve">’ </w:t>
      </w:r>
      <w:r w:rsidRPr="008A7BD7">
        <w:rPr>
          <w:rStyle w:val="normaltextrun"/>
          <w:rFonts w:ascii="Cambria" w:eastAsiaTheme="majorEastAsia" w:hAnsi="Cambria"/>
          <w:sz w:val="20"/>
          <w:szCs w:val="20"/>
        </w:rPr>
        <w:t xml:space="preserve">demonstrators who were protesting the activities being carried out in their territory by </w:t>
      </w:r>
      <w:proofErr w:type="spellStart"/>
      <w:r w:rsidR="0028307B" w:rsidRPr="008A7BD7">
        <w:rPr>
          <w:rStyle w:val="normaltextrun"/>
          <w:rFonts w:ascii="Cambria" w:eastAsiaTheme="majorEastAsia" w:hAnsi="Cambria"/>
          <w:sz w:val="20"/>
          <w:szCs w:val="20"/>
        </w:rPr>
        <w:t>Compañía</w:t>
      </w:r>
      <w:proofErr w:type="spellEnd"/>
      <w:r w:rsidR="0028307B" w:rsidRPr="008A7BD7">
        <w:rPr>
          <w:rStyle w:val="normaltextrun"/>
          <w:rFonts w:ascii="Cambria" w:eastAsiaTheme="majorEastAsia" w:hAnsi="Cambria"/>
          <w:sz w:val="20"/>
          <w:szCs w:val="20"/>
        </w:rPr>
        <w:t xml:space="preserve"> </w:t>
      </w:r>
      <w:proofErr w:type="spellStart"/>
      <w:r w:rsidR="0028307B" w:rsidRPr="008A7BD7">
        <w:rPr>
          <w:rStyle w:val="normaltextrun"/>
          <w:rFonts w:ascii="Cambria" w:eastAsiaTheme="majorEastAsia" w:hAnsi="Cambria"/>
          <w:sz w:val="20"/>
          <w:szCs w:val="20"/>
        </w:rPr>
        <w:t>Guatemalteca</w:t>
      </w:r>
      <w:proofErr w:type="spellEnd"/>
      <w:r w:rsidR="0028307B" w:rsidRPr="008A7BD7">
        <w:rPr>
          <w:rStyle w:val="normaltextrun"/>
          <w:rFonts w:ascii="Cambria" w:eastAsiaTheme="majorEastAsia" w:hAnsi="Cambria"/>
          <w:sz w:val="20"/>
          <w:szCs w:val="20"/>
        </w:rPr>
        <w:t xml:space="preserve"> de </w:t>
      </w:r>
      <w:proofErr w:type="spellStart"/>
      <w:r w:rsidR="0028307B" w:rsidRPr="008A7BD7">
        <w:rPr>
          <w:rStyle w:val="normaltextrun"/>
          <w:rFonts w:ascii="Cambria" w:eastAsiaTheme="majorEastAsia" w:hAnsi="Cambria"/>
          <w:sz w:val="20"/>
          <w:szCs w:val="20"/>
        </w:rPr>
        <w:t>Níquel</w:t>
      </w:r>
      <w:proofErr w:type="spellEnd"/>
      <w:r w:rsidR="0028307B" w:rsidRPr="008A7BD7">
        <w:rPr>
          <w:rStyle w:val="normaltextrun"/>
          <w:rFonts w:ascii="Cambria" w:eastAsiaTheme="majorEastAsia" w:hAnsi="Cambria"/>
          <w:sz w:val="20"/>
          <w:szCs w:val="20"/>
        </w:rPr>
        <w:t xml:space="preserve"> (CGN), </w:t>
      </w:r>
      <w:r w:rsidRPr="008A7BD7">
        <w:rPr>
          <w:rFonts w:ascii="Cambria" w:hAnsi="Cambria"/>
          <w:sz w:val="20"/>
          <w:szCs w:val="20"/>
        </w:rPr>
        <w:t xml:space="preserve">a subsidiary of the Russian company Solway Investment Group, to develop the Phoenix </w:t>
      </w:r>
      <w:r w:rsidR="00462DA5" w:rsidRPr="008A7BD7">
        <w:rPr>
          <w:rFonts w:ascii="Cambria" w:hAnsi="Cambria"/>
          <w:sz w:val="20"/>
          <w:szCs w:val="20"/>
        </w:rPr>
        <w:t>M</w:t>
      </w:r>
      <w:r w:rsidRPr="008A7BD7">
        <w:rPr>
          <w:rFonts w:ascii="Cambria" w:hAnsi="Cambria"/>
          <w:sz w:val="20"/>
          <w:szCs w:val="20"/>
        </w:rPr>
        <w:t>ine.</w:t>
      </w:r>
      <w:r w:rsidRPr="008A7BD7">
        <w:rPr>
          <w:rStyle w:val="normaltextrun"/>
          <w:rFonts w:ascii="Cambria" w:eastAsiaTheme="majorEastAsia" w:hAnsi="Cambria"/>
          <w:sz w:val="20"/>
          <w:szCs w:val="20"/>
        </w:rPr>
        <w:t xml:space="preserve"> </w:t>
      </w:r>
      <w:proofErr w:type="gramStart"/>
      <w:r w:rsidR="00DB6C45" w:rsidRPr="008A7BD7">
        <w:rPr>
          <w:rStyle w:val="normaltextrun"/>
          <w:rFonts w:ascii="Cambria" w:eastAsiaTheme="majorEastAsia" w:hAnsi="Cambria"/>
          <w:sz w:val="20"/>
          <w:szCs w:val="20"/>
        </w:rPr>
        <w:t>A number of</w:t>
      </w:r>
      <w:proofErr w:type="gramEnd"/>
      <w:r w:rsidR="00DB6C45" w:rsidRPr="008A7BD7">
        <w:rPr>
          <w:rStyle w:val="normaltextrun"/>
          <w:rFonts w:ascii="Cambria" w:eastAsiaTheme="majorEastAsia" w:hAnsi="Cambria"/>
          <w:sz w:val="20"/>
          <w:szCs w:val="20"/>
        </w:rPr>
        <w:t xml:space="preserve"> people were injured and affected by the use of tear gas. The </w:t>
      </w:r>
      <w:r w:rsidR="00462DA5" w:rsidRPr="008A7BD7">
        <w:rPr>
          <w:rStyle w:val="normaltextrun"/>
          <w:rFonts w:ascii="Cambria" w:eastAsiaTheme="majorEastAsia" w:hAnsi="Cambria"/>
          <w:sz w:val="20"/>
          <w:szCs w:val="20"/>
        </w:rPr>
        <w:t>Commission</w:t>
      </w:r>
      <w:r w:rsidR="00DB6C45" w:rsidRPr="008A7BD7">
        <w:rPr>
          <w:rStyle w:val="normaltextrun"/>
          <w:rFonts w:ascii="Cambria" w:eastAsiaTheme="majorEastAsia" w:hAnsi="Cambria"/>
          <w:sz w:val="20"/>
          <w:szCs w:val="20"/>
        </w:rPr>
        <w:t xml:space="preserve"> was informed that since October 8, residents of </w:t>
      </w:r>
      <w:r w:rsidR="0028307B" w:rsidRPr="008A7BD7">
        <w:rPr>
          <w:rStyle w:val="normaltextrun"/>
          <w:rFonts w:ascii="Cambria" w:eastAsiaTheme="majorEastAsia" w:hAnsi="Cambria"/>
          <w:sz w:val="20"/>
          <w:szCs w:val="20"/>
        </w:rPr>
        <w:t xml:space="preserve">El </w:t>
      </w:r>
      <w:proofErr w:type="spellStart"/>
      <w:r w:rsidR="0028307B" w:rsidRPr="008A7BD7">
        <w:rPr>
          <w:rStyle w:val="normaltextrun"/>
          <w:rFonts w:ascii="Cambria" w:eastAsiaTheme="majorEastAsia" w:hAnsi="Cambria"/>
          <w:sz w:val="20"/>
          <w:szCs w:val="20"/>
        </w:rPr>
        <w:t>Estor</w:t>
      </w:r>
      <w:proofErr w:type="spellEnd"/>
      <w:r w:rsidR="0028307B" w:rsidRPr="008A7BD7">
        <w:rPr>
          <w:rStyle w:val="normaltextrun"/>
          <w:rFonts w:ascii="Cambria" w:eastAsiaTheme="majorEastAsia" w:hAnsi="Cambria"/>
          <w:sz w:val="20"/>
          <w:szCs w:val="20"/>
        </w:rPr>
        <w:t xml:space="preserve"> </w:t>
      </w:r>
      <w:r w:rsidR="00DB6C45" w:rsidRPr="008A7BD7">
        <w:rPr>
          <w:rStyle w:val="normaltextrun"/>
          <w:rFonts w:ascii="Cambria" w:eastAsiaTheme="majorEastAsia" w:hAnsi="Cambria"/>
          <w:sz w:val="20"/>
          <w:szCs w:val="20"/>
        </w:rPr>
        <w:t xml:space="preserve">have carried out peaceful actions to protest the operation of the Phoenix </w:t>
      </w:r>
      <w:r w:rsidR="00462DA5" w:rsidRPr="008A7BD7">
        <w:rPr>
          <w:rStyle w:val="normaltextrun"/>
          <w:rFonts w:ascii="Cambria" w:eastAsiaTheme="majorEastAsia" w:hAnsi="Cambria"/>
          <w:sz w:val="20"/>
          <w:szCs w:val="20"/>
        </w:rPr>
        <w:t>M</w:t>
      </w:r>
      <w:r w:rsidR="00DB6C45" w:rsidRPr="008A7BD7">
        <w:rPr>
          <w:rStyle w:val="normaltextrun"/>
          <w:rFonts w:ascii="Cambria" w:eastAsiaTheme="majorEastAsia" w:hAnsi="Cambria"/>
          <w:sz w:val="20"/>
          <w:szCs w:val="20"/>
        </w:rPr>
        <w:t xml:space="preserve">ine. Authorities from the four </w:t>
      </w:r>
      <w:proofErr w:type="spellStart"/>
      <w:r w:rsidR="00DB6C45" w:rsidRPr="008A7BD7">
        <w:rPr>
          <w:rStyle w:val="normaltextrun"/>
          <w:rFonts w:ascii="Cambria" w:eastAsiaTheme="majorEastAsia" w:hAnsi="Cambria"/>
          <w:sz w:val="20"/>
          <w:szCs w:val="20"/>
        </w:rPr>
        <w:t>Q’eqchi</w:t>
      </w:r>
      <w:proofErr w:type="spellEnd"/>
      <w:r w:rsidR="00DB6C45" w:rsidRPr="008A7BD7">
        <w:rPr>
          <w:rStyle w:val="normaltextrun"/>
          <w:rFonts w:ascii="Cambria" w:eastAsiaTheme="majorEastAsia" w:hAnsi="Cambria"/>
          <w:sz w:val="20"/>
          <w:szCs w:val="20"/>
        </w:rPr>
        <w:t>’ Ancestral Councils</w:t>
      </w:r>
      <w:r w:rsidR="0028307B" w:rsidRPr="008A7BD7">
        <w:rPr>
          <w:rStyle w:val="FootnoteReference"/>
          <w:rFonts w:ascii="Cambria" w:hAnsi="Cambria"/>
          <w:sz w:val="20"/>
          <w:szCs w:val="20"/>
          <w:lang w:val="es-ES"/>
        </w:rPr>
        <w:footnoteReference w:id="311"/>
      </w:r>
      <w:r w:rsidR="0028307B" w:rsidRPr="008A7BD7">
        <w:rPr>
          <w:rStyle w:val="normaltextrun"/>
          <w:rFonts w:ascii="Cambria" w:eastAsiaTheme="majorEastAsia" w:hAnsi="Cambria"/>
          <w:sz w:val="20"/>
          <w:szCs w:val="20"/>
        </w:rPr>
        <w:t> </w:t>
      </w:r>
      <w:r w:rsidR="00DB6C45" w:rsidRPr="008A7BD7">
        <w:rPr>
          <w:rStyle w:val="normaltextrun"/>
          <w:rFonts w:ascii="Cambria" w:eastAsiaTheme="majorEastAsia" w:hAnsi="Cambria"/>
          <w:sz w:val="20"/>
          <w:szCs w:val="20"/>
        </w:rPr>
        <w:t xml:space="preserve">said there was a failure to respect the communities’ decision to reject </w:t>
      </w:r>
      <w:r w:rsidR="006550CE" w:rsidRPr="008A7BD7">
        <w:rPr>
          <w:rStyle w:val="normaltextrun"/>
          <w:rFonts w:ascii="Cambria" w:eastAsiaTheme="majorEastAsia" w:hAnsi="Cambria"/>
          <w:sz w:val="20"/>
          <w:szCs w:val="20"/>
        </w:rPr>
        <w:t>mining</w:t>
      </w:r>
      <w:r w:rsidR="00DB6C45" w:rsidRPr="008A7BD7">
        <w:rPr>
          <w:rStyle w:val="normaltextrun"/>
          <w:rFonts w:ascii="Cambria" w:eastAsiaTheme="majorEastAsia" w:hAnsi="Cambria"/>
          <w:sz w:val="20"/>
          <w:szCs w:val="20"/>
        </w:rPr>
        <w:t xml:space="preserve"> because it pollutes Lake </w:t>
      </w:r>
      <w:r w:rsidR="0028307B" w:rsidRPr="008A7BD7">
        <w:rPr>
          <w:rStyle w:val="normaltextrun"/>
          <w:rFonts w:ascii="Cambria" w:eastAsiaTheme="majorEastAsia" w:hAnsi="Cambria"/>
          <w:sz w:val="20"/>
          <w:szCs w:val="20"/>
        </w:rPr>
        <w:t xml:space="preserve">Izabal, </w:t>
      </w:r>
      <w:r w:rsidR="000B1800" w:rsidRPr="008A7BD7">
        <w:rPr>
          <w:rFonts w:ascii="Cambria" w:hAnsi="Cambria"/>
          <w:sz w:val="20"/>
          <w:szCs w:val="20"/>
        </w:rPr>
        <w:t>destroys the region’s flora and fauna, and endangers the health and lives of the people in the area</w:t>
      </w:r>
      <w:r w:rsidR="0028307B" w:rsidRPr="008A7BD7">
        <w:rPr>
          <w:rStyle w:val="normaltextrun"/>
          <w:rFonts w:ascii="Cambria" w:eastAsiaTheme="majorEastAsia" w:hAnsi="Cambria"/>
          <w:sz w:val="20"/>
          <w:szCs w:val="20"/>
        </w:rPr>
        <w:t>.</w:t>
      </w:r>
      <w:r w:rsidR="0028307B" w:rsidRPr="008A7BD7">
        <w:rPr>
          <w:rStyle w:val="eop"/>
          <w:rFonts w:ascii="Cambria" w:eastAsiaTheme="majorEastAsia" w:hAnsi="Cambria"/>
          <w:sz w:val="20"/>
          <w:szCs w:val="20"/>
        </w:rPr>
        <w:t> </w:t>
      </w:r>
    </w:p>
    <w:p w14:paraId="201EABDA" w14:textId="77777777" w:rsidR="0028307B" w:rsidRPr="008A7BD7" w:rsidRDefault="0028307B" w:rsidP="0028307B">
      <w:pPr>
        <w:pStyle w:val="ListParagraph"/>
        <w:rPr>
          <w:rStyle w:val="normaltextrun"/>
          <w:rFonts w:ascii="Cambria" w:eastAsiaTheme="majorEastAsia" w:hAnsi="Cambria"/>
          <w:sz w:val="20"/>
          <w:szCs w:val="20"/>
        </w:rPr>
      </w:pPr>
    </w:p>
    <w:p w14:paraId="0C9E12CC" w14:textId="666B052B" w:rsidR="0028307B" w:rsidRPr="008A7BD7" w:rsidRDefault="00D17FB7" w:rsidP="003D3059">
      <w:pPr>
        <w:numPr>
          <w:ilvl w:val="0"/>
          <w:numId w:val="2"/>
        </w:numPr>
        <w:ind w:left="0" w:firstLine="720"/>
        <w:jc w:val="both"/>
        <w:rPr>
          <w:rStyle w:val="eop"/>
          <w:rFonts w:ascii="Cambria" w:eastAsia="Cambria" w:hAnsi="Cambria" w:cs="Cambria"/>
          <w:color w:val="000000" w:themeColor="text1"/>
          <w:sz w:val="20"/>
          <w:szCs w:val="20"/>
        </w:rPr>
      </w:pPr>
      <w:proofErr w:type="gramStart"/>
      <w:r w:rsidRPr="008A7BD7">
        <w:rPr>
          <w:rStyle w:val="normaltextrun"/>
          <w:rFonts w:ascii="Cambria" w:eastAsiaTheme="majorEastAsia" w:hAnsi="Cambria"/>
          <w:sz w:val="20"/>
          <w:szCs w:val="20"/>
        </w:rPr>
        <w:t>With regard to</w:t>
      </w:r>
      <w:proofErr w:type="gramEnd"/>
      <w:r w:rsidRPr="008A7BD7">
        <w:rPr>
          <w:rStyle w:val="normaltextrun"/>
          <w:rFonts w:ascii="Cambria" w:eastAsiaTheme="majorEastAsia" w:hAnsi="Cambria"/>
          <w:sz w:val="20"/>
          <w:szCs w:val="20"/>
        </w:rPr>
        <w:t xml:space="preserve"> this conflict, the Commission </w:t>
      </w:r>
      <w:r w:rsidR="00D97BC1" w:rsidRPr="008A7BD7">
        <w:rPr>
          <w:rStyle w:val="normaltextrun"/>
          <w:rFonts w:ascii="Cambria" w:eastAsiaTheme="majorEastAsia" w:hAnsi="Cambria"/>
          <w:sz w:val="20"/>
          <w:szCs w:val="20"/>
        </w:rPr>
        <w:t>notes, by way of background,</w:t>
      </w:r>
      <w:r w:rsidRPr="008A7BD7">
        <w:rPr>
          <w:rStyle w:val="normaltextrun"/>
          <w:rFonts w:ascii="Cambria" w:eastAsiaTheme="majorEastAsia" w:hAnsi="Cambria"/>
          <w:sz w:val="20"/>
          <w:szCs w:val="20"/>
        </w:rPr>
        <w:t xml:space="preserve"> that in 2019, Guatemala’s Constitutional Court</w:t>
      </w:r>
      <w:r w:rsidR="00730D6B" w:rsidRPr="008A7BD7">
        <w:rPr>
          <w:rStyle w:val="normaltextrun"/>
          <w:rFonts w:ascii="Cambria" w:eastAsiaTheme="majorEastAsia" w:hAnsi="Cambria"/>
          <w:sz w:val="20"/>
          <w:szCs w:val="20"/>
        </w:rPr>
        <w:t xml:space="preserve"> </w:t>
      </w:r>
      <w:r w:rsidRPr="008A7BD7">
        <w:rPr>
          <w:rStyle w:val="normaltextrun"/>
          <w:rFonts w:ascii="Cambria" w:eastAsiaTheme="majorEastAsia" w:hAnsi="Cambria"/>
          <w:sz w:val="20"/>
          <w:szCs w:val="20"/>
        </w:rPr>
        <w:t>ordered a halt to</w:t>
      </w:r>
      <w:r w:rsidR="00460799" w:rsidRPr="008A7BD7">
        <w:rPr>
          <w:rStyle w:val="normaltextrun"/>
          <w:rFonts w:ascii="Cambria" w:eastAsiaTheme="majorEastAsia" w:hAnsi="Cambria"/>
          <w:sz w:val="20"/>
          <w:szCs w:val="20"/>
        </w:rPr>
        <w:t xml:space="preserve"> the</w:t>
      </w:r>
      <w:r w:rsidRPr="008A7BD7">
        <w:rPr>
          <w:rStyle w:val="normaltextrun"/>
          <w:rFonts w:ascii="Cambria" w:eastAsiaTheme="majorEastAsia" w:hAnsi="Cambria"/>
          <w:sz w:val="20"/>
          <w:szCs w:val="20"/>
        </w:rPr>
        <w:t xml:space="preserve"> mining </w:t>
      </w:r>
      <w:r w:rsidR="00460799" w:rsidRPr="008A7BD7">
        <w:rPr>
          <w:rStyle w:val="normaltextrun"/>
          <w:rFonts w:ascii="Cambria" w:eastAsiaTheme="majorEastAsia" w:hAnsi="Cambria"/>
          <w:sz w:val="20"/>
          <w:szCs w:val="20"/>
        </w:rPr>
        <w:t xml:space="preserve">activity </w:t>
      </w:r>
      <w:r w:rsidRPr="008A7BD7">
        <w:rPr>
          <w:rStyle w:val="normaltextrun"/>
          <w:rFonts w:ascii="Cambria" w:eastAsiaTheme="majorEastAsia" w:hAnsi="Cambria"/>
          <w:sz w:val="20"/>
          <w:szCs w:val="20"/>
        </w:rPr>
        <w:t xml:space="preserve">until </w:t>
      </w:r>
      <w:r w:rsidR="00460799" w:rsidRPr="008A7BD7">
        <w:rPr>
          <w:rStyle w:val="normaltextrun"/>
          <w:rFonts w:ascii="Cambria" w:eastAsiaTheme="majorEastAsia" w:hAnsi="Cambria"/>
          <w:sz w:val="20"/>
          <w:szCs w:val="20"/>
        </w:rPr>
        <w:t xml:space="preserve">there was </w:t>
      </w:r>
      <w:r w:rsidRPr="008A7BD7">
        <w:rPr>
          <w:rStyle w:val="normaltextrun"/>
          <w:rFonts w:ascii="Cambria" w:eastAsiaTheme="majorEastAsia" w:hAnsi="Cambria"/>
          <w:sz w:val="20"/>
          <w:szCs w:val="20"/>
        </w:rPr>
        <w:t>a final ruling on a petition for constitutional protection (</w:t>
      </w:r>
      <w:r w:rsidR="0028307B" w:rsidRPr="008A7BD7">
        <w:rPr>
          <w:rStyle w:val="normaltextrun"/>
          <w:rFonts w:ascii="Cambria" w:eastAsiaTheme="majorEastAsia" w:hAnsi="Cambria"/>
          <w:i/>
          <w:iCs/>
          <w:sz w:val="20"/>
          <w:szCs w:val="20"/>
        </w:rPr>
        <w:t>amparo</w:t>
      </w:r>
      <w:r w:rsidRPr="008A7BD7">
        <w:rPr>
          <w:rStyle w:val="normaltextrun"/>
          <w:rFonts w:ascii="Cambria" w:eastAsiaTheme="majorEastAsia" w:hAnsi="Cambria"/>
          <w:sz w:val="20"/>
          <w:szCs w:val="20"/>
        </w:rPr>
        <w:t xml:space="preserve">) filed by the affected Maya communities. On </w:t>
      </w:r>
      <w:hyperlink r:id="rId14" w:tgtFrame="_blank" w:history="1">
        <w:r w:rsidRPr="008A7BD7">
          <w:rPr>
            <w:rStyle w:val="normaltextrun"/>
            <w:rFonts w:ascii="Cambria" w:eastAsiaTheme="majorEastAsia" w:hAnsi="Cambria"/>
            <w:color w:val="0000FF"/>
            <w:sz w:val="20"/>
            <w:szCs w:val="20"/>
            <w:u w:val="single"/>
          </w:rPr>
          <w:t>June 1</w:t>
        </w:r>
        <w:r w:rsidR="0028307B" w:rsidRPr="008A7BD7">
          <w:rPr>
            <w:rStyle w:val="normaltextrun"/>
            <w:rFonts w:ascii="Cambria" w:eastAsiaTheme="majorEastAsia" w:hAnsi="Cambria"/>
            <w:color w:val="0000FF"/>
            <w:sz w:val="20"/>
            <w:szCs w:val="20"/>
            <w:u w:val="single"/>
          </w:rPr>
          <w:t>8</w:t>
        </w:r>
        <w:r w:rsidRPr="008A7BD7">
          <w:rPr>
            <w:rStyle w:val="normaltextrun"/>
            <w:rFonts w:ascii="Cambria" w:eastAsiaTheme="majorEastAsia" w:hAnsi="Cambria"/>
            <w:color w:val="0000FF"/>
            <w:sz w:val="20"/>
            <w:szCs w:val="20"/>
            <w:u w:val="single"/>
          </w:rPr>
          <w:t>,</w:t>
        </w:r>
        <w:r w:rsidR="0028307B" w:rsidRPr="008A7BD7">
          <w:rPr>
            <w:rStyle w:val="normaltextrun"/>
            <w:rFonts w:ascii="Cambria" w:eastAsiaTheme="majorEastAsia" w:hAnsi="Cambria"/>
            <w:color w:val="0000FF"/>
            <w:sz w:val="20"/>
            <w:szCs w:val="20"/>
            <w:u w:val="single"/>
          </w:rPr>
          <w:t xml:space="preserve"> 2020</w:t>
        </w:r>
      </w:hyperlink>
      <w:r w:rsidRPr="008A7BD7">
        <w:rPr>
          <w:rStyle w:val="normaltextrun"/>
          <w:rFonts w:ascii="Cambria" w:eastAsiaTheme="majorEastAsia" w:hAnsi="Cambria"/>
          <w:color w:val="0000FF"/>
          <w:sz w:val="20"/>
          <w:szCs w:val="20"/>
          <w:u w:val="single"/>
        </w:rPr>
        <w:t>,</w:t>
      </w:r>
      <w:r w:rsidR="0028307B" w:rsidRPr="008A7BD7">
        <w:rPr>
          <w:rStyle w:val="normaltextrun"/>
          <w:rFonts w:ascii="Cambria" w:eastAsiaTheme="majorEastAsia" w:hAnsi="Cambria"/>
          <w:sz w:val="20"/>
          <w:szCs w:val="20"/>
        </w:rPr>
        <w:t> </w:t>
      </w:r>
      <w:r w:rsidRPr="008A7BD7">
        <w:rPr>
          <w:rStyle w:val="normaltextrun"/>
          <w:rFonts w:ascii="Cambria" w:eastAsiaTheme="majorEastAsia" w:hAnsi="Cambria"/>
          <w:sz w:val="20"/>
          <w:szCs w:val="20"/>
        </w:rPr>
        <w:t>the</w:t>
      </w:r>
      <w:r w:rsidR="0028307B" w:rsidRPr="008A7BD7">
        <w:rPr>
          <w:rStyle w:val="normaltextrun"/>
          <w:rFonts w:ascii="Cambria" w:eastAsiaTheme="majorEastAsia" w:hAnsi="Cambria"/>
          <w:sz w:val="20"/>
          <w:szCs w:val="20"/>
        </w:rPr>
        <w:t> </w:t>
      </w:r>
      <w:hyperlink r:id="rId15" w:tgtFrame="_blank" w:history="1">
        <w:r w:rsidR="0028307B" w:rsidRPr="008A7BD7">
          <w:rPr>
            <w:rStyle w:val="normaltextrun"/>
            <w:rFonts w:ascii="Cambria" w:eastAsiaTheme="majorEastAsia" w:hAnsi="Cambria"/>
            <w:color w:val="0000FF"/>
            <w:sz w:val="20"/>
            <w:szCs w:val="20"/>
            <w:u w:val="single"/>
          </w:rPr>
          <w:t>C</w:t>
        </w:r>
        <w:r w:rsidR="00730D6B" w:rsidRPr="008A7BD7">
          <w:rPr>
            <w:rStyle w:val="normaltextrun"/>
            <w:rFonts w:ascii="Cambria" w:eastAsiaTheme="majorEastAsia" w:hAnsi="Cambria"/>
            <w:color w:val="0000FF"/>
            <w:sz w:val="20"/>
            <w:szCs w:val="20"/>
            <w:u w:val="single"/>
          </w:rPr>
          <w:t>onstitutional Court</w:t>
        </w:r>
      </w:hyperlink>
      <w:r w:rsidR="0028307B" w:rsidRPr="008A7BD7">
        <w:rPr>
          <w:rStyle w:val="normaltextrun"/>
          <w:rFonts w:ascii="Cambria" w:eastAsiaTheme="majorEastAsia" w:hAnsi="Cambria"/>
          <w:sz w:val="20"/>
          <w:szCs w:val="20"/>
        </w:rPr>
        <w:t> </w:t>
      </w:r>
      <w:r w:rsidRPr="008A7BD7">
        <w:rPr>
          <w:rStyle w:val="normaltextrun"/>
          <w:rFonts w:ascii="Cambria" w:eastAsiaTheme="majorEastAsia" w:hAnsi="Cambria"/>
          <w:sz w:val="20"/>
          <w:szCs w:val="20"/>
        </w:rPr>
        <w:t xml:space="preserve">confirmed its decision and determined that the rights of indigenous peoples to participate in the creation, application, and evaluation of economic, social, and cultural development plans and programs that directly affect them had </w:t>
      </w:r>
      <w:r w:rsidR="00340985" w:rsidRPr="008A7BD7">
        <w:rPr>
          <w:rStyle w:val="normaltextrun"/>
          <w:rFonts w:ascii="Cambria" w:eastAsiaTheme="majorEastAsia" w:hAnsi="Cambria"/>
          <w:sz w:val="20"/>
          <w:szCs w:val="20"/>
        </w:rPr>
        <w:t>been violated. Consequently, it ordered that</w:t>
      </w:r>
      <w:r w:rsidR="004F678F" w:rsidRPr="008A7BD7">
        <w:rPr>
          <w:rStyle w:val="normaltextrun"/>
          <w:rFonts w:ascii="Cambria" w:eastAsiaTheme="majorEastAsia" w:hAnsi="Cambria"/>
          <w:sz w:val="20"/>
          <w:szCs w:val="20"/>
        </w:rPr>
        <w:t xml:space="preserve">, </w:t>
      </w:r>
      <w:r w:rsidR="00720455" w:rsidRPr="008A7BD7">
        <w:rPr>
          <w:rStyle w:val="normaltextrun"/>
          <w:rFonts w:ascii="Cambria" w:eastAsiaTheme="majorEastAsia" w:hAnsi="Cambria"/>
          <w:sz w:val="20"/>
          <w:szCs w:val="20"/>
        </w:rPr>
        <w:t>in keeping with</w:t>
      </w:r>
      <w:r w:rsidR="004F678F" w:rsidRPr="008A7BD7">
        <w:rPr>
          <w:rStyle w:val="normaltextrun"/>
          <w:rFonts w:ascii="Cambria" w:eastAsiaTheme="majorEastAsia" w:hAnsi="Cambria"/>
          <w:sz w:val="20"/>
          <w:szCs w:val="20"/>
        </w:rPr>
        <w:t xml:space="preserve"> Convention 169 of the International </w:t>
      </w:r>
      <w:proofErr w:type="spellStart"/>
      <w:r w:rsidR="004F678F" w:rsidRPr="008A7BD7">
        <w:rPr>
          <w:rStyle w:val="normaltextrun"/>
          <w:rFonts w:ascii="Cambria" w:eastAsiaTheme="majorEastAsia" w:hAnsi="Cambria"/>
          <w:sz w:val="20"/>
          <w:szCs w:val="20"/>
        </w:rPr>
        <w:t>Labour</w:t>
      </w:r>
      <w:proofErr w:type="spellEnd"/>
      <w:r w:rsidR="004F678F" w:rsidRPr="008A7BD7">
        <w:rPr>
          <w:rStyle w:val="normaltextrun"/>
          <w:rFonts w:ascii="Cambria" w:eastAsiaTheme="majorEastAsia" w:hAnsi="Cambria"/>
          <w:sz w:val="20"/>
          <w:szCs w:val="20"/>
        </w:rPr>
        <w:t xml:space="preserve"> Organization (ILO),</w:t>
      </w:r>
      <w:r w:rsidR="00340985" w:rsidRPr="008A7BD7">
        <w:rPr>
          <w:rStyle w:val="normaltextrun"/>
          <w:rFonts w:ascii="Cambria" w:eastAsiaTheme="majorEastAsia" w:hAnsi="Cambria"/>
          <w:sz w:val="20"/>
          <w:szCs w:val="20"/>
        </w:rPr>
        <w:t xml:space="preserve"> a process of pre-consultation and consultation </w:t>
      </w:r>
      <w:r w:rsidR="00D97BC1" w:rsidRPr="008A7BD7">
        <w:rPr>
          <w:rStyle w:val="normaltextrun"/>
          <w:rFonts w:ascii="Cambria" w:eastAsiaTheme="majorEastAsia" w:hAnsi="Cambria"/>
          <w:sz w:val="20"/>
          <w:szCs w:val="20"/>
        </w:rPr>
        <w:t xml:space="preserve">was to </w:t>
      </w:r>
      <w:r w:rsidR="00340985" w:rsidRPr="008A7BD7">
        <w:rPr>
          <w:rStyle w:val="normaltextrun"/>
          <w:rFonts w:ascii="Cambria" w:eastAsiaTheme="majorEastAsia" w:hAnsi="Cambria"/>
          <w:sz w:val="20"/>
          <w:szCs w:val="20"/>
        </w:rPr>
        <w:t>be undertaken</w:t>
      </w:r>
      <w:r w:rsidR="00460799" w:rsidRPr="008A7BD7">
        <w:rPr>
          <w:rStyle w:val="normaltextrun"/>
          <w:rFonts w:ascii="Cambria" w:eastAsiaTheme="majorEastAsia" w:hAnsi="Cambria"/>
          <w:sz w:val="20"/>
          <w:szCs w:val="20"/>
        </w:rPr>
        <w:t xml:space="preserve"> with the indigenous peoples living in the area of influence of the Phoenix mining </w:t>
      </w:r>
      <w:proofErr w:type="gramStart"/>
      <w:r w:rsidR="00460799" w:rsidRPr="008A7BD7">
        <w:rPr>
          <w:rStyle w:val="normaltextrun"/>
          <w:rFonts w:ascii="Cambria" w:eastAsiaTheme="majorEastAsia" w:hAnsi="Cambria"/>
          <w:sz w:val="20"/>
          <w:szCs w:val="20"/>
        </w:rPr>
        <w:t>project</w:t>
      </w:r>
      <w:r w:rsidR="00340985" w:rsidRPr="008A7BD7">
        <w:rPr>
          <w:rStyle w:val="normaltextrun"/>
          <w:rFonts w:ascii="Cambria" w:eastAsiaTheme="majorEastAsia" w:hAnsi="Cambria"/>
          <w:sz w:val="20"/>
          <w:szCs w:val="20"/>
        </w:rPr>
        <w:t xml:space="preserve">, </w:t>
      </w:r>
      <w:r w:rsidR="001C69CB" w:rsidRPr="008A7BD7">
        <w:rPr>
          <w:rStyle w:val="normaltextrun"/>
          <w:rFonts w:ascii="Cambria" w:eastAsiaTheme="majorEastAsia" w:hAnsi="Cambria"/>
          <w:sz w:val="20"/>
          <w:szCs w:val="20"/>
        </w:rPr>
        <w:t>and</w:t>
      </w:r>
      <w:proofErr w:type="gramEnd"/>
      <w:r w:rsidR="001C69CB" w:rsidRPr="008A7BD7">
        <w:rPr>
          <w:rStyle w:val="normaltextrun"/>
          <w:rFonts w:ascii="Cambria" w:eastAsiaTheme="majorEastAsia" w:hAnsi="Cambria"/>
          <w:sz w:val="20"/>
          <w:szCs w:val="20"/>
        </w:rPr>
        <w:t xml:space="preserve"> ordered that mining activities were </w:t>
      </w:r>
      <w:r w:rsidR="00460799" w:rsidRPr="008A7BD7">
        <w:rPr>
          <w:rStyle w:val="normaltextrun"/>
          <w:rFonts w:ascii="Cambria" w:eastAsiaTheme="majorEastAsia" w:hAnsi="Cambria"/>
          <w:sz w:val="20"/>
          <w:szCs w:val="20"/>
        </w:rPr>
        <w:t>to remain suspended until the consultation process was complete</w:t>
      </w:r>
      <w:r w:rsidR="001C69CB" w:rsidRPr="008A7BD7">
        <w:rPr>
          <w:rStyle w:val="normaltextrun"/>
          <w:rFonts w:ascii="Cambria" w:eastAsiaTheme="majorEastAsia" w:hAnsi="Cambria"/>
          <w:sz w:val="20"/>
          <w:szCs w:val="20"/>
        </w:rPr>
        <w:t xml:space="preserve">. </w:t>
      </w:r>
      <w:r w:rsidR="00276E8C" w:rsidRPr="008A7BD7">
        <w:rPr>
          <w:rStyle w:val="normaltextrun"/>
          <w:rFonts w:ascii="Cambria" w:eastAsiaTheme="majorEastAsia" w:hAnsi="Cambria"/>
          <w:sz w:val="20"/>
          <w:szCs w:val="20"/>
        </w:rPr>
        <w:t>Nevertheless</w:t>
      </w:r>
      <w:r w:rsidR="00460799" w:rsidRPr="008A7BD7">
        <w:rPr>
          <w:rStyle w:val="normaltextrun"/>
          <w:rFonts w:ascii="Cambria" w:eastAsiaTheme="majorEastAsia" w:hAnsi="Cambria"/>
          <w:sz w:val="20"/>
          <w:szCs w:val="20"/>
        </w:rPr>
        <w:t>, the mining company’s activities continued.</w:t>
      </w:r>
      <w:r w:rsidR="0028307B" w:rsidRPr="008A7BD7">
        <w:rPr>
          <w:rStyle w:val="eop"/>
          <w:rFonts w:ascii="Cambria" w:eastAsiaTheme="majorEastAsia" w:hAnsi="Cambria"/>
          <w:sz w:val="20"/>
          <w:szCs w:val="20"/>
        </w:rPr>
        <w:t> </w:t>
      </w:r>
    </w:p>
    <w:p w14:paraId="7173A8A9" w14:textId="77777777" w:rsidR="0028307B" w:rsidRPr="008A7BD7" w:rsidRDefault="0028307B" w:rsidP="0028307B">
      <w:pPr>
        <w:ind w:left="720"/>
        <w:jc w:val="both"/>
        <w:rPr>
          <w:rStyle w:val="eop"/>
          <w:rFonts w:ascii="Cambria" w:eastAsia="Cambria" w:hAnsi="Cambria" w:cs="Cambria"/>
          <w:color w:val="000000" w:themeColor="text1"/>
          <w:sz w:val="20"/>
          <w:szCs w:val="20"/>
        </w:rPr>
      </w:pPr>
    </w:p>
    <w:p w14:paraId="48EE9612" w14:textId="5778A4AC" w:rsidR="0028307B" w:rsidRPr="008A7BD7" w:rsidRDefault="00943CEC" w:rsidP="003D3059">
      <w:pPr>
        <w:numPr>
          <w:ilvl w:val="0"/>
          <w:numId w:val="2"/>
        </w:numPr>
        <w:ind w:left="0" w:firstLine="720"/>
        <w:jc w:val="both"/>
        <w:rPr>
          <w:rStyle w:val="eop"/>
          <w:rFonts w:ascii="Cambria" w:eastAsia="Cambria" w:hAnsi="Cambria" w:cs="Cambria"/>
          <w:color w:val="000000" w:themeColor="text1"/>
          <w:sz w:val="20"/>
          <w:szCs w:val="20"/>
        </w:rPr>
      </w:pPr>
      <w:r w:rsidRPr="008A7BD7">
        <w:rPr>
          <w:rStyle w:val="normaltextrun"/>
          <w:rFonts w:ascii="Cambria" w:eastAsiaTheme="majorEastAsia" w:hAnsi="Cambria"/>
          <w:sz w:val="20"/>
          <w:szCs w:val="20"/>
        </w:rPr>
        <w:t>After the violen</w:t>
      </w:r>
      <w:r w:rsidR="00276E8C" w:rsidRPr="008A7BD7">
        <w:rPr>
          <w:rStyle w:val="normaltextrun"/>
          <w:rFonts w:ascii="Cambria" w:eastAsiaTheme="majorEastAsia" w:hAnsi="Cambria"/>
          <w:sz w:val="20"/>
          <w:szCs w:val="20"/>
        </w:rPr>
        <w:t>t incidents referred to above</w:t>
      </w:r>
      <w:r w:rsidRPr="008A7BD7">
        <w:rPr>
          <w:rStyle w:val="normaltextrun"/>
          <w:rFonts w:ascii="Cambria" w:eastAsiaTheme="majorEastAsia" w:hAnsi="Cambria"/>
          <w:sz w:val="20"/>
          <w:szCs w:val="20"/>
        </w:rPr>
        <w:t xml:space="preserve">, the President of the Republic declared a state of siege in the municipality of </w:t>
      </w:r>
      <w:r w:rsidR="0028307B" w:rsidRPr="008A7BD7">
        <w:rPr>
          <w:rStyle w:val="normaltextrun"/>
          <w:rFonts w:ascii="Cambria" w:eastAsiaTheme="majorEastAsia" w:hAnsi="Cambria"/>
          <w:sz w:val="20"/>
          <w:szCs w:val="20"/>
        </w:rPr>
        <w:t xml:space="preserve">El </w:t>
      </w:r>
      <w:proofErr w:type="spellStart"/>
      <w:r w:rsidR="0028307B" w:rsidRPr="008A7BD7">
        <w:rPr>
          <w:rStyle w:val="normaltextrun"/>
          <w:rFonts w:ascii="Cambria" w:eastAsiaTheme="majorEastAsia" w:hAnsi="Cambria"/>
          <w:sz w:val="20"/>
          <w:szCs w:val="20"/>
        </w:rPr>
        <w:t>Esto</w:t>
      </w:r>
      <w:r w:rsidRPr="008A7BD7">
        <w:rPr>
          <w:rStyle w:val="normaltextrun"/>
          <w:rFonts w:ascii="Cambria" w:eastAsiaTheme="majorEastAsia" w:hAnsi="Cambria"/>
          <w:sz w:val="20"/>
          <w:szCs w:val="20"/>
        </w:rPr>
        <w:t>r</w:t>
      </w:r>
      <w:proofErr w:type="spellEnd"/>
      <w:r w:rsidRPr="008A7BD7">
        <w:rPr>
          <w:rStyle w:val="normaltextrun"/>
          <w:rFonts w:ascii="Cambria" w:eastAsiaTheme="majorEastAsia" w:hAnsi="Cambria"/>
          <w:sz w:val="20"/>
          <w:szCs w:val="20"/>
        </w:rPr>
        <w:t>, “considering that actions were carried out that affect</w:t>
      </w:r>
      <w:r w:rsidR="00CF02F9" w:rsidRPr="008A7BD7">
        <w:rPr>
          <w:rStyle w:val="normaltextrun"/>
          <w:rFonts w:ascii="Cambria" w:eastAsiaTheme="majorEastAsia" w:hAnsi="Cambria"/>
          <w:sz w:val="20"/>
          <w:szCs w:val="20"/>
        </w:rPr>
        <w:t xml:space="preserve"> order, governability, and the safety of the inhabitants” and “because armed individuals and groups” carried out </w:t>
      </w:r>
      <w:r w:rsidR="00276E8C" w:rsidRPr="008A7BD7">
        <w:rPr>
          <w:rStyle w:val="normaltextrun"/>
          <w:rFonts w:ascii="Cambria" w:eastAsiaTheme="majorEastAsia" w:hAnsi="Cambria"/>
          <w:sz w:val="20"/>
          <w:szCs w:val="20"/>
        </w:rPr>
        <w:t>“a</w:t>
      </w:r>
      <w:r w:rsidR="00CF02F9" w:rsidRPr="008A7BD7">
        <w:rPr>
          <w:rStyle w:val="normaltextrun"/>
          <w:rFonts w:ascii="Cambria" w:eastAsiaTheme="majorEastAsia" w:hAnsi="Cambria"/>
          <w:sz w:val="20"/>
          <w:szCs w:val="20"/>
        </w:rPr>
        <w:t xml:space="preserve">cts of violence against the security forces and the freedom of movement of the inhabitants.” After the declaration, </w:t>
      </w:r>
      <w:r w:rsidR="006F7E49" w:rsidRPr="008A7BD7">
        <w:rPr>
          <w:rStyle w:val="normaltextrun"/>
          <w:rFonts w:ascii="Cambria" w:eastAsiaTheme="majorEastAsia" w:hAnsi="Cambria"/>
          <w:sz w:val="20"/>
          <w:szCs w:val="20"/>
        </w:rPr>
        <w:t xml:space="preserve">which was </w:t>
      </w:r>
      <w:r w:rsidR="00CF02F9" w:rsidRPr="008A7BD7">
        <w:rPr>
          <w:rStyle w:val="normaltextrun"/>
          <w:rFonts w:ascii="Cambria" w:eastAsiaTheme="majorEastAsia" w:hAnsi="Cambria"/>
          <w:sz w:val="20"/>
          <w:szCs w:val="20"/>
        </w:rPr>
        <w:t xml:space="preserve">ratified by the Congress on October </w:t>
      </w:r>
      <w:r w:rsidR="0028307B" w:rsidRPr="008A7BD7">
        <w:rPr>
          <w:rStyle w:val="normaltextrun"/>
          <w:rFonts w:ascii="Cambria" w:eastAsiaTheme="majorEastAsia" w:hAnsi="Cambria"/>
          <w:sz w:val="20"/>
          <w:szCs w:val="20"/>
        </w:rPr>
        <w:t>25</w:t>
      </w:r>
      <w:r w:rsidR="00CF02F9" w:rsidRPr="008A7BD7">
        <w:rPr>
          <w:rStyle w:val="normaltextrun"/>
          <w:rFonts w:ascii="Cambria" w:eastAsiaTheme="majorEastAsia" w:hAnsi="Cambria"/>
          <w:sz w:val="20"/>
          <w:szCs w:val="20"/>
        </w:rPr>
        <w:t>, members of the PNC and</w:t>
      </w:r>
      <w:r w:rsidR="0028307B" w:rsidRPr="008A7BD7">
        <w:rPr>
          <w:rStyle w:val="normaltextrun"/>
          <w:rFonts w:ascii="Cambria" w:eastAsiaTheme="majorEastAsia" w:hAnsi="Cambria"/>
          <w:sz w:val="20"/>
          <w:szCs w:val="20"/>
        </w:rPr>
        <w:t xml:space="preserve"> </w:t>
      </w:r>
      <w:r w:rsidR="00CF02F9" w:rsidRPr="008A7BD7">
        <w:rPr>
          <w:rStyle w:val="normaltextrun"/>
          <w:rFonts w:ascii="Cambria" w:eastAsiaTheme="majorEastAsia" w:hAnsi="Cambria"/>
          <w:sz w:val="20"/>
          <w:szCs w:val="20"/>
        </w:rPr>
        <w:t>the army reportedly deployed to the municipality of</w:t>
      </w:r>
      <w:r w:rsidR="0028307B" w:rsidRPr="008A7BD7">
        <w:rPr>
          <w:rStyle w:val="normaltextrun"/>
          <w:rFonts w:ascii="Cambria" w:eastAsiaTheme="majorEastAsia" w:hAnsi="Cambria"/>
          <w:sz w:val="20"/>
          <w:szCs w:val="20"/>
        </w:rPr>
        <w:t xml:space="preserve"> El </w:t>
      </w:r>
      <w:proofErr w:type="spellStart"/>
      <w:r w:rsidR="0028307B" w:rsidRPr="008A7BD7">
        <w:rPr>
          <w:rStyle w:val="normaltextrun"/>
          <w:rFonts w:ascii="Cambria" w:eastAsiaTheme="majorEastAsia" w:hAnsi="Cambria"/>
          <w:sz w:val="20"/>
          <w:szCs w:val="20"/>
        </w:rPr>
        <w:t>Estor</w:t>
      </w:r>
      <w:proofErr w:type="spellEnd"/>
      <w:r w:rsidR="0028307B" w:rsidRPr="008A7BD7">
        <w:rPr>
          <w:rStyle w:val="normaltextrun"/>
          <w:rFonts w:ascii="Cambria" w:eastAsiaTheme="majorEastAsia" w:hAnsi="Cambria"/>
          <w:sz w:val="20"/>
          <w:szCs w:val="20"/>
        </w:rPr>
        <w:t xml:space="preserve">. </w:t>
      </w:r>
      <w:r w:rsidR="001A1BAB" w:rsidRPr="008A7BD7">
        <w:rPr>
          <w:rStyle w:val="normaltextrun"/>
          <w:rFonts w:ascii="Cambria" w:eastAsiaTheme="majorEastAsia" w:hAnsi="Cambria"/>
          <w:sz w:val="20"/>
          <w:szCs w:val="20"/>
        </w:rPr>
        <w:t xml:space="preserve">In that context, the IACHR received information regarding raids and searches conducted at the residences of journalists from </w:t>
      </w:r>
      <w:proofErr w:type="spellStart"/>
      <w:r w:rsidR="0028307B" w:rsidRPr="008A7BD7">
        <w:rPr>
          <w:rStyle w:val="normaltextrun"/>
          <w:rFonts w:ascii="Cambria" w:eastAsiaTheme="majorEastAsia" w:hAnsi="Cambria"/>
          <w:i/>
          <w:iCs/>
          <w:sz w:val="20"/>
          <w:szCs w:val="20"/>
        </w:rPr>
        <w:t>Prensa</w:t>
      </w:r>
      <w:proofErr w:type="spellEnd"/>
      <w:r w:rsidR="0028307B" w:rsidRPr="008A7BD7">
        <w:rPr>
          <w:rStyle w:val="normaltextrun"/>
          <w:rFonts w:ascii="Cambria" w:eastAsiaTheme="majorEastAsia" w:hAnsi="Cambria"/>
          <w:i/>
          <w:iCs/>
          <w:sz w:val="20"/>
          <w:szCs w:val="20"/>
        </w:rPr>
        <w:t xml:space="preserve"> </w:t>
      </w:r>
      <w:proofErr w:type="spellStart"/>
      <w:r w:rsidR="0028307B" w:rsidRPr="008A7BD7">
        <w:rPr>
          <w:rStyle w:val="normaltextrun"/>
          <w:rFonts w:ascii="Cambria" w:eastAsiaTheme="majorEastAsia" w:hAnsi="Cambria"/>
          <w:i/>
          <w:iCs/>
          <w:sz w:val="20"/>
          <w:szCs w:val="20"/>
        </w:rPr>
        <w:t>Comunitaria</w:t>
      </w:r>
      <w:proofErr w:type="spellEnd"/>
      <w:r w:rsidR="0028307B" w:rsidRPr="008A7BD7">
        <w:rPr>
          <w:rStyle w:val="normaltextrun"/>
          <w:rFonts w:ascii="Cambria" w:eastAsiaTheme="majorEastAsia" w:hAnsi="Cambria"/>
          <w:sz w:val="20"/>
          <w:szCs w:val="20"/>
        </w:rPr>
        <w:t xml:space="preserve">, </w:t>
      </w:r>
      <w:r w:rsidR="001A1BAB" w:rsidRPr="008A7BD7">
        <w:rPr>
          <w:rStyle w:val="normaltextrun"/>
          <w:rFonts w:ascii="Cambria" w:eastAsiaTheme="majorEastAsia" w:hAnsi="Cambria"/>
          <w:sz w:val="20"/>
          <w:szCs w:val="20"/>
        </w:rPr>
        <w:t xml:space="preserve">as well as a police search of the premises of the community radio station </w:t>
      </w:r>
      <w:proofErr w:type="spellStart"/>
      <w:r w:rsidR="0028307B" w:rsidRPr="008A7BD7">
        <w:rPr>
          <w:rStyle w:val="normaltextrun"/>
          <w:rFonts w:ascii="Cambria" w:eastAsiaTheme="majorEastAsia" w:hAnsi="Cambria"/>
          <w:i/>
          <w:iCs/>
          <w:sz w:val="20"/>
          <w:szCs w:val="20"/>
        </w:rPr>
        <w:t>Xyaab</w:t>
      </w:r>
      <w:proofErr w:type="spellEnd"/>
      <w:r w:rsidR="0028307B" w:rsidRPr="008A7BD7">
        <w:rPr>
          <w:rStyle w:val="normaltextrun"/>
          <w:rFonts w:ascii="Cambria" w:eastAsiaTheme="majorEastAsia" w:hAnsi="Cambria"/>
          <w:i/>
          <w:iCs/>
          <w:sz w:val="20"/>
          <w:szCs w:val="20"/>
        </w:rPr>
        <w:t>' </w:t>
      </w:r>
      <w:proofErr w:type="spellStart"/>
      <w:r w:rsidR="0028307B" w:rsidRPr="008A7BD7">
        <w:rPr>
          <w:rStyle w:val="normaltextrun"/>
          <w:rFonts w:ascii="Cambria" w:eastAsiaTheme="majorEastAsia" w:hAnsi="Cambria"/>
          <w:i/>
          <w:iCs/>
          <w:sz w:val="20"/>
          <w:szCs w:val="20"/>
        </w:rPr>
        <w:t>Tzuultaq'a</w:t>
      </w:r>
      <w:proofErr w:type="spellEnd"/>
      <w:r w:rsidR="0028307B" w:rsidRPr="008A7BD7">
        <w:rPr>
          <w:rStyle w:val="normaltextrun"/>
          <w:rFonts w:ascii="Cambria" w:eastAsiaTheme="majorEastAsia" w:hAnsi="Cambria"/>
          <w:sz w:val="20"/>
          <w:szCs w:val="20"/>
        </w:rPr>
        <w:t> </w:t>
      </w:r>
      <w:r w:rsidR="001A1BAB" w:rsidRPr="008A7BD7">
        <w:rPr>
          <w:rStyle w:val="normaltextrun"/>
          <w:rFonts w:ascii="Cambria" w:eastAsiaTheme="majorEastAsia" w:hAnsi="Cambria"/>
          <w:sz w:val="20"/>
          <w:szCs w:val="20"/>
        </w:rPr>
        <w:t xml:space="preserve">and the </w:t>
      </w:r>
      <w:proofErr w:type="spellStart"/>
      <w:r w:rsidR="0028307B" w:rsidRPr="008A7BD7">
        <w:rPr>
          <w:rStyle w:val="normaltextrun"/>
          <w:rFonts w:ascii="Cambria" w:eastAsiaTheme="majorEastAsia" w:hAnsi="Cambria"/>
          <w:sz w:val="20"/>
          <w:szCs w:val="20"/>
        </w:rPr>
        <w:t>Q'eqchi</w:t>
      </w:r>
      <w:proofErr w:type="spellEnd"/>
      <w:r w:rsidR="0028307B" w:rsidRPr="008A7BD7">
        <w:rPr>
          <w:rStyle w:val="normaltextrun"/>
          <w:rFonts w:ascii="Cambria" w:eastAsiaTheme="majorEastAsia" w:hAnsi="Cambria"/>
          <w:sz w:val="20"/>
          <w:szCs w:val="20"/>
        </w:rPr>
        <w:t>'</w:t>
      </w:r>
      <w:r w:rsidR="001A1BAB" w:rsidRPr="008A7BD7">
        <w:rPr>
          <w:rStyle w:val="normaltextrun"/>
          <w:rFonts w:ascii="Cambria" w:eastAsiaTheme="majorEastAsia" w:hAnsi="Cambria"/>
          <w:sz w:val="20"/>
          <w:szCs w:val="20"/>
        </w:rPr>
        <w:t xml:space="preserve"> Ombudsman’s Office.</w:t>
      </w:r>
      <w:r w:rsidR="0028307B" w:rsidRPr="008A7BD7">
        <w:rPr>
          <w:rStyle w:val="FootnoteReference"/>
          <w:rFonts w:ascii="Cambria" w:hAnsi="Cambria"/>
          <w:sz w:val="20"/>
          <w:szCs w:val="20"/>
          <w:lang w:val="es-ES"/>
        </w:rPr>
        <w:footnoteReference w:id="312"/>
      </w:r>
      <w:r w:rsidR="0028307B" w:rsidRPr="008A7BD7">
        <w:rPr>
          <w:rStyle w:val="eop"/>
          <w:rFonts w:ascii="Cambria" w:eastAsiaTheme="majorEastAsia" w:hAnsi="Cambria"/>
          <w:sz w:val="20"/>
          <w:szCs w:val="20"/>
        </w:rPr>
        <w:t> </w:t>
      </w:r>
    </w:p>
    <w:p w14:paraId="5273FA5F" w14:textId="77777777" w:rsidR="009E52D6" w:rsidRPr="008A7BD7" w:rsidRDefault="009E52D6" w:rsidP="009E52D6">
      <w:pPr>
        <w:pStyle w:val="ListParagraph"/>
        <w:rPr>
          <w:rStyle w:val="eop"/>
          <w:rFonts w:ascii="Cambria" w:eastAsia="Cambria" w:hAnsi="Cambria" w:cs="Cambria"/>
          <w:color w:val="000000" w:themeColor="text1"/>
          <w:sz w:val="20"/>
          <w:szCs w:val="20"/>
        </w:rPr>
      </w:pPr>
    </w:p>
    <w:p w14:paraId="4658E44E" w14:textId="2DE3CE4A" w:rsidR="009E52D6" w:rsidRPr="008A7BD7" w:rsidRDefault="00304C53" w:rsidP="009E52D6">
      <w:pPr>
        <w:numPr>
          <w:ilvl w:val="0"/>
          <w:numId w:val="2"/>
        </w:numPr>
        <w:ind w:left="0" w:firstLine="720"/>
        <w:jc w:val="both"/>
        <w:rPr>
          <w:rStyle w:val="eop"/>
          <w:rFonts w:ascii="Cambria" w:eastAsia="Cambria" w:hAnsi="Cambria" w:cs="Cambria"/>
          <w:color w:val="000000" w:themeColor="text1"/>
          <w:sz w:val="20"/>
          <w:szCs w:val="20"/>
        </w:rPr>
      </w:pPr>
      <w:proofErr w:type="gramStart"/>
      <w:r w:rsidRPr="008A7BD7">
        <w:rPr>
          <w:rStyle w:val="eop"/>
          <w:rFonts w:ascii="Cambria" w:eastAsia="Cambria" w:hAnsi="Cambria" w:cs="Cambria"/>
          <w:color w:val="000000" w:themeColor="text1"/>
          <w:sz w:val="20"/>
          <w:szCs w:val="20"/>
        </w:rPr>
        <w:t>With regard to</w:t>
      </w:r>
      <w:proofErr w:type="gramEnd"/>
      <w:r w:rsidR="00FD712E" w:rsidRPr="008A7BD7">
        <w:rPr>
          <w:rStyle w:val="eop"/>
          <w:rFonts w:ascii="Cambria" w:eastAsia="Cambria" w:hAnsi="Cambria" w:cs="Cambria"/>
          <w:color w:val="000000" w:themeColor="text1"/>
          <w:sz w:val="20"/>
          <w:szCs w:val="20"/>
        </w:rPr>
        <w:t xml:space="preserve"> the </w:t>
      </w:r>
      <w:r w:rsidR="009E52D6" w:rsidRPr="008A7BD7">
        <w:rPr>
          <w:rStyle w:val="eop"/>
          <w:rFonts w:ascii="Cambria" w:eastAsia="Cambria" w:hAnsi="Cambria" w:cs="Cambria"/>
          <w:color w:val="000000" w:themeColor="text1"/>
          <w:sz w:val="20"/>
          <w:szCs w:val="20"/>
        </w:rPr>
        <w:t>“</w:t>
      </w:r>
      <w:r w:rsidR="00FD712E" w:rsidRPr="008A7BD7">
        <w:rPr>
          <w:rStyle w:val="eop"/>
          <w:rFonts w:ascii="Cambria" w:eastAsia="Cambria" w:hAnsi="Cambria" w:cs="Cambria"/>
          <w:color w:val="000000" w:themeColor="text1"/>
          <w:sz w:val="20"/>
          <w:szCs w:val="20"/>
        </w:rPr>
        <w:t>Phoenix Mine</w:t>
      </w:r>
      <w:r w:rsidR="009E52D6" w:rsidRPr="008A7BD7">
        <w:rPr>
          <w:rStyle w:val="eop"/>
          <w:rFonts w:ascii="Cambria" w:eastAsia="Cambria" w:hAnsi="Cambria" w:cs="Cambria"/>
          <w:color w:val="000000" w:themeColor="text1"/>
          <w:sz w:val="20"/>
          <w:szCs w:val="20"/>
        </w:rPr>
        <w:t>”</w:t>
      </w:r>
      <w:r w:rsidR="00FD712E" w:rsidRPr="008A7BD7">
        <w:rPr>
          <w:rStyle w:val="eop"/>
          <w:rFonts w:ascii="Cambria" w:eastAsia="Cambria" w:hAnsi="Cambria" w:cs="Cambria"/>
          <w:color w:val="000000" w:themeColor="text1"/>
          <w:sz w:val="20"/>
          <w:szCs w:val="20"/>
        </w:rPr>
        <w:t xml:space="preserve"> extraction project</w:t>
      </w:r>
      <w:r w:rsidR="009E52D6" w:rsidRPr="008A7BD7">
        <w:rPr>
          <w:rStyle w:val="eop"/>
          <w:rFonts w:ascii="Cambria" w:eastAsia="Cambria" w:hAnsi="Cambria" w:cs="Cambria"/>
          <w:color w:val="000000" w:themeColor="text1"/>
          <w:sz w:val="20"/>
          <w:szCs w:val="20"/>
        </w:rPr>
        <w:t xml:space="preserve">, </w:t>
      </w:r>
      <w:r w:rsidR="00FD712E" w:rsidRPr="008A7BD7">
        <w:rPr>
          <w:rStyle w:val="eop"/>
          <w:rFonts w:ascii="Cambria" w:eastAsia="Cambria" w:hAnsi="Cambria" w:cs="Cambria"/>
          <w:color w:val="000000" w:themeColor="text1"/>
          <w:sz w:val="20"/>
          <w:szCs w:val="20"/>
        </w:rPr>
        <w:t xml:space="preserve">the State of </w:t>
      </w:r>
      <w:r w:rsidR="009E52D6" w:rsidRPr="008A7BD7">
        <w:rPr>
          <w:rStyle w:val="eop"/>
          <w:rFonts w:ascii="Cambria" w:eastAsia="Cambria" w:hAnsi="Cambria" w:cs="Cambria"/>
          <w:color w:val="000000" w:themeColor="text1"/>
          <w:sz w:val="20"/>
          <w:szCs w:val="20"/>
        </w:rPr>
        <w:t xml:space="preserve">Guatemala </w:t>
      </w:r>
      <w:r w:rsidRPr="008A7BD7">
        <w:rPr>
          <w:rStyle w:val="eop"/>
          <w:rFonts w:ascii="Cambria" w:eastAsia="Cambria" w:hAnsi="Cambria" w:cs="Cambria"/>
          <w:color w:val="000000" w:themeColor="text1"/>
          <w:sz w:val="20"/>
          <w:szCs w:val="20"/>
        </w:rPr>
        <w:t>made</w:t>
      </w:r>
      <w:r w:rsidR="00FD712E" w:rsidRPr="008A7BD7">
        <w:rPr>
          <w:rStyle w:val="eop"/>
          <w:rFonts w:ascii="Cambria" w:eastAsia="Cambria" w:hAnsi="Cambria" w:cs="Cambria"/>
          <w:color w:val="000000" w:themeColor="text1"/>
          <w:sz w:val="20"/>
          <w:szCs w:val="20"/>
        </w:rPr>
        <w:t xml:space="preserve"> the following</w:t>
      </w:r>
      <w:r w:rsidRPr="008A7BD7">
        <w:rPr>
          <w:rStyle w:val="eop"/>
          <w:rFonts w:ascii="Cambria" w:eastAsia="Cambria" w:hAnsi="Cambria" w:cs="Cambria"/>
          <w:color w:val="000000" w:themeColor="text1"/>
          <w:sz w:val="20"/>
          <w:szCs w:val="20"/>
        </w:rPr>
        <w:t xml:space="preserve"> points</w:t>
      </w:r>
      <w:r w:rsidR="009E52D6" w:rsidRPr="008A7BD7">
        <w:rPr>
          <w:rStyle w:val="eop"/>
          <w:rFonts w:ascii="Cambria" w:eastAsia="Cambria" w:hAnsi="Cambria" w:cs="Cambria"/>
          <w:color w:val="000000" w:themeColor="text1"/>
          <w:sz w:val="20"/>
          <w:szCs w:val="20"/>
        </w:rPr>
        <w:t xml:space="preserve">: </w:t>
      </w:r>
    </w:p>
    <w:p w14:paraId="5B3B5D59" w14:textId="77777777" w:rsidR="009E52D6" w:rsidRPr="00FC47D9" w:rsidRDefault="009E52D6" w:rsidP="009E52D6">
      <w:pPr>
        <w:pStyle w:val="ListParagraph"/>
        <w:rPr>
          <w:rStyle w:val="eop"/>
          <w:rFonts w:ascii="Cambria" w:eastAsia="Cambria" w:hAnsi="Cambria" w:cs="Cambria"/>
          <w:color w:val="000000" w:themeColor="text1"/>
          <w:sz w:val="20"/>
          <w:szCs w:val="20"/>
        </w:rPr>
      </w:pPr>
    </w:p>
    <w:p w14:paraId="0F791772" w14:textId="77777777" w:rsidR="009E52D6" w:rsidRPr="00FC47D9" w:rsidRDefault="009E52D6" w:rsidP="009E52D6">
      <w:pPr>
        <w:ind w:left="720"/>
        <w:jc w:val="both"/>
        <w:rPr>
          <w:rFonts w:ascii="Cambria" w:eastAsia="Montserrat" w:hAnsi="Cambria" w:cs="Montserrat"/>
          <w:sz w:val="20"/>
          <w:szCs w:val="20"/>
        </w:rPr>
      </w:pPr>
      <w:r w:rsidRPr="00FC47D9">
        <w:rPr>
          <w:rStyle w:val="eop"/>
          <w:rFonts w:ascii="Cambria" w:eastAsia="Cambria" w:hAnsi="Cambria" w:cs="Cambria"/>
          <w:color w:val="000000" w:themeColor="text1"/>
          <w:sz w:val="20"/>
          <w:szCs w:val="20"/>
        </w:rPr>
        <w:t>“</w:t>
      </w:r>
      <w:r w:rsidRPr="00FC47D9">
        <w:rPr>
          <w:rFonts w:ascii="Cambria" w:eastAsia="Times New Roman" w:hAnsi="Cambria" w:cs="Tahoma"/>
          <w:color w:val="000000" w:themeColor="text1"/>
          <w:sz w:val="20"/>
          <w:szCs w:val="20"/>
        </w:rPr>
        <w:t>[…]</w:t>
      </w:r>
    </w:p>
    <w:p w14:paraId="33852A69" w14:textId="77777777" w:rsidR="009E52D6" w:rsidRPr="00FC47D9" w:rsidRDefault="009E52D6" w:rsidP="009E52D6">
      <w:pPr>
        <w:ind w:left="720"/>
        <w:jc w:val="both"/>
        <w:rPr>
          <w:rFonts w:ascii="Cambria" w:eastAsia="Montserrat" w:hAnsi="Cambria" w:cs="Montserrat"/>
          <w:sz w:val="20"/>
          <w:szCs w:val="20"/>
        </w:rPr>
      </w:pPr>
    </w:p>
    <w:p w14:paraId="16B8C840" w14:textId="30B686A8" w:rsidR="009E52D6" w:rsidRPr="00FC47D9" w:rsidRDefault="009E52D6" w:rsidP="009E52D6">
      <w:pPr>
        <w:ind w:left="720" w:right="720"/>
        <w:jc w:val="both"/>
        <w:rPr>
          <w:rFonts w:ascii="Cambria" w:eastAsia="Montserrat" w:hAnsi="Cambria" w:cs="Montserrat"/>
          <w:sz w:val="20"/>
          <w:szCs w:val="20"/>
        </w:rPr>
      </w:pPr>
      <w:r w:rsidRPr="00FC47D9">
        <w:rPr>
          <w:rFonts w:ascii="Cambria" w:eastAsia="Montserrat" w:hAnsi="Cambria" w:cs="Montserrat"/>
          <w:sz w:val="20"/>
          <w:szCs w:val="20"/>
        </w:rPr>
        <w:t xml:space="preserve">2. </w:t>
      </w:r>
      <w:r w:rsidR="00FD712E" w:rsidRPr="00FC47D9">
        <w:rPr>
          <w:rFonts w:ascii="Cambria" w:eastAsia="Montserrat" w:hAnsi="Cambria" w:cs="Montserrat"/>
          <w:sz w:val="20"/>
          <w:szCs w:val="20"/>
        </w:rPr>
        <w:t xml:space="preserve">It has been difficult not to have databases </w:t>
      </w:r>
      <w:r w:rsidR="00C95596" w:rsidRPr="00FC47D9">
        <w:rPr>
          <w:rFonts w:ascii="Cambria" w:eastAsia="Montserrat" w:hAnsi="Cambria" w:cs="Montserrat"/>
          <w:sz w:val="20"/>
          <w:szCs w:val="20"/>
        </w:rPr>
        <w:t xml:space="preserve">available </w:t>
      </w:r>
      <w:r w:rsidR="00FD712E" w:rsidRPr="00FC47D9">
        <w:rPr>
          <w:rFonts w:ascii="Cambria" w:eastAsia="Montserrat" w:hAnsi="Cambria" w:cs="Montserrat"/>
          <w:sz w:val="20"/>
          <w:szCs w:val="20"/>
        </w:rPr>
        <w:t xml:space="preserve">that would help to establish the presence of organizations that represent indigenous peoples within the area of influence </w:t>
      </w:r>
      <w:r w:rsidRPr="00FC47D9">
        <w:rPr>
          <w:rFonts w:ascii="Cambria" w:eastAsia="Montserrat" w:hAnsi="Cambria" w:cs="Montserrat"/>
          <w:sz w:val="20"/>
          <w:szCs w:val="20"/>
        </w:rPr>
        <w:t>(</w:t>
      </w:r>
      <w:r w:rsidR="00FD712E" w:rsidRPr="00FC47D9">
        <w:rPr>
          <w:rFonts w:ascii="Cambria" w:eastAsia="Montserrat" w:hAnsi="Cambria" w:cs="Montserrat"/>
          <w:sz w:val="20"/>
          <w:szCs w:val="20"/>
        </w:rPr>
        <w:t xml:space="preserve">and </w:t>
      </w:r>
      <w:r w:rsidR="00FD712E" w:rsidRPr="00FC47D9">
        <w:rPr>
          <w:rFonts w:ascii="Cambria" w:eastAsia="Montserrat" w:hAnsi="Cambria" w:cs="Montserrat"/>
          <w:sz w:val="20"/>
          <w:szCs w:val="20"/>
        </w:rPr>
        <w:lastRenderedPageBreak/>
        <w:t>throughout the country</w:t>
      </w:r>
      <w:r w:rsidRPr="00FC47D9">
        <w:rPr>
          <w:rFonts w:ascii="Cambria" w:eastAsia="Montserrat" w:hAnsi="Cambria" w:cs="Montserrat"/>
          <w:sz w:val="20"/>
          <w:szCs w:val="20"/>
        </w:rPr>
        <w:t xml:space="preserve">), </w:t>
      </w:r>
      <w:proofErr w:type="gramStart"/>
      <w:r w:rsidR="00FD712E" w:rsidRPr="00FC47D9">
        <w:rPr>
          <w:rFonts w:ascii="Cambria" w:eastAsia="Montserrat" w:hAnsi="Cambria" w:cs="Montserrat"/>
          <w:sz w:val="20"/>
          <w:szCs w:val="20"/>
        </w:rPr>
        <w:t>in order to</w:t>
      </w:r>
      <w:proofErr w:type="gramEnd"/>
      <w:r w:rsidR="00FD712E" w:rsidRPr="00FC47D9">
        <w:rPr>
          <w:rFonts w:ascii="Cambria" w:eastAsia="Montserrat" w:hAnsi="Cambria" w:cs="Montserrat"/>
          <w:sz w:val="20"/>
          <w:szCs w:val="20"/>
        </w:rPr>
        <w:t xml:space="preserve"> convene the organizations representing indigenous peoples </w:t>
      </w:r>
      <w:r w:rsidR="00C95596" w:rsidRPr="00FC47D9">
        <w:rPr>
          <w:rFonts w:ascii="Cambria" w:eastAsia="Montserrat" w:hAnsi="Cambria" w:cs="Montserrat"/>
          <w:sz w:val="20"/>
          <w:szCs w:val="20"/>
        </w:rPr>
        <w:t xml:space="preserve">for </w:t>
      </w:r>
      <w:r w:rsidR="00FD712E" w:rsidRPr="00FC47D9">
        <w:rPr>
          <w:rFonts w:ascii="Cambria" w:eastAsia="Montserrat" w:hAnsi="Cambria" w:cs="Montserrat"/>
          <w:sz w:val="20"/>
          <w:szCs w:val="20"/>
        </w:rPr>
        <w:t>consultation on any issues</w:t>
      </w:r>
      <w:r w:rsidR="008C6F2A" w:rsidRPr="00FC47D9">
        <w:rPr>
          <w:rFonts w:ascii="Cambria" w:eastAsia="Montserrat" w:hAnsi="Cambria" w:cs="Montserrat"/>
          <w:sz w:val="20"/>
          <w:szCs w:val="20"/>
        </w:rPr>
        <w:t xml:space="preserve"> that may be necessary</w:t>
      </w:r>
      <w:r w:rsidRPr="00FC47D9">
        <w:rPr>
          <w:rFonts w:ascii="Cambria" w:eastAsia="Montserrat" w:hAnsi="Cambria" w:cs="Montserrat"/>
          <w:sz w:val="20"/>
          <w:szCs w:val="20"/>
        </w:rPr>
        <w:t>.</w:t>
      </w:r>
    </w:p>
    <w:p w14:paraId="49E70B60" w14:textId="77777777" w:rsidR="009E52D6" w:rsidRPr="00FC47D9" w:rsidRDefault="009E52D6" w:rsidP="009E52D6">
      <w:pPr>
        <w:ind w:left="720" w:right="720"/>
        <w:jc w:val="both"/>
        <w:rPr>
          <w:rFonts w:ascii="Cambria" w:eastAsia="Montserrat" w:hAnsi="Cambria" w:cs="Montserrat"/>
          <w:sz w:val="20"/>
          <w:szCs w:val="20"/>
        </w:rPr>
      </w:pPr>
    </w:p>
    <w:p w14:paraId="3FAC50B2" w14:textId="00BBCCA8" w:rsidR="009E52D6" w:rsidRPr="00FC47D9" w:rsidRDefault="009E52D6" w:rsidP="009E52D6">
      <w:pPr>
        <w:ind w:left="720" w:right="720"/>
        <w:jc w:val="both"/>
        <w:rPr>
          <w:rFonts w:ascii="Cambria" w:eastAsia="Montserrat" w:hAnsi="Cambria" w:cs="Montserrat"/>
          <w:sz w:val="20"/>
          <w:szCs w:val="20"/>
        </w:rPr>
      </w:pPr>
      <w:r w:rsidRPr="00FC47D9">
        <w:rPr>
          <w:rFonts w:ascii="Cambria" w:eastAsia="Montserrat" w:hAnsi="Cambria" w:cs="Montserrat"/>
          <w:sz w:val="20"/>
          <w:szCs w:val="20"/>
        </w:rPr>
        <w:t xml:space="preserve"> 3. </w:t>
      </w:r>
      <w:r w:rsidR="009C3B29" w:rsidRPr="00FC47D9">
        <w:rPr>
          <w:rFonts w:ascii="Cambria" w:eastAsia="Montserrat" w:hAnsi="Cambria" w:cs="Montserrat"/>
          <w:sz w:val="20"/>
          <w:szCs w:val="20"/>
        </w:rPr>
        <w:t>B</w:t>
      </w:r>
      <w:r w:rsidR="00304C53" w:rsidRPr="00FC47D9">
        <w:rPr>
          <w:rFonts w:ascii="Cambria" w:eastAsia="Montserrat" w:hAnsi="Cambria" w:cs="Montserrat"/>
          <w:sz w:val="20"/>
          <w:szCs w:val="20"/>
        </w:rPr>
        <w:t>ased</w:t>
      </w:r>
      <w:r w:rsidRPr="00FC47D9">
        <w:rPr>
          <w:rFonts w:ascii="Cambria" w:eastAsia="Montserrat" w:hAnsi="Cambria" w:cs="Montserrat"/>
          <w:sz w:val="20"/>
          <w:szCs w:val="20"/>
        </w:rPr>
        <w:t xml:space="preserve"> </w:t>
      </w:r>
      <w:r w:rsidR="00304C53" w:rsidRPr="00FC47D9">
        <w:rPr>
          <w:rFonts w:ascii="Cambria" w:eastAsia="Montserrat" w:hAnsi="Cambria" w:cs="Montserrat"/>
          <w:sz w:val="20"/>
          <w:szCs w:val="20"/>
        </w:rPr>
        <w:t xml:space="preserve">on the </w:t>
      </w:r>
      <w:r w:rsidR="009C3B29" w:rsidRPr="00FC47D9">
        <w:rPr>
          <w:rFonts w:ascii="Cambria" w:eastAsia="Montserrat" w:hAnsi="Cambria" w:cs="Montserrat"/>
          <w:sz w:val="20"/>
          <w:szCs w:val="20"/>
        </w:rPr>
        <w:t>requests made by individuals and the petitioner [</w:t>
      </w:r>
      <w:proofErr w:type="spellStart"/>
      <w:r w:rsidR="009C3B29" w:rsidRPr="00FC47D9">
        <w:rPr>
          <w:rFonts w:ascii="Cambria" w:eastAsia="Montserrat" w:hAnsi="Cambria" w:cs="Montserrat"/>
          <w:i/>
          <w:iCs/>
          <w:sz w:val="20"/>
          <w:szCs w:val="20"/>
        </w:rPr>
        <w:t>amparista</w:t>
      </w:r>
      <w:proofErr w:type="spellEnd"/>
      <w:r w:rsidR="009C3B29" w:rsidRPr="00FC47D9">
        <w:rPr>
          <w:rFonts w:ascii="Cambria" w:eastAsia="Montserrat" w:hAnsi="Cambria" w:cs="Montserrat"/>
          <w:sz w:val="20"/>
          <w:szCs w:val="20"/>
        </w:rPr>
        <w:t>] asking to participate in the pre-consultation and consultation phases, the Ministry of Energy and Mines tried to identify the communities seeking to participate in the process, using a variety of physical and digital tools; however, the documentation the</w:t>
      </w:r>
      <w:r w:rsidR="00C95596" w:rsidRPr="00FC47D9">
        <w:rPr>
          <w:rFonts w:ascii="Cambria" w:eastAsia="Montserrat" w:hAnsi="Cambria" w:cs="Montserrat"/>
          <w:sz w:val="20"/>
          <w:szCs w:val="20"/>
        </w:rPr>
        <w:t>se persons</w:t>
      </w:r>
      <w:r w:rsidR="009C3B29" w:rsidRPr="00FC47D9">
        <w:rPr>
          <w:rFonts w:ascii="Cambria" w:eastAsia="Montserrat" w:hAnsi="Cambria" w:cs="Montserrat"/>
          <w:sz w:val="20"/>
          <w:szCs w:val="20"/>
        </w:rPr>
        <w:t xml:space="preserve"> had presented did not identify them as belonging to an institution that represents the </w:t>
      </w:r>
      <w:r w:rsidRPr="00FC47D9">
        <w:rPr>
          <w:rFonts w:ascii="Cambria" w:eastAsia="Montserrat" w:hAnsi="Cambria" w:cs="Montserrat"/>
          <w:sz w:val="20"/>
          <w:szCs w:val="20"/>
        </w:rPr>
        <w:t xml:space="preserve">Maya </w:t>
      </w:r>
      <w:proofErr w:type="spellStart"/>
      <w:r w:rsidRPr="00FC47D9">
        <w:rPr>
          <w:rFonts w:ascii="Cambria" w:eastAsia="Montserrat" w:hAnsi="Cambria" w:cs="Montserrat"/>
          <w:sz w:val="20"/>
          <w:szCs w:val="20"/>
        </w:rPr>
        <w:t>Q’eqchi</w:t>
      </w:r>
      <w:proofErr w:type="spellEnd"/>
      <w:r w:rsidRPr="00FC47D9">
        <w:rPr>
          <w:rFonts w:ascii="Cambria" w:eastAsia="Montserrat" w:hAnsi="Cambria" w:cs="Montserrat"/>
          <w:sz w:val="20"/>
          <w:szCs w:val="20"/>
        </w:rPr>
        <w:t xml:space="preserve">’ </w:t>
      </w:r>
      <w:r w:rsidR="009C3B29" w:rsidRPr="00FC47D9">
        <w:rPr>
          <w:rFonts w:ascii="Cambria" w:eastAsia="Montserrat" w:hAnsi="Cambria" w:cs="Montserrat"/>
          <w:sz w:val="20"/>
          <w:szCs w:val="20"/>
        </w:rPr>
        <w:t xml:space="preserve">indigenous people </w:t>
      </w:r>
      <w:r w:rsidR="00C95596" w:rsidRPr="00FC47D9">
        <w:rPr>
          <w:rFonts w:ascii="Cambria" w:eastAsia="Montserrat" w:hAnsi="Cambria" w:cs="Montserrat"/>
          <w:sz w:val="20"/>
          <w:szCs w:val="20"/>
        </w:rPr>
        <w:t xml:space="preserve">or as being </w:t>
      </w:r>
      <w:r w:rsidR="009C3B29" w:rsidRPr="00FC47D9">
        <w:rPr>
          <w:rFonts w:ascii="Cambria" w:eastAsia="Montserrat" w:hAnsi="Cambria" w:cs="Montserrat"/>
          <w:sz w:val="20"/>
          <w:szCs w:val="20"/>
        </w:rPr>
        <w:t>within the area of influence established in the updated environmental instrument</w:t>
      </w:r>
      <w:r w:rsidRPr="00FC47D9">
        <w:rPr>
          <w:rFonts w:ascii="Cambria" w:eastAsia="Montserrat" w:hAnsi="Cambria" w:cs="Montserrat"/>
          <w:sz w:val="20"/>
          <w:szCs w:val="20"/>
        </w:rPr>
        <w:t xml:space="preserve">; </w:t>
      </w:r>
    </w:p>
    <w:p w14:paraId="50A088F1" w14:textId="42CB6FF0" w:rsidR="009E52D6" w:rsidRPr="00FC47D9" w:rsidRDefault="00214FCB" w:rsidP="009E52D6">
      <w:pPr>
        <w:ind w:left="720" w:right="720"/>
        <w:jc w:val="both"/>
        <w:rPr>
          <w:rFonts w:ascii="Cambria" w:eastAsia="Montserrat" w:hAnsi="Cambria" w:cs="Montserrat"/>
          <w:sz w:val="20"/>
          <w:szCs w:val="20"/>
        </w:rPr>
      </w:pPr>
      <w:r w:rsidRPr="00FC47D9">
        <w:rPr>
          <w:rFonts w:ascii="Cambria" w:eastAsia="Montserrat" w:hAnsi="Cambria" w:cs="Montserrat"/>
          <w:sz w:val="20"/>
          <w:szCs w:val="20"/>
        </w:rPr>
        <w:t xml:space="preserve"> </w:t>
      </w:r>
    </w:p>
    <w:p w14:paraId="39B25BF2" w14:textId="00535469" w:rsidR="009E52D6" w:rsidRPr="00FC47D9" w:rsidRDefault="009E52D6" w:rsidP="009E52D6">
      <w:pPr>
        <w:ind w:left="720" w:right="720"/>
        <w:jc w:val="both"/>
        <w:rPr>
          <w:rFonts w:ascii="Cambria" w:eastAsia="Montserrat" w:hAnsi="Cambria" w:cs="Montserrat"/>
          <w:sz w:val="20"/>
          <w:szCs w:val="20"/>
        </w:rPr>
      </w:pPr>
      <w:r w:rsidRPr="00FC47D9">
        <w:rPr>
          <w:rFonts w:ascii="Cambria" w:eastAsia="Montserrat" w:hAnsi="Cambria" w:cs="Montserrat"/>
          <w:sz w:val="20"/>
          <w:szCs w:val="20"/>
        </w:rPr>
        <w:t xml:space="preserve">4.  </w:t>
      </w:r>
      <w:r w:rsidR="009C3B29" w:rsidRPr="00FC47D9">
        <w:rPr>
          <w:rFonts w:ascii="Cambria" w:eastAsia="Montserrat" w:hAnsi="Cambria" w:cs="Montserrat"/>
          <w:sz w:val="20"/>
          <w:szCs w:val="20"/>
        </w:rPr>
        <w:t>The Ministry of Energy and Mines</w:t>
      </w:r>
      <w:r w:rsidRPr="00FC47D9">
        <w:rPr>
          <w:rFonts w:ascii="Cambria" w:eastAsia="Montserrat" w:hAnsi="Cambria" w:cs="Montserrat"/>
          <w:sz w:val="20"/>
          <w:szCs w:val="20"/>
        </w:rPr>
        <w:t xml:space="preserve"> </w:t>
      </w:r>
      <w:r w:rsidR="003D2539" w:rsidRPr="00FC47D9">
        <w:rPr>
          <w:rFonts w:ascii="Cambria" w:eastAsia="Montserrat" w:hAnsi="Cambria" w:cs="Montserrat"/>
          <w:sz w:val="20"/>
          <w:szCs w:val="20"/>
        </w:rPr>
        <w:t>provided a response to the petitioning individuals and organizations</w:t>
      </w:r>
      <w:r w:rsidRPr="00FC47D9">
        <w:rPr>
          <w:rFonts w:ascii="Cambria" w:eastAsia="Montserrat" w:hAnsi="Cambria" w:cs="Montserrat"/>
          <w:sz w:val="20"/>
          <w:szCs w:val="20"/>
        </w:rPr>
        <w:t xml:space="preserve"> </w:t>
      </w:r>
      <w:r w:rsidR="003D2539" w:rsidRPr="00FC47D9">
        <w:rPr>
          <w:rFonts w:ascii="Cambria" w:eastAsia="Montserrat" w:hAnsi="Cambria" w:cs="Montserrat"/>
          <w:sz w:val="20"/>
          <w:szCs w:val="20"/>
        </w:rPr>
        <w:t xml:space="preserve">which, because it was not in tune with their demands, led to actions </w:t>
      </w:r>
      <w:r w:rsidR="00EF7021" w:rsidRPr="00FC47D9">
        <w:rPr>
          <w:rFonts w:ascii="Cambria" w:eastAsia="Montserrat" w:hAnsi="Cambria" w:cs="Montserrat"/>
          <w:sz w:val="20"/>
          <w:szCs w:val="20"/>
        </w:rPr>
        <w:t>by</w:t>
      </w:r>
      <w:r w:rsidR="003D2539" w:rsidRPr="00FC47D9">
        <w:rPr>
          <w:rFonts w:ascii="Cambria" w:eastAsia="Montserrat" w:hAnsi="Cambria" w:cs="Montserrat"/>
          <w:sz w:val="20"/>
          <w:szCs w:val="20"/>
        </w:rPr>
        <w:t xml:space="preserve"> groups of </w:t>
      </w:r>
      <w:r w:rsidR="00214FCB" w:rsidRPr="00FC47D9">
        <w:rPr>
          <w:rFonts w:ascii="Cambria" w:eastAsia="Montserrat" w:hAnsi="Cambria" w:cs="Montserrat"/>
          <w:sz w:val="20"/>
          <w:szCs w:val="20"/>
        </w:rPr>
        <w:t>people</w:t>
      </w:r>
      <w:r w:rsidR="003D2539" w:rsidRPr="00FC47D9">
        <w:rPr>
          <w:rFonts w:ascii="Cambria" w:eastAsia="Montserrat" w:hAnsi="Cambria" w:cs="Montserrat"/>
          <w:sz w:val="20"/>
          <w:szCs w:val="20"/>
        </w:rPr>
        <w:t xml:space="preserve"> </w:t>
      </w:r>
      <w:r w:rsidR="00EF7021" w:rsidRPr="00FC47D9">
        <w:rPr>
          <w:rFonts w:ascii="Cambria" w:eastAsia="Montserrat" w:hAnsi="Cambria" w:cs="Montserrat"/>
          <w:sz w:val="20"/>
          <w:szCs w:val="20"/>
        </w:rPr>
        <w:t>demanding</w:t>
      </w:r>
      <w:r w:rsidR="003D2539" w:rsidRPr="00FC47D9">
        <w:rPr>
          <w:rFonts w:ascii="Cambria" w:eastAsia="Montserrat" w:hAnsi="Cambria" w:cs="Montserrat"/>
          <w:sz w:val="20"/>
          <w:szCs w:val="20"/>
        </w:rPr>
        <w:t xml:space="preserve"> to be </w:t>
      </w:r>
      <w:r w:rsidR="00E50FAA" w:rsidRPr="00FC47D9">
        <w:rPr>
          <w:rFonts w:ascii="Cambria" w:eastAsia="Montserrat" w:hAnsi="Cambria" w:cs="Montserrat"/>
          <w:sz w:val="20"/>
          <w:szCs w:val="20"/>
        </w:rPr>
        <w:t>included in</w:t>
      </w:r>
      <w:r w:rsidR="003D2539" w:rsidRPr="00FC47D9">
        <w:rPr>
          <w:rFonts w:ascii="Cambria" w:eastAsia="Montserrat" w:hAnsi="Cambria" w:cs="Montserrat"/>
          <w:sz w:val="20"/>
          <w:szCs w:val="20"/>
        </w:rPr>
        <w:t xml:space="preserve"> the pre-consultation process</w:t>
      </w:r>
      <w:r w:rsidR="00E50FAA" w:rsidRPr="00FC47D9">
        <w:rPr>
          <w:rFonts w:ascii="Cambria" w:eastAsia="Montserrat" w:hAnsi="Cambria" w:cs="Montserrat"/>
          <w:sz w:val="20"/>
          <w:szCs w:val="20"/>
        </w:rPr>
        <w:t xml:space="preserve"> </w:t>
      </w:r>
      <w:r w:rsidR="0009513E" w:rsidRPr="00FC47D9">
        <w:rPr>
          <w:rFonts w:ascii="Cambria" w:eastAsia="Montserrat" w:hAnsi="Cambria" w:cs="Montserrat"/>
          <w:sz w:val="20"/>
          <w:szCs w:val="20"/>
        </w:rPr>
        <w:t>that</w:t>
      </w:r>
      <w:r w:rsidR="00E50FAA" w:rsidRPr="00FC47D9">
        <w:rPr>
          <w:rFonts w:ascii="Cambria" w:eastAsia="Montserrat" w:hAnsi="Cambria" w:cs="Montserrat"/>
          <w:sz w:val="20"/>
          <w:szCs w:val="20"/>
        </w:rPr>
        <w:t xml:space="preserve"> </w:t>
      </w:r>
      <w:r w:rsidR="003D2539" w:rsidRPr="00FC47D9">
        <w:rPr>
          <w:rFonts w:ascii="Cambria" w:eastAsia="Montserrat" w:hAnsi="Cambria" w:cs="Montserrat"/>
          <w:sz w:val="20"/>
          <w:szCs w:val="20"/>
        </w:rPr>
        <w:t>was being carried out at that time</w:t>
      </w:r>
      <w:r w:rsidRPr="00FC47D9">
        <w:rPr>
          <w:rFonts w:ascii="Cambria" w:eastAsia="Montserrat" w:hAnsi="Cambria" w:cs="Montserrat"/>
          <w:sz w:val="20"/>
          <w:szCs w:val="20"/>
        </w:rPr>
        <w:t>.</w:t>
      </w:r>
    </w:p>
    <w:p w14:paraId="0A7E16F4" w14:textId="77777777" w:rsidR="009E52D6" w:rsidRPr="00FC47D9" w:rsidRDefault="009E52D6" w:rsidP="009E52D6">
      <w:pPr>
        <w:ind w:left="720" w:right="720"/>
        <w:jc w:val="both"/>
        <w:rPr>
          <w:rFonts w:ascii="Cambria" w:eastAsia="Montserrat" w:hAnsi="Cambria" w:cs="Montserrat"/>
          <w:sz w:val="20"/>
          <w:szCs w:val="20"/>
        </w:rPr>
      </w:pPr>
    </w:p>
    <w:p w14:paraId="22433F6C" w14:textId="58376BA5" w:rsidR="009E52D6" w:rsidRPr="00FC47D9" w:rsidRDefault="009E52D6" w:rsidP="009E52D6">
      <w:pPr>
        <w:ind w:left="720" w:right="720"/>
        <w:jc w:val="both"/>
        <w:rPr>
          <w:rFonts w:ascii="Cambria" w:eastAsia="Montserrat" w:hAnsi="Cambria" w:cs="Montserrat"/>
          <w:sz w:val="20"/>
          <w:szCs w:val="20"/>
        </w:rPr>
      </w:pPr>
      <w:r w:rsidRPr="00FC47D9">
        <w:rPr>
          <w:rFonts w:ascii="Cambria" w:eastAsia="Montserrat" w:hAnsi="Cambria" w:cs="Montserrat"/>
          <w:sz w:val="20"/>
          <w:szCs w:val="20"/>
        </w:rPr>
        <w:t xml:space="preserve">5. </w:t>
      </w:r>
      <w:r w:rsidR="003D2539" w:rsidRPr="00FC47D9">
        <w:rPr>
          <w:rFonts w:ascii="Cambria" w:eastAsia="Montserrat" w:hAnsi="Cambria" w:cs="Montserrat"/>
          <w:sz w:val="20"/>
          <w:szCs w:val="20"/>
        </w:rPr>
        <w:t>This</w:t>
      </w:r>
      <w:r w:rsidRPr="00FC47D9">
        <w:rPr>
          <w:rFonts w:ascii="Cambria" w:eastAsia="Montserrat" w:hAnsi="Cambria" w:cs="Montserrat"/>
          <w:sz w:val="20"/>
          <w:szCs w:val="20"/>
        </w:rPr>
        <w:t xml:space="preserve"> </w:t>
      </w:r>
      <w:r w:rsidR="00EF7021" w:rsidRPr="00FC47D9">
        <w:rPr>
          <w:rFonts w:ascii="Cambria" w:eastAsia="Montserrat" w:hAnsi="Cambria" w:cs="Montserrat"/>
          <w:sz w:val="20"/>
          <w:szCs w:val="20"/>
        </w:rPr>
        <w:t>led the Ministry of Energy and Mines to request the involvement of the Presidential Commission on Dial</w:t>
      </w:r>
      <w:r w:rsidR="00EF43EC" w:rsidRPr="00FC47D9">
        <w:rPr>
          <w:rFonts w:ascii="Cambria" w:eastAsia="Montserrat" w:hAnsi="Cambria" w:cs="Montserrat"/>
          <w:sz w:val="20"/>
          <w:szCs w:val="20"/>
        </w:rPr>
        <w:t>ogue</w:t>
      </w:r>
      <w:r w:rsidR="00EF7021" w:rsidRPr="00FC47D9">
        <w:rPr>
          <w:rFonts w:ascii="Cambria" w:eastAsia="Montserrat" w:hAnsi="Cambria" w:cs="Montserrat"/>
          <w:sz w:val="20"/>
          <w:szCs w:val="20"/>
        </w:rPr>
        <w:t xml:space="preserve"> as a mediator</w:t>
      </w:r>
      <w:r w:rsidRPr="00FC47D9">
        <w:rPr>
          <w:rFonts w:ascii="Cambria" w:eastAsia="Montserrat" w:hAnsi="Cambria" w:cs="Montserrat"/>
          <w:sz w:val="20"/>
          <w:szCs w:val="20"/>
        </w:rPr>
        <w:t>.</w:t>
      </w:r>
    </w:p>
    <w:p w14:paraId="08E4CF3B" w14:textId="77777777" w:rsidR="009E52D6" w:rsidRPr="00FC47D9" w:rsidRDefault="009E52D6" w:rsidP="009E52D6">
      <w:pPr>
        <w:ind w:left="720" w:right="720"/>
        <w:jc w:val="both"/>
        <w:rPr>
          <w:rFonts w:ascii="Cambria" w:eastAsia="Montserrat" w:hAnsi="Cambria" w:cs="Montserrat"/>
          <w:sz w:val="20"/>
          <w:szCs w:val="20"/>
        </w:rPr>
      </w:pPr>
    </w:p>
    <w:p w14:paraId="4CEEB85D" w14:textId="2C24FB50" w:rsidR="009E52D6" w:rsidRPr="00FC47D9" w:rsidRDefault="009E52D6" w:rsidP="009E52D6">
      <w:pPr>
        <w:ind w:left="720" w:right="720"/>
        <w:jc w:val="both"/>
        <w:rPr>
          <w:rFonts w:ascii="Cambria" w:eastAsia="Montserrat" w:hAnsi="Cambria" w:cs="Montserrat"/>
          <w:sz w:val="20"/>
          <w:szCs w:val="20"/>
        </w:rPr>
      </w:pPr>
      <w:r w:rsidRPr="00FC47D9">
        <w:rPr>
          <w:rFonts w:ascii="Cambria" w:eastAsia="Montserrat" w:hAnsi="Cambria" w:cs="Montserrat"/>
          <w:sz w:val="20"/>
          <w:szCs w:val="20"/>
        </w:rPr>
        <w:t xml:space="preserve">6. </w:t>
      </w:r>
      <w:r w:rsidR="004D2C2E" w:rsidRPr="00FC47D9">
        <w:rPr>
          <w:rFonts w:ascii="Cambria" w:eastAsia="Montserrat" w:hAnsi="Cambria" w:cs="Montserrat"/>
          <w:sz w:val="20"/>
          <w:szCs w:val="20"/>
        </w:rPr>
        <w:t xml:space="preserve">Violent actions later resulted, such as blockades and arbitrary restrictions of vehicles, </w:t>
      </w:r>
      <w:r w:rsidR="0009513E" w:rsidRPr="00FC47D9">
        <w:rPr>
          <w:rFonts w:ascii="Cambria" w:eastAsia="Montserrat" w:hAnsi="Cambria" w:cs="Montserrat"/>
          <w:sz w:val="20"/>
          <w:szCs w:val="20"/>
        </w:rPr>
        <w:t>beyond</w:t>
      </w:r>
      <w:r w:rsidR="004D2C2E" w:rsidRPr="00FC47D9">
        <w:rPr>
          <w:rFonts w:ascii="Cambria" w:eastAsia="Montserrat" w:hAnsi="Cambria" w:cs="Montserrat"/>
          <w:sz w:val="20"/>
          <w:szCs w:val="20"/>
        </w:rPr>
        <w:t xml:space="preserve"> the issue of the judgment</w:t>
      </w:r>
      <w:r w:rsidR="0009513E" w:rsidRPr="00FC47D9">
        <w:rPr>
          <w:rFonts w:ascii="Cambria" w:eastAsia="Montserrat" w:hAnsi="Cambria" w:cs="Montserrat"/>
          <w:sz w:val="20"/>
          <w:szCs w:val="20"/>
        </w:rPr>
        <w:t>. Th</w:t>
      </w:r>
      <w:r w:rsidR="004D2C2E" w:rsidRPr="00FC47D9">
        <w:rPr>
          <w:rFonts w:ascii="Cambria" w:eastAsia="Montserrat" w:hAnsi="Cambria" w:cs="Montserrat"/>
          <w:sz w:val="20"/>
          <w:szCs w:val="20"/>
        </w:rPr>
        <w:t xml:space="preserve">ere were </w:t>
      </w:r>
      <w:r w:rsidR="0009513E" w:rsidRPr="00FC47D9">
        <w:rPr>
          <w:rFonts w:ascii="Cambria" w:eastAsia="Montserrat" w:hAnsi="Cambria" w:cs="Montserrat"/>
          <w:sz w:val="20"/>
          <w:szCs w:val="20"/>
        </w:rPr>
        <w:t xml:space="preserve">also </w:t>
      </w:r>
      <w:r w:rsidR="004D2C2E" w:rsidRPr="00FC47D9">
        <w:rPr>
          <w:rFonts w:ascii="Cambria" w:eastAsia="Montserrat" w:hAnsi="Cambria" w:cs="Montserrat"/>
          <w:sz w:val="20"/>
          <w:szCs w:val="20"/>
        </w:rPr>
        <w:t xml:space="preserve">actions carried out that the people of El </w:t>
      </w:r>
      <w:proofErr w:type="spellStart"/>
      <w:r w:rsidR="004D2C2E" w:rsidRPr="00FC47D9">
        <w:rPr>
          <w:rFonts w:ascii="Cambria" w:eastAsia="Montserrat" w:hAnsi="Cambria" w:cs="Montserrat"/>
          <w:sz w:val="20"/>
          <w:szCs w:val="20"/>
        </w:rPr>
        <w:t>Estor</w:t>
      </w:r>
      <w:proofErr w:type="spellEnd"/>
      <w:r w:rsidR="004D2C2E" w:rsidRPr="00FC47D9">
        <w:rPr>
          <w:rFonts w:ascii="Cambria" w:eastAsia="Montserrat" w:hAnsi="Cambria" w:cs="Montserrat"/>
          <w:sz w:val="20"/>
          <w:szCs w:val="20"/>
        </w:rPr>
        <w:t xml:space="preserve"> themselves denounced, such as the illegal charging of tolls for vehicles pass</w:t>
      </w:r>
      <w:r w:rsidR="00214FCB" w:rsidRPr="00FC47D9">
        <w:rPr>
          <w:rFonts w:ascii="Cambria" w:eastAsia="Montserrat" w:hAnsi="Cambria" w:cs="Montserrat"/>
          <w:sz w:val="20"/>
          <w:szCs w:val="20"/>
        </w:rPr>
        <w:t>ing</w:t>
      </w:r>
      <w:r w:rsidR="004D2C2E" w:rsidRPr="00FC47D9">
        <w:rPr>
          <w:rFonts w:ascii="Cambria" w:eastAsia="Montserrat" w:hAnsi="Cambria" w:cs="Montserrat"/>
          <w:sz w:val="20"/>
          <w:szCs w:val="20"/>
        </w:rPr>
        <w:t xml:space="preserve"> through—actions that led the executive branch to declar</w:t>
      </w:r>
      <w:r w:rsidR="0009513E" w:rsidRPr="00FC47D9">
        <w:rPr>
          <w:rFonts w:ascii="Cambria" w:eastAsia="Montserrat" w:hAnsi="Cambria" w:cs="Montserrat"/>
          <w:sz w:val="20"/>
          <w:szCs w:val="20"/>
        </w:rPr>
        <w:t>e</w:t>
      </w:r>
      <w:r w:rsidR="004D2C2E" w:rsidRPr="00FC47D9">
        <w:rPr>
          <w:rFonts w:ascii="Cambria" w:eastAsia="Montserrat" w:hAnsi="Cambria" w:cs="Montserrat"/>
          <w:sz w:val="20"/>
          <w:szCs w:val="20"/>
        </w:rPr>
        <w:t xml:space="preserve"> a state of siege, </w:t>
      </w:r>
      <w:r w:rsidR="0009513E" w:rsidRPr="00FC47D9">
        <w:rPr>
          <w:rFonts w:ascii="Cambria" w:eastAsia="Montserrat" w:hAnsi="Cambria" w:cs="Montserrat"/>
          <w:sz w:val="20"/>
          <w:szCs w:val="20"/>
        </w:rPr>
        <w:t>a</w:t>
      </w:r>
      <w:r w:rsidR="004D2C2E" w:rsidRPr="00FC47D9">
        <w:rPr>
          <w:rFonts w:ascii="Cambria" w:eastAsia="Montserrat" w:hAnsi="Cambria" w:cs="Montserrat"/>
          <w:sz w:val="20"/>
          <w:szCs w:val="20"/>
        </w:rPr>
        <w:t xml:space="preserve"> measure ratified by the legislative body</w:t>
      </w:r>
      <w:r w:rsidR="0009513E" w:rsidRPr="00FC47D9">
        <w:rPr>
          <w:rFonts w:ascii="Cambria" w:eastAsia="Montserrat" w:hAnsi="Cambria" w:cs="Montserrat"/>
          <w:sz w:val="20"/>
          <w:szCs w:val="20"/>
        </w:rPr>
        <w:t>,</w:t>
      </w:r>
      <w:r w:rsidR="004D2C2E" w:rsidRPr="00FC47D9">
        <w:rPr>
          <w:rFonts w:ascii="Cambria" w:eastAsia="Montserrat" w:hAnsi="Cambria" w:cs="Montserrat"/>
          <w:sz w:val="20"/>
          <w:szCs w:val="20"/>
        </w:rPr>
        <w:t xml:space="preserve"> and </w:t>
      </w:r>
      <w:proofErr w:type="gramStart"/>
      <w:r w:rsidR="004D2C2E" w:rsidRPr="00FC47D9">
        <w:rPr>
          <w:rFonts w:ascii="Cambria" w:eastAsia="Montserrat" w:hAnsi="Cambria" w:cs="Montserrat"/>
          <w:sz w:val="20"/>
          <w:szCs w:val="20"/>
        </w:rPr>
        <w:t>s</w:t>
      </w:r>
      <w:r w:rsidR="00EF43EC" w:rsidRPr="00FC47D9">
        <w:rPr>
          <w:rFonts w:ascii="Cambria" w:eastAsia="Montserrat" w:hAnsi="Cambria" w:cs="Montserrat"/>
          <w:sz w:val="20"/>
          <w:szCs w:val="20"/>
        </w:rPr>
        <w:t>ubsequent</w:t>
      </w:r>
      <w:r w:rsidR="004D2C2E" w:rsidRPr="00FC47D9">
        <w:rPr>
          <w:rFonts w:ascii="Cambria" w:eastAsia="Montserrat" w:hAnsi="Cambria" w:cs="Montserrat"/>
          <w:sz w:val="20"/>
          <w:szCs w:val="20"/>
        </w:rPr>
        <w:t xml:space="preserve"> to</w:t>
      </w:r>
      <w:proofErr w:type="gramEnd"/>
      <w:r w:rsidR="004D2C2E" w:rsidRPr="00FC47D9">
        <w:rPr>
          <w:rFonts w:ascii="Cambria" w:eastAsia="Montserrat" w:hAnsi="Cambria" w:cs="Montserrat"/>
          <w:sz w:val="20"/>
          <w:szCs w:val="20"/>
        </w:rPr>
        <w:t xml:space="preserve"> that, the </w:t>
      </w:r>
      <w:r w:rsidR="00BC3893" w:rsidRPr="00FC47D9">
        <w:rPr>
          <w:rFonts w:ascii="Cambria" w:eastAsia="Montserrat" w:hAnsi="Cambria" w:cs="Montserrat"/>
          <w:sz w:val="20"/>
          <w:szCs w:val="20"/>
        </w:rPr>
        <w:t>“</w:t>
      </w:r>
      <w:r w:rsidR="004D2C2E" w:rsidRPr="00FC47D9">
        <w:rPr>
          <w:rFonts w:ascii="Cambria" w:eastAsia="Montserrat" w:hAnsi="Cambria" w:cs="Montserrat"/>
          <w:sz w:val="20"/>
          <w:szCs w:val="20"/>
        </w:rPr>
        <w:t>state</w:t>
      </w:r>
      <w:r w:rsidR="00BC3893" w:rsidRPr="00FC47D9">
        <w:rPr>
          <w:rFonts w:ascii="Cambria" w:eastAsia="Montserrat" w:hAnsi="Cambria" w:cs="Montserrat"/>
          <w:sz w:val="20"/>
          <w:szCs w:val="20"/>
        </w:rPr>
        <w:t xml:space="preserve"> of prevention.” </w:t>
      </w:r>
      <w:r w:rsidRPr="00FC47D9">
        <w:rPr>
          <w:rFonts w:ascii="Cambria" w:eastAsia="Montserrat" w:hAnsi="Cambria" w:cs="Montserrat"/>
          <w:sz w:val="20"/>
          <w:szCs w:val="20"/>
        </w:rPr>
        <w:t xml:space="preserve"> </w:t>
      </w:r>
    </w:p>
    <w:p w14:paraId="7D23AEE2" w14:textId="77777777" w:rsidR="009E52D6" w:rsidRPr="00FC47D9" w:rsidRDefault="009E52D6" w:rsidP="009E52D6">
      <w:pPr>
        <w:ind w:left="720" w:right="720"/>
        <w:jc w:val="both"/>
        <w:rPr>
          <w:rFonts w:ascii="Cambria" w:eastAsia="Montserrat" w:hAnsi="Cambria" w:cs="Montserrat"/>
          <w:sz w:val="20"/>
          <w:szCs w:val="20"/>
        </w:rPr>
      </w:pPr>
    </w:p>
    <w:p w14:paraId="4A524D80" w14:textId="5584B128" w:rsidR="009E52D6" w:rsidRPr="00FC47D9" w:rsidRDefault="009E52D6" w:rsidP="009E52D6">
      <w:pPr>
        <w:ind w:left="720" w:right="720"/>
        <w:jc w:val="both"/>
        <w:rPr>
          <w:rStyle w:val="eop"/>
          <w:rFonts w:ascii="Cambria" w:eastAsia="Cambria" w:hAnsi="Cambria" w:cs="Cambria"/>
          <w:color w:val="000000" w:themeColor="text1"/>
          <w:sz w:val="20"/>
          <w:szCs w:val="20"/>
        </w:rPr>
      </w:pPr>
      <w:r w:rsidRPr="00FC47D9">
        <w:rPr>
          <w:rFonts w:ascii="Cambria" w:eastAsia="Montserrat" w:hAnsi="Cambria" w:cs="Montserrat"/>
          <w:sz w:val="20"/>
          <w:szCs w:val="20"/>
        </w:rPr>
        <w:t xml:space="preserve">7. </w:t>
      </w:r>
      <w:r w:rsidR="0009513E" w:rsidRPr="00FC47D9">
        <w:rPr>
          <w:rFonts w:ascii="Cambria" w:eastAsia="Montserrat" w:hAnsi="Cambria" w:cs="Montserrat"/>
          <w:sz w:val="20"/>
          <w:szCs w:val="20"/>
        </w:rPr>
        <w:t xml:space="preserve">The State emphasizes that the arrests made by State security forces, in a jurisdiction in which a state of siege and then a state of prevention had been declared, came in response to </w:t>
      </w:r>
      <w:r w:rsidR="00F42DC5" w:rsidRPr="00FC47D9">
        <w:rPr>
          <w:rFonts w:ascii="Cambria" w:eastAsia="Montserrat" w:hAnsi="Cambria" w:cs="Montserrat"/>
          <w:sz w:val="20"/>
          <w:szCs w:val="20"/>
        </w:rPr>
        <w:t>court-issued</w:t>
      </w:r>
      <w:r w:rsidR="0009513E" w:rsidRPr="00FC47D9">
        <w:rPr>
          <w:rFonts w:ascii="Cambria" w:eastAsia="Montserrat" w:hAnsi="Cambria" w:cs="Montserrat"/>
          <w:sz w:val="20"/>
          <w:szCs w:val="20"/>
        </w:rPr>
        <w:t xml:space="preserve"> arrest warrants</w:t>
      </w:r>
      <w:r w:rsidR="00F42DC5" w:rsidRPr="00FC47D9">
        <w:rPr>
          <w:rFonts w:ascii="Cambria" w:eastAsia="Montserrat" w:hAnsi="Cambria" w:cs="Montserrat"/>
          <w:sz w:val="20"/>
          <w:szCs w:val="20"/>
        </w:rPr>
        <w:t xml:space="preserve"> drawn up based on </w:t>
      </w:r>
      <w:r w:rsidR="00AA3405" w:rsidRPr="00FC47D9">
        <w:rPr>
          <w:rFonts w:ascii="Cambria" w:eastAsia="Montserrat" w:hAnsi="Cambria" w:cs="Montserrat"/>
          <w:sz w:val="20"/>
          <w:szCs w:val="20"/>
        </w:rPr>
        <w:t>incidents</w:t>
      </w:r>
      <w:r w:rsidR="00F42DC5" w:rsidRPr="00FC47D9">
        <w:rPr>
          <w:rFonts w:ascii="Cambria" w:eastAsia="Montserrat" w:hAnsi="Cambria" w:cs="Montserrat"/>
          <w:sz w:val="20"/>
          <w:szCs w:val="20"/>
        </w:rPr>
        <w:t xml:space="preserve"> other than those re</w:t>
      </w:r>
      <w:r w:rsidR="00AA3405" w:rsidRPr="00FC47D9">
        <w:rPr>
          <w:rFonts w:ascii="Cambria" w:eastAsia="Montserrat" w:hAnsi="Cambria" w:cs="Montserrat"/>
          <w:sz w:val="20"/>
          <w:szCs w:val="20"/>
        </w:rPr>
        <w:t>l</w:t>
      </w:r>
      <w:r w:rsidR="00F42DC5" w:rsidRPr="00FC47D9">
        <w:rPr>
          <w:rFonts w:ascii="Cambria" w:eastAsia="Montserrat" w:hAnsi="Cambria" w:cs="Montserrat"/>
          <w:sz w:val="20"/>
          <w:szCs w:val="20"/>
        </w:rPr>
        <w:t xml:space="preserve">ated to the pre-consultation and consultation actions and compliance with the </w:t>
      </w:r>
      <w:r w:rsidRPr="00FC47D9">
        <w:rPr>
          <w:rFonts w:ascii="Cambria" w:eastAsia="Montserrat" w:hAnsi="Cambria" w:cs="Montserrat"/>
          <w:i/>
          <w:iCs/>
          <w:sz w:val="20"/>
          <w:szCs w:val="20"/>
        </w:rPr>
        <w:t>amparo</w:t>
      </w:r>
      <w:r w:rsidR="00F42DC5" w:rsidRPr="00FC47D9">
        <w:rPr>
          <w:rFonts w:ascii="Cambria" w:eastAsia="Montserrat" w:hAnsi="Cambria" w:cs="Montserrat"/>
          <w:sz w:val="20"/>
          <w:szCs w:val="20"/>
        </w:rPr>
        <w:t xml:space="preserve"> judgment.”</w:t>
      </w:r>
      <w:r w:rsidRPr="00FC47D9">
        <w:rPr>
          <w:rStyle w:val="FootnoteReference"/>
          <w:rFonts w:ascii="Cambria" w:eastAsia="Cambria" w:hAnsi="Cambria" w:cs="Cambria"/>
          <w:color w:val="000000" w:themeColor="text1"/>
          <w:sz w:val="20"/>
          <w:szCs w:val="20"/>
          <w:lang w:val="es-GT"/>
        </w:rPr>
        <w:footnoteReference w:id="313"/>
      </w:r>
    </w:p>
    <w:p w14:paraId="0400006B" w14:textId="77777777" w:rsidR="0028307B" w:rsidRPr="008A7BD7" w:rsidRDefault="0028307B" w:rsidP="0028307B">
      <w:pPr>
        <w:pStyle w:val="ListParagraph"/>
        <w:rPr>
          <w:rStyle w:val="eop"/>
          <w:rFonts w:ascii="Cambria" w:eastAsiaTheme="majorEastAsia" w:hAnsi="Cambria"/>
          <w:sz w:val="20"/>
          <w:szCs w:val="20"/>
        </w:rPr>
      </w:pPr>
    </w:p>
    <w:p w14:paraId="286FFDAE" w14:textId="4F7DA372" w:rsidR="0028307B" w:rsidRPr="008A7BD7" w:rsidRDefault="00233DD8" w:rsidP="003D3059">
      <w:pPr>
        <w:numPr>
          <w:ilvl w:val="0"/>
          <w:numId w:val="2"/>
        </w:numPr>
        <w:ind w:left="0" w:firstLine="720"/>
        <w:jc w:val="both"/>
        <w:rPr>
          <w:rFonts w:ascii="Cambria" w:eastAsia="Cambria" w:hAnsi="Cambria" w:cs="Cambria"/>
          <w:color w:val="000000" w:themeColor="text1"/>
          <w:sz w:val="20"/>
          <w:szCs w:val="20"/>
        </w:rPr>
      </w:pPr>
      <w:r w:rsidRPr="008A7BD7">
        <w:rPr>
          <w:rStyle w:val="eop"/>
          <w:rFonts w:ascii="Cambria" w:eastAsiaTheme="majorEastAsia" w:hAnsi="Cambria"/>
          <w:sz w:val="20"/>
          <w:szCs w:val="20"/>
        </w:rPr>
        <w:t xml:space="preserve">The IACHR </w:t>
      </w:r>
      <w:r w:rsidR="006F7E49" w:rsidRPr="008A7BD7">
        <w:rPr>
          <w:rStyle w:val="eop"/>
          <w:rFonts w:ascii="Cambria" w:eastAsiaTheme="majorEastAsia" w:hAnsi="Cambria"/>
          <w:sz w:val="20"/>
          <w:szCs w:val="20"/>
        </w:rPr>
        <w:t>reiterates</w:t>
      </w:r>
      <w:r w:rsidRPr="008A7BD7">
        <w:rPr>
          <w:rStyle w:val="eop"/>
          <w:rFonts w:ascii="Cambria" w:eastAsiaTheme="majorEastAsia" w:hAnsi="Cambria"/>
          <w:sz w:val="20"/>
          <w:szCs w:val="20"/>
        </w:rPr>
        <w:t xml:space="preserve"> that the unique relationship between indigenous peoples and their territories has been broadly recognized in international human rights law, as has the duty of States to guarantee and protect </w:t>
      </w:r>
      <w:r w:rsidR="006F7E49" w:rsidRPr="008A7BD7">
        <w:rPr>
          <w:rStyle w:val="eop"/>
          <w:rFonts w:ascii="Cambria" w:eastAsiaTheme="majorEastAsia" w:hAnsi="Cambria"/>
          <w:sz w:val="20"/>
          <w:szCs w:val="20"/>
        </w:rPr>
        <w:t>these</w:t>
      </w:r>
      <w:r w:rsidRPr="008A7BD7">
        <w:rPr>
          <w:rStyle w:val="eop"/>
          <w:rFonts w:ascii="Cambria" w:eastAsiaTheme="majorEastAsia" w:hAnsi="Cambria"/>
          <w:sz w:val="20"/>
          <w:szCs w:val="20"/>
        </w:rPr>
        <w:t xml:space="preserve"> territories. The Commission also reaffirms that the right to free determination of indigenous peoples is closely linked to the use and disposition of lands and territories. In this </w:t>
      </w:r>
      <w:r w:rsidR="00C62BB1" w:rsidRPr="008A7BD7">
        <w:rPr>
          <w:rStyle w:val="eop"/>
          <w:rFonts w:ascii="Cambria" w:eastAsiaTheme="majorEastAsia" w:hAnsi="Cambria"/>
          <w:sz w:val="20"/>
          <w:szCs w:val="20"/>
        </w:rPr>
        <w:t>regard</w:t>
      </w:r>
      <w:r w:rsidRPr="008A7BD7">
        <w:rPr>
          <w:rStyle w:val="eop"/>
          <w:rFonts w:ascii="Cambria" w:eastAsiaTheme="majorEastAsia" w:hAnsi="Cambria"/>
          <w:sz w:val="20"/>
          <w:szCs w:val="20"/>
        </w:rPr>
        <w:t>, the Commission reiterates that the State of Guatemala has a duty to carry out prior, free, and informed consultation with indigenous peoples</w:t>
      </w:r>
      <w:r w:rsidR="00115EE1" w:rsidRPr="008A7BD7">
        <w:rPr>
          <w:rStyle w:val="eop"/>
          <w:rFonts w:ascii="Cambria" w:eastAsiaTheme="majorEastAsia" w:hAnsi="Cambria"/>
          <w:sz w:val="20"/>
          <w:szCs w:val="20"/>
        </w:rPr>
        <w:t xml:space="preserve"> about administrative and legislative initiatives, with the aim of obtaining consent. The failure to do so contravenes international standards on th</w:t>
      </w:r>
      <w:r w:rsidR="00C62BB1" w:rsidRPr="008A7BD7">
        <w:rPr>
          <w:rStyle w:val="eop"/>
          <w:rFonts w:ascii="Cambria" w:eastAsiaTheme="majorEastAsia" w:hAnsi="Cambria"/>
          <w:sz w:val="20"/>
          <w:szCs w:val="20"/>
        </w:rPr>
        <w:t>e</w:t>
      </w:r>
      <w:r w:rsidR="00115EE1" w:rsidRPr="008A7BD7">
        <w:rPr>
          <w:rStyle w:val="eop"/>
          <w:rFonts w:ascii="Cambria" w:eastAsiaTheme="majorEastAsia" w:hAnsi="Cambria"/>
          <w:sz w:val="20"/>
          <w:szCs w:val="20"/>
        </w:rPr>
        <w:t xml:space="preserve"> matter and jeopardizes indigenous peoples’ fundamental rights to participation and to their lands, territories, and natural resources</w:t>
      </w:r>
      <w:r w:rsidR="0028307B" w:rsidRPr="008A7BD7">
        <w:rPr>
          <w:rFonts w:ascii="Cambria" w:hAnsi="Cambria" w:cs="Tahoma"/>
          <w:sz w:val="20"/>
          <w:szCs w:val="20"/>
        </w:rPr>
        <w:t>.</w:t>
      </w:r>
    </w:p>
    <w:p w14:paraId="1256A5B3" w14:textId="77777777" w:rsidR="009E52D6" w:rsidRPr="008A7BD7" w:rsidRDefault="009E52D6" w:rsidP="009E52D6">
      <w:pPr>
        <w:pStyle w:val="ListParagraph"/>
        <w:rPr>
          <w:rFonts w:ascii="Cambria" w:eastAsia="Cambria" w:hAnsi="Cambria" w:cs="Cambria"/>
          <w:color w:val="000000" w:themeColor="text1"/>
          <w:sz w:val="20"/>
          <w:szCs w:val="20"/>
        </w:rPr>
      </w:pPr>
    </w:p>
    <w:p w14:paraId="373C584D" w14:textId="2AE9B809" w:rsidR="004D1FCF" w:rsidRPr="008A7BD7" w:rsidRDefault="00BC3893" w:rsidP="004D1FCF">
      <w:pPr>
        <w:numPr>
          <w:ilvl w:val="0"/>
          <w:numId w:val="2"/>
        </w:numPr>
        <w:ind w:left="0" w:firstLine="720"/>
        <w:jc w:val="both"/>
        <w:rPr>
          <w:rFonts w:ascii="Cambria" w:eastAsia="Cambria" w:hAnsi="Cambria" w:cs="Cambria"/>
          <w:color w:val="000000" w:themeColor="text1"/>
          <w:sz w:val="20"/>
          <w:szCs w:val="20"/>
        </w:rPr>
      </w:pPr>
      <w:r w:rsidRPr="008A7BD7">
        <w:rPr>
          <w:rFonts w:ascii="Cambria" w:eastAsia="Cambria" w:hAnsi="Cambria" w:cs="Cambria"/>
          <w:color w:val="000000" w:themeColor="text1"/>
          <w:sz w:val="20"/>
          <w:szCs w:val="20"/>
        </w:rPr>
        <w:t xml:space="preserve">Finally, </w:t>
      </w:r>
      <w:proofErr w:type="gramStart"/>
      <w:r w:rsidRPr="008A7BD7">
        <w:rPr>
          <w:rFonts w:ascii="Cambria" w:eastAsia="Cambria" w:hAnsi="Cambria" w:cs="Cambria"/>
          <w:color w:val="000000" w:themeColor="text1"/>
          <w:sz w:val="20"/>
          <w:szCs w:val="20"/>
        </w:rPr>
        <w:t>with regard to</w:t>
      </w:r>
      <w:proofErr w:type="gramEnd"/>
      <w:r w:rsidRPr="008A7BD7">
        <w:rPr>
          <w:rFonts w:ascii="Cambria" w:eastAsia="Cambria" w:hAnsi="Cambria" w:cs="Cambria"/>
          <w:color w:val="000000" w:themeColor="text1"/>
          <w:sz w:val="20"/>
          <w:szCs w:val="20"/>
        </w:rPr>
        <w:t xml:space="preserve"> the situation of indigenous peoples, the Guatemalan State informed the IACHR that the Presidential Commission against Discrimination and Racism against Indigenous Peoples in </w:t>
      </w:r>
      <w:r w:rsidR="009E52D6" w:rsidRPr="008A7BD7">
        <w:rPr>
          <w:rFonts w:ascii="Cambria" w:eastAsia="Cambria" w:hAnsi="Cambria" w:cs="Cambria"/>
          <w:color w:val="000000" w:themeColor="text1"/>
          <w:sz w:val="20"/>
          <w:szCs w:val="20"/>
        </w:rPr>
        <w:t xml:space="preserve">Guatemala (CODISRA) </w:t>
      </w:r>
      <w:r w:rsidRPr="008A7BD7">
        <w:rPr>
          <w:rFonts w:ascii="Cambria" w:eastAsia="Cambria" w:hAnsi="Cambria" w:cs="Cambria"/>
          <w:color w:val="000000" w:themeColor="text1"/>
          <w:sz w:val="20"/>
          <w:szCs w:val="20"/>
        </w:rPr>
        <w:t xml:space="preserve">is carrying out actions to prevent and eliminate </w:t>
      </w:r>
      <w:r w:rsidR="00AA3405" w:rsidRPr="008A7BD7">
        <w:rPr>
          <w:rFonts w:ascii="Cambria" w:eastAsia="Cambria" w:hAnsi="Cambria" w:cs="Cambria"/>
          <w:color w:val="000000" w:themeColor="text1"/>
          <w:sz w:val="20"/>
          <w:szCs w:val="20"/>
        </w:rPr>
        <w:t xml:space="preserve">the </w:t>
      </w:r>
      <w:r w:rsidRPr="008A7BD7">
        <w:rPr>
          <w:rFonts w:ascii="Cambria" w:eastAsia="Cambria" w:hAnsi="Cambria" w:cs="Cambria"/>
          <w:color w:val="000000" w:themeColor="text1"/>
          <w:sz w:val="20"/>
          <w:szCs w:val="20"/>
        </w:rPr>
        <w:t>racism and racial discrimination that the</w:t>
      </w:r>
      <w:r w:rsidR="009E52D6" w:rsidRPr="008A7BD7">
        <w:rPr>
          <w:rFonts w:ascii="Cambria" w:eastAsia="Cambria" w:hAnsi="Cambria" w:cs="Cambria"/>
          <w:color w:val="000000" w:themeColor="text1"/>
          <w:sz w:val="20"/>
          <w:szCs w:val="20"/>
        </w:rPr>
        <w:t xml:space="preserve"> Maya, Gar</w:t>
      </w:r>
      <w:r w:rsidRPr="008A7BD7">
        <w:rPr>
          <w:rFonts w:ascii="Cambria" w:eastAsia="Cambria" w:hAnsi="Cambria" w:cs="Cambria"/>
          <w:color w:val="000000" w:themeColor="text1"/>
          <w:sz w:val="20"/>
          <w:szCs w:val="20"/>
        </w:rPr>
        <w:t>i</w:t>
      </w:r>
      <w:r w:rsidR="009E52D6" w:rsidRPr="008A7BD7">
        <w:rPr>
          <w:rFonts w:ascii="Cambria" w:eastAsia="Cambria" w:hAnsi="Cambria" w:cs="Cambria"/>
          <w:color w:val="000000" w:themeColor="text1"/>
          <w:sz w:val="20"/>
          <w:szCs w:val="20"/>
        </w:rPr>
        <w:t>funa</w:t>
      </w:r>
      <w:r w:rsidRPr="008A7BD7">
        <w:rPr>
          <w:rFonts w:ascii="Cambria" w:eastAsia="Cambria" w:hAnsi="Cambria" w:cs="Cambria"/>
          <w:color w:val="000000" w:themeColor="text1"/>
          <w:sz w:val="20"/>
          <w:szCs w:val="20"/>
        </w:rPr>
        <w:t xml:space="preserve">, and </w:t>
      </w:r>
      <w:proofErr w:type="spellStart"/>
      <w:r w:rsidR="009E52D6" w:rsidRPr="008A7BD7">
        <w:rPr>
          <w:rFonts w:ascii="Cambria" w:eastAsia="Cambria" w:hAnsi="Cambria" w:cs="Cambria"/>
          <w:color w:val="000000" w:themeColor="text1"/>
          <w:sz w:val="20"/>
          <w:szCs w:val="20"/>
        </w:rPr>
        <w:t>Xinka</w:t>
      </w:r>
      <w:proofErr w:type="spellEnd"/>
      <w:r w:rsidR="009E52D6" w:rsidRPr="008A7BD7">
        <w:rPr>
          <w:rFonts w:ascii="Cambria" w:eastAsia="Cambria" w:hAnsi="Cambria" w:cs="Cambria"/>
          <w:color w:val="000000" w:themeColor="text1"/>
          <w:sz w:val="20"/>
          <w:szCs w:val="20"/>
        </w:rPr>
        <w:t xml:space="preserve"> </w:t>
      </w:r>
      <w:r w:rsidRPr="008A7BD7">
        <w:rPr>
          <w:rFonts w:ascii="Cambria" w:eastAsia="Cambria" w:hAnsi="Cambria" w:cs="Cambria"/>
          <w:color w:val="000000" w:themeColor="text1"/>
          <w:sz w:val="20"/>
          <w:szCs w:val="20"/>
        </w:rPr>
        <w:t>people</w:t>
      </w:r>
      <w:r w:rsidR="00AA3405" w:rsidRPr="008A7BD7">
        <w:rPr>
          <w:rFonts w:ascii="Cambria" w:eastAsia="Cambria" w:hAnsi="Cambria" w:cs="Cambria"/>
          <w:color w:val="000000" w:themeColor="text1"/>
          <w:sz w:val="20"/>
          <w:szCs w:val="20"/>
        </w:rPr>
        <w:t>s</w:t>
      </w:r>
      <w:r w:rsidRPr="008A7BD7">
        <w:rPr>
          <w:rFonts w:ascii="Cambria" w:eastAsia="Cambria" w:hAnsi="Cambria" w:cs="Cambria"/>
          <w:color w:val="000000" w:themeColor="text1"/>
          <w:sz w:val="20"/>
          <w:szCs w:val="20"/>
        </w:rPr>
        <w:t xml:space="preserve"> experience and </w:t>
      </w:r>
      <w:r w:rsidR="00637B3C" w:rsidRPr="008A7BD7">
        <w:rPr>
          <w:rFonts w:ascii="Cambria" w:eastAsia="Cambria" w:hAnsi="Cambria" w:cs="Cambria"/>
          <w:color w:val="000000" w:themeColor="text1"/>
          <w:sz w:val="20"/>
          <w:szCs w:val="20"/>
        </w:rPr>
        <w:t>confront</w:t>
      </w:r>
      <w:r w:rsidRPr="008A7BD7">
        <w:rPr>
          <w:rFonts w:ascii="Cambria" w:eastAsia="Cambria" w:hAnsi="Cambria" w:cs="Cambria"/>
          <w:color w:val="000000" w:themeColor="text1"/>
          <w:sz w:val="20"/>
          <w:szCs w:val="20"/>
        </w:rPr>
        <w:t xml:space="preserve"> every day in the public and private sphere, for the various reasons established in Article </w:t>
      </w:r>
      <w:r w:rsidR="009E52D6" w:rsidRPr="008A7BD7">
        <w:rPr>
          <w:rFonts w:ascii="Cambria" w:eastAsia="Cambria" w:hAnsi="Cambria" w:cs="Cambria"/>
          <w:color w:val="000000" w:themeColor="text1"/>
          <w:sz w:val="20"/>
          <w:szCs w:val="20"/>
        </w:rPr>
        <w:t xml:space="preserve">202 </w:t>
      </w:r>
      <w:r w:rsidR="007762CE" w:rsidRPr="008A7BD7">
        <w:rPr>
          <w:rFonts w:ascii="Cambria" w:eastAsia="Cambria" w:hAnsi="Cambria" w:cs="Cambria"/>
          <w:i/>
          <w:iCs/>
          <w:color w:val="000000" w:themeColor="text1"/>
          <w:sz w:val="20"/>
          <w:szCs w:val="20"/>
        </w:rPr>
        <w:t>bis</w:t>
      </w:r>
      <w:r w:rsidRPr="008A7BD7">
        <w:rPr>
          <w:rFonts w:ascii="Cambria" w:eastAsia="Cambria" w:hAnsi="Cambria" w:cs="Cambria"/>
          <w:color w:val="000000" w:themeColor="text1"/>
          <w:sz w:val="20"/>
          <w:szCs w:val="20"/>
        </w:rPr>
        <w:t xml:space="preserve"> of the Criminal Code. </w:t>
      </w:r>
      <w:r w:rsidR="00637B3C" w:rsidRPr="008A7BD7">
        <w:rPr>
          <w:rFonts w:ascii="Cambria" w:eastAsia="Cambria" w:hAnsi="Cambria" w:cs="Cambria"/>
          <w:color w:val="000000" w:themeColor="text1"/>
          <w:sz w:val="20"/>
          <w:szCs w:val="20"/>
        </w:rPr>
        <w:t xml:space="preserve">In addition, </w:t>
      </w:r>
      <w:r w:rsidR="00033F8F" w:rsidRPr="008A7BD7">
        <w:rPr>
          <w:rFonts w:ascii="Cambria" w:eastAsia="Cambria" w:hAnsi="Cambria" w:cs="Cambria"/>
          <w:color w:val="000000" w:themeColor="text1"/>
          <w:sz w:val="20"/>
          <w:szCs w:val="20"/>
        </w:rPr>
        <w:t xml:space="preserve">CODISRA </w:t>
      </w:r>
      <w:r w:rsidR="00637B3C" w:rsidRPr="008A7BD7">
        <w:rPr>
          <w:rFonts w:ascii="Cambria" w:eastAsia="Cambria" w:hAnsi="Cambria" w:cs="Cambria"/>
          <w:color w:val="000000" w:themeColor="text1"/>
          <w:sz w:val="20"/>
          <w:szCs w:val="20"/>
        </w:rPr>
        <w:t xml:space="preserve"> advi</w:t>
      </w:r>
      <w:r w:rsidR="00033F8F" w:rsidRPr="008A7BD7">
        <w:rPr>
          <w:rFonts w:ascii="Cambria" w:eastAsia="Cambria" w:hAnsi="Cambria" w:cs="Cambria"/>
          <w:color w:val="000000" w:themeColor="text1"/>
          <w:sz w:val="20"/>
          <w:szCs w:val="20"/>
        </w:rPr>
        <w:t>ses</w:t>
      </w:r>
      <w:r w:rsidR="00637B3C" w:rsidRPr="008A7BD7">
        <w:rPr>
          <w:rFonts w:ascii="Cambria" w:eastAsia="Cambria" w:hAnsi="Cambria" w:cs="Cambria"/>
          <w:color w:val="000000" w:themeColor="text1"/>
          <w:sz w:val="20"/>
          <w:szCs w:val="20"/>
        </w:rPr>
        <w:t xml:space="preserve"> and/or support</w:t>
      </w:r>
      <w:r w:rsidR="00033F8F" w:rsidRPr="008A7BD7">
        <w:rPr>
          <w:rFonts w:ascii="Cambria" w:eastAsia="Cambria" w:hAnsi="Cambria" w:cs="Cambria"/>
          <w:color w:val="000000" w:themeColor="text1"/>
          <w:sz w:val="20"/>
          <w:szCs w:val="20"/>
        </w:rPr>
        <w:t xml:space="preserve">s </w:t>
      </w:r>
      <w:r w:rsidR="00637B3C" w:rsidRPr="008A7BD7">
        <w:rPr>
          <w:rFonts w:ascii="Cambria" w:eastAsia="Cambria" w:hAnsi="Cambria" w:cs="Cambria"/>
          <w:color w:val="000000" w:themeColor="text1"/>
          <w:sz w:val="20"/>
          <w:szCs w:val="20"/>
        </w:rPr>
        <w:t>individuals and organizations belonging to indigenous peoples in legal proceedings involving cases of discrimination</w:t>
      </w:r>
      <w:r w:rsidR="00C61831" w:rsidRPr="008A7BD7">
        <w:rPr>
          <w:rFonts w:ascii="Cambria" w:eastAsia="Cambria" w:hAnsi="Cambria" w:cs="Cambria"/>
          <w:color w:val="000000" w:themeColor="text1"/>
          <w:sz w:val="20"/>
          <w:szCs w:val="20"/>
        </w:rPr>
        <w:t>; i</w:t>
      </w:r>
      <w:r w:rsidR="00033F8F" w:rsidRPr="008A7BD7">
        <w:rPr>
          <w:rFonts w:ascii="Cambria" w:eastAsia="Cambria" w:hAnsi="Cambria" w:cs="Cambria"/>
          <w:color w:val="000000" w:themeColor="text1"/>
          <w:sz w:val="20"/>
          <w:szCs w:val="20"/>
        </w:rPr>
        <w:t>t</w:t>
      </w:r>
      <w:r w:rsidR="00637B3C" w:rsidRPr="008A7BD7">
        <w:rPr>
          <w:rFonts w:ascii="Cambria" w:eastAsia="Cambria" w:hAnsi="Cambria" w:cs="Cambria"/>
          <w:color w:val="000000" w:themeColor="text1"/>
          <w:sz w:val="20"/>
          <w:szCs w:val="20"/>
        </w:rPr>
        <w:t xml:space="preserve"> has established interinstitutional coordination with municipal authorities and institutions of the executive branch, to take on commitments in the implementation of the Public Policy on Co</w:t>
      </w:r>
      <w:r w:rsidR="00033F8F" w:rsidRPr="008A7BD7">
        <w:rPr>
          <w:rFonts w:ascii="Cambria" w:eastAsia="Cambria" w:hAnsi="Cambria" w:cs="Cambria"/>
          <w:color w:val="000000" w:themeColor="text1"/>
          <w:sz w:val="20"/>
          <w:szCs w:val="20"/>
        </w:rPr>
        <w:t>e</w:t>
      </w:r>
      <w:r w:rsidR="00637B3C" w:rsidRPr="008A7BD7">
        <w:rPr>
          <w:rFonts w:ascii="Cambria" w:eastAsia="Cambria" w:hAnsi="Cambria" w:cs="Cambria"/>
          <w:color w:val="000000" w:themeColor="text1"/>
          <w:sz w:val="20"/>
          <w:szCs w:val="20"/>
        </w:rPr>
        <w:t xml:space="preserve">xistence and </w:t>
      </w:r>
      <w:r w:rsidR="00637B3C" w:rsidRPr="008A7BD7">
        <w:rPr>
          <w:rFonts w:ascii="Cambria" w:eastAsia="Cambria" w:hAnsi="Cambria" w:cs="Cambria"/>
          <w:color w:val="000000" w:themeColor="text1"/>
          <w:sz w:val="20"/>
          <w:szCs w:val="20"/>
        </w:rPr>
        <w:lastRenderedPageBreak/>
        <w:t xml:space="preserve">the Elimination of Racism and Racial Discrimination at the municipal level; and it advises the Thematic Working Group on Indigenous Peoples in the Specific Cabinet on Social Development </w:t>
      </w:r>
      <w:r w:rsidR="009E52D6" w:rsidRPr="008A7BD7">
        <w:rPr>
          <w:rFonts w:ascii="Cambria" w:eastAsia="Cambria" w:hAnsi="Cambria" w:cs="Cambria"/>
          <w:color w:val="000000" w:themeColor="text1"/>
          <w:sz w:val="20"/>
          <w:szCs w:val="20"/>
        </w:rPr>
        <w:t xml:space="preserve">(GEDS), </w:t>
      </w:r>
      <w:r w:rsidR="00637B3C" w:rsidRPr="008A7BD7">
        <w:rPr>
          <w:rFonts w:ascii="Cambria" w:eastAsia="Cambria" w:hAnsi="Cambria" w:cs="Cambria"/>
          <w:color w:val="000000" w:themeColor="text1"/>
          <w:sz w:val="20"/>
          <w:szCs w:val="20"/>
        </w:rPr>
        <w:t xml:space="preserve">among other </w:t>
      </w:r>
      <w:r w:rsidR="00C61831" w:rsidRPr="008A7BD7">
        <w:rPr>
          <w:rFonts w:ascii="Cambria" w:eastAsia="Cambria" w:hAnsi="Cambria" w:cs="Cambria"/>
          <w:color w:val="000000" w:themeColor="text1"/>
          <w:sz w:val="20"/>
          <w:szCs w:val="20"/>
        </w:rPr>
        <w:t>tasks</w:t>
      </w:r>
      <w:r w:rsidR="00637B3C" w:rsidRPr="008A7BD7">
        <w:rPr>
          <w:rFonts w:ascii="Cambria" w:eastAsia="Cambria" w:hAnsi="Cambria" w:cs="Cambria"/>
          <w:color w:val="000000" w:themeColor="text1"/>
          <w:sz w:val="20"/>
          <w:szCs w:val="20"/>
        </w:rPr>
        <w:t>.</w:t>
      </w:r>
      <w:r w:rsidR="009E52D6" w:rsidRPr="008A7BD7">
        <w:rPr>
          <w:rStyle w:val="FootnoteReference"/>
          <w:rFonts w:ascii="Cambria" w:eastAsia="Cambria" w:hAnsi="Cambria" w:cs="Cambria"/>
          <w:color w:val="000000" w:themeColor="text1"/>
          <w:sz w:val="20"/>
          <w:szCs w:val="20"/>
          <w:lang w:val="es-GT"/>
        </w:rPr>
        <w:footnoteReference w:id="314"/>
      </w:r>
    </w:p>
    <w:p w14:paraId="7A1DF811" w14:textId="77777777" w:rsidR="004D1FCF" w:rsidRPr="008A7BD7" w:rsidRDefault="004D1FCF" w:rsidP="004D1FCF">
      <w:pPr>
        <w:jc w:val="center"/>
        <w:rPr>
          <w:rFonts w:ascii="Cambria" w:eastAsia="Cambria" w:hAnsi="Cambria" w:cs="Cambria"/>
          <w:b/>
          <w:bCs/>
          <w:color w:val="000000" w:themeColor="text1"/>
          <w:sz w:val="20"/>
          <w:szCs w:val="20"/>
        </w:rPr>
      </w:pPr>
    </w:p>
    <w:p w14:paraId="73D03C2F" w14:textId="17BDB1A8" w:rsidR="004D1FCF" w:rsidRDefault="00882330" w:rsidP="00FC47D9">
      <w:pPr>
        <w:pStyle w:val="Heading2"/>
        <w:rPr>
          <w:rFonts w:eastAsia="Cambria"/>
          <w:lang w:val="es-US"/>
        </w:rPr>
      </w:pPr>
      <w:proofErr w:type="spellStart"/>
      <w:r w:rsidRPr="008A7BD7">
        <w:rPr>
          <w:rFonts w:eastAsia="Cambria"/>
          <w:lang w:val="es-US"/>
        </w:rPr>
        <w:t>Women</w:t>
      </w:r>
      <w:proofErr w:type="spellEnd"/>
    </w:p>
    <w:p w14:paraId="6355317A" w14:textId="77777777" w:rsidR="00FC47D9" w:rsidRPr="00FC47D9" w:rsidRDefault="00FC47D9" w:rsidP="00FC47D9">
      <w:pPr>
        <w:rPr>
          <w:lang w:val="es-US" w:eastAsia="es-ES_tradnl"/>
        </w:rPr>
      </w:pPr>
    </w:p>
    <w:p w14:paraId="16A1B9C2" w14:textId="0E4B3B41" w:rsidR="004D1FCF" w:rsidRPr="008A7BD7" w:rsidRDefault="00882330" w:rsidP="003D3059">
      <w:pPr>
        <w:numPr>
          <w:ilvl w:val="0"/>
          <w:numId w:val="2"/>
        </w:numPr>
        <w:ind w:left="0" w:firstLine="720"/>
        <w:jc w:val="both"/>
        <w:rPr>
          <w:rFonts w:ascii="Cambria" w:hAnsi="Cambria"/>
          <w:sz w:val="20"/>
          <w:szCs w:val="20"/>
        </w:rPr>
      </w:pPr>
      <w:r w:rsidRPr="008A7BD7">
        <w:rPr>
          <w:rFonts w:ascii="Cambria" w:hAnsi="Cambria"/>
          <w:sz w:val="20"/>
          <w:szCs w:val="20"/>
        </w:rPr>
        <w:t>Over the course of this year, the Commission was concerned to observe an increase in various forms of gender-based violence against women</w:t>
      </w:r>
      <w:r w:rsidR="00200DB6" w:rsidRPr="008A7BD7">
        <w:rPr>
          <w:rFonts w:ascii="Cambria" w:hAnsi="Cambria"/>
          <w:sz w:val="20"/>
          <w:szCs w:val="20"/>
        </w:rPr>
        <w:t xml:space="preserve"> when compared with</w:t>
      </w:r>
      <w:r w:rsidR="00890E11" w:rsidRPr="008A7BD7">
        <w:rPr>
          <w:rFonts w:ascii="Cambria" w:hAnsi="Cambria"/>
          <w:sz w:val="20"/>
          <w:szCs w:val="20"/>
        </w:rPr>
        <w:t xml:space="preserve"> </w:t>
      </w:r>
      <w:r w:rsidR="00200DB6" w:rsidRPr="008A7BD7">
        <w:rPr>
          <w:rFonts w:ascii="Cambria" w:hAnsi="Cambria"/>
          <w:sz w:val="20"/>
          <w:szCs w:val="20"/>
        </w:rPr>
        <w:t xml:space="preserve">the numbers </w:t>
      </w:r>
      <w:r w:rsidR="004E3922" w:rsidRPr="008A7BD7">
        <w:rPr>
          <w:rFonts w:ascii="Cambria" w:hAnsi="Cambria"/>
          <w:sz w:val="20"/>
          <w:szCs w:val="20"/>
        </w:rPr>
        <w:t>recorded</w:t>
      </w:r>
      <w:r w:rsidR="00200DB6" w:rsidRPr="008A7BD7">
        <w:rPr>
          <w:rFonts w:ascii="Cambria" w:hAnsi="Cambria"/>
          <w:sz w:val="20"/>
          <w:szCs w:val="20"/>
        </w:rPr>
        <w:t xml:space="preserve"> in 2020. According to official figures, as of October </w:t>
      </w:r>
      <w:r w:rsidR="00D57F13" w:rsidRPr="008A7BD7">
        <w:rPr>
          <w:rFonts w:ascii="Cambria" w:hAnsi="Cambria"/>
          <w:sz w:val="20"/>
          <w:szCs w:val="20"/>
        </w:rPr>
        <w:t>24</w:t>
      </w:r>
      <w:r w:rsidR="00200DB6" w:rsidRPr="008A7BD7">
        <w:rPr>
          <w:rFonts w:ascii="Cambria" w:hAnsi="Cambria"/>
          <w:sz w:val="20"/>
          <w:szCs w:val="20"/>
        </w:rPr>
        <w:t xml:space="preserve">, </w:t>
      </w:r>
      <w:r w:rsidR="00D57F13" w:rsidRPr="008A7BD7">
        <w:rPr>
          <w:rFonts w:ascii="Cambria" w:hAnsi="Cambria"/>
          <w:sz w:val="20"/>
          <w:szCs w:val="20"/>
        </w:rPr>
        <w:t>2021</w:t>
      </w:r>
      <w:r w:rsidR="00200DB6" w:rsidRPr="008A7BD7">
        <w:rPr>
          <w:rFonts w:ascii="Cambria" w:hAnsi="Cambria"/>
          <w:sz w:val="20"/>
          <w:szCs w:val="20"/>
        </w:rPr>
        <w:t xml:space="preserve">, the </w:t>
      </w:r>
      <w:r w:rsidR="004E3922" w:rsidRPr="008A7BD7">
        <w:rPr>
          <w:rFonts w:ascii="Cambria" w:hAnsi="Cambria"/>
          <w:sz w:val="20"/>
          <w:szCs w:val="20"/>
        </w:rPr>
        <w:t xml:space="preserve">Public Prosecutor’s </w:t>
      </w:r>
      <w:r w:rsidR="00200DB6" w:rsidRPr="008A7BD7">
        <w:rPr>
          <w:rFonts w:ascii="Cambria" w:hAnsi="Cambria"/>
          <w:sz w:val="20"/>
          <w:szCs w:val="20"/>
        </w:rPr>
        <w:t>Office had registered a total of</w:t>
      </w:r>
      <w:r w:rsidR="00D57F13" w:rsidRPr="008A7BD7">
        <w:rPr>
          <w:rFonts w:ascii="Cambria" w:hAnsi="Cambria"/>
          <w:sz w:val="20"/>
          <w:szCs w:val="20"/>
        </w:rPr>
        <w:t xml:space="preserve"> 53,527 </w:t>
      </w:r>
      <w:r w:rsidR="00200DB6" w:rsidRPr="008A7BD7">
        <w:rPr>
          <w:rFonts w:ascii="Cambria" w:hAnsi="Cambria"/>
          <w:sz w:val="20"/>
          <w:szCs w:val="20"/>
        </w:rPr>
        <w:t xml:space="preserve">complaints involving violence against women, including physical, economic, and psychological violence; </w:t>
      </w:r>
      <w:r w:rsidR="00D57F13" w:rsidRPr="008A7BD7">
        <w:rPr>
          <w:rFonts w:ascii="Cambria" w:hAnsi="Cambria"/>
          <w:sz w:val="20"/>
          <w:szCs w:val="20"/>
        </w:rPr>
        <w:t xml:space="preserve">13,093 </w:t>
      </w:r>
      <w:r w:rsidR="00200DB6" w:rsidRPr="008A7BD7">
        <w:rPr>
          <w:rFonts w:ascii="Cambria" w:hAnsi="Cambria"/>
          <w:sz w:val="20"/>
          <w:szCs w:val="20"/>
        </w:rPr>
        <w:t xml:space="preserve">complaints of sexual violence, including rape, assault, and other sex crimes; and </w:t>
      </w:r>
      <w:r w:rsidR="00D57F13" w:rsidRPr="008A7BD7">
        <w:rPr>
          <w:rFonts w:ascii="Cambria" w:hAnsi="Cambria"/>
          <w:sz w:val="20"/>
          <w:szCs w:val="20"/>
        </w:rPr>
        <w:t xml:space="preserve">421 </w:t>
      </w:r>
      <w:r w:rsidR="00D97BC1" w:rsidRPr="008A7BD7">
        <w:rPr>
          <w:rFonts w:ascii="Cambria" w:hAnsi="Cambria"/>
          <w:sz w:val="20"/>
          <w:szCs w:val="20"/>
        </w:rPr>
        <w:t>cases</w:t>
      </w:r>
      <w:r w:rsidR="00200DB6" w:rsidRPr="008A7BD7">
        <w:rPr>
          <w:rFonts w:ascii="Cambria" w:hAnsi="Cambria"/>
          <w:sz w:val="20"/>
          <w:szCs w:val="20"/>
        </w:rPr>
        <w:t xml:space="preserve"> involving violen</w:t>
      </w:r>
      <w:r w:rsidR="004E3922" w:rsidRPr="008A7BD7">
        <w:rPr>
          <w:rFonts w:ascii="Cambria" w:hAnsi="Cambria"/>
          <w:sz w:val="20"/>
          <w:szCs w:val="20"/>
        </w:rPr>
        <w:t>t</w:t>
      </w:r>
      <w:r w:rsidR="00200DB6" w:rsidRPr="008A7BD7">
        <w:rPr>
          <w:rFonts w:ascii="Cambria" w:hAnsi="Cambria"/>
          <w:sz w:val="20"/>
          <w:szCs w:val="20"/>
        </w:rPr>
        <w:t xml:space="preserve"> death,</w:t>
      </w:r>
      <w:r w:rsidR="00D57F13" w:rsidRPr="008A7BD7">
        <w:rPr>
          <w:rFonts w:ascii="Cambria" w:hAnsi="Cambria"/>
          <w:sz w:val="20"/>
          <w:szCs w:val="20"/>
          <w:vertAlign w:val="superscript"/>
          <w:lang w:val="es-ES"/>
        </w:rPr>
        <w:footnoteReference w:id="315"/>
      </w:r>
      <w:r w:rsidR="00D57F13" w:rsidRPr="008A7BD7">
        <w:rPr>
          <w:rFonts w:ascii="Cambria" w:hAnsi="Cambria"/>
          <w:sz w:val="20"/>
          <w:szCs w:val="20"/>
        </w:rPr>
        <w:t xml:space="preserve"> </w:t>
      </w:r>
      <w:r w:rsidR="00200DB6" w:rsidRPr="008A7BD7">
        <w:rPr>
          <w:rFonts w:ascii="Cambria" w:hAnsi="Cambria"/>
          <w:sz w:val="20"/>
          <w:szCs w:val="20"/>
        </w:rPr>
        <w:t xml:space="preserve">of which </w:t>
      </w:r>
      <w:r w:rsidR="00D57F13" w:rsidRPr="008A7BD7">
        <w:rPr>
          <w:rFonts w:ascii="Cambria" w:hAnsi="Cambria"/>
          <w:sz w:val="20"/>
          <w:szCs w:val="20"/>
        </w:rPr>
        <w:t xml:space="preserve">120 </w:t>
      </w:r>
      <w:r w:rsidR="00B53ECC" w:rsidRPr="008A7BD7">
        <w:rPr>
          <w:rFonts w:ascii="Cambria" w:hAnsi="Cambria"/>
          <w:sz w:val="20"/>
          <w:szCs w:val="20"/>
        </w:rPr>
        <w:t>were</w:t>
      </w:r>
      <w:r w:rsidR="00200DB6" w:rsidRPr="008A7BD7">
        <w:rPr>
          <w:rFonts w:ascii="Cambria" w:hAnsi="Cambria"/>
          <w:sz w:val="20"/>
          <w:szCs w:val="20"/>
        </w:rPr>
        <w:t xml:space="preserve"> classified as femicides.</w:t>
      </w:r>
      <w:r w:rsidR="00D57F13" w:rsidRPr="008A7BD7">
        <w:rPr>
          <w:rStyle w:val="FootnoteReference"/>
          <w:rFonts w:ascii="Cambria" w:hAnsi="Cambria"/>
          <w:sz w:val="20"/>
          <w:szCs w:val="20"/>
          <w:lang w:val="es-ES"/>
        </w:rPr>
        <w:footnoteReference w:id="316"/>
      </w:r>
      <w:r w:rsidR="00D57F13" w:rsidRPr="008A7BD7">
        <w:rPr>
          <w:rFonts w:ascii="Cambria" w:hAnsi="Cambria"/>
          <w:sz w:val="20"/>
          <w:szCs w:val="20"/>
        </w:rPr>
        <w:t xml:space="preserve"> </w:t>
      </w:r>
      <w:r w:rsidR="00C71CBC" w:rsidRPr="008A7BD7">
        <w:rPr>
          <w:rFonts w:ascii="Cambria" w:hAnsi="Cambria"/>
          <w:sz w:val="20"/>
          <w:szCs w:val="20"/>
        </w:rPr>
        <w:t>By comparison</w:t>
      </w:r>
      <w:r w:rsidR="00D57F13" w:rsidRPr="008A7BD7">
        <w:rPr>
          <w:rFonts w:ascii="Cambria" w:hAnsi="Cambria"/>
          <w:sz w:val="20"/>
          <w:szCs w:val="20"/>
        </w:rPr>
        <w:t xml:space="preserve">, </w:t>
      </w:r>
      <w:r w:rsidR="00B53ECC" w:rsidRPr="008A7BD7">
        <w:rPr>
          <w:rFonts w:ascii="Cambria" w:hAnsi="Cambria"/>
          <w:sz w:val="20"/>
          <w:szCs w:val="20"/>
        </w:rPr>
        <w:t xml:space="preserve">official </w:t>
      </w:r>
      <w:r w:rsidR="004E3922" w:rsidRPr="008A7BD7">
        <w:rPr>
          <w:rFonts w:ascii="Cambria" w:hAnsi="Cambria"/>
          <w:sz w:val="20"/>
          <w:szCs w:val="20"/>
        </w:rPr>
        <w:t>records</w:t>
      </w:r>
      <w:r w:rsidR="00B53ECC" w:rsidRPr="008A7BD7">
        <w:rPr>
          <w:rFonts w:ascii="Cambria" w:hAnsi="Cambria"/>
          <w:sz w:val="20"/>
          <w:szCs w:val="20"/>
        </w:rPr>
        <w:t xml:space="preserve"> show that as of October </w:t>
      </w:r>
      <w:r w:rsidR="00D57F13" w:rsidRPr="008A7BD7">
        <w:rPr>
          <w:rFonts w:ascii="Cambria" w:hAnsi="Cambria"/>
          <w:sz w:val="20"/>
          <w:szCs w:val="20"/>
        </w:rPr>
        <w:t xml:space="preserve">2020 </w:t>
      </w:r>
      <w:r w:rsidR="004E3922" w:rsidRPr="008A7BD7">
        <w:rPr>
          <w:rFonts w:ascii="Cambria" w:hAnsi="Cambria"/>
          <w:sz w:val="20"/>
          <w:szCs w:val="20"/>
        </w:rPr>
        <w:t xml:space="preserve">there were </w:t>
      </w:r>
      <w:r w:rsidR="00B53ECC" w:rsidRPr="008A7BD7">
        <w:rPr>
          <w:rFonts w:ascii="Cambria" w:hAnsi="Cambria"/>
          <w:sz w:val="20"/>
          <w:szCs w:val="20"/>
        </w:rPr>
        <w:t xml:space="preserve">a total of </w:t>
      </w:r>
      <w:r w:rsidR="00D57F13" w:rsidRPr="008A7BD7">
        <w:rPr>
          <w:rFonts w:ascii="Cambria" w:hAnsi="Cambria"/>
          <w:sz w:val="20"/>
          <w:szCs w:val="20"/>
        </w:rPr>
        <w:t xml:space="preserve">48,026 </w:t>
      </w:r>
      <w:r w:rsidR="00B53ECC" w:rsidRPr="008A7BD7">
        <w:rPr>
          <w:rFonts w:ascii="Cambria" w:hAnsi="Cambria"/>
          <w:sz w:val="20"/>
          <w:szCs w:val="20"/>
        </w:rPr>
        <w:t xml:space="preserve">complaints of violence against women, </w:t>
      </w:r>
      <w:r w:rsidR="00D57F13" w:rsidRPr="008A7BD7">
        <w:rPr>
          <w:rFonts w:ascii="Cambria" w:hAnsi="Cambria"/>
          <w:sz w:val="20"/>
          <w:szCs w:val="20"/>
        </w:rPr>
        <w:t xml:space="preserve">10,331 </w:t>
      </w:r>
      <w:r w:rsidR="00B53ECC" w:rsidRPr="008A7BD7">
        <w:rPr>
          <w:rFonts w:ascii="Cambria" w:hAnsi="Cambria"/>
          <w:sz w:val="20"/>
          <w:szCs w:val="20"/>
        </w:rPr>
        <w:t xml:space="preserve">complaints of sexual violence, and </w:t>
      </w:r>
      <w:r w:rsidR="00D57F13" w:rsidRPr="008A7BD7">
        <w:rPr>
          <w:rFonts w:ascii="Cambria" w:hAnsi="Cambria"/>
          <w:sz w:val="20"/>
          <w:szCs w:val="20"/>
        </w:rPr>
        <w:t xml:space="preserve">354 </w:t>
      </w:r>
      <w:r w:rsidR="00B53ECC" w:rsidRPr="008A7BD7">
        <w:rPr>
          <w:rFonts w:ascii="Cambria" w:hAnsi="Cambria"/>
          <w:sz w:val="20"/>
          <w:szCs w:val="20"/>
        </w:rPr>
        <w:t>femicide</w:t>
      </w:r>
      <w:r w:rsidR="00D57F13" w:rsidRPr="008A7BD7">
        <w:rPr>
          <w:rFonts w:ascii="Cambria" w:hAnsi="Cambria"/>
          <w:sz w:val="20"/>
          <w:szCs w:val="20"/>
        </w:rPr>
        <w:t>s</w:t>
      </w:r>
      <w:r w:rsidR="00B53ECC" w:rsidRPr="008A7BD7">
        <w:rPr>
          <w:rFonts w:ascii="Cambria" w:hAnsi="Cambria"/>
          <w:sz w:val="20"/>
          <w:szCs w:val="20"/>
        </w:rPr>
        <w:t>.</w:t>
      </w:r>
      <w:r w:rsidR="00D57F13" w:rsidRPr="008A7BD7">
        <w:rPr>
          <w:rStyle w:val="FootnoteReference"/>
          <w:rFonts w:ascii="Cambria" w:hAnsi="Cambria"/>
          <w:sz w:val="20"/>
          <w:szCs w:val="20"/>
          <w:lang w:val="es-ES"/>
        </w:rPr>
        <w:footnoteReference w:id="317"/>
      </w:r>
      <w:r w:rsidR="00D57F13" w:rsidRPr="008A7BD7">
        <w:rPr>
          <w:rFonts w:ascii="Cambria" w:hAnsi="Cambria"/>
          <w:sz w:val="20"/>
          <w:szCs w:val="20"/>
        </w:rPr>
        <w:t xml:space="preserve"> </w:t>
      </w:r>
      <w:r w:rsidR="004D1FCF" w:rsidRPr="008A7BD7">
        <w:rPr>
          <w:rFonts w:ascii="Cambria" w:hAnsi="Cambria"/>
          <w:sz w:val="20"/>
          <w:szCs w:val="20"/>
        </w:rPr>
        <w:t xml:space="preserve"> </w:t>
      </w:r>
    </w:p>
    <w:p w14:paraId="5560037E" w14:textId="77777777" w:rsidR="004D1FCF" w:rsidRPr="008A7BD7" w:rsidRDefault="004D1FCF" w:rsidP="004D1FCF">
      <w:pPr>
        <w:contextualSpacing/>
        <w:jc w:val="both"/>
        <w:rPr>
          <w:rFonts w:ascii="Cambria" w:hAnsi="Cambria"/>
          <w:sz w:val="20"/>
          <w:szCs w:val="20"/>
        </w:rPr>
      </w:pPr>
    </w:p>
    <w:p w14:paraId="2B5F1C40" w14:textId="39D3026C" w:rsidR="00D57F13" w:rsidRPr="008A7BD7" w:rsidRDefault="00B46C40" w:rsidP="003D3059">
      <w:pPr>
        <w:numPr>
          <w:ilvl w:val="0"/>
          <w:numId w:val="2"/>
        </w:numPr>
        <w:ind w:left="0" w:firstLine="720"/>
        <w:jc w:val="both"/>
        <w:rPr>
          <w:rFonts w:ascii="Cambria" w:eastAsiaTheme="minorEastAsia" w:hAnsi="Cambria"/>
          <w:sz w:val="20"/>
          <w:szCs w:val="20"/>
        </w:rPr>
      </w:pPr>
      <w:r w:rsidRPr="008A7BD7">
        <w:rPr>
          <w:rFonts w:ascii="Cambria" w:hAnsi="Cambria"/>
          <w:sz w:val="20"/>
          <w:szCs w:val="20"/>
        </w:rPr>
        <w:t xml:space="preserve">In this context, the Commission also received information </w:t>
      </w:r>
      <w:r w:rsidR="004938EA" w:rsidRPr="008A7BD7">
        <w:rPr>
          <w:rFonts w:ascii="Cambria" w:hAnsi="Cambria"/>
          <w:sz w:val="20"/>
          <w:szCs w:val="20"/>
        </w:rPr>
        <w:t>about</w:t>
      </w:r>
      <w:r w:rsidRPr="008A7BD7">
        <w:rPr>
          <w:rFonts w:ascii="Cambria" w:hAnsi="Cambria"/>
          <w:sz w:val="20"/>
          <w:szCs w:val="20"/>
        </w:rPr>
        <w:t xml:space="preserve"> the weakening of institutions </w:t>
      </w:r>
      <w:r w:rsidR="00CC773A" w:rsidRPr="008A7BD7">
        <w:rPr>
          <w:rFonts w:ascii="Cambria" w:hAnsi="Cambria"/>
          <w:sz w:val="20"/>
          <w:szCs w:val="20"/>
        </w:rPr>
        <w:t>that oversee</w:t>
      </w:r>
      <w:r w:rsidRPr="008A7BD7">
        <w:rPr>
          <w:rFonts w:ascii="Cambria" w:hAnsi="Cambria"/>
          <w:sz w:val="20"/>
          <w:szCs w:val="20"/>
        </w:rPr>
        <w:t xml:space="preserve"> </w:t>
      </w:r>
      <w:r w:rsidR="008E744D" w:rsidRPr="008A7BD7">
        <w:rPr>
          <w:rFonts w:ascii="Cambria" w:hAnsi="Cambria"/>
          <w:sz w:val="20"/>
          <w:szCs w:val="20"/>
        </w:rPr>
        <w:t xml:space="preserve">the protection of women’s </w:t>
      </w:r>
      <w:r w:rsidRPr="008A7BD7">
        <w:rPr>
          <w:rFonts w:ascii="Cambria" w:hAnsi="Cambria"/>
          <w:sz w:val="20"/>
          <w:szCs w:val="20"/>
        </w:rPr>
        <w:t>human rights</w:t>
      </w:r>
      <w:r w:rsidR="008E744D" w:rsidRPr="008A7BD7">
        <w:rPr>
          <w:rFonts w:ascii="Cambria" w:hAnsi="Cambria"/>
          <w:sz w:val="20"/>
          <w:szCs w:val="20"/>
        </w:rPr>
        <w:t xml:space="preserve"> </w:t>
      </w:r>
      <w:r w:rsidRPr="008A7BD7">
        <w:rPr>
          <w:rFonts w:ascii="Cambria" w:hAnsi="Cambria"/>
          <w:sz w:val="20"/>
          <w:szCs w:val="20"/>
        </w:rPr>
        <w:t>and the impacts on their rights.</w:t>
      </w:r>
      <w:r w:rsidR="00D57F13" w:rsidRPr="008A7BD7">
        <w:rPr>
          <w:rStyle w:val="FootnoteReference"/>
          <w:rFonts w:ascii="Cambria" w:hAnsi="Cambria"/>
          <w:sz w:val="20"/>
          <w:szCs w:val="20"/>
          <w:lang w:val="es-ES"/>
        </w:rPr>
        <w:footnoteReference w:id="318"/>
      </w:r>
      <w:r w:rsidR="00B00FD3" w:rsidRPr="008A7BD7">
        <w:rPr>
          <w:rFonts w:ascii="Cambria" w:hAnsi="Cambria"/>
          <w:sz w:val="20"/>
          <w:szCs w:val="20"/>
        </w:rPr>
        <w:t xml:space="preserve"> </w:t>
      </w:r>
      <w:r w:rsidR="00CA236F" w:rsidRPr="008A7BD7">
        <w:rPr>
          <w:rFonts w:ascii="Cambria" w:hAnsi="Cambria"/>
          <w:sz w:val="20"/>
          <w:szCs w:val="20"/>
        </w:rPr>
        <w:t xml:space="preserve">Since 2020, the Commission </w:t>
      </w:r>
      <w:r w:rsidR="008E744D" w:rsidRPr="008A7BD7">
        <w:rPr>
          <w:rFonts w:ascii="Cambria" w:hAnsi="Cambria"/>
          <w:sz w:val="20"/>
          <w:szCs w:val="20"/>
        </w:rPr>
        <w:t xml:space="preserve">has </w:t>
      </w:r>
      <w:r w:rsidR="00CA236F" w:rsidRPr="008A7BD7">
        <w:rPr>
          <w:rFonts w:ascii="Cambria" w:hAnsi="Cambria"/>
          <w:sz w:val="20"/>
          <w:szCs w:val="20"/>
        </w:rPr>
        <w:t xml:space="preserve">received information </w:t>
      </w:r>
      <w:r w:rsidR="008E744D" w:rsidRPr="008A7BD7">
        <w:rPr>
          <w:rFonts w:ascii="Cambria" w:hAnsi="Cambria"/>
          <w:sz w:val="20"/>
          <w:szCs w:val="20"/>
        </w:rPr>
        <w:t>concerning</w:t>
      </w:r>
      <w:r w:rsidR="00CA236F" w:rsidRPr="008A7BD7">
        <w:rPr>
          <w:rFonts w:ascii="Cambria" w:hAnsi="Cambria"/>
          <w:sz w:val="20"/>
          <w:szCs w:val="20"/>
        </w:rPr>
        <w:t xml:space="preserve"> obstacles that the Presidential Secretariat </w:t>
      </w:r>
      <w:r w:rsidR="008E744D" w:rsidRPr="008A7BD7">
        <w:rPr>
          <w:rFonts w:ascii="Cambria" w:hAnsi="Cambria"/>
          <w:sz w:val="20"/>
          <w:szCs w:val="20"/>
        </w:rPr>
        <w:t>for</w:t>
      </w:r>
      <w:r w:rsidR="00CA236F" w:rsidRPr="008A7BD7">
        <w:rPr>
          <w:rFonts w:ascii="Cambria" w:hAnsi="Cambria"/>
          <w:sz w:val="20"/>
          <w:szCs w:val="20"/>
        </w:rPr>
        <w:t xml:space="preserve"> Women </w:t>
      </w:r>
      <w:r w:rsidR="00D57F13" w:rsidRPr="008A7BD7">
        <w:rPr>
          <w:rFonts w:ascii="Cambria" w:hAnsi="Cambria"/>
          <w:sz w:val="20"/>
          <w:szCs w:val="20"/>
        </w:rPr>
        <w:t xml:space="preserve">(SEPREM) </w:t>
      </w:r>
      <w:r w:rsidR="00CA236F" w:rsidRPr="008A7BD7">
        <w:rPr>
          <w:rFonts w:ascii="Cambria" w:hAnsi="Cambria"/>
          <w:sz w:val="20"/>
          <w:szCs w:val="20"/>
        </w:rPr>
        <w:t>continue</w:t>
      </w:r>
      <w:r w:rsidR="00510C2A" w:rsidRPr="008A7BD7">
        <w:rPr>
          <w:rFonts w:ascii="Cambria" w:hAnsi="Cambria"/>
          <w:sz w:val="20"/>
          <w:szCs w:val="20"/>
        </w:rPr>
        <w:t>s</w:t>
      </w:r>
      <w:r w:rsidR="00CA236F" w:rsidRPr="008A7BD7">
        <w:rPr>
          <w:rFonts w:ascii="Cambria" w:hAnsi="Cambria"/>
          <w:sz w:val="20"/>
          <w:szCs w:val="20"/>
        </w:rPr>
        <w:t xml:space="preserve"> to face in carrying out its mandate of advising and coordinating public policies to promote </w:t>
      </w:r>
      <w:r w:rsidR="00510C2A" w:rsidRPr="008A7BD7">
        <w:rPr>
          <w:rFonts w:ascii="Cambria" w:hAnsi="Cambria"/>
          <w:sz w:val="20"/>
          <w:szCs w:val="20"/>
        </w:rPr>
        <w:t xml:space="preserve">the </w:t>
      </w:r>
      <w:r w:rsidR="00CA236F" w:rsidRPr="008A7BD7">
        <w:rPr>
          <w:rFonts w:ascii="Cambria" w:hAnsi="Cambria"/>
          <w:sz w:val="20"/>
          <w:szCs w:val="20"/>
        </w:rPr>
        <w:t xml:space="preserve">integral development </w:t>
      </w:r>
      <w:r w:rsidR="00510C2A" w:rsidRPr="008A7BD7">
        <w:rPr>
          <w:rFonts w:ascii="Cambria" w:hAnsi="Cambria"/>
          <w:sz w:val="20"/>
          <w:szCs w:val="20"/>
        </w:rPr>
        <w:t>of</w:t>
      </w:r>
      <w:r w:rsidR="00CA236F" w:rsidRPr="008A7BD7">
        <w:rPr>
          <w:rFonts w:ascii="Cambria" w:hAnsi="Cambria"/>
          <w:sz w:val="20"/>
          <w:szCs w:val="20"/>
        </w:rPr>
        <w:t xml:space="preserve"> Guatemalan women, mainly because of</w:t>
      </w:r>
      <w:r w:rsidR="00131359" w:rsidRPr="008A7BD7">
        <w:rPr>
          <w:rFonts w:ascii="Cambria" w:hAnsi="Cambria"/>
          <w:sz w:val="20"/>
          <w:szCs w:val="20"/>
        </w:rPr>
        <w:t xml:space="preserve"> </w:t>
      </w:r>
      <w:r w:rsidR="00CF4932" w:rsidRPr="008A7BD7">
        <w:rPr>
          <w:rFonts w:ascii="Cambria" w:hAnsi="Cambria"/>
          <w:sz w:val="20"/>
          <w:szCs w:val="20"/>
        </w:rPr>
        <w:t xml:space="preserve">instability in the </w:t>
      </w:r>
      <w:r w:rsidR="00C85C88" w:rsidRPr="008A7BD7">
        <w:rPr>
          <w:rFonts w:ascii="Cambria" w:hAnsi="Cambria"/>
          <w:sz w:val="20"/>
          <w:szCs w:val="20"/>
        </w:rPr>
        <w:t xml:space="preserve">agency’s top </w:t>
      </w:r>
      <w:r w:rsidR="00CF4932" w:rsidRPr="008A7BD7">
        <w:rPr>
          <w:rFonts w:ascii="Cambria" w:hAnsi="Cambria"/>
          <w:sz w:val="20"/>
          <w:szCs w:val="20"/>
        </w:rPr>
        <w:t>position</w:t>
      </w:r>
      <w:r w:rsidR="00131359" w:rsidRPr="008A7BD7">
        <w:rPr>
          <w:rFonts w:ascii="Cambria" w:hAnsi="Cambria"/>
          <w:sz w:val="20"/>
          <w:szCs w:val="20"/>
        </w:rPr>
        <w:t>.</w:t>
      </w:r>
      <w:r w:rsidR="00D57F13" w:rsidRPr="008A7BD7">
        <w:rPr>
          <w:rStyle w:val="FootnoteReference"/>
          <w:rFonts w:ascii="Cambria" w:hAnsi="Cambria"/>
          <w:sz w:val="20"/>
          <w:szCs w:val="20"/>
          <w:lang w:val="es-ES"/>
        </w:rPr>
        <w:footnoteReference w:id="319"/>
      </w:r>
      <w:r w:rsidR="00D57F13" w:rsidRPr="008A7BD7">
        <w:rPr>
          <w:rFonts w:ascii="Cambria" w:hAnsi="Cambria"/>
          <w:sz w:val="20"/>
          <w:szCs w:val="20"/>
        </w:rPr>
        <w:t xml:space="preserve"> </w:t>
      </w:r>
      <w:r w:rsidR="007B5502" w:rsidRPr="008A7BD7">
        <w:rPr>
          <w:rFonts w:ascii="Cambria" w:hAnsi="Cambria"/>
          <w:sz w:val="20"/>
          <w:szCs w:val="20"/>
        </w:rPr>
        <w:t xml:space="preserve">In addition to repeated dismissals of individuals who served as Presidential Secretary of SEPREM, the post was </w:t>
      </w:r>
      <w:r w:rsidR="00471647" w:rsidRPr="008A7BD7">
        <w:rPr>
          <w:rFonts w:ascii="Cambria" w:hAnsi="Cambria"/>
          <w:sz w:val="20"/>
          <w:szCs w:val="20"/>
        </w:rPr>
        <w:t xml:space="preserve">reportedly </w:t>
      </w:r>
      <w:r w:rsidR="007B5502" w:rsidRPr="008A7BD7">
        <w:rPr>
          <w:rFonts w:ascii="Cambria" w:hAnsi="Cambria"/>
          <w:sz w:val="20"/>
          <w:szCs w:val="20"/>
        </w:rPr>
        <w:t xml:space="preserve">vacant from November 2020 until June </w:t>
      </w:r>
      <w:r w:rsidR="00D57F13" w:rsidRPr="008A7BD7">
        <w:rPr>
          <w:rFonts w:ascii="Cambria" w:hAnsi="Cambria"/>
          <w:sz w:val="20"/>
          <w:szCs w:val="20"/>
        </w:rPr>
        <w:t>2021.</w:t>
      </w:r>
      <w:r w:rsidR="00D57F13" w:rsidRPr="008A7BD7">
        <w:rPr>
          <w:rStyle w:val="FootnoteReference"/>
          <w:rFonts w:ascii="Cambria" w:hAnsi="Cambria"/>
          <w:sz w:val="20"/>
          <w:szCs w:val="20"/>
          <w:lang w:val="es-ES"/>
        </w:rPr>
        <w:footnoteReference w:id="320"/>
      </w:r>
      <w:r w:rsidR="00D57F13" w:rsidRPr="008A7BD7">
        <w:rPr>
          <w:rFonts w:ascii="Cambria" w:hAnsi="Cambria"/>
          <w:sz w:val="20"/>
          <w:szCs w:val="20"/>
        </w:rPr>
        <w:t xml:space="preserve"> </w:t>
      </w:r>
      <w:r w:rsidR="00C94D81" w:rsidRPr="008A7BD7">
        <w:rPr>
          <w:rFonts w:ascii="Cambria" w:hAnsi="Cambria"/>
          <w:sz w:val="20"/>
          <w:szCs w:val="20"/>
        </w:rPr>
        <w:t>The Commission also received information about</w:t>
      </w:r>
      <w:r w:rsidR="00471647" w:rsidRPr="008A7BD7">
        <w:rPr>
          <w:rFonts w:ascii="Cambria" w:hAnsi="Cambria"/>
          <w:sz w:val="20"/>
          <w:szCs w:val="20"/>
        </w:rPr>
        <w:t xml:space="preserve"> </w:t>
      </w:r>
      <w:r w:rsidR="00C94D81" w:rsidRPr="008A7BD7">
        <w:rPr>
          <w:rFonts w:ascii="Cambria" w:hAnsi="Cambria"/>
          <w:sz w:val="20"/>
          <w:szCs w:val="20"/>
        </w:rPr>
        <w:t xml:space="preserve">the lack of continuity of the </w:t>
      </w:r>
      <w:r w:rsidR="00471647" w:rsidRPr="008A7BD7">
        <w:rPr>
          <w:rFonts w:ascii="Cambria" w:hAnsi="Cambria"/>
          <w:sz w:val="20"/>
          <w:szCs w:val="20"/>
        </w:rPr>
        <w:t xml:space="preserve">work of the </w:t>
      </w:r>
      <w:r w:rsidR="00C94D81" w:rsidRPr="008A7BD7">
        <w:rPr>
          <w:rFonts w:ascii="Cambria" w:hAnsi="Cambria"/>
          <w:sz w:val="20"/>
          <w:szCs w:val="20"/>
        </w:rPr>
        <w:t xml:space="preserve">National Coordinator for the Prevention of Intrafamily Violence </w:t>
      </w:r>
      <w:r w:rsidR="00471283" w:rsidRPr="008A7BD7">
        <w:rPr>
          <w:rFonts w:ascii="Cambria" w:hAnsi="Cambria"/>
          <w:sz w:val="20"/>
          <w:szCs w:val="20"/>
        </w:rPr>
        <w:t xml:space="preserve">and Violence </w:t>
      </w:r>
      <w:r w:rsidR="00C94D81" w:rsidRPr="008A7BD7">
        <w:rPr>
          <w:rFonts w:ascii="Cambria" w:hAnsi="Cambria"/>
          <w:sz w:val="20"/>
          <w:szCs w:val="20"/>
        </w:rPr>
        <w:t xml:space="preserve">against Women </w:t>
      </w:r>
      <w:r w:rsidR="00D57F13" w:rsidRPr="008A7BD7">
        <w:rPr>
          <w:rFonts w:ascii="Cambria" w:hAnsi="Cambria"/>
          <w:sz w:val="20"/>
          <w:szCs w:val="20"/>
        </w:rPr>
        <w:t xml:space="preserve">(CONAPREVI), </w:t>
      </w:r>
      <w:r w:rsidR="00C94D81" w:rsidRPr="008A7BD7">
        <w:rPr>
          <w:rFonts w:ascii="Cambria" w:hAnsi="Cambria"/>
          <w:sz w:val="20"/>
          <w:szCs w:val="20"/>
        </w:rPr>
        <w:t>the agency in charge of coordinating implementation</w:t>
      </w:r>
      <w:r w:rsidR="00AB3B0F" w:rsidRPr="008A7BD7">
        <w:rPr>
          <w:rFonts w:ascii="Cambria" w:hAnsi="Cambria"/>
          <w:sz w:val="20"/>
          <w:szCs w:val="20"/>
        </w:rPr>
        <w:t xml:space="preserve"> </w:t>
      </w:r>
      <w:r w:rsidR="00C94D81" w:rsidRPr="008A7BD7">
        <w:rPr>
          <w:rFonts w:ascii="Cambria" w:hAnsi="Cambria"/>
          <w:sz w:val="20"/>
          <w:szCs w:val="20"/>
        </w:rPr>
        <w:t>of the National Plan for the Prevention and Eradication of Violence against Women,</w:t>
      </w:r>
      <w:r w:rsidR="00D57F13" w:rsidRPr="008A7BD7">
        <w:rPr>
          <w:rFonts w:ascii="Cambria" w:hAnsi="Cambria"/>
          <w:sz w:val="20"/>
          <w:szCs w:val="20"/>
        </w:rPr>
        <w:t xml:space="preserve"> PLANOVI 2020-2029.</w:t>
      </w:r>
      <w:r w:rsidR="00D57F13" w:rsidRPr="008A7BD7">
        <w:rPr>
          <w:rStyle w:val="FootnoteReference"/>
          <w:rFonts w:ascii="Cambria" w:hAnsi="Cambria"/>
          <w:sz w:val="20"/>
          <w:szCs w:val="20"/>
          <w:lang w:val="es-ES"/>
        </w:rPr>
        <w:footnoteReference w:id="321"/>
      </w:r>
      <w:r w:rsidR="00D57F13" w:rsidRPr="008A7BD7">
        <w:rPr>
          <w:rFonts w:ascii="Cambria" w:hAnsi="Cambria"/>
          <w:sz w:val="20"/>
          <w:szCs w:val="20"/>
        </w:rPr>
        <w:t xml:space="preserve"> </w:t>
      </w:r>
      <w:r w:rsidR="006107B4" w:rsidRPr="008A7BD7">
        <w:rPr>
          <w:rFonts w:ascii="Cambria" w:hAnsi="Cambria"/>
          <w:sz w:val="20"/>
          <w:szCs w:val="20"/>
        </w:rPr>
        <w:t xml:space="preserve">According to information </w:t>
      </w:r>
      <w:r w:rsidR="00AB3B0F" w:rsidRPr="008A7BD7">
        <w:rPr>
          <w:rFonts w:ascii="Cambria" w:hAnsi="Cambria"/>
          <w:sz w:val="20"/>
          <w:szCs w:val="20"/>
        </w:rPr>
        <w:t>collected by</w:t>
      </w:r>
      <w:r w:rsidR="006107B4" w:rsidRPr="008A7BD7">
        <w:rPr>
          <w:rFonts w:ascii="Cambria" w:hAnsi="Cambria"/>
          <w:sz w:val="20"/>
          <w:szCs w:val="20"/>
        </w:rPr>
        <w:t xml:space="preserve"> the Commission, as of April </w:t>
      </w:r>
      <w:r w:rsidR="00D57F13" w:rsidRPr="008A7BD7">
        <w:rPr>
          <w:rFonts w:ascii="Cambria" w:hAnsi="Cambria"/>
          <w:sz w:val="20"/>
          <w:szCs w:val="20"/>
        </w:rPr>
        <w:t xml:space="preserve">2021, CONAPREVI </w:t>
      </w:r>
      <w:r w:rsidR="006107B4" w:rsidRPr="008A7BD7">
        <w:rPr>
          <w:rFonts w:ascii="Cambria" w:hAnsi="Cambria"/>
          <w:sz w:val="20"/>
          <w:szCs w:val="20"/>
        </w:rPr>
        <w:t xml:space="preserve">had </w:t>
      </w:r>
      <w:r w:rsidR="00471647" w:rsidRPr="008A7BD7">
        <w:rPr>
          <w:rFonts w:ascii="Cambria" w:hAnsi="Cambria"/>
          <w:sz w:val="20"/>
          <w:szCs w:val="20"/>
        </w:rPr>
        <w:t>held</w:t>
      </w:r>
      <w:r w:rsidR="006107B4" w:rsidRPr="008A7BD7">
        <w:rPr>
          <w:rFonts w:ascii="Cambria" w:hAnsi="Cambria"/>
          <w:sz w:val="20"/>
          <w:szCs w:val="20"/>
        </w:rPr>
        <w:t xml:space="preserve"> only one working meeting,</w:t>
      </w:r>
      <w:r w:rsidR="00D57F13" w:rsidRPr="008A7BD7">
        <w:rPr>
          <w:rStyle w:val="FootnoteReference"/>
          <w:rFonts w:ascii="Cambria" w:hAnsi="Cambria"/>
          <w:sz w:val="20"/>
          <w:szCs w:val="20"/>
          <w:lang w:val="es-ES"/>
        </w:rPr>
        <w:footnoteReference w:id="322"/>
      </w:r>
      <w:r w:rsidR="00D57F13" w:rsidRPr="008A7BD7">
        <w:rPr>
          <w:rFonts w:ascii="Cambria" w:hAnsi="Cambria"/>
          <w:sz w:val="20"/>
          <w:szCs w:val="20"/>
        </w:rPr>
        <w:t xml:space="preserve"> </w:t>
      </w:r>
      <w:r w:rsidR="00155013" w:rsidRPr="008A7BD7">
        <w:rPr>
          <w:rFonts w:ascii="Cambria" w:hAnsi="Cambria"/>
          <w:sz w:val="20"/>
          <w:szCs w:val="20"/>
        </w:rPr>
        <w:t xml:space="preserve">which has hampered the effective implementation of </w:t>
      </w:r>
      <w:r w:rsidR="00D57F13" w:rsidRPr="008A7BD7">
        <w:rPr>
          <w:rFonts w:ascii="Cambria" w:hAnsi="Cambria"/>
          <w:sz w:val="20"/>
          <w:szCs w:val="20"/>
        </w:rPr>
        <w:t xml:space="preserve">PLANOVI. </w:t>
      </w:r>
      <w:r w:rsidR="00155013" w:rsidRPr="008A7BD7">
        <w:rPr>
          <w:rFonts w:ascii="Cambria" w:hAnsi="Cambria"/>
          <w:sz w:val="20"/>
          <w:szCs w:val="20"/>
        </w:rPr>
        <w:t xml:space="preserve">The Commission was also informed that </w:t>
      </w:r>
      <w:r w:rsidR="0063102D" w:rsidRPr="008A7BD7">
        <w:rPr>
          <w:rFonts w:ascii="Cambria" w:hAnsi="Cambria"/>
          <w:sz w:val="20"/>
          <w:szCs w:val="20"/>
        </w:rPr>
        <w:t xml:space="preserve">funding </w:t>
      </w:r>
      <w:r w:rsidR="00471647" w:rsidRPr="008A7BD7">
        <w:rPr>
          <w:rFonts w:ascii="Cambria" w:hAnsi="Cambria"/>
          <w:sz w:val="20"/>
          <w:szCs w:val="20"/>
        </w:rPr>
        <w:t>for</w:t>
      </w:r>
      <w:r w:rsidR="0063102D" w:rsidRPr="008A7BD7">
        <w:rPr>
          <w:rFonts w:ascii="Cambria" w:hAnsi="Cambria"/>
          <w:sz w:val="20"/>
          <w:szCs w:val="20"/>
        </w:rPr>
        <w:t xml:space="preserve"> the </w:t>
      </w:r>
      <w:r w:rsidR="00AF34CD" w:rsidRPr="008A7BD7">
        <w:rPr>
          <w:rFonts w:ascii="Cambria" w:hAnsi="Cambria"/>
          <w:sz w:val="20"/>
          <w:szCs w:val="20"/>
        </w:rPr>
        <w:t>Comprehensive</w:t>
      </w:r>
      <w:r w:rsidR="00155013" w:rsidRPr="008A7BD7">
        <w:rPr>
          <w:rFonts w:ascii="Cambria" w:hAnsi="Cambria"/>
          <w:sz w:val="20"/>
          <w:szCs w:val="20"/>
        </w:rPr>
        <w:t xml:space="preserve"> Support Centers for Women Survivors of Violence </w:t>
      </w:r>
      <w:r w:rsidR="00D57F13" w:rsidRPr="008A7BD7">
        <w:rPr>
          <w:rFonts w:ascii="Cambria" w:hAnsi="Cambria"/>
          <w:sz w:val="20"/>
          <w:szCs w:val="20"/>
        </w:rPr>
        <w:t>(CAIMUS)</w:t>
      </w:r>
      <w:r w:rsidR="00FE3E3C" w:rsidRPr="008A7BD7">
        <w:rPr>
          <w:rFonts w:ascii="Cambria" w:hAnsi="Cambria"/>
          <w:sz w:val="20"/>
          <w:szCs w:val="20"/>
        </w:rPr>
        <w:t>—</w:t>
      </w:r>
      <w:r w:rsidR="0063102D" w:rsidRPr="008A7BD7">
        <w:rPr>
          <w:rFonts w:ascii="Cambria" w:hAnsi="Cambria"/>
          <w:sz w:val="20"/>
          <w:szCs w:val="20"/>
        </w:rPr>
        <w:t>which offer support, advice, and safe spaces for women who have suffered violence</w:t>
      </w:r>
      <w:r w:rsidR="00FE3E3C" w:rsidRPr="008A7BD7">
        <w:rPr>
          <w:rFonts w:ascii="Cambria" w:hAnsi="Cambria"/>
          <w:sz w:val="20"/>
          <w:szCs w:val="20"/>
        </w:rPr>
        <w:t>—</w:t>
      </w:r>
      <w:r w:rsidR="00471647" w:rsidRPr="008A7BD7">
        <w:rPr>
          <w:rFonts w:ascii="Cambria" w:hAnsi="Cambria"/>
          <w:sz w:val="20"/>
          <w:szCs w:val="20"/>
        </w:rPr>
        <w:t>arrived</w:t>
      </w:r>
      <w:r w:rsidR="0063102D" w:rsidRPr="008A7BD7">
        <w:rPr>
          <w:rFonts w:ascii="Cambria" w:hAnsi="Cambria"/>
          <w:sz w:val="20"/>
          <w:szCs w:val="20"/>
        </w:rPr>
        <w:t xml:space="preserve"> late and </w:t>
      </w:r>
      <w:r w:rsidR="00471647" w:rsidRPr="008A7BD7">
        <w:rPr>
          <w:rFonts w:ascii="Cambria" w:hAnsi="Cambria"/>
          <w:sz w:val="20"/>
          <w:szCs w:val="20"/>
        </w:rPr>
        <w:t xml:space="preserve">was </w:t>
      </w:r>
      <w:r w:rsidR="0063102D" w:rsidRPr="008A7BD7">
        <w:rPr>
          <w:rFonts w:ascii="Cambria" w:hAnsi="Cambria"/>
          <w:sz w:val="20"/>
          <w:szCs w:val="20"/>
        </w:rPr>
        <w:t>insufficient</w:t>
      </w:r>
      <w:r w:rsidR="00D57F13" w:rsidRPr="008A7BD7">
        <w:rPr>
          <w:rFonts w:ascii="Cambria" w:hAnsi="Cambria"/>
          <w:sz w:val="20"/>
          <w:szCs w:val="20"/>
        </w:rPr>
        <w:t>.</w:t>
      </w:r>
      <w:r w:rsidR="00D57F13" w:rsidRPr="008A7BD7">
        <w:rPr>
          <w:rStyle w:val="FootnoteReference"/>
          <w:rFonts w:ascii="Cambria" w:hAnsi="Cambria"/>
          <w:sz w:val="20"/>
          <w:szCs w:val="20"/>
          <w:lang w:val="es-ES"/>
        </w:rPr>
        <w:footnoteReference w:id="323"/>
      </w:r>
      <w:r w:rsidR="00D57F13" w:rsidRPr="008A7BD7">
        <w:rPr>
          <w:rFonts w:ascii="Cambria" w:hAnsi="Cambria"/>
          <w:sz w:val="20"/>
          <w:szCs w:val="20"/>
        </w:rPr>
        <w:t xml:space="preserve"> </w:t>
      </w:r>
      <w:r w:rsidR="00D52C71" w:rsidRPr="008A7BD7">
        <w:rPr>
          <w:rFonts w:ascii="Cambria" w:hAnsi="Cambria"/>
          <w:sz w:val="20"/>
          <w:szCs w:val="20"/>
        </w:rPr>
        <w:lastRenderedPageBreak/>
        <w:t xml:space="preserve">As of August </w:t>
      </w:r>
      <w:r w:rsidR="00D57F13" w:rsidRPr="008A7BD7">
        <w:rPr>
          <w:rFonts w:ascii="Cambria" w:hAnsi="Cambria"/>
          <w:sz w:val="20"/>
          <w:szCs w:val="20"/>
        </w:rPr>
        <w:t xml:space="preserve">2021, </w:t>
      </w:r>
      <w:r w:rsidR="00D52C71" w:rsidRPr="008A7BD7">
        <w:rPr>
          <w:rFonts w:ascii="Cambria" w:hAnsi="Cambria"/>
          <w:sz w:val="20"/>
          <w:szCs w:val="20"/>
        </w:rPr>
        <w:t xml:space="preserve">the agreement to turn over the </w:t>
      </w:r>
      <w:r w:rsidR="00AB3B0F" w:rsidRPr="008A7BD7">
        <w:rPr>
          <w:rFonts w:ascii="Cambria" w:hAnsi="Cambria"/>
          <w:sz w:val="20"/>
          <w:szCs w:val="20"/>
        </w:rPr>
        <w:t>funds</w:t>
      </w:r>
      <w:r w:rsidR="00D52C71" w:rsidRPr="008A7BD7">
        <w:rPr>
          <w:rFonts w:ascii="Cambria" w:hAnsi="Cambria"/>
          <w:sz w:val="20"/>
          <w:szCs w:val="20"/>
        </w:rPr>
        <w:t xml:space="preserve"> </w:t>
      </w:r>
      <w:r w:rsidR="001B144C" w:rsidRPr="008A7BD7">
        <w:rPr>
          <w:rFonts w:ascii="Cambria" w:hAnsi="Cambria"/>
          <w:sz w:val="20"/>
          <w:szCs w:val="20"/>
        </w:rPr>
        <w:t>allocated</w:t>
      </w:r>
      <w:r w:rsidR="00D52C71" w:rsidRPr="008A7BD7">
        <w:rPr>
          <w:rFonts w:ascii="Cambria" w:hAnsi="Cambria"/>
          <w:sz w:val="20"/>
          <w:szCs w:val="20"/>
        </w:rPr>
        <w:t xml:space="preserve"> to the </w:t>
      </w:r>
      <w:r w:rsidR="00AF0597" w:rsidRPr="008A7BD7">
        <w:rPr>
          <w:rFonts w:ascii="Cambria" w:hAnsi="Cambria"/>
          <w:sz w:val="20"/>
          <w:szCs w:val="20"/>
        </w:rPr>
        <w:t xml:space="preserve">Grupo </w:t>
      </w:r>
      <w:proofErr w:type="spellStart"/>
      <w:r w:rsidR="00AF0597" w:rsidRPr="008A7BD7">
        <w:rPr>
          <w:rFonts w:ascii="Cambria" w:hAnsi="Cambria"/>
          <w:sz w:val="20"/>
          <w:szCs w:val="20"/>
        </w:rPr>
        <w:t>Guatemalteco</w:t>
      </w:r>
      <w:proofErr w:type="spellEnd"/>
      <w:r w:rsidR="00AF0597" w:rsidRPr="008A7BD7">
        <w:rPr>
          <w:rFonts w:ascii="Cambria" w:hAnsi="Cambria"/>
          <w:sz w:val="20"/>
          <w:szCs w:val="20"/>
        </w:rPr>
        <w:t xml:space="preserve"> de </w:t>
      </w:r>
      <w:proofErr w:type="spellStart"/>
      <w:r w:rsidR="00AF0597" w:rsidRPr="008A7BD7">
        <w:rPr>
          <w:rFonts w:ascii="Cambria" w:hAnsi="Cambria"/>
          <w:sz w:val="20"/>
          <w:szCs w:val="20"/>
        </w:rPr>
        <w:t>Mujeres</w:t>
      </w:r>
      <w:proofErr w:type="spellEnd"/>
      <w:r w:rsidR="00AF0597" w:rsidRPr="008A7BD7">
        <w:rPr>
          <w:rFonts w:ascii="Cambria" w:hAnsi="Cambria"/>
          <w:sz w:val="20"/>
          <w:szCs w:val="20"/>
        </w:rPr>
        <w:t xml:space="preserve"> [</w:t>
      </w:r>
      <w:r w:rsidR="001B144C" w:rsidRPr="008A7BD7">
        <w:rPr>
          <w:rFonts w:ascii="Cambria" w:hAnsi="Cambria"/>
          <w:sz w:val="20"/>
          <w:szCs w:val="20"/>
        </w:rPr>
        <w:t>Guatemalan Women’s Group</w:t>
      </w:r>
      <w:r w:rsidR="00AF0597" w:rsidRPr="008A7BD7">
        <w:rPr>
          <w:rFonts w:ascii="Cambria" w:hAnsi="Cambria"/>
          <w:sz w:val="20"/>
          <w:szCs w:val="20"/>
        </w:rPr>
        <w:t>]</w:t>
      </w:r>
      <w:r w:rsidR="001B144C" w:rsidRPr="008A7BD7">
        <w:rPr>
          <w:rFonts w:ascii="Cambria" w:hAnsi="Cambria"/>
          <w:sz w:val="20"/>
          <w:szCs w:val="20"/>
        </w:rPr>
        <w:t xml:space="preserve"> </w:t>
      </w:r>
      <w:r w:rsidR="00D52C71" w:rsidRPr="008A7BD7">
        <w:rPr>
          <w:rFonts w:ascii="Cambria" w:hAnsi="Cambria"/>
          <w:sz w:val="20"/>
          <w:szCs w:val="20"/>
        </w:rPr>
        <w:t xml:space="preserve">for fiscal year 2021 </w:t>
      </w:r>
      <w:r w:rsidR="001B144C" w:rsidRPr="008A7BD7">
        <w:rPr>
          <w:rFonts w:ascii="Cambria" w:hAnsi="Cambria"/>
          <w:sz w:val="20"/>
          <w:szCs w:val="20"/>
        </w:rPr>
        <w:t>had yet to be signed</w:t>
      </w:r>
      <w:r w:rsidR="00D57F13" w:rsidRPr="008A7BD7">
        <w:rPr>
          <w:rFonts w:ascii="Cambria" w:hAnsi="Cambria"/>
          <w:sz w:val="20"/>
          <w:szCs w:val="20"/>
        </w:rPr>
        <w:t>.</w:t>
      </w:r>
      <w:r w:rsidR="00D57F13" w:rsidRPr="008A7BD7">
        <w:rPr>
          <w:rStyle w:val="FootnoteReference"/>
          <w:rFonts w:ascii="Cambria" w:hAnsi="Cambria"/>
          <w:sz w:val="20"/>
          <w:szCs w:val="20"/>
          <w:lang w:val="es-ES"/>
        </w:rPr>
        <w:footnoteReference w:id="324"/>
      </w:r>
    </w:p>
    <w:p w14:paraId="0D79DA40" w14:textId="77777777" w:rsidR="00890E11" w:rsidRPr="008A7BD7" w:rsidRDefault="00890E11" w:rsidP="00890E11">
      <w:pPr>
        <w:ind w:left="720"/>
        <w:jc w:val="both"/>
        <w:rPr>
          <w:rFonts w:ascii="Cambria" w:eastAsiaTheme="minorEastAsia" w:hAnsi="Cambria"/>
          <w:sz w:val="20"/>
          <w:szCs w:val="20"/>
        </w:rPr>
      </w:pPr>
    </w:p>
    <w:p w14:paraId="31F20568" w14:textId="4D3137EE" w:rsidR="00890E11" w:rsidRPr="008A7BD7" w:rsidRDefault="00E82F6D" w:rsidP="003D3059">
      <w:pPr>
        <w:numPr>
          <w:ilvl w:val="0"/>
          <w:numId w:val="2"/>
        </w:numPr>
        <w:ind w:left="0" w:firstLine="720"/>
        <w:jc w:val="both"/>
        <w:rPr>
          <w:rFonts w:ascii="Cambria" w:hAnsi="Cambria"/>
          <w:sz w:val="20"/>
          <w:szCs w:val="20"/>
        </w:rPr>
      </w:pPr>
      <w:r w:rsidRPr="008A7BD7">
        <w:rPr>
          <w:rFonts w:ascii="Cambria" w:hAnsi="Cambria"/>
          <w:sz w:val="20"/>
          <w:szCs w:val="20"/>
        </w:rPr>
        <w:t>With regard to</w:t>
      </w:r>
      <w:r w:rsidR="00523E9C" w:rsidRPr="008A7BD7">
        <w:rPr>
          <w:rFonts w:ascii="Cambria" w:hAnsi="Cambria"/>
          <w:sz w:val="20"/>
          <w:szCs w:val="20"/>
        </w:rPr>
        <w:t xml:space="preserve"> the State’s efforts to address gender-based violence, the IACHR received information regarding the inauguration of the “</w:t>
      </w:r>
      <w:proofErr w:type="spellStart"/>
      <w:r w:rsidR="00523E9C" w:rsidRPr="008A7BD7">
        <w:rPr>
          <w:rFonts w:ascii="Cambria" w:hAnsi="Cambria"/>
          <w:sz w:val="20"/>
          <w:szCs w:val="20"/>
        </w:rPr>
        <w:t>IxKem</w:t>
      </w:r>
      <w:proofErr w:type="spellEnd"/>
      <w:r w:rsidR="00523E9C" w:rsidRPr="008A7BD7">
        <w:rPr>
          <w:rFonts w:ascii="Cambria" w:hAnsi="Cambria"/>
          <w:sz w:val="20"/>
          <w:szCs w:val="20"/>
        </w:rPr>
        <w:t>” Model</w:t>
      </w:r>
      <w:r w:rsidR="00B00FD3" w:rsidRPr="008A7BD7">
        <w:rPr>
          <w:rFonts w:ascii="Cambria" w:hAnsi="Cambria"/>
          <w:sz w:val="20"/>
          <w:szCs w:val="20"/>
        </w:rPr>
        <w:t xml:space="preserve"> </w:t>
      </w:r>
      <w:r w:rsidR="00523E9C" w:rsidRPr="008A7BD7">
        <w:rPr>
          <w:rFonts w:ascii="Cambria" w:hAnsi="Cambria"/>
          <w:sz w:val="20"/>
          <w:szCs w:val="20"/>
        </w:rPr>
        <w:t>for Comprehensive Services for Women Victims of Violence</w:t>
      </w:r>
      <w:r w:rsidR="00890E11" w:rsidRPr="008A7BD7">
        <w:rPr>
          <w:rFonts w:ascii="Cambria" w:hAnsi="Cambria"/>
          <w:sz w:val="20"/>
          <w:szCs w:val="20"/>
        </w:rPr>
        <w:t xml:space="preserve"> (MA</w:t>
      </w:r>
      <w:r w:rsidR="006C6F5A" w:rsidRPr="008A7BD7">
        <w:rPr>
          <w:rFonts w:ascii="Cambria" w:hAnsi="Cambria"/>
          <w:sz w:val="20"/>
          <w:szCs w:val="20"/>
        </w:rPr>
        <w:t>I</w:t>
      </w:r>
      <w:r w:rsidR="00890E11" w:rsidRPr="008A7BD7">
        <w:rPr>
          <w:rFonts w:ascii="Cambria" w:hAnsi="Cambria"/>
          <w:sz w:val="20"/>
          <w:szCs w:val="20"/>
        </w:rPr>
        <w:t xml:space="preserve">MI), </w:t>
      </w:r>
      <w:r w:rsidR="00523E9C" w:rsidRPr="008A7BD7">
        <w:rPr>
          <w:rFonts w:ascii="Cambria" w:hAnsi="Cambria"/>
          <w:sz w:val="20"/>
          <w:szCs w:val="20"/>
        </w:rPr>
        <w:t xml:space="preserve">a program that centralizes in one physical space services related to justice, health, education, and economic empowerment, in order to respond comprehensively to the needs of </w:t>
      </w:r>
      <w:r w:rsidR="007A2598" w:rsidRPr="008A7BD7">
        <w:rPr>
          <w:rFonts w:ascii="Cambria" w:hAnsi="Cambria"/>
          <w:sz w:val="20"/>
          <w:szCs w:val="20"/>
        </w:rPr>
        <w:t>survivors</w:t>
      </w:r>
      <w:r w:rsidR="00523E9C" w:rsidRPr="008A7BD7">
        <w:rPr>
          <w:rFonts w:ascii="Cambria" w:hAnsi="Cambria"/>
          <w:sz w:val="20"/>
          <w:szCs w:val="20"/>
        </w:rPr>
        <w:t xml:space="preserve"> of violence</w:t>
      </w:r>
      <w:r w:rsidR="00890E11" w:rsidRPr="008A7BD7">
        <w:rPr>
          <w:rFonts w:ascii="Cambria" w:hAnsi="Cambria"/>
          <w:sz w:val="20"/>
          <w:szCs w:val="20"/>
        </w:rPr>
        <w:t>.</w:t>
      </w:r>
      <w:r w:rsidR="00890E11" w:rsidRPr="008A7BD7">
        <w:rPr>
          <w:rStyle w:val="FootnoteReference"/>
          <w:rFonts w:ascii="Cambria" w:hAnsi="Cambria"/>
          <w:sz w:val="20"/>
          <w:szCs w:val="20"/>
          <w:lang w:val="es-ES"/>
        </w:rPr>
        <w:footnoteReference w:id="325"/>
      </w:r>
      <w:r w:rsidR="00890E11" w:rsidRPr="008A7BD7">
        <w:rPr>
          <w:rFonts w:ascii="Cambria" w:hAnsi="Cambria"/>
          <w:sz w:val="20"/>
          <w:szCs w:val="20"/>
        </w:rPr>
        <w:t xml:space="preserve"> </w:t>
      </w:r>
      <w:r w:rsidR="00523E9C" w:rsidRPr="008A7BD7">
        <w:rPr>
          <w:rFonts w:ascii="Cambria" w:hAnsi="Cambria"/>
          <w:sz w:val="20"/>
          <w:szCs w:val="20"/>
        </w:rPr>
        <w:t xml:space="preserve">The IACHR also takes note of </w:t>
      </w:r>
      <w:r w:rsidR="00DE03B1" w:rsidRPr="008A7BD7">
        <w:rPr>
          <w:rFonts w:ascii="Cambria" w:hAnsi="Cambria"/>
          <w:sz w:val="20"/>
          <w:szCs w:val="20"/>
        </w:rPr>
        <w:t xml:space="preserve">the </w:t>
      </w:r>
      <w:r w:rsidR="00523E9C" w:rsidRPr="008A7BD7">
        <w:rPr>
          <w:rFonts w:ascii="Cambria" w:hAnsi="Cambria"/>
          <w:sz w:val="20"/>
          <w:szCs w:val="20"/>
        </w:rPr>
        <w:t>campaigns carried</w:t>
      </w:r>
      <w:r w:rsidR="009C5A46" w:rsidRPr="008A7BD7">
        <w:rPr>
          <w:rFonts w:ascii="Cambria" w:hAnsi="Cambria"/>
          <w:sz w:val="20"/>
          <w:szCs w:val="20"/>
        </w:rPr>
        <w:t xml:space="preserve"> out to encourage </w:t>
      </w:r>
      <w:r w:rsidR="00DE03B1" w:rsidRPr="008A7BD7">
        <w:rPr>
          <w:rFonts w:ascii="Cambria" w:hAnsi="Cambria"/>
          <w:sz w:val="20"/>
          <w:szCs w:val="20"/>
        </w:rPr>
        <w:t>people to</w:t>
      </w:r>
      <w:r w:rsidR="009C5A46" w:rsidRPr="008A7BD7">
        <w:rPr>
          <w:rFonts w:ascii="Cambria" w:hAnsi="Cambria"/>
          <w:sz w:val="20"/>
          <w:szCs w:val="20"/>
        </w:rPr>
        <w:t xml:space="preserve"> report </w:t>
      </w:r>
      <w:r w:rsidR="00DE03B1" w:rsidRPr="008A7BD7">
        <w:rPr>
          <w:rFonts w:ascii="Cambria" w:hAnsi="Cambria"/>
          <w:sz w:val="20"/>
          <w:szCs w:val="20"/>
        </w:rPr>
        <w:t xml:space="preserve">acts of </w:t>
      </w:r>
      <w:r w:rsidR="009C5A46" w:rsidRPr="008A7BD7">
        <w:rPr>
          <w:rFonts w:ascii="Cambria" w:hAnsi="Cambria"/>
          <w:sz w:val="20"/>
          <w:szCs w:val="20"/>
        </w:rPr>
        <w:t>violence against women,</w:t>
      </w:r>
      <w:r w:rsidR="00890E11" w:rsidRPr="008A7BD7">
        <w:rPr>
          <w:rStyle w:val="FootnoteReference"/>
          <w:rFonts w:ascii="Cambria" w:hAnsi="Cambria"/>
          <w:sz w:val="20"/>
          <w:szCs w:val="20"/>
          <w:lang w:val="es-ES"/>
        </w:rPr>
        <w:footnoteReference w:id="326"/>
      </w:r>
      <w:r w:rsidR="00890E11" w:rsidRPr="008A7BD7">
        <w:rPr>
          <w:rFonts w:ascii="Cambria" w:hAnsi="Cambria"/>
          <w:sz w:val="20"/>
          <w:szCs w:val="20"/>
        </w:rPr>
        <w:t xml:space="preserve"> </w:t>
      </w:r>
      <w:r w:rsidR="009C5A46" w:rsidRPr="008A7BD7">
        <w:rPr>
          <w:rFonts w:ascii="Cambria" w:hAnsi="Cambria"/>
          <w:sz w:val="20"/>
          <w:szCs w:val="20"/>
        </w:rPr>
        <w:t xml:space="preserve">as well as the update of the tool to incorporate a human rights, gender, and intersectionality </w:t>
      </w:r>
      <w:r w:rsidR="007A2598" w:rsidRPr="008A7BD7">
        <w:rPr>
          <w:rFonts w:ascii="Cambria" w:hAnsi="Cambria"/>
          <w:sz w:val="20"/>
          <w:szCs w:val="20"/>
        </w:rPr>
        <w:t xml:space="preserve">approach into </w:t>
      </w:r>
      <w:r w:rsidR="00DE03B1" w:rsidRPr="008A7BD7">
        <w:rPr>
          <w:rFonts w:ascii="Cambria" w:hAnsi="Cambria"/>
          <w:sz w:val="20"/>
          <w:szCs w:val="20"/>
        </w:rPr>
        <w:t xml:space="preserve">court </w:t>
      </w:r>
      <w:r w:rsidR="009C5A46" w:rsidRPr="008A7BD7">
        <w:rPr>
          <w:rFonts w:ascii="Cambria" w:hAnsi="Cambria"/>
          <w:sz w:val="20"/>
          <w:szCs w:val="20"/>
        </w:rPr>
        <w:t>judgments related to gender violence</w:t>
      </w:r>
      <w:r w:rsidR="00890E11" w:rsidRPr="008A7BD7">
        <w:rPr>
          <w:rFonts w:ascii="Cambria" w:hAnsi="Cambria"/>
          <w:sz w:val="20"/>
          <w:szCs w:val="20"/>
        </w:rPr>
        <w:t>.</w:t>
      </w:r>
      <w:r w:rsidR="00890E11" w:rsidRPr="008A7BD7">
        <w:rPr>
          <w:rStyle w:val="FootnoteReference"/>
          <w:rFonts w:ascii="Cambria" w:hAnsi="Cambria"/>
          <w:sz w:val="20"/>
          <w:szCs w:val="20"/>
          <w:lang w:val="es-ES"/>
        </w:rPr>
        <w:footnoteReference w:id="327"/>
      </w:r>
    </w:p>
    <w:p w14:paraId="42B32237" w14:textId="77777777" w:rsidR="009E52D6" w:rsidRPr="008A7BD7" w:rsidRDefault="009E52D6" w:rsidP="009E52D6">
      <w:pPr>
        <w:pStyle w:val="ListParagraph"/>
        <w:rPr>
          <w:rFonts w:ascii="Cambria" w:hAnsi="Cambria"/>
          <w:sz w:val="20"/>
          <w:szCs w:val="20"/>
        </w:rPr>
      </w:pPr>
    </w:p>
    <w:p w14:paraId="6D3461EF" w14:textId="581DEC53" w:rsidR="009E52D6" w:rsidRPr="008A7BD7" w:rsidRDefault="00925A9B" w:rsidP="009E52D6">
      <w:pPr>
        <w:numPr>
          <w:ilvl w:val="0"/>
          <w:numId w:val="2"/>
        </w:numPr>
        <w:ind w:left="0" w:firstLine="720"/>
        <w:jc w:val="both"/>
        <w:rPr>
          <w:rFonts w:ascii="Cambria" w:hAnsi="Cambria"/>
          <w:sz w:val="20"/>
          <w:szCs w:val="20"/>
        </w:rPr>
      </w:pPr>
      <w:r w:rsidRPr="008A7BD7">
        <w:rPr>
          <w:rFonts w:ascii="Cambria" w:hAnsi="Cambria"/>
          <w:sz w:val="20"/>
          <w:szCs w:val="20"/>
        </w:rPr>
        <w:t xml:space="preserve">In its response to the draft of this report, the Guatemalan State indicated that </w:t>
      </w:r>
      <w:r w:rsidR="009E52D6" w:rsidRPr="008A7BD7">
        <w:rPr>
          <w:rFonts w:ascii="Cambria" w:hAnsi="Cambria"/>
          <w:sz w:val="20"/>
          <w:szCs w:val="20"/>
        </w:rPr>
        <w:t>“</w:t>
      </w:r>
      <w:r w:rsidRPr="008A7BD7">
        <w:rPr>
          <w:rFonts w:ascii="Cambria" w:hAnsi="Cambria"/>
          <w:sz w:val="20"/>
          <w:szCs w:val="20"/>
        </w:rPr>
        <w:t xml:space="preserve">the General Government Policy </w:t>
      </w:r>
      <w:r w:rsidR="009E52D6" w:rsidRPr="008A7BD7">
        <w:rPr>
          <w:rFonts w:ascii="Cambria" w:hAnsi="Cambria"/>
          <w:sz w:val="20"/>
          <w:szCs w:val="20"/>
        </w:rPr>
        <w:t>2020-2024</w:t>
      </w:r>
      <w:r w:rsidRPr="008A7BD7">
        <w:rPr>
          <w:rFonts w:ascii="Cambria" w:hAnsi="Cambria"/>
          <w:sz w:val="20"/>
          <w:szCs w:val="20"/>
        </w:rPr>
        <w:t xml:space="preserve"> establishes the reduction of violence against children, women, and intrafamily violence</w:t>
      </w:r>
      <w:r w:rsidR="00471283" w:rsidRPr="008A7BD7">
        <w:rPr>
          <w:rFonts w:ascii="Cambria" w:hAnsi="Cambria"/>
          <w:sz w:val="20"/>
          <w:szCs w:val="20"/>
        </w:rPr>
        <w:t xml:space="preserve"> as a priority</w:t>
      </w:r>
      <w:r w:rsidR="009E52D6" w:rsidRPr="008A7BD7">
        <w:rPr>
          <w:rFonts w:ascii="Cambria" w:hAnsi="Cambria"/>
          <w:sz w:val="20"/>
          <w:szCs w:val="20"/>
        </w:rPr>
        <w:t xml:space="preserve">”; </w:t>
      </w:r>
      <w:r w:rsidRPr="008A7BD7">
        <w:rPr>
          <w:rFonts w:ascii="Cambria" w:hAnsi="Cambria"/>
          <w:sz w:val="20"/>
          <w:szCs w:val="20"/>
        </w:rPr>
        <w:t xml:space="preserve">moreover, </w:t>
      </w:r>
      <w:r w:rsidR="009E52D6" w:rsidRPr="008A7BD7">
        <w:rPr>
          <w:rFonts w:ascii="Cambria" w:hAnsi="Cambria"/>
          <w:sz w:val="20"/>
          <w:szCs w:val="20"/>
        </w:rPr>
        <w:t>“</w:t>
      </w:r>
      <w:r w:rsidRPr="008A7BD7">
        <w:rPr>
          <w:rFonts w:ascii="Cambria" w:hAnsi="Cambria"/>
          <w:sz w:val="20"/>
          <w:szCs w:val="20"/>
        </w:rPr>
        <w:t xml:space="preserve">it is </w:t>
      </w:r>
      <w:r w:rsidR="00471283" w:rsidRPr="008A7BD7">
        <w:rPr>
          <w:rFonts w:ascii="Cambria" w:hAnsi="Cambria"/>
          <w:sz w:val="20"/>
          <w:szCs w:val="20"/>
        </w:rPr>
        <w:t>of</w:t>
      </w:r>
      <w:r w:rsidRPr="008A7BD7">
        <w:rPr>
          <w:rFonts w:ascii="Cambria" w:hAnsi="Cambria"/>
          <w:sz w:val="20"/>
          <w:szCs w:val="20"/>
        </w:rPr>
        <w:t xml:space="preserve"> </w:t>
      </w:r>
      <w:r w:rsidR="00471283" w:rsidRPr="008A7BD7">
        <w:rPr>
          <w:rFonts w:ascii="Cambria" w:hAnsi="Cambria"/>
          <w:sz w:val="20"/>
          <w:szCs w:val="20"/>
        </w:rPr>
        <w:t xml:space="preserve">fundamental </w:t>
      </w:r>
      <w:r w:rsidRPr="008A7BD7">
        <w:rPr>
          <w:rFonts w:ascii="Cambria" w:hAnsi="Cambria"/>
          <w:sz w:val="20"/>
          <w:szCs w:val="20"/>
        </w:rPr>
        <w:t>interest</w:t>
      </w:r>
      <w:r w:rsidR="00471283" w:rsidRPr="008A7BD7">
        <w:rPr>
          <w:rFonts w:ascii="Cambria" w:hAnsi="Cambria"/>
          <w:sz w:val="20"/>
          <w:szCs w:val="20"/>
        </w:rPr>
        <w:t xml:space="preserve"> for</w:t>
      </w:r>
      <w:r w:rsidRPr="008A7BD7">
        <w:rPr>
          <w:rFonts w:ascii="Cambria" w:hAnsi="Cambria"/>
          <w:sz w:val="20"/>
          <w:szCs w:val="20"/>
        </w:rPr>
        <w:t xml:space="preserve"> the </w:t>
      </w:r>
      <w:proofErr w:type="gramStart"/>
      <w:r w:rsidRPr="008A7BD7">
        <w:rPr>
          <w:rFonts w:ascii="Cambria" w:hAnsi="Cambria"/>
          <w:sz w:val="20"/>
          <w:szCs w:val="20"/>
        </w:rPr>
        <w:t>aforementioned policy</w:t>
      </w:r>
      <w:proofErr w:type="gramEnd"/>
      <w:r w:rsidRPr="008A7BD7">
        <w:rPr>
          <w:rFonts w:ascii="Cambria" w:hAnsi="Cambria"/>
          <w:sz w:val="20"/>
          <w:szCs w:val="20"/>
        </w:rPr>
        <w:t xml:space="preserve"> to promote a culture of </w:t>
      </w:r>
      <w:r w:rsidR="00385B99" w:rsidRPr="008A7BD7">
        <w:rPr>
          <w:rFonts w:ascii="Cambria" w:hAnsi="Cambria"/>
          <w:sz w:val="20"/>
          <w:szCs w:val="20"/>
        </w:rPr>
        <w:t>reporting</w:t>
      </w:r>
      <w:r w:rsidR="000D43EF" w:rsidRPr="008A7BD7">
        <w:rPr>
          <w:rFonts w:ascii="Cambria" w:hAnsi="Cambria"/>
          <w:sz w:val="20"/>
          <w:szCs w:val="20"/>
        </w:rPr>
        <w:t xml:space="preserve"> complaints that would show </w:t>
      </w:r>
      <w:r w:rsidR="00376659" w:rsidRPr="008A7BD7">
        <w:rPr>
          <w:rFonts w:ascii="Cambria" w:hAnsi="Cambria"/>
          <w:sz w:val="20"/>
          <w:szCs w:val="20"/>
        </w:rPr>
        <w:t xml:space="preserve">how complex </w:t>
      </w:r>
      <w:r w:rsidR="000D43EF" w:rsidRPr="008A7BD7">
        <w:rPr>
          <w:rFonts w:ascii="Cambria" w:hAnsi="Cambria"/>
          <w:sz w:val="20"/>
          <w:szCs w:val="20"/>
        </w:rPr>
        <w:t xml:space="preserve">the problem </w:t>
      </w:r>
      <w:r w:rsidR="00376659" w:rsidRPr="008A7BD7">
        <w:rPr>
          <w:rFonts w:ascii="Cambria" w:hAnsi="Cambria"/>
          <w:sz w:val="20"/>
          <w:szCs w:val="20"/>
        </w:rPr>
        <w:t xml:space="preserve">is </w:t>
      </w:r>
      <w:r w:rsidR="000D43EF" w:rsidRPr="008A7BD7">
        <w:rPr>
          <w:rFonts w:ascii="Cambria" w:hAnsi="Cambria"/>
          <w:sz w:val="20"/>
          <w:szCs w:val="20"/>
        </w:rPr>
        <w:t>and make it possible to create strategies to eliminate it.</w:t>
      </w:r>
      <w:r w:rsidR="009E52D6" w:rsidRPr="008A7BD7">
        <w:rPr>
          <w:rFonts w:ascii="Cambria" w:hAnsi="Cambria"/>
          <w:sz w:val="20"/>
          <w:szCs w:val="20"/>
        </w:rPr>
        <w:t xml:space="preserve">” </w:t>
      </w:r>
      <w:r w:rsidR="000D43EF" w:rsidRPr="008A7BD7">
        <w:rPr>
          <w:rFonts w:ascii="Cambria" w:hAnsi="Cambria"/>
          <w:sz w:val="20"/>
          <w:szCs w:val="20"/>
        </w:rPr>
        <w:t xml:space="preserve">The State affirmed that it has </w:t>
      </w:r>
      <w:r w:rsidR="00471283" w:rsidRPr="008A7BD7">
        <w:rPr>
          <w:rFonts w:ascii="Cambria" w:hAnsi="Cambria"/>
          <w:sz w:val="20"/>
          <w:szCs w:val="20"/>
        </w:rPr>
        <w:t xml:space="preserve">consequently </w:t>
      </w:r>
      <w:r w:rsidR="000D43EF" w:rsidRPr="008A7BD7">
        <w:rPr>
          <w:rFonts w:ascii="Cambria" w:hAnsi="Cambria"/>
          <w:sz w:val="20"/>
          <w:szCs w:val="20"/>
        </w:rPr>
        <w:t>carried out actions</w:t>
      </w:r>
      <w:r w:rsidR="00471283" w:rsidRPr="008A7BD7">
        <w:rPr>
          <w:rFonts w:ascii="Cambria" w:hAnsi="Cambria"/>
          <w:sz w:val="20"/>
          <w:szCs w:val="20"/>
        </w:rPr>
        <w:t xml:space="preserve"> </w:t>
      </w:r>
      <w:r w:rsidR="000D43EF" w:rsidRPr="008A7BD7">
        <w:rPr>
          <w:rFonts w:ascii="Cambria" w:hAnsi="Cambria"/>
          <w:sz w:val="20"/>
          <w:szCs w:val="20"/>
        </w:rPr>
        <w:t xml:space="preserve">in the framework of the National Coordinator for the Prevention of Intrafamily Violence </w:t>
      </w:r>
      <w:r w:rsidR="00471283" w:rsidRPr="008A7BD7">
        <w:rPr>
          <w:rFonts w:ascii="Cambria" w:hAnsi="Cambria"/>
          <w:sz w:val="20"/>
          <w:szCs w:val="20"/>
        </w:rPr>
        <w:t xml:space="preserve">and Violence </w:t>
      </w:r>
      <w:r w:rsidR="000D43EF" w:rsidRPr="008A7BD7">
        <w:rPr>
          <w:rFonts w:ascii="Cambria" w:hAnsi="Cambria"/>
          <w:sz w:val="20"/>
          <w:szCs w:val="20"/>
        </w:rPr>
        <w:t xml:space="preserve">against Women </w:t>
      </w:r>
      <w:r w:rsidR="009E52D6" w:rsidRPr="008A7BD7">
        <w:rPr>
          <w:rFonts w:ascii="Cambria" w:hAnsi="Cambria"/>
          <w:sz w:val="20"/>
          <w:szCs w:val="20"/>
        </w:rPr>
        <w:t>(CONAPREVI)</w:t>
      </w:r>
      <w:r w:rsidR="000D43EF" w:rsidRPr="008A7BD7">
        <w:rPr>
          <w:rFonts w:ascii="Cambria" w:hAnsi="Cambria"/>
          <w:sz w:val="20"/>
          <w:szCs w:val="20"/>
        </w:rPr>
        <w:t>.</w:t>
      </w:r>
      <w:r w:rsidR="009E52D6" w:rsidRPr="008A7BD7">
        <w:rPr>
          <w:rStyle w:val="FootnoteReference"/>
          <w:rFonts w:ascii="Cambria" w:hAnsi="Cambria"/>
          <w:sz w:val="20"/>
          <w:szCs w:val="20"/>
          <w:lang w:val="es-ES"/>
        </w:rPr>
        <w:footnoteReference w:id="328"/>
      </w:r>
    </w:p>
    <w:p w14:paraId="0D9DF262" w14:textId="77777777" w:rsidR="009E52D6" w:rsidRPr="008A7BD7" w:rsidRDefault="009E52D6" w:rsidP="009E52D6">
      <w:pPr>
        <w:pStyle w:val="ListParagraph"/>
        <w:rPr>
          <w:rFonts w:ascii="Cambria" w:hAnsi="Cambria"/>
          <w:sz w:val="20"/>
          <w:szCs w:val="20"/>
        </w:rPr>
      </w:pPr>
    </w:p>
    <w:p w14:paraId="151E33BA" w14:textId="2B1468BB" w:rsidR="009E52D6" w:rsidRPr="008A7BD7" w:rsidRDefault="00B82980" w:rsidP="009E52D6">
      <w:pPr>
        <w:numPr>
          <w:ilvl w:val="0"/>
          <w:numId w:val="2"/>
        </w:numPr>
        <w:ind w:left="0" w:firstLine="720"/>
        <w:jc w:val="both"/>
        <w:rPr>
          <w:rFonts w:ascii="Cambria" w:hAnsi="Cambria"/>
          <w:sz w:val="20"/>
          <w:szCs w:val="20"/>
        </w:rPr>
      </w:pPr>
      <w:r w:rsidRPr="008A7BD7">
        <w:rPr>
          <w:rFonts w:ascii="Cambria" w:hAnsi="Cambria"/>
          <w:sz w:val="20"/>
          <w:szCs w:val="20"/>
        </w:rPr>
        <w:t xml:space="preserve">In addition, in its communication of November </w:t>
      </w:r>
      <w:r w:rsidR="009E52D6" w:rsidRPr="008A7BD7">
        <w:rPr>
          <w:rFonts w:ascii="Cambria" w:hAnsi="Cambria"/>
          <w:sz w:val="20"/>
          <w:szCs w:val="20"/>
        </w:rPr>
        <w:t>23</w:t>
      </w:r>
      <w:r w:rsidRPr="008A7BD7">
        <w:rPr>
          <w:rFonts w:ascii="Cambria" w:hAnsi="Cambria"/>
          <w:sz w:val="20"/>
          <w:szCs w:val="20"/>
        </w:rPr>
        <w:t xml:space="preserve">, </w:t>
      </w:r>
      <w:r w:rsidR="009E52D6" w:rsidRPr="008A7BD7">
        <w:rPr>
          <w:rFonts w:ascii="Cambria" w:hAnsi="Cambria"/>
          <w:sz w:val="20"/>
          <w:szCs w:val="20"/>
        </w:rPr>
        <w:t xml:space="preserve">2021, </w:t>
      </w:r>
      <w:r w:rsidRPr="008A7BD7">
        <w:rPr>
          <w:rFonts w:ascii="Cambria" w:hAnsi="Cambria"/>
          <w:sz w:val="20"/>
          <w:szCs w:val="20"/>
        </w:rPr>
        <w:t xml:space="preserve">the Guatemalan State noted that the number of cases </w:t>
      </w:r>
      <w:r w:rsidR="00D23580" w:rsidRPr="008A7BD7">
        <w:rPr>
          <w:rFonts w:ascii="Cambria" w:hAnsi="Cambria"/>
          <w:sz w:val="20"/>
          <w:szCs w:val="20"/>
        </w:rPr>
        <w:t>handled through</w:t>
      </w:r>
      <w:r w:rsidR="006C6F5A" w:rsidRPr="008A7BD7">
        <w:rPr>
          <w:rFonts w:ascii="Cambria" w:hAnsi="Cambria"/>
          <w:sz w:val="20"/>
          <w:szCs w:val="20"/>
        </w:rPr>
        <w:t xml:space="preserve"> the </w:t>
      </w:r>
      <w:r w:rsidR="009E52D6" w:rsidRPr="008A7BD7">
        <w:rPr>
          <w:rFonts w:ascii="Cambria" w:hAnsi="Cambria"/>
          <w:sz w:val="20"/>
          <w:szCs w:val="20"/>
        </w:rPr>
        <w:t xml:space="preserve">MAIMI </w:t>
      </w:r>
      <w:r w:rsidR="00D23580" w:rsidRPr="008A7BD7">
        <w:rPr>
          <w:rFonts w:ascii="Cambria" w:hAnsi="Cambria"/>
          <w:sz w:val="20"/>
          <w:szCs w:val="20"/>
        </w:rPr>
        <w:t xml:space="preserve">program </w:t>
      </w:r>
      <w:r w:rsidR="006C6F5A" w:rsidRPr="008A7BD7">
        <w:rPr>
          <w:rFonts w:ascii="Cambria" w:hAnsi="Cambria"/>
          <w:sz w:val="20"/>
          <w:szCs w:val="20"/>
        </w:rPr>
        <w:t xml:space="preserve">has risen to </w:t>
      </w:r>
      <w:r w:rsidR="009E52D6" w:rsidRPr="008A7BD7">
        <w:rPr>
          <w:rFonts w:ascii="Cambria" w:hAnsi="Cambria"/>
          <w:sz w:val="20"/>
          <w:szCs w:val="20"/>
        </w:rPr>
        <w:t>6</w:t>
      </w:r>
      <w:r w:rsidR="006C6F5A" w:rsidRPr="008A7BD7">
        <w:rPr>
          <w:rFonts w:ascii="Cambria" w:hAnsi="Cambria"/>
          <w:sz w:val="20"/>
          <w:szCs w:val="20"/>
        </w:rPr>
        <w:t>,</w:t>
      </w:r>
      <w:r w:rsidR="009E52D6" w:rsidRPr="008A7BD7">
        <w:rPr>
          <w:rFonts w:ascii="Cambria" w:hAnsi="Cambria"/>
          <w:sz w:val="20"/>
          <w:szCs w:val="20"/>
        </w:rPr>
        <w:t xml:space="preserve">469. </w:t>
      </w:r>
      <w:r w:rsidR="006C6F5A" w:rsidRPr="008A7BD7">
        <w:rPr>
          <w:rFonts w:ascii="Cambria" w:hAnsi="Cambria"/>
          <w:sz w:val="20"/>
          <w:szCs w:val="20"/>
        </w:rPr>
        <w:t xml:space="preserve">Moreover, </w:t>
      </w:r>
      <w:r w:rsidR="00D23580" w:rsidRPr="008A7BD7">
        <w:rPr>
          <w:rFonts w:ascii="Cambria" w:hAnsi="Cambria"/>
          <w:sz w:val="20"/>
          <w:szCs w:val="20"/>
        </w:rPr>
        <w:t>it</w:t>
      </w:r>
      <w:r w:rsidR="006C6F5A" w:rsidRPr="008A7BD7">
        <w:rPr>
          <w:rFonts w:ascii="Cambria" w:hAnsi="Cambria"/>
          <w:sz w:val="20"/>
          <w:szCs w:val="20"/>
        </w:rPr>
        <w:t xml:space="preserve"> has provided 2,</w:t>
      </w:r>
      <w:r w:rsidR="009E52D6" w:rsidRPr="008A7BD7">
        <w:rPr>
          <w:rFonts w:ascii="Cambria" w:hAnsi="Cambria"/>
          <w:sz w:val="20"/>
          <w:szCs w:val="20"/>
        </w:rPr>
        <w:t xml:space="preserve">704 </w:t>
      </w:r>
      <w:r w:rsidR="006C6F5A" w:rsidRPr="008A7BD7">
        <w:rPr>
          <w:rFonts w:ascii="Cambria" w:hAnsi="Cambria"/>
          <w:sz w:val="20"/>
          <w:szCs w:val="20"/>
        </w:rPr>
        <w:t xml:space="preserve">security and protection measures and </w:t>
      </w:r>
      <w:r w:rsidR="001E042D" w:rsidRPr="008A7BD7">
        <w:rPr>
          <w:rFonts w:ascii="Cambria" w:hAnsi="Cambria"/>
          <w:sz w:val="20"/>
          <w:szCs w:val="20"/>
        </w:rPr>
        <w:t xml:space="preserve">has had </w:t>
      </w:r>
      <w:r w:rsidR="009E52D6" w:rsidRPr="008A7BD7">
        <w:rPr>
          <w:rFonts w:ascii="Cambria" w:hAnsi="Cambria"/>
          <w:sz w:val="20"/>
          <w:szCs w:val="20"/>
        </w:rPr>
        <w:t>2</w:t>
      </w:r>
      <w:r w:rsidR="006C6F5A" w:rsidRPr="008A7BD7">
        <w:rPr>
          <w:rFonts w:ascii="Cambria" w:hAnsi="Cambria"/>
          <w:sz w:val="20"/>
          <w:szCs w:val="20"/>
        </w:rPr>
        <w:t>,</w:t>
      </w:r>
      <w:r w:rsidR="009E52D6" w:rsidRPr="008A7BD7">
        <w:rPr>
          <w:rFonts w:ascii="Cambria" w:hAnsi="Cambria"/>
          <w:sz w:val="20"/>
          <w:szCs w:val="20"/>
        </w:rPr>
        <w:t>159 cas</w:t>
      </w:r>
      <w:r w:rsidR="006C6F5A" w:rsidRPr="008A7BD7">
        <w:rPr>
          <w:rFonts w:ascii="Cambria" w:hAnsi="Cambria"/>
          <w:sz w:val="20"/>
          <w:szCs w:val="20"/>
        </w:rPr>
        <w:t xml:space="preserve">es come in </w:t>
      </w:r>
      <w:r w:rsidR="000F61F6" w:rsidRPr="008A7BD7">
        <w:rPr>
          <w:rFonts w:ascii="Cambria" w:hAnsi="Cambria"/>
          <w:sz w:val="20"/>
          <w:szCs w:val="20"/>
        </w:rPr>
        <w:t>by other means</w:t>
      </w:r>
      <w:r w:rsidR="006C6F5A" w:rsidRPr="008A7BD7">
        <w:rPr>
          <w:rFonts w:ascii="Cambria" w:hAnsi="Cambria"/>
          <w:sz w:val="20"/>
          <w:szCs w:val="20"/>
        </w:rPr>
        <w:t xml:space="preserve">. </w:t>
      </w:r>
      <w:r w:rsidR="00376659" w:rsidRPr="008A7BD7">
        <w:rPr>
          <w:rFonts w:ascii="Cambria" w:hAnsi="Cambria"/>
          <w:sz w:val="20"/>
          <w:szCs w:val="20"/>
        </w:rPr>
        <w:t xml:space="preserve">Its records also show </w:t>
      </w:r>
      <w:r w:rsidR="009E52D6" w:rsidRPr="008A7BD7">
        <w:rPr>
          <w:rFonts w:ascii="Cambria" w:hAnsi="Cambria"/>
          <w:sz w:val="20"/>
          <w:szCs w:val="20"/>
        </w:rPr>
        <w:t xml:space="preserve">417 </w:t>
      </w:r>
      <w:r w:rsidR="00376659" w:rsidRPr="008A7BD7">
        <w:rPr>
          <w:rFonts w:ascii="Cambria" w:hAnsi="Cambria"/>
          <w:sz w:val="20"/>
          <w:szCs w:val="20"/>
        </w:rPr>
        <w:t>arrest warrants requested; 1,</w:t>
      </w:r>
      <w:r w:rsidR="009E52D6" w:rsidRPr="008A7BD7">
        <w:rPr>
          <w:rFonts w:ascii="Cambria" w:hAnsi="Cambria"/>
          <w:sz w:val="20"/>
          <w:szCs w:val="20"/>
        </w:rPr>
        <w:t xml:space="preserve">334 </w:t>
      </w:r>
      <w:r w:rsidR="005832F8" w:rsidRPr="008A7BD7">
        <w:rPr>
          <w:rFonts w:ascii="Cambria" w:hAnsi="Cambria"/>
          <w:sz w:val="20"/>
          <w:szCs w:val="20"/>
        </w:rPr>
        <w:t xml:space="preserve">investigative </w:t>
      </w:r>
      <w:r w:rsidR="00CF1B4E" w:rsidRPr="008A7BD7">
        <w:rPr>
          <w:rFonts w:ascii="Cambria" w:hAnsi="Cambria"/>
          <w:sz w:val="20"/>
          <w:szCs w:val="20"/>
        </w:rPr>
        <w:t xml:space="preserve">proceedings carried out </w:t>
      </w:r>
      <w:r w:rsidR="005832F8" w:rsidRPr="008A7BD7">
        <w:rPr>
          <w:rFonts w:ascii="Cambria" w:hAnsi="Cambria"/>
          <w:sz w:val="20"/>
          <w:szCs w:val="20"/>
        </w:rPr>
        <w:t xml:space="preserve">by the </w:t>
      </w:r>
      <w:r w:rsidR="009E52D6" w:rsidRPr="008A7BD7">
        <w:rPr>
          <w:rFonts w:ascii="Cambria" w:hAnsi="Cambria"/>
          <w:sz w:val="20"/>
          <w:szCs w:val="20"/>
        </w:rPr>
        <w:t xml:space="preserve">PNC-DEIC </w:t>
      </w:r>
      <w:r w:rsidR="005832F8" w:rsidRPr="008A7BD7">
        <w:rPr>
          <w:rFonts w:ascii="Cambria" w:hAnsi="Cambria"/>
          <w:sz w:val="20"/>
          <w:szCs w:val="20"/>
        </w:rPr>
        <w:t xml:space="preserve">in cases </w:t>
      </w:r>
      <w:r w:rsidR="00777032" w:rsidRPr="008A7BD7">
        <w:rPr>
          <w:rFonts w:ascii="Cambria" w:hAnsi="Cambria"/>
          <w:sz w:val="20"/>
          <w:szCs w:val="20"/>
        </w:rPr>
        <w:t xml:space="preserve">in which the offense is not </w:t>
      </w:r>
      <w:r w:rsidR="005832F8" w:rsidRPr="008A7BD7">
        <w:rPr>
          <w:rFonts w:ascii="Cambria" w:hAnsi="Cambria"/>
          <w:sz w:val="20"/>
          <w:szCs w:val="20"/>
        </w:rPr>
        <w:t>flagrant; 1,</w:t>
      </w:r>
      <w:r w:rsidR="009E52D6" w:rsidRPr="008A7BD7">
        <w:rPr>
          <w:rFonts w:ascii="Cambria" w:hAnsi="Cambria"/>
          <w:sz w:val="20"/>
          <w:szCs w:val="20"/>
        </w:rPr>
        <w:t>317</w:t>
      </w:r>
      <w:r w:rsidR="005832F8" w:rsidRPr="008A7BD7">
        <w:rPr>
          <w:rFonts w:ascii="Cambria" w:hAnsi="Cambria"/>
          <w:sz w:val="20"/>
          <w:szCs w:val="20"/>
        </w:rPr>
        <w:t xml:space="preserve"> proce</w:t>
      </w:r>
      <w:r w:rsidR="00777032" w:rsidRPr="008A7BD7">
        <w:rPr>
          <w:rFonts w:ascii="Cambria" w:hAnsi="Cambria"/>
          <w:sz w:val="20"/>
          <w:szCs w:val="20"/>
        </w:rPr>
        <w:t>eding</w:t>
      </w:r>
      <w:r w:rsidR="005832F8" w:rsidRPr="008A7BD7">
        <w:rPr>
          <w:rFonts w:ascii="Cambria" w:hAnsi="Cambria"/>
          <w:sz w:val="20"/>
          <w:szCs w:val="20"/>
        </w:rPr>
        <w:t xml:space="preserve">s </w:t>
      </w:r>
      <w:r w:rsidR="002533E4" w:rsidRPr="008A7BD7">
        <w:rPr>
          <w:rFonts w:ascii="Cambria" w:hAnsi="Cambria"/>
          <w:sz w:val="20"/>
          <w:szCs w:val="20"/>
        </w:rPr>
        <w:t xml:space="preserve">sent to </w:t>
      </w:r>
      <w:r w:rsidR="005832F8" w:rsidRPr="008A7BD7">
        <w:rPr>
          <w:rFonts w:ascii="Cambria" w:hAnsi="Cambria"/>
          <w:sz w:val="20"/>
          <w:szCs w:val="20"/>
        </w:rPr>
        <w:t xml:space="preserve">the </w:t>
      </w:r>
      <w:r w:rsidR="002533E4" w:rsidRPr="008A7BD7">
        <w:rPr>
          <w:rFonts w:ascii="Cambria" w:hAnsi="Cambria"/>
          <w:sz w:val="20"/>
          <w:szCs w:val="20"/>
        </w:rPr>
        <w:t xml:space="preserve">Directorate of </w:t>
      </w:r>
      <w:r w:rsidR="005832F8" w:rsidRPr="008A7BD7">
        <w:rPr>
          <w:rFonts w:ascii="Cambria" w:hAnsi="Cambria"/>
          <w:sz w:val="20"/>
          <w:szCs w:val="20"/>
        </w:rPr>
        <w:t>Crim</w:t>
      </w:r>
      <w:r w:rsidR="002533E4" w:rsidRPr="008A7BD7">
        <w:rPr>
          <w:rFonts w:ascii="Cambria" w:hAnsi="Cambria"/>
          <w:sz w:val="20"/>
          <w:szCs w:val="20"/>
        </w:rPr>
        <w:t>inal</w:t>
      </w:r>
      <w:r w:rsidR="005832F8" w:rsidRPr="008A7BD7">
        <w:rPr>
          <w:rFonts w:ascii="Cambria" w:hAnsi="Cambria"/>
          <w:sz w:val="20"/>
          <w:szCs w:val="20"/>
        </w:rPr>
        <w:t xml:space="preserve"> Investigations (DICRI) </w:t>
      </w:r>
      <w:r w:rsidR="00777032" w:rsidRPr="008A7BD7">
        <w:rPr>
          <w:rFonts w:ascii="Cambria" w:hAnsi="Cambria"/>
          <w:sz w:val="20"/>
          <w:szCs w:val="20"/>
        </w:rPr>
        <w:t>for</w:t>
      </w:r>
      <w:r w:rsidR="005832F8" w:rsidRPr="008A7BD7">
        <w:rPr>
          <w:rFonts w:ascii="Cambria" w:hAnsi="Cambria"/>
          <w:sz w:val="20"/>
          <w:szCs w:val="20"/>
        </w:rPr>
        <w:t xml:space="preserve"> investigation, documentation, packaging</w:t>
      </w:r>
      <w:r w:rsidR="00777032" w:rsidRPr="008A7BD7">
        <w:rPr>
          <w:rFonts w:ascii="Cambria" w:hAnsi="Cambria"/>
          <w:sz w:val="20"/>
          <w:szCs w:val="20"/>
        </w:rPr>
        <w:t xml:space="preserve"> o</w:t>
      </w:r>
      <w:r w:rsidR="005B3F5D" w:rsidRPr="008A7BD7">
        <w:rPr>
          <w:rFonts w:ascii="Cambria" w:hAnsi="Cambria"/>
          <w:sz w:val="20"/>
          <w:szCs w:val="20"/>
        </w:rPr>
        <w:t>f</w:t>
      </w:r>
      <w:r w:rsidR="00777032" w:rsidRPr="008A7BD7">
        <w:rPr>
          <w:rFonts w:ascii="Cambria" w:hAnsi="Cambria"/>
          <w:sz w:val="20"/>
          <w:szCs w:val="20"/>
        </w:rPr>
        <w:t xml:space="preserve"> evidence</w:t>
      </w:r>
      <w:r w:rsidR="005832F8" w:rsidRPr="008A7BD7">
        <w:rPr>
          <w:rFonts w:ascii="Cambria" w:hAnsi="Cambria"/>
          <w:sz w:val="20"/>
          <w:szCs w:val="20"/>
        </w:rPr>
        <w:t xml:space="preserve">, </w:t>
      </w:r>
      <w:r w:rsidR="002533E4" w:rsidRPr="008A7BD7">
        <w:rPr>
          <w:rFonts w:ascii="Cambria" w:hAnsi="Cambria"/>
          <w:sz w:val="20"/>
          <w:szCs w:val="20"/>
        </w:rPr>
        <w:t xml:space="preserve">or </w:t>
      </w:r>
      <w:r w:rsidR="00777032" w:rsidRPr="008A7BD7">
        <w:rPr>
          <w:rFonts w:ascii="Cambria" w:hAnsi="Cambria"/>
          <w:sz w:val="20"/>
          <w:szCs w:val="20"/>
        </w:rPr>
        <w:t xml:space="preserve">processing of the </w:t>
      </w:r>
      <w:r w:rsidR="002533E4" w:rsidRPr="008A7BD7">
        <w:rPr>
          <w:rFonts w:ascii="Cambria" w:hAnsi="Cambria"/>
          <w:sz w:val="20"/>
          <w:szCs w:val="20"/>
        </w:rPr>
        <w:t>scene</w:t>
      </w:r>
      <w:r w:rsidR="009E52D6" w:rsidRPr="008A7BD7">
        <w:rPr>
          <w:rFonts w:ascii="Cambria" w:hAnsi="Cambria"/>
          <w:sz w:val="20"/>
          <w:szCs w:val="20"/>
        </w:rPr>
        <w:t xml:space="preserve">. </w:t>
      </w:r>
      <w:r w:rsidR="00DA7C66" w:rsidRPr="008A7BD7">
        <w:rPr>
          <w:rFonts w:ascii="Cambria" w:hAnsi="Cambria"/>
          <w:sz w:val="20"/>
          <w:szCs w:val="20"/>
        </w:rPr>
        <w:t xml:space="preserve">The State also reported that the Implementation Strategy for the National Plan for the Prevention and Eradication of Violence against Women </w:t>
      </w:r>
      <w:r w:rsidR="009E52D6" w:rsidRPr="008A7BD7">
        <w:rPr>
          <w:rFonts w:ascii="Cambria" w:hAnsi="Cambria"/>
          <w:sz w:val="20"/>
          <w:szCs w:val="20"/>
        </w:rPr>
        <w:t>2020-2029</w:t>
      </w:r>
      <w:r w:rsidR="00DA7C66" w:rsidRPr="008A7BD7">
        <w:rPr>
          <w:rFonts w:ascii="Cambria" w:hAnsi="Cambria"/>
          <w:sz w:val="20"/>
          <w:szCs w:val="20"/>
        </w:rPr>
        <w:t xml:space="preserve"> is in the </w:t>
      </w:r>
      <w:r w:rsidR="007D4E14" w:rsidRPr="008A7BD7">
        <w:rPr>
          <w:rFonts w:ascii="Cambria" w:hAnsi="Cambria"/>
          <w:sz w:val="20"/>
          <w:szCs w:val="20"/>
        </w:rPr>
        <w:t>process of being validated.</w:t>
      </w:r>
      <w:r w:rsidR="009E52D6" w:rsidRPr="008A7BD7">
        <w:rPr>
          <w:rStyle w:val="FootnoteReference"/>
          <w:rFonts w:ascii="Cambria" w:hAnsi="Cambria"/>
          <w:sz w:val="20"/>
          <w:szCs w:val="20"/>
          <w:lang w:val="es-ES"/>
        </w:rPr>
        <w:footnoteReference w:id="329"/>
      </w:r>
    </w:p>
    <w:p w14:paraId="55DDE1FD" w14:textId="77777777" w:rsidR="004D1FCF" w:rsidRPr="008A7BD7" w:rsidRDefault="004D1FCF" w:rsidP="004D1FCF">
      <w:pPr>
        <w:contextualSpacing/>
        <w:jc w:val="both"/>
        <w:rPr>
          <w:rFonts w:ascii="Cambria" w:hAnsi="Cambria"/>
          <w:sz w:val="20"/>
          <w:szCs w:val="20"/>
        </w:rPr>
      </w:pPr>
    </w:p>
    <w:p w14:paraId="3C33797B" w14:textId="3D818E5F" w:rsidR="004D1FCF" w:rsidRPr="008A7BD7" w:rsidRDefault="007A2598"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The Commission </w:t>
      </w:r>
      <w:r w:rsidR="00386287" w:rsidRPr="008A7BD7">
        <w:rPr>
          <w:rFonts w:ascii="Cambria" w:hAnsi="Cambria"/>
          <w:sz w:val="20"/>
          <w:szCs w:val="20"/>
        </w:rPr>
        <w:t xml:space="preserve">calls to mind that the State has a duty to adopt and strengthen prevention and protection policies to address violence, through a comprehensive approach that includes the justice, education, and health sectors and that </w:t>
      </w:r>
      <w:r w:rsidR="003141CD" w:rsidRPr="008A7BD7">
        <w:rPr>
          <w:rFonts w:ascii="Cambria" w:hAnsi="Cambria"/>
          <w:sz w:val="20"/>
          <w:szCs w:val="20"/>
        </w:rPr>
        <w:t>tackles</w:t>
      </w:r>
      <w:r w:rsidR="00386287" w:rsidRPr="008A7BD7">
        <w:rPr>
          <w:rFonts w:ascii="Cambria" w:hAnsi="Cambria"/>
          <w:sz w:val="20"/>
          <w:szCs w:val="20"/>
        </w:rPr>
        <w:t xml:space="preserve"> the various </w:t>
      </w:r>
      <w:r w:rsidR="004D1FCF" w:rsidRPr="008A7BD7">
        <w:rPr>
          <w:rFonts w:ascii="Cambria" w:hAnsi="Cambria"/>
          <w:sz w:val="20"/>
          <w:szCs w:val="20"/>
        </w:rPr>
        <w:t xml:space="preserve"> </w:t>
      </w:r>
      <w:r w:rsidR="00501AE9" w:rsidRPr="008A7BD7">
        <w:rPr>
          <w:rFonts w:ascii="Cambria" w:hAnsi="Cambria"/>
          <w:sz w:val="20"/>
          <w:szCs w:val="20"/>
        </w:rPr>
        <w:t>manifestations of violence against women.</w:t>
      </w:r>
      <w:r w:rsidR="004D1FCF" w:rsidRPr="008A7BD7">
        <w:rPr>
          <w:rStyle w:val="FootnoteReference"/>
          <w:rFonts w:ascii="Cambria" w:hAnsi="Cambria"/>
          <w:sz w:val="20"/>
          <w:szCs w:val="20"/>
          <w:lang w:val="es-ES"/>
        </w:rPr>
        <w:footnoteReference w:id="330"/>
      </w:r>
      <w:r w:rsidR="004D1FCF" w:rsidRPr="008A7BD7">
        <w:rPr>
          <w:rFonts w:ascii="Cambria" w:hAnsi="Cambria"/>
          <w:sz w:val="20"/>
          <w:szCs w:val="20"/>
        </w:rPr>
        <w:t xml:space="preserve"> </w:t>
      </w:r>
      <w:r w:rsidR="00D33721" w:rsidRPr="008A7BD7">
        <w:rPr>
          <w:rFonts w:ascii="Cambria" w:hAnsi="Cambria"/>
          <w:sz w:val="20"/>
          <w:szCs w:val="20"/>
        </w:rPr>
        <w:t xml:space="preserve">To that end, it is essential that these policies include the necessary funding to ensure </w:t>
      </w:r>
      <w:r w:rsidR="009F1AD4" w:rsidRPr="008A7BD7">
        <w:rPr>
          <w:rFonts w:ascii="Cambria" w:hAnsi="Cambria"/>
          <w:sz w:val="20"/>
          <w:szCs w:val="20"/>
        </w:rPr>
        <w:t>actual</w:t>
      </w:r>
      <w:r w:rsidR="00D33721" w:rsidRPr="008A7BD7">
        <w:rPr>
          <w:rFonts w:ascii="Cambria" w:hAnsi="Cambria"/>
          <w:sz w:val="20"/>
          <w:szCs w:val="20"/>
        </w:rPr>
        <w:t xml:space="preserve"> implementation and that there be </w:t>
      </w:r>
      <w:r w:rsidR="009F1AD4" w:rsidRPr="008A7BD7">
        <w:rPr>
          <w:rFonts w:ascii="Cambria" w:hAnsi="Cambria"/>
          <w:sz w:val="20"/>
          <w:szCs w:val="20"/>
        </w:rPr>
        <w:t>a well-</w:t>
      </w:r>
      <w:r w:rsidR="00D33721" w:rsidRPr="008A7BD7">
        <w:rPr>
          <w:rFonts w:ascii="Cambria" w:hAnsi="Cambria"/>
          <w:sz w:val="20"/>
          <w:szCs w:val="20"/>
        </w:rPr>
        <w:t xml:space="preserve">defined, </w:t>
      </w:r>
      <w:r w:rsidR="009F1AD4" w:rsidRPr="008A7BD7">
        <w:rPr>
          <w:rFonts w:ascii="Cambria" w:hAnsi="Cambria"/>
          <w:sz w:val="20"/>
          <w:szCs w:val="20"/>
        </w:rPr>
        <w:t>sustainable</w:t>
      </w:r>
      <w:r w:rsidR="00D33721" w:rsidRPr="008A7BD7">
        <w:rPr>
          <w:rFonts w:ascii="Cambria" w:hAnsi="Cambria"/>
          <w:sz w:val="20"/>
          <w:szCs w:val="20"/>
        </w:rPr>
        <w:t xml:space="preserve">, and </w:t>
      </w:r>
      <w:r w:rsidR="009F1AD4" w:rsidRPr="008A7BD7">
        <w:rPr>
          <w:rFonts w:ascii="Cambria" w:hAnsi="Cambria"/>
          <w:sz w:val="20"/>
          <w:szCs w:val="20"/>
        </w:rPr>
        <w:t>adequate</w:t>
      </w:r>
      <w:r w:rsidR="00D33721" w:rsidRPr="008A7BD7">
        <w:rPr>
          <w:rFonts w:ascii="Cambria" w:hAnsi="Cambria"/>
          <w:sz w:val="20"/>
          <w:szCs w:val="20"/>
        </w:rPr>
        <w:t xml:space="preserve"> </w:t>
      </w:r>
      <w:r w:rsidR="009F1AD4" w:rsidRPr="008A7BD7">
        <w:rPr>
          <w:rFonts w:ascii="Cambria" w:hAnsi="Cambria"/>
          <w:sz w:val="20"/>
          <w:szCs w:val="20"/>
        </w:rPr>
        <w:t xml:space="preserve">funding mechanism in place </w:t>
      </w:r>
      <w:r w:rsidR="00D33721" w:rsidRPr="008A7BD7">
        <w:rPr>
          <w:rFonts w:ascii="Cambria" w:hAnsi="Cambria"/>
          <w:sz w:val="20"/>
          <w:szCs w:val="20"/>
        </w:rPr>
        <w:t xml:space="preserve">that makes it possible to meet the </w:t>
      </w:r>
      <w:r w:rsidR="009F1AD4" w:rsidRPr="008A7BD7">
        <w:rPr>
          <w:rFonts w:ascii="Cambria" w:hAnsi="Cambria"/>
          <w:sz w:val="20"/>
          <w:szCs w:val="20"/>
        </w:rPr>
        <w:t xml:space="preserve">pre-established </w:t>
      </w:r>
      <w:r w:rsidR="00D33721" w:rsidRPr="008A7BD7">
        <w:rPr>
          <w:rFonts w:ascii="Cambria" w:hAnsi="Cambria"/>
          <w:sz w:val="20"/>
          <w:szCs w:val="20"/>
        </w:rPr>
        <w:t xml:space="preserve">goals. </w:t>
      </w:r>
      <w:r w:rsidR="000A2E25" w:rsidRPr="008A7BD7">
        <w:rPr>
          <w:rFonts w:ascii="Cambria" w:hAnsi="Cambria"/>
          <w:sz w:val="20"/>
          <w:szCs w:val="20"/>
        </w:rPr>
        <w:t>Furthermore</w:t>
      </w:r>
      <w:r w:rsidR="00D33721" w:rsidRPr="008A7BD7">
        <w:rPr>
          <w:rFonts w:ascii="Cambria" w:hAnsi="Cambria"/>
          <w:sz w:val="20"/>
          <w:szCs w:val="20"/>
        </w:rPr>
        <w:t xml:space="preserve">, the </w:t>
      </w:r>
      <w:r w:rsidR="000A2E25" w:rsidRPr="008A7BD7">
        <w:rPr>
          <w:rFonts w:ascii="Cambria" w:hAnsi="Cambria"/>
          <w:sz w:val="20"/>
          <w:szCs w:val="20"/>
        </w:rPr>
        <w:t xml:space="preserve">State should ensure the </w:t>
      </w:r>
      <w:r w:rsidR="00D33721" w:rsidRPr="008A7BD7">
        <w:rPr>
          <w:rFonts w:ascii="Cambria" w:hAnsi="Cambria"/>
          <w:sz w:val="20"/>
          <w:szCs w:val="20"/>
        </w:rPr>
        <w:t xml:space="preserve">representation and participation of women and women’s organizations in </w:t>
      </w:r>
      <w:r w:rsidR="000A2E25" w:rsidRPr="008A7BD7">
        <w:rPr>
          <w:rFonts w:ascii="Cambria" w:hAnsi="Cambria"/>
          <w:sz w:val="20"/>
          <w:szCs w:val="20"/>
        </w:rPr>
        <w:t>every</w:t>
      </w:r>
      <w:r w:rsidR="00D33721" w:rsidRPr="008A7BD7">
        <w:rPr>
          <w:rFonts w:ascii="Cambria" w:hAnsi="Cambria"/>
          <w:sz w:val="20"/>
          <w:szCs w:val="20"/>
        </w:rPr>
        <w:t xml:space="preserve"> sphere and </w:t>
      </w:r>
      <w:r w:rsidR="000A2E25" w:rsidRPr="008A7BD7">
        <w:rPr>
          <w:rFonts w:ascii="Cambria" w:hAnsi="Cambria"/>
          <w:sz w:val="20"/>
          <w:szCs w:val="20"/>
        </w:rPr>
        <w:t xml:space="preserve">at every </w:t>
      </w:r>
      <w:r w:rsidR="00D33721" w:rsidRPr="008A7BD7">
        <w:rPr>
          <w:rFonts w:ascii="Cambria" w:hAnsi="Cambria"/>
          <w:sz w:val="20"/>
          <w:szCs w:val="20"/>
        </w:rPr>
        <w:t xml:space="preserve">level </w:t>
      </w:r>
      <w:r w:rsidR="000A2E25" w:rsidRPr="008A7BD7">
        <w:rPr>
          <w:rFonts w:ascii="Cambria" w:hAnsi="Cambria"/>
          <w:sz w:val="20"/>
          <w:szCs w:val="20"/>
        </w:rPr>
        <w:t>in</w:t>
      </w:r>
      <w:r w:rsidR="00D33721" w:rsidRPr="008A7BD7">
        <w:rPr>
          <w:rFonts w:ascii="Cambria" w:hAnsi="Cambria"/>
          <w:sz w:val="20"/>
          <w:szCs w:val="20"/>
        </w:rPr>
        <w:t xml:space="preserve"> the process of drafting and implementing such policies</w:t>
      </w:r>
      <w:r w:rsidR="004D1FCF" w:rsidRPr="008A7BD7">
        <w:rPr>
          <w:rFonts w:ascii="Cambria" w:hAnsi="Cambria"/>
          <w:sz w:val="20"/>
          <w:szCs w:val="20"/>
        </w:rPr>
        <w:t>.</w:t>
      </w:r>
      <w:r w:rsidR="004D1FCF" w:rsidRPr="008A7BD7">
        <w:rPr>
          <w:rStyle w:val="FootnoteReference"/>
          <w:rFonts w:ascii="Cambria" w:hAnsi="Cambria"/>
          <w:sz w:val="20"/>
          <w:szCs w:val="20"/>
          <w:lang w:val="es-ES"/>
        </w:rPr>
        <w:footnoteReference w:id="331"/>
      </w:r>
      <w:r w:rsidR="004D1FCF" w:rsidRPr="008A7BD7">
        <w:rPr>
          <w:rFonts w:ascii="Cambria" w:hAnsi="Cambria"/>
          <w:sz w:val="20"/>
          <w:szCs w:val="20"/>
        </w:rPr>
        <w:t xml:space="preserve"> </w:t>
      </w:r>
      <w:r w:rsidR="00D33721" w:rsidRPr="008A7BD7">
        <w:rPr>
          <w:rFonts w:ascii="Cambria" w:hAnsi="Cambria"/>
          <w:sz w:val="20"/>
          <w:szCs w:val="20"/>
        </w:rPr>
        <w:t xml:space="preserve">Along these lines, the IACHR calls on the State to strengthen the institutions in charge of preventing and addressing gender-based violence against women, providing them with the necessary material and financial resources so that they can function </w:t>
      </w:r>
      <w:r w:rsidR="00656653" w:rsidRPr="008A7BD7">
        <w:rPr>
          <w:rFonts w:ascii="Cambria" w:hAnsi="Cambria"/>
          <w:sz w:val="20"/>
          <w:szCs w:val="20"/>
        </w:rPr>
        <w:t>properly</w:t>
      </w:r>
      <w:r w:rsidR="00D33721" w:rsidRPr="008A7BD7">
        <w:rPr>
          <w:rFonts w:ascii="Cambria" w:hAnsi="Cambria"/>
          <w:sz w:val="20"/>
          <w:szCs w:val="20"/>
        </w:rPr>
        <w:t xml:space="preserve">, </w:t>
      </w:r>
      <w:r w:rsidR="00656653" w:rsidRPr="008A7BD7">
        <w:rPr>
          <w:rFonts w:ascii="Cambria" w:hAnsi="Cambria"/>
          <w:sz w:val="20"/>
          <w:szCs w:val="20"/>
        </w:rPr>
        <w:t>and to ensure</w:t>
      </w:r>
      <w:r w:rsidR="00D33721" w:rsidRPr="008A7BD7">
        <w:rPr>
          <w:rFonts w:ascii="Cambria" w:hAnsi="Cambria"/>
          <w:sz w:val="20"/>
          <w:szCs w:val="20"/>
        </w:rPr>
        <w:t xml:space="preserve"> the participation</w:t>
      </w:r>
      <w:r w:rsidR="004D1FCF" w:rsidRPr="008A7BD7">
        <w:rPr>
          <w:rFonts w:ascii="Cambria" w:hAnsi="Cambria"/>
          <w:sz w:val="20"/>
          <w:szCs w:val="20"/>
        </w:rPr>
        <w:t xml:space="preserve"> </w:t>
      </w:r>
      <w:r w:rsidR="00D33721" w:rsidRPr="008A7BD7">
        <w:rPr>
          <w:rFonts w:ascii="Cambria" w:hAnsi="Cambria"/>
          <w:sz w:val="20"/>
          <w:szCs w:val="20"/>
        </w:rPr>
        <w:t>of women in the design and implementation of p</w:t>
      </w:r>
      <w:r w:rsidR="00D13979" w:rsidRPr="008A7BD7">
        <w:rPr>
          <w:rFonts w:ascii="Cambria" w:hAnsi="Cambria"/>
          <w:sz w:val="20"/>
          <w:szCs w:val="20"/>
        </w:rPr>
        <w:t xml:space="preserve">revention and protection policies </w:t>
      </w:r>
      <w:r w:rsidR="00CA6E0F" w:rsidRPr="008A7BD7">
        <w:rPr>
          <w:rFonts w:ascii="Cambria" w:hAnsi="Cambria"/>
          <w:sz w:val="20"/>
          <w:szCs w:val="20"/>
        </w:rPr>
        <w:t>to address</w:t>
      </w:r>
      <w:r w:rsidR="00D13979" w:rsidRPr="008A7BD7">
        <w:rPr>
          <w:rFonts w:ascii="Cambria" w:hAnsi="Cambria"/>
          <w:sz w:val="20"/>
          <w:szCs w:val="20"/>
        </w:rPr>
        <w:t xml:space="preserve"> violence. </w:t>
      </w:r>
    </w:p>
    <w:p w14:paraId="1DC843F8" w14:textId="77777777" w:rsidR="004D1FCF" w:rsidRPr="008A7BD7" w:rsidRDefault="004D1FCF" w:rsidP="004D1FCF">
      <w:pPr>
        <w:contextualSpacing/>
        <w:jc w:val="both"/>
        <w:rPr>
          <w:rFonts w:ascii="Cambria" w:hAnsi="Cambria"/>
          <w:sz w:val="20"/>
          <w:szCs w:val="20"/>
        </w:rPr>
      </w:pPr>
      <w:r w:rsidRPr="008A7BD7">
        <w:rPr>
          <w:rFonts w:ascii="Cambria" w:hAnsi="Cambria"/>
          <w:sz w:val="20"/>
          <w:szCs w:val="20"/>
        </w:rPr>
        <w:t xml:space="preserve">   </w:t>
      </w:r>
    </w:p>
    <w:p w14:paraId="26E4443B" w14:textId="41F463D1" w:rsidR="004D1FCF" w:rsidRPr="008A7BD7" w:rsidRDefault="00434CE0"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Finally, the IACHR is extremely concerned about </w:t>
      </w:r>
      <w:r w:rsidR="00E05868" w:rsidRPr="008A7BD7">
        <w:rPr>
          <w:rFonts w:ascii="Cambria" w:hAnsi="Cambria"/>
          <w:sz w:val="20"/>
          <w:szCs w:val="20"/>
        </w:rPr>
        <w:t>Guatemala’s</w:t>
      </w:r>
      <w:r w:rsidRPr="008A7BD7">
        <w:rPr>
          <w:rFonts w:ascii="Cambria" w:hAnsi="Cambria"/>
          <w:sz w:val="20"/>
          <w:szCs w:val="20"/>
        </w:rPr>
        <w:t xml:space="preserve"> adoption of regressive measures </w:t>
      </w:r>
      <w:proofErr w:type="gramStart"/>
      <w:r w:rsidRPr="008A7BD7">
        <w:rPr>
          <w:rFonts w:ascii="Cambria" w:hAnsi="Cambria"/>
          <w:sz w:val="20"/>
          <w:szCs w:val="20"/>
        </w:rPr>
        <w:t>with regard to</w:t>
      </w:r>
      <w:proofErr w:type="gramEnd"/>
      <w:r w:rsidRPr="008A7BD7">
        <w:rPr>
          <w:rFonts w:ascii="Cambria" w:hAnsi="Cambria"/>
          <w:sz w:val="20"/>
          <w:szCs w:val="20"/>
        </w:rPr>
        <w:t xml:space="preserve"> sexual and reproductive rights. Specifically, the IACHR takes note of the Public Policy for the Protection of Life and the Institution of the Family </w:t>
      </w:r>
      <w:r w:rsidR="004D1FCF" w:rsidRPr="008A7BD7">
        <w:rPr>
          <w:rFonts w:ascii="Cambria" w:hAnsi="Cambria"/>
          <w:sz w:val="20"/>
          <w:szCs w:val="20"/>
        </w:rPr>
        <w:t>2021-2032</w:t>
      </w:r>
      <w:r w:rsidRPr="008A7BD7">
        <w:rPr>
          <w:rFonts w:ascii="Cambria" w:hAnsi="Cambria"/>
          <w:sz w:val="20"/>
          <w:szCs w:val="20"/>
        </w:rPr>
        <w:t>,</w:t>
      </w:r>
      <w:r w:rsidR="004D1FCF" w:rsidRPr="008A7BD7">
        <w:rPr>
          <w:rStyle w:val="FootnoteReference"/>
          <w:rFonts w:ascii="Cambria" w:hAnsi="Cambria"/>
          <w:sz w:val="20"/>
          <w:szCs w:val="20"/>
          <w:lang w:val="es-ES"/>
        </w:rPr>
        <w:footnoteReference w:id="332"/>
      </w:r>
      <w:r w:rsidR="004D1FCF" w:rsidRPr="008A7BD7">
        <w:rPr>
          <w:rFonts w:ascii="Cambria" w:hAnsi="Cambria"/>
          <w:sz w:val="20"/>
          <w:szCs w:val="20"/>
        </w:rPr>
        <w:t xml:space="preserve"> </w:t>
      </w:r>
      <w:r w:rsidR="00760CB6" w:rsidRPr="008A7BD7">
        <w:rPr>
          <w:rFonts w:ascii="Cambria" w:hAnsi="Cambria"/>
          <w:sz w:val="20"/>
          <w:szCs w:val="20"/>
        </w:rPr>
        <w:t xml:space="preserve">which prioritizes the protection of the rights of the unborn </w:t>
      </w:r>
      <w:proofErr w:type="gramStart"/>
      <w:r w:rsidR="00760CB6" w:rsidRPr="008A7BD7">
        <w:rPr>
          <w:rFonts w:ascii="Cambria" w:hAnsi="Cambria"/>
          <w:sz w:val="20"/>
          <w:szCs w:val="20"/>
        </w:rPr>
        <w:t>from the time of conception,</w:t>
      </w:r>
      <w:proofErr w:type="gramEnd"/>
      <w:r w:rsidR="00760CB6" w:rsidRPr="008A7BD7">
        <w:rPr>
          <w:rFonts w:ascii="Cambria" w:hAnsi="Cambria"/>
          <w:sz w:val="20"/>
          <w:szCs w:val="20"/>
        </w:rPr>
        <w:t xml:space="preserve"> to the </w:t>
      </w:r>
      <w:r w:rsidR="005C1C67" w:rsidRPr="008A7BD7">
        <w:rPr>
          <w:rFonts w:ascii="Cambria" w:hAnsi="Cambria"/>
          <w:sz w:val="20"/>
          <w:szCs w:val="20"/>
        </w:rPr>
        <w:t>detriment</w:t>
      </w:r>
      <w:r w:rsidR="00760CB6" w:rsidRPr="008A7BD7">
        <w:rPr>
          <w:rFonts w:ascii="Cambria" w:hAnsi="Cambria"/>
          <w:sz w:val="20"/>
          <w:szCs w:val="20"/>
        </w:rPr>
        <w:t xml:space="preserve"> of the rights of women. The Commission also note</w:t>
      </w:r>
      <w:r w:rsidR="005C1C67" w:rsidRPr="008A7BD7">
        <w:rPr>
          <w:rFonts w:ascii="Cambria" w:hAnsi="Cambria"/>
          <w:sz w:val="20"/>
          <w:szCs w:val="20"/>
        </w:rPr>
        <w:t>s</w:t>
      </w:r>
      <w:r w:rsidR="00760CB6" w:rsidRPr="008A7BD7">
        <w:rPr>
          <w:rFonts w:ascii="Cambria" w:hAnsi="Cambria"/>
          <w:sz w:val="20"/>
          <w:szCs w:val="20"/>
        </w:rPr>
        <w:t xml:space="preserve"> that </w:t>
      </w:r>
      <w:r w:rsidR="005C1C67" w:rsidRPr="008A7BD7">
        <w:rPr>
          <w:rFonts w:ascii="Cambria" w:hAnsi="Cambria"/>
          <w:sz w:val="20"/>
          <w:szCs w:val="20"/>
        </w:rPr>
        <w:t>Guatemala</w:t>
      </w:r>
      <w:r w:rsidR="00760CB6" w:rsidRPr="008A7BD7">
        <w:rPr>
          <w:rFonts w:ascii="Cambria" w:hAnsi="Cambria"/>
          <w:sz w:val="20"/>
          <w:szCs w:val="20"/>
        </w:rPr>
        <w:t xml:space="preserve"> joined the </w:t>
      </w:r>
      <w:r w:rsidR="00C94A11" w:rsidRPr="008A7BD7">
        <w:rPr>
          <w:rFonts w:ascii="Cambria" w:hAnsi="Cambria"/>
          <w:sz w:val="20"/>
          <w:szCs w:val="20"/>
        </w:rPr>
        <w:t>“</w:t>
      </w:r>
      <w:r w:rsidR="00760CB6" w:rsidRPr="008A7BD7">
        <w:rPr>
          <w:rFonts w:ascii="Cambria" w:hAnsi="Cambria"/>
          <w:sz w:val="20"/>
          <w:szCs w:val="20"/>
        </w:rPr>
        <w:t xml:space="preserve">Geneva Consensus </w:t>
      </w:r>
      <w:r w:rsidR="00C94A11" w:rsidRPr="008A7BD7">
        <w:rPr>
          <w:rFonts w:ascii="Cambria" w:hAnsi="Cambria"/>
          <w:sz w:val="20"/>
          <w:szCs w:val="20"/>
        </w:rPr>
        <w:t xml:space="preserve">Declaration </w:t>
      </w:r>
      <w:r w:rsidR="00760CB6" w:rsidRPr="008A7BD7">
        <w:rPr>
          <w:rFonts w:ascii="Cambria" w:hAnsi="Cambria"/>
          <w:sz w:val="20"/>
          <w:szCs w:val="20"/>
        </w:rPr>
        <w:t>on Promoting Women’s Health</w:t>
      </w:r>
      <w:r w:rsidR="00C94A11" w:rsidRPr="008A7BD7">
        <w:rPr>
          <w:rFonts w:ascii="Cambria" w:hAnsi="Cambria"/>
          <w:sz w:val="20"/>
          <w:szCs w:val="20"/>
        </w:rPr>
        <w:t xml:space="preserve"> and Strengthening the Family,”</w:t>
      </w:r>
      <w:r w:rsidR="004D1FCF" w:rsidRPr="008A7BD7">
        <w:rPr>
          <w:rStyle w:val="FootnoteReference"/>
          <w:rFonts w:ascii="Cambria" w:hAnsi="Cambria"/>
          <w:sz w:val="20"/>
          <w:szCs w:val="20"/>
          <w:lang w:val="es-ES"/>
        </w:rPr>
        <w:footnoteReference w:id="333"/>
      </w:r>
      <w:r w:rsidR="004D1FCF" w:rsidRPr="008A7BD7">
        <w:rPr>
          <w:rFonts w:ascii="Cambria" w:hAnsi="Cambria"/>
          <w:sz w:val="20"/>
          <w:szCs w:val="20"/>
        </w:rPr>
        <w:t xml:space="preserve"> </w:t>
      </w:r>
      <w:r w:rsidR="00C94A11" w:rsidRPr="008A7BD7">
        <w:rPr>
          <w:rFonts w:ascii="Cambria" w:hAnsi="Cambria"/>
          <w:sz w:val="20"/>
          <w:szCs w:val="20"/>
        </w:rPr>
        <w:t xml:space="preserve">which expressly excludes access to abortion as an integral part of women’s right to sexual and reproductive health and </w:t>
      </w:r>
      <w:r w:rsidR="00211150" w:rsidRPr="008A7BD7">
        <w:rPr>
          <w:rFonts w:ascii="Cambria" w:hAnsi="Cambria"/>
          <w:sz w:val="20"/>
          <w:szCs w:val="20"/>
        </w:rPr>
        <w:t>affirms</w:t>
      </w:r>
      <w:r w:rsidR="00C94A11" w:rsidRPr="008A7BD7">
        <w:rPr>
          <w:rFonts w:ascii="Cambria" w:hAnsi="Cambria"/>
          <w:sz w:val="20"/>
          <w:szCs w:val="20"/>
        </w:rPr>
        <w:t xml:space="preserve"> that States have no </w:t>
      </w:r>
      <w:r w:rsidR="00211150" w:rsidRPr="008A7BD7">
        <w:rPr>
          <w:rFonts w:ascii="Cambria" w:hAnsi="Cambria"/>
          <w:sz w:val="20"/>
          <w:szCs w:val="20"/>
        </w:rPr>
        <w:t xml:space="preserve">international </w:t>
      </w:r>
      <w:r w:rsidR="00C94A11" w:rsidRPr="008A7BD7">
        <w:rPr>
          <w:rFonts w:ascii="Cambria" w:hAnsi="Cambria"/>
          <w:sz w:val="20"/>
          <w:szCs w:val="20"/>
        </w:rPr>
        <w:t xml:space="preserve">obligation to ensure or facilitate access to abortion. </w:t>
      </w:r>
    </w:p>
    <w:p w14:paraId="1E1A5BAF" w14:textId="77777777" w:rsidR="004D1FCF" w:rsidRPr="008A7BD7" w:rsidRDefault="004D1FCF" w:rsidP="004D1FCF">
      <w:pPr>
        <w:contextualSpacing/>
        <w:jc w:val="both"/>
        <w:rPr>
          <w:rFonts w:ascii="Cambria" w:hAnsi="Cambria"/>
          <w:sz w:val="20"/>
          <w:szCs w:val="20"/>
        </w:rPr>
      </w:pPr>
    </w:p>
    <w:p w14:paraId="743C10A7" w14:textId="4F61EA20" w:rsidR="004D1FCF" w:rsidRPr="008A7BD7" w:rsidRDefault="00E812DB"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Similarly, the IACHR observes that Guatemalan law </w:t>
      </w:r>
      <w:r w:rsidR="00BD063E" w:rsidRPr="008A7BD7">
        <w:rPr>
          <w:rFonts w:ascii="Cambria" w:hAnsi="Cambria"/>
          <w:sz w:val="20"/>
          <w:szCs w:val="20"/>
        </w:rPr>
        <w:t xml:space="preserve">establishes the absolute </w:t>
      </w:r>
      <w:r w:rsidRPr="008A7BD7">
        <w:rPr>
          <w:rFonts w:ascii="Cambria" w:hAnsi="Cambria"/>
          <w:sz w:val="20"/>
          <w:szCs w:val="20"/>
        </w:rPr>
        <w:t>criminaliz</w:t>
      </w:r>
      <w:r w:rsidR="00BD063E" w:rsidRPr="008A7BD7">
        <w:rPr>
          <w:rFonts w:ascii="Cambria" w:hAnsi="Cambria"/>
          <w:sz w:val="20"/>
          <w:szCs w:val="20"/>
        </w:rPr>
        <w:t>ation of</w:t>
      </w:r>
      <w:r w:rsidRPr="008A7BD7">
        <w:rPr>
          <w:rFonts w:ascii="Cambria" w:hAnsi="Cambria"/>
          <w:sz w:val="20"/>
          <w:szCs w:val="20"/>
        </w:rPr>
        <w:t xml:space="preserve"> abortion, except when the wom</w:t>
      </w:r>
      <w:r w:rsidR="00BD063E" w:rsidRPr="008A7BD7">
        <w:rPr>
          <w:rFonts w:ascii="Cambria" w:hAnsi="Cambria"/>
          <w:sz w:val="20"/>
          <w:szCs w:val="20"/>
        </w:rPr>
        <w:t>a</w:t>
      </w:r>
      <w:r w:rsidRPr="008A7BD7">
        <w:rPr>
          <w:rFonts w:ascii="Cambria" w:hAnsi="Cambria"/>
          <w:sz w:val="20"/>
          <w:szCs w:val="20"/>
        </w:rPr>
        <w:t>n’s life is in danger</w:t>
      </w:r>
      <w:r w:rsidR="004D1FCF" w:rsidRPr="008A7BD7">
        <w:rPr>
          <w:rFonts w:ascii="Cambria" w:hAnsi="Cambria"/>
          <w:sz w:val="20"/>
          <w:szCs w:val="20"/>
        </w:rPr>
        <w:t>.</w:t>
      </w:r>
      <w:r w:rsidR="004D1FCF" w:rsidRPr="008A7BD7">
        <w:rPr>
          <w:rStyle w:val="FootnoteReference"/>
          <w:rFonts w:ascii="Cambria" w:hAnsi="Cambria"/>
          <w:sz w:val="20"/>
          <w:szCs w:val="20"/>
          <w:lang w:val="es-ES"/>
        </w:rPr>
        <w:footnoteReference w:id="334"/>
      </w:r>
      <w:r w:rsidR="004D1FCF" w:rsidRPr="008A7BD7">
        <w:rPr>
          <w:rFonts w:ascii="Cambria" w:hAnsi="Cambria"/>
          <w:sz w:val="20"/>
          <w:szCs w:val="20"/>
        </w:rPr>
        <w:t xml:space="preserve"> </w:t>
      </w:r>
      <w:r w:rsidRPr="008A7BD7">
        <w:rPr>
          <w:rFonts w:ascii="Cambria" w:hAnsi="Cambria"/>
          <w:sz w:val="20"/>
          <w:szCs w:val="20"/>
        </w:rPr>
        <w:t xml:space="preserve">In that regard, the Commission </w:t>
      </w:r>
      <w:r w:rsidR="00270116" w:rsidRPr="008A7BD7">
        <w:rPr>
          <w:rFonts w:ascii="Cambria" w:hAnsi="Cambria"/>
          <w:sz w:val="20"/>
          <w:szCs w:val="20"/>
        </w:rPr>
        <w:t>underscores</w:t>
      </w:r>
      <w:r w:rsidRPr="008A7BD7">
        <w:rPr>
          <w:rFonts w:ascii="Cambria" w:hAnsi="Cambria"/>
          <w:sz w:val="20"/>
          <w:szCs w:val="20"/>
        </w:rPr>
        <w:t xml:space="preserve"> that the absolute criminalization of</w:t>
      </w:r>
      <w:r w:rsidR="002C7376" w:rsidRPr="008A7BD7">
        <w:rPr>
          <w:rFonts w:ascii="Cambria" w:hAnsi="Cambria"/>
          <w:sz w:val="20"/>
          <w:szCs w:val="20"/>
        </w:rPr>
        <w:t xml:space="preserve"> the voluntary termination of pregnancy, including in cases of rape or incest,</w:t>
      </w:r>
      <w:r w:rsidR="00270116" w:rsidRPr="008A7BD7">
        <w:rPr>
          <w:rFonts w:ascii="Cambria" w:hAnsi="Cambria"/>
          <w:sz w:val="20"/>
          <w:szCs w:val="20"/>
        </w:rPr>
        <w:t xml:space="preserve"> places a disproportionate burden on the exercise of women’s human rights, especially the rights to life, personal integrity, and health and in general, the right of women to live a life free of violence and discrimination.</w:t>
      </w:r>
      <w:r w:rsidR="004D1FCF" w:rsidRPr="008A7BD7">
        <w:rPr>
          <w:rStyle w:val="FootnoteReference"/>
          <w:rFonts w:ascii="Cambria" w:hAnsi="Cambria"/>
          <w:sz w:val="20"/>
          <w:szCs w:val="20"/>
          <w:lang w:val="es-ES"/>
        </w:rPr>
        <w:footnoteReference w:id="335"/>
      </w:r>
      <w:r w:rsidR="00DB53D7" w:rsidRPr="008A7BD7">
        <w:rPr>
          <w:rFonts w:ascii="Cambria" w:hAnsi="Cambria"/>
          <w:sz w:val="20"/>
          <w:szCs w:val="20"/>
        </w:rPr>
        <w:t xml:space="preserve"> Bearing that in mind, the Commission urges the State to adopt </w:t>
      </w:r>
      <w:r w:rsidR="00F55FC4" w:rsidRPr="008A7BD7">
        <w:rPr>
          <w:rFonts w:ascii="Cambria" w:hAnsi="Cambria"/>
          <w:sz w:val="20"/>
          <w:szCs w:val="20"/>
        </w:rPr>
        <w:t>legislation</w:t>
      </w:r>
      <w:r w:rsidR="00D35A71" w:rsidRPr="008A7BD7">
        <w:rPr>
          <w:rFonts w:ascii="Cambria" w:hAnsi="Cambria"/>
          <w:sz w:val="20"/>
          <w:szCs w:val="20"/>
        </w:rPr>
        <w:t xml:space="preserve">, public policies, and any other measures that may be needed, in accordance with the applicable inter-American standards, to </w:t>
      </w:r>
      <w:r w:rsidR="00154826" w:rsidRPr="008A7BD7">
        <w:rPr>
          <w:rFonts w:ascii="Cambria" w:hAnsi="Cambria"/>
          <w:sz w:val="20"/>
          <w:szCs w:val="20"/>
        </w:rPr>
        <w:t>ensure</w:t>
      </w:r>
      <w:r w:rsidR="00D35A71" w:rsidRPr="008A7BD7">
        <w:rPr>
          <w:rFonts w:ascii="Cambria" w:hAnsi="Cambria"/>
          <w:sz w:val="20"/>
          <w:szCs w:val="20"/>
        </w:rPr>
        <w:t xml:space="preserve"> women</w:t>
      </w:r>
      <w:r w:rsidR="00154826" w:rsidRPr="008A7BD7">
        <w:rPr>
          <w:rFonts w:ascii="Cambria" w:hAnsi="Cambria"/>
          <w:sz w:val="20"/>
          <w:szCs w:val="20"/>
        </w:rPr>
        <w:t>’s</w:t>
      </w:r>
      <w:r w:rsidR="00D35A71" w:rsidRPr="008A7BD7">
        <w:rPr>
          <w:rFonts w:ascii="Cambria" w:hAnsi="Cambria"/>
          <w:sz w:val="20"/>
          <w:szCs w:val="20"/>
        </w:rPr>
        <w:t xml:space="preserve"> access to goods and services</w:t>
      </w:r>
      <w:r w:rsidR="00154826" w:rsidRPr="008A7BD7">
        <w:rPr>
          <w:rFonts w:ascii="Cambria" w:hAnsi="Cambria"/>
          <w:sz w:val="20"/>
          <w:szCs w:val="20"/>
        </w:rPr>
        <w:t xml:space="preserve"> related to sexual and reproductive health</w:t>
      </w:r>
      <w:r w:rsidR="00D35A71" w:rsidRPr="008A7BD7">
        <w:rPr>
          <w:rFonts w:ascii="Cambria" w:hAnsi="Cambria"/>
          <w:sz w:val="20"/>
          <w:szCs w:val="20"/>
        </w:rPr>
        <w:t xml:space="preserve"> without discrimination, including access to the voluntary termination of pregnancy in cases involving danger to life or health, as well as in cases </w:t>
      </w:r>
      <w:r w:rsidR="002722A0" w:rsidRPr="008A7BD7">
        <w:rPr>
          <w:rFonts w:ascii="Cambria" w:hAnsi="Cambria"/>
          <w:sz w:val="20"/>
          <w:szCs w:val="20"/>
        </w:rPr>
        <w:t>of</w:t>
      </w:r>
      <w:r w:rsidR="00D35A71" w:rsidRPr="008A7BD7">
        <w:rPr>
          <w:rFonts w:ascii="Cambria" w:hAnsi="Cambria"/>
          <w:sz w:val="20"/>
          <w:szCs w:val="20"/>
        </w:rPr>
        <w:t xml:space="preserve"> rape or incest.</w:t>
      </w:r>
      <w:r w:rsidR="00E31F83" w:rsidRPr="008A7BD7">
        <w:rPr>
          <w:rFonts w:ascii="Cambria" w:hAnsi="Cambria"/>
          <w:sz w:val="20"/>
          <w:szCs w:val="20"/>
        </w:rPr>
        <w:t xml:space="preserve"> </w:t>
      </w:r>
    </w:p>
    <w:p w14:paraId="3F57CCD5" w14:textId="604232BC" w:rsidR="004D1FCF" w:rsidRDefault="004D1FCF" w:rsidP="004D1FCF">
      <w:pPr>
        <w:contextualSpacing/>
        <w:jc w:val="both"/>
        <w:rPr>
          <w:rFonts w:ascii="Cambria" w:hAnsi="Cambria"/>
          <w:sz w:val="20"/>
          <w:szCs w:val="20"/>
        </w:rPr>
      </w:pPr>
    </w:p>
    <w:p w14:paraId="66A14078" w14:textId="53332431" w:rsidR="00FC47D9" w:rsidRDefault="00FC47D9" w:rsidP="004D1FCF">
      <w:pPr>
        <w:contextualSpacing/>
        <w:jc w:val="both"/>
        <w:rPr>
          <w:rFonts w:ascii="Cambria" w:hAnsi="Cambria"/>
          <w:sz w:val="20"/>
          <w:szCs w:val="20"/>
        </w:rPr>
      </w:pPr>
    </w:p>
    <w:p w14:paraId="6C005B84" w14:textId="77777777" w:rsidR="00FC47D9" w:rsidRPr="008A7BD7" w:rsidRDefault="00FC47D9" w:rsidP="004D1FCF">
      <w:pPr>
        <w:contextualSpacing/>
        <w:jc w:val="both"/>
        <w:rPr>
          <w:rFonts w:ascii="Cambria" w:hAnsi="Cambria"/>
          <w:sz w:val="20"/>
          <w:szCs w:val="20"/>
        </w:rPr>
      </w:pPr>
    </w:p>
    <w:p w14:paraId="1D3E8777" w14:textId="64C3D07C" w:rsidR="00746761" w:rsidRDefault="000B0DB2" w:rsidP="00FC47D9">
      <w:pPr>
        <w:pStyle w:val="Heading2"/>
        <w:rPr>
          <w:lang w:val="es-ES"/>
        </w:rPr>
      </w:pPr>
      <w:proofErr w:type="spellStart"/>
      <w:r w:rsidRPr="008A7BD7">
        <w:rPr>
          <w:lang w:val="es-ES"/>
        </w:rPr>
        <w:lastRenderedPageBreak/>
        <w:t>Children</w:t>
      </w:r>
      <w:proofErr w:type="spellEnd"/>
      <w:r w:rsidRPr="008A7BD7">
        <w:rPr>
          <w:lang w:val="es-ES"/>
        </w:rPr>
        <w:t xml:space="preserve"> and </w:t>
      </w:r>
      <w:proofErr w:type="spellStart"/>
      <w:r w:rsidRPr="008A7BD7">
        <w:rPr>
          <w:lang w:val="es-ES"/>
        </w:rPr>
        <w:t>Adolescents</w:t>
      </w:r>
      <w:proofErr w:type="spellEnd"/>
    </w:p>
    <w:p w14:paraId="472216DD" w14:textId="77777777" w:rsidR="00FC47D9" w:rsidRPr="00FC47D9" w:rsidRDefault="00FC47D9" w:rsidP="00FC47D9">
      <w:pPr>
        <w:rPr>
          <w:lang w:val="es-ES" w:eastAsia="es-ES_tradnl"/>
        </w:rPr>
      </w:pPr>
    </w:p>
    <w:p w14:paraId="486B27BD" w14:textId="7941D482" w:rsidR="00746761" w:rsidRPr="008A7BD7" w:rsidRDefault="000B0DB2" w:rsidP="003D3059">
      <w:pPr>
        <w:numPr>
          <w:ilvl w:val="0"/>
          <w:numId w:val="2"/>
        </w:numPr>
        <w:ind w:left="0" w:firstLine="720"/>
        <w:jc w:val="both"/>
        <w:rPr>
          <w:rFonts w:ascii="Cambria" w:hAnsi="Cambria"/>
          <w:color w:val="000000"/>
          <w:sz w:val="20"/>
          <w:szCs w:val="20"/>
        </w:rPr>
      </w:pPr>
      <w:r w:rsidRPr="008A7BD7">
        <w:rPr>
          <w:rFonts w:ascii="Cambria" w:hAnsi="Cambria"/>
          <w:color w:val="000000"/>
          <w:sz w:val="20"/>
          <w:szCs w:val="20"/>
        </w:rPr>
        <w:t xml:space="preserve">The IACHR has continued to monitor violations of the rights of children and adolescents in </w:t>
      </w:r>
      <w:r w:rsidR="00746761" w:rsidRPr="008A7BD7">
        <w:rPr>
          <w:rFonts w:ascii="Cambria" w:hAnsi="Cambria"/>
          <w:color w:val="000000"/>
          <w:sz w:val="20"/>
          <w:szCs w:val="20"/>
        </w:rPr>
        <w:t>Guatemala</w:t>
      </w:r>
      <w:r w:rsidRPr="008A7BD7">
        <w:rPr>
          <w:rFonts w:ascii="Cambria" w:hAnsi="Cambria"/>
          <w:color w:val="000000"/>
          <w:sz w:val="20"/>
          <w:szCs w:val="20"/>
        </w:rPr>
        <w:t>. It is particularly concerned to observe the lack of a comprehensive national system for the protection of minors, the context of violence that threat</w:t>
      </w:r>
      <w:r w:rsidR="0034432E" w:rsidRPr="008A7BD7">
        <w:rPr>
          <w:rFonts w:ascii="Cambria" w:hAnsi="Cambria"/>
          <w:color w:val="000000"/>
          <w:sz w:val="20"/>
          <w:szCs w:val="20"/>
        </w:rPr>
        <w:t>en</w:t>
      </w:r>
      <w:r w:rsidRPr="008A7BD7">
        <w:rPr>
          <w:rFonts w:ascii="Cambria" w:hAnsi="Cambria"/>
          <w:color w:val="000000"/>
          <w:sz w:val="20"/>
          <w:szCs w:val="20"/>
        </w:rPr>
        <w:t>s this population, and the cases of teen pregnancy and chronic malnutrition.</w:t>
      </w:r>
      <w:r w:rsidR="00746761" w:rsidRPr="008A7BD7">
        <w:rPr>
          <w:rFonts w:ascii="Cambria" w:hAnsi="Cambria"/>
          <w:color w:val="000000"/>
          <w:sz w:val="20"/>
          <w:szCs w:val="20"/>
          <w:vertAlign w:val="superscript"/>
          <w:lang w:val="es-ES"/>
        </w:rPr>
        <w:footnoteReference w:id="336"/>
      </w:r>
      <w:r w:rsidR="00746761" w:rsidRPr="008A7BD7">
        <w:rPr>
          <w:rFonts w:ascii="Cambria" w:hAnsi="Cambria"/>
          <w:color w:val="000000"/>
          <w:sz w:val="20"/>
          <w:szCs w:val="20"/>
        </w:rPr>
        <w:t xml:space="preserve"> </w:t>
      </w:r>
      <w:r w:rsidR="00E26EA5" w:rsidRPr="008A7BD7">
        <w:rPr>
          <w:rFonts w:ascii="Cambria" w:hAnsi="Cambria"/>
          <w:sz w:val="20"/>
          <w:szCs w:val="20"/>
        </w:rPr>
        <w:t>In addition, the IACHR has followed the case of the “</w:t>
      </w:r>
      <w:r w:rsidR="00746761" w:rsidRPr="008A7BD7">
        <w:rPr>
          <w:rFonts w:ascii="Cambria" w:hAnsi="Cambria"/>
          <w:color w:val="000000"/>
          <w:sz w:val="20"/>
          <w:szCs w:val="20"/>
        </w:rPr>
        <w:t>Virgen de la Asunción”</w:t>
      </w:r>
      <w:r w:rsidR="00E26EA5" w:rsidRPr="008A7BD7">
        <w:rPr>
          <w:rFonts w:ascii="Cambria" w:hAnsi="Cambria"/>
          <w:color w:val="000000"/>
          <w:sz w:val="20"/>
          <w:szCs w:val="20"/>
        </w:rPr>
        <w:t xml:space="preserve"> </w:t>
      </w:r>
      <w:r w:rsidR="00DE2444" w:rsidRPr="008A7BD7">
        <w:rPr>
          <w:rFonts w:ascii="Cambria" w:hAnsi="Cambria"/>
          <w:color w:val="000000"/>
          <w:sz w:val="20"/>
          <w:szCs w:val="20"/>
        </w:rPr>
        <w:t>Residential Institution</w:t>
      </w:r>
      <w:r w:rsidR="00746761" w:rsidRPr="008A7BD7">
        <w:rPr>
          <w:rFonts w:ascii="Cambria" w:hAnsi="Cambria"/>
          <w:color w:val="000000"/>
          <w:sz w:val="20"/>
          <w:szCs w:val="20"/>
        </w:rPr>
        <w:t xml:space="preserve">, </w:t>
      </w:r>
      <w:r w:rsidR="00E26EA5" w:rsidRPr="008A7BD7">
        <w:rPr>
          <w:rFonts w:ascii="Cambria" w:hAnsi="Cambria"/>
          <w:color w:val="000000"/>
          <w:sz w:val="20"/>
          <w:szCs w:val="20"/>
        </w:rPr>
        <w:t xml:space="preserve">mainly with respect to the proceedings to hold the </w:t>
      </w:r>
      <w:r w:rsidR="0034432E" w:rsidRPr="008A7BD7">
        <w:rPr>
          <w:rFonts w:ascii="Cambria" w:hAnsi="Cambria"/>
          <w:color w:val="000000"/>
          <w:sz w:val="20"/>
          <w:szCs w:val="20"/>
        </w:rPr>
        <w:t>alleged perpetrators</w:t>
      </w:r>
      <w:r w:rsidR="00E26EA5" w:rsidRPr="008A7BD7">
        <w:rPr>
          <w:rFonts w:ascii="Cambria" w:hAnsi="Cambria"/>
          <w:color w:val="000000"/>
          <w:sz w:val="20"/>
          <w:szCs w:val="20"/>
        </w:rPr>
        <w:t xml:space="preserve"> responsible and </w:t>
      </w:r>
      <w:r w:rsidR="0034432E" w:rsidRPr="008A7BD7">
        <w:rPr>
          <w:rFonts w:ascii="Cambria" w:hAnsi="Cambria"/>
          <w:color w:val="000000"/>
          <w:sz w:val="20"/>
          <w:szCs w:val="20"/>
        </w:rPr>
        <w:t>the restoration of</w:t>
      </w:r>
      <w:r w:rsidR="00E26EA5" w:rsidRPr="008A7BD7">
        <w:rPr>
          <w:rFonts w:ascii="Cambria" w:hAnsi="Cambria"/>
          <w:color w:val="000000"/>
          <w:sz w:val="20"/>
          <w:szCs w:val="20"/>
        </w:rPr>
        <w:t xml:space="preserve"> the rights of the victims</w:t>
      </w:r>
      <w:r w:rsidR="00746761" w:rsidRPr="008A7BD7">
        <w:rPr>
          <w:rFonts w:ascii="Cambria" w:hAnsi="Cambria"/>
          <w:color w:val="000000"/>
          <w:sz w:val="20"/>
          <w:szCs w:val="20"/>
        </w:rPr>
        <w:t>.</w:t>
      </w:r>
    </w:p>
    <w:p w14:paraId="0B0E55BA" w14:textId="77777777" w:rsidR="00746761" w:rsidRPr="008A7BD7" w:rsidRDefault="00746761" w:rsidP="00746761">
      <w:pPr>
        <w:ind w:left="720"/>
        <w:jc w:val="both"/>
        <w:rPr>
          <w:rFonts w:ascii="Cambria" w:hAnsi="Cambria"/>
          <w:color w:val="000000"/>
          <w:sz w:val="20"/>
          <w:szCs w:val="20"/>
        </w:rPr>
      </w:pPr>
    </w:p>
    <w:p w14:paraId="51E06031" w14:textId="4456E8E8" w:rsidR="00746761" w:rsidRPr="008A7BD7" w:rsidRDefault="003433C6" w:rsidP="003D3059">
      <w:pPr>
        <w:numPr>
          <w:ilvl w:val="0"/>
          <w:numId w:val="2"/>
        </w:numPr>
        <w:ind w:left="0" w:firstLine="720"/>
        <w:jc w:val="both"/>
        <w:rPr>
          <w:rFonts w:ascii="Cambria" w:hAnsi="Cambria"/>
          <w:color w:val="000000"/>
          <w:sz w:val="20"/>
          <w:szCs w:val="20"/>
        </w:rPr>
      </w:pPr>
      <w:r w:rsidRPr="008A7BD7">
        <w:rPr>
          <w:rFonts w:ascii="Cambria" w:hAnsi="Cambria"/>
          <w:sz w:val="20"/>
          <w:szCs w:val="20"/>
        </w:rPr>
        <w:t xml:space="preserve">Regarding the National Protection System, the Commission observes that the discussion remains pending on </w:t>
      </w:r>
      <w:r w:rsidR="00F65E52" w:rsidRPr="008A7BD7">
        <w:rPr>
          <w:rFonts w:ascii="Cambria" w:hAnsi="Cambria"/>
          <w:sz w:val="20"/>
          <w:szCs w:val="20"/>
        </w:rPr>
        <w:t>congressional b</w:t>
      </w:r>
      <w:r w:rsidRPr="008A7BD7">
        <w:rPr>
          <w:rFonts w:ascii="Cambria" w:hAnsi="Cambria"/>
          <w:sz w:val="20"/>
          <w:szCs w:val="20"/>
        </w:rPr>
        <w:t>ill</w:t>
      </w:r>
      <w:r w:rsidR="00746761" w:rsidRPr="008A7BD7">
        <w:rPr>
          <w:rFonts w:ascii="Cambria" w:hAnsi="Cambria"/>
          <w:color w:val="000000"/>
          <w:sz w:val="20"/>
          <w:szCs w:val="20"/>
        </w:rPr>
        <w:t xml:space="preserve"> No. 5285</w:t>
      </w:r>
      <w:r w:rsidRPr="008A7BD7">
        <w:rPr>
          <w:rFonts w:ascii="Cambria" w:hAnsi="Cambria"/>
          <w:color w:val="000000"/>
          <w:sz w:val="20"/>
          <w:szCs w:val="20"/>
        </w:rPr>
        <w:t>,</w:t>
      </w:r>
      <w:r w:rsidR="00746761" w:rsidRPr="008A7BD7">
        <w:rPr>
          <w:rFonts w:ascii="Cambria" w:hAnsi="Cambria"/>
          <w:sz w:val="20"/>
          <w:szCs w:val="20"/>
          <w:vertAlign w:val="superscript"/>
          <w:lang w:val="es-ES"/>
        </w:rPr>
        <w:footnoteReference w:id="337"/>
      </w:r>
      <w:r w:rsidR="00746761" w:rsidRPr="008A7BD7">
        <w:rPr>
          <w:rFonts w:ascii="Cambria" w:hAnsi="Cambria"/>
          <w:sz w:val="20"/>
          <w:szCs w:val="20"/>
        </w:rPr>
        <w:t xml:space="preserve"> </w:t>
      </w:r>
      <w:r w:rsidRPr="008A7BD7">
        <w:rPr>
          <w:rFonts w:ascii="Cambria" w:hAnsi="Cambria"/>
          <w:sz w:val="20"/>
          <w:szCs w:val="20"/>
        </w:rPr>
        <w:t>which aims to reform the internal legal framework to establish a comprehensive</w:t>
      </w:r>
      <w:r w:rsidR="009C59C2" w:rsidRPr="008A7BD7">
        <w:rPr>
          <w:rFonts w:ascii="Cambria" w:hAnsi="Cambria"/>
          <w:sz w:val="20"/>
          <w:szCs w:val="20"/>
        </w:rPr>
        <w:t xml:space="preserve"> protection system in accordance with international standards in this area.</w:t>
      </w:r>
      <w:r w:rsidR="00746761" w:rsidRPr="008A7BD7">
        <w:rPr>
          <w:rFonts w:ascii="Cambria" w:hAnsi="Cambria"/>
          <w:color w:val="000000"/>
          <w:sz w:val="20"/>
          <w:szCs w:val="20"/>
          <w:vertAlign w:val="superscript"/>
          <w:lang w:val="es-ES"/>
        </w:rPr>
        <w:footnoteReference w:id="338"/>
      </w:r>
      <w:r w:rsidR="00746761" w:rsidRPr="008A7BD7">
        <w:rPr>
          <w:rFonts w:ascii="Cambria" w:hAnsi="Cambria"/>
          <w:color w:val="000000"/>
          <w:sz w:val="20"/>
          <w:szCs w:val="20"/>
        </w:rPr>
        <w:t xml:space="preserve"> </w:t>
      </w:r>
      <w:r w:rsidR="0003719B" w:rsidRPr="008A7BD7">
        <w:rPr>
          <w:rFonts w:ascii="Cambria" w:hAnsi="Cambria"/>
          <w:color w:val="000000"/>
          <w:sz w:val="20"/>
          <w:szCs w:val="20"/>
        </w:rPr>
        <w:t xml:space="preserve">In that regard, the IACHR joins </w:t>
      </w:r>
      <w:r w:rsidR="0034432E" w:rsidRPr="008A7BD7">
        <w:rPr>
          <w:rFonts w:ascii="Cambria" w:hAnsi="Cambria"/>
          <w:color w:val="000000"/>
          <w:sz w:val="20"/>
          <w:szCs w:val="20"/>
        </w:rPr>
        <w:t>with</w:t>
      </w:r>
      <w:r w:rsidR="0003719B" w:rsidRPr="008A7BD7">
        <w:rPr>
          <w:rFonts w:ascii="Cambria" w:hAnsi="Cambria"/>
          <w:color w:val="000000"/>
          <w:sz w:val="20"/>
          <w:szCs w:val="20"/>
        </w:rPr>
        <w:t xml:space="preserve"> </w:t>
      </w:r>
      <w:r w:rsidR="00746761" w:rsidRPr="008A7BD7">
        <w:rPr>
          <w:rFonts w:ascii="Cambria" w:hAnsi="Cambria"/>
          <w:color w:val="000000"/>
          <w:sz w:val="20"/>
          <w:szCs w:val="20"/>
        </w:rPr>
        <w:t xml:space="preserve">UNICEF Guatemala </w:t>
      </w:r>
      <w:r w:rsidR="0034432E" w:rsidRPr="008A7BD7">
        <w:rPr>
          <w:rFonts w:ascii="Cambria" w:hAnsi="Cambria"/>
          <w:color w:val="000000"/>
          <w:sz w:val="20"/>
          <w:szCs w:val="20"/>
        </w:rPr>
        <w:t xml:space="preserve">in calling for </w:t>
      </w:r>
      <w:r w:rsidR="0003719B" w:rsidRPr="008A7BD7">
        <w:rPr>
          <w:rFonts w:ascii="Cambria" w:hAnsi="Cambria"/>
          <w:color w:val="000000"/>
          <w:sz w:val="20"/>
          <w:szCs w:val="20"/>
        </w:rPr>
        <w:t xml:space="preserve">the </w:t>
      </w:r>
      <w:r w:rsidR="000C3484" w:rsidRPr="008A7BD7">
        <w:rPr>
          <w:rFonts w:ascii="Cambria" w:hAnsi="Cambria"/>
          <w:color w:val="000000"/>
          <w:sz w:val="20"/>
          <w:szCs w:val="20"/>
        </w:rPr>
        <w:t>legislation</w:t>
      </w:r>
      <w:r w:rsidR="0003719B" w:rsidRPr="008A7BD7">
        <w:rPr>
          <w:rFonts w:ascii="Cambria" w:hAnsi="Cambria"/>
          <w:color w:val="000000"/>
          <w:sz w:val="20"/>
          <w:szCs w:val="20"/>
        </w:rPr>
        <w:t>’s approval</w:t>
      </w:r>
      <w:r w:rsidR="00746761" w:rsidRPr="008A7BD7">
        <w:rPr>
          <w:rFonts w:ascii="Cambria" w:hAnsi="Cambria"/>
          <w:color w:val="000000"/>
          <w:sz w:val="20"/>
          <w:szCs w:val="20"/>
          <w:vertAlign w:val="superscript"/>
          <w:lang w:val="es-ES"/>
        </w:rPr>
        <w:footnoteReference w:id="339"/>
      </w:r>
      <w:r w:rsidR="00746761" w:rsidRPr="008A7BD7">
        <w:rPr>
          <w:rFonts w:ascii="Cambria" w:hAnsi="Cambria"/>
          <w:color w:val="000000"/>
          <w:sz w:val="20"/>
          <w:szCs w:val="20"/>
        </w:rPr>
        <w:t xml:space="preserve"> </w:t>
      </w:r>
      <w:r w:rsidR="00411CD4" w:rsidRPr="008A7BD7">
        <w:rPr>
          <w:rFonts w:ascii="Cambria" w:hAnsi="Cambria"/>
          <w:color w:val="000000"/>
          <w:sz w:val="20"/>
          <w:szCs w:val="20"/>
        </w:rPr>
        <w:t xml:space="preserve">and reiterates that the State must adapt its institutional structure, at every level, to adequately protect and </w:t>
      </w:r>
      <w:r w:rsidR="000C3484" w:rsidRPr="008A7BD7">
        <w:rPr>
          <w:rFonts w:ascii="Cambria" w:hAnsi="Cambria"/>
          <w:color w:val="000000"/>
          <w:sz w:val="20"/>
          <w:szCs w:val="20"/>
        </w:rPr>
        <w:t>ensure</w:t>
      </w:r>
      <w:r w:rsidR="00411CD4" w:rsidRPr="008A7BD7">
        <w:rPr>
          <w:rFonts w:ascii="Cambria" w:hAnsi="Cambria"/>
          <w:color w:val="000000"/>
          <w:sz w:val="20"/>
          <w:szCs w:val="20"/>
        </w:rPr>
        <w:t xml:space="preserve"> the rights of children and adolescents</w:t>
      </w:r>
      <w:r w:rsidR="001C1AE1" w:rsidRPr="008A7BD7">
        <w:rPr>
          <w:rFonts w:ascii="Cambria" w:hAnsi="Cambria"/>
          <w:color w:val="000000"/>
          <w:sz w:val="20"/>
          <w:szCs w:val="20"/>
        </w:rPr>
        <w:t xml:space="preserve">, taking a </w:t>
      </w:r>
      <w:r w:rsidR="00411CD4" w:rsidRPr="008A7BD7">
        <w:rPr>
          <w:rFonts w:ascii="Cambria" w:hAnsi="Cambria"/>
          <w:color w:val="000000"/>
          <w:sz w:val="20"/>
          <w:szCs w:val="20"/>
        </w:rPr>
        <w:t xml:space="preserve">comprehensive, specialized </w:t>
      </w:r>
      <w:r w:rsidR="001C1AE1" w:rsidRPr="008A7BD7">
        <w:rPr>
          <w:rFonts w:ascii="Cambria" w:hAnsi="Cambria"/>
          <w:color w:val="000000"/>
          <w:sz w:val="20"/>
          <w:szCs w:val="20"/>
        </w:rPr>
        <w:t>approach</w:t>
      </w:r>
      <w:r w:rsidR="00411CD4" w:rsidRPr="008A7BD7">
        <w:rPr>
          <w:rFonts w:ascii="Cambria" w:hAnsi="Cambria"/>
          <w:color w:val="000000"/>
          <w:sz w:val="20"/>
          <w:szCs w:val="20"/>
        </w:rPr>
        <w:t>.</w:t>
      </w:r>
      <w:r w:rsidR="00746761" w:rsidRPr="008A7BD7">
        <w:rPr>
          <w:rFonts w:ascii="Cambria" w:hAnsi="Cambria"/>
          <w:color w:val="000000"/>
          <w:sz w:val="20"/>
          <w:szCs w:val="20"/>
          <w:vertAlign w:val="superscript"/>
          <w:lang w:val="es-ES"/>
        </w:rPr>
        <w:footnoteReference w:id="340"/>
      </w:r>
      <w:r w:rsidR="00746761" w:rsidRPr="008A7BD7">
        <w:rPr>
          <w:rFonts w:ascii="Cambria" w:hAnsi="Cambria"/>
          <w:color w:val="000000"/>
          <w:sz w:val="20"/>
          <w:szCs w:val="20"/>
        </w:rPr>
        <w:t xml:space="preserve"> </w:t>
      </w:r>
    </w:p>
    <w:p w14:paraId="2FB93555" w14:textId="77777777" w:rsidR="00746761" w:rsidRPr="008A7BD7" w:rsidRDefault="00746761" w:rsidP="00746761">
      <w:pPr>
        <w:jc w:val="both"/>
        <w:rPr>
          <w:rFonts w:ascii="Cambria" w:hAnsi="Cambria"/>
          <w:color w:val="000000"/>
          <w:sz w:val="20"/>
          <w:szCs w:val="20"/>
        </w:rPr>
      </w:pPr>
    </w:p>
    <w:p w14:paraId="27D70C2C" w14:textId="347E5CBA" w:rsidR="00746761" w:rsidRPr="008A7BD7" w:rsidRDefault="002B4F29" w:rsidP="003D3059">
      <w:pPr>
        <w:numPr>
          <w:ilvl w:val="0"/>
          <w:numId w:val="2"/>
        </w:numPr>
        <w:ind w:left="0" w:firstLine="720"/>
        <w:jc w:val="both"/>
        <w:rPr>
          <w:rFonts w:ascii="Cambria" w:hAnsi="Cambria"/>
          <w:color w:val="000000"/>
          <w:sz w:val="20"/>
          <w:szCs w:val="20"/>
        </w:rPr>
      </w:pPr>
      <w:r w:rsidRPr="008A7BD7">
        <w:rPr>
          <w:rFonts w:ascii="Cambria" w:hAnsi="Cambria"/>
          <w:sz w:val="20"/>
          <w:szCs w:val="20"/>
        </w:rPr>
        <w:t xml:space="preserve">In terms of the context of violence against children and adolescents, the IACHR notes that according to data </w:t>
      </w:r>
      <w:r w:rsidR="00C73D75" w:rsidRPr="008A7BD7">
        <w:rPr>
          <w:rFonts w:ascii="Cambria" w:hAnsi="Cambria"/>
          <w:sz w:val="20"/>
          <w:szCs w:val="20"/>
        </w:rPr>
        <w:t>published in May</w:t>
      </w:r>
      <w:r w:rsidR="00BF4417" w:rsidRPr="008A7BD7">
        <w:rPr>
          <w:rFonts w:ascii="Cambria" w:hAnsi="Cambria"/>
          <w:sz w:val="20"/>
          <w:szCs w:val="20"/>
        </w:rPr>
        <w:t xml:space="preserve">, 22.87% of the cases </w:t>
      </w:r>
      <w:r w:rsidR="001F1EAA" w:rsidRPr="008A7BD7">
        <w:rPr>
          <w:rFonts w:ascii="Cambria" w:hAnsi="Cambria"/>
          <w:sz w:val="20"/>
          <w:szCs w:val="20"/>
        </w:rPr>
        <w:t>handled</w:t>
      </w:r>
      <w:r w:rsidR="00BF4417" w:rsidRPr="008A7BD7">
        <w:rPr>
          <w:rFonts w:ascii="Cambria" w:hAnsi="Cambria"/>
          <w:sz w:val="20"/>
          <w:szCs w:val="20"/>
        </w:rPr>
        <w:t xml:space="preserve"> by the </w:t>
      </w:r>
      <w:r w:rsidR="00C73D75" w:rsidRPr="008A7BD7">
        <w:rPr>
          <w:rFonts w:ascii="Cambria" w:hAnsi="Cambria"/>
          <w:sz w:val="20"/>
          <w:szCs w:val="20"/>
        </w:rPr>
        <w:t>Prosecutor’s Office for Children and Adolescents</w:t>
      </w:r>
      <w:r w:rsidR="00BF4417" w:rsidRPr="008A7BD7">
        <w:rPr>
          <w:rFonts w:ascii="Cambria" w:hAnsi="Cambria"/>
          <w:sz w:val="20"/>
          <w:szCs w:val="20"/>
        </w:rPr>
        <w:t xml:space="preserve"> between April 1, 2020, and March 31, 2021, </w:t>
      </w:r>
      <w:r w:rsidR="001F1EAA" w:rsidRPr="008A7BD7">
        <w:rPr>
          <w:rFonts w:ascii="Cambria" w:hAnsi="Cambria"/>
          <w:sz w:val="20"/>
          <w:szCs w:val="20"/>
        </w:rPr>
        <w:t xml:space="preserve">were for sexual violence; </w:t>
      </w:r>
      <w:r w:rsidR="00746761" w:rsidRPr="008A7BD7">
        <w:rPr>
          <w:rFonts w:ascii="Cambria" w:hAnsi="Cambria"/>
          <w:sz w:val="20"/>
          <w:szCs w:val="20"/>
        </w:rPr>
        <w:t xml:space="preserve">35.32% </w:t>
      </w:r>
      <w:r w:rsidR="001F1EAA" w:rsidRPr="008A7BD7">
        <w:rPr>
          <w:rFonts w:ascii="Cambria" w:hAnsi="Cambria"/>
          <w:sz w:val="20"/>
          <w:szCs w:val="20"/>
        </w:rPr>
        <w:t xml:space="preserve">for missing children; and </w:t>
      </w:r>
      <w:r w:rsidR="00746761" w:rsidRPr="008A7BD7">
        <w:rPr>
          <w:rFonts w:ascii="Cambria" w:hAnsi="Cambria"/>
          <w:sz w:val="20"/>
          <w:szCs w:val="20"/>
        </w:rPr>
        <w:t xml:space="preserve">41.81% </w:t>
      </w:r>
      <w:r w:rsidR="001F1EAA" w:rsidRPr="008A7BD7">
        <w:rPr>
          <w:rFonts w:ascii="Cambria" w:hAnsi="Cambria"/>
          <w:sz w:val="20"/>
          <w:szCs w:val="20"/>
        </w:rPr>
        <w:t>for ill-treatment.</w:t>
      </w:r>
      <w:r w:rsidR="00746761" w:rsidRPr="008A7BD7">
        <w:rPr>
          <w:rFonts w:ascii="Cambria" w:hAnsi="Cambria"/>
          <w:sz w:val="20"/>
          <w:szCs w:val="20"/>
          <w:vertAlign w:val="superscript"/>
          <w:lang w:val="es-ES"/>
        </w:rPr>
        <w:footnoteReference w:id="341"/>
      </w:r>
      <w:r w:rsidR="00746761" w:rsidRPr="008A7BD7">
        <w:rPr>
          <w:rFonts w:ascii="Cambria" w:hAnsi="Cambria"/>
          <w:sz w:val="20"/>
          <w:szCs w:val="20"/>
        </w:rPr>
        <w:t xml:space="preserve"> </w:t>
      </w:r>
      <w:r w:rsidR="00C716E4" w:rsidRPr="008A7BD7">
        <w:rPr>
          <w:rFonts w:ascii="Cambria" w:hAnsi="Cambria"/>
          <w:sz w:val="20"/>
          <w:szCs w:val="20"/>
        </w:rPr>
        <w:t>With regard to missing children, according to the child advocacy organization</w:t>
      </w:r>
      <w:r w:rsidR="00FC6F5D" w:rsidRPr="008A7BD7">
        <w:rPr>
          <w:rFonts w:ascii="Cambria" w:hAnsi="Cambria"/>
          <w:sz w:val="20"/>
          <w:szCs w:val="20"/>
        </w:rPr>
        <w:t xml:space="preserve"> </w:t>
      </w:r>
      <w:r w:rsidR="00746761" w:rsidRPr="008A7BD7">
        <w:rPr>
          <w:rFonts w:ascii="Cambria" w:hAnsi="Cambria"/>
          <w:sz w:val="20"/>
          <w:szCs w:val="20"/>
        </w:rPr>
        <w:t>CONACMI</w:t>
      </w:r>
      <w:r w:rsidR="00FC6F5D" w:rsidRPr="008A7BD7">
        <w:rPr>
          <w:rFonts w:ascii="Cambria" w:hAnsi="Cambria"/>
          <w:sz w:val="20"/>
          <w:szCs w:val="20"/>
        </w:rPr>
        <w:t xml:space="preserve">, the </w:t>
      </w:r>
      <w:r w:rsidR="00746761" w:rsidRPr="008A7BD7">
        <w:rPr>
          <w:rFonts w:ascii="Cambria" w:hAnsi="Cambria"/>
          <w:sz w:val="20"/>
          <w:szCs w:val="20"/>
        </w:rPr>
        <w:t>Alba</w:t>
      </w:r>
      <w:r w:rsidR="00FC6F5D" w:rsidRPr="008A7BD7">
        <w:rPr>
          <w:rFonts w:ascii="Cambria" w:hAnsi="Cambria"/>
          <w:sz w:val="20"/>
          <w:szCs w:val="20"/>
        </w:rPr>
        <w:t>-</w:t>
      </w:r>
      <w:proofErr w:type="spellStart"/>
      <w:r w:rsidR="00746761" w:rsidRPr="008A7BD7">
        <w:rPr>
          <w:rFonts w:ascii="Cambria" w:hAnsi="Cambria"/>
          <w:sz w:val="20"/>
          <w:szCs w:val="20"/>
        </w:rPr>
        <w:t>Keneth</w:t>
      </w:r>
      <w:proofErr w:type="spellEnd"/>
      <w:r w:rsidR="00746761" w:rsidRPr="008A7BD7">
        <w:rPr>
          <w:rFonts w:ascii="Cambria" w:hAnsi="Cambria"/>
          <w:sz w:val="20"/>
          <w:szCs w:val="20"/>
        </w:rPr>
        <w:t xml:space="preserve"> </w:t>
      </w:r>
      <w:r w:rsidR="00FC6F5D" w:rsidRPr="008A7BD7">
        <w:rPr>
          <w:rFonts w:ascii="Cambria" w:hAnsi="Cambria"/>
          <w:sz w:val="20"/>
          <w:szCs w:val="20"/>
        </w:rPr>
        <w:t xml:space="preserve">Alert System reported that </w:t>
      </w:r>
      <w:r w:rsidR="00746761" w:rsidRPr="008A7BD7">
        <w:rPr>
          <w:rFonts w:ascii="Cambria" w:hAnsi="Cambria"/>
          <w:sz w:val="20"/>
          <w:szCs w:val="20"/>
        </w:rPr>
        <w:t>4</w:t>
      </w:r>
      <w:r w:rsidR="00FC6F5D" w:rsidRPr="008A7BD7">
        <w:rPr>
          <w:rFonts w:ascii="Cambria" w:hAnsi="Cambria"/>
          <w:sz w:val="20"/>
          <w:szCs w:val="20"/>
        </w:rPr>
        <w:t>,</w:t>
      </w:r>
      <w:r w:rsidR="00746761" w:rsidRPr="008A7BD7">
        <w:rPr>
          <w:rFonts w:ascii="Cambria" w:hAnsi="Cambria"/>
          <w:sz w:val="20"/>
          <w:szCs w:val="20"/>
        </w:rPr>
        <w:t xml:space="preserve">621 </w:t>
      </w:r>
      <w:r w:rsidR="00FC6F5D" w:rsidRPr="008A7BD7">
        <w:rPr>
          <w:rFonts w:ascii="Cambria" w:hAnsi="Cambria"/>
          <w:sz w:val="20"/>
          <w:szCs w:val="20"/>
        </w:rPr>
        <w:t>alerts had been activated as of September</w:t>
      </w:r>
      <w:r w:rsidR="00155E29" w:rsidRPr="008A7BD7">
        <w:rPr>
          <w:rFonts w:ascii="Cambria" w:hAnsi="Cambria"/>
          <w:sz w:val="20"/>
          <w:szCs w:val="20"/>
        </w:rPr>
        <w:t>—</w:t>
      </w:r>
      <w:r w:rsidR="00FC6F5D" w:rsidRPr="008A7BD7">
        <w:rPr>
          <w:rFonts w:ascii="Cambria" w:hAnsi="Cambria"/>
          <w:sz w:val="20"/>
          <w:szCs w:val="20"/>
        </w:rPr>
        <w:t xml:space="preserve">in other words, an average of </w:t>
      </w:r>
      <w:r w:rsidR="00746761" w:rsidRPr="008A7BD7">
        <w:rPr>
          <w:rFonts w:ascii="Cambria" w:hAnsi="Cambria"/>
          <w:sz w:val="20"/>
          <w:szCs w:val="20"/>
        </w:rPr>
        <w:t xml:space="preserve">513 </w:t>
      </w:r>
      <w:r w:rsidR="00FC6F5D" w:rsidRPr="008A7BD7">
        <w:rPr>
          <w:rFonts w:ascii="Cambria" w:hAnsi="Cambria"/>
          <w:sz w:val="20"/>
          <w:szCs w:val="20"/>
        </w:rPr>
        <w:t>cases per month and</w:t>
      </w:r>
      <w:r w:rsidR="00746761" w:rsidRPr="008A7BD7">
        <w:rPr>
          <w:rFonts w:ascii="Cambria" w:hAnsi="Cambria"/>
          <w:sz w:val="20"/>
          <w:szCs w:val="20"/>
        </w:rPr>
        <w:t xml:space="preserve"> 17 </w:t>
      </w:r>
      <w:r w:rsidR="00FC6F5D" w:rsidRPr="008A7BD7">
        <w:rPr>
          <w:rFonts w:ascii="Cambria" w:hAnsi="Cambria"/>
          <w:sz w:val="20"/>
          <w:szCs w:val="20"/>
        </w:rPr>
        <w:t>per day</w:t>
      </w:r>
      <w:r w:rsidR="00746761" w:rsidRPr="008A7BD7">
        <w:rPr>
          <w:rFonts w:ascii="Cambria" w:hAnsi="Cambria"/>
          <w:sz w:val="20"/>
          <w:szCs w:val="20"/>
        </w:rPr>
        <w:t xml:space="preserve">. </w:t>
      </w:r>
      <w:r w:rsidR="00B413F5" w:rsidRPr="008A7BD7">
        <w:rPr>
          <w:rFonts w:ascii="Cambria" w:hAnsi="Cambria"/>
          <w:sz w:val="20"/>
          <w:szCs w:val="20"/>
        </w:rPr>
        <w:t xml:space="preserve">It added that the system has </w:t>
      </w:r>
      <w:r w:rsidR="00155E29" w:rsidRPr="008A7BD7">
        <w:rPr>
          <w:rFonts w:ascii="Cambria" w:hAnsi="Cambria"/>
          <w:sz w:val="20"/>
          <w:szCs w:val="20"/>
        </w:rPr>
        <w:t>deficiencies</w:t>
      </w:r>
      <w:r w:rsidR="00B413F5" w:rsidRPr="008A7BD7">
        <w:rPr>
          <w:rFonts w:ascii="Cambria" w:hAnsi="Cambria"/>
          <w:sz w:val="20"/>
          <w:szCs w:val="20"/>
        </w:rPr>
        <w:t xml:space="preserve"> that have to do with the difficulty of knowing how many children have appeared and how many remain missing, as well as the conditions in which </w:t>
      </w:r>
      <w:r w:rsidR="00155E29" w:rsidRPr="008A7BD7">
        <w:rPr>
          <w:rFonts w:ascii="Cambria" w:hAnsi="Cambria"/>
          <w:sz w:val="20"/>
          <w:szCs w:val="20"/>
        </w:rPr>
        <w:t>missing children</w:t>
      </w:r>
      <w:r w:rsidR="00B413F5" w:rsidRPr="008A7BD7">
        <w:rPr>
          <w:rFonts w:ascii="Cambria" w:hAnsi="Cambria"/>
          <w:sz w:val="20"/>
          <w:szCs w:val="20"/>
        </w:rPr>
        <w:t xml:space="preserve"> turn up.</w:t>
      </w:r>
      <w:r w:rsidR="00746761" w:rsidRPr="008A7BD7">
        <w:rPr>
          <w:rFonts w:ascii="Cambria" w:hAnsi="Cambria"/>
          <w:sz w:val="20"/>
          <w:szCs w:val="20"/>
          <w:vertAlign w:val="superscript"/>
          <w:lang w:val="es-ES"/>
        </w:rPr>
        <w:footnoteReference w:id="342"/>
      </w:r>
      <w:r w:rsidR="00746761" w:rsidRPr="008A7BD7">
        <w:rPr>
          <w:rFonts w:ascii="Cambria" w:hAnsi="Cambria"/>
          <w:sz w:val="20"/>
          <w:szCs w:val="20"/>
        </w:rPr>
        <w:t xml:space="preserve"> </w:t>
      </w:r>
    </w:p>
    <w:p w14:paraId="253BAFF6" w14:textId="77777777" w:rsidR="009E52D6" w:rsidRPr="008A7BD7" w:rsidRDefault="009E52D6" w:rsidP="009E52D6">
      <w:pPr>
        <w:pStyle w:val="ListParagraph"/>
        <w:rPr>
          <w:rFonts w:ascii="Cambria" w:hAnsi="Cambria"/>
          <w:color w:val="000000"/>
          <w:sz w:val="20"/>
          <w:szCs w:val="20"/>
        </w:rPr>
      </w:pPr>
    </w:p>
    <w:p w14:paraId="6EB808EF" w14:textId="18D932ED" w:rsidR="009E52D6" w:rsidRPr="008A7BD7" w:rsidRDefault="00FD7203" w:rsidP="009E52D6">
      <w:pPr>
        <w:numPr>
          <w:ilvl w:val="0"/>
          <w:numId w:val="2"/>
        </w:numPr>
        <w:ind w:left="0" w:firstLine="720"/>
        <w:jc w:val="both"/>
        <w:rPr>
          <w:rFonts w:ascii="Cambria" w:hAnsi="Cambria"/>
          <w:color w:val="000000"/>
          <w:sz w:val="20"/>
          <w:szCs w:val="20"/>
        </w:rPr>
      </w:pPr>
      <w:r w:rsidRPr="008A7BD7">
        <w:rPr>
          <w:rFonts w:ascii="Cambria" w:hAnsi="Cambria"/>
          <w:color w:val="000000"/>
          <w:sz w:val="20"/>
          <w:szCs w:val="20"/>
        </w:rPr>
        <w:t xml:space="preserve">In its response to the draft of this report, the Guatemalan State indicated that from January through November 30, </w:t>
      </w:r>
      <w:r w:rsidR="009E52D6" w:rsidRPr="008A7BD7">
        <w:rPr>
          <w:rFonts w:ascii="Cambria" w:hAnsi="Cambria"/>
          <w:color w:val="000000"/>
          <w:sz w:val="20"/>
          <w:szCs w:val="20"/>
        </w:rPr>
        <w:t>2021</w:t>
      </w:r>
      <w:r w:rsidRPr="008A7BD7">
        <w:rPr>
          <w:rFonts w:ascii="Cambria" w:hAnsi="Cambria"/>
          <w:color w:val="000000"/>
          <w:sz w:val="20"/>
          <w:szCs w:val="20"/>
        </w:rPr>
        <w:t xml:space="preserve">, a total of </w:t>
      </w:r>
      <w:r w:rsidR="009E52D6" w:rsidRPr="008A7BD7">
        <w:rPr>
          <w:rFonts w:ascii="Cambria" w:hAnsi="Cambria"/>
          <w:color w:val="000000"/>
          <w:sz w:val="20"/>
          <w:szCs w:val="20"/>
        </w:rPr>
        <w:t>5</w:t>
      </w:r>
      <w:r w:rsidRPr="008A7BD7">
        <w:rPr>
          <w:rFonts w:ascii="Cambria" w:hAnsi="Cambria"/>
          <w:color w:val="000000"/>
          <w:sz w:val="20"/>
          <w:szCs w:val="20"/>
        </w:rPr>
        <w:t>,</w:t>
      </w:r>
      <w:r w:rsidR="009E52D6" w:rsidRPr="008A7BD7">
        <w:rPr>
          <w:rFonts w:ascii="Cambria" w:hAnsi="Cambria"/>
          <w:color w:val="000000"/>
          <w:sz w:val="20"/>
          <w:szCs w:val="20"/>
        </w:rPr>
        <w:t xml:space="preserve">691 </w:t>
      </w:r>
      <w:r w:rsidRPr="008A7BD7">
        <w:rPr>
          <w:rFonts w:ascii="Cambria" w:hAnsi="Cambria"/>
          <w:color w:val="000000"/>
          <w:sz w:val="20"/>
          <w:szCs w:val="20"/>
        </w:rPr>
        <w:t xml:space="preserve">alerts had been generated in the </w:t>
      </w:r>
      <w:r w:rsidR="006D20F2" w:rsidRPr="008A7BD7">
        <w:rPr>
          <w:rFonts w:ascii="Cambria" w:hAnsi="Cambria"/>
          <w:color w:val="000000"/>
          <w:sz w:val="20"/>
          <w:szCs w:val="20"/>
        </w:rPr>
        <w:t>framework</w:t>
      </w:r>
      <w:r w:rsidRPr="008A7BD7">
        <w:rPr>
          <w:rFonts w:ascii="Cambria" w:hAnsi="Cambria"/>
          <w:color w:val="000000"/>
          <w:sz w:val="20"/>
          <w:szCs w:val="20"/>
        </w:rPr>
        <w:t xml:space="preserve"> of the </w:t>
      </w:r>
      <w:r w:rsidR="009E52D6" w:rsidRPr="008A7BD7">
        <w:rPr>
          <w:rFonts w:ascii="Cambria" w:hAnsi="Cambria"/>
          <w:color w:val="000000"/>
          <w:sz w:val="20"/>
          <w:szCs w:val="20"/>
        </w:rPr>
        <w:t>Alba-</w:t>
      </w:r>
      <w:proofErr w:type="spellStart"/>
      <w:r w:rsidR="009E52D6" w:rsidRPr="008A7BD7">
        <w:rPr>
          <w:rFonts w:ascii="Cambria" w:hAnsi="Cambria"/>
          <w:color w:val="000000"/>
          <w:sz w:val="20"/>
          <w:szCs w:val="20"/>
        </w:rPr>
        <w:t>Keneth</w:t>
      </w:r>
      <w:proofErr w:type="spellEnd"/>
      <w:r w:rsidRPr="008A7BD7">
        <w:rPr>
          <w:rFonts w:ascii="Cambria" w:hAnsi="Cambria"/>
          <w:color w:val="000000"/>
          <w:sz w:val="20"/>
          <w:szCs w:val="20"/>
        </w:rPr>
        <w:t xml:space="preserve"> Unit</w:t>
      </w:r>
      <w:r w:rsidR="009E52D6" w:rsidRPr="008A7BD7">
        <w:rPr>
          <w:rFonts w:ascii="Cambria" w:hAnsi="Cambria"/>
          <w:color w:val="000000"/>
          <w:sz w:val="20"/>
          <w:szCs w:val="20"/>
        </w:rPr>
        <w:t xml:space="preserve">. </w:t>
      </w:r>
      <w:r w:rsidRPr="008A7BD7">
        <w:rPr>
          <w:rFonts w:ascii="Cambria" w:hAnsi="Cambria"/>
          <w:color w:val="000000"/>
          <w:sz w:val="20"/>
          <w:szCs w:val="20"/>
        </w:rPr>
        <w:t xml:space="preserve">In the same period, </w:t>
      </w:r>
      <w:r w:rsidR="009E52D6" w:rsidRPr="008A7BD7">
        <w:rPr>
          <w:rFonts w:ascii="Cambria" w:hAnsi="Cambria"/>
          <w:color w:val="000000"/>
          <w:sz w:val="20"/>
          <w:szCs w:val="20"/>
        </w:rPr>
        <w:t>1</w:t>
      </w:r>
      <w:r w:rsidRPr="008A7BD7">
        <w:rPr>
          <w:rFonts w:ascii="Cambria" w:hAnsi="Cambria"/>
          <w:color w:val="000000"/>
          <w:sz w:val="20"/>
          <w:szCs w:val="20"/>
        </w:rPr>
        <w:t>,</w:t>
      </w:r>
      <w:r w:rsidR="009E52D6" w:rsidRPr="008A7BD7">
        <w:rPr>
          <w:rFonts w:ascii="Cambria" w:hAnsi="Cambria"/>
          <w:color w:val="000000"/>
          <w:sz w:val="20"/>
          <w:szCs w:val="20"/>
        </w:rPr>
        <w:t xml:space="preserve">640 </w:t>
      </w:r>
      <w:r w:rsidR="007D4D86" w:rsidRPr="008A7BD7">
        <w:rPr>
          <w:rFonts w:ascii="Cambria" w:hAnsi="Cambria"/>
          <w:color w:val="000000"/>
          <w:sz w:val="20"/>
          <w:szCs w:val="20"/>
        </w:rPr>
        <w:t xml:space="preserve">alerts </w:t>
      </w:r>
      <w:r w:rsidRPr="008A7BD7">
        <w:rPr>
          <w:rFonts w:ascii="Cambria" w:hAnsi="Cambria"/>
          <w:color w:val="000000"/>
          <w:sz w:val="20"/>
          <w:szCs w:val="20"/>
        </w:rPr>
        <w:t xml:space="preserve">remained active and </w:t>
      </w:r>
      <w:r w:rsidR="009E52D6" w:rsidRPr="008A7BD7">
        <w:rPr>
          <w:rFonts w:ascii="Cambria" w:hAnsi="Cambria"/>
          <w:color w:val="000000"/>
          <w:sz w:val="20"/>
          <w:szCs w:val="20"/>
        </w:rPr>
        <w:t>4</w:t>
      </w:r>
      <w:r w:rsidRPr="008A7BD7">
        <w:rPr>
          <w:rFonts w:ascii="Cambria" w:hAnsi="Cambria"/>
          <w:color w:val="000000"/>
          <w:sz w:val="20"/>
          <w:szCs w:val="20"/>
        </w:rPr>
        <w:t>,</w:t>
      </w:r>
      <w:r w:rsidR="009E52D6" w:rsidRPr="008A7BD7">
        <w:rPr>
          <w:rFonts w:ascii="Cambria" w:hAnsi="Cambria"/>
          <w:color w:val="000000"/>
          <w:sz w:val="20"/>
          <w:szCs w:val="20"/>
        </w:rPr>
        <w:t xml:space="preserve">051 </w:t>
      </w:r>
      <w:r w:rsidRPr="008A7BD7">
        <w:rPr>
          <w:rFonts w:ascii="Cambria" w:hAnsi="Cambria"/>
          <w:color w:val="000000"/>
          <w:sz w:val="20"/>
          <w:szCs w:val="20"/>
        </w:rPr>
        <w:t>had been d</w:t>
      </w:r>
      <w:r w:rsidR="006D20F2" w:rsidRPr="008A7BD7">
        <w:rPr>
          <w:rFonts w:ascii="Cambria" w:hAnsi="Cambria"/>
          <w:color w:val="000000"/>
          <w:sz w:val="20"/>
          <w:szCs w:val="20"/>
        </w:rPr>
        <w:t>ea</w:t>
      </w:r>
      <w:r w:rsidRPr="008A7BD7">
        <w:rPr>
          <w:rFonts w:ascii="Cambria" w:hAnsi="Cambria"/>
          <w:color w:val="000000"/>
          <w:sz w:val="20"/>
          <w:szCs w:val="20"/>
        </w:rPr>
        <w:t xml:space="preserve">ctivated. In its report, the State noted that “when it is aware that a child or adolescent with an outstanding </w:t>
      </w:r>
      <w:r w:rsidR="009E52D6" w:rsidRPr="008A7BD7">
        <w:rPr>
          <w:rFonts w:ascii="Cambria" w:hAnsi="Cambria"/>
          <w:color w:val="000000"/>
          <w:sz w:val="20"/>
          <w:szCs w:val="20"/>
        </w:rPr>
        <w:t>Alba-</w:t>
      </w:r>
      <w:proofErr w:type="spellStart"/>
      <w:r w:rsidR="009E52D6" w:rsidRPr="008A7BD7">
        <w:rPr>
          <w:rFonts w:ascii="Cambria" w:hAnsi="Cambria"/>
          <w:color w:val="000000"/>
          <w:sz w:val="20"/>
          <w:szCs w:val="20"/>
        </w:rPr>
        <w:t>Keneth</w:t>
      </w:r>
      <w:proofErr w:type="spellEnd"/>
      <w:r w:rsidR="009E52D6" w:rsidRPr="008A7BD7">
        <w:rPr>
          <w:rFonts w:ascii="Cambria" w:hAnsi="Cambria"/>
          <w:color w:val="000000"/>
          <w:sz w:val="20"/>
          <w:szCs w:val="20"/>
        </w:rPr>
        <w:t xml:space="preserve"> </w:t>
      </w:r>
      <w:r w:rsidRPr="008A7BD7">
        <w:rPr>
          <w:rFonts w:ascii="Cambria" w:hAnsi="Cambria"/>
          <w:color w:val="000000"/>
          <w:sz w:val="20"/>
          <w:szCs w:val="20"/>
        </w:rPr>
        <w:t xml:space="preserve">alert may be </w:t>
      </w:r>
      <w:r w:rsidR="006D20F2" w:rsidRPr="008A7BD7">
        <w:rPr>
          <w:rFonts w:ascii="Cambria" w:hAnsi="Cambria"/>
          <w:color w:val="000000"/>
          <w:sz w:val="20"/>
          <w:szCs w:val="20"/>
        </w:rPr>
        <w:t>taken out of the country</w:t>
      </w:r>
      <w:r w:rsidRPr="008A7BD7">
        <w:rPr>
          <w:rFonts w:ascii="Cambria" w:hAnsi="Cambria"/>
          <w:color w:val="000000"/>
          <w:sz w:val="20"/>
          <w:szCs w:val="20"/>
        </w:rPr>
        <w:t xml:space="preserve">, it notifies the Ministry of Foreign Affairs, </w:t>
      </w:r>
      <w:r w:rsidR="006D20F2" w:rsidRPr="008A7BD7">
        <w:rPr>
          <w:rFonts w:ascii="Cambria" w:hAnsi="Cambria"/>
          <w:color w:val="000000"/>
          <w:sz w:val="20"/>
          <w:szCs w:val="20"/>
        </w:rPr>
        <w:t>in order to have</w:t>
      </w:r>
      <w:r w:rsidRPr="008A7BD7">
        <w:rPr>
          <w:rFonts w:ascii="Cambria" w:hAnsi="Cambria"/>
          <w:color w:val="000000"/>
          <w:sz w:val="20"/>
          <w:szCs w:val="20"/>
        </w:rPr>
        <w:t xml:space="preserve"> the alert replicated through the appropriate diplomatic and consular missions, so that once the minor is located th</w:t>
      </w:r>
      <w:r w:rsidR="001D4F61" w:rsidRPr="008A7BD7">
        <w:rPr>
          <w:rFonts w:ascii="Cambria" w:hAnsi="Cambria"/>
          <w:color w:val="000000"/>
          <w:sz w:val="20"/>
          <w:szCs w:val="20"/>
        </w:rPr>
        <w:t>os</w:t>
      </w:r>
      <w:r w:rsidRPr="008A7BD7">
        <w:rPr>
          <w:rFonts w:ascii="Cambria" w:hAnsi="Cambria"/>
          <w:color w:val="000000"/>
          <w:sz w:val="20"/>
          <w:szCs w:val="20"/>
        </w:rPr>
        <w:t>e authorities can verify whether he or she is under the protection of a family member</w:t>
      </w:r>
      <w:r w:rsidR="001D4F61" w:rsidRPr="008A7BD7">
        <w:rPr>
          <w:rFonts w:ascii="Cambria" w:hAnsi="Cambria"/>
          <w:color w:val="000000"/>
          <w:sz w:val="20"/>
          <w:szCs w:val="20"/>
        </w:rPr>
        <w:t xml:space="preserve">, and if it is </w:t>
      </w:r>
      <w:r w:rsidR="004E7B10" w:rsidRPr="008A7BD7">
        <w:rPr>
          <w:rFonts w:ascii="Cambria" w:hAnsi="Cambria"/>
          <w:color w:val="000000"/>
          <w:sz w:val="20"/>
          <w:szCs w:val="20"/>
        </w:rPr>
        <w:t>deemed</w:t>
      </w:r>
      <w:r w:rsidR="001D4F61" w:rsidRPr="008A7BD7">
        <w:rPr>
          <w:rFonts w:ascii="Cambria" w:hAnsi="Cambria"/>
          <w:color w:val="000000"/>
          <w:sz w:val="20"/>
          <w:szCs w:val="20"/>
        </w:rPr>
        <w:t xml:space="preserve"> necessary, the return to Guatemala can be coordinated</w:t>
      </w:r>
      <w:r w:rsidR="009E52D6" w:rsidRPr="008A7BD7">
        <w:rPr>
          <w:rFonts w:ascii="Cambria" w:hAnsi="Cambria"/>
          <w:color w:val="000000"/>
          <w:sz w:val="20"/>
          <w:szCs w:val="20"/>
        </w:rPr>
        <w:t xml:space="preserve">. </w:t>
      </w:r>
      <w:r w:rsidR="001D4F61" w:rsidRPr="008A7BD7">
        <w:rPr>
          <w:rFonts w:ascii="Cambria" w:hAnsi="Cambria"/>
          <w:color w:val="000000"/>
          <w:sz w:val="20"/>
          <w:szCs w:val="20"/>
        </w:rPr>
        <w:t xml:space="preserve">In the case of foreign children or adolescents with an </w:t>
      </w:r>
      <w:r w:rsidR="006D20F2" w:rsidRPr="008A7BD7">
        <w:rPr>
          <w:rFonts w:ascii="Cambria" w:hAnsi="Cambria"/>
          <w:color w:val="000000"/>
          <w:sz w:val="20"/>
          <w:szCs w:val="20"/>
        </w:rPr>
        <w:t xml:space="preserve">outstanding </w:t>
      </w:r>
      <w:r w:rsidR="009E52D6" w:rsidRPr="008A7BD7">
        <w:rPr>
          <w:rFonts w:ascii="Cambria" w:hAnsi="Cambria"/>
          <w:color w:val="000000"/>
          <w:sz w:val="20"/>
          <w:szCs w:val="20"/>
        </w:rPr>
        <w:t>Alba-</w:t>
      </w:r>
      <w:proofErr w:type="spellStart"/>
      <w:r w:rsidR="009E52D6" w:rsidRPr="008A7BD7">
        <w:rPr>
          <w:rFonts w:ascii="Cambria" w:hAnsi="Cambria"/>
          <w:color w:val="000000"/>
          <w:sz w:val="20"/>
          <w:szCs w:val="20"/>
        </w:rPr>
        <w:t>Keneth</w:t>
      </w:r>
      <w:proofErr w:type="spellEnd"/>
      <w:r w:rsidR="001D4F61" w:rsidRPr="008A7BD7">
        <w:rPr>
          <w:rFonts w:ascii="Cambria" w:hAnsi="Cambria"/>
          <w:color w:val="000000"/>
          <w:sz w:val="20"/>
          <w:szCs w:val="20"/>
        </w:rPr>
        <w:t xml:space="preserve"> alert, the Operational Unit coordinates with the applicable country’s accredited consulate or embassy in Guatemala so that it </w:t>
      </w:r>
      <w:r w:rsidR="006D20F2" w:rsidRPr="008A7BD7">
        <w:rPr>
          <w:rFonts w:ascii="Cambria" w:hAnsi="Cambria"/>
          <w:color w:val="000000"/>
          <w:sz w:val="20"/>
          <w:szCs w:val="20"/>
        </w:rPr>
        <w:t>can</w:t>
      </w:r>
      <w:r w:rsidR="001D4F61" w:rsidRPr="008A7BD7">
        <w:rPr>
          <w:rFonts w:ascii="Cambria" w:hAnsi="Cambria"/>
          <w:color w:val="000000"/>
          <w:sz w:val="20"/>
          <w:szCs w:val="20"/>
        </w:rPr>
        <w:t xml:space="preserve"> support the actions to search for, locate, and protect the minor.” </w:t>
      </w:r>
      <w:r w:rsidR="009E52D6" w:rsidRPr="008A7BD7">
        <w:rPr>
          <w:rStyle w:val="FootnoteReference"/>
          <w:rFonts w:ascii="Cambria" w:hAnsi="Cambria"/>
          <w:color w:val="000000"/>
          <w:sz w:val="20"/>
          <w:szCs w:val="20"/>
          <w:lang w:val="es-ES"/>
        </w:rPr>
        <w:footnoteReference w:id="343"/>
      </w:r>
    </w:p>
    <w:p w14:paraId="4FF74EED" w14:textId="77777777" w:rsidR="00746761" w:rsidRPr="008A7BD7" w:rsidRDefault="00746761" w:rsidP="00746761">
      <w:pPr>
        <w:jc w:val="both"/>
        <w:rPr>
          <w:rFonts w:ascii="Cambria" w:hAnsi="Cambria"/>
          <w:color w:val="000000"/>
          <w:sz w:val="20"/>
          <w:szCs w:val="20"/>
        </w:rPr>
      </w:pPr>
    </w:p>
    <w:p w14:paraId="7FFABBB0" w14:textId="29301700" w:rsidR="00746761" w:rsidRPr="008A7BD7" w:rsidRDefault="00FE4A09" w:rsidP="003D3059">
      <w:pPr>
        <w:numPr>
          <w:ilvl w:val="0"/>
          <w:numId w:val="2"/>
        </w:numPr>
        <w:ind w:left="0" w:firstLine="720"/>
        <w:jc w:val="both"/>
        <w:rPr>
          <w:rFonts w:ascii="Cambria" w:hAnsi="Cambria"/>
          <w:color w:val="000000"/>
          <w:sz w:val="20"/>
          <w:szCs w:val="20"/>
        </w:rPr>
      </w:pPr>
      <w:r w:rsidRPr="008A7BD7">
        <w:rPr>
          <w:rFonts w:ascii="Cambria" w:hAnsi="Cambria"/>
          <w:color w:val="000000"/>
          <w:sz w:val="20"/>
          <w:szCs w:val="20"/>
        </w:rPr>
        <w:t xml:space="preserve">With respect to sexual violence, the IACHR is concerned about information indicating that through August </w:t>
      </w:r>
      <w:r w:rsidR="00746761" w:rsidRPr="008A7BD7">
        <w:rPr>
          <w:rFonts w:ascii="Cambria" w:hAnsi="Cambria"/>
          <w:sz w:val="20"/>
          <w:szCs w:val="20"/>
        </w:rPr>
        <w:t xml:space="preserve">2021, 76% </w:t>
      </w:r>
      <w:r w:rsidRPr="008A7BD7">
        <w:rPr>
          <w:rFonts w:ascii="Cambria" w:hAnsi="Cambria"/>
          <w:sz w:val="20"/>
          <w:szCs w:val="20"/>
        </w:rPr>
        <w:t xml:space="preserve">of the sexual abuse </w:t>
      </w:r>
      <w:r w:rsidR="008459E9" w:rsidRPr="008A7BD7">
        <w:rPr>
          <w:rFonts w:ascii="Cambria" w:hAnsi="Cambria"/>
          <w:sz w:val="20"/>
          <w:szCs w:val="20"/>
        </w:rPr>
        <w:t xml:space="preserve">cases evaluated by the National Forensic Sciences Institute of </w:t>
      </w:r>
      <w:r w:rsidR="008459E9" w:rsidRPr="008A7BD7">
        <w:rPr>
          <w:rFonts w:ascii="Cambria" w:hAnsi="Cambria"/>
          <w:sz w:val="20"/>
          <w:szCs w:val="20"/>
        </w:rPr>
        <w:lastRenderedPageBreak/>
        <w:t>Guatemala (</w:t>
      </w:r>
      <w:r w:rsidR="00746761" w:rsidRPr="008A7BD7">
        <w:rPr>
          <w:rFonts w:ascii="Cambria" w:hAnsi="Cambria"/>
          <w:sz w:val="20"/>
          <w:szCs w:val="20"/>
        </w:rPr>
        <w:t>INACIF</w:t>
      </w:r>
      <w:r w:rsidR="008459E9" w:rsidRPr="008A7BD7">
        <w:rPr>
          <w:rFonts w:ascii="Cambria" w:hAnsi="Cambria"/>
          <w:sz w:val="20"/>
          <w:szCs w:val="20"/>
        </w:rPr>
        <w:t xml:space="preserve">) </w:t>
      </w:r>
      <w:r w:rsidR="006D11E1" w:rsidRPr="008A7BD7">
        <w:rPr>
          <w:rFonts w:ascii="Cambria" w:hAnsi="Cambria"/>
          <w:sz w:val="20"/>
          <w:szCs w:val="20"/>
        </w:rPr>
        <w:t>corresponded to</w:t>
      </w:r>
      <w:r w:rsidR="008459E9" w:rsidRPr="008A7BD7">
        <w:rPr>
          <w:rFonts w:ascii="Cambria" w:hAnsi="Cambria"/>
          <w:sz w:val="20"/>
          <w:szCs w:val="20"/>
        </w:rPr>
        <w:t xml:space="preserve"> children and adolescents</w:t>
      </w:r>
      <w:r w:rsidR="0085655E" w:rsidRPr="008A7BD7">
        <w:rPr>
          <w:rFonts w:ascii="Cambria" w:hAnsi="Cambria"/>
          <w:sz w:val="20"/>
          <w:szCs w:val="20"/>
        </w:rPr>
        <w:t xml:space="preserve">, and </w:t>
      </w:r>
      <w:r w:rsidR="00746761" w:rsidRPr="008A7BD7">
        <w:rPr>
          <w:rFonts w:ascii="Cambria" w:hAnsi="Cambria"/>
          <w:sz w:val="20"/>
          <w:szCs w:val="20"/>
        </w:rPr>
        <w:t xml:space="preserve">77% </w:t>
      </w:r>
      <w:r w:rsidR="0085655E" w:rsidRPr="008A7BD7">
        <w:rPr>
          <w:rFonts w:ascii="Cambria" w:hAnsi="Cambria"/>
          <w:sz w:val="20"/>
          <w:szCs w:val="20"/>
        </w:rPr>
        <w:t xml:space="preserve">of INACIF evaluations of female victims </w:t>
      </w:r>
      <w:r w:rsidR="00245493" w:rsidRPr="008A7BD7">
        <w:rPr>
          <w:rFonts w:ascii="Cambria" w:hAnsi="Cambria"/>
          <w:sz w:val="20"/>
          <w:szCs w:val="20"/>
        </w:rPr>
        <w:t>were of</w:t>
      </w:r>
      <w:r w:rsidR="0085655E" w:rsidRPr="008A7BD7">
        <w:rPr>
          <w:rFonts w:ascii="Cambria" w:hAnsi="Cambria"/>
          <w:sz w:val="20"/>
          <w:szCs w:val="20"/>
        </w:rPr>
        <w:t xml:space="preserve"> girls.</w:t>
      </w:r>
      <w:r w:rsidR="00746761" w:rsidRPr="008A7BD7">
        <w:rPr>
          <w:rFonts w:ascii="Cambria" w:hAnsi="Cambria"/>
          <w:color w:val="000000"/>
          <w:sz w:val="20"/>
          <w:szCs w:val="20"/>
          <w:vertAlign w:val="superscript"/>
          <w:lang w:val="es-ES"/>
        </w:rPr>
        <w:footnoteReference w:id="344"/>
      </w:r>
      <w:r w:rsidR="00746761" w:rsidRPr="008A7BD7">
        <w:rPr>
          <w:rFonts w:ascii="Cambria" w:hAnsi="Cambria"/>
          <w:color w:val="000000"/>
          <w:sz w:val="20"/>
          <w:szCs w:val="20"/>
        </w:rPr>
        <w:t xml:space="preserve"> </w:t>
      </w:r>
    </w:p>
    <w:p w14:paraId="52330D92" w14:textId="77777777" w:rsidR="00746761" w:rsidRPr="008A7BD7" w:rsidRDefault="00746761" w:rsidP="00746761">
      <w:pPr>
        <w:ind w:left="720"/>
        <w:jc w:val="both"/>
        <w:rPr>
          <w:rFonts w:ascii="Cambria" w:hAnsi="Cambria"/>
          <w:color w:val="000000"/>
          <w:sz w:val="20"/>
          <w:szCs w:val="20"/>
        </w:rPr>
      </w:pPr>
    </w:p>
    <w:p w14:paraId="50FF489F" w14:textId="3B18034D" w:rsidR="00746761" w:rsidRPr="008A7BD7" w:rsidRDefault="00D2568E" w:rsidP="003D3059">
      <w:pPr>
        <w:numPr>
          <w:ilvl w:val="0"/>
          <w:numId w:val="2"/>
        </w:numPr>
        <w:ind w:left="0" w:firstLine="720"/>
        <w:jc w:val="both"/>
        <w:rPr>
          <w:rFonts w:ascii="Cambria" w:hAnsi="Cambria"/>
          <w:color w:val="000000"/>
          <w:sz w:val="20"/>
          <w:szCs w:val="20"/>
        </w:rPr>
      </w:pPr>
      <w:r w:rsidRPr="008A7BD7">
        <w:rPr>
          <w:rFonts w:ascii="Cambria" w:hAnsi="Cambria"/>
          <w:color w:val="000000"/>
          <w:sz w:val="20"/>
          <w:szCs w:val="20"/>
        </w:rPr>
        <w:t>Regarding</w:t>
      </w:r>
      <w:r w:rsidR="00161036" w:rsidRPr="008A7BD7">
        <w:rPr>
          <w:rFonts w:ascii="Cambria" w:hAnsi="Cambria"/>
          <w:color w:val="000000"/>
          <w:sz w:val="20"/>
          <w:szCs w:val="20"/>
        </w:rPr>
        <w:t xml:space="preserve"> lethal violence, </w:t>
      </w:r>
      <w:r w:rsidR="00D93D47" w:rsidRPr="008A7BD7">
        <w:rPr>
          <w:rFonts w:ascii="Cambria" w:hAnsi="Cambria"/>
          <w:color w:val="000000"/>
          <w:sz w:val="20"/>
          <w:szCs w:val="20"/>
        </w:rPr>
        <w:t>data from the</w:t>
      </w:r>
      <w:r w:rsidR="00746761" w:rsidRPr="008A7BD7">
        <w:rPr>
          <w:rFonts w:ascii="Cambria" w:hAnsi="Cambria"/>
          <w:color w:val="000000"/>
          <w:sz w:val="20"/>
          <w:szCs w:val="20"/>
        </w:rPr>
        <w:t xml:space="preserve"> </w:t>
      </w:r>
      <w:r w:rsidR="00D93D47" w:rsidRPr="008A7BD7">
        <w:rPr>
          <w:rFonts w:ascii="Cambria" w:hAnsi="Cambria"/>
          <w:color w:val="000000"/>
          <w:sz w:val="20"/>
          <w:szCs w:val="20"/>
        </w:rPr>
        <w:t xml:space="preserve">Observatory </w:t>
      </w:r>
      <w:r w:rsidR="003E0EDC" w:rsidRPr="008A7BD7">
        <w:rPr>
          <w:rFonts w:ascii="Cambria" w:hAnsi="Cambria"/>
          <w:color w:val="000000"/>
          <w:sz w:val="20"/>
          <w:szCs w:val="20"/>
        </w:rPr>
        <w:t xml:space="preserve">on Childhood </w:t>
      </w:r>
      <w:r w:rsidR="00D93D47" w:rsidRPr="008A7BD7">
        <w:rPr>
          <w:rFonts w:ascii="Cambria" w:hAnsi="Cambria"/>
          <w:color w:val="000000"/>
          <w:sz w:val="20"/>
          <w:szCs w:val="20"/>
        </w:rPr>
        <w:t xml:space="preserve">of the </w:t>
      </w:r>
      <w:proofErr w:type="spellStart"/>
      <w:r w:rsidR="00746761" w:rsidRPr="008A7BD7">
        <w:rPr>
          <w:rFonts w:ascii="Cambria" w:hAnsi="Cambria"/>
          <w:color w:val="000000"/>
          <w:sz w:val="20"/>
          <w:szCs w:val="20"/>
        </w:rPr>
        <w:t>Coordinadora</w:t>
      </w:r>
      <w:proofErr w:type="spellEnd"/>
      <w:r w:rsidR="00746761" w:rsidRPr="008A7BD7">
        <w:rPr>
          <w:rFonts w:ascii="Cambria" w:hAnsi="Cambria"/>
          <w:color w:val="000000"/>
          <w:sz w:val="20"/>
          <w:szCs w:val="20"/>
        </w:rPr>
        <w:t xml:space="preserve"> </w:t>
      </w:r>
      <w:proofErr w:type="spellStart"/>
      <w:r w:rsidR="00746761" w:rsidRPr="008A7BD7">
        <w:rPr>
          <w:rFonts w:ascii="Cambria" w:hAnsi="Cambria"/>
          <w:color w:val="000000"/>
          <w:sz w:val="20"/>
          <w:szCs w:val="20"/>
        </w:rPr>
        <w:t>Institucional</w:t>
      </w:r>
      <w:proofErr w:type="spellEnd"/>
      <w:r w:rsidR="00746761" w:rsidRPr="008A7BD7">
        <w:rPr>
          <w:rFonts w:ascii="Cambria" w:hAnsi="Cambria"/>
          <w:color w:val="000000"/>
          <w:sz w:val="20"/>
          <w:szCs w:val="20"/>
        </w:rPr>
        <w:t xml:space="preserve"> de </w:t>
      </w:r>
      <w:proofErr w:type="spellStart"/>
      <w:r w:rsidR="00746761" w:rsidRPr="008A7BD7">
        <w:rPr>
          <w:rFonts w:ascii="Cambria" w:hAnsi="Cambria"/>
          <w:color w:val="000000"/>
          <w:sz w:val="20"/>
          <w:szCs w:val="20"/>
        </w:rPr>
        <w:t>Promoción</w:t>
      </w:r>
      <w:proofErr w:type="spellEnd"/>
      <w:r w:rsidR="00746761" w:rsidRPr="008A7BD7">
        <w:rPr>
          <w:rFonts w:ascii="Cambria" w:hAnsi="Cambria"/>
          <w:color w:val="000000"/>
          <w:sz w:val="20"/>
          <w:szCs w:val="20"/>
        </w:rPr>
        <w:t xml:space="preserve"> </w:t>
      </w:r>
      <w:proofErr w:type="spellStart"/>
      <w:r w:rsidR="00746761" w:rsidRPr="008A7BD7">
        <w:rPr>
          <w:rFonts w:ascii="Cambria" w:hAnsi="Cambria"/>
          <w:color w:val="000000"/>
          <w:sz w:val="20"/>
          <w:szCs w:val="20"/>
        </w:rPr>
        <w:t>por</w:t>
      </w:r>
      <w:proofErr w:type="spellEnd"/>
      <w:r w:rsidR="00746761" w:rsidRPr="008A7BD7">
        <w:rPr>
          <w:rFonts w:ascii="Cambria" w:hAnsi="Cambria"/>
          <w:color w:val="000000"/>
          <w:sz w:val="20"/>
          <w:szCs w:val="20"/>
        </w:rPr>
        <w:t xml:space="preserve"> los Derechos de la </w:t>
      </w:r>
      <w:proofErr w:type="spellStart"/>
      <w:r w:rsidR="00746761" w:rsidRPr="008A7BD7">
        <w:rPr>
          <w:rFonts w:ascii="Cambria" w:hAnsi="Cambria"/>
          <w:color w:val="000000"/>
          <w:sz w:val="20"/>
          <w:szCs w:val="20"/>
        </w:rPr>
        <w:t>Niñez</w:t>
      </w:r>
      <w:proofErr w:type="spellEnd"/>
      <w:r w:rsidR="00746761" w:rsidRPr="008A7BD7">
        <w:rPr>
          <w:rFonts w:ascii="Cambria" w:hAnsi="Cambria"/>
          <w:color w:val="000000"/>
          <w:sz w:val="20"/>
          <w:szCs w:val="20"/>
        </w:rPr>
        <w:t xml:space="preserve"> (</w:t>
      </w:r>
      <w:r w:rsidR="00746761" w:rsidRPr="008A7BD7">
        <w:rPr>
          <w:rFonts w:ascii="Cambria" w:hAnsi="Cambria"/>
          <w:sz w:val="20"/>
          <w:szCs w:val="20"/>
        </w:rPr>
        <w:t>CIPRODENI</w:t>
      </w:r>
      <w:r w:rsidR="00746761" w:rsidRPr="008A7BD7">
        <w:rPr>
          <w:rFonts w:ascii="Cambria" w:hAnsi="Cambria"/>
          <w:color w:val="000000"/>
          <w:sz w:val="20"/>
          <w:szCs w:val="20"/>
        </w:rPr>
        <w:t xml:space="preserve">) </w:t>
      </w:r>
      <w:r w:rsidR="00D93D47" w:rsidRPr="008A7BD7">
        <w:rPr>
          <w:rFonts w:ascii="Cambria" w:hAnsi="Cambria"/>
          <w:color w:val="000000"/>
          <w:sz w:val="20"/>
          <w:szCs w:val="20"/>
        </w:rPr>
        <w:t xml:space="preserve">indicate that more than 300 children were murdered in Guatemala </w:t>
      </w:r>
      <w:r w:rsidR="003B073B" w:rsidRPr="008A7BD7">
        <w:rPr>
          <w:rFonts w:ascii="Cambria" w:hAnsi="Cambria"/>
          <w:color w:val="000000"/>
          <w:sz w:val="20"/>
          <w:szCs w:val="20"/>
        </w:rPr>
        <w:t>from</w:t>
      </w:r>
      <w:r w:rsidR="00D93D47" w:rsidRPr="008A7BD7">
        <w:rPr>
          <w:rFonts w:ascii="Cambria" w:hAnsi="Cambria"/>
          <w:color w:val="000000"/>
          <w:sz w:val="20"/>
          <w:szCs w:val="20"/>
        </w:rPr>
        <w:t xml:space="preserve"> January </w:t>
      </w:r>
      <w:r w:rsidR="003B073B" w:rsidRPr="008A7BD7">
        <w:rPr>
          <w:rFonts w:ascii="Cambria" w:hAnsi="Cambria"/>
          <w:color w:val="000000"/>
          <w:sz w:val="20"/>
          <w:szCs w:val="20"/>
        </w:rPr>
        <w:t xml:space="preserve">through </w:t>
      </w:r>
      <w:r w:rsidR="00D93D47" w:rsidRPr="008A7BD7">
        <w:rPr>
          <w:rFonts w:ascii="Cambria" w:hAnsi="Cambria"/>
          <w:color w:val="000000"/>
          <w:sz w:val="20"/>
          <w:szCs w:val="20"/>
        </w:rPr>
        <w:t>October</w:t>
      </w:r>
      <w:r w:rsidR="00D93D47" w:rsidRPr="008A7BD7">
        <w:rPr>
          <w:rFonts w:ascii="Cambria" w:hAnsi="Cambria"/>
          <w:sz w:val="20"/>
          <w:szCs w:val="20"/>
        </w:rPr>
        <w:t xml:space="preserve"> </w:t>
      </w:r>
      <w:r w:rsidR="00746761" w:rsidRPr="008A7BD7">
        <w:rPr>
          <w:rFonts w:ascii="Cambria" w:hAnsi="Cambria"/>
          <w:sz w:val="20"/>
          <w:szCs w:val="20"/>
        </w:rPr>
        <w:t>2021</w:t>
      </w:r>
      <w:r w:rsidR="00D93D47" w:rsidRPr="008A7BD7">
        <w:rPr>
          <w:rFonts w:ascii="Cambria" w:hAnsi="Cambria"/>
          <w:sz w:val="20"/>
          <w:szCs w:val="20"/>
        </w:rPr>
        <w:t xml:space="preserve">, most of them by </w:t>
      </w:r>
      <w:r w:rsidR="006D11E1" w:rsidRPr="008A7BD7">
        <w:rPr>
          <w:rFonts w:ascii="Cambria" w:hAnsi="Cambria"/>
          <w:sz w:val="20"/>
          <w:szCs w:val="20"/>
        </w:rPr>
        <w:t>gunshots</w:t>
      </w:r>
      <w:r w:rsidR="003B073B" w:rsidRPr="008A7BD7">
        <w:rPr>
          <w:rFonts w:ascii="Cambria" w:hAnsi="Cambria"/>
          <w:sz w:val="20"/>
          <w:szCs w:val="20"/>
        </w:rPr>
        <w:t>.</w:t>
      </w:r>
      <w:r w:rsidR="00746761" w:rsidRPr="008A7BD7">
        <w:rPr>
          <w:rFonts w:ascii="Cambria" w:hAnsi="Cambria"/>
          <w:color w:val="000000"/>
          <w:sz w:val="20"/>
          <w:szCs w:val="20"/>
          <w:vertAlign w:val="superscript"/>
          <w:lang w:val="es-ES"/>
        </w:rPr>
        <w:footnoteReference w:id="345"/>
      </w:r>
      <w:r w:rsidR="00746761" w:rsidRPr="008A7BD7">
        <w:rPr>
          <w:rFonts w:ascii="Cambria" w:hAnsi="Cambria"/>
          <w:color w:val="000000"/>
          <w:sz w:val="20"/>
          <w:szCs w:val="20"/>
        </w:rPr>
        <w:t xml:space="preserve"> </w:t>
      </w:r>
      <w:r w:rsidR="003B073B" w:rsidRPr="008A7BD7">
        <w:rPr>
          <w:rFonts w:ascii="Cambria" w:hAnsi="Cambria"/>
          <w:color w:val="000000"/>
          <w:sz w:val="20"/>
          <w:szCs w:val="20"/>
        </w:rPr>
        <w:t xml:space="preserve">In addition, the </w:t>
      </w:r>
      <w:r w:rsidR="003E0EDC" w:rsidRPr="008A7BD7">
        <w:rPr>
          <w:rFonts w:ascii="Cambria" w:hAnsi="Cambria"/>
          <w:color w:val="000000"/>
          <w:sz w:val="20"/>
          <w:szCs w:val="20"/>
        </w:rPr>
        <w:t xml:space="preserve">Observatory on Childhood </w:t>
      </w:r>
      <w:r w:rsidR="003B073B" w:rsidRPr="008A7BD7">
        <w:rPr>
          <w:rFonts w:ascii="Cambria" w:hAnsi="Cambria"/>
          <w:color w:val="000000"/>
          <w:sz w:val="20"/>
          <w:szCs w:val="20"/>
        </w:rPr>
        <w:t xml:space="preserve">noted that more than 1,100 cases of ill-treatment against children and adolescents were </w:t>
      </w:r>
      <w:r w:rsidR="006D11E1" w:rsidRPr="008A7BD7">
        <w:rPr>
          <w:rFonts w:ascii="Cambria" w:hAnsi="Cambria"/>
          <w:color w:val="000000"/>
          <w:sz w:val="20"/>
          <w:szCs w:val="20"/>
        </w:rPr>
        <w:t>recorded</w:t>
      </w:r>
      <w:r w:rsidR="003B073B" w:rsidRPr="008A7BD7">
        <w:rPr>
          <w:rFonts w:ascii="Cambria" w:hAnsi="Cambria"/>
          <w:color w:val="000000"/>
          <w:sz w:val="20"/>
          <w:szCs w:val="20"/>
        </w:rPr>
        <w:t xml:space="preserve"> </w:t>
      </w:r>
      <w:r w:rsidR="00795C7C" w:rsidRPr="008A7BD7">
        <w:rPr>
          <w:rFonts w:ascii="Cambria" w:hAnsi="Cambria"/>
          <w:color w:val="000000"/>
          <w:sz w:val="20"/>
          <w:szCs w:val="20"/>
        </w:rPr>
        <w:t xml:space="preserve">in that period, based on tests performed by </w:t>
      </w:r>
      <w:r w:rsidR="00746761" w:rsidRPr="008A7BD7">
        <w:rPr>
          <w:rFonts w:ascii="Cambria" w:hAnsi="Cambria"/>
          <w:sz w:val="20"/>
          <w:szCs w:val="20"/>
        </w:rPr>
        <w:t>INACIF</w:t>
      </w:r>
      <w:r w:rsidR="00746761" w:rsidRPr="008A7BD7">
        <w:rPr>
          <w:rFonts w:ascii="Cambria" w:hAnsi="Cambria"/>
          <w:color w:val="000000"/>
          <w:sz w:val="20"/>
          <w:szCs w:val="20"/>
        </w:rPr>
        <w:t xml:space="preserve">. </w:t>
      </w:r>
    </w:p>
    <w:p w14:paraId="0A86C264" w14:textId="77777777" w:rsidR="00746761" w:rsidRPr="008A7BD7" w:rsidRDefault="00746761" w:rsidP="00746761">
      <w:pPr>
        <w:jc w:val="both"/>
        <w:rPr>
          <w:rFonts w:ascii="Cambria" w:hAnsi="Cambria"/>
          <w:color w:val="000000"/>
          <w:sz w:val="20"/>
          <w:szCs w:val="20"/>
        </w:rPr>
      </w:pPr>
    </w:p>
    <w:p w14:paraId="6C91D500" w14:textId="5690F145" w:rsidR="00746761" w:rsidRPr="008A7BD7" w:rsidRDefault="009F49F4" w:rsidP="003D3059">
      <w:pPr>
        <w:numPr>
          <w:ilvl w:val="0"/>
          <w:numId w:val="2"/>
        </w:numPr>
        <w:ind w:left="0" w:firstLine="720"/>
        <w:jc w:val="both"/>
        <w:rPr>
          <w:rFonts w:ascii="Cambria" w:hAnsi="Cambria"/>
          <w:color w:val="000000"/>
          <w:sz w:val="20"/>
          <w:szCs w:val="20"/>
        </w:rPr>
      </w:pPr>
      <w:r w:rsidRPr="008A7BD7">
        <w:rPr>
          <w:rFonts w:ascii="Cambria" w:hAnsi="Cambria"/>
          <w:color w:val="000000"/>
          <w:sz w:val="20"/>
          <w:szCs w:val="20"/>
        </w:rPr>
        <w:t xml:space="preserve">With respect to </w:t>
      </w:r>
      <w:r w:rsidR="006A0FFC" w:rsidRPr="008A7BD7">
        <w:rPr>
          <w:rFonts w:ascii="Cambria" w:hAnsi="Cambria"/>
          <w:color w:val="000000"/>
          <w:sz w:val="20"/>
          <w:szCs w:val="20"/>
        </w:rPr>
        <w:t xml:space="preserve">child and </w:t>
      </w:r>
      <w:r w:rsidRPr="008A7BD7">
        <w:rPr>
          <w:rFonts w:ascii="Cambria" w:hAnsi="Cambria"/>
          <w:color w:val="000000"/>
          <w:sz w:val="20"/>
          <w:szCs w:val="20"/>
        </w:rPr>
        <w:t>adolescent pregnancies, the IACHR is concerned about the high number of pregnancies and births recorded during the year. According to data from the Guatemalan Observatory on Reproductive</w:t>
      </w:r>
      <w:r w:rsidR="00E42F10" w:rsidRPr="008A7BD7">
        <w:rPr>
          <w:rFonts w:ascii="Cambria" w:hAnsi="Cambria"/>
          <w:color w:val="000000"/>
          <w:sz w:val="20"/>
          <w:szCs w:val="20"/>
        </w:rPr>
        <w:t xml:space="preserve"> Health</w:t>
      </w:r>
      <w:r w:rsidR="00746761" w:rsidRPr="008A7BD7">
        <w:rPr>
          <w:rFonts w:ascii="Cambria" w:hAnsi="Cambria"/>
          <w:color w:val="000000"/>
          <w:sz w:val="20"/>
          <w:szCs w:val="20"/>
        </w:rPr>
        <w:t xml:space="preserve">, </w:t>
      </w:r>
      <w:r w:rsidR="00761CEF" w:rsidRPr="008A7BD7">
        <w:rPr>
          <w:rFonts w:ascii="Cambria" w:hAnsi="Cambria"/>
          <w:color w:val="000000"/>
          <w:sz w:val="20"/>
          <w:szCs w:val="20"/>
        </w:rPr>
        <w:t xml:space="preserve">from January through July, there were </w:t>
      </w:r>
      <w:r w:rsidR="00746761" w:rsidRPr="008A7BD7">
        <w:rPr>
          <w:rFonts w:ascii="Cambria" w:hAnsi="Cambria"/>
          <w:color w:val="000000"/>
          <w:sz w:val="20"/>
          <w:szCs w:val="20"/>
        </w:rPr>
        <w:t>65</w:t>
      </w:r>
      <w:r w:rsidR="00761CEF" w:rsidRPr="008A7BD7">
        <w:rPr>
          <w:rFonts w:ascii="Cambria" w:hAnsi="Cambria"/>
          <w:color w:val="000000"/>
          <w:sz w:val="20"/>
          <w:szCs w:val="20"/>
        </w:rPr>
        <w:t>,</w:t>
      </w:r>
      <w:r w:rsidR="00746761" w:rsidRPr="008A7BD7">
        <w:rPr>
          <w:rFonts w:ascii="Cambria" w:hAnsi="Cambria"/>
          <w:color w:val="000000"/>
          <w:sz w:val="20"/>
          <w:szCs w:val="20"/>
        </w:rPr>
        <w:t xml:space="preserve">373 </w:t>
      </w:r>
      <w:r w:rsidR="00761CEF" w:rsidRPr="008A7BD7">
        <w:rPr>
          <w:rFonts w:ascii="Cambria" w:hAnsi="Cambria"/>
          <w:color w:val="000000"/>
          <w:sz w:val="20"/>
          <w:szCs w:val="20"/>
        </w:rPr>
        <w:t xml:space="preserve">pregnancies among girls between 10 and 19 years of age, and 54,043 births </w:t>
      </w:r>
      <w:r w:rsidR="00C61646" w:rsidRPr="008A7BD7">
        <w:rPr>
          <w:rFonts w:ascii="Cambria" w:hAnsi="Cambria"/>
          <w:color w:val="000000"/>
          <w:sz w:val="20"/>
          <w:szCs w:val="20"/>
        </w:rPr>
        <w:t>on record</w:t>
      </w:r>
      <w:r w:rsidR="00761CEF" w:rsidRPr="008A7BD7">
        <w:rPr>
          <w:rFonts w:ascii="Cambria" w:hAnsi="Cambria"/>
          <w:color w:val="000000"/>
          <w:sz w:val="20"/>
          <w:szCs w:val="20"/>
        </w:rPr>
        <w:t xml:space="preserve"> through September.</w:t>
      </w:r>
      <w:r w:rsidR="00746761" w:rsidRPr="008A7BD7">
        <w:rPr>
          <w:rFonts w:ascii="Cambria" w:hAnsi="Cambria"/>
          <w:color w:val="000000"/>
          <w:sz w:val="20"/>
          <w:szCs w:val="20"/>
          <w:vertAlign w:val="superscript"/>
          <w:lang w:val="es-ES"/>
        </w:rPr>
        <w:footnoteReference w:id="346"/>
      </w:r>
      <w:r w:rsidR="00746761" w:rsidRPr="008A7BD7">
        <w:rPr>
          <w:rFonts w:ascii="Cambria" w:hAnsi="Cambria"/>
          <w:color w:val="000000"/>
          <w:sz w:val="20"/>
          <w:szCs w:val="20"/>
        </w:rPr>
        <w:t xml:space="preserve"> </w:t>
      </w:r>
      <w:r w:rsidR="006A0FFC" w:rsidRPr="008A7BD7">
        <w:rPr>
          <w:rFonts w:ascii="Cambria" w:hAnsi="Cambria"/>
          <w:color w:val="000000"/>
          <w:sz w:val="20"/>
          <w:szCs w:val="20"/>
        </w:rPr>
        <w:t xml:space="preserve">In that regard, the IACHR </w:t>
      </w:r>
      <w:r w:rsidR="00E42F10" w:rsidRPr="008A7BD7">
        <w:rPr>
          <w:rFonts w:ascii="Cambria" w:hAnsi="Cambria"/>
          <w:color w:val="000000"/>
          <w:sz w:val="20"/>
          <w:szCs w:val="20"/>
        </w:rPr>
        <w:t xml:space="preserve">calls to mind that early pregnancy poses a serious risk to the health of the mother and </w:t>
      </w:r>
      <w:r w:rsidR="00D2568E" w:rsidRPr="008A7BD7">
        <w:rPr>
          <w:rFonts w:ascii="Cambria" w:hAnsi="Cambria"/>
          <w:color w:val="000000"/>
          <w:sz w:val="20"/>
          <w:szCs w:val="20"/>
        </w:rPr>
        <w:t xml:space="preserve">the </w:t>
      </w:r>
      <w:r w:rsidR="00E42F10" w:rsidRPr="008A7BD7">
        <w:rPr>
          <w:rFonts w:ascii="Cambria" w:hAnsi="Cambria"/>
          <w:color w:val="000000"/>
          <w:sz w:val="20"/>
          <w:szCs w:val="20"/>
        </w:rPr>
        <w:t xml:space="preserve">newborn and increases the probability of malformations or developmental problems due to </w:t>
      </w:r>
      <w:r w:rsidR="00D2568E" w:rsidRPr="008A7BD7">
        <w:rPr>
          <w:rFonts w:ascii="Cambria" w:hAnsi="Cambria"/>
          <w:color w:val="000000"/>
          <w:sz w:val="20"/>
          <w:szCs w:val="20"/>
        </w:rPr>
        <w:t>factors</w:t>
      </w:r>
      <w:r w:rsidR="00E42F10" w:rsidRPr="008A7BD7">
        <w:rPr>
          <w:rFonts w:ascii="Cambria" w:hAnsi="Cambria"/>
          <w:color w:val="000000"/>
          <w:sz w:val="20"/>
          <w:szCs w:val="20"/>
        </w:rPr>
        <w:t xml:space="preserve"> related to the physiological and emotional maturity of the mother.</w:t>
      </w:r>
      <w:r w:rsidR="00746761" w:rsidRPr="008A7BD7">
        <w:rPr>
          <w:rFonts w:ascii="Cambria" w:hAnsi="Cambria"/>
          <w:color w:val="000000"/>
          <w:sz w:val="20"/>
          <w:szCs w:val="20"/>
          <w:vertAlign w:val="superscript"/>
          <w:lang w:val="es-ES"/>
        </w:rPr>
        <w:footnoteReference w:id="347"/>
      </w:r>
      <w:r w:rsidR="00746761" w:rsidRPr="008A7BD7">
        <w:rPr>
          <w:rFonts w:ascii="Cambria" w:hAnsi="Cambria"/>
          <w:color w:val="000000"/>
          <w:sz w:val="20"/>
          <w:szCs w:val="20"/>
        </w:rPr>
        <w:t xml:space="preserve"> </w:t>
      </w:r>
      <w:r w:rsidR="00C61646" w:rsidRPr="008A7BD7">
        <w:rPr>
          <w:rFonts w:ascii="Cambria" w:hAnsi="Cambria"/>
          <w:color w:val="000000"/>
          <w:sz w:val="20"/>
          <w:szCs w:val="20"/>
        </w:rPr>
        <w:t xml:space="preserve">The IACHR therefore reiterates that the State should implement measures to prevent early pregnancy, </w:t>
      </w:r>
      <w:r w:rsidR="00D2568E" w:rsidRPr="008A7BD7">
        <w:rPr>
          <w:rFonts w:ascii="Cambria" w:hAnsi="Cambria"/>
          <w:color w:val="000000"/>
          <w:sz w:val="20"/>
          <w:szCs w:val="20"/>
        </w:rPr>
        <w:t xml:space="preserve">in </w:t>
      </w:r>
      <w:r w:rsidR="00C61646" w:rsidRPr="008A7BD7">
        <w:rPr>
          <w:rFonts w:ascii="Cambria" w:hAnsi="Cambria"/>
          <w:color w:val="000000"/>
          <w:sz w:val="20"/>
          <w:szCs w:val="20"/>
        </w:rPr>
        <w:t xml:space="preserve">particular comprehensive sex education to encourage the empowerment of girls and their awareness of </w:t>
      </w:r>
      <w:r w:rsidR="00A36EAE" w:rsidRPr="008A7BD7">
        <w:rPr>
          <w:rFonts w:ascii="Cambria" w:hAnsi="Cambria"/>
          <w:color w:val="000000"/>
          <w:sz w:val="20"/>
          <w:szCs w:val="20"/>
        </w:rPr>
        <w:t xml:space="preserve">the content of </w:t>
      </w:r>
      <w:r w:rsidR="00C61646" w:rsidRPr="008A7BD7">
        <w:rPr>
          <w:rFonts w:ascii="Cambria" w:hAnsi="Cambria"/>
          <w:color w:val="000000"/>
          <w:sz w:val="20"/>
          <w:szCs w:val="20"/>
        </w:rPr>
        <w:t>their sexual and reproductive rights</w:t>
      </w:r>
      <w:r w:rsidR="00A36EAE" w:rsidRPr="008A7BD7">
        <w:rPr>
          <w:rFonts w:ascii="Cambria" w:hAnsi="Cambria"/>
          <w:color w:val="000000"/>
          <w:sz w:val="20"/>
          <w:szCs w:val="20"/>
        </w:rPr>
        <w:t>.</w:t>
      </w:r>
      <w:r w:rsidR="00746761" w:rsidRPr="008A7BD7">
        <w:rPr>
          <w:rFonts w:ascii="Cambria" w:hAnsi="Cambria"/>
          <w:color w:val="000000"/>
          <w:sz w:val="20"/>
          <w:szCs w:val="20"/>
          <w:vertAlign w:val="superscript"/>
          <w:lang w:val="es-ES"/>
        </w:rPr>
        <w:footnoteReference w:id="348"/>
      </w:r>
    </w:p>
    <w:p w14:paraId="30D74C84" w14:textId="77777777" w:rsidR="009E52D6" w:rsidRPr="008A7BD7" w:rsidRDefault="009E52D6" w:rsidP="009E52D6">
      <w:pPr>
        <w:pStyle w:val="ListParagraph"/>
        <w:rPr>
          <w:rFonts w:ascii="Cambria" w:hAnsi="Cambria"/>
          <w:color w:val="000000"/>
          <w:sz w:val="20"/>
          <w:szCs w:val="20"/>
        </w:rPr>
      </w:pPr>
    </w:p>
    <w:p w14:paraId="1184DB21" w14:textId="350062E5" w:rsidR="009E52D6" w:rsidRPr="008A7BD7" w:rsidRDefault="00936B16" w:rsidP="009E52D6">
      <w:pPr>
        <w:numPr>
          <w:ilvl w:val="0"/>
          <w:numId w:val="2"/>
        </w:numPr>
        <w:ind w:left="0" w:firstLine="720"/>
        <w:jc w:val="both"/>
        <w:rPr>
          <w:rFonts w:ascii="Cambria" w:hAnsi="Cambria"/>
          <w:color w:val="000000"/>
          <w:sz w:val="20"/>
          <w:szCs w:val="20"/>
        </w:rPr>
      </w:pPr>
      <w:r w:rsidRPr="008A7BD7">
        <w:rPr>
          <w:rFonts w:ascii="Cambria" w:eastAsia="Montserrat" w:hAnsi="Cambria" w:cs="Montserrat"/>
          <w:sz w:val="20"/>
          <w:szCs w:val="20"/>
        </w:rPr>
        <w:t xml:space="preserve">In its response to the draft of this report, the State of </w:t>
      </w:r>
      <w:r w:rsidR="009E52D6" w:rsidRPr="008A7BD7">
        <w:rPr>
          <w:rFonts w:ascii="Cambria" w:eastAsia="Montserrat" w:hAnsi="Cambria" w:cs="Montserrat"/>
          <w:sz w:val="20"/>
          <w:szCs w:val="20"/>
        </w:rPr>
        <w:t xml:space="preserve">Guatemala </w:t>
      </w:r>
      <w:r w:rsidR="008A4BC7" w:rsidRPr="008A7BD7">
        <w:rPr>
          <w:rFonts w:ascii="Cambria" w:eastAsia="Montserrat" w:hAnsi="Cambria" w:cs="Montserrat"/>
          <w:sz w:val="20"/>
          <w:szCs w:val="20"/>
        </w:rPr>
        <w:t xml:space="preserve">said that the Social Welfare Secretariat of the Office of the President is taking steps </w:t>
      </w:r>
      <w:r w:rsidR="007254C0" w:rsidRPr="008A7BD7">
        <w:rPr>
          <w:rFonts w:ascii="Cambria" w:eastAsia="Montserrat" w:hAnsi="Cambria" w:cs="Montserrat"/>
          <w:sz w:val="20"/>
          <w:szCs w:val="20"/>
        </w:rPr>
        <w:t>as part of</w:t>
      </w:r>
      <w:r w:rsidR="008A4BC7" w:rsidRPr="008A7BD7">
        <w:rPr>
          <w:rFonts w:ascii="Cambria" w:eastAsia="Montserrat" w:hAnsi="Cambria" w:cs="Montserrat"/>
          <w:sz w:val="20"/>
          <w:szCs w:val="20"/>
        </w:rPr>
        <w:t xml:space="preserve"> its efforts to prevent adolescent pregnancy</w:t>
      </w:r>
      <w:r w:rsidR="004E7B10" w:rsidRPr="008A7BD7">
        <w:rPr>
          <w:rFonts w:ascii="Cambria" w:eastAsia="Montserrat" w:hAnsi="Cambria" w:cs="Montserrat"/>
          <w:sz w:val="20"/>
          <w:szCs w:val="20"/>
        </w:rPr>
        <w:t xml:space="preserve">; this includes </w:t>
      </w:r>
      <w:r w:rsidR="008A4BC7" w:rsidRPr="008A7BD7">
        <w:rPr>
          <w:rFonts w:ascii="Cambria" w:eastAsia="Montserrat" w:hAnsi="Cambria" w:cs="Montserrat"/>
          <w:sz w:val="20"/>
          <w:szCs w:val="20"/>
        </w:rPr>
        <w:t>the civil service project</w:t>
      </w:r>
      <w:r w:rsidR="00340973" w:rsidRPr="008A7BD7">
        <w:rPr>
          <w:rFonts w:ascii="Cambria" w:eastAsia="Montserrat" w:hAnsi="Cambria" w:cs="Montserrat"/>
          <w:sz w:val="20"/>
          <w:szCs w:val="20"/>
        </w:rPr>
        <w:t xml:space="preserve"> “Youth Leadership in Preventing Violence against Vulnerable Children and Adolescents,” by which </w:t>
      </w:r>
      <w:r w:rsidR="009E52D6" w:rsidRPr="008A7BD7">
        <w:rPr>
          <w:rFonts w:ascii="Cambria" w:eastAsia="Montserrat" w:hAnsi="Cambria" w:cs="Montserrat"/>
          <w:sz w:val="20"/>
          <w:szCs w:val="20"/>
        </w:rPr>
        <w:t>“</w:t>
      </w:r>
      <w:r w:rsidR="00340973" w:rsidRPr="008A7BD7">
        <w:rPr>
          <w:rFonts w:ascii="Cambria" w:eastAsia="Montserrat" w:hAnsi="Cambria" w:cs="Montserrat"/>
          <w:sz w:val="20"/>
          <w:szCs w:val="20"/>
        </w:rPr>
        <w:t xml:space="preserve">young civil servants, with </w:t>
      </w:r>
      <w:r w:rsidR="007254C0" w:rsidRPr="008A7BD7">
        <w:rPr>
          <w:rFonts w:ascii="Cambria" w:eastAsia="Montserrat" w:hAnsi="Cambria" w:cs="Montserrat"/>
          <w:sz w:val="20"/>
          <w:szCs w:val="20"/>
        </w:rPr>
        <w:t xml:space="preserve">professional </w:t>
      </w:r>
      <w:r w:rsidR="00340973" w:rsidRPr="008A7BD7">
        <w:rPr>
          <w:rFonts w:ascii="Cambria" w:eastAsia="Montserrat" w:hAnsi="Cambria" w:cs="Montserrat"/>
          <w:sz w:val="20"/>
          <w:szCs w:val="20"/>
        </w:rPr>
        <w:t>support from the teams at the</w:t>
      </w:r>
      <w:r w:rsidR="007254C0" w:rsidRPr="008A7BD7">
        <w:rPr>
          <w:rFonts w:ascii="Cambria" w:eastAsia="Montserrat" w:hAnsi="Cambria" w:cs="Montserrat"/>
          <w:sz w:val="20"/>
          <w:szCs w:val="20"/>
        </w:rPr>
        <w:t xml:space="preserve"> </w:t>
      </w:r>
      <w:r w:rsidR="00340973" w:rsidRPr="008A7BD7">
        <w:rPr>
          <w:rFonts w:ascii="Cambria" w:eastAsia="Montserrat" w:hAnsi="Cambria" w:cs="Montserrat"/>
          <w:sz w:val="20"/>
          <w:szCs w:val="20"/>
        </w:rPr>
        <w:t xml:space="preserve">Departmental Offices, conduct workshops on </w:t>
      </w:r>
      <w:r w:rsidR="004E7B10" w:rsidRPr="008A7BD7">
        <w:rPr>
          <w:rFonts w:ascii="Cambria" w:eastAsia="Montserrat" w:hAnsi="Cambria" w:cs="Montserrat"/>
          <w:sz w:val="20"/>
          <w:szCs w:val="20"/>
        </w:rPr>
        <w:t xml:space="preserve">adolescent </w:t>
      </w:r>
      <w:r w:rsidR="00340973" w:rsidRPr="008A7BD7">
        <w:rPr>
          <w:rFonts w:ascii="Cambria" w:eastAsia="Montserrat" w:hAnsi="Cambria" w:cs="Montserrat"/>
          <w:sz w:val="20"/>
          <w:szCs w:val="20"/>
        </w:rPr>
        <w:t xml:space="preserve">pregnancy prevention at different educational centers in their respective locations, as well as </w:t>
      </w:r>
      <w:r w:rsidR="007254C0" w:rsidRPr="008A7BD7">
        <w:rPr>
          <w:rFonts w:ascii="Cambria" w:eastAsia="Montserrat" w:hAnsi="Cambria" w:cs="Montserrat"/>
          <w:sz w:val="20"/>
          <w:szCs w:val="20"/>
        </w:rPr>
        <w:t xml:space="preserve">on </w:t>
      </w:r>
      <w:r w:rsidR="00340973" w:rsidRPr="008A7BD7">
        <w:rPr>
          <w:rFonts w:ascii="Cambria" w:eastAsia="Montserrat" w:hAnsi="Cambria" w:cs="Montserrat"/>
          <w:sz w:val="20"/>
          <w:szCs w:val="20"/>
        </w:rPr>
        <w:t xml:space="preserve">other issues in accordance with the community assessments of the main vulnerability factors for </w:t>
      </w:r>
      <w:r w:rsidR="004E7B10" w:rsidRPr="008A7BD7">
        <w:rPr>
          <w:rFonts w:ascii="Cambria" w:eastAsia="Montserrat" w:hAnsi="Cambria" w:cs="Montserrat"/>
          <w:sz w:val="20"/>
          <w:szCs w:val="20"/>
        </w:rPr>
        <w:t>children and adolescents</w:t>
      </w:r>
      <w:r w:rsidR="00340973" w:rsidRPr="008A7BD7">
        <w:rPr>
          <w:rFonts w:ascii="Cambria" w:eastAsia="Montserrat" w:hAnsi="Cambria" w:cs="Montserrat"/>
          <w:sz w:val="20"/>
          <w:szCs w:val="20"/>
        </w:rPr>
        <w:t>.”</w:t>
      </w:r>
      <w:r w:rsidR="009E52D6" w:rsidRPr="008A7BD7">
        <w:rPr>
          <w:rStyle w:val="FootnoteReference"/>
          <w:rFonts w:ascii="Cambria" w:eastAsia="Montserrat" w:hAnsi="Cambria" w:cs="Montserrat"/>
          <w:sz w:val="20"/>
          <w:szCs w:val="20"/>
          <w:lang w:val="es-US"/>
        </w:rPr>
        <w:footnoteReference w:id="349"/>
      </w:r>
      <w:r w:rsidR="009E52D6" w:rsidRPr="008A7BD7">
        <w:rPr>
          <w:rFonts w:ascii="Cambria" w:eastAsia="Montserrat" w:hAnsi="Cambria" w:cs="Montserrat"/>
          <w:sz w:val="20"/>
          <w:szCs w:val="20"/>
        </w:rPr>
        <w:t xml:space="preserve"> </w:t>
      </w:r>
      <w:r w:rsidR="00340973" w:rsidRPr="008A7BD7">
        <w:rPr>
          <w:rFonts w:ascii="Cambria" w:eastAsia="Montserrat" w:hAnsi="Cambria" w:cs="Montserrat"/>
          <w:sz w:val="20"/>
          <w:szCs w:val="20"/>
        </w:rPr>
        <w:t xml:space="preserve">The State of </w:t>
      </w:r>
      <w:r w:rsidR="009E52D6" w:rsidRPr="008A7BD7">
        <w:rPr>
          <w:rFonts w:ascii="Cambria" w:eastAsia="Montserrat" w:hAnsi="Cambria" w:cs="Montserrat"/>
          <w:sz w:val="20"/>
          <w:szCs w:val="20"/>
        </w:rPr>
        <w:t xml:space="preserve">Guatemala </w:t>
      </w:r>
      <w:r w:rsidR="00340973" w:rsidRPr="008A7BD7">
        <w:rPr>
          <w:rFonts w:ascii="Cambria" w:eastAsia="Montserrat" w:hAnsi="Cambria" w:cs="Montserrat"/>
          <w:sz w:val="20"/>
          <w:szCs w:val="20"/>
        </w:rPr>
        <w:t xml:space="preserve">also informed the IACHR about the implementation of its strategy to address and prevent pregnancies among girls </w:t>
      </w:r>
      <w:r w:rsidR="009E52D6" w:rsidRPr="008A7BD7">
        <w:rPr>
          <w:rFonts w:ascii="Cambria" w:eastAsia="Montserrat" w:hAnsi="Cambria" w:cs="Montserrat"/>
          <w:sz w:val="20"/>
          <w:szCs w:val="20"/>
        </w:rPr>
        <w:t xml:space="preserve">10-19 </w:t>
      </w:r>
      <w:r w:rsidR="00340973" w:rsidRPr="008A7BD7">
        <w:rPr>
          <w:rFonts w:ascii="Cambria" w:eastAsia="Montserrat" w:hAnsi="Cambria" w:cs="Montserrat"/>
          <w:sz w:val="20"/>
          <w:szCs w:val="20"/>
        </w:rPr>
        <w:t xml:space="preserve">years of age, which has been </w:t>
      </w:r>
      <w:r w:rsidR="00C80063" w:rsidRPr="008A7BD7">
        <w:rPr>
          <w:rFonts w:ascii="Cambria" w:eastAsia="Montserrat" w:hAnsi="Cambria" w:cs="Montserrat"/>
          <w:sz w:val="20"/>
          <w:szCs w:val="20"/>
        </w:rPr>
        <w:t>rolled out in the various departments of the country.</w:t>
      </w:r>
      <w:r w:rsidR="009E52D6" w:rsidRPr="008A7BD7">
        <w:rPr>
          <w:rStyle w:val="FootnoteReference"/>
          <w:rFonts w:ascii="Cambria" w:eastAsia="Montserrat" w:hAnsi="Cambria" w:cs="Montserrat"/>
          <w:sz w:val="20"/>
          <w:szCs w:val="20"/>
          <w:lang w:val="es-US"/>
        </w:rPr>
        <w:footnoteReference w:id="350"/>
      </w:r>
    </w:p>
    <w:p w14:paraId="78F9802C" w14:textId="77777777" w:rsidR="00746761" w:rsidRPr="008A7BD7" w:rsidRDefault="00746761" w:rsidP="00746761">
      <w:pPr>
        <w:ind w:left="720"/>
        <w:jc w:val="both"/>
        <w:rPr>
          <w:rFonts w:ascii="Cambria" w:hAnsi="Cambria"/>
          <w:color w:val="000000"/>
          <w:sz w:val="20"/>
          <w:szCs w:val="20"/>
        </w:rPr>
      </w:pPr>
    </w:p>
    <w:p w14:paraId="65D78D55" w14:textId="53F140AA" w:rsidR="00C71BEF" w:rsidRPr="008A7BD7" w:rsidRDefault="00670341" w:rsidP="003D3059">
      <w:pPr>
        <w:numPr>
          <w:ilvl w:val="0"/>
          <w:numId w:val="2"/>
        </w:numPr>
        <w:ind w:left="0" w:firstLine="720"/>
        <w:jc w:val="both"/>
        <w:rPr>
          <w:rFonts w:ascii="Cambria" w:hAnsi="Cambria"/>
          <w:color w:val="000000"/>
          <w:sz w:val="20"/>
          <w:szCs w:val="20"/>
        </w:rPr>
      </w:pPr>
      <w:r w:rsidRPr="008A7BD7">
        <w:rPr>
          <w:rFonts w:ascii="Cambria" w:hAnsi="Cambria"/>
          <w:color w:val="000000"/>
          <w:sz w:val="20"/>
          <w:szCs w:val="20"/>
        </w:rPr>
        <w:t xml:space="preserve">In terms of </w:t>
      </w:r>
      <w:r w:rsidR="00F06FA0" w:rsidRPr="008A7BD7">
        <w:rPr>
          <w:rFonts w:ascii="Cambria" w:hAnsi="Cambria"/>
          <w:color w:val="000000"/>
          <w:sz w:val="20"/>
          <w:szCs w:val="20"/>
        </w:rPr>
        <w:t>children’s</w:t>
      </w:r>
      <w:r w:rsidR="00C97A4B" w:rsidRPr="008A7BD7">
        <w:rPr>
          <w:rFonts w:ascii="Cambria" w:hAnsi="Cambria"/>
          <w:color w:val="000000"/>
          <w:sz w:val="20"/>
          <w:szCs w:val="20"/>
        </w:rPr>
        <w:t xml:space="preserve"> </w:t>
      </w:r>
      <w:r w:rsidRPr="008A7BD7">
        <w:rPr>
          <w:rFonts w:ascii="Cambria" w:hAnsi="Cambria"/>
          <w:color w:val="000000"/>
          <w:sz w:val="20"/>
          <w:szCs w:val="20"/>
        </w:rPr>
        <w:t xml:space="preserve">right </w:t>
      </w:r>
      <w:r w:rsidR="00C97A4B" w:rsidRPr="008A7BD7">
        <w:rPr>
          <w:rFonts w:ascii="Cambria" w:hAnsi="Cambria"/>
          <w:color w:val="000000"/>
          <w:sz w:val="20"/>
          <w:szCs w:val="20"/>
        </w:rPr>
        <w:t>to family, the IACHR is concerned to observe the continued institutionalization of children and adolescents</w:t>
      </w:r>
      <w:r w:rsidRPr="008A7BD7">
        <w:rPr>
          <w:rFonts w:ascii="Cambria" w:hAnsi="Cambria"/>
          <w:color w:val="000000"/>
          <w:sz w:val="20"/>
          <w:szCs w:val="20"/>
        </w:rPr>
        <w:t xml:space="preserve"> </w:t>
      </w:r>
      <w:r w:rsidR="00C97A4B" w:rsidRPr="008A7BD7">
        <w:rPr>
          <w:rFonts w:ascii="Cambria" w:hAnsi="Cambria"/>
          <w:color w:val="000000"/>
          <w:sz w:val="20"/>
          <w:szCs w:val="20"/>
        </w:rPr>
        <w:t>in Guatemala</w:t>
      </w:r>
      <w:r w:rsidR="00746761" w:rsidRPr="008A7BD7">
        <w:rPr>
          <w:rFonts w:ascii="Cambria" w:hAnsi="Cambria"/>
          <w:color w:val="000000"/>
          <w:sz w:val="20"/>
          <w:szCs w:val="20"/>
        </w:rPr>
        <w:t xml:space="preserve">. </w:t>
      </w:r>
      <w:r w:rsidR="00C97A4B" w:rsidRPr="008A7BD7">
        <w:rPr>
          <w:rFonts w:ascii="Cambria" w:hAnsi="Cambria"/>
          <w:color w:val="000000"/>
          <w:sz w:val="20"/>
          <w:szCs w:val="20"/>
        </w:rPr>
        <w:t>According to information from the Social Welfare Secretariat</w:t>
      </w:r>
      <w:r w:rsidR="00746761" w:rsidRPr="008A7BD7">
        <w:rPr>
          <w:rFonts w:ascii="Cambria" w:hAnsi="Cambria"/>
          <w:color w:val="000000"/>
          <w:sz w:val="20"/>
          <w:szCs w:val="20"/>
        </w:rPr>
        <w:t xml:space="preserve"> (SBS), </w:t>
      </w:r>
      <w:r w:rsidR="00B150AA" w:rsidRPr="008A7BD7">
        <w:rPr>
          <w:rFonts w:ascii="Cambria" w:hAnsi="Cambria"/>
          <w:color w:val="000000"/>
          <w:sz w:val="20"/>
          <w:szCs w:val="20"/>
        </w:rPr>
        <w:t xml:space="preserve">in the first </w:t>
      </w:r>
      <w:r w:rsidR="00F06FA0" w:rsidRPr="008A7BD7">
        <w:rPr>
          <w:rFonts w:ascii="Cambria" w:hAnsi="Cambria"/>
          <w:color w:val="000000"/>
          <w:sz w:val="20"/>
          <w:szCs w:val="20"/>
        </w:rPr>
        <w:t>four months</w:t>
      </w:r>
      <w:r w:rsidR="00B150AA" w:rsidRPr="008A7BD7">
        <w:rPr>
          <w:rFonts w:ascii="Cambria" w:hAnsi="Cambria"/>
          <w:color w:val="000000"/>
          <w:sz w:val="20"/>
          <w:szCs w:val="20"/>
        </w:rPr>
        <w:t xml:space="preserve"> of </w:t>
      </w:r>
      <w:r w:rsidR="00746761" w:rsidRPr="008A7BD7">
        <w:rPr>
          <w:rFonts w:ascii="Cambria" w:hAnsi="Cambria"/>
          <w:color w:val="000000"/>
          <w:sz w:val="20"/>
          <w:szCs w:val="20"/>
        </w:rPr>
        <w:t xml:space="preserve">2021 </w:t>
      </w:r>
      <w:r w:rsidR="00B150AA" w:rsidRPr="008A7BD7">
        <w:rPr>
          <w:rFonts w:ascii="Cambria" w:hAnsi="Cambria"/>
          <w:color w:val="000000"/>
          <w:sz w:val="20"/>
          <w:szCs w:val="20"/>
        </w:rPr>
        <w:t xml:space="preserve">there were </w:t>
      </w:r>
      <w:r w:rsidR="00746761" w:rsidRPr="008A7BD7">
        <w:rPr>
          <w:rFonts w:ascii="Cambria" w:hAnsi="Cambria"/>
          <w:color w:val="000000"/>
          <w:sz w:val="20"/>
          <w:szCs w:val="20"/>
        </w:rPr>
        <w:t xml:space="preserve">641 </w:t>
      </w:r>
      <w:r w:rsidR="00F06FA0" w:rsidRPr="008A7BD7">
        <w:rPr>
          <w:rFonts w:ascii="Cambria" w:hAnsi="Cambria"/>
          <w:color w:val="000000"/>
          <w:sz w:val="20"/>
          <w:szCs w:val="20"/>
        </w:rPr>
        <w:t>minors</w:t>
      </w:r>
      <w:r w:rsidR="00B150AA" w:rsidRPr="008A7BD7">
        <w:rPr>
          <w:rFonts w:ascii="Cambria" w:hAnsi="Cambria"/>
          <w:color w:val="000000"/>
          <w:sz w:val="20"/>
          <w:szCs w:val="20"/>
        </w:rPr>
        <w:t xml:space="preserve"> housed in </w:t>
      </w:r>
      <w:r w:rsidR="00746761" w:rsidRPr="008A7BD7">
        <w:rPr>
          <w:rFonts w:ascii="Cambria" w:hAnsi="Cambria"/>
          <w:color w:val="000000"/>
          <w:sz w:val="20"/>
          <w:szCs w:val="20"/>
        </w:rPr>
        <w:t xml:space="preserve">21 </w:t>
      </w:r>
      <w:r w:rsidR="00B150AA" w:rsidRPr="008A7BD7">
        <w:rPr>
          <w:rFonts w:ascii="Cambria" w:hAnsi="Cambria"/>
          <w:color w:val="000000"/>
          <w:sz w:val="20"/>
          <w:szCs w:val="20"/>
        </w:rPr>
        <w:t>residential shelters.</w:t>
      </w:r>
      <w:r w:rsidR="00746761" w:rsidRPr="008A7BD7">
        <w:rPr>
          <w:rFonts w:ascii="Cambria" w:hAnsi="Cambria"/>
          <w:color w:val="000000"/>
          <w:sz w:val="20"/>
          <w:szCs w:val="20"/>
          <w:vertAlign w:val="superscript"/>
          <w:lang w:val="es-ES"/>
        </w:rPr>
        <w:footnoteReference w:id="351"/>
      </w:r>
      <w:r w:rsidR="00746761" w:rsidRPr="008A7BD7">
        <w:rPr>
          <w:rFonts w:ascii="Cambria" w:hAnsi="Cambria"/>
          <w:color w:val="000000"/>
          <w:sz w:val="20"/>
          <w:szCs w:val="20"/>
        </w:rPr>
        <w:t xml:space="preserve"> </w:t>
      </w:r>
      <w:r w:rsidR="00A00EB9" w:rsidRPr="008A7BD7">
        <w:rPr>
          <w:rFonts w:ascii="Cambria" w:hAnsi="Cambria"/>
          <w:color w:val="000000"/>
          <w:sz w:val="20"/>
          <w:szCs w:val="20"/>
        </w:rPr>
        <w:lastRenderedPageBreak/>
        <w:t xml:space="preserve">For its part, the Office of the Human Rights Ombudsman reported </w:t>
      </w:r>
      <w:r w:rsidR="00912553" w:rsidRPr="008A7BD7">
        <w:rPr>
          <w:rFonts w:ascii="Cambria" w:hAnsi="Cambria"/>
          <w:color w:val="000000"/>
          <w:sz w:val="20"/>
          <w:szCs w:val="20"/>
        </w:rPr>
        <w:t>on overpopulation</w:t>
      </w:r>
      <w:r w:rsidR="00746761" w:rsidRPr="008A7BD7">
        <w:rPr>
          <w:rFonts w:ascii="Cambria" w:hAnsi="Cambria"/>
          <w:color w:val="000000"/>
          <w:sz w:val="20"/>
          <w:szCs w:val="20"/>
          <w:vertAlign w:val="superscript"/>
          <w:lang w:val="es-ES"/>
        </w:rPr>
        <w:footnoteReference w:id="352"/>
      </w:r>
      <w:r w:rsidR="00746761" w:rsidRPr="008A7BD7">
        <w:rPr>
          <w:rFonts w:ascii="Cambria" w:hAnsi="Cambria"/>
          <w:color w:val="000000"/>
          <w:sz w:val="20"/>
          <w:szCs w:val="20"/>
        </w:rPr>
        <w:t xml:space="preserve"> </w:t>
      </w:r>
      <w:r w:rsidR="00912553" w:rsidRPr="008A7BD7">
        <w:rPr>
          <w:rFonts w:ascii="Cambria" w:hAnsi="Cambria"/>
          <w:color w:val="000000"/>
          <w:sz w:val="20"/>
          <w:szCs w:val="20"/>
        </w:rPr>
        <w:t>and ill-treatment</w:t>
      </w:r>
      <w:r w:rsidR="00746761" w:rsidRPr="008A7BD7">
        <w:rPr>
          <w:rFonts w:ascii="Cambria" w:hAnsi="Cambria"/>
          <w:color w:val="000000"/>
          <w:sz w:val="20"/>
          <w:szCs w:val="20"/>
          <w:vertAlign w:val="superscript"/>
          <w:lang w:val="es-ES"/>
        </w:rPr>
        <w:footnoteReference w:id="353"/>
      </w:r>
      <w:r w:rsidR="00746761" w:rsidRPr="008A7BD7">
        <w:rPr>
          <w:rFonts w:ascii="Cambria" w:hAnsi="Cambria"/>
          <w:color w:val="000000"/>
          <w:sz w:val="20"/>
          <w:szCs w:val="20"/>
        </w:rPr>
        <w:t xml:space="preserve"> </w:t>
      </w:r>
      <w:r w:rsidR="00912553" w:rsidRPr="008A7BD7">
        <w:rPr>
          <w:rFonts w:ascii="Cambria" w:hAnsi="Cambria"/>
          <w:color w:val="000000"/>
          <w:sz w:val="20"/>
          <w:szCs w:val="20"/>
        </w:rPr>
        <w:t>in homes under the responsibility of the SBS</w:t>
      </w:r>
      <w:r w:rsidR="00746761" w:rsidRPr="008A7BD7">
        <w:rPr>
          <w:rFonts w:ascii="Cambria" w:hAnsi="Cambria"/>
          <w:color w:val="000000"/>
          <w:sz w:val="20"/>
          <w:szCs w:val="20"/>
        </w:rPr>
        <w:t xml:space="preserve">. </w:t>
      </w:r>
      <w:r w:rsidR="00412CEC" w:rsidRPr="008A7BD7">
        <w:rPr>
          <w:rFonts w:ascii="Cambria" w:hAnsi="Cambria"/>
          <w:color w:val="000000"/>
          <w:sz w:val="20"/>
          <w:szCs w:val="20"/>
        </w:rPr>
        <w:t xml:space="preserve">In this regard, the IACHR reiterates that States have a </w:t>
      </w:r>
      <w:r w:rsidR="00352E86" w:rsidRPr="008A7BD7">
        <w:rPr>
          <w:rFonts w:ascii="Cambria" w:hAnsi="Cambria"/>
          <w:color w:val="000000"/>
          <w:sz w:val="20"/>
          <w:szCs w:val="20"/>
        </w:rPr>
        <w:t xml:space="preserve">heightened </w:t>
      </w:r>
      <w:r w:rsidR="0001153A" w:rsidRPr="008A7BD7">
        <w:rPr>
          <w:rFonts w:ascii="Cambria" w:hAnsi="Cambria"/>
          <w:color w:val="000000"/>
          <w:sz w:val="20"/>
          <w:szCs w:val="20"/>
        </w:rPr>
        <w:t>duty</w:t>
      </w:r>
      <w:r w:rsidR="00352E86" w:rsidRPr="008A7BD7">
        <w:rPr>
          <w:rFonts w:ascii="Cambria" w:hAnsi="Cambria"/>
          <w:color w:val="000000"/>
          <w:sz w:val="20"/>
          <w:szCs w:val="20"/>
        </w:rPr>
        <w:t xml:space="preserve"> as guarantors with respect to children and adolescents under their custody in </w:t>
      </w:r>
      <w:r w:rsidR="00787A69" w:rsidRPr="008A7BD7">
        <w:rPr>
          <w:rFonts w:ascii="Cambria" w:hAnsi="Cambria"/>
          <w:color w:val="000000"/>
          <w:sz w:val="20"/>
          <w:szCs w:val="20"/>
        </w:rPr>
        <w:t>residential care institutions</w:t>
      </w:r>
      <w:r w:rsidR="00352E86" w:rsidRPr="008A7BD7">
        <w:rPr>
          <w:rFonts w:ascii="Cambria" w:hAnsi="Cambria"/>
          <w:color w:val="000000"/>
          <w:sz w:val="20"/>
          <w:szCs w:val="20"/>
        </w:rPr>
        <w:t>.</w:t>
      </w:r>
      <w:r w:rsidR="00746761" w:rsidRPr="008A7BD7">
        <w:rPr>
          <w:rFonts w:ascii="Cambria" w:hAnsi="Cambria"/>
          <w:color w:val="000000"/>
          <w:sz w:val="20"/>
          <w:szCs w:val="20"/>
        </w:rPr>
        <w:t xml:space="preserve"> </w:t>
      </w:r>
      <w:r w:rsidR="00352E86" w:rsidRPr="008A7BD7">
        <w:rPr>
          <w:rFonts w:ascii="Cambria" w:hAnsi="Cambria"/>
          <w:color w:val="000000"/>
          <w:sz w:val="20"/>
          <w:szCs w:val="20"/>
        </w:rPr>
        <w:t xml:space="preserve">This implies a duty to protect their rights, ensure adequate care, and take the </w:t>
      </w:r>
      <w:r w:rsidR="00E14DCB" w:rsidRPr="008A7BD7">
        <w:rPr>
          <w:rFonts w:ascii="Cambria" w:hAnsi="Cambria"/>
          <w:color w:val="000000"/>
          <w:sz w:val="20"/>
          <w:szCs w:val="20"/>
        </w:rPr>
        <w:t>necessary measures to prevent situations of risk that pose a serious threat to their rights</w:t>
      </w:r>
      <w:r w:rsidR="00746761" w:rsidRPr="008A7BD7">
        <w:rPr>
          <w:rFonts w:ascii="Cambria" w:hAnsi="Cambria"/>
          <w:color w:val="000000"/>
          <w:sz w:val="20"/>
          <w:szCs w:val="20"/>
        </w:rPr>
        <w:t xml:space="preserve">. </w:t>
      </w:r>
      <w:r w:rsidR="00E14DCB" w:rsidRPr="008A7BD7">
        <w:rPr>
          <w:rFonts w:ascii="Cambria" w:hAnsi="Cambria"/>
          <w:color w:val="000000"/>
          <w:sz w:val="20"/>
          <w:szCs w:val="20"/>
        </w:rPr>
        <w:t xml:space="preserve">The Commission further notes that the State </w:t>
      </w:r>
      <w:r w:rsidR="000236DD" w:rsidRPr="008A7BD7">
        <w:rPr>
          <w:rFonts w:ascii="Cambria" w:hAnsi="Cambria"/>
          <w:color w:val="000000"/>
          <w:sz w:val="20"/>
          <w:szCs w:val="20"/>
        </w:rPr>
        <w:t>must</w:t>
      </w:r>
      <w:r w:rsidR="00E14DCB" w:rsidRPr="008A7BD7">
        <w:rPr>
          <w:rFonts w:ascii="Cambria" w:hAnsi="Cambria"/>
          <w:color w:val="000000"/>
          <w:sz w:val="20"/>
          <w:szCs w:val="20"/>
        </w:rPr>
        <w:t xml:space="preserve"> ensure the right of children and adolescents to live </w:t>
      </w:r>
      <w:r w:rsidR="0001153A" w:rsidRPr="008A7BD7">
        <w:rPr>
          <w:rFonts w:ascii="Cambria" w:hAnsi="Cambria"/>
          <w:color w:val="000000"/>
          <w:sz w:val="20"/>
          <w:szCs w:val="20"/>
        </w:rPr>
        <w:t xml:space="preserve">with </w:t>
      </w:r>
      <w:r w:rsidR="00E14DCB" w:rsidRPr="008A7BD7">
        <w:rPr>
          <w:rFonts w:ascii="Cambria" w:hAnsi="Cambria"/>
          <w:color w:val="000000"/>
          <w:sz w:val="20"/>
          <w:szCs w:val="20"/>
        </w:rPr>
        <w:t xml:space="preserve">and be raised by their </w:t>
      </w:r>
      <w:proofErr w:type="gramStart"/>
      <w:r w:rsidR="00E14DCB" w:rsidRPr="008A7BD7">
        <w:rPr>
          <w:rFonts w:ascii="Cambria" w:hAnsi="Cambria"/>
          <w:color w:val="000000"/>
          <w:sz w:val="20"/>
          <w:szCs w:val="20"/>
        </w:rPr>
        <w:t>families, and</w:t>
      </w:r>
      <w:proofErr w:type="gramEnd"/>
      <w:r w:rsidR="00E14DCB" w:rsidRPr="008A7BD7">
        <w:rPr>
          <w:rFonts w:ascii="Cambria" w:hAnsi="Cambria"/>
          <w:color w:val="000000"/>
          <w:sz w:val="20"/>
          <w:szCs w:val="20"/>
        </w:rPr>
        <w:t xml:space="preserve"> </w:t>
      </w:r>
      <w:r w:rsidR="000236DD" w:rsidRPr="008A7BD7">
        <w:rPr>
          <w:rFonts w:ascii="Cambria" w:hAnsi="Cambria"/>
          <w:color w:val="000000"/>
          <w:sz w:val="20"/>
          <w:szCs w:val="20"/>
        </w:rPr>
        <w:t>must</w:t>
      </w:r>
      <w:r w:rsidR="00E14DCB" w:rsidRPr="008A7BD7">
        <w:rPr>
          <w:rFonts w:ascii="Cambria" w:hAnsi="Cambria"/>
          <w:color w:val="000000"/>
          <w:sz w:val="20"/>
          <w:szCs w:val="20"/>
        </w:rPr>
        <w:t xml:space="preserve"> </w:t>
      </w:r>
      <w:r w:rsidR="00713875" w:rsidRPr="008A7BD7">
        <w:rPr>
          <w:rFonts w:ascii="Cambria" w:hAnsi="Cambria"/>
          <w:color w:val="000000"/>
          <w:sz w:val="20"/>
          <w:szCs w:val="20"/>
        </w:rPr>
        <w:t xml:space="preserve">adjust any measures separating minors from their </w:t>
      </w:r>
      <w:r w:rsidR="00A30EF1" w:rsidRPr="008A7BD7">
        <w:rPr>
          <w:rFonts w:ascii="Cambria" w:hAnsi="Cambria"/>
          <w:color w:val="000000"/>
          <w:sz w:val="20"/>
          <w:szCs w:val="20"/>
        </w:rPr>
        <w:t>household</w:t>
      </w:r>
      <w:r w:rsidR="00713875" w:rsidRPr="008A7BD7">
        <w:rPr>
          <w:rFonts w:ascii="Cambria" w:hAnsi="Cambria"/>
          <w:color w:val="000000"/>
          <w:sz w:val="20"/>
          <w:szCs w:val="20"/>
        </w:rPr>
        <w:t xml:space="preserve"> </w:t>
      </w:r>
      <w:r w:rsidR="007904AE" w:rsidRPr="008A7BD7">
        <w:rPr>
          <w:rFonts w:ascii="Cambria" w:hAnsi="Cambria"/>
          <w:color w:val="000000"/>
          <w:sz w:val="20"/>
          <w:szCs w:val="20"/>
        </w:rPr>
        <w:t>to objective criteria consistent with the principle</w:t>
      </w:r>
      <w:r w:rsidR="00A30EF1" w:rsidRPr="008A7BD7">
        <w:rPr>
          <w:rFonts w:ascii="Cambria" w:hAnsi="Cambria"/>
          <w:color w:val="000000"/>
          <w:sz w:val="20"/>
          <w:szCs w:val="20"/>
        </w:rPr>
        <w:t>s</w:t>
      </w:r>
      <w:r w:rsidR="007904AE" w:rsidRPr="008A7BD7">
        <w:rPr>
          <w:rFonts w:ascii="Cambria" w:hAnsi="Cambria"/>
          <w:color w:val="000000"/>
          <w:sz w:val="20"/>
          <w:szCs w:val="20"/>
        </w:rPr>
        <w:t xml:space="preserve"> of exceptionality, necessity, and </w:t>
      </w:r>
      <w:r w:rsidR="000236DD" w:rsidRPr="008A7BD7">
        <w:rPr>
          <w:rFonts w:ascii="Cambria" w:hAnsi="Cambria"/>
          <w:color w:val="000000"/>
          <w:sz w:val="20"/>
          <w:szCs w:val="20"/>
        </w:rPr>
        <w:t>temporality to safeguard the best interests of the child</w:t>
      </w:r>
      <w:r w:rsidR="00746761" w:rsidRPr="008A7BD7">
        <w:rPr>
          <w:rFonts w:ascii="Cambria" w:hAnsi="Cambria"/>
          <w:sz w:val="20"/>
          <w:szCs w:val="20"/>
        </w:rPr>
        <w:t xml:space="preserve">. </w:t>
      </w:r>
    </w:p>
    <w:p w14:paraId="694AA1C2" w14:textId="77777777" w:rsidR="009E52D6" w:rsidRPr="008A7BD7" w:rsidRDefault="009E52D6" w:rsidP="009E52D6">
      <w:pPr>
        <w:ind w:left="720"/>
        <w:jc w:val="both"/>
        <w:rPr>
          <w:rFonts w:ascii="Cambria" w:hAnsi="Cambria"/>
          <w:color w:val="000000"/>
          <w:sz w:val="20"/>
          <w:szCs w:val="20"/>
        </w:rPr>
      </w:pPr>
    </w:p>
    <w:p w14:paraId="55484AA5" w14:textId="143438A8" w:rsidR="009E52D6" w:rsidRPr="008A7BD7" w:rsidRDefault="00384CD3" w:rsidP="009E52D6">
      <w:pPr>
        <w:numPr>
          <w:ilvl w:val="0"/>
          <w:numId w:val="2"/>
        </w:numPr>
        <w:ind w:left="0" w:firstLine="720"/>
        <w:jc w:val="both"/>
        <w:rPr>
          <w:rFonts w:ascii="Cambria" w:hAnsi="Cambria"/>
          <w:color w:val="000000"/>
          <w:sz w:val="20"/>
          <w:szCs w:val="20"/>
        </w:rPr>
      </w:pPr>
      <w:r w:rsidRPr="008A7BD7">
        <w:rPr>
          <w:rFonts w:ascii="Cambria" w:eastAsia="Montserrat" w:hAnsi="Cambria" w:cs="Montserrat"/>
          <w:sz w:val="20"/>
          <w:szCs w:val="20"/>
        </w:rPr>
        <w:t xml:space="preserve">In that regard, the State informed the IACHR that “in </w:t>
      </w:r>
      <w:r w:rsidR="009E52D6" w:rsidRPr="008A7BD7">
        <w:rPr>
          <w:rFonts w:ascii="Cambria" w:eastAsia="Montserrat" w:hAnsi="Cambria" w:cs="Montserrat"/>
          <w:sz w:val="20"/>
          <w:szCs w:val="20"/>
        </w:rPr>
        <w:t xml:space="preserve">2021 </w:t>
      </w:r>
      <w:r w:rsidRPr="008A7BD7">
        <w:rPr>
          <w:rFonts w:ascii="Cambria" w:eastAsia="Montserrat" w:hAnsi="Cambria" w:cs="Montserrat"/>
          <w:sz w:val="20"/>
          <w:szCs w:val="20"/>
        </w:rPr>
        <w:t xml:space="preserve">it has carried out a total of </w:t>
      </w:r>
      <w:r w:rsidR="009E52D6" w:rsidRPr="008A7BD7">
        <w:rPr>
          <w:rFonts w:ascii="Cambria" w:eastAsia="Montserrat" w:hAnsi="Cambria" w:cs="Montserrat"/>
          <w:sz w:val="20"/>
          <w:szCs w:val="20"/>
        </w:rPr>
        <w:t>246</w:t>
      </w:r>
      <w:r w:rsidRPr="008A7BD7">
        <w:rPr>
          <w:rFonts w:ascii="Cambria" w:eastAsia="Montserrat" w:hAnsi="Cambria" w:cs="Montserrat"/>
          <w:sz w:val="20"/>
          <w:szCs w:val="20"/>
        </w:rPr>
        <w:t xml:space="preserve"> successful reunifications, thus restoring the right to family</w:t>
      </w:r>
      <w:r w:rsidR="009E52D6" w:rsidRPr="008A7BD7">
        <w:rPr>
          <w:rFonts w:ascii="Cambria" w:eastAsia="Montserrat" w:hAnsi="Cambria" w:cs="Montserrat"/>
          <w:sz w:val="20"/>
          <w:szCs w:val="20"/>
        </w:rPr>
        <w:t xml:space="preserve"> </w:t>
      </w:r>
      <w:r w:rsidRPr="008A7BD7">
        <w:rPr>
          <w:rFonts w:ascii="Cambria" w:eastAsia="Montserrat" w:hAnsi="Cambria" w:cs="Montserrat"/>
          <w:sz w:val="20"/>
          <w:szCs w:val="20"/>
        </w:rPr>
        <w:t xml:space="preserve">of children and adolescents who had been under </w:t>
      </w:r>
      <w:r w:rsidR="00DB34B6" w:rsidRPr="008A7BD7">
        <w:rPr>
          <w:rFonts w:ascii="Cambria" w:eastAsia="Montserrat" w:hAnsi="Cambria" w:cs="Montserrat"/>
          <w:sz w:val="20"/>
          <w:szCs w:val="20"/>
        </w:rPr>
        <w:t xml:space="preserve">care and </w:t>
      </w:r>
      <w:r w:rsidRPr="008A7BD7">
        <w:rPr>
          <w:rFonts w:ascii="Cambria" w:eastAsia="Montserrat" w:hAnsi="Cambria" w:cs="Montserrat"/>
          <w:sz w:val="20"/>
          <w:szCs w:val="20"/>
        </w:rPr>
        <w:t>protection measures because their human rights had been violated.”</w:t>
      </w:r>
      <w:r w:rsidR="009E52D6" w:rsidRPr="008A7BD7">
        <w:rPr>
          <w:rFonts w:ascii="Cambria" w:eastAsia="Montserrat" w:hAnsi="Cambria" w:cs="Montserrat"/>
          <w:sz w:val="20"/>
          <w:szCs w:val="20"/>
        </w:rPr>
        <w:t xml:space="preserve"> </w:t>
      </w:r>
      <w:r w:rsidRPr="008A7BD7">
        <w:rPr>
          <w:rFonts w:ascii="Cambria" w:eastAsia="Montserrat" w:hAnsi="Cambria" w:cs="Montserrat"/>
          <w:sz w:val="20"/>
          <w:szCs w:val="20"/>
        </w:rPr>
        <w:t>Furthermore, “as regards the current capacity of</w:t>
      </w:r>
      <w:r w:rsidR="007254C0" w:rsidRPr="008A7BD7">
        <w:rPr>
          <w:rFonts w:ascii="Cambria" w:eastAsia="Montserrat" w:hAnsi="Cambria" w:cs="Montserrat"/>
          <w:sz w:val="20"/>
          <w:szCs w:val="20"/>
        </w:rPr>
        <w:t xml:space="preserve"> </w:t>
      </w:r>
      <w:r w:rsidR="00292012" w:rsidRPr="008A7BD7">
        <w:rPr>
          <w:rFonts w:ascii="Cambria" w:eastAsia="Montserrat" w:hAnsi="Cambria" w:cs="Montserrat"/>
          <w:sz w:val="20"/>
          <w:szCs w:val="20"/>
        </w:rPr>
        <w:t xml:space="preserve">the </w:t>
      </w:r>
      <w:r w:rsidR="007254C0" w:rsidRPr="008A7BD7">
        <w:rPr>
          <w:rFonts w:ascii="Cambria" w:eastAsia="Montserrat" w:hAnsi="Cambria" w:cs="Montserrat"/>
          <w:sz w:val="20"/>
          <w:szCs w:val="20"/>
        </w:rPr>
        <w:t>care and protection</w:t>
      </w:r>
      <w:r w:rsidRPr="008A7BD7">
        <w:rPr>
          <w:rFonts w:ascii="Cambria" w:eastAsia="Montserrat" w:hAnsi="Cambria" w:cs="Montserrat"/>
          <w:sz w:val="20"/>
          <w:szCs w:val="20"/>
        </w:rPr>
        <w:t xml:space="preserve"> residential </w:t>
      </w:r>
      <w:r w:rsidR="007254C0" w:rsidRPr="008A7BD7">
        <w:rPr>
          <w:rFonts w:ascii="Cambria" w:eastAsia="Montserrat" w:hAnsi="Cambria" w:cs="Montserrat"/>
          <w:sz w:val="20"/>
          <w:szCs w:val="20"/>
        </w:rPr>
        <w:t>facilities</w:t>
      </w:r>
      <w:r w:rsidR="009E52D6" w:rsidRPr="008A7BD7">
        <w:rPr>
          <w:rFonts w:ascii="Cambria" w:eastAsia="Montserrat" w:hAnsi="Cambria" w:cs="Montserrat"/>
          <w:sz w:val="20"/>
          <w:szCs w:val="20"/>
        </w:rPr>
        <w:t xml:space="preserve">, </w:t>
      </w:r>
      <w:r w:rsidRPr="008A7BD7">
        <w:rPr>
          <w:rFonts w:ascii="Cambria" w:eastAsia="Montserrat" w:hAnsi="Cambria" w:cs="Montserrat"/>
          <w:sz w:val="20"/>
          <w:szCs w:val="20"/>
        </w:rPr>
        <w:t xml:space="preserve">as well as the regular </w:t>
      </w:r>
      <w:r w:rsidR="00292012" w:rsidRPr="008A7BD7">
        <w:rPr>
          <w:rFonts w:ascii="Cambria" w:eastAsia="Montserrat" w:hAnsi="Cambria" w:cs="Montserrat"/>
          <w:sz w:val="20"/>
          <w:szCs w:val="20"/>
        </w:rPr>
        <w:t>space available for</w:t>
      </w:r>
      <w:r w:rsidR="006258AB" w:rsidRPr="008A7BD7">
        <w:rPr>
          <w:rFonts w:ascii="Cambria" w:eastAsia="Montserrat" w:hAnsi="Cambria" w:cs="Montserrat"/>
          <w:sz w:val="20"/>
          <w:szCs w:val="20"/>
        </w:rPr>
        <w:t xml:space="preserve"> children and adolescents in these institutions,” the State noted that “</w:t>
      </w:r>
      <w:r w:rsidR="009E52D6" w:rsidRPr="008A7BD7">
        <w:rPr>
          <w:rFonts w:ascii="Cambria" w:eastAsia="Montserrat" w:hAnsi="Cambria" w:cs="Montserrat"/>
          <w:sz w:val="20"/>
          <w:szCs w:val="20"/>
        </w:rPr>
        <w:t xml:space="preserve">75% </w:t>
      </w:r>
      <w:r w:rsidR="006258AB" w:rsidRPr="008A7BD7">
        <w:rPr>
          <w:rFonts w:ascii="Cambria" w:eastAsia="Montserrat" w:hAnsi="Cambria" w:cs="Montserrat"/>
          <w:sz w:val="20"/>
          <w:szCs w:val="20"/>
        </w:rPr>
        <w:t xml:space="preserve">of the residential units are overpopulated; nevertheless, procedures related to the residential institutions overseen by the </w:t>
      </w:r>
      <w:r w:rsidR="006258AB" w:rsidRPr="008A7BD7">
        <w:rPr>
          <w:rFonts w:ascii="Cambria" w:eastAsia="Cambria" w:hAnsi="Cambria" w:cs="Cambria"/>
          <w:color w:val="000000" w:themeColor="text1"/>
          <w:sz w:val="20"/>
          <w:szCs w:val="20"/>
        </w:rPr>
        <w:t>Social Welfare Secretariat</w:t>
      </w:r>
      <w:r w:rsidR="006258AB" w:rsidRPr="008A7BD7">
        <w:rPr>
          <w:rFonts w:ascii="Cambria" w:eastAsia="Montserrat" w:hAnsi="Cambria" w:cs="Montserrat"/>
          <w:sz w:val="20"/>
          <w:szCs w:val="20"/>
        </w:rPr>
        <w:t xml:space="preserve"> of the </w:t>
      </w:r>
      <w:r w:rsidR="006258AB" w:rsidRPr="008A7BD7">
        <w:rPr>
          <w:rFonts w:ascii="Cambria" w:eastAsia="Cambria" w:hAnsi="Cambria" w:cs="Cambria"/>
          <w:color w:val="000000" w:themeColor="text1"/>
          <w:sz w:val="20"/>
          <w:szCs w:val="20"/>
        </w:rPr>
        <w:t>Office of the President</w:t>
      </w:r>
      <w:r w:rsidR="006258AB" w:rsidRPr="008A7BD7">
        <w:rPr>
          <w:rFonts w:ascii="Cambria" w:eastAsia="Montserrat" w:hAnsi="Cambria" w:cs="Montserrat"/>
          <w:sz w:val="20"/>
          <w:szCs w:val="20"/>
        </w:rPr>
        <w:t xml:space="preserve"> are under the jurisdiction of the institutions that make up the justice sector, such as the judiciary and the Attorney General’s Office, </w:t>
      </w:r>
      <w:r w:rsidR="0027097A" w:rsidRPr="008A7BD7">
        <w:rPr>
          <w:rFonts w:ascii="Cambria" w:eastAsia="Montserrat" w:hAnsi="Cambria" w:cs="Montserrat"/>
          <w:sz w:val="20"/>
          <w:szCs w:val="20"/>
        </w:rPr>
        <w:t>which are responsible for the</w:t>
      </w:r>
      <w:r w:rsidR="005F609F" w:rsidRPr="008A7BD7">
        <w:rPr>
          <w:rFonts w:ascii="Cambria" w:eastAsia="Montserrat" w:hAnsi="Cambria" w:cs="Montserrat"/>
          <w:sz w:val="20"/>
          <w:szCs w:val="20"/>
        </w:rPr>
        <w:t xml:space="preserve"> process of</w:t>
      </w:r>
      <w:r w:rsidR="0027097A" w:rsidRPr="008A7BD7">
        <w:rPr>
          <w:rFonts w:ascii="Cambria" w:eastAsia="Montserrat" w:hAnsi="Cambria" w:cs="Montserrat"/>
          <w:sz w:val="20"/>
          <w:szCs w:val="20"/>
        </w:rPr>
        <w:t xml:space="preserve"> deinstitutionalization</w:t>
      </w:r>
      <w:r w:rsidR="005F609F" w:rsidRPr="008A7BD7">
        <w:rPr>
          <w:rFonts w:ascii="Cambria" w:eastAsia="Montserrat" w:hAnsi="Cambria" w:cs="Montserrat"/>
          <w:sz w:val="20"/>
          <w:szCs w:val="20"/>
        </w:rPr>
        <w:t>.</w:t>
      </w:r>
      <w:r w:rsidR="0027097A" w:rsidRPr="008A7BD7">
        <w:rPr>
          <w:rFonts w:ascii="Cambria" w:eastAsia="Montserrat" w:hAnsi="Cambria" w:cs="Montserrat"/>
          <w:sz w:val="20"/>
          <w:szCs w:val="20"/>
        </w:rPr>
        <w:t>”</w:t>
      </w:r>
      <w:r w:rsidR="009E52D6" w:rsidRPr="008A7BD7">
        <w:rPr>
          <w:rStyle w:val="FootnoteReference"/>
          <w:rFonts w:ascii="Cambria" w:eastAsia="Montserrat" w:hAnsi="Cambria" w:cs="Montserrat"/>
          <w:sz w:val="20"/>
          <w:szCs w:val="20"/>
          <w:lang w:val="es-US"/>
        </w:rPr>
        <w:footnoteReference w:id="354"/>
      </w:r>
    </w:p>
    <w:p w14:paraId="516471CF" w14:textId="77777777" w:rsidR="009E52D6" w:rsidRPr="008A7BD7" w:rsidRDefault="009E52D6" w:rsidP="009E52D6">
      <w:pPr>
        <w:pStyle w:val="ListParagraph"/>
        <w:rPr>
          <w:rFonts w:ascii="Cambria" w:eastAsia="Montserrat" w:hAnsi="Cambria" w:cs="Montserrat"/>
          <w:sz w:val="20"/>
          <w:szCs w:val="20"/>
        </w:rPr>
      </w:pPr>
    </w:p>
    <w:p w14:paraId="156EF22F" w14:textId="553DB554" w:rsidR="009E52D6" w:rsidRPr="008A7BD7" w:rsidRDefault="001A08D0" w:rsidP="009E52D6">
      <w:pPr>
        <w:numPr>
          <w:ilvl w:val="0"/>
          <w:numId w:val="2"/>
        </w:numPr>
        <w:ind w:left="0" w:firstLine="720"/>
        <w:jc w:val="both"/>
        <w:rPr>
          <w:rFonts w:ascii="Cambria" w:hAnsi="Cambria"/>
          <w:color w:val="000000"/>
          <w:sz w:val="20"/>
          <w:szCs w:val="20"/>
        </w:rPr>
      </w:pPr>
      <w:r w:rsidRPr="008A7BD7">
        <w:rPr>
          <w:rFonts w:ascii="Cambria" w:eastAsia="Montserrat" w:hAnsi="Cambria" w:cs="Montserrat"/>
          <w:sz w:val="20"/>
          <w:szCs w:val="20"/>
        </w:rPr>
        <w:t xml:space="preserve">Likewise, in its response to the draft of this report, the Guatemalan State said that all the complaints involving “ill-treatment” that have come before the </w:t>
      </w:r>
      <w:r w:rsidR="00292012" w:rsidRPr="008A7BD7">
        <w:rPr>
          <w:rFonts w:ascii="Cambria" w:eastAsia="Montserrat" w:hAnsi="Cambria" w:cs="Montserrat"/>
          <w:sz w:val="20"/>
          <w:szCs w:val="20"/>
        </w:rPr>
        <w:t>Office of the Human Rights Ombudsman</w:t>
      </w:r>
      <w:r w:rsidRPr="008A7BD7">
        <w:rPr>
          <w:rFonts w:ascii="Cambria" w:eastAsia="Montserrat" w:hAnsi="Cambria" w:cs="Montserrat"/>
          <w:sz w:val="20"/>
          <w:szCs w:val="20"/>
        </w:rPr>
        <w:t xml:space="preserve"> “have been duly responded to through situation reports, supporting evidence, </w:t>
      </w:r>
      <w:r w:rsidR="005F609F" w:rsidRPr="008A7BD7">
        <w:rPr>
          <w:rFonts w:ascii="Cambria" w:eastAsia="Montserrat" w:hAnsi="Cambria" w:cs="Montserrat"/>
          <w:sz w:val="20"/>
          <w:szCs w:val="20"/>
        </w:rPr>
        <w:t xml:space="preserve">and </w:t>
      </w:r>
      <w:r w:rsidRPr="008A7BD7">
        <w:rPr>
          <w:rFonts w:ascii="Cambria" w:eastAsia="Montserrat" w:hAnsi="Cambria" w:cs="Montserrat"/>
          <w:sz w:val="20"/>
          <w:szCs w:val="20"/>
        </w:rPr>
        <w:t xml:space="preserve">certifications, among other things. This has been done as part of the human rights </w:t>
      </w:r>
      <w:r w:rsidR="00BF30B3" w:rsidRPr="008A7BD7">
        <w:rPr>
          <w:rFonts w:ascii="Cambria" w:eastAsia="Montserrat" w:hAnsi="Cambria" w:cs="Montserrat"/>
          <w:sz w:val="20"/>
          <w:szCs w:val="20"/>
        </w:rPr>
        <w:t>protections that are applied</w:t>
      </w:r>
      <w:r w:rsidRPr="008A7BD7">
        <w:rPr>
          <w:rFonts w:ascii="Cambria" w:eastAsia="Montserrat" w:hAnsi="Cambria" w:cs="Montserrat"/>
          <w:sz w:val="20"/>
          <w:szCs w:val="20"/>
        </w:rPr>
        <w:t xml:space="preserve"> in the </w:t>
      </w:r>
      <w:r w:rsidR="00292012" w:rsidRPr="008A7BD7">
        <w:rPr>
          <w:rFonts w:ascii="Cambria" w:eastAsia="Montserrat" w:hAnsi="Cambria" w:cs="Montserrat"/>
          <w:sz w:val="20"/>
          <w:szCs w:val="20"/>
        </w:rPr>
        <w:t>care and protection residential facilities</w:t>
      </w:r>
      <w:r w:rsidR="00BF30B3" w:rsidRPr="008A7BD7">
        <w:rPr>
          <w:rFonts w:ascii="Cambria" w:eastAsia="Montserrat" w:hAnsi="Cambria" w:cs="Montserrat"/>
          <w:sz w:val="20"/>
          <w:szCs w:val="20"/>
        </w:rPr>
        <w:t xml:space="preserve"> so that</w:t>
      </w:r>
      <w:r w:rsidRPr="008A7BD7">
        <w:rPr>
          <w:rFonts w:ascii="Cambria" w:eastAsia="Montserrat" w:hAnsi="Cambria" w:cs="Montserrat"/>
          <w:sz w:val="20"/>
          <w:szCs w:val="20"/>
        </w:rPr>
        <w:t xml:space="preserve"> </w:t>
      </w:r>
      <w:r w:rsidR="00BF30B3" w:rsidRPr="008A7BD7">
        <w:rPr>
          <w:rFonts w:ascii="Cambria" w:eastAsia="Montserrat" w:hAnsi="Cambria" w:cs="Montserrat"/>
          <w:sz w:val="20"/>
          <w:szCs w:val="20"/>
        </w:rPr>
        <w:t>all procedures</w:t>
      </w:r>
      <w:r w:rsidRPr="008A7BD7">
        <w:rPr>
          <w:rFonts w:ascii="Cambria" w:eastAsia="Montserrat" w:hAnsi="Cambria" w:cs="Montserrat"/>
          <w:sz w:val="20"/>
          <w:szCs w:val="20"/>
        </w:rPr>
        <w:t xml:space="preserve"> </w:t>
      </w:r>
      <w:r w:rsidR="00BF30B3" w:rsidRPr="008A7BD7">
        <w:rPr>
          <w:rFonts w:ascii="Cambria" w:eastAsia="Montserrat" w:hAnsi="Cambria" w:cs="Montserrat"/>
          <w:sz w:val="20"/>
          <w:szCs w:val="20"/>
        </w:rPr>
        <w:t xml:space="preserve">carried out in these institutions </w:t>
      </w:r>
      <w:r w:rsidRPr="008A7BD7">
        <w:rPr>
          <w:rFonts w:ascii="Cambria" w:eastAsia="Montserrat" w:hAnsi="Cambria" w:cs="Montserrat"/>
          <w:sz w:val="20"/>
          <w:szCs w:val="20"/>
        </w:rPr>
        <w:t xml:space="preserve">follow standards and guidelines contained in </w:t>
      </w:r>
      <w:r w:rsidR="00BF30B3" w:rsidRPr="008A7BD7">
        <w:rPr>
          <w:rFonts w:ascii="Cambria" w:eastAsia="Montserrat" w:hAnsi="Cambria" w:cs="Montserrat"/>
          <w:sz w:val="20"/>
          <w:szCs w:val="20"/>
        </w:rPr>
        <w:t>base</w:t>
      </w:r>
      <w:r w:rsidRPr="008A7BD7">
        <w:rPr>
          <w:rFonts w:ascii="Cambria" w:eastAsia="Montserrat" w:hAnsi="Cambria" w:cs="Montserrat"/>
          <w:sz w:val="20"/>
          <w:szCs w:val="20"/>
        </w:rPr>
        <w:t xml:space="preserve"> documents that ensure </w:t>
      </w:r>
      <w:r w:rsidR="006C3E47" w:rsidRPr="008A7BD7">
        <w:rPr>
          <w:rFonts w:ascii="Cambria" w:eastAsia="Montserrat" w:hAnsi="Cambria" w:cs="Montserrat"/>
          <w:sz w:val="20"/>
          <w:szCs w:val="20"/>
        </w:rPr>
        <w:t xml:space="preserve">that the </w:t>
      </w:r>
      <w:r w:rsidR="006F4B96" w:rsidRPr="008A7BD7">
        <w:rPr>
          <w:rFonts w:ascii="Cambria" w:eastAsia="Montserrat" w:hAnsi="Cambria" w:cs="Montserrat"/>
          <w:sz w:val="20"/>
          <w:szCs w:val="20"/>
        </w:rPr>
        <w:t xml:space="preserve">care </w:t>
      </w:r>
      <w:r w:rsidR="006C3E47" w:rsidRPr="008A7BD7">
        <w:rPr>
          <w:rFonts w:ascii="Cambria" w:eastAsia="Montserrat" w:hAnsi="Cambria" w:cs="Montserrat"/>
          <w:sz w:val="20"/>
          <w:szCs w:val="20"/>
        </w:rPr>
        <w:t xml:space="preserve">provided has </w:t>
      </w:r>
      <w:r w:rsidR="006F4B96" w:rsidRPr="008A7BD7">
        <w:rPr>
          <w:rFonts w:ascii="Cambria" w:eastAsia="Montserrat" w:hAnsi="Cambria" w:cs="Montserrat"/>
          <w:sz w:val="20"/>
          <w:szCs w:val="20"/>
        </w:rPr>
        <w:t>a gender, inclusive, human rights approach</w:t>
      </w:r>
      <w:r w:rsidR="006C3E47" w:rsidRPr="008A7BD7">
        <w:rPr>
          <w:rFonts w:ascii="Cambria" w:eastAsia="Montserrat" w:hAnsi="Cambria" w:cs="Montserrat"/>
          <w:sz w:val="20"/>
          <w:szCs w:val="20"/>
        </w:rPr>
        <w:t xml:space="preserve"> and is</w:t>
      </w:r>
      <w:r w:rsidR="006F4B96" w:rsidRPr="008A7BD7">
        <w:rPr>
          <w:rFonts w:ascii="Cambria" w:eastAsia="Montserrat" w:hAnsi="Cambria" w:cs="Montserrat"/>
          <w:sz w:val="20"/>
          <w:szCs w:val="20"/>
        </w:rPr>
        <w:t xml:space="preserve"> intercultural, evolving, and in the best interests of the child.”</w:t>
      </w:r>
      <w:r w:rsidR="009E52D6" w:rsidRPr="008A7BD7">
        <w:rPr>
          <w:rStyle w:val="FootnoteReference"/>
          <w:rFonts w:ascii="Cambria" w:eastAsia="Montserrat" w:hAnsi="Cambria" w:cs="Montserrat"/>
          <w:sz w:val="20"/>
          <w:szCs w:val="20"/>
          <w:lang w:val="es-US"/>
        </w:rPr>
        <w:footnoteReference w:id="355"/>
      </w:r>
    </w:p>
    <w:p w14:paraId="41A80513" w14:textId="77777777" w:rsidR="00C71BEF" w:rsidRPr="008A7BD7" w:rsidRDefault="00C71BEF" w:rsidP="009E52D6">
      <w:pPr>
        <w:ind w:left="720"/>
        <w:jc w:val="both"/>
        <w:rPr>
          <w:rFonts w:ascii="Cambria" w:hAnsi="Cambria"/>
          <w:color w:val="000000"/>
          <w:sz w:val="20"/>
          <w:szCs w:val="20"/>
        </w:rPr>
      </w:pPr>
    </w:p>
    <w:p w14:paraId="0C453510" w14:textId="3FABB622" w:rsidR="00C71BEF" w:rsidRPr="008A7BD7" w:rsidRDefault="00DE2444" w:rsidP="003D3059">
      <w:pPr>
        <w:numPr>
          <w:ilvl w:val="0"/>
          <w:numId w:val="2"/>
        </w:numPr>
        <w:ind w:left="0" w:firstLine="720"/>
        <w:jc w:val="both"/>
        <w:rPr>
          <w:rFonts w:ascii="Cambria" w:hAnsi="Cambria"/>
          <w:b/>
          <w:bCs/>
          <w:sz w:val="20"/>
          <w:szCs w:val="20"/>
        </w:rPr>
      </w:pPr>
      <w:r w:rsidRPr="008A7BD7">
        <w:rPr>
          <w:rFonts w:ascii="Cambria" w:hAnsi="Cambria"/>
          <w:sz w:val="20"/>
          <w:szCs w:val="20"/>
        </w:rPr>
        <w:t xml:space="preserve">In addition, the IACHR received information on the follow-up to the events that occurred </w:t>
      </w:r>
      <w:r w:rsidR="008D1FCD" w:rsidRPr="008A7BD7">
        <w:rPr>
          <w:rFonts w:ascii="Cambria" w:hAnsi="Cambria"/>
          <w:sz w:val="20"/>
          <w:szCs w:val="20"/>
        </w:rPr>
        <w:t xml:space="preserve">in 2017 </w:t>
      </w:r>
      <w:r w:rsidRPr="008A7BD7">
        <w:rPr>
          <w:rFonts w:ascii="Cambria" w:hAnsi="Cambria"/>
          <w:sz w:val="20"/>
          <w:szCs w:val="20"/>
        </w:rPr>
        <w:t>at the</w:t>
      </w:r>
      <w:r w:rsidRPr="008A7BD7">
        <w:rPr>
          <w:rFonts w:ascii="Cambria" w:hAnsi="Cambria"/>
          <w:color w:val="000000"/>
          <w:sz w:val="20"/>
          <w:szCs w:val="20"/>
        </w:rPr>
        <w:t xml:space="preserve"> </w:t>
      </w:r>
      <w:r w:rsidRPr="008A7BD7">
        <w:rPr>
          <w:rFonts w:ascii="Cambria" w:hAnsi="Cambria"/>
          <w:sz w:val="20"/>
          <w:szCs w:val="20"/>
        </w:rPr>
        <w:t>“</w:t>
      </w:r>
      <w:r w:rsidRPr="008A7BD7">
        <w:rPr>
          <w:rFonts w:ascii="Cambria" w:hAnsi="Cambria"/>
          <w:color w:val="000000"/>
          <w:sz w:val="20"/>
          <w:szCs w:val="20"/>
        </w:rPr>
        <w:t xml:space="preserve">Virgen de la Asunción” Residential Institution, in which </w:t>
      </w:r>
      <w:r w:rsidR="00746761" w:rsidRPr="008A7BD7">
        <w:rPr>
          <w:rFonts w:ascii="Cambria" w:hAnsi="Cambria"/>
          <w:color w:val="000000"/>
          <w:sz w:val="20"/>
          <w:szCs w:val="20"/>
        </w:rPr>
        <w:t xml:space="preserve">41 </w:t>
      </w:r>
      <w:r w:rsidRPr="008A7BD7">
        <w:rPr>
          <w:rFonts w:ascii="Cambria" w:hAnsi="Cambria"/>
          <w:color w:val="000000"/>
          <w:sz w:val="20"/>
          <w:szCs w:val="20"/>
        </w:rPr>
        <w:t xml:space="preserve">girls died. According to a report by </w:t>
      </w:r>
      <w:r w:rsidR="00746761" w:rsidRPr="008A7BD7">
        <w:rPr>
          <w:rFonts w:ascii="Cambria" w:hAnsi="Cambria"/>
          <w:color w:val="000000"/>
          <w:sz w:val="20"/>
          <w:szCs w:val="20"/>
        </w:rPr>
        <w:t>Disability Rights International,</w:t>
      </w:r>
      <w:r w:rsidRPr="008A7BD7">
        <w:rPr>
          <w:rFonts w:ascii="Cambria" w:hAnsi="Cambria"/>
          <w:color w:val="000000"/>
          <w:sz w:val="20"/>
          <w:szCs w:val="20"/>
        </w:rPr>
        <w:t xml:space="preserve"> 600 c</w:t>
      </w:r>
      <w:r w:rsidR="00071FF2" w:rsidRPr="008A7BD7">
        <w:rPr>
          <w:rFonts w:ascii="Cambria" w:hAnsi="Cambria"/>
          <w:color w:val="000000"/>
          <w:sz w:val="20"/>
          <w:szCs w:val="20"/>
        </w:rPr>
        <w:t xml:space="preserve">hildren and adolescents were institutionalized at the facility </w:t>
      </w:r>
      <w:r w:rsidRPr="008A7BD7">
        <w:rPr>
          <w:rFonts w:ascii="Cambria" w:hAnsi="Cambria"/>
          <w:color w:val="000000"/>
          <w:sz w:val="20"/>
          <w:szCs w:val="20"/>
        </w:rPr>
        <w:t>at the time of the fire</w:t>
      </w:r>
      <w:r w:rsidR="00746761" w:rsidRPr="008A7BD7">
        <w:rPr>
          <w:rFonts w:ascii="Cambria" w:hAnsi="Cambria"/>
          <w:sz w:val="20"/>
          <w:szCs w:val="20"/>
        </w:rPr>
        <w:t>.</w:t>
      </w:r>
      <w:r w:rsidR="00071FF2" w:rsidRPr="008A7BD7">
        <w:rPr>
          <w:rFonts w:ascii="Cambria" w:hAnsi="Cambria"/>
          <w:sz w:val="20"/>
          <w:szCs w:val="20"/>
        </w:rPr>
        <w:t xml:space="preserve"> It added that the State is following up on 40 </w:t>
      </w:r>
      <w:r w:rsidR="00A30EF1" w:rsidRPr="008A7BD7">
        <w:rPr>
          <w:rFonts w:ascii="Cambria" w:hAnsi="Cambria"/>
          <w:sz w:val="20"/>
          <w:szCs w:val="20"/>
        </w:rPr>
        <w:t xml:space="preserve">survivors of the fire, who are </w:t>
      </w:r>
      <w:r w:rsidR="00071FF2" w:rsidRPr="008A7BD7">
        <w:rPr>
          <w:rFonts w:ascii="Cambria" w:hAnsi="Cambria"/>
          <w:sz w:val="20"/>
          <w:szCs w:val="20"/>
        </w:rPr>
        <w:t>now</w:t>
      </w:r>
      <w:r w:rsidR="00A30EF1" w:rsidRPr="008A7BD7">
        <w:rPr>
          <w:rFonts w:ascii="Cambria" w:hAnsi="Cambria"/>
          <w:sz w:val="20"/>
          <w:szCs w:val="20"/>
        </w:rPr>
        <w:t xml:space="preserve"> </w:t>
      </w:r>
      <w:r w:rsidR="00071FF2" w:rsidRPr="008A7BD7">
        <w:rPr>
          <w:rFonts w:ascii="Cambria" w:hAnsi="Cambria"/>
          <w:sz w:val="20"/>
          <w:szCs w:val="20"/>
        </w:rPr>
        <w:t>young women; however, the whereabouts of 11 of them reportedly remain unknown. The report also indicat</w:t>
      </w:r>
      <w:r w:rsidR="00701799" w:rsidRPr="008A7BD7">
        <w:rPr>
          <w:rFonts w:ascii="Cambria" w:hAnsi="Cambria"/>
          <w:sz w:val="20"/>
          <w:szCs w:val="20"/>
        </w:rPr>
        <w:t>e</w:t>
      </w:r>
      <w:r w:rsidR="00071FF2" w:rsidRPr="008A7BD7">
        <w:rPr>
          <w:rFonts w:ascii="Cambria" w:hAnsi="Cambria"/>
          <w:sz w:val="20"/>
          <w:szCs w:val="20"/>
        </w:rPr>
        <w:t>d that</w:t>
      </w:r>
      <w:r w:rsidR="00701799" w:rsidRPr="008A7BD7">
        <w:rPr>
          <w:rFonts w:ascii="Cambria" w:hAnsi="Cambria"/>
          <w:sz w:val="20"/>
          <w:szCs w:val="20"/>
        </w:rPr>
        <w:t xml:space="preserve"> of the total number of residents institutionalized at that time, </w:t>
      </w:r>
      <w:r w:rsidR="00746761" w:rsidRPr="008A7BD7">
        <w:rPr>
          <w:rFonts w:ascii="Cambria" w:hAnsi="Cambria"/>
          <w:color w:val="000000"/>
          <w:sz w:val="20"/>
          <w:szCs w:val="20"/>
        </w:rPr>
        <w:t xml:space="preserve">61 </w:t>
      </w:r>
      <w:r w:rsidR="00701799" w:rsidRPr="008A7BD7">
        <w:rPr>
          <w:rFonts w:ascii="Cambria" w:hAnsi="Cambria"/>
          <w:color w:val="000000"/>
          <w:sz w:val="20"/>
          <w:szCs w:val="20"/>
        </w:rPr>
        <w:t xml:space="preserve">girls and boys have </w:t>
      </w:r>
      <w:r w:rsidR="00576EA7" w:rsidRPr="008A7BD7">
        <w:rPr>
          <w:rFonts w:ascii="Cambria" w:hAnsi="Cambria"/>
          <w:color w:val="000000"/>
          <w:sz w:val="20"/>
          <w:szCs w:val="20"/>
        </w:rPr>
        <w:t xml:space="preserve">since </w:t>
      </w:r>
      <w:r w:rsidR="00701799" w:rsidRPr="008A7BD7">
        <w:rPr>
          <w:rFonts w:ascii="Cambria" w:hAnsi="Cambria"/>
          <w:color w:val="000000"/>
          <w:sz w:val="20"/>
          <w:szCs w:val="20"/>
        </w:rPr>
        <w:t xml:space="preserve">died, another </w:t>
      </w:r>
      <w:r w:rsidR="00746761" w:rsidRPr="008A7BD7">
        <w:rPr>
          <w:rFonts w:ascii="Cambria" w:hAnsi="Cambria"/>
          <w:color w:val="000000"/>
          <w:sz w:val="20"/>
          <w:szCs w:val="20"/>
        </w:rPr>
        <w:t xml:space="preserve">160 </w:t>
      </w:r>
      <w:r w:rsidR="00701799" w:rsidRPr="008A7BD7">
        <w:rPr>
          <w:rFonts w:ascii="Cambria" w:hAnsi="Cambria"/>
          <w:color w:val="000000"/>
          <w:sz w:val="20"/>
          <w:szCs w:val="20"/>
        </w:rPr>
        <w:t xml:space="preserve">have been relocated to other </w:t>
      </w:r>
      <w:r w:rsidR="001E4CBB" w:rsidRPr="008A7BD7">
        <w:rPr>
          <w:rFonts w:ascii="Cambria" w:hAnsi="Cambria"/>
          <w:color w:val="000000"/>
          <w:sz w:val="20"/>
          <w:szCs w:val="20"/>
        </w:rPr>
        <w:t>congregate care facilities</w:t>
      </w:r>
      <w:r w:rsidR="00701799" w:rsidRPr="008A7BD7">
        <w:rPr>
          <w:rFonts w:ascii="Cambria" w:hAnsi="Cambria"/>
          <w:color w:val="000000"/>
          <w:sz w:val="20"/>
          <w:szCs w:val="20"/>
        </w:rPr>
        <w:t xml:space="preserve">, and the whereabouts of </w:t>
      </w:r>
      <w:r w:rsidR="00746761" w:rsidRPr="008A7BD7">
        <w:rPr>
          <w:rFonts w:ascii="Cambria" w:hAnsi="Cambria"/>
          <w:color w:val="000000"/>
          <w:sz w:val="20"/>
          <w:szCs w:val="20"/>
        </w:rPr>
        <w:t xml:space="preserve">94 </w:t>
      </w:r>
      <w:r w:rsidR="00701799" w:rsidRPr="008A7BD7">
        <w:rPr>
          <w:rFonts w:ascii="Cambria" w:hAnsi="Cambria"/>
          <w:color w:val="000000"/>
          <w:sz w:val="20"/>
          <w:szCs w:val="20"/>
        </w:rPr>
        <w:t>of the children and adolescents remain unknown.</w:t>
      </w:r>
      <w:r w:rsidR="00746761" w:rsidRPr="008A7BD7">
        <w:rPr>
          <w:rFonts w:ascii="Cambria" w:hAnsi="Cambria"/>
          <w:sz w:val="20"/>
          <w:szCs w:val="20"/>
          <w:vertAlign w:val="superscript"/>
          <w:lang w:val="es-ES"/>
        </w:rPr>
        <w:footnoteReference w:id="356"/>
      </w:r>
      <w:r w:rsidR="00746761" w:rsidRPr="008A7BD7">
        <w:rPr>
          <w:rFonts w:ascii="Cambria" w:hAnsi="Cambria"/>
          <w:color w:val="000000"/>
          <w:sz w:val="20"/>
          <w:szCs w:val="20"/>
        </w:rPr>
        <w:t xml:space="preserve"> </w:t>
      </w:r>
      <w:r w:rsidR="001E4CBB" w:rsidRPr="008A7BD7">
        <w:rPr>
          <w:rFonts w:ascii="Cambria" w:hAnsi="Cambria"/>
          <w:color w:val="000000"/>
          <w:sz w:val="20"/>
          <w:szCs w:val="20"/>
        </w:rPr>
        <w:t xml:space="preserve">Likewise, </w:t>
      </w:r>
      <w:r w:rsidR="00F2118D" w:rsidRPr="008A7BD7">
        <w:rPr>
          <w:rFonts w:ascii="Cambria" w:hAnsi="Cambria"/>
          <w:color w:val="000000"/>
          <w:sz w:val="20"/>
          <w:szCs w:val="20"/>
        </w:rPr>
        <w:t xml:space="preserve">according to </w:t>
      </w:r>
      <w:r w:rsidR="001E4CBB" w:rsidRPr="008A7BD7">
        <w:rPr>
          <w:rFonts w:ascii="Cambria" w:hAnsi="Cambria"/>
          <w:color w:val="000000"/>
          <w:sz w:val="20"/>
          <w:szCs w:val="20"/>
        </w:rPr>
        <w:t>the report</w:t>
      </w:r>
      <w:r w:rsidR="00F2118D" w:rsidRPr="008A7BD7">
        <w:rPr>
          <w:rFonts w:ascii="Cambria" w:hAnsi="Cambria"/>
          <w:color w:val="000000"/>
          <w:sz w:val="20"/>
          <w:szCs w:val="20"/>
        </w:rPr>
        <w:t>, there have been</w:t>
      </w:r>
      <w:r w:rsidR="001E4CBB" w:rsidRPr="008A7BD7">
        <w:rPr>
          <w:rFonts w:ascii="Cambria" w:hAnsi="Cambria"/>
          <w:color w:val="000000"/>
          <w:sz w:val="20"/>
          <w:szCs w:val="20"/>
        </w:rPr>
        <w:t xml:space="preserve"> barriers </w:t>
      </w:r>
      <w:r w:rsidR="00F2118D" w:rsidRPr="008A7BD7">
        <w:rPr>
          <w:rFonts w:ascii="Cambria" w:hAnsi="Cambria"/>
          <w:color w:val="000000"/>
          <w:sz w:val="20"/>
          <w:szCs w:val="20"/>
        </w:rPr>
        <w:t xml:space="preserve">in </w:t>
      </w:r>
      <w:r w:rsidR="001E4CBB" w:rsidRPr="008A7BD7">
        <w:rPr>
          <w:rFonts w:ascii="Cambria" w:hAnsi="Cambria"/>
          <w:color w:val="000000"/>
          <w:sz w:val="20"/>
          <w:szCs w:val="20"/>
        </w:rPr>
        <w:t xml:space="preserve">access to the lifelong monthly pensions created for </w:t>
      </w:r>
      <w:r w:rsidR="00F2118D" w:rsidRPr="008A7BD7">
        <w:rPr>
          <w:rFonts w:ascii="Cambria" w:hAnsi="Cambria"/>
          <w:color w:val="000000"/>
          <w:sz w:val="20"/>
          <w:szCs w:val="20"/>
        </w:rPr>
        <w:t>the survivors of the fire; as of November 2020, only two were said to have been receiving this pension.</w:t>
      </w:r>
      <w:r w:rsidR="00746761" w:rsidRPr="008A7BD7">
        <w:rPr>
          <w:rFonts w:ascii="Cambria" w:hAnsi="Cambria"/>
          <w:color w:val="000000"/>
          <w:sz w:val="20"/>
          <w:szCs w:val="20"/>
          <w:vertAlign w:val="superscript"/>
          <w:lang w:val="es-ES"/>
        </w:rPr>
        <w:footnoteReference w:id="357"/>
      </w:r>
      <w:r w:rsidR="00746761" w:rsidRPr="008A7BD7">
        <w:rPr>
          <w:rFonts w:ascii="Cambria" w:hAnsi="Cambria"/>
          <w:color w:val="000000"/>
          <w:sz w:val="20"/>
          <w:szCs w:val="20"/>
        </w:rPr>
        <w:t xml:space="preserve">  </w:t>
      </w:r>
    </w:p>
    <w:p w14:paraId="278CBB49" w14:textId="77777777" w:rsidR="009E52D6" w:rsidRPr="008A7BD7" w:rsidRDefault="009E52D6" w:rsidP="009E52D6">
      <w:pPr>
        <w:pStyle w:val="ListParagraph"/>
        <w:rPr>
          <w:rFonts w:ascii="Cambria" w:hAnsi="Cambria"/>
          <w:b/>
          <w:bCs/>
          <w:sz w:val="20"/>
          <w:szCs w:val="20"/>
        </w:rPr>
      </w:pPr>
    </w:p>
    <w:p w14:paraId="39770F24" w14:textId="78D43D41" w:rsidR="009E52D6" w:rsidRPr="008A7BD7" w:rsidRDefault="001A6A12" w:rsidP="009E52D6">
      <w:pPr>
        <w:numPr>
          <w:ilvl w:val="0"/>
          <w:numId w:val="2"/>
        </w:numPr>
        <w:ind w:left="0" w:firstLine="720"/>
        <w:jc w:val="both"/>
        <w:rPr>
          <w:rFonts w:ascii="Cambria" w:hAnsi="Cambria"/>
          <w:bCs/>
          <w:color w:val="000000"/>
          <w:sz w:val="20"/>
          <w:szCs w:val="20"/>
        </w:rPr>
      </w:pPr>
      <w:r w:rsidRPr="008A7BD7">
        <w:rPr>
          <w:rFonts w:ascii="Cambria" w:eastAsia="Montserrat" w:hAnsi="Cambria" w:cs="Montserrat"/>
          <w:bCs/>
          <w:sz w:val="20"/>
          <w:szCs w:val="20"/>
        </w:rPr>
        <w:t>With respect to the restoration of rights to the victims of the</w:t>
      </w:r>
      <w:r w:rsidR="009E52D6" w:rsidRPr="008A7BD7">
        <w:rPr>
          <w:rFonts w:ascii="Cambria" w:eastAsia="Montserrat" w:hAnsi="Cambria" w:cs="Montserrat"/>
          <w:bCs/>
          <w:sz w:val="20"/>
          <w:szCs w:val="20"/>
        </w:rPr>
        <w:t xml:space="preserve"> </w:t>
      </w:r>
      <w:r w:rsidRPr="008A7BD7">
        <w:rPr>
          <w:rFonts w:ascii="Cambria" w:eastAsia="Montserrat" w:hAnsi="Cambria" w:cs="Montserrat"/>
          <w:bCs/>
          <w:sz w:val="20"/>
          <w:szCs w:val="20"/>
        </w:rPr>
        <w:t>incidents at the “</w:t>
      </w:r>
      <w:r w:rsidRPr="008A7BD7">
        <w:rPr>
          <w:rFonts w:ascii="Cambria" w:hAnsi="Cambria"/>
          <w:color w:val="000000"/>
          <w:sz w:val="20"/>
          <w:szCs w:val="20"/>
        </w:rPr>
        <w:t>Virgen de la Asunción” Residential Institution,</w:t>
      </w:r>
      <w:r w:rsidRPr="008A7BD7">
        <w:rPr>
          <w:rFonts w:ascii="Cambria" w:eastAsia="Montserrat" w:hAnsi="Cambria" w:cs="Montserrat"/>
          <w:bCs/>
          <w:sz w:val="20"/>
          <w:szCs w:val="20"/>
        </w:rPr>
        <w:t xml:space="preserve"> the State indicated that from May to October 2021, the Prosecutor’s Office </w:t>
      </w:r>
      <w:r w:rsidRPr="008A7BD7">
        <w:rPr>
          <w:rFonts w:ascii="Cambria" w:eastAsia="Montserrat" w:hAnsi="Cambria" w:cs="Montserrat"/>
          <w:bCs/>
          <w:sz w:val="20"/>
          <w:szCs w:val="20"/>
        </w:rPr>
        <w:lastRenderedPageBreak/>
        <w:t>on Children and Adolescents</w:t>
      </w:r>
      <w:r w:rsidR="009E52D6" w:rsidRPr="008A7BD7">
        <w:rPr>
          <w:rFonts w:ascii="Cambria" w:eastAsia="Montserrat" w:hAnsi="Cambria" w:cs="Montserrat"/>
          <w:bCs/>
          <w:sz w:val="20"/>
          <w:szCs w:val="20"/>
        </w:rPr>
        <w:t xml:space="preserve"> </w:t>
      </w:r>
      <w:r w:rsidRPr="008A7BD7">
        <w:rPr>
          <w:rFonts w:ascii="Cambria" w:eastAsia="Montserrat" w:hAnsi="Cambria" w:cs="Montserrat"/>
          <w:bCs/>
          <w:sz w:val="20"/>
          <w:szCs w:val="20"/>
        </w:rPr>
        <w:t>followed up individually with the minors who had been reintegrated, carrying out support visits; connecti</w:t>
      </w:r>
      <w:r w:rsidR="00DB34B6" w:rsidRPr="008A7BD7">
        <w:rPr>
          <w:rFonts w:ascii="Cambria" w:eastAsia="Montserrat" w:hAnsi="Cambria" w:cs="Montserrat"/>
          <w:bCs/>
          <w:sz w:val="20"/>
          <w:szCs w:val="20"/>
        </w:rPr>
        <w:t>ng them</w:t>
      </w:r>
      <w:r w:rsidRPr="008A7BD7">
        <w:rPr>
          <w:rFonts w:ascii="Cambria" w:eastAsia="Montserrat" w:hAnsi="Cambria" w:cs="Montserrat"/>
          <w:bCs/>
          <w:sz w:val="20"/>
          <w:szCs w:val="20"/>
        </w:rPr>
        <w:t xml:space="preserve"> with various social protection institutions </w:t>
      </w:r>
      <w:r w:rsidR="00DB34B6" w:rsidRPr="008A7BD7">
        <w:rPr>
          <w:rFonts w:ascii="Cambria" w:eastAsia="Montserrat" w:hAnsi="Cambria" w:cs="Montserrat"/>
          <w:bCs/>
          <w:sz w:val="20"/>
          <w:szCs w:val="20"/>
        </w:rPr>
        <w:t>so that</w:t>
      </w:r>
      <w:r w:rsidR="00927C40" w:rsidRPr="008A7BD7">
        <w:rPr>
          <w:rFonts w:ascii="Cambria" w:eastAsia="Montserrat" w:hAnsi="Cambria" w:cs="Montserrat"/>
          <w:bCs/>
          <w:sz w:val="20"/>
          <w:szCs w:val="20"/>
        </w:rPr>
        <w:t xml:space="preserve"> the children and their families </w:t>
      </w:r>
      <w:r w:rsidR="00DB34B6" w:rsidRPr="008A7BD7">
        <w:rPr>
          <w:rFonts w:ascii="Cambria" w:eastAsia="Montserrat" w:hAnsi="Cambria" w:cs="Montserrat"/>
          <w:bCs/>
          <w:sz w:val="20"/>
          <w:szCs w:val="20"/>
        </w:rPr>
        <w:t>could have access to</w:t>
      </w:r>
      <w:r w:rsidR="00927C40" w:rsidRPr="008A7BD7">
        <w:rPr>
          <w:rFonts w:ascii="Cambria" w:eastAsia="Montserrat" w:hAnsi="Cambria" w:cs="Montserrat"/>
          <w:bCs/>
          <w:sz w:val="20"/>
          <w:szCs w:val="20"/>
        </w:rPr>
        <w:t xml:space="preserve"> services; and making connections with local and community actors. In terms of children and adolescents who are still “</w:t>
      </w:r>
      <w:r w:rsidR="00854E6D" w:rsidRPr="008A7BD7">
        <w:rPr>
          <w:rFonts w:ascii="Cambria" w:eastAsia="Montserrat" w:hAnsi="Cambria" w:cs="Montserrat"/>
          <w:bCs/>
          <w:sz w:val="20"/>
          <w:szCs w:val="20"/>
        </w:rPr>
        <w:t xml:space="preserve">under </w:t>
      </w:r>
      <w:r w:rsidR="00927C40" w:rsidRPr="008A7BD7">
        <w:rPr>
          <w:rFonts w:ascii="Cambria" w:eastAsia="Montserrat" w:hAnsi="Cambria" w:cs="Montserrat"/>
          <w:bCs/>
          <w:sz w:val="20"/>
          <w:szCs w:val="20"/>
        </w:rPr>
        <w:t xml:space="preserve">protection </w:t>
      </w:r>
      <w:r w:rsidR="00DB34B6" w:rsidRPr="008A7BD7">
        <w:rPr>
          <w:rFonts w:ascii="Cambria" w:eastAsia="Montserrat" w:hAnsi="Cambria" w:cs="Montserrat"/>
          <w:bCs/>
          <w:sz w:val="20"/>
          <w:szCs w:val="20"/>
        </w:rPr>
        <w:t xml:space="preserve">and care </w:t>
      </w:r>
      <w:r w:rsidR="00927C40" w:rsidRPr="008A7BD7">
        <w:rPr>
          <w:rFonts w:ascii="Cambria" w:eastAsia="Montserrat" w:hAnsi="Cambria" w:cs="Montserrat"/>
          <w:bCs/>
          <w:sz w:val="20"/>
          <w:szCs w:val="20"/>
        </w:rPr>
        <w:t xml:space="preserve">measures,” the State indicated that </w:t>
      </w:r>
      <w:r w:rsidR="009E52D6" w:rsidRPr="008A7BD7">
        <w:rPr>
          <w:rFonts w:ascii="Cambria" w:eastAsia="Montserrat" w:hAnsi="Cambria" w:cs="Montserrat"/>
          <w:bCs/>
          <w:sz w:val="20"/>
          <w:szCs w:val="20"/>
        </w:rPr>
        <w:t xml:space="preserve">80 </w:t>
      </w:r>
      <w:r w:rsidR="00927C40" w:rsidRPr="008A7BD7">
        <w:rPr>
          <w:rFonts w:ascii="Cambria" w:eastAsia="Montserrat" w:hAnsi="Cambria" w:cs="Montserrat"/>
          <w:bCs/>
          <w:sz w:val="20"/>
          <w:szCs w:val="20"/>
        </w:rPr>
        <w:t xml:space="preserve">minors are still located in the various residential institutions run by the </w:t>
      </w:r>
      <w:r w:rsidR="00927C40" w:rsidRPr="008A7BD7">
        <w:rPr>
          <w:rFonts w:ascii="Cambria" w:eastAsia="Cambria" w:hAnsi="Cambria" w:cs="Cambria"/>
          <w:color w:val="000000" w:themeColor="text1"/>
          <w:sz w:val="20"/>
          <w:szCs w:val="20"/>
        </w:rPr>
        <w:t>Social Welfare Secretariat</w:t>
      </w:r>
      <w:r w:rsidR="00927C40" w:rsidRPr="008A7BD7">
        <w:rPr>
          <w:rFonts w:ascii="Cambria" w:eastAsia="Montserrat" w:hAnsi="Cambria" w:cs="Montserrat"/>
          <w:sz w:val="20"/>
          <w:szCs w:val="20"/>
        </w:rPr>
        <w:t xml:space="preserve"> of the </w:t>
      </w:r>
      <w:r w:rsidR="00927C40" w:rsidRPr="008A7BD7">
        <w:rPr>
          <w:rFonts w:ascii="Cambria" w:eastAsia="Cambria" w:hAnsi="Cambria" w:cs="Cambria"/>
          <w:color w:val="000000" w:themeColor="text1"/>
          <w:sz w:val="20"/>
          <w:szCs w:val="20"/>
        </w:rPr>
        <w:t>Office of the President</w:t>
      </w:r>
      <w:r w:rsidR="00927C40" w:rsidRPr="008A7BD7">
        <w:rPr>
          <w:rFonts w:ascii="Cambria" w:eastAsia="Montserrat" w:hAnsi="Cambria" w:cs="Montserrat"/>
          <w:bCs/>
          <w:sz w:val="20"/>
          <w:szCs w:val="20"/>
        </w:rPr>
        <w:t xml:space="preserve">, while </w:t>
      </w:r>
      <w:r w:rsidR="009E52D6" w:rsidRPr="008A7BD7">
        <w:rPr>
          <w:rFonts w:ascii="Cambria" w:eastAsia="Montserrat" w:hAnsi="Cambria" w:cs="Montserrat"/>
          <w:bCs/>
          <w:sz w:val="20"/>
          <w:szCs w:val="20"/>
        </w:rPr>
        <w:t xml:space="preserve">49 </w:t>
      </w:r>
      <w:r w:rsidR="00927C40" w:rsidRPr="008A7BD7">
        <w:rPr>
          <w:rFonts w:ascii="Cambria" w:eastAsia="Montserrat" w:hAnsi="Cambria" w:cs="Montserrat"/>
          <w:bCs/>
          <w:sz w:val="20"/>
          <w:szCs w:val="20"/>
        </w:rPr>
        <w:t xml:space="preserve">children and adolescents remain under the responsibility of private institutions. Finally, </w:t>
      </w:r>
      <w:r w:rsidR="00407673" w:rsidRPr="008A7BD7">
        <w:rPr>
          <w:rFonts w:ascii="Cambria" w:eastAsia="Montserrat" w:hAnsi="Cambria" w:cs="Montserrat"/>
          <w:bCs/>
          <w:sz w:val="20"/>
          <w:szCs w:val="20"/>
        </w:rPr>
        <w:t xml:space="preserve">in the case of </w:t>
      </w:r>
      <w:r w:rsidR="009E52D6" w:rsidRPr="008A7BD7">
        <w:rPr>
          <w:rFonts w:ascii="Cambria" w:eastAsia="Montserrat" w:hAnsi="Cambria" w:cs="Montserrat"/>
          <w:bCs/>
          <w:sz w:val="20"/>
          <w:szCs w:val="20"/>
        </w:rPr>
        <w:t xml:space="preserve">32 </w:t>
      </w:r>
      <w:r w:rsidR="00407673" w:rsidRPr="008A7BD7">
        <w:rPr>
          <w:rFonts w:ascii="Cambria" w:eastAsia="Montserrat" w:hAnsi="Cambria" w:cs="Montserrat"/>
          <w:bCs/>
          <w:sz w:val="20"/>
          <w:szCs w:val="20"/>
        </w:rPr>
        <w:t>children and adolescents</w:t>
      </w:r>
      <w:r w:rsidR="00927C40" w:rsidRPr="008A7BD7">
        <w:rPr>
          <w:rFonts w:ascii="Cambria" w:eastAsia="Montserrat" w:hAnsi="Cambria" w:cs="Montserrat"/>
          <w:bCs/>
          <w:sz w:val="20"/>
          <w:szCs w:val="20"/>
        </w:rPr>
        <w:t xml:space="preserve"> who are still under protection measures</w:t>
      </w:r>
      <w:r w:rsidR="00407673" w:rsidRPr="008A7BD7">
        <w:rPr>
          <w:rFonts w:ascii="Cambria" w:eastAsia="Montserrat" w:hAnsi="Cambria" w:cs="Montserrat"/>
          <w:bCs/>
          <w:sz w:val="20"/>
          <w:szCs w:val="20"/>
        </w:rPr>
        <w:t>, the process of reintegrating them into a family environment</w:t>
      </w:r>
      <w:r w:rsidR="00927C40" w:rsidRPr="008A7BD7">
        <w:rPr>
          <w:rFonts w:ascii="Cambria" w:eastAsia="Montserrat" w:hAnsi="Cambria" w:cs="Montserrat"/>
          <w:bCs/>
          <w:sz w:val="20"/>
          <w:szCs w:val="20"/>
        </w:rPr>
        <w:t xml:space="preserve"> continues to move forward.</w:t>
      </w:r>
      <w:r w:rsidR="009E52D6" w:rsidRPr="008A7BD7">
        <w:rPr>
          <w:rStyle w:val="FootnoteReference"/>
          <w:rFonts w:ascii="Cambria" w:eastAsia="Montserrat" w:hAnsi="Cambria" w:cs="Montserrat"/>
          <w:bCs/>
          <w:sz w:val="20"/>
          <w:szCs w:val="20"/>
          <w:lang w:val="es-US"/>
        </w:rPr>
        <w:footnoteReference w:id="358"/>
      </w:r>
      <w:r w:rsidR="009E52D6" w:rsidRPr="008A7BD7">
        <w:rPr>
          <w:rFonts w:ascii="Cambria" w:eastAsia="Montserrat" w:hAnsi="Cambria" w:cs="Montserrat"/>
          <w:bCs/>
          <w:sz w:val="20"/>
          <w:szCs w:val="20"/>
        </w:rPr>
        <w:t xml:space="preserve"> </w:t>
      </w:r>
      <w:r w:rsidR="00407673" w:rsidRPr="008A7BD7">
        <w:rPr>
          <w:rFonts w:ascii="Cambria" w:eastAsia="Montserrat" w:hAnsi="Cambria" w:cs="Montserrat"/>
          <w:bCs/>
          <w:sz w:val="20"/>
          <w:szCs w:val="20"/>
        </w:rPr>
        <w:t>Lastly</w:t>
      </w:r>
      <w:r w:rsidR="00927C40" w:rsidRPr="008A7BD7">
        <w:rPr>
          <w:rFonts w:ascii="Cambria" w:eastAsia="Montserrat" w:hAnsi="Cambria" w:cs="Montserrat"/>
          <w:bCs/>
          <w:sz w:val="20"/>
          <w:szCs w:val="20"/>
        </w:rPr>
        <w:t xml:space="preserve">, “with regard to the female adolescents who were victims of the events of </w:t>
      </w:r>
      <w:r w:rsidR="009E52D6" w:rsidRPr="008A7BD7">
        <w:rPr>
          <w:rFonts w:ascii="Cambria" w:hAnsi="Cambria"/>
          <w:bCs/>
          <w:color w:val="000000"/>
          <w:sz w:val="20"/>
          <w:szCs w:val="20"/>
        </w:rPr>
        <w:t xml:space="preserve">2017 </w:t>
      </w:r>
      <w:r w:rsidR="00927C40" w:rsidRPr="008A7BD7">
        <w:rPr>
          <w:rFonts w:ascii="Cambria" w:hAnsi="Cambria"/>
          <w:bCs/>
          <w:color w:val="000000"/>
          <w:sz w:val="20"/>
          <w:szCs w:val="20"/>
        </w:rPr>
        <w:t>and who have come of age,</w:t>
      </w:r>
      <w:r w:rsidR="009E52D6" w:rsidRPr="008A7BD7">
        <w:rPr>
          <w:rFonts w:ascii="Cambria" w:hAnsi="Cambria"/>
          <w:bCs/>
          <w:color w:val="000000"/>
          <w:sz w:val="20"/>
          <w:szCs w:val="20"/>
        </w:rPr>
        <w:t xml:space="preserve">” </w:t>
      </w:r>
      <w:r w:rsidR="00927C40" w:rsidRPr="008A7BD7">
        <w:rPr>
          <w:rFonts w:ascii="Cambria" w:hAnsi="Cambria"/>
          <w:bCs/>
          <w:color w:val="000000"/>
          <w:sz w:val="20"/>
          <w:szCs w:val="20"/>
        </w:rPr>
        <w:t xml:space="preserve">the State indicated that the </w:t>
      </w:r>
      <w:r w:rsidR="00E77EB9" w:rsidRPr="008A7BD7">
        <w:rPr>
          <w:rFonts w:ascii="Cambria" w:hAnsi="Cambria"/>
          <w:bCs/>
          <w:color w:val="000000"/>
          <w:sz w:val="20"/>
          <w:szCs w:val="20"/>
        </w:rPr>
        <w:t xml:space="preserve">PGN’s </w:t>
      </w:r>
      <w:r w:rsidR="00927C40" w:rsidRPr="008A7BD7">
        <w:rPr>
          <w:rFonts w:ascii="Cambria" w:hAnsi="Cambria"/>
          <w:bCs/>
          <w:color w:val="000000"/>
          <w:sz w:val="20"/>
          <w:szCs w:val="20"/>
        </w:rPr>
        <w:t xml:space="preserve">Unit </w:t>
      </w:r>
      <w:r w:rsidR="00E77EB9" w:rsidRPr="008A7BD7">
        <w:rPr>
          <w:rFonts w:ascii="Cambria" w:hAnsi="Cambria"/>
          <w:bCs/>
          <w:color w:val="000000"/>
          <w:sz w:val="20"/>
          <w:szCs w:val="20"/>
        </w:rPr>
        <w:t xml:space="preserve">for the Protection of Women, Senior Citizens, and Persons with Disabilities is providing support to </w:t>
      </w:r>
      <w:r w:rsidR="009E52D6" w:rsidRPr="008A7BD7">
        <w:rPr>
          <w:rFonts w:ascii="Cambria" w:hAnsi="Cambria"/>
          <w:bCs/>
          <w:color w:val="000000"/>
          <w:sz w:val="20"/>
          <w:szCs w:val="20"/>
        </w:rPr>
        <w:t xml:space="preserve">43 </w:t>
      </w:r>
      <w:r w:rsidR="00E77EB9" w:rsidRPr="008A7BD7">
        <w:rPr>
          <w:rFonts w:ascii="Cambria" w:hAnsi="Cambria"/>
          <w:bCs/>
          <w:color w:val="000000"/>
          <w:sz w:val="20"/>
          <w:szCs w:val="20"/>
        </w:rPr>
        <w:t xml:space="preserve">of the young women, who range in age from </w:t>
      </w:r>
      <w:r w:rsidR="009E52D6" w:rsidRPr="008A7BD7">
        <w:rPr>
          <w:rFonts w:ascii="Cambria" w:hAnsi="Cambria"/>
          <w:bCs/>
          <w:color w:val="000000"/>
          <w:sz w:val="20"/>
          <w:szCs w:val="20"/>
        </w:rPr>
        <w:t xml:space="preserve">18 </w:t>
      </w:r>
      <w:r w:rsidR="00E77EB9" w:rsidRPr="008A7BD7">
        <w:rPr>
          <w:rFonts w:ascii="Cambria" w:hAnsi="Cambria"/>
          <w:bCs/>
          <w:color w:val="000000"/>
          <w:sz w:val="20"/>
          <w:szCs w:val="20"/>
        </w:rPr>
        <w:t>to</w:t>
      </w:r>
      <w:r w:rsidR="009E52D6" w:rsidRPr="008A7BD7">
        <w:rPr>
          <w:rFonts w:ascii="Cambria" w:hAnsi="Cambria"/>
          <w:bCs/>
          <w:color w:val="000000"/>
          <w:sz w:val="20"/>
          <w:szCs w:val="20"/>
        </w:rPr>
        <w:t xml:space="preserve"> 20 </w:t>
      </w:r>
      <w:r w:rsidR="00E77EB9" w:rsidRPr="008A7BD7">
        <w:rPr>
          <w:rFonts w:ascii="Cambria" w:hAnsi="Cambria"/>
          <w:bCs/>
          <w:color w:val="000000"/>
          <w:sz w:val="20"/>
          <w:szCs w:val="20"/>
        </w:rPr>
        <w:t>years</w:t>
      </w:r>
      <w:r w:rsidR="00854E6D" w:rsidRPr="008A7BD7">
        <w:rPr>
          <w:rFonts w:ascii="Cambria" w:hAnsi="Cambria"/>
          <w:bCs/>
          <w:color w:val="000000"/>
          <w:sz w:val="20"/>
          <w:szCs w:val="20"/>
        </w:rPr>
        <w:t xml:space="preserve"> old</w:t>
      </w:r>
      <w:r w:rsidR="00E77EB9" w:rsidRPr="008A7BD7">
        <w:rPr>
          <w:rFonts w:ascii="Cambria" w:hAnsi="Cambria"/>
          <w:bCs/>
          <w:color w:val="000000"/>
          <w:sz w:val="20"/>
          <w:szCs w:val="20"/>
        </w:rPr>
        <w:t>.</w:t>
      </w:r>
      <w:r w:rsidR="009E52D6" w:rsidRPr="008A7BD7">
        <w:rPr>
          <w:rStyle w:val="FootnoteReference"/>
          <w:rFonts w:ascii="Cambria" w:eastAsia="Montserrat" w:hAnsi="Cambria" w:cs="Montserrat"/>
          <w:bCs/>
          <w:sz w:val="20"/>
          <w:szCs w:val="20"/>
          <w:lang w:val="es-US"/>
        </w:rPr>
        <w:footnoteReference w:id="359"/>
      </w:r>
    </w:p>
    <w:p w14:paraId="7273FE0B" w14:textId="77777777" w:rsidR="00C71BEF" w:rsidRPr="008A7BD7" w:rsidRDefault="00C71BEF" w:rsidP="00C71BEF">
      <w:pPr>
        <w:ind w:left="720"/>
        <w:jc w:val="both"/>
        <w:rPr>
          <w:rFonts w:ascii="Cambria" w:hAnsi="Cambria"/>
          <w:b/>
          <w:bCs/>
          <w:sz w:val="20"/>
          <w:szCs w:val="20"/>
        </w:rPr>
      </w:pPr>
    </w:p>
    <w:p w14:paraId="5ADE22A0" w14:textId="423609A6" w:rsidR="00746761" w:rsidRPr="008A7BD7" w:rsidRDefault="0076248E" w:rsidP="003D3059">
      <w:pPr>
        <w:numPr>
          <w:ilvl w:val="0"/>
          <w:numId w:val="2"/>
        </w:numPr>
        <w:ind w:left="0" w:firstLine="720"/>
        <w:jc w:val="both"/>
        <w:rPr>
          <w:rFonts w:ascii="Cambria" w:hAnsi="Cambria"/>
          <w:b/>
          <w:bCs/>
          <w:sz w:val="20"/>
          <w:szCs w:val="20"/>
        </w:rPr>
      </w:pPr>
      <w:r w:rsidRPr="008A7BD7">
        <w:rPr>
          <w:rFonts w:ascii="Cambria" w:hAnsi="Cambria"/>
          <w:color w:val="000000"/>
          <w:sz w:val="20"/>
          <w:szCs w:val="20"/>
        </w:rPr>
        <w:t>In that regard, the IACHR expresses its concern for the victims’ families, whose search for justice is said to be exposing them to threats and serious risks.</w:t>
      </w:r>
      <w:r w:rsidR="00746761" w:rsidRPr="008A7BD7">
        <w:rPr>
          <w:rFonts w:ascii="Cambria" w:hAnsi="Cambria"/>
          <w:color w:val="000000"/>
          <w:sz w:val="20"/>
          <w:szCs w:val="20"/>
          <w:vertAlign w:val="superscript"/>
          <w:lang w:val="es-ES"/>
        </w:rPr>
        <w:footnoteReference w:id="360"/>
      </w:r>
      <w:r w:rsidR="00746761" w:rsidRPr="008A7BD7">
        <w:rPr>
          <w:rFonts w:ascii="Cambria" w:hAnsi="Cambria"/>
          <w:color w:val="000000"/>
          <w:sz w:val="20"/>
          <w:szCs w:val="20"/>
        </w:rPr>
        <w:t xml:space="preserve"> </w:t>
      </w:r>
      <w:r w:rsidR="003D2DEB" w:rsidRPr="008A7BD7">
        <w:rPr>
          <w:rFonts w:ascii="Cambria" w:hAnsi="Cambria"/>
          <w:color w:val="000000"/>
          <w:sz w:val="20"/>
          <w:szCs w:val="20"/>
        </w:rPr>
        <w:t xml:space="preserve">The IACHR calls to mind that States must take the necessary measures to ensure the prevention, investigation, punishment, and reparation of violations of rights in any alternative care center or residential institution and focus their efforts on </w:t>
      </w:r>
      <w:r w:rsidR="00576EA7" w:rsidRPr="008A7BD7">
        <w:rPr>
          <w:rFonts w:ascii="Cambria" w:hAnsi="Cambria"/>
          <w:color w:val="000000"/>
          <w:sz w:val="20"/>
          <w:szCs w:val="20"/>
        </w:rPr>
        <w:t xml:space="preserve">ensuring that </w:t>
      </w:r>
      <w:r w:rsidR="00AD7455" w:rsidRPr="008A7BD7">
        <w:rPr>
          <w:rFonts w:ascii="Cambria" w:hAnsi="Cambria"/>
          <w:color w:val="000000"/>
          <w:sz w:val="20"/>
          <w:szCs w:val="20"/>
        </w:rPr>
        <w:t>such events</w:t>
      </w:r>
      <w:r w:rsidR="00576EA7" w:rsidRPr="008A7BD7">
        <w:rPr>
          <w:rFonts w:ascii="Cambria" w:hAnsi="Cambria"/>
          <w:color w:val="000000"/>
          <w:sz w:val="20"/>
          <w:szCs w:val="20"/>
        </w:rPr>
        <w:t xml:space="preserve"> do not happen again</w:t>
      </w:r>
      <w:r w:rsidR="00AD7455" w:rsidRPr="008A7BD7">
        <w:rPr>
          <w:rFonts w:ascii="Cambria" w:hAnsi="Cambria"/>
          <w:color w:val="000000"/>
          <w:sz w:val="20"/>
          <w:szCs w:val="20"/>
        </w:rPr>
        <w:t>.</w:t>
      </w:r>
      <w:r w:rsidR="00746761" w:rsidRPr="008A7BD7">
        <w:rPr>
          <w:rFonts w:ascii="Cambria" w:hAnsi="Cambria"/>
          <w:color w:val="000000"/>
          <w:sz w:val="20"/>
          <w:szCs w:val="20"/>
          <w:vertAlign w:val="superscript"/>
          <w:lang w:val="es-ES"/>
        </w:rPr>
        <w:footnoteReference w:id="361"/>
      </w:r>
    </w:p>
    <w:p w14:paraId="121D24A1" w14:textId="77777777" w:rsidR="00746761" w:rsidRPr="008A7BD7" w:rsidRDefault="00746761" w:rsidP="00746761">
      <w:pPr>
        <w:ind w:left="720"/>
        <w:jc w:val="both"/>
        <w:rPr>
          <w:rFonts w:ascii="Cambria" w:hAnsi="Cambria"/>
          <w:b/>
          <w:bCs/>
          <w:sz w:val="20"/>
          <w:szCs w:val="20"/>
        </w:rPr>
      </w:pPr>
    </w:p>
    <w:p w14:paraId="2659CC17" w14:textId="344F38F0" w:rsidR="004D1FCF" w:rsidRDefault="00CE2EB6" w:rsidP="00FC47D9">
      <w:pPr>
        <w:pStyle w:val="Heading2"/>
        <w:rPr>
          <w:rFonts w:eastAsia="Cambria"/>
        </w:rPr>
      </w:pPr>
      <w:r w:rsidRPr="008A7BD7">
        <w:rPr>
          <w:rFonts w:eastAsia="Cambria"/>
        </w:rPr>
        <w:t>Human Rights of</w:t>
      </w:r>
      <w:r w:rsidR="004D1FCF" w:rsidRPr="008A7BD7">
        <w:rPr>
          <w:rFonts w:eastAsia="Cambria"/>
        </w:rPr>
        <w:t xml:space="preserve"> LGBTI</w:t>
      </w:r>
      <w:r w:rsidRPr="008A7BD7">
        <w:rPr>
          <w:rFonts w:eastAsia="Cambria"/>
        </w:rPr>
        <w:t xml:space="preserve"> Persons</w:t>
      </w:r>
    </w:p>
    <w:p w14:paraId="5E48311E" w14:textId="77777777" w:rsidR="00FC47D9" w:rsidRPr="00FC47D9" w:rsidRDefault="00FC47D9" w:rsidP="00FC47D9">
      <w:pPr>
        <w:rPr>
          <w:lang w:eastAsia="es-ES_tradnl"/>
        </w:rPr>
      </w:pPr>
    </w:p>
    <w:p w14:paraId="5DF7577C" w14:textId="0B119B99" w:rsidR="004D1FCF" w:rsidRPr="008A7BD7" w:rsidRDefault="00037E1D"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The Commission expresses its concern about the prevalence of acts of violence against </w:t>
      </w:r>
      <w:r w:rsidR="004D1FCF" w:rsidRPr="008A7BD7">
        <w:rPr>
          <w:rFonts w:ascii="Cambria" w:hAnsi="Cambria"/>
          <w:sz w:val="20"/>
          <w:szCs w:val="20"/>
        </w:rPr>
        <w:t>LGBTI</w:t>
      </w:r>
      <w:r w:rsidR="00AE7B50" w:rsidRPr="008A7BD7">
        <w:rPr>
          <w:rFonts w:ascii="Cambria" w:hAnsi="Cambria"/>
          <w:sz w:val="20"/>
          <w:szCs w:val="20"/>
        </w:rPr>
        <w:t xml:space="preserve"> persons, which </w:t>
      </w:r>
      <w:r w:rsidR="00B71D0C" w:rsidRPr="008A7BD7">
        <w:rPr>
          <w:rFonts w:ascii="Cambria" w:hAnsi="Cambria"/>
          <w:sz w:val="20"/>
          <w:szCs w:val="20"/>
        </w:rPr>
        <w:t xml:space="preserve">is </w:t>
      </w:r>
      <w:r w:rsidR="00E90862" w:rsidRPr="008A7BD7">
        <w:rPr>
          <w:rFonts w:ascii="Cambria" w:hAnsi="Cambria"/>
          <w:sz w:val="20"/>
          <w:szCs w:val="20"/>
        </w:rPr>
        <w:t>tak</w:t>
      </w:r>
      <w:r w:rsidR="00B71D0C" w:rsidRPr="008A7BD7">
        <w:rPr>
          <w:rFonts w:ascii="Cambria" w:hAnsi="Cambria"/>
          <w:sz w:val="20"/>
          <w:szCs w:val="20"/>
        </w:rPr>
        <w:t>ing</w:t>
      </w:r>
      <w:r w:rsidR="00E90862" w:rsidRPr="008A7BD7">
        <w:rPr>
          <w:rFonts w:ascii="Cambria" w:hAnsi="Cambria"/>
          <w:sz w:val="20"/>
          <w:szCs w:val="20"/>
        </w:rPr>
        <w:t xml:space="preserve"> place</w:t>
      </w:r>
      <w:r w:rsidR="00AE7B50" w:rsidRPr="008A7BD7">
        <w:rPr>
          <w:rFonts w:ascii="Cambria" w:hAnsi="Cambria"/>
          <w:sz w:val="20"/>
          <w:szCs w:val="20"/>
        </w:rPr>
        <w:t xml:space="preserve"> in a context of structural discrimination </w:t>
      </w:r>
      <w:r w:rsidR="00B71D0C" w:rsidRPr="008A7BD7">
        <w:rPr>
          <w:rFonts w:ascii="Cambria" w:hAnsi="Cambria"/>
          <w:sz w:val="20"/>
          <w:szCs w:val="20"/>
        </w:rPr>
        <w:t>based on</w:t>
      </w:r>
      <w:r w:rsidR="00AE7B50" w:rsidRPr="008A7BD7">
        <w:rPr>
          <w:rFonts w:ascii="Cambria" w:hAnsi="Cambria"/>
          <w:sz w:val="20"/>
          <w:szCs w:val="20"/>
        </w:rPr>
        <w:t xml:space="preserve"> sexual orientation. In that regard, the IACHR took note of </w:t>
      </w:r>
      <w:r w:rsidR="00400604" w:rsidRPr="008A7BD7">
        <w:rPr>
          <w:rFonts w:ascii="Cambria" w:hAnsi="Cambria"/>
          <w:sz w:val="20"/>
          <w:szCs w:val="20"/>
        </w:rPr>
        <w:t>a statement</w:t>
      </w:r>
      <w:r w:rsidR="00FD0414" w:rsidRPr="008A7BD7">
        <w:rPr>
          <w:rFonts w:ascii="Cambria" w:hAnsi="Cambria"/>
          <w:sz w:val="20"/>
          <w:szCs w:val="20"/>
        </w:rPr>
        <w:t xml:space="preserve"> </w:t>
      </w:r>
      <w:r w:rsidR="00400604" w:rsidRPr="008A7BD7">
        <w:rPr>
          <w:rFonts w:ascii="Cambria" w:hAnsi="Cambria"/>
          <w:sz w:val="20"/>
          <w:szCs w:val="20"/>
        </w:rPr>
        <w:t xml:space="preserve">issued </w:t>
      </w:r>
      <w:r w:rsidR="00FD0414" w:rsidRPr="008A7BD7">
        <w:rPr>
          <w:rFonts w:ascii="Cambria" w:hAnsi="Cambria"/>
          <w:sz w:val="20"/>
          <w:szCs w:val="20"/>
        </w:rPr>
        <w:t>by the Human Rights Ombudsman</w:t>
      </w:r>
      <w:r w:rsidR="00400604" w:rsidRPr="008A7BD7">
        <w:rPr>
          <w:rFonts w:ascii="Cambria" w:hAnsi="Cambria"/>
          <w:sz w:val="20"/>
          <w:szCs w:val="20"/>
        </w:rPr>
        <w:t xml:space="preserve"> reporting that </w:t>
      </w:r>
      <w:r w:rsidR="00FD0414" w:rsidRPr="008A7BD7">
        <w:rPr>
          <w:rFonts w:ascii="Cambria" w:hAnsi="Cambria"/>
          <w:sz w:val="20"/>
          <w:szCs w:val="20"/>
        </w:rPr>
        <w:t xml:space="preserve">five </w:t>
      </w:r>
      <w:r w:rsidR="004D1FCF" w:rsidRPr="008A7BD7">
        <w:rPr>
          <w:rFonts w:ascii="Cambria" w:hAnsi="Cambria"/>
          <w:sz w:val="20"/>
          <w:szCs w:val="20"/>
        </w:rPr>
        <w:t xml:space="preserve">LGBTI </w:t>
      </w:r>
      <w:r w:rsidR="00FD0414" w:rsidRPr="008A7BD7">
        <w:rPr>
          <w:rFonts w:ascii="Cambria" w:hAnsi="Cambria"/>
          <w:sz w:val="20"/>
          <w:szCs w:val="20"/>
        </w:rPr>
        <w:t xml:space="preserve">persons had been murdered during the first weeks of January </w:t>
      </w:r>
      <w:r w:rsidR="004D1FCF" w:rsidRPr="008A7BD7">
        <w:rPr>
          <w:rFonts w:ascii="Cambria" w:hAnsi="Cambria"/>
          <w:sz w:val="20"/>
          <w:szCs w:val="20"/>
        </w:rPr>
        <w:t>2021.</w:t>
      </w:r>
      <w:r w:rsidR="004D1FCF" w:rsidRPr="008A7BD7">
        <w:rPr>
          <w:rStyle w:val="FootnoteReference"/>
          <w:rFonts w:ascii="Cambria" w:hAnsi="Cambria"/>
          <w:sz w:val="20"/>
          <w:szCs w:val="20"/>
          <w:lang w:val="es-ES"/>
        </w:rPr>
        <w:footnoteReference w:id="362"/>
      </w:r>
      <w:r w:rsidR="004D1FCF" w:rsidRPr="008A7BD7">
        <w:rPr>
          <w:rFonts w:ascii="Cambria" w:hAnsi="Cambria"/>
          <w:sz w:val="20"/>
          <w:szCs w:val="20"/>
        </w:rPr>
        <w:t xml:space="preserve"> </w:t>
      </w:r>
      <w:r w:rsidR="00FD0414" w:rsidRPr="008A7BD7">
        <w:rPr>
          <w:rFonts w:ascii="Cambria" w:hAnsi="Cambria"/>
          <w:sz w:val="20"/>
          <w:szCs w:val="20"/>
        </w:rPr>
        <w:t xml:space="preserve">The Commission also </w:t>
      </w:r>
      <w:r w:rsidR="008832AB" w:rsidRPr="008A7BD7">
        <w:rPr>
          <w:rFonts w:ascii="Cambria" w:hAnsi="Cambria"/>
          <w:sz w:val="20"/>
          <w:szCs w:val="20"/>
        </w:rPr>
        <w:t>received</w:t>
      </w:r>
      <w:r w:rsidR="00FD0414" w:rsidRPr="008A7BD7">
        <w:rPr>
          <w:rFonts w:ascii="Cambria" w:hAnsi="Cambria"/>
          <w:sz w:val="20"/>
          <w:szCs w:val="20"/>
        </w:rPr>
        <w:t xml:space="preserve"> information in </w:t>
      </w:r>
      <w:r w:rsidR="004D1FCF" w:rsidRPr="008A7BD7">
        <w:rPr>
          <w:rFonts w:ascii="Cambria" w:hAnsi="Cambria"/>
          <w:sz w:val="20"/>
          <w:szCs w:val="20"/>
        </w:rPr>
        <w:t>2021</w:t>
      </w:r>
      <w:r w:rsidR="00FD0414" w:rsidRPr="008A7BD7">
        <w:rPr>
          <w:rFonts w:ascii="Cambria" w:hAnsi="Cambria"/>
          <w:sz w:val="20"/>
          <w:szCs w:val="20"/>
        </w:rPr>
        <w:t xml:space="preserve"> about the murder</w:t>
      </w:r>
      <w:r w:rsidR="004D1FCF" w:rsidRPr="008A7BD7">
        <w:rPr>
          <w:rFonts w:ascii="Cambria" w:hAnsi="Cambria"/>
          <w:sz w:val="20"/>
          <w:szCs w:val="20"/>
        </w:rPr>
        <w:t xml:space="preserve"> </w:t>
      </w:r>
      <w:r w:rsidR="00FD0414" w:rsidRPr="008A7BD7">
        <w:rPr>
          <w:rFonts w:ascii="Cambria" w:hAnsi="Cambria"/>
          <w:sz w:val="20"/>
          <w:szCs w:val="20"/>
        </w:rPr>
        <w:t>of two trans human rights defenders who were victims of different attacks in the same week in which a gay man was also murdered.</w:t>
      </w:r>
      <w:r w:rsidR="004D1FCF" w:rsidRPr="008A7BD7">
        <w:rPr>
          <w:rStyle w:val="FootnoteReference"/>
          <w:rFonts w:ascii="Cambria" w:hAnsi="Cambria"/>
          <w:sz w:val="20"/>
          <w:szCs w:val="20"/>
          <w:lang w:val="es-ES"/>
        </w:rPr>
        <w:footnoteReference w:id="363"/>
      </w:r>
    </w:p>
    <w:p w14:paraId="7C4D9D85" w14:textId="77777777" w:rsidR="004D1FCF" w:rsidRPr="008A7BD7" w:rsidRDefault="004D1FCF" w:rsidP="004D1FCF">
      <w:pPr>
        <w:ind w:left="720"/>
        <w:jc w:val="both"/>
        <w:rPr>
          <w:rFonts w:ascii="Cambria" w:hAnsi="Cambria"/>
          <w:sz w:val="20"/>
          <w:szCs w:val="20"/>
        </w:rPr>
      </w:pPr>
    </w:p>
    <w:p w14:paraId="74E414AC" w14:textId="33B7BFD1" w:rsidR="004D1FCF" w:rsidRPr="008A7BD7" w:rsidRDefault="009F0B09"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Despite the acts of violence against </w:t>
      </w:r>
      <w:r w:rsidR="004D1FCF" w:rsidRPr="008A7BD7">
        <w:rPr>
          <w:rFonts w:ascii="Cambria" w:hAnsi="Cambria"/>
          <w:sz w:val="20"/>
          <w:szCs w:val="20"/>
        </w:rPr>
        <w:t>LGBTI</w:t>
      </w:r>
      <w:r w:rsidRPr="008A7BD7">
        <w:rPr>
          <w:rFonts w:ascii="Cambria" w:hAnsi="Cambria"/>
          <w:sz w:val="20"/>
          <w:szCs w:val="20"/>
        </w:rPr>
        <w:t xml:space="preserve"> persons, the IACHR notes that there is a lack of State policies designed to prevent, investigate, prosecute, and punish such violence with </w:t>
      </w:r>
      <w:r w:rsidR="000911E1" w:rsidRPr="008A7BD7">
        <w:rPr>
          <w:rFonts w:ascii="Cambria" w:hAnsi="Cambria"/>
          <w:sz w:val="20"/>
          <w:szCs w:val="20"/>
        </w:rPr>
        <w:t xml:space="preserve">all </w:t>
      </w:r>
      <w:r w:rsidRPr="008A7BD7">
        <w:rPr>
          <w:rFonts w:ascii="Cambria" w:hAnsi="Cambria"/>
          <w:sz w:val="20"/>
          <w:szCs w:val="20"/>
        </w:rPr>
        <w:t>due diligence</w:t>
      </w:r>
      <w:r w:rsidR="004D1FCF" w:rsidRPr="008A7BD7">
        <w:rPr>
          <w:rFonts w:ascii="Cambria" w:hAnsi="Cambria"/>
          <w:sz w:val="20"/>
          <w:szCs w:val="20"/>
        </w:rPr>
        <w:t>.</w:t>
      </w:r>
      <w:r w:rsidR="006B2A8C" w:rsidRPr="008A7BD7">
        <w:rPr>
          <w:rFonts w:ascii="Cambria" w:hAnsi="Cambria"/>
          <w:sz w:val="20"/>
          <w:szCs w:val="20"/>
        </w:rPr>
        <w:t xml:space="preserve"> The IACHR reminds the State that the principle of non-discrimination imposes an obligation to adopt </w:t>
      </w:r>
      <w:r w:rsidR="00C332BE" w:rsidRPr="008A7BD7">
        <w:rPr>
          <w:rFonts w:ascii="Cambria" w:hAnsi="Cambria"/>
          <w:sz w:val="20"/>
          <w:szCs w:val="20"/>
        </w:rPr>
        <w:t xml:space="preserve">differentiated measures to address the violence directed against </w:t>
      </w:r>
      <w:r w:rsidR="004D1FCF" w:rsidRPr="008A7BD7">
        <w:rPr>
          <w:rFonts w:ascii="Cambria" w:hAnsi="Cambria"/>
          <w:sz w:val="20"/>
          <w:szCs w:val="20"/>
        </w:rPr>
        <w:t>LGBTI</w:t>
      </w:r>
      <w:r w:rsidR="00C332BE" w:rsidRPr="008A7BD7">
        <w:rPr>
          <w:rFonts w:ascii="Cambria" w:hAnsi="Cambria"/>
          <w:sz w:val="20"/>
          <w:szCs w:val="20"/>
        </w:rPr>
        <w:t xml:space="preserve"> persons.</w:t>
      </w:r>
      <w:r w:rsidR="004D1FCF" w:rsidRPr="008A7BD7">
        <w:rPr>
          <w:rStyle w:val="FootnoteReference"/>
          <w:rFonts w:ascii="Cambria" w:hAnsi="Cambria"/>
          <w:sz w:val="20"/>
          <w:szCs w:val="20"/>
          <w:lang w:val="es-ES"/>
        </w:rPr>
        <w:footnoteReference w:id="364"/>
      </w:r>
      <w:r w:rsidR="004D1FCF" w:rsidRPr="008A7BD7">
        <w:rPr>
          <w:rFonts w:ascii="Cambria" w:hAnsi="Cambria"/>
          <w:sz w:val="20"/>
          <w:szCs w:val="20"/>
        </w:rPr>
        <w:t xml:space="preserve"> </w:t>
      </w:r>
      <w:r w:rsidR="00F347AA" w:rsidRPr="008A7BD7">
        <w:rPr>
          <w:rFonts w:ascii="Cambria" w:hAnsi="Cambria"/>
          <w:sz w:val="20"/>
          <w:szCs w:val="20"/>
        </w:rPr>
        <w:t>Along these lines, it is essential for the State to adopt comprehensive</w:t>
      </w:r>
      <w:r w:rsidR="00207328" w:rsidRPr="008A7BD7">
        <w:rPr>
          <w:rFonts w:ascii="Cambria" w:hAnsi="Cambria"/>
          <w:sz w:val="20"/>
          <w:szCs w:val="20"/>
        </w:rPr>
        <w:t>, transformative</w:t>
      </w:r>
      <w:r w:rsidR="00F347AA" w:rsidRPr="008A7BD7">
        <w:rPr>
          <w:rFonts w:ascii="Cambria" w:hAnsi="Cambria"/>
          <w:sz w:val="20"/>
          <w:szCs w:val="20"/>
        </w:rPr>
        <w:t xml:space="preserve"> measures</w:t>
      </w:r>
      <w:r w:rsidR="00A263E0" w:rsidRPr="008A7BD7">
        <w:rPr>
          <w:rFonts w:ascii="Cambria" w:hAnsi="Cambria"/>
          <w:sz w:val="20"/>
          <w:szCs w:val="20"/>
        </w:rPr>
        <w:t xml:space="preserve">, based on the collection and analysis of </w:t>
      </w:r>
      <w:r w:rsidR="00E90862" w:rsidRPr="008A7BD7">
        <w:rPr>
          <w:rFonts w:ascii="Cambria" w:hAnsi="Cambria"/>
          <w:sz w:val="20"/>
          <w:szCs w:val="20"/>
        </w:rPr>
        <w:t xml:space="preserve">data on </w:t>
      </w:r>
      <w:r w:rsidR="00A263E0" w:rsidRPr="008A7BD7">
        <w:rPr>
          <w:rFonts w:ascii="Cambria" w:hAnsi="Cambria"/>
          <w:sz w:val="20"/>
          <w:szCs w:val="20"/>
        </w:rPr>
        <w:t>violence against LGBTI persons</w:t>
      </w:r>
      <w:r w:rsidR="00E90862" w:rsidRPr="008A7BD7">
        <w:rPr>
          <w:rFonts w:ascii="Cambria" w:hAnsi="Cambria"/>
          <w:sz w:val="20"/>
          <w:szCs w:val="20"/>
        </w:rPr>
        <w:t xml:space="preserve">, with </w:t>
      </w:r>
      <w:r w:rsidR="00D730F4" w:rsidRPr="008A7BD7">
        <w:rPr>
          <w:rFonts w:ascii="Cambria" w:hAnsi="Cambria"/>
          <w:sz w:val="20"/>
          <w:szCs w:val="20"/>
        </w:rPr>
        <w:t>the aim of</w:t>
      </w:r>
      <w:r w:rsidR="00E90862" w:rsidRPr="008A7BD7">
        <w:rPr>
          <w:rFonts w:ascii="Cambria" w:hAnsi="Cambria"/>
          <w:sz w:val="20"/>
          <w:szCs w:val="20"/>
        </w:rPr>
        <w:t xml:space="preserve"> </w:t>
      </w:r>
      <w:r w:rsidR="00207328" w:rsidRPr="008A7BD7">
        <w:rPr>
          <w:rFonts w:ascii="Cambria" w:hAnsi="Cambria"/>
          <w:sz w:val="20"/>
          <w:szCs w:val="20"/>
        </w:rPr>
        <w:t xml:space="preserve">changing social </w:t>
      </w:r>
      <w:r w:rsidR="003425CC" w:rsidRPr="008A7BD7">
        <w:rPr>
          <w:rFonts w:ascii="Cambria" w:hAnsi="Cambria"/>
          <w:sz w:val="20"/>
          <w:szCs w:val="20"/>
        </w:rPr>
        <w:t>prejudice</w:t>
      </w:r>
      <w:r w:rsidR="00207328" w:rsidRPr="008A7BD7">
        <w:rPr>
          <w:rFonts w:ascii="Cambria" w:hAnsi="Cambria"/>
          <w:sz w:val="20"/>
          <w:szCs w:val="20"/>
        </w:rPr>
        <w:t>.</w:t>
      </w:r>
    </w:p>
    <w:p w14:paraId="38775C8C" w14:textId="77777777" w:rsidR="004D1FCF" w:rsidRPr="008A7BD7" w:rsidRDefault="004D1FCF" w:rsidP="004D1FCF">
      <w:pPr>
        <w:ind w:left="720"/>
        <w:jc w:val="both"/>
        <w:rPr>
          <w:rFonts w:ascii="Cambria" w:hAnsi="Cambria"/>
          <w:sz w:val="20"/>
          <w:szCs w:val="20"/>
        </w:rPr>
      </w:pPr>
    </w:p>
    <w:p w14:paraId="6CFA0883" w14:textId="0F79BD41" w:rsidR="004D1FCF" w:rsidRPr="008A7BD7" w:rsidRDefault="00207328" w:rsidP="003D3059">
      <w:pPr>
        <w:numPr>
          <w:ilvl w:val="0"/>
          <w:numId w:val="2"/>
        </w:numPr>
        <w:ind w:left="0" w:firstLine="720"/>
        <w:jc w:val="both"/>
        <w:rPr>
          <w:rFonts w:ascii="Cambria" w:hAnsi="Cambria"/>
          <w:sz w:val="20"/>
          <w:szCs w:val="20"/>
        </w:rPr>
      </w:pPr>
      <w:r w:rsidRPr="008A7BD7">
        <w:rPr>
          <w:rFonts w:ascii="Cambria" w:hAnsi="Cambria"/>
          <w:sz w:val="20"/>
          <w:szCs w:val="20"/>
        </w:rPr>
        <w:lastRenderedPageBreak/>
        <w:t xml:space="preserve">In addition, the Commission expresses its alarm regarding various legal initiatives underway that would reportedly lead to discrimination in the exercise of the human rights of </w:t>
      </w:r>
      <w:r w:rsidR="004D1FCF" w:rsidRPr="008A7BD7">
        <w:rPr>
          <w:rFonts w:ascii="Cambria" w:hAnsi="Cambria"/>
          <w:sz w:val="20"/>
          <w:szCs w:val="20"/>
        </w:rPr>
        <w:t>LGBTI</w:t>
      </w:r>
      <w:r w:rsidRPr="008A7BD7">
        <w:rPr>
          <w:rFonts w:ascii="Cambria" w:hAnsi="Cambria"/>
          <w:sz w:val="20"/>
          <w:szCs w:val="20"/>
        </w:rPr>
        <w:t xml:space="preserve"> persons</w:t>
      </w:r>
      <w:r w:rsidR="004D1FCF" w:rsidRPr="008A7BD7">
        <w:rPr>
          <w:rFonts w:ascii="Cambria" w:hAnsi="Cambria"/>
          <w:sz w:val="20"/>
          <w:szCs w:val="20"/>
        </w:rPr>
        <w:t xml:space="preserve">. </w:t>
      </w:r>
      <w:r w:rsidRPr="008A7BD7">
        <w:rPr>
          <w:rFonts w:ascii="Cambria" w:hAnsi="Cambria"/>
          <w:sz w:val="20"/>
          <w:szCs w:val="20"/>
        </w:rPr>
        <w:t>In that regard, the IACHR received information from the State indicating that</w:t>
      </w:r>
      <w:r w:rsidR="006B2463" w:rsidRPr="008A7BD7">
        <w:rPr>
          <w:rFonts w:ascii="Cambria" w:hAnsi="Cambria"/>
          <w:sz w:val="20"/>
          <w:szCs w:val="20"/>
        </w:rPr>
        <w:t xml:space="preserve"> legislative initiative</w:t>
      </w:r>
      <w:r w:rsidRPr="008A7BD7">
        <w:rPr>
          <w:rFonts w:ascii="Cambria" w:hAnsi="Cambria"/>
          <w:sz w:val="20"/>
          <w:szCs w:val="20"/>
        </w:rPr>
        <w:t xml:space="preserve"> </w:t>
      </w:r>
      <w:r w:rsidR="004D1FCF" w:rsidRPr="008A7BD7">
        <w:rPr>
          <w:rFonts w:ascii="Cambria" w:hAnsi="Cambria"/>
          <w:sz w:val="20"/>
          <w:szCs w:val="20"/>
        </w:rPr>
        <w:t xml:space="preserve">No. 5272, </w:t>
      </w:r>
      <w:r w:rsidRPr="008A7BD7">
        <w:rPr>
          <w:rFonts w:ascii="Cambria" w:hAnsi="Cambria"/>
          <w:sz w:val="20"/>
          <w:szCs w:val="20"/>
        </w:rPr>
        <w:t xml:space="preserve">called the </w:t>
      </w:r>
      <w:r w:rsidR="006B2463" w:rsidRPr="008A7BD7">
        <w:rPr>
          <w:rFonts w:ascii="Cambria" w:hAnsi="Cambria"/>
          <w:sz w:val="20"/>
          <w:szCs w:val="20"/>
        </w:rPr>
        <w:t>“</w:t>
      </w:r>
      <w:r w:rsidRPr="008A7BD7">
        <w:rPr>
          <w:rFonts w:ascii="Cambria" w:hAnsi="Cambria"/>
          <w:sz w:val="20"/>
          <w:szCs w:val="20"/>
        </w:rPr>
        <w:t>Bi</w:t>
      </w:r>
      <w:r w:rsidR="006B2463" w:rsidRPr="008A7BD7">
        <w:rPr>
          <w:rFonts w:ascii="Cambria" w:hAnsi="Cambria"/>
          <w:sz w:val="20"/>
          <w:szCs w:val="20"/>
        </w:rPr>
        <w:t>ll for the Protection of Life and the Family,” is still before Congress.</w:t>
      </w:r>
      <w:r w:rsidR="004D1FCF" w:rsidRPr="008A7BD7">
        <w:rPr>
          <w:rStyle w:val="FootnoteReference"/>
          <w:rFonts w:ascii="Cambria" w:hAnsi="Cambria"/>
          <w:sz w:val="20"/>
          <w:szCs w:val="20"/>
          <w:lang w:val="es-ES"/>
        </w:rPr>
        <w:footnoteReference w:id="365"/>
      </w:r>
      <w:r w:rsidR="006B2463" w:rsidRPr="008A7BD7">
        <w:rPr>
          <w:rFonts w:ascii="Cambria" w:hAnsi="Cambria"/>
          <w:sz w:val="20"/>
          <w:szCs w:val="20"/>
        </w:rPr>
        <w:t xml:space="preserve"> The Commission has stated that this </w:t>
      </w:r>
      <w:r w:rsidR="00F65E52" w:rsidRPr="008A7BD7">
        <w:rPr>
          <w:rFonts w:ascii="Cambria" w:hAnsi="Cambria"/>
          <w:sz w:val="20"/>
          <w:szCs w:val="20"/>
        </w:rPr>
        <w:t>piece of legislation</w:t>
      </w:r>
      <w:r w:rsidR="00290E4E" w:rsidRPr="008A7BD7">
        <w:rPr>
          <w:rFonts w:ascii="Cambria" w:hAnsi="Cambria"/>
          <w:sz w:val="20"/>
          <w:szCs w:val="20"/>
        </w:rPr>
        <w:t xml:space="preserve"> contains a stereotyped and exclusionary concept of the family, to the detriment of families formed by same-sex couples. </w:t>
      </w:r>
      <w:r w:rsidR="002C2945" w:rsidRPr="008A7BD7">
        <w:rPr>
          <w:rFonts w:ascii="Cambria" w:hAnsi="Cambria"/>
          <w:sz w:val="20"/>
          <w:szCs w:val="20"/>
        </w:rPr>
        <w:t>The Commission</w:t>
      </w:r>
      <w:r w:rsidR="00290E4E" w:rsidRPr="008A7BD7">
        <w:rPr>
          <w:rFonts w:ascii="Cambria" w:hAnsi="Cambria"/>
          <w:sz w:val="20"/>
          <w:szCs w:val="20"/>
        </w:rPr>
        <w:t xml:space="preserve"> reminds the State of its obligation to refrain from introducing in its legal framework regulations that are discriminatory or </w:t>
      </w:r>
      <w:r w:rsidR="002C2945" w:rsidRPr="008A7BD7">
        <w:rPr>
          <w:rFonts w:ascii="Cambria" w:hAnsi="Cambria"/>
          <w:sz w:val="20"/>
          <w:szCs w:val="20"/>
        </w:rPr>
        <w:t xml:space="preserve">that </w:t>
      </w:r>
      <w:r w:rsidR="00290E4E" w:rsidRPr="008A7BD7">
        <w:rPr>
          <w:rFonts w:ascii="Cambria" w:hAnsi="Cambria"/>
          <w:sz w:val="20"/>
          <w:szCs w:val="20"/>
        </w:rPr>
        <w:t xml:space="preserve">may have discriminatory effects among different population groups. </w:t>
      </w:r>
    </w:p>
    <w:p w14:paraId="14DE73DE" w14:textId="77777777" w:rsidR="004D1FCF" w:rsidRPr="008A7BD7" w:rsidRDefault="004D1FCF" w:rsidP="004D1FCF">
      <w:pPr>
        <w:ind w:left="720"/>
        <w:jc w:val="both"/>
        <w:rPr>
          <w:rFonts w:ascii="Cambria" w:hAnsi="Cambria"/>
          <w:sz w:val="20"/>
          <w:szCs w:val="20"/>
        </w:rPr>
      </w:pPr>
    </w:p>
    <w:p w14:paraId="4F257782" w14:textId="713BA0E6" w:rsidR="004D1FCF" w:rsidRPr="008A7BD7" w:rsidRDefault="00AF7AB4"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In a similar vein, the IACHR also received information about legislative initiative </w:t>
      </w:r>
      <w:r w:rsidR="00860586" w:rsidRPr="008A7BD7">
        <w:rPr>
          <w:rFonts w:ascii="Cambria" w:hAnsi="Cambria"/>
          <w:sz w:val="20"/>
          <w:szCs w:val="20"/>
        </w:rPr>
        <w:t xml:space="preserve">No. </w:t>
      </w:r>
      <w:r w:rsidR="004D1FCF" w:rsidRPr="008A7BD7">
        <w:rPr>
          <w:rFonts w:ascii="Cambria" w:hAnsi="Cambria"/>
          <w:sz w:val="20"/>
          <w:szCs w:val="20"/>
        </w:rPr>
        <w:t>5940, “L</w:t>
      </w:r>
      <w:r w:rsidRPr="008A7BD7">
        <w:rPr>
          <w:rFonts w:ascii="Cambria" w:hAnsi="Cambria"/>
          <w:sz w:val="20"/>
          <w:szCs w:val="20"/>
        </w:rPr>
        <w:t xml:space="preserve">aw to Ensure the Comprehensive Protection of Children and Adolescents </w:t>
      </w:r>
      <w:r w:rsidR="00860586" w:rsidRPr="008A7BD7">
        <w:rPr>
          <w:rFonts w:ascii="Cambria" w:hAnsi="Cambria"/>
          <w:sz w:val="20"/>
          <w:szCs w:val="20"/>
        </w:rPr>
        <w:t>from</w:t>
      </w:r>
      <w:r w:rsidRPr="008A7BD7">
        <w:rPr>
          <w:rFonts w:ascii="Cambria" w:hAnsi="Cambria"/>
          <w:sz w:val="20"/>
          <w:szCs w:val="20"/>
        </w:rPr>
        <w:t xml:space="preserve"> Gender Identity Disorders.” The IACHR believes that this bill jeopardizes the human rights situation of trans, nonbinary, and gender-diverse persons who have been exposed to discrimination and violence </w:t>
      </w:r>
      <w:r w:rsidR="002C2945" w:rsidRPr="008A7BD7">
        <w:rPr>
          <w:rFonts w:ascii="Cambria" w:hAnsi="Cambria"/>
          <w:sz w:val="20"/>
          <w:szCs w:val="20"/>
        </w:rPr>
        <w:t xml:space="preserve">since childhood </w:t>
      </w:r>
      <w:r w:rsidRPr="008A7BD7">
        <w:rPr>
          <w:rFonts w:ascii="Cambria" w:hAnsi="Cambria"/>
          <w:sz w:val="20"/>
          <w:szCs w:val="20"/>
        </w:rPr>
        <w:t>because of prejudice in the cis</w:t>
      </w:r>
      <w:r w:rsidR="00F85919" w:rsidRPr="008A7BD7">
        <w:rPr>
          <w:rFonts w:ascii="Cambria" w:hAnsi="Cambria"/>
          <w:sz w:val="20"/>
          <w:szCs w:val="20"/>
        </w:rPr>
        <w:t>-normative system</w:t>
      </w:r>
      <w:r w:rsidR="004D1FCF" w:rsidRPr="008A7BD7">
        <w:rPr>
          <w:rFonts w:ascii="Cambria" w:hAnsi="Cambria"/>
          <w:sz w:val="20"/>
          <w:szCs w:val="20"/>
        </w:rPr>
        <w:t xml:space="preserve">. </w:t>
      </w:r>
      <w:r w:rsidR="004E05F9" w:rsidRPr="008A7BD7">
        <w:rPr>
          <w:rFonts w:ascii="Cambria" w:hAnsi="Cambria"/>
          <w:sz w:val="20"/>
          <w:szCs w:val="20"/>
        </w:rPr>
        <w:t>In this sense, this bill</w:t>
      </w:r>
      <w:r w:rsidR="002C2945" w:rsidRPr="008A7BD7">
        <w:rPr>
          <w:rFonts w:ascii="Cambria" w:hAnsi="Cambria"/>
          <w:sz w:val="20"/>
          <w:szCs w:val="20"/>
        </w:rPr>
        <w:t xml:space="preserve"> </w:t>
      </w:r>
      <w:r w:rsidR="004E05F9" w:rsidRPr="008A7BD7">
        <w:rPr>
          <w:rFonts w:ascii="Cambria" w:hAnsi="Cambria"/>
          <w:sz w:val="20"/>
          <w:szCs w:val="20"/>
        </w:rPr>
        <w:t>perpetuates the pathologizing model of gender identities by restricting access to information whose content would “represent, promote, or show alterations to sex identity at birth, gender reassignment, or variations of natural sexual identity,”</w:t>
      </w:r>
      <w:r w:rsidR="004D1FCF" w:rsidRPr="008A7BD7">
        <w:rPr>
          <w:rStyle w:val="FootnoteReference"/>
          <w:rFonts w:ascii="Cambria" w:hAnsi="Cambria"/>
          <w:sz w:val="20"/>
          <w:szCs w:val="20"/>
          <w:lang w:val="es-ES"/>
        </w:rPr>
        <w:footnoteReference w:id="366"/>
      </w:r>
      <w:r w:rsidR="004D1FCF" w:rsidRPr="008A7BD7">
        <w:rPr>
          <w:rFonts w:ascii="Cambria" w:hAnsi="Cambria"/>
          <w:sz w:val="20"/>
          <w:szCs w:val="20"/>
        </w:rPr>
        <w:t xml:space="preserve"> inclu</w:t>
      </w:r>
      <w:r w:rsidR="004E05F9" w:rsidRPr="008A7BD7">
        <w:rPr>
          <w:rFonts w:ascii="Cambria" w:hAnsi="Cambria"/>
          <w:sz w:val="20"/>
          <w:szCs w:val="20"/>
        </w:rPr>
        <w:t xml:space="preserve">ding in educational programs. </w:t>
      </w:r>
    </w:p>
    <w:p w14:paraId="71B525A1" w14:textId="77777777" w:rsidR="004D1FCF" w:rsidRPr="008A7BD7" w:rsidRDefault="004D1FCF" w:rsidP="004D1FCF">
      <w:pPr>
        <w:ind w:left="720"/>
        <w:jc w:val="both"/>
        <w:rPr>
          <w:rFonts w:ascii="Cambria" w:hAnsi="Cambria"/>
          <w:sz w:val="20"/>
          <w:szCs w:val="20"/>
        </w:rPr>
      </w:pPr>
    </w:p>
    <w:p w14:paraId="6B66A20C" w14:textId="492E5F9E" w:rsidR="004D1FCF" w:rsidRPr="008A7BD7" w:rsidRDefault="00CD250F" w:rsidP="003D3059">
      <w:pPr>
        <w:numPr>
          <w:ilvl w:val="0"/>
          <w:numId w:val="2"/>
        </w:numPr>
        <w:ind w:left="0" w:firstLine="720"/>
        <w:jc w:val="both"/>
        <w:rPr>
          <w:rFonts w:ascii="Cambria" w:hAnsi="Cambria"/>
          <w:sz w:val="20"/>
          <w:szCs w:val="20"/>
        </w:rPr>
      </w:pPr>
      <w:r w:rsidRPr="008A7BD7">
        <w:rPr>
          <w:rFonts w:ascii="Cambria" w:hAnsi="Cambria"/>
          <w:sz w:val="20"/>
          <w:szCs w:val="20"/>
        </w:rPr>
        <w:t xml:space="preserve">The Commission further notes that the State has adopted the previously mentioned Public Policy for the Protection of Life and the Institution of the Family </w:t>
      </w:r>
      <w:r w:rsidR="004D1FCF" w:rsidRPr="008A7BD7">
        <w:rPr>
          <w:rFonts w:ascii="Cambria" w:hAnsi="Cambria"/>
          <w:sz w:val="20"/>
          <w:szCs w:val="20"/>
        </w:rPr>
        <w:t>2021-2032</w:t>
      </w:r>
      <w:r w:rsidRPr="008A7BD7">
        <w:rPr>
          <w:rFonts w:ascii="Cambria" w:hAnsi="Cambria"/>
          <w:sz w:val="20"/>
          <w:szCs w:val="20"/>
        </w:rPr>
        <w:t>,</w:t>
      </w:r>
      <w:r w:rsidR="004D1FCF" w:rsidRPr="008A7BD7">
        <w:rPr>
          <w:rStyle w:val="FootnoteReference"/>
          <w:rFonts w:ascii="Cambria" w:hAnsi="Cambria"/>
          <w:sz w:val="20"/>
          <w:szCs w:val="20"/>
          <w:lang w:val="es-ES"/>
        </w:rPr>
        <w:footnoteReference w:id="367"/>
      </w:r>
      <w:r w:rsidR="004D1FCF" w:rsidRPr="008A7BD7">
        <w:rPr>
          <w:rFonts w:ascii="Cambria" w:hAnsi="Cambria"/>
          <w:sz w:val="20"/>
          <w:szCs w:val="20"/>
        </w:rPr>
        <w:t xml:space="preserve"> </w:t>
      </w:r>
      <w:r w:rsidRPr="008A7BD7">
        <w:rPr>
          <w:rFonts w:ascii="Cambria" w:hAnsi="Cambria"/>
          <w:sz w:val="20"/>
          <w:szCs w:val="20"/>
        </w:rPr>
        <w:t>which replicates stereotype</w:t>
      </w:r>
      <w:r w:rsidR="00CC5BA4" w:rsidRPr="008A7BD7">
        <w:rPr>
          <w:rFonts w:ascii="Cambria" w:hAnsi="Cambria"/>
          <w:sz w:val="20"/>
          <w:szCs w:val="20"/>
        </w:rPr>
        <w:t>s</w:t>
      </w:r>
      <w:r w:rsidR="0066726A" w:rsidRPr="008A7BD7">
        <w:rPr>
          <w:rFonts w:ascii="Cambria" w:hAnsi="Cambria"/>
          <w:sz w:val="20"/>
          <w:szCs w:val="20"/>
        </w:rPr>
        <w:t xml:space="preserve"> that exclude </w:t>
      </w:r>
      <w:r w:rsidR="004D1FCF" w:rsidRPr="008A7BD7">
        <w:rPr>
          <w:rFonts w:ascii="Cambria" w:hAnsi="Cambria"/>
          <w:sz w:val="20"/>
          <w:szCs w:val="20"/>
        </w:rPr>
        <w:t xml:space="preserve">LGBTI </w:t>
      </w:r>
      <w:r w:rsidR="0066726A" w:rsidRPr="008A7BD7">
        <w:rPr>
          <w:rFonts w:ascii="Cambria" w:hAnsi="Cambria"/>
          <w:sz w:val="20"/>
          <w:szCs w:val="20"/>
        </w:rPr>
        <w:t xml:space="preserve">persons and their families. In that regard, the IACHR points out that these measures fail to recognize inter-American </w:t>
      </w:r>
      <w:r w:rsidR="006D75F8" w:rsidRPr="008A7BD7">
        <w:rPr>
          <w:rFonts w:ascii="Cambria" w:hAnsi="Cambria"/>
          <w:sz w:val="20"/>
          <w:szCs w:val="20"/>
        </w:rPr>
        <w:t xml:space="preserve">standards regarding the protection and guarantee of the rights of </w:t>
      </w:r>
      <w:r w:rsidR="004D1FCF" w:rsidRPr="008A7BD7">
        <w:rPr>
          <w:rFonts w:ascii="Cambria" w:hAnsi="Cambria"/>
          <w:sz w:val="20"/>
          <w:szCs w:val="20"/>
        </w:rPr>
        <w:t>LGBTI</w:t>
      </w:r>
      <w:r w:rsidR="006D75F8" w:rsidRPr="008A7BD7">
        <w:rPr>
          <w:rFonts w:ascii="Cambria" w:hAnsi="Cambria"/>
          <w:sz w:val="20"/>
          <w:szCs w:val="20"/>
        </w:rPr>
        <w:t xml:space="preserve"> persons</w:t>
      </w:r>
      <w:r w:rsidR="004D1FCF" w:rsidRPr="008A7BD7">
        <w:rPr>
          <w:rFonts w:ascii="Cambria" w:hAnsi="Cambria"/>
          <w:sz w:val="20"/>
          <w:szCs w:val="20"/>
        </w:rPr>
        <w:t xml:space="preserve"> </w:t>
      </w:r>
      <w:r w:rsidR="006D75F8" w:rsidRPr="008A7BD7">
        <w:rPr>
          <w:rFonts w:ascii="Cambria" w:hAnsi="Cambria"/>
          <w:sz w:val="20"/>
          <w:szCs w:val="20"/>
        </w:rPr>
        <w:t xml:space="preserve">and contribute to an environment ripe for the development of discriminatory discourse and attitudes that encourage an escalation of the high level of violence against them. </w:t>
      </w:r>
    </w:p>
    <w:p w14:paraId="3C51606E" w14:textId="5ED0B226" w:rsidR="00B20F69" w:rsidRDefault="00B20F69" w:rsidP="00000246">
      <w:pPr>
        <w:rPr>
          <w:rFonts w:ascii="Cambria" w:eastAsia="Cambria" w:hAnsi="Cambria" w:cs="Cambria"/>
          <w:sz w:val="20"/>
          <w:szCs w:val="20"/>
        </w:rPr>
      </w:pPr>
    </w:p>
    <w:p w14:paraId="074F3DE4" w14:textId="0605FE64" w:rsidR="00FC47D9" w:rsidRDefault="00FC47D9" w:rsidP="00000246">
      <w:pPr>
        <w:rPr>
          <w:rFonts w:ascii="Cambria" w:eastAsia="Cambria" w:hAnsi="Cambria" w:cs="Cambria"/>
          <w:sz w:val="20"/>
          <w:szCs w:val="20"/>
        </w:rPr>
      </w:pPr>
    </w:p>
    <w:p w14:paraId="2EFCFC66" w14:textId="3A6BA621" w:rsidR="00FC47D9" w:rsidRDefault="00FC47D9" w:rsidP="00000246">
      <w:pPr>
        <w:rPr>
          <w:rFonts w:ascii="Cambria" w:eastAsia="Cambria" w:hAnsi="Cambria" w:cs="Cambria"/>
          <w:sz w:val="20"/>
          <w:szCs w:val="20"/>
        </w:rPr>
      </w:pPr>
    </w:p>
    <w:p w14:paraId="4ED107FE" w14:textId="442C8A78" w:rsidR="00FC47D9" w:rsidRDefault="00FC47D9" w:rsidP="00000246">
      <w:pPr>
        <w:rPr>
          <w:rFonts w:ascii="Cambria" w:eastAsia="Cambria" w:hAnsi="Cambria" w:cs="Cambria"/>
          <w:sz w:val="20"/>
          <w:szCs w:val="20"/>
        </w:rPr>
      </w:pPr>
    </w:p>
    <w:p w14:paraId="7BC8E659" w14:textId="6539CC7B" w:rsidR="00FC47D9" w:rsidRDefault="00FC47D9" w:rsidP="00000246">
      <w:pPr>
        <w:rPr>
          <w:rFonts w:ascii="Cambria" w:eastAsia="Cambria" w:hAnsi="Cambria" w:cs="Cambria"/>
          <w:sz w:val="20"/>
          <w:szCs w:val="20"/>
        </w:rPr>
      </w:pPr>
    </w:p>
    <w:p w14:paraId="7566771A" w14:textId="76F41A47" w:rsidR="00FC47D9" w:rsidRDefault="00FC47D9" w:rsidP="00000246">
      <w:pPr>
        <w:rPr>
          <w:rFonts w:ascii="Cambria" w:eastAsia="Cambria" w:hAnsi="Cambria" w:cs="Cambria"/>
          <w:sz w:val="20"/>
          <w:szCs w:val="20"/>
        </w:rPr>
      </w:pPr>
    </w:p>
    <w:p w14:paraId="0DA0FD1F" w14:textId="741B5451" w:rsidR="00FC47D9" w:rsidRDefault="00FC47D9" w:rsidP="00000246">
      <w:pPr>
        <w:rPr>
          <w:rFonts w:ascii="Cambria" w:eastAsia="Cambria" w:hAnsi="Cambria" w:cs="Cambria"/>
          <w:sz w:val="20"/>
          <w:szCs w:val="20"/>
        </w:rPr>
      </w:pPr>
    </w:p>
    <w:p w14:paraId="577EA142" w14:textId="2FFD484E" w:rsidR="00FC47D9" w:rsidRDefault="00FC47D9" w:rsidP="00000246">
      <w:pPr>
        <w:rPr>
          <w:rFonts w:ascii="Cambria" w:eastAsia="Cambria" w:hAnsi="Cambria" w:cs="Cambria"/>
          <w:sz w:val="20"/>
          <w:szCs w:val="20"/>
        </w:rPr>
      </w:pPr>
    </w:p>
    <w:p w14:paraId="22CB9E52" w14:textId="78857C4A" w:rsidR="00FC47D9" w:rsidRDefault="00FC47D9" w:rsidP="00000246">
      <w:pPr>
        <w:rPr>
          <w:rFonts w:ascii="Cambria" w:eastAsia="Cambria" w:hAnsi="Cambria" w:cs="Cambria"/>
          <w:sz w:val="20"/>
          <w:szCs w:val="20"/>
        </w:rPr>
      </w:pPr>
    </w:p>
    <w:p w14:paraId="33FE0E2E" w14:textId="3472D8BF" w:rsidR="00FC47D9" w:rsidRDefault="00FC47D9" w:rsidP="00000246">
      <w:pPr>
        <w:rPr>
          <w:rFonts w:ascii="Cambria" w:eastAsia="Cambria" w:hAnsi="Cambria" w:cs="Cambria"/>
          <w:sz w:val="20"/>
          <w:szCs w:val="20"/>
        </w:rPr>
      </w:pPr>
    </w:p>
    <w:p w14:paraId="34F1EFA7" w14:textId="4083B275" w:rsidR="00FC47D9" w:rsidRDefault="00FC47D9" w:rsidP="00000246">
      <w:pPr>
        <w:rPr>
          <w:rFonts w:ascii="Cambria" w:eastAsia="Cambria" w:hAnsi="Cambria" w:cs="Cambria"/>
          <w:sz w:val="20"/>
          <w:szCs w:val="20"/>
        </w:rPr>
      </w:pPr>
    </w:p>
    <w:p w14:paraId="176215B6" w14:textId="28E7AD7A" w:rsidR="00FC47D9" w:rsidRDefault="00FC47D9" w:rsidP="00000246">
      <w:pPr>
        <w:rPr>
          <w:rFonts w:ascii="Cambria" w:eastAsia="Cambria" w:hAnsi="Cambria" w:cs="Cambria"/>
          <w:sz w:val="20"/>
          <w:szCs w:val="20"/>
        </w:rPr>
      </w:pPr>
    </w:p>
    <w:p w14:paraId="5AF6EA4D" w14:textId="4D8762AA" w:rsidR="00FC47D9" w:rsidRDefault="00FC47D9" w:rsidP="00000246">
      <w:pPr>
        <w:rPr>
          <w:rFonts w:ascii="Cambria" w:eastAsia="Cambria" w:hAnsi="Cambria" w:cs="Cambria"/>
          <w:sz w:val="20"/>
          <w:szCs w:val="20"/>
        </w:rPr>
      </w:pPr>
    </w:p>
    <w:p w14:paraId="5DE0F3AA" w14:textId="19F0ADC8" w:rsidR="00FC47D9" w:rsidRDefault="00FC47D9" w:rsidP="00000246">
      <w:pPr>
        <w:rPr>
          <w:rFonts w:ascii="Cambria" w:eastAsia="Cambria" w:hAnsi="Cambria" w:cs="Cambria"/>
          <w:sz w:val="20"/>
          <w:szCs w:val="20"/>
        </w:rPr>
      </w:pPr>
    </w:p>
    <w:p w14:paraId="41479026" w14:textId="7171C803" w:rsidR="00FC47D9" w:rsidRDefault="00FC47D9" w:rsidP="00000246">
      <w:pPr>
        <w:rPr>
          <w:rFonts w:ascii="Cambria" w:eastAsia="Cambria" w:hAnsi="Cambria" w:cs="Cambria"/>
          <w:sz w:val="20"/>
          <w:szCs w:val="20"/>
        </w:rPr>
      </w:pPr>
    </w:p>
    <w:p w14:paraId="3512FC7F" w14:textId="346D7312" w:rsidR="00FC47D9" w:rsidRDefault="00FC47D9" w:rsidP="00000246">
      <w:pPr>
        <w:rPr>
          <w:rFonts w:ascii="Cambria" w:eastAsia="Cambria" w:hAnsi="Cambria" w:cs="Cambria"/>
          <w:sz w:val="20"/>
          <w:szCs w:val="20"/>
        </w:rPr>
      </w:pPr>
    </w:p>
    <w:p w14:paraId="65E458B2" w14:textId="042B98BB" w:rsidR="00FC47D9" w:rsidRDefault="00FC47D9" w:rsidP="00000246">
      <w:pPr>
        <w:rPr>
          <w:rFonts w:ascii="Cambria" w:eastAsia="Cambria" w:hAnsi="Cambria" w:cs="Cambria"/>
          <w:sz w:val="20"/>
          <w:szCs w:val="20"/>
        </w:rPr>
      </w:pPr>
    </w:p>
    <w:p w14:paraId="178EFF46" w14:textId="63E3E2E4" w:rsidR="00FC47D9" w:rsidRDefault="00FC47D9" w:rsidP="00000246">
      <w:pPr>
        <w:rPr>
          <w:rFonts w:ascii="Cambria" w:eastAsia="Cambria" w:hAnsi="Cambria" w:cs="Cambria"/>
          <w:sz w:val="20"/>
          <w:szCs w:val="20"/>
        </w:rPr>
      </w:pPr>
    </w:p>
    <w:p w14:paraId="38842317" w14:textId="4042F02A" w:rsidR="00FC47D9" w:rsidRDefault="00FC47D9" w:rsidP="00000246">
      <w:pPr>
        <w:rPr>
          <w:rFonts w:ascii="Cambria" w:eastAsia="Cambria" w:hAnsi="Cambria" w:cs="Cambria"/>
          <w:sz w:val="20"/>
          <w:szCs w:val="20"/>
        </w:rPr>
      </w:pPr>
    </w:p>
    <w:p w14:paraId="630447AF" w14:textId="363EE8E7" w:rsidR="00FC47D9" w:rsidRDefault="00FC47D9" w:rsidP="00000246">
      <w:pPr>
        <w:rPr>
          <w:rFonts w:ascii="Cambria" w:eastAsia="Cambria" w:hAnsi="Cambria" w:cs="Cambria"/>
          <w:sz w:val="20"/>
          <w:szCs w:val="20"/>
        </w:rPr>
      </w:pPr>
    </w:p>
    <w:p w14:paraId="2679C813" w14:textId="77777777" w:rsidR="00FC47D9" w:rsidRPr="008A7BD7" w:rsidRDefault="00FC47D9" w:rsidP="00000246">
      <w:pPr>
        <w:rPr>
          <w:rFonts w:ascii="Cambria" w:eastAsia="Cambria" w:hAnsi="Cambria" w:cs="Cambria"/>
          <w:sz w:val="20"/>
          <w:szCs w:val="20"/>
        </w:rPr>
      </w:pPr>
    </w:p>
    <w:p w14:paraId="537325BB" w14:textId="4A4696EE" w:rsidR="00B20F69" w:rsidRPr="008A7BD7" w:rsidRDefault="00E3759B" w:rsidP="00FC47D9">
      <w:pPr>
        <w:pStyle w:val="Heading1"/>
      </w:pPr>
      <w:r w:rsidRPr="008A7BD7">
        <w:lastRenderedPageBreak/>
        <w:t>CONCLUSIONS</w:t>
      </w:r>
      <w:r w:rsidR="009E52D6" w:rsidRPr="008A7BD7">
        <w:rPr>
          <w:rStyle w:val="FootnoteReference"/>
          <w:rFonts w:eastAsia="Times New Roman" w:cs="Tahoma"/>
          <w:color w:val="000000"/>
          <w:spacing w:val="0"/>
          <w:kern w:val="0"/>
          <w:lang w:val="es-419"/>
        </w:rPr>
        <w:footnoteReference w:id="368"/>
      </w:r>
    </w:p>
    <w:p w14:paraId="1DB5FC86" w14:textId="77777777" w:rsidR="003D2E3D" w:rsidRPr="008A7BD7" w:rsidRDefault="003D2E3D" w:rsidP="003D2E3D">
      <w:pPr>
        <w:rPr>
          <w:rFonts w:ascii="Cambria" w:hAnsi="Cambria"/>
          <w:lang w:val="es-419" w:eastAsia="es-ES"/>
        </w:rPr>
      </w:pPr>
    </w:p>
    <w:p w14:paraId="396481BF" w14:textId="152FF582" w:rsidR="007737AF" w:rsidRPr="008A7BD7" w:rsidRDefault="00E3759B" w:rsidP="00BB65D3">
      <w:pPr>
        <w:numPr>
          <w:ilvl w:val="0"/>
          <w:numId w:val="2"/>
        </w:numPr>
        <w:suppressAutoHyphens/>
        <w:ind w:left="0" w:firstLine="720"/>
        <w:jc w:val="both"/>
        <w:rPr>
          <w:rFonts w:ascii="Cambria" w:eastAsia="Calibri" w:hAnsi="Cambria" w:cs="Times New Roman"/>
          <w:sz w:val="20"/>
          <w:szCs w:val="20"/>
          <w:lang w:eastAsia="es-ES"/>
        </w:rPr>
      </w:pPr>
      <w:r w:rsidRPr="008A7BD7">
        <w:rPr>
          <w:rFonts w:ascii="Cambria" w:eastAsia="Cambria" w:hAnsi="Cambria" w:cs="Cambria"/>
          <w:sz w:val="20"/>
          <w:szCs w:val="20"/>
        </w:rPr>
        <w:t>The IACHR observed</w:t>
      </w:r>
      <w:r w:rsidR="002100C2" w:rsidRPr="008A7BD7">
        <w:rPr>
          <w:rFonts w:ascii="Cambria" w:eastAsia="Cambria" w:hAnsi="Cambria" w:cs="Cambria"/>
          <w:sz w:val="20"/>
          <w:szCs w:val="20"/>
        </w:rPr>
        <w:t xml:space="preserve"> </w:t>
      </w:r>
      <w:r w:rsidRPr="008A7BD7">
        <w:rPr>
          <w:rFonts w:ascii="Cambria" w:eastAsia="Cambria" w:hAnsi="Cambria" w:cs="Cambria"/>
          <w:sz w:val="20"/>
          <w:szCs w:val="20"/>
        </w:rPr>
        <w:t xml:space="preserve">with deep concern that the rule of law in </w:t>
      </w:r>
      <w:r w:rsidR="00CA4EF8" w:rsidRPr="008A7BD7">
        <w:rPr>
          <w:rFonts w:ascii="Cambria" w:eastAsia="Cambria" w:hAnsi="Cambria" w:cs="Cambria"/>
          <w:sz w:val="20"/>
          <w:szCs w:val="20"/>
        </w:rPr>
        <w:t xml:space="preserve">Guatemala </w:t>
      </w:r>
      <w:r w:rsidRPr="008A7BD7">
        <w:rPr>
          <w:rFonts w:ascii="Cambria" w:eastAsia="Cambria" w:hAnsi="Cambria" w:cs="Cambria"/>
          <w:sz w:val="20"/>
          <w:szCs w:val="20"/>
        </w:rPr>
        <w:t>deteriorated significantly</w:t>
      </w:r>
      <w:r w:rsidR="008A3BBF" w:rsidRPr="008A7BD7">
        <w:rPr>
          <w:rFonts w:ascii="Cambria" w:eastAsia="Cambria" w:hAnsi="Cambria" w:cs="Cambria"/>
          <w:sz w:val="20"/>
          <w:szCs w:val="20"/>
        </w:rPr>
        <w:t xml:space="preserve"> in 2021</w:t>
      </w:r>
      <w:r w:rsidRPr="008A7BD7">
        <w:rPr>
          <w:rFonts w:ascii="Cambria" w:eastAsia="Cambria" w:hAnsi="Cambria" w:cs="Cambria"/>
          <w:sz w:val="20"/>
          <w:szCs w:val="20"/>
        </w:rPr>
        <w:t xml:space="preserve">, due to </w:t>
      </w:r>
      <w:r w:rsidR="008A3BBF" w:rsidRPr="008A7BD7">
        <w:rPr>
          <w:rFonts w:ascii="Cambria" w:eastAsia="Cambria" w:hAnsi="Cambria" w:cs="Cambria"/>
          <w:sz w:val="20"/>
          <w:szCs w:val="20"/>
        </w:rPr>
        <w:t>heightened</w:t>
      </w:r>
      <w:r w:rsidRPr="008A7BD7">
        <w:rPr>
          <w:rFonts w:ascii="Cambria" w:eastAsia="Cambria" w:hAnsi="Cambria" w:cs="Cambria"/>
          <w:sz w:val="20"/>
          <w:szCs w:val="20"/>
        </w:rPr>
        <w:t xml:space="preserve"> attacks on and interference with the independence of the justice system</w:t>
      </w:r>
      <w:r w:rsidR="008A3BBF" w:rsidRPr="008A7BD7">
        <w:rPr>
          <w:rFonts w:ascii="Cambria" w:eastAsia="Cambria" w:hAnsi="Cambria" w:cs="Cambria"/>
          <w:sz w:val="20"/>
          <w:szCs w:val="20"/>
        </w:rPr>
        <w:t>—especially</w:t>
      </w:r>
      <w:r w:rsidRPr="008A7BD7">
        <w:rPr>
          <w:rFonts w:ascii="Cambria" w:eastAsia="Cambria" w:hAnsi="Cambria" w:cs="Cambria"/>
          <w:sz w:val="20"/>
          <w:szCs w:val="20"/>
        </w:rPr>
        <w:t xml:space="preserve"> those bodies that, since the</w:t>
      </w:r>
      <w:r w:rsidR="008A3BBF" w:rsidRPr="008A7BD7">
        <w:rPr>
          <w:rFonts w:ascii="Cambria" w:eastAsia="Cambria" w:hAnsi="Cambria" w:cs="Cambria"/>
          <w:sz w:val="20"/>
          <w:szCs w:val="20"/>
        </w:rPr>
        <w:t xml:space="preserve"> </w:t>
      </w:r>
      <w:r w:rsidR="002100C2" w:rsidRPr="008A7BD7">
        <w:rPr>
          <w:rFonts w:ascii="Cambria" w:eastAsia="Times New Roman" w:hAnsi="Cambria" w:cs="Times New Roman"/>
          <w:color w:val="000000" w:themeColor="text1"/>
          <w:sz w:val="20"/>
          <w:szCs w:val="20"/>
          <w:lang w:eastAsia="es-ES"/>
        </w:rPr>
        <w:t>CICIG</w:t>
      </w:r>
      <w:r w:rsidR="008A3BBF" w:rsidRPr="008A7BD7">
        <w:rPr>
          <w:rFonts w:ascii="Cambria" w:eastAsia="Times New Roman" w:hAnsi="Cambria" w:cs="Times New Roman"/>
          <w:color w:val="000000" w:themeColor="text1"/>
          <w:sz w:val="20"/>
          <w:szCs w:val="20"/>
          <w:lang w:eastAsia="es-ES"/>
        </w:rPr>
        <w:t>’s departure</w:t>
      </w:r>
      <w:r w:rsidR="002100C2" w:rsidRPr="008A7BD7">
        <w:rPr>
          <w:rFonts w:ascii="Cambria" w:eastAsia="Times New Roman" w:hAnsi="Cambria" w:cs="Times New Roman"/>
          <w:color w:val="000000" w:themeColor="text1"/>
          <w:sz w:val="20"/>
          <w:szCs w:val="20"/>
          <w:lang w:eastAsia="es-ES"/>
        </w:rPr>
        <w:t xml:space="preserve"> </w:t>
      </w:r>
      <w:r w:rsidRPr="008A7BD7">
        <w:rPr>
          <w:rFonts w:ascii="Cambria" w:eastAsia="Times New Roman" w:hAnsi="Cambria" w:cs="Times New Roman"/>
          <w:color w:val="000000" w:themeColor="text1"/>
          <w:sz w:val="20"/>
          <w:szCs w:val="20"/>
          <w:lang w:eastAsia="es-ES"/>
        </w:rPr>
        <w:t xml:space="preserve">from the country, </w:t>
      </w:r>
      <w:r w:rsidR="008A3BBF" w:rsidRPr="008A7BD7">
        <w:rPr>
          <w:rFonts w:ascii="Cambria" w:eastAsia="Times New Roman" w:hAnsi="Cambria" w:cs="Times New Roman"/>
          <w:color w:val="000000" w:themeColor="text1"/>
          <w:sz w:val="20"/>
          <w:szCs w:val="20"/>
          <w:lang w:eastAsia="es-ES"/>
        </w:rPr>
        <w:t xml:space="preserve">had </w:t>
      </w:r>
      <w:r w:rsidRPr="008A7BD7">
        <w:rPr>
          <w:rFonts w:ascii="Cambria" w:eastAsia="Times New Roman" w:hAnsi="Cambria" w:cs="Times New Roman"/>
          <w:color w:val="000000" w:themeColor="text1"/>
          <w:sz w:val="20"/>
          <w:szCs w:val="20"/>
          <w:lang w:eastAsia="es-ES"/>
        </w:rPr>
        <w:t>stood out for their independent, impartial efforts to combat corruption and i</w:t>
      </w:r>
      <w:r w:rsidR="008A3BBF" w:rsidRPr="008A7BD7">
        <w:rPr>
          <w:rFonts w:ascii="Cambria" w:eastAsia="Times New Roman" w:hAnsi="Cambria" w:cs="Times New Roman"/>
          <w:color w:val="000000" w:themeColor="text1"/>
          <w:sz w:val="20"/>
          <w:szCs w:val="20"/>
          <w:lang w:eastAsia="es-ES"/>
        </w:rPr>
        <w:t>m</w:t>
      </w:r>
      <w:r w:rsidRPr="008A7BD7">
        <w:rPr>
          <w:rFonts w:ascii="Cambria" w:eastAsia="Times New Roman" w:hAnsi="Cambria" w:cs="Times New Roman"/>
          <w:color w:val="000000" w:themeColor="text1"/>
          <w:sz w:val="20"/>
          <w:szCs w:val="20"/>
          <w:lang w:eastAsia="es-ES"/>
        </w:rPr>
        <w:t>punity</w:t>
      </w:r>
      <w:r w:rsidR="008A3BBF" w:rsidRPr="008A7BD7">
        <w:rPr>
          <w:rFonts w:ascii="Cambria" w:eastAsia="Times New Roman" w:hAnsi="Cambria" w:cs="Times New Roman"/>
          <w:color w:val="000000" w:themeColor="text1"/>
          <w:sz w:val="20"/>
          <w:szCs w:val="20"/>
          <w:lang w:eastAsia="es-ES"/>
        </w:rPr>
        <w:t xml:space="preserve">, namely the Constitutional Court, the FECI, and the judges with jurisdiction in Guatemala’s </w:t>
      </w:r>
      <w:proofErr w:type="gramStart"/>
      <w:r w:rsidR="008A3BBF" w:rsidRPr="008A7BD7">
        <w:rPr>
          <w:rFonts w:ascii="Cambria" w:eastAsia="Times New Roman" w:hAnsi="Cambria" w:cs="Times New Roman"/>
          <w:color w:val="000000" w:themeColor="text1"/>
          <w:sz w:val="20"/>
          <w:szCs w:val="20"/>
          <w:lang w:eastAsia="es-ES"/>
        </w:rPr>
        <w:t>High Risk</w:t>
      </w:r>
      <w:proofErr w:type="gramEnd"/>
      <w:r w:rsidR="008A3BBF" w:rsidRPr="008A7BD7">
        <w:rPr>
          <w:rFonts w:ascii="Cambria" w:eastAsia="Times New Roman" w:hAnsi="Cambria" w:cs="Times New Roman"/>
          <w:color w:val="000000" w:themeColor="text1"/>
          <w:sz w:val="20"/>
          <w:szCs w:val="20"/>
          <w:lang w:eastAsia="es-ES"/>
        </w:rPr>
        <w:t xml:space="preserve"> </w:t>
      </w:r>
      <w:r w:rsidR="005A6374" w:rsidRPr="008A7BD7">
        <w:rPr>
          <w:rFonts w:ascii="Cambria" w:eastAsia="Times New Roman" w:hAnsi="Cambria" w:cs="Times New Roman"/>
          <w:color w:val="000000" w:themeColor="text1"/>
          <w:sz w:val="20"/>
          <w:szCs w:val="20"/>
          <w:lang w:eastAsia="es-ES"/>
        </w:rPr>
        <w:t>C</w:t>
      </w:r>
      <w:r w:rsidR="008A3BBF" w:rsidRPr="008A7BD7">
        <w:rPr>
          <w:rFonts w:ascii="Cambria" w:eastAsia="Times New Roman" w:hAnsi="Cambria" w:cs="Times New Roman"/>
          <w:color w:val="000000" w:themeColor="text1"/>
          <w:sz w:val="20"/>
          <w:szCs w:val="20"/>
          <w:lang w:eastAsia="es-ES"/>
        </w:rPr>
        <w:t>ourts</w:t>
      </w:r>
      <w:r w:rsidR="002100C2" w:rsidRPr="008A7BD7">
        <w:rPr>
          <w:rFonts w:ascii="Cambria" w:eastAsia="Times New Roman" w:hAnsi="Cambria" w:cs="Times New Roman"/>
          <w:color w:val="000000" w:themeColor="text1"/>
          <w:sz w:val="20"/>
          <w:szCs w:val="20"/>
          <w:lang w:eastAsia="es-ES"/>
        </w:rPr>
        <w:t>.</w:t>
      </w:r>
      <w:r w:rsidR="00F8398A" w:rsidRPr="008A7BD7">
        <w:rPr>
          <w:rFonts w:ascii="Cambria" w:eastAsia="Times New Roman" w:hAnsi="Cambria" w:cs="Times New Roman"/>
          <w:color w:val="000000" w:themeColor="text1"/>
          <w:sz w:val="20"/>
          <w:szCs w:val="20"/>
          <w:lang w:eastAsia="es-ES"/>
        </w:rPr>
        <w:t xml:space="preserve"> </w:t>
      </w:r>
      <w:r w:rsidR="008A3BBF" w:rsidRPr="008A7BD7">
        <w:rPr>
          <w:rFonts w:ascii="Cambria" w:eastAsia="Times New Roman" w:hAnsi="Cambria" w:cs="Times New Roman"/>
          <w:color w:val="000000" w:themeColor="text1"/>
          <w:sz w:val="20"/>
          <w:szCs w:val="20"/>
          <w:lang w:eastAsia="es-ES"/>
        </w:rPr>
        <w:t>Among other things, the IACHR observed ongoing actions to dismantle the institutional framework to fight corruption, culminating in the dismissal of the head of the</w:t>
      </w:r>
      <w:r w:rsidR="00F8398A" w:rsidRPr="008A7BD7">
        <w:rPr>
          <w:rFonts w:ascii="Cambria" w:eastAsia="Calibri" w:hAnsi="Cambria" w:cs="Times New Roman"/>
          <w:sz w:val="20"/>
          <w:szCs w:val="20"/>
          <w:lang w:eastAsia="es-ES"/>
        </w:rPr>
        <w:t xml:space="preserve"> FECI</w:t>
      </w:r>
      <w:r w:rsidR="00541245" w:rsidRPr="008A7BD7">
        <w:rPr>
          <w:rFonts w:ascii="Cambria" w:eastAsia="Calibri" w:hAnsi="Cambria" w:cs="Times New Roman"/>
          <w:sz w:val="20"/>
          <w:szCs w:val="20"/>
          <w:lang w:eastAsia="es-ES"/>
        </w:rPr>
        <w:t xml:space="preserve"> in apparent reprisal for the investigations he was leading that were said to involve high-level authorities of the Guatemalan State.</w:t>
      </w:r>
    </w:p>
    <w:p w14:paraId="77277D72" w14:textId="77777777" w:rsidR="007737AF" w:rsidRPr="008A7BD7" w:rsidRDefault="007737AF" w:rsidP="007737AF">
      <w:pPr>
        <w:suppressAutoHyphens/>
        <w:jc w:val="both"/>
        <w:rPr>
          <w:rFonts w:ascii="Cambria" w:eastAsia="Calibri" w:hAnsi="Cambria" w:cs="Times New Roman"/>
          <w:sz w:val="20"/>
          <w:szCs w:val="20"/>
          <w:lang w:eastAsia="es-ES"/>
        </w:rPr>
      </w:pPr>
    </w:p>
    <w:p w14:paraId="53CC8732" w14:textId="4489FCAC" w:rsidR="00883CF3" w:rsidRPr="008A7BD7" w:rsidRDefault="00541245" w:rsidP="00BB65D3">
      <w:pPr>
        <w:numPr>
          <w:ilvl w:val="0"/>
          <w:numId w:val="2"/>
        </w:numPr>
        <w:suppressAutoHyphens/>
        <w:ind w:left="0" w:firstLine="720"/>
        <w:jc w:val="both"/>
        <w:rPr>
          <w:rFonts w:ascii="Cambria" w:eastAsia="Calibri" w:hAnsi="Cambria" w:cs="Times New Roman"/>
          <w:sz w:val="20"/>
          <w:szCs w:val="20"/>
          <w:lang w:eastAsia="es-ES"/>
        </w:rPr>
      </w:pPr>
      <w:r w:rsidRPr="008A7BD7">
        <w:rPr>
          <w:rFonts w:ascii="Cambria" w:eastAsia="Times New Roman" w:hAnsi="Cambria" w:cs="Tahoma"/>
          <w:color w:val="000000" w:themeColor="text1"/>
          <w:sz w:val="20"/>
          <w:szCs w:val="20"/>
          <w:lang w:eastAsia="es-ES"/>
        </w:rPr>
        <w:t xml:space="preserve">The IACHR also observed an intensification </w:t>
      </w:r>
      <w:r w:rsidR="00C17130" w:rsidRPr="008A7BD7">
        <w:rPr>
          <w:rFonts w:ascii="Cambria" w:eastAsia="Times New Roman" w:hAnsi="Cambria" w:cs="Tahoma"/>
          <w:color w:val="000000" w:themeColor="text1"/>
          <w:sz w:val="20"/>
          <w:szCs w:val="20"/>
          <w:lang w:eastAsia="es-ES"/>
        </w:rPr>
        <w:t>of</w:t>
      </w:r>
      <w:r w:rsidRPr="008A7BD7">
        <w:rPr>
          <w:rFonts w:ascii="Cambria" w:eastAsia="Times New Roman" w:hAnsi="Cambria" w:cs="Tahoma"/>
          <w:color w:val="000000" w:themeColor="text1"/>
          <w:sz w:val="20"/>
          <w:szCs w:val="20"/>
          <w:lang w:eastAsia="es-ES"/>
        </w:rPr>
        <w:t xml:space="preserve"> efforts to criminalize and stigmatize </w:t>
      </w:r>
      <w:r w:rsidR="000037CC" w:rsidRPr="008A7BD7">
        <w:rPr>
          <w:rFonts w:ascii="Cambria" w:eastAsia="Times New Roman" w:hAnsi="Cambria" w:cs="Tahoma"/>
          <w:color w:val="000000" w:themeColor="text1"/>
          <w:sz w:val="20"/>
          <w:szCs w:val="20"/>
          <w:lang w:eastAsia="es-ES"/>
        </w:rPr>
        <w:t>magistrates</w:t>
      </w:r>
      <w:r w:rsidRPr="008A7BD7">
        <w:rPr>
          <w:rFonts w:ascii="Cambria" w:eastAsia="Times New Roman" w:hAnsi="Cambria" w:cs="Tahoma"/>
          <w:color w:val="000000" w:themeColor="text1"/>
          <w:sz w:val="20"/>
          <w:szCs w:val="20"/>
          <w:lang w:eastAsia="es-ES"/>
        </w:rPr>
        <w:t>, judges, and other independent</w:t>
      </w:r>
      <w:r w:rsidR="000037CC" w:rsidRPr="008A7BD7">
        <w:rPr>
          <w:rFonts w:ascii="Cambria" w:eastAsia="Times New Roman" w:hAnsi="Cambria" w:cs="Tahoma"/>
          <w:color w:val="000000" w:themeColor="text1"/>
          <w:sz w:val="20"/>
          <w:szCs w:val="20"/>
          <w:lang w:eastAsia="es-ES"/>
        </w:rPr>
        <w:t xml:space="preserve"> operators of</w:t>
      </w:r>
      <w:r w:rsidRPr="008A7BD7">
        <w:rPr>
          <w:rFonts w:ascii="Cambria" w:eastAsia="Times New Roman" w:hAnsi="Cambria" w:cs="Tahoma"/>
          <w:color w:val="000000" w:themeColor="text1"/>
          <w:sz w:val="20"/>
          <w:szCs w:val="20"/>
          <w:lang w:eastAsia="es-ES"/>
        </w:rPr>
        <w:t xml:space="preserve"> justice</w:t>
      </w:r>
      <w:r w:rsidR="000037CC" w:rsidRPr="008A7BD7">
        <w:rPr>
          <w:rFonts w:ascii="Cambria" w:eastAsia="Times New Roman" w:hAnsi="Cambria" w:cs="Tahoma"/>
          <w:color w:val="000000" w:themeColor="text1"/>
          <w:sz w:val="20"/>
          <w:szCs w:val="20"/>
          <w:lang w:eastAsia="es-ES"/>
        </w:rPr>
        <w:t xml:space="preserve"> </w:t>
      </w:r>
      <w:r w:rsidRPr="008A7BD7">
        <w:rPr>
          <w:rFonts w:ascii="Cambria" w:eastAsia="Times New Roman" w:hAnsi="Cambria" w:cs="Tahoma"/>
          <w:color w:val="000000" w:themeColor="text1"/>
          <w:sz w:val="20"/>
          <w:szCs w:val="20"/>
          <w:lang w:eastAsia="es-ES"/>
        </w:rPr>
        <w:t xml:space="preserve">in the country. According to the analysis above, the climate of judicial persecution and harassment has been possible due to the </w:t>
      </w:r>
      <w:r w:rsidR="00B6761B" w:rsidRPr="008A7BD7">
        <w:rPr>
          <w:rFonts w:ascii="Cambria" w:eastAsia="Times New Roman" w:hAnsi="Cambria" w:cs="Tahoma"/>
          <w:color w:val="000000" w:themeColor="text1"/>
          <w:sz w:val="20"/>
          <w:szCs w:val="20"/>
          <w:lang w:eastAsia="es-ES"/>
        </w:rPr>
        <w:t>manipulation</w:t>
      </w:r>
      <w:r w:rsidRPr="008A7BD7">
        <w:rPr>
          <w:rFonts w:ascii="Cambria" w:eastAsia="Times New Roman" w:hAnsi="Cambria" w:cs="Tahoma"/>
          <w:color w:val="000000" w:themeColor="text1"/>
          <w:sz w:val="20"/>
          <w:szCs w:val="20"/>
          <w:lang w:eastAsia="es-ES"/>
        </w:rPr>
        <w:t xml:space="preserve"> of criminal law and the alleged </w:t>
      </w:r>
      <w:r w:rsidR="00B6761B" w:rsidRPr="008A7BD7">
        <w:rPr>
          <w:rFonts w:ascii="Cambria" w:eastAsia="Times New Roman" w:hAnsi="Cambria" w:cs="Tahoma"/>
          <w:color w:val="000000" w:themeColor="text1"/>
          <w:sz w:val="20"/>
          <w:szCs w:val="20"/>
          <w:lang w:eastAsia="es-ES"/>
        </w:rPr>
        <w:t xml:space="preserve">lack of independence of the Office of the Public Prosecutor and its Attorney General. </w:t>
      </w:r>
    </w:p>
    <w:p w14:paraId="2A5FF10F" w14:textId="3DAFA038" w:rsidR="00044FFD" w:rsidRPr="008A7BD7" w:rsidRDefault="00044FFD" w:rsidP="00044FFD">
      <w:pPr>
        <w:jc w:val="both"/>
        <w:rPr>
          <w:rFonts w:ascii="Cambria" w:eastAsia="Cambria" w:hAnsi="Cambria" w:cs="Cambria"/>
          <w:sz w:val="20"/>
          <w:szCs w:val="20"/>
        </w:rPr>
      </w:pPr>
    </w:p>
    <w:p w14:paraId="15A26108" w14:textId="1FB27580" w:rsidR="00044FFD" w:rsidRPr="008A7BD7" w:rsidRDefault="00E91BA3" w:rsidP="00BB65D3">
      <w:pPr>
        <w:numPr>
          <w:ilvl w:val="0"/>
          <w:numId w:val="2"/>
        </w:numPr>
        <w:suppressAutoHyphens/>
        <w:ind w:left="0" w:firstLine="720"/>
        <w:jc w:val="both"/>
        <w:rPr>
          <w:rFonts w:ascii="Cambria" w:eastAsia="Cambria" w:hAnsi="Cambria" w:cs="Cambria"/>
          <w:sz w:val="20"/>
          <w:szCs w:val="20"/>
        </w:rPr>
      </w:pPr>
      <w:r w:rsidRPr="008A7BD7">
        <w:rPr>
          <w:rFonts w:ascii="Cambria" w:eastAsia="Calibri" w:hAnsi="Cambria" w:cs="Times New Roman"/>
          <w:sz w:val="20"/>
          <w:szCs w:val="20"/>
          <w:lang w:eastAsia="es-ES"/>
        </w:rPr>
        <w:t>In addition, t</w:t>
      </w:r>
      <w:r w:rsidR="00267B10" w:rsidRPr="008A7BD7">
        <w:rPr>
          <w:rFonts w:ascii="Cambria" w:eastAsia="Calibri" w:hAnsi="Cambria" w:cs="Times New Roman"/>
          <w:sz w:val="20"/>
          <w:szCs w:val="20"/>
          <w:lang w:eastAsia="es-ES"/>
        </w:rPr>
        <w:t>he IACHR took note of a context in which the country’s human rights in</w:t>
      </w:r>
      <w:r w:rsidRPr="008A7BD7">
        <w:rPr>
          <w:rFonts w:ascii="Cambria" w:eastAsia="Calibri" w:hAnsi="Cambria" w:cs="Times New Roman"/>
          <w:sz w:val="20"/>
          <w:szCs w:val="20"/>
          <w:lang w:eastAsia="es-ES"/>
        </w:rPr>
        <w:t>stitutions are progressively weakening, through ongoing threats and</w:t>
      </w:r>
      <w:r w:rsidR="00F8398A" w:rsidRPr="008A7BD7">
        <w:rPr>
          <w:rFonts w:ascii="Cambria" w:eastAsia="Calibri" w:hAnsi="Cambria" w:cs="Times New Roman"/>
          <w:sz w:val="20"/>
          <w:szCs w:val="20"/>
          <w:lang w:eastAsia="es-ES"/>
        </w:rPr>
        <w:t xml:space="preserve"> </w:t>
      </w:r>
      <w:r w:rsidRPr="008A7BD7">
        <w:rPr>
          <w:rFonts w:ascii="Cambria" w:eastAsia="Calibri" w:hAnsi="Cambria" w:cs="Times New Roman"/>
          <w:sz w:val="20"/>
          <w:szCs w:val="20"/>
          <w:lang w:eastAsia="es-ES"/>
        </w:rPr>
        <w:t>stigmatization of the Human Rights Ombudsman, as well as through the obstruction of that institution’s work.</w:t>
      </w:r>
      <w:r w:rsidR="00F8398A" w:rsidRPr="008A7BD7">
        <w:rPr>
          <w:rFonts w:ascii="Cambria" w:eastAsia="Times New Roman" w:hAnsi="Cambria" w:cs="Arial"/>
          <w:sz w:val="20"/>
          <w:szCs w:val="20"/>
          <w:lang w:eastAsia="es-ES"/>
        </w:rPr>
        <w:t xml:space="preserve"> </w:t>
      </w:r>
      <w:r w:rsidRPr="008A7BD7">
        <w:rPr>
          <w:rFonts w:ascii="Cambria" w:eastAsia="Times New Roman" w:hAnsi="Cambria" w:cs="Arial"/>
          <w:sz w:val="20"/>
          <w:szCs w:val="20"/>
          <w:lang w:eastAsia="es-ES"/>
        </w:rPr>
        <w:t xml:space="preserve">Likewise, the work </w:t>
      </w:r>
      <w:r w:rsidR="00CC2B12" w:rsidRPr="008A7BD7">
        <w:rPr>
          <w:rFonts w:ascii="Cambria" w:eastAsia="Times New Roman" w:hAnsi="Cambria" w:cs="Arial"/>
          <w:sz w:val="20"/>
          <w:szCs w:val="20"/>
          <w:lang w:eastAsia="es-ES"/>
        </w:rPr>
        <w:t>of</w:t>
      </w:r>
      <w:r w:rsidRPr="008A7BD7">
        <w:rPr>
          <w:rFonts w:ascii="Cambria" w:eastAsia="Times New Roman" w:hAnsi="Cambria" w:cs="Arial"/>
          <w:sz w:val="20"/>
          <w:szCs w:val="20"/>
          <w:lang w:eastAsia="es-ES"/>
        </w:rPr>
        <w:t xml:space="preserve"> the institution</w:t>
      </w:r>
      <w:r w:rsidR="00CC2B12" w:rsidRPr="008A7BD7">
        <w:rPr>
          <w:rFonts w:ascii="Cambria" w:eastAsia="Times New Roman" w:hAnsi="Cambria" w:cs="Arial"/>
          <w:sz w:val="20"/>
          <w:szCs w:val="20"/>
          <w:lang w:eastAsia="es-ES"/>
        </w:rPr>
        <w:t>al framework</w:t>
      </w:r>
      <w:r w:rsidRPr="008A7BD7">
        <w:rPr>
          <w:rFonts w:ascii="Cambria" w:eastAsia="Times New Roman" w:hAnsi="Cambria" w:cs="Arial"/>
          <w:sz w:val="20"/>
          <w:szCs w:val="20"/>
          <w:lang w:eastAsia="es-ES"/>
        </w:rPr>
        <w:t xml:space="preserve"> to promote peace and the </w:t>
      </w:r>
      <w:r w:rsidR="00A64BA5" w:rsidRPr="008A7BD7">
        <w:rPr>
          <w:rFonts w:ascii="Cambria" w:eastAsia="Times New Roman" w:hAnsi="Cambria" w:cs="Arial"/>
          <w:sz w:val="20"/>
          <w:szCs w:val="20"/>
          <w:lang w:eastAsia="es-ES"/>
        </w:rPr>
        <w:t xml:space="preserve">bodies </w:t>
      </w:r>
      <w:r w:rsidRPr="008A7BD7">
        <w:rPr>
          <w:rFonts w:ascii="Cambria" w:eastAsia="Times New Roman" w:hAnsi="Cambria" w:cs="Arial"/>
          <w:sz w:val="20"/>
          <w:szCs w:val="20"/>
          <w:lang w:eastAsia="es-ES"/>
        </w:rPr>
        <w:t xml:space="preserve">responsible for promoting and protecting the rights of women has been hampered due to the lack of </w:t>
      </w:r>
      <w:r w:rsidR="00A14599" w:rsidRPr="008A7BD7">
        <w:rPr>
          <w:rFonts w:ascii="Cambria" w:eastAsia="Times New Roman" w:hAnsi="Cambria" w:cs="Arial"/>
          <w:sz w:val="20"/>
          <w:szCs w:val="20"/>
          <w:lang w:eastAsia="es-ES"/>
        </w:rPr>
        <w:t>funding</w:t>
      </w:r>
      <w:r w:rsidRPr="008A7BD7">
        <w:rPr>
          <w:rFonts w:ascii="Cambria" w:eastAsia="Times New Roman" w:hAnsi="Cambria" w:cs="Arial"/>
          <w:sz w:val="20"/>
          <w:szCs w:val="20"/>
          <w:lang w:eastAsia="es-ES"/>
        </w:rPr>
        <w:t xml:space="preserve"> and other developments that </w:t>
      </w:r>
      <w:r w:rsidR="005F4B93" w:rsidRPr="008A7BD7">
        <w:rPr>
          <w:rFonts w:ascii="Cambria" w:eastAsia="Times New Roman" w:hAnsi="Cambria" w:cs="Arial"/>
          <w:sz w:val="20"/>
          <w:szCs w:val="20"/>
          <w:lang w:eastAsia="es-ES"/>
        </w:rPr>
        <w:t>point to</w:t>
      </w:r>
      <w:r w:rsidRPr="008A7BD7">
        <w:rPr>
          <w:rFonts w:ascii="Cambria" w:eastAsia="Times New Roman" w:hAnsi="Cambria" w:cs="Arial"/>
          <w:sz w:val="20"/>
          <w:szCs w:val="20"/>
          <w:lang w:eastAsia="es-ES"/>
        </w:rPr>
        <w:t xml:space="preserve"> a lack of will and political commitment toward these </w:t>
      </w:r>
      <w:r w:rsidR="00A64BA5" w:rsidRPr="008A7BD7">
        <w:rPr>
          <w:rFonts w:ascii="Cambria" w:eastAsia="Times New Roman" w:hAnsi="Cambria" w:cs="Arial"/>
          <w:sz w:val="20"/>
          <w:szCs w:val="20"/>
          <w:lang w:eastAsia="es-ES"/>
        </w:rPr>
        <w:t>agencies</w:t>
      </w:r>
      <w:r w:rsidR="004C5B11" w:rsidRPr="008A7BD7">
        <w:rPr>
          <w:rFonts w:ascii="Cambria" w:eastAsia="Times New Roman" w:hAnsi="Cambria" w:cs="Arial"/>
          <w:sz w:val="20"/>
          <w:szCs w:val="20"/>
          <w:lang w:eastAsia="es-ES"/>
        </w:rPr>
        <w:t xml:space="preserve">. </w:t>
      </w:r>
    </w:p>
    <w:p w14:paraId="6BC651D2" w14:textId="77777777" w:rsidR="00F55EA6" w:rsidRPr="008A7BD7" w:rsidRDefault="00F55EA6" w:rsidP="00F55EA6">
      <w:pPr>
        <w:pStyle w:val="ListParagraph"/>
        <w:rPr>
          <w:rFonts w:ascii="Cambria" w:eastAsia="Calibri" w:hAnsi="Cambria" w:cs="Times New Roman"/>
          <w:sz w:val="20"/>
          <w:szCs w:val="20"/>
          <w:lang w:eastAsia="es-ES"/>
        </w:rPr>
      </w:pPr>
    </w:p>
    <w:p w14:paraId="2AE92EBE" w14:textId="7E2F5BDC" w:rsidR="004C5B11" w:rsidRPr="008A7BD7" w:rsidRDefault="00CA7936" w:rsidP="003D3059">
      <w:pPr>
        <w:numPr>
          <w:ilvl w:val="0"/>
          <w:numId w:val="2"/>
        </w:numPr>
        <w:ind w:left="0" w:firstLine="720"/>
        <w:jc w:val="both"/>
        <w:rPr>
          <w:rFonts w:ascii="Cambria" w:hAnsi="Cambria"/>
          <w:sz w:val="20"/>
          <w:szCs w:val="20"/>
        </w:rPr>
      </w:pPr>
      <w:r w:rsidRPr="008A7BD7">
        <w:rPr>
          <w:rFonts w:ascii="Cambria" w:eastAsia="Cambria" w:hAnsi="Cambria" w:cs="Cambria"/>
          <w:sz w:val="20"/>
          <w:szCs w:val="20"/>
        </w:rPr>
        <w:t>Based</w:t>
      </w:r>
      <w:r w:rsidR="007008B8" w:rsidRPr="008A7BD7">
        <w:rPr>
          <w:rFonts w:ascii="Cambria" w:eastAsia="Cambria" w:hAnsi="Cambria" w:cs="Cambria"/>
          <w:sz w:val="20"/>
          <w:szCs w:val="20"/>
        </w:rPr>
        <w:t xml:space="preserve"> </w:t>
      </w:r>
      <w:r w:rsidRPr="008A7BD7">
        <w:rPr>
          <w:rFonts w:ascii="Cambria" w:eastAsia="Cambria" w:hAnsi="Cambria" w:cs="Cambria"/>
          <w:sz w:val="20"/>
          <w:szCs w:val="20"/>
        </w:rPr>
        <w:t xml:space="preserve">on </w:t>
      </w:r>
      <w:r w:rsidR="00315D1B" w:rsidRPr="008A7BD7">
        <w:rPr>
          <w:rFonts w:ascii="Cambria" w:eastAsia="Cambria" w:hAnsi="Cambria" w:cs="Cambria"/>
          <w:sz w:val="20"/>
          <w:szCs w:val="20"/>
        </w:rPr>
        <w:t>its</w:t>
      </w:r>
      <w:r w:rsidRPr="008A7BD7">
        <w:rPr>
          <w:rFonts w:ascii="Cambria" w:eastAsia="Cambria" w:hAnsi="Cambria" w:cs="Cambria"/>
          <w:sz w:val="20"/>
          <w:szCs w:val="20"/>
        </w:rPr>
        <w:t xml:space="preserve"> analysis, the IACHR notes that the interference with the independence of the judiciary and the setbacks in the fight against corruption and impunity </w:t>
      </w:r>
      <w:r w:rsidR="00315D1B" w:rsidRPr="008A7BD7">
        <w:rPr>
          <w:rFonts w:ascii="Cambria" w:eastAsia="Cambria" w:hAnsi="Cambria" w:cs="Cambria"/>
          <w:sz w:val="20"/>
          <w:szCs w:val="20"/>
        </w:rPr>
        <w:t>have a severe impact on access</w:t>
      </w:r>
      <w:r w:rsidR="004C5B11" w:rsidRPr="008A7BD7">
        <w:rPr>
          <w:rFonts w:ascii="Cambria" w:eastAsia="Cambria" w:hAnsi="Cambria" w:cs="Cambria"/>
          <w:sz w:val="20"/>
          <w:szCs w:val="20"/>
        </w:rPr>
        <w:t xml:space="preserve"> </w:t>
      </w:r>
      <w:r w:rsidR="00315D1B" w:rsidRPr="008A7BD7">
        <w:rPr>
          <w:rFonts w:ascii="Cambria" w:eastAsia="Cambria" w:hAnsi="Cambria" w:cs="Cambria"/>
          <w:sz w:val="20"/>
          <w:szCs w:val="20"/>
        </w:rPr>
        <w:t xml:space="preserve">to justice and, consequently, on the very exercise of the human rights of the Guatemalan people, especially groups that </w:t>
      </w:r>
      <w:r w:rsidR="00315D1B" w:rsidRPr="008A7BD7">
        <w:rPr>
          <w:rFonts w:ascii="Cambria" w:eastAsia="Cambria" w:hAnsi="Cambria" w:cs="Cambria"/>
          <w:sz w:val="20"/>
          <w:szCs w:val="20"/>
        </w:rPr>
        <w:lastRenderedPageBreak/>
        <w:t xml:space="preserve">have historically been excluded and discriminated against, such as women, indigenous peoples, and victims of the internal armed conflict. The IACHR also cautioned about the </w:t>
      </w:r>
      <w:r w:rsidR="004D7938" w:rsidRPr="008A7BD7">
        <w:rPr>
          <w:rFonts w:ascii="Cambria" w:eastAsia="Cambria" w:hAnsi="Cambria" w:cs="Cambria"/>
          <w:sz w:val="20"/>
          <w:szCs w:val="20"/>
        </w:rPr>
        <w:t xml:space="preserve">ongoing </w:t>
      </w:r>
      <w:r w:rsidR="00315D1B" w:rsidRPr="008A7BD7">
        <w:rPr>
          <w:rFonts w:ascii="Cambria" w:eastAsia="Cambria" w:hAnsi="Cambria" w:cs="Cambria"/>
          <w:sz w:val="20"/>
          <w:szCs w:val="20"/>
        </w:rPr>
        <w:t xml:space="preserve">context of </w:t>
      </w:r>
      <w:r w:rsidR="004D7938" w:rsidRPr="008A7BD7">
        <w:rPr>
          <w:rFonts w:ascii="Cambria" w:eastAsia="Cambria" w:hAnsi="Cambria" w:cs="Cambria"/>
          <w:sz w:val="20"/>
          <w:szCs w:val="20"/>
        </w:rPr>
        <w:t xml:space="preserve">serious </w:t>
      </w:r>
      <w:r w:rsidR="00315D1B" w:rsidRPr="008A7BD7">
        <w:rPr>
          <w:rFonts w:ascii="Cambria" w:eastAsia="Cambria" w:hAnsi="Cambria" w:cs="Cambria"/>
          <w:sz w:val="20"/>
          <w:szCs w:val="20"/>
        </w:rPr>
        <w:t>risk to the work of journalism, as well</w:t>
      </w:r>
      <w:r w:rsidR="00DA5181" w:rsidRPr="008A7BD7">
        <w:rPr>
          <w:rFonts w:ascii="Cambria" w:eastAsia="Times New Roman" w:hAnsi="Cambria" w:cs="Times New Roman"/>
          <w:sz w:val="20"/>
          <w:szCs w:val="20"/>
          <w:lang w:eastAsia="es-ES"/>
        </w:rPr>
        <w:t xml:space="preserve"> </w:t>
      </w:r>
      <w:r w:rsidR="00315D1B" w:rsidRPr="008A7BD7">
        <w:rPr>
          <w:rFonts w:ascii="Cambria" w:eastAsia="Times New Roman" w:hAnsi="Cambria" w:cs="Times New Roman"/>
          <w:sz w:val="20"/>
          <w:szCs w:val="20"/>
          <w:lang w:eastAsia="es-ES"/>
        </w:rPr>
        <w:t xml:space="preserve">as to the defense of human rights, </w:t>
      </w:r>
      <w:proofErr w:type="gramStart"/>
      <w:r w:rsidR="0083217B" w:rsidRPr="008A7BD7">
        <w:rPr>
          <w:rFonts w:ascii="Cambria" w:eastAsia="Times New Roman" w:hAnsi="Cambria" w:cs="Times New Roman"/>
          <w:sz w:val="20"/>
          <w:szCs w:val="20"/>
          <w:lang w:eastAsia="es-ES"/>
        </w:rPr>
        <w:t>as a result of</w:t>
      </w:r>
      <w:proofErr w:type="gramEnd"/>
      <w:r w:rsidR="00315D1B" w:rsidRPr="008A7BD7">
        <w:rPr>
          <w:rFonts w:ascii="Cambria" w:eastAsia="Times New Roman" w:hAnsi="Cambria" w:cs="Times New Roman"/>
          <w:sz w:val="20"/>
          <w:szCs w:val="20"/>
          <w:lang w:eastAsia="es-ES"/>
        </w:rPr>
        <w:t xml:space="preserve"> continuing acts of violence and </w:t>
      </w:r>
      <w:r w:rsidR="0083217B" w:rsidRPr="008A7BD7">
        <w:rPr>
          <w:rFonts w:ascii="Cambria" w:eastAsia="Times New Roman" w:hAnsi="Cambria" w:cs="Times New Roman"/>
          <w:sz w:val="20"/>
          <w:szCs w:val="20"/>
          <w:lang w:eastAsia="es-ES"/>
        </w:rPr>
        <w:t>cases of criminalization and judicial persecution</w:t>
      </w:r>
      <w:r w:rsidR="00A57F51" w:rsidRPr="008A7BD7">
        <w:rPr>
          <w:rFonts w:ascii="Cambria" w:hAnsi="Cambria"/>
          <w:sz w:val="20"/>
          <w:szCs w:val="20"/>
        </w:rPr>
        <w:t>.</w:t>
      </w:r>
    </w:p>
    <w:p w14:paraId="23067BA7" w14:textId="77777777" w:rsidR="00F91ADB" w:rsidRPr="008A7BD7" w:rsidRDefault="00F91ADB" w:rsidP="00F91ADB">
      <w:pPr>
        <w:ind w:left="720"/>
        <w:jc w:val="both"/>
        <w:rPr>
          <w:rFonts w:ascii="Cambria" w:hAnsi="Cambria"/>
          <w:sz w:val="20"/>
          <w:szCs w:val="20"/>
        </w:rPr>
      </w:pPr>
    </w:p>
    <w:p w14:paraId="501F83CF" w14:textId="2011AD39" w:rsidR="00A57F51" w:rsidRPr="008A7BD7" w:rsidRDefault="00643684" w:rsidP="003D3059">
      <w:pPr>
        <w:numPr>
          <w:ilvl w:val="0"/>
          <w:numId w:val="2"/>
        </w:numPr>
        <w:ind w:left="0" w:firstLine="720"/>
        <w:jc w:val="both"/>
        <w:rPr>
          <w:rFonts w:ascii="Cambria" w:eastAsia="Times New Roman" w:hAnsi="Cambria" w:cs="Times New Roman"/>
          <w:sz w:val="20"/>
          <w:szCs w:val="20"/>
          <w:lang w:eastAsia="es-ES_tradnl"/>
        </w:rPr>
      </w:pPr>
      <w:r w:rsidRPr="008A7BD7">
        <w:rPr>
          <w:rFonts w:ascii="Cambria" w:hAnsi="Cambria"/>
          <w:sz w:val="20"/>
          <w:szCs w:val="20"/>
        </w:rPr>
        <w:t xml:space="preserve">The IACHR urges the State to reaffirm </w:t>
      </w:r>
      <w:r w:rsidR="004D7938" w:rsidRPr="008A7BD7">
        <w:rPr>
          <w:rFonts w:ascii="Cambria" w:hAnsi="Cambria"/>
          <w:sz w:val="20"/>
          <w:szCs w:val="20"/>
        </w:rPr>
        <w:t>the</w:t>
      </w:r>
      <w:r w:rsidRPr="008A7BD7">
        <w:rPr>
          <w:rFonts w:ascii="Cambria" w:hAnsi="Cambria"/>
          <w:sz w:val="20"/>
          <w:szCs w:val="20"/>
        </w:rPr>
        <w:t xml:space="preserve"> political commitment to fight corruption and impunity by strengthening the justice system and </w:t>
      </w:r>
      <w:r w:rsidR="006934F6" w:rsidRPr="008A7BD7">
        <w:rPr>
          <w:rFonts w:ascii="Cambria" w:hAnsi="Cambria"/>
          <w:sz w:val="20"/>
          <w:szCs w:val="20"/>
        </w:rPr>
        <w:t xml:space="preserve">the </w:t>
      </w:r>
      <w:r w:rsidRPr="008A7BD7">
        <w:rPr>
          <w:rFonts w:ascii="Cambria" w:hAnsi="Cambria"/>
          <w:sz w:val="20"/>
          <w:szCs w:val="20"/>
        </w:rPr>
        <w:t xml:space="preserve">respect for its independence, as well as by taking decisive measures to investigate and prosecute any form of corruption that may affect the </w:t>
      </w:r>
      <w:r w:rsidR="004D7938" w:rsidRPr="008A7BD7">
        <w:rPr>
          <w:rFonts w:ascii="Cambria" w:hAnsi="Cambria"/>
          <w:sz w:val="20"/>
          <w:szCs w:val="20"/>
        </w:rPr>
        <w:t>effective</w:t>
      </w:r>
      <w:r w:rsidRPr="008A7BD7">
        <w:rPr>
          <w:rFonts w:ascii="Cambria" w:hAnsi="Cambria"/>
          <w:sz w:val="20"/>
          <w:szCs w:val="20"/>
        </w:rPr>
        <w:t xml:space="preserve"> exercise of human rights in </w:t>
      </w:r>
      <w:r w:rsidR="00F91ADB" w:rsidRPr="008A7BD7">
        <w:rPr>
          <w:rFonts w:ascii="Cambria" w:eastAsia="Times New Roman" w:hAnsi="Cambria" w:cs="Times New Roman"/>
          <w:sz w:val="20"/>
          <w:szCs w:val="20"/>
          <w:lang w:eastAsia="es-ES_tradnl"/>
        </w:rPr>
        <w:t>Guatemala</w:t>
      </w:r>
      <w:r w:rsidR="00A57F51" w:rsidRPr="008A7BD7">
        <w:rPr>
          <w:rFonts w:ascii="Cambria" w:eastAsia="Times New Roman" w:hAnsi="Cambria" w:cs="Times New Roman"/>
          <w:sz w:val="20"/>
          <w:szCs w:val="20"/>
          <w:lang w:eastAsia="es-ES_tradnl"/>
        </w:rPr>
        <w:t xml:space="preserve">. </w:t>
      </w:r>
    </w:p>
    <w:p w14:paraId="641083D3" w14:textId="77777777" w:rsidR="00A57F51" w:rsidRPr="008A7BD7" w:rsidRDefault="00A57F51" w:rsidP="00A57F51">
      <w:pPr>
        <w:pStyle w:val="ListParagraph"/>
        <w:rPr>
          <w:rFonts w:ascii="Cambria" w:hAnsi="Cambria"/>
          <w:sz w:val="20"/>
          <w:szCs w:val="20"/>
        </w:rPr>
      </w:pPr>
    </w:p>
    <w:p w14:paraId="26F4B919" w14:textId="1146152A" w:rsidR="00F407BD" w:rsidRPr="008A7BD7" w:rsidRDefault="000F7D65" w:rsidP="003D3059">
      <w:pPr>
        <w:numPr>
          <w:ilvl w:val="0"/>
          <w:numId w:val="2"/>
        </w:numPr>
        <w:ind w:left="0" w:firstLine="720"/>
        <w:jc w:val="both"/>
        <w:rPr>
          <w:rFonts w:ascii="Cambria" w:eastAsia="Times New Roman" w:hAnsi="Cambria" w:cs="Times New Roman"/>
          <w:sz w:val="20"/>
          <w:szCs w:val="20"/>
          <w:lang w:eastAsia="es-ES_tradnl"/>
        </w:rPr>
      </w:pPr>
      <w:r w:rsidRPr="008A7BD7">
        <w:rPr>
          <w:rFonts w:ascii="Cambria" w:hAnsi="Cambria"/>
          <w:sz w:val="20"/>
          <w:szCs w:val="20"/>
        </w:rPr>
        <w:t xml:space="preserve">Finally, the IACHR expresses its willingness to collaborate on a technical basis with the State of </w:t>
      </w:r>
      <w:r w:rsidR="00F407BD" w:rsidRPr="008A7BD7">
        <w:rPr>
          <w:rFonts w:ascii="Cambria" w:eastAsia="Cambria" w:hAnsi="Cambria" w:cs="Cambria"/>
          <w:sz w:val="20"/>
          <w:szCs w:val="20"/>
        </w:rPr>
        <w:t xml:space="preserve">Guatemala </w:t>
      </w:r>
      <w:r w:rsidRPr="008A7BD7">
        <w:rPr>
          <w:rFonts w:ascii="Cambria" w:eastAsia="Cambria" w:hAnsi="Cambria" w:cs="Cambria"/>
          <w:sz w:val="20"/>
          <w:szCs w:val="20"/>
        </w:rPr>
        <w:t>so that it can fulfill its international obligations with respect to human rights. Along these lines, and in keeping with the analysis above, the Commission makes the following recommendations to the State</w:t>
      </w:r>
      <w:r w:rsidR="00A57F51" w:rsidRPr="008A7BD7">
        <w:rPr>
          <w:rFonts w:ascii="Cambria" w:eastAsia="Cambria" w:hAnsi="Cambria" w:cs="Cambria"/>
          <w:sz w:val="20"/>
          <w:szCs w:val="20"/>
        </w:rPr>
        <w:t>:</w:t>
      </w:r>
    </w:p>
    <w:p w14:paraId="43758CCA" w14:textId="77777777" w:rsidR="003D2E3D" w:rsidRPr="008A7BD7" w:rsidRDefault="003D2E3D" w:rsidP="00B20F69">
      <w:pPr>
        <w:rPr>
          <w:rFonts w:ascii="Cambria" w:hAnsi="Cambria"/>
          <w:lang w:eastAsia="es-ES"/>
        </w:rPr>
      </w:pPr>
    </w:p>
    <w:p w14:paraId="3393336F" w14:textId="1887AB52" w:rsidR="001D17EF" w:rsidRPr="008A7BD7" w:rsidRDefault="00C9718E" w:rsidP="00FC47D9">
      <w:pPr>
        <w:pStyle w:val="Heading1"/>
      </w:pPr>
      <w:r w:rsidRPr="008A7BD7">
        <w:t>RECOMMENDATIONS</w:t>
      </w:r>
    </w:p>
    <w:p w14:paraId="3128F24E" w14:textId="422A7531" w:rsidR="001D17EF" w:rsidRPr="008A7BD7" w:rsidRDefault="001D17EF" w:rsidP="001D17EF">
      <w:pPr>
        <w:pStyle w:val="Normal1"/>
        <w:numPr>
          <w:ilvl w:val="0"/>
          <w:numId w:val="0"/>
        </w:numPr>
        <w:spacing w:after="0"/>
        <w:rPr>
          <w:rFonts w:eastAsia="Calibri"/>
        </w:rPr>
      </w:pPr>
    </w:p>
    <w:p w14:paraId="71DEB808" w14:textId="37BDF166" w:rsidR="00B20F69" w:rsidRPr="008A7BD7" w:rsidRDefault="00C9718E" w:rsidP="001D17EF">
      <w:pPr>
        <w:pStyle w:val="Normal1"/>
        <w:numPr>
          <w:ilvl w:val="0"/>
          <w:numId w:val="0"/>
        </w:numPr>
        <w:spacing w:after="0"/>
        <w:rPr>
          <w:rFonts w:eastAsia="Calibri"/>
          <w:b/>
          <w:bCs/>
        </w:rPr>
      </w:pPr>
      <w:proofErr w:type="spellStart"/>
      <w:r w:rsidRPr="008A7BD7">
        <w:rPr>
          <w:rFonts w:eastAsia="Calibri"/>
          <w:b/>
          <w:bCs/>
        </w:rPr>
        <w:t>Fight</w:t>
      </w:r>
      <w:proofErr w:type="spellEnd"/>
      <w:r w:rsidRPr="008A7BD7">
        <w:rPr>
          <w:rFonts w:eastAsia="Calibri"/>
          <w:b/>
          <w:bCs/>
        </w:rPr>
        <w:t xml:space="preserve"> </w:t>
      </w:r>
      <w:proofErr w:type="spellStart"/>
      <w:r w:rsidRPr="008A7BD7">
        <w:rPr>
          <w:rFonts w:eastAsia="Calibri"/>
          <w:b/>
          <w:bCs/>
        </w:rPr>
        <w:t>against</w:t>
      </w:r>
      <w:proofErr w:type="spellEnd"/>
      <w:r w:rsidRPr="008A7BD7">
        <w:rPr>
          <w:rFonts w:eastAsia="Calibri"/>
          <w:b/>
          <w:bCs/>
        </w:rPr>
        <w:t xml:space="preserve"> </w:t>
      </w:r>
      <w:proofErr w:type="spellStart"/>
      <w:r w:rsidR="00FF443F" w:rsidRPr="008A7BD7">
        <w:rPr>
          <w:rFonts w:eastAsia="Calibri"/>
          <w:b/>
          <w:bCs/>
        </w:rPr>
        <w:t>C</w:t>
      </w:r>
      <w:r w:rsidRPr="008A7BD7">
        <w:rPr>
          <w:rFonts w:eastAsia="Calibri"/>
          <w:b/>
          <w:bCs/>
        </w:rPr>
        <w:t>orruption</w:t>
      </w:r>
      <w:proofErr w:type="spellEnd"/>
    </w:p>
    <w:p w14:paraId="3D1C9E3A" w14:textId="0DEEDF3B" w:rsidR="00CA32B5" w:rsidRPr="008A7BD7" w:rsidRDefault="00CA32B5" w:rsidP="001D17EF">
      <w:pPr>
        <w:pStyle w:val="Normal1"/>
        <w:numPr>
          <w:ilvl w:val="0"/>
          <w:numId w:val="0"/>
        </w:numPr>
        <w:spacing w:after="0"/>
        <w:rPr>
          <w:rFonts w:eastAsia="Calibri"/>
          <w:b/>
          <w:bCs/>
        </w:rPr>
      </w:pPr>
    </w:p>
    <w:p w14:paraId="0AA4D30B" w14:textId="15BA31C0" w:rsidR="00CA32B5" w:rsidRPr="008A7BD7" w:rsidRDefault="00CA32B5" w:rsidP="00BB65D3">
      <w:pPr>
        <w:pStyle w:val="ListParagraph"/>
        <w:numPr>
          <w:ilvl w:val="0"/>
          <w:numId w:val="9"/>
        </w:numPr>
        <w:jc w:val="both"/>
        <w:rPr>
          <w:rFonts w:ascii="Cambria" w:eastAsia="Times New Roman" w:hAnsi="Cambria" w:cs="Times New Roman"/>
          <w:color w:val="000000" w:themeColor="text1"/>
          <w:lang w:eastAsia="es-ES_tradnl"/>
        </w:rPr>
      </w:pPr>
      <w:r w:rsidRPr="008A7BD7">
        <w:rPr>
          <w:rFonts w:ascii="Cambria" w:eastAsia="Times New Roman" w:hAnsi="Cambria" w:cs="Tahoma"/>
          <w:color w:val="000000" w:themeColor="text1"/>
          <w:sz w:val="20"/>
          <w:szCs w:val="20"/>
          <w:shd w:val="clear" w:color="auto" w:fill="FFFFFF"/>
          <w:lang w:eastAsia="es-ES_tradnl"/>
        </w:rPr>
        <w:t>Re</w:t>
      </w:r>
      <w:r w:rsidR="00C9718E" w:rsidRPr="008A7BD7">
        <w:rPr>
          <w:rFonts w:ascii="Cambria" w:eastAsia="Times New Roman" w:hAnsi="Cambria" w:cs="Tahoma"/>
          <w:color w:val="000000" w:themeColor="text1"/>
          <w:sz w:val="20"/>
          <w:szCs w:val="20"/>
          <w:shd w:val="clear" w:color="auto" w:fill="FFFFFF"/>
          <w:lang w:eastAsia="es-ES_tradnl"/>
        </w:rPr>
        <w:t xml:space="preserve">affirm the importance of </w:t>
      </w:r>
      <w:r w:rsidR="00AB4602" w:rsidRPr="008A7BD7">
        <w:rPr>
          <w:rFonts w:ascii="Cambria" w:eastAsia="Times New Roman" w:hAnsi="Cambria" w:cs="Tahoma"/>
          <w:color w:val="000000" w:themeColor="text1"/>
          <w:sz w:val="20"/>
          <w:szCs w:val="20"/>
          <w:shd w:val="clear" w:color="auto" w:fill="FFFFFF"/>
          <w:lang w:eastAsia="es-ES_tradnl"/>
        </w:rPr>
        <w:t xml:space="preserve">the fight against </w:t>
      </w:r>
      <w:r w:rsidR="00C9718E" w:rsidRPr="008A7BD7">
        <w:rPr>
          <w:rFonts w:ascii="Cambria" w:eastAsia="Times New Roman" w:hAnsi="Cambria" w:cs="Tahoma"/>
          <w:color w:val="000000" w:themeColor="text1"/>
          <w:sz w:val="20"/>
          <w:szCs w:val="20"/>
          <w:shd w:val="clear" w:color="auto" w:fill="FFFFFF"/>
          <w:lang w:eastAsia="es-ES_tradnl"/>
        </w:rPr>
        <w:t>corruption</w:t>
      </w:r>
      <w:r w:rsidR="00AB4602" w:rsidRPr="008A7BD7">
        <w:rPr>
          <w:rFonts w:ascii="Cambria" w:eastAsia="Times New Roman" w:hAnsi="Cambria" w:cs="Tahoma"/>
          <w:color w:val="000000" w:themeColor="text1"/>
          <w:sz w:val="20"/>
          <w:szCs w:val="20"/>
          <w:shd w:val="clear" w:color="auto" w:fill="FFFFFF"/>
          <w:lang w:eastAsia="es-ES_tradnl"/>
        </w:rPr>
        <w:t xml:space="preserve"> </w:t>
      </w:r>
      <w:r w:rsidR="00C9718E" w:rsidRPr="008A7BD7">
        <w:rPr>
          <w:rFonts w:ascii="Cambria" w:eastAsia="Times New Roman" w:hAnsi="Cambria" w:cs="Tahoma"/>
          <w:color w:val="000000" w:themeColor="text1"/>
          <w:sz w:val="20"/>
          <w:szCs w:val="20"/>
          <w:shd w:val="clear" w:color="auto" w:fill="FFFFFF"/>
          <w:lang w:eastAsia="es-ES_tradnl"/>
        </w:rPr>
        <w:t xml:space="preserve">in combating impunity </w:t>
      </w:r>
      <w:r w:rsidR="002561E6" w:rsidRPr="008A7BD7">
        <w:rPr>
          <w:rFonts w:ascii="Cambria" w:eastAsia="Times New Roman" w:hAnsi="Cambria" w:cs="Tahoma"/>
          <w:color w:val="000000" w:themeColor="text1"/>
          <w:sz w:val="20"/>
          <w:szCs w:val="20"/>
          <w:shd w:val="clear" w:color="auto" w:fill="FFFFFF"/>
          <w:lang w:eastAsia="es-ES_tradnl"/>
        </w:rPr>
        <w:t>by means of</w:t>
      </w:r>
      <w:r w:rsidR="00C9718E" w:rsidRPr="008A7BD7">
        <w:rPr>
          <w:rFonts w:ascii="Cambria" w:eastAsia="Times New Roman" w:hAnsi="Cambria" w:cs="Tahoma"/>
          <w:color w:val="000000" w:themeColor="text1"/>
          <w:sz w:val="20"/>
          <w:szCs w:val="20"/>
          <w:shd w:val="clear" w:color="auto" w:fill="FFFFFF"/>
          <w:lang w:eastAsia="es-ES_tradnl"/>
        </w:rPr>
        <w:t xml:space="preserve"> a strengthened, independent, and impartial justice system. </w:t>
      </w:r>
    </w:p>
    <w:p w14:paraId="40B2C80B" w14:textId="77777777" w:rsidR="004D4A94" w:rsidRPr="008A7BD7" w:rsidRDefault="004D4A94" w:rsidP="003064D2">
      <w:pPr>
        <w:pStyle w:val="ListParagraph"/>
        <w:ind w:left="360"/>
        <w:jc w:val="both"/>
        <w:rPr>
          <w:rFonts w:ascii="Cambria" w:eastAsia="Times New Roman" w:hAnsi="Cambria" w:cs="Times New Roman"/>
          <w:color w:val="000000" w:themeColor="text1"/>
          <w:lang w:eastAsia="es-ES_tradnl"/>
        </w:rPr>
      </w:pPr>
    </w:p>
    <w:p w14:paraId="2FAA3E53" w14:textId="4350F741" w:rsidR="004D4A94" w:rsidRPr="008A7BD7" w:rsidRDefault="004D4A94" w:rsidP="00BB65D3">
      <w:pPr>
        <w:pStyle w:val="ListParagraph"/>
        <w:numPr>
          <w:ilvl w:val="0"/>
          <w:numId w:val="9"/>
        </w:numPr>
        <w:jc w:val="both"/>
        <w:rPr>
          <w:rFonts w:ascii="Cambria" w:eastAsia="Times New Roman" w:hAnsi="Cambria" w:cs="Times New Roman"/>
          <w:sz w:val="20"/>
          <w:szCs w:val="20"/>
          <w:lang w:eastAsia="zh-CN"/>
        </w:rPr>
      </w:pPr>
      <w:r w:rsidRPr="008A7BD7">
        <w:rPr>
          <w:rFonts w:ascii="Cambria" w:eastAsia="Times New Roman" w:hAnsi="Cambria" w:cs="Times New Roman"/>
          <w:sz w:val="20"/>
          <w:szCs w:val="20"/>
          <w:lang w:eastAsia="zh-CN"/>
        </w:rPr>
        <w:t>Implement</w:t>
      </w:r>
      <w:r w:rsidR="00C9718E" w:rsidRPr="008A7BD7">
        <w:rPr>
          <w:rFonts w:ascii="Cambria" w:eastAsia="Times New Roman" w:hAnsi="Cambria" w:cs="Times New Roman"/>
          <w:sz w:val="20"/>
          <w:szCs w:val="20"/>
          <w:lang w:eastAsia="zh-CN"/>
        </w:rPr>
        <w:t xml:space="preserve"> the necessary mechanisms to prevent, investigate, and punish any form of corruption that may affect the </w:t>
      </w:r>
      <w:r w:rsidR="00FF443F" w:rsidRPr="008A7BD7">
        <w:rPr>
          <w:rFonts w:ascii="Cambria" w:eastAsia="Times New Roman" w:hAnsi="Cambria" w:cs="Times New Roman"/>
          <w:sz w:val="20"/>
          <w:szCs w:val="20"/>
          <w:lang w:eastAsia="zh-CN"/>
        </w:rPr>
        <w:t>proper functioning of the justice system and the rule of law.</w:t>
      </w:r>
    </w:p>
    <w:p w14:paraId="1FF68AD7" w14:textId="50391A9E" w:rsidR="00CA32B5" w:rsidRPr="008A7BD7" w:rsidRDefault="00CA32B5" w:rsidP="003064D2">
      <w:pPr>
        <w:pStyle w:val="Normal1"/>
        <w:numPr>
          <w:ilvl w:val="0"/>
          <w:numId w:val="0"/>
        </w:numPr>
        <w:spacing w:after="0"/>
        <w:rPr>
          <w:rFonts w:eastAsia="Calibri"/>
          <w:b/>
          <w:bCs/>
          <w:lang w:val="en-US"/>
        </w:rPr>
      </w:pPr>
    </w:p>
    <w:p w14:paraId="39BF084C" w14:textId="1C8D05C6" w:rsidR="00CA32B5" w:rsidRPr="008A7BD7" w:rsidRDefault="00CA32B5" w:rsidP="003064D2">
      <w:pPr>
        <w:pStyle w:val="Normal1"/>
        <w:numPr>
          <w:ilvl w:val="0"/>
          <w:numId w:val="0"/>
        </w:numPr>
        <w:spacing w:after="0"/>
        <w:rPr>
          <w:rFonts w:eastAsia="Calibri"/>
          <w:b/>
          <w:bCs/>
          <w:lang w:val="en-US"/>
        </w:rPr>
      </w:pPr>
      <w:r w:rsidRPr="008A7BD7">
        <w:rPr>
          <w:rFonts w:eastAsia="Calibri"/>
          <w:b/>
          <w:bCs/>
          <w:lang w:val="en-US"/>
        </w:rPr>
        <w:t xml:space="preserve">Judicial </w:t>
      </w:r>
      <w:r w:rsidR="00FF443F" w:rsidRPr="008A7BD7">
        <w:rPr>
          <w:rFonts w:eastAsia="Calibri"/>
          <w:b/>
          <w:bCs/>
          <w:lang w:val="en-US"/>
        </w:rPr>
        <w:t>Independence and Justice Operators</w:t>
      </w:r>
      <w:r w:rsidR="008158B0" w:rsidRPr="008A7BD7">
        <w:rPr>
          <w:rFonts w:eastAsia="Calibri"/>
          <w:b/>
          <w:bCs/>
          <w:lang w:val="en-US"/>
        </w:rPr>
        <w:t xml:space="preserve"> </w:t>
      </w:r>
      <w:r w:rsidR="00FF443F" w:rsidRPr="008A7BD7">
        <w:rPr>
          <w:rFonts w:eastAsia="Calibri"/>
          <w:b/>
          <w:bCs/>
          <w:lang w:val="en-US"/>
        </w:rPr>
        <w:t xml:space="preserve"> </w:t>
      </w:r>
    </w:p>
    <w:p w14:paraId="5B2F926F" w14:textId="77777777" w:rsidR="00BE78FC" w:rsidRPr="008A7BD7" w:rsidRDefault="00BE78FC" w:rsidP="003064D2">
      <w:pPr>
        <w:jc w:val="both"/>
        <w:rPr>
          <w:rFonts w:ascii="Cambria" w:eastAsia="Times New Roman" w:hAnsi="Cambria" w:cs="Times New Roman"/>
          <w:color w:val="000000" w:themeColor="text1"/>
          <w:lang w:eastAsia="es-ES_tradnl"/>
        </w:rPr>
      </w:pPr>
    </w:p>
    <w:p w14:paraId="7A8C8C05" w14:textId="3FC2F9F5" w:rsidR="00B20F69" w:rsidRPr="008A7BD7" w:rsidRDefault="00BE78FC" w:rsidP="00BB65D3">
      <w:pPr>
        <w:pStyle w:val="Normal1"/>
        <w:numPr>
          <w:ilvl w:val="0"/>
          <w:numId w:val="9"/>
        </w:numPr>
        <w:spacing w:after="0"/>
        <w:rPr>
          <w:rFonts w:eastAsia="Calibri"/>
          <w:color w:val="000000" w:themeColor="text1"/>
          <w:lang w:val="en-US"/>
        </w:rPr>
      </w:pPr>
      <w:r w:rsidRPr="008A7BD7">
        <w:rPr>
          <w:color w:val="000000" w:themeColor="text1"/>
          <w:lang w:val="en-US"/>
        </w:rPr>
        <w:t>Adopt</w:t>
      </w:r>
      <w:r w:rsidR="00FF443F" w:rsidRPr="008A7BD7">
        <w:rPr>
          <w:color w:val="000000" w:themeColor="text1"/>
          <w:lang w:val="en-US"/>
        </w:rPr>
        <w:t xml:space="preserve"> measures to ensure that </w:t>
      </w:r>
      <w:r w:rsidR="008158B0" w:rsidRPr="008A7BD7">
        <w:rPr>
          <w:color w:val="000000" w:themeColor="text1"/>
          <w:lang w:val="en-US"/>
        </w:rPr>
        <w:t>agents of justice</w:t>
      </w:r>
      <w:r w:rsidR="00FF443F" w:rsidRPr="008A7BD7">
        <w:rPr>
          <w:color w:val="000000" w:themeColor="text1"/>
          <w:lang w:val="en-US"/>
        </w:rPr>
        <w:t xml:space="preserve"> </w:t>
      </w:r>
      <w:r w:rsidR="008158B0" w:rsidRPr="008A7BD7">
        <w:rPr>
          <w:color w:val="000000" w:themeColor="text1"/>
          <w:lang w:val="en-US"/>
        </w:rPr>
        <w:t xml:space="preserve">can </w:t>
      </w:r>
      <w:r w:rsidR="00FF443F" w:rsidRPr="008A7BD7">
        <w:rPr>
          <w:color w:val="000000" w:themeColor="text1"/>
          <w:lang w:val="en-US"/>
        </w:rPr>
        <w:t>carry out their duties impartially and independently, with respect for the principle of separation of powers and free of any threat or pressure.</w:t>
      </w:r>
    </w:p>
    <w:p w14:paraId="77AD1CDC" w14:textId="77777777" w:rsidR="00FF443F" w:rsidRPr="008A7BD7" w:rsidRDefault="00FF443F" w:rsidP="00FF443F">
      <w:pPr>
        <w:pStyle w:val="Normal1"/>
        <w:numPr>
          <w:ilvl w:val="0"/>
          <w:numId w:val="0"/>
        </w:numPr>
        <w:spacing w:after="0"/>
        <w:ind w:left="360"/>
        <w:rPr>
          <w:rFonts w:eastAsia="Calibri"/>
          <w:color w:val="000000" w:themeColor="text1"/>
          <w:lang w:val="en-US"/>
        </w:rPr>
      </w:pPr>
    </w:p>
    <w:p w14:paraId="1CC3D2F3" w14:textId="63C5949E" w:rsidR="004D4A94" w:rsidRPr="008A7BD7" w:rsidRDefault="00FF443F" w:rsidP="00BB65D3">
      <w:pPr>
        <w:pStyle w:val="ListParagraph"/>
        <w:numPr>
          <w:ilvl w:val="0"/>
          <w:numId w:val="9"/>
        </w:numPr>
        <w:jc w:val="both"/>
        <w:rPr>
          <w:rFonts w:ascii="Cambria" w:hAnsi="Cambria"/>
          <w:color w:val="000000" w:themeColor="text1"/>
          <w:sz w:val="20"/>
          <w:szCs w:val="20"/>
        </w:rPr>
      </w:pPr>
      <w:r w:rsidRPr="008A7BD7">
        <w:rPr>
          <w:rFonts w:ascii="Cambria" w:hAnsi="Cambria"/>
          <w:color w:val="000000" w:themeColor="text1"/>
          <w:sz w:val="20"/>
          <w:szCs w:val="20"/>
        </w:rPr>
        <w:t xml:space="preserve">Protect justice operators from attacks, acts of intimidation, threats, and </w:t>
      </w:r>
      <w:r w:rsidR="00AB4602" w:rsidRPr="008A7BD7">
        <w:rPr>
          <w:rFonts w:ascii="Cambria" w:hAnsi="Cambria"/>
          <w:color w:val="000000" w:themeColor="text1"/>
          <w:sz w:val="20"/>
          <w:szCs w:val="20"/>
        </w:rPr>
        <w:t>harassment</w:t>
      </w:r>
      <w:r w:rsidRPr="008A7BD7">
        <w:rPr>
          <w:rFonts w:ascii="Cambria" w:hAnsi="Cambria"/>
          <w:color w:val="000000" w:themeColor="text1"/>
          <w:sz w:val="20"/>
          <w:szCs w:val="20"/>
        </w:rPr>
        <w:t xml:space="preserve">, investigating and imposing effective sanctions on those who violate their rights. </w:t>
      </w:r>
    </w:p>
    <w:p w14:paraId="063E2485" w14:textId="1E69D07D" w:rsidR="00BE78FC" w:rsidRPr="008A7BD7" w:rsidRDefault="00BE78FC" w:rsidP="00BE78FC">
      <w:pPr>
        <w:pStyle w:val="Normal1"/>
        <w:numPr>
          <w:ilvl w:val="0"/>
          <w:numId w:val="0"/>
        </w:numPr>
        <w:spacing w:after="0"/>
        <w:rPr>
          <w:rFonts w:eastAsia="Calibri"/>
          <w:color w:val="000000" w:themeColor="text1"/>
          <w:lang w:val="en-US"/>
        </w:rPr>
      </w:pPr>
    </w:p>
    <w:p w14:paraId="4C11F17A" w14:textId="00EF00ED" w:rsidR="00BE78FC" w:rsidRPr="008A7BD7" w:rsidRDefault="00F57E7E" w:rsidP="00BB65D3">
      <w:pPr>
        <w:pStyle w:val="Normal1"/>
        <w:numPr>
          <w:ilvl w:val="0"/>
          <w:numId w:val="9"/>
        </w:numPr>
        <w:spacing w:after="0"/>
        <w:rPr>
          <w:rFonts w:eastAsia="Calibri"/>
          <w:color w:val="000000" w:themeColor="text1"/>
          <w:lang w:val="en-US"/>
        </w:rPr>
      </w:pPr>
      <w:r w:rsidRPr="008A7BD7">
        <w:rPr>
          <w:rFonts w:eastAsia="Calibri"/>
          <w:color w:val="000000" w:themeColor="text1"/>
          <w:lang w:val="en-US"/>
        </w:rPr>
        <w:t xml:space="preserve">Refrain from promoting </w:t>
      </w:r>
      <w:r w:rsidR="00AB585C" w:rsidRPr="008A7BD7">
        <w:rPr>
          <w:rFonts w:eastAsia="Calibri"/>
          <w:color w:val="000000" w:themeColor="text1"/>
          <w:lang w:val="en-US"/>
        </w:rPr>
        <w:t xml:space="preserve">motions for </w:t>
      </w:r>
      <w:r w:rsidRPr="008A7BD7">
        <w:rPr>
          <w:rFonts w:eastAsia="Calibri"/>
          <w:color w:val="000000" w:themeColor="text1"/>
          <w:lang w:val="en-US"/>
        </w:rPr>
        <w:t xml:space="preserve">impeachment </w:t>
      </w:r>
      <w:r w:rsidR="00AB585C" w:rsidRPr="008A7BD7">
        <w:rPr>
          <w:rFonts w:eastAsia="Calibri"/>
          <w:color w:val="000000" w:themeColor="text1"/>
          <w:lang w:val="en-US"/>
        </w:rPr>
        <w:t>(</w:t>
      </w:r>
      <w:proofErr w:type="spellStart"/>
      <w:r w:rsidR="00AB585C" w:rsidRPr="008A7BD7">
        <w:rPr>
          <w:rFonts w:eastAsia="Calibri"/>
          <w:i/>
          <w:iCs/>
          <w:color w:val="000000" w:themeColor="text1"/>
          <w:lang w:val="en-US"/>
        </w:rPr>
        <w:t>antejuicio</w:t>
      </w:r>
      <w:proofErr w:type="spellEnd"/>
      <w:r w:rsidR="00AB585C" w:rsidRPr="008A7BD7">
        <w:rPr>
          <w:rFonts w:eastAsia="Calibri"/>
          <w:color w:val="000000" w:themeColor="text1"/>
          <w:lang w:val="en-US"/>
        </w:rPr>
        <w:t xml:space="preserve"> </w:t>
      </w:r>
      <w:r w:rsidRPr="008A7BD7">
        <w:rPr>
          <w:rFonts w:eastAsia="Calibri"/>
          <w:color w:val="000000" w:themeColor="text1"/>
          <w:lang w:val="en-US"/>
        </w:rPr>
        <w:t>proceedings</w:t>
      </w:r>
      <w:r w:rsidR="00AB585C" w:rsidRPr="008A7BD7">
        <w:rPr>
          <w:rFonts w:eastAsia="Calibri"/>
          <w:color w:val="000000" w:themeColor="text1"/>
          <w:lang w:val="en-US"/>
        </w:rPr>
        <w:t>)</w:t>
      </w:r>
      <w:r w:rsidR="00BE78FC" w:rsidRPr="008A7BD7">
        <w:rPr>
          <w:rFonts w:eastAsia="Calibri"/>
          <w:color w:val="000000" w:themeColor="text1"/>
          <w:lang w:val="en-US"/>
        </w:rPr>
        <w:t xml:space="preserve"> </w:t>
      </w:r>
      <w:r w:rsidRPr="008A7BD7">
        <w:rPr>
          <w:rFonts w:eastAsia="Calibri"/>
          <w:color w:val="000000" w:themeColor="text1"/>
          <w:lang w:val="en-US"/>
        </w:rPr>
        <w:t xml:space="preserve">based on the legal opinions of </w:t>
      </w:r>
      <w:r w:rsidR="009810DB" w:rsidRPr="008A7BD7">
        <w:rPr>
          <w:rFonts w:eastAsia="Calibri"/>
          <w:color w:val="000000" w:themeColor="text1"/>
          <w:lang w:val="en-US"/>
        </w:rPr>
        <w:t>judges</w:t>
      </w:r>
      <w:r w:rsidRPr="008A7BD7">
        <w:rPr>
          <w:rFonts w:eastAsia="Calibri"/>
          <w:color w:val="000000" w:themeColor="text1"/>
          <w:lang w:val="en-US"/>
        </w:rPr>
        <w:t xml:space="preserve"> or as a means of reprisal for the work they are doing</w:t>
      </w:r>
      <w:r w:rsidR="00BE78FC" w:rsidRPr="008A7BD7">
        <w:rPr>
          <w:rFonts w:eastAsia="Calibri"/>
          <w:color w:val="000000" w:themeColor="text1"/>
          <w:lang w:val="en-US"/>
        </w:rPr>
        <w:t xml:space="preserve">. </w:t>
      </w:r>
    </w:p>
    <w:p w14:paraId="5D999C3F" w14:textId="77777777" w:rsidR="00BE78FC" w:rsidRPr="008A7BD7" w:rsidRDefault="00BE78FC" w:rsidP="001D17EF">
      <w:pPr>
        <w:pStyle w:val="Normal1"/>
        <w:numPr>
          <w:ilvl w:val="0"/>
          <w:numId w:val="0"/>
        </w:numPr>
        <w:spacing w:after="0"/>
        <w:rPr>
          <w:rFonts w:eastAsia="Calibri"/>
          <w:b/>
          <w:bCs/>
          <w:lang w:val="en-US"/>
        </w:rPr>
      </w:pPr>
    </w:p>
    <w:p w14:paraId="3C18BC37" w14:textId="0DB90653" w:rsidR="004D4A94" w:rsidRPr="008A7BD7" w:rsidRDefault="00F57E7E" w:rsidP="001D17EF">
      <w:pPr>
        <w:pStyle w:val="Normal1"/>
        <w:numPr>
          <w:ilvl w:val="0"/>
          <w:numId w:val="0"/>
        </w:numPr>
        <w:spacing w:after="0"/>
        <w:rPr>
          <w:rFonts w:eastAsia="Calibri"/>
          <w:b/>
          <w:bCs/>
        </w:rPr>
      </w:pPr>
      <w:r w:rsidRPr="008A7BD7">
        <w:rPr>
          <w:rFonts w:eastAsia="Calibri"/>
          <w:b/>
          <w:bCs/>
        </w:rPr>
        <w:t xml:space="preserve">Human </w:t>
      </w:r>
      <w:proofErr w:type="spellStart"/>
      <w:r w:rsidRPr="008A7BD7">
        <w:rPr>
          <w:rFonts w:eastAsia="Calibri"/>
          <w:b/>
          <w:bCs/>
        </w:rPr>
        <w:t>Rights</w:t>
      </w:r>
      <w:proofErr w:type="spellEnd"/>
      <w:r w:rsidRPr="008A7BD7">
        <w:rPr>
          <w:rFonts w:eastAsia="Calibri"/>
          <w:b/>
          <w:bCs/>
        </w:rPr>
        <w:t xml:space="preserve"> </w:t>
      </w:r>
      <w:proofErr w:type="spellStart"/>
      <w:r w:rsidR="004D4A94" w:rsidRPr="008A7BD7">
        <w:rPr>
          <w:rFonts w:eastAsia="Calibri"/>
          <w:b/>
          <w:bCs/>
        </w:rPr>
        <w:t>Institu</w:t>
      </w:r>
      <w:r w:rsidRPr="008A7BD7">
        <w:rPr>
          <w:rFonts w:eastAsia="Calibri"/>
          <w:b/>
          <w:bCs/>
        </w:rPr>
        <w:t>tions</w:t>
      </w:r>
      <w:proofErr w:type="spellEnd"/>
    </w:p>
    <w:p w14:paraId="13416A92" w14:textId="4FA21564" w:rsidR="004D4A94" w:rsidRPr="008A7BD7" w:rsidRDefault="004D4A94" w:rsidP="001D17EF">
      <w:pPr>
        <w:pStyle w:val="Normal1"/>
        <w:numPr>
          <w:ilvl w:val="0"/>
          <w:numId w:val="0"/>
        </w:numPr>
        <w:spacing w:after="0"/>
        <w:rPr>
          <w:rFonts w:eastAsia="Calibri"/>
          <w:b/>
          <w:bCs/>
        </w:rPr>
      </w:pPr>
    </w:p>
    <w:p w14:paraId="181B7991" w14:textId="58785E8A" w:rsidR="004D4A94" w:rsidRPr="008A7BD7" w:rsidRDefault="00F57E7E" w:rsidP="00BB65D3">
      <w:pPr>
        <w:pStyle w:val="Normal1"/>
        <w:numPr>
          <w:ilvl w:val="0"/>
          <w:numId w:val="9"/>
        </w:numPr>
        <w:spacing w:after="0"/>
        <w:rPr>
          <w:rFonts w:eastAsia="Calibri"/>
          <w:color w:val="000000" w:themeColor="text1"/>
          <w:lang w:val="en-US"/>
        </w:rPr>
      </w:pPr>
      <w:r w:rsidRPr="008A7BD7">
        <w:rPr>
          <w:rFonts w:eastAsia="Calibri"/>
          <w:color w:val="000000" w:themeColor="text1"/>
          <w:lang w:val="en-US"/>
        </w:rPr>
        <w:t xml:space="preserve">Provide the Office of the Human Rights Ombudsman with sufficient human resources </w:t>
      </w:r>
      <w:r w:rsidR="009810DB" w:rsidRPr="008A7BD7">
        <w:rPr>
          <w:rFonts w:eastAsia="Calibri"/>
          <w:color w:val="000000" w:themeColor="text1"/>
          <w:lang w:val="en-US"/>
        </w:rPr>
        <w:t xml:space="preserve">and funding </w:t>
      </w:r>
      <w:r w:rsidRPr="008A7BD7">
        <w:rPr>
          <w:rFonts w:eastAsia="Calibri"/>
          <w:color w:val="000000" w:themeColor="text1"/>
          <w:lang w:val="en-US"/>
        </w:rPr>
        <w:t xml:space="preserve">so that it can </w:t>
      </w:r>
      <w:r w:rsidR="00405D85" w:rsidRPr="008A7BD7">
        <w:rPr>
          <w:rFonts w:eastAsia="Calibri"/>
          <w:color w:val="000000" w:themeColor="text1"/>
          <w:lang w:val="en-US"/>
        </w:rPr>
        <w:t>fully carry out its mandate</w:t>
      </w:r>
      <w:r w:rsidR="004D4A94" w:rsidRPr="008A7BD7">
        <w:rPr>
          <w:rFonts w:eastAsia="Calibri"/>
          <w:color w:val="000000" w:themeColor="text1"/>
          <w:lang w:val="en-US"/>
        </w:rPr>
        <w:t>.</w:t>
      </w:r>
    </w:p>
    <w:p w14:paraId="249A63DB" w14:textId="77777777" w:rsidR="004E5599" w:rsidRPr="008A7BD7" w:rsidRDefault="004E5599" w:rsidP="004E5599">
      <w:pPr>
        <w:pStyle w:val="Normal1"/>
        <w:numPr>
          <w:ilvl w:val="0"/>
          <w:numId w:val="0"/>
        </w:numPr>
        <w:spacing w:after="0"/>
        <w:ind w:left="360"/>
        <w:rPr>
          <w:rFonts w:eastAsia="Calibri"/>
          <w:color w:val="000000" w:themeColor="text1"/>
          <w:lang w:val="en-US"/>
        </w:rPr>
      </w:pPr>
    </w:p>
    <w:p w14:paraId="57B09587" w14:textId="73FA8550" w:rsidR="008F71D3" w:rsidRPr="008A7BD7" w:rsidRDefault="00405D85" w:rsidP="00BB65D3">
      <w:pPr>
        <w:pStyle w:val="Normal1"/>
        <w:numPr>
          <w:ilvl w:val="0"/>
          <w:numId w:val="9"/>
        </w:numPr>
        <w:spacing w:after="0"/>
        <w:rPr>
          <w:rFonts w:eastAsia="Times New Roman" w:cs="Times"/>
          <w:lang w:val="en-US" w:eastAsia="es-ES"/>
        </w:rPr>
      </w:pPr>
      <w:r w:rsidRPr="008A7BD7">
        <w:rPr>
          <w:rFonts w:eastAsia="Calibri"/>
          <w:color w:val="000000" w:themeColor="text1"/>
          <w:lang w:val="en-US"/>
        </w:rPr>
        <w:t xml:space="preserve">Strengthen </w:t>
      </w:r>
      <w:r w:rsidR="00B1272B" w:rsidRPr="008A7BD7">
        <w:rPr>
          <w:rFonts w:eastAsia="Calibri"/>
          <w:color w:val="000000" w:themeColor="text1"/>
          <w:lang w:val="en-US"/>
        </w:rPr>
        <w:t xml:space="preserve">the </w:t>
      </w:r>
      <w:r w:rsidRPr="008A7BD7">
        <w:rPr>
          <w:rFonts w:eastAsia="Calibri"/>
          <w:color w:val="000000" w:themeColor="text1"/>
          <w:lang w:val="en-US"/>
        </w:rPr>
        <w:t>institution</w:t>
      </w:r>
      <w:r w:rsidR="00243C66" w:rsidRPr="008A7BD7">
        <w:rPr>
          <w:rFonts w:eastAsia="Calibri"/>
          <w:color w:val="000000" w:themeColor="text1"/>
          <w:lang w:val="en-US"/>
        </w:rPr>
        <w:t xml:space="preserve">s responsible for issues related to </w:t>
      </w:r>
      <w:r w:rsidRPr="008A7BD7">
        <w:rPr>
          <w:rFonts w:eastAsia="Calibri"/>
          <w:color w:val="000000" w:themeColor="text1"/>
          <w:lang w:val="en-US"/>
        </w:rPr>
        <w:t>peace</w:t>
      </w:r>
      <w:r w:rsidR="00243C66" w:rsidRPr="008A7BD7">
        <w:rPr>
          <w:rFonts w:eastAsia="Calibri"/>
          <w:color w:val="000000" w:themeColor="text1"/>
          <w:lang w:val="en-US"/>
        </w:rPr>
        <w:t xml:space="preserve">, social conflict, and human rights </w:t>
      </w:r>
      <w:r w:rsidRPr="008A7BD7">
        <w:rPr>
          <w:rFonts w:eastAsia="Calibri"/>
          <w:color w:val="000000" w:themeColor="text1"/>
          <w:lang w:val="en-US"/>
        </w:rPr>
        <w:t xml:space="preserve">by means of an adequate legal </w:t>
      </w:r>
      <w:r w:rsidR="00243C66" w:rsidRPr="008A7BD7">
        <w:rPr>
          <w:rFonts w:eastAsia="Calibri"/>
          <w:color w:val="000000" w:themeColor="text1"/>
          <w:lang w:val="en-US"/>
        </w:rPr>
        <w:t xml:space="preserve">framework </w:t>
      </w:r>
      <w:r w:rsidRPr="008A7BD7">
        <w:rPr>
          <w:rFonts w:eastAsia="Calibri"/>
          <w:color w:val="000000" w:themeColor="text1"/>
          <w:lang w:val="en-US"/>
        </w:rPr>
        <w:t xml:space="preserve">and </w:t>
      </w:r>
      <w:r w:rsidR="008158B0" w:rsidRPr="008A7BD7">
        <w:rPr>
          <w:rFonts w:eastAsia="Calibri"/>
          <w:color w:val="000000" w:themeColor="text1"/>
          <w:lang w:val="en-US"/>
        </w:rPr>
        <w:t xml:space="preserve">the </w:t>
      </w:r>
      <w:r w:rsidRPr="008A7BD7">
        <w:rPr>
          <w:rFonts w:eastAsia="Calibri"/>
          <w:color w:val="000000" w:themeColor="text1"/>
          <w:lang w:val="en-US"/>
        </w:rPr>
        <w:t xml:space="preserve">budgetary and human resources that enable agencies such as </w:t>
      </w:r>
      <w:r w:rsidR="008F71D3" w:rsidRPr="008A7BD7">
        <w:rPr>
          <w:rFonts w:eastAsia="Times New Roman" w:cs="Times"/>
          <w:lang w:val="en-US" w:eastAsia="es-ES"/>
        </w:rPr>
        <w:t xml:space="preserve">COPADEH </w:t>
      </w:r>
      <w:r w:rsidRPr="008A7BD7">
        <w:rPr>
          <w:rFonts w:eastAsia="Times New Roman" w:cs="Times"/>
          <w:lang w:val="en-US" w:eastAsia="es-ES"/>
        </w:rPr>
        <w:t>to take on the functions and responsibilities of the agencies it replaced.</w:t>
      </w:r>
    </w:p>
    <w:p w14:paraId="76D3383C" w14:textId="77777777" w:rsidR="00491020" w:rsidRPr="008A7BD7" w:rsidRDefault="00491020" w:rsidP="00832A52">
      <w:pPr>
        <w:jc w:val="both"/>
        <w:rPr>
          <w:rFonts w:ascii="Cambria" w:hAnsi="Cambria"/>
          <w:sz w:val="20"/>
          <w:szCs w:val="20"/>
        </w:rPr>
      </w:pPr>
    </w:p>
    <w:p w14:paraId="373E0E95" w14:textId="32190CA1" w:rsidR="00491020" w:rsidRPr="008A7BD7" w:rsidRDefault="00405D85" w:rsidP="00832A52">
      <w:pPr>
        <w:jc w:val="both"/>
        <w:rPr>
          <w:rFonts w:ascii="Cambria" w:hAnsi="Cambria"/>
          <w:b/>
          <w:bCs/>
          <w:sz w:val="20"/>
          <w:szCs w:val="20"/>
          <w:lang w:val="es-419"/>
        </w:rPr>
      </w:pPr>
      <w:proofErr w:type="spellStart"/>
      <w:r w:rsidRPr="008A7BD7">
        <w:rPr>
          <w:rFonts w:ascii="Cambria" w:hAnsi="Cambria"/>
          <w:b/>
          <w:bCs/>
          <w:sz w:val="20"/>
          <w:szCs w:val="20"/>
          <w:lang w:val="es-419"/>
        </w:rPr>
        <w:t>Freedom</w:t>
      </w:r>
      <w:proofErr w:type="spellEnd"/>
      <w:r w:rsidRPr="008A7BD7">
        <w:rPr>
          <w:rFonts w:ascii="Cambria" w:hAnsi="Cambria"/>
          <w:b/>
          <w:bCs/>
          <w:sz w:val="20"/>
          <w:szCs w:val="20"/>
          <w:lang w:val="es-419"/>
        </w:rPr>
        <w:t xml:space="preserve"> of </w:t>
      </w:r>
      <w:proofErr w:type="spellStart"/>
      <w:r w:rsidRPr="008A7BD7">
        <w:rPr>
          <w:rFonts w:ascii="Cambria" w:hAnsi="Cambria"/>
          <w:b/>
          <w:bCs/>
          <w:sz w:val="20"/>
          <w:szCs w:val="20"/>
          <w:lang w:val="es-419"/>
        </w:rPr>
        <w:t>Expression</w:t>
      </w:r>
      <w:proofErr w:type="spellEnd"/>
      <w:r w:rsidR="00491020" w:rsidRPr="008A7BD7">
        <w:rPr>
          <w:rFonts w:ascii="Cambria" w:hAnsi="Cambria"/>
          <w:b/>
          <w:bCs/>
          <w:sz w:val="20"/>
          <w:szCs w:val="20"/>
          <w:lang w:val="es-419"/>
        </w:rPr>
        <w:t xml:space="preserve"> </w:t>
      </w:r>
    </w:p>
    <w:p w14:paraId="4FC50923" w14:textId="18835A4E" w:rsidR="00491020" w:rsidRPr="008A7BD7" w:rsidRDefault="00491020" w:rsidP="00832A52">
      <w:pPr>
        <w:jc w:val="both"/>
        <w:rPr>
          <w:rFonts w:ascii="Cambria" w:hAnsi="Cambria"/>
          <w:sz w:val="20"/>
          <w:szCs w:val="20"/>
          <w:lang w:val="es-419"/>
        </w:rPr>
      </w:pPr>
    </w:p>
    <w:p w14:paraId="76EA51FA" w14:textId="2D57ED90" w:rsidR="00224C9C" w:rsidRPr="008A7BD7" w:rsidRDefault="00405D85" w:rsidP="00BB65D3">
      <w:pPr>
        <w:pStyle w:val="Normal1"/>
        <w:numPr>
          <w:ilvl w:val="0"/>
          <w:numId w:val="9"/>
        </w:numPr>
        <w:spacing w:after="0"/>
        <w:rPr>
          <w:rFonts w:eastAsia="Calibri"/>
          <w:lang w:val="en-US"/>
        </w:rPr>
      </w:pPr>
      <w:r w:rsidRPr="008A7BD7">
        <w:rPr>
          <w:rFonts w:eastAsia="Calibri"/>
          <w:lang w:val="en-US"/>
        </w:rPr>
        <w:t xml:space="preserve">Strengthen the mechanisms available for the protection of those who work in </w:t>
      </w:r>
      <w:r w:rsidR="00974CF9" w:rsidRPr="008A7BD7">
        <w:rPr>
          <w:rFonts w:eastAsia="Calibri"/>
          <w:lang w:val="en-US"/>
        </w:rPr>
        <w:t xml:space="preserve">the field of </w:t>
      </w:r>
      <w:r w:rsidRPr="008A7BD7">
        <w:rPr>
          <w:rFonts w:eastAsia="Calibri"/>
          <w:lang w:val="en-US"/>
        </w:rPr>
        <w:t xml:space="preserve">communication, protecting them from </w:t>
      </w:r>
      <w:r w:rsidR="00974CF9" w:rsidRPr="008A7BD7">
        <w:rPr>
          <w:rFonts w:eastAsia="Calibri"/>
          <w:lang w:val="en-US"/>
        </w:rPr>
        <w:t xml:space="preserve">being </w:t>
      </w:r>
      <w:r w:rsidRPr="008A7BD7">
        <w:rPr>
          <w:rFonts w:eastAsia="Calibri"/>
          <w:lang w:val="en-US"/>
        </w:rPr>
        <w:t>kill</w:t>
      </w:r>
      <w:r w:rsidR="00974CF9" w:rsidRPr="008A7BD7">
        <w:rPr>
          <w:rFonts w:eastAsia="Calibri"/>
          <w:lang w:val="en-US"/>
        </w:rPr>
        <w:t xml:space="preserve">ed or </w:t>
      </w:r>
      <w:r w:rsidRPr="008A7BD7">
        <w:rPr>
          <w:rFonts w:eastAsia="Calibri"/>
          <w:lang w:val="en-US"/>
        </w:rPr>
        <w:t>kidnapp</w:t>
      </w:r>
      <w:r w:rsidR="00974CF9" w:rsidRPr="008A7BD7">
        <w:rPr>
          <w:rFonts w:eastAsia="Calibri"/>
          <w:lang w:val="en-US"/>
        </w:rPr>
        <w:t>ed</w:t>
      </w:r>
      <w:r w:rsidRPr="008A7BD7">
        <w:rPr>
          <w:rFonts w:eastAsia="Calibri"/>
          <w:lang w:val="en-US"/>
        </w:rPr>
        <w:t>, arrest</w:t>
      </w:r>
      <w:r w:rsidR="00974CF9" w:rsidRPr="008A7BD7">
        <w:rPr>
          <w:rFonts w:eastAsia="Calibri"/>
          <w:lang w:val="en-US"/>
        </w:rPr>
        <w:t>ed</w:t>
      </w:r>
      <w:r w:rsidRPr="008A7BD7">
        <w:rPr>
          <w:rFonts w:eastAsia="Calibri"/>
          <w:lang w:val="en-US"/>
        </w:rPr>
        <w:t>,</w:t>
      </w:r>
      <w:r w:rsidR="00974CF9" w:rsidRPr="008A7BD7">
        <w:rPr>
          <w:rFonts w:eastAsia="Calibri"/>
          <w:lang w:val="en-US"/>
        </w:rPr>
        <w:t xml:space="preserve"> </w:t>
      </w:r>
      <w:r w:rsidRPr="008A7BD7">
        <w:rPr>
          <w:rFonts w:eastAsia="Calibri"/>
          <w:lang w:val="en-US"/>
        </w:rPr>
        <w:t>intimidat</w:t>
      </w:r>
      <w:r w:rsidR="00974CF9" w:rsidRPr="008A7BD7">
        <w:rPr>
          <w:rFonts w:eastAsia="Calibri"/>
          <w:lang w:val="en-US"/>
        </w:rPr>
        <w:t>ed, and threatened</w:t>
      </w:r>
      <w:r w:rsidRPr="008A7BD7">
        <w:rPr>
          <w:rFonts w:eastAsia="Calibri"/>
          <w:lang w:val="en-US"/>
        </w:rPr>
        <w:t xml:space="preserve">, including in the context of social protests; redouble efforts to ensure access to effective and </w:t>
      </w:r>
      <w:r w:rsidR="00FF1AD0" w:rsidRPr="008A7BD7">
        <w:rPr>
          <w:rFonts w:eastAsia="Calibri"/>
          <w:lang w:val="en-US"/>
        </w:rPr>
        <w:t xml:space="preserve">swift justice </w:t>
      </w:r>
      <w:r w:rsidR="00C5403C" w:rsidRPr="008A7BD7">
        <w:rPr>
          <w:rFonts w:eastAsia="Calibri"/>
          <w:lang w:val="en-US"/>
        </w:rPr>
        <w:t>when such</w:t>
      </w:r>
      <w:r w:rsidR="00FF1AD0" w:rsidRPr="008A7BD7">
        <w:rPr>
          <w:rFonts w:eastAsia="Calibri"/>
          <w:lang w:val="en-US"/>
        </w:rPr>
        <w:t xml:space="preserve"> cases</w:t>
      </w:r>
      <w:r w:rsidR="00C5403C" w:rsidRPr="008A7BD7">
        <w:rPr>
          <w:rFonts w:eastAsia="Calibri"/>
          <w:lang w:val="en-US"/>
        </w:rPr>
        <w:t xml:space="preserve"> occur</w:t>
      </w:r>
      <w:r w:rsidR="00FF1AD0" w:rsidRPr="008A7BD7">
        <w:rPr>
          <w:rFonts w:eastAsia="Calibri"/>
          <w:lang w:val="en-US"/>
        </w:rPr>
        <w:t xml:space="preserve"> </w:t>
      </w:r>
      <w:r w:rsidR="00C5403C" w:rsidRPr="008A7BD7">
        <w:rPr>
          <w:rFonts w:eastAsia="Calibri"/>
          <w:lang w:val="en-US"/>
        </w:rPr>
        <w:t xml:space="preserve">and </w:t>
      </w:r>
      <w:r w:rsidR="00FF1AD0" w:rsidRPr="008A7BD7">
        <w:rPr>
          <w:rFonts w:eastAsia="Calibri"/>
          <w:lang w:val="en-US"/>
        </w:rPr>
        <w:t>consider the practice of journalism as one of the logical lines of investigation</w:t>
      </w:r>
      <w:r w:rsidR="00C5403C" w:rsidRPr="008A7BD7">
        <w:rPr>
          <w:rFonts w:eastAsia="Calibri"/>
          <w:lang w:val="en-US"/>
        </w:rPr>
        <w:t xml:space="preserve"> to pursue</w:t>
      </w:r>
      <w:r w:rsidR="00FF1AD0" w:rsidRPr="008A7BD7">
        <w:rPr>
          <w:rFonts w:eastAsia="Calibri"/>
          <w:lang w:val="en-US"/>
        </w:rPr>
        <w:t xml:space="preserve">; and ensure that the authorities reject violence against </w:t>
      </w:r>
      <w:r w:rsidR="00C5403C" w:rsidRPr="008A7BD7">
        <w:rPr>
          <w:rFonts w:eastAsia="Calibri"/>
          <w:lang w:val="en-US"/>
        </w:rPr>
        <w:t>media workers</w:t>
      </w:r>
      <w:r w:rsidR="00224C9C" w:rsidRPr="008A7BD7">
        <w:rPr>
          <w:rFonts w:eastAsia="Calibri"/>
          <w:lang w:val="en-US"/>
        </w:rPr>
        <w:t>.</w:t>
      </w:r>
    </w:p>
    <w:p w14:paraId="1895084A" w14:textId="77777777" w:rsidR="00224C9C" w:rsidRPr="008A7BD7" w:rsidRDefault="00224C9C" w:rsidP="00224C9C">
      <w:pPr>
        <w:pStyle w:val="Normal1"/>
        <w:numPr>
          <w:ilvl w:val="0"/>
          <w:numId w:val="0"/>
        </w:numPr>
        <w:spacing w:after="0"/>
        <w:ind w:left="360"/>
        <w:rPr>
          <w:rFonts w:eastAsia="Calibri"/>
          <w:lang w:val="en-US"/>
        </w:rPr>
      </w:pPr>
    </w:p>
    <w:p w14:paraId="1657E779" w14:textId="41160F62" w:rsidR="00224C9C" w:rsidRPr="008A7BD7" w:rsidRDefault="002E6890" w:rsidP="00BB65D3">
      <w:pPr>
        <w:pStyle w:val="Normal1"/>
        <w:numPr>
          <w:ilvl w:val="0"/>
          <w:numId w:val="9"/>
        </w:numPr>
        <w:spacing w:after="0"/>
        <w:rPr>
          <w:rFonts w:eastAsia="Calibri"/>
          <w:lang w:val="en-US"/>
        </w:rPr>
      </w:pPr>
      <w:r w:rsidRPr="008A7BD7">
        <w:rPr>
          <w:rFonts w:eastAsia="Calibri"/>
          <w:lang w:val="en-US"/>
        </w:rPr>
        <w:lastRenderedPageBreak/>
        <w:t xml:space="preserve">Refrain from using criminal proceedings under different types of charges when news </w:t>
      </w:r>
      <w:r w:rsidR="00390221" w:rsidRPr="008A7BD7">
        <w:rPr>
          <w:rFonts w:eastAsia="Calibri"/>
          <w:lang w:val="en-US"/>
        </w:rPr>
        <w:t xml:space="preserve">is disseminated about </w:t>
      </w:r>
      <w:r w:rsidRPr="008A7BD7">
        <w:rPr>
          <w:rFonts w:eastAsia="Calibri"/>
          <w:lang w:val="en-US"/>
        </w:rPr>
        <w:t xml:space="preserve">matters of public interest </w:t>
      </w:r>
      <w:r w:rsidR="00390221" w:rsidRPr="008A7BD7">
        <w:rPr>
          <w:rFonts w:eastAsia="Calibri"/>
          <w:lang w:val="en-US"/>
        </w:rPr>
        <w:t xml:space="preserve">involving </w:t>
      </w:r>
      <w:r w:rsidRPr="008A7BD7">
        <w:rPr>
          <w:rFonts w:eastAsia="Calibri"/>
          <w:lang w:val="en-US"/>
        </w:rPr>
        <w:t>public officials</w:t>
      </w:r>
      <w:r w:rsidR="00390221" w:rsidRPr="008A7BD7">
        <w:rPr>
          <w:rFonts w:eastAsia="Calibri"/>
          <w:lang w:val="en-US"/>
        </w:rPr>
        <w:t xml:space="preserve"> or candidates to public </w:t>
      </w:r>
      <w:proofErr w:type="gramStart"/>
      <w:r w:rsidR="00390221" w:rsidRPr="008A7BD7">
        <w:rPr>
          <w:rFonts w:eastAsia="Calibri"/>
          <w:lang w:val="en-US"/>
        </w:rPr>
        <w:t>office</w:t>
      </w:r>
      <w:r w:rsidRPr="008A7BD7">
        <w:rPr>
          <w:rFonts w:eastAsia="Calibri"/>
          <w:lang w:val="en-US"/>
        </w:rPr>
        <w:t>, and</w:t>
      </w:r>
      <w:proofErr w:type="gramEnd"/>
      <w:r w:rsidRPr="008A7BD7">
        <w:rPr>
          <w:rFonts w:eastAsia="Calibri"/>
          <w:lang w:val="en-US"/>
        </w:rPr>
        <w:t xml:space="preserve"> respect the right of </w:t>
      </w:r>
      <w:r w:rsidR="00390221" w:rsidRPr="008A7BD7">
        <w:rPr>
          <w:rFonts w:eastAsia="Calibri"/>
          <w:lang w:val="en-US"/>
        </w:rPr>
        <w:t xml:space="preserve">all media workers </w:t>
      </w:r>
      <w:r w:rsidRPr="008A7BD7">
        <w:rPr>
          <w:rFonts w:eastAsia="Calibri"/>
          <w:lang w:val="en-US"/>
        </w:rPr>
        <w:t>to refuse to reveal their sources of information</w:t>
      </w:r>
      <w:r w:rsidR="00390221" w:rsidRPr="008A7BD7">
        <w:rPr>
          <w:rFonts w:eastAsia="Calibri"/>
          <w:lang w:val="en-US"/>
        </w:rPr>
        <w:t>,</w:t>
      </w:r>
      <w:r w:rsidRPr="008A7BD7">
        <w:rPr>
          <w:rFonts w:eastAsia="Calibri"/>
          <w:lang w:val="en-US"/>
        </w:rPr>
        <w:t xml:space="preserve"> </w:t>
      </w:r>
      <w:r w:rsidR="00390221" w:rsidRPr="008A7BD7">
        <w:rPr>
          <w:rFonts w:eastAsia="Calibri"/>
          <w:lang w:val="en-US"/>
        </w:rPr>
        <w:t xml:space="preserve">or </w:t>
      </w:r>
      <w:r w:rsidRPr="008A7BD7">
        <w:rPr>
          <w:rFonts w:eastAsia="Calibri"/>
          <w:lang w:val="en-US"/>
        </w:rPr>
        <w:t>the result</w:t>
      </w:r>
      <w:r w:rsidR="00390221" w:rsidRPr="008A7BD7">
        <w:rPr>
          <w:rFonts w:eastAsia="Calibri"/>
          <w:lang w:val="en-US"/>
        </w:rPr>
        <w:t>s</w:t>
      </w:r>
      <w:r w:rsidRPr="008A7BD7">
        <w:rPr>
          <w:rFonts w:eastAsia="Calibri"/>
          <w:lang w:val="en-US"/>
        </w:rPr>
        <w:t xml:space="preserve"> of their investigations, to private entities, third parties, or </w:t>
      </w:r>
      <w:r w:rsidR="00612FC3" w:rsidRPr="008A7BD7">
        <w:rPr>
          <w:rFonts w:eastAsia="Calibri"/>
          <w:lang w:val="en-US"/>
        </w:rPr>
        <w:t>public or judicial authorities.</w:t>
      </w:r>
      <w:r w:rsidR="00224C9C" w:rsidRPr="008A7BD7">
        <w:rPr>
          <w:rFonts w:eastAsia="Calibri"/>
          <w:lang w:val="en-US"/>
        </w:rPr>
        <w:t>  </w:t>
      </w:r>
    </w:p>
    <w:p w14:paraId="6CE239CC" w14:textId="77777777" w:rsidR="00224C9C" w:rsidRPr="008A7BD7" w:rsidRDefault="00224C9C" w:rsidP="00224C9C">
      <w:pPr>
        <w:pStyle w:val="Normal1"/>
        <w:numPr>
          <w:ilvl w:val="0"/>
          <w:numId w:val="0"/>
        </w:numPr>
        <w:spacing w:after="0"/>
        <w:ind w:left="360"/>
        <w:rPr>
          <w:rFonts w:eastAsia="Calibri"/>
          <w:lang w:val="en-US"/>
        </w:rPr>
      </w:pPr>
    </w:p>
    <w:p w14:paraId="4557C5FA" w14:textId="739307AA" w:rsidR="00224C9C" w:rsidRPr="008A7BD7" w:rsidRDefault="00390221" w:rsidP="00BB65D3">
      <w:pPr>
        <w:pStyle w:val="Normal1"/>
        <w:numPr>
          <w:ilvl w:val="0"/>
          <w:numId w:val="9"/>
        </w:numPr>
        <w:spacing w:after="0"/>
        <w:rPr>
          <w:rFonts w:eastAsia="Calibri"/>
          <w:lang w:val="en-US"/>
        </w:rPr>
      </w:pPr>
      <w:r w:rsidRPr="008A7BD7">
        <w:rPr>
          <w:rFonts w:eastAsia="Calibri"/>
          <w:lang w:val="en-US"/>
        </w:rPr>
        <w:t>Ensure</w:t>
      </w:r>
      <w:r w:rsidR="00512F3D" w:rsidRPr="008A7BD7">
        <w:rPr>
          <w:rFonts w:eastAsia="Calibri"/>
          <w:lang w:val="en-US"/>
        </w:rPr>
        <w:t xml:space="preserve"> that public office</w:t>
      </w:r>
      <w:r w:rsidR="003C1C07" w:rsidRPr="008A7BD7">
        <w:rPr>
          <w:rFonts w:eastAsia="Calibri"/>
          <w:lang w:val="en-US"/>
        </w:rPr>
        <w:t xml:space="preserve"> holders</w:t>
      </w:r>
      <w:r w:rsidR="00512F3D" w:rsidRPr="008A7BD7">
        <w:rPr>
          <w:rFonts w:eastAsia="Calibri"/>
          <w:lang w:val="en-US"/>
        </w:rPr>
        <w:t xml:space="preserve"> do not promote intolerance, discrimination, or disinformation—including on Internet platforms—and </w:t>
      </w:r>
      <w:r w:rsidRPr="008A7BD7">
        <w:rPr>
          <w:rFonts w:eastAsia="Calibri"/>
          <w:lang w:val="en-US"/>
        </w:rPr>
        <w:t xml:space="preserve">that they </w:t>
      </w:r>
      <w:r w:rsidR="00512F3D" w:rsidRPr="008A7BD7">
        <w:rPr>
          <w:rFonts w:eastAsia="Calibri"/>
          <w:lang w:val="en-US"/>
        </w:rPr>
        <w:t xml:space="preserve">do not create, through their discourse, a climate of hostility against journalists, </w:t>
      </w:r>
      <w:r w:rsidR="003C1C07" w:rsidRPr="008A7BD7">
        <w:rPr>
          <w:rFonts w:eastAsia="Calibri"/>
          <w:lang w:val="en-US"/>
        </w:rPr>
        <w:t>media workers</w:t>
      </w:r>
      <w:r w:rsidR="00512F3D" w:rsidRPr="008A7BD7">
        <w:rPr>
          <w:rFonts w:eastAsia="Calibri"/>
          <w:lang w:val="en-US"/>
        </w:rPr>
        <w:t>, and media outlets; rather, the</w:t>
      </w:r>
      <w:r w:rsidR="003C1C07" w:rsidRPr="008A7BD7">
        <w:rPr>
          <w:rFonts w:eastAsia="Calibri"/>
          <w:lang w:val="en-US"/>
        </w:rPr>
        <w:t>se</w:t>
      </w:r>
      <w:r w:rsidR="00512F3D" w:rsidRPr="008A7BD7">
        <w:rPr>
          <w:rFonts w:eastAsia="Calibri"/>
          <w:lang w:val="en-US"/>
        </w:rPr>
        <w:t xml:space="preserve"> authorities should rationally and diligently verify the facts on which they base their opinions and use their leadership positions to promote respect for diversity and provide </w:t>
      </w:r>
      <w:r w:rsidR="00EF20D4" w:rsidRPr="008A7BD7">
        <w:rPr>
          <w:rFonts w:eastAsia="Calibri"/>
          <w:lang w:val="en-US"/>
        </w:rPr>
        <w:t xml:space="preserve">fair </w:t>
      </w:r>
      <w:r w:rsidR="001E7A1A" w:rsidRPr="008A7BD7">
        <w:rPr>
          <w:rFonts w:eastAsia="Calibri"/>
          <w:lang w:val="en-US"/>
        </w:rPr>
        <w:t>access to information</w:t>
      </w:r>
      <w:r w:rsidR="00EF20D4" w:rsidRPr="008A7BD7">
        <w:rPr>
          <w:rFonts w:eastAsia="Calibri"/>
          <w:lang w:val="en-US"/>
        </w:rPr>
        <w:t xml:space="preserve"> through official events, press conferences, and interviews</w:t>
      </w:r>
      <w:r w:rsidR="00512F3D" w:rsidRPr="008A7BD7">
        <w:rPr>
          <w:rFonts w:eastAsia="Calibri"/>
          <w:lang w:val="en-US"/>
        </w:rPr>
        <w:t>.</w:t>
      </w:r>
      <w:r w:rsidR="00EF20D4" w:rsidRPr="008A7BD7">
        <w:rPr>
          <w:rFonts w:eastAsia="Calibri"/>
          <w:lang w:val="en-US"/>
        </w:rPr>
        <w:t xml:space="preserve"> </w:t>
      </w:r>
    </w:p>
    <w:p w14:paraId="78AC96F4" w14:textId="77777777" w:rsidR="00224C9C" w:rsidRPr="008A7BD7" w:rsidRDefault="00224C9C" w:rsidP="00224C9C">
      <w:pPr>
        <w:pStyle w:val="Normal1"/>
        <w:numPr>
          <w:ilvl w:val="0"/>
          <w:numId w:val="0"/>
        </w:numPr>
        <w:spacing w:after="0"/>
        <w:ind w:left="360"/>
        <w:rPr>
          <w:rFonts w:eastAsia="Calibri"/>
          <w:lang w:val="en-US"/>
        </w:rPr>
      </w:pPr>
    </w:p>
    <w:p w14:paraId="5352EA6D" w14:textId="100B8E66" w:rsidR="00224C9C" w:rsidRPr="008A7BD7" w:rsidRDefault="00EF20D4" w:rsidP="00BB65D3">
      <w:pPr>
        <w:pStyle w:val="Normal1"/>
        <w:numPr>
          <w:ilvl w:val="0"/>
          <w:numId w:val="9"/>
        </w:numPr>
        <w:spacing w:after="0"/>
        <w:rPr>
          <w:rFonts w:eastAsia="Calibri"/>
          <w:lang w:val="en-US"/>
        </w:rPr>
      </w:pPr>
      <w:r w:rsidRPr="008A7BD7">
        <w:rPr>
          <w:rFonts w:eastAsia="Calibri"/>
          <w:lang w:val="en-US"/>
        </w:rPr>
        <w:t xml:space="preserve">Repeal the amendments to the </w:t>
      </w:r>
      <w:r w:rsidR="00117603" w:rsidRPr="008A7BD7">
        <w:rPr>
          <w:rFonts w:eastAsia="Times New Roman" w:cs="Tahoma"/>
          <w:color w:val="000000" w:themeColor="text1"/>
          <w:lang w:val="en-US" w:eastAsia="es-ES"/>
        </w:rPr>
        <w:t>Law on Nongovernmental Development Organizations and to the Civil Code</w:t>
      </w:r>
      <w:r w:rsidR="000330B3" w:rsidRPr="008A7BD7">
        <w:rPr>
          <w:rFonts w:eastAsia="Times New Roman" w:cs="Tahoma"/>
          <w:color w:val="000000" w:themeColor="text1"/>
          <w:lang w:val="en-US" w:eastAsia="es-ES"/>
        </w:rPr>
        <w:t xml:space="preserve"> of Guatemala</w:t>
      </w:r>
      <w:r w:rsidR="00117603" w:rsidRPr="008A7BD7">
        <w:rPr>
          <w:rFonts w:eastAsia="Times New Roman" w:cs="Tahoma"/>
          <w:color w:val="000000" w:themeColor="text1"/>
          <w:lang w:val="en-US" w:eastAsia="es-ES"/>
        </w:rPr>
        <w:t>,</w:t>
      </w:r>
      <w:r w:rsidR="00117603" w:rsidRPr="008A7BD7">
        <w:rPr>
          <w:rFonts w:eastAsia="Calibri"/>
          <w:lang w:val="en-US"/>
        </w:rPr>
        <w:t xml:space="preserve"> approved by means of </w:t>
      </w:r>
      <w:r w:rsidR="00224C9C" w:rsidRPr="008A7BD7">
        <w:rPr>
          <w:rFonts w:eastAsia="Calibri"/>
          <w:lang w:val="en-US"/>
        </w:rPr>
        <w:t>Decre</w:t>
      </w:r>
      <w:r w:rsidR="00117603" w:rsidRPr="008A7BD7">
        <w:rPr>
          <w:rFonts w:eastAsia="Calibri"/>
          <w:lang w:val="en-US"/>
        </w:rPr>
        <w:t>e</w:t>
      </w:r>
      <w:r w:rsidR="00224C9C" w:rsidRPr="008A7BD7">
        <w:rPr>
          <w:rFonts w:eastAsia="Calibri"/>
          <w:lang w:val="en-US"/>
        </w:rPr>
        <w:t xml:space="preserve"> 4-2020 </w:t>
      </w:r>
      <w:r w:rsidR="00117603" w:rsidRPr="008A7BD7">
        <w:rPr>
          <w:rFonts w:eastAsia="Calibri"/>
          <w:lang w:val="en-US"/>
        </w:rPr>
        <w:t xml:space="preserve">of February 11, </w:t>
      </w:r>
      <w:r w:rsidR="00224C9C" w:rsidRPr="008A7BD7">
        <w:rPr>
          <w:rFonts w:eastAsia="Calibri"/>
          <w:lang w:val="en-US"/>
        </w:rPr>
        <w:t>2020, </w:t>
      </w:r>
      <w:r w:rsidR="00117603" w:rsidRPr="008A7BD7">
        <w:rPr>
          <w:rFonts w:eastAsia="Calibri"/>
          <w:lang w:val="en-US"/>
        </w:rPr>
        <w:t xml:space="preserve">and </w:t>
      </w:r>
      <w:r w:rsidR="003C1C07" w:rsidRPr="008A7BD7">
        <w:rPr>
          <w:rFonts w:eastAsia="Calibri"/>
          <w:lang w:val="en-US"/>
        </w:rPr>
        <w:t>refrain from</w:t>
      </w:r>
      <w:r w:rsidR="00117603" w:rsidRPr="008A7BD7">
        <w:rPr>
          <w:rFonts w:eastAsia="Calibri"/>
          <w:lang w:val="en-US"/>
        </w:rPr>
        <w:t xml:space="preserve"> adopt</w:t>
      </w:r>
      <w:r w:rsidR="003C1C07" w:rsidRPr="008A7BD7">
        <w:rPr>
          <w:rFonts w:eastAsia="Calibri"/>
          <w:lang w:val="en-US"/>
        </w:rPr>
        <w:t>ing</w:t>
      </w:r>
      <w:r w:rsidR="00117603" w:rsidRPr="008A7BD7">
        <w:rPr>
          <w:rFonts w:eastAsia="Calibri"/>
          <w:lang w:val="en-US"/>
        </w:rPr>
        <w:t xml:space="preserve"> legislative measures, even on an exceptional basis, that could illegitimately or disproportionately restrict the exercise of freedom of expression in </w:t>
      </w:r>
      <w:r w:rsidR="003C1C07" w:rsidRPr="008A7BD7">
        <w:rPr>
          <w:rFonts w:eastAsia="Calibri"/>
          <w:lang w:val="en-US"/>
        </w:rPr>
        <w:t xml:space="preserve">the form of </w:t>
      </w:r>
      <w:r w:rsidR="00117603" w:rsidRPr="008A7BD7">
        <w:rPr>
          <w:rFonts w:eastAsia="Calibri"/>
          <w:lang w:val="en-US"/>
        </w:rPr>
        <w:t xml:space="preserve">social protests, independent editorial views, civil society organizations, or other means in which citizens can express their ideas and receive information. </w:t>
      </w:r>
    </w:p>
    <w:p w14:paraId="7BEC9619" w14:textId="77777777" w:rsidR="00224C9C" w:rsidRPr="008A7BD7" w:rsidRDefault="00224C9C" w:rsidP="00224C9C">
      <w:pPr>
        <w:pStyle w:val="Normal1"/>
        <w:numPr>
          <w:ilvl w:val="0"/>
          <w:numId w:val="0"/>
        </w:numPr>
        <w:spacing w:after="0"/>
        <w:ind w:left="360"/>
        <w:rPr>
          <w:rFonts w:eastAsia="Calibri"/>
          <w:lang w:val="en-US"/>
        </w:rPr>
      </w:pPr>
    </w:p>
    <w:p w14:paraId="2EF832F0" w14:textId="475770D9" w:rsidR="00224C9C" w:rsidRPr="008A7BD7" w:rsidRDefault="0002615C" w:rsidP="00BB65D3">
      <w:pPr>
        <w:pStyle w:val="Normal1"/>
        <w:numPr>
          <w:ilvl w:val="0"/>
          <w:numId w:val="9"/>
        </w:numPr>
        <w:spacing w:after="0"/>
        <w:rPr>
          <w:rFonts w:eastAsia="Calibri"/>
          <w:lang w:val="en-US"/>
        </w:rPr>
      </w:pPr>
      <w:r w:rsidRPr="008A7BD7">
        <w:rPr>
          <w:rFonts w:eastAsia="Calibri"/>
          <w:lang w:val="en-US"/>
        </w:rPr>
        <w:t xml:space="preserve">Implement measures to </w:t>
      </w:r>
      <w:r w:rsidR="0017787B" w:rsidRPr="008A7BD7">
        <w:rPr>
          <w:rFonts w:eastAsia="Calibri"/>
          <w:lang w:val="en-US"/>
        </w:rPr>
        <w:t>broaden</w:t>
      </w:r>
      <w:r w:rsidRPr="008A7BD7">
        <w:rPr>
          <w:rFonts w:eastAsia="Calibri"/>
          <w:lang w:val="en-US"/>
        </w:rPr>
        <w:t xml:space="preserve"> access to information and diversity</w:t>
      </w:r>
      <w:r w:rsidR="00224C9C" w:rsidRPr="008A7BD7">
        <w:rPr>
          <w:rFonts w:eastAsia="Calibri"/>
          <w:lang w:val="en-US"/>
        </w:rPr>
        <w:t xml:space="preserve"> </w:t>
      </w:r>
      <w:r w:rsidRPr="008A7BD7">
        <w:rPr>
          <w:rFonts w:eastAsia="Calibri"/>
          <w:lang w:val="en-US"/>
        </w:rPr>
        <w:t>of voices in the public debate</w:t>
      </w:r>
      <w:r w:rsidR="00974858" w:rsidRPr="008A7BD7">
        <w:rPr>
          <w:rFonts w:eastAsia="Calibri"/>
          <w:lang w:val="en-US"/>
        </w:rPr>
        <w:t xml:space="preserve">, </w:t>
      </w:r>
      <w:r w:rsidRPr="008A7BD7">
        <w:rPr>
          <w:rFonts w:eastAsia="Calibri"/>
          <w:lang w:val="en-US"/>
        </w:rPr>
        <w:t>grant</w:t>
      </w:r>
      <w:r w:rsidR="00974858" w:rsidRPr="008A7BD7">
        <w:rPr>
          <w:rFonts w:eastAsia="Calibri"/>
          <w:lang w:val="en-US"/>
        </w:rPr>
        <w:t>ing</w:t>
      </w:r>
      <w:r w:rsidRPr="008A7BD7">
        <w:rPr>
          <w:rFonts w:eastAsia="Calibri"/>
          <w:lang w:val="en-US"/>
        </w:rPr>
        <w:t xml:space="preserve"> legal recognition to community radio stations</w:t>
      </w:r>
      <w:r w:rsidR="00A42EA4" w:rsidRPr="008A7BD7">
        <w:rPr>
          <w:rFonts w:eastAsia="Calibri"/>
          <w:lang w:val="en-US"/>
        </w:rPr>
        <w:t>,</w:t>
      </w:r>
      <w:r w:rsidRPr="008A7BD7">
        <w:rPr>
          <w:rFonts w:eastAsia="Calibri"/>
          <w:lang w:val="en-US"/>
        </w:rPr>
        <w:t xml:space="preserve"> </w:t>
      </w:r>
      <w:proofErr w:type="gramStart"/>
      <w:r w:rsidRPr="008A7BD7">
        <w:rPr>
          <w:rFonts w:eastAsia="Calibri"/>
          <w:lang w:val="en-US"/>
        </w:rPr>
        <w:t>giving consideration to</w:t>
      </w:r>
      <w:proofErr w:type="gramEnd"/>
      <w:r w:rsidRPr="008A7BD7">
        <w:rPr>
          <w:rFonts w:eastAsia="Calibri"/>
          <w:lang w:val="en-US"/>
        </w:rPr>
        <w:t xml:space="preserve"> </w:t>
      </w:r>
      <w:r w:rsidR="0017787B" w:rsidRPr="008A7BD7">
        <w:rPr>
          <w:rFonts w:eastAsia="Calibri"/>
          <w:lang w:val="en-US"/>
        </w:rPr>
        <w:t>reserving</w:t>
      </w:r>
      <w:r w:rsidRPr="008A7BD7">
        <w:rPr>
          <w:rFonts w:eastAsia="Calibri"/>
          <w:lang w:val="en-US"/>
        </w:rPr>
        <w:t xml:space="preserve"> parts of the spectrum for these types of media outlets</w:t>
      </w:r>
      <w:r w:rsidR="00974858" w:rsidRPr="008A7BD7">
        <w:rPr>
          <w:rFonts w:eastAsia="Calibri"/>
          <w:lang w:val="en-US"/>
        </w:rPr>
        <w:t>,</w:t>
      </w:r>
      <w:r w:rsidR="00A42EA4" w:rsidRPr="008A7BD7">
        <w:rPr>
          <w:rFonts w:eastAsia="Calibri"/>
          <w:lang w:val="en-US"/>
        </w:rPr>
        <w:t xml:space="preserve"> and</w:t>
      </w:r>
      <w:r w:rsidRPr="008A7BD7">
        <w:rPr>
          <w:rFonts w:eastAsia="Calibri"/>
          <w:lang w:val="en-US"/>
        </w:rPr>
        <w:t xml:space="preserve"> providing conditions </w:t>
      </w:r>
      <w:r w:rsidR="00A42EA4" w:rsidRPr="008A7BD7">
        <w:rPr>
          <w:rFonts w:eastAsia="Calibri"/>
          <w:lang w:val="en-US"/>
        </w:rPr>
        <w:t>for equitable</w:t>
      </w:r>
      <w:r w:rsidRPr="008A7BD7">
        <w:rPr>
          <w:rFonts w:eastAsia="Calibri"/>
          <w:lang w:val="en-US"/>
        </w:rPr>
        <w:t xml:space="preserve"> access to licenses</w:t>
      </w:r>
      <w:r w:rsidR="00974858" w:rsidRPr="008A7BD7">
        <w:rPr>
          <w:rFonts w:eastAsia="Calibri"/>
          <w:lang w:val="en-US"/>
        </w:rPr>
        <w:t>. Take</w:t>
      </w:r>
      <w:r w:rsidRPr="008A7BD7">
        <w:rPr>
          <w:rFonts w:eastAsia="Calibri"/>
          <w:lang w:val="en-US"/>
        </w:rPr>
        <w:t xml:space="preserve"> steps to progressively promote universal access to the infrastructure of the Internet and the technology </w:t>
      </w:r>
      <w:r w:rsidR="0017787B" w:rsidRPr="008A7BD7">
        <w:rPr>
          <w:rFonts w:eastAsia="Calibri"/>
          <w:lang w:val="en-US"/>
        </w:rPr>
        <w:t>required for high-</w:t>
      </w:r>
      <w:r w:rsidR="00173C2A" w:rsidRPr="008A7BD7">
        <w:rPr>
          <w:rFonts w:eastAsia="Calibri"/>
          <w:lang w:val="en-US"/>
        </w:rPr>
        <w:t xml:space="preserve">quality </w:t>
      </w:r>
      <w:r w:rsidR="00A42EA4" w:rsidRPr="008A7BD7">
        <w:rPr>
          <w:rFonts w:eastAsia="Calibri"/>
          <w:lang w:val="en-US"/>
        </w:rPr>
        <w:t xml:space="preserve">Internet </w:t>
      </w:r>
      <w:r w:rsidR="00AD12F3" w:rsidRPr="008A7BD7">
        <w:rPr>
          <w:rFonts w:eastAsia="Calibri"/>
          <w:lang w:val="en-US"/>
        </w:rPr>
        <w:t>access</w:t>
      </w:r>
      <w:r w:rsidR="00224C9C" w:rsidRPr="008A7BD7">
        <w:rPr>
          <w:rFonts w:eastAsia="Calibri"/>
          <w:lang w:val="en-US"/>
        </w:rPr>
        <w:t>.</w:t>
      </w:r>
    </w:p>
    <w:p w14:paraId="7A25593B" w14:textId="77777777" w:rsidR="007462BE" w:rsidRPr="008A7BD7" w:rsidRDefault="007462BE" w:rsidP="007462BE">
      <w:pPr>
        <w:pStyle w:val="ListParagraph"/>
        <w:rPr>
          <w:rFonts w:eastAsia="Calibri"/>
        </w:rPr>
      </w:pPr>
    </w:p>
    <w:p w14:paraId="05DD334F" w14:textId="240D8557" w:rsidR="007462BE" w:rsidRPr="008A7BD7" w:rsidRDefault="005A586A" w:rsidP="007462BE">
      <w:pPr>
        <w:pStyle w:val="Normal1"/>
        <w:numPr>
          <w:ilvl w:val="0"/>
          <w:numId w:val="0"/>
        </w:numPr>
        <w:spacing w:after="0"/>
        <w:rPr>
          <w:rFonts w:eastAsia="Calibri"/>
          <w:b/>
          <w:bCs/>
          <w:lang w:val="en-US"/>
        </w:rPr>
      </w:pPr>
      <w:r w:rsidRPr="008A7BD7">
        <w:rPr>
          <w:rFonts w:eastAsia="Calibri"/>
          <w:b/>
          <w:bCs/>
          <w:lang w:val="en-US"/>
        </w:rPr>
        <w:t xml:space="preserve">Economic, Social, Cultural, and Environmental Rights </w:t>
      </w:r>
    </w:p>
    <w:p w14:paraId="12060F61" w14:textId="77777777" w:rsidR="007462BE" w:rsidRPr="008A7BD7" w:rsidRDefault="007462BE" w:rsidP="007462BE">
      <w:pPr>
        <w:pStyle w:val="Normal1"/>
        <w:numPr>
          <w:ilvl w:val="0"/>
          <w:numId w:val="0"/>
        </w:numPr>
        <w:spacing w:after="0"/>
        <w:ind w:left="360"/>
        <w:rPr>
          <w:lang w:val="en-US"/>
        </w:rPr>
      </w:pPr>
    </w:p>
    <w:p w14:paraId="0D88C020" w14:textId="2E8E6558" w:rsidR="007462BE" w:rsidRPr="008A7BD7" w:rsidRDefault="007C2BA5" w:rsidP="007462BE">
      <w:pPr>
        <w:pStyle w:val="Normal1"/>
        <w:numPr>
          <w:ilvl w:val="0"/>
          <w:numId w:val="9"/>
        </w:numPr>
        <w:spacing w:after="0"/>
        <w:rPr>
          <w:rFonts w:eastAsia="Calibri"/>
          <w:lang w:val="en-US"/>
        </w:rPr>
      </w:pPr>
      <w:r w:rsidRPr="008A7BD7">
        <w:rPr>
          <w:rFonts w:eastAsia="Calibri"/>
          <w:lang w:val="en-US"/>
        </w:rPr>
        <w:t xml:space="preserve">Increase efforts to combat poverty, extreme poverty, and hunger, gearing all public policy toward the exercise and enjoyment of economic, social, cultural, and environmental rights, with </w:t>
      </w:r>
      <w:r w:rsidR="00974858" w:rsidRPr="008A7BD7">
        <w:rPr>
          <w:rFonts w:eastAsia="Calibri"/>
          <w:lang w:val="en-US"/>
        </w:rPr>
        <w:t xml:space="preserve">a </w:t>
      </w:r>
      <w:r w:rsidRPr="008A7BD7">
        <w:rPr>
          <w:rFonts w:eastAsia="Calibri"/>
          <w:lang w:val="en-US"/>
        </w:rPr>
        <w:t xml:space="preserve">particular focus on groups in especially vulnerable situations and </w:t>
      </w:r>
      <w:r w:rsidR="007A414A" w:rsidRPr="008A7BD7">
        <w:rPr>
          <w:rFonts w:eastAsia="Calibri"/>
          <w:lang w:val="en-US"/>
        </w:rPr>
        <w:t>on</w:t>
      </w:r>
      <w:r w:rsidR="00B7202F" w:rsidRPr="008A7BD7">
        <w:rPr>
          <w:rFonts w:eastAsia="Calibri"/>
          <w:lang w:val="en-US"/>
        </w:rPr>
        <w:t xml:space="preserve"> </w:t>
      </w:r>
      <w:r w:rsidRPr="008A7BD7">
        <w:rPr>
          <w:rFonts w:eastAsia="Calibri"/>
          <w:lang w:val="en-US"/>
        </w:rPr>
        <w:t xml:space="preserve">the </w:t>
      </w:r>
      <w:r w:rsidR="00B6491B" w:rsidRPr="008A7BD7">
        <w:rPr>
          <w:rFonts w:eastAsia="Calibri"/>
          <w:lang w:val="en-US"/>
        </w:rPr>
        <w:t xml:space="preserve">failure to </w:t>
      </w:r>
      <w:r w:rsidRPr="008A7BD7">
        <w:rPr>
          <w:rFonts w:eastAsia="Calibri"/>
          <w:lang w:val="en-US"/>
        </w:rPr>
        <w:t>guarantee</w:t>
      </w:r>
      <w:r w:rsidR="00B6491B" w:rsidRPr="008A7BD7">
        <w:rPr>
          <w:rFonts w:eastAsia="Calibri"/>
          <w:lang w:val="en-US"/>
        </w:rPr>
        <w:t xml:space="preserve"> these rights</w:t>
      </w:r>
      <w:r w:rsidRPr="008A7BD7">
        <w:rPr>
          <w:rFonts w:eastAsia="Calibri"/>
          <w:lang w:val="en-US"/>
        </w:rPr>
        <w:t xml:space="preserve"> as a </w:t>
      </w:r>
      <w:r w:rsidR="007A414A" w:rsidRPr="008A7BD7">
        <w:rPr>
          <w:rFonts w:eastAsia="Calibri"/>
          <w:lang w:val="en-US"/>
        </w:rPr>
        <w:t>cause of</w:t>
      </w:r>
      <w:r w:rsidRPr="008A7BD7">
        <w:rPr>
          <w:rFonts w:eastAsia="Calibri"/>
          <w:lang w:val="en-US"/>
        </w:rPr>
        <w:t xml:space="preserve"> human mobility. </w:t>
      </w:r>
    </w:p>
    <w:p w14:paraId="523F54D4" w14:textId="77777777" w:rsidR="007462BE" w:rsidRPr="008A7BD7" w:rsidRDefault="007462BE" w:rsidP="007462BE">
      <w:pPr>
        <w:pStyle w:val="Normal1"/>
        <w:numPr>
          <w:ilvl w:val="0"/>
          <w:numId w:val="0"/>
        </w:numPr>
        <w:spacing w:after="0"/>
        <w:ind w:left="360"/>
        <w:rPr>
          <w:rFonts w:eastAsia="Calibri"/>
          <w:lang w:val="en-US"/>
        </w:rPr>
      </w:pPr>
    </w:p>
    <w:p w14:paraId="62A6349C" w14:textId="18BA9B12" w:rsidR="007462BE" w:rsidRPr="008A7BD7" w:rsidRDefault="007C2BA5" w:rsidP="007462BE">
      <w:pPr>
        <w:pStyle w:val="Normal1"/>
        <w:numPr>
          <w:ilvl w:val="0"/>
          <w:numId w:val="9"/>
        </w:numPr>
        <w:spacing w:after="0"/>
        <w:rPr>
          <w:rFonts w:eastAsia="Calibri"/>
          <w:lang w:val="en-US"/>
        </w:rPr>
      </w:pPr>
      <w:r w:rsidRPr="008A7BD7">
        <w:rPr>
          <w:rFonts w:eastAsia="Calibri"/>
          <w:lang w:val="en-US"/>
        </w:rPr>
        <w:t xml:space="preserve">Adopt a policy of transparency and </w:t>
      </w:r>
      <w:r w:rsidR="00B7202F" w:rsidRPr="008A7BD7">
        <w:rPr>
          <w:rFonts w:eastAsia="Calibri"/>
          <w:lang w:val="en-US"/>
        </w:rPr>
        <w:t xml:space="preserve">closely </w:t>
      </w:r>
      <w:r w:rsidRPr="008A7BD7">
        <w:rPr>
          <w:rFonts w:eastAsia="Calibri"/>
          <w:lang w:val="en-US"/>
        </w:rPr>
        <w:t>monitor</w:t>
      </w:r>
      <w:r w:rsidR="00B7202F" w:rsidRPr="008A7BD7">
        <w:rPr>
          <w:rFonts w:eastAsia="Calibri"/>
          <w:lang w:val="en-US"/>
        </w:rPr>
        <w:t xml:space="preserve"> </w:t>
      </w:r>
      <w:r w:rsidRPr="008A7BD7">
        <w:rPr>
          <w:rFonts w:eastAsia="Calibri"/>
          <w:lang w:val="en-US"/>
        </w:rPr>
        <w:t xml:space="preserve">the </w:t>
      </w:r>
      <w:r w:rsidR="00B7202F" w:rsidRPr="008A7BD7">
        <w:rPr>
          <w:rFonts w:eastAsia="Calibri"/>
          <w:lang w:val="en-US"/>
        </w:rPr>
        <w:t xml:space="preserve">process of </w:t>
      </w:r>
      <w:r w:rsidRPr="008A7BD7">
        <w:rPr>
          <w:rFonts w:eastAsia="Calibri"/>
          <w:lang w:val="en-US"/>
        </w:rPr>
        <w:t>acquir</w:t>
      </w:r>
      <w:r w:rsidR="00B7202F" w:rsidRPr="008A7BD7">
        <w:rPr>
          <w:rFonts w:eastAsia="Calibri"/>
          <w:lang w:val="en-US"/>
        </w:rPr>
        <w:t>ing</w:t>
      </w:r>
      <w:r w:rsidRPr="008A7BD7">
        <w:rPr>
          <w:rFonts w:eastAsia="Calibri"/>
          <w:lang w:val="en-US"/>
        </w:rPr>
        <w:t xml:space="preserve"> and distribut</w:t>
      </w:r>
      <w:r w:rsidR="00B7202F" w:rsidRPr="008A7BD7">
        <w:rPr>
          <w:rFonts w:eastAsia="Calibri"/>
          <w:lang w:val="en-US"/>
        </w:rPr>
        <w:t>ing</w:t>
      </w:r>
      <w:r w:rsidRPr="008A7BD7">
        <w:rPr>
          <w:rFonts w:eastAsia="Calibri"/>
          <w:lang w:val="en-US"/>
        </w:rPr>
        <w:t xml:space="preserve"> vaccines against </w:t>
      </w:r>
      <w:r w:rsidR="007462BE" w:rsidRPr="008A7BD7">
        <w:rPr>
          <w:rFonts w:eastAsia="Calibri"/>
          <w:lang w:val="en-US"/>
        </w:rPr>
        <w:t xml:space="preserve">COVID-19, </w:t>
      </w:r>
      <w:proofErr w:type="gramStart"/>
      <w:r w:rsidRPr="008A7BD7">
        <w:rPr>
          <w:rFonts w:eastAsia="Calibri"/>
          <w:lang w:val="en-US"/>
        </w:rPr>
        <w:t>in order to</w:t>
      </w:r>
      <w:proofErr w:type="gramEnd"/>
      <w:r w:rsidRPr="008A7BD7">
        <w:rPr>
          <w:rFonts w:eastAsia="Calibri"/>
          <w:lang w:val="en-US"/>
        </w:rPr>
        <w:t xml:space="preserve"> ensure the proper use of available public resources and be effective in preventing acts of corruption. </w:t>
      </w:r>
      <w:r w:rsidR="007462BE" w:rsidRPr="008A7BD7">
        <w:rPr>
          <w:rFonts w:eastAsia="Calibri"/>
          <w:lang w:val="en-US"/>
        </w:rPr>
        <w:t> </w:t>
      </w:r>
    </w:p>
    <w:p w14:paraId="1D3D3E95" w14:textId="77777777" w:rsidR="007462BE" w:rsidRPr="008A7BD7" w:rsidRDefault="007462BE" w:rsidP="007462BE">
      <w:pPr>
        <w:pStyle w:val="Normal1"/>
        <w:numPr>
          <w:ilvl w:val="0"/>
          <w:numId w:val="0"/>
        </w:numPr>
        <w:spacing w:after="0"/>
        <w:ind w:left="360"/>
        <w:rPr>
          <w:rFonts w:eastAsia="Calibri"/>
          <w:lang w:val="en-US"/>
        </w:rPr>
      </w:pPr>
      <w:r w:rsidRPr="008A7BD7">
        <w:rPr>
          <w:rFonts w:eastAsia="Calibri"/>
          <w:lang w:val="en-US"/>
        </w:rPr>
        <w:t> </w:t>
      </w:r>
    </w:p>
    <w:p w14:paraId="5196A1E9" w14:textId="07571FDC" w:rsidR="007462BE" w:rsidRPr="008A7BD7" w:rsidRDefault="005B11D9" w:rsidP="007462BE">
      <w:pPr>
        <w:pStyle w:val="Normal1"/>
        <w:numPr>
          <w:ilvl w:val="0"/>
          <w:numId w:val="9"/>
        </w:numPr>
        <w:spacing w:after="0"/>
        <w:rPr>
          <w:rFonts w:eastAsia="Calibri"/>
          <w:lang w:val="en-US"/>
        </w:rPr>
      </w:pPr>
      <w:r w:rsidRPr="008A7BD7">
        <w:rPr>
          <w:rFonts w:eastAsia="Calibri"/>
          <w:lang w:val="en-US"/>
        </w:rPr>
        <w:t xml:space="preserve">Take measures to ensure </w:t>
      </w:r>
      <w:r w:rsidR="00F21525" w:rsidRPr="008A7BD7">
        <w:rPr>
          <w:rFonts w:eastAsia="Calibri"/>
          <w:lang w:val="en-US"/>
        </w:rPr>
        <w:t xml:space="preserve">the Guatemalan people’s </w:t>
      </w:r>
      <w:r w:rsidRPr="008A7BD7">
        <w:rPr>
          <w:rFonts w:eastAsia="Calibri"/>
          <w:lang w:val="en-US"/>
        </w:rPr>
        <w:t>access to and enjoyment of the right to health</w:t>
      </w:r>
      <w:r w:rsidR="00F21525" w:rsidRPr="008A7BD7">
        <w:rPr>
          <w:rFonts w:eastAsia="Calibri"/>
          <w:lang w:val="en-US"/>
        </w:rPr>
        <w:t xml:space="preserve"> </w:t>
      </w:r>
      <w:r w:rsidRPr="008A7BD7">
        <w:rPr>
          <w:rFonts w:eastAsia="Calibri"/>
          <w:lang w:val="en-US"/>
        </w:rPr>
        <w:t>without discrimination, with special attention to the most vulnerable groups and communities and the protection of the rights of health</w:t>
      </w:r>
      <w:r w:rsidR="00C263E5" w:rsidRPr="008A7BD7">
        <w:rPr>
          <w:rFonts w:eastAsia="Calibri"/>
          <w:lang w:val="en-US"/>
        </w:rPr>
        <w:t>-care</w:t>
      </w:r>
      <w:r w:rsidRPr="008A7BD7">
        <w:rPr>
          <w:rFonts w:eastAsia="Calibri"/>
          <w:lang w:val="en-US"/>
        </w:rPr>
        <w:t xml:space="preserve"> </w:t>
      </w:r>
      <w:r w:rsidR="000A62DE" w:rsidRPr="008A7BD7">
        <w:rPr>
          <w:rFonts w:eastAsia="Calibri"/>
          <w:lang w:val="en-US"/>
        </w:rPr>
        <w:t>workers</w:t>
      </w:r>
      <w:r w:rsidRPr="008A7BD7">
        <w:rPr>
          <w:rFonts w:eastAsia="Calibri"/>
          <w:lang w:val="en-US"/>
        </w:rPr>
        <w:t xml:space="preserve">. </w:t>
      </w:r>
    </w:p>
    <w:p w14:paraId="1ACE41F0" w14:textId="77777777" w:rsidR="007462BE" w:rsidRPr="008A7BD7" w:rsidRDefault="007462BE" w:rsidP="007462BE">
      <w:pPr>
        <w:pStyle w:val="Normal1"/>
        <w:numPr>
          <w:ilvl w:val="0"/>
          <w:numId w:val="0"/>
        </w:numPr>
        <w:spacing w:after="0"/>
        <w:ind w:left="360"/>
        <w:rPr>
          <w:rFonts w:eastAsia="Calibri"/>
          <w:lang w:val="en-US"/>
        </w:rPr>
      </w:pPr>
    </w:p>
    <w:p w14:paraId="75C442F1" w14:textId="14EDB0D0" w:rsidR="007462BE" w:rsidRPr="008A7BD7" w:rsidRDefault="006F516F" w:rsidP="007462BE">
      <w:pPr>
        <w:pStyle w:val="Normal1"/>
        <w:numPr>
          <w:ilvl w:val="0"/>
          <w:numId w:val="9"/>
        </w:numPr>
        <w:spacing w:after="0"/>
        <w:rPr>
          <w:rFonts w:eastAsia="Calibri"/>
          <w:lang w:val="en-US"/>
        </w:rPr>
      </w:pPr>
      <w:r w:rsidRPr="008A7BD7">
        <w:rPr>
          <w:rFonts w:eastAsia="Calibri"/>
          <w:lang w:val="en-US"/>
        </w:rPr>
        <w:t xml:space="preserve">Establish a public policy with a human rights approach </w:t>
      </w:r>
      <w:r w:rsidR="00E27371" w:rsidRPr="008A7BD7">
        <w:rPr>
          <w:rFonts w:eastAsia="Calibri"/>
          <w:lang w:val="en-US"/>
        </w:rPr>
        <w:t>regarding</w:t>
      </w:r>
      <w:r w:rsidR="00AB078C" w:rsidRPr="008A7BD7">
        <w:rPr>
          <w:rFonts w:eastAsia="Calibri"/>
          <w:lang w:val="en-US"/>
        </w:rPr>
        <w:t xml:space="preserve"> </w:t>
      </w:r>
      <w:r w:rsidRPr="008A7BD7">
        <w:rPr>
          <w:rFonts w:eastAsia="Calibri"/>
          <w:lang w:val="en-US"/>
        </w:rPr>
        <w:t>climate action</w:t>
      </w:r>
      <w:r w:rsidR="00AB078C" w:rsidRPr="008A7BD7">
        <w:rPr>
          <w:rFonts w:eastAsia="Calibri"/>
          <w:lang w:val="en-US"/>
        </w:rPr>
        <w:t>s</w:t>
      </w:r>
      <w:r w:rsidRPr="008A7BD7">
        <w:rPr>
          <w:rFonts w:eastAsia="Calibri"/>
          <w:lang w:val="en-US"/>
        </w:rPr>
        <w:t xml:space="preserve"> </w:t>
      </w:r>
      <w:r w:rsidR="00AB078C" w:rsidRPr="008A7BD7">
        <w:rPr>
          <w:rFonts w:eastAsia="Calibri"/>
          <w:lang w:val="en-US"/>
        </w:rPr>
        <w:t xml:space="preserve">that are </w:t>
      </w:r>
      <w:r w:rsidRPr="008A7BD7">
        <w:rPr>
          <w:rFonts w:eastAsia="Calibri"/>
          <w:lang w:val="en-US"/>
        </w:rPr>
        <w:t>taken to mitigate the risks and impacts of</w:t>
      </w:r>
      <w:r w:rsidR="007462BE" w:rsidRPr="008A7BD7">
        <w:rPr>
          <w:rFonts w:eastAsia="Calibri"/>
          <w:lang w:val="en-US"/>
        </w:rPr>
        <w:t xml:space="preserve"> </w:t>
      </w:r>
      <w:r w:rsidRPr="008A7BD7">
        <w:rPr>
          <w:rFonts w:eastAsia="Calibri"/>
          <w:lang w:val="en-US"/>
        </w:rPr>
        <w:t xml:space="preserve">climate change in the regions and </w:t>
      </w:r>
      <w:r w:rsidR="0081077F" w:rsidRPr="008A7BD7">
        <w:rPr>
          <w:rFonts w:eastAsia="Calibri"/>
          <w:lang w:val="en-US"/>
        </w:rPr>
        <w:t xml:space="preserve">among the </w:t>
      </w:r>
      <w:r w:rsidR="00DD108E" w:rsidRPr="008A7BD7">
        <w:rPr>
          <w:rFonts w:eastAsia="Calibri"/>
          <w:lang w:val="en-US"/>
        </w:rPr>
        <w:t xml:space="preserve">population groups that are most </w:t>
      </w:r>
      <w:proofErr w:type="gramStart"/>
      <w:r w:rsidR="00DD108E" w:rsidRPr="008A7BD7">
        <w:rPr>
          <w:rFonts w:eastAsia="Calibri"/>
          <w:lang w:val="en-US"/>
        </w:rPr>
        <w:t>affected, and</w:t>
      </w:r>
      <w:proofErr w:type="gramEnd"/>
      <w:r w:rsidR="00DD108E" w:rsidRPr="008A7BD7">
        <w:rPr>
          <w:rFonts w:eastAsia="Calibri"/>
          <w:lang w:val="en-US"/>
        </w:rPr>
        <w:t xml:space="preserve"> </w:t>
      </w:r>
      <w:r w:rsidR="00AB078C" w:rsidRPr="008A7BD7">
        <w:rPr>
          <w:rFonts w:eastAsia="Calibri"/>
          <w:lang w:val="en-US"/>
        </w:rPr>
        <w:t>move forward</w:t>
      </w:r>
      <w:r w:rsidR="00DD108E" w:rsidRPr="008A7BD7">
        <w:rPr>
          <w:rFonts w:eastAsia="Calibri"/>
          <w:lang w:val="en-US"/>
        </w:rPr>
        <w:t xml:space="preserve"> with the prompt ratification of the </w:t>
      </w:r>
      <w:proofErr w:type="spellStart"/>
      <w:r w:rsidR="007462BE" w:rsidRPr="008A7BD7">
        <w:rPr>
          <w:rFonts w:eastAsia="Calibri"/>
          <w:lang w:val="en-US"/>
        </w:rPr>
        <w:t>Escazú</w:t>
      </w:r>
      <w:proofErr w:type="spellEnd"/>
      <w:r w:rsidR="00DD108E" w:rsidRPr="008A7BD7">
        <w:rPr>
          <w:rFonts w:eastAsia="Calibri"/>
          <w:lang w:val="en-US"/>
        </w:rPr>
        <w:t xml:space="preserve"> Agreement</w:t>
      </w:r>
      <w:r w:rsidR="007462BE" w:rsidRPr="008A7BD7">
        <w:rPr>
          <w:rFonts w:eastAsia="Calibri"/>
          <w:lang w:val="en-US"/>
        </w:rPr>
        <w:t>. </w:t>
      </w:r>
    </w:p>
    <w:p w14:paraId="0548FE95" w14:textId="77777777" w:rsidR="007462BE" w:rsidRPr="008A7BD7" w:rsidRDefault="007462BE" w:rsidP="007462BE">
      <w:pPr>
        <w:pStyle w:val="Normal1"/>
        <w:numPr>
          <w:ilvl w:val="0"/>
          <w:numId w:val="0"/>
        </w:numPr>
        <w:spacing w:after="0"/>
        <w:ind w:left="360"/>
        <w:rPr>
          <w:rFonts w:eastAsia="Calibri"/>
          <w:lang w:val="en-US"/>
        </w:rPr>
      </w:pPr>
      <w:r w:rsidRPr="008A7BD7">
        <w:rPr>
          <w:rFonts w:eastAsia="Calibri"/>
          <w:lang w:val="en-US"/>
        </w:rPr>
        <w:t> </w:t>
      </w:r>
    </w:p>
    <w:p w14:paraId="5C5B4450" w14:textId="22ED087E" w:rsidR="007462BE" w:rsidRPr="008A7BD7" w:rsidRDefault="00AB078C" w:rsidP="007462BE">
      <w:pPr>
        <w:pStyle w:val="Normal1"/>
        <w:numPr>
          <w:ilvl w:val="0"/>
          <w:numId w:val="9"/>
        </w:numPr>
        <w:spacing w:after="0"/>
        <w:rPr>
          <w:rFonts w:eastAsia="Calibri"/>
          <w:lang w:val="en-US"/>
        </w:rPr>
      </w:pPr>
      <w:r w:rsidRPr="008A7BD7">
        <w:rPr>
          <w:rFonts w:eastAsia="Calibri"/>
          <w:lang w:val="en-US"/>
        </w:rPr>
        <w:t xml:space="preserve">Take actions to protect people’s rights in the context of business activities, especially the rights of indigenous peoples and rural and </w:t>
      </w:r>
      <w:r w:rsidR="00B86F69" w:rsidRPr="008A7BD7">
        <w:rPr>
          <w:rFonts w:eastAsia="Calibri"/>
          <w:lang w:val="en-US"/>
        </w:rPr>
        <w:t>campesino</w:t>
      </w:r>
      <w:r w:rsidRPr="008A7BD7">
        <w:rPr>
          <w:rFonts w:eastAsia="Calibri"/>
          <w:lang w:val="en-US"/>
        </w:rPr>
        <w:t xml:space="preserve"> communities. To that end, the Commission calls on the State to urgently implement the recommendations in the report Business and Human Rights: Inter-American Standards, prepared by the IACHR-</w:t>
      </w:r>
      <w:r w:rsidR="007462BE" w:rsidRPr="008A7BD7">
        <w:rPr>
          <w:rFonts w:eastAsia="Calibri"/>
          <w:lang w:val="en-US"/>
        </w:rPr>
        <w:t>REDESCA.</w:t>
      </w:r>
    </w:p>
    <w:p w14:paraId="3293CAEF" w14:textId="77777777" w:rsidR="00491020" w:rsidRPr="008A7BD7" w:rsidRDefault="00491020" w:rsidP="00224C9C">
      <w:pPr>
        <w:pStyle w:val="Normal1"/>
        <w:numPr>
          <w:ilvl w:val="0"/>
          <w:numId w:val="0"/>
        </w:numPr>
        <w:spacing w:after="0"/>
        <w:rPr>
          <w:lang w:val="en-US"/>
        </w:rPr>
      </w:pPr>
    </w:p>
    <w:p w14:paraId="6FAC4DEB" w14:textId="2970E352" w:rsidR="003D2E3D" w:rsidRPr="008A7BD7" w:rsidRDefault="009474C9" w:rsidP="00832A52">
      <w:pPr>
        <w:jc w:val="both"/>
        <w:rPr>
          <w:rFonts w:ascii="Cambria" w:hAnsi="Cambria"/>
          <w:b/>
          <w:bCs/>
          <w:sz w:val="20"/>
          <w:szCs w:val="20"/>
        </w:rPr>
      </w:pPr>
      <w:r w:rsidRPr="008A7BD7">
        <w:rPr>
          <w:rFonts w:ascii="Cambria" w:hAnsi="Cambria"/>
          <w:b/>
          <w:bCs/>
          <w:sz w:val="20"/>
          <w:szCs w:val="20"/>
        </w:rPr>
        <w:t xml:space="preserve">Memory, Truth, and Justice </w:t>
      </w:r>
    </w:p>
    <w:p w14:paraId="1FEEF466" w14:textId="2D22A7A6" w:rsidR="003D2E3D" w:rsidRPr="008A7BD7" w:rsidRDefault="003D2E3D" w:rsidP="00832A52">
      <w:pPr>
        <w:jc w:val="both"/>
        <w:rPr>
          <w:rFonts w:ascii="Cambria" w:hAnsi="Cambria"/>
          <w:b/>
          <w:bCs/>
          <w:sz w:val="20"/>
          <w:szCs w:val="20"/>
        </w:rPr>
      </w:pPr>
    </w:p>
    <w:p w14:paraId="7369DD22" w14:textId="1E20CF28" w:rsidR="00491020" w:rsidRPr="008A7BD7" w:rsidRDefault="00491F24" w:rsidP="00BB65D3">
      <w:pPr>
        <w:pStyle w:val="Normal1"/>
        <w:numPr>
          <w:ilvl w:val="0"/>
          <w:numId w:val="9"/>
        </w:numPr>
        <w:spacing w:after="0"/>
        <w:rPr>
          <w:rFonts w:eastAsia="Calibri"/>
          <w:color w:val="000000" w:themeColor="text1"/>
          <w:lang w:val="en-US"/>
        </w:rPr>
      </w:pPr>
      <w:r w:rsidRPr="008A7BD7">
        <w:rPr>
          <w:rFonts w:eastAsia="Calibri"/>
          <w:color w:val="000000" w:themeColor="text1"/>
          <w:lang w:val="en-US"/>
        </w:rPr>
        <w:t>Strengthen the institutional framework responsible for implementing the commitments of the Peace Accords, ensuring broad participation and an effective dialogue with the victims, their families, civil society organizations, and other relevant actors</w:t>
      </w:r>
      <w:r w:rsidR="00491020" w:rsidRPr="008A7BD7">
        <w:rPr>
          <w:rFonts w:eastAsia="Calibri"/>
          <w:color w:val="000000" w:themeColor="text1"/>
          <w:lang w:val="en-US"/>
        </w:rPr>
        <w:t>.</w:t>
      </w:r>
    </w:p>
    <w:p w14:paraId="4F21B242" w14:textId="77777777" w:rsidR="00491020" w:rsidRPr="008A7BD7" w:rsidRDefault="00491020" w:rsidP="00491020">
      <w:pPr>
        <w:pStyle w:val="Normal1"/>
        <w:numPr>
          <w:ilvl w:val="0"/>
          <w:numId w:val="0"/>
        </w:numPr>
        <w:spacing w:after="0"/>
        <w:ind w:left="360"/>
        <w:rPr>
          <w:rFonts w:eastAsia="Calibri"/>
          <w:color w:val="000000" w:themeColor="text1"/>
          <w:lang w:val="en-US"/>
        </w:rPr>
      </w:pPr>
    </w:p>
    <w:p w14:paraId="3F554A07" w14:textId="01577E62" w:rsidR="00491020" w:rsidRPr="008A7BD7" w:rsidRDefault="00A41F40" w:rsidP="00BB65D3">
      <w:pPr>
        <w:pStyle w:val="Normal1"/>
        <w:numPr>
          <w:ilvl w:val="0"/>
          <w:numId w:val="9"/>
        </w:numPr>
        <w:spacing w:after="0"/>
        <w:rPr>
          <w:rFonts w:eastAsia="Calibri"/>
          <w:color w:val="000000" w:themeColor="text1"/>
          <w:lang w:val="en-US"/>
        </w:rPr>
      </w:pPr>
      <w:r w:rsidRPr="008A7BD7">
        <w:rPr>
          <w:rFonts w:eastAsia="Calibri"/>
          <w:color w:val="000000" w:themeColor="text1"/>
          <w:lang w:val="en-US"/>
        </w:rPr>
        <w:lastRenderedPageBreak/>
        <w:t xml:space="preserve">Extend the </w:t>
      </w:r>
      <w:r w:rsidR="00EB5003" w:rsidRPr="008A7BD7">
        <w:rPr>
          <w:rFonts w:eastAsia="Calibri"/>
          <w:color w:val="000000" w:themeColor="text1"/>
          <w:lang w:val="en-US"/>
        </w:rPr>
        <w:t xml:space="preserve">operating </w:t>
      </w:r>
      <w:r w:rsidR="00B807D9" w:rsidRPr="008A7BD7">
        <w:rPr>
          <w:rFonts w:eastAsia="Calibri"/>
          <w:color w:val="000000" w:themeColor="text1"/>
          <w:lang w:val="en-US"/>
        </w:rPr>
        <w:t xml:space="preserve">period </w:t>
      </w:r>
      <w:r w:rsidR="00EB5003" w:rsidRPr="008A7BD7">
        <w:rPr>
          <w:rFonts w:eastAsia="Calibri"/>
          <w:color w:val="000000" w:themeColor="text1"/>
          <w:lang w:val="en-US"/>
        </w:rPr>
        <w:t>for</w:t>
      </w:r>
      <w:r w:rsidR="00B807D9" w:rsidRPr="008A7BD7">
        <w:rPr>
          <w:rFonts w:eastAsia="Calibri"/>
          <w:color w:val="000000" w:themeColor="text1"/>
          <w:lang w:val="en-US"/>
        </w:rPr>
        <w:t xml:space="preserve"> the National Reparations Program</w:t>
      </w:r>
      <w:r w:rsidR="00EB5003" w:rsidRPr="008A7BD7">
        <w:rPr>
          <w:rFonts w:eastAsia="Calibri"/>
          <w:color w:val="000000" w:themeColor="text1"/>
          <w:lang w:val="en-US"/>
        </w:rPr>
        <w:t xml:space="preserve"> </w:t>
      </w:r>
      <w:r w:rsidR="00B807D9" w:rsidRPr="008A7BD7">
        <w:rPr>
          <w:rFonts w:eastAsia="Calibri"/>
          <w:color w:val="000000" w:themeColor="text1"/>
          <w:lang w:val="en-US"/>
        </w:rPr>
        <w:t xml:space="preserve">and ensure that it can </w:t>
      </w:r>
      <w:r w:rsidR="0050468D" w:rsidRPr="008A7BD7">
        <w:rPr>
          <w:rFonts w:eastAsia="Calibri"/>
          <w:color w:val="000000" w:themeColor="text1"/>
          <w:lang w:val="en-US"/>
        </w:rPr>
        <w:t>function to its</w:t>
      </w:r>
      <w:r w:rsidR="00B807D9" w:rsidRPr="008A7BD7">
        <w:rPr>
          <w:rFonts w:eastAsia="Calibri"/>
          <w:color w:val="000000" w:themeColor="text1"/>
          <w:lang w:val="en-US"/>
        </w:rPr>
        <w:t xml:space="preserve"> full</w:t>
      </w:r>
      <w:r w:rsidR="0050468D" w:rsidRPr="008A7BD7">
        <w:rPr>
          <w:rFonts w:eastAsia="Calibri"/>
          <w:color w:val="000000" w:themeColor="text1"/>
          <w:lang w:val="en-US"/>
        </w:rPr>
        <w:t>est extent</w:t>
      </w:r>
      <w:r w:rsidR="00B807D9" w:rsidRPr="008A7BD7">
        <w:rPr>
          <w:rFonts w:eastAsia="Calibri"/>
          <w:color w:val="000000" w:themeColor="text1"/>
          <w:lang w:val="en-US"/>
        </w:rPr>
        <w:t xml:space="preserve">, providing it with the material and human resources it needs to fulfill its mandate. </w:t>
      </w:r>
    </w:p>
    <w:p w14:paraId="229DABA0" w14:textId="77777777" w:rsidR="00491020" w:rsidRPr="008A7BD7" w:rsidRDefault="00491020" w:rsidP="00491020">
      <w:pPr>
        <w:pStyle w:val="Normal1"/>
        <w:numPr>
          <w:ilvl w:val="0"/>
          <w:numId w:val="0"/>
        </w:numPr>
        <w:spacing w:after="0"/>
        <w:ind w:left="360"/>
        <w:rPr>
          <w:rFonts w:eastAsia="Calibri"/>
          <w:color w:val="000000" w:themeColor="text1"/>
          <w:lang w:val="en-US"/>
        </w:rPr>
      </w:pPr>
    </w:p>
    <w:p w14:paraId="502F7CA9" w14:textId="018450DF" w:rsidR="00491020" w:rsidRPr="008A7BD7" w:rsidRDefault="00A17221" w:rsidP="00BB65D3">
      <w:pPr>
        <w:pStyle w:val="Normal1"/>
        <w:numPr>
          <w:ilvl w:val="0"/>
          <w:numId w:val="9"/>
        </w:numPr>
        <w:spacing w:after="0"/>
        <w:rPr>
          <w:rFonts w:eastAsia="Calibri"/>
          <w:color w:val="000000" w:themeColor="text1"/>
          <w:lang w:val="en-US"/>
        </w:rPr>
      </w:pPr>
      <w:r w:rsidRPr="008A7BD7">
        <w:rPr>
          <w:rFonts w:eastAsia="Calibri"/>
          <w:color w:val="000000" w:themeColor="text1"/>
          <w:lang w:val="en-US"/>
        </w:rPr>
        <w:t xml:space="preserve">Definitively archive </w:t>
      </w:r>
      <w:r w:rsidR="00F65E52" w:rsidRPr="008A7BD7">
        <w:rPr>
          <w:rFonts w:eastAsia="Calibri"/>
          <w:color w:val="000000" w:themeColor="text1"/>
          <w:lang w:val="en-US"/>
        </w:rPr>
        <w:t>legislative bill</w:t>
      </w:r>
      <w:r w:rsidRPr="008A7BD7">
        <w:rPr>
          <w:rFonts w:eastAsia="Calibri"/>
          <w:color w:val="000000" w:themeColor="text1"/>
          <w:lang w:val="en-US"/>
        </w:rPr>
        <w:t xml:space="preserve"> </w:t>
      </w:r>
      <w:r w:rsidR="00491020" w:rsidRPr="008A7BD7">
        <w:rPr>
          <w:rFonts w:eastAsia="Calibri"/>
          <w:color w:val="000000" w:themeColor="text1"/>
          <w:lang w:val="en-US"/>
        </w:rPr>
        <w:t>No. 5290</w:t>
      </w:r>
      <w:r w:rsidRPr="008A7BD7">
        <w:rPr>
          <w:rFonts w:eastAsia="Calibri"/>
          <w:color w:val="000000" w:themeColor="text1"/>
          <w:lang w:val="en-US"/>
        </w:rPr>
        <w:t xml:space="preserve"> and reinforce actions to fight against impunity for human rights violations during the internal armed conflict. </w:t>
      </w:r>
      <w:r w:rsidR="00491020" w:rsidRPr="008A7BD7">
        <w:rPr>
          <w:rFonts w:eastAsia="Calibri"/>
          <w:color w:val="000000" w:themeColor="text1"/>
          <w:lang w:val="en-US"/>
        </w:rPr>
        <w:t xml:space="preserve">  </w:t>
      </w:r>
    </w:p>
    <w:p w14:paraId="48CE41C6" w14:textId="77777777" w:rsidR="00491020" w:rsidRPr="008A7BD7" w:rsidRDefault="00491020" w:rsidP="00491020">
      <w:pPr>
        <w:pStyle w:val="ListParagraph"/>
        <w:rPr>
          <w:rFonts w:ascii="Cambria" w:eastAsia="Times New Roman" w:hAnsi="Cambria" w:cs="Calibri"/>
          <w:color w:val="000000" w:themeColor="text1"/>
          <w:lang w:eastAsia="es-ES_tradnl"/>
        </w:rPr>
      </w:pPr>
    </w:p>
    <w:p w14:paraId="657AF991" w14:textId="3F4B555D" w:rsidR="00491020" w:rsidRPr="008A7BD7" w:rsidRDefault="00A17221" w:rsidP="00BB65D3">
      <w:pPr>
        <w:pStyle w:val="Normal1"/>
        <w:numPr>
          <w:ilvl w:val="0"/>
          <w:numId w:val="9"/>
        </w:numPr>
        <w:spacing w:after="0"/>
        <w:rPr>
          <w:rFonts w:eastAsia="Calibri"/>
          <w:color w:val="000000" w:themeColor="text1"/>
          <w:lang w:val="en-US"/>
        </w:rPr>
      </w:pPr>
      <w:r w:rsidRPr="008A7BD7">
        <w:rPr>
          <w:rFonts w:eastAsia="Times New Roman" w:cs="Calibri"/>
          <w:color w:val="000000" w:themeColor="text1"/>
          <w:lang w:val="en-US" w:eastAsia="es-ES_tradnl"/>
        </w:rPr>
        <w:t xml:space="preserve">Provide sufficient funding to the Historical Archive of the National Police, adopting measures to facilitate its protection and conservation. </w:t>
      </w:r>
    </w:p>
    <w:p w14:paraId="258666CB" w14:textId="77777777" w:rsidR="003D2E3D" w:rsidRPr="008A7BD7" w:rsidRDefault="003D2E3D" w:rsidP="00832A52">
      <w:pPr>
        <w:jc w:val="both"/>
        <w:rPr>
          <w:rFonts w:ascii="Cambria" w:hAnsi="Cambria"/>
          <w:b/>
          <w:bCs/>
          <w:sz w:val="20"/>
          <w:szCs w:val="20"/>
        </w:rPr>
      </w:pPr>
    </w:p>
    <w:p w14:paraId="77F85FE8" w14:textId="77777777" w:rsidR="003D2E3D" w:rsidRPr="008A7BD7" w:rsidRDefault="003D2E3D" w:rsidP="00832A52">
      <w:pPr>
        <w:jc w:val="both"/>
        <w:rPr>
          <w:rFonts w:ascii="Cambria" w:hAnsi="Cambria"/>
          <w:sz w:val="20"/>
          <w:szCs w:val="20"/>
        </w:rPr>
      </w:pPr>
    </w:p>
    <w:p w14:paraId="5395B113" w14:textId="3824E61D" w:rsidR="00932B2A" w:rsidRPr="008A7BD7" w:rsidRDefault="009E046C" w:rsidP="00B20F69">
      <w:pPr>
        <w:pStyle w:val="Normal1"/>
        <w:numPr>
          <w:ilvl w:val="0"/>
          <w:numId w:val="0"/>
        </w:numPr>
        <w:spacing w:after="0"/>
        <w:rPr>
          <w:rFonts w:eastAsia="Calibri"/>
          <w:b/>
          <w:bCs/>
        </w:rPr>
      </w:pPr>
      <w:r w:rsidRPr="008A7BD7">
        <w:rPr>
          <w:rFonts w:eastAsia="Calibri"/>
          <w:b/>
          <w:bCs/>
        </w:rPr>
        <w:t xml:space="preserve">Human </w:t>
      </w:r>
      <w:proofErr w:type="spellStart"/>
      <w:r w:rsidRPr="008A7BD7">
        <w:rPr>
          <w:rFonts w:eastAsia="Calibri"/>
          <w:b/>
          <w:bCs/>
        </w:rPr>
        <w:t>Rights</w:t>
      </w:r>
      <w:proofErr w:type="spellEnd"/>
      <w:r w:rsidRPr="008A7BD7">
        <w:rPr>
          <w:rFonts w:eastAsia="Calibri"/>
          <w:b/>
          <w:bCs/>
        </w:rPr>
        <w:t xml:space="preserve"> </w:t>
      </w:r>
      <w:proofErr w:type="spellStart"/>
      <w:r w:rsidRPr="008A7BD7">
        <w:rPr>
          <w:rFonts w:eastAsia="Calibri"/>
          <w:b/>
          <w:bCs/>
        </w:rPr>
        <w:t>Defenders</w:t>
      </w:r>
      <w:proofErr w:type="spellEnd"/>
      <w:r w:rsidR="00B20F69" w:rsidRPr="008A7BD7">
        <w:rPr>
          <w:rFonts w:eastAsia="Calibri"/>
          <w:b/>
          <w:bCs/>
        </w:rPr>
        <w:t xml:space="preserve"> </w:t>
      </w:r>
    </w:p>
    <w:p w14:paraId="17519F0F" w14:textId="77777777" w:rsidR="00B20F69" w:rsidRPr="008A7BD7" w:rsidRDefault="00B20F69" w:rsidP="00B20F69">
      <w:pPr>
        <w:pStyle w:val="Normal1"/>
        <w:numPr>
          <w:ilvl w:val="0"/>
          <w:numId w:val="0"/>
        </w:numPr>
        <w:spacing w:after="0"/>
        <w:rPr>
          <w:rFonts w:eastAsia="Calibri"/>
        </w:rPr>
      </w:pPr>
    </w:p>
    <w:p w14:paraId="30B6FF11" w14:textId="206068AD" w:rsidR="00932B2A" w:rsidRPr="008A7BD7" w:rsidRDefault="00AB0270" w:rsidP="00BB65D3">
      <w:pPr>
        <w:pStyle w:val="Normal1"/>
        <w:numPr>
          <w:ilvl w:val="0"/>
          <w:numId w:val="9"/>
        </w:numPr>
        <w:spacing w:after="0"/>
        <w:rPr>
          <w:rFonts w:eastAsia="Calibri"/>
          <w:lang w:val="en-US"/>
        </w:rPr>
      </w:pPr>
      <w:r w:rsidRPr="008A7BD7">
        <w:rPr>
          <w:rFonts w:eastAsia="Calibri"/>
          <w:lang w:val="en-US"/>
        </w:rPr>
        <w:t xml:space="preserve">Urgently approve and implement a public policy to protect human rights defenders. This policy should include the implementation of a comprehensive </w:t>
      </w:r>
      <w:r w:rsidR="00E0306D" w:rsidRPr="008A7BD7">
        <w:rPr>
          <w:rFonts w:eastAsia="Calibri"/>
          <w:lang w:val="en-US"/>
        </w:rPr>
        <w:t xml:space="preserve">protection </w:t>
      </w:r>
      <w:r w:rsidRPr="008A7BD7">
        <w:rPr>
          <w:rFonts w:eastAsia="Calibri"/>
          <w:lang w:val="en-US"/>
        </w:rPr>
        <w:t xml:space="preserve">program and a risk </w:t>
      </w:r>
      <w:r w:rsidR="00E0306D" w:rsidRPr="008A7BD7">
        <w:rPr>
          <w:rFonts w:eastAsia="Calibri"/>
          <w:lang w:val="en-US"/>
        </w:rPr>
        <w:t>assessment</w:t>
      </w:r>
      <w:r w:rsidRPr="008A7BD7">
        <w:rPr>
          <w:rFonts w:eastAsia="Calibri"/>
          <w:lang w:val="en-US"/>
        </w:rPr>
        <w:t xml:space="preserve"> model that makes it possible to determine the protection</w:t>
      </w:r>
      <w:r w:rsidR="00932B2A" w:rsidRPr="008A7BD7">
        <w:rPr>
          <w:rFonts w:eastAsia="Calibri"/>
          <w:lang w:val="en-US"/>
        </w:rPr>
        <w:t xml:space="preserve"> </w:t>
      </w:r>
      <w:r w:rsidRPr="008A7BD7">
        <w:rPr>
          <w:rFonts w:eastAsia="Calibri"/>
          <w:lang w:val="en-US"/>
        </w:rPr>
        <w:t xml:space="preserve">needs of each human rights defender, </w:t>
      </w:r>
      <w:r w:rsidR="00A40B41" w:rsidRPr="008A7BD7">
        <w:rPr>
          <w:rFonts w:eastAsia="Calibri"/>
          <w:lang w:val="en-US"/>
        </w:rPr>
        <w:t>incorporating</w:t>
      </w:r>
      <w:r w:rsidRPr="008A7BD7">
        <w:rPr>
          <w:rFonts w:eastAsia="Calibri"/>
          <w:lang w:val="en-US"/>
        </w:rPr>
        <w:t xml:space="preserve"> </w:t>
      </w:r>
      <w:r w:rsidR="00E0306D" w:rsidRPr="008A7BD7">
        <w:rPr>
          <w:rFonts w:eastAsia="Calibri"/>
          <w:lang w:val="en-US"/>
        </w:rPr>
        <w:t xml:space="preserve">a </w:t>
      </w:r>
      <w:r w:rsidRPr="008A7BD7">
        <w:rPr>
          <w:rFonts w:eastAsia="Calibri"/>
          <w:lang w:val="en-US"/>
        </w:rPr>
        <w:t xml:space="preserve">differential and intersectional approach. </w:t>
      </w:r>
    </w:p>
    <w:p w14:paraId="77640EDB" w14:textId="77777777" w:rsidR="00932B2A" w:rsidRPr="008A7BD7" w:rsidRDefault="00932B2A" w:rsidP="00B20F69">
      <w:pPr>
        <w:pStyle w:val="Normal1"/>
        <w:numPr>
          <w:ilvl w:val="0"/>
          <w:numId w:val="0"/>
        </w:numPr>
        <w:spacing w:after="0"/>
        <w:ind w:left="360"/>
        <w:rPr>
          <w:rFonts w:eastAsia="Calibri"/>
          <w:lang w:val="en-US"/>
        </w:rPr>
      </w:pPr>
    </w:p>
    <w:p w14:paraId="549AE609" w14:textId="7F2A7D70" w:rsidR="00932B2A" w:rsidRPr="008A7BD7" w:rsidRDefault="002D1469" w:rsidP="00BB65D3">
      <w:pPr>
        <w:pStyle w:val="Normal1"/>
        <w:numPr>
          <w:ilvl w:val="0"/>
          <w:numId w:val="9"/>
        </w:numPr>
        <w:spacing w:after="0"/>
        <w:rPr>
          <w:rFonts w:eastAsia="Calibri"/>
          <w:lang w:val="en-US"/>
        </w:rPr>
      </w:pPr>
      <w:r w:rsidRPr="008A7BD7">
        <w:rPr>
          <w:rFonts w:eastAsia="Calibri"/>
          <w:lang w:val="en-US"/>
        </w:rPr>
        <w:t xml:space="preserve">Prevent and respond to the criminalization of the work of human rights defenders. </w:t>
      </w:r>
      <w:r w:rsidR="002407F1" w:rsidRPr="008A7BD7">
        <w:rPr>
          <w:rFonts w:eastAsia="Calibri"/>
          <w:lang w:val="en-US"/>
        </w:rPr>
        <w:t xml:space="preserve">In this regard, advance in the drafting of </w:t>
      </w:r>
      <w:r w:rsidR="00901EEF" w:rsidRPr="008A7BD7">
        <w:rPr>
          <w:rFonts w:eastAsia="Calibri"/>
          <w:lang w:val="en-US"/>
        </w:rPr>
        <w:t xml:space="preserve">guidelines against criminalization by the </w:t>
      </w:r>
      <w:r w:rsidR="006E551D" w:rsidRPr="008A7BD7">
        <w:rPr>
          <w:rFonts w:eastAsia="Calibri"/>
          <w:lang w:val="en-US"/>
        </w:rPr>
        <w:t xml:space="preserve">Office of the </w:t>
      </w:r>
      <w:r w:rsidR="00901EEF" w:rsidRPr="008A7BD7">
        <w:rPr>
          <w:rFonts w:eastAsia="Calibri"/>
          <w:lang w:val="en-US"/>
        </w:rPr>
        <w:t>Attorney General.</w:t>
      </w:r>
      <w:r w:rsidR="00932B2A" w:rsidRPr="008A7BD7">
        <w:rPr>
          <w:rFonts w:eastAsia="Calibri"/>
          <w:lang w:val="en-US"/>
        </w:rPr>
        <w:t xml:space="preserve"> </w:t>
      </w:r>
    </w:p>
    <w:p w14:paraId="5577D87C" w14:textId="77777777" w:rsidR="00932B2A" w:rsidRPr="008A7BD7" w:rsidRDefault="00932B2A" w:rsidP="00B20F69">
      <w:pPr>
        <w:pStyle w:val="Normal1"/>
        <w:numPr>
          <w:ilvl w:val="0"/>
          <w:numId w:val="0"/>
        </w:numPr>
        <w:spacing w:after="0"/>
        <w:ind w:left="360"/>
        <w:rPr>
          <w:rFonts w:eastAsia="Calibri"/>
          <w:lang w:val="en-US"/>
        </w:rPr>
      </w:pPr>
    </w:p>
    <w:p w14:paraId="71B8F87E" w14:textId="5703E472" w:rsidR="00932B2A" w:rsidRPr="008A7BD7" w:rsidRDefault="00A40B41" w:rsidP="00BB65D3">
      <w:pPr>
        <w:pStyle w:val="Normal1"/>
        <w:numPr>
          <w:ilvl w:val="0"/>
          <w:numId w:val="9"/>
        </w:numPr>
        <w:spacing w:after="0"/>
        <w:rPr>
          <w:rFonts w:eastAsia="Calibri"/>
          <w:lang w:val="en-US"/>
        </w:rPr>
      </w:pPr>
      <w:r w:rsidRPr="008A7BD7">
        <w:rPr>
          <w:rFonts w:eastAsia="Calibri"/>
          <w:lang w:val="en-US"/>
        </w:rPr>
        <w:t xml:space="preserve">Ensure that the authorities or </w:t>
      </w:r>
      <w:r w:rsidR="006E551D" w:rsidRPr="008A7BD7">
        <w:rPr>
          <w:rFonts w:eastAsia="Calibri"/>
          <w:lang w:val="en-US"/>
        </w:rPr>
        <w:t>third parties</w:t>
      </w:r>
      <w:r w:rsidRPr="008A7BD7">
        <w:rPr>
          <w:rFonts w:eastAsia="Calibri"/>
          <w:lang w:val="en-US"/>
        </w:rPr>
        <w:t xml:space="preserve"> do not manipulate the punitive power of the State and its bodies of justice to harass human rights defenders and operators</w:t>
      </w:r>
      <w:r w:rsidR="00BF2D82" w:rsidRPr="008A7BD7">
        <w:rPr>
          <w:rFonts w:eastAsia="Calibri"/>
          <w:lang w:val="en-US"/>
        </w:rPr>
        <w:t xml:space="preserve"> of justice</w:t>
      </w:r>
      <w:r w:rsidRPr="008A7BD7">
        <w:rPr>
          <w:rFonts w:eastAsia="Calibri"/>
          <w:lang w:val="en-US"/>
        </w:rPr>
        <w:t xml:space="preserve">. </w:t>
      </w:r>
    </w:p>
    <w:p w14:paraId="6021E5BE" w14:textId="77777777" w:rsidR="00932B2A" w:rsidRPr="008A7BD7" w:rsidRDefault="00932B2A" w:rsidP="00B20F69">
      <w:pPr>
        <w:pStyle w:val="Normal1"/>
        <w:numPr>
          <w:ilvl w:val="0"/>
          <w:numId w:val="0"/>
        </w:numPr>
        <w:spacing w:after="0"/>
        <w:ind w:left="360"/>
        <w:rPr>
          <w:rFonts w:eastAsia="Calibri"/>
          <w:lang w:val="en-US"/>
        </w:rPr>
      </w:pPr>
    </w:p>
    <w:p w14:paraId="0F77A07D" w14:textId="16509B53" w:rsidR="00932B2A" w:rsidRPr="008A7BD7" w:rsidRDefault="00A32134" w:rsidP="00BB65D3">
      <w:pPr>
        <w:pStyle w:val="Normal1"/>
        <w:numPr>
          <w:ilvl w:val="0"/>
          <w:numId w:val="9"/>
        </w:numPr>
        <w:spacing w:after="0"/>
        <w:rPr>
          <w:rFonts w:eastAsia="Calibri"/>
          <w:lang w:val="en-US"/>
        </w:rPr>
      </w:pPr>
      <w:r w:rsidRPr="008A7BD7">
        <w:rPr>
          <w:rFonts w:eastAsia="Calibri"/>
          <w:lang w:val="en-US"/>
        </w:rPr>
        <w:t xml:space="preserve">Ensure that human rights defenders are not subjected to criminal proceedings that are unnecessarily </w:t>
      </w:r>
      <w:r w:rsidR="006E551D" w:rsidRPr="008A7BD7">
        <w:rPr>
          <w:rFonts w:eastAsia="Calibri"/>
          <w:lang w:val="en-US"/>
        </w:rPr>
        <w:t>summary</w:t>
      </w:r>
      <w:r w:rsidRPr="008A7BD7">
        <w:rPr>
          <w:rFonts w:eastAsia="Calibri"/>
          <w:lang w:val="en-US"/>
        </w:rPr>
        <w:t xml:space="preserve"> or </w:t>
      </w:r>
      <w:r w:rsidR="006E551D" w:rsidRPr="008A7BD7">
        <w:rPr>
          <w:rFonts w:eastAsia="Calibri"/>
          <w:lang w:val="en-US"/>
        </w:rPr>
        <w:t>protracted</w:t>
      </w:r>
      <w:r w:rsidRPr="008A7BD7">
        <w:rPr>
          <w:rFonts w:eastAsia="Calibri"/>
          <w:lang w:val="en-US"/>
        </w:rPr>
        <w:t xml:space="preserve">. </w:t>
      </w:r>
      <w:r w:rsidR="007F52F9" w:rsidRPr="008A7BD7">
        <w:rPr>
          <w:rFonts w:eastAsia="Calibri"/>
          <w:lang w:val="en-US"/>
        </w:rPr>
        <w:t>T</w:t>
      </w:r>
      <w:r w:rsidRPr="008A7BD7">
        <w:rPr>
          <w:rFonts w:eastAsia="Calibri"/>
          <w:lang w:val="en-US"/>
        </w:rPr>
        <w:t>he State of</w:t>
      </w:r>
      <w:r w:rsidR="00932B2A" w:rsidRPr="008A7BD7">
        <w:rPr>
          <w:rFonts w:eastAsia="Calibri"/>
          <w:lang w:val="en-US"/>
        </w:rPr>
        <w:t xml:space="preserve"> Guatemala </w:t>
      </w:r>
      <w:r w:rsidR="007F52F9" w:rsidRPr="008A7BD7">
        <w:rPr>
          <w:rFonts w:eastAsia="Calibri"/>
          <w:lang w:val="en-US"/>
        </w:rPr>
        <w:t>should also</w:t>
      </w:r>
      <w:r w:rsidRPr="008A7BD7">
        <w:rPr>
          <w:rFonts w:eastAsia="Calibri"/>
          <w:lang w:val="en-US"/>
        </w:rPr>
        <w:t xml:space="preserve"> cease using arrest warrants </w:t>
      </w:r>
      <w:proofErr w:type="gramStart"/>
      <w:r w:rsidRPr="008A7BD7">
        <w:rPr>
          <w:rFonts w:eastAsia="Calibri"/>
          <w:lang w:val="en-US"/>
        </w:rPr>
        <w:t>as a mean</w:t>
      </w:r>
      <w:r w:rsidR="007F52F9" w:rsidRPr="008A7BD7">
        <w:rPr>
          <w:rFonts w:eastAsia="Calibri"/>
          <w:lang w:val="en-US"/>
        </w:rPr>
        <w:t>s</w:t>
      </w:r>
      <w:r w:rsidRPr="008A7BD7">
        <w:rPr>
          <w:rFonts w:eastAsia="Calibri"/>
          <w:lang w:val="en-US"/>
        </w:rPr>
        <w:t xml:space="preserve"> to</w:t>
      </w:r>
      <w:proofErr w:type="gramEnd"/>
      <w:r w:rsidRPr="008A7BD7">
        <w:rPr>
          <w:rFonts w:eastAsia="Calibri"/>
          <w:lang w:val="en-US"/>
        </w:rPr>
        <w:t xml:space="preserve"> punish or retaliate against human rights defenders. </w:t>
      </w:r>
    </w:p>
    <w:p w14:paraId="7B54958D" w14:textId="77777777" w:rsidR="00932B2A" w:rsidRPr="008A7BD7" w:rsidRDefault="00932B2A" w:rsidP="00B20F69">
      <w:pPr>
        <w:pStyle w:val="Normal1"/>
        <w:numPr>
          <w:ilvl w:val="0"/>
          <w:numId w:val="0"/>
        </w:numPr>
        <w:spacing w:after="0"/>
        <w:ind w:left="360"/>
        <w:rPr>
          <w:rFonts w:eastAsia="Calibri"/>
          <w:lang w:val="en-US"/>
        </w:rPr>
      </w:pPr>
    </w:p>
    <w:p w14:paraId="76FA40A0" w14:textId="2B987601" w:rsidR="00932B2A" w:rsidRPr="008A7BD7" w:rsidRDefault="00A32134" w:rsidP="00BB65D3">
      <w:pPr>
        <w:pStyle w:val="Normal1"/>
        <w:numPr>
          <w:ilvl w:val="0"/>
          <w:numId w:val="9"/>
        </w:numPr>
        <w:spacing w:after="0"/>
        <w:rPr>
          <w:rFonts w:eastAsia="Calibri"/>
          <w:lang w:val="en-US"/>
        </w:rPr>
      </w:pPr>
      <w:r w:rsidRPr="008A7BD7">
        <w:rPr>
          <w:rFonts w:eastAsia="Calibri"/>
          <w:lang w:val="en-US"/>
        </w:rPr>
        <w:t xml:space="preserve">Refrain from making statements or </w:t>
      </w:r>
      <w:r w:rsidR="006108CE" w:rsidRPr="008A7BD7">
        <w:rPr>
          <w:rFonts w:eastAsia="Calibri"/>
          <w:lang w:val="en-US"/>
        </w:rPr>
        <w:t>assertions</w:t>
      </w:r>
      <w:r w:rsidRPr="008A7BD7">
        <w:rPr>
          <w:rFonts w:eastAsia="Calibri"/>
          <w:lang w:val="en-US"/>
        </w:rPr>
        <w:t xml:space="preserve"> that stigmatize or discredit human rights defenders for </w:t>
      </w:r>
      <w:r w:rsidR="00170781" w:rsidRPr="008A7BD7">
        <w:rPr>
          <w:rFonts w:eastAsia="Calibri"/>
          <w:lang w:val="en-US"/>
        </w:rPr>
        <w:t xml:space="preserve">simply </w:t>
      </w:r>
      <w:r w:rsidRPr="008A7BD7">
        <w:rPr>
          <w:rFonts w:eastAsia="Calibri"/>
          <w:lang w:val="en-US"/>
        </w:rPr>
        <w:t xml:space="preserve">doing </w:t>
      </w:r>
      <w:r w:rsidR="00170781" w:rsidRPr="008A7BD7">
        <w:rPr>
          <w:rFonts w:eastAsia="Calibri"/>
          <w:lang w:val="en-US"/>
        </w:rPr>
        <w:t>their job</w:t>
      </w:r>
      <w:r w:rsidRPr="008A7BD7">
        <w:rPr>
          <w:rFonts w:eastAsia="Calibri"/>
          <w:lang w:val="en-US"/>
        </w:rPr>
        <w:t xml:space="preserve"> of defending human rights</w:t>
      </w:r>
      <w:r w:rsidR="00932B2A" w:rsidRPr="008A7BD7">
        <w:rPr>
          <w:rFonts w:eastAsia="Calibri"/>
          <w:lang w:val="en-US"/>
        </w:rPr>
        <w:t xml:space="preserve">. </w:t>
      </w:r>
    </w:p>
    <w:p w14:paraId="798E2472" w14:textId="77777777" w:rsidR="00932B2A" w:rsidRPr="008A7BD7" w:rsidRDefault="00932B2A" w:rsidP="00B20F69">
      <w:pPr>
        <w:pStyle w:val="Normal1"/>
        <w:numPr>
          <w:ilvl w:val="0"/>
          <w:numId w:val="0"/>
        </w:numPr>
        <w:spacing w:after="0"/>
        <w:ind w:left="360"/>
        <w:rPr>
          <w:rFonts w:eastAsia="Calibri"/>
          <w:lang w:val="en-US"/>
        </w:rPr>
      </w:pPr>
    </w:p>
    <w:p w14:paraId="13099947" w14:textId="77777777" w:rsidR="00932B2A" w:rsidRPr="008A7BD7" w:rsidRDefault="00932B2A" w:rsidP="00B20F69">
      <w:pPr>
        <w:pStyle w:val="Normal1"/>
        <w:numPr>
          <w:ilvl w:val="0"/>
          <w:numId w:val="0"/>
        </w:numPr>
        <w:spacing w:after="0"/>
        <w:ind w:left="360"/>
        <w:rPr>
          <w:rFonts w:eastAsia="Calibri"/>
          <w:b/>
          <w:bCs/>
          <w:lang w:val="en-US"/>
        </w:rPr>
      </w:pPr>
    </w:p>
    <w:p w14:paraId="2840D220" w14:textId="52C64682" w:rsidR="006828F1" w:rsidRPr="008A7BD7" w:rsidRDefault="00E82A8E" w:rsidP="00B20F69">
      <w:pPr>
        <w:pStyle w:val="Normal1"/>
        <w:numPr>
          <w:ilvl w:val="0"/>
          <w:numId w:val="0"/>
        </w:numPr>
        <w:spacing w:after="0"/>
        <w:ind w:left="360" w:hanging="360"/>
        <w:rPr>
          <w:rFonts w:eastAsia="Calibri"/>
          <w:b/>
          <w:bCs/>
        </w:rPr>
      </w:pPr>
      <w:proofErr w:type="spellStart"/>
      <w:r w:rsidRPr="008A7BD7">
        <w:rPr>
          <w:rFonts w:eastAsia="Calibri"/>
          <w:b/>
          <w:bCs/>
        </w:rPr>
        <w:t>Persons</w:t>
      </w:r>
      <w:proofErr w:type="spellEnd"/>
      <w:r w:rsidRPr="008A7BD7">
        <w:rPr>
          <w:rFonts w:eastAsia="Calibri"/>
          <w:b/>
          <w:bCs/>
        </w:rPr>
        <w:t xml:space="preserve"> </w:t>
      </w:r>
      <w:proofErr w:type="spellStart"/>
      <w:r w:rsidRPr="008A7BD7">
        <w:rPr>
          <w:rFonts w:eastAsia="Calibri"/>
          <w:b/>
          <w:bCs/>
        </w:rPr>
        <w:t>Deprived</w:t>
      </w:r>
      <w:proofErr w:type="spellEnd"/>
      <w:r w:rsidRPr="008A7BD7">
        <w:rPr>
          <w:rFonts w:eastAsia="Calibri"/>
          <w:b/>
          <w:bCs/>
        </w:rPr>
        <w:t xml:space="preserve"> of Liberty </w:t>
      </w:r>
    </w:p>
    <w:p w14:paraId="4E0A5B25" w14:textId="77777777" w:rsidR="00491020" w:rsidRPr="008A7BD7" w:rsidRDefault="00491020" w:rsidP="00491020">
      <w:pPr>
        <w:pStyle w:val="Normal1"/>
        <w:numPr>
          <w:ilvl w:val="0"/>
          <w:numId w:val="0"/>
        </w:numPr>
        <w:spacing w:after="0"/>
        <w:ind w:left="360"/>
        <w:rPr>
          <w:rFonts w:eastAsia="Calibri"/>
        </w:rPr>
      </w:pPr>
    </w:p>
    <w:p w14:paraId="25E05728" w14:textId="7AF2E7B1" w:rsidR="006828F1" w:rsidRPr="008A7BD7" w:rsidRDefault="00E82A8E" w:rsidP="00BB65D3">
      <w:pPr>
        <w:pStyle w:val="Normal1"/>
        <w:numPr>
          <w:ilvl w:val="0"/>
          <w:numId w:val="9"/>
        </w:numPr>
        <w:spacing w:after="0"/>
        <w:rPr>
          <w:rFonts w:eastAsia="Calibri"/>
          <w:lang w:val="en-US"/>
        </w:rPr>
      </w:pPr>
      <w:r w:rsidRPr="008A7BD7">
        <w:rPr>
          <w:rFonts w:eastAsia="Calibri"/>
          <w:lang w:val="en-US"/>
        </w:rPr>
        <w:t>Implement the actions needed to reduce levels of overcrowding</w:t>
      </w:r>
      <w:r w:rsidR="005739AF" w:rsidRPr="008A7BD7">
        <w:rPr>
          <w:rFonts w:eastAsia="Calibri"/>
          <w:lang w:val="en-US"/>
        </w:rPr>
        <w:t xml:space="preserve"> and to correct the excessive use of pretrial detention, ensuring that this measure is used as an exception and is </w:t>
      </w:r>
      <w:r w:rsidR="00170781" w:rsidRPr="008A7BD7">
        <w:rPr>
          <w:rFonts w:eastAsia="Calibri"/>
          <w:lang w:val="en-US"/>
        </w:rPr>
        <w:t>bound</w:t>
      </w:r>
      <w:r w:rsidR="005739AF" w:rsidRPr="008A7BD7">
        <w:rPr>
          <w:rFonts w:eastAsia="Calibri"/>
          <w:lang w:val="en-US"/>
        </w:rPr>
        <w:t xml:space="preserve"> by inter-American principles related to this issue. As a priority matter, </w:t>
      </w:r>
      <w:r w:rsidR="002B11B1" w:rsidRPr="008A7BD7">
        <w:rPr>
          <w:rFonts w:eastAsia="Calibri"/>
          <w:lang w:val="en-US"/>
        </w:rPr>
        <w:t>repeal</w:t>
      </w:r>
      <w:r w:rsidR="005739AF" w:rsidRPr="008A7BD7">
        <w:rPr>
          <w:rFonts w:eastAsia="Calibri"/>
          <w:lang w:val="en-US"/>
        </w:rPr>
        <w:t xml:space="preserve"> </w:t>
      </w:r>
      <w:r w:rsidR="002B11B1" w:rsidRPr="008A7BD7">
        <w:rPr>
          <w:rFonts w:eastAsia="Calibri"/>
          <w:lang w:val="en-US"/>
        </w:rPr>
        <w:t xml:space="preserve">any legal </w:t>
      </w:r>
      <w:r w:rsidR="005739AF" w:rsidRPr="008A7BD7">
        <w:rPr>
          <w:rFonts w:eastAsia="Calibri"/>
          <w:lang w:val="en-US"/>
        </w:rPr>
        <w:t xml:space="preserve">provisions that order the mandatory </w:t>
      </w:r>
      <w:r w:rsidR="002B11B1" w:rsidRPr="008A7BD7">
        <w:rPr>
          <w:rFonts w:eastAsia="Calibri"/>
          <w:lang w:val="en-US"/>
        </w:rPr>
        <w:t>use</w:t>
      </w:r>
      <w:r w:rsidR="005739AF" w:rsidRPr="008A7BD7">
        <w:rPr>
          <w:rFonts w:eastAsia="Calibri"/>
          <w:lang w:val="en-US"/>
        </w:rPr>
        <w:t xml:space="preserve"> of pretrial detention by type of </w:t>
      </w:r>
      <w:r w:rsidR="008864B8" w:rsidRPr="008A7BD7">
        <w:rPr>
          <w:rFonts w:eastAsia="Cambria" w:cs="Cambria"/>
          <w:lang w:val="en-US"/>
        </w:rPr>
        <w:t>offense</w:t>
      </w:r>
      <w:r w:rsidR="005739AF" w:rsidRPr="008A7BD7">
        <w:rPr>
          <w:rFonts w:eastAsia="Calibri"/>
          <w:lang w:val="en-US"/>
        </w:rPr>
        <w:t xml:space="preserve">, avoid </w:t>
      </w:r>
      <w:r w:rsidR="002B11B1" w:rsidRPr="008A7BD7">
        <w:rPr>
          <w:rFonts w:eastAsia="Calibri"/>
          <w:lang w:val="en-US"/>
        </w:rPr>
        <w:t xml:space="preserve">establishing further </w:t>
      </w:r>
      <w:r w:rsidR="005739AF" w:rsidRPr="008A7BD7">
        <w:rPr>
          <w:rFonts w:eastAsia="Calibri"/>
          <w:lang w:val="en-US"/>
        </w:rPr>
        <w:t xml:space="preserve">restrictions on release, and promote, regulate, and implement </w:t>
      </w:r>
      <w:r w:rsidR="00364529" w:rsidRPr="008A7BD7">
        <w:rPr>
          <w:rFonts w:eastAsia="Calibri"/>
          <w:lang w:val="en-US"/>
        </w:rPr>
        <w:t>alternative</w:t>
      </w:r>
      <w:r w:rsidR="005739AF" w:rsidRPr="008A7BD7">
        <w:rPr>
          <w:rFonts w:eastAsia="Calibri"/>
          <w:lang w:val="en-US"/>
        </w:rPr>
        <w:t xml:space="preserve"> measures.</w:t>
      </w:r>
    </w:p>
    <w:p w14:paraId="2A7C61D7" w14:textId="77777777" w:rsidR="006828F1" w:rsidRPr="008A7BD7" w:rsidRDefault="006828F1" w:rsidP="00491020">
      <w:pPr>
        <w:pStyle w:val="Normal1"/>
        <w:numPr>
          <w:ilvl w:val="0"/>
          <w:numId w:val="0"/>
        </w:numPr>
        <w:spacing w:after="0"/>
        <w:ind w:left="360"/>
        <w:rPr>
          <w:rFonts w:eastAsia="Calibri"/>
          <w:lang w:val="en-US"/>
        </w:rPr>
      </w:pPr>
    </w:p>
    <w:p w14:paraId="00C23373" w14:textId="2430707C" w:rsidR="006828F1" w:rsidRPr="008A7BD7" w:rsidRDefault="00364529" w:rsidP="00BB65D3">
      <w:pPr>
        <w:pStyle w:val="Normal1"/>
        <w:numPr>
          <w:ilvl w:val="0"/>
          <w:numId w:val="9"/>
        </w:numPr>
        <w:spacing w:after="0"/>
        <w:rPr>
          <w:rFonts w:eastAsia="Calibri"/>
          <w:lang w:val="en-US"/>
        </w:rPr>
      </w:pPr>
      <w:bookmarkStart w:id="16" w:name="_heading=h.2et92p0" w:colFirst="0" w:colLast="0"/>
      <w:bookmarkEnd w:id="16"/>
      <w:r w:rsidRPr="008A7BD7">
        <w:rPr>
          <w:rFonts w:eastAsia="Calibri"/>
          <w:lang w:val="en-US"/>
        </w:rPr>
        <w:t xml:space="preserve">Continue </w:t>
      </w:r>
      <w:r w:rsidR="00803AA1" w:rsidRPr="008A7BD7">
        <w:rPr>
          <w:rFonts w:eastAsia="Calibri"/>
          <w:lang w:val="en-US"/>
        </w:rPr>
        <w:t xml:space="preserve">to </w:t>
      </w:r>
      <w:r w:rsidRPr="008A7BD7">
        <w:rPr>
          <w:rFonts w:eastAsia="Calibri"/>
          <w:lang w:val="en-US"/>
        </w:rPr>
        <w:t xml:space="preserve">adopt measures to strengthen public </w:t>
      </w:r>
      <w:r w:rsidR="00A927C3" w:rsidRPr="008A7BD7">
        <w:rPr>
          <w:rFonts w:eastAsia="Calibri"/>
          <w:lang w:val="en-US"/>
        </w:rPr>
        <w:t xml:space="preserve">criminal </w:t>
      </w:r>
      <w:r w:rsidRPr="008A7BD7">
        <w:rPr>
          <w:rFonts w:eastAsia="Calibri"/>
          <w:lang w:val="en-US"/>
        </w:rPr>
        <w:t>defen</w:t>
      </w:r>
      <w:r w:rsidR="00A927C3" w:rsidRPr="008A7BD7">
        <w:rPr>
          <w:rFonts w:eastAsia="Calibri"/>
          <w:lang w:val="en-US"/>
        </w:rPr>
        <w:t>se</w:t>
      </w:r>
      <w:r w:rsidRPr="008A7BD7">
        <w:rPr>
          <w:rFonts w:eastAsia="Calibri"/>
          <w:lang w:val="en-US"/>
        </w:rPr>
        <w:t xml:space="preserve"> systems, </w:t>
      </w:r>
      <w:r w:rsidR="00A927C3" w:rsidRPr="008A7BD7">
        <w:rPr>
          <w:rFonts w:eastAsia="Calibri"/>
          <w:lang w:val="en-US"/>
        </w:rPr>
        <w:t>giving</w:t>
      </w:r>
      <w:r w:rsidRPr="008A7BD7">
        <w:rPr>
          <w:rFonts w:eastAsia="Calibri"/>
          <w:lang w:val="en-US"/>
        </w:rPr>
        <w:t xml:space="preserve"> priority</w:t>
      </w:r>
      <w:r w:rsidR="00A927C3" w:rsidRPr="008A7BD7">
        <w:rPr>
          <w:rFonts w:eastAsia="Calibri"/>
          <w:lang w:val="en-US"/>
        </w:rPr>
        <w:t xml:space="preserve"> </w:t>
      </w:r>
      <w:r w:rsidRPr="008A7BD7">
        <w:rPr>
          <w:rFonts w:eastAsia="Calibri"/>
          <w:lang w:val="en-US"/>
        </w:rPr>
        <w:t xml:space="preserve">to coverage and quality </w:t>
      </w:r>
      <w:r w:rsidR="00A927C3" w:rsidRPr="008A7BD7">
        <w:rPr>
          <w:rFonts w:eastAsia="Calibri"/>
          <w:lang w:val="en-US"/>
        </w:rPr>
        <w:t xml:space="preserve">of service </w:t>
      </w:r>
      <w:proofErr w:type="gramStart"/>
      <w:r w:rsidRPr="008A7BD7">
        <w:rPr>
          <w:rFonts w:eastAsia="Calibri"/>
          <w:lang w:val="en-US"/>
        </w:rPr>
        <w:t>in order to</w:t>
      </w:r>
      <w:proofErr w:type="gramEnd"/>
      <w:r w:rsidRPr="008A7BD7">
        <w:rPr>
          <w:rFonts w:eastAsia="Calibri"/>
          <w:lang w:val="en-US"/>
        </w:rPr>
        <w:t xml:space="preserve"> provide</w:t>
      </w:r>
      <w:r w:rsidR="00A927C3" w:rsidRPr="008A7BD7">
        <w:rPr>
          <w:rFonts w:eastAsia="Calibri"/>
          <w:lang w:val="en-US"/>
        </w:rPr>
        <w:t>, from the moment of arrest,</w:t>
      </w:r>
      <w:r w:rsidRPr="008A7BD7">
        <w:rPr>
          <w:rFonts w:eastAsia="Calibri"/>
          <w:lang w:val="en-US"/>
        </w:rPr>
        <w:t xml:space="preserve"> a service </w:t>
      </w:r>
      <w:r w:rsidR="00A927C3" w:rsidRPr="008A7BD7">
        <w:rPr>
          <w:rFonts w:eastAsia="Calibri"/>
          <w:lang w:val="en-US"/>
        </w:rPr>
        <w:t>aimed at</w:t>
      </w:r>
      <w:r w:rsidRPr="008A7BD7">
        <w:rPr>
          <w:rFonts w:eastAsia="Calibri"/>
          <w:lang w:val="en-US"/>
        </w:rPr>
        <w:t xml:space="preserve"> timely and effective protection of</w:t>
      </w:r>
      <w:r w:rsidR="00A927C3" w:rsidRPr="008A7BD7">
        <w:rPr>
          <w:rFonts w:eastAsia="Calibri"/>
          <w:lang w:val="en-US"/>
        </w:rPr>
        <w:t xml:space="preserve"> </w:t>
      </w:r>
      <w:r w:rsidRPr="008A7BD7">
        <w:rPr>
          <w:rFonts w:eastAsia="Calibri"/>
          <w:lang w:val="en-US"/>
        </w:rPr>
        <w:t>fundamental rights.</w:t>
      </w:r>
    </w:p>
    <w:p w14:paraId="353C7B0D" w14:textId="77777777" w:rsidR="006828F1" w:rsidRPr="008A7BD7" w:rsidRDefault="006828F1" w:rsidP="00491020">
      <w:pPr>
        <w:pStyle w:val="Normal1"/>
        <w:numPr>
          <w:ilvl w:val="0"/>
          <w:numId w:val="0"/>
        </w:numPr>
        <w:spacing w:after="0"/>
        <w:ind w:left="360"/>
        <w:rPr>
          <w:rFonts w:eastAsia="Calibri"/>
          <w:lang w:val="en-US"/>
        </w:rPr>
      </w:pPr>
      <w:bookmarkStart w:id="17" w:name="_heading=h.2esl3ixj13rs" w:colFirst="0" w:colLast="0"/>
      <w:bookmarkEnd w:id="17"/>
    </w:p>
    <w:p w14:paraId="6C496502" w14:textId="61AA9055" w:rsidR="006828F1" w:rsidRPr="008A7BD7" w:rsidRDefault="00C32014" w:rsidP="00BB65D3">
      <w:pPr>
        <w:pStyle w:val="Normal1"/>
        <w:numPr>
          <w:ilvl w:val="0"/>
          <w:numId w:val="9"/>
        </w:numPr>
        <w:spacing w:after="0"/>
        <w:rPr>
          <w:rFonts w:eastAsia="Calibri"/>
          <w:lang w:val="en-US"/>
        </w:rPr>
      </w:pPr>
      <w:bookmarkStart w:id="18" w:name="_heading=h.xbeuk1yx4hq3" w:colFirst="0" w:colLast="0"/>
      <w:bookmarkEnd w:id="18"/>
      <w:r w:rsidRPr="008A7BD7">
        <w:rPr>
          <w:rFonts w:eastAsia="Calibri"/>
          <w:lang w:val="en-US"/>
        </w:rPr>
        <w:t>Ensure</w:t>
      </w:r>
      <w:r w:rsidR="002E3771" w:rsidRPr="008A7BD7">
        <w:rPr>
          <w:rFonts w:eastAsia="Calibri"/>
          <w:lang w:val="en-US"/>
        </w:rPr>
        <w:t xml:space="preserve"> the physical presence of persons deprived of liberty</w:t>
      </w:r>
      <w:r w:rsidR="00BF52FF" w:rsidRPr="008A7BD7">
        <w:rPr>
          <w:rFonts w:eastAsia="Calibri"/>
          <w:lang w:val="en-US"/>
        </w:rPr>
        <w:t xml:space="preserve"> at custody hearing</w:t>
      </w:r>
      <w:r w:rsidRPr="008A7BD7">
        <w:rPr>
          <w:rFonts w:eastAsia="Calibri"/>
          <w:lang w:val="en-US"/>
        </w:rPr>
        <w:t>s</w:t>
      </w:r>
      <w:r w:rsidR="00BF52FF" w:rsidRPr="008A7BD7">
        <w:rPr>
          <w:rFonts w:eastAsia="Calibri"/>
          <w:lang w:val="en-US"/>
        </w:rPr>
        <w:t xml:space="preserve">, </w:t>
      </w:r>
      <w:proofErr w:type="gramStart"/>
      <w:r w:rsidRPr="008A7BD7">
        <w:rPr>
          <w:rFonts w:eastAsia="Calibri"/>
          <w:lang w:val="en-US"/>
        </w:rPr>
        <w:t>at all times</w:t>
      </w:r>
      <w:proofErr w:type="gramEnd"/>
      <w:r w:rsidR="00BF52FF" w:rsidRPr="008A7BD7">
        <w:rPr>
          <w:rFonts w:eastAsia="Calibri"/>
          <w:lang w:val="en-US"/>
        </w:rPr>
        <w:t xml:space="preserve"> heeding the respective protocols to prevent the spread of </w:t>
      </w:r>
      <w:r w:rsidR="006828F1" w:rsidRPr="008A7BD7">
        <w:rPr>
          <w:rFonts w:eastAsia="Calibri"/>
          <w:lang w:val="en-US"/>
        </w:rPr>
        <w:t xml:space="preserve">COVID-19. </w:t>
      </w:r>
    </w:p>
    <w:p w14:paraId="56B4E769" w14:textId="77777777" w:rsidR="006828F1" w:rsidRPr="008A7BD7" w:rsidRDefault="006828F1" w:rsidP="00491020">
      <w:pPr>
        <w:pStyle w:val="Normal1"/>
        <w:numPr>
          <w:ilvl w:val="0"/>
          <w:numId w:val="0"/>
        </w:numPr>
        <w:spacing w:after="0"/>
        <w:ind w:left="360"/>
        <w:rPr>
          <w:rFonts w:eastAsia="Calibri"/>
          <w:lang w:val="en-US"/>
        </w:rPr>
      </w:pPr>
    </w:p>
    <w:p w14:paraId="751E9C1B" w14:textId="0DE2EF42" w:rsidR="006828F1" w:rsidRPr="008A7BD7" w:rsidRDefault="006828F1" w:rsidP="00BB65D3">
      <w:pPr>
        <w:pStyle w:val="Normal1"/>
        <w:numPr>
          <w:ilvl w:val="0"/>
          <w:numId w:val="9"/>
        </w:numPr>
        <w:spacing w:after="0"/>
        <w:rPr>
          <w:rFonts w:eastAsia="Calibri"/>
          <w:lang w:val="en-US"/>
        </w:rPr>
      </w:pPr>
      <w:r w:rsidRPr="008A7BD7">
        <w:rPr>
          <w:rFonts w:eastAsia="Calibri"/>
          <w:lang w:val="en-US"/>
        </w:rPr>
        <w:t>Implement</w:t>
      </w:r>
      <w:r w:rsidR="009D456F" w:rsidRPr="008A7BD7">
        <w:rPr>
          <w:rFonts w:eastAsia="Calibri"/>
          <w:lang w:val="en-US"/>
        </w:rPr>
        <w:t xml:space="preserve"> efforts to improve </w:t>
      </w:r>
      <w:r w:rsidR="008610DE" w:rsidRPr="008A7BD7">
        <w:rPr>
          <w:rFonts w:eastAsia="Calibri"/>
          <w:lang w:val="en-US"/>
        </w:rPr>
        <w:t xml:space="preserve">judicial and prison </w:t>
      </w:r>
      <w:r w:rsidR="009D456F" w:rsidRPr="008A7BD7">
        <w:rPr>
          <w:rFonts w:eastAsia="Calibri"/>
          <w:lang w:val="en-US"/>
        </w:rPr>
        <w:t xml:space="preserve">information management systems at all </w:t>
      </w:r>
      <w:r w:rsidR="008610DE" w:rsidRPr="008A7BD7">
        <w:rPr>
          <w:rFonts w:eastAsia="Calibri"/>
          <w:lang w:val="en-US"/>
        </w:rPr>
        <w:t>detention</w:t>
      </w:r>
      <w:r w:rsidR="009D456F" w:rsidRPr="008A7BD7">
        <w:rPr>
          <w:rFonts w:eastAsia="Calibri"/>
          <w:lang w:val="en-US"/>
        </w:rPr>
        <w:t xml:space="preserve"> </w:t>
      </w:r>
      <w:r w:rsidR="008610DE" w:rsidRPr="008A7BD7">
        <w:rPr>
          <w:rFonts w:eastAsia="Calibri"/>
          <w:lang w:val="en-US"/>
        </w:rPr>
        <w:t>facilities</w:t>
      </w:r>
      <w:r w:rsidR="009D456F" w:rsidRPr="008A7BD7">
        <w:rPr>
          <w:rFonts w:eastAsia="Calibri"/>
          <w:lang w:val="en-US"/>
        </w:rPr>
        <w:t xml:space="preserve"> in the country, </w:t>
      </w:r>
      <w:proofErr w:type="gramStart"/>
      <w:r w:rsidR="008610DE" w:rsidRPr="008A7BD7">
        <w:rPr>
          <w:rFonts w:eastAsia="Calibri"/>
          <w:lang w:val="en-US"/>
        </w:rPr>
        <w:t>in order to</w:t>
      </w:r>
      <w:proofErr w:type="gramEnd"/>
      <w:r w:rsidR="009D456F" w:rsidRPr="008A7BD7">
        <w:rPr>
          <w:rFonts w:eastAsia="Calibri"/>
          <w:lang w:val="en-US"/>
        </w:rPr>
        <w:t xml:space="preserve"> provide up</w:t>
      </w:r>
      <w:r w:rsidR="008610DE" w:rsidRPr="008A7BD7">
        <w:rPr>
          <w:rFonts w:eastAsia="Calibri"/>
          <w:lang w:val="en-US"/>
        </w:rPr>
        <w:t xml:space="preserve">-to-date, </w:t>
      </w:r>
      <w:r w:rsidR="009D456F" w:rsidRPr="008A7BD7">
        <w:rPr>
          <w:rFonts w:eastAsia="Calibri"/>
          <w:lang w:val="en-US"/>
        </w:rPr>
        <w:t xml:space="preserve">easily accessible data on cases and the </w:t>
      </w:r>
      <w:r w:rsidR="008610DE" w:rsidRPr="008A7BD7">
        <w:rPr>
          <w:rFonts w:eastAsia="Calibri"/>
          <w:lang w:val="en-US"/>
        </w:rPr>
        <w:t>custody status</w:t>
      </w:r>
      <w:r w:rsidR="009D456F" w:rsidRPr="008A7BD7">
        <w:rPr>
          <w:rFonts w:eastAsia="Calibri"/>
          <w:lang w:val="en-US"/>
        </w:rPr>
        <w:t xml:space="preserve"> of persons deprived of liberty in the country.</w:t>
      </w:r>
    </w:p>
    <w:p w14:paraId="77613E29" w14:textId="77777777" w:rsidR="00491020" w:rsidRPr="008A7BD7" w:rsidRDefault="00491020" w:rsidP="00491020">
      <w:pPr>
        <w:pStyle w:val="ListParagraph"/>
        <w:rPr>
          <w:rFonts w:ascii="Cambria" w:eastAsia="Calibri" w:hAnsi="Cambria"/>
        </w:rPr>
      </w:pPr>
    </w:p>
    <w:p w14:paraId="45DD5F7C" w14:textId="1217C73C" w:rsidR="00491020" w:rsidRPr="008A7BD7" w:rsidRDefault="00C86285" w:rsidP="00491020">
      <w:pPr>
        <w:pStyle w:val="Normal1"/>
        <w:numPr>
          <w:ilvl w:val="0"/>
          <w:numId w:val="0"/>
        </w:numPr>
        <w:spacing w:after="0"/>
        <w:ind w:left="360" w:hanging="360"/>
        <w:rPr>
          <w:rFonts w:eastAsia="Calibri"/>
          <w:lang w:val="en-US"/>
        </w:rPr>
      </w:pPr>
      <w:r w:rsidRPr="008A7BD7">
        <w:rPr>
          <w:rFonts w:eastAsia="Calibri"/>
          <w:b/>
          <w:bCs/>
          <w:lang w:val="en-US"/>
        </w:rPr>
        <w:t>Persons in the Context of Human Mobility</w:t>
      </w:r>
    </w:p>
    <w:p w14:paraId="48DAFA6A" w14:textId="77777777" w:rsidR="00491020" w:rsidRPr="008A7BD7" w:rsidRDefault="00491020" w:rsidP="00491020">
      <w:pPr>
        <w:pStyle w:val="Normal1"/>
        <w:numPr>
          <w:ilvl w:val="0"/>
          <w:numId w:val="0"/>
        </w:numPr>
        <w:spacing w:after="0"/>
        <w:ind w:left="360" w:hanging="360"/>
        <w:rPr>
          <w:rFonts w:eastAsia="Calibri"/>
          <w:lang w:val="en-US"/>
        </w:rPr>
      </w:pPr>
    </w:p>
    <w:p w14:paraId="220775BA" w14:textId="48EF31CF" w:rsidR="006828F1" w:rsidRPr="008A7BD7" w:rsidRDefault="006828F1" w:rsidP="00BB65D3">
      <w:pPr>
        <w:pStyle w:val="Normal1"/>
        <w:numPr>
          <w:ilvl w:val="0"/>
          <w:numId w:val="9"/>
        </w:numPr>
        <w:spacing w:after="0"/>
        <w:rPr>
          <w:rFonts w:eastAsia="Calibri"/>
          <w:lang w:val="en-US"/>
        </w:rPr>
      </w:pPr>
      <w:r w:rsidRPr="008A7BD7">
        <w:rPr>
          <w:rFonts w:eastAsia="Calibri"/>
          <w:lang w:val="en-US"/>
        </w:rPr>
        <w:lastRenderedPageBreak/>
        <w:t>Implement</w:t>
      </w:r>
      <w:r w:rsidR="00C86285" w:rsidRPr="008A7BD7">
        <w:rPr>
          <w:rFonts w:eastAsia="Calibri"/>
          <w:lang w:val="en-US"/>
        </w:rPr>
        <w:t xml:space="preserve"> policies, plans, programs, or projects designed to address the structural causes that lead to forced displacement of Guatemalans. Such measures should incorporate a differentiated </w:t>
      </w:r>
      <w:r w:rsidR="00331F23" w:rsidRPr="008A7BD7">
        <w:rPr>
          <w:rFonts w:eastAsia="Calibri"/>
          <w:lang w:val="en-US"/>
        </w:rPr>
        <w:t xml:space="preserve">and </w:t>
      </w:r>
      <w:r w:rsidR="00C86285" w:rsidRPr="008A7BD7">
        <w:rPr>
          <w:rFonts w:eastAsia="Calibri"/>
          <w:lang w:val="en-US"/>
        </w:rPr>
        <w:t>gender</w:t>
      </w:r>
      <w:r w:rsidR="00331F23" w:rsidRPr="008A7BD7">
        <w:rPr>
          <w:rFonts w:eastAsia="Calibri"/>
          <w:lang w:val="en-US"/>
        </w:rPr>
        <w:t>-specific</w:t>
      </w:r>
      <w:r w:rsidR="00C86285" w:rsidRPr="008A7BD7">
        <w:rPr>
          <w:rFonts w:eastAsia="Calibri"/>
          <w:lang w:val="en-US"/>
        </w:rPr>
        <w:t xml:space="preserve"> perspective, based on an intersectional approach. </w:t>
      </w:r>
    </w:p>
    <w:p w14:paraId="33158D00" w14:textId="77777777" w:rsidR="00491020" w:rsidRPr="008A7BD7" w:rsidRDefault="00491020" w:rsidP="00491020">
      <w:pPr>
        <w:pStyle w:val="Normal1"/>
        <w:numPr>
          <w:ilvl w:val="0"/>
          <w:numId w:val="0"/>
        </w:numPr>
        <w:spacing w:after="0"/>
        <w:ind w:left="360"/>
        <w:rPr>
          <w:rFonts w:eastAsia="Calibri"/>
          <w:lang w:val="en-US"/>
        </w:rPr>
      </w:pPr>
    </w:p>
    <w:p w14:paraId="133C13D3" w14:textId="79760446" w:rsidR="006828F1" w:rsidRPr="008A7BD7" w:rsidRDefault="00C86285" w:rsidP="00BB65D3">
      <w:pPr>
        <w:pStyle w:val="Normal1"/>
        <w:numPr>
          <w:ilvl w:val="0"/>
          <w:numId w:val="9"/>
        </w:numPr>
        <w:spacing w:after="0"/>
        <w:rPr>
          <w:rFonts w:eastAsia="Calibri"/>
          <w:lang w:val="en-US"/>
        </w:rPr>
      </w:pPr>
      <w:r w:rsidRPr="008A7BD7">
        <w:rPr>
          <w:rFonts w:eastAsia="Calibri"/>
          <w:lang w:val="en-US"/>
        </w:rPr>
        <w:t xml:space="preserve">Adopt measures to ensure the sustainable reintegration of </w:t>
      </w:r>
      <w:r w:rsidR="001E340B" w:rsidRPr="008A7BD7">
        <w:rPr>
          <w:rFonts w:eastAsia="Calibri"/>
          <w:lang w:val="en-US"/>
        </w:rPr>
        <w:t xml:space="preserve">Guatemalans who have been </w:t>
      </w:r>
      <w:r w:rsidRPr="008A7BD7">
        <w:rPr>
          <w:rFonts w:eastAsia="Calibri"/>
          <w:lang w:val="en-US"/>
        </w:rPr>
        <w:t xml:space="preserve">returned or deported. In the case of people of other nationalities who have been returned or deported to </w:t>
      </w:r>
      <w:r w:rsidR="006828F1" w:rsidRPr="008A7BD7">
        <w:rPr>
          <w:rFonts w:eastAsia="Calibri"/>
          <w:lang w:val="en-US"/>
        </w:rPr>
        <w:t xml:space="preserve">Guatemala, </w:t>
      </w:r>
      <w:r w:rsidRPr="008A7BD7">
        <w:rPr>
          <w:rFonts w:eastAsia="Calibri"/>
          <w:lang w:val="en-US"/>
        </w:rPr>
        <w:t xml:space="preserve">the State should implement effective mechanisms to identify potential needs for international protection, </w:t>
      </w:r>
      <w:r w:rsidR="00DD7536" w:rsidRPr="008A7BD7">
        <w:rPr>
          <w:rFonts w:eastAsia="Calibri"/>
          <w:lang w:val="en-US"/>
        </w:rPr>
        <w:t>ensuring respect for the principle of</w:t>
      </w:r>
      <w:r w:rsidR="00DB056A" w:rsidRPr="008A7BD7">
        <w:rPr>
          <w:rFonts w:eastAsia="Calibri"/>
          <w:lang w:val="en-US"/>
        </w:rPr>
        <w:t xml:space="preserve"> </w:t>
      </w:r>
      <w:r w:rsidR="006828F1" w:rsidRPr="008A7BD7">
        <w:rPr>
          <w:rFonts w:eastAsia="Calibri"/>
          <w:i/>
          <w:iCs/>
          <w:lang w:val="en-US"/>
        </w:rPr>
        <w:t>non-refoulement</w:t>
      </w:r>
      <w:r w:rsidR="00DB056A" w:rsidRPr="008A7BD7">
        <w:rPr>
          <w:rFonts w:eastAsia="Calibri"/>
          <w:lang w:val="en-US"/>
        </w:rPr>
        <w:t>—which</w:t>
      </w:r>
      <w:r w:rsidR="005D7A7B" w:rsidRPr="008A7BD7">
        <w:rPr>
          <w:rFonts w:eastAsia="Calibri"/>
          <w:lang w:val="en-US"/>
        </w:rPr>
        <w:t xml:space="preserve"> </w:t>
      </w:r>
      <w:r w:rsidR="001A2BA8" w:rsidRPr="008A7BD7">
        <w:rPr>
          <w:rFonts w:eastAsia="Calibri"/>
          <w:lang w:val="en-US"/>
        </w:rPr>
        <w:t xml:space="preserve">includes </w:t>
      </w:r>
      <w:r w:rsidR="00DD7536" w:rsidRPr="008A7BD7">
        <w:rPr>
          <w:rFonts w:eastAsia="Calibri"/>
          <w:lang w:val="en-US"/>
        </w:rPr>
        <w:t>prohibit</w:t>
      </w:r>
      <w:r w:rsidR="001A2BA8" w:rsidRPr="008A7BD7">
        <w:rPr>
          <w:rFonts w:eastAsia="Calibri"/>
          <w:lang w:val="en-US"/>
        </w:rPr>
        <w:t>ing</w:t>
      </w:r>
      <w:r w:rsidR="00DD7536" w:rsidRPr="008A7BD7">
        <w:rPr>
          <w:rFonts w:eastAsia="Calibri"/>
          <w:lang w:val="en-US"/>
        </w:rPr>
        <w:t xml:space="preserve"> refusal of entry at the border, indirect return</w:t>
      </w:r>
      <w:r w:rsidR="00DB056A" w:rsidRPr="008A7BD7">
        <w:rPr>
          <w:rFonts w:eastAsia="Calibri"/>
          <w:lang w:val="en-US"/>
        </w:rPr>
        <w:t xml:space="preserve"> to home country</w:t>
      </w:r>
      <w:r w:rsidR="00DD7536" w:rsidRPr="008A7BD7">
        <w:rPr>
          <w:rFonts w:eastAsia="Calibri"/>
          <w:lang w:val="en-US"/>
        </w:rPr>
        <w:t xml:space="preserve">, and </w:t>
      </w:r>
      <w:r w:rsidR="001E340B" w:rsidRPr="008A7BD7">
        <w:rPr>
          <w:rFonts w:eastAsia="Calibri"/>
          <w:lang w:val="en-US"/>
        </w:rPr>
        <w:t>collective</w:t>
      </w:r>
      <w:r w:rsidR="00DD7536" w:rsidRPr="008A7BD7">
        <w:rPr>
          <w:rFonts w:eastAsia="Calibri"/>
          <w:lang w:val="en-US"/>
        </w:rPr>
        <w:t xml:space="preserve"> </w:t>
      </w:r>
      <w:r w:rsidR="001E340B" w:rsidRPr="008A7BD7">
        <w:rPr>
          <w:rFonts w:eastAsia="Calibri"/>
          <w:lang w:val="en-US"/>
        </w:rPr>
        <w:t>expulsions</w:t>
      </w:r>
      <w:r w:rsidR="00DB056A" w:rsidRPr="008A7BD7">
        <w:rPr>
          <w:rFonts w:eastAsia="Calibri"/>
          <w:lang w:val="en-US"/>
        </w:rPr>
        <w:t>—</w:t>
      </w:r>
      <w:r w:rsidR="006C0FFD" w:rsidRPr="008A7BD7">
        <w:rPr>
          <w:rFonts w:eastAsia="Calibri"/>
          <w:lang w:val="en-US"/>
        </w:rPr>
        <w:t xml:space="preserve">with </w:t>
      </w:r>
      <w:r w:rsidR="00DB056A" w:rsidRPr="008A7BD7">
        <w:rPr>
          <w:rFonts w:eastAsia="Calibri"/>
          <w:lang w:val="en-US"/>
        </w:rPr>
        <w:t>regard</w:t>
      </w:r>
      <w:r w:rsidR="006C0FFD" w:rsidRPr="008A7BD7">
        <w:rPr>
          <w:rFonts w:eastAsia="Calibri"/>
          <w:lang w:val="en-US"/>
        </w:rPr>
        <w:t xml:space="preserve"> to anyone who seeks asylum or some other form of international protection or anyone whose life or integrity may be at risk in the country to which the person would be returned.</w:t>
      </w:r>
      <w:r w:rsidR="00DD7536" w:rsidRPr="008A7BD7">
        <w:rPr>
          <w:rFonts w:eastAsia="Calibri"/>
          <w:lang w:val="en-US"/>
        </w:rPr>
        <w:t xml:space="preserve"> </w:t>
      </w:r>
      <w:r w:rsidR="006C0FFD" w:rsidRPr="008A7BD7">
        <w:rPr>
          <w:rFonts w:eastAsia="Calibri"/>
          <w:lang w:val="en-US"/>
        </w:rPr>
        <w:t xml:space="preserve">Such measures should also incorporate a </w:t>
      </w:r>
      <w:r w:rsidR="00331F23" w:rsidRPr="008A7BD7">
        <w:rPr>
          <w:rFonts w:eastAsia="Calibri"/>
          <w:lang w:val="en-US"/>
        </w:rPr>
        <w:t xml:space="preserve">differentiated and gender-specific </w:t>
      </w:r>
      <w:r w:rsidR="006C0FFD" w:rsidRPr="008A7BD7">
        <w:rPr>
          <w:rFonts w:eastAsia="Calibri"/>
          <w:lang w:val="en-US"/>
        </w:rPr>
        <w:t xml:space="preserve">perspective, based on an intersectional approach. </w:t>
      </w:r>
    </w:p>
    <w:p w14:paraId="0DECDF5D" w14:textId="77777777" w:rsidR="00491020" w:rsidRPr="008A7BD7" w:rsidRDefault="00491020" w:rsidP="00491020">
      <w:pPr>
        <w:pStyle w:val="Normal1"/>
        <w:numPr>
          <w:ilvl w:val="0"/>
          <w:numId w:val="0"/>
        </w:numPr>
        <w:spacing w:after="0"/>
        <w:ind w:left="360"/>
        <w:rPr>
          <w:rFonts w:eastAsia="Cambria" w:cs="Cambria"/>
          <w:color w:val="333333"/>
          <w:lang w:val="en-US"/>
        </w:rPr>
      </w:pPr>
    </w:p>
    <w:p w14:paraId="4FBF9E02" w14:textId="7A560AC1" w:rsidR="0028307B" w:rsidRPr="008A7BD7" w:rsidRDefault="006C0FFD" w:rsidP="0028307B">
      <w:pPr>
        <w:pStyle w:val="Normal1"/>
        <w:numPr>
          <w:ilvl w:val="0"/>
          <w:numId w:val="9"/>
        </w:numPr>
        <w:spacing w:after="0"/>
        <w:rPr>
          <w:rFonts w:eastAsia="Cambria" w:cs="Cambria"/>
          <w:color w:val="333333"/>
          <w:lang w:val="en-US"/>
        </w:rPr>
      </w:pPr>
      <w:r w:rsidRPr="008A7BD7">
        <w:rPr>
          <w:rFonts w:eastAsia="Calibri"/>
          <w:lang w:val="en-US"/>
        </w:rPr>
        <w:t xml:space="preserve">Ensure that any evictions are carried out only if they are necessary and if they are done in strict observance of international </w:t>
      </w:r>
      <w:r w:rsidR="000C26A2" w:rsidRPr="008A7BD7">
        <w:rPr>
          <w:rFonts w:eastAsia="Calibri"/>
          <w:lang w:val="en-US"/>
        </w:rPr>
        <w:t xml:space="preserve">human rights </w:t>
      </w:r>
      <w:r w:rsidRPr="008A7BD7">
        <w:rPr>
          <w:rFonts w:eastAsia="Calibri"/>
          <w:lang w:val="en-US"/>
        </w:rPr>
        <w:t>standards</w:t>
      </w:r>
      <w:r w:rsidR="006828F1" w:rsidRPr="008A7BD7">
        <w:rPr>
          <w:rFonts w:eastAsia="Calibri"/>
          <w:lang w:val="en-US"/>
        </w:rPr>
        <w:t xml:space="preserve"> </w:t>
      </w:r>
      <w:r w:rsidRPr="008A7BD7">
        <w:rPr>
          <w:rFonts w:eastAsia="Calibri"/>
          <w:lang w:val="en-US"/>
        </w:rPr>
        <w:t xml:space="preserve">and the principles of exceptionality, legality, proportionality, and suitability. Moreover, the State should </w:t>
      </w:r>
      <w:r w:rsidR="000C26A2" w:rsidRPr="008A7BD7">
        <w:rPr>
          <w:rFonts w:eastAsia="Calibri"/>
          <w:lang w:val="en-US"/>
        </w:rPr>
        <w:t>ensure</w:t>
      </w:r>
      <w:r w:rsidRPr="008A7BD7">
        <w:rPr>
          <w:rFonts w:eastAsia="Calibri"/>
          <w:lang w:val="en-US"/>
        </w:rPr>
        <w:t xml:space="preserve"> comprehensive reparation</w:t>
      </w:r>
      <w:r w:rsidR="002571C2" w:rsidRPr="008A7BD7">
        <w:rPr>
          <w:rFonts w:eastAsia="Calibri"/>
          <w:lang w:val="en-US"/>
        </w:rPr>
        <w:t xml:space="preserve"> to the victims of evictions and forced displacement</w:t>
      </w:r>
      <w:r w:rsidR="006828F1" w:rsidRPr="008A7BD7">
        <w:rPr>
          <w:rFonts w:eastAsia="Calibri"/>
          <w:lang w:val="en-US"/>
        </w:rPr>
        <w:t xml:space="preserve">. </w:t>
      </w:r>
      <w:r w:rsidR="00422C58" w:rsidRPr="008A7BD7">
        <w:rPr>
          <w:rFonts w:eastAsia="Calibri"/>
          <w:lang w:val="en-US"/>
        </w:rPr>
        <w:t>Comprehensive</w:t>
      </w:r>
      <w:r w:rsidR="002571C2" w:rsidRPr="008A7BD7">
        <w:rPr>
          <w:rFonts w:eastAsia="Calibri"/>
          <w:lang w:val="en-US"/>
        </w:rPr>
        <w:t xml:space="preserve"> reparation </w:t>
      </w:r>
      <w:r w:rsidR="000C26A2" w:rsidRPr="008A7BD7">
        <w:rPr>
          <w:rFonts w:eastAsia="Calibri"/>
          <w:lang w:val="en-US"/>
        </w:rPr>
        <w:t>should</w:t>
      </w:r>
      <w:r w:rsidR="002571C2" w:rsidRPr="008A7BD7">
        <w:rPr>
          <w:rFonts w:eastAsia="Calibri"/>
          <w:lang w:val="en-US"/>
        </w:rPr>
        <w:t xml:space="preserve"> place a priority on the return of </w:t>
      </w:r>
      <w:r w:rsidR="000C26A2" w:rsidRPr="008A7BD7">
        <w:rPr>
          <w:rFonts w:eastAsia="Calibri"/>
          <w:lang w:val="en-US"/>
        </w:rPr>
        <w:t xml:space="preserve">those </w:t>
      </w:r>
      <w:r w:rsidR="002571C2" w:rsidRPr="008A7BD7">
        <w:rPr>
          <w:rFonts w:eastAsia="Calibri"/>
          <w:lang w:val="en-US"/>
        </w:rPr>
        <w:t xml:space="preserve">who have been </w:t>
      </w:r>
      <w:r w:rsidR="000C26A2" w:rsidRPr="008A7BD7">
        <w:rPr>
          <w:rFonts w:eastAsia="Calibri"/>
          <w:lang w:val="en-US"/>
        </w:rPr>
        <w:t>evicted</w:t>
      </w:r>
      <w:r w:rsidR="002571C2" w:rsidRPr="008A7BD7">
        <w:rPr>
          <w:rFonts w:eastAsia="Calibri"/>
          <w:lang w:val="en-US"/>
        </w:rPr>
        <w:t xml:space="preserve"> and displaced</w:t>
      </w:r>
      <w:r w:rsidR="00410D80" w:rsidRPr="008A7BD7">
        <w:rPr>
          <w:rFonts w:eastAsia="Calibri"/>
          <w:lang w:val="en-US"/>
        </w:rPr>
        <w:t xml:space="preserve">; if and </w:t>
      </w:r>
      <w:r w:rsidR="00422C58" w:rsidRPr="008A7BD7">
        <w:rPr>
          <w:rFonts w:eastAsia="Calibri"/>
          <w:lang w:val="en-US"/>
        </w:rPr>
        <w:t>only if this is not possible</w:t>
      </w:r>
      <w:r w:rsidR="00410D80" w:rsidRPr="008A7BD7">
        <w:rPr>
          <w:rFonts w:eastAsia="Calibri"/>
          <w:lang w:val="en-US"/>
        </w:rPr>
        <w:t xml:space="preserve">, </w:t>
      </w:r>
      <w:r w:rsidR="00422C58" w:rsidRPr="008A7BD7">
        <w:rPr>
          <w:rFonts w:eastAsia="Calibri"/>
          <w:lang w:val="en-US"/>
        </w:rPr>
        <w:t xml:space="preserve">the State </w:t>
      </w:r>
      <w:r w:rsidR="00410D80" w:rsidRPr="008A7BD7">
        <w:rPr>
          <w:rFonts w:eastAsia="Calibri"/>
          <w:lang w:val="en-US"/>
        </w:rPr>
        <w:t xml:space="preserve">should </w:t>
      </w:r>
      <w:r w:rsidR="00422C58" w:rsidRPr="008A7BD7">
        <w:rPr>
          <w:rFonts w:eastAsia="Calibri"/>
          <w:lang w:val="en-US"/>
        </w:rPr>
        <w:t>offer alternatives for resettlement to different land of better or equal quality.</w:t>
      </w:r>
      <w:r w:rsidR="006828F1" w:rsidRPr="008A7BD7">
        <w:rPr>
          <w:rFonts w:eastAsia="Cambria" w:cs="Cambria"/>
          <w:color w:val="333333"/>
          <w:lang w:val="en-US"/>
        </w:rPr>
        <w:t xml:space="preserve"> </w:t>
      </w:r>
    </w:p>
    <w:p w14:paraId="7990AF00" w14:textId="77777777" w:rsidR="0028307B" w:rsidRPr="008A7BD7" w:rsidRDefault="0028307B" w:rsidP="0028307B">
      <w:pPr>
        <w:pStyle w:val="ListParagraph"/>
        <w:rPr>
          <w:rFonts w:eastAsia="Cambria" w:cs="Cambria"/>
          <w:color w:val="333333"/>
        </w:rPr>
      </w:pPr>
    </w:p>
    <w:p w14:paraId="3E9690F4" w14:textId="47AADDF2" w:rsidR="0028307B" w:rsidRPr="008A7BD7" w:rsidRDefault="00166813" w:rsidP="0028307B">
      <w:pPr>
        <w:jc w:val="both"/>
        <w:rPr>
          <w:rFonts w:ascii="Cambria" w:hAnsi="Cambria"/>
          <w:b/>
          <w:bCs/>
          <w:sz w:val="20"/>
          <w:szCs w:val="20"/>
          <w:lang w:val="es-PE"/>
        </w:rPr>
      </w:pPr>
      <w:proofErr w:type="spellStart"/>
      <w:r w:rsidRPr="008A7BD7">
        <w:rPr>
          <w:rFonts w:ascii="Cambria" w:hAnsi="Cambria"/>
          <w:b/>
          <w:bCs/>
          <w:sz w:val="20"/>
          <w:szCs w:val="20"/>
          <w:lang w:val="es-419"/>
        </w:rPr>
        <w:t>Indigenous</w:t>
      </w:r>
      <w:proofErr w:type="spellEnd"/>
      <w:r w:rsidRPr="008A7BD7">
        <w:rPr>
          <w:rFonts w:ascii="Cambria" w:hAnsi="Cambria"/>
          <w:b/>
          <w:bCs/>
          <w:sz w:val="20"/>
          <w:szCs w:val="20"/>
          <w:lang w:val="es-419"/>
        </w:rPr>
        <w:t xml:space="preserve"> </w:t>
      </w:r>
      <w:proofErr w:type="spellStart"/>
      <w:r w:rsidRPr="008A7BD7">
        <w:rPr>
          <w:rFonts w:ascii="Cambria" w:hAnsi="Cambria"/>
          <w:b/>
          <w:bCs/>
          <w:sz w:val="20"/>
          <w:szCs w:val="20"/>
          <w:lang w:val="es-419"/>
        </w:rPr>
        <w:t>Peoples</w:t>
      </w:r>
      <w:proofErr w:type="spellEnd"/>
    </w:p>
    <w:p w14:paraId="051D9137" w14:textId="77777777" w:rsidR="0028307B" w:rsidRPr="008A7BD7" w:rsidRDefault="0028307B" w:rsidP="0028307B">
      <w:pPr>
        <w:rPr>
          <w:sz w:val="22"/>
          <w:szCs w:val="22"/>
        </w:rPr>
      </w:pPr>
    </w:p>
    <w:p w14:paraId="1B8B399F" w14:textId="31A73A4A" w:rsidR="0028307B" w:rsidRPr="008A7BD7" w:rsidRDefault="00166813" w:rsidP="0028307B">
      <w:pPr>
        <w:pStyle w:val="Normal1"/>
        <w:numPr>
          <w:ilvl w:val="0"/>
          <w:numId w:val="9"/>
        </w:numPr>
        <w:spacing w:after="0"/>
        <w:rPr>
          <w:rFonts w:eastAsia="Cambria" w:cs="Cambria"/>
          <w:color w:val="333333"/>
          <w:lang w:val="en-US"/>
        </w:rPr>
      </w:pPr>
      <w:r w:rsidRPr="008A7BD7">
        <w:rPr>
          <w:lang w:val="en-US"/>
        </w:rPr>
        <w:t xml:space="preserve">In consultation and coordination with the indigenous peoples involved, adopt decisive, culturally appropriate measures, </w:t>
      </w:r>
      <w:r w:rsidR="00410D80" w:rsidRPr="008A7BD7">
        <w:rPr>
          <w:lang w:val="en-US"/>
        </w:rPr>
        <w:t xml:space="preserve">along </w:t>
      </w:r>
      <w:r w:rsidRPr="008A7BD7">
        <w:rPr>
          <w:lang w:val="en-US"/>
        </w:rPr>
        <w:t xml:space="preserve">with the necessary funding, to combat the unequal impacts of poverty, malnutrition, and other violations of the social and economic rights of indigenous peoples, with a special focus on children and other </w:t>
      </w:r>
      <w:r w:rsidR="0004718E" w:rsidRPr="008A7BD7">
        <w:rPr>
          <w:lang w:val="en-US"/>
        </w:rPr>
        <w:t xml:space="preserve">vulnerable </w:t>
      </w:r>
      <w:r w:rsidRPr="008A7BD7">
        <w:rPr>
          <w:lang w:val="en-US"/>
        </w:rPr>
        <w:t xml:space="preserve">sectors of indigenous populations. </w:t>
      </w:r>
    </w:p>
    <w:p w14:paraId="541D1E15" w14:textId="77777777" w:rsidR="0028307B" w:rsidRPr="008A7BD7" w:rsidRDefault="0028307B" w:rsidP="0028307B">
      <w:pPr>
        <w:pStyle w:val="Normal1"/>
        <w:numPr>
          <w:ilvl w:val="0"/>
          <w:numId w:val="0"/>
        </w:numPr>
        <w:spacing w:after="0"/>
        <w:ind w:left="360"/>
        <w:rPr>
          <w:rFonts w:eastAsia="Cambria" w:cs="Cambria"/>
          <w:color w:val="333333"/>
          <w:lang w:val="en-US"/>
        </w:rPr>
      </w:pPr>
    </w:p>
    <w:p w14:paraId="152722E6" w14:textId="4DDB871C" w:rsidR="0028307B" w:rsidRPr="008A7BD7" w:rsidRDefault="00526742" w:rsidP="0028307B">
      <w:pPr>
        <w:pStyle w:val="Normal1"/>
        <w:numPr>
          <w:ilvl w:val="0"/>
          <w:numId w:val="9"/>
        </w:numPr>
        <w:spacing w:after="0"/>
        <w:rPr>
          <w:rFonts w:eastAsia="Cambria" w:cs="Cambria"/>
          <w:color w:val="333333"/>
          <w:lang w:val="en-US"/>
        </w:rPr>
      </w:pPr>
      <w:r w:rsidRPr="008A7BD7">
        <w:rPr>
          <w:lang w:val="en-US"/>
        </w:rPr>
        <w:t>In consultation and coordination with</w:t>
      </w:r>
      <w:r w:rsidR="000E3E61" w:rsidRPr="008A7BD7">
        <w:rPr>
          <w:lang w:val="en-US"/>
        </w:rPr>
        <w:t xml:space="preserve"> them</w:t>
      </w:r>
      <w:r w:rsidRPr="008A7BD7">
        <w:rPr>
          <w:lang w:val="en-US"/>
        </w:rPr>
        <w:t xml:space="preserve">, adopt decisive, culturally appropriate measures, </w:t>
      </w:r>
      <w:r w:rsidR="000E3E61" w:rsidRPr="008A7BD7">
        <w:rPr>
          <w:lang w:val="en-US"/>
        </w:rPr>
        <w:t xml:space="preserve">along </w:t>
      </w:r>
      <w:r w:rsidRPr="008A7BD7">
        <w:rPr>
          <w:lang w:val="en-US"/>
        </w:rPr>
        <w:t xml:space="preserve">with the necessary funding, to institute mechanisms to resolve </w:t>
      </w:r>
      <w:r w:rsidR="0026286A" w:rsidRPr="008A7BD7">
        <w:rPr>
          <w:lang w:val="en-US"/>
        </w:rPr>
        <w:t xml:space="preserve">the </w:t>
      </w:r>
      <w:r w:rsidRPr="008A7BD7">
        <w:rPr>
          <w:lang w:val="en-US"/>
        </w:rPr>
        <w:t xml:space="preserve">demands </w:t>
      </w:r>
      <w:r w:rsidR="0026286A" w:rsidRPr="008A7BD7">
        <w:rPr>
          <w:lang w:val="en-US"/>
        </w:rPr>
        <w:t xml:space="preserve">of indigenous peoples concerning </w:t>
      </w:r>
      <w:r w:rsidRPr="008A7BD7">
        <w:rPr>
          <w:lang w:val="en-US"/>
        </w:rPr>
        <w:t xml:space="preserve">recognition and protection of their territorial rights, </w:t>
      </w:r>
      <w:proofErr w:type="gramStart"/>
      <w:r w:rsidRPr="008A7BD7">
        <w:rPr>
          <w:lang w:val="en-US"/>
        </w:rPr>
        <w:t>in order to</w:t>
      </w:r>
      <w:proofErr w:type="gramEnd"/>
      <w:r w:rsidRPr="008A7BD7">
        <w:rPr>
          <w:lang w:val="en-US"/>
        </w:rPr>
        <w:t xml:space="preserve"> settle conflicts with third parties, in accordance with inter-American standards on the rights of indigenous peoples </w:t>
      </w:r>
      <w:r w:rsidR="000E3E61" w:rsidRPr="008A7BD7">
        <w:rPr>
          <w:lang w:val="en-US"/>
        </w:rPr>
        <w:t>to</w:t>
      </w:r>
      <w:r w:rsidRPr="008A7BD7">
        <w:rPr>
          <w:lang w:val="en-US"/>
        </w:rPr>
        <w:t xml:space="preserve"> the</w:t>
      </w:r>
      <w:r w:rsidR="000E3E61" w:rsidRPr="008A7BD7">
        <w:rPr>
          <w:lang w:val="en-US"/>
        </w:rPr>
        <w:t>ir</w:t>
      </w:r>
      <w:r w:rsidRPr="008A7BD7">
        <w:rPr>
          <w:lang w:val="en-US"/>
        </w:rPr>
        <w:t xml:space="preserve"> lands, territories, and natural resources. </w:t>
      </w:r>
    </w:p>
    <w:p w14:paraId="19728FF9" w14:textId="77777777" w:rsidR="0028307B" w:rsidRPr="008A7BD7" w:rsidRDefault="0028307B" w:rsidP="0028307B">
      <w:pPr>
        <w:pStyle w:val="ListParagraph"/>
        <w:rPr>
          <w:rStyle w:val="normaltextrun"/>
          <w:rFonts w:eastAsiaTheme="majorEastAsia"/>
          <w:sz w:val="20"/>
          <w:szCs w:val="20"/>
        </w:rPr>
      </w:pPr>
    </w:p>
    <w:p w14:paraId="187F5AA7" w14:textId="7D279CBD" w:rsidR="0028307B" w:rsidRPr="008A7BD7" w:rsidRDefault="006849EB" w:rsidP="0028307B">
      <w:pPr>
        <w:pStyle w:val="Normal1"/>
        <w:numPr>
          <w:ilvl w:val="0"/>
          <w:numId w:val="9"/>
        </w:numPr>
        <w:spacing w:after="0"/>
        <w:rPr>
          <w:rStyle w:val="normaltextrun"/>
          <w:rFonts w:eastAsia="Cambria" w:cs="Cambria"/>
          <w:color w:val="333333"/>
          <w:lang w:val="en-US"/>
        </w:rPr>
      </w:pPr>
      <w:r w:rsidRPr="008A7BD7">
        <w:rPr>
          <w:rStyle w:val="normaltextrun"/>
          <w:rFonts w:eastAsiaTheme="majorEastAsia"/>
          <w:lang w:val="en-US"/>
        </w:rPr>
        <w:t xml:space="preserve">Carry out prior, free, and informed consultation with indigenous peoples regarding administrative and legislative initiatives </w:t>
      </w:r>
      <w:r w:rsidR="00672469" w:rsidRPr="008A7BD7">
        <w:rPr>
          <w:rStyle w:val="normaltextrun"/>
          <w:rFonts w:eastAsiaTheme="majorEastAsia"/>
          <w:lang w:val="en-US"/>
        </w:rPr>
        <w:t>for the purpose of</w:t>
      </w:r>
      <w:r w:rsidRPr="008A7BD7">
        <w:rPr>
          <w:rStyle w:val="normaltextrun"/>
          <w:rFonts w:eastAsiaTheme="majorEastAsia"/>
          <w:lang w:val="en-US"/>
        </w:rPr>
        <w:t xml:space="preserve"> obtain</w:t>
      </w:r>
      <w:r w:rsidR="00672469" w:rsidRPr="008A7BD7">
        <w:rPr>
          <w:rStyle w:val="normaltextrun"/>
          <w:rFonts w:eastAsiaTheme="majorEastAsia"/>
          <w:lang w:val="en-US"/>
        </w:rPr>
        <w:t>ing</w:t>
      </w:r>
      <w:r w:rsidRPr="008A7BD7">
        <w:rPr>
          <w:rStyle w:val="normaltextrun"/>
          <w:rFonts w:eastAsiaTheme="majorEastAsia"/>
          <w:lang w:val="en-US"/>
        </w:rPr>
        <w:t xml:space="preserve"> their consent, including with respect to activities and projects to develop natural resources that may affect their rights. </w:t>
      </w:r>
    </w:p>
    <w:p w14:paraId="68C56C5E" w14:textId="77777777" w:rsidR="0028307B" w:rsidRPr="008A7BD7" w:rsidRDefault="0028307B" w:rsidP="0028307B">
      <w:pPr>
        <w:pStyle w:val="ListParagraph"/>
        <w:rPr>
          <w:rStyle w:val="normaltextrun"/>
          <w:rFonts w:eastAsiaTheme="majorEastAsia"/>
          <w:sz w:val="20"/>
          <w:szCs w:val="20"/>
        </w:rPr>
      </w:pPr>
    </w:p>
    <w:p w14:paraId="281A732E" w14:textId="1DAF060B" w:rsidR="0028307B" w:rsidRPr="008A7BD7" w:rsidRDefault="006849EB" w:rsidP="0028307B">
      <w:pPr>
        <w:pStyle w:val="Normal1"/>
        <w:numPr>
          <w:ilvl w:val="0"/>
          <w:numId w:val="9"/>
        </w:numPr>
        <w:spacing w:after="0"/>
        <w:rPr>
          <w:rFonts w:eastAsia="Cambria" w:cs="Cambria"/>
          <w:color w:val="333333"/>
          <w:lang w:val="en-US"/>
        </w:rPr>
      </w:pPr>
      <w:r w:rsidRPr="008A7BD7">
        <w:rPr>
          <w:rStyle w:val="normaltextrun"/>
          <w:rFonts w:eastAsiaTheme="majorEastAsia"/>
          <w:lang w:val="en-US"/>
        </w:rPr>
        <w:t>Investigate with due diligence the violent acts of October 2021 directed against M</w:t>
      </w:r>
      <w:r w:rsidR="0028307B" w:rsidRPr="008A7BD7">
        <w:rPr>
          <w:rStyle w:val="normaltextrun"/>
          <w:rFonts w:eastAsiaTheme="majorEastAsia"/>
          <w:lang w:val="en-US"/>
        </w:rPr>
        <w:t xml:space="preserve">aya </w:t>
      </w:r>
      <w:proofErr w:type="spellStart"/>
      <w:r w:rsidRPr="008A7BD7">
        <w:rPr>
          <w:rStyle w:val="normaltextrun"/>
          <w:rFonts w:eastAsiaTheme="majorEastAsia"/>
          <w:lang w:val="en-US"/>
        </w:rPr>
        <w:t>Q</w:t>
      </w:r>
      <w:r w:rsidR="0028307B" w:rsidRPr="008A7BD7">
        <w:rPr>
          <w:rStyle w:val="normaltextrun"/>
          <w:rFonts w:eastAsiaTheme="majorEastAsia"/>
          <w:lang w:val="en-US"/>
        </w:rPr>
        <w:t>’eq’chi</w:t>
      </w:r>
      <w:proofErr w:type="spellEnd"/>
      <w:r w:rsidR="0028307B" w:rsidRPr="008A7BD7">
        <w:rPr>
          <w:rStyle w:val="normaltextrun"/>
          <w:rFonts w:eastAsiaTheme="majorEastAsia"/>
          <w:lang w:val="en-US"/>
        </w:rPr>
        <w:t xml:space="preserve">’ </w:t>
      </w:r>
      <w:r w:rsidR="00E13EBF" w:rsidRPr="008A7BD7">
        <w:rPr>
          <w:rStyle w:val="normaltextrun"/>
          <w:rFonts w:eastAsiaTheme="majorEastAsia"/>
          <w:lang w:val="en-US"/>
        </w:rPr>
        <w:t>demonstrators</w:t>
      </w:r>
      <w:r w:rsidRPr="008A7BD7">
        <w:rPr>
          <w:rStyle w:val="normaltextrun"/>
          <w:rFonts w:eastAsiaTheme="majorEastAsia"/>
          <w:lang w:val="en-US"/>
        </w:rPr>
        <w:t xml:space="preserve">, and respect and guarantee the right to freedom of expression, </w:t>
      </w:r>
      <w:r w:rsidR="009248E6" w:rsidRPr="008A7BD7">
        <w:rPr>
          <w:rStyle w:val="normaltextrun"/>
          <w:rFonts w:eastAsiaTheme="majorEastAsia"/>
          <w:lang w:val="en-US"/>
        </w:rPr>
        <w:t xml:space="preserve">the right to </w:t>
      </w:r>
      <w:r w:rsidRPr="008A7BD7">
        <w:rPr>
          <w:rStyle w:val="normaltextrun"/>
          <w:rFonts w:eastAsiaTheme="majorEastAsia"/>
          <w:lang w:val="en-US"/>
        </w:rPr>
        <w:t xml:space="preserve">social protest, and the rights of indigenous peoples. </w:t>
      </w:r>
    </w:p>
    <w:p w14:paraId="691A7CDE" w14:textId="77777777" w:rsidR="0028307B" w:rsidRPr="008A7BD7" w:rsidRDefault="0028307B" w:rsidP="00832A52">
      <w:pPr>
        <w:jc w:val="both"/>
        <w:rPr>
          <w:rFonts w:ascii="Cambria" w:hAnsi="Cambria"/>
          <w:b/>
          <w:bCs/>
          <w:sz w:val="20"/>
          <w:szCs w:val="20"/>
        </w:rPr>
      </w:pPr>
    </w:p>
    <w:p w14:paraId="0B99EAD1" w14:textId="77777777" w:rsidR="0028307B" w:rsidRPr="008A7BD7" w:rsidRDefault="0028307B" w:rsidP="00832A52">
      <w:pPr>
        <w:jc w:val="both"/>
        <w:rPr>
          <w:rFonts w:ascii="Cambria" w:hAnsi="Cambria"/>
          <w:b/>
          <w:bCs/>
          <w:sz w:val="20"/>
          <w:szCs w:val="20"/>
        </w:rPr>
      </w:pPr>
    </w:p>
    <w:p w14:paraId="30A4548B" w14:textId="6FA4D1FC" w:rsidR="006828F1" w:rsidRPr="008A7BD7" w:rsidRDefault="00022420" w:rsidP="00832A52">
      <w:pPr>
        <w:jc w:val="both"/>
        <w:rPr>
          <w:rFonts w:ascii="Cambria" w:hAnsi="Cambria"/>
          <w:b/>
          <w:bCs/>
          <w:sz w:val="20"/>
          <w:szCs w:val="20"/>
          <w:lang w:val="es-419"/>
        </w:rPr>
      </w:pPr>
      <w:proofErr w:type="spellStart"/>
      <w:r w:rsidRPr="008A7BD7">
        <w:rPr>
          <w:rFonts w:ascii="Cambria" w:hAnsi="Cambria"/>
          <w:b/>
          <w:bCs/>
          <w:sz w:val="20"/>
          <w:szCs w:val="20"/>
          <w:lang w:val="es-419"/>
        </w:rPr>
        <w:t>Women</w:t>
      </w:r>
      <w:proofErr w:type="spellEnd"/>
    </w:p>
    <w:p w14:paraId="7F4C318C" w14:textId="0BA3E953" w:rsidR="00D57F13" w:rsidRPr="008A7BD7" w:rsidRDefault="00D57F13" w:rsidP="00832A52">
      <w:pPr>
        <w:jc w:val="both"/>
        <w:rPr>
          <w:rFonts w:ascii="Cambria" w:hAnsi="Cambria"/>
          <w:b/>
          <w:bCs/>
          <w:sz w:val="20"/>
          <w:szCs w:val="20"/>
          <w:lang w:val="es-419"/>
        </w:rPr>
      </w:pPr>
    </w:p>
    <w:p w14:paraId="02853E32" w14:textId="33FF99F1" w:rsidR="00D57F13" w:rsidRPr="008A7BD7" w:rsidRDefault="00022420" w:rsidP="00BB65D3">
      <w:pPr>
        <w:pStyle w:val="Normal1"/>
        <w:numPr>
          <w:ilvl w:val="0"/>
          <w:numId w:val="9"/>
        </w:numPr>
        <w:spacing w:after="0"/>
        <w:rPr>
          <w:rFonts w:eastAsiaTheme="minorEastAsia"/>
          <w:lang w:val="en-US"/>
        </w:rPr>
      </w:pPr>
      <w:r w:rsidRPr="008A7BD7">
        <w:rPr>
          <w:rFonts w:eastAsia="Calibri"/>
          <w:lang w:val="en-US"/>
        </w:rPr>
        <w:t>The IACHR calls on the State to strengthen the institutions responsible for preventing and addressing gender-based violence</w:t>
      </w:r>
      <w:r w:rsidR="00D57F13" w:rsidRPr="008A7BD7">
        <w:rPr>
          <w:lang w:val="en-US"/>
        </w:rPr>
        <w:t xml:space="preserve"> </w:t>
      </w:r>
      <w:r w:rsidRPr="008A7BD7">
        <w:rPr>
          <w:lang w:val="en-US"/>
        </w:rPr>
        <w:t xml:space="preserve">against women, providing them with the material and financial resources they need to </w:t>
      </w:r>
      <w:r w:rsidR="00F55FC4" w:rsidRPr="008A7BD7">
        <w:rPr>
          <w:lang w:val="en-US"/>
        </w:rPr>
        <w:t>operate</w:t>
      </w:r>
      <w:r w:rsidRPr="008A7BD7">
        <w:rPr>
          <w:lang w:val="en-US"/>
        </w:rPr>
        <w:t xml:space="preserve"> properly, and ensure the participation of women in the design and implementation of policies for prevention and protection against violence.</w:t>
      </w:r>
    </w:p>
    <w:p w14:paraId="4CAFBD7C" w14:textId="77777777" w:rsidR="00D57F13" w:rsidRPr="008A7BD7" w:rsidRDefault="00D57F13" w:rsidP="00D57F13">
      <w:pPr>
        <w:ind w:left="720"/>
        <w:jc w:val="both"/>
        <w:rPr>
          <w:rFonts w:ascii="Cambria" w:eastAsiaTheme="minorEastAsia" w:hAnsi="Cambria"/>
          <w:sz w:val="20"/>
          <w:szCs w:val="20"/>
        </w:rPr>
      </w:pPr>
    </w:p>
    <w:p w14:paraId="0D05162B" w14:textId="48C1D700" w:rsidR="00D57F13" w:rsidRPr="008A7BD7" w:rsidRDefault="001E036D" w:rsidP="00BB65D3">
      <w:pPr>
        <w:pStyle w:val="Normal1"/>
        <w:numPr>
          <w:ilvl w:val="0"/>
          <w:numId w:val="9"/>
        </w:numPr>
        <w:spacing w:after="0"/>
        <w:rPr>
          <w:rFonts w:eastAsiaTheme="minorEastAsia"/>
          <w:lang w:val="en-US"/>
        </w:rPr>
      </w:pPr>
      <w:r w:rsidRPr="008A7BD7">
        <w:rPr>
          <w:lang w:val="en-US"/>
        </w:rPr>
        <w:t xml:space="preserve">The Commission also urges the State to adopt </w:t>
      </w:r>
      <w:r w:rsidR="00F55FC4" w:rsidRPr="008A7BD7">
        <w:rPr>
          <w:lang w:val="en-US"/>
        </w:rPr>
        <w:t>legislation</w:t>
      </w:r>
      <w:r w:rsidR="00773FD4" w:rsidRPr="008A7BD7">
        <w:rPr>
          <w:lang w:val="en-US"/>
        </w:rPr>
        <w:t xml:space="preserve">, public policies, and any other measures that may be </w:t>
      </w:r>
      <w:r w:rsidR="00154826" w:rsidRPr="008A7BD7">
        <w:rPr>
          <w:lang w:val="en-US"/>
        </w:rPr>
        <w:t>needed</w:t>
      </w:r>
      <w:r w:rsidR="00773FD4" w:rsidRPr="008A7BD7">
        <w:rPr>
          <w:lang w:val="en-US"/>
        </w:rPr>
        <w:t xml:space="preserve">, </w:t>
      </w:r>
      <w:r w:rsidR="00154826" w:rsidRPr="008A7BD7">
        <w:rPr>
          <w:lang w:val="en-US"/>
        </w:rPr>
        <w:t xml:space="preserve">in accordance with the applicable </w:t>
      </w:r>
      <w:r w:rsidR="00773FD4" w:rsidRPr="008A7BD7">
        <w:rPr>
          <w:lang w:val="en-US"/>
        </w:rPr>
        <w:t>inter-American standards, to ensure women’s access to goods and services</w:t>
      </w:r>
      <w:r w:rsidR="00D57F13" w:rsidRPr="008A7BD7">
        <w:rPr>
          <w:lang w:val="en-US"/>
        </w:rPr>
        <w:t xml:space="preserve"> </w:t>
      </w:r>
      <w:r w:rsidR="00773FD4" w:rsidRPr="008A7BD7">
        <w:rPr>
          <w:lang w:val="en-US"/>
        </w:rPr>
        <w:t>related to sexual and reproductive health with</w:t>
      </w:r>
      <w:r w:rsidR="00154826" w:rsidRPr="008A7BD7">
        <w:rPr>
          <w:lang w:val="en-US"/>
        </w:rPr>
        <w:t>out</w:t>
      </w:r>
      <w:r w:rsidR="00773FD4" w:rsidRPr="008A7BD7">
        <w:rPr>
          <w:lang w:val="en-US"/>
        </w:rPr>
        <w:t xml:space="preserve"> discrimination, including access to the </w:t>
      </w:r>
      <w:r w:rsidR="00773FD4" w:rsidRPr="008A7BD7">
        <w:rPr>
          <w:lang w:val="en-US"/>
        </w:rPr>
        <w:lastRenderedPageBreak/>
        <w:t xml:space="preserve">voluntary termination of pregnancy in cases involving danger to life or health, as well as cases of rape or incest. </w:t>
      </w:r>
    </w:p>
    <w:p w14:paraId="0596BAB4" w14:textId="267EC8E6" w:rsidR="00D57F13" w:rsidRPr="008A7BD7" w:rsidRDefault="00D57F13" w:rsidP="00832A52">
      <w:pPr>
        <w:jc w:val="both"/>
        <w:rPr>
          <w:rFonts w:ascii="Cambria" w:hAnsi="Cambria"/>
          <w:b/>
          <w:bCs/>
          <w:sz w:val="20"/>
          <w:szCs w:val="20"/>
        </w:rPr>
      </w:pPr>
    </w:p>
    <w:p w14:paraId="68EDE935" w14:textId="2229DBF7" w:rsidR="00746761" w:rsidRPr="008A7BD7" w:rsidRDefault="00D24220" w:rsidP="00832A52">
      <w:pPr>
        <w:jc w:val="both"/>
        <w:rPr>
          <w:rFonts w:ascii="Cambria" w:hAnsi="Cambria"/>
          <w:b/>
          <w:bCs/>
          <w:sz w:val="20"/>
          <w:szCs w:val="20"/>
          <w:lang w:val="es-419"/>
        </w:rPr>
      </w:pPr>
      <w:proofErr w:type="spellStart"/>
      <w:r w:rsidRPr="008A7BD7">
        <w:rPr>
          <w:rFonts w:ascii="Cambria" w:hAnsi="Cambria"/>
          <w:b/>
          <w:bCs/>
          <w:sz w:val="20"/>
          <w:szCs w:val="20"/>
          <w:lang w:val="es-419"/>
        </w:rPr>
        <w:t>Children</w:t>
      </w:r>
      <w:proofErr w:type="spellEnd"/>
      <w:r w:rsidRPr="008A7BD7">
        <w:rPr>
          <w:rFonts w:ascii="Cambria" w:hAnsi="Cambria"/>
          <w:b/>
          <w:bCs/>
          <w:sz w:val="20"/>
          <w:szCs w:val="20"/>
          <w:lang w:val="es-419"/>
        </w:rPr>
        <w:t xml:space="preserve"> and </w:t>
      </w:r>
      <w:proofErr w:type="spellStart"/>
      <w:r w:rsidRPr="008A7BD7">
        <w:rPr>
          <w:rFonts w:ascii="Cambria" w:hAnsi="Cambria"/>
          <w:b/>
          <w:bCs/>
          <w:sz w:val="20"/>
          <w:szCs w:val="20"/>
          <w:lang w:val="es-419"/>
        </w:rPr>
        <w:t>Adolescents</w:t>
      </w:r>
      <w:proofErr w:type="spellEnd"/>
    </w:p>
    <w:p w14:paraId="5CC6F519" w14:textId="57B5A84E" w:rsidR="00746761" w:rsidRPr="008A7BD7" w:rsidRDefault="00746761" w:rsidP="00832A52">
      <w:pPr>
        <w:jc w:val="both"/>
        <w:rPr>
          <w:rFonts w:ascii="Cambria" w:hAnsi="Cambria"/>
          <w:b/>
          <w:bCs/>
          <w:sz w:val="20"/>
          <w:szCs w:val="20"/>
          <w:lang w:val="es-419"/>
        </w:rPr>
      </w:pPr>
    </w:p>
    <w:p w14:paraId="2DF0A05B" w14:textId="070E6D48" w:rsidR="00746761" w:rsidRPr="008A7BD7" w:rsidRDefault="00C85462" w:rsidP="00BB65D3">
      <w:pPr>
        <w:pStyle w:val="Normal1"/>
        <w:numPr>
          <w:ilvl w:val="0"/>
          <w:numId w:val="9"/>
        </w:numPr>
        <w:spacing w:after="0"/>
        <w:rPr>
          <w:rFonts w:eastAsia="Calibri"/>
          <w:lang w:val="en-US"/>
        </w:rPr>
      </w:pPr>
      <w:r w:rsidRPr="008A7BD7">
        <w:rPr>
          <w:rFonts w:eastAsia="Calibri"/>
          <w:lang w:val="en-US"/>
        </w:rPr>
        <w:t xml:space="preserve">Develop the appropriate legal framework and institutional reforms to </w:t>
      </w:r>
      <w:r w:rsidR="001A2BA8" w:rsidRPr="008A7BD7">
        <w:rPr>
          <w:rFonts w:eastAsia="Calibri"/>
          <w:lang w:val="en-US"/>
        </w:rPr>
        <w:t>strengthen</w:t>
      </w:r>
      <w:r w:rsidRPr="008A7BD7">
        <w:rPr>
          <w:rFonts w:eastAsia="Calibri"/>
          <w:lang w:val="en-US"/>
        </w:rPr>
        <w:t xml:space="preserve"> the comprehensive protection of children and adolescents, pursuant to the standards of international</w:t>
      </w:r>
      <w:r w:rsidR="00746761" w:rsidRPr="008A7BD7">
        <w:rPr>
          <w:rFonts w:eastAsia="Calibri"/>
          <w:lang w:val="en-US"/>
        </w:rPr>
        <w:t xml:space="preserve"> </w:t>
      </w:r>
      <w:r w:rsidRPr="008A7BD7">
        <w:rPr>
          <w:rFonts w:eastAsia="Calibri"/>
          <w:lang w:val="en-US"/>
        </w:rPr>
        <w:t xml:space="preserve">human rights law. This should be accompanied by measures </w:t>
      </w:r>
      <w:r w:rsidR="008E3907" w:rsidRPr="008A7BD7">
        <w:rPr>
          <w:rFonts w:eastAsia="Calibri"/>
          <w:lang w:val="en-US"/>
        </w:rPr>
        <w:t>to</w:t>
      </w:r>
      <w:r w:rsidRPr="008A7BD7">
        <w:rPr>
          <w:rFonts w:eastAsia="Calibri"/>
          <w:lang w:val="en-US"/>
        </w:rPr>
        <w:t xml:space="preserve"> </w:t>
      </w:r>
      <w:r w:rsidR="00350668" w:rsidRPr="008A7BD7">
        <w:rPr>
          <w:rFonts w:eastAsia="Calibri"/>
          <w:lang w:val="en-US"/>
        </w:rPr>
        <w:t>reinforce</w:t>
      </w:r>
      <w:r w:rsidRPr="008A7BD7">
        <w:rPr>
          <w:rFonts w:eastAsia="Calibri"/>
          <w:lang w:val="en-US"/>
        </w:rPr>
        <w:t xml:space="preserve"> the role of children and adolescents as subjects of rights and the capacities of the family as the primary environment for their protection and care. </w:t>
      </w:r>
    </w:p>
    <w:p w14:paraId="104FDA37" w14:textId="77777777" w:rsidR="00746761" w:rsidRPr="008A7BD7" w:rsidRDefault="00746761" w:rsidP="00746761">
      <w:pPr>
        <w:pStyle w:val="Normal1"/>
        <w:numPr>
          <w:ilvl w:val="0"/>
          <w:numId w:val="0"/>
        </w:numPr>
        <w:spacing w:after="0"/>
        <w:ind w:left="360"/>
        <w:rPr>
          <w:rFonts w:eastAsia="Calibri"/>
          <w:lang w:val="en-US"/>
        </w:rPr>
      </w:pPr>
    </w:p>
    <w:p w14:paraId="03448034" w14:textId="54123638" w:rsidR="00746761" w:rsidRPr="008A7BD7" w:rsidRDefault="00C85462" w:rsidP="00BB65D3">
      <w:pPr>
        <w:pStyle w:val="Normal1"/>
        <w:numPr>
          <w:ilvl w:val="0"/>
          <w:numId w:val="9"/>
        </w:numPr>
        <w:spacing w:after="0"/>
        <w:rPr>
          <w:rFonts w:eastAsia="Calibri"/>
          <w:lang w:val="en-US"/>
        </w:rPr>
      </w:pPr>
      <w:r w:rsidRPr="008A7BD7">
        <w:rPr>
          <w:rFonts w:eastAsia="Calibri"/>
          <w:lang w:val="en-US"/>
        </w:rPr>
        <w:t xml:space="preserve">Promote coordinated strategies to </w:t>
      </w:r>
      <w:r w:rsidR="001347BB" w:rsidRPr="008A7BD7">
        <w:rPr>
          <w:rFonts w:eastAsia="Calibri"/>
          <w:lang w:val="en-US"/>
        </w:rPr>
        <w:t>deinstitutionalize</w:t>
      </w:r>
      <w:r w:rsidRPr="008A7BD7">
        <w:rPr>
          <w:rFonts w:eastAsia="Calibri"/>
          <w:lang w:val="en-US"/>
        </w:rPr>
        <w:t xml:space="preserve"> children and adolescents who remain in residential </w:t>
      </w:r>
      <w:r w:rsidR="00DB0A2D" w:rsidRPr="008A7BD7">
        <w:rPr>
          <w:rFonts w:eastAsia="Calibri"/>
          <w:lang w:val="en-US"/>
        </w:rPr>
        <w:t>care</w:t>
      </w:r>
      <w:r w:rsidRPr="008A7BD7">
        <w:rPr>
          <w:rFonts w:eastAsia="Calibri"/>
          <w:lang w:val="en-US"/>
        </w:rPr>
        <w:t xml:space="preserve"> </w:t>
      </w:r>
      <w:r w:rsidR="008E3907" w:rsidRPr="008A7BD7">
        <w:rPr>
          <w:rFonts w:eastAsia="Calibri"/>
          <w:lang w:val="en-US"/>
        </w:rPr>
        <w:t>institutions</w:t>
      </w:r>
      <w:r w:rsidR="00227D01" w:rsidRPr="008A7BD7">
        <w:rPr>
          <w:rFonts w:eastAsia="Calibri"/>
          <w:lang w:val="en-US"/>
        </w:rPr>
        <w:t>,</w:t>
      </w:r>
      <w:r w:rsidR="008E3907" w:rsidRPr="008A7BD7">
        <w:rPr>
          <w:rFonts w:eastAsia="Calibri"/>
          <w:lang w:val="en-US"/>
        </w:rPr>
        <w:t xml:space="preserve"> </w:t>
      </w:r>
      <w:r w:rsidRPr="008A7BD7">
        <w:rPr>
          <w:rFonts w:eastAsia="Calibri"/>
          <w:lang w:val="en-US"/>
        </w:rPr>
        <w:t xml:space="preserve">and regulate </w:t>
      </w:r>
      <w:r w:rsidR="00DB0A2D" w:rsidRPr="008A7BD7">
        <w:rPr>
          <w:rFonts w:eastAsia="Calibri"/>
          <w:lang w:val="en-US"/>
        </w:rPr>
        <w:t>alternative</w:t>
      </w:r>
      <w:r w:rsidR="008E3907" w:rsidRPr="008A7BD7">
        <w:rPr>
          <w:rFonts w:eastAsia="Calibri"/>
          <w:lang w:val="en-US"/>
        </w:rPr>
        <w:t xml:space="preserve"> forms of care</w:t>
      </w:r>
      <w:r w:rsidR="00DB0A2D" w:rsidRPr="008A7BD7">
        <w:rPr>
          <w:rFonts w:eastAsia="Calibri"/>
          <w:lang w:val="en-US"/>
        </w:rPr>
        <w:t xml:space="preserve">, based on the principles of necessity, exceptionality, and temporality. </w:t>
      </w:r>
    </w:p>
    <w:p w14:paraId="762CB0C9" w14:textId="77777777" w:rsidR="00746761" w:rsidRPr="008A7BD7" w:rsidRDefault="00746761" w:rsidP="00746761">
      <w:pPr>
        <w:pStyle w:val="Normal1"/>
        <w:numPr>
          <w:ilvl w:val="0"/>
          <w:numId w:val="0"/>
        </w:numPr>
        <w:spacing w:after="0"/>
        <w:ind w:left="360"/>
        <w:rPr>
          <w:rFonts w:eastAsia="Calibri"/>
          <w:lang w:val="en-US"/>
        </w:rPr>
      </w:pPr>
    </w:p>
    <w:p w14:paraId="75F706C1" w14:textId="143CCB2E" w:rsidR="00746761" w:rsidRPr="008A7BD7" w:rsidRDefault="00DB0A2D" w:rsidP="00BB65D3">
      <w:pPr>
        <w:pStyle w:val="Normal1"/>
        <w:numPr>
          <w:ilvl w:val="0"/>
          <w:numId w:val="9"/>
        </w:numPr>
        <w:spacing w:after="0"/>
        <w:rPr>
          <w:rFonts w:eastAsia="Calibri"/>
          <w:lang w:val="en-US"/>
        </w:rPr>
      </w:pPr>
      <w:r w:rsidRPr="008A7BD7">
        <w:rPr>
          <w:rFonts w:eastAsia="Calibri"/>
          <w:lang w:val="en-US"/>
        </w:rPr>
        <w:t xml:space="preserve">Adopt public policies and other measures necessary to prevent and address the structural causes of violence against children and </w:t>
      </w:r>
      <w:proofErr w:type="gramStart"/>
      <w:r w:rsidRPr="008A7BD7">
        <w:rPr>
          <w:rFonts w:eastAsia="Calibri"/>
          <w:lang w:val="en-US"/>
        </w:rPr>
        <w:t>adolescents, and</w:t>
      </w:r>
      <w:proofErr w:type="gramEnd"/>
      <w:r w:rsidRPr="008A7BD7">
        <w:rPr>
          <w:rFonts w:eastAsia="Calibri"/>
          <w:lang w:val="en-US"/>
        </w:rPr>
        <w:t xml:space="preserve"> ensure the effective protection of the rights of children and adolescents in both the public and private spheres. </w:t>
      </w:r>
    </w:p>
    <w:p w14:paraId="6F06AB93" w14:textId="77777777" w:rsidR="00746761" w:rsidRPr="008A7BD7" w:rsidRDefault="00746761" w:rsidP="00832A52">
      <w:pPr>
        <w:jc w:val="both"/>
        <w:rPr>
          <w:rFonts w:ascii="Cambria" w:hAnsi="Cambria"/>
          <w:b/>
          <w:bCs/>
          <w:sz w:val="20"/>
          <w:szCs w:val="20"/>
        </w:rPr>
      </w:pPr>
    </w:p>
    <w:p w14:paraId="64EE521D" w14:textId="4EA0FE44" w:rsidR="00491020" w:rsidRPr="008A7BD7" w:rsidRDefault="008A1BAB" w:rsidP="00491020">
      <w:pPr>
        <w:spacing w:after="160" w:line="259" w:lineRule="auto"/>
        <w:jc w:val="both"/>
        <w:rPr>
          <w:rFonts w:ascii="Cambria" w:hAnsi="Cambria"/>
          <w:b/>
          <w:bCs/>
          <w:sz w:val="20"/>
          <w:szCs w:val="20"/>
        </w:rPr>
      </w:pPr>
      <w:r w:rsidRPr="008A7BD7">
        <w:rPr>
          <w:rFonts w:ascii="Cambria" w:eastAsia="Cambria" w:hAnsi="Cambria" w:cs="Cambria"/>
          <w:b/>
          <w:bCs/>
          <w:color w:val="000000" w:themeColor="text1"/>
          <w:sz w:val="20"/>
          <w:szCs w:val="20"/>
        </w:rPr>
        <w:t xml:space="preserve">Human Rights of </w:t>
      </w:r>
      <w:r w:rsidR="00491020" w:rsidRPr="008A7BD7">
        <w:rPr>
          <w:rFonts w:ascii="Cambria" w:eastAsia="Cambria" w:hAnsi="Cambria" w:cs="Cambria"/>
          <w:b/>
          <w:bCs/>
          <w:color w:val="000000" w:themeColor="text1"/>
          <w:sz w:val="20"/>
          <w:szCs w:val="20"/>
        </w:rPr>
        <w:t>LGBTI</w:t>
      </w:r>
      <w:r w:rsidRPr="008A7BD7">
        <w:rPr>
          <w:rFonts w:ascii="Cambria" w:eastAsia="Cambria" w:hAnsi="Cambria" w:cs="Cambria"/>
          <w:b/>
          <w:bCs/>
          <w:color w:val="000000" w:themeColor="text1"/>
          <w:sz w:val="20"/>
          <w:szCs w:val="20"/>
        </w:rPr>
        <w:t xml:space="preserve"> Persons</w:t>
      </w:r>
    </w:p>
    <w:p w14:paraId="4DCA4DEF" w14:textId="0BC379A0" w:rsidR="00CF4F2C" w:rsidRPr="008A7BD7" w:rsidRDefault="00CF4F2C" w:rsidP="00BB65D3">
      <w:pPr>
        <w:pStyle w:val="Normal1"/>
        <w:numPr>
          <w:ilvl w:val="0"/>
          <w:numId w:val="9"/>
        </w:numPr>
        <w:spacing w:after="0"/>
        <w:rPr>
          <w:rFonts w:eastAsia="Calibri"/>
          <w:lang w:val="en-US"/>
        </w:rPr>
      </w:pPr>
      <w:r w:rsidRPr="008A7BD7">
        <w:rPr>
          <w:rFonts w:eastAsia="Calibri"/>
          <w:lang w:val="en-US"/>
        </w:rPr>
        <w:t>Adopt</w:t>
      </w:r>
      <w:r w:rsidR="008A1BAB" w:rsidRPr="008A7BD7">
        <w:rPr>
          <w:rFonts w:eastAsia="Calibri"/>
          <w:lang w:val="en-US"/>
        </w:rPr>
        <w:t xml:space="preserve"> the </w:t>
      </w:r>
      <w:r w:rsidR="0033611E" w:rsidRPr="008A7BD7">
        <w:rPr>
          <w:rFonts w:eastAsia="Calibri"/>
          <w:lang w:val="en-US"/>
        </w:rPr>
        <w:t xml:space="preserve">necessary </w:t>
      </w:r>
      <w:r w:rsidR="008A1BAB" w:rsidRPr="008A7BD7">
        <w:rPr>
          <w:rFonts w:eastAsia="Calibri"/>
          <w:lang w:val="en-US"/>
        </w:rPr>
        <w:t>measures to discourage intolerance and abolish all laws that discriminate against persons</w:t>
      </w:r>
      <w:r w:rsidR="0033611E" w:rsidRPr="008A7BD7">
        <w:rPr>
          <w:rFonts w:eastAsia="Calibri"/>
          <w:lang w:val="en-US"/>
        </w:rPr>
        <w:t xml:space="preserve"> </w:t>
      </w:r>
      <w:r w:rsidR="00CF1192" w:rsidRPr="008A7BD7">
        <w:rPr>
          <w:rFonts w:eastAsia="Calibri"/>
          <w:lang w:val="en-US"/>
        </w:rPr>
        <w:t>based on</w:t>
      </w:r>
      <w:r w:rsidR="008A1BAB" w:rsidRPr="008A7BD7">
        <w:rPr>
          <w:rFonts w:eastAsia="Calibri"/>
          <w:lang w:val="en-US"/>
        </w:rPr>
        <w:t xml:space="preserve"> their sexual orientation or gender identity or expression. </w:t>
      </w:r>
    </w:p>
    <w:p w14:paraId="27D922DF" w14:textId="77777777" w:rsidR="00CF4F2C" w:rsidRPr="008A7BD7" w:rsidRDefault="00CF4F2C" w:rsidP="00CF4F2C">
      <w:pPr>
        <w:pStyle w:val="Normal1"/>
        <w:numPr>
          <w:ilvl w:val="0"/>
          <w:numId w:val="0"/>
        </w:numPr>
        <w:spacing w:after="0"/>
        <w:ind w:left="360"/>
        <w:rPr>
          <w:rFonts w:eastAsia="Calibri"/>
          <w:lang w:val="en-US"/>
        </w:rPr>
      </w:pPr>
    </w:p>
    <w:p w14:paraId="651CBA24" w14:textId="0E2237B1" w:rsidR="00CF4F2C" w:rsidRPr="008A7BD7" w:rsidRDefault="00CF4F2C" w:rsidP="00BB65D3">
      <w:pPr>
        <w:pStyle w:val="Normal1"/>
        <w:numPr>
          <w:ilvl w:val="0"/>
          <w:numId w:val="9"/>
        </w:numPr>
        <w:spacing w:after="0"/>
        <w:rPr>
          <w:rFonts w:eastAsia="Calibri"/>
          <w:lang w:val="en-US"/>
        </w:rPr>
      </w:pPr>
      <w:r w:rsidRPr="008A7BD7">
        <w:rPr>
          <w:rFonts w:eastAsia="Calibri"/>
          <w:lang w:val="en-US"/>
        </w:rPr>
        <w:t>Act</w:t>
      </w:r>
      <w:r w:rsidR="007C3CA1" w:rsidRPr="008A7BD7">
        <w:rPr>
          <w:rFonts w:eastAsia="Calibri"/>
          <w:lang w:val="en-US"/>
        </w:rPr>
        <w:t xml:space="preserve"> with due diligence to prevent, </w:t>
      </w:r>
      <w:r w:rsidR="0033611E" w:rsidRPr="008A7BD7">
        <w:rPr>
          <w:rFonts w:eastAsia="Calibri"/>
          <w:lang w:val="en-US"/>
        </w:rPr>
        <w:t xml:space="preserve">investigate, </w:t>
      </w:r>
      <w:r w:rsidR="007C3CA1" w:rsidRPr="008A7BD7">
        <w:rPr>
          <w:rFonts w:eastAsia="Calibri"/>
          <w:lang w:val="en-US"/>
        </w:rPr>
        <w:t xml:space="preserve">punish, and </w:t>
      </w:r>
      <w:r w:rsidR="00227D01" w:rsidRPr="008A7BD7">
        <w:rPr>
          <w:rFonts w:eastAsia="Calibri"/>
          <w:lang w:val="en-US"/>
        </w:rPr>
        <w:t>provide reparation for</w:t>
      </w:r>
      <w:r w:rsidR="007C3CA1" w:rsidRPr="008A7BD7">
        <w:rPr>
          <w:rFonts w:eastAsia="Calibri"/>
          <w:lang w:val="en-US"/>
        </w:rPr>
        <w:t xml:space="preserve"> </w:t>
      </w:r>
      <w:r w:rsidR="00CF1192" w:rsidRPr="008A7BD7">
        <w:rPr>
          <w:rFonts w:eastAsia="Calibri"/>
          <w:lang w:val="en-US"/>
        </w:rPr>
        <w:t>any type of</w:t>
      </w:r>
      <w:r w:rsidR="007C3CA1" w:rsidRPr="008A7BD7">
        <w:rPr>
          <w:rFonts w:eastAsia="Calibri"/>
          <w:lang w:val="en-US"/>
        </w:rPr>
        <w:t xml:space="preserve"> violence committed against </w:t>
      </w:r>
      <w:r w:rsidRPr="008A7BD7">
        <w:rPr>
          <w:rFonts w:eastAsia="Calibri"/>
          <w:lang w:val="en-US"/>
        </w:rPr>
        <w:t>LGBTI</w:t>
      </w:r>
      <w:r w:rsidR="007C3CA1" w:rsidRPr="008A7BD7">
        <w:rPr>
          <w:rFonts w:eastAsia="Calibri"/>
          <w:lang w:val="en-US"/>
        </w:rPr>
        <w:t xml:space="preserve"> persons</w:t>
      </w:r>
      <w:r w:rsidRPr="008A7BD7">
        <w:rPr>
          <w:rFonts w:eastAsia="Calibri"/>
          <w:lang w:val="en-US"/>
        </w:rPr>
        <w:t xml:space="preserve">. </w:t>
      </w:r>
    </w:p>
    <w:p w14:paraId="5514F940" w14:textId="77777777" w:rsidR="00CF4F2C" w:rsidRPr="008A7BD7" w:rsidRDefault="00CF4F2C" w:rsidP="00CF4F2C">
      <w:pPr>
        <w:pStyle w:val="Normal1"/>
        <w:numPr>
          <w:ilvl w:val="0"/>
          <w:numId w:val="0"/>
        </w:numPr>
        <w:spacing w:after="0"/>
        <w:ind w:left="360"/>
        <w:rPr>
          <w:rFonts w:eastAsia="Calibri"/>
          <w:lang w:val="en-US"/>
        </w:rPr>
      </w:pPr>
    </w:p>
    <w:p w14:paraId="291AC541" w14:textId="22C8B08E" w:rsidR="00CF4F2C" w:rsidRPr="008A7BD7" w:rsidRDefault="007C3CA1" w:rsidP="00BB65D3">
      <w:pPr>
        <w:pStyle w:val="Normal1"/>
        <w:numPr>
          <w:ilvl w:val="0"/>
          <w:numId w:val="9"/>
        </w:numPr>
        <w:spacing w:after="0"/>
        <w:rPr>
          <w:rFonts w:eastAsia="Calibri"/>
          <w:lang w:val="en-US"/>
        </w:rPr>
      </w:pPr>
      <w:r w:rsidRPr="008A7BD7">
        <w:rPr>
          <w:rFonts w:eastAsia="Calibri"/>
          <w:lang w:val="en-US"/>
        </w:rPr>
        <w:t xml:space="preserve">Adopt the </w:t>
      </w:r>
      <w:r w:rsidR="0033611E" w:rsidRPr="008A7BD7">
        <w:rPr>
          <w:rFonts w:eastAsia="Calibri"/>
          <w:lang w:val="en-US"/>
        </w:rPr>
        <w:t xml:space="preserve">necessary </w:t>
      </w:r>
      <w:r w:rsidRPr="008A7BD7">
        <w:rPr>
          <w:rFonts w:eastAsia="Calibri"/>
          <w:lang w:val="en-US"/>
        </w:rPr>
        <w:t xml:space="preserve">legislative measures </w:t>
      </w:r>
      <w:r w:rsidR="00CF1192" w:rsidRPr="008A7BD7">
        <w:rPr>
          <w:rFonts w:eastAsia="Calibri"/>
          <w:lang w:val="en-US"/>
        </w:rPr>
        <w:t xml:space="preserve">and policies </w:t>
      </w:r>
      <w:r w:rsidRPr="008A7BD7">
        <w:rPr>
          <w:rFonts w:eastAsia="Calibri"/>
          <w:lang w:val="en-US"/>
        </w:rPr>
        <w:t>to prevent violence, discrimination, and prejudice against persons based on their sexual orientation</w:t>
      </w:r>
      <w:r w:rsidR="00CF1192" w:rsidRPr="008A7BD7">
        <w:rPr>
          <w:rFonts w:eastAsia="Calibri"/>
          <w:lang w:val="en-US"/>
        </w:rPr>
        <w:t xml:space="preserve"> or</w:t>
      </w:r>
      <w:r w:rsidRPr="008A7BD7">
        <w:rPr>
          <w:rFonts w:eastAsia="Calibri"/>
          <w:lang w:val="en-US"/>
        </w:rPr>
        <w:t xml:space="preserve"> </w:t>
      </w:r>
      <w:r w:rsidR="00CF1192" w:rsidRPr="008A7BD7">
        <w:rPr>
          <w:rFonts w:eastAsia="Calibri"/>
          <w:lang w:val="en-US"/>
        </w:rPr>
        <w:t xml:space="preserve">diverse </w:t>
      </w:r>
      <w:r w:rsidRPr="008A7BD7">
        <w:rPr>
          <w:rFonts w:eastAsia="Calibri"/>
          <w:lang w:val="en-US"/>
        </w:rPr>
        <w:t xml:space="preserve">gender identity and expression, or </w:t>
      </w:r>
      <w:r w:rsidR="00AD524B" w:rsidRPr="008A7BD7">
        <w:rPr>
          <w:rFonts w:eastAsia="Calibri"/>
          <w:lang w:val="en-US"/>
        </w:rPr>
        <w:t xml:space="preserve">persons whose bodies </w:t>
      </w:r>
      <w:r w:rsidR="006D7F37" w:rsidRPr="008A7BD7">
        <w:rPr>
          <w:rFonts w:eastAsia="Calibri"/>
          <w:lang w:val="en-US"/>
        </w:rPr>
        <w:t>depart</w:t>
      </w:r>
      <w:r w:rsidR="00AD524B" w:rsidRPr="008A7BD7">
        <w:rPr>
          <w:rFonts w:eastAsia="Calibri"/>
          <w:lang w:val="en-US"/>
        </w:rPr>
        <w:t xml:space="preserve"> from </w:t>
      </w:r>
      <w:r w:rsidR="0081290A" w:rsidRPr="008A7BD7">
        <w:rPr>
          <w:rFonts w:eastAsia="Calibri"/>
          <w:lang w:val="en-US"/>
        </w:rPr>
        <w:t>male and female standards</w:t>
      </w:r>
      <w:r w:rsidR="00AD524B" w:rsidRPr="008A7BD7">
        <w:rPr>
          <w:rFonts w:eastAsia="Calibri"/>
          <w:lang w:val="en-US"/>
        </w:rPr>
        <w:t xml:space="preserve">. </w:t>
      </w:r>
    </w:p>
    <w:sectPr w:rsidR="00CF4F2C" w:rsidRPr="008A7BD7" w:rsidSect="005971D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pgNumType w:start="70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C63E" w14:textId="77777777" w:rsidR="00995E09" w:rsidRDefault="00995E09" w:rsidP="00672733">
      <w:r>
        <w:separator/>
      </w:r>
    </w:p>
  </w:endnote>
  <w:endnote w:type="continuationSeparator" w:id="0">
    <w:p w14:paraId="2D830701" w14:textId="77777777" w:rsidR="00995E09" w:rsidRDefault="00995E09" w:rsidP="00672733">
      <w:r>
        <w:continuationSeparator/>
      </w:r>
    </w:p>
  </w:endnote>
  <w:endnote w:type="continuationNotice" w:id="1">
    <w:p w14:paraId="0D18843B" w14:textId="77777777" w:rsidR="00995E09" w:rsidRDefault="00995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Montserrat">
    <w:altName w:val="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0461" w14:textId="77777777" w:rsidR="005971D5" w:rsidRDefault="00597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3522" w14:textId="26FE6305" w:rsidR="00E516AB" w:rsidRPr="004A4C3A" w:rsidRDefault="00E516AB" w:rsidP="004A4C3A">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1CAD" w14:textId="77777777" w:rsidR="005971D5" w:rsidRDefault="00597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FEF7" w14:textId="77777777" w:rsidR="00995E09" w:rsidRDefault="00995E09" w:rsidP="00672733">
      <w:r>
        <w:separator/>
      </w:r>
    </w:p>
  </w:footnote>
  <w:footnote w:type="continuationSeparator" w:id="0">
    <w:p w14:paraId="4E08AE2A" w14:textId="77777777" w:rsidR="00995E09" w:rsidRDefault="00995E09" w:rsidP="00672733">
      <w:r>
        <w:continuationSeparator/>
      </w:r>
    </w:p>
  </w:footnote>
  <w:footnote w:type="continuationNotice" w:id="1">
    <w:p w14:paraId="4867B8A4" w14:textId="77777777" w:rsidR="00995E09" w:rsidRDefault="00995E09"/>
  </w:footnote>
  <w:footnote w:id="2">
    <w:p w14:paraId="634DA048" w14:textId="158F0DC4" w:rsidR="00BD46D3" w:rsidRPr="00BD46D3" w:rsidRDefault="00BD46D3" w:rsidP="00BD46D3">
      <w:pPr>
        <w:pStyle w:val="FootnoteText"/>
        <w:spacing w:after="120"/>
        <w:ind w:firstLine="720"/>
        <w:jc w:val="both"/>
        <w:rPr>
          <w:rFonts w:ascii="Cambria" w:hAnsi="Cambria"/>
          <w:sz w:val="16"/>
          <w:szCs w:val="16"/>
        </w:rPr>
      </w:pPr>
      <w:r w:rsidRPr="00BD46D3">
        <w:rPr>
          <w:rStyle w:val="FootnoteReference"/>
          <w:rFonts w:ascii="Cambria" w:hAnsi="Cambria"/>
          <w:sz w:val="16"/>
          <w:szCs w:val="16"/>
        </w:rPr>
        <w:footnoteRef/>
      </w:r>
      <w:r w:rsidRPr="00BD46D3">
        <w:rPr>
          <w:rFonts w:ascii="Cambria" w:hAnsi="Cambria"/>
          <w:sz w:val="16"/>
          <w:szCs w:val="16"/>
        </w:rPr>
        <w:t xml:space="preserve"> </w:t>
      </w:r>
      <w:r w:rsidRPr="00BD46D3">
        <w:rPr>
          <w:rFonts w:ascii="Cambria" w:hAnsi="Cambria"/>
          <w:color w:val="000000"/>
          <w:sz w:val="16"/>
          <w:szCs w:val="16"/>
        </w:rPr>
        <w:t xml:space="preserve"> Pursuant to Article 17(2)(a) of the Commission’s Rules of Procedure, Commissioner Edgar </w:t>
      </w:r>
      <w:proofErr w:type="spellStart"/>
      <w:r w:rsidRPr="00BD46D3">
        <w:rPr>
          <w:rFonts w:ascii="Cambria" w:hAnsi="Cambria"/>
          <w:color w:val="000000"/>
          <w:sz w:val="16"/>
          <w:szCs w:val="16"/>
        </w:rPr>
        <w:t>Stuardo</w:t>
      </w:r>
      <w:proofErr w:type="spellEnd"/>
      <w:r w:rsidRPr="00BD46D3">
        <w:rPr>
          <w:rFonts w:ascii="Cambria" w:hAnsi="Cambria"/>
          <w:color w:val="000000"/>
          <w:sz w:val="16"/>
          <w:szCs w:val="16"/>
        </w:rPr>
        <w:t xml:space="preserve"> </w:t>
      </w:r>
      <w:proofErr w:type="spellStart"/>
      <w:r w:rsidRPr="00BD46D3">
        <w:rPr>
          <w:rFonts w:ascii="Cambria" w:hAnsi="Cambria"/>
          <w:color w:val="000000"/>
          <w:sz w:val="16"/>
          <w:szCs w:val="16"/>
        </w:rPr>
        <w:t>Ralón</w:t>
      </w:r>
      <w:proofErr w:type="spellEnd"/>
      <w:r w:rsidRPr="00BD46D3">
        <w:rPr>
          <w:rFonts w:ascii="Cambria" w:hAnsi="Cambria"/>
          <w:color w:val="000000"/>
          <w:sz w:val="16"/>
          <w:szCs w:val="16"/>
        </w:rPr>
        <w:t xml:space="preserve"> Orellana, a Guatemalan national, did not participate in the discussion, investigation, deliberation, or approval of this report.</w:t>
      </w:r>
    </w:p>
  </w:footnote>
  <w:footnote w:id="3">
    <w:p w14:paraId="18C26A53" w14:textId="693B5A73" w:rsidR="00451334" w:rsidRPr="00BD46D3" w:rsidRDefault="00451334" w:rsidP="00746761">
      <w:pPr>
        <w:pStyle w:val="FootnoteText"/>
        <w:spacing w:after="120"/>
        <w:ind w:firstLine="720"/>
        <w:jc w:val="both"/>
        <w:rPr>
          <w:rFonts w:ascii="Cambria" w:hAnsi="Cambria"/>
          <w:sz w:val="16"/>
          <w:szCs w:val="16"/>
        </w:rPr>
      </w:pPr>
      <w:r w:rsidRPr="00BD46D3">
        <w:rPr>
          <w:rStyle w:val="FootnoteReference"/>
          <w:rFonts w:ascii="Cambria" w:hAnsi="Cambria"/>
          <w:sz w:val="16"/>
          <w:szCs w:val="16"/>
        </w:rPr>
        <w:footnoteRef/>
      </w:r>
      <w:r w:rsidRPr="00BD46D3">
        <w:rPr>
          <w:rFonts w:ascii="Cambria" w:hAnsi="Cambria"/>
          <w:sz w:val="16"/>
          <w:szCs w:val="16"/>
        </w:rPr>
        <w:t xml:space="preserve"> </w:t>
      </w:r>
      <w:r w:rsidR="00D71D6E" w:rsidRPr="00BD46D3">
        <w:rPr>
          <w:rFonts w:ascii="Cambria" w:hAnsi="Cambria"/>
          <w:sz w:val="16"/>
          <w:szCs w:val="16"/>
        </w:rPr>
        <w:t xml:space="preserve">IACHR, </w:t>
      </w:r>
      <w:hyperlink r:id="rId1" w:history="1">
        <w:r w:rsidR="00D71D6E" w:rsidRPr="00BD46D3">
          <w:rPr>
            <w:rStyle w:val="Hyperlink"/>
            <w:rFonts w:ascii="Cambria" w:hAnsi="Cambria"/>
            <w:sz w:val="16"/>
            <w:szCs w:val="16"/>
          </w:rPr>
          <w:t>Situation of Human Rights in Guatemala</w:t>
        </w:r>
      </w:hyperlink>
      <w:r w:rsidR="00D71D6E" w:rsidRPr="00BD46D3">
        <w:rPr>
          <w:rFonts w:ascii="Cambria" w:hAnsi="Cambria"/>
          <w:sz w:val="16"/>
          <w:szCs w:val="16"/>
        </w:rPr>
        <w:t xml:space="preserve">, </w:t>
      </w:r>
      <w:r w:rsidRPr="00BD46D3">
        <w:rPr>
          <w:rFonts w:ascii="Cambria" w:hAnsi="Cambria"/>
          <w:sz w:val="16"/>
          <w:szCs w:val="16"/>
        </w:rPr>
        <w:t>OEA/</w:t>
      </w:r>
      <w:proofErr w:type="spellStart"/>
      <w:r w:rsidRPr="00BD46D3">
        <w:rPr>
          <w:rFonts w:ascii="Cambria" w:hAnsi="Cambria"/>
          <w:sz w:val="16"/>
          <w:szCs w:val="16"/>
        </w:rPr>
        <w:t>Ser.L</w:t>
      </w:r>
      <w:proofErr w:type="spellEnd"/>
      <w:r w:rsidRPr="00BD46D3">
        <w:rPr>
          <w:rFonts w:ascii="Cambria" w:hAnsi="Cambria"/>
          <w:sz w:val="16"/>
          <w:szCs w:val="16"/>
        </w:rPr>
        <w:t xml:space="preserve">/V/II. Doc. 208/17, </w:t>
      </w:r>
      <w:r w:rsidR="00D71D6E" w:rsidRPr="00BD46D3">
        <w:rPr>
          <w:rFonts w:ascii="Cambria" w:hAnsi="Cambria"/>
          <w:sz w:val="16"/>
          <w:szCs w:val="16"/>
        </w:rPr>
        <w:t xml:space="preserve">December </w:t>
      </w:r>
      <w:r w:rsidRPr="00BD46D3">
        <w:rPr>
          <w:rFonts w:ascii="Cambria" w:hAnsi="Cambria"/>
          <w:sz w:val="16"/>
          <w:szCs w:val="16"/>
        </w:rPr>
        <w:t>31</w:t>
      </w:r>
      <w:r w:rsidR="00D71D6E" w:rsidRPr="00BD46D3">
        <w:rPr>
          <w:rFonts w:ascii="Cambria" w:hAnsi="Cambria"/>
          <w:sz w:val="16"/>
          <w:szCs w:val="16"/>
        </w:rPr>
        <w:t xml:space="preserve">, </w:t>
      </w:r>
      <w:r w:rsidRPr="00BD46D3">
        <w:rPr>
          <w:rFonts w:ascii="Cambria" w:hAnsi="Cambria"/>
          <w:sz w:val="16"/>
          <w:szCs w:val="16"/>
        </w:rPr>
        <w:t xml:space="preserve">2017, </w:t>
      </w:r>
      <w:r w:rsidR="00D71D6E" w:rsidRPr="00BD46D3">
        <w:rPr>
          <w:rFonts w:ascii="Cambria" w:hAnsi="Cambria"/>
          <w:sz w:val="16"/>
          <w:szCs w:val="16"/>
        </w:rPr>
        <w:t>par</w:t>
      </w:r>
      <w:r w:rsidR="00143BA2" w:rsidRPr="00BD46D3">
        <w:rPr>
          <w:rFonts w:ascii="Cambria" w:hAnsi="Cambria"/>
          <w:sz w:val="16"/>
          <w:szCs w:val="16"/>
        </w:rPr>
        <w:t>as</w:t>
      </w:r>
      <w:r w:rsidRPr="00BD46D3">
        <w:rPr>
          <w:rFonts w:ascii="Cambria" w:hAnsi="Cambria"/>
          <w:sz w:val="16"/>
          <w:szCs w:val="16"/>
        </w:rPr>
        <w:t xml:space="preserve">. </w:t>
      </w:r>
      <w:r w:rsidR="008A2AEC" w:rsidRPr="00BD46D3">
        <w:rPr>
          <w:rFonts w:ascii="Cambria" w:hAnsi="Cambria"/>
          <w:sz w:val="16"/>
          <w:szCs w:val="16"/>
        </w:rPr>
        <w:t xml:space="preserve">3 and </w:t>
      </w:r>
      <w:r w:rsidRPr="00BD46D3">
        <w:rPr>
          <w:rFonts w:ascii="Cambria" w:hAnsi="Cambria"/>
          <w:sz w:val="16"/>
          <w:szCs w:val="16"/>
        </w:rPr>
        <w:t>5.</w:t>
      </w:r>
    </w:p>
  </w:footnote>
  <w:footnote w:id="4">
    <w:p w14:paraId="4F1D1954" w14:textId="2B1592D0" w:rsidR="00261A30" w:rsidRPr="008A7BD7" w:rsidRDefault="00261A30" w:rsidP="00746761">
      <w:pPr>
        <w:spacing w:after="120"/>
        <w:ind w:firstLine="720"/>
        <w:jc w:val="both"/>
        <w:rPr>
          <w:rFonts w:ascii="Cambria" w:hAnsi="Cambria"/>
          <w:sz w:val="16"/>
          <w:szCs w:val="16"/>
        </w:rPr>
      </w:pPr>
      <w:r w:rsidRPr="008A7BD7">
        <w:rPr>
          <w:rFonts w:ascii="Cambria" w:hAnsi="Cambria"/>
          <w:sz w:val="16"/>
          <w:szCs w:val="16"/>
        </w:rPr>
        <w:footnoteRef/>
      </w:r>
      <w:r w:rsidRPr="008A7BD7">
        <w:rPr>
          <w:rFonts w:ascii="Cambria" w:hAnsi="Cambria"/>
          <w:sz w:val="16"/>
          <w:szCs w:val="16"/>
        </w:rPr>
        <w:t xml:space="preserve"> </w:t>
      </w:r>
      <w:r w:rsidR="00986F64" w:rsidRPr="008A7BD7">
        <w:rPr>
          <w:rFonts w:ascii="Cambria" w:hAnsi="Cambria"/>
          <w:sz w:val="16"/>
          <w:szCs w:val="16"/>
        </w:rPr>
        <w:t>IACHR</w:t>
      </w:r>
      <w:r w:rsidRPr="008A7BD7">
        <w:rPr>
          <w:rFonts w:ascii="Cambria" w:hAnsi="Cambria"/>
          <w:sz w:val="16"/>
          <w:szCs w:val="16"/>
        </w:rPr>
        <w:t xml:space="preserve">, </w:t>
      </w:r>
      <w:hyperlink r:id="rId2" w:history="1">
        <w:r w:rsidR="00986F64" w:rsidRPr="008A7BD7">
          <w:rPr>
            <w:rStyle w:val="Hyperlink"/>
            <w:rFonts w:ascii="Cambria" w:hAnsi="Cambria"/>
            <w:sz w:val="16"/>
            <w:szCs w:val="16"/>
          </w:rPr>
          <w:t>Preliminary Observations to the IACHR’s On-Site Visit to Guatemala</w:t>
        </w:r>
      </w:hyperlink>
      <w:r w:rsidRPr="008A7BD7">
        <w:rPr>
          <w:rFonts w:ascii="Cambria" w:hAnsi="Cambria"/>
          <w:sz w:val="16"/>
          <w:szCs w:val="16"/>
        </w:rPr>
        <w:t xml:space="preserve">, </w:t>
      </w:r>
      <w:r w:rsidR="00986F64" w:rsidRPr="008A7BD7">
        <w:rPr>
          <w:rFonts w:ascii="Cambria" w:hAnsi="Cambria"/>
          <w:sz w:val="16"/>
          <w:szCs w:val="16"/>
        </w:rPr>
        <w:t xml:space="preserve">August </w:t>
      </w:r>
      <w:r w:rsidRPr="008A7BD7">
        <w:rPr>
          <w:rFonts w:ascii="Cambria" w:hAnsi="Cambria"/>
          <w:sz w:val="16"/>
          <w:szCs w:val="16"/>
        </w:rPr>
        <w:t>4</w:t>
      </w:r>
      <w:r w:rsidR="00986F64" w:rsidRPr="008A7BD7">
        <w:rPr>
          <w:rFonts w:ascii="Cambria" w:hAnsi="Cambria"/>
          <w:sz w:val="16"/>
          <w:szCs w:val="16"/>
        </w:rPr>
        <w:t xml:space="preserve">, </w:t>
      </w:r>
      <w:r w:rsidRPr="008A7BD7">
        <w:rPr>
          <w:rFonts w:ascii="Cambria" w:hAnsi="Cambria"/>
          <w:sz w:val="16"/>
          <w:szCs w:val="16"/>
        </w:rPr>
        <w:t>2017.</w:t>
      </w:r>
    </w:p>
  </w:footnote>
  <w:footnote w:id="5">
    <w:p w14:paraId="1FA60180" w14:textId="7FB26C9C" w:rsidR="00451334" w:rsidRPr="008A7BD7" w:rsidRDefault="00451334"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F15316" w:rsidRPr="008A7BD7">
        <w:rPr>
          <w:rFonts w:ascii="Cambria" w:hAnsi="Cambria"/>
          <w:sz w:val="16"/>
          <w:szCs w:val="16"/>
        </w:rPr>
        <w:t xml:space="preserve">IACHR, </w:t>
      </w:r>
      <w:hyperlink r:id="rId3" w:history="1">
        <w:r w:rsidR="00F15316" w:rsidRPr="008A7BD7">
          <w:rPr>
            <w:rStyle w:val="Hyperlink"/>
            <w:rFonts w:ascii="Cambria" w:hAnsi="Cambria"/>
            <w:sz w:val="16"/>
            <w:szCs w:val="16"/>
          </w:rPr>
          <w:t>Situation of Human Rights in Guatemala</w:t>
        </w:r>
      </w:hyperlink>
      <w:r w:rsidR="00F15316" w:rsidRPr="008A7BD7">
        <w:rPr>
          <w:rFonts w:ascii="Cambria" w:hAnsi="Cambria"/>
          <w:sz w:val="16"/>
          <w:szCs w:val="16"/>
        </w:rPr>
        <w:t>, OEA/</w:t>
      </w:r>
      <w:proofErr w:type="spellStart"/>
      <w:r w:rsidR="00F15316" w:rsidRPr="008A7BD7">
        <w:rPr>
          <w:rFonts w:ascii="Cambria" w:hAnsi="Cambria"/>
          <w:sz w:val="16"/>
          <w:szCs w:val="16"/>
        </w:rPr>
        <w:t>Ser.L</w:t>
      </w:r>
      <w:proofErr w:type="spellEnd"/>
      <w:r w:rsidR="00F15316" w:rsidRPr="008A7BD7">
        <w:rPr>
          <w:rFonts w:ascii="Cambria" w:hAnsi="Cambria"/>
          <w:sz w:val="16"/>
          <w:szCs w:val="16"/>
        </w:rPr>
        <w:t>/V/II. Doc. 208/17, December 31, 2017, par</w:t>
      </w:r>
      <w:r w:rsidRPr="008A7BD7">
        <w:rPr>
          <w:rFonts w:ascii="Cambria" w:hAnsi="Cambria"/>
          <w:sz w:val="16"/>
          <w:szCs w:val="16"/>
        </w:rPr>
        <w:t>. 7.</w:t>
      </w:r>
    </w:p>
  </w:footnote>
  <w:footnote w:id="6">
    <w:p w14:paraId="446A9786" w14:textId="60F0FE30" w:rsidR="00E031AA" w:rsidRPr="008A7BD7" w:rsidRDefault="00E031AA"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713BF1" w:rsidRPr="008A7BD7">
        <w:rPr>
          <w:rFonts w:ascii="Cambria" w:hAnsi="Cambria"/>
          <w:sz w:val="16"/>
          <w:szCs w:val="16"/>
        </w:rPr>
        <w:t xml:space="preserve">IACHR, Resolution </w:t>
      </w:r>
      <w:r w:rsidR="00451334" w:rsidRPr="008A7BD7">
        <w:rPr>
          <w:rFonts w:ascii="Cambria" w:hAnsi="Cambria"/>
          <w:sz w:val="16"/>
          <w:szCs w:val="16"/>
        </w:rPr>
        <w:t>1/17,</w:t>
      </w:r>
      <w:r w:rsidR="00713BF1" w:rsidRPr="008A7BD7">
        <w:rPr>
          <w:rFonts w:ascii="Cambria" w:hAnsi="Cambria"/>
          <w:sz w:val="16"/>
          <w:szCs w:val="16"/>
        </w:rPr>
        <w:t xml:space="preserve"> </w:t>
      </w:r>
      <w:hyperlink r:id="rId4" w:history="1">
        <w:r w:rsidR="00713BF1" w:rsidRPr="008A7BD7">
          <w:rPr>
            <w:rStyle w:val="Hyperlink"/>
            <w:rFonts w:ascii="Cambria" w:hAnsi="Cambria"/>
            <w:sz w:val="16"/>
            <w:szCs w:val="16"/>
          </w:rPr>
          <w:t>Human Rights and the Fight against Impunity and Corruption</w:t>
        </w:r>
      </w:hyperlink>
      <w:r w:rsidR="00713BF1" w:rsidRPr="008A7BD7">
        <w:rPr>
          <w:rFonts w:ascii="Cambria" w:hAnsi="Cambria"/>
          <w:sz w:val="16"/>
          <w:szCs w:val="16"/>
        </w:rPr>
        <w:t xml:space="preserve">, September 12, 2017. </w:t>
      </w:r>
    </w:p>
  </w:footnote>
  <w:footnote w:id="7">
    <w:p w14:paraId="465AA9BC" w14:textId="41812445" w:rsidR="00E031AA" w:rsidRPr="008A7BD7" w:rsidRDefault="00E031AA" w:rsidP="00746761">
      <w:pPr>
        <w:pStyle w:val="FootnoteText"/>
        <w:spacing w:after="120"/>
        <w:ind w:firstLine="720"/>
        <w:jc w:val="both"/>
        <w:rPr>
          <w:rFonts w:ascii="Cambria" w:hAnsi="Cambria"/>
          <w:sz w:val="16"/>
          <w:szCs w:val="16"/>
          <w:lang w:val="es-CO"/>
        </w:rPr>
      </w:pPr>
      <w:r w:rsidRPr="008A7BD7">
        <w:rPr>
          <w:rStyle w:val="FootnoteReference"/>
          <w:rFonts w:ascii="Cambria" w:hAnsi="Cambria"/>
          <w:sz w:val="16"/>
          <w:szCs w:val="16"/>
        </w:rPr>
        <w:footnoteRef/>
      </w:r>
      <w:r w:rsidRPr="008A7BD7">
        <w:rPr>
          <w:rFonts w:ascii="Cambria" w:hAnsi="Cambria"/>
          <w:sz w:val="16"/>
          <w:szCs w:val="16"/>
        </w:rPr>
        <w:t xml:space="preserve"> </w:t>
      </w:r>
      <w:r w:rsidR="00713BF1" w:rsidRPr="008A7BD7">
        <w:rPr>
          <w:rFonts w:ascii="Cambria" w:hAnsi="Cambria"/>
          <w:sz w:val="16"/>
          <w:szCs w:val="16"/>
        </w:rPr>
        <w:t>IACHR</w:t>
      </w:r>
      <w:r w:rsidR="00451334" w:rsidRPr="008A7BD7">
        <w:rPr>
          <w:rFonts w:ascii="Cambria" w:hAnsi="Cambria"/>
          <w:sz w:val="16"/>
          <w:szCs w:val="16"/>
        </w:rPr>
        <w:t xml:space="preserve">, </w:t>
      </w:r>
      <w:r w:rsidR="00ED6FCF" w:rsidRPr="008A7BD7">
        <w:rPr>
          <w:rFonts w:ascii="Cambria" w:hAnsi="Cambria"/>
          <w:sz w:val="16"/>
          <w:szCs w:val="16"/>
        </w:rPr>
        <w:t xml:space="preserve">Annual Report </w:t>
      </w:r>
      <w:r w:rsidR="00451334" w:rsidRPr="008A7BD7">
        <w:rPr>
          <w:rFonts w:ascii="Cambria" w:hAnsi="Cambria"/>
          <w:sz w:val="16"/>
          <w:szCs w:val="16"/>
        </w:rPr>
        <w:t>2018,</w:t>
      </w:r>
      <w:r w:rsidR="00ED6FCF" w:rsidRPr="008A7BD7">
        <w:rPr>
          <w:rFonts w:ascii="Cambria" w:hAnsi="Cambria"/>
          <w:sz w:val="16"/>
          <w:szCs w:val="16"/>
        </w:rPr>
        <w:t xml:space="preserve"> </w:t>
      </w:r>
      <w:hyperlink r:id="rId5" w:history="1">
        <w:r w:rsidR="00ED6FCF" w:rsidRPr="008A7BD7">
          <w:rPr>
            <w:rStyle w:val="Hyperlink"/>
            <w:rFonts w:ascii="Cambria" w:hAnsi="Cambria"/>
            <w:sz w:val="16"/>
            <w:szCs w:val="16"/>
          </w:rPr>
          <w:t>Chapter V: Report on Follow-Up of Recommendations Issued by the IACHR in its Report on the Human Rights Situation in Guatemala</w:t>
        </w:r>
      </w:hyperlink>
      <w:r w:rsidR="00ED6FCF" w:rsidRPr="008A7BD7">
        <w:rPr>
          <w:rFonts w:ascii="Cambria" w:hAnsi="Cambria"/>
          <w:sz w:val="16"/>
          <w:szCs w:val="16"/>
        </w:rPr>
        <w:t>, par.</w:t>
      </w:r>
      <w:r w:rsidR="00ED6FCF" w:rsidRPr="008A7BD7">
        <w:t xml:space="preserve"> </w:t>
      </w:r>
      <w:r w:rsidR="00451334" w:rsidRPr="008A7BD7">
        <w:rPr>
          <w:rFonts w:ascii="Cambria" w:hAnsi="Cambria"/>
          <w:sz w:val="16"/>
          <w:szCs w:val="16"/>
        </w:rPr>
        <w:t xml:space="preserve">247; </w:t>
      </w:r>
      <w:r w:rsidR="00ED6FCF" w:rsidRPr="008A7BD7">
        <w:rPr>
          <w:rFonts w:ascii="Cambria" w:hAnsi="Cambria"/>
          <w:sz w:val="16"/>
          <w:szCs w:val="16"/>
        </w:rPr>
        <w:t xml:space="preserve">IACHR, Annual Report </w:t>
      </w:r>
      <w:r w:rsidR="00451334" w:rsidRPr="008A7BD7">
        <w:rPr>
          <w:rFonts w:ascii="Cambria" w:hAnsi="Cambria"/>
          <w:sz w:val="16"/>
          <w:szCs w:val="16"/>
        </w:rPr>
        <w:t xml:space="preserve">2019, </w:t>
      </w:r>
      <w:r w:rsidR="00F22F31" w:rsidRPr="008A7BD7">
        <w:rPr>
          <w:rFonts w:ascii="Cambria" w:hAnsi="Cambria"/>
          <w:sz w:val="16"/>
          <w:szCs w:val="16"/>
        </w:rPr>
        <w:t xml:space="preserve">Chapter V: </w:t>
      </w:r>
      <w:hyperlink r:id="rId6" w:history="1">
        <w:r w:rsidR="00F22F31" w:rsidRPr="008A7BD7">
          <w:rPr>
            <w:rStyle w:val="Hyperlink"/>
            <w:rFonts w:ascii="Cambria" w:hAnsi="Cambria"/>
            <w:sz w:val="16"/>
            <w:szCs w:val="16"/>
          </w:rPr>
          <w:t>Second Report on Follow-Up on Recommendations Issued by the IACHR on the Situation of Human Rights in Guatemala</w:t>
        </w:r>
      </w:hyperlink>
      <w:r w:rsidR="00F22F31" w:rsidRPr="008A7BD7">
        <w:rPr>
          <w:rFonts w:ascii="Cambria" w:hAnsi="Cambria"/>
          <w:sz w:val="16"/>
          <w:szCs w:val="16"/>
        </w:rPr>
        <w:t xml:space="preserve">, par. </w:t>
      </w:r>
      <w:r w:rsidR="00451334" w:rsidRPr="008A7BD7">
        <w:rPr>
          <w:rFonts w:ascii="Cambria" w:hAnsi="Cambria"/>
          <w:sz w:val="16"/>
          <w:szCs w:val="16"/>
        </w:rPr>
        <w:t xml:space="preserve">25; </w:t>
      </w:r>
      <w:r w:rsidR="00F22F31" w:rsidRPr="008A7BD7">
        <w:rPr>
          <w:rFonts w:ascii="Cambria" w:hAnsi="Cambria"/>
          <w:sz w:val="16"/>
          <w:szCs w:val="16"/>
        </w:rPr>
        <w:t>IACHR</w:t>
      </w:r>
      <w:r w:rsidR="00451334" w:rsidRPr="008A7BD7">
        <w:rPr>
          <w:rFonts w:ascii="Cambria" w:hAnsi="Cambria"/>
          <w:sz w:val="16"/>
          <w:szCs w:val="16"/>
        </w:rPr>
        <w:t xml:space="preserve">, </w:t>
      </w:r>
      <w:r w:rsidR="00F22F31" w:rsidRPr="008A7BD7">
        <w:rPr>
          <w:rFonts w:ascii="Cambria" w:hAnsi="Cambria"/>
          <w:sz w:val="16"/>
          <w:szCs w:val="16"/>
        </w:rPr>
        <w:t xml:space="preserve">Annual Report </w:t>
      </w:r>
      <w:r w:rsidR="00451334" w:rsidRPr="008A7BD7">
        <w:rPr>
          <w:rFonts w:ascii="Cambria" w:hAnsi="Cambria"/>
          <w:sz w:val="16"/>
          <w:szCs w:val="16"/>
        </w:rPr>
        <w:t>2020,</w:t>
      </w:r>
      <w:r w:rsidR="00F22F31" w:rsidRPr="008A7BD7">
        <w:rPr>
          <w:rFonts w:ascii="Cambria" w:hAnsi="Cambria"/>
          <w:sz w:val="16"/>
          <w:szCs w:val="16"/>
        </w:rPr>
        <w:t xml:space="preserve"> </w:t>
      </w:r>
      <w:hyperlink r:id="rId7" w:history="1">
        <w:r w:rsidR="00F22F31" w:rsidRPr="008A7BD7">
          <w:rPr>
            <w:rStyle w:val="Hyperlink"/>
            <w:rFonts w:ascii="Cambria" w:hAnsi="Cambria"/>
            <w:sz w:val="16"/>
            <w:szCs w:val="16"/>
          </w:rPr>
          <w:t>Third Report on Follow-Up on Recommendations Issued by the IACHR on the Situation of Human Rights in Guatemala</w:t>
        </w:r>
      </w:hyperlink>
      <w:r w:rsidR="00F22F31" w:rsidRPr="008A7BD7">
        <w:rPr>
          <w:rFonts w:ascii="Cambria" w:hAnsi="Cambria"/>
          <w:sz w:val="16"/>
          <w:szCs w:val="16"/>
        </w:rPr>
        <w:t>, paras.</w:t>
      </w:r>
      <w:r w:rsidR="00F22F31" w:rsidRPr="008A7BD7">
        <w:t xml:space="preserve"> </w:t>
      </w:r>
      <w:r w:rsidR="00451334" w:rsidRPr="008A7BD7">
        <w:rPr>
          <w:rFonts w:ascii="Cambria" w:hAnsi="Cambria"/>
          <w:sz w:val="16"/>
          <w:szCs w:val="16"/>
          <w:lang w:val="es-CO"/>
        </w:rPr>
        <w:t xml:space="preserve">14 </w:t>
      </w:r>
      <w:r w:rsidR="00F22F31" w:rsidRPr="008A7BD7">
        <w:rPr>
          <w:rFonts w:ascii="Cambria" w:hAnsi="Cambria"/>
          <w:sz w:val="16"/>
          <w:szCs w:val="16"/>
          <w:lang w:val="es-CO"/>
        </w:rPr>
        <w:t xml:space="preserve">and </w:t>
      </w:r>
      <w:proofErr w:type="spellStart"/>
      <w:r w:rsidR="00F22F31" w:rsidRPr="008A7BD7">
        <w:rPr>
          <w:rFonts w:ascii="Cambria" w:hAnsi="Cambria"/>
          <w:sz w:val="16"/>
          <w:szCs w:val="16"/>
          <w:lang w:val="es-CO"/>
        </w:rPr>
        <w:t>ff</w:t>
      </w:r>
      <w:proofErr w:type="spellEnd"/>
      <w:r w:rsidR="00451334" w:rsidRPr="008A7BD7">
        <w:rPr>
          <w:rFonts w:ascii="Cambria" w:hAnsi="Cambria"/>
          <w:sz w:val="16"/>
          <w:szCs w:val="16"/>
          <w:lang w:val="es-CO"/>
        </w:rPr>
        <w:t>.</w:t>
      </w:r>
    </w:p>
  </w:footnote>
  <w:footnote w:id="8">
    <w:p w14:paraId="180F089B" w14:textId="551F807A" w:rsidR="002139E1" w:rsidRPr="008A7BD7" w:rsidRDefault="002139E1"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proofErr w:type="spellStart"/>
      <w:r w:rsidR="00F524F3" w:rsidRPr="008A7BD7">
        <w:rPr>
          <w:rFonts w:ascii="Cambria" w:hAnsi="Cambria"/>
          <w:sz w:val="16"/>
          <w:szCs w:val="16"/>
          <w:lang w:val="es-US"/>
        </w:rPr>
        <w:t>Press</w:t>
      </w:r>
      <w:proofErr w:type="spellEnd"/>
      <w:r w:rsidR="00F524F3" w:rsidRPr="008A7BD7">
        <w:rPr>
          <w:rFonts w:ascii="Cambria" w:hAnsi="Cambria"/>
          <w:sz w:val="16"/>
          <w:szCs w:val="16"/>
          <w:lang w:val="es-US"/>
        </w:rPr>
        <w:t xml:space="preserve"> </w:t>
      </w:r>
      <w:proofErr w:type="spellStart"/>
      <w:r w:rsidR="00A63325" w:rsidRPr="008A7BD7">
        <w:rPr>
          <w:rFonts w:ascii="Cambria" w:hAnsi="Cambria"/>
          <w:sz w:val="16"/>
          <w:szCs w:val="16"/>
          <w:lang w:val="es-US"/>
        </w:rPr>
        <w:t>R</w:t>
      </w:r>
      <w:r w:rsidR="00F524F3" w:rsidRPr="008A7BD7">
        <w:rPr>
          <w:rFonts w:ascii="Cambria" w:hAnsi="Cambria"/>
          <w:sz w:val="16"/>
          <w:szCs w:val="16"/>
          <w:lang w:val="es-US"/>
        </w:rPr>
        <w:t>elease</w:t>
      </w:r>
      <w:proofErr w:type="spellEnd"/>
      <w:r w:rsidR="00F524F3" w:rsidRPr="008A7BD7">
        <w:rPr>
          <w:rFonts w:ascii="Cambria" w:hAnsi="Cambria"/>
          <w:sz w:val="16"/>
          <w:szCs w:val="16"/>
          <w:lang w:val="es-US"/>
        </w:rPr>
        <w:t>,</w:t>
      </w:r>
      <w:r w:rsidRPr="008A7BD7">
        <w:rPr>
          <w:rFonts w:ascii="Cambria" w:hAnsi="Cambria"/>
          <w:sz w:val="16"/>
          <w:szCs w:val="16"/>
          <w:lang w:val="es-US"/>
        </w:rPr>
        <w:t xml:space="preserve"> </w:t>
      </w:r>
      <w:hyperlink r:id="rId8" w:history="1">
        <w:r w:rsidRPr="008A7BD7">
          <w:rPr>
            <w:rStyle w:val="Hyperlink"/>
            <w:rFonts w:ascii="Cambria" w:hAnsi="Cambria"/>
            <w:i/>
            <w:iCs/>
            <w:sz w:val="16"/>
            <w:szCs w:val="16"/>
            <w:lang w:val="es-US"/>
          </w:rPr>
          <w:t xml:space="preserve">El Gobierno de Guatemala a la </w:t>
        </w:r>
        <w:proofErr w:type="spellStart"/>
        <w:r w:rsidRPr="008A7BD7">
          <w:rPr>
            <w:rStyle w:val="Hyperlink"/>
            <w:rFonts w:ascii="Cambria" w:hAnsi="Cambria"/>
            <w:i/>
            <w:iCs/>
            <w:sz w:val="16"/>
            <w:szCs w:val="16"/>
            <w:lang w:val="es-US"/>
          </w:rPr>
          <w:t>población</w:t>
        </w:r>
        <w:proofErr w:type="spellEnd"/>
        <w:r w:rsidRPr="008A7BD7">
          <w:rPr>
            <w:rStyle w:val="Hyperlink"/>
            <w:rFonts w:ascii="Cambria" w:hAnsi="Cambria"/>
            <w:i/>
            <w:iCs/>
            <w:sz w:val="16"/>
            <w:szCs w:val="16"/>
            <w:lang w:val="es-US"/>
          </w:rPr>
          <w:t xml:space="preserve"> en general informa</w:t>
        </w:r>
      </w:hyperlink>
      <w:r w:rsidR="00A63325" w:rsidRPr="008A7BD7">
        <w:rPr>
          <w:rStyle w:val="Hyperlink"/>
          <w:rFonts w:ascii="Cambria" w:hAnsi="Cambria"/>
          <w:i/>
          <w:iCs/>
          <w:sz w:val="16"/>
          <w:szCs w:val="16"/>
          <w:lang w:val="es-US"/>
        </w:rPr>
        <w:t>,</w:t>
      </w:r>
      <w:r w:rsidRPr="008A7BD7">
        <w:rPr>
          <w:rFonts w:ascii="Cambria" w:hAnsi="Cambria"/>
          <w:sz w:val="16"/>
          <w:szCs w:val="16"/>
          <w:lang w:val="es-US"/>
        </w:rPr>
        <w:t xml:space="preserve"> </w:t>
      </w:r>
      <w:proofErr w:type="spellStart"/>
      <w:r w:rsidR="009A2353" w:rsidRPr="008A7BD7">
        <w:rPr>
          <w:rFonts w:ascii="Cambria" w:hAnsi="Cambria"/>
          <w:sz w:val="16"/>
          <w:szCs w:val="16"/>
          <w:lang w:val="es-US"/>
        </w:rPr>
        <w:t>Government</w:t>
      </w:r>
      <w:proofErr w:type="spellEnd"/>
      <w:r w:rsidR="009A2353" w:rsidRPr="008A7BD7">
        <w:rPr>
          <w:rFonts w:ascii="Cambria" w:hAnsi="Cambria"/>
          <w:sz w:val="16"/>
          <w:szCs w:val="16"/>
          <w:lang w:val="es-US"/>
        </w:rPr>
        <w:t xml:space="preserve"> of Guatemala </w:t>
      </w:r>
      <w:r w:rsidRPr="008A7BD7">
        <w:rPr>
          <w:rFonts w:ascii="Cambria" w:hAnsi="Cambria"/>
          <w:sz w:val="16"/>
          <w:szCs w:val="16"/>
          <w:lang w:val="es-US"/>
        </w:rPr>
        <w:t xml:space="preserve">Twitter </w:t>
      </w:r>
      <w:proofErr w:type="spellStart"/>
      <w:r w:rsidR="009A2353" w:rsidRPr="008A7BD7">
        <w:rPr>
          <w:rFonts w:ascii="Cambria" w:hAnsi="Cambria"/>
          <w:sz w:val="16"/>
          <w:szCs w:val="16"/>
          <w:lang w:val="es-US"/>
        </w:rPr>
        <w:t>account</w:t>
      </w:r>
      <w:proofErr w:type="spellEnd"/>
      <w:r w:rsidRPr="008A7BD7">
        <w:rPr>
          <w:rFonts w:ascii="Cambria" w:hAnsi="Cambria"/>
          <w:sz w:val="16"/>
          <w:szCs w:val="16"/>
          <w:lang w:val="es-US"/>
        </w:rPr>
        <w:t xml:space="preserve"> (@GuatemalaGob), </w:t>
      </w:r>
      <w:proofErr w:type="spellStart"/>
      <w:r w:rsidR="004A14C2" w:rsidRPr="008A7BD7">
        <w:rPr>
          <w:rFonts w:ascii="Cambria" w:hAnsi="Cambria"/>
          <w:sz w:val="16"/>
          <w:szCs w:val="16"/>
          <w:lang w:val="es-US"/>
        </w:rPr>
        <w:t>posted</w:t>
      </w:r>
      <w:proofErr w:type="spellEnd"/>
      <w:r w:rsidR="009A2353" w:rsidRPr="008A7BD7">
        <w:rPr>
          <w:rFonts w:ascii="Cambria" w:hAnsi="Cambria"/>
          <w:sz w:val="16"/>
          <w:szCs w:val="16"/>
          <w:lang w:val="es-US"/>
        </w:rPr>
        <w:t xml:space="preserve"> </w:t>
      </w:r>
      <w:proofErr w:type="spellStart"/>
      <w:r w:rsidR="009A2353" w:rsidRPr="008A7BD7">
        <w:rPr>
          <w:rFonts w:ascii="Cambria" w:hAnsi="Cambria"/>
          <w:sz w:val="16"/>
          <w:szCs w:val="16"/>
          <w:lang w:val="es-US"/>
        </w:rPr>
        <w:t>November</w:t>
      </w:r>
      <w:proofErr w:type="spellEnd"/>
      <w:r w:rsidR="009A2353" w:rsidRPr="008A7BD7">
        <w:rPr>
          <w:rFonts w:ascii="Cambria" w:hAnsi="Cambria"/>
          <w:sz w:val="16"/>
          <w:szCs w:val="16"/>
          <w:lang w:val="es-US"/>
        </w:rPr>
        <w:t xml:space="preserve"> </w:t>
      </w:r>
      <w:r w:rsidRPr="008A7BD7">
        <w:rPr>
          <w:rFonts w:ascii="Cambria" w:hAnsi="Cambria"/>
          <w:sz w:val="16"/>
          <w:szCs w:val="16"/>
          <w:lang w:val="es-US"/>
        </w:rPr>
        <w:t>22</w:t>
      </w:r>
      <w:r w:rsidR="009A2353" w:rsidRPr="008A7BD7">
        <w:rPr>
          <w:rFonts w:ascii="Cambria" w:hAnsi="Cambria"/>
          <w:sz w:val="16"/>
          <w:szCs w:val="16"/>
          <w:lang w:val="es-US"/>
        </w:rPr>
        <w:t>,</w:t>
      </w:r>
      <w:r w:rsidRPr="008A7BD7">
        <w:rPr>
          <w:rFonts w:ascii="Cambria" w:hAnsi="Cambria"/>
          <w:sz w:val="16"/>
          <w:szCs w:val="16"/>
          <w:lang w:val="es-US"/>
        </w:rPr>
        <w:t xml:space="preserve"> 2020; </w:t>
      </w:r>
      <w:r w:rsidRPr="008A7BD7">
        <w:rPr>
          <w:rFonts w:ascii="Cambria" w:hAnsi="Cambria"/>
          <w:i/>
          <w:iCs/>
          <w:sz w:val="16"/>
          <w:szCs w:val="16"/>
          <w:lang w:val="es-US"/>
        </w:rPr>
        <w:t>EFE</w:t>
      </w:r>
      <w:r w:rsidRPr="008A7BD7">
        <w:rPr>
          <w:rFonts w:ascii="Cambria" w:hAnsi="Cambria"/>
          <w:sz w:val="16"/>
          <w:szCs w:val="16"/>
          <w:lang w:val="es-US"/>
        </w:rPr>
        <w:t xml:space="preserve">, </w:t>
      </w:r>
      <w:hyperlink r:id="rId9" w:history="1">
        <w:proofErr w:type="spellStart"/>
        <w:r w:rsidRPr="008A7BD7">
          <w:rPr>
            <w:rStyle w:val="Hyperlink"/>
            <w:rFonts w:ascii="Cambria" w:hAnsi="Cambria"/>
            <w:i/>
            <w:iCs/>
            <w:sz w:val="16"/>
            <w:szCs w:val="16"/>
            <w:lang w:val="es-US"/>
          </w:rPr>
          <w:t>Giammattei</w:t>
        </w:r>
        <w:proofErr w:type="spellEnd"/>
        <w:r w:rsidRPr="008A7BD7">
          <w:rPr>
            <w:rStyle w:val="Hyperlink"/>
            <w:rFonts w:ascii="Cambria" w:hAnsi="Cambria"/>
            <w:i/>
            <w:iCs/>
            <w:sz w:val="16"/>
            <w:szCs w:val="16"/>
            <w:lang w:val="es-US"/>
          </w:rPr>
          <w:t xml:space="preserve"> invoca la Carta </w:t>
        </w:r>
        <w:proofErr w:type="spellStart"/>
        <w:r w:rsidRPr="008A7BD7">
          <w:rPr>
            <w:rStyle w:val="Hyperlink"/>
            <w:rFonts w:ascii="Cambria" w:hAnsi="Cambria"/>
            <w:i/>
            <w:iCs/>
            <w:sz w:val="16"/>
            <w:szCs w:val="16"/>
            <w:lang w:val="es-US"/>
          </w:rPr>
          <w:t>Democrática</w:t>
        </w:r>
        <w:proofErr w:type="spellEnd"/>
        <w:r w:rsidRPr="008A7BD7">
          <w:rPr>
            <w:rStyle w:val="Hyperlink"/>
            <w:rFonts w:ascii="Cambria" w:hAnsi="Cambria"/>
            <w:i/>
            <w:iCs/>
            <w:sz w:val="16"/>
            <w:szCs w:val="16"/>
            <w:lang w:val="es-US"/>
          </w:rPr>
          <w:t xml:space="preserve"> Interamericana ante la crisis en Guatemala</w:t>
        </w:r>
      </w:hyperlink>
      <w:r w:rsidR="009A2353" w:rsidRPr="008A7BD7">
        <w:rPr>
          <w:rFonts w:ascii="Cambria" w:hAnsi="Cambria"/>
          <w:sz w:val="16"/>
          <w:szCs w:val="16"/>
          <w:lang w:val="es-US"/>
        </w:rPr>
        <w:t>,</w:t>
      </w:r>
      <w:r w:rsidRPr="008A7BD7">
        <w:rPr>
          <w:rFonts w:ascii="Cambria" w:hAnsi="Cambria"/>
          <w:sz w:val="16"/>
          <w:szCs w:val="16"/>
          <w:lang w:val="es-US"/>
        </w:rPr>
        <w:t xml:space="preserve"> </w:t>
      </w:r>
      <w:proofErr w:type="spellStart"/>
      <w:r w:rsidR="009A2353" w:rsidRPr="008A7BD7">
        <w:rPr>
          <w:rFonts w:ascii="Cambria" w:hAnsi="Cambria"/>
          <w:sz w:val="16"/>
          <w:szCs w:val="16"/>
          <w:lang w:val="es-US"/>
        </w:rPr>
        <w:t>November</w:t>
      </w:r>
      <w:proofErr w:type="spellEnd"/>
      <w:r w:rsidR="009A2353" w:rsidRPr="008A7BD7">
        <w:rPr>
          <w:rFonts w:ascii="Cambria" w:hAnsi="Cambria"/>
          <w:sz w:val="16"/>
          <w:szCs w:val="16"/>
          <w:lang w:val="es-US"/>
        </w:rPr>
        <w:t xml:space="preserve"> </w:t>
      </w:r>
      <w:r w:rsidRPr="008A7BD7">
        <w:rPr>
          <w:rFonts w:ascii="Cambria" w:hAnsi="Cambria"/>
          <w:sz w:val="16"/>
          <w:szCs w:val="16"/>
          <w:lang w:val="es-US"/>
        </w:rPr>
        <w:t>22</w:t>
      </w:r>
      <w:r w:rsidR="009A2353" w:rsidRPr="008A7BD7">
        <w:rPr>
          <w:rFonts w:ascii="Cambria" w:hAnsi="Cambria"/>
          <w:sz w:val="16"/>
          <w:szCs w:val="16"/>
          <w:lang w:val="es-US"/>
        </w:rPr>
        <w:t xml:space="preserve">, </w:t>
      </w:r>
      <w:r w:rsidRPr="008A7BD7">
        <w:rPr>
          <w:rFonts w:ascii="Cambria" w:hAnsi="Cambria"/>
          <w:sz w:val="16"/>
          <w:szCs w:val="16"/>
          <w:lang w:val="es-US"/>
        </w:rPr>
        <w:t>2020.</w:t>
      </w:r>
    </w:p>
  </w:footnote>
  <w:footnote w:id="9">
    <w:p w14:paraId="13C9D3EA" w14:textId="6457FF05" w:rsidR="002139E1" w:rsidRPr="008A7BD7" w:rsidRDefault="002139E1"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D10630" w:rsidRPr="008A7BD7">
        <w:rPr>
          <w:rFonts w:ascii="Cambria" w:hAnsi="Cambria"/>
          <w:sz w:val="16"/>
          <w:szCs w:val="16"/>
        </w:rPr>
        <w:t>IACHR, Annual Report 2020</w:t>
      </w:r>
      <w:r w:rsidRPr="008A7BD7">
        <w:rPr>
          <w:rFonts w:ascii="Cambria" w:hAnsi="Cambria"/>
          <w:sz w:val="16"/>
          <w:szCs w:val="16"/>
        </w:rPr>
        <w:t xml:space="preserve">, </w:t>
      </w:r>
      <w:hyperlink r:id="rId10" w:history="1">
        <w:r w:rsidRPr="008A7BD7">
          <w:rPr>
            <w:rStyle w:val="Hyperlink"/>
            <w:rFonts w:ascii="Cambria" w:hAnsi="Cambria"/>
            <w:sz w:val="16"/>
            <w:szCs w:val="16"/>
          </w:rPr>
          <w:t>C</w:t>
        </w:r>
        <w:r w:rsidR="00D10630" w:rsidRPr="008A7BD7">
          <w:rPr>
            <w:rStyle w:val="Hyperlink"/>
            <w:rFonts w:ascii="Cambria" w:hAnsi="Cambria"/>
            <w:sz w:val="16"/>
            <w:szCs w:val="16"/>
          </w:rPr>
          <w:t>hapter</w:t>
        </w:r>
        <w:r w:rsidRPr="008A7BD7">
          <w:rPr>
            <w:rStyle w:val="Hyperlink"/>
            <w:rFonts w:ascii="Cambria" w:hAnsi="Cambria"/>
            <w:sz w:val="16"/>
            <w:szCs w:val="16"/>
          </w:rPr>
          <w:t xml:space="preserve"> IV.A, </w:t>
        </w:r>
        <w:r w:rsidR="00D10630" w:rsidRPr="008A7BD7">
          <w:rPr>
            <w:rStyle w:val="Hyperlink"/>
            <w:rFonts w:ascii="Cambria" w:hAnsi="Cambria"/>
            <w:sz w:val="16"/>
            <w:szCs w:val="16"/>
          </w:rPr>
          <w:t>Human Rights Development in the Region</w:t>
        </w:r>
      </w:hyperlink>
      <w:r w:rsidR="00D10630" w:rsidRPr="008A7BD7">
        <w:rPr>
          <w:rFonts w:ascii="Cambria" w:hAnsi="Cambria"/>
          <w:sz w:val="16"/>
          <w:szCs w:val="16"/>
        </w:rPr>
        <w:t>, par</w:t>
      </w:r>
      <w:r w:rsidR="00972E05" w:rsidRPr="008A7BD7">
        <w:rPr>
          <w:rFonts w:ascii="Cambria" w:hAnsi="Cambria"/>
          <w:sz w:val="16"/>
          <w:szCs w:val="16"/>
        </w:rPr>
        <w:t>. 385</w:t>
      </w:r>
      <w:r w:rsidRPr="008A7BD7">
        <w:rPr>
          <w:rFonts w:ascii="Cambria" w:hAnsi="Cambria"/>
          <w:sz w:val="16"/>
          <w:szCs w:val="16"/>
        </w:rPr>
        <w:t>.</w:t>
      </w:r>
    </w:p>
  </w:footnote>
  <w:footnote w:id="10">
    <w:p w14:paraId="1C799804" w14:textId="3AE7C76E" w:rsidR="00814F23" w:rsidRPr="008A7BD7" w:rsidRDefault="00814F23"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E757CC" w:rsidRPr="008A7BD7">
        <w:rPr>
          <w:rFonts w:ascii="Cambria" w:hAnsi="Cambria"/>
          <w:sz w:val="16"/>
          <w:szCs w:val="16"/>
        </w:rPr>
        <w:t>OAS, Press Release E</w:t>
      </w:r>
      <w:r w:rsidRPr="008A7BD7">
        <w:rPr>
          <w:rFonts w:ascii="Cambria" w:hAnsi="Cambria"/>
          <w:sz w:val="16"/>
          <w:szCs w:val="16"/>
        </w:rPr>
        <w:t xml:space="preserve">-199/2020, </w:t>
      </w:r>
      <w:hyperlink r:id="rId11" w:history="1">
        <w:r w:rsidR="00E757CC" w:rsidRPr="008A7BD7">
          <w:rPr>
            <w:rStyle w:val="Hyperlink"/>
            <w:rFonts w:ascii="Cambria" w:hAnsi="Cambria"/>
            <w:sz w:val="16"/>
            <w:szCs w:val="16"/>
          </w:rPr>
          <w:t>Statement from the OAS General Secretariat on Sending of a Mission to Guatemala</w:t>
        </w:r>
      </w:hyperlink>
      <w:r w:rsidR="00E757CC" w:rsidRPr="008A7BD7">
        <w:rPr>
          <w:rFonts w:ascii="Cambria" w:hAnsi="Cambria"/>
          <w:sz w:val="16"/>
          <w:szCs w:val="16"/>
        </w:rPr>
        <w:t>, November 26,</w:t>
      </w:r>
      <w:r w:rsidR="00E757CC" w:rsidRPr="008A7BD7">
        <w:t xml:space="preserve"> </w:t>
      </w:r>
      <w:r w:rsidRPr="008A7BD7">
        <w:rPr>
          <w:rFonts w:ascii="Cambria" w:hAnsi="Cambria"/>
          <w:sz w:val="16"/>
          <w:szCs w:val="16"/>
        </w:rPr>
        <w:t xml:space="preserve">2020. </w:t>
      </w:r>
    </w:p>
  </w:footnote>
  <w:footnote w:id="11">
    <w:p w14:paraId="0B39756D" w14:textId="475F2322" w:rsidR="002139E1" w:rsidRPr="008A7BD7" w:rsidRDefault="002139E1"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00E757CC" w:rsidRPr="008A7BD7">
        <w:rPr>
          <w:rFonts w:ascii="Cambria" w:hAnsi="Cambria"/>
          <w:sz w:val="16"/>
          <w:szCs w:val="16"/>
          <w:lang w:val="es-US"/>
        </w:rPr>
        <w:t>OAS</w:t>
      </w:r>
      <w:r w:rsidRPr="008A7BD7">
        <w:rPr>
          <w:rFonts w:ascii="Cambria" w:hAnsi="Cambria"/>
          <w:sz w:val="16"/>
          <w:szCs w:val="16"/>
          <w:lang w:val="es-US"/>
        </w:rPr>
        <w:t xml:space="preserve">, </w:t>
      </w:r>
      <w:hyperlink r:id="rId12" w:history="1">
        <w:r w:rsidRPr="008A7BD7">
          <w:rPr>
            <w:rStyle w:val="Hyperlink"/>
            <w:rFonts w:ascii="Cambria" w:hAnsi="Cambria"/>
            <w:i/>
            <w:iCs/>
            <w:sz w:val="16"/>
            <w:szCs w:val="16"/>
            <w:lang w:val="es-US"/>
          </w:rPr>
          <w:t>Informe de la Misión Especial de la Secretaría General de la Organización de los Estados Americanos en Guatemala</w:t>
        </w:r>
      </w:hyperlink>
      <w:r w:rsidRPr="008A7BD7">
        <w:rPr>
          <w:rFonts w:ascii="Cambria" w:hAnsi="Cambria"/>
          <w:sz w:val="16"/>
          <w:szCs w:val="16"/>
          <w:lang w:val="es-US"/>
        </w:rPr>
        <w:t xml:space="preserve">, </w:t>
      </w:r>
      <w:proofErr w:type="spellStart"/>
      <w:r w:rsidR="00E757CC" w:rsidRPr="008A7BD7">
        <w:rPr>
          <w:rFonts w:ascii="Cambria" w:hAnsi="Cambria"/>
          <w:sz w:val="16"/>
          <w:szCs w:val="16"/>
          <w:lang w:val="es-US"/>
        </w:rPr>
        <w:t>January</w:t>
      </w:r>
      <w:proofErr w:type="spellEnd"/>
      <w:r w:rsidR="00E757CC" w:rsidRPr="008A7BD7">
        <w:rPr>
          <w:rFonts w:ascii="Cambria" w:hAnsi="Cambria"/>
          <w:sz w:val="16"/>
          <w:szCs w:val="16"/>
          <w:lang w:val="es-US"/>
        </w:rPr>
        <w:t xml:space="preserve"> </w:t>
      </w:r>
      <w:r w:rsidRPr="008A7BD7">
        <w:rPr>
          <w:rFonts w:ascii="Cambria" w:hAnsi="Cambria"/>
          <w:sz w:val="16"/>
          <w:szCs w:val="16"/>
          <w:lang w:val="es-US"/>
        </w:rPr>
        <w:t>12</w:t>
      </w:r>
      <w:r w:rsidR="00E757CC" w:rsidRPr="008A7BD7">
        <w:rPr>
          <w:rFonts w:ascii="Cambria" w:hAnsi="Cambria"/>
          <w:sz w:val="16"/>
          <w:szCs w:val="16"/>
          <w:lang w:val="es-US"/>
        </w:rPr>
        <w:t xml:space="preserve">, </w:t>
      </w:r>
      <w:r w:rsidRPr="008A7BD7">
        <w:rPr>
          <w:rFonts w:ascii="Cambria" w:hAnsi="Cambria"/>
          <w:sz w:val="16"/>
          <w:szCs w:val="16"/>
          <w:lang w:val="es-US"/>
        </w:rPr>
        <w:t xml:space="preserve">2021. </w:t>
      </w:r>
    </w:p>
  </w:footnote>
  <w:footnote w:id="12">
    <w:p w14:paraId="6F73B684" w14:textId="0AB03BF8" w:rsidR="00C56230" w:rsidRPr="008A7BD7" w:rsidRDefault="00C56230" w:rsidP="00C56230">
      <w:pPr>
        <w:pStyle w:val="FootnoteText"/>
        <w:spacing w:after="120"/>
        <w:ind w:firstLine="720"/>
        <w:jc w:val="both"/>
        <w:rPr>
          <w:rFonts w:ascii="Cambria" w:eastAsia="Cambria" w:hAnsi="Cambria" w:cs="Cambria"/>
          <w:color w:val="000000"/>
          <w:sz w:val="16"/>
          <w:szCs w:val="16"/>
        </w:rPr>
      </w:pPr>
      <w:r w:rsidRPr="008A7BD7">
        <w:rPr>
          <w:rFonts w:ascii="Cambria" w:hAnsi="Cambria"/>
          <w:sz w:val="16"/>
          <w:szCs w:val="16"/>
          <w:vertAlign w:val="superscript"/>
          <w:lang w:val="es-MX"/>
        </w:rPr>
        <w:footnoteRef/>
      </w:r>
      <w:r w:rsidRPr="008A7BD7">
        <w:rPr>
          <w:rFonts w:ascii="Cambria" w:eastAsia="Cambria" w:hAnsi="Cambria" w:cs="Cambria"/>
          <w:color w:val="000000"/>
          <w:sz w:val="16"/>
          <w:szCs w:val="16"/>
        </w:rPr>
        <w:t xml:space="preserve"> </w:t>
      </w:r>
      <w:r w:rsidR="00421114" w:rsidRPr="008A7BD7">
        <w:rPr>
          <w:rFonts w:ascii="Cambria" w:hAnsi="Cambria"/>
          <w:sz w:val="16"/>
          <w:szCs w:val="16"/>
        </w:rPr>
        <w:t>Response from the State of</w:t>
      </w:r>
      <w:r w:rsidR="00421114" w:rsidRPr="008A7BD7">
        <w:rPr>
          <w:rFonts w:ascii="Cambria" w:eastAsia="Cambria" w:hAnsi="Cambria" w:cs="Cambria"/>
          <w:color w:val="000000"/>
          <w:sz w:val="16"/>
          <w:szCs w:val="16"/>
        </w:rPr>
        <w:t xml:space="preserve"> </w:t>
      </w:r>
      <w:r w:rsidRPr="008A7BD7">
        <w:rPr>
          <w:rFonts w:ascii="Cambria" w:eastAsia="Cambria" w:hAnsi="Cambria" w:cs="Cambria"/>
          <w:color w:val="000000"/>
          <w:sz w:val="16"/>
          <w:szCs w:val="16"/>
        </w:rPr>
        <w:t xml:space="preserve">Guatemala </w:t>
      </w:r>
      <w:r w:rsidR="00421114" w:rsidRPr="008A7BD7">
        <w:rPr>
          <w:rFonts w:ascii="Cambria" w:eastAsia="Cambria" w:hAnsi="Cambria" w:cs="Cambria"/>
          <w:color w:val="000000"/>
          <w:sz w:val="16"/>
          <w:szCs w:val="16"/>
        </w:rPr>
        <w:t xml:space="preserve">to the draft report on Guatemala from Chapter </w:t>
      </w:r>
      <w:r w:rsidRPr="008A7BD7">
        <w:rPr>
          <w:rFonts w:ascii="Cambria" w:eastAsia="Cambria" w:hAnsi="Cambria" w:cs="Cambria"/>
          <w:color w:val="000000"/>
          <w:sz w:val="16"/>
          <w:szCs w:val="16"/>
        </w:rPr>
        <w:t xml:space="preserve">IV.B </w:t>
      </w:r>
      <w:r w:rsidR="00421114" w:rsidRPr="008A7BD7">
        <w:rPr>
          <w:rFonts w:ascii="Cambria" w:eastAsia="Cambria" w:hAnsi="Cambria" w:cs="Cambria"/>
          <w:color w:val="000000"/>
          <w:sz w:val="16"/>
          <w:szCs w:val="16"/>
        </w:rPr>
        <w:t xml:space="preserve">of the Annual Report of the Inter-American Commission on Human Rights, Note from the Permanent Mission of </w:t>
      </w:r>
      <w:r w:rsidRPr="008A7BD7">
        <w:rPr>
          <w:rFonts w:ascii="Cambria" w:eastAsia="Cambria" w:hAnsi="Cambria" w:cs="Cambria"/>
          <w:color w:val="000000"/>
          <w:sz w:val="16"/>
          <w:szCs w:val="16"/>
        </w:rPr>
        <w:t xml:space="preserve">Guatemala </w:t>
      </w:r>
      <w:r w:rsidR="00421114" w:rsidRPr="008A7BD7">
        <w:rPr>
          <w:rFonts w:ascii="Cambria" w:eastAsia="Cambria" w:hAnsi="Cambria" w:cs="Cambria"/>
          <w:color w:val="000000"/>
          <w:sz w:val="16"/>
          <w:szCs w:val="16"/>
        </w:rPr>
        <w:t>to the Organization of American States (OAS),</w:t>
      </w:r>
      <w:r w:rsidRPr="008A7BD7">
        <w:rPr>
          <w:rFonts w:ascii="Cambria" w:eastAsia="Cambria" w:hAnsi="Cambria" w:cs="Cambria"/>
          <w:color w:val="000000"/>
          <w:sz w:val="16"/>
          <w:szCs w:val="16"/>
        </w:rPr>
        <w:t xml:space="preserve"> NV-</w:t>
      </w:r>
      <w:r w:rsidRPr="008A7BD7">
        <w:rPr>
          <w:rFonts w:ascii="Cambria" w:hAnsi="Cambria"/>
          <w:sz w:val="16"/>
          <w:szCs w:val="16"/>
        </w:rPr>
        <w:t>OEA</w:t>
      </w:r>
      <w:r w:rsidRPr="008A7BD7">
        <w:rPr>
          <w:rFonts w:ascii="Cambria" w:eastAsia="Cambria" w:hAnsi="Cambria" w:cs="Cambria"/>
          <w:color w:val="000000"/>
          <w:sz w:val="16"/>
          <w:szCs w:val="16"/>
        </w:rPr>
        <w:t xml:space="preserve">-M4-980-2021, </w:t>
      </w:r>
      <w:r w:rsidR="00421114" w:rsidRPr="008A7BD7">
        <w:rPr>
          <w:rFonts w:ascii="Cambria" w:eastAsia="Cambria" w:hAnsi="Cambria" w:cs="Cambria"/>
          <w:color w:val="000000"/>
          <w:sz w:val="16"/>
          <w:szCs w:val="16"/>
        </w:rPr>
        <w:t xml:space="preserve">December </w:t>
      </w:r>
      <w:r w:rsidRPr="008A7BD7">
        <w:rPr>
          <w:rFonts w:ascii="Cambria" w:eastAsia="Cambria" w:hAnsi="Cambria" w:cs="Cambria"/>
          <w:color w:val="000000"/>
          <w:sz w:val="16"/>
          <w:szCs w:val="16"/>
        </w:rPr>
        <w:t>22</w:t>
      </w:r>
      <w:r w:rsidR="00421114" w:rsidRPr="008A7BD7">
        <w:rPr>
          <w:rFonts w:ascii="Cambria" w:eastAsia="Cambria" w:hAnsi="Cambria" w:cs="Cambria"/>
          <w:color w:val="000000"/>
          <w:sz w:val="16"/>
          <w:szCs w:val="16"/>
        </w:rPr>
        <w:t xml:space="preserve">, </w:t>
      </w:r>
      <w:r w:rsidRPr="008A7BD7">
        <w:rPr>
          <w:rFonts w:ascii="Cambria" w:eastAsia="Cambria" w:hAnsi="Cambria" w:cs="Cambria"/>
          <w:color w:val="000000"/>
          <w:sz w:val="16"/>
          <w:szCs w:val="16"/>
        </w:rPr>
        <w:t xml:space="preserve">2021. </w:t>
      </w:r>
    </w:p>
  </w:footnote>
  <w:footnote w:id="13">
    <w:p w14:paraId="452DDDB0" w14:textId="49156146" w:rsidR="00C56230" w:rsidRPr="008A7BD7" w:rsidRDefault="00C56230" w:rsidP="00C56230">
      <w:pPr>
        <w:pStyle w:val="FootnoteText"/>
        <w:spacing w:after="120"/>
        <w:ind w:firstLine="720"/>
        <w:jc w:val="both"/>
        <w:rPr>
          <w:rFonts w:ascii="Cambria" w:eastAsia="Calibri" w:hAnsi="Cambria" w:cs="Times New Roman"/>
          <w:sz w:val="16"/>
          <w:szCs w:val="16"/>
          <w:lang w:eastAsia="es-ES"/>
        </w:rPr>
      </w:pPr>
      <w:r w:rsidRPr="008A7BD7">
        <w:rPr>
          <w:rStyle w:val="FootnoteReference"/>
          <w:rFonts w:ascii="Cambria" w:hAnsi="Cambria"/>
          <w:sz w:val="16"/>
          <w:szCs w:val="16"/>
        </w:rPr>
        <w:footnoteRef/>
      </w:r>
      <w:r w:rsidRPr="008A7BD7">
        <w:rPr>
          <w:rFonts w:ascii="Cambria" w:hAnsi="Cambria"/>
          <w:sz w:val="16"/>
          <w:szCs w:val="16"/>
        </w:rPr>
        <w:t xml:space="preserve"> </w:t>
      </w:r>
      <w:r w:rsidR="00CE7620" w:rsidRPr="008A7BD7">
        <w:rPr>
          <w:rFonts w:ascii="Cambria" w:hAnsi="Cambria"/>
          <w:sz w:val="16"/>
          <w:szCs w:val="16"/>
        </w:rPr>
        <w:t xml:space="preserve">In its communication, the Guatemalan State indicated that “the State’s concern essentially </w:t>
      </w:r>
      <w:r w:rsidR="00497F57" w:rsidRPr="008A7BD7">
        <w:rPr>
          <w:rFonts w:ascii="Cambria" w:hAnsi="Cambria"/>
          <w:sz w:val="16"/>
          <w:szCs w:val="16"/>
        </w:rPr>
        <w:t xml:space="preserve">stems </w:t>
      </w:r>
      <w:r w:rsidR="00CE7620" w:rsidRPr="008A7BD7">
        <w:rPr>
          <w:rFonts w:ascii="Cambria" w:hAnsi="Cambria"/>
          <w:sz w:val="16"/>
          <w:szCs w:val="16"/>
        </w:rPr>
        <w:t xml:space="preserve">from the fact that the actions, progress, achievements, and goals reached by Guatemala have been </w:t>
      </w:r>
      <w:r w:rsidR="00497F57" w:rsidRPr="008A7BD7">
        <w:rPr>
          <w:rFonts w:ascii="Cambria" w:hAnsi="Cambria"/>
          <w:sz w:val="16"/>
          <w:szCs w:val="16"/>
        </w:rPr>
        <w:t xml:space="preserve">rendered invisible, not only </w:t>
      </w:r>
      <w:r w:rsidR="006A79F9" w:rsidRPr="008A7BD7">
        <w:rPr>
          <w:rFonts w:ascii="Cambria" w:hAnsi="Cambria"/>
          <w:sz w:val="16"/>
          <w:szCs w:val="16"/>
        </w:rPr>
        <w:t>as pertains to the fight against</w:t>
      </w:r>
      <w:r w:rsidR="00497F57" w:rsidRPr="008A7BD7">
        <w:rPr>
          <w:rFonts w:ascii="Cambria" w:hAnsi="Cambria"/>
          <w:sz w:val="16"/>
          <w:szCs w:val="16"/>
        </w:rPr>
        <w:t xml:space="preserve"> corruption and impunity, but also the observance</w:t>
      </w:r>
      <w:r w:rsidR="006A79F9" w:rsidRPr="008A7BD7">
        <w:rPr>
          <w:rFonts w:ascii="Cambria" w:hAnsi="Cambria"/>
          <w:sz w:val="16"/>
          <w:szCs w:val="16"/>
        </w:rPr>
        <w:t xml:space="preserve"> and</w:t>
      </w:r>
      <w:r w:rsidR="00497F57" w:rsidRPr="008A7BD7">
        <w:rPr>
          <w:rFonts w:ascii="Cambria" w:hAnsi="Cambria"/>
          <w:sz w:val="16"/>
          <w:szCs w:val="16"/>
        </w:rPr>
        <w:t xml:space="preserve"> protection</w:t>
      </w:r>
      <w:r w:rsidR="006A79F9" w:rsidRPr="008A7BD7">
        <w:rPr>
          <w:rFonts w:ascii="Cambria" w:hAnsi="Cambria"/>
          <w:sz w:val="16"/>
          <w:szCs w:val="16"/>
        </w:rPr>
        <w:t xml:space="preserve"> of human rights</w:t>
      </w:r>
      <w:r w:rsidR="00497F57" w:rsidRPr="008A7BD7">
        <w:rPr>
          <w:rFonts w:ascii="Cambria" w:hAnsi="Cambria"/>
          <w:sz w:val="16"/>
          <w:szCs w:val="16"/>
        </w:rPr>
        <w:t xml:space="preserve"> and payment</w:t>
      </w:r>
      <w:r w:rsidR="006A79F9" w:rsidRPr="008A7BD7">
        <w:rPr>
          <w:rFonts w:ascii="Cambria" w:hAnsi="Cambria"/>
          <w:sz w:val="16"/>
          <w:szCs w:val="16"/>
        </w:rPr>
        <w:t>s</w:t>
      </w:r>
      <w:r w:rsidR="00497F57" w:rsidRPr="008A7BD7">
        <w:rPr>
          <w:rFonts w:ascii="Cambria" w:hAnsi="Cambria"/>
          <w:sz w:val="16"/>
          <w:szCs w:val="16"/>
        </w:rPr>
        <w:t xml:space="preserve"> of compensation</w:t>
      </w:r>
      <w:r w:rsidR="00D61D62" w:rsidRPr="008A7BD7">
        <w:rPr>
          <w:rFonts w:ascii="Cambria" w:hAnsi="Cambria"/>
          <w:sz w:val="16"/>
          <w:szCs w:val="16"/>
        </w:rPr>
        <w:t>. State actions and steps that translate in</w:t>
      </w:r>
      <w:r w:rsidR="007A7689" w:rsidRPr="008A7BD7">
        <w:rPr>
          <w:rFonts w:ascii="Cambria" w:hAnsi="Cambria"/>
          <w:sz w:val="16"/>
          <w:szCs w:val="16"/>
        </w:rPr>
        <w:t>to</w:t>
      </w:r>
      <w:r w:rsidR="00D61D62" w:rsidRPr="008A7BD7">
        <w:rPr>
          <w:rFonts w:ascii="Cambria" w:hAnsi="Cambria"/>
          <w:sz w:val="16"/>
          <w:szCs w:val="16"/>
        </w:rPr>
        <w:t xml:space="preserve"> the diligent work and efforts of public employees and officials, who </w:t>
      </w:r>
      <w:r w:rsidR="00F83E67" w:rsidRPr="008A7BD7">
        <w:rPr>
          <w:rFonts w:ascii="Cambria" w:hAnsi="Cambria"/>
          <w:sz w:val="16"/>
          <w:szCs w:val="16"/>
        </w:rPr>
        <w:t>champion</w:t>
      </w:r>
      <w:r w:rsidR="00D61D62" w:rsidRPr="008A7BD7">
        <w:rPr>
          <w:rFonts w:ascii="Cambria" w:hAnsi="Cambria"/>
          <w:sz w:val="16"/>
          <w:szCs w:val="16"/>
        </w:rPr>
        <w:t xml:space="preserve"> absolute respect for the content of the Constitution</w:t>
      </w:r>
      <w:r w:rsidR="00F83E67" w:rsidRPr="008A7BD7">
        <w:rPr>
          <w:rFonts w:ascii="Cambria" w:hAnsi="Cambria"/>
          <w:sz w:val="16"/>
          <w:szCs w:val="16"/>
        </w:rPr>
        <w:t xml:space="preserve"> of the Republic and the treaty framework in effect in the country</w:t>
      </w:r>
      <w:r w:rsidRPr="008A7BD7">
        <w:rPr>
          <w:rFonts w:ascii="Cambria" w:eastAsia="Calibri" w:hAnsi="Cambria" w:cs="Times New Roman"/>
          <w:sz w:val="16"/>
          <w:szCs w:val="16"/>
          <w:lang w:eastAsia="es-ES"/>
        </w:rPr>
        <w:t xml:space="preserve">. </w:t>
      </w:r>
      <w:r w:rsidR="007A7689" w:rsidRPr="008A7BD7">
        <w:rPr>
          <w:rFonts w:ascii="Cambria" w:eastAsia="Calibri" w:hAnsi="Cambria" w:cs="Times New Roman"/>
          <w:sz w:val="16"/>
          <w:szCs w:val="16"/>
          <w:lang w:eastAsia="es-ES"/>
        </w:rPr>
        <w:t xml:space="preserve">Moreover, there is no recognition of the investment and expenditures from the public treasury devoted to concrete programs and actions to safeguard the human rights of those who live in </w:t>
      </w:r>
      <w:r w:rsidR="00F65251" w:rsidRPr="008A7BD7">
        <w:rPr>
          <w:rFonts w:ascii="Cambria" w:eastAsia="Calibri" w:hAnsi="Cambria" w:cs="Times New Roman"/>
          <w:sz w:val="16"/>
          <w:szCs w:val="16"/>
          <w:lang w:eastAsia="es-ES"/>
        </w:rPr>
        <w:t>Guatemala</w:t>
      </w:r>
      <w:r w:rsidR="007A7689" w:rsidRPr="008A7BD7">
        <w:rPr>
          <w:rFonts w:ascii="Cambria" w:eastAsia="Calibri" w:hAnsi="Cambria" w:cs="Times New Roman"/>
          <w:sz w:val="16"/>
          <w:szCs w:val="16"/>
          <w:lang w:eastAsia="es-ES"/>
        </w:rPr>
        <w:t xml:space="preserve"> or</w:t>
      </w:r>
      <w:proofErr w:type="gramStart"/>
      <w:r w:rsidR="007A7689" w:rsidRPr="008A7BD7">
        <w:rPr>
          <w:rFonts w:ascii="Cambria" w:eastAsia="Calibri" w:hAnsi="Cambria" w:cs="Times New Roman"/>
          <w:sz w:val="16"/>
          <w:szCs w:val="16"/>
          <w:lang w:eastAsia="es-ES"/>
        </w:rPr>
        <w:t>, as the case may be, to</w:t>
      </w:r>
      <w:proofErr w:type="gramEnd"/>
      <w:r w:rsidR="007A7689" w:rsidRPr="008A7BD7">
        <w:rPr>
          <w:rFonts w:ascii="Cambria" w:eastAsia="Calibri" w:hAnsi="Cambria" w:cs="Times New Roman"/>
          <w:sz w:val="16"/>
          <w:szCs w:val="16"/>
          <w:lang w:eastAsia="es-ES"/>
        </w:rPr>
        <w:t xml:space="preserve"> provide </w:t>
      </w:r>
      <w:r w:rsidR="00046090" w:rsidRPr="008A7BD7">
        <w:rPr>
          <w:rFonts w:ascii="Cambria" w:eastAsia="Calibri" w:hAnsi="Cambria" w:cs="Times New Roman"/>
          <w:sz w:val="16"/>
          <w:szCs w:val="16"/>
          <w:lang w:eastAsia="es-ES"/>
        </w:rPr>
        <w:t xml:space="preserve">a </w:t>
      </w:r>
      <w:r w:rsidR="007A7689" w:rsidRPr="008A7BD7">
        <w:rPr>
          <w:rFonts w:ascii="Cambria" w:eastAsia="Calibri" w:hAnsi="Cambria" w:cs="Times New Roman"/>
          <w:sz w:val="16"/>
          <w:szCs w:val="16"/>
          <w:lang w:eastAsia="es-ES"/>
        </w:rPr>
        <w:t>decent</w:t>
      </w:r>
      <w:r w:rsidR="00046090" w:rsidRPr="008A7BD7">
        <w:rPr>
          <w:rFonts w:ascii="Cambria" w:eastAsia="Calibri" w:hAnsi="Cambria" w:cs="Times New Roman"/>
          <w:sz w:val="16"/>
          <w:szCs w:val="16"/>
          <w:lang w:eastAsia="es-ES"/>
        </w:rPr>
        <w:t xml:space="preserve"> remedy to persons whose fundamental rights have been violated.” </w:t>
      </w:r>
      <w:r w:rsidR="00046090" w:rsidRPr="008A7BD7">
        <w:rPr>
          <w:rFonts w:ascii="Cambria" w:hAnsi="Cambria"/>
          <w:sz w:val="16"/>
          <w:szCs w:val="16"/>
        </w:rPr>
        <w:t>Response from the State of</w:t>
      </w:r>
      <w:r w:rsidR="00046090"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046090" w:rsidRPr="008A7BD7">
        <w:rPr>
          <w:rFonts w:ascii="Cambria" w:hAnsi="Cambria"/>
          <w:sz w:val="16"/>
          <w:szCs w:val="16"/>
        </w:rPr>
        <w:t>OEA</w:t>
      </w:r>
      <w:r w:rsidR="00046090" w:rsidRPr="008A7BD7">
        <w:rPr>
          <w:rFonts w:ascii="Cambria" w:eastAsia="Cambria" w:hAnsi="Cambria" w:cs="Cambria"/>
          <w:color w:val="000000"/>
          <w:sz w:val="16"/>
          <w:szCs w:val="16"/>
        </w:rPr>
        <w:t>-M4-980-2021, December 22, 2021</w:t>
      </w:r>
      <w:r w:rsidRPr="008A7BD7">
        <w:rPr>
          <w:rFonts w:ascii="Cambria" w:eastAsia="Cambria" w:hAnsi="Cambria" w:cs="Cambria"/>
          <w:color w:val="000000"/>
          <w:sz w:val="16"/>
          <w:szCs w:val="16"/>
        </w:rPr>
        <w:t xml:space="preserve">, p. 2. </w:t>
      </w:r>
    </w:p>
  </w:footnote>
  <w:footnote w:id="14">
    <w:p w14:paraId="0B9E8CF8" w14:textId="13782667" w:rsidR="00C56230" w:rsidRPr="008A7BD7" w:rsidRDefault="00C56230" w:rsidP="00C56230">
      <w:pPr>
        <w:pStyle w:val="FootnoteText"/>
        <w:spacing w:after="120"/>
        <w:ind w:firstLine="720"/>
        <w:jc w:val="both"/>
        <w:rPr>
          <w:rFonts w:ascii="Cambria" w:eastAsia="Calibri" w:hAnsi="Cambria" w:cs="Times New Roman"/>
          <w:lang w:eastAsia="es-ES"/>
        </w:rPr>
      </w:pPr>
      <w:r w:rsidRPr="008A7BD7">
        <w:rPr>
          <w:rStyle w:val="FootnoteReference"/>
          <w:rFonts w:ascii="Cambria" w:hAnsi="Cambria"/>
          <w:sz w:val="16"/>
          <w:szCs w:val="16"/>
        </w:rPr>
        <w:footnoteRef/>
      </w:r>
      <w:r w:rsidRPr="008A7BD7">
        <w:rPr>
          <w:rFonts w:ascii="Cambria" w:hAnsi="Cambria"/>
          <w:sz w:val="16"/>
          <w:szCs w:val="16"/>
        </w:rPr>
        <w:t xml:space="preserve"> </w:t>
      </w:r>
      <w:r w:rsidR="00E81A03" w:rsidRPr="008A7BD7">
        <w:rPr>
          <w:rFonts w:ascii="Cambria" w:hAnsi="Cambria"/>
          <w:sz w:val="16"/>
          <w:szCs w:val="16"/>
        </w:rPr>
        <w:t>The State maintains that there is no basis for</w:t>
      </w:r>
      <w:r w:rsidR="00621FA5" w:rsidRPr="008A7BD7">
        <w:rPr>
          <w:rFonts w:ascii="Cambria" w:hAnsi="Cambria"/>
          <w:sz w:val="16"/>
          <w:szCs w:val="16"/>
        </w:rPr>
        <w:t xml:space="preserve"> the</w:t>
      </w:r>
      <w:r w:rsidR="00E81A03" w:rsidRPr="008A7BD7">
        <w:rPr>
          <w:rFonts w:ascii="Cambria" w:hAnsi="Cambria"/>
          <w:sz w:val="16"/>
          <w:szCs w:val="16"/>
        </w:rPr>
        <w:t xml:space="preserve"> potential</w:t>
      </w:r>
      <w:r w:rsidR="00621FA5" w:rsidRPr="008A7BD7">
        <w:rPr>
          <w:rFonts w:ascii="Cambria" w:hAnsi="Cambria"/>
          <w:sz w:val="16"/>
          <w:szCs w:val="16"/>
        </w:rPr>
        <w:t xml:space="preserve"> inclusion of</w:t>
      </w:r>
      <w:r w:rsidR="00E81A03" w:rsidRPr="008A7BD7">
        <w:rPr>
          <w:rFonts w:ascii="Cambria" w:hAnsi="Cambria"/>
          <w:sz w:val="16"/>
          <w:szCs w:val="16"/>
        </w:rPr>
        <w:t xml:space="preserve"> </w:t>
      </w:r>
      <w:r w:rsidRPr="008A7BD7">
        <w:rPr>
          <w:rFonts w:ascii="Cambria" w:eastAsia="Calibri" w:hAnsi="Cambria" w:cs="Times New Roman"/>
          <w:sz w:val="16"/>
          <w:szCs w:val="16"/>
          <w:lang w:eastAsia="es-ES"/>
        </w:rPr>
        <w:t xml:space="preserve">Guatemala </w:t>
      </w:r>
      <w:r w:rsidR="00E81A03" w:rsidRPr="008A7BD7">
        <w:rPr>
          <w:rFonts w:ascii="Cambria" w:eastAsia="Calibri" w:hAnsi="Cambria" w:cs="Times New Roman"/>
          <w:sz w:val="16"/>
          <w:szCs w:val="16"/>
          <w:lang w:eastAsia="es-ES"/>
        </w:rPr>
        <w:t>in Chapter</w:t>
      </w:r>
      <w:r w:rsidRPr="008A7BD7">
        <w:rPr>
          <w:rFonts w:ascii="Cambria" w:eastAsia="Calibri" w:hAnsi="Cambria" w:cs="Times New Roman"/>
          <w:sz w:val="16"/>
          <w:szCs w:val="16"/>
          <w:lang w:eastAsia="es-ES"/>
        </w:rPr>
        <w:t xml:space="preserve"> IV.B, </w:t>
      </w:r>
      <w:r w:rsidR="00E81A03" w:rsidRPr="008A7BD7">
        <w:rPr>
          <w:rFonts w:ascii="Cambria" w:eastAsia="Calibri" w:hAnsi="Cambria" w:cs="Times New Roman"/>
          <w:sz w:val="16"/>
          <w:szCs w:val="16"/>
          <w:lang w:eastAsia="es-ES"/>
        </w:rPr>
        <w:t xml:space="preserve">as </w:t>
      </w:r>
      <w:r w:rsidR="00621FA5" w:rsidRPr="008A7BD7">
        <w:rPr>
          <w:rFonts w:ascii="Cambria" w:eastAsia="Calibri" w:hAnsi="Cambria" w:cs="Times New Roman"/>
          <w:sz w:val="16"/>
          <w:szCs w:val="16"/>
          <w:lang w:eastAsia="es-ES"/>
        </w:rPr>
        <w:t xml:space="preserve">none of </w:t>
      </w:r>
      <w:r w:rsidR="00E81A03" w:rsidRPr="008A7BD7">
        <w:rPr>
          <w:rFonts w:ascii="Cambria" w:eastAsia="Calibri" w:hAnsi="Cambria" w:cs="Times New Roman"/>
          <w:sz w:val="16"/>
          <w:szCs w:val="16"/>
          <w:lang w:eastAsia="es-ES"/>
        </w:rPr>
        <w:t>the criteria established in Article 59(6) of the Rules of Procedure of the Inter-American Commission on Human Rights have been met</w:t>
      </w:r>
      <w:r w:rsidR="00717B61" w:rsidRPr="008A7BD7">
        <w:rPr>
          <w:rFonts w:ascii="Cambria" w:eastAsia="Calibri" w:hAnsi="Cambria" w:cs="Times New Roman"/>
          <w:sz w:val="16"/>
          <w:szCs w:val="16"/>
          <w:lang w:eastAsia="es-ES"/>
        </w:rPr>
        <w:t>. It noted that</w:t>
      </w:r>
      <w:r w:rsidRPr="008A7BD7">
        <w:rPr>
          <w:rFonts w:ascii="Cambria" w:eastAsia="Calibri" w:hAnsi="Cambria" w:cs="Times New Roman"/>
          <w:sz w:val="16"/>
          <w:szCs w:val="16"/>
          <w:lang w:eastAsia="es-ES"/>
        </w:rPr>
        <w:t xml:space="preserve">: </w:t>
      </w:r>
      <w:r w:rsidR="00E81A03" w:rsidRPr="008A7BD7">
        <w:rPr>
          <w:rFonts w:ascii="Cambria" w:eastAsia="Calibri" w:hAnsi="Cambria" w:cs="Times New Roman"/>
          <w:sz w:val="16"/>
          <w:szCs w:val="16"/>
          <w:lang w:eastAsia="es-ES"/>
        </w:rPr>
        <w:t>(</w:t>
      </w:r>
      <w:r w:rsidRPr="008A7BD7">
        <w:rPr>
          <w:rFonts w:ascii="Cambria" w:eastAsia="Calibri" w:hAnsi="Cambria" w:cs="Times New Roman"/>
          <w:sz w:val="16"/>
          <w:szCs w:val="16"/>
          <w:lang w:eastAsia="es-ES"/>
        </w:rPr>
        <w:t>a</w:t>
      </w:r>
      <w:r w:rsidR="00E81A03" w:rsidRPr="008A7BD7">
        <w:rPr>
          <w:rFonts w:ascii="Cambria" w:eastAsia="Calibri" w:hAnsi="Cambria" w:cs="Times New Roman"/>
          <w:sz w:val="16"/>
          <w:szCs w:val="16"/>
          <w:lang w:eastAsia="es-ES"/>
        </w:rPr>
        <w:t xml:space="preserve">) Guatemala’s democratic institutional framework is intact, with the general elections to choose the President of the Republic of Guatemala, </w:t>
      </w:r>
      <w:r w:rsidR="00621FA5" w:rsidRPr="008A7BD7">
        <w:rPr>
          <w:rFonts w:ascii="Cambria" w:eastAsia="Calibri" w:hAnsi="Cambria" w:cs="Times New Roman"/>
          <w:sz w:val="16"/>
          <w:szCs w:val="16"/>
          <w:lang w:eastAsia="es-ES"/>
        </w:rPr>
        <w:t>representatives</w:t>
      </w:r>
      <w:r w:rsidR="00E81A03" w:rsidRPr="008A7BD7">
        <w:rPr>
          <w:rFonts w:ascii="Cambria" w:eastAsia="Calibri" w:hAnsi="Cambria" w:cs="Times New Roman"/>
          <w:sz w:val="16"/>
          <w:szCs w:val="16"/>
          <w:lang w:eastAsia="es-ES"/>
        </w:rPr>
        <w:t xml:space="preserve"> of Congress, and mayors held in 2019</w:t>
      </w:r>
      <w:r w:rsidR="00717B61" w:rsidRPr="008A7BD7">
        <w:rPr>
          <w:rFonts w:ascii="Cambria" w:eastAsia="Calibri" w:hAnsi="Cambria" w:cs="Times New Roman"/>
          <w:sz w:val="16"/>
          <w:szCs w:val="16"/>
          <w:lang w:eastAsia="es-ES"/>
        </w:rPr>
        <w:t>,</w:t>
      </w:r>
      <w:r w:rsidR="00E81A03" w:rsidRPr="008A7BD7">
        <w:rPr>
          <w:rFonts w:ascii="Cambria" w:eastAsia="Calibri" w:hAnsi="Cambria" w:cs="Times New Roman"/>
          <w:sz w:val="16"/>
          <w:szCs w:val="16"/>
          <w:lang w:eastAsia="es-ES"/>
        </w:rPr>
        <w:t xml:space="preserve"> as established in the Constitution of the Republic of</w:t>
      </w:r>
      <w:r w:rsidRPr="008A7BD7">
        <w:rPr>
          <w:rFonts w:ascii="Cambria" w:eastAsia="Calibri" w:hAnsi="Cambria" w:cs="Times New Roman"/>
          <w:sz w:val="16"/>
          <w:szCs w:val="16"/>
          <w:lang w:eastAsia="es-ES"/>
        </w:rPr>
        <w:t xml:space="preserve"> Guatemala</w:t>
      </w:r>
      <w:r w:rsidR="00E81A03" w:rsidRPr="008A7BD7">
        <w:rPr>
          <w:rFonts w:ascii="Cambria" w:eastAsia="Calibri" w:hAnsi="Cambria" w:cs="Times New Roman"/>
          <w:sz w:val="16"/>
          <w:szCs w:val="16"/>
          <w:lang w:eastAsia="es-ES"/>
        </w:rPr>
        <w:t xml:space="preserve">, </w:t>
      </w:r>
      <w:r w:rsidR="00717B61" w:rsidRPr="008A7BD7">
        <w:rPr>
          <w:rFonts w:ascii="Cambria" w:eastAsia="Calibri" w:hAnsi="Cambria" w:cs="Times New Roman"/>
          <w:sz w:val="16"/>
          <w:szCs w:val="16"/>
          <w:lang w:eastAsia="es-ES"/>
        </w:rPr>
        <w:t>through a</w:t>
      </w:r>
      <w:r w:rsidR="00E81A03" w:rsidRPr="008A7BD7">
        <w:rPr>
          <w:rFonts w:ascii="Cambria" w:eastAsia="Calibri" w:hAnsi="Cambria" w:cs="Times New Roman"/>
          <w:sz w:val="16"/>
          <w:szCs w:val="16"/>
          <w:lang w:eastAsia="es-ES"/>
        </w:rPr>
        <w:t xml:space="preserve"> process</w:t>
      </w:r>
      <w:r w:rsidR="00717B61" w:rsidRPr="008A7BD7">
        <w:rPr>
          <w:rFonts w:ascii="Cambria" w:eastAsia="Calibri" w:hAnsi="Cambria" w:cs="Times New Roman"/>
          <w:sz w:val="16"/>
          <w:szCs w:val="16"/>
          <w:lang w:eastAsia="es-ES"/>
        </w:rPr>
        <w:t xml:space="preserve"> </w:t>
      </w:r>
      <w:r w:rsidR="00E81A03" w:rsidRPr="008A7BD7">
        <w:rPr>
          <w:rFonts w:ascii="Cambria" w:eastAsia="Calibri" w:hAnsi="Cambria" w:cs="Times New Roman"/>
          <w:sz w:val="16"/>
          <w:szCs w:val="16"/>
          <w:lang w:eastAsia="es-ES"/>
        </w:rPr>
        <w:t xml:space="preserve">carried out in regular </w:t>
      </w:r>
      <w:r w:rsidR="00717B61" w:rsidRPr="008A7BD7">
        <w:rPr>
          <w:rFonts w:ascii="Cambria" w:eastAsia="Calibri" w:hAnsi="Cambria" w:cs="Times New Roman"/>
          <w:sz w:val="16"/>
          <w:szCs w:val="16"/>
          <w:lang w:eastAsia="es-ES"/>
        </w:rPr>
        <w:t>fashion</w:t>
      </w:r>
      <w:r w:rsidR="00E81A03" w:rsidRPr="008A7BD7">
        <w:rPr>
          <w:rFonts w:ascii="Cambria" w:eastAsia="Calibri" w:hAnsi="Cambria" w:cs="Times New Roman"/>
          <w:sz w:val="16"/>
          <w:szCs w:val="16"/>
          <w:lang w:eastAsia="es-ES"/>
        </w:rPr>
        <w:t xml:space="preserve"> by the Supreme Electoral Tribunal of </w:t>
      </w:r>
      <w:r w:rsidRPr="008A7BD7">
        <w:rPr>
          <w:rFonts w:ascii="Cambria" w:eastAsia="Calibri" w:hAnsi="Cambria" w:cs="Times New Roman"/>
          <w:sz w:val="16"/>
          <w:szCs w:val="16"/>
          <w:lang w:eastAsia="es-ES"/>
        </w:rPr>
        <w:t xml:space="preserve">Guatemala; </w:t>
      </w:r>
      <w:r w:rsidR="00E81A03" w:rsidRPr="008A7BD7">
        <w:rPr>
          <w:rFonts w:ascii="Cambria" w:eastAsia="Calibri" w:hAnsi="Cambria" w:cs="Times New Roman"/>
          <w:sz w:val="16"/>
          <w:szCs w:val="16"/>
          <w:lang w:eastAsia="es-ES"/>
        </w:rPr>
        <w:t>(</w:t>
      </w:r>
      <w:r w:rsidRPr="008A7BD7">
        <w:rPr>
          <w:rFonts w:ascii="Cambria" w:eastAsia="Calibri" w:hAnsi="Cambria" w:cs="Times New Roman"/>
          <w:sz w:val="16"/>
          <w:szCs w:val="16"/>
          <w:lang w:eastAsia="es-ES"/>
        </w:rPr>
        <w:t>b</w:t>
      </w:r>
      <w:r w:rsidR="00E81A03" w:rsidRPr="008A7BD7">
        <w:rPr>
          <w:rFonts w:ascii="Cambria" w:eastAsia="Calibri" w:hAnsi="Cambria" w:cs="Times New Roman"/>
          <w:sz w:val="16"/>
          <w:szCs w:val="16"/>
          <w:lang w:eastAsia="es-ES"/>
        </w:rPr>
        <w:t xml:space="preserve">) The State of </w:t>
      </w:r>
      <w:r w:rsidRPr="008A7BD7">
        <w:rPr>
          <w:rFonts w:ascii="Cambria" w:eastAsia="Calibri" w:hAnsi="Cambria" w:cs="Times New Roman"/>
          <w:sz w:val="16"/>
          <w:szCs w:val="16"/>
          <w:lang w:eastAsia="es-ES"/>
        </w:rPr>
        <w:t xml:space="preserve">Guatemala, </w:t>
      </w:r>
      <w:r w:rsidR="00717B61" w:rsidRPr="008A7BD7">
        <w:rPr>
          <w:rFonts w:ascii="Cambria" w:eastAsia="Calibri" w:hAnsi="Cambria" w:cs="Times New Roman"/>
          <w:sz w:val="16"/>
          <w:szCs w:val="16"/>
          <w:lang w:eastAsia="es-ES"/>
        </w:rPr>
        <w:t>as established in its constitutional legal framework, is organized to guarantee human rights</w:t>
      </w:r>
      <w:r w:rsidRPr="008A7BD7">
        <w:rPr>
          <w:rFonts w:ascii="Cambria" w:eastAsia="Calibri" w:hAnsi="Cambria" w:cs="Times New Roman"/>
          <w:sz w:val="16"/>
          <w:szCs w:val="16"/>
          <w:lang w:eastAsia="es-ES"/>
        </w:rPr>
        <w:t xml:space="preserve">; </w:t>
      </w:r>
      <w:r w:rsidR="00717B61" w:rsidRPr="008A7BD7">
        <w:rPr>
          <w:rFonts w:ascii="Cambria" w:eastAsia="Calibri" w:hAnsi="Cambria" w:cs="Times New Roman"/>
          <w:sz w:val="16"/>
          <w:szCs w:val="16"/>
          <w:lang w:eastAsia="es-ES"/>
        </w:rPr>
        <w:t>(</w:t>
      </w:r>
      <w:r w:rsidRPr="008A7BD7">
        <w:rPr>
          <w:rFonts w:ascii="Cambria" w:eastAsia="Calibri" w:hAnsi="Cambria" w:cs="Times New Roman"/>
          <w:sz w:val="16"/>
          <w:szCs w:val="16"/>
          <w:lang w:eastAsia="es-ES"/>
        </w:rPr>
        <w:t>c</w:t>
      </w:r>
      <w:r w:rsidR="00717B61" w:rsidRPr="008A7BD7">
        <w:rPr>
          <w:rFonts w:ascii="Cambria" w:eastAsia="Calibri" w:hAnsi="Cambria" w:cs="Times New Roman"/>
          <w:sz w:val="16"/>
          <w:szCs w:val="16"/>
          <w:lang w:eastAsia="es-ES"/>
        </w:rPr>
        <w:t xml:space="preserve">) The exercise of power in the State of </w:t>
      </w:r>
      <w:r w:rsidRPr="008A7BD7">
        <w:rPr>
          <w:rFonts w:ascii="Cambria" w:eastAsia="Calibri" w:hAnsi="Cambria" w:cs="Times New Roman"/>
          <w:sz w:val="16"/>
          <w:szCs w:val="16"/>
          <w:lang w:eastAsia="es-ES"/>
        </w:rPr>
        <w:t xml:space="preserve">Guatemala </w:t>
      </w:r>
      <w:r w:rsidR="00717B61" w:rsidRPr="008A7BD7">
        <w:rPr>
          <w:rFonts w:ascii="Cambria" w:eastAsia="Calibri" w:hAnsi="Cambria" w:cs="Times New Roman"/>
          <w:sz w:val="16"/>
          <w:szCs w:val="16"/>
          <w:lang w:eastAsia="es-ES"/>
        </w:rPr>
        <w:t>takes place in a context of adherence to the law and respect for due process</w:t>
      </w:r>
      <w:r w:rsidRPr="008A7BD7">
        <w:rPr>
          <w:rFonts w:ascii="Cambria" w:eastAsia="Calibri" w:hAnsi="Cambria" w:cs="Times New Roman"/>
          <w:sz w:val="16"/>
          <w:szCs w:val="16"/>
          <w:lang w:eastAsia="es-ES"/>
        </w:rPr>
        <w:t xml:space="preserve">; </w:t>
      </w:r>
      <w:r w:rsidR="00717B61" w:rsidRPr="008A7BD7">
        <w:rPr>
          <w:rFonts w:ascii="Cambria" w:eastAsia="Calibri" w:hAnsi="Cambria" w:cs="Times New Roman"/>
          <w:sz w:val="16"/>
          <w:szCs w:val="16"/>
          <w:lang w:eastAsia="es-ES"/>
        </w:rPr>
        <w:t>(</w:t>
      </w:r>
      <w:r w:rsidRPr="008A7BD7">
        <w:rPr>
          <w:rFonts w:ascii="Cambria" w:eastAsia="Calibri" w:hAnsi="Cambria" w:cs="Times New Roman"/>
          <w:sz w:val="16"/>
          <w:szCs w:val="16"/>
          <w:lang w:eastAsia="es-ES"/>
        </w:rPr>
        <w:t>d</w:t>
      </w:r>
      <w:r w:rsidR="00717B61" w:rsidRPr="008A7BD7">
        <w:rPr>
          <w:rFonts w:ascii="Cambria" w:eastAsia="Calibri" w:hAnsi="Cambria" w:cs="Times New Roman"/>
          <w:sz w:val="16"/>
          <w:szCs w:val="16"/>
          <w:lang w:eastAsia="es-ES"/>
        </w:rPr>
        <w:t>) Judicial independence is respected</w:t>
      </w:r>
      <w:r w:rsidR="008F5A1B" w:rsidRPr="008A7BD7">
        <w:rPr>
          <w:rFonts w:ascii="Cambria" w:eastAsia="Calibri" w:hAnsi="Cambria" w:cs="Times New Roman"/>
          <w:sz w:val="16"/>
          <w:szCs w:val="16"/>
          <w:lang w:eastAsia="es-ES"/>
        </w:rPr>
        <w:t>,</w:t>
      </w:r>
      <w:r w:rsidR="00717B61" w:rsidRPr="008A7BD7">
        <w:rPr>
          <w:rFonts w:ascii="Cambria" w:eastAsia="Calibri" w:hAnsi="Cambria" w:cs="Times New Roman"/>
          <w:sz w:val="16"/>
          <w:szCs w:val="16"/>
          <w:lang w:eastAsia="es-ES"/>
        </w:rPr>
        <w:t xml:space="preserve"> and the constitutional standard prohibiting </w:t>
      </w:r>
      <w:r w:rsidR="008F5A1B" w:rsidRPr="008A7BD7">
        <w:rPr>
          <w:rFonts w:ascii="Cambria" w:eastAsia="Calibri" w:hAnsi="Cambria" w:cs="Times New Roman"/>
          <w:sz w:val="16"/>
          <w:szCs w:val="16"/>
          <w:lang w:eastAsia="es-ES"/>
        </w:rPr>
        <w:t>the subordination of branches of government to each other is followed</w:t>
      </w:r>
      <w:r w:rsidRPr="008A7BD7">
        <w:rPr>
          <w:rFonts w:ascii="Cambria" w:eastAsia="Calibri" w:hAnsi="Cambria" w:cs="Times New Roman"/>
          <w:sz w:val="16"/>
          <w:szCs w:val="16"/>
          <w:lang w:eastAsia="es-ES"/>
        </w:rPr>
        <w:t xml:space="preserve">; </w:t>
      </w:r>
      <w:r w:rsidR="008F5A1B" w:rsidRPr="008A7BD7">
        <w:rPr>
          <w:rFonts w:ascii="Cambria" w:eastAsia="Calibri" w:hAnsi="Cambria" w:cs="Times New Roman"/>
          <w:sz w:val="16"/>
          <w:szCs w:val="16"/>
          <w:lang w:eastAsia="es-ES"/>
        </w:rPr>
        <w:t>(</w:t>
      </w:r>
      <w:r w:rsidRPr="008A7BD7">
        <w:rPr>
          <w:rFonts w:ascii="Cambria" w:eastAsia="Calibri" w:hAnsi="Cambria" w:cs="Times New Roman"/>
          <w:sz w:val="16"/>
          <w:szCs w:val="16"/>
          <w:lang w:eastAsia="es-ES"/>
        </w:rPr>
        <w:t>e</w:t>
      </w:r>
      <w:r w:rsidR="008F5A1B" w:rsidRPr="008A7BD7">
        <w:rPr>
          <w:rFonts w:ascii="Cambria" w:eastAsia="Calibri" w:hAnsi="Cambria" w:cs="Times New Roman"/>
          <w:sz w:val="16"/>
          <w:szCs w:val="16"/>
          <w:lang w:eastAsia="es-ES"/>
        </w:rPr>
        <w:t>)</w:t>
      </w:r>
      <w:r w:rsidRPr="008A7BD7">
        <w:rPr>
          <w:rFonts w:ascii="Cambria" w:eastAsia="Calibri" w:hAnsi="Cambria" w:cs="Times New Roman"/>
          <w:sz w:val="16"/>
          <w:szCs w:val="16"/>
          <w:lang w:eastAsia="es-ES"/>
        </w:rPr>
        <w:t xml:space="preserve"> </w:t>
      </w:r>
      <w:r w:rsidR="008F5A1B" w:rsidRPr="008A7BD7">
        <w:rPr>
          <w:rFonts w:ascii="Cambria" w:eastAsia="Calibri" w:hAnsi="Cambria" w:cs="Times New Roman"/>
          <w:sz w:val="16"/>
          <w:szCs w:val="16"/>
          <w:lang w:eastAsia="es-ES"/>
        </w:rPr>
        <w:t xml:space="preserve">The State of </w:t>
      </w:r>
      <w:r w:rsidRPr="008A7BD7">
        <w:rPr>
          <w:rFonts w:ascii="Cambria" w:eastAsia="Calibri" w:hAnsi="Cambria" w:cs="Times New Roman"/>
          <w:sz w:val="16"/>
          <w:szCs w:val="16"/>
          <w:lang w:eastAsia="es-ES"/>
        </w:rPr>
        <w:t xml:space="preserve">Guatemala </w:t>
      </w:r>
      <w:r w:rsidR="008F5A1B" w:rsidRPr="008A7BD7">
        <w:rPr>
          <w:rFonts w:ascii="Cambria" w:eastAsia="Calibri" w:hAnsi="Cambria" w:cs="Times New Roman"/>
          <w:sz w:val="16"/>
          <w:szCs w:val="16"/>
          <w:lang w:eastAsia="es-ES"/>
        </w:rPr>
        <w:t xml:space="preserve">has guaranteed the free exercise of the rights contained in the Constitution of the Republic of </w:t>
      </w:r>
      <w:r w:rsidRPr="008A7BD7">
        <w:rPr>
          <w:rFonts w:ascii="Cambria" w:eastAsia="Calibri" w:hAnsi="Cambria" w:cs="Times New Roman"/>
          <w:sz w:val="16"/>
          <w:szCs w:val="16"/>
          <w:lang w:eastAsia="es-ES"/>
        </w:rPr>
        <w:t xml:space="preserve">Guatemala, </w:t>
      </w:r>
      <w:r w:rsidR="008F5A1B" w:rsidRPr="008A7BD7">
        <w:rPr>
          <w:rFonts w:ascii="Cambria" w:eastAsia="Calibri" w:hAnsi="Cambria" w:cs="Times New Roman"/>
          <w:sz w:val="16"/>
          <w:szCs w:val="16"/>
          <w:lang w:eastAsia="es-ES"/>
        </w:rPr>
        <w:t>as well as in the American Declaration, the American Convention, and other treaties on these matters; (</w:t>
      </w:r>
      <w:r w:rsidRPr="008A7BD7">
        <w:rPr>
          <w:rFonts w:ascii="Cambria" w:eastAsia="Calibri" w:hAnsi="Cambria" w:cs="Times New Roman"/>
          <w:sz w:val="16"/>
          <w:szCs w:val="16"/>
          <w:lang w:eastAsia="es-ES"/>
        </w:rPr>
        <w:t>f</w:t>
      </w:r>
      <w:r w:rsidR="008F5A1B" w:rsidRPr="008A7BD7">
        <w:rPr>
          <w:rFonts w:ascii="Cambria" w:eastAsia="Calibri" w:hAnsi="Cambria" w:cs="Times New Roman"/>
          <w:sz w:val="16"/>
          <w:szCs w:val="16"/>
          <w:lang w:eastAsia="es-ES"/>
        </w:rPr>
        <w:t xml:space="preserve">) Exceptional measures such as the declaration of a state of emergency, </w:t>
      </w:r>
      <w:r w:rsidR="00621FA5" w:rsidRPr="008A7BD7">
        <w:rPr>
          <w:rFonts w:ascii="Cambria" w:eastAsia="Calibri" w:hAnsi="Cambria" w:cs="Times New Roman"/>
          <w:sz w:val="16"/>
          <w:szCs w:val="16"/>
          <w:lang w:eastAsia="es-ES"/>
        </w:rPr>
        <w:t xml:space="preserve">a </w:t>
      </w:r>
      <w:r w:rsidR="008F5A1B" w:rsidRPr="008A7BD7">
        <w:rPr>
          <w:rFonts w:ascii="Cambria" w:eastAsia="Calibri" w:hAnsi="Cambria" w:cs="Times New Roman"/>
          <w:sz w:val="16"/>
          <w:szCs w:val="16"/>
          <w:lang w:eastAsia="es-ES"/>
        </w:rPr>
        <w:t xml:space="preserve">state of siege, and the suspension of constitutional guarantees, or special security measures, </w:t>
      </w:r>
      <w:r w:rsidR="004667DF" w:rsidRPr="008A7BD7">
        <w:rPr>
          <w:rFonts w:ascii="Cambria" w:eastAsia="Calibri" w:hAnsi="Cambria" w:cs="Times New Roman"/>
          <w:sz w:val="16"/>
          <w:szCs w:val="16"/>
          <w:lang w:eastAsia="es-ES"/>
        </w:rPr>
        <w:t>have been imposed in the</w:t>
      </w:r>
      <w:r w:rsidRPr="008A7BD7">
        <w:rPr>
          <w:rFonts w:ascii="Cambria" w:eastAsia="Calibri" w:hAnsi="Cambria" w:cs="Times New Roman"/>
          <w:sz w:val="16"/>
          <w:szCs w:val="16"/>
          <w:lang w:eastAsia="es-ES"/>
        </w:rPr>
        <w:t xml:space="preserve"> </w:t>
      </w:r>
      <w:r w:rsidR="004667DF" w:rsidRPr="008A7BD7">
        <w:rPr>
          <w:rFonts w:ascii="Cambria" w:eastAsia="Calibri" w:hAnsi="Cambria" w:cs="Times New Roman"/>
          <w:sz w:val="16"/>
          <w:szCs w:val="16"/>
          <w:lang w:eastAsia="es-ES"/>
        </w:rPr>
        <w:t xml:space="preserve">context of containing the </w:t>
      </w:r>
      <w:r w:rsidRPr="008A7BD7">
        <w:rPr>
          <w:rFonts w:ascii="Cambria" w:eastAsia="Calibri" w:hAnsi="Cambria" w:cs="Times New Roman"/>
          <w:sz w:val="16"/>
          <w:szCs w:val="16"/>
          <w:lang w:eastAsia="es-ES"/>
        </w:rPr>
        <w:t>COVID-19</w:t>
      </w:r>
      <w:r w:rsidR="004667DF" w:rsidRPr="008A7BD7">
        <w:rPr>
          <w:rFonts w:ascii="Cambria" w:eastAsia="Calibri" w:hAnsi="Cambria" w:cs="Times New Roman"/>
          <w:sz w:val="16"/>
          <w:szCs w:val="16"/>
          <w:lang w:eastAsia="es-ES"/>
        </w:rPr>
        <w:t xml:space="preserve"> pandemic, and such measures were ratified by the Congress of the Republic, as established under </w:t>
      </w:r>
      <w:r w:rsidR="00047F3F" w:rsidRPr="008A7BD7">
        <w:rPr>
          <w:rFonts w:ascii="Cambria" w:eastAsia="Calibri" w:hAnsi="Cambria" w:cs="Times New Roman"/>
          <w:sz w:val="16"/>
          <w:szCs w:val="16"/>
          <w:lang w:eastAsia="es-ES"/>
        </w:rPr>
        <w:t>existing</w:t>
      </w:r>
      <w:r w:rsidR="004667DF" w:rsidRPr="008A7BD7">
        <w:rPr>
          <w:rFonts w:ascii="Cambria" w:eastAsia="Calibri" w:hAnsi="Cambria" w:cs="Times New Roman"/>
          <w:sz w:val="16"/>
          <w:szCs w:val="16"/>
          <w:lang w:eastAsia="es-ES"/>
        </w:rPr>
        <w:t xml:space="preserve"> law; (g) The State of </w:t>
      </w:r>
      <w:r w:rsidRPr="008A7BD7">
        <w:rPr>
          <w:rFonts w:ascii="Cambria" w:eastAsia="Calibri" w:hAnsi="Cambria" w:cs="Times New Roman"/>
          <w:sz w:val="16"/>
          <w:szCs w:val="16"/>
          <w:lang w:eastAsia="es-ES"/>
        </w:rPr>
        <w:t>Guatemala</w:t>
      </w:r>
      <w:r w:rsidR="004667DF" w:rsidRPr="008A7BD7">
        <w:rPr>
          <w:rFonts w:ascii="Cambria" w:eastAsia="Calibri" w:hAnsi="Cambria" w:cs="Times New Roman"/>
          <w:sz w:val="16"/>
          <w:szCs w:val="16"/>
          <w:lang w:eastAsia="es-ES"/>
        </w:rPr>
        <w:t xml:space="preserve"> is committed to fight corruption and impunity and to strengthen the security and justice system. By way of example, the State mentioned that as of November </w:t>
      </w:r>
      <w:r w:rsidRPr="008A7BD7">
        <w:rPr>
          <w:rFonts w:ascii="Cambria" w:eastAsia="Calibri" w:hAnsi="Cambria" w:cs="Times New Roman"/>
          <w:sz w:val="16"/>
          <w:szCs w:val="16"/>
          <w:lang w:eastAsia="es-ES"/>
        </w:rPr>
        <w:t>2021</w:t>
      </w:r>
      <w:r w:rsidR="004667DF" w:rsidRPr="008A7BD7">
        <w:rPr>
          <w:rFonts w:ascii="Cambria" w:eastAsia="Calibri" w:hAnsi="Cambria" w:cs="Times New Roman"/>
          <w:sz w:val="16"/>
          <w:szCs w:val="16"/>
          <w:lang w:eastAsia="es-ES"/>
        </w:rPr>
        <w:t xml:space="preserve">, the Office of the Public Prosecutor has a presence in all </w:t>
      </w:r>
      <w:r w:rsidRPr="008A7BD7">
        <w:rPr>
          <w:rFonts w:ascii="Cambria" w:eastAsia="Calibri" w:hAnsi="Cambria" w:cs="Times New Roman"/>
          <w:sz w:val="16"/>
          <w:szCs w:val="16"/>
          <w:lang w:eastAsia="es-ES"/>
        </w:rPr>
        <w:t xml:space="preserve">340 </w:t>
      </w:r>
      <w:r w:rsidR="004667DF" w:rsidRPr="008A7BD7">
        <w:rPr>
          <w:rFonts w:ascii="Cambria" w:eastAsia="Calibri" w:hAnsi="Cambria" w:cs="Times New Roman"/>
          <w:sz w:val="16"/>
          <w:szCs w:val="16"/>
          <w:lang w:eastAsia="es-ES"/>
        </w:rPr>
        <w:t xml:space="preserve">municipalities, through Municipal Public Prosecutor’s Offices and </w:t>
      </w:r>
      <w:r w:rsidR="00327DE8" w:rsidRPr="008A7BD7">
        <w:rPr>
          <w:rFonts w:ascii="Cambria" w:eastAsia="Calibri" w:hAnsi="Cambria" w:cs="Times New Roman"/>
          <w:sz w:val="16"/>
          <w:szCs w:val="16"/>
          <w:lang w:eastAsia="es-ES"/>
        </w:rPr>
        <w:t xml:space="preserve">Local </w:t>
      </w:r>
      <w:r w:rsidR="004667DF" w:rsidRPr="008A7BD7">
        <w:rPr>
          <w:rFonts w:ascii="Cambria" w:eastAsia="Calibri" w:hAnsi="Cambria" w:cs="Times New Roman"/>
          <w:sz w:val="16"/>
          <w:szCs w:val="16"/>
          <w:lang w:eastAsia="es-ES"/>
        </w:rPr>
        <w:t xml:space="preserve">Prosecutorial Agencies, covering the entire country; in addition, in January </w:t>
      </w:r>
      <w:r w:rsidRPr="008A7BD7">
        <w:rPr>
          <w:rFonts w:ascii="Cambria" w:eastAsia="Calibri" w:hAnsi="Cambria" w:cs="Times New Roman"/>
          <w:sz w:val="16"/>
          <w:szCs w:val="16"/>
          <w:lang w:eastAsia="es-ES"/>
        </w:rPr>
        <w:t>2020</w:t>
      </w:r>
      <w:r w:rsidR="004667DF" w:rsidRPr="008A7BD7">
        <w:rPr>
          <w:rFonts w:ascii="Cambria" w:eastAsia="Calibri" w:hAnsi="Cambria" w:cs="Times New Roman"/>
          <w:sz w:val="16"/>
          <w:szCs w:val="16"/>
          <w:lang w:eastAsia="es-ES"/>
        </w:rPr>
        <w:t xml:space="preserve">, the President of the Republic of </w:t>
      </w:r>
      <w:r w:rsidRPr="008A7BD7">
        <w:rPr>
          <w:rFonts w:ascii="Cambria" w:eastAsia="Calibri" w:hAnsi="Cambria" w:cs="Times New Roman"/>
          <w:sz w:val="16"/>
          <w:szCs w:val="16"/>
          <w:lang w:eastAsia="es-ES"/>
        </w:rPr>
        <w:t xml:space="preserve">Guatemala </w:t>
      </w:r>
      <w:r w:rsidR="004667DF" w:rsidRPr="008A7BD7">
        <w:rPr>
          <w:rFonts w:ascii="Cambria" w:eastAsia="Calibri" w:hAnsi="Cambria" w:cs="Times New Roman"/>
          <w:sz w:val="16"/>
          <w:szCs w:val="16"/>
          <w:lang w:eastAsia="es-ES"/>
        </w:rPr>
        <w:t>created the Presidential Commission against Corruption</w:t>
      </w:r>
      <w:r w:rsidR="00A41132" w:rsidRPr="008A7BD7">
        <w:rPr>
          <w:rFonts w:ascii="Cambria" w:eastAsia="Calibri" w:hAnsi="Cambria" w:cs="Times New Roman"/>
          <w:sz w:val="16"/>
          <w:szCs w:val="16"/>
          <w:lang w:eastAsia="es-ES"/>
        </w:rPr>
        <w:t xml:space="preserve"> as an institution that can—in a way that is technical, efficient, objective, and in line with national and international law—assist bodies in the executive branch to prevent acts of corruption from happening again. </w:t>
      </w:r>
      <w:r w:rsidR="00A41132" w:rsidRPr="008A7BD7">
        <w:rPr>
          <w:rFonts w:ascii="Cambria" w:hAnsi="Cambria"/>
          <w:sz w:val="16"/>
          <w:szCs w:val="16"/>
        </w:rPr>
        <w:t>Response from the State of</w:t>
      </w:r>
      <w:r w:rsidR="00A41132"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A41132" w:rsidRPr="008A7BD7">
        <w:rPr>
          <w:rFonts w:ascii="Cambria" w:hAnsi="Cambria"/>
          <w:sz w:val="16"/>
          <w:szCs w:val="16"/>
        </w:rPr>
        <w:t>OEA</w:t>
      </w:r>
      <w:r w:rsidR="00A41132" w:rsidRPr="008A7BD7">
        <w:rPr>
          <w:rFonts w:ascii="Cambria" w:eastAsia="Cambria" w:hAnsi="Cambria" w:cs="Cambria"/>
          <w:color w:val="000000"/>
          <w:sz w:val="16"/>
          <w:szCs w:val="16"/>
        </w:rPr>
        <w:t>-M4-980-2021, December 22, 2021, p</w:t>
      </w:r>
      <w:r w:rsidRPr="008A7BD7">
        <w:rPr>
          <w:rFonts w:ascii="Cambria" w:eastAsia="Cambria" w:hAnsi="Cambria" w:cs="Cambria"/>
          <w:color w:val="000000"/>
          <w:sz w:val="16"/>
          <w:szCs w:val="16"/>
        </w:rPr>
        <w:t>p. 2-4.</w:t>
      </w:r>
    </w:p>
  </w:footnote>
  <w:footnote w:id="15">
    <w:p w14:paraId="5C92CC60" w14:textId="33E2E207" w:rsidR="00C56230" w:rsidRPr="008A7BD7" w:rsidRDefault="00C56230" w:rsidP="00C56230">
      <w:pPr>
        <w:pStyle w:val="FootnoteText"/>
        <w:spacing w:after="120"/>
        <w:ind w:firstLine="720"/>
        <w:jc w:val="both"/>
      </w:pPr>
      <w:r w:rsidRPr="008A7BD7">
        <w:rPr>
          <w:rStyle w:val="FootnoteReference"/>
        </w:rPr>
        <w:footnoteRef/>
      </w:r>
      <w:r w:rsidRPr="008A7BD7">
        <w:t xml:space="preserve"> </w:t>
      </w:r>
      <w:r w:rsidR="00A41132" w:rsidRPr="008A7BD7">
        <w:rPr>
          <w:rFonts w:ascii="Cambria" w:hAnsi="Cambria"/>
          <w:sz w:val="16"/>
          <w:szCs w:val="16"/>
        </w:rPr>
        <w:t>Response from the State of</w:t>
      </w:r>
      <w:r w:rsidR="00A41132"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A41132" w:rsidRPr="008A7BD7">
        <w:rPr>
          <w:rFonts w:ascii="Cambria" w:hAnsi="Cambria"/>
          <w:sz w:val="16"/>
          <w:szCs w:val="16"/>
        </w:rPr>
        <w:t>OEA</w:t>
      </w:r>
      <w:r w:rsidR="00A41132"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6.</w:t>
      </w:r>
    </w:p>
  </w:footnote>
  <w:footnote w:id="16">
    <w:p w14:paraId="5EE1E402" w14:textId="63C0AC0C" w:rsidR="00367819" w:rsidRPr="00367819" w:rsidRDefault="00367819" w:rsidP="00367819">
      <w:pPr>
        <w:pStyle w:val="FootnoteText"/>
        <w:ind w:firstLine="720"/>
        <w:jc w:val="both"/>
        <w:rPr>
          <w:rFonts w:ascii="Cambria" w:hAnsi="Cambria"/>
          <w:sz w:val="16"/>
          <w:szCs w:val="16"/>
        </w:rPr>
      </w:pPr>
      <w:r w:rsidRPr="00367819">
        <w:rPr>
          <w:rStyle w:val="FootnoteReference"/>
          <w:rFonts w:ascii="Cambria" w:hAnsi="Cambria"/>
          <w:sz w:val="16"/>
          <w:szCs w:val="16"/>
        </w:rPr>
        <w:footnoteRef/>
      </w:r>
      <w:r w:rsidRPr="00367819">
        <w:rPr>
          <w:rFonts w:ascii="Cambria" w:hAnsi="Cambria"/>
          <w:sz w:val="16"/>
          <w:szCs w:val="16"/>
        </w:rPr>
        <w:t xml:space="preserve">  In a communication dated May 24, 2022, the State of Guatemala </w:t>
      </w:r>
      <w:r>
        <w:rPr>
          <w:rFonts w:ascii="Cambria" w:hAnsi="Cambria"/>
          <w:sz w:val="16"/>
          <w:szCs w:val="16"/>
        </w:rPr>
        <w:t xml:space="preserve">presented additional </w:t>
      </w:r>
      <w:r w:rsidRPr="00367819">
        <w:rPr>
          <w:rFonts w:ascii="Cambria" w:hAnsi="Cambria"/>
          <w:sz w:val="16"/>
          <w:szCs w:val="16"/>
        </w:rPr>
        <w:t xml:space="preserve"> information regarding the work route proposed, specifically in relation to carrying out a series of work, promotional and recommendation follow-up visits on dates to be defined during 2022. Note from the Permanent Mission of Guatemala to the Organization of American States (OAS). NV-OEA-M4-121-2022, May 24, 2022.</w:t>
      </w:r>
    </w:p>
  </w:footnote>
  <w:footnote w:id="17">
    <w:p w14:paraId="06B76741" w14:textId="6B04A999" w:rsidR="00C56230" w:rsidRPr="008A7BD7" w:rsidRDefault="00C56230" w:rsidP="00C56230">
      <w:pPr>
        <w:pStyle w:val="FootnoteText"/>
        <w:spacing w:after="120"/>
        <w:ind w:firstLine="720"/>
        <w:jc w:val="both"/>
      </w:pPr>
      <w:r w:rsidRPr="008A7BD7">
        <w:rPr>
          <w:rStyle w:val="FootnoteReference"/>
        </w:rPr>
        <w:footnoteRef/>
      </w:r>
      <w:r w:rsidRPr="008A7BD7">
        <w:t xml:space="preserve"> </w:t>
      </w:r>
      <w:r w:rsidR="00A41132" w:rsidRPr="008A7BD7">
        <w:rPr>
          <w:rFonts w:ascii="Cambria" w:hAnsi="Cambria"/>
          <w:sz w:val="16"/>
          <w:szCs w:val="16"/>
        </w:rPr>
        <w:t>Response from the State of</w:t>
      </w:r>
      <w:r w:rsidR="00A41132"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A41132" w:rsidRPr="008A7BD7">
        <w:rPr>
          <w:rFonts w:ascii="Cambria" w:hAnsi="Cambria"/>
          <w:sz w:val="16"/>
          <w:szCs w:val="16"/>
        </w:rPr>
        <w:t>OEA</w:t>
      </w:r>
      <w:r w:rsidR="00A41132" w:rsidRPr="008A7BD7">
        <w:rPr>
          <w:rFonts w:ascii="Cambria" w:eastAsia="Cambria" w:hAnsi="Cambria" w:cs="Cambria"/>
          <w:color w:val="000000"/>
          <w:sz w:val="16"/>
          <w:szCs w:val="16"/>
        </w:rPr>
        <w:t>-M4-980-2021, December 22, 2021, Annex</w:t>
      </w:r>
      <w:r w:rsidRPr="008A7BD7">
        <w:rPr>
          <w:rFonts w:ascii="Cambria" w:eastAsia="Cambria" w:hAnsi="Cambria" w:cs="Cambria"/>
          <w:color w:val="000000"/>
          <w:sz w:val="16"/>
          <w:szCs w:val="16"/>
        </w:rPr>
        <w:t>.</w:t>
      </w:r>
    </w:p>
  </w:footnote>
  <w:footnote w:id="18">
    <w:p w14:paraId="6D329AF3" w14:textId="447FF902" w:rsidR="0025498E" w:rsidRPr="008A7BD7" w:rsidRDefault="0025498E" w:rsidP="0025498E">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9A52FD" w:rsidRPr="008A7BD7">
        <w:rPr>
          <w:rFonts w:ascii="Cambria" w:eastAsia="Calibri" w:hAnsi="Cambria" w:cs="Calibri"/>
          <w:sz w:val="16"/>
          <w:szCs w:val="16"/>
        </w:rPr>
        <w:t xml:space="preserve">Situation of </w:t>
      </w:r>
      <w:r w:rsidR="008504D1" w:rsidRPr="008A7BD7">
        <w:rPr>
          <w:rFonts w:ascii="Cambria" w:eastAsia="Calibri" w:hAnsi="Cambria" w:cs="Calibri"/>
          <w:sz w:val="16"/>
          <w:szCs w:val="16"/>
        </w:rPr>
        <w:t>Judge</w:t>
      </w:r>
      <w:r w:rsidR="009A52FD" w:rsidRPr="008A7BD7">
        <w:rPr>
          <w:rFonts w:ascii="Cambria" w:eastAsia="Calibri" w:hAnsi="Cambria" w:cs="Calibri"/>
          <w:sz w:val="16"/>
          <w:szCs w:val="16"/>
        </w:rPr>
        <w:t xml:space="preserve"> </w:t>
      </w:r>
      <w:r w:rsidRPr="008A7BD7">
        <w:rPr>
          <w:rFonts w:ascii="Cambria" w:eastAsia="Calibri" w:hAnsi="Cambria" w:cs="Calibri"/>
          <w:sz w:val="16"/>
          <w:szCs w:val="16"/>
        </w:rPr>
        <w:t xml:space="preserve">Gloria Porras </w:t>
      </w:r>
      <w:r w:rsidR="009A52FD" w:rsidRPr="008A7BD7">
        <w:rPr>
          <w:rFonts w:ascii="Cambria" w:eastAsia="Calibri" w:hAnsi="Cambria" w:cs="Calibri"/>
          <w:sz w:val="16"/>
          <w:szCs w:val="16"/>
        </w:rPr>
        <w:t xml:space="preserve">of the Constitutional Court of </w:t>
      </w:r>
      <w:r w:rsidRPr="008A7BD7">
        <w:rPr>
          <w:rFonts w:ascii="Cambria" w:eastAsia="Calibri" w:hAnsi="Cambria" w:cs="Calibri"/>
          <w:sz w:val="16"/>
          <w:szCs w:val="16"/>
        </w:rPr>
        <w:t>Guatemala</w:t>
      </w:r>
      <w:r w:rsidR="008504D1" w:rsidRPr="008A7BD7">
        <w:rPr>
          <w:rFonts w:ascii="Cambria" w:eastAsia="Calibri" w:hAnsi="Cambria" w:cs="Calibri"/>
          <w:sz w:val="16"/>
          <w:szCs w:val="16"/>
        </w:rPr>
        <w:t>,</w:t>
      </w:r>
      <w:r w:rsidRPr="008A7BD7">
        <w:rPr>
          <w:rFonts w:ascii="Cambria" w:eastAsia="Calibri" w:hAnsi="Cambria" w:cs="Calibri"/>
          <w:sz w:val="16"/>
          <w:szCs w:val="16"/>
        </w:rPr>
        <w:t xml:space="preserve"> </w:t>
      </w:r>
      <w:r w:rsidR="009A52FD" w:rsidRPr="008A7BD7">
        <w:rPr>
          <w:rFonts w:ascii="Cambria" w:eastAsia="Calibri" w:hAnsi="Cambria" w:cs="Calibri"/>
          <w:sz w:val="16"/>
          <w:szCs w:val="16"/>
        </w:rPr>
        <w:t>Meeting on April</w:t>
      </w:r>
      <w:r w:rsidR="009A52FD" w:rsidRPr="008A7BD7">
        <w:rPr>
          <w:rFonts w:ascii="Cambria" w:hAnsi="Cambria"/>
          <w:sz w:val="16"/>
          <w:szCs w:val="16"/>
        </w:rPr>
        <w:t xml:space="preserve"> </w:t>
      </w:r>
      <w:r w:rsidRPr="008A7BD7">
        <w:rPr>
          <w:rFonts w:ascii="Cambria" w:hAnsi="Cambria"/>
          <w:sz w:val="16"/>
          <w:szCs w:val="16"/>
        </w:rPr>
        <w:t>28</w:t>
      </w:r>
      <w:r w:rsidR="009A52FD" w:rsidRPr="008A7BD7">
        <w:rPr>
          <w:rFonts w:ascii="Cambria" w:hAnsi="Cambria"/>
          <w:sz w:val="16"/>
          <w:szCs w:val="16"/>
        </w:rPr>
        <w:t xml:space="preserve">, </w:t>
      </w:r>
      <w:r w:rsidRPr="008A7BD7">
        <w:rPr>
          <w:rFonts w:ascii="Cambria" w:hAnsi="Cambria"/>
          <w:sz w:val="16"/>
          <w:szCs w:val="16"/>
        </w:rPr>
        <w:t>2021</w:t>
      </w:r>
      <w:r w:rsidR="009A52FD" w:rsidRPr="008A7BD7">
        <w:rPr>
          <w:rFonts w:ascii="Cambria" w:hAnsi="Cambria"/>
          <w:sz w:val="16"/>
          <w:szCs w:val="16"/>
        </w:rPr>
        <w:t xml:space="preserve">, between the IACHR, the </w:t>
      </w:r>
      <w:r w:rsidR="00703ED3" w:rsidRPr="008A7BD7">
        <w:rPr>
          <w:rFonts w:ascii="Cambria" w:hAnsi="Cambria"/>
          <w:sz w:val="16"/>
          <w:szCs w:val="16"/>
        </w:rPr>
        <w:t>Human Rights Ombudsman,</w:t>
      </w:r>
      <w:r w:rsidR="00EC5881" w:rsidRPr="008A7BD7">
        <w:rPr>
          <w:rFonts w:ascii="Cambria" w:eastAsia="Calibri" w:hAnsi="Cambria" w:cs="Calibri"/>
          <w:sz w:val="16"/>
          <w:szCs w:val="16"/>
        </w:rPr>
        <w:t xml:space="preserve"> Ju</w:t>
      </w:r>
      <w:r w:rsidR="008504D1" w:rsidRPr="008A7BD7">
        <w:rPr>
          <w:rFonts w:ascii="Cambria" w:eastAsia="Calibri" w:hAnsi="Cambria" w:cs="Calibri"/>
          <w:sz w:val="16"/>
          <w:szCs w:val="16"/>
        </w:rPr>
        <w:t>dge</w:t>
      </w:r>
      <w:r w:rsidR="00EC5881" w:rsidRPr="008A7BD7">
        <w:rPr>
          <w:rFonts w:ascii="Cambria" w:eastAsia="Calibri" w:hAnsi="Cambria" w:cs="Calibri"/>
          <w:sz w:val="16"/>
          <w:szCs w:val="16"/>
        </w:rPr>
        <w:t xml:space="preserve"> Gloria Porras, and civil society organizations, record</w:t>
      </w:r>
      <w:r w:rsidR="008B3D12" w:rsidRPr="008A7BD7">
        <w:rPr>
          <w:rFonts w:ascii="Cambria" w:eastAsia="Calibri" w:hAnsi="Cambria" w:cs="Calibri"/>
          <w:sz w:val="16"/>
          <w:szCs w:val="16"/>
        </w:rPr>
        <w:t>s on file</w:t>
      </w:r>
      <w:r w:rsidR="00EC5881" w:rsidRPr="008A7BD7">
        <w:rPr>
          <w:rFonts w:ascii="Cambria" w:eastAsia="Calibri" w:hAnsi="Cambria" w:cs="Calibri"/>
          <w:sz w:val="16"/>
          <w:szCs w:val="16"/>
        </w:rPr>
        <w:t xml:space="preserve"> at the IACHR;</w:t>
      </w:r>
      <w:r w:rsidR="00703ED3" w:rsidRPr="008A7BD7">
        <w:rPr>
          <w:rFonts w:ascii="Cambria" w:hAnsi="Cambria"/>
          <w:sz w:val="16"/>
          <w:szCs w:val="16"/>
        </w:rPr>
        <w:t xml:space="preserve"> </w:t>
      </w:r>
      <w:r w:rsidR="00EC5881" w:rsidRPr="008A7BD7">
        <w:rPr>
          <w:rFonts w:ascii="Cambria" w:hAnsi="Cambria"/>
          <w:sz w:val="16"/>
          <w:szCs w:val="16"/>
        </w:rPr>
        <w:t>IACHR, 181</w:t>
      </w:r>
      <w:r w:rsidR="00EC5881" w:rsidRPr="008A7BD7">
        <w:rPr>
          <w:rFonts w:ascii="Cambria" w:hAnsi="Cambria"/>
          <w:sz w:val="16"/>
          <w:szCs w:val="16"/>
          <w:vertAlign w:val="superscript"/>
        </w:rPr>
        <w:t>st</w:t>
      </w:r>
      <w:r w:rsidR="00EC5881" w:rsidRPr="008A7BD7">
        <w:rPr>
          <w:rFonts w:ascii="Cambria" w:hAnsi="Cambria"/>
          <w:sz w:val="16"/>
          <w:szCs w:val="16"/>
        </w:rPr>
        <w:t xml:space="preserve"> period of sessions, </w:t>
      </w:r>
      <w:r w:rsidR="008B3D12" w:rsidRPr="008A7BD7">
        <w:rPr>
          <w:rFonts w:ascii="Cambria" w:hAnsi="Cambria"/>
          <w:sz w:val="16"/>
          <w:szCs w:val="16"/>
        </w:rPr>
        <w:t>“</w:t>
      </w:r>
      <w:hyperlink r:id="rId13" w:history="1">
        <w:r w:rsidR="008B3D12" w:rsidRPr="008A7BD7">
          <w:rPr>
            <w:rStyle w:val="Hyperlink"/>
            <w:rFonts w:ascii="Cambria" w:hAnsi="Cambria"/>
            <w:sz w:val="16"/>
            <w:szCs w:val="16"/>
          </w:rPr>
          <w:t xml:space="preserve">Human </w:t>
        </w:r>
        <w:r w:rsidR="009E0B4F" w:rsidRPr="008A7BD7">
          <w:rPr>
            <w:rStyle w:val="Hyperlink"/>
            <w:rFonts w:ascii="Cambria" w:hAnsi="Cambria"/>
            <w:sz w:val="16"/>
            <w:szCs w:val="16"/>
          </w:rPr>
          <w:t>R</w:t>
        </w:r>
        <w:r w:rsidR="008B3D12" w:rsidRPr="008A7BD7">
          <w:rPr>
            <w:rStyle w:val="Hyperlink"/>
            <w:rFonts w:ascii="Cambria" w:hAnsi="Cambria"/>
            <w:sz w:val="16"/>
            <w:szCs w:val="16"/>
          </w:rPr>
          <w:t xml:space="preserve">ights </w:t>
        </w:r>
        <w:r w:rsidR="009E0B4F" w:rsidRPr="008A7BD7">
          <w:rPr>
            <w:rStyle w:val="Hyperlink"/>
            <w:rFonts w:ascii="Cambria" w:hAnsi="Cambria"/>
            <w:sz w:val="16"/>
            <w:szCs w:val="16"/>
          </w:rPr>
          <w:t>S</w:t>
        </w:r>
        <w:r w:rsidR="008B3D12" w:rsidRPr="008A7BD7">
          <w:rPr>
            <w:rStyle w:val="Hyperlink"/>
            <w:rFonts w:ascii="Cambria" w:hAnsi="Cambria"/>
            <w:sz w:val="16"/>
            <w:szCs w:val="16"/>
          </w:rPr>
          <w:t xml:space="preserve">ituation of </w:t>
        </w:r>
        <w:r w:rsidR="009E0B4F" w:rsidRPr="008A7BD7">
          <w:rPr>
            <w:rStyle w:val="Hyperlink"/>
            <w:rFonts w:ascii="Cambria" w:hAnsi="Cambria"/>
            <w:sz w:val="16"/>
            <w:szCs w:val="16"/>
          </w:rPr>
          <w:t>J</w:t>
        </w:r>
        <w:r w:rsidR="008B3D12" w:rsidRPr="008A7BD7">
          <w:rPr>
            <w:rStyle w:val="Hyperlink"/>
            <w:rFonts w:ascii="Cambria" w:hAnsi="Cambria"/>
            <w:sz w:val="16"/>
            <w:szCs w:val="16"/>
          </w:rPr>
          <w:t xml:space="preserve">ustice </w:t>
        </w:r>
        <w:r w:rsidR="009E0B4F" w:rsidRPr="008A7BD7">
          <w:rPr>
            <w:rStyle w:val="Hyperlink"/>
            <w:rFonts w:ascii="Cambria" w:hAnsi="Cambria"/>
            <w:sz w:val="16"/>
            <w:szCs w:val="16"/>
          </w:rPr>
          <w:t>O</w:t>
        </w:r>
        <w:r w:rsidR="008B3D12" w:rsidRPr="008A7BD7">
          <w:rPr>
            <w:rStyle w:val="Hyperlink"/>
            <w:rFonts w:ascii="Cambria" w:hAnsi="Cambria"/>
            <w:sz w:val="16"/>
            <w:szCs w:val="16"/>
          </w:rPr>
          <w:t xml:space="preserve">perators and </w:t>
        </w:r>
        <w:r w:rsidR="009E0B4F" w:rsidRPr="008A7BD7">
          <w:rPr>
            <w:rStyle w:val="Hyperlink"/>
            <w:rFonts w:ascii="Cambria" w:hAnsi="Cambria"/>
            <w:sz w:val="16"/>
            <w:szCs w:val="16"/>
          </w:rPr>
          <w:t>J</w:t>
        </w:r>
        <w:r w:rsidR="008B3D12" w:rsidRPr="008A7BD7">
          <w:rPr>
            <w:rStyle w:val="Hyperlink"/>
            <w:rFonts w:ascii="Cambria" w:hAnsi="Cambria"/>
            <w:sz w:val="16"/>
            <w:szCs w:val="16"/>
          </w:rPr>
          <w:t xml:space="preserve">udicial </w:t>
        </w:r>
        <w:r w:rsidR="009E0B4F" w:rsidRPr="008A7BD7">
          <w:rPr>
            <w:rStyle w:val="Hyperlink"/>
            <w:rFonts w:ascii="Cambria" w:hAnsi="Cambria"/>
            <w:sz w:val="16"/>
            <w:szCs w:val="16"/>
          </w:rPr>
          <w:t>I</w:t>
        </w:r>
        <w:r w:rsidR="008B3D12" w:rsidRPr="008A7BD7">
          <w:rPr>
            <w:rStyle w:val="Hyperlink"/>
            <w:rFonts w:ascii="Cambria" w:hAnsi="Cambria"/>
            <w:sz w:val="16"/>
            <w:szCs w:val="16"/>
          </w:rPr>
          <w:t>ndependence in Guatemala</w:t>
        </w:r>
      </w:hyperlink>
      <w:r w:rsidR="008B3D12" w:rsidRPr="008A7BD7">
        <w:rPr>
          <w:rFonts w:ascii="Cambria" w:hAnsi="Cambria"/>
          <w:sz w:val="16"/>
          <w:szCs w:val="16"/>
        </w:rPr>
        <w:t xml:space="preserve">,” </w:t>
      </w:r>
      <w:r w:rsidR="00EB1E7A" w:rsidRPr="008A7BD7">
        <w:rPr>
          <w:rFonts w:ascii="Cambria" w:hAnsi="Cambria"/>
          <w:sz w:val="16"/>
          <w:szCs w:val="16"/>
        </w:rPr>
        <w:t xml:space="preserve">public hearing </w:t>
      </w:r>
      <w:r w:rsidR="008B3D12" w:rsidRPr="008A7BD7">
        <w:rPr>
          <w:rFonts w:ascii="Cambria" w:hAnsi="Cambria"/>
          <w:sz w:val="16"/>
          <w:szCs w:val="16"/>
        </w:rPr>
        <w:t xml:space="preserve">held on October 28, </w:t>
      </w:r>
      <w:r w:rsidRPr="008A7BD7">
        <w:rPr>
          <w:rFonts w:ascii="Cambria" w:eastAsia="Cambria" w:hAnsi="Cambria" w:cs="Cambria"/>
          <w:sz w:val="16"/>
          <w:szCs w:val="16"/>
        </w:rPr>
        <w:t xml:space="preserve">2021; </w:t>
      </w:r>
      <w:r w:rsidR="008504D1" w:rsidRPr="008A7BD7">
        <w:rPr>
          <w:rFonts w:ascii="Cambria" w:eastAsia="Cambria" w:hAnsi="Cambria" w:cs="Cambria"/>
          <w:sz w:val="16"/>
          <w:szCs w:val="16"/>
        </w:rPr>
        <w:t>M</w:t>
      </w:r>
      <w:r w:rsidR="008B3D12" w:rsidRPr="008A7BD7">
        <w:rPr>
          <w:rFonts w:ascii="Cambria" w:eastAsia="Cambria" w:hAnsi="Cambria" w:cs="Cambria"/>
          <w:sz w:val="16"/>
          <w:szCs w:val="16"/>
        </w:rPr>
        <w:t xml:space="preserve">eeting on November </w:t>
      </w:r>
      <w:r w:rsidRPr="008A7BD7">
        <w:rPr>
          <w:rFonts w:ascii="Cambria" w:eastAsia="Cambria" w:hAnsi="Cambria" w:cs="Cambria"/>
          <w:sz w:val="16"/>
          <w:szCs w:val="16"/>
        </w:rPr>
        <w:t>8</w:t>
      </w:r>
      <w:r w:rsidR="008B3D12" w:rsidRPr="008A7BD7">
        <w:rPr>
          <w:rFonts w:ascii="Cambria" w:eastAsia="Cambria" w:hAnsi="Cambria" w:cs="Cambria"/>
          <w:sz w:val="16"/>
          <w:szCs w:val="16"/>
        </w:rPr>
        <w:t xml:space="preserve">, </w:t>
      </w:r>
      <w:r w:rsidRPr="008A7BD7">
        <w:rPr>
          <w:rFonts w:ascii="Cambria" w:eastAsia="Cambria" w:hAnsi="Cambria" w:cs="Cambria"/>
          <w:sz w:val="16"/>
          <w:szCs w:val="16"/>
        </w:rPr>
        <w:t>2021</w:t>
      </w:r>
      <w:r w:rsidR="008B3D12" w:rsidRPr="008A7BD7">
        <w:rPr>
          <w:rFonts w:ascii="Cambria" w:eastAsia="Cambria" w:hAnsi="Cambria" w:cs="Cambria"/>
          <w:sz w:val="16"/>
          <w:szCs w:val="16"/>
        </w:rPr>
        <w:t xml:space="preserve">, between civil society organizations and the IACHR, records on file at the IACHR. </w:t>
      </w:r>
    </w:p>
  </w:footnote>
  <w:footnote w:id="19">
    <w:p w14:paraId="728B523B" w14:textId="50DE01F6" w:rsidR="00A15C5C" w:rsidRPr="008A7BD7" w:rsidRDefault="00A15C5C"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076220" w:rsidRPr="008A7BD7">
        <w:rPr>
          <w:rFonts w:ascii="Cambria" w:hAnsi="Cambria"/>
          <w:sz w:val="16"/>
          <w:szCs w:val="16"/>
        </w:rPr>
        <w:t xml:space="preserve">IACHR, </w:t>
      </w:r>
      <w:hyperlink r:id="rId14" w:history="1">
        <w:r w:rsidR="00076220" w:rsidRPr="008A7BD7">
          <w:rPr>
            <w:rStyle w:val="Hyperlink"/>
            <w:rFonts w:ascii="Cambria" w:hAnsi="Cambria"/>
            <w:sz w:val="16"/>
            <w:szCs w:val="16"/>
          </w:rPr>
          <w:t>Situation of Human Rights in Guatemala</w:t>
        </w:r>
      </w:hyperlink>
      <w:r w:rsidR="00076220" w:rsidRPr="008A7BD7">
        <w:rPr>
          <w:rFonts w:ascii="Cambria" w:hAnsi="Cambria"/>
          <w:sz w:val="16"/>
          <w:szCs w:val="16"/>
        </w:rPr>
        <w:t>, OEA/</w:t>
      </w:r>
      <w:proofErr w:type="spellStart"/>
      <w:r w:rsidR="00076220" w:rsidRPr="008A7BD7">
        <w:rPr>
          <w:rFonts w:ascii="Cambria" w:hAnsi="Cambria"/>
          <w:sz w:val="16"/>
          <w:szCs w:val="16"/>
        </w:rPr>
        <w:t>Ser.L</w:t>
      </w:r>
      <w:proofErr w:type="spellEnd"/>
      <w:r w:rsidR="00076220" w:rsidRPr="008A7BD7">
        <w:rPr>
          <w:rFonts w:ascii="Cambria" w:hAnsi="Cambria"/>
          <w:sz w:val="16"/>
          <w:szCs w:val="16"/>
        </w:rPr>
        <w:t>/V/II. Doc. 208/17, December 31, 2017</w:t>
      </w:r>
      <w:r w:rsidRPr="008A7BD7">
        <w:rPr>
          <w:rFonts w:ascii="Cambria" w:hAnsi="Cambria"/>
          <w:sz w:val="16"/>
          <w:szCs w:val="16"/>
        </w:rPr>
        <w:t>.</w:t>
      </w:r>
    </w:p>
  </w:footnote>
  <w:footnote w:id="20">
    <w:p w14:paraId="2A5BDBC4" w14:textId="78B160AE" w:rsidR="00C56230" w:rsidRPr="008A7BD7" w:rsidRDefault="00C56230" w:rsidP="00C56230">
      <w:pPr>
        <w:pStyle w:val="FootnoteText"/>
        <w:spacing w:after="120"/>
        <w:ind w:firstLine="720"/>
        <w:jc w:val="both"/>
        <w:rPr>
          <w:rFonts w:ascii="Cambria" w:hAnsi="Cambria"/>
          <w:sz w:val="16"/>
          <w:szCs w:val="16"/>
        </w:rPr>
      </w:pPr>
      <w:r w:rsidRPr="008A7BD7">
        <w:rPr>
          <w:rStyle w:val="FootnoteReference"/>
        </w:rPr>
        <w:footnoteRef/>
      </w:r>
      <w:r w:rsidRPr="008A7BD7">
        <w:t xml:space="preserve"> </w:t>
      </w:r>
      <w:r w:rsidR="004D5982" w:rsidRPr="008A7BD7">
        <w:rPr>
          <w:rFonts w:ascii="Cambria" w:hAnsi="Cambria"/>
          <w:sz w:val="16"/>
          <w:szCs w:val="16"/>
        </w:rPr>
        <w:t xml:space="preserve">In its response to the draft report, the Guatemalan State also </w:t>
      </w:r>
      <w:r w:rsidR="009155E8" w:rsidRPr="008A7BD7">
        <w:rPr>
          <w:rFonts w:ascii="Cambria" w:hAnsi="Cambria"/>
          <w:sz w:val="16"/>
          <w:szCs w:val="16"/>
        </w:rPr>
        <w:t>pointed</w:t>
      </w:r>
      <w:r w:rsidR="004D5982" w:rsidRPr="008A7BD7">
        <w:rPr>
          <w:rFonts w:ascii="Cambria" w:hAnsi="Cambria"/>
          <w:sz w:val="16"/>
          <w:szCs w:val="16"/>
        </w:rPr>
        <w:t xml:space="preserve"> to the following actions</w:t>
      </w:r>
      <w:r w:rsidRPr="008A7BD7">
        <w:rPr>
          <w:rFonts w:ascii="Cambria" w:hAnsi="Cambria"/>
          <w:sz w:val="16"/>
          <w:szCs w:val="16"/>
        </w:rPr>
        <w:t xml:space="preserve">: </w:t>
      </w:r>
      <w:r w:rsidR="000D64A6" w:rsidRPr="008A7BD7">
        <w:rPr>
          <w:rFonts w:ascii="Cambria" w:hAnsi="Cambria"/>
          <w:sz w:val="16"/>
          <w:szCs w:val="16"/>
        </w:rPr>
        <w:t xml:space="preserve">By means of </w:t>
      </w:r>
      <w:r w:rsidR="00D85906" w:rsidRPr="008A7BD7">
        <w:rPr>
          <w:rFonts w:ascii="Cambria" w:hAnsi="Cambria"/>
          <w:sz w:val="16"/>
          <w:szCs w:val="16"/>
        </w:rPr>
        <w:t>Decision</w:t>
      </w:r>
      <w:r w:rsidR="000D64A6" w:rsidRPr="008A7BD7">
        <w:rPr>
          <w:rFonts w:ascii="Cambria" w:hAnsi="Cambria"/>
          <w:sz w:val="16"/>
          <w:szCs w:val="16"/>
        </w:rPr>
        <w:t xml:space="preserve"> </w:t>
      </w:r>
      <w:r w:rsidRPr="008A7BD7">
        <w:rPr>
          <w:rFonts w:ascii="Cambria" w:hAnsi="Cambria"/>
          <w:sz w:val="16"/>
          <w:szCs w:val="16"/>
        </w:rPr>
        <w:t xml:space="preserve">59-2019, </w:t>
      </w:r>
      <w:r w:rsidR="000D64A6" w:rsidRPr="008A7BD7">
        <w:rPr>
          <w:rFonts w:ascii="Cambria" w:hAnsi="Cambria"/>
          <w:sz w:val="16"/>
          <w:szCs w:val="16"/>
        </w:rPr>
        <w:t>the Office of the Special Prosecutor against Impunity (</w:t>
      </w:r>
      <w:r w:rsidRPr="008A7BD7">
        <w:rPr>
          <w:rFonts w:ascii="Cambria" w:hAnsi="Cambria"/>
          <w:sz w:val="16"/>
          <w:szCs w:val="16"/>
        </w:rPr>
        <w:t>FECI</w:t>
      </w:r>
      <w:r w:rsidR="000D64A6" w:rsidRPr="008A7BD7">
        <w:rPr>
          <w:rFonts w:ascii="Cambria" w:hAnsi="Cambria"/>
          <w:sz w:val="16"/>
          <w:szCs w:val="16"/>
        </w:rPr>
        <w:t>) was elevated in rank to Section Prosecutor’s Office within the organizational structure of the Office</w:t>
      </w:r>
      <w:r w:rsidR="00651857" w:rsidRPr="008A7BD7">
        <w:rPr>
          <w:rFonts w:ascii="Cambria" w:hAnsi="Cambria"/>
          <w:sz w:val="16"/>
          <w:szCs w:val="16"/>
        </w:rPr>
        <w:t xml:space="preserve"> of the Public Prosecutor</w:t>
      </w:r>
      <w:r w:rsidR="000D64A6" w:rsidRPr="008A7BD7">
        <w:rPr>
          <w:rFonts w:ascii="Cambria" w:hAnsi="Cambria"/>
          <w:sz w:val="16"/>
          <w:szCs w:val="16"/>
        </w:rPr>
        <w:t xml:space="preserve">, and it is now one of the prosecutor’s offices that works in coordination with the Anti-Corruption Secretariat of the </w:t>
      </w:r>
      <w:r w:rsidR="00651857" w:rsidRPr="008A7BD7">
        <w:rPr>
          <w:rFonts w:ascii="Cambria" w:hAnsi="Cambria"/>
          <w:sz w:val="16"/>
          <w:szCs w:val="16"/>
        </w:rPr>
        <w:t>Office of the Public Prosecutor</w:t>
      </w:r>
      <w:r w:rsidR="000D64A6" w:rsidRPr="008A7BD7">
        <w:rPr>
          <w:rFonts w:ascii="Cambria" w:hAnsi="Cambria"/>
          <w:sz w:val="16"/>
          <w:szCs w:val="16"/>
        </w:rPr>
        <w:t>. The strengthening o</w:t>
      </w:r>
      <w:r w:rsidR="00651857" w:rsidRPr="008A7BD7">
        <w:rPr>
          <w:rFonts w:ascii="Cambria" w:hAnsi="Cambria"/>
          <w:sz w:val="16"/>
          <w:szCs w:val="16"/>
        </w:rPr>
        <w:t xml:space="preserve">f </w:t>
      </w:r>
      <w:r w:rsidR="000D64A6" w:rsidRPr="008A7BD7">
        <w:rPr>
          <w:rFonts w:ascii="Cambria" w:hAnsi="Cambria"/>
          <w:sz w:val="16"/>
          <w:szCs w:val="16"/>
        </w:rPr>
        <w:t xml:space="preserve">the </w:t>
      </w:r>
      <w:r w:rsidRPr="008A7BD7">
        <w:rPr>
          <w:rFonts w:ascii="Cambria" w:hAnsi="Cambria"/>
          <w:sz w:val="16"/>
          <w:szCs w:val="16"/>
        </w:rPr>
        <w:t>FECI</w:t>
      </w:r>
      <w:r w:rsidR="000D64A6" w:rsidRPr="008A7BD7">
        <w:rPr>
          <w:rFonts w:ascii="Cambria" w:hAnsi="Cambria"/>
          <w:sz w:val="16"/>
          <w:szCs w:val="16"/>
        </w:rPr>
        <w:t xml:space="preserve">, by </w:t>
      </w:r>
      <w:r w:rsidR="00B10481" w:rsidRPr="008A7BD7">
        <w:rPr>
          <w:rFonts w:ascii="Cambria" w:hAnsi="Cambria"/>
          <w:sz w:val="16"/>
          <w:szCs w:val="16"/>
        </w:rPr>
        <w:t>making it</w:t>
      </w:r>
      <w:r w:rsidR="000D64A6" w:rsidRPr="008A7BD7">
        <w:rPr>
          <w:rFonts w:ascii="Cambria" w:hAnsi="Cambria"/>
          <w:sz w:val="16"/>
          <w:szCs w:val="16"/>
        </w:rPr>
        <w:t xml:space="preserve"> part of the </w:t>
      </w:r>
      <w:r w:rsidR="00B10481" w:rsidRPr="008A7BD7">
        <w:rPr>
          <w:rFonts w:ascii="Cambria" w:hAnsi="Cambria"/>
          <w:sz w:val="16"/>
          <w:szCs w:val="16"/>
        </w:rPr>
        <w:t xml:space="preserve">organizational </w:t>
      </w:r>
      <w:r w:rsidR="006C41EA" w:rsidRPr="008A7BD7">
        <w:rPr>
          <w:rFonts w:ascii="Cambria" w:hAnsi="Cambria"/>
          <w:sz w:val="16"/>
          <w:szCs w:val="16"/>
        </w:rPr>
        <w:t>structure</w:t>
      </w:r>
      <w:r w:rsidR="00B10481" w:rsidRPr="008A7BD7">
        <w:rPr>
          <w:rFonts w:ascii="Cambria" w:hAnsi="Cambria"/>
          <w:sz w:val="16"/>
          <w:szCs w:val="16"/>
        </w:rPr>
        <w:t xml:space="preserve"> of the Public Prosecutor’s Office, is reflected in an increase in cases prosecuted, criminal structures dismantled, cases investigated, and convictions</w:t>
      </w:r>
      <w:r w:rsidR="00D87F39" w:rsidRPr="008A7BD7">
        <w:rPr>
          <w:rFonts w:ascii="Cambria" w:hAnsi="Cambria"/>
          <w:sz w:val="16"/>
          <w:szCs w:val="16"/>
        </w:rPr>
        <w:t xml:space="preserve"> obtained during the current administration. Since the FECI was incorporated as a</w:t>
      </w:r>
      <w:r w:rsidR="00802939" w:rsidRPr="008A7BD7">
        <w:rPr>
          <w:rFonts w:ascii="Cambria" w:hAnsi="Cambria"/>
          <w:sz w:val="16"/>
          <w:szCs w:val="16"/>
        </w:rPr>
        <w:t xml:space="preserve"> Section Prosecutor’s Office, it was strengthened with a Technical Support Unit made up of investigators, crime analysts, financial analysts, and support staff, in addition to its original members</w:t>
      </w:r>
      <w:r w:rsidRPr="008A7BD7">
        <w:rPr>
          <w:rFonts w:ascii="Cambria" w:hAnsi="Cambria"/>
          <w:sz w:val="16"/>
          <w:szCs w:val="16"/>
        </w:rPr>
        <w:t xml:space="preserve">. </w:t>
      </w:r>
      <w:r w:rsidR="00802939" w:rsidRPr="008A7BD7">
        <w:rPr>
          <w:rFonts w:ascii="Cambria" w:hAnsi="Cambria"/>
          <w:sz w:val="16"/>
          <w:szCs w:val="16"/>
        </w:rPr>
        <w:t xml:space="preserve">To be specific: </w:t>
      </w:r>
      <w:r w:rsidRPr="008A7BD7">
        <w:rPr>
          <w:rFonts w:ascii="Cambria" w:hAnsi="Cambria"/>
          <w:sz w:val="16"/>
          <w:szCs w:val="16"/>
        </w:rPr>
        <w:t xml:space="preserve">142 </w:t>
      </w:r>
      <w:r w:rsidR="00802939" w:rsidRPr="008A7BD7">
        <w:rPr>
          <w:rFonts w:ascii="Cambria" w:hAnsi="Cambria"/>
          <w:sz w:val="16"/>
          <w:szCs w:val="16"/>
        </w:rPr>
        <w:t xml:space="preserve">individuals, plus a Technical Support Unit made up of </w:t>
      </w:r>
      <w:r w:rsidRPr="008A7BD7">
        <w:rPr>
          <w:rFonts w:ascii="Cambria" w:hAnsi="Cambria"/>
          <w:sz w:val="16"/>
          <w:szCs w:val="16"/>
        </w:rPr>
        <w:t>11 investiga</w:t>
      </w:r>
      <w:r w:rsidR="00802939" w:rsidRPr="008A7BD7">
        <w:rPr>
          <w:rFonts w:ascii="Cambria" w:hAnsi="Cambria"/>
          <w:sz w:val="16"/>
          <w:szCs w:val="16"/>
        </w:rPr>
        <w:t>tors</w:t>
      </w:r>
      <w:r w:rsidRPr="008A7BD7">
        <w:rPr>
          <w:rFonts w:ascii="Cambria" w:hAnsi="Cambria"/>
          <w:sz w:val="16"/>
          <w:szCs w:val="16"/>
        </w:rPr>
        <w:t xml:space="preserve">, 10 </w:t>
      </w:r>
      <w:r w:rsidR="00802939" w:rsidRPr="008A7BD7">
        <w:rPr>
          <w:rFonts w:ascii="Cambria" w:hAnsi="Cambria"/>
          <w:sz w:val="16"/>
          <w:szCs w:val="16"/>
        </w:rPr>
        <w:t xml:space="preserve">crime analysts, </w:t>
      </w:r>
      <w:r w:rsidRPr="008A7BD7">
        <w:rPr>
          <w:rFonts w:ascii="Cambria" w:hAnsi="Cambria"/>
          <w:sz w:val="16"/>
          <w:szCs w:val="16"/>
        </w:rPr>
        <w:t xml:space="preserve">10 </w:t>
      </w:r>
      <w:r w:rsidR="00802939" w:rsidRPr="008A7BD7">
        <w:rPr>
          <w:rFonts w:ascii="Cambria" w:hAnsi="Cambria"/>
          <w:sz w:val="16"/>
          <w:szCs w:val="16"/>
        </w:rPr>
        <w:t>financial analysts</w:t>
      </w:r>
      <w:r w:rsidRPr="008A7BD7">
        <w:rPr>
          <w:rFonts w:ascii="Cambria" w:hAnsi="Cambria"/>
          <w:sz w:val="16"/>
          <w:szCs w:val="16"/>
        </w:rPr>
        <w:t xml:space="preserve">, 6 </w:t>
      </w:r>
      <w:r w:rsidR="00802939" w:rsidRPr="008A7BD7">
        <w:rPr>
          <w:rFonts w:ascii="Cambria" w:hAnsi="Cambria"/>
          <w:sz w:val="16"/>
          <w:szCs w:val="16"/>
        </w:rPr>
        <w:t xml:space="preserve">support staff, </w:t>
      </w:r>
      <w:r w:rsidR="00651857" w:rsidRPr="008A7BD7">
        <w:rPr>
          <w:rFonts w:ascii="Cambria" w:hAnsi="Cambria"/>
          <w:sz w:val="16"/>
          <w:szCs w:val="16"/>
        </w:rPr>
        <w:t xml:space="preserve">and </w:t>
      </w:r>
      <w:r w:rsidR="00802939" w:rsidRPr="008A7BD7">
        <w:rPr>
          <w:rFonts w:ascii="Cambria" w:hAnsi="Cambria"/>
          <w:sz w:val="16"/>
          <w:szCs w:val="16"/>
        </w:rPr>
        <w:t xml:space="preserve">interinstitutional support from 4 financial analysts from the Special Verification Office and 19 </w:t>
      </w:r>
      <w:r w:rsidR="006F3CC2" w:rsidRPr="008A7BD7">
        <w:rPr>
          <w:rFonts w:ascii="Cambria" w:hAnsi="Cambria"/>
          <w:sz w:val="16"/>
          <w:szCs w:val="16"/>
        </w:rPr>
        <w:t>National Civil Police</w:t>
      </w:r>
      <w:r w:rsidR="009155E8" w:rsidRPr="008A7BD7">
        <w:rPr>
          <w:rFonts w:ascii="Cambria" w:hAnsi="Cambria"/>
          <w:sz w:val="16"/>
          <w:szCs w:val="16"/>
        </w:rPr>
        <w:t xml:space="preserve"> </w:t>
      </w:r>
      <w:r w:rsidR="006F3CC2" w:rsidRPr="008A7BD7">
        <w:rPr>
          <w:rFonts w:ascii="Cambria" w:hAnsi="Cambria"/>
          <w:sz w:val="16"/>
          <w:szCs w:val="16"/>
        </w:rPr>
        <w:t xml:space="preserve">(PNC) </w:t>
      </w:r>
      <w:r w:rsidR="009155E8" w:rsidRPr="008A7BD7">
        <w:rPr>
          <w:rFonts w:ascii="Cambria" w:hAnsi="Cambria"/>
          <w:sz w:val="16"/>
          <w:szCs w:val="16"/>
        </w:rPr>
        <w:t>investigators</w:t>
      </w:r>
      <w:r w:rsidRPr="008A7BD7">
        <w:rPr>
          <w:rFonts w:ascii="Cambria" w:hAnsi="Cambria"/>
          <w:sz w:val="16"/>
          <w:szCs w:val="16"/>
        </w:rPr>
        <w:t xml:space="preserve">. </w:t>
      </w:r>
      <w:r w:rsidR="009155E8" w:rsidRPr="008A7BD7">
        <w:rPr>
          <w:rFonts w:ascii="Cambria" w:hAnsi="Cambria"/>
          <w:sz w:val="16"/>
          <w:szCs w:val="16"/>
        </w:rPr>
        <w:t xml:space="preserve">The State notes, as well, that this prosecutor’s office has security arrangements to ensure the protection of its staff; these arrangements are determined through risk assessments done by the Security Department. </w:t>
      </w:r>
      <w:r w:rsidR="006C3262" w:rsidRPr="008A7BD7">
        <w:rPr>
          <w:rFonts w:ascii="Cambria" w:hAnsi="Cambria"/>
          <w:sz w:val="16"/>
          <w:szCs w:val="16"/>
        </w:rPr>
        <w:t>Response from the State of</w:t>
      </w:r>
      <w:r w:rsidR="006C3262"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6C3262" w:rsidRPr="008A7BD7">
        <w:rPr>
          <w:rFonts w:ascii="Cambria" w:hAnsi="Cambria"/>
          <w:sz w:val="16"/>
          <w:szCs w:val="16"/>
        </w:rPr>
        <w:t>OEA</w:t>
      </w:r>
      <w:r w:rsidR="006C3262" w:rsidRPr="008A7BD7">
        <w:rPr>
          <w:rFonts w:ascii="Cambria" w:eastAsia="Cambria" w:hAnsi="Cambria" w:cs="Cambria"/>
          <w:color w:val="000000"/>
          <w:sz w:val="16"/>
          <w:szCs w:val="16"/>
        </w:rPr>
        <w:t>-M4-980-2021, December 22, 2021, p</w:t>
      </w:r>
      <w:r w:rsidRPr="008A7BD7">
        <w:rPr>
          <w:rFonts w:ascii="Cambria" w:eastAsia="Cambria" w:hAnsi="Cambria" w:cs="Cambria"/>
          <w:color w:val="000000"/>
          <w:sz w:val="16"/>
          <w:szCs w:val="16"/>
        </w:rPr>
        <w:t>. 7.</w:t>
      </w:r>
    </w:p>
  </w:footnote>
  <w:footnote w:id="21">
    <w:p w14:paraId="210AB829" w14:textId="10AC00CF" w:rsidR="00C56230" w:rsidRPr="008A7BD7" w:rsidRDefault="00C56230" w:rsidP="00C56230">
      <w:pPr>
        <w:pStyle w:val="FootnoteText"/>
        <w:spacing w:after="120"/>
        <w:ind w:firstLine="720"/>
        <w:jc w:val="both"/>
      </w:pPr>
      <w:r w:rsidRPr="008A7BD7">
        <w:rPr>
          <w:rStyle w:val="FootnoteReference"/>
        </w:rPr>
        <w:footnoteRef/>
      </w:r>
      <w:r w:rsidRPr="008A7BD7">
        <w:t xml:space="preserve"> </w:t>
      </w:r>
      <w:r w:rsidRPr="008A7BD7">
        <w:rPr>
          <w:rFonts w:ascii="Cambria" w:hAnsi="Cambria"/>
          <w:sz w:val="16"/>
          <w:szCs w:val="16"/>
        </w:rPr>
        <w:t>Guatemala</w:t>
      </w:r>
      <w:r w:rsidR="00F8039A" w:rsidRPr="008A7BD7">
        <w:rPr>
          <w:rFonts w:ascii="Cambria" w:hAnsi="Cambria"/>
          <w:sz w:val="16"/>
          <w:szCs w:val="16"/>
        </w:rPr>
        <w:t xml:space="preserve">, </w:t>
      </w:r>
      <w:r w:rsidR="00F8039A" w:rsidRPr="008A7BD7">
        <w:rPr>
          <w:rFonts w:ascii="Cambria" w:eastAsia="Cambria" w:hAnsi="Cambria" w:cs="Cambria"/>
          <w:color w:val="000000"/>
          <w:sz w:val="16"/>
          <w:szCs w:val="16"/>
        </w:rPr>
        <w:t>Note from the Permanent Mission of Guatemala to the Organization of American States (OAS), NV-</w:t>
      </w:r>
      <w:r w:rsidR="00F8039A" w:rsidRPr="008A7BD7">
        <w:rPr>
          <w:rFonts w:ascii="Cambria" w:hAnsi="Cambria"/>
          <w:sz w:val="16"/>
          <w:szCs w:val="16"/>
        </w:rPr>
        <w:t>OEA</w:t>
      </w:r>
      <w:r w:rsidR="00F8039A" w:rsidRPr="008A7BD7">
        <w:rPr>
          <w:rFonts w:ascii="Cambria" w:eastAsia="Cambria" w:hAnsi="Cambria" w:cs="Cambria"/>
          <w:color w:val="000000"/>
          <w:sz w:val="16"/>
          <w:szCs w:val="16"/>
        </w:rPr>
        <w:t xml:space="preserve">-M4-980-2021, December 22, 2021, </w:t>
      </w:r>
      <w:r w:rsidRPr="008A7BD7">
        <w:rPr>
          <w:rFonts w:ascii="Cambria" w:eastAsia="Cambria" w:hAnsi="Cambria" w:cs="Cambria"/>
          <w:color w:val="000000"/>
          <w:sz w:val="16"/>
          <w:szCs w:val="16"/>
        </w:rPr>
        <w:t>p. 8.</w:t>
      </w:r>
    </w:p>
  </w:footnote>
  <w:footnote w:id="22">
    <w:p w14:paraId="0FB20DB4" w14:textId="3B882200" w:rsidR="003716DC" w:rsidRPr="008A7BD7" w:rsidRDefault="003716DC"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076220" w:rsidRPr="008A7BD7">
        <w:rPr>
          <w:rFonts w:ascii="Cambria" w:hAnsi="Cambria"/>
          <w:sz w:val="16"/>
          <w:szCs w:val="16"/>
        </w:rPr>
        <w:t xml:space="preserve">IACHR, </w:t>
      </w:r>
      <w:hyperlink r:id="rId15" w:history="1">
        <w:r w:rsidR="00076220" w:rsidRPr="008A7BD7">
          <w:rPr>
            <w:rStyle w:val="Hyperlink"/>
            <w:rFonts w:ascii="Cambria" w:hAnsi="Cambria"/>
            <w:sz w:val="16"/>
            <w:szCs w:val="16"/>
          </w:rPr>
          <w:t>Situation of Human Rights in Guatemala</w:t>
        </w:r>
      </w:hyperlink>
      <w:r w:rsidR="00076220" w:rsidRPr="008A7BD7">
        <w:rPr>
          <w:rFonts w:ascii="Cambria" w:hAnsi="Cambria"/>
          <w:sz w:val="16"/>
          <w:szCs w:val="16"/>
        </w:rPr>
        <w:t>, OEA/</w:t>
      </w:r>
      <w:proofErr w:type="spellStart"/>
      <w:r w:rsidR="00076220" w:rsidRPr="008A7BD7">
        <w:rPr>
          <w:rFonts w:ascii="Cambria" w:hAnsi="Cambria"/>
          <w:sz w:val="16"/>
          <w:szCs w:val="16"/>
        </w:rPr>
        <w:t>Ser.L</w:t>
      </w:r>
      <w:proofErr w:type="spellEnd"/>
      <w:r w:rsidR="00076220" w:rsidRPr="008A7BD7">
        <w:rPr>
          <w:rFonts w:ascii="Cambria" w:hAnsi="Cambria"/>
          <w:sz w:val="16"/>
          <w:szCs w:val="16"/>
        </w:rPr>
        <w:t>/V/II. Doc. 208/17, December 31, 2017</w:t>
      </w:r>
      <w:r w:rsidR="00C95E34" w:rsidRPr="008A7BD7">
        <w:rPr>
          <w:rFonts w:ascii="Cambria" w:hAnsi="Cambria"/>
          <w:sz w:val="16"/>
          <w:szCs w:val="16"/>
        </w:rPr>
        <w:t>.</w:t>
      </w:r>
    </w:p>
  </w:footnote>
  <w:footnote w:id="23">
    <w:p w14:paraId="2913F667" w14:textId="48852396" w:rsidR="00304B76" w:rsidRPr="008A7BD7" w:rsidRDefault="00304B76" w:rsidP="00746761">
      <w:pPr>
        <w:pStyle w:val="FootnoteText"/>
        <w:spacing w:after="120"/>
        <w:ind w:firstLine="720"/>
        <w:jc w:val="both"/>
        <w:rPr>
          <w:rFonts w:ascii="Cambria" w:hAnsi="Cambria"/>
          <w:sz w:val="16"/>
          <w:szCs w:val="16"/>
          <w:lang w:val="es-E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La Hora</w:t>
      </w:r>
      <w:r w:rsidRPr="008A7BD7">
        <w:rPr>
          <w:rFonts w:ascii="Cambria" w:hAnsi="Cambria"/>
          <w:sz w:val="16"/>
          <w:szCs w:val="16"/>
          <w:lang w:val="es-US"/>
        </w:rPr>
        <w:t xml:space="preserve">, </w:t>
      </w:r>
      <w:hyperlink r:id="rId16">
        <w:r w:rsidRPr="008A7BD7">
          <w:rPr>
            <w:rStyle w:val="Hyperlink"/>
            <w:rFonts w:ascii="Cambria" w:hAnsi="Cambria"/>
            <w:i/>
            <w:iCs/>
            <w:sz w:val="16"/>
            <w:szCs w:val="16"/>
            <w:lang w:val="es-US"/>
          </w:rPr>
          <w:t>MP y CICIG revelan segundo caso de financiamiento ilícito de FCN</w:t>
        </w:r>
      </w:hyperlink>
      <w:r w:rsidR="00E6051B" w:rsidRPr="008A7BD7">
        <w:rPr>
          <w:rStyle w:val="Hyperlink"/>
          <w:rFonts w:ascii="Cambria" w:hAnsi="Cambria"/>
          <w:sz w:val="16"/>
          <w:szCs w:val="16"/>
          <w:lang w:val="es-US"/>
        </w:rPr>
        <w:t>,</w:t>
      </w:r>
      <w:r w:rsidRPr="008A7BD7">
        <w:rPr>
          <w:rFonts w:ascii="Cambria" w:hAnsi="Cambria"/>
          <w:sz w:val="16"/>
          <w:szCs w:val="16"/>
          <w:lang w:val="es-US"/>
        </w:rPr>
        <w:t xml:space="preserve"> </w:t>
      </w:r>
      <w:r w:rsidR="00E6051B" w:rsidRPr="008A7BD7">
        <w:rPr>
          <w:rFonts w:ascii="Cambria" w:hAnsi="Cambria"/>
          <w:sz w:val="16"/>
          <w:szCs w:val="16"/>
          <w:lang w:val="es-US"/>
        </w:rPr>
        <w:t xml:space="preserve">April </w:t>
      </w:r>
      <w:r w:rsidRPr="008A7BD7">
        <w:rPr>
          <w:rFonts w:ascii="Cambria" w:hAnsi="Cambria"/>
          <w:sz w:val="16"/>
          <w:szCs w:val="16"/>
          <w:lang w:val="es-US"/>
        </w:rPr>
        <w:t>19</w:t>
      </w:r>
      <w:r w:rsidR="00E6051B" w:rsidRPr="008A7BD7">
        <w:rPr>
          <w:rFonts w:ascii="Cambria" w:hAnsi="Cambria"/>
          <w:sz w:val="16"/>
          <w:szCs w:val="16"/>
          <w:lang w:val="es-US"/>
        </w:rPr>
        <w:t>,</w:t>
      </w:r>
      <w:r w:rsidRPr="008A7BD7">
        <w:rPr>
          <w:rFonts w:ascii="Cambria" w:hAnsi="Cambria"/>
          <w:sz w:val="16"/>
          <w:szCs w:val="16"/>
          <w:lang w:val="es-US"/>
        </w:rPr>
        <w:t xml:space="preserve"> 2018; </w:t>
      </w:r>
      <w:r w:rsidRPr="008A7BD7">
        <w:rPr>
          <w:rFonts w:ascii="Cambria" w:hAnsi="Cambria"/>
          <w:i/>
          <w:iCs/>
          <w:sz w:val="16"/>
          <w:szCs w:val="16"/>
          <w:lang w:val="es-US"/>
        </w:rPr>
        <w:t>Prensa Libre</w:t>
      </w:r>
      <w:r w:rsidRPr="008A7BD7">
        <w:rPr>
          <w:rFonts w:ascii="Cambria" w:hAnsi="Cambria"/>
          <w:sz w:val="16"/>
          <w:szCs w:val="16"/>
          <w:lang w:val="es-US"/>
        </w:rPr>
        <w:t xml:space="preserve">, </w:t>
      </w:r>
      <w:hyperlink r:id="rId17">
        <w:r w:rsidRPr="008A7BD7">
          <w:rPr>
            <w:rStyle w:val="Hyperlink"/>
            <w:rFonts w:ascii="Cambria" w:hAnsi="Cambria"/>
            <w:i/>
            <w:iCs/>
            <w:sz w:val="16"/>
            <w:szCs w:val="16"/>
            <w:lang w:val="es-US"/>
          </w:rPr>
          <w:t>Estos son los casos más emblemáticos investigados por la FECI</w:t>
        </w:r>
      </w:hyperlink>
      <w:r w:rsidR="00E6051B" w:rsidRPr="008A7BD7">
        <w:rPr>
          <w:rStyle w:val="Hyperlink"/>
          <w:rFonts w:ascii="Cambria" w:hAnsi="Cambria"/>
          <w:sz w:val="16"/>
          <w:szCs w:val="16"/>
          <w:lang w:val="es-US"/>
        </w:rPr>
        <w:t>,</w:t>
      </w:r>
      <w:r w:rsidRPr="008A7BD7">
        <w:rPr>
          <w:rFonts w:ascii="Cambria" w:hAnsi="Cambria"/>
          <w:sz w:val="16"/>
          <w:szCs w:val="16"/>
          <w:lang w:val="es-US"/>
        </w:rPr>
        <w:t xml:space="preserve"> </w:t>
      </w:r>
      <w:proofErr w:type="spellStart"/>
      <w:r w:rsidR="00E6051B" w:rsidRPr="008A7BD7">
        <w:rPr>
          <w:rFonts w:ascii="Cambria" w:hAnsi="Cambria"/>
          <w:sz w:val="16"/>
          <w:szCs w:val="16"/>
          <w:lang w:val="es-US"/>
        </w:rPr>
        <w:t>July</w:t>
      </w:r>
      <w:proofErr w:type="spellEnd"/>
      <w:r w:rsidR="00E6051B" w:rsidRPr="008A7BD7">
        <w:rPr>
          <w:rFonts w:ascii="Cambria" w:hAnsi="Cambria"/>
          <w:sz w:val="16"/>
          <w:szCs w:val="16"/>
          <w:lang w:val="es-US"/>
        </w:rPr>
        <w:t xml:space="preserve"> </w:t>
      </w:r>
      <w:r w:rsidRPr="008A7BD7">
        <w:rPr>
          <w:rFonts w:ascii="Cambria" w:hAnsi="Cambria"/>
          <w:sz w:val="16"/>
          <w:szCs w:val="16"/>
          <w:lang w:val="es-US"/>
        </w:rPr>
        <w:t>23</w:t>
      </w:r>
      <w:r w:rsidR="00E6051B" w:rsidRPr="008A7BD7">
        <w:rPr>
          <w:rFonts w:ascii="Cambria" w:hAnsi="Cambria"/>
          <w:sz w:val="16"/>
          <w:szCs w:val="16"/>
          <w:lang w:val="es-US"/>
        </w:rPr>
        <w:t xml:space="preserve">, </w:t>
      </w:r>
      <w:r w:rsidRPr="008A7BD7">
        <w:rPr>
          <w:rFonts w:ascii="Cambria" w:hAnsi="Cambria"/>
          <w:sz w:val="16"/>
          <w:szCs w:val="16"/>
          <w:lang w:val="es-US"/>
        </w:rPr>
        <w:t>2021.</w:t>
      </w:r>
    </w:p>
  </w:footnote>
  <w:footnote w:id="24">
    <w:p w14:paraId="407C0722" w14:textId="29688F09" w:rsidR="00DC4F64" w:rsidRPr="00C63448" w:rsidRDefault="00DC4F64" w:rsidP="00746761">
      <w:pPr>
        <w:pStyle w:val="NormalWeb"/>
        <w:spacing w:after="120"/>
        <w:ind w:firstLine="720"/>
        <w:jc w:val="both"/>
        <w:rPr>
          <w:rFonts w:ascii="Cambria" w:eastAsia="Times New Roman" w:hAnsi="Cambria"/>
          <w:sz w:val="16"/>
          <w:szCs w:val="16"/>
          <w:lang w:eastAsia="es-ES_tradnl"/>
        </w:rPr>
      </w:pPr>
      <w:r w:rsidRPr="008A7BD7">
        <w:rPr>
          <w:rStyle w:val="FootnoteReference"/>
          <w:rFonts w:ascii="Cambria" w:hAnsi="Cambria"/>
          <w:sz w:val="16"/>
          <w:szCs w:val="16"/>
        </w:rPr>
        <w:footnoteRef/>
      </w:r>
      <w:r w:rsidRPr="008A7BD7">
        <w:rPr>
          <w:rFonts w:ascii="Cambria" w:hAnsi="Cambria"/>
          <w:sz w:val="16"/>
          <w:szCs w:val="16"/>
        </w:rPr>
        <w:t xml:space="preserve"> </w:t>
      </w:r>
      <w:r w:rsidR="006F2367" w:rsidRPr="008A7BD7">
        <w:rPr>
          <w:rFonts w:ascii="Cambria" w:eastAsia="Times New Roman" w:hAnsi="Cambria"/>
          <w:sz w:val="16"/>
          <w:szCs w:val="16"/>
          <w:lang w:eastAsia="es-ES_tradnl"/>
        </w:rPr>
        <w:t xml:space="preserve">In a report presented on May </w:t>
      </w:r>
      <w:r w:rsidRPr="008A7BD7">
        <w:rPr>
          <w:rFonts w:ascii="Cambria" w:eastAsia="Times New Roman" w:hAnsi="Cambria"/>
          <w:sz w:val="16"/>
          <w:szCs w:val="16"/>
          <w:lang w:eastAsia="es-ES_tradnl"/>
        </w:rPr>
        <w:t>28</w:t>
      </w:r>
      <w:r w:rsidR="006F2367" w:rsidRPr="008A7BD7">
        <w:rPr>
          <w:rFonts w:ascii="Cambria" w:eastAsia="Times New Roman" w:hAnsi="Cambria"/>
          <w:sz w:val="16"/>
          <w:szCs w:val="16"/>
          <w:lang w:eastAsia="es-ES_tradnl"/>
        </w:rPr>
        <w:t xml:space="preserve">, </w:t>
      </w:r>
      <w:r w:rsidRPr="008A7BD7">
        <w:rPr>
          <w:rFonts w:ascii="Cambria" w:eastAsia="Times New Roman" w:hAnsi="Cambria"/>
          <w:sz w:val="16"/>
          <w:szCs w:val="16"/>
          <w:lang w:eastAsia="es-ES_tradnl"/>
        </w:rPr>
        <w:t xml:space="preserve">2020, </w:t>
      </w:r>
      <w:r w:rsidR="006F2367" w:rsidRPr="008A7BD7">
        <w:rPr>
          <w:rFonts w:ascii="Cambria" w:eastAsia="Times New Roman" w:hAnsi="Cambria"/>
          <w:sz w:val="16"/>
          <w:szCs w:val="16"/>
          <w:lang w:eastAsia="es-ES_tradnl"/>
        </w:rPr>
        <w:t xml:space="preserve">the </w:t>
      </w:r>
      <w:r w:rsidRPr="008A7BD7">
        <w:rPr>
          <w:rFonts w:ascii="Cambria" w:eastAsia="Times New Roman" w:hAnsi="Cambria"/>
          <w:sz w:val="16"/>
          <w:szCs w:val="16"/>
          <w:lang w:eastAsia="es-ES_tradnl"/>
        </w:rPr>
        <w:t xml:space="preserve">FECI </w:t>
      </w:r>
      <w:r w:rsidR="00BB510A" w:rsidRPr="008A7BD7">
        <w:rPr>
          <w:rFonts w:ascii="Cambria" w:eastAsia="Times New Roman" w:hAnsi="Cambria"/>
          <w:sz w:val="16"/>
          <w:szCs w:val="16"/>
          <w:lang w:eastAsia="es-ES_tradnl"/>
        </w:rPr>
        <w:t xml:space="preserve">pointed to </w:t>
      </w:r>
      <w:r w:rsidR="00931138" w:rsidRPr="008A7BD7">
        <w:rPr>
          <w:rFonts w:ascii="Cambria" w:eastAsia="Times New Roman" w:hAnsi="Cambria"/>
          <w:sz w:val="16"/>
          <w:szCs w:val="16"/>
          <w:lang w:eastAsia="es-ES_tradnl"/>
        </w:rPr>
        <w:t xml:space="preserve">circumstantial </w:t>
      </w:r>
      <w:r w:rsidR="00BB510A" w:rsidRPr="008A7BD7">
        <w:rPr>
          <w:rFonts w:ascii="Cambria" w:eastAsia="Times New Roman" w:hAnsi="Cambria"/>
          <w:sz w:val="16"/>
          <w:szCs w:val="16"/>
          <w:lang w:eastAsia="es-ES_tradnl"/>
        </w:rPr>
        <w:t xml:space="preserve">evidence of manipulation </w:t>
      </w:r>
      <w:r w:rsidR="00931138" w:rsidRPr="008A7BD7">
        <w:rPr>
          <w:rFonts w:ascii="Cambria" w:eastAsia="Times New Roman" w:hAnsi="Cambria"/>
          <w:sz w:val="16"/>
          <w:szCs w:val="16"/>
          <w:lang w:eastAsia="es-ES_tradnl"/>
        </w:rPr>
        <w:t>and</w:t>
      </w:r>
      <w:r w:rsidR="00BB510A" w:rsidRPr="008A7BD7">
        <w:rPr>
          <w:rFonts w:ascii="Cambria" w:eastAsia="Times New Roman" w:hAnsi="Cambria"/>
          <w:sz w:val="16"/>
          <w:szCs w:val="16"/>
          <w:lang w:eastAsia="es-ES_tradnl"/>
        </w:rPr>
        <w:t xml:space="preserve"> influence </w:t>
      </w:r>
      <w:r w:rsidR="00931138" w:rsidRPr="008A7BD7">
        <w:rPr>
          <w:rFonts w:ascii="Cambria" w:eastAsia="Times New Roman" w:hAnsi="Cambria"/>
          <w:sz w:val="16"/>
          <w:szCs w:val="16"/>
          <w:lang w:eastAsia="es-ES_tradnl"/>
        </w:rPr>
        <w:t xml:space="preserve">peddling </w:t>
      </w:r>
      <w:r w:rsidR="00BB510A" w:rsidRPr="008A7BD7">
        <w:rPr>
          <w:rFonts w:ascii="Cambria" w:eastAsia="Times New Roman" w:hAnsi="Cambria"/>
          <w:sz w:val="16"/>
          <w:szCs w:val="16"/>
          <w:lang w:eastAsia="es-ES_tradnl"/>
        </w:rPr>
        <w:t xml:space="preserve">in the process of </w:t>
      </w:r>
      <w:r w:rsidR="00931138" w:rsidRPr="008A7BD7">
        <w:rPr>
          <w:rFonts w:ascii="Cambria" w:eastAsia="Times New Roman" w:hAnsi="Cambria"/>
          <w:sz w:val="16"/>
          <w:szCs w:val="16"/>
          <w:lang w:eastAsia="es-ES_tradnl"/>
        </w:rPr>
        <w:t>installing</w:t>
      </w:r>
      <w:r w:rsidR="00BB510A" w:rsidRPr="008A7BD7">
        <w:rPr>
          <w:rFonts w:ascii="Cambria" w:eastAsia="Times New Roman" w:hAnsi="Cambria"/>
          <w:sz w:val="16"/>
          <w:szCs w:val="16"/>
          <w:lang w:eastAsia="es-ES_tradnl"/>
        </w:rPr>
        <w:t xml:space="preserve"> the Nominati</w:t>
      </w:r>
      <w:r w:rsidR="002256B9" w:rsidRPr="008A7BD7">
        <w:rPr>
          <w:rFonts w:ascii="Cambria" w:eastAsia="Times New Roman" w:hAnsi="Cambria"/>
          <w:sz w:val="16"/>
          <w:szCs w:val="16"/>
          <w:lang w:eastAsia="es-ES_tradnl"/>
        </w:rPr>
        <w:t>ng</w:t>
      </w:r>
      <w:r w:rsidR="00BB510A" w:rsidRPr="008A7BD7">
        <w:rPr>
          <w:rFonts w:ascii="Cambria" w:eastAsia="Times New Roman" w:hAnsi="Cambria"/>
          <w:sz w:val="16"/>
          <w:szCs w:val="16"/>
          <w:lang w:eastAsia="es-ES_tradnl"/>
        </w:rPr>
        <w:t xml:space="preserve"> Committees </w:t>
      </w:r>
      <w:r w:rsidR="00931138" w:rsidRPr="008A7BD7">
        <w:rPr>
          <w:rFonts w:ascii="Cambria" w:eastAsia="Times New Roman" w:hAnsi="Cambria"/>
          <w:sz w:val="16"/>
          <w:szCs w:val="16"/>
          <w:lang w:eastAsia="es-ES_tradnl"/>
        </w:rPr>
        <w:t>responsible</w:t>
      </w:r>
      <w:r w:rsidR="00BB510A" w:rsidRPr="008A7BD7">
        <w:rPr>
          <w:rFonts w:ascii="Cambria" w:eastAsia="Times New Roman" w:hAnsi="Cambria"/>
          <w:sz w:val="16"/>
          <w:szCs w:val="16"/>
          <w:lang w:eastAsia="es-ES_tradnl"/>
        </w:rPr>
        <w:t xml:space="preserve"> </w:t>
      </w:r>
      <w:r w:rsidR="00931138" w:rsidRPr="008A7BD7">
        <w:rPr>
          <w:rFonts w:ascii="Cambria" w:eastAsia="Times New Roman" w:hAnsi="Cambria"/>
          <w:sz w:val="16"/>
          <w:szCs w:val="16"/>
          <w:lang w:eastAsia="es-ES_tradnl"/>
        </w:rPr>
        <w:t xml:space="preserve">for </w:t>
      </w:r>
      <w:r w:rsidR="00BB510A" w:rsidRPr="008A7BD7">
        <w:rPr>
          <w:rFonts w:ascii="Cambria" w:eastAsia="Times New Roman" w:hAnsi="Cambria"/>
          <w:sz w:val="16"/>
          <w:szCs w:val="16"/>
          <w:lang w:eastAsia="es-ES_tradnl"/>
        </w:rPr>
        <w:t xml:space="preserve">analyzing the </w:t>
      </w:r>
      <w:r w:rsidR="00931138" w:rsidRPr="008A7BD7">
        <w:rPr>
          <w:rFonts w:ascii="Cambria" w:eastAsia="Times New Roman" w:hAnsi="Cambria"/>
          <w:sz w:val="16"/>
          <w:szCs w:val="16"/>
          <w:lang w:eastAsia="es-ES_tradnl"/>
        </w:rPr>
        <w:t>records</w:t>
      </w:r>
      <w:r w:rsidR="00BB510A" w:rsidRPr="008A7BD7">
        <w:rPr>
          <w:rFonts w:ascii="Cambria" w:eastAsia="Times New Roman" w:hAnsi="Cambria"/>
          <w:sz w:val="16"/>
          <w:szCs w:val="16"/>
          <w:lang w:eastAsia="es-ES_tradnl"/>
        </w:rPr>
        <w:t xml:space="preserve"> of candidates to </w:t>
      </w:r>
      <w:r w:rsidR="00931138" w:rsidRPr="008A7BD7">
        <w:rPr>
          <w:rFonts w:ascii="Cambria" w:eastAsia="Times New Roman" w:hAnsi="Cambria"/>
          <w:sz w:val="16"/>
          <w:szCs w:val="16"/>
          <w:lang w:eastAsia="es-ES_tradnl"/>
        </w:rPr>
        <w:t>h</w:t>
      </w:r>
      <w:r w:rsidR="00BB510A" w:rsidRPr="008A7BD7">
        <w:rPr>
          <w:rFonts w:ascii="Cambria" w:eastAsia="Times New Roman" w:hAnsi="Cambria"/>
          <w:sz w:val="16"/>
          <w:szCs w:val="16"/>
          <w:lang w:eastAsia="es-ES_tradnl"/>
        </w:rPr>
        <w:t>igh</w:t>
      </w:r>
      <w:r w:rsidR="00931138" w:rsidRPr="008A7BD7">
        <w:rPr>
          <w:rFonts w:ascii="Cambria" w:eastAsia="Times New Roman" w:hAnsi="Cambria"/>
          <w:sz w:val="16"/>
          <w:szCs w:val="16"/>
          <w:lang w:eastAsia="es-ES_tradnl"/>
        </w:rPr>
        <w:t>-c</w:t>
      </w:r>
      <w:r w:rsidR="00BB510A" w:rsidRPr="008A7BD7">
        <w:rPr>
          <w:rFonts w:ascii="Cambria" w:eastAsia="Times New Roman" w:hAnsi="Cambria"/>
          <w:sz w:val="16"/>
          <w:szCs w:val="16"/>
          <w:lang w:eastAsia="es-ES_tradnl"/>
        </w:rPr>
        <w:t>ourt</w:t>
      </w:r>
      <w:r w:rsidR="00931138" w:rsidRPr="008A7BD7">
        <w:rPr>
          <w:rFonts w:ascii="Cambria" w:eastAsia="Times New Roman" w:hAnsi="Cambria"/>
          <w:sz w:val="16"/>
          <w:szCs w:val="16"/>
          <w:lang w:eastAsia="es-ES_tradnl"/>
        </w:rPr>
        <w:t xml:space="preserve"> position</w:t>
      </w:r>
      <w:r w:rsidR="00BB510A" w:rsidRPr="008A7BD7">
        <w:rPr>
          <w:rFonts w:ascii="Cambria" w:eastAsia="Times New Roman" w:hAnsi="Cambria"/>
          <w:sz w:val="16"/>
          <w:szCs w:val="16"/>
          <w:lang w:eastAsia="es-ES_tradnl"/>
        </w:rPr>
        <w:t xml:space="preserve">s. It established that </w:t>
      </w:r>
      <w:r w:rsidRPr="008A7BD7">
        <w:rPr>
          <w:rFonts w:ascii="Cambria" w:eastAsia="Times New Roman" w:hAnsi="Cambria"/>
          <w:sz w:val="16"/>
          <w:szCs w:val="16"/>
          <w:lang w:eastAsia="es-ES_tradnl"/>
        </w:rPr>
        <w:t xml:space="preserve">75 </w:t>
      </w:r>
      <w:r w:rsidR="00BB510A" w:rsidRPr="008A7BD7">
        <w:rPr>
          <w:rFonts w:ascii="Cambria" w:eastAsia="Times New Roman" w:hAnsi="Cambria"/>
          <w:sz w:val="16"/>
          <w:szCs w:val="16"/>
          <w:lang w:eastAsia="es-ES_tradnl"/>
        </w:rPr>
        <w:t xml:space="preserve">individuals </w:t>
      </w:r>
      <w:r w:rsidR="00931138" w:rsidRPr="008A7BD7">
        <w:rPr>
          <w:rFonts w:ascii="Cambria" w:eastAsia="Times New Roman" w:hAnsi="Cambria"/>
          <w:sz w:val="16"/>
          <w:szCs w:val="16"/>
          <w:lang w:eastAsia="es-ES_tradnl"/>
        </w:rPr>
        <w:t>aspiring</w:t>
      </w:r>
      <w:r w:rsidR="00BB510A" w:rsidRPr="008A7BD7">
        <w:rPr>
          <w:rFonts w:ascii="Cambria" w:eastAsia="Times New Roman" w:hAnsi="Cambria"/>
          <w:sz w:val="16"/>
          <w:szCs w:val="16"/>
          <w:lang w:eastAsia="es-ES_tradnl"/>
        </w:rPr>
        <w:t xml:space="preserve"> to be </w:t>
      </w:r>
      <w:r w:rsidR="00931138" w:rsidRPr="008A7BD7">
        <w:rPr>
          <w:rFonts w:ascii="Cambria" w:eastAsia="Times New Roman" w:hAnsi="Cambria"/>
          <w:sz w:val="16"/>
          <w:szCs w:val="16"/>
          <w:lang w:eastAsia="es-ES_tradnl"/>
        </w:rPr>
        <w:t xml:space="preserve">appointed to </w:t>
      </w:r>
      <w:r w:rsidR="00BB510A" w:rsidRPr="008A7BD7">
        <w:rPr>
          <w:rFonts w:ascii="Cambria" w:eastAsia="Times New Roman" w:hAnsi="Cambria"/>
          <w:sz w:val="16"/>
          <w:szCs w:val="16"/>
          <w:lang w:eastAsia="es-ES_tradnl"/>
        </w:rPr>
        <w:t xml:space="preserve">Courts of Appeals and </w:t>
      </w:r>
      <w:r w:rsidRPr="008A7BD7">
        <w:rPr>
          <w:rFonts w:ascii="Cambria" w:eastAsia="Times New Roman" w:hAnsi="Cambria"/>
          <w:sz w:val="16"/>
          <w:szCs w:val="16"/>
          <w:lang w:eastAsia="es-ES_tradnl"/>
        </w:rPr>
        <w:t xml:space="preserve">15 </w:t>
      </w:r>
      <w:r w:rsidR="00BB510A" w:rsidRPr="008A7BD7">
        <w:rPr>
          <w:rFonts w:ascii="Cambria" w:eastAsia="Times New Roman" w:hAnsi="Cambria"/>
          <w:sz w:val="16"/>
          <w:szCs w:val="16"/>
          <w:lang w:eastAsia="es-ES_tradnl"/>
        </w:rPr>
        <w:t xml:space="preserve">individuals </w:t>
      </w:r>
      <w:r w:rsidR="00931138" w:rsidRPr="008A7BD7">
        <w:rPr>
          <w:rFonts w:ascii="Cambria" w:eastAsia="Times New Roman" w:hAnsi="Cambria"/>
          <w:sz w:val="16"/>
          <w:szCs w:val="16"/>
          <w:lang w:eastAsia="es-ES_tradnl"/>
        </w:rPr>
        <w:t xml:space="preserve">already </w:t>
      </w:r>
      <w:r w:rsidR="00BB510A" w:rsidRPr="008A7BD7">
        <w:rPr>
          <w:rFonts w:ascii="Cambria" w:eastAsia="Times New Roman" w:hAnsi="Cambria"/>
          <w:sz w:val="16"/>
          <w:szCs w:val="16"/>
          <w:lang w:eastAsia="es-ES_tradnl"/>
        </w:rPr>
        <w:t xml:space="preserve">nominated to the Supreme Court </w:t>
      </w:r>
      <w:r w:rsidR="00012D6F" w:rsidRPr="008A7BD7">
        <w:rPr>
          <w:rFonts w:ascii="Cambria" w:eastAsia="Times New Roman" w:hAnsi="Cambria"/>
          <w:sz w:val="16"/>
          <w:szCs w:val="16"/>
          <w:lang w:eastAsia="es-ES_tradnl"/>
        </w:rPr>
        <w:t>were</w:t>
      </w:r>
      <w:r w:rsidR="00BB510A" w:rsidRPr="008A7BD7">
        <w:rPr>
          <w:rFonts w:ascii="Cambria" w:eastAsia="Times New Roman" w:hAnsi="Cambria"/>
          <w:sz w:val="16"/>
          <w:szCs w:val="16"/>
          <w:lang w:eastAsia="es-ES_tradnl"/>
        </w:rPr>
        <w:t xml:space="preserve"> the</w:t>
      </w:r>
      <w:r w:rsidR="00012D6F" w:rsidRPr="008A7BD7">
        <w:rPr>
          <w:rFonts w:ascii="Cambria" w:eastAsia="Times New Roman" w:hAnsi="Cambria"/>
          <w:sz w:val="16"/>
          <w:szCs w:val="16"/>
          <w:lang w:eastAsia="es-ES_tradnl"/>
        </w:rPr>
        <w:t xml:space="preserve"> </w:t>
      </w:r>
      <w:r w:rsidR="00805977" w:rsidRPr="008A7BD7">
        <w:rPr>
          <w:rFonts w:ascii="Cambria" w:eastAsia="Times New Roman" w:hAnsi="Cambria"/>
          <w:sz w:val="16"/>
          <w:szCs w:val="16"/>
          <w:lang w:eastAsia="es-ES_tradnl"/>
        </w:rPr>
        <w:t>subject</w:t>
      </w:r>
      <w:r w:rsidR="00BB510A" w:rsidRPr="008A7BD7">
        <w:rPr>
          <w:rFonts w:ascii="Cambria" w:eastAsia="Times New Roman" w:hAnsi="Cambria"/>
          <w:sz w:val="16"/>
          <w:szCs w:val="16"/>
          <w:lang w:eastAsia="es-ES_tradnl"/>
        </w:rPr>
        <w:t xml:space="preserve"> of some criminal investigation</w:t>
      </w:r>
      <w:r w:rsidR="00805977" w:rsidRPr="008A7BD7">
        <w:rPr>
          <w:rFonts w:ascii="Cambria" w:eastAsia="Times New Roman" w:hAnsi="Cambria"/>
          <w:sz w:val="16"/>
          <w:szCs w:val="16"/>
          <w:lang w:eastAsia="es-ES_tradnl"/>
        </w:rPr>
        <w:t xml:space="preserve"> </w:t>
      </w:r>
      <w:r w:rsidR="00012D6F" w:rsidRPr="008A7BD7">
        <w:rPr>
          <w:rFonts w:ascii="Cambria" w:eastAsia="Times New Roman" w:hAnsi="Cambria"/>
          <w:sz w:val="16"/>
          <w:szCs w:val="16"/>
          <w:lang w:eastAsia="es-ES_tradnl"/>
        </w:rPr>
        <w:t>or ha</w:t>
      </w:r>
      <w:r w:rsidR="00573605" w:rsidRPr="008A7BD7">
        <w:rPr>
          <w:rFonts w:ascii="Cambria" w:eastAsia="Times New Roman" w:hAnsi="Cambria"/>
          <w:sz w:val="16"/>
          <w:szCs w:val="16"/>
          <w:lang w:eastAsia="es-ES_tradnl"/>
        </w:rPr>
        <w:t>d</w:t>
      </w:r>
      <w:r w:rsidR="00012D6F" w:rsidRPr="008A7BD7">
        <w:rPr>
          <w:rFonts w:ascii="Cambria" w:eastAsia="Times New Roman" w:hAnsi="Cambria"/>
          <w:sz w:val="16"/>
          <w:szCs w:val="16"/>
          <w:lang w:eastAsia="es-ES_tradnl"/>
        </w:rPr>
        <w:t xml:space="preserve"> </w:t>
      </w:r>
      <w:r w:rsidR="00805977" w:rsidRPr="008A7BD7">
        <w:rPr>
          <w:rFonts w:ascii="Cambria" w:eastAsia="Times New Roman" w:hAnsi="Cambria"/>
          <w:sz w:val="16"/>
          <w:szCs w:val="16"/>
          <w:lang w:eastAsia="es-ES_tradnl"/>
        </w:rPr>
        <w:t xml:space="preserve">yet to resolve pretrial issues </w:t>
      </w:r>
      <w:r w:rsidR="002256B9" w:rsidRPr="008A7BD7">
        <w:rPr>
          <w:rFonts w:ascii="Cambria" w:eastAsia="Times New Roman" w:hAnsi="Cambria"/>
          <w:sz w:val="16"/>
          <w:szCs w:val="16"/>
          <w:lang w:eastAsia="es-ES_tradnl"/>
        </w:rPr>
        <w:t>(</w:t>
      </w:r>
      <w:proofErr w:type="spellStart"/>
      <w:r w:rsidR="002256B9" w:rsidRPr="008A7BD7">
        <w:rPr>
          <w:rFonts w:ascii="Cambria" w:eastAsia="Times New Roman" w:hAnsi="Cambria"/>
          <w:i/>
          <w:iCs/>
          <w:sz w:val="16"/>
          <w:szCs w:val="16"/>
          <w:lang w:eastAsia="es-ES_tradnl"/>
        </w:rPr>
        <w:t>antejuicio</w:t>
      </w:r>
      <w:r w:rsidR="00805977" w:rsidRPr="008A7BD7">
        <w:rPr>
          <w:rFonts w:ascii="Cambria" w:eastAsia="Times New Roman" w:hAnsi="Cambria"/>
          <w:i/>
          <w:iCs/>
          <w:sz w:val="16"/>
          <w:szCs w:val="16"/>
          <w:lang w:eastAsia="es-ES_tradnl"/>
        </w:rPr>
        <w:t>s</w:t>
      </w:r>
      <w:proofErr w:type="spellEnd"/>
      <w:r w:rsidR="002256B9" w:rsidRPr="008A7BD7">
        <w:rPr>
          <w:rFonts w:ascii="Cambria" w:eastAsia="Times New Roman" w:hAnsi="Cambria"/>
          <w:sz w:val="16"/>
          <w:szCs w:val="16"/>
          <w:lang w:eastAsia="es-ES_tradnl"/>
        </w:rPr>
        <w:t>)</w:t>
      </w:r>
      <w:r w:rsidR="00012D6F" w:rsidRPr="008A7BD7">
        <w:rPr>
          <w:rFonts w:ascii="Cambria" w:eastAsia="Times New Roman" w:hAnsi="Cambria"/>
          <w:sz w:val="16"/>
          <w:szCs w:val="16"/>
          <w:lang w:eastAsia="es-ES_tradnl"/>
        </w:rPr>
        <w:t xml:space="preserve">. </w:t>
      </w:r>
      <w:proofErr w:type="spellStart"/>
      <w:r w:rsidRPr="00C63448">
        <w:rPr>
          <w:rFonts w:ascii="Cambria" w:eastAsia="Times New Roman" w:hAnsi="Cambria"/>
          <w:sz w:val="16"/>
          <w:szCs w:val="16"/>
          <w:lang w:eastAsia="es-ES_tradnl"/>
        </w:rPr>
        <w:t>Observatorio</w:t>
      </w:r>
      <w:proofErr w:type="spellEnd"/>
      <w:r w:rsidRPr="00C63448">
        <w:rPr>
          <w:rFonts w:ascii="Cambria" w:eastAsia="Times New Roman" w:hAnsi="Cambria"/>
          <w:sz w:val="16"/>
          <w:szCs w:val="16"/>
          <w:lang w:eastAsia="es-ES_tradnl"/>
        </w:rPr>
        <w:t xml:space="preserve"> de </w:t>
      </w:r>
      <w:proofErr w:type="spellStart"/>
      <w:r w:rsidRPr="00C63448">
        <w:rPr>
          <w:rFonts w:ascii="Cambria" w:eastAsia="Times New Roman" w:hAnsi="Cambria"/>
          <w:sz w:val="16"/>
          <w:szCs w:val="16"/>
          <w:lang w:eastAsia="es-ES_tradnl"/>
        </w:rPr>
        <w:t>Independencia</w:t>
      </w:r>
      <w:proofErr w:type="spellEnd"/>
      <w:r w:rsidRPr="00C63448">
        <w:rPr>
          <w:rFonts w:ascii="Cambria" w:eastAsia="Times New Roman" w:hAnsi="Cambria"/>
          <w:sz w:val="16"/>
          <w:szCs w:val="16"/>
          <w:lang w:eastAsia="es-ES_tradnl"/>
        </w:rPr>
        <w:t xml:space="preserve"> Judicial</w:t>
      </w:r>
      <w:r w:rsidR="00573605" w:rsidRPr="00C63448">
        <w:rPr>
          <w:rFonts w:ascii="Cambria" w:eastAsia="Times New Roman" w:hAnsi="Cambria"/>
          <w:sz w:val="16"/>
          <w:szCs w:val="16"/>
          <w:lang w:eastAsia="es-ES_tradnl"/>
        </w:rPr>
        <w:t xml:space="preserve"> [Judicial Independence Observatory]</w:t>
      </w:r>
      <w:r w:rsidRPr="00C63448">
        <w:rPr>
          <w:rFonts w:ascii="Cambria" w:eastAsia="Times New Roman" w:hAnsi="Cambria"/>
          <w:sz w:val="16"/>
          <w:szCs w:val="16"/>
          <w:lang w:eastAsia="es-ES_tradnl"/>
        </w:rPr>
        <w:t xml:space="preserve">, </w:t>
      </w:r>
      <w:r w:rsidRPr="00C63448">
        <w:rPr>
          <w:rFonts w:ascii="Cambria" w:eastAsia="Times New Roman" w:hAnsi="Cambria"/>
          <w:i/>
          <w:iCs/>
          <w:color w:val="0000FF"/>
          <w:sz w:val="16"/>
          <w:szCs w:val="16"/>
          <w:lang w:eastAsia="es-ES_tradnl"/>
        </w:rPr>
        <w:t xml:space="preserve">Informe de MP </w:t>
      </w:r>
      <w:proofErr w:type="spellStart"/>
      <w:r w:rsidRPr="00C63448">
        <w:rPr>
          <w:rFonts w:ascii="Cambria" w:eastAsia="Times New Roman" w:hAnsi="Cambria"/>
          <w:i/>
          <w:iCs/>
          <w:color w:val="0000FF"/>
          <w:sz w:val="16"/>
          <w:szCs w:val="16"/>
          <w:lang w:eastAsia="es-ES_tradnl"/>
        </w:rPr>
        <w:t>revela</w:t>
      </w:r>
      <w:proofErr w:type="spellEnd"/>
      <w:r w:rsidRPr="00C63448">
        <w:rPr>
          <w:rFonts w:ascii="Cambria" w:eastAsia="Times New Roman" w:hAnsi="Cambria"/>
          <w:i/>
          <w:iCs/>
          <w:color w:val="0000FF"/>
          <w:sz w:val="16"/>
          <w:szCs w:val="16"/>
          <w:lang w:eastAsia="es-ES_tradnl"/>
        </w:rPr>
        <w:t xml:space="preserve"> </w:t>
      </w:r>
      <w:proofErr w:type="spellStart"/>
      <w:r w:rsidRPr="00C63448">
        <w:rPr>
          <w:rFonts w:ascii="Cambria" w:eastAsia="Times New Roman" w:hAnsi="Cambria"/>
          <w:i/>
          <w:iCs/>
          <w:color w:val="0000FF"/>
          <w:sz w:val="16"/>
          <w:szCs w:val="16"/>
          <w:lang w:eastAsia="es-ES_tradnl"/>
        </w:rPr>
        <w:t>tráfico</w:t>
      </w:r>
      <w:proofErr w:type="spellEnd"/>
      <w:r w:rsidRPr="00C63448">
        <w:rPr>
          <w:rFonts w:ascii="Cambria" w:eastAsia="Times New Roman" w:hAnsi="Cambria"/>
          <w:i/>
          <w:iCs/>
          <w:color w:val="0000FF"/>
          <w:sz w:val="16"/>
          <w:szCs w:val="16"/>
          <w:lang w:eastAsia="es-ES_tradnl"/>
        </w:rPr>
        <w:t xml:space="preserve"> de </w:t>
      </w:r>
      <w:proofErr w:type="spellStart"/>
      <w:r w:rsidRPr="00C63448">
        <w:rPr>
          <w:rFonts w:ascii="Cambria" w:eastAsia="Times New Roman" w:hAnsi="Cambria"/>
          <w:i/>
          <w:iCs/>
          <w:color w:val="0000FF"/>
          <w:sz w:val="16"/>
          <w:szCs w:val="16"/>
          <w:lang w:eastAsia="es-ES_tradnl"/>
        </w:rPr>
        <w:t>influencias</w:t>
      </w:r>
      <w:proofErr w:type="spellEnd"/>
      <w:r w:rsidRPr="00C63448">
        <w:rPr>
          <w:rFonts w:ascii="Cambria" w:eastAsia="Times New Roman" w:hAnsi="Cambria"/>
          <w:i/>
          <w:iCs/>
          <w:color w:val="0000FF"/>
          <w:sz w:val="16"/>
          <w:szCs w:val="16"/>
          <w:lang w:eastAsia="es-ES_tradnl"/>
        </w:rPr>
        <w:t xml:space="preserve"> </w:t>
      </w:r>
      <w:proofErr w:type="spellStart"/>
      <w:r w:rsidRPr="00C63448">
        <w:rPr>
          <w:rFonts w:ascii="Cambria" w:eastAsia="Times New Roman" w:hAnsi="Cambria"/>
          <w:i/>
          <w:iCs/>
          <w:color w:val="0000FF"/>
          <w:sz w:val="16"/>
          <w:szCs w:val="16"/>
          <w:lang w:eastAsia="es-ES_tradnl"/>
        </w:rPr>
        <w:t>en</w:t>
      </w:r>
      <w:proofErr w:type="spellEnd"/>
      <w:r w:rsidRPr="00C63448">
        <w:rPr>
          <w:rFonts w:ascii="Cambria" w:eastAsia="Times New Roman" w:hAnsi="Cambria"/>
          <w:i/>
          <w:iCs/>
          <w:color w:val="0000FF"/>
          <w:sz w:val="16"/>
          <w:szCs w:val="16"/>
          <w:lang w:eastAsia="es-ES_tradnl"/>
        </w:rPr>
        <w:t xml:space="preserve"> la </w:t>
      </w:r>
      <w:proofErr w:type="spellStart"/>
      <w:r w:rsidRPr="00C63448">
        <w:rPr>
          <w:rFonts w:ascii="Cambria" w:eastAsia="Times New Roman" w:hAnsi="Cambria"/>
          <w:i/>
          <w:iCs/>
          <w:color w:val="0000FF"/>
          <w:sz w:val="16"/>
          <w:szCs w:val="16"/>
          <w:lang w:eastAsia="es-ES_tradnl"/>
        </w:rPr>
        <w:t>elección</w:t>
      </w:r>
      <w:proofErr w:type="spellEnd"/>
      <w:r w:rsidRPr="00C63448">
        <w:rPr>
          <w:rFonts w:ascii="Cambria" w:eastAsia="Times New Roman" w:hAnsi="Cambria"/>
          <w:i/>
          <w:iCs/>
          <w:color w:val="0000FF"/>
          <w:sz w:val="16"/>
          <w:szCs w:val="16"/>
          <w:lang w:eastAsia="es-ES_tradnl"/>
        </w:rPr>
        <w:t xml:space="preserve"> de </w:t>
      </w:r>
      <w:proofErr w:type="spellStart"/>
      <w:r w:rsidRPr="00C63448">
        <w:rPr>
          <w:rFonts w:ascii="Cambria" w:eastAsia="Times New Roman" w:hAnsi="Cambria"/>
          <w:i/>
          <w:iCs/>
          <w:color w:val="0000FF"/>
          <w:sz w:val="16"/>
          <w:szCs w:val="16"/>
          <w:lang w:eastAsia="es-ES_tradnl"/>
        </w:rPr>
        <w:t>cortes</w:t>
      </w:r>
      <w:proofErr w:type="spellEnd"/>
      <w:r w:rsidR="00817425" w:rsidRPr="00C63448">
        <w:rPr>
          <w:rFonts w:ascii="Cambria" w:eastAsia="Times New Roman" w:hAnsi="Cambria"/>
          <w:color w:val="0000FF"/>
          <w:sz w:val="16"/>
          <w:szCs w:val="16"/>
          <w:lang w:eastAsia="es-ES_tradnl"/>
        </w:rPr>
        <w:t>,</w:t>
      </w:r>
      <w:r w:rsidRPr="00C63448">
        <w:rPr>
          <w:rFonts w:ascii="Cambria" w:eastAsia="Times New Roman" w:hAnsi="Cambria"/>
          <w:sz w:val="16"/>
          <w:szCs w:val="16"/>
          <w:lang w:eastAsia="es-ES_tradnl"/>
        </w:rPr>
        <w:t xml:space="preserve"> 2020. </w:t>
      </w:r>
    </w:p>
  </w:footnote>
  <w:footnote w:id="25">
    <w:p w14:paraId="28118F63" w14:textId="2EB85DFC" w:rsidR="4F54743F" w:rsidRPr="008A7BD7" w:rsidRDefault="4F54743F" w:rsidP="00746761">
      <w:pPr>
        <w:spacing w:after="120"/>
        <w:ind w:firstLine="720"/>
        <w:jc w:val="both"/>
        <w:rPr>
          <w:rFonts w:ascii="Cambria" w:hAnsi="Cambria"/>
          <w:color w:val="000000" w:themeColor="text1"/>
          <w:sz w:val="16"/>
          <w:szCs w:val="16"/>
          <w:lang w:val="es-ES"/>
        </w:rPr>
      </w:pPr>
      <w:r w:rsidRPr="008A7BD7">
        <w:rPr>
          <w:rStyle w:val="FootnoteReference"/>
          <w:rFonts w:ascii="Cambria" w:hAnsi="Cambria"/>
          <w:sz w:val="16"/>
          <w:szCs w:val="16"/>
        </w:rPr>
        <w:footnoteRef/>
      </w:r>
      <w:r w:rsidRPr="008A7BD7">
        <w:rPr>
          <w:rFonts w:ascii="Cambria" w:hAnsi="Cambria"/>
          <w:sz w:val="16"/>
          <w:szCs w:val="16"/>
        </w:rPr>
        <w:t xml:space="preserve"> </w:t>
      </w:r>
      <w:r w:rsidR="002C3187" w:rsidRPr="008A7BD7">
        <w:rPr>
          <w:rFonts w:ascii="Cambria" w:hAnsi="Cambria"/>
          <w:sz w:val="16"/>
          <w:szCs w:val="16"/>
        </w:rPr>
        <w:t xml:space="preserve">According to public information, in October </w:t>
      </w:r>
      <w:r w:rsidRPr="008A7BD7">
        <w:rPr>
          <w:rFonts w:ascii="Cambria" w:hAnsi="Cambria"/>
          <w:sz w:val="16"/>
          <w:szCs w:val="16"/>
        </w:rPr>
        <w:t xml:space="preserve">2020, </w:t>
      </w:r>
      <w:r w:rsidR="002C3187" w:rsidRPr="008A7BD7">
        <w:rPr>
          <w:rFonts w:ascii="Cambria" w:hAnsi="Cambria"/>
          <w:sz w:val="16"/>
          <w:szCs w:val="16"/>
        </w:rPr>
        <w:t>the home of the president’s former private secretary</w:t>
      </w:r>
      <w:r w:rsidRPr="008A7BD7">
        <w:rPr>
          <w:rFonts w:ascii="Cambria" w:hAnsi="Cambria"/>
          <w:color w:val="000000" w:themeColor="text1"/>
          <w:sz w:val="16"/>
          <w:szCs w:val="16"/>
        </w:rPr>
        <w:t xml:space="preserve">, Giorgio Bruni, </w:t>
      </w:r>
      <w:r w:rsidR="002C3187" w:rsidRPr="008A7BD7">
        <w:rPr>
          <w:rFonts w:ascii="Cambria" w:hAnsi="Cambria"/>
          <w:color w:val="000000" w:themeColor="text1"/>
          <w:sz w:val="16"/>
          <w:szCs w:val="16"/>
        </w:rPr>
        <w:t xml:space="preserve">was searched as part of </w:t>
      </w:r>
      <w:r w:rsidR="00EE2500" w:rsidRPr="008A7BD7">
        <w:rPr>
          <w:rFonts w:ascii="Cambria" w:hAnsi="Cambria"/>
          <w:color w:val="000000" w:themeColor="text1"/>
          <w:sz w:val="16"/>
          <w:szCs w:val="16"/>
        </w:rPr>
        <w:t xml:space="preserve">an </w:t>
      </w:r>
      <w:r w:rsidR="002C3187" w:rsidRPr="008A7BD7">
        <w:rPr>
          <w:rFonts w:ascii="Cambria" w:hAnsi="Cambria"/>
          <w:color w:val="000000" w:themeColor="text1"/>
          <w:sz w:val="16"/>
          <w:szCs w:val="16"/>
        </w:rPr>
        <w:t xml:space="preserve">investigation into some suitcases containing more than </w:t>
      </w:r>
      <w:r w:rsidRPr="008A7BD7">
        <w:rPr>
          <w:rFonts w:ascii="Cambria" w:hAnsi="Cambria"/>
          <w:color w:val="000000" w:themeColor="text1"/>
          <w:sz w:val="16"/>
          <w:szCs w:val="16"/>
        </w:rPr>
        <w:t xml:space="preserve">122 </w:t>
      </w:r>
      <w:r w:rsidR="002C3187" w:rsidRPr="008A7BD7">
        <w:rPr>
          <w:rFonts w:ascii="Cambria" w:hAnsi="Cambria"/>
          <w:color w:val="000000" w:themeColor="text1"/>
          <w:sz w:val="16"/>
          <w:szCs w:val="16"/>
        </w:rPr>
        <w:t>million</w:t>
      </w:r>
      <w:r w:rsidR="00EE2500" w:rsidRPr="008A7BD7">
        <w:rPr>
          <w:rFonts w:ascii="Cambria" w:hAnsi="Cambria"/>
          <w:color w:val="000000" w:themeColor="text1"/>
          <w:sz w:val="16"/>
          <w:szCs w:val="16"/>
        </w:rPr>
        <w:t xml:space="preserve"> quetzals</w:t>
      </w:r>
      <w:r w:rsidR="002C3187" w:rsidRPr="008A7BD7">
        <w:rPr>
          <w:rFonts w:ascii="Cambria" w:hAnsi="Cambria"/>
          <w:color w:val="000000" w:themeColor="text1"/>
          <w:sz w:val="16"/>
          <w:szCs w:val="16"/>
        </w:rPr>
        <w:t xml:space="preserve">, found on the property of former Communications Minster </w:t>
      </w:r>
      <w:r w:rsidRPr="008A7BD7">
        <w:rPr>
          <w:rFonts w:ascii="Cambria" w:hAnsi="Cambria"/>
          <w:color w:val="000000" w:themeColor="text1"/>
          <w:sz w:val="16"/>
          <w:szCs w:val="16"/>
        </w:rPr>
        <w:t>José Benito,</w:t>
      </w:r>
      <w:r w:rsidR="002C3187" w:rsidRPr="008A7BD7">
        <w:rPr>
          <w:rFonts w:ascii="Cambria" w:hAnsi="Cambria"/>
          <w:color w:val="000000" w:themeColor="text1"/>
          <w:sz w:val="16"/>
          <w:szCs w:val="16"/>
        </w:rPr>
        <w:t xml:space="preserve"> in</w:t>
      </w:r>
      <w:r w:rsidRPr="008A7BD7">
        <w:rPr>
          <w:rFonts w:ascii="Cambria" w:hAnsi="Cambria"/>
          <w:color w:val="000000" w:themeColor="text1"/>
          <w:sz w:val="16"/>
          <w:szCs w:val="16"/>
        </w:rPr>
        <w:t xml:space="preserve"> Antigua</w:t>
      </w:r>
      <w:r w:rsidR="00EE2500" w:rsidRPr="008A7BD7">
        <w:rPr>
          <w:rFonts w:ascii="Cambria" w:hAnsi="Cambria"/>
          <w:color w:val="000000" w:themeColor="text1"/>
          <w:sz w:val="16"/>
          <w:szCs w:val="16"/>
        </w:rPr>
        <w:t>,</w:t>
      </w:r>
      <w:r w:rsidRPr="008A7BD7">
        <w:rPr>
          <w:rFonts w:ascii="Cambria" w:hAnsi="Cambria"/>
          <w:color w:val="000000" w:themeColor="text1"/>
          <w:sz w:val="16"/>
          <w:szCs w:val="16"/>
        </w:rPr>
        <w:t xml:space="preserve"> Guatemala. </w:t>
      </w:r>
      <w:r w:rsidR="002C3187" w:rsidRPr="008A7BD7">
        <w:rPr>
          <w:rFonts w:ascii="Cambria" w:hAnsi="Cambria"/>
          <w:color w:val="000000" w:themeColor="text1"/>
          <w:sz w:val="16"/>
          <w:szCs w:val="16"/>
        </w:rPr>
        <w:t xml:space="preserve">In that regard, </w:t>
      </w:r>
      <w:r w:rsidR="00C830EA" w:rsidRPr="008A7BD7">
        <w:rPr>
          <w:rFonts w:ascii="Cambria" w:hAnsi="Cambria"/>
          <w:color w:val="000000" w:themeColor="text1"/>
          <w:sz w:val="16"/>
          <w:szCs w:val="16"/>
        </w:rPr>
        <w:t xml:space="preserve">Special </w:t>
      </w:r>
      <w:r w:rsidR="002C3187" w:rsidRPr="008A7BD7">
        <w:rPr>
          <w:rFonts w:ascii="Cambria" w:hAnsi="Cambria"/>
          <w:color w:val="000000" w:themeColor="text1"/>
          <w:sz w:val="16"/>
          <w:szCs w:val="16"/>
        </w:rPr>
        <w:t xml:space="preserve">Prosecutor </w:t>
      </w:r>
      <w:r w:rsidRPr="008A7BD7">
        <w:rPr>
          <w:rFonts w:ascii="Cambria" w:hAnsi="Cambria"/>
          <w:color w:val="000000" w:themeColor="text1"/>
          <w:sz w:val="16"/>
          <w:szCs w:val="16"/>
        </w:rPr>
        <w:t xml:space="preserve">Sandoval </w:t>
      </w:r>
      <w:r w:rsidR="000D6625" w:rsidRPr="008A7BD7">
        <w:rPr>
          <w:rFonts w:ascii="Cambria" w:hAnsi="Cambria"/>
          <w:color w:val="000000" w:themeColor="text1"/>
          <w:sz w:val="16"/>
          <w:szCs w:val="16"/>
        </w:rPr>
        <w:t>also stated that there were other lines of investigation that could lead to the President of the Republic that were blocked by the Attorney General</w:t>
      </w:r>
      <w:r w:rsidRPr="008A7BD7">
        <w:rPr>
          <w:rFonts w:ascii="Cambria" w:hAnsi="Cambria"/>
          <w:color w:val="000000" w:themeColor="text1"/>
          <w:sz w:val="16"/>
          <w:szCs w:val="16"/>
        </w:rPr>
        <w:t xml:space="preserve">. </w:t>
      </w:r>
      <w:r w:rsidRPr="008A7BD7">
        <w:rPr>
          <w:rFonts w:ascii="Cambria" w:hAnsi="Cambria"/>
          <w:i/>
          <w:iCs/>
          <w:color w:val="000000" w:themeColor="text1"/>
          <w:sz w:val="16"/>
          <w:szCs w:val="16"/>
          <w:lang w:val="es-US"/>
        </w:rPr>
        <w:t>Prensa Libre</w:t>
      </w:r>
      <w:r w:rsidRPr="008A7BD7">
        <w:rPr>
          <w:rFonts w:ascii="Cambria" w:hAnsi="Cambria"/>
          <w:color w:val="000000" w:themeColor="text1"/>
          <w:sz w:val="16"/>
          <w:szCs w:val="16"/>
          <w:lang w:val="es-US"/>
        </w:rPr>
        <w:t xml:space="preserve">, </w:t>
      </w:r>
      <w:hyperlink r:id="rId18">
        <w:proofErr w:type="spellStart"/>
        <w:r w:rsidRPr="008A7BD7">
          <w:rPr>
            <w:rStyle w:val="Hyperlink"/>
            <w:rFonts w:ascii="Cambria" w:hAnsi="Cambria"/>
            <w:i/>
            <w:iCs/>
            <w:sz w:val="16"/>
            <w:szCs w:val="16"/>
            <w:lang w:val="es-US"/>
          </w:rPr>
          <w:t>Feci</w:t>
        </w:r>
        <w:proofErr w:type="spellEnd"/>
        <w:r w:rsidRPr="008A7BD7">
          <w:rPr>
            <w:rStyle w:val="Hyperlink"/>
            <w:rFonts w:ascii="Cambria" w:hAnsi="Cambria"/>
            <w:i/>
            <w:iCs/>
            <w:sz w:val="16"/>
            <w:szCs w:val="16"/>
            <w:lang w:val="es-US"/>
          </w:rPr>
          <w:t xml:space="preserve"> halla más de Q122 millones en casa en Antigua Guatemala, que podrían estar vinculados a exfuncionario</w:t>
        </w:r>
      </w:hyperlink>
      <w:r w:rsidR="000D6625" w:rsidRPr="008A7BD7">
        <w:rPr>
          <w:rStyle w:val="Hyperlink"/>
          <w:rFonts w:ascii="Cambria" w:hAnsi="Cambria"/>
          <w:sz w:val="16"/>
          <w:szCs w:val="16"/>
          <w:lang w:val="es-US"/>
        </w:rPr>
        <w:t>,</w:t>
      </w:r>
      <w:r w:rsidRPr="008A7BD7">
        <w:rPr>
          <w:rFonts w:ascii="Cambria" w:hAnsi="Cambria"/>
          <w:color w:val="000000" w:themeColor="text1"/>
          <w:sz w:val="16"/>
          <w:szCs w:val="16"/>
          <w:lang w:val="es-US"/>
        </w:rPr>
        <w:t xml:space="preserve"> </w:t>
      </w:r>
      <w:proofErr w:type="spellStart"/>
      <w:r w:rsidR="000D6625" w:rsidRPr="008A7BD7">
        <w:rPr>
          <w:rFonts w:ascii="Cambria" w:hAnsi="Cambria"/>
          <w:color w:val="000000" w:themeColor="text1"/>
          <w:sz w:val="16"/>
          <w:szCs w:val="16"/>
          <w:lang w:val="es-US"/>
        </w:rPr>
        <w:t>October</w:t>
      </w:r>
      <w:proofErr w:type="spellEnd"/>
      <w:r w:rsidR="000D6625" w:rsidRPr="008A7BD7">
        <w:rPr>
          <w:rFonts w:ascii="Cambria" w:hAnsi="Cambria"/>
          <w:color w:val="000000" w:themeColor="text1"/>
          <w:sz w:val="16"/>
          <w:szCs w:val="16"/>
          <w:lang w:val="es-US"/>
        </w:rPr>
        <w:t xml:space="preserve"> </w:t>
      </w:r>
      <w:r w:rsidRPr="008A7BD7">
        <w:rPr>
          <w:rFonts w:ascii="Cambria" w:hAnsi="Cambria"/>
          <w:color w:val="000000" w:themeColor="text1"/>
          <w:sz w:val="16"/>
          <w:szCs w:val="16"/>
          <w:lang w:val="es-US"/>
        </w:rPr>
        <w:t>16</w:t>
      </w:r>
      <w:r w:rsidR="000D6625" w:rsidRPr="008A7BD7">
        <w:rPr>
          <w:rFonts w:ascii="Cambria" w:hAnsi="Cambria"/>
          <w:color w:val="000000" w:themeColor="text1"/>
          <w:sz w:val="16"/>
          <w:szCs w:val="16"/>
          <w:lang w:val="es-US"/>
        </w:rPr>
        <w:t xml:space="preserve">, </w:t>
      </w:r>
      <w:r w:rsidRPr="008A7BD7">
        <w:rPr>
          <w:rFonts w:ascii="Cambria" w:hAnsi="Cambria"/>
          <w:color w:val="000000" w:themeColor="text1"/>
          <w:sz w:val="16"/>
          <w:szCs w:val="16"/>
          <w:lang w:val="es-US"/>
        </w:rPr>
        <w:t xml:space="preserve">2020; Observatorio de Independencia Judicial, </w:t>
      </w:r>
      <w:hyperlink r:id="rId19" w:anchor="_ftnref7">
        <w:r w:rsidRPr="008A7BD7">
          <w:rPr>
            <w:rStyle w:val="Hyperlink"/>
            <w:rFonts w:ascii="Cambria" w:hAnsi="Cambria"/>
            <w:i/>
            <w:iCs/>
            <w:sz w:val="16"/>
            <w:szCs w:val="16"/>
            <w:lang w:val="es-US"/>
          </w:rPr>
          <w:t>Impacto de la destitución del Fiscal Juan Francisco Sandoval para el futuro de la justicia</w:t>
        </w:r>
      </w:hyperlink>
      <w:r w:rsidR="000D6625" w:rsidRPr="008A7BD7">
        <w:rPr>
          <w:rFonts w:ascii="Cambria" w:hAnsi="Cambria"/>
          <w:color w:val="000000" w:themeColor="text1"/>
          <w:sz w:val="16"/>
          <w:szCs w:val="16"/>
          <w:lang w:val="es-US"/>
        </w:rPr>
        <w:t>,</w:t>
      </w:r>
      <w:r w:rsidRPr="008A7BD7">
        <w:rPr>
          <w:rFonts w:ascii="Cambria" w:hAnsi="Cambria"/>
          <w:color w:val="000000" w:themeColor="text1"/>
          <w:sz w:val="16"/>
          <w:szCs w:val="16"/>
          <w:lang w:val="es-US"/>
        </w:rPr>
        <w:t xml:space="preserve"> </w:t>
      </w:r>
      <w:r w:rsidR="000D6625" w:rsidRPr="008A7BD7">
        <w:rPr>
          <w:rFonts w:ascii="Cambria" w:hAnsi="Cambria"/>
          <w:color w:val="000000" w:themeColor="text1"/>
          <w:sz w:val="16"/>
          <w:szCs w:val="16"/>
          <w:lang w:val="es-US"/>
        </w:rPr>
        <w:t xml:space="preserve">August </w:t>
      </w:r>
      <w:r w:rsidRPr="008A7BD7">
        <w:rPr>
          <w:rFonts w:ascii="Cambria" w:hAnsi="Cambria"/>
          <w:color w:val="000000" w:themeColor="text1"/>
          <w:sz w:val="16"/>
          <w:szCs w:val="16"/>
          <w:lang w:val="es-US"/>
        </w:rPr>
        <w:t xml:space="preserve">2021; </w:t>
      </w:r>
      <w:r w:rsidRPr="008A7BD7">
        <w:rPr>
          <w:rFonts w:ascii="Cambria" w:hAnsi="Cambria"/>
          <w:i/>
          <w:iCs/>
          <w:sz w:val="16"/>
          <w:szCs w:val="16"/>
          <w:lang w:val="es-US"/>
        </w:rPr>
        <w:t>El Espectador</w:t>
      </w:r>
      <w:r w:rsidR="000D6625" w:rsidRPr="008A7BD7">
        <w:rPr>
          <w:rFonts w:ascii="Cambria" w:hAnsi="Cambria"/>
          <w:sz w:val="16"/>
          <w:szCs w:val="16"/>
          <w:lang w:val="es-US"/>
        </w:rPr>
        <w:t>,</w:t>
      </w:r>
      <w:r w:rsidRPr="008A7BD7">
        <w:rPr>
          <w:rFonts w:ascii="Cambria" w:hAnsi="Cambria"/>
          <w:sz w:val="16"/>
          <w:szCs w:val="16"/>
          <w:lang w:val="es-US"/>
        </w:rPr>
        <w:t xml:space="preserve"> </w:t>
      </w:r>
      <w:hyperlink r:id="rId20">
        <w:r w:rsidRPr="008A7BD7">
          <w:rPr>
            <w:rStyle w:val="Hyperlink"/>
            <w:rFonts w:ascii="Cambria" w:hAnsi="Cambria"/>
            <w:i/>
            <w:iCs/>
            <w:sz w:val="16"/>
            <w:szCs w:val="16"/>
            <w:lang w:val="es-US"/>
          </w:rPr>
          <w:t>Guatemala capturada por élite corrupta</w:t>
        </w:r>
      </w:hyperlink>
      <w:r w:rsidR="000D6625" w:rsidRPr="008A7BD7">
        <w:rPr>
          <w:rFonts w:ascii="Cambria" w:hAnsi="Cambria"/>
          <w:sz w:val="16"/>
          <w:szCs w:val="16"/>
          <w:lang w:val="es-US"/>
        </w:rPr>
        <w:t>,</w:t>
      </w:r>
      <w:r w:rsidRPr="008A7BD7">
        <w:rPr>
          <w:rFonts w:ascii="Cambria" w:hAnsi="Cambria"/>
          <w:sz w:val="16"/>
          <w:szCs w:val="16"/>
          <w:lang w:val="es-US"/>
        </w:rPr>
        <w:t xml:space="preserve"> </w:t>
      </w:r>
      <w:r w:rsidR="000D6625" w:rsidRPr="008A7BD7">
        <w:rPr>
          <w:rFonts w:ascii="Cambria" w:hAnsi="Cambria"/>
          <w:sz w:val="16"/>
          <w:szCs w:val="16"/>
          <w:lang w:val="es-US"/>
        </w:rPr>
        <w:t xml:space="preserve">August </w:t>
      </w:r>
      <w:r w:rsidRPr="008A7BD7">
        <w:rPr>
          <w:rFonts w:ascii="Cambria" w:hAnsi="Cambria"/>
          <w:sz w:val="16"/>
          <w:szCs w:val="16"/>
          <w:lang w:val="es-US"/>
        </w:rPr>
        <w:t>21</w:t>
      </w:r>
      <w:r w:rsidR="000D6625" w:rsidRPr="008A7BD7">
        <w:rPr>
          <w:rFonts w:ascii="Cambria" w:hAnsi="Cambria"/>
          <w:sz w:val="16"/>
          <w:szCs w:val="16"/>
          <w:lang w:val="es-US"/>
        </w:rPr>
        <w:t xml:space="preserve">, </w:t>
      </w:r>
      <w:r w:rsidRPr="008A7BD7">
        <w:rPr>
          <w:rFonts w:ascii="Cambria" w:hAnsi="Cambria"/>
          <w:sz w:val="16"/>
          <w:szCs w:val="16"/>
          <w:lang w:val="es-US"/>
        </w:rPr>
        <w:t>2021.</w:t>
      </w:r>
    </w:p>
  </w:footnote>
  <w:footnote w:id="26">
    <w:p w14:paraId="234D8DF8" w14:textId="39F8309C" w:rsidR="4F54743F" w:rsidRPr="008A7BD7" w:rsidRDefault="4F54743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El País</w:t>
      </w:r>
      <w:r w:rsidRPr="008A7BD7">
        <w:rPr>
          <w:rFonts w:ascii="Cambria" w:hAnsi="Cambria"/>
          <w:sz w:val="16"/>
          <w:szCs w:val="16"/>
          <w:lang w:val="es-US"/>
        </w:rPr>
        <w:t xml:space="preserve">, </w:t>
      </w:r>
      <w:hyperlink r:id="rId21">
        <w:r w:rsidRPr="008A7BD7">
          <w:rPr>
            <w:rStyle w:val="Hyperlink"/>
            <w:rFonts w:ascii="Cambria" w:hAnsi="Cambria"/>
            <w:i/>
            <w:iCs/>
            <w:sz w:val="16"/>
            <w:szCs w:val="16"/>
            <w:lang w:val="es-US"/>
          </w:rPr>
          <w:t>El presidente de Guatemala es investigado por presuntos sobornos de empresarios rusos</w:t>
        </w:r>
      </w:hyperlink>
      <w:r w:rsidR="008D49C8" w:rsidRPr="008A7BD7">
        <w:rPr>
          <w:rFonts w:ascii="Cambria" w:hAnsi="Cambria"/>
          <w:sz w:val="16"/>
          <w:szCs w:val="16"/>
          <w:lang w:val="es-US"/>
        </w:rPr>
        <w:t xml:space="preserve">, </w:t>
      </w:r>
      <w:proofErr w:type="spellStart"/>
      <w:r w:rsidR="008D49C8" w:rsidRPr="008A7BD7">
        <w:rPr>
          <w:rFonts w:ascii="Cambria" w:hAnsi="Cambria"/>
          <w:sz w:val="16"/>
          <w:szCs w:val="16"/>
          <w:lang w:val="es-US"/>
        </w:rPr>
        <w:t>September</w:t>
      </w:r>
      <w:proofErr w:type="spellEnd"/>
      <w:r w:rsidR="008D49C8" w:rsidRPr="008A7BD7">
        <w:rPr>
          <w:rFonts w:ascii="Cambria" w:hAnsi="Cambria"/>
          <w:sz w:val="16"/>
          <w:szCs w:val="16"/>
          <w:lang w:val="es-US"/>
        </w:rPr>
        <w:t xml:space="preserve"> </w:t>
      </w:r>
      <w:r w:rsidRPr="008A7BD7">
        <w:rPr>
          <w:rFonts w:ascii="Cambria" w:hAnsi="Cambria"/>
          <w:sz w:val="16"/>
          <w:szCs w:val="16"/>
          <w:lang w:val="es-US"/>
        </w:rPr>
        <w:t>4</w:t>
      </w:r>
      <w:r w:rsidR="008D49C8" w:rsidRPr="008A7BD7">
        <w:rPr>
          <w:rFonts w:ascii="Cambria" w:hAnsi="Cambria"/>
          <w:sz w:val="16"/>
          <w:szCs w:val="16"/>
          <w:lang w:val="es-US"/>
        </w:rPr>
        <w:t xml:space="preserve">, </w:t>
      </w:r>
      <w:r w:rsidRPr="008A7BD7">
        <w:rPr>
          <w:rFonts w:ascii="Cambria" w:hAnsi="Cambria"/>
          <w:sz w:val="16"/>
          <w:szCs w:val="16"/>
          <w:lang w:val="es-US"/>
        </w:rPr>
        <w:t xml:space="preserve">2021; </w:t>
      </w:r>
      <w:r w:rsidRPr="008A7BD7">
        <w:rPr>
          <w:rFonts w:ascii="Cambria" w:hAnsi="Cambria"/>
          <w:i/>
          <w:iCs/>
          <w:sz w:val="16"/>
          <w:szCs w:val="16"/>
          <w:lang w:val="es-US"/>
        </w:rPr>
        <w:t>New York Times</w:t>
      </w:r>
      <w:r w:rsidRPr="008A7BD7">
        <w:rPr>
          <w:rFonts w:ascii="Cambria" w:hAnsi="Cambria"/>
          <w:sz w:val="16"/>
          <w:szCs w:val="16"/>
          <w:lang w:val="es-US"/>
        </w:rPr>
        <w:t xml:space="preserve">, </w:t>
      </w:r>
      <w:hyperlink r:id="rId22" w:history="1">
        <w:proofErr w:type="spellStart"/>
        <w:r w:rsidR="005E60B0" w:rsidRPr="008A7BD7">
          <w:rPr>
            <w:rStyle w:val="Hyperlink"/>
            <w:rFonts w:ascii="Cambria" w:hAnsi="Cambria"/>
            <w:sz w:val="16"/>
            <w:szCs w:val="16"/>
            <w:lang w:val="es-US"/>
          </w:rPr>
          <w:t>Biden</w:t>
        </w:r>
        <w:proofErr w:type="spellEnd"/>
        <w:r w:rsidR="005E60B0" w:rsidRPr="008A7BD7">
          <w:rPr>
            <w:rStyle w:val="Hyperlink"/>
            <w:rFonts w:ascii="Cambria" w:hAnsi="Cambria"/>
            <w:sz w:val="16"/>
            <w:szCs w:val="16"/>
            <w:lang w:val="es-US"/>
          </w:rPr>
          <w:t xml:space="preserve"> Faces a </w:t>
        </w:r>
        <w:proofErr w:type="spellStart"/>
        <w:r w:rsidR="005E60B0" w:rsidRPr="008A7BD7">
          <w:rPr>
            <w:rStyle w:val="Hyperlink"/>
            <w:rFonts w:ascii="Cambria" w:hAnsi="Cambria"/>
            <w:sz w:val="16"/>
            <w:szCs w:val="16"/>
            <w:lang w:val="es-US"/>
          </w:rPr>
          <w:t>Trade</w:t>
        </w:r>
        <w:proofErr w:type="spellEnd"/>
        <w:r w:rsidR="005E60B0" w:rsidRPr="008A7BD7">
          <w:rPr>
            <w:rStyle w:val="Hyperlink"/>
            <w:rFonts w:ascii="Cambria" w:hAnsi="Cambria"/>
            <w:sz w:val="16"/>
            <w:szCs w:val="16"/>
            <w:lang w:val="es-US"/>
          </w:rPr>
          <w:t xml:space="preserve">-Off: Stop </w:t>
        </w:r>
        <w:proofErr w:type="spellStart"/>
        <w:r w:rsidR="005E60B0" w:rsidRPr="008A7BD7">
          <w:rPr>
            <w:rStyle w:val="Hyperlink"/>
            <w:rFonts w:ascii="Cambria" w:hAnsi="Cambria"/>
            <w:sz w:val="16"/>
            <w:szCs w:val="16"/>
            <w:lang w:val="es-US"/>
          </w:rPr>
          <w:t>Corruption</w:t>
        </w:r>
        <w:proofErr w:type="spellEnd"/>
        <w:r w:rsidR="005E60B0" w:rsidRPr="008A7BD7">
          <w:rPr>
            <w:rStyle w:val="Hyperlink"/>
            <w:rFonts w:ascii="Cambria" w:hAnsi="Cambria"/>
            <w:sz w:val="16"/>
            <w:szCs w:val="16"/>
            <w:lang w:val="es-US"/>
          </w:rPr>
          <w:t xml:space="preserve">, </w:t>
        </w:r>
        <w:proofErr w:type="spellStart"/>
        <w:r w:rsidR="005E60B0" w:rsidRPr="008A7BD7">
          <w:rPr>
            <w:rStyle w:val="Hyperlink"/>
            <w:rFonts w:ascii="Cambria" w:hAnsi="Cambria"/>
            <w:sz w:val="16"/>
            <w:szCs w:val="16"/>
            <w:lang w:val="es-US"/>
          </w:rPr>
          <w:t>or</w:t>
        </w:r>
        <w:proofErr w:type="spellEnd"/>
        <w:r w:rsidR="005E60B0" w:rsidRPr="008A7BD7">
          <w:rPr>
            <w:rStyle w:val="Hyperlink"/>
            <w:rFonts w:ascii="Cambria" w:hAnsi="Cambria"/>
            <w:sz w:val="16"/>
            <w:szCs w:val="16"/>
            <w:lang w:val="es-US"/>
          </w:rPr>
          <w:t xml:space="preserve"> </w:t>
        </w:r>
        <w:proofErr w:type="spellStart"/>
        <w:r w:rsidR="005E60B0" w:rsidRPr="008A7BD7">
          <w:rPr>
            <w:rStyle w:val="Hyperlink"/>
            <w:rFonts w:ascii="Cambria" w:hAnsi="Cambria"/>
            <w:sz w:val="16"/>
            <w:szCs w:val="16"/>
            <w:lang w:val="es-US"/>
          </w:rPr>
          <w:t>Migration</w:t>
        </w:r>
        <w:proofErr w:type="spellEnd"/>
        <w:r w:rsidR="005E60B0" w:rsidRPr="008A7BD7">
          <w:rPr>
            <w:rStyle w:val="Hyperlink"/>
            <w:rFonts w:ascii="Cambria" w:hAnsi="Cambria"/>
            <w:sz w:val="16"/>
            <w:szCs w:val="16"/>
            <w:lang w:val="es-US"/>
          </w:rPr>
          <w:t>?</w:t>
        </w:r>
      </w:hyperlink>
      <w:r w:rsidR="005E60B0" w:rsidRPr="008A7BD7">
        <w:rPr>
          <w:rFonts w:ascii="Cambria" w:hAnsi="Cambria"/>
          <w:sz w:val="16"/>
          <w:szCs w:val="16"/>
          <w:lang w:val="es-US"/>
        </w:rPr>
        <w:t xml:space="preserve"> </w:t>
      </w:r>
      <w:r w:rsidR="005E60B0" w:rsidRPr="008A7BD7">
        <w:rPr>
          <w:rFonts w:ascii="Cambria" w:hAnsi="Cambria"/>
          <w:sz w:val="16"/>
          <w:szCs w:val="16"/>
        </w:rPr>
        <w:t xml:space="preserve">August </w:t>
      </w:r>
      <w:r w:rsidRPr="008A7BD7">
        <w:rPr>
          <w:rFonts w:ascii="Cambria" w:hAnsi="Cambria"/>
          <w:sz w:val="16"/>
          <w:szCs w:val="16"/>
        </w:rPr>
        <w:t>24</w:t>
      </w:r>
      <w:r w:rsidR="005E60B0" w:rsidRPr="008A7BD7">
        <w:rPr>
          <w:rFonts w:ascii="Cambria" w:hAnsi="Cambria"/>
          <w:sz w:val="16"/>
          <w:szCs w:val="16"/>
        </w:rPr>
        <w:t xml:space="preserve">, </w:t>
      </w:r>
      <w:r w:rsidRPr="008A7BD7">
        <w:rPr>
          <w:rFonts w:ascii="Cambria" w:hAnsi="Cambria"/>
          <w:sz w:val="16"/>
          <w:szCs w:val="16"/>
        </w:rPr>
        <w:t xml:space="preserve">2021. </w:t>
      </w:r>
    </w:p>
  </w:footnote>
  <w:footnote w:id="27">
    <w:p w14:paraId="1729AC79" w14:textId="4C268F1E" w:rsidR="4F54743F" w:rsidRPr="008A7BD7" w:rsidRDefault="4F54743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C830EA" w:rsidRPr="008A7BD7">
        <w:rPr>
          <w:rFonts w:ascii="Cambria" w:hAnsi="Cambria"/>
          <w:sz w:val="16"/>
          <w:szCs w:val="16"/>
        </w:rPr>
        <w:t>Secretariat of Social Communication, Office of the President,</w:t>
      </w:r>
      <w:r w:rsidRPr="008A7BD7">
        <w:rPr>
          <w:rFonts w:ascii="Cambria" w:hAnsi="Cambria"/>
          <w:sz w:val="16"/>
          <w:szCs w:val="16"/>
        </w:rPr>
        <w:t xml:space="preserve"> </w:t>
      </w:r>
      <w:hyperlink r:id="rId23">
        <w:proofErr w:type="spellStart"/>
        <w:r w:rsidRPr="008A7BD7">
          <w:rPr>
            <w:rStyle w:val="Hyperlink"/>
            <w:rFonts w:ascii="Cambria" w:hAnsi="Cambria"/>
            <w:i/>
            <w:iCs/>
            <w:sz w:val="16"/>
            <w:szCs w:val="16"/>
          </w:rPr>
          <w:t>Respuestas</w:t>
        </w:r>
        <w:proofErr w:type="spellEnd"/>
        <w:r w:rsidRPr="008A7BD7">
          <w:rPr>
            <w:rStyle w:val="Hyperlink"/>
            <w:rFonts w:ascii="Cambria" w:hAnsi="Cambria"/>
            <w:i/>
            <w:iCs/>
            <w:sz w:val="16"/>
            <w:szCs w:val="16"/>
          </w:rPr>
          <w:t xml:space="preserve"> a la </w:t>
        </w:r>
        <w:proofErr w:type="spellStart"/>
        <w:r w:rsidRPr="008A7BD7">
          <w:rPr>
            <w:rStyle w:val="Hyperlink"/>
            <w:rFonts w:ascii="Cambria" w:hAnsi="Cambria"/>
            <w:i/>
            <w:iCs/>
            <w:sz w:val="16"/>
            <w:szCs w:val="16"/>
          </w:rPr>
          <w:t>Periodista</w:t>
        </w:r>
        <w:proofErr w:type="spellEnd"/>
        <w:r w:rsidRPr="008A7BD7">
          <w:rPr>
            <w:rStyle w:val="Hyperlink"/>
            <w:rFonts w:ascii="Cambria" w:hAnsi="Cambria"/>
            <w:i/>
            <w:iCs/>
            <w:sz w:val="16"/>
            <w:szCs w:val="16"/>
          </w:rPr>
          <w:t xml:space="preserve"> Natalie </w:t>
        </w:r>
        <w:proofErr w:type="spellStart"/>
        <w:r w:rsidRPr="008A7BD7">
          <w:rPr>
            <w:rStyle w:val="Hyperlink"/>
            <w:rFonts w:ascii="Cambria" w:hAnsi="Cambria"/>
            <w:i/>
            <w:iCs/>
            <w:sz w:val="16"/>
            <w:szCs w:val="16"/>
          </w:rPr>
          <w:t>Kitroeff</w:t>
        </w:r>
        <w:proofErr w:type="spellEnd"/>
        <w:r w:rsidRPr="008A7BD7">
          <w:rPr>
            <w:rStyle w:val="Hyperlink"/>
            <w:rFonts w:ascii="Cambria" w:hAnsi="Cambria"/>
            <w:i/>
            <w:iCs/>
            <w:sz w:val="16"/>
            <w:szCs w:val="16"/>
          </w:rPr>
          <w:t>, New York Times</w:t>
        </w:r>
      </w:hyperlink>
      <w:r w:rsidRPr="008A7BD7">
        <w:rPr>
          <w:rFonts w:ascii="Cambria" w:hAnsi="Cambria"/>
          <w:sz w:val="16"/>
          <w:szCs w:val="16"/>
        </w:rPr>
        <w:t xml:space="preserve">, </w:t>
      </w:r>
      <w:r w:rsidR="00D5733D" w:rsidRPr="008A7BD7">
        <w:rPr>
          <w:rFonts w:ascii="Cambria" w:hAnsi="Cambria"/>
          <w:sz w:val="16"/>
          <w:szCs w:val="16"/>
        </w:rPr>
        <w:t xml:space="preserve">August </w:t>
      </w:r>
      <w:r w:rsidRPr="008A7BD7">
        <w:rPr>
          <w:rFonts w:ascii="Cambria" w:hAnsi="Cambria"/>
          <w:sz w:val="16"/>
          <w:szCs w:val="16"/>
        </w:rPr>
        <w:t>23</w:t>
      </w:r>
      <w:r w:rsidR="00D5733D" w:rsidRPr="008A7BD7">
        <w:rPr>
          <w:rFonts w:ascii="Cambria" w:hAnsi="Cambria"/>
          <w:sz w:val="16"/>
          <w:szCs w:val="16"/>
        </w:rPr>
        <w:t xml:space="preserve">, </w:t>
      </w:r>
      <w:r w:rsidRPr="008A7BD7">
        <w:rPr>
          <w:rFonts w:ascii="Cambria" w:hAnsi="Cambria"/>
          <w:sz w:val="16"/>
          <w:szCs w:val="16"/>
        </w:rPr>
        <w:t>2021.</w:t>
      </w:r>
    </w:p>
  </w:footnote>
  <w:footnote w:id="28">
    <w:p w14:paraId="1C8FE03D" w14:textId="6CCB7690" w:rsidR="00C56230" w:rsidRPr="008A7BD7" w:rsidRDefault="00C56230" w:rsidP="00C56230">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961425" w:rsidRPr="008A7BD7">
        <w:rPr>
          <w:rFonts w:ascii="Cambria" w:hAnsi="Cambria"/>
          <w:sz w:val="16"/>
          <w:szCs w:val="16"/>
        </w:rPr>
        <w:t>Response from the State of</w:t>
      </w:r>
      <w:r w:rsidR="00961425"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961425" w:rsidRPr="008A7BD7">
        <w:rPr>
          <w:rFonts w:ascii="Cambria" w:hAnsi="Cambria"/>
          <w:sz w:val="16"/>
          <w:szCs w:val="16"/>
        </w:rPr>
        <w:t>OEA</w:t>
      </w:r>
      <w:r w:rsidR="00961425" w:rsidRPr="008A7BD7">
        <w:rPr>
          <w:rFonts w:ascii="Cambria" w:eastAsia="Cambria" w:hAnsi="Cambria" w:cs="Cambria"/>
          <w:color w:val="000000"/>
          <w:sz w:val="16"/>
          <w:szCs w:val="16"/>
        </w:rPr>
        <w:t>-M4-980-2021, December 22, 2021</w:t>
      </w:r>
      <w:r w:rsidRPr="008A7BD7">
        <w:rPr>
          <w:rFonts w:ascii="Cambria" w:eastAsia="Cambria" w:hAnsi="Cambria" w:cs="Cambria"/>
          <w:color w:val="000000"/>
          <w:sz w:val="16"/>
          <w:szCs w:val="16"/>
        </w:rPr>
        <w:t>, p. 8.</w:t>
      </w:r>
    </w:p>
  </w:footnote>
  <w:footnote w:id="29">
    <w:p w14:paraId="569A378F" w14:textId="7073CAA9" w:rsidR="00C56230" w:rsidRPr="008A7BD7" w:rsidRDefault="00C56230" w:rsidP="00C56230">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961425" w:rsidRPr="008A7BD7">
        <w:rPr>
          <w:rFonts w:ascii="Cambria" w:hAnsi="Cambria"/>
          <w:sz w:val="16"/>
          <w:szCs w:val="16"/>
        </w:rPr>
        <w:t xml:space="preserve">According to the information provided, on August 2, </w:t>
      </w:r>
      <w:r w:rsidRPr="008A7BD7">
        <w:rPr>
          <w:rFonts w:ascii="Cambria" w:eastAsia="Montserrat" w:hAnsi="Cambria" w:cs="Montserrat"/>
          <w:sz w:val="16"/>
          <w:szCs w:val="16"/>
        </w:rPr>
        <w:t xml:space="preserve">2021, </w:t>
      </w:r>
      <w:r w:rsidR="00961425" w:rsidRPr="008A7BD7">
        <w:rPr>
          <w:rFonts w:ascii="Cambria" w:eastAsia="Montserrat" w:hAnsi="Cambria" w:cs="Montserrat"/>
          <w:sz w:val="16"/>
          <w:szCs w:val="16"/>
        </w:rPr>
        <w:t xml:space="preserve">Mr. </w:t>
      </w:r>
      <w:r w:rsidRPr="008A7BD7">
        <w:rPr>
          <w:rFonts w:ascii="Cambria" w:eastAsia="Montserrat" w:hAnsi="Cambria" w:cs="Montserrat"/>
          <w:sz w:val="16"/>
          <w:szCs w:val="16"/>
        </w:rPr>
        <w:t xml:space="preserve">Sandoval </w:t>
      </w:r>
      <w:r w:rsidR="005C5550" w:rsidRPr="008A7BD7">
        <w:rPr>
          <w:rFonts w:ascii="Cambria" w:eastAsia="Montserrat" w:hAnsi="Cambria" w:cs="Montserrat"/>
          <w:sz w:val="16"/>
          <w:szCs w:val="16"/>
        </w:rPr>
        <w:t xml:space="preserve">filed a </w:t>
      </w:r>
      <w:r w:rsidR="00D85906" w:rsidRPr="008A7BD7">
        <w:rPr>
          <w:rFonts w:ascii="Cambria" w:eastAsia="Montserrat" w:hAnsi="Cambria" w:cs="Montserrat"/>
          <w:sz w:val="16"/>
          <w:szCs w:val="16"/>
        </w:rPr>
        <w:t xml:space="preserve">petition for </w:t>
      </w:r>
      <w:r w:rsidR="005C5550" w:rsidRPr="008A7BD7">
        <w:rPr>
          <w:rFonts w:ascii="Cambria" w:eastAsia="Montserrat" w:hAnsi="Cambria" w:cs="Montserrat"/>
          <w:sz w:val="16"/>
          <w:szCs w:val="16"/>
        </w:rPr>
        <w:t>constitutional</w:t>
      </w:r>
      <w:r w:rsidR="00D85906" w:rsidRPr="008A7BD7">
        <w:rPr>
          <w:rFonts w:ascii="Cambria" w:eastAsia="Montserrat" w:hAnsi="Cambria" w:cs="Montserrat"/>
          <w:sz w:val="16"/>
          <w:szCs w:val="16"/>
        </w:rPr>
        <w:t xml:space="preserve"> protection</w:t>
      </w:r>
      <w:r w:rsidR="005C5550" w:rsidRPr="008A7BD7">
        <w:rPr>
          <w:rFonts w:ascii="Cambria" w:eastAsia="Montserrat" w:hAnsi="Cambria" w:cs="Montserrat"/>
          <w:sz w:val="16"/>
          <w:szCs w:val="16"/>
        </w:rPr>
        <w:t xml:space="preserve"> </w:t>
      </w:r>
      <w:r w:rsidR="00D85906" w:rsidRPr="008A7BD7">
        <w:rPr>
          <w:rFonts w:ascii="Cambria" w:eastAsia="Montserrat" w:hAnsi="Cambria" w:cs="Montserrat"/>
          <w:sz w:val="16"/>
          <w:szCs w:val="16"/>
        </w:rPr>
        <w:t>(</w:t>
      </w:r>
      <w:r w:rsidR="005C5550" w:rsidRPr="008A7BD7">
        <w:rPr>
          <w:rFonts w:ascii="Cambria" w:eastAsia="Montserrat" w:hAnsi="Cambria" w:cs="Montserrat"/>
          <w:i/>
          <w:iCs/>
          <w:sz w:val="16"/>
          <w:szCs w:val="16"/>
        </w:rPr>
        <w:t>amparo</w:t>
      </w:r>
      <w:r w:rsidR="00D85906" w:rsidRPr="008A7BD7">
        <w:rPr>
          <w:rFonts w:ascii="Cambria" w:eastAsia="Montserrat" w:hAnsi="Cambria" w:cs="Montserrat"/>
          <w:sz w:val="16"/>
          <w:szCs w:val="16"/>
        </w:rPr>
        <w:t>)</w:t>
      </w:r>
      <w:r w:rsidR="005C5550" w:rsidRPr="008A7BD7">
        <w:rPr>
          <w:rFonts w:ascii="Cambria" w:eastAsia="Montserrat" w:hAnsi="Cambria" w:cs="Montserrat"/>
          <w:sz w:val="16"/>
          <w:szCs w:val="16"/>
        </w:rPr>
        <w:t xml:space="preserve"> challeng</w:t>
      </w:r>
      <w:r w:rsidR="00D85906" w:rsidRPr="008A7BD7">
        <w:rPr>
          <w:rFonts w:ascii="Cambria" w:eastAsia="Montserrat" w:hAnsi="Cambria" w:cs="Montserrat"/>
          <w:sz w:val="16"/>
          <w:szCs w:val="16"/>
        </w:rPr>
        <w:t>ing</w:t>
      </w:r>
      <w:r w:rsidR="005C5550" w:rsidRPr="008A7BD7">
        <w:rPr>
          <w:rFonts w:ascii="Cambria" w:eastAsia="Montserrat" w:hAnsi="Cambria" w:cs="Montserrat"/>
          <w:sz w:val="16"/>
          <w:szCs w:val="16"/>
        </w:rPr>
        <w:t xml:space="preserve"> </w:t>
      </w:r>
      <w:r w:rsidR="00D85906" w:rsidRPr="008A7BD7">
        <w:rPr>
          <w:rFonts w:ascii="Cambria" w:eastAsia="Montserrat" w:hAnsi="Cambria" w:cs="Montserrat"/>
          <w:sz w:val="16"/>
          <w:szCs w:val="16"/>
        </w:rPr>
        <w:t xml:space="preserve">Decision </w:t>
      </w:r>
      <w:r w:rsidRPr="008A7BD7">
        <w:rPr>
          <w:rFonts w:ascii="Cambria" w:eastAsia="Montserrat" w:hAnsi="Cambria" w:cs="Montserrat"/>
          <w:sz w:val="16"/>
          <w:szCs w:val="16"/>
        </w:rPr>
        <w:t xml:space="preserve">2157-2021 </w:t>
      </w:r>
      <w:r w:rsidR="005C5550" w:rsidRPr="008A7BD7">
        <w:rPr>
          <w:rFonts w:ascii="Cambria" w:eastAsia="Montserrat" w:hAnsi="Cambria" w:cs="Montserrat"/>
          <w:sz w:val="16"/>
          <w:szCs w:val="16"/>
        </w:rPr>
        <w:t xml:space="preserve">dated July </w:t>
      </w:r>
      <w:r w:rsidRPr="008A7BD7">
        <w:rPr>
          <w:rFonts w:ascii="Cambria" w:eastAsia="Montserrat" w:hAnsi="Cambria" w:cs="Montserrat"/>
          <w:sz w:val="16"/>
          <w:szCs w:val="16"/>
        </w:rPr>
        <w:t>23</w:t>
      </w:r>
      <w:r w:rsidR="005C5550" w:rsidRPr="008A7BD7">
        <w:rPr>
          <w:rFonts w:ascii="Cambria" w:eastAsia="Montserrat" w:hAnsi="Cambria" w:cs="Montserrat"/>
          <w:sz w:val="16"/>
          <w:szCs w:val="16"/>
        </w:rPr>
        <w:t xml:space="preserve">, </w:t>
      </w:r>
      <w:r w:rsidRPr="008A7BD7">
        <w:rPr>
          <w:rFonts w:ascii="Cambria" w:eastAsia="Montserrat" w:hAnsi="Cambria" w:cs="Montserrat"/>
          <w:sz w:val="16"/>
          <w:szCs w:val="16"/>
        </w:rPr>
        <w:t xml:space="preserve">2021; </w:t>
      </w:r>
      <w:r w:rsidR="005C5550" w:rsidRPr="008A7BD7">
        <w:rPr>
          <w:rFonts w:ascii="Cambria" w:eastAsia="Montserrat" w:hAnsi="Cambria" w:cs="Montserrat"/>
          <w:sz w:val="16"/>
          <w:szCs w:val="16"/>
        </w:rPr>
        <w:t xml:space="preserve">moreover, on August </w:t>
      </w:r>
      <w:r w:rsidRPr="008A7BD7">
        <w:rPr>
          <w:rFonts w:ascii="Cambria" w:eastAsia="Montserrat" w:hAnsi="Cambria" w:cs="Montserrat"/>
          <w:sz w:val="16"/>
          <w:szCs w:val="16"/>
        </w:rPr>
        <w:t xml:space="preserve">17 </w:t>
      </w:r>
      <w:r w:rsidR="005C5550" w:rsidRPr="008A7BD7">
        <w:rPr>
          <w:rFonts w:ascii="Cambria" w:eastAsia="Montserrat" w:hAnsi="Cambria" w:cs="Montserrat"/>
          <w:sz w:val="16"/>
          <w:szCs w:val="16"/>
        </w:rPr>
        <w:t xml:space="preserve">of the same year he filed a labor lawsuit. Both cases are being processed and </w:t>
      </w:r>
      <w:r w:rsidR="00CF007E" w:rsidRPr="008A7BD7">
        <w:rPr>
          <w:rFonts w:ascii="Cambria" w:eastAsia="Montserrat" w:hAnsi="Cambria" w:cs="Montserrat"/>
          <w:sz w:val="16"/>
          <w:szCs w:val="16"/>
        </w:rPr>
        <w:t>aim</w:t>
      </w:r>
      <w:r w:rsidR="005C5550" w:rsidRPr="008A7BD7">
        <w:rPr>
          <w:rFonts w:ascii="Cambria" w:eastAsia="Montserrat" w:hAnsi="Cambria" w:cs="Montserrat"/>
          <w:sz w:val="16"/>
          <w:szCs w:val="16"/>
        </w:rPr>
        <w:t xml:space="preserve"> to seek the </w:t>
      </w:r>
      <w:r w:rsidR="00D85906" w:rsidRPr="008A7BD7">
        <w:rPr>
          <w:rFonts w:ascii="Cambria" w:eastAsia="Montserrat" w:hAnsi="Cambria" w:cs="Montserrat"/>
          <w:sz w:val="16"/>
          <w:szCs w:val="16"/>
        </w:rPr>
        <w:t>reinstatement</w:t>
      </w:r>
      <w:r w:rsidR="005C5550" w:rsidRPr="008A7BD7">
        <w:rPr>
          <w:rFonts w:ascii="Cambria" w:eastAsia="Montserrat" w:hAnsi="Cambria" w:cs="Montserrat"/>
          <w:sz w:val="16"/>
          <w:szCs w:val="16"/>
        </w:rPr>
        <w:t xml:space="preserve"> of Mr. </w:t>
      </w:r>
      <w:r w:rsidRPr="008A7BD7">
        <w:rPr>
          <w:rFonts w:ascii="Cambria" w:eastAsia="Montserrat" w:hAnsi="Cambria" w:cs="Montserrat"/>
          <w:sz w:val="16"/>
          <w:szCs w:val="16"/>
        </w:rPr>
        <w:t xml:space="preserve">Sandoval </w:t>
      </w:r>
      <w:r w:rsidR="005C5550" w:rsidRPr="008A7BD7">
        <w:rPr>
          <w:rFonts w:ascii="Cambria" w:eastAsia="Montserrat" w:hAnsi="Cambria" w:cs="Montserrat"/>
          <w:sz w:val="16"/>
          <w:szCs w:val="16"/>
        </w:rPr>
        <w:t xml:space="preserve">to the post </w:t>
      </w:r>
      <w:r w:rsidR="00D85906" w:rsidRPr="008A7BD7">
        <w:rPr>
          <w:rFonts w:ascii="Cambria" w:eastAsia="Montserrat" w:hAnsi="Cambria" w:cs="Montserrat"/>
          <w:sz w:val="16"/>
          <w:szCs w:val="16"/>
        </w:rPr>
        <w:t xml:space="preserve">he held </w:t>
      </w:r>
      <w:r w:rsidR="005C5550" w:rsidRPr="008A7BD7">
        <w:rPr>
          <w:rFonts w:ascii="Cambria" w:eastAsia="Montserrat" w:hAnsi="Cambria" w:cs="Montserrat"/>
          <w:sz w:val="16"/>
          <w:szCs w:val="16"/>
        </w:rPr>
        <w:t>as head of the FECI Section of the Public Prosecutor’s Office</w:t>
      </w:r>
      <w:r w:rsidR="00D85906" w:rsidRPr="008A7BD7">
        <w:rPr>
          <w:rFonts w:ascii="Cambria" w:eastAsia="Montserrat" w:hAnsi="Cambria" w:cs="Montserrat"/>
          <w:sz w:val="16"/>
          <w:szCs w:val="16"/>
        </w:rPr>
        <w:t>.</w:t>
      </w:r>
      <w:r w:rsidR="007A31A9" w:rsidRPr="008A7BD7">
        <w:rPr>
          <w:rFonts w:ascii="Cambria" w:hAnsi="Cambria"/>
          <w:sz w:val="16"/>
          <w:szCs w:val="16"/>
        </w:rPr>
        <w:t xml:space="preserve"> Guatemala, </w:t>
      </w:r>
      <w:r w:rsidR="007A31A9" w:rsidRPr="008A7BD7">
        <w:rPr>
          <w:rFonts w:ascii="Cambria" w:eastAsia="Cambria" w:hAnsi="Cambria" w:cs="Cambria"/>
          <w:color w:val="000000"/>
          <w:sz w:val="16"/>
          <w:szCs w:val="16"/>
        </w:rPr>
        <w:t>Note from the Permanent Mission of Guatemala to the Organization of American States (OAS), NV-</w:t>
      </w:r>
      <w:r w:rsidR="007A31A9" w:rsidRPr="008A7BD7">
        <w:rPr>
          <w:rFonts w:ascii="Cambria" w:hAnsi="Cambria"/>
          <w:sz w:val="16"/>
          <w:szCs w:val="16"/>
        </w:rPr>
        <w:t>OEA</w:t>
      </w:r>
      <w:r w:rsidR="007A31A9" w:rsidRPr="008A7BD7">
        <w:rPr>
          <w:rFonts w:ascii="Cambria" w:eastAsia="Cambria" w:hAnsi="Cambria" w:cs="Cambria"/>
          <w:color w:val="000000"/>
          <w:sz w:val="16"/>
          <w:szCs w:val="16"/>
        </w:rPr>
        <w:t>-M4-980-2021, December 22, 2021, pp</w:t>
      </w:r>
      <w:r w:rsidRPr="008A7BD7">
        <w:rPr>
          <w:rFonts w:ascii="Cambria" w:eastAsia="Cambria" w:hAnsi="Cambria" w:cs="Cambria"/>
          <w:color w:val="000000"/>
          <w:sz w:val="16"/>
          <w:szCs w:val="16"/>
        </w:rPr>
        <w:t>. 8</w:t>
      </w:r>
      <w:r w:rsidR="00D85906" w:rsidRPr="008A7BD7">
        <w:rPr>
          <w:rFonts w:ascii="Cambria" w:eastAsia="Cambria" w:hAnsi="Cambria" w:cs="Cambria"/>
          <w:color w:val="000000"/>
          <w:sz w:val="16"/>
          <w:szCs w:val="16"/>
        </w:rPr>
        <w:t>-</w:t>
      </w:r>
      <w:r w:rsidRPr="008A7BD7">
        <w:rPr>
          <w:rFonts w:ascii="Cambria" w:eastAsia="Cambria" w:hAnsi="Cambria" w:cs="Cambria"/>
          <w:color w:val="000000"/>
          <w:sz w:val="16"/>
          <w:szCs w:val="16"/>
        </w:rPr>
        <w:t>9.</w:t>
      </w:r>
    </w:p>
  </w:footnote>
  <w:footnote w:id="30">
    <w:p w14:paraId="75525A03" w14:textId="3B3D2F36" w:rsidR="00C56230" w:rsidRPr="008A7BD7" w:rsidRDefault="00C56230" w:rsidP="00C56230">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961425" w:rsidRPr="008A7BD7">
        <w:rPr>
          <w:rFonts w:ascii="Cambria" w:hAnsi="Cambria"/>
          <w:sz w:val="16"/>
          <w:szCs w:val="16"/>
        </w:rPr>
        <w:t>Response from the State of</w:t>
      </w:r>
      <w:r w:rsidR="00961425"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961425" w:rsidRPr="008A7BD7">
        <w:rPr>
          <w:rFonts w:ascii="Cambria" w:hAnsi="Cambria"/>
          <w:sz w:val="16"/>
          <w:szCs w:val="16"/>
        </w:rPr>
        <w:t>OEA</w:t>
      </w:r>
      <w:r w:rsidR="00961425" w:rsidRPr="008A7BD7">
        <w:rPr>
          <w:rFonts w:ascii="Cambria" w:eastAsia="Cambria" w:hAnsi="Cambria" w:cs="Cambria"/>
          <w:color w:val="000000"/>
          <w:sz w:val="16"/>
          <w:szCs w:val="16"/>
        </w:rPr>
        <w:t>-M4-980-2021, December 22, 2021,</w:t>
      </w:r>
      <w:r w:rsidRPr="008A7BD7">
        <w:rPr>
          <w:rFonts w:ascii="Cambria" w:eastAsia="Cambria" w:hAnsi="Cambria" w:cs="Cambria"/>
          <w:color w:val="000000"/>
          <w:sz w:val="16"/>
          <w:szCs w:val="16"/>
        </w:rPr>
        <w:t xml:space="preserve"> p. 8.</w:t>
      </w:r>
    </w:p>
  </w:footnote>
  <w:footnote w:id="31">
    <w:p w14:paraId="5815F040" w14:textId="058B2EF6" w:rsidR="4F54743F" w:rsidRPr="008A7BD7" w:rsidRDefault="4F54743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FIDH, </w:t>
      </w:r>
      <w:hyperlink r:id="rId24">
        <w:r w:rsidRPr="008A7BD7">
          <w:rPr>
            <w:rStyle w:val="Hyperlink"/>
            <w:rFonts w:ascii="Cambria" w:hAnsi="Cambria"/>
            <w:i/>
            <w:iCs/>
            <w:sz w:val="16"/>
            <w:szCs w:val="16"/>
          </w:rPr>
          <w:t xml:space="preserve">Guatemala: </w:t>
        </w:r>
        <w:proofErr w:type="spellStart"/>
        <w:r w:rsidRPr="008A7BD7">
          <w:rPr>
            <w:rStyle w:val="Hyperlink"/>
            <w:rFonts w:ascii="Cambria" w:hAnsi="Cambria"/>
            <w:i/>
            <w:iCs/>
            <w:sz w:val="16"/>
            <w:szCs w:val="16"/>
          </w:rPr>
          <w:t>Destitución</w:t>
        </w:r>
        <w:proofErr w:type="spellEnd"/>
        <w:r w:rsidRPr="008A7BD7">
          <w:rPr>
            <w:rStyle w:val="Hyperlink"/>
            <w:rFonts w:ascii="Cambria" w:hAnsi="Cambria"/>
            <w:i/>
            <w:iCs/>
            <w:sz w:val="16"/>
            <w:szCs w:val="16"/>
          </w:rPr>
          <w:t xml:space="preserve"> del Fiscal Especial Contra la </w:t>
        </w:r>
        <w:proofErr w:type="spellStart"/>
        <w:r w:rsidRPr="008A7BD7">
          <w:rPr>
            <w:rStyle w:val="Hyperlink"/>
            <w:rFonts w:ascii="Cambria" w:hAnsi="Cambria"/>
            <w:i/>
            <w:iCs/>
            <w:sz w:val="16"/>
            <w:szCs w:val="16"/>
          </w:rPr>
          <w:t>Impunidad</w:t>
        </w:r>
        <w:proofErr w:type="spellEnd"/>
        <w:r w:rsidRPr="008A7BD7">
          <w:rPr>
            <w:rStyle w:val="Hyperlink"/>
            <w:rFonts w:ascii="Cambria" w:hAnsi="Cambria"/>
            <w:i/>
            <w:iCs/>
            <w:sz w:val="16"/>
            <w:szCs w:val="16"/>
          </w:rPr>
          <w:t xml:space="preserve"> </w:t>
        </w:r>
        <w:proofErr w:type="spellStart"/>
        <w:r w:rsidRPr="008A7BD7">
          <w:rPr>
            <w:rStyle w:val="Hyperlink"/>
            <w:rFonts w:ascii="Cambria" w:hAnsi="Cambria"/>
            <w:i/>
            <w:iCs/>
            <w:sz w:val="16"/>
            <w:szCs w:val="16"/>
          </w:rPr>
          <w:t>va</w:t>
        </w:r>
        <w:proofErr w:type="spellEnd"/>
        <w:r w:rsidRPr="008A7BD7">
          <w:rPr>
            <w:rStyle w:val="Hyperlink"/>
            <w:rFonts w:ascii="Cambria" w:hAnsi="Cambria"/>
            <w:i/>
            <w:iCs/>
            <w:sz w:val="16"/>
            <w:szCs w:val="16"/>
          </w:rPr>
          <w:t xml:space="preserve"> contra </w:t>
        </w:r>
        <w:proofErr w:type="spellStart"/>
        <w:r w:rsidRPr="008A7BD7">
          <w:rPr>
            <w:rStyle w:val="Hyperlink"/>
            <w:rFonts w:ascii="Cambria" w:hAnsi="Cambria"/>
            <w:i/>
            <w:iCs/>
            <w:sz w:val="16"/>
            <w:szCs w:val="16"/>
          </w:rPr>
          <w:t>el</w:t>
        </w:r>
        <w:proofErr w:type="spellEnd"/>
        <w:r w:rsidRPr="008A7BD7">
          <w:rPr>
            <w:rStyle w:val="Hyperlink"/>
            <w:rFonts w:ascii="Cambria" w:hAnsi="Cambria"/>
            <w:i/>
            <w:iCs/>
            <w:sz w:val="16"/>
            <w:szCs w:val="16"/>
          </w:rPr>
          <w:t xml:space="preserve"> Estado de Derecho</w:t>
        </w:r>
      </w:hyperlink>
      <w:r w:rsidR="00B2180A" w:rsidRPr="008A7BD7">
        <w:rPr>
          <w:rStyle w:val="Hyperlink"/>
          <w:rFonts w:ascii="Cambria" w:hAnsi="Cambria"/>
          <w:sz w:val="16"/>
          <w:szCs w:val="16"/>
        </w:rPr>
        <w:t>,</w:t>
      </w:r>
      <w:r w:rsidRPr="008A7BD7">
        <w:rPr>
          <w:rFonts w:ascii="Cambria" w:hAnsi="Cambria"/>
          <w:sz w:val="16"/>
          <w:szCs w:val="16"/>
        </w:rPr>
        <w:t xml:space="preserve"> </w:t>
      </w:r>
      <w:r w:rsidR="00B2180A" w:rsidRPr="008A7BD7">
        <w:rPr>
          <w:rFonts w:ascii="Cambria" w:hAnsi="Cambria"/>
          <w:sz w:val="16"/>
          <w:szCs w:val="16"/>
        </w:rPr>
        <w:t xml:space="preserve">July 28, </w:t>
      </w:r>
      <w:r w:rsidRPr="008A7BD7">
        <w:rPr>
          <w:rFonts w:ascii="Cambria" w:hAnsi="Cambria"/>
          <w:sz w:val="16"/>
          <w:szCs w:val="16"/>
        </w:rPr>
        <w:t xml:space="preserve">2021; </w:t>
      </w:r>
      <w:r w:rsidR="00B2180A" w:rsidRPr="008A7BD7">
        <w:rPr>
          <w:rFonts w:ascii="Cambria" w:hAnsi="Cambria"/>
          <w:sz w:val="16"/>
          <w:szCs w:val="16"/>
        </w:rPr>
        <w:t xml:space="preserve">See also joint statement, </w:t>
      </w:r>
      <w:hyperlink r:id="rId25" w:history="1">
        <w:r w:rsidR="000F1C0E" w:rsidRPr="008A7BD7">
          <w:rPr>
            <w:rStyle w:val="Hyperlink"/>
            <w:rFonts w:ascii="Cambria" w:hAnsi="Cambria"/>
            <w:sz w:val="16"/>
            <w:szCs w:val="16"/>
          </w:rPr>
          <w:t>International Organizations Reject the Dismissal of the Prosecutor Juan Francisco Sandoval</w:t>
        </w:r>
      </w:hyperlink>
      <w:r w:rsidR="000F1C0E" w:rsidRPr="008A7BD7">
        <w:rPr>
          <w:rFonts w:ascii="Cambria" w:hAnsi="Cambria"/>
          <w:sz w:val="16"/>
          <w:szCs w:val="16"/>
        </w:rPr>
        <w:t>,</w:t>
      </w:r>
      <w:r w:rsidR="000F1C0E" w:rsidRPr="008A7BD7">
        <w:t xml:space="preserve"> </w:t>
      </w:r>
      <w:r w:rsidR="00B2180A" w:rsidRPr="008A7BD7">
        <w:rPr>
          <w:rFonts w:ascii="Cambria" w:hAnsi="Cambria"/>
          <w:sz w:val="16"/>
          <w:szCs w:val="16"/>
        </w:rPr>
        <w:t xml:space="preserve">July </w:t>
      </w:r>
      <w:r w:rsidRPr="008A7BD7">
        <w:rPr>
          <w:rFonts w:ascii="Cambria" w:hAnsi="Cambria"/>
          <w:sz w:val="16"/>
          <w:szCs w:val="16"/>
        </w:rPr>
        <w:t>24</w:t>
      </w:r>
      <w:r w:rsidR="00B2180A" w:rsidRPr="008A7BD7">
        <w:rPr>
          <w:rFonts w:ascii="Cambria" w:hAnsi="Cambria"/>
          <w:sz w:val="16"/>
          <w:szCs w:val="16"/>
        </w:rPr>
        <w:t xml:space="preserve">, </w:t>
      </w:r>
      <w:r w:rsidRPr="008A7BD7">
        <w:rPr>
          <w:rFonts w:ascii="Cambria" w:hAnsi="Cambria"/>
          <w:sz w:val="16"/>
          <w:szCs w:val="16"/>
        </w:rPr>
        <w:t>2021.</w:t>
      </w:r>
    </w:p>
  </w:footnote>
  <w:footnote w:id="32">
    <w:p w14:paraId="3FDE2D66" w14:textId="18BAFD12" w:rsidR="00FA04DB" w:rsidRPr="008A7BD7" w:rsidRDefault="00FA04DB" w:rsidP="00746761">
      <w:pPr>
        <w:pStyle w:val="FootnoteText"/>
        <w:spacing w:after="120"/>
        <w:ind w:firstLine="720"/>
        <w:jc w:val="both"/>
        <w:rPr>
          <w:rFonts w:ascii="Cambria" w:hAnsi="Cambria"/>
          <w:b/>
          <w:bCs/>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La Hora</w:t>
      </w:r>
      <w:r w:rsidRPr="008A7BD7">
        <w:rPr>
          <w:rFonts w:ascii="Cambria" w:hAnsi="Cambria"/>
          <w:sz w:val="16"/>
          <w:szCs w:val="16"/>
          <w:lang w:val="es-US"/>
        </w:rPr>
        <w:t xml:space="preserve">, </w:t>
      </w:r>
      <w:hyperlink r:id="rId26" w:history="1">
        <w:r w:rsidRPr="008A7BD7">
          <w:rPr>
            <w:rStyle w:val="Hyperlink"/>
            <w:rFonts w:ascii="Cambria" w:hAnsi="Cambria"/>
            <w:i/>
            <w:iCs/>
            <w:sz w:val="16"/>
            <w:szCs w:val="16"/>
            <w:lang w:val="es-US"/>
          </w:rPr>
          <w:t>Consuelo Porras no quiere operativos, con PNC, sin que ella autorice</w:t>
        </w:r>
      </w:hyperlink>
      <w:r w:rsidR="00B2180A" w:rsidRPr="008A7BD7">
        <w:rPr>
          <w:rStyle w:val="Hyperlink"/>
          <w:rFonts w:ascii="Cambria" w:hAnsi="Cambria"/>
          <w:sz w:val="16"/>
          <w:szCs w:val="16"/>
          <w:lang w:val="es-US"/>
        </w:rPr>
        <w:t>,</w:t>
      </w:r>
      <w:r w:rsidR="00B2180A" w:rsidRPr="008A7BD7">
        <w:rPr>
          <w:rFonts w:ascii="Cambria" w:hAnsi="Cambria"/>
          <w:sz w:val="16"/>
          <w:szCs w:val="16"/>
          <w:lang w:val="es-US"/>
        </w:rPr>
        <w:t xml:space="preserve"> </w:t>
      </w:r>
      <w:proofErr w:type="spellStart"/>
      <w:r w:rsidR="00B2180A" w:rsidRPr="008A7BD7">
        <w:rPr>
          <w:rFonts w:ascii="Cambria" w:hAnsi="Cambria"/>
          <w:sz w:val="16"/>
          <w:szCs w:val="16"/>
          <w:lang w:val="es-US"/>
        </w:rPr>
        <w:t>July</w:t>
      </w:r>
      <w:proofErr w:type="spellEnd"/>
      <w:r w:rsidR="00B2180A" w:rsidRPr="008A7BD7">
        <w:rPr>
          <w:rFonts w:ascii="Cambria" w:hAnsi="Cambria"/>
          <w:sz w:val="16"/>
          <w:szCs w:val="16"/>
          <w:lang w:val="es-US"/>
        </w:rPr>
        <w:t xml:space="preserve"> </w:t>
      </w:r>
      <w:r w:rsidRPr="008A7BD7">
        <w:rPr>
          <w:rFonts w:ascii="Cambria" w:hAnsi="Cambria"/>
          <w:sz w:val="16"/>
          <w:szCs w:val="16"/>
          <w:lang w:val="es-US"/>
        </w:rPr>
        <w:t>2</w:t>
      </w:r>
      <w:r w:rsidR="00B2180A" w:rsidRPr="008A7BD7">
        <w:rPr>
          <w:rFonts w:ascii="Cambria" w:hAnsi="Cambria"/>
          <w:sz w:val="16"/>
          <w:szCs w:val="16"/>
          <w:lang w:val="es-US"/>
        </w:rPr>
        <w:t xml:space="preserve">, </w:t>
      </w:r>
      <w:r w:rsidRPr="008A7BD7">
        <w:rPr>
          <w:rFonts w:ascii="Cambria" w:hAnsi="Cambria"/>
          <w:sz w:val="16"/>
          <w:szCs w:val="16"/>
          <w:lang w:val="es-US"/>
        </w:rPr>
        <w:t xml:space="preserve">2021; </w:t>
      </w:r>
      <w:r w:rsidRPr="008A7BD7">
        <w:rPr>
          <w:rFonts w:ascii="Cambria" w:hAnsi="Cambria"/>
          <w:i/>
          <w:iCs/>
          <w:sz w:val="16"/>
          <w:szCs w:val="16"/>
          <w:lang w:val="es-US"/>
        </w:rPr>
        <w:t>Prensa Libre</w:t>
      </w:r>
      <w:r w:rsidRPr="008A7BD7">
        <w:rPr>
          <w:rFonts w:ascii="Cambria" w:hAnsi="Cambria"/>
          <w:sz w:val="16"/>
          <w:szCs w:val="16"/>
          <w:lang w:val="es-US"/>
        </w:rPr>
        <w:t xml:space="preserve">, </w:t>
      </w:r>
      <w:hyperlink r:id="rId27" w:history="1">
        <w:r w:rsidRPr="008A7BD7">
          <w:rPr>
            <w:rStyle w:val="Hyperlink"/>
            <w:rFonts w:ascii="Cambria" w:hAnsi="Cambria"/>
            <w:sz w:val="16"/>
            <w:szCs w:val="16"/>
            <w:lang w:val="es-US"/>
          </w:rPr>
          <w:t>FECI debe solicitar autorización de fiscal general para operativos, pero otras fiscalías no</w:t>
        </w:r>
      </w:hyperlink>
      <w:r w:rsidR="00B2180A" w:rsidRPr="008A7BD7">
        <w:rPr>
          <w:rStyle w:val="Hyperlink"/>
          <w:rFonts w:ascii="Cambria" w:hAnsi="Cambria"/>
          <w:sz w:val="16"/>
          <w:szCs w:val="16"/>
          <w:lang w:val="es-US"/>
        </w:rPr>
        <w:t>,</w:t>
      </w:r>
      <w:r w:rsidRPr="008A7BD7">
        <w:rPr>
          <w:rFonts w:ascii="Cambria" w:hAnsi="Cambria"/>
          <w:sz w:val="16"/>
          <w:szCs w:val="16"/>
          <w:lang w:val="es-US"/>
        </w:rPr>
        <w:t xml:space="preserve"> </w:t>
      </w:r>
      <w:proofErr w:type="spellStart"/>
      <w:r w:rsidR="00B2180A" w:rsidRPr="008A7BD7">
        <w:rPr>
          <w:rFonts w:ascii="Cambria" w:hAnsi="Cambria"/>
          <w:sz w:val="16"/>
          <w:szCs w:val="16"/>
          <w:lang w:val="es-US"/>
        </w:rPr>
        <w:t>July</w:t>
      </w:r>
      <w:proofErr w:type="spellEnd"/>
      <w:r w:rsidR="00B2180A" w:rsidRPr="008A7BD7">
        <w:rPr>
          <w:rFonts w:ascii="Cambria" w:hAnsi="Cambria"/>
          <w:sz w:val="16"/>
          <w:szCs w:val="16"/>
          <w:lang w:val="es-US"/>
        </w:rPr>
        <w:t xml:space="preserve"> </w:t>
      </w:r>
      <w:r w:rsidRPr="008A7BD7">
        <w:rPr>
          <w:rFonts w:ascii="Cambria" w:hAnsi="Cambria"/>
          <w:sz w:val="16"/>
          <w:szCs w:val="16"/>
          <w:lang w:val="es-US"/>
        </w:rPr>
        <w:t>14</w:t>
      </w:r>
      <w:r w:rsidR="00B2180A" w:rsidRPr="008A7BD7">
        <w:rPr>
          <w:rFonts w:ascii="Cambria" w:hAnsi="Cambria"/>
          <w:sz w:val="16"/>
          <w:szCs w:val="16"/>
          <w:lang w:val="es-US"/>
        </w:rPr>
        <w:t>,</w:t>
      </w:r>
      <w:r w:rsidRPr="008A7BD7">
        <w:rPr>
          <w:rFonts w:ascii="Cambria" w:hAnsi="Cambria"/>
          <w:sz w:val="16"/>
          <w:szCs w:val="16"/>
          <w:lang w:val="es-US"/>
        </w:rPr>
        <w:t xml:space="preserve"> 2021.</w:t>
      </w:r>
    </w:p>
  </w:footnote>
  <w:footnote w:id="33">
    <w:p w14:paraId="7E6B3C85" w14:textId="3C2F8D46" w:rsidR="4F54743F" w:rsidRPr="008A7BD7" w:rsidRDefault="4F54743F" w:rsidP="00746761">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Twitter </w:t>
      </w:r>
      <w:r w:rsidR="00D37718" w:rsidRPr="008A7BD7">
        <w:rPr>
          <w:rFonts w:ascii="Cambria" w:hAnsi="Cambria"/>
          <w:sz w:val="16"/>
          <w:szCs w:val="16"/>
        </w:rPr>
        <w:t xml:space="preserve">account, </w:t>
      </w:r>
      <w:r w:rsidRPr="008A7BD7">
        <w:rPr>
          <w:rFonts w:ascii="Cambria" w:hAnsi="Cambria" w:cs="Segoe UI"/>
          <w:color w:val="0F1419"/>
          <w:sz w:val="16"/>
          <w:szCs w:val="16"/>
        </w:rPr>
        <w:t xml:space="preserve">Spokesperson for Foreign Affairs &amp; Security Policy of the EU (@NabilaEUspox), </w:t>
      </w:r>
      <w:hyperlink r:id="rId28">
        <w:r w:rsidRPr="008A7BD7">
          <w:rPr>
            <w:rStyle w:val="Hyperlink"/>
            <w:rFonts w:ascii="Cambria" w:hAnsi="Cambria" w:cs="Segoe UI"/>
            <w:sz w:val="16"/>
            <w:szCs w:val="16"/>
          </w:rPr>
          <w:t>p</w:t>
        </w:r>
        <w:r w:rsidR="00D37718" w:rsidRPr="008A7BD7">
          <w:rPr>
            <w:rStyle w:val="Hyperlink"/>
            <w:rFonts w:ascii="Cambria" w:hAnsi="Cambria" w:cs="Segoe UI"/>
            <w:sz w:val="16"/>
            <w:szCs w:val="16"/>
          </w:rPr>
          <w:t>osting</w:t>
        </w:r>
      </w:hyperlink>
      <w:r w:rsidRPr="008A7BD7">
        <w:rPr>
          <w:rFonts w:ascii="Cambria" w:hAnsi="Cambria" w:cs="Segoe UI"/>
          <w:color w:val="0F1419"/>
          <w:sz w:val="16"/>
          <w:szCs w:val="16"/>
        </w:rPr>
        <w:t xml:space="preserve"> </w:t>
      </w:r>
      <w:r w:rsidR="00D37718" w:rsidRPr="008A7BD7">
        <w:rPr>
          <w:rFonts w:ascii="Cambria" w:hAnsi="Cambria" w:cs="Segoe UI"/>
          <w:color w:val="0F1419"/>
          <w:sz w:val="16"/>
          <w:szCs w:val="16"/>
        </w:rPr>
        <w:t xml:space="preserve">of July </w:t>
      </w:r>
      <w:r w:rsidRPr="008A7BD7">
        <w:rPr>
          <w:rFonts w:ascii="Cambria" w:hAnsi="Cambria" w:cs="Segoe UI"/>
          <w:color w:val="0F1419"/>
          <w:sz w:val="16"/>
          <w:szCs w:val="16"/>
        </w:rPr>
        <w:t>26</w:t>
      </w:r>
      <w:r w:rsidR="00D37718" w:rsidRPr="008A7BD7">
        <w:rPr>
          <w:rFonts w:ascii="Cambria" w:hAnsi="Cambria" w:cs="Segoe UI"/>
          <w:color w:val="0F1419"/>
          <w:sz w:val="16"/>
          <w:szCs w:val="16"/>
        </w:rPr>
        <w:t xml:space="preserve">, </w:t>
      </w:r>
      <w:r w:rsidRPr="008A7BD7">
        <w:rPr>
          <w:rFonts w:ascii="Cambria" w:hAnsi="Cambria" w:cs="Segoe UI"/>
          <w:color w:val="0F1419"/>
          <w:sz w:val="16"/>
          <w:szCs w:val="16"/>
        </w:rPr>
        <w:t>2021.</w:t>
      </w:r>
    </w:p>
  </w:footnote>
  <w:footnote w:id="34">
    <w:p w14:paraId="708EC034" w14:textId="1FE05FAA" w:rsidR="4F54743F" w:rsidRPr="008A7BD7" w:rsidRDefault="4F54743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hyperlink r:id="rId29" w:anchor="post-262710-GUATEMALA" w:history="1">
        <w:r w:rsidR="001D56C4" w:rsidRPr="008A7BD7">
          <w:rPr>
            <w:rStyle w:val="Hyperlink"/>
            <w:rFonts w:ascii="Cambria" w:hAnsi="Cambria"/>
            <w:sz w:val="16"/>
            <w:szCs w:val="16"/>
          </w:rPr>
          <w:t xml:space="preserve">Press briefing by </w:t>
        </w:r>
        <w:proofErr w:type="spellStart"/>
        <w:r w:rsidRPr="008A7BD7">
          <w:rPr>
            <w:rStyle w:val="Hyperlink"/>
            <w:rFonts w:ascii="Cambria" w:hAnsi="Cambria"/>
            <w:sz w:val="16"/>
            <w:szCs w:val="16"/>
          </w:rPr>
          <w:t>Jalina</w:t>
        </w:r>
        <w:proofErr w:type="spellEnd"/>
        <w:r w:rsidRPr="008A7BD7">
          <w:rPr>
            <w:rStyle w:val="Hyperlink"/>
            <w:rFonts w:ascii="Cambria" w:hAnsi="Cambria"/>
            <w:sz w:val="16"/>
            <w:szCs w:val="16"/>
          </w:rPr>
          <w:t xml:space="preserve"> Porter</w:t>
        </w:r>
      </w:hyperlink>
      <w:r w:rsidRPr="008A7BD7">
        <w:rPr>
          <w:rFonts w:ascii="Cambria" w:hAnsi="Cambria"/>
          <w:sz w:val="16"/>
          <w:szCs w:val="16"/>
        </w:rPr>
        <w:t xml:space="preserve">, </w:t>
      </w:r>
      <w:r w:rsidR="001D56C4" w:rsidRPr="008A7BD7">
        <w:rPr>
          <w:rFonts w:ascii="Cambria" w:hAnsi="Cambria"/>
          <w:sz w:val="16"/>
          <w:szCs w:val="16"/>
        </w:rPr>
        <w:t xml:space="preserve">Principal Deputy Spokesperson, U.S. Department of State, July 27, </w:t>
      </w:r>
      <w:r w:rsidRPr="008A7BD7">
        <w:rPr>
          <w:rFonts w:ascii="Cambria" w:hAnsi="Cambria"/>
          <w:sz w:val="16"/>
          <w:szCs w:val="16"/>
        </w:rPr>
        <w:t>2021.</w:t>
      </w:r>
    </w:p>
  </w:footnote>
  <w:footnote w:id="35">
    <w:p w14:paraId="0E6539A5" w14:textId="77777777" w:rsidR="4F54743F" w:rsidRPr="008A7BD7" w:rsidRDefault="4F54743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U.S. Department of State, </w:t>
      </w:r>
      <w:hyperlink r:id="rId30">
        <w:r w:rsidRPr="008A7BD7">
          <w:rPr>
            <w:rStyle w:val="Hyperlink"/>
            <w:rFonts w:ascii="Cambria" w:hAnsi="Cambria"/>
            <w:sz w:val="16"/>
            <w:szCs w:val="16"/>
          </w:rPr>
          <w:t>United States Announces Actions Against Seven Central American Officials for Undermining Democracy and Obstructing Investigations into Acts of Corruption</w:t>
        </w:r>
      </w:hyperlink>
      <w:r w:rsidRPr="008A7BD7">
        <w:rPr>
          <w:rFonts w:ascii="Cambria" w:hAnsi="Cambria"/>
          <w:sz w:val="16"/>
          <w:szCs w:val="16"/>
        </w:rPr>
        <w:t>, September 20, 2021.</w:t>
      </w:r>
    </w:p>
  </w:footnote>
  <w:footnote w:id="36">
    <w:p w14:paraId="0F22C782" w14:textId="77777777" w:rsidR="4F54743F" w:rsidRPr="008A7BD7" w:rsidRDefault="4F54743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U.S. Department of State, </w:t>
      </w:r>
      <w:hyperlink r:id="rId31">
        <w:r w:rsidRPr="008A7BD7">
          <w:rPr>
            <w:rStyle w:val="Hyperlink"/>
            <w:rFonts w:ascii="Cambria" w:hAnsi="Cambria"/>
            <w:sz w:val="16"/>
            <w:szCs w:val="16"/>
          </w:rPr>
          <w:t>U.S. Releases Section 353 List of Corrupt and Undemocratic Actors for Guatemala, Honduras, and El Salvador</w:t>
        </w:r>
      </w:hyperlink>
      <w:r w:rsidRPr="008A7BD7">
        <w:rPr>
          <w:rFonts w:ascii="Cambria" w:hAnsi="Cambria"/>
          <w:sz w:val="16"/>
          <w:szCs w:val="16"/>
        </w:rPr>
        <w:t>, July 1, 2021.</w:t>
      </w:r>
    </w:p>
  </w:footnote>
  <w:footnote w:id="37">
    <w:p w14:paraId="656436A3" w14:textId="1F322120" w:rsidR="4F54743F" w:rsidRPr="008A7BD7" w:rsidRDefault="4F54743F" w:rsidP="00746761">
      <w:pPr>
        <w:pStyle w:val="FootnoteText"/>
        <w:spacing w:after="120"/>
        <w:ind w:firstLine="720"/>
        <w:jc w:val="both"/>
        <w:rPr>
          <w:rFonts w:ascii="Cambria" w:hAnsi="Cambria"/>
          <w:sz w:val="16"/>
          <w:szCs w:val="16"/>
          <w:lang w:val="es-E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El País</w:t>
      </w:r>
      <w:r w:rsidRPr="008A7BD7">
        <w:rPr>
          <w:rFonts w:ascii="Cambria" w:hAnsi="Cambria"/>
          <w:sz w:val="16"/>
          <w:szCs w:val="16"/>
          <w:lang w:val="es-US"/>
        </w:rPr>
        <w:t xml:space="preserve">, </w:t>
      </w:r>
      <w:hyperlink r:id="rId32">
        <w:r w:rsidRPr="008A7BD7">
          <w:rPr>
            <w:rStyle w:val="Hyperlink"/>
            <w:rFonts w:ascii="Cambria" w:hAnsi="Cambria"/>
            <w:i/>
            <w:iCs/>
            <w:sz w:val="16"/>
            <w:szCs w:val="16"/>
            <w:lang w:val="es-US"/>
          </w:rPr>
          <w:t>Guatemala sacude la lucha contra la corrupción con la destitución del fiscal especial contra la impunidad</w:t>
        </w:r>
      </w:hyperlink>
      <w:r w:rsidR="00B31FCC" w:rsidRPr="008A7BD7">
        <w:rPr>
          <w:rStyle w:val="Hyperlink"/>
          <w:rFonts w:ascii="Cambria" w:hAnsi="Cambria"/>
          <w:sz w:val="16"/>
          <w:szCs w:val="16"/>
          <w:lang w:val="es-US"/>
        </w:rPr>
        <w:t>,</w:t>
      </w:r>
      <w:r w:rsidRPr="008A7BD7">
        <w:rPr>
          <w:rFonts w:ascii="Cambria" w:hAnsi="Cambria"/>
          <w:sz w:val="16"/>
          <w:szCs w:val="16"/>
          <w:lang w:val="es-US"/>
        </w:rPr>
        <w:t xml:space="preserve"> </w:t>
      </w:r>
      <w:proofErr w:type="spellStart"/>
      <w:r w:rsidR="00B31FCC" w:rsidRPr="008A7BD7">
        <w:rPr>
          <w:rFonts w:ascii="Cambria" w:hAnsi="Cambria"/>
          <w:sz w:val="16"/>
          <w:szCs w:val="16"/>
          <w:lang w:val="es-US"/>
        </w:rPr>
        <w:t>July</w:t>
      </w:r>
      <w:proofErr w:type="spellEnd"/>
      <w:r w:rsidR="00B31FCC" w:rsidRPr="008A7BD7">
        <w:rPr>
          <w:rFonts w:ascii="Cambria" w:hAnsi="Cambria"/>
          <w:sz w:val="16"/>
          <w:szCs w:val="16"/>
          <w:lang w:val="es-US"/>
        </w:rPr>
        <w:t xml:space="preserve"> </w:t>
      </w:r>
      <w:r w:rsidRPr="008A7BD7">
        <w:rPr>
          <w:rFonts w:ascii="Cambria" w:hAnsi="Cambria"/>
          <w:sz w:val="16"/>
          <w:szCs w:val="16"/>
          <w:lang w:val="es-US"/>
        </w:rPr>
        <w:t>25</w:t>
      </w:r>
      <w:r w:rsidR="00B31FCC" w:rsidRPr="008A7BD7">
        <w:rPr>
          <w:rFonts w:ascii="Cambria" w:hAnsi="Cambria"/>
          <w:sz w:val="16"/>
          <w:szCs w:val="16"/>
          <w:lang w:val="es-US"/>
        </w:rPr>
        <w:t xml:space="preserve">, </w:t>
      </w:r>
      <w:r w:rsidRPr="008A7BD7">
        <w:rPr>
          <w:rFonts w:ascii="Cambria" w:hAnsi="Cambria"/>
          <w:sz w:val="16"/>
          <w:szCs w:val="16"/>
          <w:lang w:val="es-US"/>
        </w:rPr>
        <w:t xml:space="preserve">2021; </w:t>
      </w:r>
      <w:r w:rsidRPr="008A7BD7">
        <w:rPr>
          <w:rFonts w:ascii="Cambria" w:hAnsi="Cambria"/>
          <w:i/>
          <w:iCs/>
          <w:sz w:val="16"/>
          <w:szCs w:val="16"/>
          <w:lang w:val="es-US"/>
        </w:rPr>
        <w:t>BBC News</w:t>
      </w:r>
      <w:r w:rsidRPr="008A7BD7">
        <w:rPr>
          <w:rFonts w:ascii="Cambria" w:hAnsi="Cambria"/>
          <w:sz w:val="16"/>
          <w:szCs w:val="16"/>
          <w:lang w:val="es-US"/>
        </w:rPr>
        <w:t xml:space="preserve">, </w:t>
      </w:r>
      <w:hyperlink r:id="rId33">
        <w:r w:rsidRPr="008A7BD7">
          <w:rPr>
            <w:rStyle w:val="Hyperlink"/>
            <w:rFonts w:ascii="Cambria" w:hAnsi="Cambria"/>
            <w:i/>
            <w:iCs/>
            <w:sz w:val="16"/>
            <w:szCs w:val="16"/>
            <w:lang w:val="es-US"/>
          </w:rPr>
          <w:t>Protestas en Guatemala: piden la renuncia del presidente y de la jefa del Ministerio Público por la destitución del fiscal anticorrupción</w:t>
        </w:r>
      </w:hyperlink>
      <w:r w:rsidR="00B31FCC" w:rsidRPr="008A7BD7">
        <w:rPr>
          <w:rStyle w:val="Hyperlink"/>
          <w:rFonts w:ascii="Cambria" w:hAnsi="Cambria"/>
          <w:sz w:val="16"/>
          <w:szCs w:val="16"/>
          <w:lang w:val="es-US"/>
        </w:rPr>
        <w:t>,</w:t>
      </w:r>
      <w:r w:rsidRPr="008A7BD7">
        <w:rPr>
          <w:rFonts w:ascii="Cambria" w:hAnsi="Cambria"/>
          <w:sz w:val="16"/>
          <w:szCs w:val="16"/>
          <w:lang w:val="es-US"/>
        </w:rPr>
        <w:t xml:space="preserve"> </w:t>
      </w:r>
      <w:proofErr w:type="spellStart"/>
      <w:r w:rsidR="00B31FCC" w:rsidRPr="008A7BD7">
        <w:rPr>
          <w:rFonts w:ascii="Cambria" w:hAnsi="Cambria"/>
          <w:sz w:val="16"/>
          <w:szCs w:val="16"/>
          <w:lang w:val="es-US"/>
        </w:rPr>
        <w:t>July</w:t>
      </w:r>
      <w:proofErr w:type="spellEnd"/>
      <w:r w:rsidR="00B31FCC" w:rsidRPr="008A7BD7">
        <w:rPr>
          <w:rFonts w:ascii="Cambria" w:hAnsi="Cambria"/>
          <w:sz w:val="16"/>
          <w:szCs w:val="16"/>
          <w:lang w:val="es-US"/>
        </w:rPr>
        <w:t xml:space="preserve"> </w:t>
      </w:r>
      <w:r w:rsidRPr="008A7BD7">
        <w:rPr>
          <w:rFonts w:ascii="Cambria" w:hAnsi="Cambria"/>
          <w:sz w:val="16"/>
          <w:szCs w:val="16"/>
          <w:lang w:val="es-US"/>
        </w:rPr>
        <w:t>29</w:t>
      </w:r>
      <w:r w:rsidR="00B31FCC" w:rsidRPr="008A7BD7">
        <w:rPr>
          <w:rFonts w:ascii="Cambria" w:hAnsi="Cambria"/>
          <w:sz w:val="16"/>
          <w:szCs w:val="16"/>
          <w:lang w:val="es-US"/>
        </w:rPr>
        <w:t xml:space="preserve">, </w:t>
      </w:r>
      <w:r w:rsidRPr="008A7BD7">
        <w:rPr>
          <w:rFonts w:ascii="Cambria" w:hAnsi="Cambria"/>
          <w:sz w:val="16"/>
          <w:szCs w:val="16"/>
          <w:lang w:val="es-US"/>
        </w:rPr>
        <w:t xml:space="preserve">2021; </w:t>
      </w:r>
      <w:r w:rsidRPr="008A7BD7">
        <w:rPr>
          <w:rFonts w:ascii="Cambria" w:hAnsi="Cambria"/>
          <w:i/>
          <w:iCs/>
          <w:sz w:val="16"/>
          <w:szCs w:val="16"/>
          <w:lang w:val="es-US"/>
        </w:rPr>
        <w:t>Infobae</w:t>
      </w:r>
      <w:r w:rsidRPr="008A7BD7">
        <w:rPr>
          <w:rFonts w:ascii="Cambria" w:hAnsi="Cambria"/>
          <w:sz w:val="16"/>
          <w:szCs w:val="16"/>
          <w:lang w:val="es-US"/>
        </w:rPr>
        <w:t xml:space="preserve">, </w:t>
      </w:r>
      <w:hyperlink r:id="rId34">
        <w:r w:rsidRPr="008A7BD7">
          <w:rPr>
            <w:rStyle w:val="Hyperlink"/>
            <w:rFonts w:ascii="Cambria" w:hAnsi="Cambria"/>
            <w:i/>
            <w:iCs/>
            <w:sz w:val="16"/>
            <w:szCs w:val="16"/>
            <w:lang w:val="es-US"/>
          </w:rPr>
          <w:t>Continúan las protestas en Guatemala para pedir la renuncia del presidente y la fiscal general</w:t>
        </w:r>
      </w:hyperlink>
      <w:r w:rsidR="00B31FCC" w:rsidRPr="008A7BD7">
        <w:rPr>
          <w:rStyle w:val="Hyperlink"/>
          <w:rFonts w:ascii="Cambria" w:hAnsi="Cambria"/>
          <w:sz w:val="16"/>
          <w:szCs w:val="16"/>
          <w:lang w:val="es-US"/>
        </w:rPr>
        <w:t>,</w:t>
      </w:r>
      <w:r w:rsidRPr="008A7BD7">
        <w:rPr>
          <w:rFonts w:ascii="Cambria" w:hAnsi="Cambria"/>
          <w:sz w:val="16"/>
          <w:szCs w:val="16"/>
          <w:lang w:val="es-US"/>
        </w:rPr>
        <w:t xml:space="preserve"> </w:t>
      </w:r>
      <w:r w:rsidR="00B31FCC" w:rsidRPr="008A7BD7">
        <w:rPr>
          <w:rFonts w:ascii="Cambria" w:hAnsi="Cambria"/>
          <w:sz w:val="16"/>
          <w:szCs w:val="16"/>
          <w:lang w:val="es-US"/>
        </w:rPr>
        <w:t xml:space="preserve">August </w:t>
      </w:r>
      <w:r w:rsidRPr="008A7BD7">
        <w:rPr>
          <w:rFonts w:ascii="Cambria" w:hAnsi="Cambria"/>
          <w:sz w:val="16"/>
          <w:szCs w:val="16"/>
          <w:lang w:val="es-US"/>
        </w:rPr>
        <w:t>5</w:t>
      </w:r>
      <w:r w:rsidR="00B31FCC" w:rsidRPr="008A7BD7">
        <w:rPr>
          <w:rFonts w:ascii="Cambria" w:hAnsi="Cambria"/>
          <w:sz w:val="16"/>
          <w:szCs w:val="16"/>
          <w:lang w:val="es-US"/>
        </w:rPr>
        <w:t xml:space="preserve">, </w:t>
      </w:r>
      <w:r w:rsidRPr="008A7BD7">
        <w:rPr>
          <w:rFonts w:ascii="Cambria" w:hAnsi="Cambria"/>
          <w:sz w:val="16"/>
          <w:szCs w:val="16"/>
          <w:lang w:val="es-US"/>
        </w:rPr>
        <w:t>2021.</w:t>
      </w:r>
    </w:p>
  </w:footnote>
  <w:footnote w:id="38">
    <w:p w14:paraId="5AD2421A" w14:textId="5B2A7A14" w:rsidR="4F54743F" w:rsidRPr="008A7BD7" w:rsidRDefault="4F54743F" w:rsidP="00746761">
      <w:pPr>
        <w:pStyle w:val="FootnoteText"/>
        <w:spacing w:after="120"/>
        <w:ind w:firstLine="720"/>
        <w:jc w:val="both"/>
        <w:rPr>
          <w:rFonts w:ascii="Cambria" w:eastAsia="Times New Roman" w:hAnsi="Cambria"/>
          <w:sz w:val="16"/>
          <w:szCs w:val="16"/>
          <w:lang w:eastAsia="es-ES"/>
        </w:rPr>
      </w:pPr>
      <w:r w:rsidRPr="008A7BD7">
        <w:rPr>
          <w:rStyle w:val="FootnoteReference"/>
          <w:rFonts w:ascii="Cambria" w:hAnsi="Cambria"/>
          <w:sz w:val="16"/>
          <w:szCs w:val="16"/>
        </w:rPr>
        <w:footnoteRef/>
      </w:r>
      <w:r w:rsidRPr="008A7BD7">
        <w:rPr>
          <w:rFonts w:ascii="Cambria" w:hAnsi="Cambria"/>
          <w:sz w:val="16"/>
          <w:szCs w:val="16"/>
        </w:rPr>
        <w:t xml:space="preserve"> </w:t>
      </w:r>
      <w:proofErr w:type="gramStart"/>
      <w:r w:rsidR="007855D0" w:rsidRPr="008A7BD7">
        <w:rPr>
          <w:rFonts w:ascii="Cambria" w:hAnsi="Cambria"/>
          <w:sz w:val="16"/>
          <w:szCs w:val="16"/>
        </w:rPr>
        <w:t>With regard to</w:t>
      </w:r>
      <w:proofErr w:type="gramEnd"/>
      <w:r w:rsidR="007855D0" w:rsidRPr="008A7BD7">
        <w:rPr>
          <w:rFonts w:ascii="Cambria" w:hAnsi="Cambria"/>
          <w:sz w:val="16"/>
          <w:szCs w:val="16"/>
        </w:rPr>
        <w:t xml:space="preserve"> civil justice, the index evaluates such factors as whether</w:t>
      </w:r>
      <w:r w:rsidRPr="008A7BD7">
        <w:rPr>
          <w:rFonts w:ascii="Cambria" w:hAnsi="Cambria"/>
          <w:sz w:val="16"/>
          <w:szCs w:val="16"/>
        </w:rPr>
        <w:t xml:space="preserve"> </w:t>
      </w:r>
      <w:r w:rsidR="007855D0" w:rsidRPr="008A7BD7">
        <w:rPr>
          <w:rFonts w:ascii="Cambria" w:hAnsi="Cambria"/>
          <w:sz w:val="16"/>
          <w:szCs w:val="16"/>
        </w:rPr>
        <w:t>civil justice is free of corruption</w:t>
      </w:r>
      <w:r w:rsidR="00BF3AA7" w:rsidRPr="008A7BD7">
        <w:rPr>
          <w:rFonts w:ascii="Cambria" w:hAnsi="Cambria"/>
          <w:sz w:val="16"/>
          <w:szCs w:val="16"/>
        </w:rPr>
        <w:t>, discrimination,</w:t>
      </w:r>
      <w:r w:rsidR="007855D0" w:rsidRPr="008A7BD7">
        <w:rPr>
          <w:rFonts w:ascii="Cambria" w:hAnsi="Cambria"/>
          <w:sz w:val="16"/>
          <w:szCs w:val="16"/>
        </w:rPr>
        <w:t xml:space="preserve"> and improper government influence, and whether there is access to justice and to alternative dispute resolution mechanisms. The assessment of criminal justice looks at factors such as </w:t>
      </w:r>
      <w:r w:rsidR="00BF3AA7" w:rsidRPr="008A7BD7">
        <w:rPr>
          <w:rFonts w:ascii="Cambria" w:hAnsi="Cambria"/>
          <w:sz w:val="16"/>
          <w:szCs w:val="16"/>
        </w:rPr>
        <w:t xml:space="preserve">whether </w:t>
      </w:r>
      <w:r w:rsidR="007855D0" w:rsidRPr="008A7BD7">
        <w:rPr>
          <w:rFonts w:ascii="Cambria" w:hAnsi="Cambria"/>
          <w:sz w:val="16"/>
          <w:szCs w:val="16"/>
        </w:rPr>
        <w:t>the system</w:t>
      </w:r>
      <w:r w:rsidR="00BF3AA7" w:rsidRPr="008A7BD7">
        <w:rPr>
          <w:rFonts w:ascii="Cambria" w:hAnsi="Cambria"/>
          <w:sz w:val="16"/>
          <w:szCs w:val="16"/>
        </w:rPr>
        <w:t xml:space="preserve"> is </w:t>
      </w:r>
      <w:r w:rsidR="007855D0" w:rsidRPr="008A7BD7">
        <w:rPr>
          <w:rFonts w:ascii="Cambria" w:hAnsi="Cambria"/>
          <w:sz w:val="16"/>
          <w:szCs w:val="16"/>
        </w:rPr>
        <w:t>effective</w:t>
      </w:r>
      <w:r w:rsidR="00BF3AA7" w:rsidRPr="008A7BD7">
        <w:rPr>
          <w:rFonts w:ascii="Cambria" w:hAnsi="Cambria"/>
          <w:sz w:val="16"/>
          <w:szCs w:val="16"/>
        </w:rPr>
        <w:t>, impartial, and timely</w:t>
      </w:r>
      <w:r w:rsidR="000D4243" w:rsidRPr="008A7BD7">
        <w:rPr>
          <w:rFonts w:ascii="Cambria" w:hAnsi="Cambria"/>
          <w:sz w:val="16"/>
          <w:szCs w:val="16"/>
        </w:rPr>
        <w:t>, whether it is free of corruption and improper government influence</w:t>
      </w:r>
      <w:r w:rsidR="00BF3AA7" w:rsidRPr="008A7BD7">
        <w:rPr>
          <w:rFonts w:ascii="Cambria" w:hAnsi="Cambria"/>
          <w:sz w:val="16"/>
          <w:szCs w:val="16"/>
        </w:rPr>
        <w:t>, and whether</w:t>
      </w:r>
      <w:r w:rsidR="000D4243" w:rsidRPr="008A7BD7">
        <w:rPr>
          <w:rFonts w:ascii="Cambria" w:hAnsi="Cambria"/>
          <w:sz w:val="16"/>
          <w:szCs w:val="16"/>
        </w:rPr>
        <w:t xml:space="preserve"> there is due process of the law and rights of the accused</w:t>
      </w:r>
      <w:r w:rsidR="00BF3AA7" w:rsidRPr="008A7BD7">
        <w:rPr>
          <w:rFonts w:ascii="Cambria" w:hAnsi="Cambria"/>
          <w:sz w:val="16"/>
          <w:szCs w:val="16"/>
        </w:rPr>
        <w:t xml:space="preserve">. The World </w:t>
      </w:r>
      <w:r w:rsidRPr="008A7BD7">
        <w:rPr>
          <w:rFonts w:ascii="Cambria" w:hAnsi="Cambria"/>
          <w:sz w:val="16"/>
          <w:szCs w:val="16"/>
        </w:rPr>
        <w:t xml:space="preserve">Justice Project </w:t>
      </w:r>
      <w:r w:rsidR="00BF3AA7" w:rsidRPr="008A7BD7">
        <w:rPr>
          <w:rFonts w:ascii="Cambria" w:hAnsi="Cambria"/>
          <w:sz w:val="16"/>
          <w:szCs w:val="16"/>
        </w:rPr>
        <w:t>(</w:t>
      </w:r>
      <w:r w:rsidRPr="008A7BD7">
        <w:rPr>
          <w:rFonts w:ascii="Cambria" w:hAnsi="Cambria"/>
          <w:sz w:val="16"/>
          <w:szCs w:val="16"/>
        </w:rPr>
        <w:t>WJP</w:t>
      </w:r>
      <w:r w:rsidR="00BF3AA7" w:rsidRPr="008A7BD7">
        <w:rPr>
          <w:rFonts w:ascii="Cambria" w:hAnsi="Cambria"/>
          <w:sz w:val="16"/>
          <w:szCs w:val="16"/>
        </w:rPr>
        <w:t xml:space="preserve">) is an independent, multidisciplinary organization working to </w:t>
      </w:r>
      <w:r w:rsidR="001C7DDF" w:rsidRPr="008A7BD7">
        <w:rPr>
          <w:rFonts w:ascii="Cambria" w:hAnsi="Cambria"/>
          <w:sz w:val="16"/>
          <w:szCs w:val="16"/>
        </w:rPr>
        <w:t>advance the rule of law worldwide. It has created a Rule of Law Index to measure eight factors</w:t>
      </w:r>
      <w:r w:rsidRPr="008A7BD7">
        <w:rPr>
          <w:rFonts w:ascii="Cambria" w:hAnsi="Cambria"/>
          <w:sz w:val="16"/>
          <w:szCs w:val="16"/>
        </w:rPr>
        <w:t xml:space="preserve">: </w:t>
      </w:r>
      <w:r w:rsidR="00AB1F2F" w:rsidRPr="008A7BD7">
        <w:rPr>
          <w:rFonts w:ascii="Cambria" w:hAnsi="Cambria"/>
          <w:sz w:val="16"/>
          <w:szCs w:val="16"/>
        </w:rPr>
        <w:t>(</w:t>
      </w:r>
      <w:r w:rsidRPr="008A7BD7">
        <w:rPr>
          <w:rFonts w:ascii="Cambria" w:hAnsi="Cambria"/>
          <w:sz w:val="16"/>
          <w:szCs w:val="16"/>
        </w:rPr>
        <w:t xml:space="preserve">1) </w:t>
      </w:r>
      <w:r w:rsidR="00AB1F2F" w:rsidRPr="008A7BD7">
        <w:rPr>
          <w:rFonts w:ascii="Cambria" w:hAnsi="Cambria"/>
          <w:sz w:val="16"/>
          <w:szCs w:val="16"/>
        </w:rPr>
        <w:t>constraints on government powers</w:t>
      </w:r>
      <w:r w:rsidRPr="008A7BD7">
        <w:rPr>
          <w:rFonts w:ascii="Cambria" w:hAnsi="Cambria"/>
          <w:sz w:val="16"/>
          <w:szCs w:val="16"/>
        </w:rPr>
        <w:t xml:space="preserve">, </w:t>
      </w:r>
      <w:r w:rsidR="00AB1F2F" w:rsidRPr="008A7BD7">
        <w:rPr>
          <w:rFonts w:ascii="Cambria" w:hAnsi="Cambria"/>
          <w:sz w:val="16"/>
          <w:szCs w:val="16"/>
        </w:rPr>
        <w:t>(2</w:t>
      </w:r>
      <w:r w:rsidRPr="008A7BD7">
        <w:rPr>
          <w:rFonts w:ascii="Cambria" w:hAnsi="Cambria"/>
          <w:sz w:val="16"/>
          <w:szCs w:val="16"/>
        </w:rPr>
        <w:t xml:space="preserve">) </w:t>
      </w:r>
      <w:r w:rsidR="00AB1F2F" w:rsidRPr="008A7BD7">
        <w:rPr>
          <w:rFonts w:ascii="Cambria" w:hAnsi="Cambria"/>
          <w:sz w:val="16"/>
          <w:szCs w:val="16"/>
        </w:rPr>
        <w:t>absence of corruption</w:t>
      </w:r>
      <w:r w:rsidRPr="008A7BD7">
        <w:rPr>
          <w:rFonts w:ascii="Cambria" w:hAnsi="Cambria"/>
          <w:sz w:val="16"/>
          <w:szCs w:val="16"/>
        </w:rPr>
        <w:t xml:space="preserve">, </w:t>
      </w:r>
      <w:r w:rsidR="00AB1F2F" w:rsidRPr="008A7BD7">
        <w:rPr>
          <w:rFonts w:ascii="Cambria" w:hAnsi="Cambria"/>
          <w:sz w:val="16"/>
          <w:szCs w:val="16"/>
        </w:rPr>
        <w:t>(</w:t>
      </w:r>
      <w:r w:rsidRPr="008A7BD7">
        <w:rPr>
          <w:rFonts w:ascii="Cambria" w:hAnsi="Cambria"/>
          <w:sz w:val="16"/>
          <w:szCs w:val="16"/>
        </w:rPr>
        <w:t xml:space="preserve">3) </w:t>
      </w:r>
      <w:r w:rsidR="00AB1F2F" w:rsidRPr="008A7BD7">
        <w:rPr>
          <w:rFonts w:ascii="Cambria" w:hAnsi="Cambria"/>
          <w:sz w:val="16"/>
          <w:szCs w:val="16"/>
        </w:rPr>
        <w:t>open government</w:t>
      </w:r>
      <w:r w:rsidRPr="008A7BD7">
        <w:rPr>
          <w:rFonts w:ascii="Cambria" w:hAnsi="Cambria"/>
          <w:sz w:val="16"/>
          <w:szCs w:val="16"/>
        </w:rPr>
        <w:t xml:space="preserve">, </w:t>
      </w:r>
      <w:r w:rsidR="00AB1F2F" w:rsidRPr="008A7BD7">
        <w:rPr>
          <w:rFonts w:ascii="Cambria" w:hAnsi="Cambria"/>
          <w:sz w:val="16"/>
          <w:szCs w:val="16"/>
        </w:rPr>
        <w:t>(</w:t>
      </w:r>
      <w:r w:rsidRPr="008A7BD7">
        <w:rPr>
          <w:rFonts w:ascii="Cambria" w:hAnsi="Cambria"/>
          <w:sz w:val="16"/>
          <w:szCs w:val="16"/>
        </w:rPr>
        <w:t xml:space="preserve">4) </w:t>
      </w:r>
      <w:r w:rsidR="00AB1F2F" w:rsidRPr="008A7BD7">
        <w:rPr>
          <w:rFonts w:ascii="Cambria" w:hAnsi="Cambria"/>
          <w:sz w:val="16"/>
          <w:szCs w:val="16"/>
        </w:rPr>
        <w:t>f</w:t>
      </w:r>
      <w:r w:rsidRPr="008A7BD7">
        <w:rPr>
          <w:rFonts w:ascii="Cambria" w:hAnsi="Cambria"/>
          <w:sz w:val="16"/>
          <w:szCs w:val="16"/>
        </w:rPr>
        <w:t>undamental</w:t>
      </w:r>
      <w:r w:rsidR="00AB1F2F" w:rsidRPr="008A7BD7">
        <w:rPr>
          <w:rFonts w:ascii="Cambria" w:hAnsi="Cambria"/>
          <w:sz w:val="16"/>
          <w:szCs w:val="16"/>
        </w:rPr>
        <w:t xml:space="preserve"> rights</w:t>
      </w:r>
      <w:r w:rsidRPr="008A7BD7">
        <w:rPr>
          <w:rFonts w:ascii="Cambria" w:hAnsi="Cambria"/>
          <w:sz w:val="16"/>
          <w:szCs w:val="16"/>
        </w:rPr>
        <w:t xml:space="preserve">, </w:t>
      </w:r>
      <w:r w:rsidR="00AB1F2F" w:rsidRPr="008A7BD7">
        <w:rPr>
          <w:rFonts w:ascii="Cambria" w:hAnsi="Cambria"/>
          <w:sz w:val="16"/>
          <w:szCs w:val="16"/>
        </w:rPr>
        <w:t>(</w:t>
      </w:r>
      <w:r w:rsidRPr="008A7BD7">
        <w:rPr>
          <w:rFonts w:ascii="Cambria" w:hAnsi="Cambria"/>
          <w:sz w:val="16"/>
          <w:szCs w:val="16"/>
        </w:rPr>
        <w:t xml:space="preserve">5) </w:t>
      </w:r>
      <w:r w:rsidR="00AB1F2F" w:rsidRPr="008A7BD7">
        <w:rPr>
          <w:rFonts w:ascii="Cambria" w:hAnsi="Cambria"/>
          <w:sz w:val="16"/>
          <w:szCs w:val="16"/>
        </w:rPr>
        <w:t>order and security</w:t>
      </w:r>
      <w:r w:rsidRPr="008A7BD7">
        <w:rPr>
          <w:rFonts w:ascii="Cambria" w:hAnsi="Cambria"/>
          <w:sz w:val="16"/>
          <w:szCs w:val="16"/>
        </w:rPr>
        <w:t xml:space="preserve">, </w:t>
      </w:r>
      <w:r w:rsidR="00AB1F2F" w:rsidRPr="008A7BD7">
        <w:rPr>
          <w:rFonts w:ascii="Cambria" w:hAnsi="Cambria"/>
          <w:sz w:val="16"/>
          <w:szCs w:val="16"/>
        </w:rPr>
        <w:t>(</w:t>
      </w:r>
      <w:r w:rsidRPr="008A7BD7">
        <w:rPr>
          <w:rFonts w:ascii="Cambria" w:hAnsi="Cambria"/>
          <w:sz w:val="16"/>
          <w:szCs w:val="16"/>
        </w:rPr>
        <w:t xml:space="preserve">6) </w:t>
      </w:r>
      <w:r w:rsidR="00AB1F2F" w:rsidRPr="008A7BD7">
        <w:rPr>
          <w:rFonts w:ascii="Cambria" w:hAnsi="Cambria"/>
          <w:sz w:val="16"/>
          <w:szCs w:val="16"/>
        </w:rPr>
        <w:t>regulatory enforcement</w:t>
      </w:r>
      <w:r w:rsidRPr="008A7BD7">
        <w:rPr>
          <w:rFonts w:ascii="Cambria" w:hAnsi="Cambria"/>
          <w:sz w:val="16"/>
          <w:szCs w:val="16"/>
        </w:rPr>
        <w:t xml:space="preserve">, </w:t>
      </w:r>
      <w:r w:rsidR="00AB1F2F" w:rsidRPr="008A7BD7">
        <w:rPr>
          <w:rFonts w:ascii="Cambria" w:hAnsi="Cambria"/>
          <w:sz w:val="16"/>
          <w:szCs w:val="16"/>
        </w:rPr>
        <w:t>(</w:t>
      </w:r>
      <w:r w:rsidRPr="008A7BD7">
        <w:rPr>
          <w:rFonts w:ascii="Cambria" w:hAnsi="Cambria"/>
          <w:sz w:val="16"/>
          <w:szCs w:val="16"/>
        </w:rPr>
        <w:t xml:space="preserve">7) civil </w:t>
      </w:r>
      <w:r w:rsidR="00AB1F2F" w:rsidRPr="008A7BD7">
        <w:rPr>
          <w:rFonts w:ascii="Cambria" w:hAnsi="Cambria"/>
          <w:sz w:val="16"/>
          <w:szCs w:val="16"/>
        </w:rPr>
        <w:t xml:space="preserve">justice, and </w:t>
      </w:r>
      <w:r w:rsidRPr="008A7BD7">
        <w:rPr>
          <w:rFonts w:ascii="Cambria" w:hAnsi="Cambria"/>
          <w:sz w:val="16"/>
          <w:szCs w:val="16"/>
        </w:rPr>
        <w:t xml:space="preserve">8) </w:t>
      </w:r>
      <w:r w:rsidR="00AB1F2F" w:rsidRPr="008A7BD7">
        <w:rPr>
          <w:rFonts w:ascii="Cambria" w:hAnsi="Cambria"/>
          <w:sz w:val="16"/>
          <w:szCs w:val="16"/>
        </w:rPr>
        <w:t>c</w:t>
      </w:r>
      <w:r w:rsidR="00587195" w:rsidRPr="008A7BD7">
        <w:rPr>
          <w:rFonts w:ascii="Cambria" w:hAnsi="Cambria"/>
          <w:sz w:val="16"/>
          <w:szCs w:val="16"/>
        </w:rPr>
        <w:t>r</w:t>
      </w:r>
      <w:r w:rsidR="00AB1F2F" w:rsidRPr="008A7BD7">
        <w:rPr>
          <w:rFonts w:ascii="Cambria" w:hAnsi="Cambria"/>
          <w:sz w:val="16"/>
          <w:szCs w:val="16"/>
        </w:rPr>
        <w:t xml:space="preserve">iminal justice. </w:t>
      </w:r>
      <w:r w:rsidR="00587195" w:rsidRPr="008A7BD7">
        <w:rPr>
          <w:rFonts w:ascii="Cambria" w:hAnsi="Cambria"/>
          <w:sz w:val="16"/>
          <w:szCs w:val="16"/>
        </w:rPr>
        <w:t xml:space="preserve">The index is the </w:t>
      </w:r>
      <w:r w:rsidR="00960B33" w:rsidRPr="008A7BD7">
        <w:rPr>
          <w:rFonts w:ascii="Cambria" w:hAnsi="Cambria"/>
          <w:sz w:val="16"/>
          <w:szCs w:val="16"/>
        </w:rPr>
        <w:t>world’s leading</w:t>
      </w:r>
      <w:r w:rsidR="00587195" w:rsidRPr="008A7BD7">
        <w:rPr>
          <w:rFonts w:ascii="Cambria" w:hAnsi="Cambria"/>
          <w:sz w:val="16"/>
          <w:szCs w:val="16"/>
        </w:rPr>
        <w:t xml:space="preserve"> source </w:t>
      </w:r>
      <w:r w:rsidR="00960B33" w:rsidRPr="008A7BD7">
        <w:rPr>
          <w:rFonts w:ascii="Cambria" w:hAnsi="Cambria"/>
          <w:sz w:val="16"/>
          <w:szCs w:val="16"/>
        </w:rPr>
        <w:t>for</w:t>
      </w:r>
      <w:r w:rsidR="00587195" w:rsidRPr="008A7BD7">
        <w:rPr>
          <w:rFonts w:ascii="Cambria" w:hAnsi="Cambria"/>
          <w:sz w:val="16"/>
          <w:szCs w:val="16"/>
        </w:rPr>
        <w:t xml:space="preserve"> original data on </w:t>
      </w:r>
      <w:r w:rsidR="00960B33" w:rsidRPr="008A7BD7">
        <w:rPr>
          <w:rFonts w:ascii="Cambria" w:hAnsi="Cambria"/>
          <w:sz w:val="16"/>
          <w:szCs w:val="16"/>
        </w:rPr>
        <w:t xml:space="preserve">the </w:t>
      </w:r>
      <w:r w:rsidR="00587195" w:rsidRPr="008A7BD7">
        <w:rPr>
          <w:rFonts w:ascii="Cambria" w:hAnsi="Cambria"/>
          <w:sz w:val="16"/>
          <w:szCs w:val="16"/>
        </w:rPr>
        <w:t>rule of law</w:t>
      </w:r>
      <w:r w:rsidR="00960B33" w:rsidRPr="008A7BD7">
        <w:rPr>
          <w:rFonts w:ascii="Cambria" w:hAnsi="Cambria"/>
          <w:sz w:val="16"/>
          <w:szCs w:val="16"/>
        </w:rPr>
        <w:t xml:space="preserve"> </w:t>
      </w:r>
      <w:r w:rsidR="00587195" w:rsidRPr="008A7BD7">
        <w:rPr>
          <w:rFonts w:ascii="Cambria" w:hAnsi="Cambria"/>
          <w:sz w:val="16"/>
          <w:szCs w:val="16"/>
        </w:rPr>
        <w:t xml:space="preserve">and is based on surveys of more than </w:t>
      </w:r>
      <w:r w:rsidRPr="008A7BD7">
        <w:rPr>
          <w:rFonts w:ascii="Cambria" w:hAnsi="Cambria"/>
          <w:sz w:val="16"/>
          <w:szCs w:val="16"/>
        </w:rPr>
        <w:t xml:space="preserve">130,000 </w:t>
      </w:r>
      <w:r w:rsidR="00587195" w:rsidRPr="008A7BD7">
        <w:rPr>
          <w:rFonts w:ascii="Cambria" w:hAnsi="Cambria"/>
          <w:sz w:val="16"/>
          <w:szCs w:val="16"/>
        </w:rPr>
        <w:t xml:space="preserve">households and more than </w:t>
      </w:r>
      <w:r w:rsidRPr="008A7BD7">
        <w:rPr>
          <w:rFonts w:ascii="Cambria" w:hAnsi="Cambria"/>
          <w:sz w:val="16"/>
          <w:szCs w:val="16"/>
        </w:rPr>
        <w:t xml:space="preserve">4,000 </w:t>
      </w:r>
      <w:r w:rsidR="00587195" w:rsidRPr="008A7BD7">
        <w:rPr>
          <w:rFonts w:ascii="Cambria" w:hAnsi="Cambria"/>
          <w:sz w:val="16"/>
          <w:szCs w:val="16"/>
        </w:rPr>
        <w:t>experts in 128</w:t>
      </w:r>
      <w:r w:rsidRPr="008A7BD7">
        <w:rPr>
          <w:rFonts w:ascii="Cambria" w:hAnsi="Cambria"/>
          <w:sz w:val="16"/>
          <w:szCs w:val="16"/>
        </w:rPr>
        <w:t xml:space="preserve"> </w:t>
      </w:r>
      <w:r w:rsidR="00587195" w:rsidRPr="008A7BD7">
        <w:rPr>
          <w:rFonts w:ascii="Cambria" w:hAnsi="Cambria"/>
          <w:sz w:val="16"/>
          <w:szCs w:val="16"/>
        </w:rPr>
        <w:t>countries</w:t>
      </w:r>
      <w:r w:rsidRPr="008A7BD7">
        <w:rPr>
          <w:rFonts w:ascii="Cambria" w:hAnsi="Cambria"/>
          <w:sz w:val="16"/>
          <w:szCs w:val="16"/>
        </w:rPr>
        <w:t xml:space="preserve">. </w:t>
      </w:r>
      <w:r w:rsidR="00587195" w:rsidRPr="008A7BD7">
        <w:rPr>
          <w:rFonts w:ascii="Cambria" w:hAnsi="Cambria"/>
          <w:sz w:val="16"/>
          <w:szCs w:val="16"/>
        </w:rPr>
        <w:t xml:space="preserve">It measures the perception and experience of the </w:t>
      </w:r>
      <w:proofErr w:type="gramStart"/>
      <w:r w:rsidR="00587195" w:rsidRPr="008A7BD7">
        <w:rPr>
          <w:rFonts w:ascii="Cambria" w:hAnsi="Cambria"/>
          <w:sz w:val="16"/>
          <w:szCs w:val="16"/>
        </w:rPr>
        <w:t>general public</w:t>
      </w:r>
      <w:proofErr w:type="gramEnd"/>
      <w:r w:rsidR="00587195" w:rsidRPr="008A7BD7">
        <w:rPr>
          <w:rFonts w:ascii="Cambria" w:hAnsi="Cambria"/>
          <w:sz w:val="16"/>
          <w:szCs w:val="16"/>
        </w:rPr>
        <w:t xml:space="preserve"> </w:t>
      </w:r>
      <w:r w:rsidR="00C35D90" w:rsidRPr="008A7BD7">
        <w:rPr>
          <w:rFonts w:ascii="Cambria" w:hAnsi="Cambria"/>
          <w:sz w:val="16"/>
          <w:szCs w:val="16"/>
        </w:rPr>
        <w:t>with</w:t>
      </w:r>
      <w:r w:rsidR="00587195" w:rsidRPr="008A7BD7">
        <w:rPr>
          <w:rFonts w:ascii="Cambria" w:hAnsi="Cambria"/>
          <w:sz w:val="16"/>
          <w:szCs w:val="16"/>
        </w:rPr>
        <w:t xml:space="preserve"> the rule of law in </w:t>
      </w:r>
      <w:r w:rsidR="00C35D90" w:rsidRPr="008A7BD7">
        <w:rPr>
          <w:rFonts w:ascii="Cambria" w:hAnsi="Cambria"/>
          <w:sz w:val="16"/>
          <w:szCs w:val="16"/>
        </w:rPr>
        <w:t xml:space="preserve">practical, everyday situations. </w:t>
      </w:r>
      <w:r w:rsidRPr="008A7BD7">
        <w:rPr>
          <w:rFonts w:ascii="Cambria" w:hAnsi="Cambria"/>
          <w:sz w:val="16"/>
          <w:szCs w:val="16"/>
        </w:rPr>
        <w:t xml:space="preserve">The World Justice Project (WJP) </w:t>
      </w:r>
      <w:hyperlink r:id="rId35">
        <w:r w:rsidRPr="008A7BD7">
          <w:rPr>
            <w:rStyle w:val="Hyperlink"/>
            <w:rFonts w:ascii="Cambria" w:hAnsi="Cambria"/>
            <w:sz w:val="16"/>
            <w:szCs w:val="16"/>
          </w:rPr>
          <w:t>Rule of Law Index 2021</w:t>
        </w:r>
      </w:hyperlink>
      <w:r w:rsidRPr="008A7BD7">
        <w:rPr>
          <w:rFonts w:ascii="Cambria" w:hAnsi="Cambria"/>
          <w:sz w:val="16"/>
          <w:szCs w:val="16"/>
        </w:rPr>
        <w:t>, p. 89.</w:t>
      </w:r>
    </w:p>
  </w:footnote>
  <w:footnote w:id="39">
    <w:p w14:paraId="7DDB8F36" w14:textId="59B8A347" w:rsidR="4F54743F" w:rsidRPr="008A7BD7" w:rsidRDefault="4F54743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Transparency </w:t>
      </w:r>
      <w:proofErr w:type="spellStart"/>
      <w:r w:rsidRPr="008A7BD7">
        <w:rPr>
          <w:rFonts w:ascii="Cambria" w:hAnsi="Cambria"/>
          <w:sz w:val="16"/>
          <w:szCs w:val="16"/>
        </w:rPr>
        <w:t>Internacional</w:t>
      </w:r>
      <w:proofErr w:type="spellEnd"/>
      <w:r w:rsidRPr="008A7BD7">
        <w:rPr>
          <w:rFonts w:ascii="Cambria" w:hAnsi="Cambria"/>
          <w:sz w:val="16"/>
          <w:szCs w:val="16"/>
        </w:rPr>
        <w:t xml:space="preserve">, Corruption </w:t>
      </w:r>
      <w:r w:rsidR="00D217F8" w:rsidRPr="008A7BD7">
        <w:rPr>
          <w:rFonts w:ascii="Cambria" w:hAnsi="Cambria"/>
          <w:sz w:val="16"/>
          <w:szCs w:val="16"/>
        </w:rPr>
        <w:t>P</w:t>
      </w:r>
      <w:r w:rsidRPr="008A7BD7">
        <w:rPr>
          <w:rFonts w:ascii="Cambria" w:hAnsi="Cambria"/>
          <w:sz w:val="16"/>
          <w:szCs w:val="16"/>
        </w:rPr>
        <w:t xml:space="preserve">erceptions </w:t>
      </w:r>
      <w:r w:rsidR="00D217F8" w:rsidRPr="008A7BD7">
        <w:rPr>
          <w:rFonts w:ascii="Cambria" w:hAnsi="Cambria"/>
          <w:sz w:val="16"/>
          <w:szCs w:val="16"/>
        </w:rPr>
        <w:t>I</w:t>
      </w:r>
      <w:r w:rsidRPr="008A7BD7">
        <w:rPr>
          <w:rFonts w:ascii="Cambria" w:hAnsi="Cambria"/>
          <w:sz w:val="16"/>
          <w:szCs w:val="16"/>
        </w:rPr>
        <w:t>ndex 2020,</w:t>
      </w:r>
      <w:r w:rsidR="00D217F8" w:rsidRPr="008A7BD7">
        <w:rPr>
          <w:rFonts w:ascii="Cambria" w:hAnsi="Cambria"/>
          <w:sz w:val="16"/>
          <w:szCs w:val="16"/>
        </w:rPr>
        <w:t xml:space="preserve"> at</w:t>
      </w:r>
      <w:r w:rsidRPr="008A7BD7">
        <w:rPr>
          <w:rFonts w:ascii="Cambria" w:hAnsi="Cambria"/>
          <w:sz w:val="16"/>
          <w:szCs w:val="16"/>
        </w:rPr>
        <w:t xml:space="preserve">: </w:t>
      </w:r>
      <w:hyperlink r:id="rId36">
        <w:r w:rsidRPr="008A7BD7">
          <w:rPr>
            <w:rStyle w:val="Hyperlink"/>
            <w:rFonts w:ascii="Cambria" w:hAnsi="Cambria"/>
            <w:sz w:val="16"/>
            <w:szCs w:val="16"/>
          </w:rPr>
          <w:t>https://www.transparency.org/en/cpi/2020/index/nzl</w:t>
        </w:r>
      </w:hyperlink>
      <w:r w:rsidR="00D217F8" w:rsidRPr="008A7BD7">
        <w:rPr>
          <w:rFonts w:ascii="Cambria" w:hAnsi="Cambria"/>
          <w:sz w:val="16"/>
          <w:szCs w:val="16"/>
        </w:rPr>
        <w:t>.</w:t>
      </w:r>
      <w:r w:rsidRPr="008A7BD7">
        <w:rPr>
          <w:rFonts w:ascii="Cambria" w:hAnsi="Cambria"/>
          <w:sz w:val="16"/>
          <w:szCs w:val="16"/>
        </w:rPr>
        <w:t xml:space="preserve"> </w:t>
      </w:r>
    </w:p>
  </w:footnote>
  <w:footnote w:id="40">
    <w:p w14:paraId="6710FF9E" w14:textId="283B5395" w:rsidR="00A22445" w:rsidRPr="008A7BD7" w:rsidRDefault="00A22445" w:rsidP="00746761">
      <w:pPr>
        <w:pStyle w:val="FootnoteText"/>
        <w:spacing w:after="120"/>
        <w:ind w:firstLine="720"/>
        <w:jc w:val="both"/>
        <w:rPr>
          <w:rFonts w:ascii="Cambria" w:eastAsia="Times New Roman" w:hAnsi="Cambria"/>
          <w:sz w:val="16"/>
          <w:szCs w:val="16"/>
          <w:lang w:eastAsia="es-ES"/>
        </w:rPr>
      </w:pPr>
      <w:r w:rsidRPr="008A7BD7">
        <w:rPr>
          <w:rStyle w:val="FootnoteReference"/>
          <w:rFonts w:ascii="Cambria" w:hAnsi="Cambria"/>
          <w:sz w:val="16"/>
          <w:szCs w:val="16"/>
        </w:rPr>
        <w:footnoteRef/>
      </w:r>
      <w:r w:rsidRPr="008A7BD7">
        <w:rPr>
          <w:rFonts w:ascii="Cambria" w:hAnsi="Cambria"/>
          <w:sz w:val="16"/>
          <w:szCs w:val="16"/>
        </w:rPr>
        <w:t xml:space="preserve"> </w:t>
      </w:r>
      <w:r w:rsidR="00ED218B" w:rsidRPr="008A7BD7">
        <w:rPr>
          <w:rFonts w:ascii="Cambria" w:hAnsi="Cambria"/>
          <w:sz w:val="16"/>
          <w:szCs w:val="16"/>
        </w:rPr>
        <w:t xml:space="preserve">IACHR, </w:t>
      </w:r>
      <w:hyperlink r:id="rId37" w:history="1">
        <w:r w:rsidR="00ED218B" w:rsidRPr="008A7BD7">
          <w:rPr>
            <w:rStyle w:val="Hyperlink"/>
            <w:rFonts w:ascii="Cambria" w:hAnsi="Cambria"/>
            <w:sz w:val="16"/>
            <w:szCs w:val="16"/>
          </w:rPr>
          <w:t>Corruption and Human Rights</w:t>
        </w:r>
      </w:hyperlink>
      <w:r w:rsidR="00ED218B" w:rsidRPr="008A7BD7">
        <w:rPr>
          <w:rFonts w:ascii="Cambria" w:hAnsi="Cambria"/>
          <w:sz w:val="16"/>
          <w:szCs w:val="16"/>
        </w:rPr>
        <w:t xml:space="preserve">, </w:t>
      </w:r>
      <w:r w:rsidRPr="008A7BD7">
        <w:rPr>
          <w:rFonts w:ascii="Cambria" w:eastAsia="Times New Roman" w:hAnsi="Cambria"/>
          <w:sz w:val="16"/>
          <w:szCs w:val="16"/>
          <w:lang w:eastAsia="es-ES"/>
        </w:rPr>
        <w:t>OEA/</w:t>
      </w:r>
      <w:proofErr w:type="spellStart"/>
      <w:r w:rsidRPr="008A7BD7">
        <w:rPr>
          <w:rFonts w:ascii="Cambria" w:eastAsia="Times New Roman" w:hAnsi="Cambria"/>
          <w:sz w:val="16"/>
          <w:szCs w:val="16"/>
          <w:lang w:eastAsia="es-ES"/>
        </w:rPr>
        <w:t>Ser.L</w:t>
      </w:r>
      <w:proofErr w:type="spellEnd"/>
      <w:r w:rsidRPr="008A7BD7">
        <w:rPr>
          <w:rFonts w:ascii="Cambria" w:eastAsia="Times New Roman" w:hAnsi="Cambria"/>
          <w:sz w:val="16"/>
          <w:szCs w:val="16"/>
          <w:lang w:eastAsia="es-ES"/>
        </w:rPr>
        <w:t xml:space="preserve">/V/II. Doc. 236, </w:t>
      </w:r>
      <w:r w:rsidR="00ED218B" w:rsidRPr="008A7BD7">
        <w:rPr>
          <w:rFonts w:ascii="Cambria" w:eastAsia="Times New Roman" w:hAnsi="Cambria"/>
          <w:sz w:val="16"/>
          <w:szCs w:val="16"/>
          <w:lang w:eastAsia="es-ES"/>
        </w:rPr>
        <w:t xml:space="preserve">December </w:t>
      </w:r>
      <w:r w:rsidRPr="008A7BD7">
        <w:rPr>
          <w:rFonts w:ascii="Cambria" w:eastAsia="Times New Roman" w:hAnsi="Cambria"/>
          <w:sz w:val="16"/>
          <w:szCs w:val="16"/>
          <w:lang w:eastAsia="es-ES"/>
        </w:rPr>
        <w:t>6</w:t>
      </w:r>
      <w:r w:rsidR="00ED218B" w:rsidRPr="008A7BD7">
        <w:rPr>
          <w:rFonts w:ascii="Cambria" w:eastAsia="Times New Roman" w:hAnsi="Cambria"/>
          <w:sz w:val="16"/>
          <w:szCs w:val="16"/>
          <w:lang w:eastAsia="es-ES"/>
        </w:rPr>
        <w:t>,</w:t>
      </w:r>
      <w:r w:rsidRPr="008A7BD7">
        <w:rPr>
          <w:rFonts w:ascii="Cambria" w:eastAsia="Times New Roman" w:hAnsi="Cambria"/>
          <w:sz w:val="16"/>
          <w:szCs w:val="16"/>
          <w:lang w:eastAsia="es-ES"/>
        </w:rPr>
        <w:t xml:space="preserve"> 2019,</w:t>
      </w:r>
      <w:r w:rsidRPr="008A7BD7">
        <w:rPr>
          <w:rFonts w:ascii="Cambria" w:hAnsi="Cambria"/>
          <w:sz w:val="16"/>
          <w:szCs w:val="16"/>
        </w:rPr>
        <w:t xml:space="preserve"> </w:t>
      </w:r>
      <w:r w:rsidR="00ED218B" w:rsidRPr="008A7BD7">
        <w:rPr>
          <w:rFonts w:ascii="Cambria" w:hAnsi="Cambria"/>
          <w:sz w:val="16"/>
          <w:szCs w:val="16"/>
        </w:rPr>
        <w:t xml:space="preserve">paras. </w:t>
      </w:r>
      <w:r w:rsidRPr="008A7BD7">
        <w:rPr>
          <w:rFonts w:ascii="Cambria" w:hAnsi="Cambria"/>
          <w:sz w:val="16"/>
          <w:szCs w:val="16"/>
        </w:rPr>
        <w:t xml:space="preserve">125 </w:t>
      </w:r>
      <w:r w:rsidR="00ED218B" w:rsidRPr="008A7BD7">
        <w:rPr>
          <w:rFonts w:ascii="Cambria" w:hAnsi="Cambria"/>
          <w:sz w:val="16"/>
          <w:szCs w:val="16"/>
        </w:rPr>
        <w:t>and ff</w:t>
      </w:r>
      <w:r w:rsidRPr="008A7BD7">
        <w:rPr>
          <w:rFonts w:ascii="Cambria" w:hAnsi="Cambria"/>
          <w:sz w:val="16"/>
          <w:szCs w:val="16"/>
        </w:rPr>
        <w:t>.</w:t>
      </w:r>
    </w:p>
  </w:footnote>
  <w:footnote w:id="41">
    <w:p w14:paraId="122B3422" w14:textId="4CC0158D" w:rsidR="00A22445" w:rsidRPr="008A7BD7" w:rsidRDefault="00A22445" w:rsidP="00746761">
      <w:pPr>
        <w:pStyle w:val="FootnoteText"/>
        <w:spacing w:after="120"/>
        <w:ind w:firstLine="720"/>
        <w:jc w:val="both"/>
        <w:rPr>
          <w:rFonts w:ascii="Cambria" w:eastAsia="Times New Roman" w:hAnsi="Cambria"/>
          <w:sz w:val="16"/>
          <w:szCs w:val="16"/>
          <w:lang w:eastAsia="es-ES"/>
        </w:rPr>
      </w:pPr>
      <w:r w:rsidRPr="008A7BD7">
        <w:rPr>
          <w:rStyle w:val="FootnoteReference"/>
          <w:rFonts w:ascii="Cambria" w:hAnsi="Cambria"/>
          <w:sz w:val="16"/>
          <w:szCs w:val="16"/>
        </w:rPr>
        <w:footnoteRef/>
      </w:r>
      <w:r w:rsidRPr="008A7BD7">
        <w:rPr>
          <w:rFonts w:ascii="Cambria" w:hAnsi="Cambria"/>
          <w:sz w:val="16"/>
          <w:szCs w:val="16"/>
        </w:rPr>
        <w:t xml:space="preserve"> </w:t>
      </w:r>
      <w:r w:rsidR="00ED218B" w:rsidRPr="008A7BD7">
        <w:rPr>
          <w:rFonts w:ascii="Cambria" w:hAnsi="Cambria"/>
          <w:sz w:val="16"/>
          <w:szCs w:val="16"/>
        </w:rPr>
        <w:t xml:space="preserve">IACHR, </w:t>
      </w:r>
      <w:hyperlink r:id="rId38" w:history="1">
        <w:r w:rsidR="00ED218B" w:rsidRPr="008A7BD7">
          <w:rPr>
            <w:rStyle w:val="Hyperlink"/>
            <w:rFonts w:ascii="Cambria" w:hAnsi="Cambria"/>
            <w:sz w:val="16"/>
            <w:szCs w:val="16"/>
          </w:rPr>
          <w:t>Corruption and Human Rights</w:t>
        </w:r>
      </w:hyperlink>
      <w:r w:rsidR="00ED218B" w:rsidRPr="008A7BD7">
        <w:rPr>
          <w:rFonts w:ascii="Cambria" w:hAnsi="Cambria"/>
          <w:sz w:val="16"/>
          <w:szCs w:val="16"/>
        </w:rPr>
        <w:t xml:space="preserve">, </w:t>
      </w:r>
      <w:r w:rsidR="00ED218B" w:rsidRPr="008A7BD7">
        <w:rPr>
          <w:rFonts w:ascii="Cambria" w:eastAsia="Times New Roman" w:hAnsi="Cambria"/>
          <w:sz w:val="16"/>
          <w:szCs w:val="16"/>
          <w:lang w:eastAsia="es-ES"/>
        </w:rPr>
        <w:t>OEA/</w:t>
      </w:r>
      <w:proofErr w:type="spellStart"/>
      <w:r w:rsidR="00ED218B" w:rsidRPr="008A7BD7">
        <w:rPr>
          <w:rFonts w:ascii="Cambria" w:eastAsia="Times New Roman" w:hAnsi="Cambria"/>
          <w:sz w:val="16"/>
          <w:szCs w:val="16"/>
          <w:lang w:eastAsia="es-ES"/>
        </w:rPr>
        <w:t>Ser.L</w:t>
      </w:r>
      <w:proofErr w:type="spellEnd"/>
      <w:r w:rsidR="00ED218B" w:rsidRPr="008A7BD7">
        <w:rPr>
          <w:rFonts w:ascii="Cambria" w:eastAsia="Times New Roman" w:hAnsi="Cambria"/>
          <w:sz w:val="16"/>
          <w:szCs w:val="16"/>
          <w:lang w:eastAsia="es-ES"/>
        </w:rPr>
        <w:t>/V/II. Doc. 236, December 6, 2019,</w:t>
      </w:r>
      <w:r w:rsidR="00ED218B" w:rsidRPr="008A7BD7">
        <w:rPr>
          <w:rFonts w:ascii="Cambria" w:hAnsi="Cambria"/>
          <w:sz w:val="16"/>
          <w:szCs w:val="16"/>
        </w:rPr>
        <w:t xml:space="preserve"> paras.</w:t>
      </w:r>
      <w:r w:rsidRPr="008A7BD7">
        <w:rPr>
          <w:rFonts w:ascii="Cambria" w:hAnsi="Cambria"/>
          <w:sz w:val="16"/>
          <w:szCs w:val="16"/>
        </w:rPr>
        <w:t xml:space="preserve"> 131 </w:t>
      </w:r>
      <w:r w:rsidR="00ED218B" w:rsidRPr="008A7BD7">
        <w:rPr>
          <w:rFonts w:ascii="Cambria" w:hAnsi="Cambria"/>
          <w:sz w:val="16"/>
          <w:szCs w:val="16"/>
        </w:rPr>
        <w:t>and</w:t>
      </w:r>
      <w:r w:rsidRPr="008A7BD7">
        <w:rPr>
          <w:rFonts w:ascii="Cambria" w:hAnsi="Cambria"/>
          <w:sz w:val="16"/>
          <w:szCs w:val="16"/>
        </w:rPr>
        <w:t xml:space="preserve"> 132</w:t>
      </w:r>
      <w:r w:rsidR="00ED218B" w:rsidRPr="008A7BD7">
        <w:rPr>
          <w:rFonts w:ascii="Cambria" w:hAnsi="Cambria"/>
          <w:sz w:val="16"/>
          <w:szCs w:val="16"/>
        </w:rPr>
        <w:t>.</w:t>
      </w:r>
    </w:p>
  </w:footnote>
  <w:footnote w:id="42">
    <w:p w14:paraId="1E7BA6C3" w14:textId="4E33CA0B" w:rsidR="00A22445" w:rsidRPr="008A7BD7" w:rsidRDefault="00A22445"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E82442" w:rsidRPr="008A7BD7">
        <w:rPr>
          <w:rFonts w:ascii="Cambria" w:hAnsi="Cambria"/>
          <w:sz w:val="16"/>
          <w:szCs w:val="16"/>
        </w:rPr>
        <w:t xml:space="preserve">IACHR, Resolution 1/17, </w:t>
      </w:r>
      <w:hyperlink r:id="rId39" w:history="1">
        <w:r w:rsidR="00E82442" w:rsidRPr="008A7BD7">
          <w:rPr>
            <w:rStyle w:val="Hyperlink"/>
            <w:rFonts w:ascii="Cambria" w:hAnsi="Cambria"/>
            <w:sz w:val="16"/>
            <w:szCs w:val="16"/>
          </w:rPr>
          <w:t>Human Rights and the Fight against Impunity and Corruption</w:t>
        </w:r>
      </w:hyperlink>
      <w:r w:rsidR="00E82442" w:rsidRPr="008A7BD7">
        <w:rPr>
          <w:rFonts w:ascii="Cambria" w:hAnsi="Cambria"/>
          <w:sz w:val="16"/>
          <w:szCs w:val="16"/>
        </w:rPr>
        <w:t>, September 12, 2017</w:t>
      </w:r>
      <w:r w:rsidRPr="008A7BD7">
        <w:rPr>
          <w:rFonts w:ascii="Cambria" w:hAnsi="Cambria"/>
          <w:sz w:val="16"/>
          <w:szCs w:val="16"/>
        </w:rPr>
        <w:t>.</w:t>
      </w:r>
    </w:p>
  </w:footnote>
  <w:footnote w:id="43">
    <w:p w14:paraId="12D8E6A4" w14:textId="2D30937B" w:rsidR="00C56230" w:rsidRPr="008A7BD7" w:rsidRDefault="00C56230" w:rsidP="00C56230">
      <w:pPr>
        <w:pStyle w:val="FootnoteText"/>
        <w:spacing w:after="120"/>
        <w:ind w:firstLine="720"/>
        <w:jc w:val="both"/>
        <w:rPr>
          <w:rFonts w:ascii="Cambria" w:hAnsi="Cambria"/>
          <w:sz w:val="16"/>
          <w:szCs w:val="16"/>
        </w:rPr>
      </w:pPr>
      <w:r w:rsidRPr="008A7BD7">
        <w:rPr>
          <w:rStyle w:val="FootnoteReference"/>
        </w:rPr>
        <w:footnoteRef/>
      </w:r>
      <w:r w:rsidRPr="008A7BD7">
        <w:t xml:space="preserve"> </w:t>
      </w:r>
      <w:r w:rsidR="00B1696F" w:rsidRPr="008A7BD7">
        <w:rPr>
          <w:rFonts w:ascii="Cambria" w:hAnsi="Cambria"/>
          <w:sz w:val="16"/>
          <w:szCs w:val="16"/>
        </w:rPr>
        <w:t>Response from the State of</w:t>
      </w:r>
      <w:r w:rsidR="00B1696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B1696F" w:rsidRPr="008A7BD7">
        <w:rPr>
          <w:rFonts w:ascii="Cambria" w:hAnsi="Cambria"/>
          <w:sz w:val="16"/>
          <w:szCs w:val="16"/>
        </w:rPr>
        <w:t>OEA</w:t>
      </w:r>
      <w:r w:rsidR="00B1696F"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10.</w:t>
      </w:r>
    </w:p>
  </w:footnote>
  <w:footnote w:id="44">
    <w:p w14:paraId="2614DEF2" w14:textId="1392CE64" w:rsidR="00C56230" w:rsidRPr="008A7BD7" w:rsidRDefault="00C56230" w:rsidP="00C56230">
      <w:pPr>
        <w:pStyle w:val="FootnoteText"/>
        <w:spacing w:after="120"/>
        <w:ind w:firstLine="720"/>
        <w:jc w:val="both"/>
        <w:rPr>
          <w:rFonts w:ascii="Cambria" w:hAnsi="Cambria"/>
          <w:sz w:val="16"/>
          <w:szCs w:val="16"/>
        </w:rPr>
      </w:pPr>
      <w:r w:rsidRPr="008A7BD7">
        <w:rPr>
          <w:rStyle w:val="FootnoteReference"/>
        </w:rPr>
        <w:footnoteRef/>
      </w:r>
      <w:r w:rsidRPr="008A7BD7">
        <w:t xml:space="preserve"> </w:t>
      </w:r>
      <w:r w:rsidR="00816C67" w:rsidRPr="008A7BD7">
        <w:rPr>
          <w:rFonts w:ascii="Cambria" w:hAnsi="Cambria"/>
          <w:sz w:val="16"/>
          <w:szCs w:val="16"/>
        </w:rPr>
        <w:t>Response from the State of</w:t>
      </w:r>
      <w:r w:rsidR="00816C67"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816C67" w:rsidRPr="008A7BD7">
        <w:rPr>
          <w:rFonts w:ascii="Cambria" w:hAnsi="Cambria"/>
          <w:sz w:val="16"/>
          <w:szCs w:val="16"/>
        </w:rPr>
        <w:t>OEA</w:t>
      </w:r>
      <w:r w:rsidR="00816C67" w:rsidRPr="008A7BD7">
        <w:rPr>
          <w:rFonts w:ascii="Cambria" w:eastAsia="Cambria" w:hAnsi="Cambria" w:cs="Cambria"/>
          <w:color w:val="000000"/>
          <w:sz w:val="16"/>
          <w:szCs w:val="16"/>
        </w:rPr>
        <w:t xml:space="preserve">-M4-980-2021, December 22, 2021, pp. </w:t>
      </w:r>
      <w:r w:rsidRPr="008A7BD7">
        <w:rPr>
          <w:rFonts w:ascii="Cambria" w:eastAsia="Cambria" w:hAnsi="Cambria" w:cs="Cambria"/>
          <w:color w:val="000000"/>
          <w:sz w:val="16"/>
          <w:szCs w:val="16"/>
        </w:rPr>
        <w:t>11</w:t>
      </w:r>
      <w:r w:rsidR="00385B9A" w:rsidRPr="008A7BD7">
        <w:rPr>
          <w:rFonts w:ascii="Cambria" w:eastAsia="Cambria" w:hAnsi="Cambria" w:cs="Cambria"/>
          <w:color w:val="000000"/>
          <w:sz w:val="16"/>
          <w:szCs w:val="16"/>
        </w:rPr>
        <w:t>-</w:t>
      </w:r>
      <w:r w:rsidRPr="008A7BD7">
        <w:rPr>
          <w:rFonts w:ascii="Cambria" w:eastAsia="Cambria" w:hAnsi="Cambria" w:cs="Cambria"/>
          <w:color w:val="000000"/>
          <w:sz w:val="16"/>
          <w:szCs w:val="16"/>
        </w:rPr>
        <w:t>12.</w:t>
      </w:r>
    </w:p>
  </w:footnote>
  <w:footnote w:id="45">
    <w:p w14:paraId="2C67067C" w14:textId="21067D3D" w:rsidR="00CE1BB3" w:rsidRPr="00C63448" w:rsidRDefault="00CE1BB3"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C63448">
        <w:rPr>
          <w:rFonts w:ascii="Cambria" w:hAnsi="Cambria"/>
          <w:sz w:val="16"/>
          <w:szCs w:val="16"/>
        </w:rPr>
        <w:t xml:space="preserve"> </w:t>
      </w:r>
      <w:r w:rsidR="002E2834" w:rsidRPr="00C63448">
        <w:rPr>
          <w:rFonts w:ascii="Cambria" w:hAnsi="Cambria"/>
          <w:sz w:val="16"/>
          <w:szCs w:val="16"/>
        </w:rPr>
        <w:t xml:space="preserve">Constitutional Court, </w:t>
      </w:r>
      <w:hyperlink r:id="rId40" w:history="1">
        <w:r w:rsidRPr="00C63448">
          <w:rPr>
            <w:rStyle w:val="Hyperlink"/>
            <w:rFonts w:ascii="Cambria" w:hAnsi="Cambria"/>
            <w:i/>
            <w:iCs/>
            <w:sz w:val="16"/>
            <w:szCs w:val="16"/>
          </w:rPr>
          <w:t xml:space="preserve">Amparo, </w:t>
        </w:r>
        <w:proofErr w:type="spellStart"/>
        <w:r w:rsidRPr="00C63448">
          <w:rPr>
            <w:rStyle w:val="Hyperlink"/>
            <w:rFonts w:ascii="Cambria" w:hAnsi="Cambria"/>
            <w:i/>
            <w:iCs/>
            <w:sz w:val="16"/>
            <w:szCs w:val="16"/>
          </w:rPr>
          <w:t>elección</w:t>
        </w:r>
        <w:proofErr w:type="spellEnd"/>
        <w:r w:rsidRPr="00C63448">
          <w:rPr>
            <w:rStyle w:val="Hyperlink"/>
            <w:rFonts w:ascii="Cambria" w:hAnsi="Cambria"/>
            <w:i/>
            <w:iCs/>
            <w:sz w:val="16"/>
            <w:szCs w:val="16"/>
          </w:rPr>
          <w:t xml:space="preserve"> de </w:t>
        </w:r>
        <w:proofErr w:type="spellStart"/>
        <w:r w:rsidRPr="00C63448">
          <w:rPr>
            <w:rStyle w:val="Hyperlink"/>
            <w:rFonts w:ascii="Cambria" w:hAnsi="Cambria"/>
            <w:i/>
            <w:iCs/>
            <w:sz w:val="16"/>
            <w:szCs w:val="16"/>
          </w:rPr>
          <w:t>Magistrados</w:t>
        </w:r>
        <w:proofErr w:type="spellEnd"/>
        <w:r w:rsidRPr="00C63448">
          <w:rPr>
            <w:rStyle w:val="Hyperlink"/>
            <w:rFonts w:ascii="Cambria" w:hAnsi="Cambria"/>
            <w:i/>
            <w:iCs/>
            <w:sz w:val="16"/>
            <w:szCs w:val="16"/>
          </w:rPr>
          <w:t xml:space="preserve"> CSJ y Salas de </w:t>
        </w:r>
        <w:proofErr w:type="spellStart"/>
        <w:r w:rsidRPr="00C63448">
          <w:rPr>
            <w:rStyle w:val="Hyperlink"/>
            <w:rFonts w:ascii="Cambria" w:hAnsi="Cambria"/>
            <w:i/>
            <w:iCs/>
            <w:sz w:val="16"/>
            <w:szCs w:val="16"/>
          </w:rPr>
          <w:t>Apelaciones</w:t>
        </w:r>
        <w:proofErr w:type="spellEnd"/>
      </w:hyperlink>
      <w:r w:rsidR="002E2834" w:rsidRPr="00C63448">
        <w:rPr>
          <w:rFonts w:ascii="Cambria" w:hAnsi="Cambria"/>
          <w:sz w:val="16"/>
          <w:szCs w:val="16"/>
        </w:rPr>
        <w:t>,</w:t>
      </w:r>
      <w:r w:rsidR="00DA64BA" w:rsidRPr="00C63448">
        <w:rPr>
          <w:rFonts w:ascii="Cambria" w:hAnsi="Cambria"/>
          <w:sz w:val="16"/>
          <w:szCs w:val="16"/>
        </w:rPr>
        <w:t xml:space="preserve"> </w:t>
      </w:r>
      <w:r w:rsidR="003C0305" w:rsidRPr="00C63448">
        <w:rPr>
          <w:rFonts w:ascii="Cambria" w:hAnsi="Cambria"/>
          <w:sz w:val="16"/>
          <w:szCs w:val="16"/>
        </w:rPr>
        <w:t>Case File</w:t>
      </w:r>
      <w:r w:rsidRPr="00C63448">
        <w:rPr>
          <w:rFonts w:ascii="Cambria" w:hAnsi="Cambria"/>
          <w:sz w:val="16"/>
          <w:szCs w:val="16"/>
        </w:rPr>
        <w:t xml:space="preserve"> 1169-2020, </w:t>
      </w:r>
      <w:r w:rsidR="002E2834" w:rsidRPr="00C63448">
        <w:rPr>
          <w:rFonts w:ascii="Cambria" w:hAnsi="Cambria"/>
          <w:sz w:val="16"/>
          <w:szCs w:val="16"/>
        </w:rPr>
        <w:t xml:space="preserve">May </w:t>
      </w:r>
      <w:r w:rsidRPr="00C63448">
        <w:rPr>
          <w:rFonts w:ascii="Cambria" w:hAnsi="Cambria"/>
          <w:sz w:val="16"/>
          <w:szCs w:val="16"/>
        </w:rPr>
        <w:t>6</w:t>
      </w:r>
      <w:r w:rsidR="002E2834" w:rsidRPr="00C63448">
        <w:rPr>
          <w:rFonts w:ascii="Cambria" w:hAnsi="Cambria"/>
          <w:sz w:val="16"/>
          <w:szCs w:val="16"/>
        </w:rPr>
        <w:t xml:space="preserve">, </w:t>
      </w:r>
      <w:r w:rsidRPr="00C63448">
        <w:rPr>
          <w:rFonts w:ascii="Cambria" w:hAnsi="Cambria"/>
          <w:sz w:val="16"/>
          <w:szCs w:val="16"/>
        </w:rPr>
        <w:t>2020</w:t>
      </w:r>
      <w:r w:rsidR="002E2834" w:rsidRPr="00C63448">
        <w:rPr>
          <w:rFonts w:ascii="Cambria" w:hAnsi="Cambria"/>
          <w:sz w:val="16"/>
          <w:szCs w:val="16"/>
        </w:rPr>
        <w:t xml:space="preserve">, </w:t>
      </w:r>
      <w:r w:rsidR="003C0305" w:rsidRPr="00C63448">
        <w:rPr>
          <w:rFonts w:ascii="Cambria" w:hAnsi="Cambria"/>
          <w:sz w:val="16"/>
          <w:szCs w:val="16"/>
        </w:rPr>
        <w:t>Operative section</w:t>
      </w:r>
      <w:r w:rsidR="002E2834" w:rsidRPr="00C63448">
        <w:rPr>
          <w:rFonts w:ascii="Cambria" w:hAnsi="Cambria"/>
          <w:sz w:val="16"/>
          <w:szCs w:val="16"/>
        </w:rPr>
        <w:t>.</w:t>
      </w:r>
    </w:p>
  </w:footnote>
  <w:footnote w:id="46">
    <w:p w14:paraId="5EF3F681" w14:textId="22E001D1" w:rsidR="00271D8A" w:rsidRPr="008A7BD7" w:rsidRDefault="00271D8A"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5730EF" w:rsidRPr="008A7BD7">
        <w:rPr>
          <w:rFonts w:ascii="Cambria" w:eastAsia="Calibri" w:hAnsi="Cambria" w:cs="Calibri"/>
          <w:sz w:val="16"/>
          <w:szCs w:val="16"/>
        </w:rPr>
        <w:t>Situation of Judge Gloria Porras of the Constitutional Court of Guatemala, Meeting on April</w:t>
      </w:r>
      <w:r w:rsidR="005730EF" w:rsidRPr="008A7BD7">
        <w:rPr>
          <w:rFonts w:ascii="Cambria" w:hAnsi="Cambria"/>
          <w:sz w:val="16"/>
          <w:szCs w:val="16"/>
        </w:rPr>
        <w:t xml:space="preserve"> 28, 2021, between the IACHR, the Human Rights Ombudsman,</w:t>
      </w:r>
      <w:r w:rsidR="005730EF" w:rsidRPr="008A7BD7">
        <w:rPr>
          <w:rFonts w:ascii="Cambria" w:eastAsia="Calibri" w:hAnsi="Cambria" w:cs="Calibri"/>
          <w:sz w:val="16"/>
          <w:szCs w:val="16"/>
        </w:rPr>
        <w:t xml:space="preserve"> Judge Gloria Porras, and civil society organizations, records on file at the IACHR;</w:t>
      </w:r>
      <w:r w:rsidR="005730EF" w:rsidRPr="008A7BD7">
        <w:rPr>
          <w:rFonts w:ascii="Cambria" w:hAnsi="Cambria"/>
          <w:sz w:val="16"/>
          <w:szCs w:val="16"/>
        </w:rPr>
        <w:t xml:space="preserve"> IACHR, 181</w:t>
      </w:r>
      <w:r w:rsidR="005730EF" w:rsidRPr="008A7BD7">
        <w:rPr>
          <w:rFonts w:ascii="Cambria" w:hAnsi="Cambria"/>
          <w:sz w:val="16"/>
          <w:szCs w:val="16"/>
          <w:vertAlign w:val="superscript"/>
        </w:rPr>
        <w:t>st</w:t>
      </w:r>
      <w:r w:rsidR="005730EF" w:rsidRPr="008A7BD7">
        <w:rPr>
          <w:rFonts w:ascii="Cambria" w:hAnsi="Cambria"/>
          <w:sz w:val="16"/>
          <w:szCs w:val="16"/>
        </w:rPr>
        <w:t xml:space="preserve"> period of sessions, </w:t>
      </w:r>
      <w:r w:rsidR="009E0B4F" w:rsidRPr="008A7BD7">
        <w:rPr>
          <w:rFonts w:ascii="Cambria" w:hAnsi="Cambria"/>
          <w:sz w:val="16"/>
          <w:szCs w:val="16"/>
        </w:rPr>
        <w:t>“</w:t>
      </w:r>
      <w:hyperlink r:id="rId41" w:history="1">
        <w:r w:rsidR="009E0B4F" w:rsidRPr="008A7BD7">
          <w:rPr>
            <w:rStyle w:val="Hyperlink"/>
            <w:rFonts w:ascii="Cambria" w:hAnsi="Cambria"/>
            <w:sz w:val="16"/>
            <w:szCs w:val="16"/>
          </w:rPr>
          <w:t>Human Rights Situation of Justice Operators and Judicial Independence in Guatemala</w:t>
        </w:r>
      </w:hyperlink>
      <w:r w:rsidR="009E0B4F" w:rsidRPr="008A7BD7">
        <w:rPr>
          <w:rFonts w:ascii="Cambria" w:hAnsi="Cambria"/>
          <w:sz w:val="16"/>
          <w:szCs w:val="16"/>
        </w:rPr>
        <w:t>,”</w:t>
      </w:r>
      <w:r w:rsidR="005730EF" w:rsidRPr="008A7BD7">
        <w:rPr>
          <w:rFonts w:ascii="Cambria" w:hAnsi="Cambria"/>
          <w:sz w:val="16"/>
          <w:szCs w:val="16"/>
        </w:rPr>
        <w:t xml:space="preserve"> public hearing held on October 28, </w:t>
      </w:r>
      <w:r w:rsidR="005730EF" w:rsidRPr="008A7BD7">
        <w:rPr>
          <w:rFonts w:ascii="Cambria" w:eastAsia="Cambria" w:hAnsi="Cambria" w:cs="Cambria"/>
          <w:sz w:val="16"/>
          <w:szCs w:val="16"/>
        </w:rPr>
        <w:t>2021; Meeting on November 8, 2021, between civil society organizations and the IACHR, records on file at the IACHR</w:t>
      </w:r>
      <w:r w:rsidR="004C29C1" w:rsidRPr="008A7BD7">
        <w:rPr>
          <w:rFonts w:ascii="Cambria" w:eastAsia="Cambria" w:hAnsi="Cambria" w:cs="Cambria"/>
          <w:sz w:val="16"/>
          <w:szCs w:val="16"/>
        </w:rPr>
        <w:t>.</w:t>
      </w:r>
    </w:p>
  </w:footnote>
  <w:footnote w:id="47">
    <w:p w14:paraId="2944F295" w14:textId="53A11111" w:rsidR="00706CD2" w:rsidRPr="008A7BD7" w:rsidRDefault="00706CD2" w:rsidP="00746761">
      <w:pPr>
        <w:pStyle w:val="FootnoteText"/>
        <w:spacing w:after="120"/>
        <w:ind w:firstLine="720"/>
        <w:jc w:val="both"/>
        <w:rPr>
          <w:rFonts w:ascii="Cambria" w:hAnsi="Cambria"/>
          <w:sz w:val="16"/>
          <w:szCs w:val="16"/>
          <w:lang w:val="es-ES"/>
        </w:rPr>
      </w:pPr>
      <w:r w:rsidRPr="008A7BD7">
        <w:rPr>
          <w:rStyle w:val="FootnoteReference"/>
          <w:rFonts w:ascii="Cambria" w:hAnsi="Cambria"/>
          <w:sz w:val="16"/>
          <w:szCs w:val="16"/>
        </w:rPr>
        <w:footnoteRef/>
      </w:r>
      <w:r w:rsidRPr="008A7BD7">
        <w:rPr>
          <w:rFonts w:ascii="Cambria" w:hAnsi="Cambria"/>
          <w:sz w:val="16"/>
          <w:szCs w:val="16"/>
        </w:rPr>
        <w:t xml:space="preserve"> </w:t>
      </w:r>
      <w:r w:rsidR="004C29C1" w:rsidRPr="008A7BD7">
        <w:rPr>
          <w:rFonts w:ascii="Cambria" w:hAnsi="Cambria" w:cs="Calibri"/>
          <w:sz w:val="16"/>
          <w:szCs w:val="16"/>
        </w:rPr>
        <w:t>On September</w:t>
      </w:r>
      <w:r w:rsidRPr="008A7BD7">
        <w:rPr>
          <w:rFonts w:ascii="Cambria" w:hAnsi="Cambria" w:cs="Calibri"/>
          <w:sz w:val="16"/>
          <w:szCs w:val="16"/>
        </w:rPr>
        <w:t xml:space="preserve"> 5</w:t>
      </w:r>
      <w:r w:rsidR="004C29C1" w:rsidRPr="008A7BD7">
        <w:rPr>
          <w:rFonts w:ascii="Cambria" w:hAnsi="Cambria" w:cs="Calibri"/>
          <w:sz w:val="16"/>
          <w:szCs w:val="16"/>
        </w:rPr>
        <w:t xml:space="preserve">, </w:t>
      </w:r>
      <w:r w:rsidRPr="008A7BD7">
        <w:rPr>
          <w:rFonts w:ascii="Cambria" w:hAnsi="Cambria" w:cs="Calibri"/>
          <w:sz w:val="16"/>
          <w:szCs w:val="16"/>
        </w:rPr>
        <w:t xml:space="preserve">2020, </w:t>
      </w:r>
      <w:r w:rsidR="004C29C1" w:rsidRPr="008A7BD7">
        <w:rPr>
          <w:rFonts w:ascii="Cambria" w:hAnsi="Cambria" w:cs="Calibri"/>
          <w:sz w:val="16"/>
          <w:szCs w:val="16"/>
        </w:rPr>
        <w:t xml:space="preserve">Constitutional Court </w:t>
      </w:r>
      <w:r w:rsidR="003950D4" w:rsidRPr="008A7BD7">
        <w:rPr>
          <w:rFonts w:ascii="Cambria" w:hAnsi="Cambria" w:cs="Calibri"/>
          <w:sz w:val="16"/>
          <w:szCs w:val="16"/>
        </w:rPr>
        <w:t>Judge</w:t>
      </w:r>
      <w:r w:rsidR="004C29C1" w:rsidRPr="008A7BD7">
        <w:rPr>
          <w:rFonts w:ascii="Cambria" w:hAnsi="Cambria" w:cs="Calibri"/>
          <w:sz w:val="16"/>
          <w:szCs w:val="16"/>
        </w:rPr>
        <w:t xml:space="preserve"> </w:t>
      </w:r>
      <w:proofErr w:type="spellStart"/>
      <w:r w:rsidRPr="008A7BD7">
        <w:rPr>
          <w:rFonts w:ascii="Cambria" w:hAnsi="Cambria" w:cs="Calibri"/>
          <w:sz w:val="16"/>
          <w:szCs w:val="16"/>
        </w:rPr>
        <w:t>Bonerge</w:t>
      </w:r>
      <w:proofErr w:type="spellEnd"/>
      <w:r w:rsidRPr="008A7BD7">
        <w:rPr>
          <w:rFonts w:ascii="Cambria" w:hAnsi="Cambria" w:cs="Calibri"/>
          <w:sz w:val="16"/>
          <w:szCs w:val="16"/>
        </w:rPr>
        <w:t xml:space="preserve"> Mejía Orellana </w:t>
      </w:r>
      <w:r w:rsidR="004C29C1" w:rsidRPr="008A7BD7">
        <w:rPr>
          <w:rFonts w:ascii="Cambria" w:hAnsi="Cambria" w:cs="Calibri"/>
          <w:sz w:val="16"/>
          <w:szCs w:val="16"/>
        </w:rPr>
        <w:t xml:space="preserve">died of complications from </w:t>
      </w:r>
      <w:r w:rsidRPr="008A7BD7">
        <w:rPr>
          <w:rFonts w:ascii="Cambria" w:hAnsi="Cambria" w:cs="Calibri"/>
          <w:sz w:val="16"/>
          <w:szCs w:val="16"/>
        </w:rPr>
        <w:t xml:space="preserve">COVID-19. </w:t>
      </w:r>
      <w:r w:rsidR="004C29C1" w:rsidRPr="008A7BD7">
        <w:rPr>
          <w:rFonts w:ascii="Cambria" w:hAnsi="Cambria" w:cs="Calibri"/>
          <w:sz w:val="16"/>
          <w:szCs w:val="16"/>
        </w:rPr>
        <w:t xml:space="preserve">On December </w:t>
      </w:r>
      <w:r w:rsidRPr="008A7BD7">
        <w:rPr>
          <w:rFonts w:ascii="Cambria" w:hAnsi="Cambria" w:cs="Calibri"/>
          <w:sz w:val="16"/>
          <w:szCs w:val="16"/>
        </w:rPr>
        <w:t>8</w:t>
      </w:r>
      <w:r w:rsidR="00B10C9F" w:rsidRPr="008A7BD7">
        <w:rPr>
          <w:rFonts w:ascii="Cambria" w:hAnsi="Cambria" w:cs="Calibri"/>
          <w:sz w:val="16"/>
          <w:szCs w:val="16"/>
        </w:rPr>
        <w:t xml:space="preserve">, the </w:t>
      </w:r>
      <w:r w:rsidR="006B22D8" w:rsidRPr="008A7BD7">
        <w:rPr>
          <w:rFonts w:ascii="Cambria" w:hAnsi="Cambria" w:cs="Calibri"/>
          <w:sz w:val="16"/>
          <w:szCs w:val="16"/>
        </w:rPr>
        <w:t>Guatemalan Bar Association</w:t>
      </w:r>
      <w:r w:rsidRPr="008A7BD7">
        <w:rPr>
          <w:rFonts w:ascii="Cambria" w:hAnsi="Cambria" w:cs="Calibri"/>
          <w:color w:val="222222"/>
          <w:sz w:val="16"/>
          <w:szCs w:val="16"/>
        </w:rPr>
        <w:t xml:space="preserve"> (CANG) </w:t>
      </w:r>
      <w:r w:rsidR="00B10C9F" w:rsidRPr="008A7BD7">
        <w:rPr>
          <w:rFonts w:ascii="Cambria" w:hAnsi="Cambria" w:cs="Calibri"/>
          <w:color w:val="222222"/>
          <w:sz w:val="16"/>
          <w:szCs w:val="16"/>
        </w:rPr>
        <w:t xml:space="preserve">convened its members in a Special General Assembly to elect his replacement on the </w:t>
      </w:r>
      <w:r w:rsidR="006B22D8" w:rsidRPr="008A7BD7">
        <w:rPr>
          <w:rFonts w:ascii="Cambria" w:hAnsi="Cambria" w:cs="Calibri"/>
          <w:color w:val="222222"/>
          <w:sz w:val="16"/>
          <w:szCs w:val="16"/>
        </w:rPr>
        <w:t>Constitutional Court</w:t>
      </w:r>
      <w:r w:rsidRPr="008A7BD7">
        <w:rPr>
          <w:rFonts w:ascii="Cambria" w:hAnsi="Cambria" w:cs="Calibri"/>
          <w:color w:val="222222"/>
          <w:sz w:val="16"/>
          <w:szCs w:val="16"/>
        </w:rPr>
        <w:t xml:space="preserve">. </w:t>
      </w:r>
      <w:r w:rsidRPr="008A7BD7">
        <w:rPr>
          <w:rFonts w:ascii="Cambria" w:hAnsi="Cambria" w:cs="Calibri"/>
          <w:i/>
          <w:iCs/>
          <w:color w:val="222222"/>
          <w:sz w:val="16"/>
          <w:szCs w:val="16"/>
          <w:lang w:val="es-MX"/>
        </w:rPr>
        <w:t>La Hora</w:t>
      </w:r>
      <w:r w:rsidRPr="008A7BD7">
        <w:rPr>
          <w:rFonts w:ascii="Cambria" w:hAnsi="Cambria" w:cs="Calibri"/>
          <w:color w:val="222222"/>
          <w:sz w:val="16"/>
          <w:szCs w:val="16"/>
          <w:lang w:val="es-MX"/>
        </w:rPr>
        <w:t xml:space="preserve">, </w:t>
      </w:r>
      <w:hyperlink r:id="rId42" w:history="1">
        <w:r w:rsidRPr="008A7BD7">
          <w:rPr>
            <w:rStyle w:val="Hyperlink"/>
            <w:rFonts w:ascii="Cambria" w:hAnsi="Cambria" w:cs="Calibri"/>
            <w:i/>
            <w:iCs/>
            <w:sz w:val="16"/>
            <w:szCs w:val="16"/>
            <w:lang w:val="es-MX"/>
          </w:rPr>
          <w:t>CANG convoca a elección de magistrado titular ante la CC</w:t>
        </w:r>
      </w:hyperlink>
      <w:r w:rsidR="00B10C9F" w:rsidRPr="008A7BD7">
        <w:rPr>
          <w:rStyle w:val="Hyperlink"/>
          <w:rFonts w:ascii="Cambria" w:hAnsi="Cambria" w:cs="Calibri"/>
          <w:sz w:val="16"/>
          <w:szCs w:val="16"/>
          <w:lang w:val="es-MX"/>
        </w:rPr>
        <w:t>,</w:t>
      </w:r>
      <w:r w:rsidRPr="008A7BD7">
        <w:rPr>
          <w:rFonts w:ascii="Cambria" w:hAnsi="Cambria" w:cs="Calibri"/>
          <w:color w:val="222222"/>
          <w:sz w:val="16"/>
          <w:szCs w:val="16"/>
          <w:lang w:val="es-MX"/>
        </w:rPr>
        <w:t xml:space="preserve"> </w:t>
      </w:r>
      <w:proofErr w:type="spellStart"/>
      <w:r w:rsidR="00B10C9F" w:rsidRPr="008A7BD7">
        <w:rPr>
          <w:rFonts w:ascii="Cambria" w:hAnsi="Cambria" w:cs="Calibri"/>
          <w:color w:val="222222"/>
          <w:sz w:val="16"/>
          <w:szCs w:val="16"/>
          <w:lang w:val="es-MX"/>
        </w:rPr>
        <w:t>December</w:t>
      </w:r>
      <w:proofErr w:type="spellEnd"/>
      <w:r w:rsidR="00B10C9F" w:rsidRPr="008A7BD7">
        <w:rPr>
          <w:rFonts w:ascii="Cambria" w:hAnsi="Cambria" w:cs="Calibri"/>
          <w:color w:val="222222"/>
          <w:sz w:val="16"/>
          <w:szCs w:val="16"/>
          <w:lang w:val="es-MX"/>
        </w:rPr>
        <w:t xml:space="preserve"> </w:t>
      </w:r>
      <w:r w:rsidRPr="008A7BD7">
        <w:rPr>
          <w:rFonts w:ascii="Cambria" w:hAnsi="Cambria" w:cs="Calibri"/>
          <w:color w:val="222222"/>
          <w:sz w:val="16"/>
          <w:szCs w:val="16"/>
          <w:lang w:val="es-MX"/>
        </w:rPr>
        <w:t>8</w:t>
      </w:r>
      <w:r w:rsidR="00B10C9F" w:rsidRPr="008A7BD7">
        <w:rPr>
          <w:rFonts w:ascii="Cambria" w:hAnsi="Cambria" w:cs="Calibri"/>
          <w:color w:val="222222"/>
          <w:sz w:val="16"/>
          <w:szCs w:val="16"/>
          <w:lang w:val="es-MX"/>
        </w:rPr>
        <w:t>,</w:t>
      </w:r>
      <w:r w:rsidRPr="008A7BD7">
        <w:rPr>
          <w:rFonts w:ascii="Cambria" w:hAnsi="Cambria" w:cs="Calibri"/>
          <w:color w:val="222222"/>
          <w:sz w:val="16"/>
          <w:szCs w:val="16"/>
          <w:lang w:val="es-MX"/>
        </w:rPr>
        <w:t xml:space="preserve"> 2021.</w:t>
      </w:r>
    </w:p>
  </w:footnote>
  <w:footnote w:id="48">
    <w:p w14:paraId="7293A829" w14:textId="64087404" w:rsidR="008E7882" w:rsidRPr="008A7BD7" w:rsidRDefault="008E7882"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proofErr w:type="spellStart"/>
      <w:r w:rsidR="005C5429" w:rsidRPr="008A7BD7">
        <w:rPr>
          <w:rFonts w:ascii="Cambria" w:hAnsi="Cambria"/>
          <w:sz w:val="16"/>
          <w:szCs w:val="16"/>
          <w:lang w:val="es-US"/>
        </w:rPr>
        <w:t>Joint</w:t>
      </w:r>
      <w:proofErr w:type="spellEnd"/>
      <w:r w:rsidR="005C5429" w:rsidRPr="008A7BD7">
        <w:rPr>
          <w:rFonts w:ascii="Cambria" w:hAnsi="Cambria"/>
          <w:sz w:val="16"/>
          <w:szCs w:val="16"/>
          <w:lang w:val="es-US"/>
        </w:rPr>
        <w:t xml:space="preserve"> </w:t>
      </w:r>
      <w:proofErr w:type="spellStart"/>
      <w:r w:rsidR="005C5429" w:rsidRPr="008A7BD7">
        <w:rPr>
          <w:rFonts w:ascii="Cambria" w:hAnsi="Cambria"/>
          <w:sz w:val="16"/>
          <w:szCs w:val="16"/>
          <w:lang w:val="es-US"/>
        </w:rPr>
        <w:t>statement</w:t>
      </w:r>
      <w:proofErr w:type="spellEnd"/>
      <w:r w:rsidRPr="008A7BD7">
        <w:rPr>
          <w:rFonts w:ascii="Cambria" w:hAnsi="Cambria"/>
          <w:sz w:val="16"/>
          <w:szCs w:val="16"/>
          <w:lang w:val="es-US"/>
        </w:rPr>
        <w:t xml:space="preserve">, </w:t>
      </w:r>
      <w:hyperlink r:id="rId43" w:history="1">
        <w:r w:rsidRPr="008A7BD7">
          <w:rPr>
            <w:rStyle w:val="Hyperlink"/>
            <w:rFonts w:ascii="Cambria" w:hAnsi="Cambria"/>
            <w:i/>
            <w:iCs/>
            <w:sz w:val="16"/>
            <w:szCs w:val="16"/>
            <w:lang w:val="es-US"/>
          </w:rPr>
          <w:t>El Estado de Derecho y la Justicia están en Juego</w:t>
        </w:r>
      </w:hyperlink>
      <w:r w:rsidR="005C5429" w:rsidRPr="008A7BD7">
        <w:rPr>
          <w:rStyle w:val="Hyperlink"/>
          <w:rFonts w:ascii="Cambria" w:hAnsi="Cambria"/>
          <w:sz w:val="16"/>
          <w:szCs w:val="16"/>
          <w:lang w:val="es-US"/>
        </w:rPr>
        <w:t>,</w:t>
      </w:r>
      <w:r w:rsidRPr="008A7BD7">
        <w:rPr>
          <w:rFonts w:ascii="Cambria" w:hAnsi="Cambria"/>
          <w:sz w:val="16"/>
          <w:szCs w:val="16"/>
          <w:lang w:val="es-US"/>
        </w:rPr>
        <w:t xml:space="preserve"> 2021.</w:t>
      </w:r>
    </w:p>
  </w:footnote>
  <w:footnote w:id="49">
    <w:p w14:paraId="551B14D2" w14:textId="3A9B76C1" w:rsidR="00706CD2" w:rsidRPr="008A7BD7" w:rsidRDefault="00706CD2"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proofErr w:type="gramStart"/>
      <w:r w:rsidR="005C5429" w:rsidRPr="008A7BD7">
        <w:rPr>
          <w:rFonts w:ascii="Cambria" w:hAnsi="Cambria" w:cs="Calibri"/>
          <w:sz w:val="16"/>
          <w:szCs w:val="16"/>
        </w:rPr>
        <w:t>In the course of</w:t>
      </w:r>
      <w:proofErr w:type="gramEnd"/>
      <w:r w:rsidR="005C5429" w:rsidRPr="008A7BD7">
        <w:rPr>
          <w:rFonts w:ascii="Cambria" w:hAnsi="Cambria" w:cs="Calibri"/>
          <w:sz w:val="16"/>
          <w:szCs w:val="16"/>
        </w:rPr>
        <w:t xml:space="preserve"> investigating this case, the </w:t>
      </w:r>
      <w:r w:rsidRPr="008A7BD7">
        <w:rPr>
          <w:rFonts w:ascii="Cambria" w:hAnsi="Cambria" w:cs="Calibri"/>
          <w:sz w:val="16"/>
          <w:szCs w:val="16"/>
        </w:rPr>
        <w:t xml:space="preserve">FECI </w:t>
      </w:r>
      <w:r w:rsidR="005C5429" w:rsidRPr="008A7BD7">
        <w:rPr>
          <w:rFonts w:ascii="Cambria" w:hAnsi="Cambria" w:cs="Calibri"/>
          <w:sz w:val="16"/>
          <w:szCs w:val="16"/>
        </w:rPr>
        <w:t xml:space="preserve">documented meetings between Judge </w:t>
      </w:r>
      <w:r w:rsidRPr="008A7BD7">
        <w:rPr>
          <w:rFonts w:ascii="Cambria" w:hAnsi="Cambria" w:cs="Calibri"/>
          <w:sz w:val="16"/>
          <w:szCs w:val="16"/>
        </w:rPr>
        <w:t xml:space="preserve">Moto </w:t>
      </w:r>
      <w:r w:rsidR="005C5429" w:rsidRPr="008A7BD7">
        <w:rPr>
          <w:rFonts w:ascii="Cambria" w:hAnsi="Cambria" w:cs="Calibri"/>
          <w:sz w:val="16"/>
          <w:szCs w:val="16"/>
        </w:rPr>
        <w:t>and defense counsel of one of the main individuals implicated in the case</w:t>
      </w:r>
      <w:r w:rsidRPr="008A7BD7">
        <w:rPr>
          <w:rFonts w:ascii="Cambria" w:hAnsi="Cambria" w:cs="Calibri"/>
          <w:sz w:val="16"/>
          <w:szCs w:val="16"/>
        </w:rPr>
        <w:t xml:space="preserve">, Gustavo </w:t>
      </w:r>
      <w:proofErr w:type="spellStart"/>
      <w:r w:rsidRPr="008A7BD7">
        <w:rPr>
          <w:rFonts w:ascii="Cambria" w:hAnsi="Cambria" w:cs="Calibri"/>
          <w:sz w:val="16"/>
          <w:szCs w:val="16"/>
        </w:rPr>
        <w:t>Alejos</w:t>
      </w:r>
      <w:proofErr w:type="spellEnd"/>
      <w:r w:rsidRPr="008A7BD7">
        <w:rPr>
          <w:rFonts w:ascii="Cambria" w:hAnsi="Cambria" w:cs="Calibri"/>
          <w:sz w:val="16"/>
          <w:szCs w:val="16"/>
        </w:rPr>
        <w:t xml:space="preserve">, </w:t>
      </w:r>
      <w:r w:rsidR="005C5429" w:rsidRPr="008A7BD7">
        <w:rPr>
          <w:rFonts w:ascii="Cambria" w:hAnsi="Cambria" w:cs="Calibri"/>
          <w:sz w:val="16"/>
          <w:szCs w:val="16"/>
        </w:rPr>
        <w:t xml:space="preserve">days before his nomination as a candidate to the </w:t>
      </w:r>
      <w:r w:rsidR="001B74C8" w:rsidRPr="008A7BD7">
        <w:rPr>
          <w:rFonts w:ascii="Cambria" w:hAnsi="Cambria" w:cs="Calibri"/>
          <w:sz w:val="16"/>
          <w:szCs w:val="16"/>
        </w:rPr>
        <w:t>Constitutional Court</w:t>
      </w:r>
      <w:r w:rsidR="005C5429" w:rsidRPr="008A7BD7">
        <w:rPr>
          <w:rFonts w:ascii="Cambria" w:hAnsi="Cambria" w:cs="Calibri"/>
          <w:sz w:val="16"/>
          <w:szCs w:val="16"/>
        </w:rPr>
        <w:t xml:space="preserve">. As of January 4, </w:t>
      </w:r>
      <w:r w:rsidRPr="008A7BD7">
        <w:rPr>
          <w:rFonts w:ascii="Cambria" w:hAnsi="Cambria" w:cs="Calibri"/>
          <w:sz w:val="16"/>
          <w:szCs w:val="16"/>
        </w:rPr>
        <w:t xml:space="preserve">2021, </w:t>
      </w:r>
      <w:r w:rsidR="005C5429" w:rsidRPr="008A7BD7">
        <w:rPr>
          <w:rFonts w:ascii="Cambria" w:hAnsi="Cambria" w:cs="Calibri"/>
          <w:sz w:val="16"/>
          <w:szCs w:val="16"/>
        </w:rPr>
        <w:t>the</w:t>
      </w:r>
      <w:r w:rsidRPr="008A7BD7">
        <w:rPr>
          <w:rFonts w:ascii="Cambria" w:hAnsi="Cambria" w:cs="Calibri"/>
          <w:sz w:val="16"/>
          <w:szCs w:val="16"/>
        </w:rPr>
        <w:t xml:space="preserve"> FECI </w:t>
      </w:r>
      <w:r w:rsidR="005C5429" w:rsidRPr="008A7BD7">
        <w:rPr>
          <w:rFonts w:ascii="Cambria" w:hAnsi="Cambria" w:cs="Calibri"/>
          <w:sz w:val="16"/>
          <w:szCs w:val="16"/>
        </w:rPr>
        <w:t xml:space="preserve">filed </w:t>
      </w:r>
      <w:r w:rsidR="001B74C8" w:rsidRPr="008A7BD7">
        <w:rPr>
          <w:rFonts w:ascii="Cambria" w:hAnsi="Cambria" w:cs="Calibri"/>
          <w:sz w:val="16"/>
          <w:szCs w:val="16"/>
        </w:rPr>
        <w:t>an</w:t>
      </w:r>
      <w:r w:rsidR="005C5429" w:rsidRPr="008A7BD7">
        <w:rPr>
          <w:rFonts w:ascii="Cambria" w:hAnsi="Cambria" w:cs="Calibri"/>
          <w:sz w:val="16"/>
          <w:szCs w:val="16"/>
        </w:rPr>
        <w:t xml:space="preserve"> impeachment </w:t>
      </w:r>
      <w:r w:rsidR="001B74C8" w:rsidRPr="008A7BD7">
        <w:rPr>
          <w:rFonts w:ascii="Cambria" w:hAnsi="Cambria" w:cs="Calibri"/>
          <w:sz w:val="16"/>
          <w:szCs w:val="16"/>
        </w:rPr>
        <w:t>motio</w:t>
      </w:r>
      <w:r w:rsidR="00972A72" w:rsidRPr="008A7BD7">
        <w:rPr>
          <w:rFonts w:ascii="Cambria" w:hAnsi="Cambria" w:cs="Calibri"/>
          <w:sz w:val="16"/>
          <w:szCs w:val="16"/>
        </w:rPr>
        <w:t>n</w:t>
      </w:r>
      <w:r w:rsidR="005C5429" w:rsidRPr="008A7BD7">
        <w:rPr>
          <w:rFonts w:ascii="Cambria" w:hAnsi="Cambria" w:cs="Calibri"/>
          <w:sz w:val="16"/>
          <w:szCs w:val="16"/>
        </w:rPr>
        <w:t xml:space="preserve"> against</w:t>
      </w:r>
      <w:r w:rsidRPr="008A7BD7">
        <w:rPr>
          <w:rFonts w:ascii="Cambria" w:hAnsi="Cambria" w:cs="Calibri"/>
          <w:sz w:val="16"/>
          <w:szCs w:val="16"/>
        </w:rPr>
        <w:t> </w:t>
      </w:r>
      <w:hyperlink r:id="rId44" w:history="1">
        <w:r w:rsidRPr="008A7BD7">
          <w:rPr>
            <w:rFonts w:ascii="Cambria" w:hAnsi="Cambria" w:cs="Calibri"/>
            <w:sz w:val="16"/>
            <w:szCs w:val="16"/>
          </w:rPr>
          <w:t>Moto</w:t>
        </w:r>
      </w:hyperlink>
      <w:r w:rsidRPr="008A7BD7">
        <w:rPr>
          <w:rFonts w:ascii="Cambria" w:hAnsi="Cambria" w:cs="Calibri"/>
          <w:sz w:val="16"/>
          <w:szCs w:val="16"/>
        </w:rPr>
        <w:t> </w:t>
      </w:r>
      <w:r w:rsidR="00972A72" w:rsidRPr="008A7BD7">
        <w:rPr>
          <w:rFonts w:ascii="Cambria" w:hAnsi="Cambria" w:cs="Calibri"/>
          <w:sz w:val="16"/>
          <w:szCs w:val="16"/>
        </w:rPr>
        <w:t xml:space="preserve">for the crimes of obstruction of justice and </w:t>
      </w:r>
      <w:r w:rsidR="009D56E2" w:rsidRPr="008A7BD7">
        <w:rPr>
          <w:rFonts w:ascii="Cambria" w:hAnsi="Cambria" w:cs="Calibri"/>
          <w:sz w:val="16"/>
          <w:szCs w:val="16"/>
        </w:rPr>
        <w:t>breach of trust</w:t>
      </w:r>
      <w:r w:rsidR="00CD119B" w:rsidRPr="008A7BD7">
        <w:rPr>
          <w:rFonts w:ascii="Cambria" w:hAnsi="Cambria" w:cs="Calibri"/>
          <w:sz w:val="16"/>
          <w:szCs w:val="16"/>
        </w:rPr>
        <w:t xml:space="preserve"> </w:t>
      </w:r>
      <w:r w:rsidR="003732B1" w:rsidRPr="008A7BD7">
        <w:rPr>
          <w:rFonts w:ascii="Cambria" w:hAnsi="Cambria" w:cs="Calibri"/>
          <w:sz w:val="16"/>
          <w:szCs w:val="16"/>
        </w:rPr>
        <w:t>in connection with</w:t>
      </w:r>
      <w:r w:rsidR="00CD119B" w:rsidRPr="008A7BD7">
        <w:rPr>
          <w:rFonts w:ascii="Cambria" w:hAnsi="Cambria" w:cs="Calibri"/>
          <w:sz w:val="16"/>
          <w:szCs w:val="16"/>
        </w:rPr>
        <w:t xml:space="preserve"> decisions handed down</w:t>
      </w:r>
      <w:r w:rsidRPr="008A7BD7">
        <w:rPr>
          <w:rFonts w:ascii="Cambria" w:hAnsi="Cambria" w:cs="Calibri"/>
          <w:sz w:val="16"/>
          <w:szCs w:val="16"/>
        </w:rPr>
        <w:t xml:space="preserve"> </w:t>
      </w:r>
      <w:r w:rsidR="00CD119B" w:rsidRPr="008A7BD7">
        <w:rPr>
          <w:rFonts w:ascii="Cambria" w:hAnsi="Cambria" w:cs="Calibri"/>
          <w:sz w:val="16"/>
          <w:szCs w:val="16"/>
        </w:rPr>
        <w:t xml:space="preserve">by the judge and his alleged participation in various high-profile national corruption cases. Press </w:t>
      </w:r>
      <w:r w:rsidR="00796F14" w:rsidRPr="008A7BD7">
        <w:rPr>
          <w:rFonts w:ascii="Cambria" w:hAnsi="Cambria" w:cs="Calibri"/>
          <w:sz w:val="16"/>
          <w:szCs w:val="16"/>
        </w:rPr>
        <w:t>R</w:t>
      </w:r>
      <w:r w:rsidR="00CD119B" w:rsidRPr="008A7BD7">
        <w:rPr>
          <w:rFonts w:ascii="Cambria" w:hAnsi="Cambria" w:cs="Calibri"/>
          <w:sz w:val="16"/>
          <w:szCs w:val="16"/>
        </w:rPr>
        <w:t xml:space="preserve">elease, Twitter account of the Public Prosecutor’s Office </w:t>
      </w:r>
      <w:r w:rsidR="008E7882" w:rsidRPr="008A7BD7">
        <w:rPr>
          <w:rFonts w:ascii="Cambria" w:hAnsi="Cambria"/>
          <w:sz w:val="16"/>
          <w:szCs w:val="16"/>
        </w:rPr>
        <w:t xml:space="preserve">(@MPguatemala), </w:t>
      </w:r>
      <w:hyperlink r:id="rId45" w:history="1">
        <w:r w:rsidR="008E7882" w:rsidRPr="008A7BD7">
          <w:rPr>
            <w:rStyle w:val="Hyperlink"/>
            <w:rFonts w:ascii="Cambria" w:hAnsi="Cambria"/>
            <w:sz w:val="16"/>
            <w:szCs w:val="16"/>
          </w:rPr>
          <w:t>p</w:t>
        </w:r>
        <w:r w:rsidR="00CD119B" w:rsidRPr="008A7BD7">
          <w:rPr>
            <w:rStyle w:val="Hyperlink"/>
            <w:rFonts w:ascii="Cambria" w:hAnsi="Cambria"/>
            <w:sz w:val="16"/>
            <w:szCs w:val="16"/>
          </w:rPr>
          <w:t xml:space="preserve">osted on January </w:t>
        </w:r>
        <w:r w:rsidR="008E7882" w:rsidRPr="008A7BD7">
          <w:rPr>
            <w:rStyle w:val="Hyperlink"/>
            <w:rFonts w:ascii="Cambria" w:hAnsi="Cambria"/>
            <w:sz w:val="16"/>
            <w:szCs w:val="16"/>
          </w:rPr>
          <w:t>4</w:t>
        </w:r>
        <w:r w:rsidR="00CD119B" w:rsidRPr="008A7BD7">
          <w:rPr>
            <w:rStyle w:val="Hyperlink"/>
            <w:rFonts w:ascii="Cambria" w:hAnsi="Cambria"/>
            <w:sz w:val="16"/>
            <w:szCs w:val="16"/>
          </w:rPr>
          <w:t>,</w:t>
        </w:r>
        <w:r w:rsidR="008E7882" w:rsidRPr="008A7BD7">
          <w:rPr>
            <w:rStyle w:val="Hyperlink"/>
            <w:rFonts w:ascii="Cambria" w:hAnsi="Cambria"/>
            <w:sz w:val="16"/>
            <w:szCs w:val="16"/>
          </w:rPr>
          <w:t xml:space="preserve"> 2021</w:t>
        </w:r>
      </w:hyperlink>
      <w:r w:rsidR="008E7882" w:rsidRPr="008A7BD7">
        <w:rPr>
          <w:rFonts w:ascii="Cambria" w:hAnsi="Cambria"/>
          <w:sz w:val="16"/>
          <w:szCs w:val="16"/>
        </w:rPr>
        <w:t xml:space="preserve">. </w:t>
      </w:r>
    </w:p>
  </w:footnote>
  <w:footnote w:id="50">
    <w:p w14:paraId="4B47172F" w14:textId="478F6DA7" w:rsidR="00706CD2" w:rsidRPr="008A7BD7" w:rsidRDefault="00706CD2" w:rsidP="00746761">
      <w:pPr>
        <w:spacing w:after="120"/>
        <w:ind w:firstLine="720"/>
        <w:jc w:val="both"/>
        <w:rPr>
          <w:rFonts w:ascii="Cambria" w:hAnsi="Cambria"/>
          <w:sz w:val="16"/>
          <w:szCs w:val="16"/>
          <w:lang w:val="es-US"/>
        </w:rPr>
      </w:pPr>
      <w:r w:rsidRPr="008A7BD7">
        <w:rPr>
          <w:rStyle w:val="FootnoteReference"/>
          <w:rFonts w:ascii="Cambria" w:eastAsia="Calibri" w:hAnsi="Cambria"/>
          <w:sz w:val="16"/>
          <w:szCs w:val="16"/>
        </w:rPr>
        <w:footnoteRef/>
      </w:r>
      <w:r w:rsidRPr="008A7BD7">
        <w:rPr>
          <w:rFonts w:ascii="Cambria" w:hAnsi="Cambria"/>
          <w:sz w:val="16"/>
          <w:szCs w:val="16"/>
          <w:lang w:val="es-US"/>
        </w:rPr>
        <w:t xml:space="preserve"> </w:t>
      </w:r>
      <w:r w:rsidR="00A7270A" w:rsidRPr="008A7BD7">
        <w:rPr>
          <w:rFonts w:ascii="Cambria" w:hAnsi="Cambria"/>
          <w:i/>
          <w:iCs/>
          <w:sz w:val="16"/>
          <w:szCs w:val="16"/>
          <w:lang w:val="es-US"/>
        </w:rPr>
        <w:t>Prensa Libre</w:t>
      </w:r>
      <w:r w:rsidR="00A7270A" w:rsidRPr="008A7BD7">
        <w:rPr>
          <w:rFonts w:ascii="Cambria" w:hAnsi="Cambria"/>
          <w:sz w:val="16"/>
          <w:szCs w:val="16"/>
          <w:lang w:val="es-US"/>
        </w:rPr>
        <w:t xml:space="preserve">, </w:t>
      </w:r>
      <w:hyperlink r:id="rId46" w:history="1">
        <w:r w:rsidR="00A7270A" w:rsidRPr="008A7BD7">
          <w:rPr>
            <w:rStyle w:val="Hyperlink"/>
            <w:rFonts w:ascii="Cambria" w:hAnsi="Cambria"/>
            <w:i/>
            <w:iCs/>
            <w:sz w:val="16"/>
            <w:szCs w:val="16"/>
            <w:lang w:val="es-US"/>
          </w:rPr>
          <w:t>Mynor Moto: Estos son los recursos legales planteados contra el Congreso y la sala de Apelaciones que otorgó el amparo</w:t>
        </w:r>
      </w:hyperlink>
      <w:r w:rsidR="00563EA1" w:rsidRPr="008A7BD7">
        <w:rPr>
          <w:rStyle w:val="Hyperlink"/>
          <w:rFonts w:ascii="Cambria" w:hAnsi="Cambria"/>
          <w:sz w:val="16"/>
          <w:szCs w:val="16"/>
          <w:lang w:val="es-US"/>
        </w:rPr>
        <w:t>,</w:t>
      </w:r>
      <w:r w:rsidR="00A7270A" w:rsidRPr="008A7BD7">
        <w:rPr>
          <w:rFonts w:ascii="Cambria" w:hAnsi="Cambria"/>
          <w:sz w:val="16"/>
          <w:szCs w:val="16"/>
          <w:lang w:val="es-US"/>
        </w:rPr>
        <w:t xml:space="preserve"> </w:t>
      </w:r>
      <w:proofErr w:type="spellStart"/>
      <w:r w:rsidR="00563EA1" w:rsidRPr="008A7BD7">
        <w:rPr>
          <w:rFonts w:ascii="Cambria" w:hAnsi="Cambria"/>
          <w:sz w:val="16"/>
          <w:szCs w:val="16"/>
          <w:lang w:val="es-US"/>
        </w:rPr>
        <w:t>January</w:t>
      </w:r>
      <w:proofErr w:type="spellEnd"/>
      <w:r w:rsidR="00563EA1" w:rsidRPr="008A7BD7">
        <w:rPr>
          <w:rFonts w:ascii="Cambria" w:hAnsi="Cambria"/>
          <w:sz w:val="16"/>
          <w:szCs w:val="16"/>
          <w:lang w:val="es-US"/>
        </w:rPr>
        <w:t xml:space="preserve"> </w:t>
      </w:r>
      <w:r w:rsidR="00A7270A" w:rsidRPr="008A7BD7">
        <w:rPr>
          <w:rFonts w:ascii="Cambria" w:hAnsi="Cambria"/>
          <w:sz w:val="16"/>
          <w:szCs w:val="16"/>
          <w:lang w:val="es-US"/>
        </w:rPr>
        <w:t>27</w:t>
      </w:r>
      <w:r w:rsidR="00563EA1" w:rsidRPr="008A7BD7">
        <w:rPr>
          <w:rFonts w:ascii="Cambria" w:hAnsi="Cambria"/>
          <w:sz w:val="16"/>
          <w:szCs w:val="16"/>
          <w:lang w:val="es-US"/>
        </w:rPr>
        <w:t xml:space="preserve">, </w:t>
      </w:r>
      <w:r w:rsidR="00A7270A" w:rsidRPr="008A7BD7">
        <w:rPr>
          <w:rFonts w:ascii="Cambria" w:hAnsi="Cambria"/>
          <w:sz w:val="16"/>
          <w:szCs w:val="16"/>
          <w:lang w:val="es-US"/>
        </w:rPr>
        <w:t xml:space="preserve">2021. </w:t>
      </w:r>
    </w:p>
  </w:footnote>
  <w:footnote w:id="51">
    <w:p w14:paraId="5F2CD1FC" w14:textId="62ADE3EA" w:rsidR="00A7270A" w:rsidRPr="008A7BD7" w:rsidRDefault="00A7270A"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Prensa Libre</w:t>
      </w:r>
      <w:r w:rsidRPr="008A7BD7">
        <w:rPr>
          <w:rFonts w:ascii="Cambria" w:hAnsi="Cambria"/>
          <w:sz w:val="16"/>
          <w:szCs w:val="16"/>
          <w:lang w:val="es-US"/>
        </w:rPr>
        <w:t xml:space="preserve">, </w:t>
      </w:r>
      <w:hyperlink r:id="rId47" w:history="1">
        <w:r w:rsidRPr="008A7BD7">
          <w:rPr>
            <w:rStyle w:val="Hyperlink"/>
            <w:rFonts w:ascii="Cambria" w:hAnsi="Cambria"/>
            <w:i/>
            <w:iCs/>
            <w:sz w:val="16"/>
            <w:szCs w:val="16"/>
            <w:lang w:val="es-US"/>
          </w:rPr>
          <w:t>Mynor Moto: CC deja en suspenso juramentación hecha por el Congreso</w:t>
        </w:r>
      </w:hyperlink>
      <w:r w:rsidR="00563EA1" w:rsidRPr="008A7BD7">
        <w:rPr>
          <w:rStyle w:val="Hyperlink"/>
          <w:rFonts w:ascii="Cambria" w:hAnsi="Cambria"/>
          <w:sz w:val="16"/>
          <w:szCs w:val="16"/>
          <w:lang w:val="es-US"/>
        </w:rPr>
        <w:t>,</w:t>
      </w:r>
      <w:r w:rsidRPr="008A7BD7">
        <w:rPr>
          <w:rFonts w:ascii="Cambria" w:hAnsi="Cambria"/>
          <w:sz w:val="16"/>
          <w:szCs w:val="16"/>
          <w:lang w:val="es-US"/>
        </w:rPr>
        <w:t xml:space="preserve"> </w:t>
      </w:r>
      <w:proofErr w:type="spellStart"/>
      <w:r w:rsidR="00563EA1" w:rsidRPr="008A7BD7">
        <w:rPr>
          <w:rFonts w:ascii="Cambria" w:hAnsi="Cambria"/>
          <w:sz w:val="16"/>
          <w:szCs w:val="16"/>
          <w:lang w:val="es-US"/>
        </w:rPr>
        <w:t>February</w:t>
      </w:r>
      <w:proofErr w:type="spellEnd"/>
      <w:r w:rsidR="00563EA1" w:rsidRPr="008A7BD7">
        <w:rPr>
          <w:rFonts w:ascii="Cambria" w:hAnsi="Cambria"/>
          <w:sz w:val="16"/>
          <w:szCs w:val="16"/>
          <w:lang w:val="es-US"/>
        </w:rPr>
        <w:t xml:space="preserve"> </w:t>
      </w:r>
      <w:r w:rsidRPr="008A7BD7">
        <w:rPr>
          <w:rFonts w:ascii="Cambria" w:hAnsi="Cambria"/>
          <w:sz w:val="16"/>
          <w:szCs w:val="16"/>
          <w:lang w:val="es-US"/>
        </w:rPr>
        <w:t>4</w:t>
      </w:r>
      <w:r w:rsidR="00563EA1" w:rsidRPr="008A7BD7">
        <w:rPr>
          <w:rFonts w:ascii="Cambria" w:hAnsi="Cambria"/>
          <w:sz w:val="16"/>
          <w:szCs w:val="16"/>
          <w:lang w:val="es-US"/>
        </w:rPr>
        <w:t xml:space="preserve">, </w:t>
      </w:r>
      <w:r w:rsidRPr="008A7BD7">
        <w:rPr>
          <w:rFonts w:ascii="Cambria" w:hAnsi="Cambria"/>
          <w:sz w:val="16"/>
          <w:szCs w:val="16"/>
          <w:lang w:val="es-US"/>
        </w:rPr>
        <w:t xml:space="preserve">2021; </w:t>
      </w:r>
      <w:r w:rsidRPr="008A7BD7">
        <w:rPr>
          <w:rFonts w:ascii="Cambria" w:hAnsi="Cambria"/>
          <w:i/>
          <w:iCs/>
          <w:sz w:val="16"/>
          <w:szCs w:val="16"/>
          <w:lang w:val="es-US"/>
        </w:rPr>
        <w:t>Prensa Libre</w:t>
      </w:r>
      <w:r w:rsidRPr="008A7BD7">
        <w:rPr>
          <w:rFonts w:ascii="Cambria" w:hAnsi="Cambria"/>
          <w:sz w:val="16"/>
          <w:szCs w:val="16"/>
          <w:lang w:val="es-US"/>
        </w:rPr>
        <w:t xml:space="preserve">, </w:t>
      </w:r>
      <w:hyperlink r:id="rId48" w:history="1">
        <w:r w:rsidRPr="008A7BD7">
          <w:rPr>
            <w:rStyle w:val="Hyperlink"/>
            <w:rFonts w:ascii="Cambria" w:hAnsi="Cambria"/>
            <w:i/>
            <w:iCs/>
            <w:sz w:val="16"/>
            <w:szCs w:val="16"/>
            <w:lang w:val="es-US"/>
          </w:rPr>
          <w:t>Mynor Moto, prófugo de la justicia, presenta amparo con el que busca volver a ocupar su cargo como juez</w:t>
        </w:r>
      </w:hyperlink>
      <w:r w:rsidR="00563EA1" w:rsidRPr="008A7BD7">
        <w:rPr>
          <w:rStyle w:val="Hyperlink"/>
          <w:rFonts w:ascii="Cambria" w:hAnsi="Cambria"/>
          <w:sz w:val="16"/>
          <w:szCs w:val="16"/>
          <w:lang w:val="es-US"/>
        </w:rPr>
        <w:t>,</w:t>
      </w:r>
      <w:r w:rsidRPr="008A7BD7">
        <w:rPr>
          <w:rFonts w:ascii="Cambria" w:hAnsi="Cambria"/>
          <w:sz w:val="16"/>
          <w:szCs w:val="16"/>
          <w:lang w:val="es-US"/>
        </w:rPr>
        <w:t xml:space="preserve"> </w:t>
      </w:r>
      <w:r w:rsidR="00563EA1" w:rsidRPr="008A7BD7">
        <w:rPr>
          <w:rFonts w:ascii="Cambria" w:hAnsi="Cambria"/>
          <w:sz w:val="16"/>
          <w:szCs w:val="16"/>
          <w:lang w:val="es-US"/>
        </w:rPr>
        <w:t xml:space="preserve">April </w:t>
      </w:r>
      <w:r w:rsidRPr="008A7BD7">
        <w:rPr>
          <w:rFonts w:ascii="Cambria" w:hAnsi="Cambria"/>
          <w:sz w:val="16"/>
          <w:szCs w:val="16"/>
          <w:lang w:val="es-US"/>
        </w:rPr>
        <w:t>13</w:t>
      </w:r>
      <w:r w:rsidR="00563EA1" w:rsidRPr="008A7BD7">
        <w:rPr>
          <w:rFonts w:ascii="Cambria" w:hAnsi="Cambria"/>
          <w:sz w:val="16"/>
          <w:szCs w:val="16"/>
          <w:lang w:val="es-US"/>
        </w:rPr>
        <w:t>,</w:t>
      </w:r>
      <w:r w:rsidRPr="008A7BD7">
        <w:rPr>
          <w:rFonts w:ascii="Cambria" w:hAnsi="Cambria"/>
          <w:sz w:val="16"/>
          <w:szCs w:val="16"/>
          <w:lang w:val="es-US"/>
        </w:rPr>
        <w:t xml:space="preserve"> 2021.</w:t>
      </w:r>
    </w:p>
  </w:footnote>
  <w:footnote w:id="52">
    <w:p w14:paraId="26B452AC" w14:textId="5FD5006F" w:rsidR="00706CD2" w:rsidRPr="008A7BD7" w:rsidRDefault="00706CD2" w:rsidP="00746761">
      <w:pPr>
        <w:shd w:val="clear" w:color="auto" w:fill="FFFFFF"/>
        <w:spacing w:before="240" w:after="120"/>
        <w:ind w:firstLine="720"/>
        <w:jc w:val="both"/>
        <w:rPr>
          <w:rFonts w:ascii="Cambria" w:hAnsi="Cambria" w:cs="Tahoma"/>
          <w:color w:val="222222"/>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A367F0" w:rsidRPr="008A7BD7">
        <w:rPr>
          <w:rFonts w:ascii="Cambria" w:hAnsi="Cambria"/>
          <w:sz w:val="16"/>
          <w:szCs w:val="16"/>
        </w:rPr>
        <w:t>IACHR, Press release 031/21</w:t>
      </w:r>
      <w:r w:rsidR="0005683F" w:rsidRPr="008A7BD7">
        <w:rPr>
          <w:rFonts w:ascii="Cambria" w:hAnsi="Cambria"/>
          <w:sz w:val="16"/>
          <w:szCs w:val="16"/>
        </w:rPr>
        <w:t xml:space="preserve">, </w:t>
      </w:r>
      <w:hyperlink r:id="rId49" w:history="1">
        <w:r w:rsidR="00A367F0" w:rsidRPr="008A7BD7">
          <w:rPr>
            <w:rStyle w:val="Hyperlink"/>
            <w:rFonts w:ascii="Cambria" w:hAnsi="Cambria"/>
            <w:sz w:val="16"/>
            <w:szCs w:val="16"/>
          </w:rPr>
          <w:t>IACHR Urges Guatemala to Guarantee Transparency and Compliance with International Standards in the Selection Process for the Constitutional Court</w:t>
        </w:r>
      </w:hyperlink>
      <w:r w:rsidR="006B3E9A" w:rsidRPr="008A7BD7">
        <w:rPr>
          <w:rFonts w:ascii="Cambria" w:hAnsi="Cambria"/>
          <w:sz w:val="16"/>
          <w:szCs w:val="16"/>
        </w:rPr>
        <w:t>,</w:t>
      </w:r>
      <w:r w:rsidR="0087562D" w:rsidRPr="008A7BD7">
        <w:rPr>
          <w:rFonts w:ascii="Cambria" w:hAnsi="Cambria"/>
          <w:sz w:val="16"/>
          <w:szCs w:val="16"/>
        </w:rPr>
        <w:t xml:space="preserve"> Washington,</w:t>
      </w:r>
      <w:r w:rsidR="0087562D" w:rsidRPr="008A7BD7">
        <w:rPr>
          <w:rFonts w:ascii="Cambria" w:hAnsi="Cambria" w:cs="Tahoma"/>
          <w:color w:val="222222"/>
          <w:sz w:val="16"/>
          <w:szCs w:val="16"/>
        </w:rPr>
        <w:t xml:space="preserve"> </w:t>
      </w:r>
      <w:r w:rsidR="0005683F" w:rsidRPr="008A7BD7">
        <w:rPr>
          <w:rFonts w:ascii="Cambria" w:hAnsi="Cambria" w:cs="Tahoma"/>
          <w:color w:val="222222"/>
          <w:sz w:val="16"/>
          <w:szCs w:val="16"/>
        </w:rPr>
        <w:t xml:space="preserve">D.C., </w:t>
      </w:r>
      <w:r w:rsidR="0087562D" w:rsidRPr="008A7BD7">
        <w:rPr>
          <w:rFonts w:ascii="Cambria" w:hAnsi="Cambria" w:cs="Tahoma"/>
          <w:color w:val="222222"/>
          <w:sz w:val="16"/>
          <w:szCs w:val="16"/>
        </w:rPr>
        <w:t xml:space="preserve">February </w:t>
      </w:r>
      <w:r w:rsidR="0005683F" w:rsidRPr="008A7BD7">
        <w:rPr>
          <w:rFonts w:ascii="Cambria" w:hAnsi="Cambria" w:cs="Tahoma"/>
          <w:color w:val="222222"/>
          <w:sz w:val="16"/>
          <w:szCs w:val="16"/>
        </w:rPr>
        <w:t>11</w:t>
      </w:r>
      <w:r w:rsidR="006B3E9A" w:rsidRPr="008A7BD7">
        <w:rPr>
          <w:rFonts w:ascii="Cambria" w:hAnsi="Cambria" w:cs="Tahoma"/>
          <w:color w:val="222222"/>
          <w:sz w:val="16"/>
          <w:szCs w:val="16"/>
        </w:rPr>
        <w:t>, 2021</w:t>
      </w:r>
      <w:r w:rsidR="0087562D" w:rsidRPr="008A7BD7">
        <w:rPr>
          <w:rFonts w:ascii="Cambria" w:hAnsi="Cambria" w:cs="Tahoma"/>
          <w:color w:val="222222"/>
          <w:sz w:val="16"/>
          <w:szCs w:val="16"/>
        </w:rPr>
        <w:t>.</w:t>
      </w:r>
    </w:p>
  </w:footnote>
  <w:footnote w:id="53">
    <w:p w14:paraId="74D8E3D8" w14:textId="28DA8F35" w:rsidR="00C95E34" w:rsidRPr="008A7BD7" w:rsidRDefault="00C95E34" w:rsidP="00746761">
      <w:pPr>
        <w:pStyle w:val="FootnoteText"/>
        <w:spacing w:after="120"/>
        <w:ind w:firstLine="720"/>
        <w:jc w:val="both"/>
        <w:rPr>
          <w:rFonts w:ascii="Cambria" w:hAnsi="Cambria"/>
          <w:sz w:val="16"/>
          <w:szCs w:val="16"/>
          <w:lang w:val="es-CO"/>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006B3E9A" w:rsidRPr="008A7BD7">
        <w:rPr>
          <w:rFonts w:ascii="Cambria" w:hAnsi="Cambria"/>
          <w:sz w:val="16"/>
          <w:szCs w:val="16"/>
          <w:lang w:val="es-US"/>
        </w:rPr>
        <w:t>OAS</w:t>
      </w:r>
      <w:r w:rsidRPr="008A7BD7">
        <w:rPr>
          <w:rFonts w:ascii="Cambria" w:hAnsi="Cambria"/>
          <w:sz w:val="16"/>
          <w:szCs w:val="16"/>
          <w:lang w:val="es-US"/>
        </w:rPr>
        <w:t xml:space="preserve">, </w:t>
      </w:r>
      <w:hyperlink r:id="rId50" w:history="1">
        <w:r w:rsidRPr="008A7BD7">
          <w:rPr>
            <w:rStyle w:val="Hyperlink"/>
            <w:rFonts w:ascii="Cambria" w:hAnsi="Cambria"/>
            <w:sz w:val="16"/>
            <w:szCs w:val="16"/>
            <w:lang w:val="es-US"/>
          </w:rPr>
          <w:t>Informe de la Misión Especial de la Secretaría General de la Organización de los Estados Americanos en Guatemala</w:t>
        </w:r>
      </w:hyperlink>
      <w:r w:rsidRPr="008A7BD7">
        <w:rPr>
          <w:rFonts w:ascii="Cambria" w:hAnsi="Cambria"/>
          <w:sz w:val="16"/>
          <w:szCs w:val="16"/>
          <w:lang w:val="es-US"/>
        </w:rPr>
        <w:t xml:space="preserve">, </w:t>
      </w:r>
      <w:proofErr w:type="spellStart"/>
      <w:r w:rsidR="00F4720D" w:rsidRPr="008A7BD7">
        <w:rPr>
          <w:rFonts w:ascii="Cambria" w:hAnsi="Cambria"/>
          <w:sz w:val="16"/>
          <w:szCs w:val="16"/>
          <w:lang w:val="es-US"/>
        </w:rPr>
        <w:t>January</w:t>
      </w:r>
      <w:proofErr w:type="spellEnd"/>
      <w:r w:rsidR="00F4720D" w:rsidRPr="008A7BD7">
        <w:rPr>
          <w:rFonts w:ascii="Cambria" w:hAnsi="Cambria"/>
          <w:sz w:val="16"/>
          <w:szCs w:val="16"/>
          <w:lang w:val="es-US"/>
        </w:rPr>
        <w:t xml:space="preserve"> </w:t>
      </w:r>
      <w:r w:rsidRPr="008A7BD7">
        <w:rPr>
          <w:rFonts w:ascii="Cambria" w:hAnsi="Cambria"/>
          <w:sz w:val="16"/>
          <w:szCs w:val="16"/>
          <w:lang w:val="es-US"/>
        </w:rPr>
        <w:t>12</w:t>
      </w:r>
      <w:r w:rsidR="00F4720D" w:rsidRPr="008A7BD7">
        <w:rPr>
          <w:rFonts w:ascii="Cambria" w:hAnsi="Cambria"/>
          <w:sz w:val="16"/>
          <w:szCs w:val="16"/>
          <w:lang w:val="es-US"/>
        </w:rPr>
        <w:t xml:space="preserve">, </w:t>
      </w:r>
      <w:r w:rsidRPr="008A7BD7">
        <w:rPr>
          <w:rFonts w:ascii="Cambria" w:hAnsi="Cambria"/>
          <w:sz w:val="16"/>
          <w:szCs w:val="16"/>
          <w:lang w:val="es-US"/>
        </w:rPr>
        <w:t>2021</w:t>
      </w:r>
      <w:r w:rsidR="00F4720D" w:rsidRPr="008A7BD7">
        <w:rPr>
          <w:rFonts w:ascii="Cambria" w:hAnsi="Cambria"/>
          <w:sz w:val="16"/>
          <w:szCs w:val="16"/>
          <w:lang w:val="es-US"/>
        </w:rPr>
        <w:t>,</w:t>
      </w:r>
      <w:r w:rsidRPr="008A7BD7">
        <w:rPr>
          <w:rFonts w:ascii="Cambria" w:hAnsi="Cambria"/>
          <w:sz w:val="16"/>
          <w:szCs w:val="16"/>
          <w:lang w:val="es-US"/>
        </w:rPr>
        <w:t xml:space="preserve"> </w:t>
      </w:r>
      <w:proofErr w:type="spellStart"/>
      <w:r w:rsidRPr="008A7BD7">
        <w:rPr>
          <w:rFonts w:ascii="Cambria" w:hAnsi="Cambria"/>
          <w:sz w:val="16"/>
          <w:szCs w:val="16"/>
          <w:lang w:val="es-CO"/>
        </w:rPr>
        <w:t>Reco</w:t>
      </w:r>
      <w:r w:rsidR="00F4720D" w:rsidRPr="008A7BD7">
        <w:rPr>
          <w:rFonts w:ascii="Cambria" w:hAnsi="Cambria"/>
          <w:sz w:val="16"/>
          <w:szCs w:val="16"/>
          <w:lang w:val="es-CO"/>
        </w:rPr>
        <w:t>m</w:t>
      </w:r>
      <w:r w:rsidRPr="008A7BD7">
        <w:rPr>
          <w:rFonts w:ascii="Cambria" w:hAnsi="Cambria"/>
          <w:sz w:val="16"/>
          <w:szCs w:val="16"/>
          <w:lang w:val="es-CO"/>
        </w:rPr>
        <w:t>menda</w:t>
      </w:r>
      <w:r w:rsidR="00F4720D" w:rsidRPr="008A7BD7">
        <w:rPr>
          <w:rFonts w:ascii="Cambria" w:hAnsi="Cambria"/>
          <w:sz w:val="16"/>
          <w:szCs w:val="16"/>
          <w:lang w:val="es-CO"/>
        </w:rPr>
        <w:t>tions</w:t>
      </w:r>
      <w:proofErr w:type="spellEnd"/>
      <w:r w:rsidRPr="008A7BD7">
        <w:rPr>
          <w:rFonts w:ascii="Cambria" w:hAnsi="Cambria"/>
          <w:sz w:val="16"/>
          <w:szCs w:val="16"/>
          <w:lang w:val="es-CO"/>
        </w:rPr>
        <w:t>.</w:t>
      </w:r>
    </w:p>
  </w:footnote>
  <w:footnote w:id="54">
    <w:p w14:paraId="6ED44B87" w14:textId="25FB15DE" w:rsidR="00706CD2" w:rsidRPr="008A7BD7" w:rsidRDefault="00706CD2" w:rsidP="00746761">
      <w:pPr>
        <w:shd w:val="clear" w:color="auto" w:fill="FFFFFF"/>
        <w:spacing w:before="240"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rPr>
        <w:t xml:space="preserve"> </w:t>
      </w:r>
      <w:r w:rsidR="00C27A10" w:rsidRPr="008A7BD7">
        <w:rPr>
          <w:rFonts w:ascii="Cambria" w:eastAsia="Times New Roman" w:hAnsi="Cambria"/>
          <w:sz w:val="16"/>
          <w:szCs w:val="16"/>
          <w:lang w:eastAsia="es-ES_tradnl"/>
        </w:rPr>
        <w:t xml:space="preserve">The </w:t>
      </w:r>
      <w:r w:rsidR="00E750D5" w:rsidRPr="008A7BD7">
        <w:rPr>
          <w:rFonts w:ascii="Cambria" w:eastAsia="Times New Roman" w:hAnsi="Cambria"/>
          <w:sz w:val="16"/>
          <w:szCs w:val="16"/>
          <w:lang w:eastAsia="es-ES_tradnl"/>
        </w:rPr>
        <w:t>s</w:t>
      </w:r>
      <w:r w:rsidR="00C27A10" w:rsidRPr="008A7BD7">
        <w:rPr>
          <w:rFonts w:ascii="Cambria" w:eastAsia="Times New Roman" w:hAnsi="Cambria"/>
          <w:sz w:val="16"/>
          <w:szCs w:val="16"/>
          <w:lang w:eastAsia="es-ES_tradnl"/>
        </w:rPr>
        <w:t xml:space="preserve">election process was carried out between January and March of </w:t>
      </w:r>
      <w:r w:rsidRPr="008A7BD7">
        <w:rPr>
          <w:rFonts w:ascii="Cambria" w:eastAsia="Times New Roman" w:hAnsi="Cambria"/>
          <w:sz w:val="16"/>
          <w:szCs w:val="16"/>
          <w:lang w:eastAsia="es-ES_tradnl"/>
        </w:rPr>
        <w:t xml:space="preserve">2021. </w:t>
      </w:r>
      <w:r w:rsidR="00FF1712" w:rsidRPr="008A7BD7">
        <w:rPr>
          <w:rFonts w:ascii="Cambria" w:eastAsia="Times New Roman" w:hAnsi="Cambria"/>
          <w:sz w:val="16"/>
          <w:szCs w:val="16"/>
          <w:lang w:eastAsia="es-ES_tradnl"/>
        </w:rPr>
        <w:t xml:space="preserve">Under the Constitution, the </w:t>
      </w:r>
      <w:r w:rsidR="00610698" w:rsidRPr="008A7BD7">
        <w:rPr>
          <w:rFonts w:ascii="Cambria" w:eastAsia="Times New Roman" w:hAnsi="Cambria"/>
          <w:sz w:val="16"/>
          <w:szCs w:val="16"/>
          <w:lang w:eastAsia="es-ES_tradnl"/>
        </w:rPr>
        <w:t>judges</w:t>
      </w:r>
      <w:r w:rsidR="00FF1712" w:rsidRPr="008A7BD7">
        <w:rPr>
          <w:rFonts w:ascii="Cambria" w:eastAsia="Times New Roman" w:hAnsi="Cambria"/>
          <w:sz w:val="16"/>
          <w:szCs w:val="16"/>
          <w:lang w:eastAsia="es-ES_tradnl"/>
        </w:rPr>
        <w:t xml:space="preserve"> are appointed as follows</w:t>
      </w:r>
      <w:r w:rsidRPr="008A7BD7">
        <w:rPr>
          <w:rFonts w:ascii="Cambria" w:eastAsia="Times New Roman" w:hAnsi="Cambria"/>
          <w:sz w:val="16"/>
          <w:szCs w:val="16"/>
          <w:lang w:eastAsia="es-ES_tradnl"/>
        </w:rPr>
        <w:t xml:space="preserve">: </w:t>
      </w:r>
      <w:r w:rsidR="00FF1712" w:rsidRPr="008A7BD7">
        <w:rPr>
          <w:rFonts w:ascii="Cambria" w:eastAsia="Times New Roman" w:hAnsi="Cambria"/>
          <w:sz w:val="16"/>
          <w:szCs w:val="16"/>
          <w:lang w:eastAsia="es-ES_tradnl"/>
        </w:rPr>
        <w:t>(</w:t>
      </w:r>
      <w:r w:rsidRPr="008A7BD7">
        <w:rPr>
          <w:rFonts w:ascii="Cambria" w:eastAsia="Times New Roman" w:hAnsi="Cambria"/>
          <w:sz w:val="16"/>
          <w:szCs w:val="16"/>
          <w:lang w:eastAsia="es-ES_tradnl"/>
        </w:rPr>
        <w:t xml:space="preserve">a) </w:t>
      </w:r>
      <w:r w:rsidR="00610698" w:rsidRPr="008A7BD7">
        <w:rPr>
          <w:rFonts w:ascii="Cambria" w:eastAsia="Times New Roman" w:hAnsi="Cambria"/>
          <w:sz w:val="16"/>
          <w:szCs w:val="16"/>
          <w:lang w:eastAsia="es-ES_tradnl"/>
        </w:rPr>
        <w:t>o</w:t>
      </w:r>
      <w:r w:rsidR="00FF1712" w:rsidRPr="008A7BD7">
        <w:rPr>
          <w:rFonts w:ascii="Cambria" w:eastAsia="Times New Roman" w:hAnsi="Cambria"/>
          <w:sz w:val="16"/>
          <w:szCs w:val="16"/>
          <w:lang w:eastAsia="es-ES_tradnl"/>
        </w:rPr>
        <w:t xml:space="preserve">ne regular </w:t>
      </w:r>
      <w:r w:rsidR="00610698" w:rsidRPr="008A7BD7">
        <w:rPr>
          <w:rFonts w:ascii="Cambria" w:eastAsia="Times New Roman" w:hAnsi="Cambria"/>
          <w:sz w:val="16"/>
          <w:szCs w:val="16"/>
          <w:lang w:eastAsia="es-ES_tradnl"/>
        </w:rPr>
        <w:t>judge</w:t>
      </w:r>
      <w:r w:rsidR="00FF1712" w:rsidRPr="008A7BD7">
        <w:rPr>
          <w:rFonts w:ascii="Cambria" w:eastAsia="Times New Roman" w:hAnsi="Cambria"/>
          <w:sz w:val="16"/>
          <w:szCs w:val="16"/>
          <w:lang w:eastAsia="es-ES_tradnl"/>
        </w:rPr>
        <w:t xml:space="preserve"> and one </w:t>
      </w:r>
      <w:r w:rsidR="00610698" w:rsidRPr="008A7BD7">
        <w:rPr>
          <w:rFonts w:ascii="Cambria" w:eastAsia="Times New Roman" w:hAnsi="Cambria"/>
          <w:sz w:val="16"/>
          <w:szCs w:val="16"/>
          <w:lang w:eastAsia="es-ES_tradnl"/>
        </w:rPr>
        <w:t>deputy judge</w:t>
      </w:r>
      <w:r w:rsidR="00FF1712" w:rsidRPr="008A7BD7">
        <w:rPr>
          <w:rFonts w:ascii="Cambria" w:eastAsia="Times New Roman" w:hAnsi="Cambria"/>
          <w:sz w:val="16"/>
          <w:szCs w:val="16"/>
          <w:lang w:eastAsia="es-ES_tradnl"/>
        </w:rPr>
        <w:t xml:space="preserve"> </w:t>
      </w:r>
      <w:r w:rsidR="00610698" w:rsidRPr="008A7BD7">
        <w:rPr>
          <w:rFonts w:ascii="Cambria" w:eastAsia="Times New Roman" w:hAnsi="Cambria"/>
          <w:sz w:val="16"/>
          <w:szCs w:val="16"/>
          <w:lang w:eastAsia="es-ES_tradnl"/>
        </w:rPr>
        <w:t>selected</w:t>
      </w:r>
      <w:r w:rsidR="00FF1712" w:rsidRPr="008A7BD7">
        <w:rPr>
          <w:rFonts w:ascii="Cambria" w:eastAsia="Times New Roman" w:hAnsi="Cambria"/>
          <w:sz w:val="16"/>
          <w:szCs w:val="16"/>
          <w:lang w:eastAsia="es-ES_tradnl"/>
        </w:rPr>
        <w:t xml:space="preserve"> by the </w:t>
      </w:r>
      <w:r w:rsidR="001F3D4D" w:rsidRPr="008A7BD7">
        <w:rPr>
          <w:rFonts w:ascii="Cambria" w:eastAsia="Times New Roman" w:hAnsi="Cambria"/>
          <w:sz w:val="16"/>
          <w:szCs w:val="16"/>
          <w:lang w:eastAsia="es-ES_tradnl"/>
        </w:rPr>
        <w:t>plenary of the</w:t>
      </w:r>
      <w:r w:rsidR="00FF1712" w:rsidRPr="008A7BD7">
        <w:rPr>
          <w:rFonts w:ascii="Cambria" w:eastAsia="Times New Roman" w:hAnsi="Cambria"/>
          <w:sz w:val="16"/>
          <w:szCs w:val="16"/>
          <w:lang w:eastAsia="es-ES_tradnl"/>
        </w:rPr>
        <w:t xml:space="preserve"> Supreme Court</w:t>
      </w:r>
      <w:r w:rsidRPr="008A7BD7">
        <w:rPr>
          <w:rFonts w:ascii="Cambria" w:hAnsi="Cambria"/>
          <w:sz w:val="16"/>
          <w:szCs w:val="16"/>
        </w:rPr>
        <w:t xml:space="preserve">; </w:t>
      </w:r>
      <w:r w:rsidR="00FF1712" w:rsidRPr="008A7BD7">
        <w:rPr>
          <w:rFonts w:ascii="Cambria" w:hAnsi="Cambria"/>
          <w:sz w:val="16"/>
          <w:szCs w:val="16"/>
        </w:rPr>
        <w:t xml:space="preserve">(b) </w:t>
      </w:r>
      <w:r w:rsidR="001F3D4D" w:rsidRPr="008A7BD7">
        <w:rPr>
          <w:rFonts w:ascii="Cambria" w:hAnsi="Cambria"/>
          <w:sz w:val="16"/>
          <w:szCs w:val="16"/>
        </w:rPr>
        <w:t>o</w:t>
      </w:r>
      <w:r w:rsidR="00FF1712" w:rsidRPr="008A7BD7">
        <w:rPr>
          <w:rFonts w:ascii="Cambria" w:hAnsi="Cambria"/>
          <w:sz w:val="16"/>
          <w:szCs w:val="16"/>
        </w:rPr>
        <w:t xml:space="preserve">ne </w:t>
      </w:r>
      <w:r w:rsidR="001F3D4D" w:rsidRPr="008A7BD7">
        <w:rPr>
          <w:rFonts w:ascii="Cambria" w:eastAsia="Times New Roman" w:hAnsi="Cambria"/>
          <w:sz w:val="16"/>
          <w:szCs w:val="16"/>
          <w:lang w:eastAsia="es-ES_tradnl"/>
        </w:rPr>
        <w:t>regular judge and one deputy judge selected</w:t>
      </w:r>
      <w:r w:rsidR="00FF1712" w:rsidRPr="008A7BD7">
        <w:rPr>
          <w:rFonts w:ascii="Cambria" w:eastAsia="Times New Roman" w:hAnsi="Cambria"/>
          <w:sz w:val="16"/>
          <w:szCs w:val="16"/>
          <w:lang w:eastAsia="es-ES_tradnl"/>
        </w:rPr>
        <w:t xml:space="preserve"> by the </w:t>
      </w:r>
      <w:r w:rsidR="001F3D4D" w:rsidRPr="008A7BD7">
        <w:rPr>
          <w:rFonts w:ascii="Cambria" w:eastAsia="Times New Roman" w:hAnsi="Cambria"/>
          <w:sz w:val="16"/>
          <w:szCs w:val="16"/>
          <w:lang w:eastAsia="es-ES_tradnl"/>
        </w:rPr>
        <w:t>plenary of the</w:t>
      </w:r>
      <w:r w:rsidR="00FF1712" w:rsidRPr="008A7BD7">
        <w:rPr>
          <w:rFonts w:ascii="Cambria" w:eastAsia="Times New Roman" w:hAnsi="Cambria"/>
          <w:sz w:val="16"/>
          <w:szCs w:val="16"/>
          <w:lang w:eastAsia="es-ES_tradnl"/>
        </w:rPr>
        <w:t xml:space="preserve"> Congress of the Republic</w:t>
      </w:r>
      <w:r w:rsidRPr="008A7BD7">
        <w:rPr>
          <w:rFonts w:ascii="Cambria" w:hAnsi="Cambria"/>
          <w:sz w:val="16"/>
          <w:szCs w:val="16"/>
        </w:rPr>
        <w:t xml:space="preserve">; </w:t>
      </w:r>
      <w:r w:rsidR="001F3D4D" w:rsidRPr="008A7BD7">
        <w:rPr>
          <w:rFonts w:ascii="Cambria" w:hAnsi="Cambria"/>
          <w:sz w:val="16"/>
          <w:szCs w:val="16"/>
        </w:rPr>
        <w:t>(</w:t>
      </w:r>
      <w:r w:rsidRPr="008A7BD7">
        <w:rPr>
          <w:rFonts w:ascii="Cambria" w:hAnsi="Cambria"/>
          <w:sz w:val="16"/>
          <w:szCs w:val="16"/>
        </w:rPr>
        <w:t xml:space="preserve">c) </w:t>
      </w:r>
      <w:r w:rsidR="001F3D4D" w:rsidRPr="008A7BD7">
        <w:rPr>
          <w:rFonts w:ascii="Cambria" w:eastAsia="Times New Roman" w:hAnsi="Cambria"/>
          <w:sz w:val="16"/>
          <w:szCs w:val="16"/>
          <w:lang w:eastAsia="es-ES_tradnl"/>
        </w:rPr>
        <w:t xml:space="preserve">one regular judge and one deputy judge selected </w:t>
      </w:r>
      <w:r w:rsidR="00FF1712" w:rsidRPr="008A7BD7">
        <w:rPr>
          <w:rFonts w:ascii="Cambria" w:eastAsia="Times New Roman" w:hAnsi="Cambria"/>
          <w:sz w:val="16"/>
          <w:szCs w:val="16"/>
          <w:lang w:eastAsia="es-ES_tradnl"/>
        </w:rPr>
        <w:t>by the</w:t>
      </w:r>
      <w:r w:rsidR="00FF1712" w:rsidRPr="008A7BD7">
        <w:rPr>
          <w:rFonts w:ascii="Cambria" w:hAnsi="Cambria"/>
          <w:sz w:val="16"/>
          <w:szCs w:val="16"/>
        </w:rPr>
        <w:t xml:space="preserve"> </w:t>
      </w:r>
      <w:r w:rsidR="00AE5AA4" w:rsidRPr="008A7BD7">
        <w:rPr>
          <w:rFonts w:ascii="Cambria" w:hAnsi="Cambria"/>
          <w:sz w:val="16"/>
          <w:szCs w:val="16"/>
        </w:rPr>
        <w:t>President of the Republic in the Council of Ministers</w:t>
      </w:r>
      <w:r w:rsidRPr="008A7BD7">
        <w:rPr>
          <w:rFonts w:ascii="Cambria" w:hAnsi="Cambria"/>
          <w:sz w:val="16"/>
          <w:szCs w:val="16"/>
        </w:rPr>
        <w:t xml:space="preserve">; </w:t>
      </w:r>
      <w:r w:rsidR="00AE5AA4" w:rsidRPr="008A7BD7">
        <w:rPr>
          <w:rFonts w:ascii="Cambria" w:hAnsi="Cambria"/>
          <w:sz w:val="16"/>
          <w:szCs w:val="16"/>
        </w:rPr>
        <w:t>(</w:t>
      </w:r>
      <w:r w:rsidRPr="008A7BD7">
        <w:rPr>
          <w:rFonts w:ascii="Cambria" w:hAnsi="Cambria"/>
          <w:sz w:val="16"/>
          <w:szCs w:val="16"/>
        </w:rPr>
        <w:t xml:space="preserve">d) </w:t>
      </w:r>
      <w:r w:rsidR="001F3D4D" w:rsidRPr="008A7BD7">
        <w:rPr>
          <w:rFonts w:ascii="Cambria" w:eastAsia="Times New Roman" w:hAnsi="Cambria"/>
          <w:sz w:val="16"/>
          <w:szCs w:val="16"/>
          <w:lang w:eastAsia="es-ES_tradnl"/>
        </w:rPr>
        <w:t xml:space="preserve">one regular judge and one deputy judge selected by </w:t>
      </w:r>
      <w:r w:rsidR="00AE5AA4" w:rsidRPr="008A7BD7">
        <w:rPr>
          <w:rFonts w:ascii="Cambria" w:eastAsia="Times New Roman" w:hAnsi="Cambria"/>
          <w:sz w:val="16"/>
          <w:szCs w:val="16"/>
          <w:lang w:eastAsia="es-ES_tradnl"/>
        </w:rPr>
        <w:t>the</w:t>
      </w:r>
      <w:r w:rsidR="00AE5AA4" w:rsidRPr="008A7BD7">
        <w:rPr>
          <w:rFonts w:ascii="Cambria" w:hAnsi="Cambria"/>
          <w:sz w:val="16"/>
          <w:szCs w:val="16"/>
        </w:rPr>
        <w:t xml:space="preserve"> </w:t>
      </w:r>
      <w:r w:rsidR="00C039B5" w:rsidRPr="008A7BD7">
        <w:rPr>
          <w:rFonts w:ascii="Cambria" w:hAnsi="Cambria"/>
          <w:sz w:val="16"/>
          <w:szCs w:val="16"/>
        </w:rPr>
        <w:t xml:space="preserve">Higher </w:t>
      </w:r>
      <w:r w:rsidR="00AE5AA4" w:rsidRPr="008A7BD7">
        <w:rPr>
          <w:rFonts w:ascii="Cambria" w:hAnsi="Cambria"/>
          <w:sz w:val="16"/>
          <w:szCs w:val="16"/>
        </w:rPr>
        <w:t xml:space="preserve">University Council of the University of </w:t>
      </w:r>
      <w:r w:rsidRPr="008A7BD7">
        <w:rPr>
          <w:rFonts w:ascii="Cambria" w:hAnsi="Cambria"/>
          <w:sz w:val="16"/>
          <w:szCs w:val="16"/>
        </w:rPr>
        <w:t>San Carlos;</w:t>
      </w:r>
      <w:r w:rsidR="00AE5AA4" w:rsidRPr="008A7BD7">
        <w:rPr>
          <w:rFonts w:ascii="Cambria" w:hAnsi="Cambria"/>
          <w:sz w:val="16"/>
          <w:szCs w:val="16"/>
        </w:rPr>
        <w:t xml:space="preserve"> and </w:t>
      </w:r>
      <w:r w:rsidR="001F3D4D" w:rsidRPr="008A7BD7">
        <w:rPr>
          <w:rFonts w:ascii="Cambria" w:hAnsi="Cambria"/>
          <w:sz w:val="16"/>
          <w:szCs w:val="16"/>
        </w:rPr>
        <w:t>(</w:t>
      </w:r>
      <w:r w:rsidRPr="008A7BD7">
        <w:rPr>
          <w:rFonts w:ascii="Cambria" w:hAnsi="Cambria"/>
          <w:sz w:val="16"/>
          <w:szCs w:val="16"/>
        </w:rPr>
        <w:t>e</w:t>
      </w:r>
      <w:r w:rsidR="00AE5AA4" w:rsidRPr="008A7BD7">
        <w:rPr>
          <w:rFonts w:ascii="Cambria" w:hAnsi="Cambria"/>
          <w:sz w:val="16"/>
          <w:szCs w:val="16"/>
        </w:rPr>
        <w:t>)</w:t>
      </w:r>
      <w:r w:rsidRPr="008A7BD7">
        <w:rPr>
          <w:rFonts w:ascii="Cambria" w:hAnsi="Cambria"/>
          <w:sz w:val="16"/>
          <w:szCs w:val="16"/>
        </w:rPr>
        <w:t xml:space="preserve"> </w:t>
      </w:r>
      <w:r w:rsidR="00C039B5" w:rsidRPr="008A7BD7">
        <w:rPr>
          <w:rFonts w:ascii="Cambria" w:eastAsia="Times New Roman" w:hAnsi="Cambria"/>
          <w:sz w:val="16"/>
          <w:szCs w:val="16"/>
          <w:lang w:eastAsia="es-ES_tradnl"/>
        </w:rPr>
        <w:t xml:space="preserve">one regular judge and one deputy judge selected </w:t>
      </w:r>
      <w:r w:rsidR="00AE5AA4" w:rsidRPr="008A7BD7">
        <w:rPr>
          <w:rFonts w:ascii="Cambria" w:eastAsia="Times New Roman" w:hAnsi="Cambria"/>
          <w:sz w:val="16"/>
          <w:szCs w:val="16"/>
          <w:lang w:eastAsia="es-ES_tradnl"/>
        </w:rPr>
        <w:t>by the</w:t>
      </w:r>
      <w:r w:rsidRPr="008A7BD7">
        <w:rPr>
          <w:rFonts w:ascii="Cambria" w:hAnsi="Cambria"/>
          <w:sz w:val="16"/>
          <w:szCs w:val="16"/>
        </w:rPr>
        <w:t xml:space="preserve"> </w:t>
      </w:r>
      <w:r w:rsidR="00F235D8" w:rsidRPr="008A7BD7">
        <w:rPr>
          <w:rFonts w:ascii="Cambria" w:hAnsi="Cambria"/>
          <w:sz w:val="16"/>
          <w:szCs w:val="16"/>
        </w:rPr>
        <w:t>Assembly of the</w:t>
      </w:r>
      <w:r w:rsidR="00C039B5" w:rsidRPr="008A7BD7">
        <w:rPr>
          <w:rFonts w:ascii="Cambria" w:hAnsi="Cambria"/>
          <w:sz w:val="16"/>
          <w:szCs w:val="16"/>
        </w:rPr>
        <w:t xml:space="preserve"> Guatemalan Bar Association</w:t>
      </w:r>
      <w:r w:rsidRPr="008A7BD7">
        <w:rPr>
          <w:rFonts w:ascii="Cambria" w:hAnsi="Cambria"/>
          <w:sz w:val="16"/>
          <w:szCs w:val="16"/>
        </w:rPr>
        <w:t xml:space="preserve"> (CANG).</w:t>
      </w:r>
      <w:r w:rsidR="00C95E34" w:rsidRPr="008A7BD7">
        <w:rPr>
          <w:rFonts w:ascii="Cambria" w:hAnsi="Cambria"/>
          <w:sz w:val="16"/>
          <w:szCs w:val="16"/>
        </w:rPr>
        <w:t xml:space="preserve"> </w:t>
      </w:r>
      <w:proofErr w:type="spellStart"/>
      <w:r w:rsidR="00C95E34" w:rsidRPr="008A7BD7">
        <w:rPr>
          <w:rFonts w:ascii="Cambria" w:hAnsi="Cambria"/>
          <w:sz w:val="16"/>
          <w:szCs w:val="16"/>
          <w:lang w:val="es-US"/>
        </w:rPr>
        <w:t>Impunity</w:t>
      </w:r>
      <w:proofErr w:type="spellEnd"/>
      <w:r w:rsidR="00C95E34" w:rsidRPr="008A7BD7">
        <w:rPr>
          <w:rFonts w:ascii="Cambria" w:hAnsi="Cambria"/>
          <w:sz w:val="16"/>
          <w:szCs w:val="16"/>
          <w:lang w:val="es-US"/>
        </w:rPr>
        <w:t xml:space="preserve"> </w:t>
      </w:r>
      <w:proofErr w:type="spellStart"/>
      <w:r w:rsidR="00C95E34" w:rsidRPr="008A7BD7">
        <w:rPr>
          <w:rFonts w:ascii="Cambria" w:hAnsi="Cambria"/>
          <w:sz w:val="16"/>
          <w:szCs w:val="16"/>
          <w:lang w:val="es-US"/>
        </w:rPr>
        <w:t>Watch</w:t>
      </w:r>
      <w:proofErr w:type="spellEnd"/>
      <w:r w:rsidR="00C95E34" w:rsidRPr="008A7BD7">
        <w:rPr>
          <w:rFonts w:ascii="Cambria" w:hAnsi="Cambria"/>
          <w:sz w:val="16"/>
          <w:szCs w:val="16"/>
          <w:lang w:val="es-US"/>
        </w:rPr>
        <w:t xml:space="preserve">, </w:t>
      </w:r>
      <w:hyperlink r:id="rId51" w:history="1">
        <w:r w:rsidR="00C95E34" w:rsidRPr="008A7BD7">
          <w:rPr>
            <w:rStyle w:val="Hyperlink"/>
            <w:rFonts w:ascii="Cambria" w:hAnsi="Cambria"/>
            <w:i/>
            <w:iCs/>
            <w:sz w:val="16"/>
            <w:szCs w:val="16"/>
            <w:lang w:val="es-US"/>
          </w:rPr>
          <w:t>Anomalías en el proceso de elección de la Corte de Constitucionalidad</w:t>
        </w:r>
      </w:hyperlink>
      <w:r w:rsidR="00F235D8" w:rsidRPr="008A7BD7">
        <w:rPr>
          <w:rStyle w:val="Hyperlink"/>
          <w:rFonts w:ascii="Cambria" w:hAnsi="Cambria"/>
          <w:sz w:val="16"/>
          <w:szCs w:val="16"/>
          <w:lang w:val="es-US"/>
        </w:rPr>
        <w:t>,</w:t>
      </w:r>
      <w:r w:rsidR="00F235D8" w:rsidRPr="008A7BD7">
        <w:rPr>
          <w:rFonts w:ascii="Cambria" w:hAnsi="Cambria"/>
          <w:sz w:val="16"/>
          <w:szCs w:val="16"/>
          <w:lang w:val="es-US"/>
        </w:rPr>
        <w:t xml:space="preserve"> May</w:t>
      </w:r>
      <w:r w:rsidR="00C95E34" w:rsidRPr="008A7BD7">
        <w:rPr>
          <w:rFonts w:ascii="Cambria" w:hAnsi="Cambria"/>
          <w:sz w:val="16"/>
          <w:szCs w:val="16"/>
          <w:lang w:val="es-US"/>
        </w:rPr>
        <w:t xml:space="preserve"> 2021.</w:t>
      </w:r>
    </w:p>
  </w:footnote>
  <w:footnote w:id="55">
    <w:p w14:paraId="6162647A" w14:textId="0C992C4B" w:rsidR="00706CD2" w:rsidRPr="008A7BD7" w:rsidRDefault="00706CD2" w:rsidP="00746761">
      <w:pPr>
        <w:shd w:val="clear" w:color="auto" w:fill="FFFFFF"/>
        <w:spacing w:before="240"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proofErr w:type="spellStart"/>
      <w:r w:rsidRPr="008A7BD7">
        <w:rPr>
          <w:rFonts w:ascii="Cambria" w:hAnsi="Cambria"/>
          <w:sz w:val="16"/>
          <w:szCs w:val="16"/>
          <w:lang w:val="es-US"/>
        </w:rPr>
        <w:t>Impunity</w:t>
      </w:r>
      <w:proofErr w:type="spellEnd"/>
      <w:r w:rsidRPr="008A7BD7">
        <w:rPr>
          <w:rFonts w:ascii="Cambria" w:hAnsi="Cambria"/>
          <w:sz w:val="16"/>
          <w:szCs w:val="16"/>
          <w:lang w:val="es-US"/>
        </w:rPr>
        <w:t xml:space="preserve"> </w:t>
      </w:r>
      <w:proofErr w:type="spellStart"/>
      <w:r w:rsidRPr="008A7BD7">
        <w:rPr>
          <w:rFonts w:ascii="Cambria" w:hAnsi="Cambria"/>
          <w:sz w:val="16"/>
          <w:szCs w:val="16"/>
          <w:lang w:val="es-US"/>
        </w:rPr>
        <w:t>Watch</w:t>
      </w:r>
      <w:proofErr w:type="spellEnd"/>
      <w:r w:rsidRPr="008A7BD7">
        <w:rPr>
          <w:rFonts w:ascii="Cambria" w:hAnsi="Cambria"/>
          <w:sz w:val="16"/>
          <w:szCs w:val="16"/>
          <w:lang w:val="es-US"/>
        </w:rPr>
        <w:t xml:space="preserve">, </w:t>
      </w:r>
      <w:hyperlink r:id="rId52" w:history="1">
        <w:r w:rsidRPr="008A7BD7">
          <w:rPr>
            <w:rStyle w:val="Hyperlink"/>
            <w:rFonts w:ascii="Cambria" w:hAnsi="Cambria"/>
            <w:i/>
            <w:iCs/>
            <w:sz w:val="16"/>
            <w:szCs w:val="16"/>
            <w:lang w:val="es-US"/>
          </w:rPr>
          <w:t>Anomalías en el proceso de elección de la Corte de Constitucionalidad</w:t>
        </w:r>
      </w:hyperlink>
      <w:r w:rsidR="00F235D8" w:rsidRPr="008A7BD7">
        <w:rPr>
          <w:rStyle w:val="Hyperlink"/>
          <w:rFonts w:ascii="Cambria" w:hAnsi="Cambria"/>
          <w:sz w:val="16"/>
          <w:szCs w:val="16"/>
          <w:lang w:val="es-US"/>
        </w:rPr>
        <w:t>,</w:t>
      </w:r>
      <w:r w:rsidRPr="008A7BD7">
        <w:rPr>
          <w:rFonts w:ascii="Cambria" w:hAnsi="Cambria"/>
          <w:sz w:val="16"/>
          <w:szCs w:val="16"/>
          <w:lang w:val="es-US"/>
        </w:rPr>
        <w:t xml:space="preserve"> </w:t>
      </w:r>
      <w:r w:rsidR="00F235D8" w:rsidRPr="008A7BD7">
        <w:rPr>
          <w:rFonts w:ascii="Cambria" w:hAnsi="Cambria"/>
          <w:sz w:val="16"/>
          <w:szCs w:val="16"/>
          <w:lang w:val="es-US"/>
        </w:rPr>
        <w:t>May</w:t>
      </w:r>
      <w:r w:rsidRPr="008A7BD7">
        <w:rPr>
          <w:rFonts w:ascii="Cambria" w:hAnsi="Cambria"/>
          <w:sz w:val="16"/>
          <w:szCs w:val="16"/>
          <w:lang w:val="es-US"/>
        </w:rPr>
        <w:t xml:space="preserve"> 2021.</w:t>
      </w:r>
    </w:p>
  </w:footnote>
  <w:footnote w:id="56">
    <w:p w14:paraId="4F05BC10" w14:textId="082030F0" w:rsidR="00706CD2" w:rsidRPr="008A7BD7" w:rsidRDefault="00706CD2" w:rsidP="00746761">
      <w:pPr>
        <w:spacing w:after="120"/>
        <w:ind w:firstLine="720"/>
        <w:jc w:val="both"/>
        <w:rPr>
          <w:rFonts w:ascii="Cambria" w:eastAsia="Calibri" w:hAnsi="Cambria" w:cs="Calibri"/>
          <w:sz w:val="16"/>
          <w:szCs w:val="16"/>
        </w:rPr>
      </w:pPr>
      <w:r w:rsidRPr="008A7BD7">
        <w:rPr>
          <w:rStyle w:val="FootnoteReference"/>
          <w:rFonts w:ascii="Cambria" w:eastAsia="Calibri" w:hAnsi="Cambria"/>
          <w:sz w:val="16"/>
          <w:szCs w:val="16"/>
        </w:rPr>
        <w:footnoteRef/>
      </w:r>
      <w:r w:rsidRPr="008A7BD7">
        <w:rPr>
          <w:rFonts w:ascii="Cambria" w:hAnsi="Cambria"/>
          <w:sz w:val="16"/>
          <w:szCs w:val="16"/>
        </w:rPr>
        <w:t xml:space="preserve"> </w:t>
      </w:r>
      <w:r w:rsidR="0005683F" w:rsidRPr="008A7BD7">
        <w:rPr>
          <w:rFonts w:ascii="Cambria" w:hAnsi="Cambria"/>
          <w:sz w:val="16"/>
          <w:szCs w:val="16"/>
        </w:rPr>
        <w:t xml:space="preserve"> </w:t>
      </w:r>
      <w:r w:rsidR="005730EF" w:rsidRPr="008A7BD7">
        <w:rPr>
          <w:rFonts w:ascii="Cambria" w:eastAsia="Calibri" w:hAnsi="Cambria" w:cs="Calibri"/>
          <w:sz w:val="16"/>
          <w:szCs w:val="16"/>
        </w:rPr>
        <w:t>Situation of Judge Gloria Porras of the Constitutional Court of Guatemala, Meeting on April</w:t>
      </w:r>
      <w:r w:rsidR="005730EF" w:rsidRPr="008A7BD7">
        <w:rPr>
          <w:rFonts w:ascii="Cambria" w:hAnsi="Cambria"/>
          <w:sz w:val="16"/>
          <w:szCs w:val="16"/>
        </w:rPr>
        <w:t xml:space="preserve"> 28, 2021, between the IACHR, the Human Rights Ombudsman,</w:t>
      </w:r>
      <w:r w:rsidR="005730EF" w:rsidRPr="008A7BD7">
        <w:rPr>
          <w:rFonts w:ascii="Cambria" w:eastAsia="Calibri" w:hAnsi="Cambria" w:cs="Calibri"/>
          <w:sz w:val="16"/>
          <w:szCs w:val="16"/>
        </w:rPr>
        <w:t xml:space="preserve"> Judge Gloria Porras, and civil society organizations, records on file at the IACHR</w:t>
      </w:r>
      <w:r w:rsidR="0005683F" w:rsidRPr="008A7BD7">
        <w:rPr>
          <w:rFonts w:ascii="Cambria" w:hAnsi="Cambria"/>
          <w:sz w:val="16"/>
          <w:szCs w:val="16"/>
        </w:rPr>
        <w:t xml:space="preserve">; </w:t>
      </w:r>
      <w:proofErr w:type="spellStart"/>
      <w:r w:rsidR="0005683F" w:rsidRPr="008A7BD7">
        <w:rPr>
          <w:rFonts w:ascii="Cambria" w:hAnsi="Cambria"/>
          <w:sz w:val="16"/>
          <w:szCs w:val="16"/>
        </w:rPr>
        <w:t>Convergencia</w:t>
      </w:r>
      <w:proofErr w:type="spellEnd"/>
      <w:r w:rsidR="0005683F" w:rsidRPr="008A7BD7">
        <w:rPr>
          <w:rFonts w:ascii="Cambria" w:hAnsi="Cambria"/>
          <w:sz w:val="16"/>
          <w:szCs w:val="16"/>
        </w:rPr>
        <w:t xml:space="preserve"> </w:t>
      </w:r>
      <w:proofErr w:type="spellStart"/>
      <w:r w:rsidR="0005683F" w:rsidRPr="008A7BD7">
        <w:rPr>
          <w:rFonts w:ascii="Cambria" w:hAnsi="Cambria"/>
          <w:sz w:val="16"/>
          <w:szCs w:val="16"/>
        </w:rPr>
        <w:t>por</w:t>
      </w:r>
      <w:proofErr w:type="spellEnd"/>
      <w:r w:rsidR="0005683F" w:rsidRPr="008A7BD7">
        <w:rPr>
          <w:rFonts w:ascii="Cambria" w:hAnsi="Cambria"/>
          <w:sz w:val="16"/>
          <w:szCs w:val="16"/>
        </w:rPr>
        <w:t xml:space="preserve"> </w:t>
      </w:r>
      <w:proofErr w:type="spellStart"/>
      <w:r w:rsidR="0005683F" w:rsidRPr="008A7BD7">
        <w:rPr>
          <w:rFonts w:ascii="Cambria" w:hAnsi="Cambria"/>
          <w:sz w:val="16"/>
          <w:szCs w:val="16"/>
        </w:rPr>
        <w:t>los</w:t>
      </w:r>
      <w:proofErr w:type="spellEnd"/>
      <w:r w:rsidR="0005683F" w:rsidRPr="008A7BD7">
        <w:rPr>
          <w:rFonts w:ascii="Cambria" w:hAnsi="Cambria"/>
          <w:sz w:val="16"/>
          <w:szCs w:val="16"/>
        </w:rPr>
        <w:t xml:space="preserve"> Derechos Humanos, </w:t>
      </w:r>
      <w:hyperlink r:id="rId53" w:history="1">
        <w:proofErr w:type="spellStart"/>
        <w:r w:rsidR="0005683F" w:rsidRPr="008A7BD7">
          <w:rPr>
            <w:rStyle w:val="Hyperlink"/>
            <w:rFonts w:ascii="Cambria" w:hAnsi="Cambria"/>
            <w:i/>
            <w:iCs/>
            <w:sz w:val="16"/>
            <w:szCs w:val="16"/>
          </w:rPr>
          <w:t>Congreso</w:t>
        </w:r>
        <w:proofErr w:type="spellEnd"/>
        <w:r w:rsidR="0005683F" w:rsidRPr="008A7BD7">
          <w:rPr>
            <w:rStyle w:val="Hyperlink"/>
            <w:rFonts w:ascii="Cambria" w:hAnsi="Cambria"/>
            <w:i/>
            <w:iCs/>
            <w:sz w:val="16"/>
            <w:szCs w:val="16"/>
          </w:rPr>
          <w:t xml:space="preserve"> </w:t>
        </w:r>
        <w:proofErr w:type="spellStart"/>
        <w:r w:rsidR="0005683F" w:rsidRPr="008A7BD7">
          <w:rPr>
            <w:rStyle w:val="Hyperlink"/>
            <w:rFonts w:ascii="Cambria" w:hAnsi="Cambria"/>
            <w:i/>
            <w:iCs/>
            <w:sz w:val="16"/>
            <w:szCs w:val="16"/>
          </w:rPr>
          <w:t>Impide</w:t>
        </w:r>
        <w:proofErr w:type="spellEnd"/>
        <w:r w:rsidR="0005683F" w:rsidRPr="008A7BD7">
          <w:rPr>
            <w:rStyle w:val="Hyperlink"/>
            <w:rFonts w:ascii="Cambria" w:hAnsi="Cambria"/>
            <w:i/>
            <w:iCs/>
            <w:sz w:val="16"/>
            <w:szCs w:val="16"/>
          </w:rPr>
          <w:t xml:space="preserve"> </w:t>
        </w:r>
        <w:proofErr w:type="spellStart"/>
        <w:r w:rsidR="0005683F" w:rsidRPr="008A7BD7">
          <w:rPr>
            <w:rStyle w:val="Hyperlink"/>
            <w:rFonts w:ascii="Cambria" w:hAnsi="Cambria"/>
            <w:i/>
            <w:iCs/>
            <w:sz w:val="16"/>
            <w:szCs w:val="16"/>
          </w:rPr>
          <w:t>Juramentación</w:t>
        </w:r>
        <w:proofErr w:type="spellEnd"/>
        <w:r w:rsidR="0005683F" w:rsidRPr="008A7BD7">
          <w:rPr>
            <w:rStyle w:val="Hyperlink"/>
            <w:rFonts w:ascii="Cambria" w:hAnsi="Cambria"/>
            <w:i/>
            <w:iCs/>
            <w:sz w:val="16"/>
            <w:szCs w:val="16"/>
          </w:rPr>
          <w:t xml:space="preserve"> de la </w:t>
        </w:r>
        <w:proofErr w:type="spellStart"/>
        <w:r w:rsidR="0005683F" w:rsidRPr="008A7BD7">
          <w:rPr>
            <w:rStyle w:val="Hyperlink"/>
            <w:rFonts w:ascii="Cambria" w:hAnsi="Cambria"/>
            <w:i/>
            <w:iCs/>
            <w:sz w:val="16"/>
            <w:szCs w:val="16"/>
          </w:rPr>
          <w:t>Magistrada</w:t>
        </w:r>
        <w:proofErr w:type="spellEnd"/>
        <w:r w:rsidR="0005683F" w:rsidRPr="008A7BD7">
          <w:rPr>
            <w:rStyle w:val="Hyperlink"/>
            <w:rFonts w:ascii="Cambria" w:hAnsi="Cambria"/>
            <w:i/>
            <w:iCs/>
            <w:sz w:val="16"/>
            <w:szCs w:val="16"/>
          </w:rPr>
          <w:t xml:space="preserve"> Gloria Porras</w:t>
        </w:r>
      </w:hyperlink>
      <w:r w:rsidR="000F1C0E" w:rsidRPr="008A7BD7">
        <w:rPr>
          <w:rStyle w:val="Hyperlink"/>
          <w:rFonts w:ascii="Cambria" w:hAnsi="Cambria"/>
          <w:sz w:val="16"/>
          <w:szCs w:val="16"/>
        </w:rPr>
        <w:t>,</w:t>
      </w:r>
      <w:r w:rsidR="0005683F" w:rsidRPr="008A7BD7">
        <w:rPr>
          <w:rFonts w:ascii="Cambria" w:hAnsi="Cambria"/>
          <w:sz w:val="16"/>
          <w:szCs w:val="16"/>
        </w:rPr>
        <w:t xml:space="preserve"> </w:t>
      </w:r>
      <w:r w:rsidR="000F1C0E" w:rsidRPr="008A7BD7">
        <w:rPr>
          <w:rFonts w:ascii="Cambria" w:hAnsi="Cambria"/>
          <w:sz w:val="16"/>
          <w:szCs w:val="16"/>
        </w:rPr>
        <w:t xml:space="preserve">April </w:t>
      </w:r>
      <w:r w:rsidR="0005683F" w:rsidRPr="008A7BD7">
        <w:rPr>
          <w:rFonts w:ascii="Cambria" w:hAnsi="Cambria"/>
          <w:sz w:val="16"/>
          <w:szCs w:val="16"/>
        </w:rPr>
        <w:t>13</w:t>
      </w:r>
      <w:r w:rsidR="000F1C0E" w:rsidRPr="008A7BD7">
        <w:rPr>
          <w:rFonts w:ascii="Cambria" w:hAnsi="Cambria"/>
          <w:sz w:val="16"/>
          <w:szCs w:val="16"/>
        </w:rPr>
        <w:t xml:space="preserve">, </w:t>
      </w:r>
      <w:r w:rsidR="0005683F" w:rsidRPr="008A7BD7">
        <w:rPr>
          <w:rFonts w:ascii="Cambria" w:hAnsi="Cambria"/>
          <w:sz w:val="16"/>
          <w:szCs w:val="16"/>
        </w:rPr>
        <w:t>2021.</w:t>
      </w:r>
    </w:p>
  </w:footnote>
  <w:footnote w:id="57">
    <w:p w14:paraId="2A0C7FE4" w14:textId="3EDD71CF" w:rsidR="00706CD2" w:rsidRPr="00C63448" w:rsidRDefault="00706CD2"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C63448">
        <w:rPr>
          <w:rFonts w:ascii="Cambria" w:hAnsi="Cambria"/>
          <w:sz w:val="16"/>
          <w:szCs w:val="16"/>
        </w:rPr>
        <w:t xml:space="preserve"> </w:t>
      </w:r>
      <w:r w:rsidR="0005683F" w:rsidRPr="00C63448">
        <w:rPr>
          <w:rFonts w:ascii="Cambria" w:hAnsi="Cambria"/>
          <w:i/>
          <w:iCs/>
          <w:sz w:val="16"/>
          <w:szCs w:val="16"/>
        </w:rPr>
        <w:t>República</w:t>
      </w:r>
      <w:r w:rsidR="0005683F" w:rsidRPr="00C63448">
        <w:rPr>
          <w:rFonts w:ascii="Cambria" w:hAnsi="Cambria"/>
          <w:sz w:val="16"/>
          <w:szCs w:val="16"/>
        </w:rPr>
        <w:t xml:space="preserve">, </w:t>
      </w:r>
      <w:hyperlink r:id="rId54" w:tooltip="Permanent Link: La CC ordena no juramentar a Gloria Porras como magistrada" w:history="1">
        <w:r w:rsidR="0005683F" w:rsidRPr="00C63448">
          <w:rPr>
            <w:rStyle w:val="Hyperlink"/>
            <w:rFonts w:ascii="Cambria" w:hAnsi="Cambria"/>
            <w:i/>
            <w:iCs/>
            <w:sz w:val="16"/>
            <w:szCs w:val="16"/>
          </w:rPr>
          <w:t xml:space="preserve">La CC </w:t>
        </w:r>
        <w:proofErr w:type="spellStart"/>
        <w:r w:rsidR="0005683F" w:rsidRPr="00C63448">
          <w:rPr>
            <w:rStyle w:val="Hyperlink"/>
            <w:rFonts w:ascii="Cambria" w:hAnsi="Cambria"/>
            <w:i/>
            <w:iCs/>
            <w:sz w:val="16"/>
            <w:szCs w:val="16"/>
          </w:rPr>
          <w:t>ordena</w:t>
        </w:r>
        <w:proofErr w:type="spellEnd"/>
        <w:r w:rsidR="0005683F" w:rsidRPr="00C63448">
          <w:rPr>
            <w:rStyle w:val="Hyperlink"/>
            <w:rFonts w:ascii="Cambria" w:hAnsi="Cambria"/>
            <w:i/>
            <w:iCs/>
            <w:sz w:val="16"/>
            <w:szCs w:val="16"/>
          </w:rPr>
          <w:t xml:space="preserve"> no </w:t>
        </w:r>
        <w:proofErr w:type="spellStart"/>
        <w:r w:rsidR="0005683F" w:rsidRPr="00C63448">
          <w:rPr>
            <w:rStyle w:val="Hyperlink"/>
            <w:rFonts w:ascii="Cambria" w:hAnsi="Cambria"/>
            <w:i/>
            <w:iCs/>
            <w:sz w:val="16"/>
            <w:szCs w:val="16"/>
          </w:rPr>
          <w:t>juramentar</w:t>
        </w:r>
        <w:proofErr w:type="spellEnd"/>
        <w:r w:rsidR="0005683F" w:rsidRPr="00C63448">
          <w:rPr>
            <w:rStyle w:val="Hyperlink"/>
            <w:rFonts w:ascii="Cambria" w:hAnsi="Cambria"/>
            <w:i/>
            <w:iCs/>
            <w:sz w:val="16"/>
            <w:szCs w:val="16"/>
          </w:rPr>
          <w:t xml:space="preserve"> a Gloria Porras </w:t>
        </w:r>
        <w:proofErr w:type="spellStart"/>
        <w:r w:rsidR="0005683F" w:rsidRPr="00C63448">
          <w:rPr>
            <w:rStyle w:val="Hyperlink"/>
            <w:rFonts w:ascii="Cambria" w:hAnsi="Cambria"/>
            <w:i/>
            <w:iCs/>
            <w:sz w:val="16"/>
            <w:szCs w:val="16"/>
          </w:rPr>
          <w:t>como</w:t>
        </w:r>
        <w:proofErr w:type="spellEnd"/>
        <w:r w:rsidR="0005683F" w:rsidRPr="00C63448">
          <w:rPr>
            <w:rStyle w:val="Hyperlink"/>
            <w:rFonts w:ascii="Cambria" w:hAnsi="Cambria"/>
            <w:i/>
            <w:iCs/>
            <w:sz w:val="16"/>
            <w:szCs w:val="16"/>
          </w:rPr>
          <w:t xml:space="preserve"> </w:t>
        </w:r>
        <w:proofErr w:type="spellStart"/>
        <w:r w:rsidR="0005683F" w:rsidRPr="00C63448">
          <w:rPr>
            <w:rStyle w:val="Hyperlink"/>
            <w:rFonts w:ascii="Cambria" w:hAnsi="Cambria"/>
            <w:i/>
            <w:iCs/>
            <w:sz w:val="16"/>
            <w:szCs w:val="16"/>
          </w:rPr>
          <w:t>magistrada</w:t>
        </w:r>
        <w:proofErr w:type="spellEnd"/>
      </w:hyperlink>
      <w:r w:rsidR="000F1C0E" w:rsidRPr="00C63448">
        <w:rPr>
          <w:rStyle w:val="Hyperlink"/>
          <w:rFonts w:ascii="Cambria" w:hAnsi="Cambria"/>
          <w:sz w:val="16"/>
          <w:szCs w:val="16"/>
        </w:rPr>
        <w:t>,</w:t>
      </w:r>
      <w:r w:rsidR="000F1C0E" w:rsidRPr="00C63448">
        <w:rPr>
          <w:rFonts w:ascii="Cambria" w:hAnsi="Cambria"/>
          <w:sz w:val="16"/>
          <w:szCs w:val="16"/>
        </w:rPr>
        <w:t xml:space="preserve"> August </w:t>
      </w:r>
      <w:r w:rsidR="0005683F" w:rsidRPr="00C63448">
        <w:rPr>
          <w:rFonts w:ascii="Cambria" w:hAnsi="Cambria"/>
          <w:sz w:val="16"/>
          <w:szCs w:val="16"/>
        </w:rPr>
        <w:t>18</w:t>
      </w:r>
      <w:r w:rsidR="000F1C0E" w:rsidRPr="00C63448">
        <w:rPr>
          <w:rFonts w:ascii="Cambria" w:hAnsi="Cambria"/>
          <w:sz w:val="16"/>
          <w:szCs w:val="16"/>
        </w:rPr>
        <w:t xml:space="preserve">, </w:t>
      </w:r>
      <w:r w:rsidR="0005683F" w:rsidRPr="00C63448">
        <w:rPr>
          <w:rFonts w:ascii="Cambria" w:hAnsi="Cambria"/>
          <w:sz w:val="16"/>
          <w:szCs w:val="16"/>
        </w:rPr>
        <w:t>2021</w:t>
      </w:r>
      <w:r w:rsidR="000F1C0E" w:rsidRPr="00C63448">
        <w:rPr>
          <w:rFonts w:ascii="Cambria" w:hAnsi="Cambria"/>
          <w:sz w:val="16"/>
          <w:szCs w:val="16"/>
        </w:rPr>
        <w:t>.</w:t>
      </w:r>
    </w:p>
  </w:footnote>
  <w:footnote w:id="58">
    <w:p w14:paraId="590C4633" w14:textId="7B638073" w:rsidR="00C56230" w:rsidRPr="008A7BD7" w:rsidRDefault="00C56230" w:rsidP="00C56230">
      <w:pPr>
        <w:pStyle w:val="FootnoteText"/>
        <w:spacing w:after="120"/>
        <w:ind w:firstLine="720"/>
        <w:jc w:val="both"/>
      </w:pPr>
      <w:r w:rsidRPr="008A7BD7">
        <w:rPr>
          <w:rStyle w:val="FootnoteReference"/>
        </w:rPr>
        <w:footnoteRef/>
      </w:r>
      <w:r w:rsidRPr="008A7BD7">
        <w:t xml:space="preserve"> </w:t>
      </w:r>
      <w:r w:rsidR="009C4D03" w:rsidRPr="008A7BD7">
        <w:rPr>
          <w:rFonts w:ascii="Cambria" w:hAnsi="Cambria"/>
          <w:sz w:val="16"/>
          <w:szCs w:val="16"/>
        </w:rPr>
        <w:t>Response from the State of</w:t>
      </w:r>
      <w:r w:rsidR="009C4D03"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9C4D03" w:rsidRPr="008A7BD7">
        <w:rPr>
          <w:rFonts w:ascii="Cambria" w:hAnsi="Cambria"/>
          <w:sz w:val="16"/>
          <w:szCs w:val="16"/>
        </w:rPr>
        <w:t>OEA</w:t>
      </w:r>
      <w:r w:rsidR="009C4D03"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14.</w:t>
      </w:r>
    </w:p>
  </w:footnote>
  <w:footnote w:id="59">
    <w:p w14:paraId="6D55BA2B" w14:textId="169E9A63" w:rsidR="00706CD2" w:rsidRPr="008A7BD7" w:rsidRDefault="00706CD2" w:rsidP="00746761">
      <w:pPr>
        <w:pStyle w:val="FootnoteText"/>
        <w:spacing w:after="120"/>
        <w:ind w:firstLine="720"/>
        <w:jc w:val="both"/>
        <w:rPr>
          <w:rFonts w:ascii="Cambria" w:hAnsi="Cambria"/>
          <w:sz w:val="16"/>
          <w:szCs w:val="16"/>
          <w:lang w:val="es-CO"/>
        </w:rPr>
      </w:pPr>
      <w:r w:rsidRPr="008A7BD7">
        <w:rPr>
          <w:rStyle w:val="FootnoteReference"/>
          <w:rFonts w:ascii="Cambria" w:hAnsi="Cambria"/>
          <w:sz w:val="16"/>
          <w:szCs w:val="16"/>
        </w:rPr>
        <w:footnoteRef/>
      </w:r>
      <w:r w:rsidRPr="008A7BD7">
        <w:rPr>
          <w:rFonts w:ascii="Cambria" w:hAnsi="Cambria"/>
          <w:sz w:val="16"/>
          <w:szCs w:val="16"/>
        </w:rPr>
        <w:t xml:space="preserve"> </w:t>
      </w:r>
      <w:r w:rsidR="000F1C0E" w:rsidRPr="008A7BD7">
        <w:rPr>
          <w:rFonts w:ascii="Cambria" w:hAnsi="Cambria"/>
          <w:sz w:val="16"/>
          <w:szCs w:val="16"/>
        </w:rPr>
        <w:t xml:space="preserve">IACHR, Press </w:t>
      </w:r>
      <w:r w:rsidR="00467F76" w:rsidRPr="008A7BD7">
        <w:rPr>
          <w:rFonts w:ascii="Cambria" w:hAnsi="Cambria"/>
          <w:sz w:val="16"/>
          <w:szCs w:val="16"/>
        </w:rPr>
        <w:t>R</w:t>
      </w:r>
      <w:r w:rsidR="000F1C0E" w:rsidRPr="008A7BD7">
        <w:rPr>
          <w:rFonts w:ascii="Cambria" w:hAnsi="Cambria"/>
          <w:sz w:val="16"/>
          <w:szCs w:val="16"/>
        </w:rPr>
        <w:t xml:space="preserve">elease No. </w:t>
      </w:r>
      <w:r w:rsidR="0005683F" w:rsidRPr="008A7BD7">
        <w:rPr>
          <w:rFonts w:ascii="Cambria" w:hAnsi="Cambria"/>
          <w:sz w:val="16"/>
          <w:szCs w:val="16"/>
        </w:rPr>
        <w:t>65/21</w:t>
      </w:r>
      <w:hyperlink r:id="rId55" w:history="1">
        <w:r w:rsidR="000F1C0E" w:rsidRPr="008A7BD7">
          <w:rPr>
            <w:rStyle w:val="Hyperlink"/>
            <w:rFonts w:ascii="Cambria" w:hAnsi="Cambria"/>
            <w:sz w:val="16"/>
            <w:szCs w:val="16"/>
          </w:rPr>
          <w:t>, IACHR Expresses Concern over Impeachment Proceedings Brought Against Members of Guatemala’s Constitutional Court</w:t>
        </w:r>
      </w:hyperlink>
      <w:r w:rsidR="000F1C0E" w:rsidRPr="008A7BD7">
        <w:rPr>
          <w:rFonts w:ascii="Cambria" w:hAnsi="Cambria"/>
          <w:sz w:val="16"/>
          <w:szCs w:val="16"/>
        </w:rPr>
        <w:t xml:space="preserve">. </w:t>
      </w:r>
      <w:r w:rsidR="0005683F" w:rsidRPr="008A7BD7">
        <w:rPr>
          <w:rFonts w:ascii="Cambria" w:hAnsi="Cambria"/>
          <w:sz w:val="16"/>
          <w:szCs w:val="16"/>
          <w:lang w:val="es-CO"/>
        </w:rPr>
        <w:t xml:space="preserve">Washington, D.C., </w:t>
      </w:r>
      <w:r w:rsidR="000F1C0E" w:rsidRPr="008A7BD7">
        <w:rPr>
          <w:rFonts w:ascii="Cambria" w:hAnsi="Cambria"/>
          <w:sz w:val="16"/>
          <w:szCs w:val="16"/>
          <w:lang w:val="es-CO"/>
        </w:rPr>
        <w:t xml:space="preserve">March </w:t>
      </w:r>
      <w:r w:rsidR="0005683F" w:rsidRPr="008A7BD7">
        <w:rPr>
          <w:rFonts w:ascii="Cambria" w:hAnsi="Cambria"/>
          <w:sz w:val="16"/>
          <w:szCs w:val="16"/>
          <w:lang w:val="es-CO"/>
        </w:rPr>
        <w:t>18</w:t>
      </w:r>
      <w:r w:rsidR="000F1C0E" w:rsidRPr="008A7BD7">
        <w:rPr>
          <w:rFonts w:ascii="Cambria" w:hAnsi="Cambria"/>
          <w:sz w:val="16"/>
          <w:szCs w:val="16"/>
          <w:lang w:val="es-CO"/>
        </w:rPr>
        <w:t xml:space="preserve">, </w:t>
      </w:r>
      <w:r w:rsidR="0005683F" w:rsidRPr="008A7BD7">
        <w:rPr>
          <w:rFonts w:ascii="Cambria" w:hAnsi="Cambria"/>
          <w:sz w:val="16"/>
          <w:szCs w:val="16"/>
          <w:lang w:val="es-CO"/>
        </w:rPr>
        <w:t>2021</w:t>
      </w:r>
      <w:r w:rsidR="000F1C0E" w:rsidRPr="008A7BD7">
        <w:rPr>
          <w:rFonts w:ascii="Cambria" w:hAnsi="Cambria"/>
          <w:sz w:val="16"/>
          <w:szCs w:val="16"/>
          <w:lang w:val="es-CO"/>
        </w:rPr>
        <w:t>.</w:t>
      </w:r>
    </w:p>
  </w:footnote>
  <w:footnote w:id="60">
    <w:p w14:paraId="296CCD8D" w14:textId="31D6E7AA" w:rsidR="00310C35" w:rsidRPr="008A7BD7" w:rsidRDefault="00310C35" w:rsidP="00746761">
      <w:pPr>
        <w:spacing w:after="120"/>
        <w:ind w:firstLine="720"/>
        <w:jc w:val="both"/>
        <w:rPr>
          <w:rFonts w:ascii="Cambria" w:hAnsi="Cambria"/>
          <w:sz w:val="16"/>
          <w:szCs w:val="16"/>
          <w:lang w:val="es-PE"/>
        </w:rPr>
      </w:pPr>
      <w:r w:rsidRPr="008A7BD7">
        <w:rPr>
          <w:rStyle w:val="FootnoteReference"/>
          <w:rFonts w:ascii="Cambria" w:eastAsia="Calibri" w:hAnsi="Cambria"/>
          <w:sz w:val="16"/>
          <w:szCs w:val="16"/>
        </w:rPr>
        <w:footnoteRef/>
      </w:r>
      <w:r w:rsidRPr="008A7BD7">
        <w:rPr>
          <w:rFonts w:ascii="Cambria" w:hAnsi="Cambria"/>
          <w:sz w:val="16"/>
          <w:szCs w:val="16"/>
          <w:lang w:val="es-ES"/>
        </w:rPr>
        <w:t xml:space="preserve"> WOLA, </w:t>
      </w:r>
      <w:proofErr w:type="spellStart"/>
      <w:r w:rsidR="00743D2A" w:rsidRPr="008A7BD7">
        <w:rPr>
          <w:rFonts w:ascii="Cambria" w:hAnsi="Cambria"/>
          <w:sz w:val="16"/>
          <w:szCs w:val="16"/>
          <w:lang w:val="es-US"/>
        </w:rPr>
        <w:t>Joint</w:t>
      </w:r>
      <w:proofErr w:type="spellEnd"/>
      <w:r w:rsidR="00743D2A" w:rsidRPr="008A7BD7">
        <w:rPr>
          <w:rFonts w:ascii="Cambria" w:hAnsi="Cambria"/>
          <w:sz w:val="16"/>
          <w:szCs w:val="16"/>
          <w:lang w:val="es-US"/>
        </w:rPr>
        <w:t xml:space="preserve"> </w:t>
      </w:r>
      <w:proofErr w:type="spellStart"/>
      <w:r w:rsidR="00CB7F74" w:rsidRPr="008A7BD7">
        <w:rPr>
          <w:rFonts w:ascii="Cambria" w:hAnsi="Cambria"/>
          <w:sz w:val="16"/>
          <w:szCs w:val="16"/>
          <w:lang w:val="es-US"/>
        </w:rPr>
        <w:t>S</w:t>
      </w:r>
      <w:r w:rsidR="00743D2A" w:rsidRPr="008A7BD7">
        <w:rPr>
          <w:rFonts w:ascii="Cambria" w:hAnsi="Cambria"/>
          <w:sz w:val="16"/>
          <w:szCs w:val="16"/>
          <w:lang w:val="es-US"/>
        </w:rPr>
        <w:t>tatement</w:t>
      </w:r>
      <w:proofErr w:type="spellEnd"/>
      <w:r w:rsidR="00743D2A" w:rsidRPr="008A7BD7">
        <w:rPr>
          <w:rFonts w:ascii="Cambria" w:hAnsi="Cambria"/>
          <w:sz w:val="16"/>
          <w:szCs w:val="16"/>
          <w:lang w:val="es-US"/>
        </w:rPr>
        <w:t>,</w:t>
      </w:r>
      <w:r w:rsidRPr="008A7BD7">
        <w:rPr>
          <w:rFonts w:ascii="Cambria" w:hAnsi="Cambria"/>
          <w:sz w:val="16"/>
          <w:szCs w:val="16"/>
          <w:lang w:val="es-US"/>
        </w:rPr>
        <w:t xml:space="preserve"> </w:t>
      </w:r>
      <w:hyperlink r:id="rId56" w:history="1">
        <w:r w:rsidRPr="008A7BD7">
          <w:rPr>
            <w:rStyle w:val="Hyperlink"/>
            <w:rFonts w:ascii="Cambria" w:hAnsi="Cambria"/>
            <w:i/>
            <w:iCs/>
            <w:sz w:val="16"/>
            <w:szCs w:val="16"/>
            <w:lang w:val="es-US"/>
          </w:rPr>
          <w:t>Urgimos al Congreso de Guatemala a concluir el proceso de elección de cortes</w:t>
        </w:r>
      </w:hyperlink>
      <w:r w:rsidR="00743D2A" w:rsidRPr="008A7BD7">
        <w:rPr>
          <w:rFonts w:ascii="Cambria" w:hAnsi="Cambria"/>
          <w:sz w:val="16"/>
          <w:szCs w:val="16"/>
          <w:lang w:val="es-US"/>
        </w:rPr>
        <w:t>,</w:t>
      </w:r>
      <w:r w:rsidRPr="008A7BD7">
        <w:rPr>
          <w:rFonts w:ascii="Cambria" w:hAnsi="Cambria"/>
          <w:sz w:val="16"/>
          <w:szCs w:val="16"/>
          <w:lang w:val="es-ES"/>
        </w:rPr>
        <w:t xml:space="preserve"> </w:t>
      </w:r>
      <w:proofErr w:type="spellStart"/>
      <w:r w:rsidR="00743D2A" w:rsidRPr="008A7BD7">
        <w:rPr>
          <w:rFonts w:ascii="Cambria" w:hAnsi="Cambria"/>
          <w:sz w:val="16"/>
          <w:szCs w:val="16"/>
          <w:lang w:val="es-ES"/>
        </w:rPr>
        <w:t>October</w:t>
      </w:r>
      <w:proofErr w:type="spellEnd"/>
      <w:r w:rsidR="00743D2A" w:rsidRPr="008A7BD7">
        <w:rPr>
          <w:rFonts w:ascii="Cambria" w:hAnsi="Cambria"/>
          <w:sz w:val="16"/>
          <w:szCs w:val="16"/>
          <w:lang w:val="es-ES"/>
        </w:rPr>
        <w:t xml:space="preserve"> </w:t>
      </w:r>
      <w:r w:rsidRPr="008A7BD7">
        <w:rPr>
          <w:rFonts w:ascii="Cambria" w:hAnsi="Cambria"/>
          <w:sz w:val="16"/>
          <w:szCs w:val="16"/>
          <w:lang w:val="es-ES"/>
        </w:rPr>
        <w:t>13</w:t>
      </w:r>
      <w:r w:rsidR="00743D2A" w:rsidRPr="008A7BD7">
        <w:rPr>
          <w:rFonts w:ascii="Cambria" w:hAnsi="Cambria"/>
          <w:sz w:val="16"/>
          <w:szCs w:val="16"/>
          <w:lang w:val="es-ES"/>
        </w:rPr>
        <w:t xml:space="preserve">, </w:t>
      </w:r>
      <w:r w:rsidRPr="008A7BD7">
        <w:rPr>
          <w:rFonts w:ascii="Cambria" w:hAnsi="Cambria"/>
          <w:sz w:val="16"/>
          <w:szCs w:val="16"/>
          <w:lang w:val="es-ES"/>
        </w:rPr>
        <w:t>2020</w:t>
      </w:r>
      <w:r w:rsidR="00743D2A" w:rsidRPr="008A7BD7">
        <w:rPr>
          <w:rFonts w:ascii="Cambria" w:hAnsi="Cambria"/>
          <w:sz w:val="16"/>
          <w:szCs w:val="16"/>
          <w:lang w:val="es-ES"/>
        </w:rPr>
        <w:t>;</w:t>
      </w:r>
      <w:r w:rsidRPr="008A7BD7">
        <w:rPr>
          <w:rFonts w:ascii="Cambria" w:hAnsi="Cambria"/>
          <w:sz w:val="16"/>
          <w:szCs w:val="16"/>
          <w:lang w:val="es-ES"/>
        </w:rPr>
        <w:t xml:space="preserve"> </w:t>
      </w:r>
      <w:proofErr w:type="spellStart"/>
      <w:r w:rsidRPr="008A7BD7">
        <w:rPr>
          <w:rFonts w:ascii="Cambria" w:hAnsi="Cambria"/>
          <w:sz w:val="16"/>
          <w:szCs w:val="16"/>
          <w:lang w:val="es-ES"/>
        </w:rPr>
        <w:t>Impunity</w:t>
      </w:r>
      <w:proofErr w:type="spellEnd"/>
      <w:r w:rsidRPr="008A7BD7">
        <w:rPr>
          <w:rFonts w:ascii="Cambria" w:hAnsi="Cambria"/>
          <w:sz w:val="16"/>
          <w:szCs w:val="16"/>
          <w:lang w:val="es-ES"/>
        </w:rPr>
        <w:t xml:space="preserve"> </w:t>
      </w:r>
      <w:proofErr w:type="spellStart"/>
      <w:r w:rsidRPr="008A7BD7">
        <w:rPr>
          <w:rFonts w:ascii="Cambria" w:hAnsi="Cambria"/>
          <w:sz w:val="16"/>
          <w:szCs w:val="16"/>
          <w:lang w:val="es-ES"/>
        </w:rPr>
        <w:t>Watch</w:t>
      </w:r>
      <w:proofErr w:type="spellEnd"/>
      <w:r w:rsidRPr="008A7BD7">
        <w:rPr>
          <w:rFonts w:ascii="Cambria" w:hAnsi="Cambria"/>
          <w:sz w:val="16"/>
          <w:szCs w:val="16"/>
          <w:lang w:val="es-ES"/>
        </w:rPr>
        <w:t xml:space="preserve">, </w:t>
      </w:r>
      <w:hyperlink r:id="rId57" w:history="1">
        <w:r w:rsidRPr="008A7BD7">
          <w:rPr>
            <w:rStyle w:val="Hyperlink"/>
            <w:rFonts w:ascii="Cambria" w:hAnsi="Cambria"/>
            <w:i/>
            <w:iCs/>
            <w:sz w:val="16"/>
            <w:szCs w:val="16"/>
            <w:lang w:val="es-US"/>
          </w:rPr>
          <w:t>Análisis del proceso de elección de cortes en el Congreso</w:t>
        </w:r>
      </w:hyperlink>
      <w:r w:rsidRPr="008A7BD7">
        <w:rPr>
          <w:rFonts w:ascii="Cambria" w:hAnsi="Cambria"/>
          <w:sz w:val="16"/>
          <w:szCs w:val="16"/>
          <w:lang w:val="es-ES"/>
        </w:rPr>
        <w:t xml:space="preserve">, </w:t>
      </w:r>
      <w:proofErr w:type="spellStart"/>
      <w:r w:rsidR="00743D2A" w:rsidRPr="008A7BD7">
        <w:rPr>
          <w:rFonts w:ascii="Cambria" w:hAnsi="Cambria"/>
          <w:sz w:val="16"/>
          <w:szCs w:val="16"/>
          <w:lang w:val="es-ES"/>
        </w:rPr>
        <w:t>October</w:t>
      </w:r>
      <w:proofErr w:type="spellEnd"/>
      <w:r w:rsidR="00743D2A" w:rsidRPr="008A7BD7">
        <w:rPr>
          <w:rFonts w:ascii="Cambria" w:hAnsi="Cambria"/>
          <w:sz w:val="16"/>
          <w:szCs w:val="16"/>
          <w:lang w:val="es-ES"/>
        </w:rPr>
        <w:t xml:space="preserve"> </w:t>
      </w:r>
      <w:r w:rsidRPr="008A7BD7">
        <w:rPr>
          <w:rFonts w:ascii="Cambria" w:hAnsi="Cambria"/>
          <w:sz w:val="16"/>
          <w:szCs w:val="16"/>
          <w:lang w:val="es-ES"/>
        </w:rPr>
        <w:t>5</w:t>
      </w:r>
      <w:r w:rsidR="00743D2A" w:rsidRPr="008A7BD7">
        <w:rPr>
          <w:rFonts w:ascii="Cambria" w:hAnsi="Cambria"/>
          <w:sz w:val="16"/>
          <w:szCs w:val="16"/>
          <w:lang w:val="es-ES"/>
        </w:rPr>
        <w:t xml:space="preserve">, </w:t>
      </w:r>
      <w:r w:rsidRPr="008A7BD7">
        <w:rPr>
          <w:rFonts w:ascii="Cambria" w:hAnsi="Cambria"/>
          <w:sz w:val="16"/>
          <w:szCs w:val="16"/>
          <w:lang w:val="es-ES"/>
        </w:rPr>
        <w:t xml:space="preserve">2020; DPLF, </w:t>
      </w:r>
      <w:hyperlink r:id="rId58" w:history="1">
        <w:r w:rsidRPr="008A7BD7">
          <w:rPr>
            <w:rStyle w:val="Hyperlink"/>
            <w:rFonts w:ascii="Cambria" w:hAnsi="Cambria"/>
            <w:i/>
            <w:iCs/>
            <w:sz w:val="16"/>
            <w:szCs w:val="16"/>
            <w:lang w:val="es-ES"/>
          </w:rPr>
          <w:t>¿</w:t>
        </w:r>
        <w:r w:rsidRPr="008A7BD7">
          <w:rPr>
            <w:rStyle w:val="Hyperlink"/>
            <w:rFonts w:ascii="Cambria" w:hAnsi="Cambria"/>
            <w:i/>
            <w:iCs/>
            <w:sz w:val="16"/>
            <w:szCs w:val="16"/>
            <w:lang w:val="es-US"/>
          </w:rPr>
          <w:t>Cómo evaluar la idoneidad ética de las personas aspirantes a la Corte Suprema de Justicia y a las Cortes de Apelaciones en Guatemala?</w:t>
        </w:r>
        <w:r w:rsidRPr="008A7BD7">
          <w:rPr>
            <w:rStyle w:val="Hyperlink"/>
            <w:rFonts w:ascii="Cambria" w:hAnsi="Cambria"/>
            <w:sz w:val="16"/>
            <w:szCs w:val="16"/>
            <w:lang w:val="es-ES"/>
          </w:rPr>
          <w:t>. Recomendaciones para el Congreso de la República respecto del cumplimiento de la sentencia constitucional del 06 de mayo de 2020</w:t>
        </w:r>
      </w:hyperlink>
      <w:r w:rsidRPr="008A7BD7">
        <w:rPr>
          <w:rFonts w:ascii="Cambria" w:hAnsi="Cambria"/>
          <w:sz w:val="16"/>
          <w:szCs w:val="16"/>
          <w:lang w:val="es-ES"/>
        </w:rPr>
        <w:t xml:space="preserve">; Fundación Myrna Mack, </w:t>
      </w:r>
      <w:hyperlink r:id="rId59" w:history="1">
        <w:r w:rsidRPr="008A7BD7">
          <w:rPr>
            <w:rStyle w:val="Hyperlink"/>
            <w:rFonts w:ascii="Cambria" w:hAnsi="Cambria"/>
            <w:i/>
            <w:iCs/>
            <w:sz w:val="16"/>
            <w:szCs w:val="16"/>
            <w:lang w:val="es-US"/>
          </w:rPr>
          <w:t>Comisiones Paralelas: Mecanismos de Cooptación de la Justicia</w:t>
        </w:r>
      </w:hyperlink>
      <w:r w:rsidRPr="008A7BD7">
        <w:rPr>
          <w:rFonts w:ascii="Cambria" w:hAnsi="Cambria"/>
          <w:sz w:val="16"/>
          <w:szCs w:val="16"/>
          <w:lang w:val="es-ES"/>
        </w:rPr>
        <w:t xml:space="preserve">, </w:t>
      </w:r>
      <w:r w:rsidR="003F13A6" w:rsidRPr="008A7BD7">
        <w:rPr>
          <w:rFonts w:ascii="Cambria" w:hAnsi="Cambria"/>
          <w:sz w:val="16"/>
          <w:szCs w:val="16"/>
          <w:lang w:val="es-ES"/>
        </w:rPr>
        <w:t>May</w:t>
      </w:r>
      <w:r w:rsidRPr="008A7BD7">
        <w:rPr>
          <w:rFonts w:ascii="Cambria" w:hAnsi="Cambria"/>
          <w:sz w:val="16"/>
          <w:szCs w:val="16"/>
          <w:lang w:val="es-ES"/>
        </w:rPr>
        <w:t xml:space="preserve"> 2020; No-Ficción</w:t>
      </w:r>
      <w:r w:rsidR="003F13A6" w:rsidRPr="008A7BD7">
        <w:rPr>
          <w:rFonts w:ascii="Cambria" w:hAnsi="Cambria"/>
          <w:sz w:val="16"/>
          <w:szCs w:val="16"/>
          <w:lang w:val="es-ES"/>
        </w:rPr>
        <w:t>,</w:t>
      </w:r>
      <w:r w:rsidRPr="008A7BD7">
        <w:rPr>
          <w:rFonts w:ascii="Cambria" w:hAnsi="Cambria"/>
          <w:sz w:val="16"/>
          <w:szCs w:val="16"/>
          <w:lang w:val="es-ES"/>
        </w:rPr>
        <w:t xml:space="preserve"> </w:t>
      </w:r>
      <w:hyperlink r:id="rId60" w:history="1">
        <w:r w:rsidRPr="008A7BD7">
          <w:rPr>
            <w:rStyle w:val="Hyperlink"/>
            <w:rFonts w:ascii="Cambria" w:hAnsi="Cambria"/>
            <w:i/>
            <w:iCs/>
            <w:sz w:val="16"/>
            <w:szCs w:val="16"/>
            <w:lang w:val="es-US"/>
          </w:rPr>
          <w:t>Elección de la CSJ: la maquinaria de la impunidad está atrofiada</w:t>
        </w:r>
      </w:hyperlink>
      <w:r w:rsidRPr="008A7BD7">
        <w:rPr>
          <w:rFonts w:ascii="Cambria" w:hAnsi="Cambria"/>
          <w:sz w:val="16"/>
          <w:szCs w:val="16"/>
          <w:lang w:val="es-ES"/>
        </w:rPr>
        <w:t xml:space="preserve">, </w:t>
      </w:r>
      <w:proofErr w:type="spellStart"/>
      <w:r w:rsidR="003F13A6" w:rsidRPr="008A7BD7">
        <w:rPr>
          <w:rFonts w:ascii="Cambria" w:hAnsi="Cambria"/>
          <w:sz w:val="16"/>
          <w:szCs w:val="16"/>
          <w:lang w:val="es-ES"/>
        </w:rPr>
        <w:t>July</w:t>
      </w:r>
      <w:proofErr w:type="spellEnd"/>
      <w:r w:rsidR="003F13A6" w:rsidRPr="008A7BD7">
        <w:rPr>
          <w:rFonts w:ascii="Cambria" w:hAnsi="Cambria"/>
          <w:sz w:val="16"/>
          <w:szCs w:val="16"/>
          <w:lang w:val="es-ES"/>
        </w:rPr>
        <w:t xml:space="preserve"> </w:t>
      </w:r>
      <w:r w:rsidRPr="008A7BD7">
        <w:rPr>
          <w:rFonts w:ascii="Cambria" w:hAnsi="Cambria"/>
          <w:sz w:val="16"/>
          <w:szCs w:val="16"/>
          <w:lang w:val="es-ES"/>
        </w:rPr>
        <w:t>16</w:t>
      </w:r>
      <w:r w:rsidR="003F13A6" w:rsidRPr="008A7BD7">
        <w:rPr>
          <w:rFonts w:ascii="Cambria" w:hAnsi="Cambria"/>
          <w:sz w:val="16"/>
          <w:szCs w:val="16"/>
          <w:lang w:val="es-ES"/>
        </w:rPr>
        <w:t xml:space="preserve">, </w:t>
      </w:r>
      <w:r w:rsidRPr="008A7BD7">
        <w:rPr>
          <w:rFonts w:ascii="Cambria" w:hAnsi="Cambria"/>
          <w:sz w:val="16"/>
          <w:szCs w:val="16"/>
          <w:lang w:val="es-ES"/>
        </w:rPr>
        <w:t>2020.</w:t>
      </w:r>
      <w:r w:rsidRPr="008A7BD7">
        <w:rPr>
          <w:rFonts w:ascii="Cambria" w:hAnsi="Cambria"/>
          <w:sz w:val="16"/>
          <w:szCs w:val="16"/>
          <w:lang w:val="es-US"/>
        </w:rPr>
        <w:t xml:space="preserve"> </w:t>
      </w:r>
    </w:p>
  </w:footnote>
  <w:footnote w:id="61">
    <w:p w14:paraId="4E1673FC" w14:textId="3CA1503A" w:rsidR="00310C35" w:rsidRPr="008A7BD7" w:rsidRDefault="00310C35" w:rsidP="00746761">
      <w:pPr>
        <w:spacing w:after="120"/>
        <w:ind w:firstLine="720"/>
        <w:jc w:val="both"/>
        <w:rPr>
          <w:rFonts w:ascii="Cambria" w:hAnsi="Cambria"/>
          <w:sz w:val="16"/>
          <w:szCs w:val="16"/>
          <w:lang w:val="es-MX"/>
        </w:rPr>
      </w:pPr>
      <w:r w:rsidRPr="008A7BD7">
        <w:rPr>
          <w:rStyle w:val="FootnoteReference"/>
          <w:rFonts w:ascii="Cambria" w:eastAsia="Calibri" w:hAnsi="Cambria"/>
          <w:sz w:val="16"/>
          <w:szCs w:val="16"/>
        </w:rPr>
        <w:footnoteRef/>
      </w:r>
      <w:r w:rsidRPr="008A7BD7">
        <w:rPr>
          <w:rFonts w:ascii="Cambria" w:hAnsi="Cambria"/>
          <w:sz w:val="16"/>
          <w:szCs w:val="16"/>
        </w:rPr>
        <w:t xml:space="preserve"> </w:t>
      </w:r>
      <w:r w:rsidR="004C274A" w:rsidRPr="008A7BD7">
        <w:rPr>
          <w:rFonts w:ascii="Cambria" w:hAnsi="Cambria"/>
          <w:color w:val="000000"/>
          <w:sz w:val="16"/>
          <w:szCs w:val="16"/>
        </w:rPr>
        <w:t xml:space="preserve">With regard to the appointment of judges to the High Courts for the </w:t>
      </w:r>
      <w:r w:rsidRPr="008A7BD7">
        <w:rPr>
          <w:rFonts w:ascii="Cambria" w:hAnsi="Cambria"/>
          <w:color w:val="000000"/>
          <w:sz w:val="16"/>
          <w:szCs w:val="16"/>
        </w:rPr>
        <w:t>2019-2024</w:t>
      </w:r>
      <w:r w:rsidR="004C274A" w:rsidRPr="008A7BD7">
        <w:rPr>
          <w:rFonts w:ascii="Cambria" w:hAnsi="Cambria"/>
          <w:color w:val="000000"/>
          <w:sz w:val="16"/>
          <w:szCs w:val="16"/>
        </w:rPr>
        <w:t xml:space="preserve"> term</w:t>
      </w:r>
      <w:r w:rsidRPr="008A7BD7">
        <w:rPr>
          <w:rFonts w:ascii="Cambria" w:hAnsi="Cambria"/>
          <w:color w:val="000000"/>
          <w:sz w:val="16"/>
          <w:szCs w:val="16"/>
        </w:rPr>
        <w:t xml:space="preserve">, </w:t>
      </w:r>
      <w:r w:rsidR="004C274A" w:rsidRPr="008A7BD7">
        <w:rPr>
          <w:rFonts w:ascii="Cambria" w:hAnsi="Cambria"/>
          <w:color w:val="000000"/>
          <w:sz w:val="16"/>
          <w:szCs w:val="16"/>
        </w:rPr>
        <w:t xml:space="preserve">in February </w:t>
      </w:r>
      <w:r w:rsidRPr="008A7BD7">
        <w:rPr>
          <w:rFonts w:ascii="Cambria" w:hAnsi="Cambria"/>
          <w:color w:val="000000"/>
          <w:sz w:val="16"/>
          <w:szCs w:val="16"/>
        </w:rPr>
        <w:t xml:space="preserve">2020, </w:t>
      </w:r>
      <w:r w:rsidR="004C274A" w:rsidRPr="008A7BD7">
        <w:rPr>
          <w:rFonts w:ascii="Cambria" w:hAnsi="Cambria"/>
          <w:color w:val="000000"/>
          <w:sz w:val="16"/>
          <w:szCs w:val="16"/>
        </w:rPr>
        <w:t xml:space="preserve">the </w:t>
      </w:r>
      <w:r w:rsidRPr="008A7BD7">
        <w:rPr>
          <w:rFonts w:ascii="Cambria" w:hAnsi="Cambria"/>
          <w:color w:val="000000"/>
          <w:sz w:val="16"/>
          <w:szCs w:val="16"/>
        </w:rPr>
        <w:t xml:space="preserve">FECI </w:t>
      </w:r>
      <w:r w:rsidR="007E2EC6" w:rsidRPr="008A7BD7">
        <w:rPr>
          <w:rFonts w:ascii="Cambria" w:hAnsi="Cambria"/>
          <w:color w:val="000000"/>
          <w:sz w:val="16"/>
          <w:szCs w:val="16"/>
        </w:rPr>
        <w:t>disclosed</w:t>
      </w:r>
      <w:r w:rsidR="004C274A" w:rsidRPr="008A7BD7">
        <w:rPr>
          <w:rFonts w:ascii="Cambria" w:hAnsi="Cambria"/>
          <w:color w:val="000000"/>
          <w:sz w:val="16"/>
          <w:szCs w:val="16"/>
        </w:rPr>
        <w:t xml:space="preserve"> the existence of illicit </w:t>
      </w:r>
      <w:r w:rsidR="007E2EC6" w:rsidRPr="008A7BD7">
        <w:rPr>
          <w:rFonts w:ascii="Cambria" w:hAnsi="Cambria"/>
          <w:color w:val="000000"/>
          <w:sz w:val="16"/>
          <w:szCs w:val="16"/>
        </w:rPr>
        <w:t>deals</w:t>
      </w:r>
      <w:r w:rsidR="004C274A" w:rsidRPr="008A7BD7">
        <w:rPr>
          <w:rFonts w:ascii="Cambria" w:hAnsi="Cambria"/>
          <w:color w:val="000000"/>
          <w:sz w:val="16"/>
          <w:szCs w:val="16"/>
        </w:rPr>
        <w:t xml:space="preserve"> and influence</w:t>
      </w:r>
      <w:r w:rsidR="001B327B" w:rsidRPr="008A7BD7">
        <w:rPr>
          <w:rFonts w:ascii="Cambria" w:hAnsi="Cambria"/>
          <w:color w:val="000000"/>
          <w:sz w:val="16"/>
          <w:szCs w:val="16"/>
        </w:rPr>
        <w:t xml:space="preserve"> peddling in the election process, stemming from secret meetings between</w:t>
      </w:r>
      <w:r w:rsidR="007E2EC6" w:rsidRPr="008A7BD7">
        <w:rPr>
          <w:rFonts w:ascii="Cambria" w:hAnsi="Cambria"/>
          <w:color w:val="000000"/>
          <w:sz w:val="16"/>
          <w:szCs w:val="16"/>
        </w:rPr>
        <w:t xml:space="preserve"> </w:t>
      </w:r>
      <w:r w:rsidRPr="008A7BD7">
        <w:rPr>
          <w:rFonts w:ascii="Cambria" w:hAnsi="Cambria"/>
          <w:color w:val="000000"/>
          <w:spacing w:val="-1"/>
          <w:sz w:val="16"/>
          <w:szCs w:val="16"/>
        </w:rPr>
        <w:t xml:space="preserve">Gustavo </w:t>
      </w:r>
      <w:proofErr w:type="spellStart"/>
      <w:r w:rsidRPr="008A7BD7">
        <w:rPr>
          <w:rFonts w:ascii="Cambria" w:hAnsi="Cambria"/>
          <w:color w:val="000000"/>
          <w:spacing w:val="-1"/>
          <w:sz w:val="16"/>
          <w:szCs w:val="16"/>
        </w:rPr>
        <w:t>Alejos</w:t>
      </w:r>
      <w:proofErr w:type="spellEnd"/>
      <w:r w:rsidRPr="008A7BD7">
        <w:rPr>
          <w:rFonts w:ascii="Cambria" w:hAnsi="Cambria"/>
          <w:color w:val="000000"/>
          <w:spacing w:val="-1"/>
          <w:sz w:val="16"/>
          <w:szCs w:val="16"/>
        </w:rPr>
        <w:t xml:space="preserve"> </w:t>
      </w:r>
      <w:proofErr w:type="spellStart"/>
      <w:r w:rsidRPr="008A7BD7">
        <w:rPr>
          <w:rFonts w:ascii="Cambria" w:hAnsi="Cambria"/>
          <w:color w:val="000000"/>
          <w:spacing w:val="-1"/>
          <w:sz w:val="16"/>
          <w:szCs w:val="16"/>
        </w:rPr>
        <w:t>Cámbara</w:t>
      </w:r>
      <w:proofErr w:type="spellEnd"/>
      <w:r w:rsidRPr="008A7BD7">
        <w:rPr>
          <w:rFonts w:ascii="Cambria" w:hAnsi="Cambria"/>
          <w:color w:val="000000"/>
          <w:spacing w:val="-1"/>
          <w:sz w:val="16"/>
          <w:szCs w:val="16"/>
        </w:rPr>
        <w:t xml:space="preserve"> (</w:t>
      </w:r>
      <w:r w:rsidR="007E2EC6" w:rsidRPr="008A7BD7">
        <w:rPr>
          <w:rFonts w:ascii="Cambria" w:hAnsi="Cambria"/>
          <w:color w:val="000000"/>
          <w:spacing w:val="-1"/>
          <w:sz w:val="16"/>
          <w:szCs w:val="16"/>
        </w:rPr>
        <w:t xml:space="preserve">deprived of liberty on charges of </w:t>
      </w:r>
      <w:r w:rsidR="001B327B" w:rsidRPr="008A7BD7">
        <w:rPr>
          <w:rFonts w:ascii="Cambria" w:hAnsi="Cambria"/>
          <w:color w:val="000000"/>
          <w:spacing w:val="-1"/>
          <w:sz w:val="16"/>
          <w:szCs w:val="16"/>
        </w:rPr>
        <w:t>influence peddling</w:t>
      </w:r>
      <w:r w:rsidR="00021827" w:rsidRPr="008A7BD7">
        <w:rPr>
          <w:rFonts w:ascii="Cambria" w:hAnsi="Cambria"/>
          <w:color w:val="000000"/>
          <w:spacing w:val="-1"/>
          <w:sz w:val="16"/>
          <w:szCs w:val="16"/>
        </w:rPr>
        <w:t xml:space="preserve"> and offering, soliciting, or accepting bribes</w:t>
      </w:r>
      <w:r w:rsidR="001B327B" w:rsidRPr="008A7BD7">
        <w:rPr>
          <w:rFonts w:ascii="Cambria" w:hAnsi="Cambria"/>
          <w:color w:val="000000"/>
          <w:spacing w:val="-1"/>
          <w:sz w:val="16"/>
          <w:szCs w:val="16"/>
        </w:rPr>
        <w:t xml:space="preserve">) and </w:t>
      </w:r>
      <w:r w:rsidR="00021827" w:rsidRPr="008A7BD7">
        <w:rPr>
          <w:rFonts w:ascii="Cambria" w:hAnsi="Cambria"/>
          <w:color w:val="000000"/>
          <w:spacing w:val="-1"/>
          <w:sz w:val="16"/>
          <w:szCs w:val="16"/>
        </w:rPr>
        <w:t xml:space="preserve">government </w:t>
      </w:r>
      <w:r w:rsidR="001B327B" w:rsidRPr="008A7BD7">
        <w:rPr>
          <w:rFonts w:ascii="Cambria" w:hAnsi="Cambria"/>
          <w:color w:val="000000"/>
          <w:spacing w:val="-1"/>
          <w:sz w:val="16"/>
          <w:szCs w:val="16"/>
        </w:rPr>
        <w:t xml:space="preserve">officials, </w:t>
      </w:r>
      <w:r w:rsidR="00021827" w:rsidRPr="008A7BD7">
        <w:rPr>
          <w:rFonts w:ascii="Cambria" w:hAnsi="Cambria"/>
          <w:color w:val="000000"/>
          <w:spacing w:val="-1"/>
          <w:sz w:val="16"/>
          <w:szCs w:val="16"/>
        </w:rPr>
        <w:t>politicians</w:t>
      </w:r>
      <w:r w:rsidR="001B327B" w:rsidRPr="008A7BD7">
        <w:rPr>
          <w:rFonts w:ascii="Cambria" w:hAnsi="Cambria"/>
          <w:color w:val="000000"/>
          <w:spacing w:val="-1"/>
          <w:sz w:val="16"/>
          <w:szCs w:val="16"/>
        </w:rPr>
        <w:t xml:space="preserve">, and candidates </w:t>
      </w:r>
      <w:r w:rsidR="00021827" w:rsidRPr="008A7BD7">
        <w:rPr>
          <w:rFonts w:ascii="Cambria" w:hAnsi="Cambria"/>
          <w:color w:val="000000"/>
          <w:spacing w:val="-1"/>
          <w:sz w:val="16"/>
          <w:szCs w:val="16"/>
        </w:rPr>
        <w:t xml:space="preserve">for positions </w:t>
      </w:r>
      <w:r w:rsidR="001B327B" w:rsidRPr="008A7BD7">
        <w:rPr>
          <w:rFonts w:ascii="Cambria" w:hAnsi="Cambria"/>
          <w:color w:val="000000"/>
          <w:spacing w:val="-1"/>
          <w:sz w:val="16"/>
          <w:szCs w:val="16"/>
        </w:rPr>
        <w:t xml:space="preserve">on the </w:t>
      </w:r>
      <w:r w:rsidR="00021827" w:rsidRPr="008A7BD7">
        <w:rPr>
          <w:rFonts w:ascii="Cambria" w:hAnsi="Cambria"/>
          <w:color w:val="000000"/>
          <w:spacing w:val="-1"/>
          <w:sz w:val="16"/>
          <w:szCs w:val="16"/>
        </w:rPr>
        <w:t xml:space="preserve">Courts of </w:t>
      </w:r>
      <w:r w:rsidR="001B327B" w:rsidRPr="008A7BD7">
        <w:rPr>
          <w:rFonts w:ascii="Cambria" w:hAnsi="Cambria"/>
          <w:color w:val="000000"/>
          <w:spacing w:val="-1"/>
          <w:sz w:val="16"/>
          <w:szCs w:val="16"/>
        </w:rPr>
        <w:t>Appeal</w:t>
      </w:r>
      <w:r w:rsidR="00021827" w:rsidRPr="008A7BD7">
        <w:rPr>
          <w:rFonts w:ascii="Cambria" w:hAnsi="Cambria"/>
          <w:color w:val="000000"/>
          <w:spacing w:val="-1"/>
          <w:sz w:val="16"/>
          <w:szCs w:val="16"/>
        </w:rPr>
        <w:t xml:space="preserve"> </w:t>
      </w:r>
      <w:r w:rsidR="001B327B" w:rsidRPr="008A7BD7">
        <w:rPr>
          <w:rFonts w:ascii="Cambria" w:hAnsi="Cambria"/>
          <w:color w:val="000000"/>
          <w:spacing w:val="-1"/>
          <w:sz w:val="16"/>
          <w:szCs w:val="16"/>
        </w:rPr>
        <w:t xml:space="preserve">and the CSJ, </w:t>
      </w:r>
      <w:r w:rsidR="00021827" w:rsidRPr="008A7BD7">
        <w:rPr>
          <w:rFonts w:ascii="Cambria" w:hAnsi="Cambria"/>
          <w:color w:val="000000"/>
          <w:spacing w:val="-1"/>
          <w:sz w:val="16"/>
          <w:szCs w:val="16"/>
        </w:rPr>
        <w:t xml:space="preserve">allegedly </w:t>
      </w:r>
      <w:r w:rsidR="001B327B" w:rsidRPr="008A7BD7">
        <w:rPr>
          <w:rFonts w:ascii="Cambria" w:hAnsi="Cambria"/>
          <w:color w:val="000000"/>
          <w:spacing w:val="-1"/>
          <w:sz w:val="16"/>
          <w:szCs w:val="16"/>
        </w:rPr>
        <w:t xml:space="preserve">held </w:t>
      </w:r>
      <w:r w:rsidR="00021827" w:rsidRPr="008A7BD7">
        <w:rPr>
          <w:rFonts w:ascii="Cambria" w:hAnsi="Cambria"/>
          <w:color w:val="000000"/>
          <w:spacing w:val="-1"/>
          <w:sz w:val="16"/>
          <w:szCs w:val="16"/>
        </w:rPr>
        <w:t>to negotiate</w:t>
      </w:r>
      <w:r w:rsidR="001B327B" w:rsidRPr="008A7BD7">
        <w:rPr>
          <w:rFonts w:ascii="Cambria" w:hAnsi="Cambria"/>
          <w:color w:val="000000"/>
          <w:spacing w:val="-1"/>
          <w:sz w:val="16"/>
          <w:szCs w:val="16"/>
        </w:rPr>
        <w:t xml:space="preserve"> th</w:t>
      </w:r>
      <w:r w:rsidR="00021827" w:rsidRPr="008A7BD7">
        <w:rPr>
          <w:rFonts w:ascii="Cambria" w:hAnsi="Cambria"/>
          <w:color w:val="000000"/>
          <w:spacing w:val="-1"/>
          <w:sz w:val="16"/>
          <w:szCs w:val="16"/>
        </w:rPr>
        <w:t>o</w:t>
      </w:r>
      <w:r w:rsidR="001B327B" w:rsidRPr="008A7BD7">
        <w:rPr>
          <w:rFonts w:ascii="Cambria" w:hAnsi="Cambria"/>
          <w:color w:val="000000"/>
          <w:spacing w:val="-1"/>
          <w:sz w:val="16"/>
          <w:szCs w:val="16"/>
        </w:rPr>
        <w:t>se positions.</w:t>
      </w:r>
      <w:r w:rsidR="001B327B" w:rsidRPr="008A7BD7">
        <w:rPr>
          <w:rFonts w:ascii="Cambria" w:hAnsi="Cambria"/>
          <w:color w:val="000000"/>
          <w:sz w:val="16"/>
          <w:szCs w:val="16"/>
        </w:rPr>
        <w:t xml:space="preserve"> </w:t>
      </w:r>
      <w:proofErr w:type="gramStart"/>
      <w:r w:rsidR="007E2EC6" w:rsidRPr="008A7BD7">
        <w:rPr>
          <w:rFonts w:ascii="Cambria" w:hAnsi="Cambria"/>
          <w:color w:val="000000"/>
          <w:sz w:val="16"/>
          <w:szCs w:val="16"/>
        </w:rPr>
        <w:t xml:space="preserve">In </w:t>
      </w:r>
      <w:r w:rsidR="00021827" w:rsidRPr="008A7BD7">
        <w:rPr>
          <w:rFonts w:ascii="Cambria" w:hAnsi="Cambria"/>
          <w:color w:val="000000"/>
          <w:sz w:val="16"/>
          <w:szCs w:val="16"/>
        </w:rPr>
        <w:t>light of</w:t>
      </w:r>
      <w:proofErr w:type="gramEnd"/>
      <w:r w:rsidR="00021827" w:rsidRPr="008A7BD7">
        <w:rPr>
          <w:rFonts w:ascii="Cambria" w:hAnsi="Cambria"/>
          <w:color w:val="000000"/>
          <w:sz w:val="16"/>
          <w:szCs w:val="16"/>
        </w:rPr>
        <w:t xml:space="preserve"> those fact</w:t>
      </w:r>
      <w:r w:rsidR="00CB7F74" w:rsidRPr="008A7BD7">
        <w:rPr>
          <w:rFonts w:ascii="Cambria" w:hAnsi="Cambria"/>
          <w:color w:val="000000"/>
          <w:sz w:val="16"/>
          <w:szCs w:val="16"/>
        </w:rPr>
        <w:t>s</w:t>
      </w:r>
      <w:r w:rsidR="00021827" w:rsidRPr="008A7BD7">
        <w:rPr>
          <w:rFonts w:ascii="Cambria" w:hAnsi="Cambria"/>
          <w:color w:val="000000"/>
          <w:sz w:val="16"/>
          <w:szCs w:val="16"/>
        </w:rPr>
        <w:t xml:space="preserve">, on </w:t>
      </w:r>
      <w:r w:rsidR="007E2EC6" w:rsidRPr="008A7BD7">
        <w:rPr>
          <w:rFonts w:ascii="Cambria" w:hAnsi="Cambria"/>
          <w:color w:val="000000"/>
          <w:sz w:val="16"/>
          <w:szCs w:val="16"/>
        </w:rPr>
        <w:t>February</w:t>
      </w:r>
      <w:r w:rsidR="007E2EC6" w:rsidRPr="008A7BD7">
        <w:rPr>
          <w:rFonts w:ascii="Cambria" w:hAnsi="Cambria"/>
          <w:color w:val="000000"/>
          <w:spacing w:val="-1"/>
          <w:sz w:val="16"/>
          <w:szCs w:val="16"/>
        </w:rPr>
        <w:t xml:space="preserve"> </w:t>
      </w:r>
      <w:r w:rsidRPr="008A7BD7">
        <w:rPr>
          <w:rFonts w:ascii="Cambria" w:hAnsi="Cambria"/>
          <w:color w:val="000000"/>
          <w:sz w:val="16"/>
          <w:szCs w:val="16"/>
        </w:rPr>
        <w:t>24</w:t>
      </w:r>
      <w:r w:rsidR="007E2EC6" w:rsidRPr="008A7BD7">
        <w:rPr>
          <w:rFonts w:ascii="Cambria" w:hAnsi="Cambria"/>
          <w:color w:val="000000"/>
          <w:sz w:val="16"/>
          <w:szCs w:val="16"/>
        </w:rPr>
        <w:t xml:space="preserve">, </w:t>
      </w:r>
      <w:r w:rsidRPr="008A7BD7">
        <w:rPr>
          <w:rFonts w:ascii="Cambria" w:hAnsi="Cambria"/>
          <w:color w:val="000000"/>
          <w:sz w:val="16"/>
          <w:szCs w:val="16"/>
        </w:rPr>
        <w:t xml:space="preserve">2020, </w:t>
      </w:r>
      <w:r w:rsidR="007E2EC6" w:rsidRPr="008A7BD7">
        <w:rPr>
          <w:rFonts w:ascii="Cambria" w:hAnsi="Cambria"/>
          <w:color w:val="000000"/>
          <w:sz w:val="16"/>
          <w:szCs w:val="16"/>
        </w:rPr>
        <w:t>the Public Prosecutor’s Office</w:t>
      </w:r>
      <w:r w:rsidR="00021827" w:rsidRPr="008A7BD7">
        <w:rPr>
          <w:rFonts w:ascii="Cambria" w:hAnsi="Cambria"/>
          <w:color w:val="000000"/>
          <w:spacing w:val="-1"/>
          <w:sz w:val="16"/>
          <w:szCs w:val="16"/>
        </w:rPr>
        <w:t xml:space="preserve"> (</w:t>
      </w:r>
      <w:r w:rsidRPr="008A7BD7">
        <w:rPr>
          <w:rFonts w:ascii="Cambria" w:hAnsi="Cambria"/>
          <w:color w:val="000000"/>
          <w:spacing w:val="-1"/>
          <w:sz w:val="16"/>
          <w:szCs w:val="16"/>
        </w:rPr>
        <w:t>MP</w:t>
      </w:r>
      <w:r w:rsidR="00021827" w:rsidRPr="008A7BD7">
        <w:rPr>
          <w:rFonts w:ascii="Cambria" w:hAnsi="Cambria"/>
          <w:color w:val="000000"/>
          <w:spacing w:val="-1"/>
          <w:sz w:val="16"/>
          <w:szCs w:val="16"/>
        </w:rPr>
        <w:t>)</w:t>
      </w:r>
      <w:r w:rsidRPr="008A7BD7">
        <w:rPr>
          <w:rFonts w:ascii="Cambria" w:hAnsi="Cambria"/>
          <w:color w:val="000000"/>
          <w:spacing w:val="-1"/>
          <w:sz w:val="16"/>
          <w:szCs w:val="16"/>
        </w:rPr>
        <w:t xml:space="preserve"> </w:t>
      </w:r>
      <w:r w:rsidR="00380D26" w:rsidRPr="008A7BD7">
        <w:rPr>
          <w:rFonts w:ascii="Cambria" w:hAnsi="Cambria"/>
          <w:color w:val="000000"/>
          <w:spacing w:val="-1"/>
          <w:sz w:val="16"/>
          <w:szCs w:val="16"/>
        </w:rPr>
        <w:t>filed an action for protection of a constitutional right (</w:t>
      </w:r>
      <w:r w:rsidRPr="008A7BD7">
        <w:rPr>
          <w:rFonts w:ascii="Cambria" w:hAnsi="Cambria"/>
          <w:i/>
          <w:iCs/>
          <w:color w:val="000000"/>
          <w:spacing w:val="-1"/>
          <w:sz w:val="16"/>
          <w:szCs w:val="16"/>
        </w:rPr>
        <w:t>amparo</w:t>
      </w:r>
      <w:r w:rsidR="00380D26" w:rsidRPr="008A7BD7">
        <w:rPr>
          <w:rFonts w:ascii="Cambria" w:hAnsi="Cambria"/>
          <w:color w:val="000000"/>
          <w:spacing w:val="-1"/>
          <w:sz w:val="16"/>
          <w:szCs w:val="16"/>
        </w:rPr>
        <w:t>)</w:t>
      </w:r>
      <w:r w:rsidRPr="008A7BD7">
        <w:rPr>
          <w:rFonts w:ascii="Cambria" w:hAnsi="Cambria"/>
          <w:color w:val="000000"/>
          <w:spacing w:val="-1"/>
          <w:sz w:val="16"/>
          <w:szCs w:val="16"/>
        </w:rPr>
        <w:t xml:space="preserve"> </w:t>
      </w:r>
      <w:r w:rsidR="00380D26" w:rsidRPr="008A7BD7">
        <w:rPr>
          <w:rFonts w:ascii="Cambria" w:hAnsi="Cambria"/>
          <w:color w:val="000000"/>
          <w:spacing w:val="-1"/>
          <w:sz w:val="16"/>
          <w:szCs w:val="16"/>
        </w:rPr>
        <w:t xml:space="preserve">alleging irregularities in the drawing up of the lists of candidates. On </w:t>
      </w:r>
      <w:r w:rsidR="00CB7F74" w:rsidRPr="008A7BD7">
        <w:rPr>
          <w:rFonts w:ascii="Cambria" w:hAnsi="Cambria"/>
          <w:color w:val="000000"/>
          <w:spacing w:val="-1"/>
          <w:sz w:val="16"/>
          <w:szCs w:val="16"/>
        </w:rPr>
        <w:t>February</w:t>
      </w:r>
      <w:r w:rsidR="00380D26" w:rsidRPr="008A7BD7">
        <w:rPr>
          <w:rFonts w:ascii="Cambria" w:hAnsi="Cambria"/>
          <w:color w:val="000000"/>
          <w:spacing w:val="-1"/>
          <w:sz w:val="16"/>
          <w:szCs w:val="16"/>
        </w:rPr>
        <w:t xml:space="preserve"> 26, the </w:t>
      </w:r>
      <w:r w:rsidR="00CB7F74" w:rsidRPr="008A7BD7">
        <w:rPr>
          <w:rFonts w:ascii="Cambria" w:hAnsi="Cambria"/>
          <w:color w:val="000000"/>
          <w:spacing w:val="-1"/>
          <w:sz w:val="16"/>
          <w:szCs w:val="16"/>
        </w:rPr>
        <w:t>Constitutional Court</w:t>
      </w:r>
      <w:r w:rsidRPr="008A7BD7">
        <w:rPr>
          <w:rFonts w:ascii="Cambria" w:hAnsi="Cambria"/>
          <w:color w:val="000000"/>
          <w:spacing w:val="-1"/>
          <w:sz w:val="16"/>
          <w:szCs w:val="16"/>
        </w:rPr>
        <w:t xml:space="preserve"> </w:t>
      </w:r>
      <w:r w:rsidR="00380D26" w:rsidRPr="008A7BD7">
        <w:rPr>
          <w:rFonts w:ascii="Cambria" w:hAnsi="Cambria"/>
          <w:color w:val="000000"/>
          <w:spacing w:val="-1"/>
          <w:sz w:val="16"/>
          <w:szCs w:val="16"/>
        </w:rPr>
        <w:t xml:space="preserve">suspended the election process through a provisional </w:t>
      </w:r>
      <w:r w:rsidR="00380D26" w:rsidRPr="008A7BD7">
        <w:rPr>
          <w:rFonts w:ascii="Cambria" w:hAnsi="Cambria"/>
          <w:i/>
          <w:iCs/>
          <w:color w:val="000000"/>
          <w:spacing w:val="-1"/>
          <w:sz w:val="16"/>
          <w:szCs w:val="16"/>
        </w:rPr>
        <w:t>amparo</w:t>
      </w:r>
      <w:r w:rsidR="00380D26" w:rsidRPr="008A7BD7">
        <w:rPr>
          <w:rFonts w:ascii="Cambria" w:hAnsi="Cambria"/>
          <w:color w:val="000000"/>
          <w:spacing w:val="-1"/>
          <w:sz w:val="16"/>
          <w:szCs w:val="16"/>
        </w:rPr>
        <w:t>, which it rendered definitive on May 6 and ordered the MP to remit a report to Congress on candidates against whom complaints had been filed and who were facing criminal proceedings</w:t>
      </w:r>
      <w:r w:rsidRPr="008A7BD7">
        <w:rPr>
          <w:rFonts w:ascii="Cambria" w:hAnsi="Cambria"/>
          <w:color w:val="000000"/>
          <w:spacing w:val="-1"/>
          <w:sz w:val="16"/>
          <w:szCs w:val="16"/>
        </w:rPr>
        <w:t xml:space="preserve">. </w:t>
      </w:r>
      <w:r w:rsidR="00240FE0" w:rsidRPr="008A7BD7">
        <w:rPr>
          <w:rFonts w:ascii="Cambria" w:hAnsi="Cambria"/>
          <w:color w:val="000000"/>
          <w:spacing w:val="-1"/>
          <w:sz w:val="16"/>
          <w:szCs w:val="16"/>
        </w:rPr>
        <w:t xml:space="preserve">The </w:t>
      </w:r>
      <w:r w:rsidRPr="008A7BD7">
        <w:rPr>
          <w:rFonts w:ascii="Cambria" w:hAnsi="Cambria"/>
          <w:color w:val="000000"/>
          <w:spacing w:val="-1"/>
          <w:sz w:val="16"/>
          <w:szCs w:val="16"/>
        </w:rPr>
        <w:t xml:space="preserve">CC </w:t>
      </w:r>
      <w:r w:rsidR="00240FE0" w:rsidRPr="008A7BD7">
        <w:rPr>
          <w:rFonts w:ascii="Cambria" w:hAnsi="Cambria"/>
          <w:color w:val="000000"/>
          <w:spacing w:val="-1"/>
          <w:sz w:val="16"/>
          <w:szCs w:val="16"/>
        </w:rPr>
        <w:t>likewise ordered Congress to conduct a proceeding in keeping with the requirements established in Article</w:t>
      </w:r>
      <w:r w:rsidRPr="008A7BD7">
        <w:rPr>
          <w:rFonts w:ascii="Cambria" w:hAnsi="Cambria"/>
          <w:color w:val="000000"/>
          <w:spacing w:val="-1"/>
          <w:sz w:val="16"/>
          <w:szCs w:val="16"/>
        </w:rPr>
        <w:t xml:space="preserve"> 113 </w:t>
      </w:r>
      <w:r w:rsidR="00240FE0" w:rsidRPr="008A7BD7">
        <w:rPr>
          <w:rFonts w:ascii="Cambria" w:hAnsi="Cambria"/>
          <w:color w:val="000000"/>
          <w:spacing w:val="-1"/>
          <w:sz w:val="16"/>
          <w:szCs w:val="16"/>
        </w:rPr>
        <w:t>of the Constitution; to exclude from that procedure any professional whose suitability and honesty had been compromised; and to embark on a constitutional reform process that would guarantee an appropriate process for selecting and appointing judges for the various divisions of the Court of Appeals, other collegiate courts of equal standing, and the Supreme Court of Justice.</w:t>
      </w:r>
      <w:r w:rsidRPr="008A7BD7">
        <w:rPr>
          <w:rFonts w:ascii="Cambria" w:hAnsi="Cambria"/>
          <w:sz w:val="16"/>
          <w:szCs w:val="16"/>
        </w:rPr>
        <w:t xml:space="preserve"> </w:t>
      </w:r>
      <w:proofErr w:type="spellStart"/>
      <w:r w:rsidR="00240FE0" w:rsidRPr="008A7BD7">
        <w:rPr>
          <w:rFonts w:ascii="Cambria" w:hAnsi="Cambria"/>
          <w:sz w:val="16"/>
          <w:szCs w:val="16"/>
          <w:lang w:val="es-CO"/>
        </w:rPr>
        <w:t>Constitutional</w:t>
      </w:r>
      <w:proofErr w:type="spellEnd"/>
      <w:r w:rsidR="00240FE0" w:rsidRPr="008A7BD7">
        <w:rPr>
          <w:rFonts w:ascii="Cambria" w:hAnsi="Cambria"/>
          <w:sz w:val="16"/>
          <w:szCs w:val="16"/>
          <w:lang w:val="es-CO"/>
        </w:rPr>
        <w:t xml:space="preserve"> </w:t>
      </w:r>
      <w:proofErr w:type="spellStart"/>
      <w:r w:rsidR="00240FE0" w:rsidRPr="008A7BD7">
        <w:rPr>
          <w:rFonts w:ascii="Cambria" w:hAnsi="Cambria"/>
          <w:sz w:val="16"/>
          <w:szCs w:val="16"/>
          <w:lang w:val="es-CO"/>
        </w:rPr>
        <w:t>Court</w:t>
      </w:r>
      <w:proofErr w:type="spellEnd"/>
      <w:r w:rsidR="00240FE0" w:rsidRPr="008A7BD7">
        <w:rPr>
          <w:rFonts w:ascii="Cambria" w:hAnsi="Cambria"/>
          <w:sz w:val="16"/>
          <w:szCs w:val="16"/>
          <w:lang w:val="es-CO"/>
        </w:rPr>
        <w:t>,</w:t>
      </w:r>
      <w:r w:rsidR="00240FE0" w:rsidRPr="008A7BD7">
        <w:rPr>
          <w:rFonts w:ascii="Cambria" w:hAnsi="Cambria"/>
          <w:sz w:val="16"/>
          <w:szCs w:val="16"/>
          <w:lang w:val="es-ES"/>
        </w:rPr>
        <w:t xml:space="preserve"> </w:t>
      </w:r>
      <w:hyperlink r:id="rId61" w:history="1">
        <w:r w:rsidRPr="008A7BD7">
          <w:rPr>
            <w:rStyle w:val="Hyperlink"/>
            <w:rFonts w:ascii="Cambria" w:hAnsi="Cambria"/>
            <w:sz w:val="16"/>
            <w:szCs w:val="16"/>
            <w:lang w:val="es-US"/>
          </w:rPr>
          <w:t>“</w:t>
        </w:r>
        <w:r w:rsidRPr="008A7BD7">
          <w:rPr>
            <w:rStyle w:val="Hyperlink"/>
            <w:rFonts w:ascii="Cambria" w:hAnsi="Cambria"/>
            <w:i/>
            <w:iCs/>
            <w:sz w:val="16"/>
            <w:szCs w:val="16"/>
            <w:lang w:val="es-US"/>
          </w:rPr>
          <w:t>Amparo, elección de Magistrados CSJ y Salas de Apelaciones</w:t>
        </w:r>
        <w:r w:rsidR="00240FE0" w:rsidRPr="008A7BD7">
          <w:rPr>
            <w:rStyle w:val="Hyperlink"/>
            <w:rFonts w:ascii="Cambria" w:hAnsi="Cambria"/>
            <w:sz w:val="16"/>
            <w:szCs w:val="16"/>
            <w:lang w:val="es-US"/>
          </w:rPr>
          <w:t>,</w:t>
        </w:r>
        <w:r w:rsidRPr="008A7BD7">
          <w:rPr>
            <w:rStyle w:val="Hyperlink"/>
            <w:rFonts w:ascii="Cambria" w:hAnsi="Cambria"/>
            <w:sz w:val="16"/>
            <w:szCs w:val="16"/>
            <w:lang w:val="es-US"/>
          </w:rPr>
          <w:t>”</w:t>
        </w:r>
      </w:hyperlink>
      <w:r w:rsidRPr="008A7BD7">
        <w:rPr>
          <w:rFonts w:ascii="Cambria" w:hAnsi="Cambria"/>
          <w:sz w:val="16"/>
          <w:szCs w:val="16"/>
          <w:lang w:val="es-ES"/>
        </w:rPr>
        <w:t xml:space="preserve"> </w:t>
      </w:r>
      <w:r w:rsidR="003C0305" w:rsidRPr="008A7BD7">
        <w:rPr>
          <w:rFonts w:ascii="Cambria" w:hAnsi="Cambria"/>
          <w:sz w:val="16"/>
          <w:szCs w:val="16"/>
          <w:lang w:val="es-ES"/>
        </w:rPr>
        <w:t>Case File</w:t>
      </w:r>
      <w:r w:rsidRPr="008A7BD7">
        <w:rPr>
          <w:rFonts w:ascii="Cambria" w:hAnsi="Cambria"/>
          <w:sz w:val="16"/>
          <w:szCs w:val="16"/>
          <w:lang w:val="es-ES"/>
        </w:rPr>
        <w:t xml:space="preserve"> 1169-2020, </w:t>
      </w:r>
      <w:r w:rsidR="00240FE0" w:rsidRPr="008A7BD7">
        <w:rPr>
          <w:rFonts w:ascii="Cambria" w:hAnsi="Cambria"/>
          <w:sz w:val="16"/>
          <w:szCs w:val="16"/>
          <w:lang w:val="es-ES"/>
        </w:rPr>
        <w:t xml:space="preserve">May </w:t>
      </w:r>
      <w:r w:rsidRPr="008A7BD7">
        <w:rPr>
          <w:rFonts w:ascii="Cambria" w:hAnsi="Cambria"/>
          <w:sz w:val="16"/>
          <w:szCs w:val="16"/>
          <w:lang w:val="es-ES"/>
        </w:rPr>
        <w:t>6</w:t>
      </w:r>
      <w:r w:rsidR="00240FE0" w:rsidRPr="008A7BD7">
        <w:rPr>
          <w:rFonts w:ascii="Cambria" w:hAnsi="Cambria"/>
          <w:sz w:val="16"/>
          <w:szCs w:val="16"/>
          <w:lang w:val="es-ES"/>
        </w:rPr>
        <w:t xml:space="preserve">, </w:t>
      </w:r>
      <w:r w:rsidRPr="008A7BD7">
        <w:rPr>
          <w:rFonts w:ascii="Cambria" w:hAnsi="Cambria"/>
          <w:sz w:val="16"/>
          <w:szCs w:val="16"/>
          <w:lang w:val="es-ES"/>
        </w:rPr>
        <w:t>2020</w:t>
      </w:r>
      <w:r w:rsidR="001040BB" w:rsidRPr="008A7BD7">
        <w:rPr>
          <w:rFonts w:ascii="Cambria" w:hAnsi="Cambria"/>
          <w:sz w:val="16"/>
          <w:szCs w:val="16"/>
          <w:lang w:val="es-ES"/>
        </w:rPr>
        <w:t>,</w:t>
      </w:r>
      <w:r w:rsidRPr="008A7BD7">
        <w:rPr>
          <w:rFonts w:ascii="Cambria" w:hAnsi="Cambria"/>
          <w:sz w:val="16"/>
          <w:szCs w:val="16"/>
          <w:lang w:val="es-ES"/>
        </w:rPr>
        <w:t xml:space="preserve"> </w:t>
      </w:r>
      <w:r w:rsidR="003C0305" w:rsidRPr="008A7BD7">
        <w:rPr>
          <w:rFonts w:ascii="Cambria" w:hAnsi="Cambria"/>
          <w:sz w:val="16"/>
          <w:szCs w:val="16"/>
          <w:lang w:val="es-ES"/>
        </w:rPr>
        <w:t xml:space="preserve">Operative </w:t>
      </w:r>
      <w:proofErr w:type="spellStart"/>
      <w:r w:rsidR="003C0305" w:rsidRPr="008A7BD7">
        <w:rPr>
          <w:rFonts w:ascii="Cambria" w:hAnsi="Cambria"/>
          <w:sz w:val="16"/>
          <w:szCs w:val="16"/>
          <w:lang w:val="es-ES"/>
        </w:rPr>
        <w:t>section</w:t>
      </w:r>
      <w:proofErr w:type="spellEnd"/>
      <w:r w:rsidRPr="008A7BD7">
        <w:rPr>
          <w:rFonts w:ascii="Cambria" w:hAnsi="Cambria"/>
          <w:sz w:val="16"/>
          <w:szCs w:val="16"/>
          <w:lang w:val="es-ES"/>
        </w:rPr>
        <w:t>.</w:t>
      </w:r>
    </w:p>
  </w:footnote>
  <w:footnote w:id="62">
    <w:p w14:paraId="4E6C7B9D" w14:textId="67B39E8F" w:rsidR="00310C35" w:rsidRPr="008A7BD7" w:rsidRDefault="00310C35"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Observatorio de Independencia Judicial, </w:t>
      </w:r>
      <w:hyperlink r:id="rId62" w:history="1">
        <w:r w:rsidRPr="008A7BD7">
          <w:rPr>
            <w:rStyle w:val="Hyperlink"/>
            <w:rFonts w:ascii="Cambria" w:hAnsi="Cambria"/>
            <w:i/>
            <w:iCs/>
            <w:sz w:val="16"/>
            <w:szCs w:val="16"/>
            <w:lang w:val="es-US"/>
          </w:rPr>
          <w:t>Guatemala cumple dos años de retraso en la elección de cortes</w:t>
        </w:r>
      </w:hyperlink>
      <w:r w:rsidRPr="008A7BD7">
        <w:rPr>
          <w:rFonts w:ascii="Cambria" w:hAnsi="Cambria"/>
          <w:sz w:val="16"/>
          <w:szCs w:val="16"/>
          <w:lang w:val="es-US"/>
        </w:rPr>
        <w:t xml:space="preserve">, </w:t>
      </w:r>
      <w:proofErr w:type="spellStart"/>
      <w:r w:rsidR="0024514B" w:rsidRPr="008A7BD7">
        <w:rPr>
          <w:rFonts w:ascii="Cambria" w:hAnsi="Cambria"/>
          <w:sz w:val="16"/>
          <w:szCs w:val="16"/>
          <w:lang w:val="es-US"/>
        </w:rPr>
        <w:t>October</w:t>
      </w:r>
      <w:proofErr w:type="spellEnd"/>
      <w:r w:rsidRPr="008A7BD7">
        <w:rPr>
          <w:rFonts w:ascii="Cambria" w:hAnsi="Cambria"/>
          <w:sz w:val="16"/>
          <w:szCs w:val="16"/>
          <w:lang w:val="es-US"/>
        </w:rPr>
        <w:t xml:space="preserve"> 2021.</w:t>
      </w:r>
    </w:p>
  </w:footnote>
  <w:footnote w:id="63">
    <w:p w14:paraId="3C6D2956" w14:textId="4741ECEF" w:rsidR="00C56230" w:rsidRPr="008A7BD7" w:rsidRDefault="00C56230" w:rsidP="00C56230">
      <w:pPr>
        <w:pStyle w:val="FootnoteText"/>
        <w:spacing w:after="120"/>
        <w:ind w:firstLine="720"/>
        <w:jc w:val="both"/>
      </w:pPr>
      <w:r w:rsidRPr="008A7BD7">
        <w:rPr>
          <w:rStyle w:val="FootnoteReference"/>
        </w:rPr>
        <w:footnoteRef/>
      </w:r>
      <w:r w:rsidRPr="008A7BD7">
        <w:t xml:space="preserve"> </w:t>
      </w:r>
      <w:r w:rsidR="009C4D03" w:rsidRPr="008A7BD7">
        <w:rPr>
          <w:rFonts w:ascii="Cambria" w:hAnsi="Cambria"/>
          <w:sz w:val="16"/>
          <w:szCs w:val="16"/>
        </w:rPr>
        <w:t>Response from the State of</w:t>
      </w:r>
      <w:r w:rsidR="009C4D03"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9C4D03" w:rsidRPr="008A7BD7">
        <w:rPr>
          <w:rFonts w:ascii="Cambria" w:hAnsi="Cambria"/>
          <w:sz w:val="16"/>
          <w:szCs w:val="16"/>
        </w:rPr>
        <w:t>OEA</w:t>
      </w:r>
      <w:r w:rsidR="009C4D03"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15.</w:t>
      </w:r>
    </w:p>
  </w:footnote>
  <w:footnote w:id="64">
    <w:p w14:paraId="42D79C9D" w14:textId="64EF11DF" w:rsidR="00C56230" w:rsidRPr="008A7BD7" w:rsidRDefault="00C56230" w:rsidP="00C56230">
      <w:pPr>
        <w:pStyle w:val="FootnoteText"/>
        <w:spacing w:after="120"/>
        <w:ind w:firstLine="720"/>
        <w:jc w:val="both"/>
      </w:pPr>
      <w:r w:rsidRPr="008A7BD7">
        <w:rPr>
          <w:rStyle w:val="FootnoteReference"/>
        </w:rPr>
        <w:footnoteRef/>
      </w:r>
      <w:r w:rsidRPr="008A7BD7">
        <w:t xml:space="preserve"> </w:t>
      </w:r>
      <w:r w:rsidR="009C4D03" w:rsidRPr="008A7BD7">
        <w:rPr>
          <w:rFonts w:ascii="Cambria" w:hAnsi="Cambria"/>
          <w:sz w:val="16"/>
          <w:szCs w:val="16"/>
        </w:rPr>
        <w:t>Response from the State of</w:t>
      </w:r>
      <w:r w:rsidR="009C4D03"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9C4D03" w:rsidRPr="008A7BD7">
        <w:rPr>
          <w:rFonts w:ascii="Cambria" w:hAnsi="Cambria"/>
          <w:sz w:val="16"/>
          <w:szCs w:val="16"/>
        </w:rPr>
        <w:t>OEA</w:t>
      </w:r>
      <w:r w:rsidR="009C4D03"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15.</w:t>
      </w:r>
    </w:p>
  </w:footnote>
  <w:footnote w:id="65">
    <w:p w14:paraId="649FFABD" w14:textId="4901D699" w:rsidR="00C56230" w:rsidRPr="008A7BD7" w:rsidRDefault="00C56230" w:rsidP="00C56230">
      <w:pPr>
        <w:pStyle w:val="FootnoteText"/>
        <w:spacing w:after="120"/>
        <w:ind w:firstLine="720"/>
        <w:jc w:val="both"/>
      </w:pPr>
      <w:r w:rsidRPr="008A7BD7">
        <w:rPr>
          <w:rStyle w:val="FootnoteReference"/>
        </w:rPr>
        <w:footnoteRef/>
      </w:r>
      <w:r w:rsidRPr="008A7BD7">
        <w:t xml:space="preserve"> </w:t>
      </w:r>
      <w:r w:rsidR="009C4D03" w:rsidRPr="008A7BD7">
        <w:rPr>
          <w:rFonts w:ascii="Cambria" w:hAnsi="Cambria"/>
          <w:sz w:val="16"/>
          <w:szCs w:val="16"/>
        </w:rPr>
        <w:t>Response from the State of</w:t>
      </w:r>
      <w:r w:rsidR="009C4D03"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9C4D03" w:rsidRPr="008A7BD7">
        <w:rPr>
          <w:rFonts w:ascii="Cambria" w:hAnsi="Cambria"/>
          <w:sz w:val="16"/>
          <w:szCs w:val="16"/>
        </w:rPr>
        <w:t>OEA</w:t>
      </w:r>
      <w:r w:rsidR="009C4D03"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16.</w:t>
      </w:r>
    </w:p>
  </w:footnote>
  <w:footnote w:id="66">
    <w:p w14:paraId="5F860FBE" w14:textId="792B5786" w:rsidR="002707EB" w:rsidRPr="008A7BD7" w:rsidRDefault="002707EB" w:rsidP="00746761">
      <w:pPr>
        <w:pStyle w:val="FootnoteText"/>
        <w:spacing w:after="120"/>
        <w:ind w:firstLine="720"/>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24514B" w:rsidRPr="008A7BD7">
        <w:rPr>
          <w:rFonts w:ascii="Cambria" w:hAnsi="Cambria"/>
          <w:sz w:val="16"/>
          <w:szCs w:val="16"/>
        </w:rPr>
        <w:t>IACHR</w:t>
      </w:r>
      <w:r w:rsidRPr="008A7BD7">
        <w:rPr>
          <w:rFonts w:ascii="Cambria" w:hAnsi="Cambria"/>
          <w:sz w:val="16"/>
          <w:szCs w:val="16"/>
        </w:rPr>
        <w:t>,</w:t>
      </w:r>
      <w:r w:rsidR="0024514B" w:rsidRPr="008A7BD7">
        <w:rPr>
          <w:rFonts w:ascii="Cambria" w:hAnsi="Cambria"/>
          <w:sz w:val="16"/>
          <w:szCs w:val="16"/>
        </w:rPr>
        <w:t xml:space="preserve"> </w:t>
      </w:r>
      <w:hyperlink r:id="rId63" w:history="1">
        <w:r w:rsidR="0024514B" w:rsidRPr="008A7BD7">
          <w:rPr>
            <w:rStyle w:val="Hyperlink"/>
            <w:rFonts w:ascii="Cambria" w:hAnsi="Cambria"/>
            <w:sz w:val="16"/>
            <w:szCs w:val="16"/>
          </w:rPr>
          <w:t>Guarantees for the Independence of Justice Operato</w:t>
        </w:r>
        <w:r w:rsidR="000E304C" w:rsidRPr="008A7BD7">
          <w:rPr>
            <w:rStyle w:val="Hyperlink"/>
            <w:rFonts w:ascii="Cambria" w:hAnsi="Cambria"/>
            <w:sz w:val="16"/>
            <w:szCs w:val="16"/>
          </w:rPr>
          <w:t>r</w:t>
        </w:r>
        <w:r w:rsidR="0024514B" w:rsidRPr="008A7BD7">
          <w:rPr>
            <w:rStyle w:val="Hyperlink"/>
            <w:rFonts w:ascii="Cambria" w:hAnsi="Cambria"/>
            <w:sz w:val="16"/>
            <w:szCs w:val="16"/>
          </w:rPr>
          <w:t>s: Towards Strengthening Access to Justice and the Rule of Law in the Americas</w:t>
        </w:r>
      </w:hyperlink>
      <w:r w:rsidR="0024514B" w:rsidRPr="008A7BD7">
        <w:rPr>
          <w:rFonts w:ascii="Cambria" w:hAnsi="Cambria"/>
          <w:sz w:val="16"/>
          <w:szCs w:val="16"/>
        </w:rPr>
        <w:t>,</w:t>
      </w:r>
      <w:r w:rsidR="0024514B" w:rsidRPr="008A7BD7">
        <w:t xml:space="preserve"> </w:t>
      </w:r>
      <w:r w:rsidRPr="008A7BD7">
        <w:rPr>
          <w:rFonts w:ascii="Cambria" w:hAnsi="Cambria"/>
          <w:sz w:val="16"/>
          <w:szCs w:val="16"/>
        </w:rPr>
        <w:t>OEA/</w:t>
      </w:r>
      <w:proofErr w:type="spellStart"/>
      <w:r w:rsidRPr="008A7BD7">
        <w:rPr>
          <w:rFonts w:ascii="Cambria" w:hAnsi="Cambria"/>
          <w:sz w:val="16"/>
          <w:szCs w:val="16"/>
        </w:rPr>
        <w:t>Ser.L</w:t>
      </w:r>
      <w:proofErr w:type="spellEnd"/>
      <w:r w:rsidRPr="008A7BD7">
        <w:rPr>
          <w:rFonts w:ascii="Cambria" w:hAnsi="Cambria"/>
          <w:sz w:val="16"/>
          <w:szCs w:val="16"/>
        </w:rPr>
        <w:t xml:space="preserve">/V/II. Doc.44, </w:t>
      </w:r>
      <w:r w:rsidR="0024514B" w:rsidRPr="008A7BD7">
        <w:rPr>
          <w:rFonts w:ascii="Cambria" w:hAnsi="Cambria"/>
          <w:sz w:val="16"/>
          <w:szCs w:val="16"/>
        </w:rPr>
        <w:t xml:space="preserve">December </w:t>
      </w:r>
      <w:r w:rsidRPr="008A7BD7">
        <w:rPr>
          <w:rFonts w:ascii="Cambria" w:hAnsi="Cambria"/>
          <w:sz w:val="16"/>
          <w:szCs w:val="16"/>
        </w:rPr>
        <w:t>5</w:t>
      </w:r>
      <w:r w:rsidR="0024514B" w:rsidRPr="008A7BD7">
        <w:rPr>
          <w:rFonts w:ascii="Cambria" w:hAnsi="Cambria"/>
          <w:sz w:val="16"/>
          <w:szCs w:val="16"/>
        </w:rPr>
        <w:t xml:space="preserve">, </w:t>
      </w:r>
      <w:r w:rsidRPr="008A7BD7">
        <w:rPr>
          <w:rFonts w:ascii="Cambria" w:hAnsi="Cambria"/>
          <w:sz w:val="16"/>
          <w:szCs w:val="16"/>
        </w:rPr>
        <w:t>2013.</w:t>
      </w:r>
    </w:p>
  </w:footnote>
  <w:footnote w:id="67">
    <w:p w14:paraId="393F6E75" w14:textId="23A5AE78" w:rsidR="00706CD2" w:rsidRPr="008A7BD7" w:rsidRDefault="00706CD2"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05683F" w:rsidRPr="008A7BD7">
        <w:rPr>
          <w:rFonts w:ascii="Cambria" w:hAnsi="Cambria"/>
          <w:sz w:val="16"/>
          <w:szCs w:val="16"/>
        </w:rPr>
        <w:t xml:space="preserve"> </w:t>
      </w:r>
      <w:r w:rsidR="00066A3B" w:rsidRPr="008A7BD7">
        <w:rPr>
          <w:rFonts w:ascii="Cambria" w:hAnsi="Cambria"/>
          <w:sz w:val="16"/>
          <w:szCs w:val="16"/>
        </w:rPr>
        <w:t>According to public</w:t>
      </w:r>
      <w:r w:rsidR="00941010" w:rsidRPr="008A7BD7">
        <w:rPr>
          <w:rFonts w:ascii="Cambria" w:hAnsi="Cambria"/>
          <w:sz w:val="16"/>
          <w:szCs w:val="16"/>
        </w:rPr>
        <w:t xml:space="preserve"> </w:t>
      </w:r>
      <w:r w:rsidR="00066A3B" w:rsidRPr="008A7BD7">
        <w:rPr>
          <w:rFonts w:ascii="Cambria" w:hAnsi="Cambria"/>
          <w:sz w:val="16"/>
          <w:szCs w:val="16"/>
        </w:rPr>
        <w:t>information, Mr. S</w:t>
      </w:r>
      <w:r w:rsidRPr="008A7BD7">
        <w:rPr>
          <w:rFonts w:ascii="Cambria" w:hAnsi="Cambria" w:cs="Verdana"/>
          <w:color w:val="000000"/>
          <w:sz w:val="16"/>
          <w:szCs w:val="16"/>
        </w:rPr>
        <w:t xml:space="preserve">andoval </w:t>
      </w:r>
      <w:r w:rsidRPr="008A7BD7">
        <w:rPr>
          <w:rFonts w:ascii="Cambria" w:hAnsi="Cambria" w:cs="Arial"/>
          <w:sz w:val="16"/>
          <w:szCs w:val="16"/>
        </w:rPr>
        <w:t>“</w:t>
      </w:r>
      <w:r w:rsidR="00066A3B" w:rsidRPr="008A7BD7">
        <w:rPr>
          <w:rFonts w:ascii="Cambria" w:hAnsi="Cambria" w:cs="Arial"/>
          <w:sz w:val="16"/>
          <w:szCs w:val="16"/>
        </w:rPr>
        <w:t xml:space="preserve">was never </w:t>
      </w:r>
      <w:r w:rsidR="00B75092" w:rsidRPr="008A7BD7">
        <w:rPr>
          <w:rFonts w:ascii="Cambria" w:hAnsi="Cambria" w:cs="Arial"/>
          <w:sz w:val="16"/>
          <w:szCs w:val="16"/>
        </w:rPr>
        <w:t>subject to a disciplinary proceeding that would objectively and impartially guarantee due process and his right to a</w:t>
      </w:r>
      <w:r w:rsidR="00985BA1" w:rsidRPr="008A7BD7">
        <w:rPr>
          <w:rFonts w:ascii="Cambria" w:hAnsi="Cambria" w:cs="Arial"/>
          <w:sz w:val="16"/>
          <w:szCs w:val="16"/>
        </w:rPr>
        <w:t xml:space="preserve"> </w:t>
      </w:r>
      <w:r w:rsidR="00B75092" w:rsidRPr="008A7BD7">
        <w:rPr>
          <w:rFonts w:ascii="Cambria" w:hAnsi="Cambria" w:cs="Arial"/>
          <w:sz w:val="16"/>
          <w:szCs w:val="16"/>
        </w:rPr>
        <w:t>defense,” as provided in Articles</w:t>
      </w:r>
      <w:r w:rsidR="00B75092" w:rsidRPr="008A7BD7">
        <w:rPr>
          <w:rFonts w:ascii="Cambria" w:hAnsi="Cambria"/>
          <w:sz w:val="16"/>
          <w:szCs w:val="16"/>
        </w:rPr>
        <w:t xml:space="preserve"> </w:t>
      </w:r>
      <w:r w:rsidRPr="008A7BD7">
        <w:rPr>
          <w:rFonts w:ascii="Cambria" w:hAnsi="Cambria"/>
          <w:sz w:val="16"/>
          <w:szCs w:val="16"/>
        </w:rPr>
        <w:t xml:space="preserve">60 </w:t>
      </w:r>
      <w:r w:rsidR="00B75092" w:rsidRPr="008A7BD7">
        <w:rPr>
          <w:rFonts w:ascii="Cambria" w:hAnsi="Cambria"/>
          <w:sz w:val="16"/>
          <w:szCs w:val="16"/>
        </w:rPr>
        <w:t>to</w:t>
      </w:r>
      <w:r w:rsidRPr="008A7BD7">
        <w:rPr>
          <w:rFonts w:ascii="Cambria" w:hAnsi="Cambria"/>
          <w:sz w:val="16"/>
          <w:szCs w:val="16"/>
        </w:rPr>
        <w:t xml:space="preserve"> 65 </w:t>
      </w:r>
      <w:r w:rsidR="00B75092" w:rsidRPr="008A7BD7">
        <w:rPr>
          <w:rFonts w:ascii="Cambria" w:hAnsi="Cambria"/>
          <w:sz w:val="16"/>
          <w:szCs w:val="16"/>
        </w:rPr>
        <w:t xml:space="preserve">of the Organic Law of the Office of the Public Prosecutor. It was also indicated that </w:t>
      </w:r>
      <w:r w:rsidR="0047171B" w:rsidRPr="008A7BD7">
        <w:rPr>
          <w:rFonts w:ascii="Cambria" w:hAnsi="Cambria"/>
          <w:sz w:val="16"/>
          <w:szCs w:val="16"/>
        </w:rPr>
        <w:t xml:space="preserve">there should have first been a decision by the Attorney General in keeping with provisions of Article </w:t>
      </w:r>
      <w:r w:rsidRPr="008A7BD7">
        <w:rPr>
          <w:rFonts w:ascii="Cambria" w:eastAsia="Times" w:hAnsi="Cambria"/>
          <w:sz w:val="16"/>
          <w:szCs w:val="16"/>
        </w:rPr>
        <w:t xml:space="preserve">68 </w:t>
      </w:r>
      <w:r w:rsidR="0047171B" w:rsidRPr="008A7BD7">
        <w:rPr>
          <w:rFonts w:ascii="Cambria" w:eastAsia="Times" w:hAnsi="Cambria"/>
          <w:sz w:val="16"/>
          <w:szCs w:val="16"/>
        </w:rPr>
        <w:t xml:space="preserve">of the </w:t>
      </w:r>
      <w:proofErr w:type="gramStart"/>
      <w:r w:rsidR="0047171B" w:rsidRPr="008A7BD7">
        <w:rPr>
          <w:rFonts w:ascii="Cambria" w:eastAsia="Times" w:hAnsi="Cambria"/>
          <w:sz w:val="16"/>
          <w:szCs w:val="16"/>
        </w:rPr>
        <w:t>aforementioned law</w:t>
      </w:r>
      <w:proofErr w:type="gramEnd"/>
      <w:r w:rsidR="0047171B" w:rsidRPr="008A7BD7">
        <w:rPr>
          <w:rFonts w:ascii="Cambria" w:eastAsia="Times" w:hAnsi="Cambria"/>
          <w:sz w:val="16"/>
          <w:szCs w:val="16"/>
        </w:rPr>
        <w:t xml:space="preserve">. Therefore, the dismissal agreement </w:t>
      </w:r>
      <w:r w:rsidR="008B6190" w:rsidRPr="008A7BD7">
        <w:rPr>
          <w:rFonts w:ascii="Cambria" w:eastAsia="Times" w:hAnsi="Cambria"/>
          <w:sz w:val="16"/>
          <w:szCs w:val="16"/>
        </w:rPr>
        <w:t xml:space="preserve">allegedly </w:t>
      </w:r>
      <w:r w:rsidR="0047171B" w:rsidRPr="008A7BD7">
        <w:rPr>
          <w:rFonts w:ascii="Cambria" w:eastAsia="Times" w:hAnsi="Cambria"/>
          <w:sz w:val="16"/>
          <w:szCs w:val="16"/>
        </w:rPr>
        <w:t>was “a legal, illegitimate, and arbitrary act,” in contravention of “</w:t>
      </w:r>
      <w:r w:rsidR="00061766" w:rsidRPr="008A7BD7">
        <w:rPr>
          <w:rFonts w:ascii="Cambria" w:eastAsia="Times" w:hAnsi="Cambria"/>
          <w:sz w:val="16"/>
          <w:szCs w:val="16"/>
        </w:rPr>
        <w:t>stability and tenure in the position</w:t>
      </w:r>
      <w:r w:rsidR="008B6190" w:rsidRPr="008A7BD7">
        <w:rPr>
          <w:rFonts w:ascii="Cambria" w:eastAsia="Times" w:hAnsi="Cambria"/>
          <w:sz w:val="16"/>
          <w:szCs w:val="16"/>
        </w:rPr>
        <w:t>,</w:t>
      </w:r>
      <w:r w:rsidR="00061766" w:rsidRPr="008A7BD7">
        <w:rPr>
          <w:rFonts w:ascii="Cambria" w:eastAsia="Times" w:hAnsi="Cambria"/>
          <w:sz w:val="16"/>
          <w:szCs w:val="16"/>
        </w:rPr>
        <w:t>”</w:t>
      </w:r>
      <w:r w:rsidR="008B6190" w:rsidRPr="008A7BD7">
        <w:rPr>
          <w:rFonts w:ascii="Cambria" w:eastAsia="Times" w:hAnsi="Cambria"/>
          <w:sz w:val="16"/>
          <w:szCs w:val="16"/>
        </w:rPr>
        <w:t xml:space="preserve"> and “had no legal basis.</w:t>
      </w:r>
      <w:r w:rsidRPr="008A7BD7">
        <w:rPr>
          <w:rFonts w:ascii="Cambria" w:hAnsi="Cambria" w:cs="ArialMT"/>
          <w:sz w:val="16"/>
          <w:szCs w:val="16"/>
        </w:rPr>
        <w:t>”</w:t>
      </w:r>
    </w:p>
  </w:footnote>
  <w:footnote w:id="68">
    <w:p w14:paraId="0EE8939D" w14:textId="306DD947" w:rsidR="00000246" w:rsidRPr="008A7BD7" w:rsidRDefault="00000246" w:rsidP="00000246">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EB1E7A" w:rsidRPr="008A7BD7">
        <w:rPr>
          <w:rFonts w:ascii="Cambria" w:hAnsi="Cambria"/>
          <w:sz w:val="16"/>
          <w:szCs w:val="16"/>
        </w:rPr>
        <w:t>IACHR, 181</w:t>
      </w:r>
      <w:r w:rsidR="00EB1E7A" w:rsidRPr="008A7BD7">
        <w:rPr>
          <w:rFonts w:ascii="Cambria" w:hAnsi="Cambria"/>
          <w:sz w:val="16"/>
          <w:szCs w:val="16"/>
          <w:vertAlign w:val="superscript"/>
        </w:rPr>
        <w:t>st</w:t>
      </w:r>
      <w:r w:rsidR="00EB1E7A" w:rsidRPr="008A7BD7">
        <w:rPr>
          <w:rFonts w:ascii="Cambria" w:hAnsi="Cambria"/>
          <w:sz w:val="16"/>
          <w:szCs w:val="16"/>
        </w:rPr>
        <w:t xml:space="preserve"> period of sessions, </w:t>
      </w:r>
      <w:r w:rsidR="001A17F5" w:rsidRPr="008A7BD7">
        <w:rPr>
          <w:rFonts w:ascii="Cambria" w:hAnsi="Cambria"/>
          <w:sz w:val="16"/>
          <w:szCs w:val="16"/>
        </w:rPr>
        <w:t>“</w:t>
      </w:r>
      <w:hyperlink r:id="rId64" w:history="1">
        <w:r w:rsidR="001A17F5" w:rsidRPr="008A7BD7">
          <w:rPr>
            <w:rStyle w:val="Hyperlink"/>
            <w:rFonts w:ascii="Cambria" w:hAnsi="Cambria"/>
            <w:sz w:val="16"/>
            <w:szCs w:val="16"/>
          </w:rPr>
          <w:t>Human Rights Situation of Justice Operators and Judicial Independence in Guatemala</w:t>
        </w:r>
      </w:hyperlink>
      <w:r w:rsidR="001A17F5" w:rsidRPr="008A7BD7">
        <w:rPr>
          <w:rFonts w:ascii="Cambria" w:hAnsi="Cambria"/>
          <w:sz w:val="16"/>
          <w:szCs w:val="16"/>
        </w:rPr>
        <w:t xml:space="preserve">,” </w:t>
      </w:r>
      <w:r w:rsidR="00EB1E7A" w:rsidRPr="008A7BD7">
        <w:rPr>
          <w:rFonts w:ascii="Cambria" w:hAnsi="Cambria"/>
          <w:sz w:val="16"/>
          <w:szCs w:val="16"/>
        </w:rPr>
        <w:t xml:space="preserve">public hearing held on October 28, </w:t>
      </w:r>
      <w:r w:rsidR="00EB1E7A" w:rsidRPr="008A7BD7">
        <w:rPr>
          <w:rFonts w:ascii="Cambria" w:eastAsia="Cambria" w:hAnsi="Cambria" w:cs="Cambria"/>
          <w:sz w:val="16"/>
          <w:szCs w:val="16"/>
        </w:rPr>
        <w:t>2021</w:t>
      </w:r>
      <w:r w:rsidRPr="008A7BD7">
        <w:rPr>
          <w:rFonts w:ascii="Cambria" w:eastAsia="Cambria" w:hAnsi="Cambria" w:cs="Cambria"/>
          <w:sz w:val="16"/>
          <w:szCs w:val="16"/>
        </w:rPr>
        <w:t>.</w:t>
      </w:r>
    </w:p>
  </w:footnote>
  <w:footnote w:id="69">
    <w:p w14:paraId="446391BA" w14:textId="2542E183" w:rsidR="00706CD2" w:rsidRPr="008A7BD7" w:rsidRDefault="00706CD2"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009569D6" w:rsidRPr="008A7BD7">
        <w:rPr>
          <w:rFonts w:ascii="Cambria" w:hAnsi="Cambria"/>
          <w:i/>
          <w:iCs/>
          <w:sz w:val="16"/>
          <w:szCs w:val="16"/>
          <w:lang w:val="es-CR"/>
        </w:rPr>
        <w:t>A</w:t>
      </w:r>
      <w:r w:rsidR="00EB1E7A" w:rsidRPr="008A7BD7">
        <w:rPr>
          <w:rFonts w:ascii="Cambria" w:hAnsi="Cambria"/>
          <w:i/>
          <w:iCs/>
          <w:sz w:val="16"/>
          <w:szCs w:val="16"/>
          <w:lang w:val="es-CR"/>
        </w:rPr>
        <w:t>P</w:t>
      </w:r>
      <w:r w:rsidR="009569D6" w:rsidRPr="008A7BD7">
        <w:rPr>
          <w:rFonts w:ascii="Cambria" w:hAnsi="Cambria"/>
          <w:i/>
          <w:iCs/>
          <w:sz w:val="16"/>
          <w:szCs w:val="16"/>
          <w:lang w:val="es-CR"/>
        </w:rPr>
        <w:t xml:space="preserve"> News</w:t>
      </w:r>
      <w:r w:rsidR="009569D6" w:rsidRPr="008A7BD7">
        <w:rPr>
          <w:rFonts w:ascii="Cambria" w:hAnsi="Cambria"/>
          <w:sz w:val="16"/>
          <w:szCs w:val="16"/>
          <w:lang w:val="es-CR"/>
        </w:rPr>
        <w:t xml:space="preserve">, </w:t>
      </w:r>
      <w:r w:rsidR="00995E09">
        <w:fldChar w:fldCharType="begin"/>
      </w:r>
      <w:r w:rsidR="00995E09" w:rsidRPr="002A4B5F">
        <w:rPr>
          <w:lang w:val="es-US"/>
        </w:rPr>
        <w:instrText xml:space="preserve"> HYPERLINK "https://apnews.com/article/noticias-bd4e8ef70cc0477ea05b131c0ac42dac" </w:instrText>
      </w:r>
      <w:r w:rsidR="00995E09">
        <w:fldChar w:fldCharType="separate"/>
      </w:r>
      <w:r w:rsidR="009569D6" w:rsidRPr="008A7BD7">
        <w:rPr>
          <w:rStyle w:val="Hyperlink"/>
          <w:rFonts w:ascii="Cambria" w:hAnsi="Cambria"/>
          <w:i/>
          <w:iCs/>
          <w:sz w:val="16"/>
          <w:szCs w:val="16"/>
          <w:lang w:val="es-CR"/>
        </w:rPr>
        <w:t>Guatemala: nuevo jefe anticorrupción causa desconfianza</w:t>
      </w:r>
      <w:r w:rsidR="00995E09">
        <w:rPr>
          <w:rStyle w:val="Hyperlink"/>
          <w:rFonts w:ascii="Cambria" w:hAnsi="Cambria"/>
          <w:i/>
          <w:iCs/>
          <w:sz w:val="16"/>
          <w:szCs w:val="16"/>
          <w:lang w:val="es-CR"/>
        </w:rPr>
        <w:fldChar w:fldCharType="end"/>
      </w:r>
      <w:r w:rsidR="002A750C" w:rsidRPr="008A7BD7">
        <w:rPr>
          <w:rStyle w:val="Hyperlink"/>
          <w:rFonts w:ascii="Cambria" w:hAnsi="Cambria"/>
          <w:sz w:val="16"/>
          <w:szCs w:val="16"/>
          <w:lang w:val="es-CR"/>
        </w:rPr>
        <w:t>,</w:t>
      </w:r>
      <w:r w:rsidR="009569D6" w:rsidRPr="008A7BD7">
        <w:rPr>
          <w:rFonts w:ascii="Cambria" w:hAnsi="Cambria"/>
          <w:sz w:val="16"/>
          <w:szCs w:val="16"/>
          <w:lang w:val="es-CR"/>
        </w:rPr>
        <w:t xml:space="preserve"> </w:t>
      </w:r>
      <w:r w:rsidR="002A750C" w:rsidRPr="008A7BD7">
        <w:rPr>
          <w:rFonts w:ascii="Cambria" w:hAnsi="Cambria"/>
          <w:sz w:val="16"/>
          <w:szCs w:val="16"/>
          <w:lang w:val="es-CR"/>
        </w:rPr>
        <w:t xml:space="preserve">August </w:t>
      </w:r>
      <w:r w:rsidR="009569D6" w:rsidRPr="008A7BD7">
        <w:rPr>
          <w:rFonts w:ascii="Cambria" w:hAnsi="Cambria"/>
          <w:sz w:val="16"/>
          <w:szCs w:val="16"/>
          <w:lang w:val="es-CR"/>
        </w:rPr>
        <w:t>3</w:t>
      </w:r>
      <w:r w:rsidR="002A750C" w:rsidRPr="008A7BD7">
        <w:rPr>
          <w:rFonts w:ascii="Cambria" w:hAnsi="Cambria"/>
          <w:sz w:val="16"/>
          <w:szCs w:val="16"/>
          <w:lang w:val="es-CR"/>
        </w:rPr>
        <w:t xml:space="preserve">, </w:t>
      </w:r>
      <w:r w:rsidR="009569D6" w:rsidRPr="008A7BD7">
        <w:rPr>
          <w:rFonts w:ascii="Cambria" w:hAnsi="Cambria"/>
          <w:sz w:val="16"/>
          <w:szCs w:val="16"/>
          <w:lang w:val="es-CR"/>
        </w:rPr>
        <w:t>2021.</w:t>
      </w:r>
      <w:r w:rsidRPr="008A7BD7">
        <w:rPr>
          <w:rFonts w:ascii="Cambria" w:hAnsi="Cambria"/>
          <w:sz w:val="16"/>
          <w:szCs w:val="16"/>
          <w:lang w:val="es-CR"/>
        </w:rPr>
        <w:t xml:space="preserve"> </w:t>
      </w:r>
      <w:r w:rsidR="002A750C" w:rsidRPr="008A7BD7">
        <w:rPr>
          <w:rFonts w:ascii="Cambria" w:hAnsi="Cambria"/>
          <w:sz w:val="16"/>
          <w:szCs w:val="16"/>
        </w:rPr>
        <w:t xml:space="preserve">The IACHR notes that in its decision on provisional measures, the Inter-American Court indicated that there was </w:t>
      </w:r>
      <w:r w:rsidR="00FB7A5E" w:rsidRPr="008A7BD7">
        <w:rPr>
          <w:rFonts w:ascii="Cambria" w:hAnsi="Cambria"/>
          <w:sz w:val="16"/>
          <w:szCs w:val="16"/>
        </w:rPr>
        <w:t xml:space="preserve">a well-founded fear about the possibility that Prosecutor </w:t>
      </w:r>
      <w:r w:rsidRPr="008A7BD7">
        <w:rPr>
          <w:rFonts w:ascii="Cambria" w:hAnsi="Cambria"/>
          <w:sz w:val="16"/>
          <w:szCs w:val="16"/>
        </w:rPr>
        <w:t>“B”</w:t>
      </w:r>
      <w:r w:rsidR="00FB7A5E" w:rsidRPr="008A7BD7">
        <w:rPr>
          <w:rFonts w:ascii="Cambria" w:hAnsi="Cambria"/>
          <w:sz w:val="16"/>
          <w:szCs w:val="16"/>
        </w:rPr>
        <w:t xml:space="preserve"> and Assistant Prosecutor </w:t>
      </w:r>
      <w:r w:rsidRPr="008A7BD7">
        <w:rPr>
          <w:rFonts w:ascii="Cambria" w:hAnsi="Cambria"/>
          <w:sz w:val="16"/>
          <w:szCs w:val="16"/>
        </w:rPr>
        <w:t xml:space="preserve">“C” </w:t>
      </w:r>
      <w:r w:rsidR="00FB7A5E" w:rsidRPr="008A7BD7">
        <w:rPr>
          <w:rFonts w:ascii="Cambria" w:hAnsi="Cambria"/>
          <w:sz w:val="16"/>
          <w:szCs w:val="16"/>
        </w:rPr>
        <w:t xml:space="preserve">could </w:t>
      </w:r>
      <w:r w:rsidR="00F96152" w:rsidRPr="008A7BD7">
        <w:rPr>
          <w:rFonts w:ascii="Cambria" w:hAnsi="Cambria"/>
          <w:sz w:val="16"/>
          <w:szCs w:val="16"/>
        </w:rPr>
        <w:t xml:space="preserve">also </w:t>
      </w:r>
      <w:r w:rsidR="00FB7A5E" w:rsidRPr="008A7BD7">
        <w:rPr>
          <w:rFonts w:ascii="Cambria" w:hAnsi="Cambria"/>
          <w:sz w:val="16"/>
          <w:szCs w:val="16"/>
        </w:rPr>
        <w:t>be dismissed or transferred, which could</w:t>
      </w:r>
      <w:r w:rsidR="00F96152" w:rsidRPr="008A7BD7">
        <w:rPr>
          <w:rFonts w:ascii="Cambria" w:hAnsi="Cambria"/>
          <w:sz w:val="16"/>
          <w:szCs w:val="16"/>
        </w:rPr>
        <w:t xml:space="preserve"> </w:t>
      </w:r>
      <w:r w:rsidR="00FB7A5E" w:rsidRPr="008A7BD7">
        <w:rPr>
          <w:rFonts w:ascii="Cambria" w:hAnsi="Cambria"/>
          <w:sz w:val="16"/>
          <w:szCs w:val="16"/>
        </w:rPr>
        <w:t>affect the work of the</w:t>
      </w:r>
      <w:r w:rsidR="00F96152" w:rsidRPr="008A7BD7">
        <w:rPr>
          <w:rFonts w:ascii="Cambria" w:hAnsi="Cambria"/>
          <w:sz w:val="16"/>
          <w:szCs w:val="16"/>
        </w:rPr>
        <w:t>ir</w:t>
      </w:r>
      <w:r w:rsidR="00FB7A5E" w:rsidRPr="008A7BD7">
        <w:rPr>
          <w:rFonts w:ascii="Cambria" w:hAnsi="Cambria"/>
          <w:sz w:val="16"/>
          <w:szCs w:val="16"/>
        </w:rPr>
        <w:t xml:space="preserve"> investigation into the deaths of Mr. </w:t>
      </w:r>
      <w:r w:rsidRPr="008A7BD7">
        <w:rPr>
          <w:rFonts w:ascii="Cambria" w:hAnsi="Cambria"/>
          <w:sz w:val="16"/>
          <w:szCs w:val="16"/>
        </w:rPr>
        <w:t xml:space="preserve">Valenzuela Ávila </w:t>
      </w:r>
      <w:r w:rsidR="00FB7A5E" w:rsidRPr="008A7BD7">
        <w:rPr>
          <w:rFonts w:ascii="Cambria" w:hAnsi="Cambria"/>
          <w:sz w:val="16"/>
          <w:szCs w:val="16"/>
        </w:rPr>
        <w:t>and Mr.</w:t>
      </w:r>
      <w:r w:rsidRPr="008A7BD7">
        <w:rPr>
          <w:rFonts w:ascii="Cambria" w:hAnsi="Cambria"/>
          <w:sz w:val="16"/>
          <w:szCs w:val="16"/>
        </w:rPr>
        <w:t xml:space="preserve"> Ruiz Fuentes. </w:t>
      </w:r>
      <w:r w:rsidR="00FB7A5E" w:rsidRPr="008A7BD7">
        <w:rPr>
          <w:rFonts w:ascii="Cambria" w:hAnsi="Cambria"/>
          <w:sz w:val="16"/>
          <w:szCs w:val="16"/>
        </w:rPr>
        <w:t xml:space="preserve">Considering that there is a well-founded fear </w:t>
      </w:r>
      <w:r w:rsidR="00A73D52" w:rsidRPr="008A7BD7">
        <w:rPr>
          <w:rFonts w:ascii="Cambria" w:hAnsi="Cambria"/>
          <w:sz w:val="16"/>
          <w:szCs w:val="16"/>
        </w:rPr>
        <w:t>that the</w:t>
      </w:r>
      <w:r w:rsidR="00CB09AD" w:rsidRPr="008A7BD7">
        <w:rPr>
          <w:rFonts w:ascii="Cambria" w:hAnsi="Cambria"/>
          <w:sz w:val="16"/>
          <w:szCs w:val="16"/>
        </w:rPr>
        <w:t>se prosecutors</w:t>
      </w:r>
      <w:r w:rsidR="00A73D52" w:rsidRPr="008A7BD7">
        <w:rPr>
          <w:rFonts w:ascii="Cambria" w:hAnsi="Cambria"/>
          <w:sz w:val="16"/>
          <w:szCs w:val="16"/>
        </w:rPr>
        <w:t xml:space="preserve"> could be </w:t>
      </w:r>
      <w:r w:rsidR="00FB7A5E" w:rsidRPr="008A7BD7">
        <w:rPr>
          <w:rFonts w:ascii="Cambria" w:hAnsi="Cambria"/>
          <w:sz w:val="16"/>
          <w:szCs w:val="16"/>
        </w:rPr>
        <w:t>separat</w:t>
      </w:r>
      <w:r w:rsidR="00A73D52" w:rsidRPr="008A7BD7">
        <w:rPr>
          <w:rFonts w:ascii="Cambria" w:hAnsi="Cambria"/>
          <w:sz w:val="16"/>
          <w:szCs w:val="16"/>
        </w:rPr>
        <w:t>ed (by removal, transfer, or dismissal) from the criminal investigations into the deaths of Tirso Román Valenzuela Ávila and Hugo Humberto Ruiz Fuentes, the Court ordered, as an additional protection measure, that the State must ensure the independence in the exer</w:t>
      </w:r>
      <w:r w:rsidR="00CB09AD" w:rsidRPr="008A7BD7">
        <w:rPr>
          <w:rFonts w:ascii="Cambria" w:hAnsi="Cambria"/>
          <w:sz w:val="16"/>
          <w:szCs w:val="16"/>
        </w:rPr>
        <w:t>cise of their office of</w:t>
      </w:r>
      <w:r w:rsidR="00CB09AD" w:rsidRPr="008A7BD7">
        <w:rPr>
          <w:rFonts w:ascii="Cambria" w:hAnsi="Cambria" w:cs="ArialMT"/>
          <w:sz w:val="16"/>
          <w:szCs w:val="16"/>
        </w:rPr>
        <w:t xml:space="preserve"> Prosecutor</w:t>
      </w:r>
      <w:r w:rsidR="00CB09AD" w:rsidRPr="008A7BD7">
        <w:rPr>
          <w:rFonts w:ascii="Cambria" w:hAnsi="Cambria"/>
          <w:sz w:val="16"/>
          <w:szCs w:val="16"/>
        </w:rPr>
        <w:t xml:space="preserve"> </w:t>
      </w:r>
      <w:r w:rsidRPr="008A7BD7">
        <w:rPr>
          <w:rFonts w:ascii="Cambria" w:hAnsi="Cambria"/>
          <w:sz w:val="16"/>
          <w:szCs w:val="16"/>
        </w:rPr>
        <w:t xml:space="preserve">"B" </w:t>
      </w:r>
      <w:r w:rsidR="00CB09AD" w:rsidRPr="008A7BD7">
        <w:rPr>
          <w:rFonts w:ascii="Cambria" w:hAnsi="Cambria"/>
          <w:sz w:val="16"/>
          <w:szCs w:val="16"/>
        </w:rPr>
        <w:t xml:space="preserve">and Assistant Prosecutor </w:t>
      </w:r>
      <w:r w:rsidRPr="008A7BD7">
        <w:rPr>
          <w:rFonts w:ascii="Cambria" w:hAnsi="Cambria"/>
          <w:sz w:val="16"/>
          <w:szCs w:val="16"/>
        </w:rPr>
        <w:t>“C</w:t>
      </w:r>
      <w:r w:rsidR="00CB09AD" w:rsidRPr="008A7BD7">
        <w:rPr>
          <w:rFonts w:ascii="Cambria" w:hAnsi="Cambria"/>
          <w:sz w:val="16"/>
          <w:szCs w:val="16"/>
        </w:rPr>
        <w:t>,</w:t>
      </w:r>
      <w:r w:rsidRPr="008A7BD7">
        <w:rPr>
          <w:rFonts w:ascii="Cambria" w:hAnsi="Cambria"/>
          <w:sz w:val="16"/>
          <w:szCs w:val="16"/>
        </w:rPr>
        <w:t xml:space="preserve">” </w:t>
      </w:r>
      <w:r w:rsidR="00CB09AD" w:rsidRPr="008A7BD7">
        <w:rPr>
          <w:rFonts w:ascii="Cambria" w:hAnsi="Cambria"/>
          <w:sz w:val="16"/>
          <w:szCs w:val="16"/>
        </w:rPr>
        <w:t>and thus guarantee the right of access to justice of the victims in the cases of</w:t>
      </w:r>
      <w:r w:rsidR="00CB09AD" w:rsidRPr="008A7BD7">
        <w:rPr>
          <w:rFonts w:ascii="Cambria" w:hAnsi="Cambria" w:cs="Calibri"/>
          <w:sz w:val="16"/>
          <w:szCs w:val="16"/>
          <w:lang w:eastAsia="es-ES"/>
        </w:rPr>
        <w:t xml:space="preserve"> </w:t>
      </w:r>
      <w:r w:rsidRPr="008A7BD7">
        <w:rPr>
          <w:rFonts w:ascii="Cambria" w:hAnsi="Cambria"/>
          <w:i/>
          <w:sz w:val="16"/>
          <w:szCs w:val="16"/>
        </w:rPr>
        <w:t xml:space="preserve">Ruiz Fuentes </w:t>
      </w:r>
      <w:r w:rsidR="00CB09AD" w:rsidRPr="008A7BD7">
        <w:rPr>
          <w:rFonts w:ascii="Cambria" w:hAnsi="Cambria"/>
          <w:i/>
          <w:sz w:val="16"/>
          <w:szCs w:val="16"/>
        </w:rPr>
        <w:t>et al.</w:t>
      </w:r>
      <w:r w:rsidRPr="008A7BD7">
        <w:rPr>
          <w:rFonts w:ascii="Cambria" w:hAnsi="Cambria"/>
          <w:i/>
          <w:sz w:val="16"/>
          <w:szCs w:val="16"/>
        </w:rPr>
        <w:t>,</w:t>
      </w:r>
      <w:r w:rsidRPr="008A7BD7">
        <w:rPr>
          <w:rFonts w:ascii="Cambria" w:hAnsi="Cambria"/>
          <w:sz w:val="16"/>
          <w:szCs w:val="16"/>
        </w:rPr>
        <w:t xml:space="preserve"> </w:t>
      </w:r>
      <w:r w:rsidR="00CB09AD" w:rsidRPr="008A7BD7">
        <w:rPr>
          <w:rFonts w:ascii="Cambria" w:hAnsi="Cambria"/>
          <w:sz w:val="16"/>
          <w:szCs w:val="16"/>
        </w:rPr>
        <w:t>and</w:t>
      </w:r>
      <w:r w:rsidRPr="008A7BD7">
        <w:rPr>
          <w:rFonts w:ascii="Cambria" w:hAnsi="Cambria"/>
          <w:sz w:val="16"/>
          <w:szCs w:val="16"/>
        </w:rPr>
        <w:t xml:space="preserve"> </w:t>
      </w:r>
      <w:r w:rsidRPr="008A7BD7">
        <w:rPr>
          <w:rFonts w:ascii="Cambria" w:hAnsi="Cambria"/>
          <w:i/>
          <w:sz w:val="16"/>
          <w:szCs w:val="16"/>
        </w:rPr>
        <w:t>Valenzuela Ávila.</w:t>
      </w:r>
      <w:r w:rsidR="009569D6" w:rsidRPr="008A7BD7">
        <w:rPr>
          <w:rFonts w:ascii="Cambria" w:hAnsi="Cambria"/>
          <w:i/>
          <w:sz w:val="16"/>
          <w:szCs w:val="16"/>
        </w:rPr>
        <w:t xml:space="preserve"> </w:t>
      </w:r>
      <w:r w:rsidR="00CB09AD" w:rsidRPr="008A7BD7">
        <w:rPr>
          <w:rFonts w:ascii="Cambria" w:hAnsi="Cambria"/>
          <w:iCs/>
          <w:sz w:val="16"/>
          <w:szCs w:val="16"/>
        </w:rPr>
        <w:t xml:space="preserve">I/A Court H.R., </w:t>
      </w:r>
      <w:r w:rsidR="00CB09AD" w:rsidRPr="008A7BD7">
        <w:rPr>
          <w:rFonts w:ascii="Cambria" w:hAnsi="Cambria"/>
          <w:i/>
          <w:sz w:val="16"/>
          <w:szCs w:val="16"/>
        </w:rPr>
        <w:t xml:space="preserve">Case of </w:t>
      </w:r>
      <w:r w:rsidR="009569D6" w:rsidRPr="008A7BD7">
        <w:rPr>
          <w:rFonts w:ascii="Cambria" w:hAnsi="Cambria"/>
          <w:i/>
          <w:sz w:val="16"/>
          <w:szCs w:val="16"/>
        </w:rPr>
        <w:t xml:space="preserve">Valenzuela </w:t>
      </w:r>
      <w:proofErr w:type="gramStart"/>
      <w:r w:rsidR="009569D6" w:rsidRPr="008A7BD7">
        <w:rPr>
          <w:rFonts w:ascii="Cambria" w:hAnsi="Cambria"/>
          <w:i/>
          <w:sz w:val="16"/>
          <w:szCs w:val="16"/>
        </w:rPr>
        <w:t>Ávila</w:t>
      </w:r>
      <w:proofErr w:type="gramEnd"/>
      <w:r w:rsidR="009569D6" w:rsidRPr="008A7BD7">
        <w:rPr>
          <w:rFonts w:ascii="Cambria" w:hAnsi="Cambria"/>
          <w:i/>
          <w:sz w:val="16"/>
          <w:szCs w:val="16"/>
        </w:rPr>
        <w:t xml:space="preserve"> </w:t>
      </w:r>
      <w:r w:rsidR="00CB09AD" w:rsidRPr="008A7BD7">
        <w:rPr>
          <w:rFonts w:ascii="Cambria" w:hAnsi="Cambria"/>
          <w:iCs/>
          <w:sz w:val="16"/>
          <w:szCs w:val="16"/>
        </w:rPr>
        <w:t>and</w:t>
      </w:r>
      <w:r w:rsidR="00CB09AD" w:rsidRPr="008A7BD7">
        <w:rPr>
          <w:rFonts w:ascii="Cambria" w:hAnsi="Cambria"/>
          <w:i/>
          <w:sz w:val="16"/>
          <w:szCs w:val="16"/>
        </w:rPr>
        <w:t xml:space="preserve"> Case of</w:t>
      </w:r>
      <w:r w:rsidR="009569D6" w:rsidRPr="008A7BD7">
        <w:rPr>
          <w:rFonts w:ascii="Cambria" w:hAnsi="Cambria"/>
          <w:i/>
          <w:sz w:val="16"/>
          <w:szCs w:val="16"/>
        </w:rPr>
        <w:t xml:space="preserve"> Ruiz Fuentes </w:t>
      </w:r>
      <w:r w:rsidR="003D4D37" w:rsidRPr="008A7BD7">
        <w:rPr>
          <w:rFonts w:ascii="Cambria" w:hAnsi="Cambria"/>
          <w:i/>
          <w:sz w:val="16"/>
          <w:szCs w:val="16"/>
        </w:rPr>
        <w:t>et al. v</w:t>
      </w:r>
      <w:r w:rsidR="009569D6" w:rsidRPr="008A7BD7">
        <w:rPr>
          <w:rFonts w:ascii="Cambria" w:hAnsi="Cambria"/>
          <w:i/>
          <w:sz w:val="16"/>
          <w:szCs w:val="16"/>
        </w:rPr>
        <w:t>. Guatemala</w:t>
      </w:r>
      <w:r w:rsidR="00813F53" w:rsidRPr="008A7BD7">
        <w:rPr>
          <w:rFonts w:ascii="Cambria" w:hAnsi="Cambria"/>
          <w:iCs/>
          <w:sz w:val="16"/>
          <w:szCs w:val="16"/>
        </w:rPr>
        <w:t>,</w:t>
      </w:r>
      <w:r w:rsidR="009569D6" w:rsidRPr="008A7BD7">
        <w:rPr>
          <w:rFonts w:ascii="Cambria" w:hAnsi="Cambria"/>
          <w:iCs/>
          <w:sz w:val="16"/>
          <w:szCs w:val="16"/>
        </w:rPr>
        <w:t xml:space="preserve"> </w:t>
      </w:r>
      <w:r w:rsidR="003D4D37" w:rsidRPr="008A7BD7">
        <w:rPr>
          <w:rFonts w:ascii="Cambria" w:hAnsi="Cambria"/>
          <w:iCs/>
          <w:sz w:val="16"/>
          <w:szCs w:val="16"/>
        </w:rPr>
        <w:t xml:space="preserve">Provisional Measures and Monitoring Compliance with Judgment, Order of the Inter-American Court of Human Rights of September </w:t>
      </w:r>
      <w:r w:rsidR="009569D6" w:rsidRPr="008A7BD7">
        <w:rPr>
          <w:rFonts w:ascii="Cambria" w:hAnsi="Cambria"/>
          <w:iCs/>
          <w:sz w:val="16"/>
          <w:szCs w:val="16"/>
        </w:rPr>
        <w:t>23</w:t>
      </w:r>
      <w:r w:rsidR="003D4D37" w:rsidRPr="008A7BD7">
        <w:rPr>
          <w:rFonts w:ascii="Cambria" w:hAnsi="Cambria"/>
          <w:iCs/>
          <w:sz w:val="16"/>
          <w:szCs w:val="16"/>
        </w:rPr>
        <w:t xml:space="preserve">, </w:t>
      </w:r>
      <w:r w:rsidR="009569D6" w:rsidRPr="008A7BD7">
        <w:rPr>
          <w:rFonts w:ascii="Cambria" w:hAnsi="Cambria"/>
          <w:iCs/>
          <w:sz w:val="16"/>
          <w:szCs w:val="16"/>
        </w:rPr>
        <w:t>2021</w:t>
      </w:r>
      <w:r w:rsidR="003617B5" w:rsidRPr="008A7BD7">
        <w:rPr>
          <w:rFonts w:ascii="Cambria" w:hAnsi="Cambria"/>
          <w:iCs/>
          <w:sz w:val="16"/>
          <w:szCs w:val="16"/>
        </w:rPr>
        <w:t xml:space="preserve">, </w:t>
      </w:r>
      <w:r w:rsidR="003D4D37" w:rsidRPr="008A7BD7">
        <w:rPr>
          <w:rFonts w:ascii="Cambria" w:hAnsi="Cambria"/>
          <w:iCs/>
          <w:sz w:val="16"/>
          <w:szCs w:val="16"/>
        </w:rPr>
        <w:t>paras</w:t>
      </w:r>
      <w:r w:rsidR="003617B5" w:rsidRPr="008A7BD7">
        <w:rPr>
          <w:rFonts w:ascii="Cambria" w:hAnsi="Cambria"/>
          <w:iCs/>
          <w:sz w:val="16"/>
          <w:szCs w:val="16"/>
        </w:rPr>
        <w:t xml:space="preserve">. 61 </w:t>
      </w:r>
      <w:r w:rsidR="003D4D37" w:rsidRPr="008A7BD7">
        <w:rPr>
          <w:rFonts w:ascii="Cambria" w:hAnsi="Cambria"/>
          <w:iCs/>
          <w:sz w:val="16"/>
          <w:szCs w:val="16"/>
        </w:rPr>
        <w:t>and</w:t>
      </w:r>
      <w:r w:rsidR="003617B5" w:rsidRPr="008A7BD7">
        <w:rPr>
          <w:rFonts w:ascii="Cambria" w:hAnsi="Cambria"/>
          <w:iCs/>
          <w:sz w:val="16"/>
          <w:szCs w:val="16"/>
        </w:rPr>
        <w:t xml:space="preserve"> 62.</w:t>
      </w:r>
    </w:p>
  </w:footnote>
  <w:footnote w:id="70">
    <w:p w14:paraId="662D6C1C" w14:textId="7F74D4F7" w:rsidR="00706CD2" w:rsidRPr="008A7BD7" w:rsidRDefault="00706CD2"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rPr>
        <w:t xml:space="preserve"> </w:t>
      </w:r>
      <w:r w:rsidR="001C1237" w:rsidRPr="008A7BD7">
        <w:rPr>
          <w:rFonts w:ascii="Cambria" w:hAnsi="Cambria"/>
          <w:color w:val="000000"/>
          <w:sz w:val="16"/>
          <w:szCs w:val="16"/>
        </w:rPr>
        <w:t xml:space="preserve">For example, in September </w:t>
      </w:r>
      <w:r w:rsidRPr="008A7BD7">
        <w:rPr>
          <w:rFonts w:ascii="Cambria" w:hAnsi="Cambria"/>
          <w:color w:val="000000"/>
          <w:sz w:val="16"/>
          <w:szCs w:val="16"/>
        </w:rPr>
        <w:t xml:space="preserve">2020, </w:t>
      </w:r>
      <w:r w:rsidR="001C1237" w:rsidRPr="008A7BD7">
        <w:rPr>
          <w:rFonts w:ascii="Cambria" w:hAnsi="Cambria"/>
          <w:color w:val="000000"/>
          <w:sz w:val="16"/>
          <w:szCs w:val="16"/>
        </w:rPr>
        <w:t xml:space="preserve">the Attorney General </w:t>
      </w:r>
      <w:r w:rsidR="005F617A" w:rsidRPr="008A7BD7">
        <w:rPr>
          <w:rFonts w:ascii="Cambria" w:hAnsi="Cambria"/>
          <w:color w:val="000000"/>
          <w:sz w:val="16"/>
          <w:szCs w:val="16"/>
        </w:rPr>
        <w:t>withdrew</w:t>
      </w:r>
      <w:r w:rsidR="001C1237" w:rsidRPr="008A7BD7">
        <w:rPr>
          <w:rFonts w:ascii="Cambria" w:hAnsi="Cambria"/>
          <w:color w:val="000000"/>
          <w:sz w:val="16"/>
          <w:szCs w:val="16"/>
        </w:rPr>
        <w:t xml:space="preserve"> the </w:t>
      </w:r>
      <w:r w:rsidRPr="008A7BD7">
        <w:rPr>
          <w:rFonts w:ascii="Cambria" w:hAnsi="Cambria"/>
          <w:color w:val="000000"/>
          <w:sz w:val="16"/>
          <w:szCs w:val="16"/>
        </w:rPr>
        <w:t xml:space="preserve">FECI </w:t>
      </w:r>
      <w:r w:rsidR="001C1237" w:rsidRPr="008A7BD7">
        <w:rPr>
          <w:rFonts w:ascii="Cambria" w:hAnsi="Cambria"/>
          <w:color w:val="000000"/>
          <w:sz w:val="16"/>
          <w:szCs w:val="16"/>
        </w:rPr>
        <w:t>from the investigation into alleged crimes related to the “</w:t>
      </w:r>
      <w:r w:rsidR="000D2109" w:rsidRPr="008A7BD7">
        <w:rPr>
          <w:rFonts w:ascii="Cambria" w:hAnsi="Cambria"/>
          <w:color w:val="000000"/>
          <w:sz w:val="16"/>
          <w:szCs w:val="16"/>
        </w:rPr>
        <w:t>purported</w:t>
      </w:r>
      <w:r w:rsidR="001C1237" w:rsidRPr="008A7BD7">
        <w:rPr>
          <w:rFonts w:ascii="Cambria" w:hAnsi="Cambria"/>
          <w:color w:val="000000"/>
          <w:sz w:val="16"/>
          <w:szCs w:val="16"/>
        </w:rPr>
        <w:t xml:space="preserve"> plot to take </w:t>
      </w:r>
      <w:r w:rsidR="001C1237" w:rsidRPr="008A7BD7">
        <w:rPr>
          <w:rFonts w:ascii="Cambria" w:hAnsi="Cambria"/>
          <w:b/>
          <w:bCs/>
          <w:color w:val="000000"/>
          <w:sz w:val="16"/>
          <w:szCs w:val="16"/>
        </w:rPr>
        <w:t>control</w:t>
      </w:r>
      <w:r w:rsidR="001C1237" w:rsidRPr="008A7BD7">
        <w:rPr>
          <w:rFonts w:ascii="Cambria" w:hAnsi="Cambria"/>
          <w:color w:val="000000"/>
          <w:sz w:val="16"/>
          <w:szCs w:val="16"/>
        </w:rPr>
        <w:t xml:space="preserve"> of the Guatemalan Social Security Institute,” in which </w:t>
      </w:r>
      <w:r w:rsidR="005F617A" w:rsidRPr="008A7BD7">
        <w:rPr>
          <w:rFonts w:ascii="Cambria" w:hAnsi="Cambria"/>
          <w:color w:val="000000"/>
          <w:sz w:val="16"/>
          <w:szCs w:val="16"/>
        </w:rPr>
        <w:t>senior government</w:t>
      </w:r>
      <w:r w:rsidR="001C1237" w:rsidRPr="008A7BD7">
        <w:rPr>
          <w:rFonts w:ascii="Cambria" w:hAnsi="Cambria"/>
          <w:color w:val="000000"/>
          <w:sz w:val="16"/>
          <w:szCs w:val="16"/>
        </w:rPr>
        <w:t xml:space="preserve"> officials </w:t>
      </w:r>
      <w:r w:rsidR="00162D6A" w:rsidRPr="008A7BD7">
        <w:rPr>
          <w:rFonts w:ascii="Cambria" w:hAnsi="Cambria"/>
          <w:color w:val="000000"/>
          <w:sz w:val="16"/>
          <w:szCs w:val="16"/>
        </w:rPr>
        <w:t>may have been</w:t>
      </w:r>
      <w:r w:rsidR="001C1237" w:rsidRPr="008A7BD7">
        <w:rPr>
          <w:rFonts w:ascii="Cambria" w:hAnsi="Cambria"/>
          <w:color w:val="000000"/>
          <w:sz w:val="16"/>
          <w:szCs w:val="16"/>
        </w:rPr>
        <w:t xml:space="preserve"> involved. </w:t>
      </w:r>
      <w:r w:rsidR="002F409F" w:rsidRPr="008A7BD7">
        <w:rPr>
          <w:rFonts w:ascii="Cambria" w:hAnsi="Cambria"/>
          <w:color w:val="000000"/>
          <w:sz w:val="16"/>
          <w:szCs w:val="16"/>
        </w:rPr>
        <w:t xml:space="preserve">Moreover, the Attorney General herself filed administrative complaints against members of the </w:t>
      </w:r>
      <w:r w:rsidRPr="008A7BD7">
        <w:rPr>
          <w:rFonts w:ascii="Cambria" w:hAnsi="Cambria"/>
          <w:color w:val="000000"/>
          <w:sz w:val="16"/>
          <w:szCs w:val="16"/>
        </w:rPr>
        <w:t>FECI</w:t>
      </w:r>
      <w:r w:rsidR="002F409F" w:rsidRPr="008A7BD7">
        <w:rPr>
          <w:rFonts w:ascii="Cambria" w:hAnsi="Cambria"/>
          <w:color w:val="000000"/>
          <w:sz w:val="16"/>
          <w:szCs w:val="16"/>
        </w:rPr>
        <w:t xml:space="preserve"> after they </w:t>
      </w:r>
      <w:r w:rsidR="00162D6A" w:rsidRPr="008A7BD7">
        <w:rPr>
          <w:rFonts w:ascii="Cambria" w:hAnsi="Cambria"/>
          <w:color w:val="000000"/>
          <w:sz w:val="16"/>
          <w:szCs w:val="16"/>
        </w:rPr>
        <w:t xml:space="preserve">brought up the need to file a motion for </w:t>
      </w:r>
      <w:r w:rsidR="002F409F" w:rsidRPr="008A7BD7">
        <w:rPr>
          <w:rFonts w:ascii="Cambria" w:hAnsi="Cambria"/>
          <w:color w:val="000000"/>
          <w:sz w:val="16"/>
          <w:szCs w:val="16"/>
        </w:rPr>
        <w:t xml:space="preserve">impeachment </w:t>
      </w:r>
      <w:r w:rsidR="005F617A" w:rsidRPr="008A7BD7">
        <w:rPr>
          <w:rFonts w:ascii="Cambria" w:hAnsi="Cambria"/>
          <w:color w:val="000000"/>
          <w:sz w:val="16"/>
          <w:szCs w:val="16"/>
        </w:rPr>
        <w:t>(</w:t>
      </w:r>
      <w:proofErr w:type="spellStart"/>
      <w:r w:rsidR="005F617A" w:rsidRPr="008A7BD7">
        <w:rPr>
          <w:rFonts w:ascii="Cambria" w:hAnsi="Cambria"/>
          <w:i/>
          <w:iCs/>
          <w:color w:val="000000"/>
          <w:sz w:val="16"/>
          <w:szCs w:val="16"/>
        </w:rPr>
        <w:t>antejuicio</w:t>
      </w:r>
      <w:proofErr w:type="spellEnd"/>
      <w:r w:rsidR="005F617A" w:rsidRPr="008A7BD7">
        <w:rPr>
          <w:rFonts w:ascii="Cambria" w:hAnsi="Cambria"/>
          <w:color w:val="000000"/>
          <w:sz w:val="16"/>
          <w:szCs w:val="16"/>
        </w:rPr>
        <w:t xml:space="preserve">) </w:t>
      </w:r>
      <w:r w:rsidR="00162D6A" w:rsidRPr="008A7BD7">
        <w:rPr>
          <w:rFonts w:ascii="Cambria" w:hAnsi="Cambria"/>
          <w:color w:val="000000"/>
          <w:sz w:val="16"/>
          <w:szCs w:val="16"/>
        </w:rPr>
        <w:t>against</w:t>
      </w:r>
      <w:r w:rsidR="002F409F" w:rsidRPr="008A7BD7">
        <w:rPr>
          <w:rFonts w:ascii="Cambria" w:hAnsi="Cambria"/>
          <w:color w:val="000000"/>
          <w:sz w:val="16"/>
          <w:szCs w:val="16"/>
        </w:rPr>
        <w:t xml:space="preserve"> the Secretary General of the Office of the President</w:t>
      </w:r>
      <w:r w:rsidRPr="008A7BD7">
        <w:rPr>
          <w:rFonts w:ascii="Cambria" w:hAnsi="Cambria"/>
          <w:color w:val="000000"/>
          <w:sz w:val="16"/>
          <w:szCs w:val="16"/>
        </w:rPr>
        <w:t>.</w:t>
      </w:r>
      <w:r w:rsidR="009569D6" w:rsidRPr="008A7BD7">
        <w:rPr>
          <w:rFonts w:ascii="Cambria" w:hAnsi="Cambria"/>
          <w:sz w:val="16"/>
          <w:szCs w:val="16"/>
        </w:rPr>
        <w:t xml:space="preserve"> </w:t>
      </w:r>
      <w:r w:rsidR="009569D6" w:rsidRPr="008A7BD7">
        <w:rPr>
          <w:rFonts w:ascii="Cambria" w:hAnsi="Cambria"/>
          <w:i/>
          <w:iCs/>
          <w:sz w:val="16"/>
          <w:szCs w:val="16"/>
          <w:lang w:val="es-ES"/>
        </w:rPr>
        <w:t>Soy502</w:t>
      </w:r>
      <w:r w:rsidR="009569D6" w:rsidRPr="008A7BD7">
        <w:rPr>
          <w:rFonts w:ascii="Cambria" w:hAnsi="Cambria"/>
          <w:sz w:val="16"/>
          <w:szCs w:val="16"/>
          <w:lang w:val="es-ES"/>
        </w:rPr>
        <w:t xml:space="preserve">, </w:t>
      </w:r>
      <w:hyperlink r:id="rId65" w:history="1">
        <w:r w:rsidR="009569D6" w:rsidRPr="008A7BD7">
          <w:rPr>
            <w:rStyle w:val="Hyperlink"/>
            <w:rFonts w:ascii="Cambria" w:hAnsi="Cambria"/>
            <w:i/>
            <w:iCs/>
            <w:sz w:val="16"/>
            <w:szCs w:val="16"/>
            <w:lang w:val="es-ES"/>
          </w:rPr>
          <w:t xml:space="preserve">Una solicitud a </w:t>
        </w:r>
        <w:proofErr w:type="spellStart"/>
        <w:r w:rsidR="009569D6" w:rsidRPr="008A7BD7">
          <w:rPr>
            <w:rStyle w:val="Hyperlink"/>
            <w:rFonts w:ascii="Cambria" w:hAnsi="Cambria"/>
            <w:i/>
            <w:iCs/>
            <w:sz w:val="16"/>
            <w:szCs w:val="16"/>
            <w:lang w:val="es-ES"/>
          </w:rPr>
          <w:t>Giammattei</w:t>
        </w:r>
        <w:proofErr w:type="spellEnd"/>
        <w:r w:rsidR="009569D6" w:rsidRPr="008A7BD7">
          <w:rPr>
            <w:rStyle w:val="Hyperlink"/>
            <w:rFonts w:ascii="Cambria" w:hAnsi="Cambria"/>
            <w:i/>
            <w:iCs/>
            <w:sz w:val="16"/>
            <w:szCs w:val="16"/>
            <w:lang w:val="es-ES"/>
          </w:rPr>
          <w:t xml:space="preserve"> provoca la salida del a FECI del caso IGSS</w:t>
        </w:r>
      </w:hyperlink>
      <w:r w:rsidR="002F409F" w:rsidRPr="008A7BD7">
        <w:rPr>
          <w:rFonts w:ascii="Cambria" w:hAnsi="Cambria"/>
          <w:sz w:val="16"/>
          <w:szCs w:val="16"/>
          <w:lang w:val="es-ES"/>
        </w:rPr>
        <w:t>,</w:t>
      </w:r>
      <w:r w:rsidR="009569D6" w:rsidRPr="008A7BD7">
        <w:rPr>
          <w:rFonts w:ascii="Cambria" w:hAnsi="Cambria"/>
          <w:sz w:val="16"/>
          <w:szCs w:val="16"/>
          <w:lang w:val="es-ES"/>
        </w:rPr>
        <w:t xml:space="preserve"> </w:t>
      </w:r>
      <w:proofErr w:type="spellStart"/>
      <w:r w:rsidR="002F409F" w:rsidRPr="008A7BD7">
        <w:rPr>
          <w:rFonts w:ascii="Cambria" w:hAnsi="Cambria"/>
          <w:sz w:val="16"/>
          <w:szCs w:val="16"/>
          <w:lang w:val="es-ES"/>
        </w:rPr>
        <w:t>September</w:t>
      </w:r>
      <w:proofErr w:type="spellEnd"/>
      <w:r w:rsidR="002F409F" w:rsidRPr="008A7BD7">
        <w:rPr>
          <w:rFonts w:ascii="Cambria" w:hAnsi="Cambria"/>
          <w:sz w:val="16"/>
          <w:szCs w:val="16"/>
          <w:lang w:val="es-ES"/>
        </w:rPr>
        <w:t xml:space="preserve"> </w:t>
      </w:r>
      <w:r w:rsidR="009569D6" w:rsidRPr="008A7BD7">
        <w:rPr>
          <w:rFonts w:ascii="Cambria" w:hAnsi="Cambria"/>
          <w:sz w:val="16"/>
          <w:szCs w:val="16"/>
          <w:lang w:val="es-ES"/>
        </w:rPr>
        <w:t>14</w:t>
      </w:r>
      <w:r w:rsidR="002F409F" w:rsidRPr="008A7BD7">
        <w:rPr>
          <w:rFonts w:ascii="Cambria" w:hAnsi="Cambria"/>
          <w:sz w:val="16"/>
          <w:szCs w:val="16"/>
          <w:lang w:val="es-ES"/>
        </w:rPr>
        <w:t xml:space="preserve">, </w:t>
      </w:r>
      <w:r w:rsidR="009569D6" w:rsidRPr="008A7BD7">
        <w:rPr>
          <w:rFonts w:ascii="Cambria" w:hAnsi="Cambria"/>
          <w:sz w:val="16"/>
          <w:szCs w:val="16"/>
          <w:lang w:val="es-ES"/>
        </w:rPr>
        <w:t xml:space="preserve">2020. </w:t>
      </w:r>
    </w:p>
  </w:footnote>
  <w:footnote w:id="71">
    <w:p w14:paraId="77995C17" w14:textId="4C451162" w:rsidR="00706CD2" w:rsidRPr="008A7BD7" w:rsidRDefault="00706CD2"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C1237" w:rsidRPr="008A7BD7">
        <w:rPr>
          <w:rFonts w:ascii="Cambria" w:hAnsi="Cambria"/>
          <w:sz w:val="16"/>
          <w:szCs w:val="16"/>
        </w:rPr>
        <w:t>IACHR, 181</w:t>
      </w:r>
      <w:r w:rsidR="001C1237" w:rsidRPr="008A7BD7">
        <w:rPr>
          <w:rFonts w:ascii="Cambria" w:hAnsi="Cambria"/>
          <w:sz w:val="16"/>
          <w:szCs w:val="16"/>
          <w:vertAlign w:val="superscript"/>
        </w:rPr>
        <w:t>st</w:t>
      </w:r>
      <w:r w:rsidR="001C1237" w:rsidRPr="008A7BD7">
        <w:rPr>
          <w:rFonts w:ascii="Cambria" w:hAnsi="Cambria"/>
          <w:sz w:val="16"/>
          <w:szCs w:val="16"/>
        </w:rPr>
        <w:t xml:space="preserve"> period of sessions, </w:t>
      </w:r>
      <w:r w:rsidR="001A17F5" w:rsidRPr="008A7BD7">
        <w:rPr>
          <w:rFonts w:ascii="Cambria" w:hAnsi="Cambria"/>
          <w:sz w:val="16"/>
          <w:szCs w:val="16"/>
        </w:rPr>
        <w:t>“</w:t>
      </w:r>
      <w:hyperlink r:id="rId66" w:history="1">
        <w:r w:rsidR="001A17F5" w:rsidRPr="008A7BD7">
          <w:rPr>
            <w:rStyle w:val="Hyperlink"/>
            <w:rFonts w:ascii="Cambria" w:hAnsi="Cambria"/>
            <w:sz w:val="16"/>
            <w:szCs w:val="16"/>
          </w:rPr>
          <w:t>Human Rights Situation of Justice Operators and Judicial Independence in Guatemala</w:t>
        </w:r>
      </w:hyperlink>
      <w:r w:rsidR="001A17F5" w:rsidRPr="008A7BD7">
        <w:rPr>
          <w:rFonts w:ascii="Cambria" w:hAnsi="Cambria"/>
          <w:sz w:val="16"/>
          <w:szCs w:val="16"/>
        </w:rPr>
        <w:t>,”</w:t>
      </w:r>
      <w:r w:rsidR="001C1237" w:rsidRPr="008A7BD7">
        <w:rPr>
          <w:rFonts w:ascii="Cambria" w:hAnsi="Cambria"/>
          <w:sz w:val="16"/>
          <w:szCs w:val="16"/>
        </w:rPr>
        <w:t xml:space="preserve"> public hearing held on October 28, </w:t>
      </w:r>
      <w:r w:rsidR="001C1237" w:rsidRPr="008A7BD7">
        <w:rPr>
          <w:rFonts w:ascii="Cambria" w:eastAsia="Cambria" w:hAnsi="Cambria" w:cs="Cambria"/>
          <w:sz w:val="16"/>
          <w:szCs w:val="16"/>
        </w:rPr>
        <w:t>2021</w:t>
      </w:r>
      <w:r w:rsidRPr="008A7BD7">
        <w:rPr>
          <w:rFonts w:ascii="Cambria" w:eastAsia="Cambria" w:hAnsi="Cambria" w:cs="Cambria"/>
          <w:sz w:val="16"/>
          <w:szCs w:val="16"/>
        </w:rPr>
        <w:t>.</w:t>
      </w:r>
    </w:p>
  </w:footnote>
  <w:footnote w:id="72">
    <w:p w14:paraId="224C2914" w14:textId="60B28A0A" w:rsidR="00706CD2" w:rsidRPr="008A7BD7" w:rsidRDefault="00706CD2"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813F53" w:rsidRPr="008A7BD7">
        <w:rPr>
          <w:rFonts w:ascii="Cambria" w:hAnsi="Cambria"/>
          <w:sz w:val="16"/>
          <w:szCs w:val="16"/>
        </w:rPr>
        <w:t xml:space="preserve">Press </w:t>
      </w:r>
      <w:r w:rsidR="00467F76" w:rsidRPr="008A7BD7">
        <w:rPr>
          <w:rFonts w:ascii="Cambria" w:hAnsi="Cambria"/>
          <w:sz w:val="16"/>
          <w:szCs w:val="16"/>
        </w:rPr>
        <w:t>R</w:t>
      </w:r>
      <w:r w:rsidR="00813F53" w:rsidRPr="008A7BD7">
        <w:rPr>
          <w:rFonts w:ascii="Cambria" w:hAnsi="Cambria"/>
          <w:sz w:val="16"/>
          <w:szCs w:val="16"/>
        </w:rPr>
        <w:t xml:space="preserve">elease, </w:t>
      </w:r>
      <w:r w:rsidR="003617B5" w:rsidRPr="008A7BD7">
        <w:rPr>
          <w:rFonts w:ascii="Cambria" w:hAnsi="Cambria"/>
          <w:sz w:val="16"/>
          <w:szCs w:val="16"/>
        </w:rPr>
        <w:t xml:space="preserve">Twitter </w:t>
      </w:r>
      <w:r w:rsidR="00813F53" w:rsidRPr="008A7BD7">
        <w:rPr>
          <w:rFonts w:ascii="Cambria" w:hAnsi="Cambria"/>
          <w:sz w:val="16"/>
          <w:szCs w:val="16"/>
        </w:rPr>
        <w:t>account of</w:t>
      </w:r>
      <w:r w:rsidR="003617B5" w:rsidRPr="008A7BD7">
        <w:rPr>
          <w:rFonts w:ascii="Cambria" w:hAnsi="Cambria"/>
          <w:sz w:val="16"/>
          <w:szCs w:val="16"/>
        </w:rPr>
        <w:t xml:space="preserve"> Impunity Watch Guatemala (@GuatemalaGob), </w:t>
      </w:r>
      <w:hyperlink r:id="rId67" w:history="1">
        <w:r w:rsidR="003617B5" w:rsidRPr="008A7BD7">
          <w:rPr>
            <w:rStyle w:val="Hyperlink"/>
            <w:rFonts w:ascii="Cambria" w:hAnsi="Cambria"/>
            <w:sz w:val="16"/>
            <w:szCs w:val="16"/>
          </w:rPr>
          <w:t>p</w:t>
        </w:r>
        <w:r w:rsidR="00813F53" w:rsidRPr="008A7BD7">
          <w:rPr>
            <w:rStyle w:val="Hyperlink"/>
            <w:rFonts w:ascii="Cambria" w:hAnsi="Cambria"/>
            <w:sz w:val="16"/>
            <w:szCs w:val="16"/>
          </w:rPr>
          <w:t>osting of November</w:t>
        </w:r>
        <w:r w:rsidR="003617B5" w:rsidRPr="008A7BD7">
          <w:rPr>
            <w:rStyle w:val="Hyperlink"/>
            <w:rFonts w:ascii="Cambria" w:hAnsi="Cambria"/>
            <w:sz w:val="16"/>
            <w:szCs w:val="16"/>
          </w:rPr>
          <w:t xml:space="preserve"> 8</w:t>
        </w:r>
        <w:r w:rsidR="00813F53" w:rsidRPr="008A7BD7">
          <w:rPr>
            <w:rStyle w:val="Hyperlink"/>
            <w:rFonts w:ascii="Cambria" w:hAnsi="Cambria"/>
            <w:sz w:val="16"/>
            <w:szCs w:val="16"/>
          </w:rPr>
          <w:t>,</w:t>
        </w:r>
        <w:r w:rsidR="003617B5" w:rsidRPr="008A7BD7">
          <w:rPr>
            <w:rStyle w:val="Hyperlink"/>
            <w:rFonts w:ascii="Cambria" w:hAnsi="Cambria"/>
            <w:sz w:val="16"/>
            <w:szCs w:val="16"/>
          </w:rPr>
          <w:t xml:space="preserve"> 2021</w:t>
        </w:r>
      </w:hyperlink>
      <w:r w:rsidR="003617B5" w:rsidRPr="008A7BD7">
        <w:rPr>
          <w:rFonts w:ascii="Cambria" w:hAnsi="Cambria"/>
          <w:sz w:val="16"/>
          <w:szCs w:val="16"/>
        </w:rPr>
        <w:t>.</w:t>
      </w:r>
    </w:p>
  </w:footnote>
  <w:footnote w:id="73">
    <w:p w14:paraId="5ED0B1BD" w14:textId="30159988" w:rsidR="00706CD2" w:rsidRPr="008A7BD7" w:rsidRDefault="00706CD2"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813F53" w:rsidRPr="008A7BD7">
        <w:rPr>
          <w:rFonts w:ascii="Cambria" w:hAnsi="Cambria"/>
          <w:iCs/>
          <w:sz w:val="16"/>
          <w:szCs w:val="16"/>
        </w:rPr>
        <w:t xml:space="preserve">I/A Court H.R., </w:t>
      </w:r>
      <w:r w:rsidR="00813F53" w:rsidRPr="008A7BD7">
        <w:rPr>
          <w:rFonts w:ascii="Cambria" w:hAnsi="Cambria"/>
          <w:i/>
          <w:sz w:val="16"/>
          <w:szCs w:val="16"/>
        </w:rPr>
        <w:t xml:space="preserve">Case of Valenzuela </w:t>
      </w:r>
      <w:proofErr w:type="gramStart"/>
      <w:r w:rsidR="00813F53" w:rsidRPr="008A7BD7">
        <w:rPr>
          <w:rFonts w:ascii="Cambria" w:hAnsi="Cambria"/>
          <w:i/>
          <w:sz w:val="16"/>
          <w:szCs w:val="16"/>
        </w:rPr>
        <w:t>Ávila</w:t>
      </w:r>
      <w:proofErr w:type="gramEnd"/>
      <w:r w:rsidR="00813F53" w:rsidRPr="008A7BD7">
        <w:rPr>
          <w:rFonts w:ascii="Cambria" w:hAnsi="Cambria"/>
          <w:i/>
          <w:sz w:val="16"/>
          <w:szCs w:val="16"/>
        </w:rPr>
        <w:t xml:space="preserve"> and Case of Ruiz Fuentes et al. v. Guatemala</w:t>
      </w:r>
      <w:r w:rsidR="00813F53" w:rsidRPr="008A7BD7">
        <w:rPr>
          <w:rFonts w:ascii="Cambria" w:hAnsi="Cambria"/>
          <w:iCs/>
          <w:sz w:val="16"/>
          <w:szCs w:val="16"/>
        </w:rPr>
        <w:t>, Provisional Measures and Monitoring Compliance with Judgment, Order of the Inter-American Court of Human Rights of September 23, 2021</w:t>
      </w:r>
      <w:r w:rsidR="003617B5" w:rsidRPr="008A7BD7">
        <w:rPr>
          <w:rFonts w:ascii="Cambria" w:hAnsi="Cambria"/>
          <w:iCs/>
          <w:sz w:val="16"/>
          <w:szCs w:val="16"/>
        </w:rPr>
        <w:t>.</w:t>
      </w:r>
    </w:p>
  </w:footnote>
  <w:footnote w:id="74">
    <w:p w14:paraId="073F98D3" w14:textId="06492B75" w:rsidR="00706CD2" w:rsidRPr="008A7BD7" w:rsidRDefault="00706CD2"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002C7332" w:rsidRPr="008A7BD7">
        <w:rPr>
          <w:rFonts w:ascii="Cambria" w:hAnsi="Cambria"/>
          <w:sz w:val="16"/>
          <w:szCs w:val="16"/>
          <w:lang w:val="es-US"/>
        </w:rPr>
        <w:t xml:space="preserve">Office of </w:t>
      </w:r>
      <w:proofErr w:type="spellStart"/>
      <w:r w:rsidR="002C7332" w:rsidRPr="008A7BD7">
        <w:rPr>
          <w:rFonts w:ascii="Cambria" w:hAnsi="Cambria"/>
          <w:sz w:val="16"/>
          <w:szCs w:val="16"/>
          <w:lang w:val="es-US"/>
        </w:rPr>
        <w:t>the</w:t>
      </w:r>
      <w:proofErr w:type="spellEnd"/>
      <w:r w:rsidR="002C7332" w:rsidRPr="008A7BD7">
        <w:rPr>
          <w:rFonts w:ascii="Cambria" w:hAnsi="Cambria"/>
          <w:sz w:val="16"/>
          <w:szCs w:val="16"/>
          <w:lang w:val="es-US"/>
        </w:rPr>
        <w:t xml:space="preserve"> </w:t>
      </w:r>
      <w:proofErr w:type="spellStart"/>
      <w:r w:rsidR="002C7332" w:rsidRPr="008A7BD7">
        <w:rPr>
          <w:rFonts w:ascii="Cambria" w:hAnsi="Cambria"/>
          <w:sz w:val="16"/>
          <w:szCs w:val="16"/>
          <w:lang w:val="es-US"/>
        </w:rPr>
        <w:t>Public</w:t>
      </w:r>
      <w:proofErr w:type="spellEnd"/>
      <w:r w:rsidR="002C7332" w:rsidRPr="008A7BD7">
        <w:rPr>
          <w:rFonts w:ascii="Cambria" w:hAnsi="Cambria"/>
          <w:sz w:val="16"/>
          <w:szCs w:val="16"/>
          <w:lang w:val="es-US"/>
        </w:rPr>
        <w:t xml:space="preserve"> </w:t>
      </w:r>
      <w:proofErr w:type="spellStart"/>
      <w:r w:rsidR="002C7332" w:rsidRPr="008A7BD7">
        <w:rPr>
          <w:rFonts w:ascii="Cambria" w:hAnsi="Cambria"/>
          <w:sz w:val="16"/>
          <w:szCs w:val="16"/>
          <w:lang w:val="es-US"/>
        </w:rPr>
        <w:t>Prosecutor</w:t>
      </w:r>
      <w:proofErr w:type="spellEnd"/>
      <w:r w:rsidR="002C7332" w:rsidRPr="008A7BD7">
        <w:rPr>
          <w:rFonts w:ascii="Cambria" w:hAnsi="Cambria"/>
          <w:sz w:val="16"/>
          <w:szCs w:val="16"/>
          <w:lang w:val="es-US"/>
        </w:rPr>
        <w:t xml:space="preserve"> (</w:t>
      </w:r>
      <w:r w:rsidR="003617B5" w:rsidRPr="008A7BD7">
        <w:rPr>
          <w:rFonts w:ascii="Cambria" w:hAnsi="Cambria"/>
          <w:i/>
          <w:iCs/>
          <w:sz w:val="16"/>
          <w:szCs w:val="16"/>
          <w:lang w:val="es-US"/>
        </w:rPr>
        <w:t>Ministerio Público</w:t>
      </w:r>
      <w:r w:rsidR="002C7332" w:rsidRPr="008A7BD7">
        <w:rPr>
          <w:rFonts w:ascii="Cambria" w:hAnsi="Cambria"/>
          <w:sz w:val="16"/>
          <w:szCs w:val="16"/>
          <w:lang w:val="es-US"/>
        </w:rPr>
        <w:t>)</w:t>
      </w:r>
      <w:r w:rsidR="003617B5" w:rsidRPr="008A7BD7">
        <w:rPr>
          <w:rFonts w:ascii="Cambria" w:hAnsi="Cambria"/>
          <w:sz w:val="16"/>
          <w:szCs w:val="16"/>
          <w:lang w:val="es-US"/>
        </w:rPr>
        <w:t xml:space="preserve">, </w:t>
      </w:r>
      <w:hyperlink r:id="rId68" w:history="1">
        <w:proofErr w:type="spellStart"/>
        <w:r w:rsidR="00467F76" w:rsidRPr="008A7BD7">
          <w:rPr>
            <w:rStyle w:val="Hyperlink"/>
            <w:rFonts w:ascii="Cambria" w:hAnsi="Cambria"/>
            <w:sz w:val="16"/>
            <w:szCs w:val="16"/>
            <w:lang w:val="es-US"/>
          </w:rPr>
          <w:t>P</w:t>
        </w:r>
        <w:r w:rsidR="002C7332" w:rsidRPr="008A7BD7">
          <w:rPr>
            <w:rStyle w:val="Hyperlink"/>
            <w:rFonts w:ascii="Cambria" w:hAnsi="Cambria"/>
            <w:sz w:val="16"/>
            <w:szCs w:val="16"/>
            <w:lang w:val="es-US"/>
          </w:rPr>
          <w:t>ress</w:t>
        </w:r>
        <w:proofErr w:type="spellEnd"/>
        <w:r w:rsidR="002C7332" w:rsidRPr="008A7BD7">
          <w:rPr>
            <w:rStyle w:val="Hyperlink"/>
            <w:rFonts w:ascii="Cambria" w:hAnsi="Cambria"/>
            <w:sz w:val="16"/>
            <w:szCs w:val="16"/>
            <w:lang w:val="es-US"/>
          </w:rPr>
          <w:t xml:space="preserve"> </w:t>
        </w:r>
        <w:proofErr w:type="spellStart"/>
        <w:r w:rsidR="00467F76" w:rsidRPr="008A7BD7">
          <w:rPr>
            <w:rStyle w:val="Hyperlink"/>
            <w:rFonts w:ascii="Cambria" w:hAnsi="Cambria"/>
            <w:sz w:val="16"/>
            <w:szCs w:val="16"/>
            <w:lang w:val="es-US"/>
          </w:rPr>
          <w:t>R</w:t>
        </w:r>
        <w:r w:rsidR="002C7332" w:rsidRPr="008A7BD7">
          <w:rPr>
            <w:rStyle w:val="Hyperlink"/>
            <w:rFonts w:ascii="Cambria" w:hAnsi="Cambria"/>
            <w:sz w:val="16"/>
            <w:szCs w:val="16"/>
            <w:lang w:val="es-US"/>
          </w:rPr>
          <w:t>elease</w:t>
        </w:r>
        <w:proofErr w:type="spellEnd"/>
      </w:hyperlink>
      <w:r w:rsidR="003617B5" w:rsidRPr="008A7BD7">
        <w:rPr>
          <w:rFonts w:ascii="Cambria" w:hAnsi="Cambria"/>
          <w:sz w:val="16"/>
          <w:szCs w:val="16"/>
          <w:lang w:val="es-US"/>
        </w:rPr>
        <w:t xml:space="preserve">, </w:t>
      </w:r>
      <w:proofErr w:type="spellStart"/>
      <w:r w:rsidR="00C0361E" w:rsidRPr="008A7BD7">
        <w:rPr>
          <w:rFonts w:ascii="Cambria" w:hAnsi="Cambria"/>
          <w:sz w:val="16"/>
          <w:szCs w:val="16"/>
          <w:lang w:val="es-US"/>
        </w:rPr>
        <w:t>October</w:t>
      </w:r>
      <w:proofErr w:type="spellEnd"/>
      <w:r w:rsidR="00C0361E" w:rsidRPr="008A7BD7">
        <w:rPr>
          <w:rFonts w:ascii="Cambria" w:hAnsi="Cambria"/>
          <w:sz w:val="16"/>
          <w:szCs w:val="16"/>
          <w:lang w:val="es-US"/>
        </w:rPr>
        <w:t xml:space="preserve"> </w:t>
      </w:r>
      <w:r w:rsidR="003617B5" w:rsidRPr="008A7BD7">
        <w:rPr>
          <w:rFonts w:ascii="Cambria" w:hAnsi="Cambria"/>
          <w:sz w:val="16"/>
          <w:szCs w:val="16"/>
          <w:lang w:val="es-US"/>
        </w:rPr>
        <w:t>11</w:t>
      </w:r>
      <w:r w:rsidR="00C0361E" w:rsidRPr="008A7BD7">
        <w:rPr>
          <w:rFonts w:ascii="Cambria" w:hAnsi="Cambria"/>
          <w:sz w:val="16"/>
          <w:szCs w:val="16"/>
          <w:lang w:val="es-US"/>
        </w:rPr>
        <w:t xml:space="preserve">, </w:t>
      </w:r>
      <w:r w:rsidR="003617B5" w:rsidRPr="008A7BD7">
        <w:rPr>
          <w:rFonts w:ascii="Cambria" w:hAnsi="Cambria"/>
          <w:sz w:val="16"/>
          <w:szCs w:val="16"/>
          <w:lang w:val="es-US"/>
        </w:rPr>
        <w:t xml:space="preserve">2021; </w:t>
      </w:r>
      <w:r w:rsidR="003617B5" w:rsidRPr="008A7BD7">
        <w:rPr>
          <w:rFonts w:ascii="Cambria" w:hAnsi="Cambria"/>
          <w:i/>
          <w:sz w:val="16"/>
          <w:szCs w:val="16"/>
          <w:lang w:val="es-US"/>
        </w:rPr>
        <w:t>Prensa Libre</w:t>
      </w:r>
      <w:r w:rsidR="003617B5" w:rsidRPr="008A7BD7">
        <w:rPr>
          <w:rFonts w:ascii="Cambria" w:hAnsi="Cambria"/>
          <w:iCs/>
          <w:sz w:val="16"/>
          <w:szCs w:val="16"/>
          <w:lang w:val="es-US"/>
        </w:rPr>
        <w:t xml:space="preserve">, </w:t>
      </w:r>
      <w:hyperlink r:id="rId69" w:history="1">
        <w:r w:rsidR="003617B5" w:rsidRPr="008A7BD7">
          <w:rPr>
            <w:rStyle w:val="Hyperlink"/>
            <w:rFonts w:ascii="Cambria" w:hAnsi="Cambria"/>
            <w:i/>
            <w:iCs/>
            <w:sz w:val="16"/>
            <w:szCs w:val="16"/>
            <w:lang w:val="es-US"/>
          </w:rPr>
          <w:t>Consuelo Porras hace rotaciones en 11 fiscalías entre ellas la de derechos humanos cuya ex titular llevó a juicio a Ríos Montt</w:t>
        </w:r>
      </w:hyperlink>
      <w:r w:rsidR="00C0361E" w:rsidRPr="008A7BD7">
        <w:rPr>
          <w:rStyle w:val="Hyperlink"/>
          <w:rFonts w:ascii="Cambria" w:hAnsi="Cambria"/>
          <w:iCs/>
          <w:sz w:val="16"/>
          <w:szCs w:val="16"/>
          <w:lang w:val="es-US"/>
        </w:rPr>
        <w:t>,</w:t>
      </w:r>
      <w:r w:rsidR="003617B5" w:rsidRPr="008A7BD7">
        <w:rPr>
          <w:rFonts w:ascii="Cambria" w:hAnsi="Cambria"/>
          <w:iCs/>
          <w:sz w:val="16"/>
          <w:szCs w:val="16"/>
          <w:lang w:val="es-US"/>
        </w:rPr>
        <w:t xml:space="preserve"> </w:t>
      </w:r>
      <w:proofErr w:type="spellStart"/>
      <w:r w:rsidR="00C0361E" w:rsidRPr="008A7BD7">
        <w:rPr>
          <w:rFonts w:ascii="Cambria" w:hAnsi="Cambria"/>
          <w:iCs/>
          <w:sz w:val="16"/>
          <w:szCs w:val="16"/>
          <w:lang w:val="es-US"/>
        </w:rPr>
        <w:t>October</w:t>
      </w:r>
      <w:proofErr w:type="spellEnd"/>
      <w:r w:rsidR="00C0361E" w:rsidRPr="008A7BD7">
        <w:rPr>
          <w:rFonts w:ascii="Cambria" w:hAnsi="Cambria"/>
          <w:iCs/>
          <w:sz w:val="16"/>
          <w:szCs w:val="16"/>
          <w:lang w:val="es-US"/>
        </w:rPr>
        <w:t xml:space="preserve"> </w:t>
      </w:r>
      <w:r w:rsidR="003617B5" w:rsidRPr="008A7BD7">
        <w:rPr>
          <w:rFonts w:ascii="Cambria" w:hAnsi="Cambria"/>
          <w:iCs/>
          <w:sz w:val="16"/>
          <w:szCs w:val="16"/>
          <w:lang w:val="es-US"/>
        </w:rPr>
        <w:t>11</w:t>
      </w:r>
      <w:r w:rsidR="00C0361E" w:rsidRPr="008A7BD7">
        <w:rPr>
          <w:rFonts w:ascii="Cambria" w:hAnsi="Cambria"/>
          <w:iCs/>
          <w:sz w:val="16"/>
          <w:szCs w:val="16"/>
          <w:lang w:val="es-US"/>
        </w:rPr>
        <w:t xml:space="preserve">, </w:t>
      </w:r>
      <w:r w:rsidR="003617B5" w:rsidRPr="008A7BD7">
        <w:rPr>
          <w:rFonts w:ascii="Cambria" w:hAnsi="Cambria"/>
          <w:iCs/>
          <w:sz w:val="16"/>
          <w:szCs w:val="16"/>
          <w:lang w:val="es-US"/>
        </w:rPr>
        <w:t>2021.</w:t>
      </w:r>
    </w:p>
  </w:footnote>
  <w:footnote w:id="75">
    <w:p w14:paraId="18D758AC" w14:textId="65EBCD21" w:rsidR="00706CD2" w:rsidRPr="008A7BD7" w:rsidRDefault="00706CD2" w:rsidP="00746761">
      <w:pPr>
        <w:spacing w:after="120"/>
        <w:ind w:firstLine="720"/>
        <w:jc w:val="both"/>
        <w:rPr>
          <w:rFonts w:ascii="Cambria" w:hAnsi="Cambria"/>
          <w:iCs/>
          <w:sz w:val="16"/>
          <w:szCs w:val="16"/>
          <w:lang w:val="es-CO"/>
        </w:rPr>
      </w:pPr>
      <w:r w:rsidRPr="008A7BD7">
        <w:rPr>
          <w:rStyle w:val="FootnoteReference"/>
          <w:rFonts w:ascii="Cambria" w:hAnsi="Cambria"/>
          <w:sz w:val="16"/>
          <w:szCs w:val="16"/>
        </w:rPr>
        <w:footnoteRef/>
      </w:r>
      <w:r w:rsidRPr="008A7BD7">
        <w:rPr>
          <w:rFonts w:ascii="Cambria" w:hAnsi="Cambria"/>
          <w:sz w:val="16"/>
          <w:szCs w:val="16"/>
        </w:rPr>
        <w:t xml:space="preserve"> </w:t>
      </w:r>
      <w:r w:rsidR="006869F4" w:rsidRPr="008A7BD7">
        <w:rPr>
          <w:rFonts w:ascii="Cambria" w:hAnsi="Cambria"/>
          <w:iCs/>
          <w:sz w:val="16"/>
          <w:szCs w:val="16"/>
        </w:rPr>
        <w:t>According to public</w:t>
      </w:r>
      <w:r w:rsidR="000C5524" w:rsidRPr="008A7BD7">
        <w:rPr>
          <w:rFonts w:ascii="Cambria" w:hAnsi="Cambria"/>
          <w:iCs/>
          <w:sz w:val="16"/>
          <w:szCs w:val="16"/>
        </w:rPr>
        <w:t xml:space="preserve"> </w:t>
      </w:r>
      <w:r w:rsidR="006869F4" w:rsidRPr="008A7BD7">
        <w:rPr>
          <w:rFonts w:ascii="Cambria" w:hAnsi="Cambria"/>
          <w:iCs/>
          <w:sz w:val="16"/>
          <w:szCs w:val="16"/>
        </w:rPr>
        <w:t xml:space="preserve">information, Prosecutor </w:t>
      </w:r>
      <w:r w:rsidRPr="008A7BD7">
        <w:rPr>
          <w:rFonts w:ascii="Cambria" w:hAnsi="Cambria"/>
          <w:iCs/>
          <w:sz w:val="16"/>
          <w:szCs w:val="16"/>
        </w:rPr>
        <w:t xml:space="preserve">Hilda Pineda </w:t>
      </w:r>
      <w:r w:rsidR="006869F4" w:rsidRPr="008A7BD7">
        <w:rPr>
          <w:rFonts w:ascii="Cambria" w:hAnsi="Cambria"/>
          <w:iCs/>
          <w:sz w:val="16"/>
          <w:szCs w:val="16"/>
        </w:rPr>
        <w:t xml:space="preserve">and her team have pursued criminal charges against perpetrators of crimes of genocide, forced disappearance, sexual violence, extrajudicial executions, torture, and crimes against humanity committed during the internal armed conflict </w:t>
      </w:r>
      <w:r w:rsidRPr="008A7BD7">
        <w:rPr>
          <w:rFonts w:ascii="Cambria" w:hAnsi="Cambria"/>
          <w:iCs/>
          <w:sz w:val="16"/>
          <w:szCs w:val="16"/>
        </w:rPr>
        <w:t xml:space="preserve">(1960-1996). </w:t>
      </w:r>
      <w:r w:rsidR="006869F4" w:rsidRPr="008A7BD7">
        <w:rPr>
          <w:rFonts w:ascii="Cambria" w:hAnsi="Cambria"/>
          <w:iCs/>
          <w:sz w:val="16"/>
          <w:szCs w:val="16"/>
        </w:rPr>
        <w:t xml:space="preserve">She obtained convictions of former members of the military responsible for the </w:t>
      </w:r>
      <w:r w:rsidRPr="008A7BD7">
        <w:rPr>
          <w:rFonts w:ascii="Cambria" w:hAnsi="Cambria"/>
          <w:iCs/>
          <w:sz w:val="16"/>
          <w:szCs w:val="16"/>
        </w:rPr>
        <w:t xml:space="preserve">Dos </w:t>
      </w:r>
      <w:proofErr w:type="spellStart"/>
      <w:r w:rsidRPr="008A7BD7">
        <w:rPr>
          <w:rFonts w:ascii="Cambria" w:hAnsi="Cambria"/>
          <w:iCs/>
          <w:sz w:val="16"/>
          <w:szCs w:val="16"/>
        </w:rPr>
        <w:t>Erres</w:t>
      </w:r>
      <w:proofErr w:type="spellEnd"/>
      <w:r w:rsidR="006869F4" w:rsidRPr="008A7BD7">
        <w:rPr>
          <w:rFonts w:ascii="Cambria" w:hAnsi="Cambria"/>
          <w:iCs/>
          <w:sz w:val="16"/>
          <w:szCs w:val="16"/>
        </w:rPr>
        <w:t xml:space="preserve"> </w:t>
      </w:r>
      <w:r w:rsidR="00884320" w:rsidRPr="008A7BD7">
        <w:rPr>
          <w:rFonts w:ascii="Cambria" w:hAnsi="Cambria"/>
          <w:iCs/>
          <w:sz w:val="16"/>
          <w:szCs w:val="16"/>
        </w:rPr>
        <w:t>m</w:t>
      </w:r>
      <w:r w:rsidR="006869F4" w:rsidRPr="008A7BD7">
        <w:rPr>
          <w:rFonts w:ascii="Cambria" w:hAnsi="Cambria"/>
          <w:iCs/>
          <w:sz w:val="16"/>
          <w:szCs w:val="16"/>
        </w:rPr>
        <w:t>assacre</w:t>
      </w:r>
      <w:r w:rsidRPr="008A7BD7">
        <w:rPr>
          <w:rFonts w:ascii="Cambria" w:hAnsi="Cambria"/>
          <w:iCs/>
          <w:sz w:val="16"/>
          <w:szCs w:val="16"/>
        </w:rPr>
        <w:t xml:space="preserve"> (1982), </w:t>
      </w:r>
      <w:r w:rsidR="006869F4" w:rsidRPr="008A7BD7">
        <w:rPr>
          <w:rFonts w:ascii="Cambria" w:hAnsi="Cambria"/>
          <w:iCs/>
          <w:sz w:val="16"/>
          <w:szCs w:val="16"/>
        </w:rPr>
        <w:t xml:space="preserve">as well as taking dictator </w:t>
      </w:r>
      <w:proofErr w:type="spellStart"/>
      <w:r w:rsidRPr="008A7BD7">
        <w:rPr>
          <w:rFonts w:ascii="Cambria" w:hAnsi="Cambria"/>
          <w:iCs/>
          <w:sz w:val="16"/>
          <w:szCs w:val="16"/>
        </w:rPr>
        <w:t>Efraín</w:t>
      </w:r>
      <w:proofErr w:type="spellEnd"/>
      <w:r w:rsidRPr="008A7BD7">
        <w:rPr>
          <w:rFonts w:ascii="Cambria" w:hAnsi="Cambria"/>
          <w:iCs/>
          <w:sz w:val="16"/>
          <w:szCs w:val="16"/>
        </w:rPr>
        <w:t xml:space="preserve"> Ríos Montt </w:t>
      </w:r>
      <w:r w:rsidR="006869F4" w:rsidRPr="008A7BD7">
        <w:rPr>
          <w:rFonts w:ascii="Cambria" w:hAnsi="Cambria"/>
          <w:iCs/>
          <w:sz w:val="16"/>
          <w:szCs w:val="16"/>
        </w:rPr>
        <w:t xml:space="preserve">to trial for genocide and crimes against humanity against the </w:t>
      </w:r>
      <w:r w:rsidRPr="008A7BD7">
        <w:rPr>
          <w:rFonts w:ascii="Cambria" w:hAnsi="Cambria"/>
          <w:iCs/>
          <w:sz w:val="16"/>
          <w:szCs w:val="16"/>
        </w:rPr>
        <w:t xml:space="preserve">Maya </w:t>
      </w:r>
      <w:proofErr w:type="spellStart"/>
      <w:r w:rsidRPr="008A7BD7">
        <w:rPr>
          <w:rFonts w:ascii="Cambria" w:hAnsi="Cambria"/>
          <w:iCs/>
          <w:sz w:val="16"/>
          <w:szCs w:val="16"/>
        </w:rPr>
        <w:t>Ixil</w:t>
      </w:r>
      <w:proofErr w:type="spellEnd"/>
      <w:r w:rsidR="006869F4" w:rsidRPr="008A7BD7">
        <w:rPr>
          <w:rFonts w:ascii="Cambria" w:hAnsi="Cambria"/>
          <w:iCs/>
          <w:sz w:val="16"/>
          <w:szCs w:val="16"/>
        </w:rPr>
        <w:t xml:space="preserve"> people</w:t>
      </w:r>
      <w:r w:rsidRPr="008A7BD7">
        <w:rPr>
          <w:rFonts w:ascii="Cambria" w:hAnsi="Cambria"/>
          <w:iCs/>
          <w:sz w:val="16"/>
          <w:szCs w:val="16"/>
        </w:rPr>
        <w:t xml:space="preserve">. </w:t>
      </w:r>
      <w:r w:rsidR="006869F4" w:rsidRPr="008A7BD7">
        <w:rPr>
          <w:rFonts w:ascii="Cambria" w:hAnsi="Cambria"/>
          <w:iCs/>
          <w:sz w:val="16"/>
          <w:szCs w:val="16"/>
        </w:rPr>
        <w:t>At the time of her transfer, she was in charge of the “</w:t>
      </w:r>
      <w:proofErr w:type="spellStart"/>
      <w:r w:rsidRPr="008A7BD7">
        <w:rPr>
          <w:rFonts w:ascii="Cambria" w:hAnsi="Cambria"/>
          <w:i/>
          <w:sz w:val="16"/>
          <w:szCs w:val="16"/>
        </w:rPr>
        <w:t>Diario</w:t>
      </w:r>
      <w:proofErr w:type="spellEnd"/>
      <w:r w:rsidRPr="008A7BD7">
        <w:rPr>
          <w:rFonts w:ascii="Cambria" w:hAnsi="Cambria"/>
          <w:i/>
          <w:sz w:val="16"/>
          <w:szCs w:val="16"/>
        </w:rPr>
        <w:t xml:space="preserve"> </w:t>
      </w:r>
      <w:proofErr w:type="spellStart"/>
      <w:r w:rsidRPr="008A7BD7">
        <w:rPr>
          <w:rFonts w:ascii="Cambria" w:hAnsi="Cambria"/>
          <w:i/>
          <w:sz w:val="16"/>
          <w:szCs w:val="16"/>
        </w:rPr>
        <w:t>Militar</w:t>
      </w:r>
      <w:proofErr w:type="spellEnd"/>
      <w:r w:rsidRPr="008A7BD7">
        <w:rPr>
          <w:rFonts w:ascii="Cambria" w:hAnsi="Cambria"/>
          <w:iCs/>
          <w:sz w:val="16"/>
          <w:szCs w:val="16"/>
        </w:rPr>
        <w:t>”</w:t>
      </w:r>
      <w:r w:rsidR="006869F4" w:rsidRPr="008A7BD7">
        <w:rPr>
          <w:rFonts w:ascii="Cambria" w:hAnsi="Cambria"/>
          <w:iCs/>
          <w:sz w:val="16"/>
          <w:szCs w:val="16"/>
        </w:rPr>
        <w:t xml:space="preserve"> case involving the capture, torture, and forced disappearance of at least </w:t>
      </w:r>
      <w:r w:rsidRPr="008A7BD7">
        <w:rPr>
          <w:rFonts w:ascii="Cambria" w:hAnsi="Cambria"/>
          <w:iCs/>
          <w:sz w:val="16"/>
          <w:szCs w:val="16"/>
        </w:rPr>
        <w:t xml:space="preserve">183 </w:t>
      </w:r>
      <w:r w:rsidR="006869F4" w:rsidRPr="008A7BD7">
        <w:rPr>
          <w:rFonts w:ascii="Cambria" w:hAnsi="Cambria"/>
          <w:iCs/>
          <w:sz w:val="16"/>
          <w:szCs w:val="16"/>
        </w:rPr>
        <w:t xml:space="preserve">political opponents between </w:t>
      </w:r>
      <w:r w:rsidRPr="008A7BD7">
        <w:rPr>
          <w:rFonts w:ascii="Cambria" w:hAnsi="Cambria"/>
          <w:iCs/>
          <w:sz w:val="16"/>
          <w:szCs w:val="16"/>
        </w:rPr>
        <w:t xml:space="preserve">1983 </w:t>
      </w:r>
      <w:r w:rsidR="006869F4" w:rsidRPr="008A7BD7">
        <w:rPr>
          <w:rFonts w:ascii="Cambria" w:hAnsi="Cambria"/>
          <w:iCs/>
          <w:sz w:val="16"/>
          <w:szCs w:val="16"/>
        </w:rPr>
        <w:t>and</w:t>
      </w:r>
      <w:r w:rsidRPr="008A7BD7">
        <w:rPr>
          <w:rFonts w:ascii="Cambria" w:hAnsi="Cambria"/>
          <w:iCs/>
          <w:sz w:val="16"/>
          <w:szCs w:val="16"/>
        </w:rPr>
        <w:t xml:space="preserve"> 1985</w:t>
      </w:r>
      <w:r w:rsidR="006869F4" w:rsidRPr="008A7BD7">
        <w:rPr>
          <w:rFonts w:ascii="Cambria" w:hAnsi="Cambria"/>
          <w:iCs/>
          <w:sz w:val="16"/>
          <w:szCs w:val="16"/>
        </w:rPr>
        <w:t xml:space="preserve">, allegedly at the hand of soldiers and police, as well as investigations into the murder of the human rights defender </w:t>
      </w:r>
      <w:hyperlink r:id="rId70" w:history="1">
        <w:r w:rsidRPr="008A7BD7">
          <w:rPr>
            <w:rFonts w:ascii="Cambria" w:hAnsi="Cambria"/>
            <w:iCs/>
            <w:sz w:val="16"/>
            <w:szCs w:val="16"/>
          </w:rPr>
          <w:t>Benoît Maria</w:t>
        </w:r>
      </w:hyperlink>
      <w:r w:rsidRPr="008A7BD7">
        <w:rPr>
          <w:rFonts w:ascii="Cambria" w:hAnsi="Cambria"/>
          <w:iCs/>
          <w:sz w:val="16"/>
          <w:szCs w:val="16"/>
        </w:rPr>
        <w:t> </w:t>
      </w:r>
      <w:r w:rsidR="00D76C2A" w:rsidRPr="008A7BD7">
        <w:rPr>
          <w:rFonts w:ascii="Cambria" w:hAnsi="Cambria"/>
          <w:iCs/>
          <w:sz w:val="16"/>
          <w:szCs w:val="16"/>
        </w:rPr>
        <w:t xml:space="preserve">in August </w:t>
      </w:r>
      <w:r w:rsidRPr="008A7BD7">
        <w:rPr>
          <w:rFonts w:ascii="Cambria" w:hAnsi="Cambria"/>
          <w:iCs/>
          <w:sz w:val="16"/>
          <w:szCs w:val="16"/>
        </w:rPr>
        <w:t xml:space="preserve">2020. </w:t>
      </w:r>
      <w:r w:rsidR="002C7332" w:rsidRPr="008A7BD7">
        <w:rPr>
          <w:rFonts w:ascii="Cambria" w:hAnsi="Cambria"/>
          <w:iCs/>
          <w:sz w:val="16"/>
          <w:szCs w:val="16"/>
        </w:rPr>
        <w:t xml:space="preserve">Transferring Prosecutor </w:t>
      </w:r>
      <w:r w:rsidRPr="008A7BD7">
        <w:rPr>
          <w:rFonts w:ascii="Cambria" w:hAnsi="Cambria"/>
          <w:iCs/>
          <w:sz w:val="16"/>
          <w:szCs w:val="16"/>
        </w:rPr>
        <w:t xml:space="preserve">Hilda Pineda </w:t>
      </w:r>
      <w:r w:rsidR="002C7332" w:rsidRPr="008A7BD7">
        <w:rPr>
          <w:rFonts w:ascii="Cambria" w:hAnsi="Cambria"/>
          <w:iCs/>
          <w:sz w:val="16"/>
          <w:szCs w:val="16"/>
        </w:rPr>
        <w:t>puts the progress made in these cases at grave risk, as well as the cases involving justice and reparation for thousands of victims of gross human rights violations and crimes against humanity</w:t>
      </w:r>
      <w:r w:rsidRPr="008A7BD7">
        <w:rPr>
          <w:rFonts w:ascii="Cambria" w:hAnsi="Cambria"/>
          <w:iCs/>
          <w:sz w:val="16"/>
          <w:szCs w:val="16"/>
        </w:rPr>
        <w:t>.</w:t>
      </w:r>
      <w:r w:rsidR="003617B5" w:rsidRPr="008A7BD7">
        <w:rPr>
          <w:rFonts w:ascii="Cambria" w:hAnsi="Cambria"/>
          <w:iCs/>
          <w:sz w:val="16"/>
          <w:szCs w:val="16"/>
        </w:rPr>
        <w:t xml:space="preserve"> </w:t>
      </w:r>
      <w:r w:rsidR="003617B5" w:rsidRPr="008A7BD7">
        <w:rPr>
          <w:rFonts w:ascii="Cambria" w:hAnsi="Cambria"/>
          <w:iCs/>
          <w:sz w:val="16"/>
          <w:szCs w:val="16"/>
          <w:lang w:val="es-US"/>
        </w:rPr>
        <w:t xml:space="preserve">FIDH, </w:t>
      </w:r>
      <w:hyperlink r:id="rId71" w:history="1">
        <w:r w:rsidR="003617B5" w:rsidRPr="008A7BD7">
          <w:rPr>
            <w:rStyle w:val="Hyperlink"/>
            <w:rFonts w:ascii="Cambria" w:hAnsi="Cambria"/>
            <w:i/>
            <w:iCs/>
            <w:sz w:val="16"/>
            <w:szCs w:val="16"/>
            <w:lang w:val="es-US"/>
          </w:rPr>
          <w:t>GUATEMALA: Traslado injustificado de la Fiscal de Derechos Humanos</w:t>
        </w:r>
      </w:hyperlink>
      <w:r w:rsidR="00F4720D" w:rsidRPr="008A7BD7">
        <w:rPr>
          <w:rStyle w:val="Hyperlink"/>
          <w:rFonts w:ascii="Cambria" w:hAnsi="Cambria"/>
          <w:iCs/>
          <w:sz w:val="16"/>
          <w:szCs w:val="16"/>
          <w:lang w:val="es-US"/>
        </w:rPr>
        <w:t>,</w:t>
      </w:r>
      <w:r w:rsidR="003617B5" w:rsidRPr="008A7BD7">
        <w:rPr>
          <w:rFonts w:ascii="Cambria" w:hAnsi="Cambria"/>
          <w:iCs/>
          <w:sz w:val="16"/>
          <w:szCs w:val="16"/>
          <w:lang w:val="es-US"/>
        </w:rPr>
        <w:t xml:space="preserve"> </w:t>
      </w:r>
      <w:proofErr w:type="spellStart"/>
      <w:r w:rsidR="002C7332" w:rsidRPr="008A7BD7">
        <w:rPr>
          <w:rFonts w:ascii="Cambria" w:hAnsi="Cambria"/>
          <w:iCs/>
          <w:sz w:val="16"/>
          <w:szCs w:val="16"/>
          <w:lang w:val="es-CO"/>
        </w:rPr>
        <w:t>October</w:t>
      </w:r>
      <w:proofErr w:type="spellEnd"/>
      <w:r w:rsidR="002C7332" w:rsidRPr="008A7BD7">
        <w:rPr>
          <w:rFonts w:ascii="Cambria" w:hAnsi="Cambria"/>
          <w:iCs/>
          <w:sz w:val="16"/>
          <w:szCs w:val="16"/>
          <w:lang w:val="es-CO"/>
        </w:rPr>
        <w:t xml:space="preserve"> </w:t>
      </w:r>
      <w:r w:rsidR="003617B5" w:rsidRPr="008A7BD7">
        <w:rPr>
          <w:rFonts w:ascii="Cambria" w:hAnsi="Cambria"/>
          <w:iCs/>
          <w:sz w:val="16"/>
          <w:szCs w:val="16"/>
          <w:lang w:val="es-CO"/>
        </w:rPr>
        <w:t>14</w:t>
      </w:r>
      <w:r w:rsidR="002C7332" w:rsidRPr="008A7BD7">
        <w:rPr>
          <w:rFonts w:ascii="Cambria" w:hAnsi="Cambria"/>
          <w:iCs/>
          <w:sz w:val="16"/>
          <w:szCs w:val="16"/>
          <w:lang w:val="es-CO"/>
        </w:rPr>
        <w:t xml:space="preserve">, </w:t>
      </w:r>
      <w:r w:rsidR="003617B5" w:rsidRPr="008A7BD7">
        <w:rPr>
          <w:rFonts w:ascii="Cambria" w:hAnsi="Cambria"/>
          <w:iCs/>
          <w:sz w:val="16"/>
          <w:szCs w:val="16"/>
          <w:lang w:val="es-CO"/>
        </w:rPr>
        <w:t>2021.</w:t>
      </w:r>
    </w:p>
  </w:footnote>
  <w:footnote w:id="76">
    <w:p w14:paraId="051E90AC" w14:textId="587FBA4B" w:rsidR="002D4016" w:rsidRPr="008A7BD7" w:rsidRDefault="002D4016" w:rsidP="002D4016">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2C7332" w:rsidRPr="008A7BD7">
        <w:rPr>
          <w:rFonts w:ascii="Cambria" w:eastAsia="Cambria" w:hAnsi="Cambria" w:cs="Cambria"/>
          <w:sz w:val="16"/>
          <w:szCs w:val="16"/>
        </w:rPr>
        <w:t>Government of</w:t>
      </w:r>
      <w:r w:rsidRPr="008A7BD7">
        <w:rPr>
          <w:rFonts w:ascii="Cambria" w:eastAsia="Cambria" w:hAnsi="Cambria" w:cs="Cambria"/>
          <w:sz w:val="16"/>
          <w:szCs w:val="16"/>
        </w:rPr>
        <w:t xml:space="preserve"> Guatemala, </w:t>
      </w:r>
      <w:r w:rsidR="00976612" w:rsidRPr="008A7BD7">
        <w:rPr>
          <w:rFonts w:ascii="Cambria" w:eastAsia="Cambria" w:hAnsi="Cambria" w:cs="Cambria"/>
          <w:sz w:val="16"/>
          <w:szCs w:val="16"/>
        </w:rPr>
        <w:t xml:space="preserve">Diplomatic Note </w:t>
      </w:r>
      <w:r w:rsidRPr="008A7BD7">
        <w:rPr>
          <w:rFonts w:ascii="Cambria" w:eastAsia="Cambria" w:hAnsi="Cambria" w:cs="Cambria"/>
          <w:sz w:val="16"/>
          <w:szCs w:val="16"/>
        </w:rPr>
        <w:t xml:space="preserve">No. NV-OEA-M4-No. 630-2021 </w:t>
      </w:r>
      <w:r w:rsidR="00F719E4" w:rsidRPr="008A7BD7">
        <w:rPr>
          <w:rFonts w:ascii="Cambria" w:eastAsia="Cambria" w:hAnsi="Cambria" w:cs="Cambria"/>
          <w:sz w:val="16"/>
          <w:szCs w:val="16"/>
        </w:rPr>
        <w:t>–</w:t>
      </w:r>
      <w:r w:rsidRPr="008A7BD7">
        <w:rPr>
          <w:rFonts w:ascii="Cambria" w:eastAsia="Cambria" w:hAnsi="Cambria" w:cs="Cambria"/>
          <w:sz w:val="16"/>
          <w:szCs w:val="16"/>
        </w:rPr>
        <w:t xml:space="preserve"> </w:t>
      </w:r>
      <w:r w:rsidR="00976612" w:rsidRPr="008A7BD7">
        <w:rPr>
          <w:rFonts w:ascii="Cambria" w:eastAsia="Cambria" w:hAnsi="Cambria" w:cs="Cambria"/>
          <w:sz w:val="16"/>
          <w:szCs w:val="16"/>
        </w:rPr>
        <w:t xml:space="preserve">Observations of the State of </w:t>
      </w:r>
      <w:r w:rsidR="00F719E4" w:rsidRPr="008A7BD7">
        <w:rPr>
          <w:rFonts w:ascii="Cambria" w:eastAsia="Cambria" w:hAnsi="Cambria" w:cs="Cambria"/>
          <w:sz w:val="16"/>
          <w:szCs w:val="16"/>
        </w:rPr>
        <w:t xml:space="preserve">Guatemala </w:t>
      </w:r>
      <w:r w:rsidR="00976612" w:rsidRPr="008A7BD7">
        <w:rPr>
          <w:rFonts w:ascii="Cambria" w:eastAsia="Cambria" w:hAnsi="Cambria" w:cs="Cambria"/>
          <w:sz w:val="16"/>
          <w:szCs w:val="16"/>
        </w:rPr>
        <w:t xml:space="preserve">to the press release </w:t>
      </w:r>
      <w:r w:rsidR="00F719E4" w:rsidRPr="008A7BD7">
        <w:rPr>
          <w:rFonts w:ascii="Cambria" w:eastAsia="Cambria" w:hAnsi="Cambria" w:cs="Cambria"/>
          <w:sz w:val="16"/>
          <w:szCs w:val="16"/>
        </w:rPr>
        <w:t>“</w:t>
      </w:r>
      <w:r w:rsidR="00976612" w:rsidRPr="008A7BD7">
        <w:rPr>
          <w:rFonts w:ascii="Cambria" w:eastAsia="Cambria" w:hAnsi="Cambria" w:cs="Cambria"/>
          <w:sz w:val="16"/>
          <w:szCs w:val="16"/>
        </w:rPr>
        <w:t xml:space="preserve">IACHR Expresses Concern over Actions that Weaken Judicial Independence in Guatemala,” August 5, </w:t>
      </w:r>
      <w:r w:rsidR="00F719E4" w:rsidRPr="008A7BD7">
        <w:rPr>
          <w:rFonts w:ascii="Cambria" w:eastAsia="Cambria" w:hAnsi="Cambria" w:cs="Cambria"/>
          <w:sz w:val="16"/>
          <w:szCs w:val="16"/>
        </w:rPr>
        <w:t>2021.</w:t>
      </w:r>
    </w:p>
  </w:footnote>
  <w:footnote w:id="77">
    <w:p w14:paraId="18718FDC" w14:textId="197521F8" w:rsidR="00706CD2" w:rsidRPr="008A7BD7" w:rsidRDefault="00706CD2" w:rsidP="00746761">
      <w:pPr>
        <w:pStyle w:val="FootnoteText"/>
        <w:tabs>
          <w:tab w:val="left" w:pos="567"/>
        </w:tabs>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094609" w:rsidRPr="008A7BD7">
        <w:rPr>
          <w:rFonts w:ascii="Cambria" w:hAnsi="Cambria"/>
          <w:sz w:val="16"/>
          <w:szCs w:val="16"/>
        </w:rPr>
        <w:t>I</w:t>
      </w:r>
      <w:r w:rsidR="00094609" w:rsidRPr="008A7BD7">
        <w:rPr>
          <w:rFonts w:ascii="Cambria" w:hAnsi="Cambria"/>
          <w:iCs/>
          <w:sz w:val="16"/>
          <w:szCs w:val="16"/>
        </w:rPr>
        <w:t xml:space="preserve">/A Court H.R., </w:t>
      </w:r>
      <w:r w:rsidR="00094609" w:rsidRPr="008A7BD7">
        <w:rPr>
          <w:rFonts w:ascii="Cambria" w:hAnsi="Cambria"/>
          <w:i/>
          <w:sz w:val="16"/>
          <w:szCs w:val="16"/>
        </w:rPr>
        <w:t xml:space="preserve">Case of </w:t>
      </w:r>
      <w:r w:rsidRPr="008A7BD7">
        <w:rPr>
          <w:rFonts w:ascii="Cambria" w:hAnsi="Cambria" w:cs="Arial"/>
          <w:i/>
          <w:sz w:val="16"/>
          <w:szCs w:val="16"/>
          <w:shd w:val="clear" w:color="auto" w:fill="FFFFFF"/>
        </w:rPr>
        <w:t xml:space="preserve">Martínez </w:t>
      </w:r>
      <w:proofErr w:type="spellStart"/>
      <w:r w:rsidRPr="008A7BD7">
        <w:rPr>
          <w:rFonts w:ascii="Cambria" w:hAnsi="Cambria" w:cs="Arial"/>
          <w:i/>
          <w:sz w:val="16"/>
          <w:szCs w:val="16"/>
          <w:shd w:val="clear" w:color="auto" w:fill="FFFFFF"/>
        </w:rPr>
        <w:t>Esquivia</w:t>
      </w:r>
      <w:proofErr w:type="spellEnd"/>
      <w:r w:rsidRPr="008A7BD7">
        <w:rPr>
          <w:rFonts w:ascii="Cambria" w:hAnsi="Cambria" w:cs="Arial"/>
          <w:i/>
          <w:sz w:val="16"/>
          <w:szCs w:val="16"/>
          <w:shd w:val="clear" w:color="auto" w:fill="FFFFFF"/>
        </w:rPr>
        <w:t xml:space="preserve"> </w:t>
      </w:r>
      <w:r w:rsidR="00094609" w:rsidRPr="008A7BD7">
        <w:rPr>
          <w:rFonts w:ascii="Cambria" w:hAnsi="Cambria" w:cs="Arial"/>
          <w:i/>
          <w:sz w:val="16"/>
          <w:szCs w:val="16"/>
          <w:shd w:val="clear" w:color="auto" w:fill="FFFFFF"/>
        </w:rPr>
        <w:t>v</w:t>
      </w:r>
      <w:r w:rsidRPr="008A7BD7">
        <w:rPr>
          <w:rFonts w:ascii="Cambria" w:hAnsi="Cambria" w:cs="Arial"/>
          <w:i/>
          <w:sz w:val="16"/>
          <w:szCs w:val="16"/>
          <w:shd w:val="clear" w:color="auto" w:fill="FFFFFF"/>
        </w:rPr>
        <w:t>. Colombia</w:t>
      </w:r>
      <w:r w:rsidR="00094609" w:rsidRPr="008A7BD7">
        <w:rPr>
          <w:rFonts w:ascii="Cambria" w:hAnsi="Cambria" w:cs="Arial"/>
          <w:sz w:val="16"/>
          <w:szCs w:val="16"/>
          <w:shd w:val="clear" w:color="auto" w:fill="FFFFFF"/>
        </w:rPr>
        <w:t>,</w:t>
      </w:r>
      <w:r w:rsidRPr="008A7BD7">
        <w:rPr>
          <w:rFonts w:ascii="Cambria" w:hAnsi="Cambria" w:cs="Arial"/>
          <w:sz w:val="16"/>
          <w:szCs w:val="16"/>
          <w:shd w:val="clear" w:color="auto" w:fill="FFFFFF"/>
        </w:rPr>
        <w:t xml:space="preserve"> </w:t>
      </w:r>
      <w:r w:rsidR="00094609" w:rsidRPr="008A7BD7">
        <w:rPr>
          <w:rFonts w:ascii="Cambria" w:hAnsi="Cambria" w:cs="Arial"/>
          <w:sz w:val="16"/>
          <w:szCs w:val="16"/>
          <w:shd w:val="clear" w:color="auto" w:fill="FFFFFF"/>
        </w:rPr>
        <w:t>Preliminary</w:t>
      </w:r>
      <w:r w:rsidRPr="008A7BD7">
        <w:rPr>
          <w:rFonts w:ascii="Cambria" w:hAnsi="Cambria" w:cs="Arial"/>
          <w:sz w:val="16"/>
          <w:szCs w:val="16"/>
          <w:shd w:val="clear" w:color="auto" w:fill="FFFFFF"/>
        </w:rPr>
        <w:t xml:space="preserve"> </w:t>
      </w:r>
      <w:r w:rsidR="00094609" w:rsidRPr="008A7BD7">
        <w:rPr>
          <w:rFonts w:ascii="Cambria" w:hAnsi="Cambria" w:cs="Arial"/>
          <w:sz w:val="16"/>
          <w:szCs w:val="16"/>
          <w:shd w:val="clear" w:color="auto" w:fill="FFFFFF"/>
        </w:rPr>
        <w:t xml:space="preserve">Objections, Merits, and Reparations, Judgment of October 6, </w:t>
      </w:r>
      <w:r w:rsidRPr="008A7BD7">
        <w:rPr>
          <w:rFonts w:ascii="Cambria" w:hAnsi="Cambria" w:cs="Arial"/>
          <w:sz w:val="16"/>
          <w:szCs w:val="16"/>
          <w:shd w:val="clear" w:color="auto" w:fill="FFFFFF"/>
        </w:rPr>
        <w:t>2020</w:t>
      </w:r>
      <w:r w:rsidR="00094609" w:rsidRPr="008A7BD7">
        <w:rPr>
          <w:rFonts w:ascii="Cambria" w:hAnsi="Cambria" w:cs="Arial"/>
          <w:sz w:val="16"/>
          <w:szCs w:val="16"/>
          <w:shd w:val="clear" w:color="auto" w:fill="FFFFFF"/>
        </w:rPr>
        <w:t>,</w:t>
      </w:r>
      <w:r w:rsidRPr="008A7BD7">
        <w:rPr>
          <w:rFonts w:ascii="Cambria" w:hAnsi="Cambria" w:cs="Arial"/>
          <w:sz w:val="16"/>
          <w:szCs w:val="16"/>
          <w:shd w:val="clear" w:color="auto" w:fill="FFFFFF"/>
        </w:rPr>
        <w:t xml:space="preserve"> Serie</w:t>
      </w:r>
      <w:r w:rsidR="00094609" w:rsidRPr="008A7BD7">
        <w:rPr>
          <w:rFonts w:ascii="Cambria" w:hAnsi="Cambria" w:cs="Arial"/>
          <w:sz w:val="16"/>
          <w:szCs w:val="16"/>
          <w:shd w:val="clear" w:color="auto" w:fill="FFFFFF"/>
        </w:rPr>
        <w:t>s</w:t>
      </w:r>
      <w:r w:rsidRPr="008A7BD7">
        <w:rPr>
          <w:rFonts w:ascii="Cambria" w:hAnsi="Cambria" w:cs="Arial"/>
          <w:sz w:val="16"/>
          <w:szCs w:val="16"/>
          <w:shd w:val="clear" w:color="auto" w:fill="FFFFFF"/>
        </w:rPr>
        <w:t xml:space="preserve"> C No.412, </w:t>
      </w:r>
      <w:r w:rsidR="00094609" w:rsidRPr="008A7BD7">
        <w:rPr>
          <w:rFonts w:ascii="Cambria" w:hAnsi="Cambria" w:cs="Arial"/>
          <w:sz w:val="16"/>
          <w:szCs w:val="16"/>
          <w:shd w:val="clear" w:color="auto" w:fill="FFFFFF"/>
        </w:rPr>
        <w:t>par</w:t>
      </w:r>
      <w:r w:rsidRPr="008A7BD7">
        <w:rPr>
          <w:rFonts w:ascii="Cambria" w:hAnsi="Cambria" w:cs="Arial"/>
          <w:sz w:val="16"/>
          <w:szCs w:val="16"/>
          <w:shd w:val="clear" w:color="auto" w:fill="FFFFFF"/>
        </w:rPr>
        <w:t>. 94.</w:t>
      </w:r>
    </w:p>
  </w:footnote>
  <w:footnote w:id="78">
    <w:p w14:paraId="57A8A870" w14:textId="3DA4EF8D" w:rsidR="00706CD2" w:rsidRPr="008A7BD7" w:rsidRDefault="00706CD2" w:rsidP="00746761">
      <w:pPr>
        <w:pStyle w:val="FootnoteText"/>
        <w:tabs>
          <w:tab w:val="left" w:pos="567"/>
        </w:tabs>
        <w:spacing w:after="120"/>
        <w:ind w:firstLine="720"/>
        <w:jc w:val="both"/>
        <w:rPr>
          <w:rFonts w:ascii="Cambria" w:hAnsi="Cambria" w:cs="Arial"/>
          <w:sz w:val="16"/>
          <w:szCs w:val="16"/>
          <w:shd w:val="clear" w:color="auto" w:fill="FFFFFF"/>
        </w:rPr>
      </w:pPr>
      <w:r w:rsidRPr="008A7BD7">
        <w:rPr>
          <w:rStyle w:val="FootnoteReference"/>
          <w:rFonts w:ascii="Cambria" w:hAnsi="Cambria"/>
          <w:sz w:val="16"/>
          <w:szCs w:val="16"/>
        </w:rPr>
        <w:footnoteRef/>
      </w:r>
      <w:r w:rsidRPr="008A7BD7">
        <w:rPr>
          <w:rFonts w:ascii="Cambria" w:hAnsi="Cambria"/>
          <w:sz w:val="16"/>
          <w:szCs w:val="16"/>
        </w:rPr>
        <w:t xml:space="preserve"> </w:t>
      </w:r>
      <w:r w:rsidR="00751E80" w:rsidRPr="008A7BD7">
        <w:rPr>
          <w:rFonts w:ascii="Cambria" w:hAnsi="Cambria"/>
          <w:sz w:val="16"/>
          <w:szCs w:val="16"/>
        </w:rPr>
        <w:t>I</w:t>
      </w:r>
      <w:r w:rsidR="00751E80" w:rsidRPr="008A7BD7">
        <w:rPr>
          <w:rFonts w:ascii="Cambria" w:hAnsi="Cambria"/>
          <w:iCs/>
          <w:sz w:val="16"/>
          <w:szCs w:val="16"/>
        </w:rPr>
        <w:t xml:space="preserve">/A Court H.R., </w:t>
      </w:r>
      <w:r w:rsidR="00751E80" w:rsidRPr="008A7BD7">
        <w:rPr>
          <w:rFonts w:ascii="Cambria" w:hAnsi="Cambria"/>
          <w:i/>
          <w:sz w:val="16"/>
          <w:szCs w:val="16"/>
        </w:rPr>
        <w:t xml:space="preserve">Case of </w:t>
      </w:r>
      <w:r w:rsidR="00751E80" w:rsidRPr="008A7BD7">
        <w:rPr>
          <w:rFonts w:ascii="Cambria" w:hAnsi="Cambria" w:cs="Arial"/>
          <w:i/>
          <w:sz w:val="16"/>
          <w:szCs w:val="16"/>
          <w:shd w:val="clear" w:color="auto" w:fill="FFFFFF"/>
        </w:rPr>
        <w:t xml:space="preserve">Martínez </w:t>
      </w:r>
      <w:proofErr w:type="spellStart"/>
      <w:r w:rsidR="00751E80" w:rsidRPr="008A7BD7">
        <w:rPr>
          <w:rFonts w:ascii="Cambria" w:hAnsi="Cambria" w:cs="Arial"/>
          <w:i/>
          <w:sz w:val="16"/>
          <w:szCs w:val="16"/>
          <w:shd w:val="clear" w:color="auto" w:fill="FFFFFF"/>
        </w:rPr>
        <w:t>Esquivia</w:t>
      </w:r>
      <w:proofErr w:type="spellEnd"/>
      <w:r w:rsidR="00751E80" w:rsidRPr="008A7BD7">
        <w:rPr>
          <w:rFonts w:ascii="Cambria" w:hAnsi="Cambria" w:cs="Arial"/>
          <w:i/>
          <w:sz w:val="16"/>
          <w:szCs w:val="16"/>
          <w:shd w:val="clear" w:color="auto" w:fill="FFFFFF"/>
        </w:rPr>
        <w:t xml:space="preserve"> v. Colombia</w:t>
      </w:r>
      <w:r w:rsidR="00751E80" w:rsidRPr="008A7BD7">
        <w:rPr>
          <w:rFonts w:ascii="Cambria" w:hAnsi="Cambria" w:cs="Arial"/>
          <w:sz w:val="16"/>
          <w:szCs w:val="16"/>
          <w:shd w:val="clear" w:color="auto" w:fill="FFFFFF"/>
        </w:rPr>
        <w:t>, Preliminary Objections, Merits, and Reparations, Judgment of October 6, 2020, Series C No.412, par. 94</w:t>
      </w:r>
      <w:r w:rsidR="00F10FC6" w:rsidRPr="008A7BD7">
        <w:rPr>
          <w:rFonts w:ascii="Cambria" w:hAnsi="Cambria" w:cs="Arial"/>
          <w:sz w:val="16"/>
          <w:szCs w:val="16"/>
          <w:shd w:val="clear" w:color="auto" w:fill="FFFFFF"/>
        </w:rPr>
        <w:t xml:space="preserve">; </w:t>
      </w:r>
      <w:r w:rsidR="00751E80" w:rsidRPr="008A7BD7">
        <w:rPr>
          <w:rFonts w:ascii="Cambria" w:hAnsi="Cambria"/>
          <w:i/>
          <w:sz w:val="16"/>
          <w:szCs w:val="16"/>
        </w:rPr>
        <w:t xml:space="preserve">Case of </w:t>
      </w:r>
      <w:r w:rsidRPr="008A7BD7">
        <w:rPr>
          <w:rFonts w:ascii="Cambria" w:hAnsi="Cambria" w:cs="Arial"/>
          <w:i/>
          <w:sz w:val="16"/>
          <w:szCs w:val="16"/>
          <w:shd w:val="clear" w:color="auto" w:fill="FFFFFF"/>
        </w:rPr>
        <w:t xml:space="preserve">Casa Nina </w:t>
      </w:r>
      <w:r w:rsidR="00751E80" w:rsidRPr="008A7BD7">
        <w:rPr>
          <w:rFonts w:ascii="Cambria" w:hAnsi="Cambria" w:cs="Arial"/>
          <w:i/>
          <w:sz w:val="16"/>
          <w:szCs w:val="16"/>
          <w:shd w:val="clear" w:color="auto" w:fill="FFFFFF"/>
        </w:rPr>
        <w:t>v</w:t>
      </w:r>
      <w:r w:rsidRPr="008A7BD7">
        <w:rPr>
          <w:rFonts w:ascii="Cambria" w:hAnsi="Cambria" w:cs="Arial"/>
          <w:i/>
          <w:sz w:val="16"/>
          <w:szCs w:val="16"/>
          <w:shd w:val="clear" w:color="auto" w:fill="FFFFFF"/>
        </w:rPr>
        <w:t>. Per</w:t>
      </w:r>
      <w:r w:rsidR="00751E80" w:rsidRPr="008A7BD7">
        <w:rPr>
          <w:rFonts w:ascii="Cambria" w:hAnsi="Cambria" w:cs="Arial"/>
          <w:i/>
          <w:sz w:val="16"/>
          <w:szCs w:val="16"/>
          <w:shd w:val="clear" w:color="auto" w:fill="FFFFFF"/>
        </w:rPr>
        <w:t>u</w:t>
      </w:r>
      <w:r w:rsidRPr="008A7BD7">
        <w:rPr>
          <w:rFonts w:ascii="Cambria" w:hAnsi="Cambria" w:cs="Arial"/>
          <w:sz w:val="16"/>
          <w:szCs w:val="16"/>
          <w:shd w:val="clear" w:color="auto" w:fill="FFFFFF"/>
        </w:rPr>
        <w:t xml:space="preserve">, </w:t>
      </w:r>
      <w:r w:rsidR="00751E80" w:rsidRPr="008A7BD7">
        <w:rPr>
          <w:rFonts w:ascii="Cambria" w:hAnsi="Cambria" w:cs="Arial"/>
          <w:sz w:val="16"/>
          <w:szCs w:val="16"/>
          <w:shd w:val="clear" w:color="auto" w:fill="FFFFFF"/>
        </w:rPr>
        <w:t xml:space="preserve">Preliminary Objections, Merits, Reparations, and Costs, Judgment of </w:t>
      </w:r>
      <w:r w:rsidR="00627753" w:rsidRPr="008A7BD7">
        <w:rPr>
          <w:rFonts w:ascii="Cambria" w:hAnsi="Cambria" w:cs="Arial"/>
          <w:sz w:val="16"/>
          <w:szCs w:val="16"/>
          <w:shd w:val="clear" w:color="auto" w:fill="FFFFFF"/>
        </w:rPr>
        <w:t xml:space="preserve">November 24, </w:t>
      </w:r>
      <w:r w:rsidR="00F10FC6" w:rsidRPr="008A7BD7">
        <w:rPr>
          <w:rFonts w:ascii="Cambria" w:eastAsia="Times New Roman" w:hAnsi="Cambria"/>
          <w:sz w:val="16"/>
          <w:szCs w:val="16"/>
          <w:lang w:eastAsia="es-ES_tradnl"/>
        </w:rPr>
        <w:t>2020</w:t>
      </w:r>
      <w:r w:rsidR="00627753" w:rsidRPr="008A7BD7">
        <w:rPr>
          <w:rFonts w:ascii="Cambria" w:eastAsia="Times New Roman" w:hAnsi="Cambria"/>
          <w:sz w:val="16"/>
          <w:szCs w:val="16"/>
          <w:lang w:eastAsia="es-ES_tradnl"/>
        </w:rPr>
        <w:t>,</w:t>
      </w:r>
      <w:r w:rsidR="00F10FC6" w:rsidRPr="008A7BD7">
        <w:rPr>
          <w:rFonts w:ascii="Cambria" w:eastAsia="Times New Roman" w:hAnsi="Cambria"/>
          <w:sz w:val="16"/>
          <w:szCs w:val="16"/>
          <w:lang w:eastAsia="es-ES_tradnl"/>
        </w:rPr>
        <w:t xml:space="preserve"> Serie C No. 419, </w:t>
      </w:r>
      <w:r w:rsidR="00627753" w:rsidRPr="008A7BD7">
        <w:rPr>
          <w:rFonts w:ascii="Cambria" w:hAnsi="Cambria" w:cs="Arial"/>
          <w:sz w:val="16"/>
          <w:szCs w:val="16"/>
          <w:shd w:val="clear" w:color="auto" w:fill="FFFFFF"/>
        </w:rPr>
        <w:t>par</w:t>
      </w:r>
      <w:r w:rsidRPr="008A7BD7">
        <w:rPr>
          <w:rFonts w:ascii="Cambria" w:hAnsi="Cambria" w:cs="Arial"/>
          <w:sz w:val="16"/>
          <w:szCs w:val="16"/>
          <w:shd w:val="clear" w:color="auto" w:fill="FFFFFF"/>
        </w:rPr>
        <w:t>. 72.</w:t>
      </w:r>
    </w:p>
  </w:footnote>
  <w:footnote w:id="79">
    <w:p w14:paraId="7C52AF65" w14:textId="5EB14918" w:rsidR="00706CD2" w:rsidRPr="008A7BD7" w:rsidRDefault="00706CD2"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627753" w:rsidRPr="008A7BD7">
        <w:rPr>
          <w:rFonts w:ascii="Cambria" w:hAnsi="Cambria"/>
          <w:iCs/>
          <w:sz w:val="16"/>
          <w:szCs w:val="16"/>
        </w:rPr>
        <w:t xml:space="preserve">I/A Court H.R., </w:t>
      </w:r>
      <w:r w:rsidR="00627753" w:rsidRPr="008A7BD7">
        <w:rPr>
          <w:rFonts w:ascii="Cambria" w:hAnsi="Cambria"/>
          <w:i/>
          <w:sz w:val="16"/>
          <w:szCs w:val="16"/>
        </w:rPr>
        <w:t xml:space="preserve">Case of Valenzuela </w:t>
      </w:r>
      <w:proofErr w:type="gramStart"/>
      <w:r w:rsidR="00627753" w:rsidRPr="008A7BD7">
        <w:rPr>
          <w:rFonts w:ascii="Cambria" w:hAnsi="Cambria"/>
          <w:i/>
          <w:sz w:val="16"/>
          <w:szCs w:val="16"/>
        </w:rPr>
        <w:t>Ávila</w:t>
      </w:r>
      <w:proofErr w:type="gramEnd"/>
      <w:r w:rsidR="00627753" w:rsidRPr="008A7BD7">
        <w:rPr>
          <w:rFonts w:ascii="Cambria" w:hAnsi="Cambria"/>
          <w:i/>
          <w:sz w:val="16"/>
          <w:szCs w:val="16"/>
        </w:rPr>
        <w:t xml:space="preserve"> and Case of Ruiz Fuentes et al. v. Guatemala</w:t>
      </w:r>
      <w:r w:rsidR="00627753" w:rsidRPr="008A7BD7">
        <w:rPr>
          <w:rFonts w:ascii="Cambria" w:hAnsi="Cambria"/>
          <w:iCs/>
          <w:sz w:val="16"/>
          <w:szCs w:val="16"/>
        </w:rPr>
        <w:t>, Provisional Measures and Monitoring Compliance with Judgment, Order of the Inter-American Court of Human Rights of September 23, 2021</w:t>
      </w:r>
      <w:r w:rsidR="00F10FC6" w:rsidRPr="008A7BD7">
        <w:rPr>
          <w:rFonts w:ascii="Cambria" w:hAnsi="Cambria"/>
          <w:iCs/>
          <w:sz w:val="16"/>
          <w:szCs w:val="16"/>
        </w:rPr>
        <w:t xml:space="preserve">, </w:t>
      </w:r>
      <w:r w:rsidR="00627753" w:rsidRPr="008A7BD7">
        <w:rPr>
          <w:rFonts w:ascii="Cambria" w:hAnsi="Cambria"/>
          <w:iCs/>
          <w:sz w:val="16"/>
          <w:szCs w:val="16"/>
        </w:rPr>
        <w:t>par</w:t>
      </w:r>
      <w:r w:rsidR="00F10FC6" w:rsidRPr="008A7BD7">
        <w:rPr>
          <w:rFonts w:ascii="Cambria" w:hAnsi="Cambria"/>
          <w:iCs/>
          <w:sz w:val="16"/>
          <w:szCs w:val="16"/>
        </w:rPr>
        <w:t xml:space="preserve">. 44; </w:t>
      </w:r>
      <w:r w:rsidR="00627753" w:rsidRPr="008A7BD7">
        <w:rPr>
          <w:rFonts w:ascii="Cambria" w:hAnsi="Cambria"/>
          <w:i/>
          <w:sz w:val="16"/>
          <w:szCs w:val="16"/>
        </w:rPr>
        <w:t xml:space="preserve">Case of </w:t>
      </w:r>
      <w:r w:rsidR="00627753" w:rsidRPr="008A7BD7">
        <w:rPr>
          <w:rFonts w:ascii="Cambria" w:hAnsi="Cambria" w:cs="Arial"/>
          <w:i/>
          <w:sz w:val="16"/>
          <w:szCs w:val="16"/>
          <w:shd w:val="clear" w:color="auto" w:fill="FFFFFF"/>
        </w:rPr>
        <w:t>Casa Nina v. Peru</w:t>
      </w:r>
      <w:r w:rsidR="00627753" w:rsidRPr="008A7BD7">
        <w:rPr>
          <w:rFonts w:ascii="Cambria" w:hAnsi="Cambria" w:cs="Arial"/>
          <w:sz w:val="16"/>
          <w:szCs w:val="16"/>
          <w:shd w:val="clear" w:color="auto" w:fill="FFFFFF"/>
        </w:rPr>
        <w:t xml:space="preserve">, Preliminary Objections, Merits, Reparations, and Costs, Judgment of November 24, </w:t>
      </w:r>
      <w:r w:rsidR="00627753" w:rsidRPr="008A7BD7">
        <w:rPr>
          <w:rFonts w:ascii="Cambria" w:eastAsia="Times New Roman" w:hAnsi="Cambria"/>
          <w:sz w:val="16"/>
          <w:szCs w:val="16"/>
          <w:lang w:eastAsia="es-ES_tradnl"/>
        </w:rPr>
        <w:t xml:space="preserve">2020, Serie C No. 419, </w:t>
      </w:r>
      <w:r w:rsidR="00627753" w:rsidRPr="008A7BD7">
        <w:rPr>
          <w:rFonts w:ascii="Cambria" w:hAnsi="Cambria" w:cs="Arial"/>
          <w:sz w:val="16"/>
          <w:szCs w:val="16"/>
          <w:shd w:val="clear" w:color="auto" w:fill="FFFFFF"/>
        </w:rPr>
        <w:t>par</w:t>
      </w:r>
      <w:r w:rsidR="00F10FC6" w:rsidRPr="008A7BD7">
        <w:rPr>
          <w:rFonts w:ascii="Cambria" w:hAnsi="Cambria" w:cs="Arial"/>
          <w:sz w:val="16"/>
          <w:szCs w:val="16"/>
          <w:shd w:val="clear" w:color="auto" w:fill="FFFFFF"/>
        </w:rPr>
        <w:t>. 80.</w:t>
      </w:r>
    </w:p>
  </w:footnote>
  <w:footnote w:id="80">
    <w:p w14:paraId="0B1FA650" w14:textId="27DD4039" w:rsidR="00706CD2" w:rsidRPr="008A7BD7" w:rsidRDefault="00706CD2"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627753" w:rsidRPr="008A7BD7">
        <w:rPr>
          <w:rFonts w:ascii="Cambria" w:hAnsi="Cambria"/>
          <w:iCs/>
          <w:sz w:val="16"/>
          <w:szCs w:val="16"/>
        </w:rPr>
        <w:t xml:space="preserve">I/A Court H.R., </w:t>
      </w:r>
      <w:r w:rsidR="00627753" w:rsidRPr="008A7BD7">
        <w:rPr>
          <w:rFonts w:ascii="Cambria" w:hAnsi="Cambria"/>
          <w:i/>
          <w:sz w:val="16"/>
          <w:szCs w:val="16"/>
        </w:rPr>
        <w:t xml:space="preserve">Case of Valenzuela </w:t>
      </w:r>
      <w:proofErr w:type="gramStart"/>
      <w:r w:rsidR="00627753" w:rsidRPr="008A7BD7">
        <w:rPr>
          <w:rFonts w:ascii="Cambria" w:hAnsi="Cambria"/>
          <w:i/>
          <w:sz w:val="16"/>
          <w:szCs w:val="16"/>
        </w:rPr>
        <w:t>Ávila</w:t>
      </w:r>
      <w:proofErr w:type="gramEnd"/>
      <w:r w:rsidR="00627753" w:rsidRPr="008A7BD7">
        <w:rPr>
          <w:rFonts w:ascii="Cambria" w:hAnsi="Cambria"/>
          <w:i/>
          <w:sz w:val="16"/>
          <w:szCs w:val="16"/>
        </w:rPr>
        <w:t xml:space="preserve"> and Case of Ruiz Fuentes et al. v. Guatemala</w:t>
      </w:r>
      <w:r w:rsidR="00627753" w:rsidRPr="008A7BD7">
        <w:rPr>
          <w:rFonts w:ascii="Cambria" w:hAnsi="Cambria"/>
          <w:iCs/>
          <w:sz w:val="16"/>
          <w:szCs w:val="16"/>
        </w:rPr>
        <w:t xml:space="preserve">, Provisional Measures and Monitoring Compliance with Judgment, Order of the Inter-American Court of Human Rights of September 23, 2021, par. </w:t>
      </w:r>
      <w:r w:rsidR="00F10FC6" w:rsidRPr="008A7BD7">
        <w:rPr>
          <w:rFonts w:ascii="Cambria" w:hAnsi="Cambria"/>
          <w:iCs/>
          <w:sz w:val="16"/>
          <w:szCs w:val="16"/>
        </w:rPr>
        <w:t xml:space="preserve">45. </w:t>
      </w:r>
      <w:r w:rsidR="00627753" w:rsidRPr="008A7BD7">
        <w:rPr>
          <w:rFonts w:ascii="Cambria" w:hAnsi="Cambria"/>
          <w:i/>
          <w:sz w:val="16"/>
          <w:szCs w:val="16"/>
        </w:rPr>
        <w:t xml:space="preserve">Case of </w:t>
      </w:r>
      <w:r w:rsidR="00627753" w:rsidRPr="008A7BD7">
        <w:rPr>
          <w:rFonts w:ascii="Cambria" w:hAnsi="Cambria" w:cs="Arial"/>
          <w:i/>
          <w:sz w:val="16"/>
          <w:szCs w:val="16"/>
          <w:shd w:val="clear" w:color="auto" w:fill="FFFFFF"/>
        </w:rPr>
        <w:t>Casa Nina v. Peru</w:t>
      </w:r>
      <w:r w:rsidR="00627753" w:rsidRPr="008A7BD7">
        <w:rPr>
          <w:rFonts w:ascii="Cambria" w:hAnsi="Cambria" w:cs="Arial"/>
          <w:sz w:val="16"/>
          <w:szCs w:val="16"/>
          <w:shd w:val="clear" w:color="auto" w:fill="FFFFFF"/>
        </w:rPr>
        <w:t xml:space="preserve">, Preliminary Objections, Merits, Reparations, and Costs, Judgment of November 24, </w:t>
      </w:r>
      <w:r w:rsidR="00627753" w:rsidRPr="008A7BD7">
        <w:rPr>
          <w:rFonts w:ascii="Cambria" w:eastAsia="Times New Roman" w:hAnsi="Cambria"/>
          <w:sz w:val="16"/>
          <w:szCs w:val="16"/>
          <w:lang w:eastAsia="es-ES_tradnl"/>
        </w:rPr>
        <w:t xml:space="preserve">2020, Serie C No. 419, </w:t>
      </w:r>
      <w:r w:rsidR="00627753" w:rsidRPr="008A7BD7">
        <w:rPr>
          <w:rFonts w:ascii="Cambria" w:hAnsi="Cambria" w:cs="Arial"/>
          <w:sz w:val="16"/>
          <w:szCs w:val="16"/>
          <w:shd w:val="clear" w:color="auto" w:fill="FFFFFF"/>
        </w:rPr>
        <w:t>par. 80</w:t>
      </w:r>
      <w:r w:rsidR="00F10FC6" w:rsidRPr="008A7BD7">
        <w:rPr>
          <w:rFonts w:ascii="Cambria" w:hAnsi="Cambria" w:cs="Arial"/>
          <w:sz w:val="16"/>
          <w:szCs w:val="16"/>
          <w:shd w:val="clear" w:color="auto" w:fill="FFFFFF"/>
        </w:rPr>
        <w:t>.</w:t>
      </w:r>
    </w:p>
  </w:footnote>
  <w:footnote w:id="81">
    <w:p w14:paraId="468A7E05" w14:textId="0EC9AFBC" w:rsidR="002707EB" w:rsidRPr="008A7BD7" w:rsidRDefault="002707EB"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BC2D4C" w:rsidRPr="008A7BD7">
        <w:rPr>
          <w:rFonts w:ascii="Cambria" w:hAnsi="Cambria"/>
          <w:sz w:val="16"/>
          <w:szCs w:val="16"/>
        </w:rPr>
        <w:t xml:space="preserve">IACHR, </w:t>
      </w:r>
      <w:hyperlink r:id="rId72" w:history="1">
        <w:r w:rsidR="00BC2D4C" w:rsidRPr="008A7BD7">
          <w:rPr>
            <w:rStyle w:val="Hyperlink"/>
            <w:rFonts w:ascii="Cambria" w:hAnsi="Cambria"/>
            <w:sz w:val="16"/>
            <w:szCs w:val="16"/>
          </w:rPr>
          <w:t>Guarantees for the Independence of Justice Operato</w:t>
        </w:r>
        <w:r w:rsidR="000E304C" w:rsidRPr="008A7BD7">
          <w:rPr>
            <w:rStyle w:val="Hyperlink"/>
            <w:rFonts w:ascii="Cambria" w:hAnsi="Cambria"/>
            <w:sz w:val="16"/>
            <w:szCs w:val="16"/>
          </w:rPr>
          <w:t>r</w:t>
        </w:r>
        <w:r w:rsidR="00BC2D4C" w:rsidRPr="008A7BD7">
          <w:rPr>
            <w:rStyle w:val="Hyperlink"/>
            <w:rFonts w:ascii="Cambria" w:hAnsi="Cambria"/>
            <w:sz w:val="16"/>
            <w:szCs w:val="16"/>
          </w:rPr>
          <w:t>s: Towards Strengthening Access to Justice and the Rule of Law in the Americas</w:t>
        </w:r>
      </w:hyperlink>
      <w:r w:rsidR="00BC2D4C" w:rsidRPr="008A7BD7">
        <w:rPr>
          <w:rFonts w:ascii="Cambria" w:hAnsi="Cambria"/>
          <w:sz w:val="16"/>
          <w:szCs w:val="16"/>
        </w:rPr>
        <w:t>,</w:t>
      </w:r>
      <w:r w:rsidR="00BC2D4C" w:rsidRPr="008A7BD7">
        <w:t xml:space="preserve"> </w:t>
      </w:r>
      <w:r w:rsidR="00BC2D4C" w:rsidRPr="008A7BD7">
        <w:rPr>
          <w:rFonts w:ascii="Cambria" w:hAnsi="Cambria"/>
          <w:sz w:val="16"/>
          <w:szCs w:val="16"/>
        </w:rPr>
        <w:t>OEA/</w:t>
      </w:r>
      <w:proofErr w:type="spellStart"/>
      <w:r w:rsidR="00BC2D4C" w:rsidRPr="008A7BD7">
        <w:rPr>
          <w:rFonts w:ascii="Cambria" w:hAnsi="Cambria"/>
          <w:sz w:val="16"/>
          <w:szCs w:val="16"/>
        </w:rPr>
        <w:t>Ser.L</w:t>
      </w:r>
      <w:proofErr w:type="spellEnd"/>
      <w:r w:rsidR="00BC2D4C" w:rsidRPr="008A7BD7">
        <w:rPr>
          <w:rFonts w:ascii="Cambria" w:hAnsi="Cambria"/>
          <w:sz w:val="16"/>
          <w:szCs w:val="16"/>
        </w:rPr>
        <w:t>/V/II. Doc.44, December 5, 2013</w:t>
      </w:r>
      <w:r w:rsidRPr="008A7BD7">
        <w:rPr>
          <w:rFonts w:ascii="Cambria" w:hAnsi="Cambria"/>
          <w:sz w:val="16"/>
          <w:szCs w:val="16"/>
        </w:rPr>
        <w:t xml:space="preserve">, </w:t>
      </w:r>
      <w:r w:rsidR="00BC2D4C" w:rsidRPr="008A7BD7">
        <w:rPr>
          <w:rFonts w:ascii="Cambria" w:hAnsi="Cambria"/>
          <w:sz w:val="16"/>
          <w:szCs w:val="16"/>
        </w:rPr>
        <w:t>par</w:t>
      </w:r>
      <w:r w:rsidRPr="008A7BD7">
        <w:rPr>
          <w:rFonts w:ascii="Cambria" w:hAnsi="Cambria"/>
          <w:sz w:val="16"/>
          <w:szCs w:val="16"/>
        </w:rPr>
        <w:t>. 37.</w:t>
      </w:r>
    </w:p>
  </w:footnote>
  <w:footnote w:id="82">
    <w:p w14:paraId="04507C09" w14:textId="6A67831B" w:rsidR="009C4A37" w:rsidRPr="008A7BD7" w:rsidRDefault="009C4A3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BC2D4C" w:rsidRPr="008A7BD7">
        <w:rPr>
          <w:rFonts w:ascii="Cambria" w:hAnsi="Cambria"/>
          <w:sz w:val="16"/>
          <w:szCs w:val="16"/>
        </w:rPr>
        <w:t xml:space="preserve">IACHR, </w:t>
      </w:r>
      <w:hyperlink r:id="rId73" w:history="1">
        <w:r w:rsidR="00BC2D4C" w:rsidRPr="008A7BD7">
          <w:rPr>
            <w:rStyle w:val="Hyperlink"/>
            <w:rFonts w:ascii="Cambria" w:hAnsi="Cambria"/>
            <w:sz w:val="16"/>
            <w:szCs w:val="16"/>
          </w:rPr>
          <w:t>Guarantees for the Independence of Justice Operato</w:t>
        </w:r>
        <w:r w:rsidR="000E304C" w:rsidRPr="008A7BD7">
          <w:rPr>
            <w:rStyle w:val="Hyperlink"/>
            <w:rFonts w:ascii="Cambria" w:hAnsi="Cambria"/>
            <w:sz w:val="16"/>
            <w:szCs w:val="16"/>
          </w:rPr>
          <w:t>r</w:t>
        </w:r>
        <w:r w:rsidR="00BC2D4C" w:rsidRPr="008A7BD7">
          <w:rPr>
            <w:rStyle w:val="Hyperlink"/>
            <w:rFonts w:ascii="Cambria" w:hAnsi="Cambria"/>
            <w:sz w:val="16"/>
            <w:szCs w:val="16"/>
          </w:rPr>
          <w:t>s: Towards Strengthening Access to Justice and the Rule of Law in the Americas</w:t>
        </w:r>
      </w:hyperlink>
      <w:r w:rsidR="00BC2D4C" w:rsidRPr="008A7BD7">
        <w:rPr>
          <w:rFonts w:ascii="Cambria" w:hAnsi="Cambria"/>
          <w:sz w:val="16"/>
          <w:szCs w:val="16"/>
        </w:rPr>
        <w:t>,</w:t>
      </w:r>
      <w:r w:rsidR="00BC2D4C" w:rsidRPr="008A7BD7">
        <w:t xml:space="preserve"> </w:t>
      </w:r>
      <w:r w:rsidR="00BC2D4C" w:rsidRPr="008A7BD7">
        <w:rPr>
          <w:rFonts w:ascii="Cambria" w:hAnsi="Cambria"/>
          <w:sz w:val="16"/>
          <w:szCs w:val="16"/>
        </w:rPr>
        <w:t>OEA/</w:t>
      </w:r>
      <w:proofErr w:type="spellStart"/>
      <w:r w:rsidR="00BC2D4C" w:rsidRPr="008A7BD7">
        <w:rPr>
          <w:rFonts w:ascii="Cambria" w:hAnsi="Cambria"/>
          <w:sz w:val="16"/>
          <w:szCs w:val="16"/>
        </w:rPr>
        <w:t>Ser.L</w:t>
      </w:r>
      <w:proofErr w:type="spellEnd"/>
      <w:r w:rsidR="00BC2D4C" w:rsidRPr="008A7BD7">
        <w:rPr>
          <w:rFonts w:ascii="Cambria" w:hAnsi="Cambria"/>
          <w:sz w:val="16"/>
          <w:szCs w:val="16"/>
        </w:rPr>
        <w:t xml:space="preserve">/V/II. Doc.44, December 5, 2013, paras. </w:t>
      </w:r>
      <w:r w:rsidR="00B77B08" w:rsidRPr="008A7BD7">
        <w:rPr>
          <w:rFonts w:ascii="Cambria" w:hAnsi="Cambria"/>
          <w:sz w:val="16"/>
          <w:szCs w:val="16"/>
        </w:rPr>
        <w:t>16-18.</w:t>
      </w:r>
    </w:p>
  </w:footnote>
  <w:footnote w:id="83">
    <w:p w14:paraId="466CF2AD" w14:textId="1914D45A" w:rsidR="009C4A37" w:rsidRPr="008A7BD7" w:rsidRDefault="009C4A3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E865E8" w:rsidRPr="008A7BD7">
        <w:rPr>
          <w:rFonts w:ascii="Cambria" w:hAnsi="Cambria"/>
          <w:sz w:val="16"/>
          <w:szCs w:val="16"/>
        </w:rPr>
        <w:t xml:space="preserve">IACHR, </w:t>
      </w:r>
      <w:hyperlink r:id="rId74" w:history="1">
        <w:r w:rsidR="00E865E8" w:rsidRPr="008A7BD7">
          <w:rPr>
            <w:rStyle w:val="Hyperlink"/>
            <w:rFonts w:ascii="Cambria" w:hAnsi="Cambria"/>
            <w:sz w:val="16"/>
            <w:szCs w:val="16"/>
          </w:rPr>
          <w:t>Situation of Human Rights in Guatemala</w:t>
        </w:r>
      </w:hyperlink>
      <w:r w:rsidR="00E865E8" w:rsidRPr="008A7BD7">
        <w:rPr>
          <w:rFonts w:ascii="Cambria" w:hAnsi="Cambria"/>
          <w:sz w:val="16"/>
          <w:szCs w:val="16"/>
        </w:rPr>
        <w:t>, OEA/</w:t>
      </w:r>
      <w:proofErr w:type="spellStart"/>
      <w:r w:rsidR="00E865E8" w:rsidRPr="008A7BD7">
        <w:rPr>
          <w:rFonts w:ascii="Cambria" w:hAnsi="Cambria"/>
          <w:sz w:val="16"/>
          <w:szCs w:val="16"/>
        </w:rPr>
        <w:t>Ser.L</w:t>
      </w:r>
      <w:proofErr w:type="spellEnd"/>
      <w:r w:rsidR="00E865E8" w:rsidRPr="008A7BD7">
        <w:rPr>
          <w:rFonts w:ascii="Cambria" w:hAnsi="Cambria"/>
          <w:sz w:val="16"/>
          <w:szCs w:val="16"/>
        </w:rPr>
        <w:t>/V/II. Doc. 208/17, December 31, 2017</w:t>
      </w:r>
      <w:r w:rsidRPr="008A7BD7">
        <w:rPr>
          <w:rFonts w:ascii="Cambria" w:hAnsi="Cambria"/>
          <w:sz w:val="16"/>
          <w:szCs w:val="16"/>
        </w:rPr>
        <w:t>.</w:t>
      </w:r>
    </w:p>
  </w:footnote>
  <w:footnote w:id="84">
    <w:p w14:paraId="10AC454A" w14:textId="0B9D0335" w:rsidR="00706CD2" w:rsidRPr="008A7BD7" w:rsidRDefault="00706CD2" w:rsidP="00746761">
      <w:pPr>
        <w:pStyle w:val="FootnoteText"/>
        <w:spacing w:after="120"/>
        <w:ind w:firstLine="720"/>
        <w:jc w:val="both"/>
        <w:rPr>
          <w:rFonts w:ascii="Cambria" w:hAnsi="Cambria" w:cs="Tahoma"/>
          <w:color w:val="222222"/>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E865E8" w:rsidRPr="008A7BD7">
        <w:rPr>
          <w:rFonts w:ascii="Cambria" w:hAnsi="Cambria"/>
          <w:sz w:val="16"/>
          <w:szCs w:val="16"/>
        </w:rPr>
        <w:t xml:space="preserve">IACHR, </w:t>
      </w:r>
      <w:r w:rsidR="00467F76" w:rsidRPr="008A7BD7">
        <w:rPr>
          <w:rFonts w:ascii="Cambria" w:hAnsi="Cambria"/>
          <w:sz w:val="16"/>
          <w:szCs w:val="16"/>
        </w:rPr>
        <w:t>P</w:t>
      </w:r>
      <w:r w:rsidR="00E865E8" w:rsidRPr="008A7BD7">
        <w:rPr>
          <w:rFonts w:ascii="Cambria" w:hAnsi="Cambria"/>
          <w:sz w:val="16"/>
          <w:szCs w:val="16"/>
        </w:rPr>
        <w:t xml:space="preserve">ress </w:t>
      </w:r>
      <w:r w:rsidR="00467F76" w:rsidRPr="008A7BD7">
        <w:rPr>
          <w:rFonts w:ascii="Cambria" w:hAnsi="Cambria"/>
          <w:sz w:val="16"/>
          <w:szCs w:val="16"/>
        </w:rPr>
        <w:t>R</w:t>
      </w:r>
      <w:r w:rsidR="00E865E8" w:rsidRPr="008A7BD7">
        <w:rPr>
          <w:rFonts w:ascii="Cambria" w:hAnsi="Cambria"/>
          <w:sz w:val="16"/>
          <w:szCs w:val="16"/>
        </w:rPr>
        <w:t xml:space="preserve">elease </w:t>
      </w:r>
      <w:r w:rsidR="00F10FC6" w:rsidRPr="008A7BD7">
        <w:rPr>
          <w:rFonts w:ascii="Cambria" w:hAnsi="Cambria" w:cs="Tahoma"/>
          <w:sz w:val="16"/>
          <w:szCs w:val="16"/>
        </w:rPr>
        <w:t>203/21</w:t>
      </w:r>
      <w:r w:rsidR="00E865E8" w:rsidRPr="008A7BD7">
        <w:rPr>
          <w:rFonts w:ascii="Cambria" w:hAnsi="Cambria" w:cs="Tahoma"/>
          <w:sz w:val="16"/>
          <w:szCs w:val="16"/>
        </w:rPr>
        <w:t xml:space="preserve">, </w:t>
      </w:r>
      <w:hyperlink r:id="rId75" w:history="1">
        <w:r w:rsidR="00E865E8" w:rsidRPr="008A7BD7">
          <w:rPr>
            <w:rStyle w:val="Hyperlink"/>
            <w:rFonts w:ascii="Cambria" w:hAnsi="Cambria" w:cs="Tahoma"/>
            <w:sz w:val="16"/>
            <w:szCs w:val="16"/>
          </w:rPr>
          <w:t>IACHR Expresses Concern over Actions that Weaken Judicial Independence in Guatemala</w:t>
        </w:r>
      </w:hyperlink>
      <w:r w:rsidR="00E865E8" w:rsidRPr="008A7BD7">
        <w:rPr>
          <w:rFonts w:ascii="Cambria" w:hAnsi="Cambria" w:cs="Tahoma"/>
          <w:sz w:val="16"/>
          <w:szCs w:val="16"/>
        </w:rPr>
        <w:t xml:space="preserve">, </w:t>
      </w:r>
      <w:r w:rsidR="00F10FC6" w:rsidRPr="008A7BD7">
        <w:rPr>
          <w:rFonts w:ascii="Cambria" w:hAnsi="Cambria" w:cs="Tahoma"/>
          <w:color w:val="222222"/>
          <w:sz w:val="16"/>
          <w:szCs w:val="16"/>
        </w:rPr>
        <w:t xml:space="preserve">Washington, D.C., </w:t>
      </w:r>
      <w:r w:rsidR="00E865E8" w:rsidRPr="008A7BD7">
        <w:rPr>
          <w:rFonts w:ascii="Cambria" w:hAnsi="Cambria" w:cs="Tahoma"/>
          <w:color w:val="222222"/>
          <w:sz w:val="16"/>
          <w:szCs w:val="16"/>
        </w:rPr>
        <w:t xml:space="preserve">August </w:t>
      </w:r>
      <w:r w:rsidR="00F10FC6" w:rsidRPr="008A7BD7">
        <w:rPr>
          <w:rFonts w:ascii="Cambria" w:hAnsi="Cambria" w:cs="Tahoma"/>
          <w:color w:val="222222"/>
          <w:sz w:val="16"/>
          <w:szCs w:val="16"/>
        </w:rPr>
        <w:t>6</w:t>
      </w:r>
      <w:r w:rsidR="00E865E8" w:rsidRPr="008A7BD7">
        <w:rPr>
          <w:rFonts w:ascii="Cambria" w:hAnsi="Cambria" w:cs="Tahoma"/>
          <w:color w:val="222222"/>
          <w:sz w:val="16"/>
          <w:szCs w:val="16"/>
        </w:rPr>
        <w:t xml:space="preserve">, </w:t>
      </w:r>
      <w:r w:rsidR="00F10FC6" w:rsidRPr="008A7BD7">
        <w:rPr>
          <w:rFonts w:ascii="Cambria" w:hAnsi="Cambria" w:cs="Tahoma"/>
          <w:color w:val="222222"/>
          <w:sz w:val="16"/>
          <w:szCs w:val="16"/>
        </w:rPr>
        <w:t>2021</w:t>
      </w:r>
      <w:r w:rsidR="00E865E8" w:rsidRPr="008A7BD7">
        <w:rPr>
          <w:rFonts w:ascii="Cambria" w:hAnsi="Cambria" w:cs="Tahoma"/>
          <w:color w:val="222222"/>
          <w:sz w:val="16"/>
          <w:szCs w:val="16"/>
        </w:rPr>
        <w:t>.</w:t>
      </w:r>
    </w:p>
  </w:footnote>
  <w:footnote w:id="85">
    <w:p w14:paraId="1E0F849B" w14:textId="505B6728" w:rsidR="001A2977" w:rsidRPr="008A7BD7" w:rsidRDefault="001A297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F21790" w:rsidRPr="008A7BD7">
        <w:rPr>
          <w:rFonts w:ascii="Cambria" w:hAnsi="Cambria"/>
          <w:sz w:val="16"/>
          <w:szCs w:val="16"/>
        </w:rPr>
        <w:t>IACHR, 181</w:t>
      </w:r>
      <w:r w:rsidR="00F21790" w:rsidRPr="008A7BD7">
        <w:rPr>
          <w:rFonts w:ascii="Cambria" w:hAnsi="Cambria"/>
          <w:sz w:val="16"/>
          <w:szCs w:val="16"/>
          <w:vertAlign w:val="superscript"/>
        </w:rPr>
        <w:t>st</w:t>
      </w:r>
      <w:r w:rsidR="00F21790" w:rsidRPr="008A7BD7">
        <w:rPr>
          <w:rFonts w:ascii="Cambria" w:hAnsi="Cambria"/>
          <w:sz w:val="16"/>
          <w:szCs w:val="16"/>
        </w:rPr>
        <w:t xml:space="preserve"> period of sessions, </w:t>
      </w:r>
      <w:r w:rsidR="001A17F5" w:rsidRPr="008A7BD7">
        <w:rPr>
          <w:rFonts w:ascii="Cambria" w:hAnsi="Cambria"/>
          <w:sz w:val="16"/>
          <w:szCs w:val="16"/>
        </w:rPr>
        <w:t>“</w:t>
      </w:r>
      <w:hyperlink r:id="rId76" w:history="1">
        <w:r w:rsidR="001A17F5" w:rsidRPr="008A7BD7">
          <w:rPr>
            <w:rStyle w:val="Hyperlink"/>
            <w:rFonts w:ascii="Cambria" w:hAnsi="Cambria"/>
            <w:sz w:val="16"/>
            <w:szCs w:val="16"/>
          </w:rPr>
          <w:t>Human Rights Situation of Justice Operators and Judicial Independence in Guatemala</w:t>
        </w:r>
      </w:hyperlink>
      <w:r w:rsidR="001A17F5" w:rsidRPr="008A7BD7">
        <w:rPr>
          <w:rFonts w:ascii="Cambria" w:hAnsi="Cambria"/>
          <w:sz w:val="16"/>
          <w:szCs w:val="16"/>
        </w:rPr>
        <w:t>,”</w:t>
      </w:r>
      <w:r w:rsidR="00F21790" w:rsidRPr="008A7BD7">
        <w:rPr>
          <w:rFonts w:ascii="Cambria" w:hAnsi="Cambria"/>
          <w:sz w:val="16"/>
          <w:szCs w:val="16"/>
        </w:rPr>
        <w:t xml:space="preserve"> public hearing held on October 28, </w:t>
      </w:r>
      <w:r w:rsidR="00F21790" w:rsidRPr="008A7BD7">
        <w:rPr>
          <w:rFonts w:ascii="Cambria" w:eastAsia="Cambria" w:hAnsi="Cambria" w:cs="Cambria"/>
          <w:sz w:val="16"/>
          <w:szCs w:val="16"/>
        </w:rPr>
        <w:t>2021</w:t>
      </w:r>
      <w:r w:rsidRPr="008A7BD7">
        <w:rPr>
          <w:rFonts w:ascii="Cambria" w:eastAsia="Cambria" w:hAnsi="Cambria" w:cs="Cambria"/>
          <w:sz w:val="16"/>
          <w:szCs w:val="16"/>
        </w:rPr>
        <w:t>.</w:t>
      </w:r>
    </w:p>
  </w:footnote>
  <w:footnote w:id="86">
    <w:p w14:paraId="1E0616C2" w14:textId="17034FCE" w:rsidR="00A95298" w:rsidRPr="008A7BD7" w:rsidRDefault="00A95298"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rPr>
        <w:t xml:space="preserve"> </w:t>
      </w:r>
      <w:r w:rsidR="00F21790" w:rsidRPr="008A7BD7">
        <w:rPr>
          <w:rFonts w:ascii="Cambria" w:hAnsi="Cambria"/>
          <w:sz w:val="16"/>
          <w:szCs w:val="16"/>
        </w:rPr>
        <w:t xml:space="preserve">Information received in the context of the </w:t>
      </w:r>
      <w:r w:rsidR="003F5085" w:rsidRPr="008A7BD7">
        <w:rPr>
          <w:rFonts w:ascii="Cambria" w:hAnsi="Cambria"/>
          <w:sz w:val="16"/>
          <w:szCs w:val="16"/>
        </w:rPr>
        <w:t>“Petition regarding Complaints of Violations of the</w:t>
      </w:r>
      <w:r w:rsidR="00F10FC6" w:rsidRPr="008A7BD7">
        <w:rPr>
          <w:rFonts w:ascii="Cambria" w:hAnsi="Cambria"/>
          <w:sz w:val="16"/>
          <w:szCs w:val="16"/>
        </w:rPr>
        <w:t xml:space="preserve"> </w:t>
      </w:r>
      <w:r w:rsidR="003F5085" w:rsidRPr="008A7BD7">
        <w:rPr>
          <w:rFonts w:ascii="Cambria" w:hAnsi="Cambria"/>
          <w:sz w:val="16"/>
          <w:szCs w:val="16"/>
        </w:rPr>
        <w:t xml:space="preserve">American Convention on Human Rights,” lodged by Judge </w:t>
      </w:r>
      <w:r w:rsidR="00F10FC6" w:rsidRPr="008A7BD7">
        <w:rPr>
          <w:rFonts w:ascii="Cambria" w:hAnsi="Cambria"/>
          <w:sz w:val="16"/>
          <w:szCs w:val="16"/>
        </w:rPr>
        <w:t xml:space="preserve">Erika </w:t>
      </w:r>
      <w:proofErr w:type="spellStart"/>
      <w:r w:rsidR="00F10FC6" w:rsidRPr="008A7BD7">
        <w:rPr>
          <w:rFonts w:ascii="Cambria" w:hAnsi="Cambria"/>
          <w:sz w:val="16"/>
          <w:szCs w:val="16"/>
        </w:rPr>
        <w:t>Aifán</w:t>
      </w:r>
      <w:proofErr w:type="spellEnd"/>
      <w:r w:rsidR="00F10FC6" w:rsidRPr="008A7BD7">
        <w:rPr>
          <w:rFonts w:ascii="Cambria" w:hAnsi="Cambria"/>
          <w:sz w:val="16"/>
          <w:szCs w:val="16"/>
        </w:rPr>
        <w:t xml:space="preserve"> </w:t>
      </w:r>
      <w:r w:rsidR="003F5085" w:rsidRPr="008A7BD7">
        <w:rPr>
          <w:rFonts w:ascii="Cambria" w:hAnsi="Cambria"/>
          <w:sz w:val="16"/>
          <w:szCs w:val="16"/>
        </w:rPr>
        <w:t xml:space="preserve">against the State of </w:t>
      </w:r>
      <w:r w:rsidR="00F10FC6" w:rsidRPr="008A7BD7">
        <w:rPr>
          <w:rFonts w:ascii="Cambria" w:eastAsia="Times New Roman" w:hAnsi="Cambria"/>
          <w:sz w:val="16"/>
          <w:szCs w:val="16"/>
          <w:lang w:eastAsia="es-ES_tradnl"/>
        </w:rPr>
        <w:t>Guatemala</w:t>
      </w:r>
      <w:r w:rsidR="00F10FC6" w:rsidRPr="008A7BD7">
        <w:rPr>
          <w:rFonts w:ascii="Cambria" w:hAnsi="Cambria"/>
          <w:sz w:val="16"/>
          <w:szCs w:val="16"/>
        </w:rPr>
        <w:t xml:space="preserve">, </w:t>
      </w:r>
      <w:r w:rsidR="003F5085" w:rsidRPr="008A7BD7">
        <w:rPr>
          <w:rFonts w:ascii="Cambria" w:hAnsi="Cambria"/>
          <w:sz w:val="16"/>
          <w:szCs w:val="16"/>
        </w:rPr>
        <w:t xml:space="preserve">September </w:t>
      </w:r>
      <w:r w:rsidR="00F10FC6" w:rsidRPr="008A7BD7">
        <w:rPr>
          <w:rFonts w:ascii="Cambria" w:hAnsi="Cambria"/>
          <w:sz w:val="16"/>
          <w:szCs w:val="16"/>
        </w:rPr>
        <w:t>7</w:t>
      </w:r>
      <w:r w:rsidR="003F5085" w:rsidRPr="008A7BD7">
        <w:rPr>
          <w:rFonts w:ascii="Cambria" w:hAnsi="Cambria"/>
          <w:sz w:val="16"/>
          <w:szCs w:val="16"/>
        </w:rPr>
        <w:t xml:space="preserve">, </w:t>
      </w:r>
      <w:r w:rsidR="00F10FC6" w:rsidRPr="008A7BD7">
        <w:rPr>
          <w:rFonts w:ascii="Cambria" w:hAnsi="Cambria"/>
          <w:sz w:val="16"/>
          <w:szCs w:val="16"/>
        </w:rPr>
        <w:t xml:space="preserve">2021. </w:t>
      </w:r>
      <w:r w:rsidR="00F10FC6" w:rsidRPr="008A7BD7">
        <w:rPr>
          <w:rFonts w:ascii="Cambria" w:hAnsi="Cambria"/>
          <w:i/>
          <w:iCs/>
          <w:sz w:val="16"/>
          <w:szCs w:val="16"/>
          <w:lang w:val="es-US"/>
        </w:rPr>
        <w:t>Prensa Libre</w:t>
      </w:r>
      <w:r w:rsidR="00F10FC6" w:rsidRPr="008A7BD7">
        <w:rPr>
          <w:rFonts w:ascii="Cambria" w:hAnsi="Cambria"/>
          <w:sz w:val="16"/>
          <w:szCs w:val="16"/>
          <w:lang w:val="es-US"/>
        </w:rPr>
        <w:t xml:space="preserve">, </w:t>
      </w:r>
      <w:hyperlink r:id="rId77" w:history="1">
        <w:r w:rsidR="00F10FC6" w:rsidRPr="008A7BD7">
          <w:rPr>
            <w:rStyle w:val="Hyperlink"/>
            <w:rFonts w:ascii="Cambria" w:hAnsi="Cambria"/>
            <w:i/>
            <w:iCs/>
            <w:sz w:val="16"/>
            <w:szCs w:val="16"/>
            <w:lang w:val="es-US"/>
          </w:rPr>
          <w:t xml:space="preserve">CC ratifica decisión de reactivar antejuicio contra jueza Erika </w:t>
        </w:r>
        <w:proofErr w:type="spellStart"/>
        <w:r w:rsidR="00F10FC6" w:rsidRPr="008A7BD7">
          <w:rPr>
            <w:rStyle w:val="Hyperlink"/>
            <w:rFonts w:ascii="Cambria" w:hAnsi="Cambria"/>
            <w:i/>
            <w:iCs/>
            <w:sz w:val="16"/>
            <w:szCs w:val="16"/>
            <w:lang w:val="es-US"/>
          </w:rPr>
          <w:t>Aifán</w:t>
        </w:r>
        <w:proofErr w:type="spellEnd"/>
      </w:hyperlink>
      <w:r w:rsidR="003F5085" w:rsidRPr="008A7BD7">
        <w:rPr>
          <w:rStyle w:val="Hyperlink"/>
          <w:rFonts w:ascii="Cambria" w:hAnsi="Cambria"/>
          <w:sz w:val="16"/>
          <w:szCs w:val="16"/>
          <w:lang w:val="es-US"/>
        </w:rPr>
        <w:t>,</w:t>
      </w:r>
      <w:r w:rsidR="00F10FC6" w:rsidRPr="008A7BD7">
        <w:rPr>
          <w:rFonts w:ascii="Cambria" w:hAnsi="Cambria"/>
          <w:sz w:val="16"/>
          <w:szCs w:val="16"/>
          <w:lang w:val="es-US"/>
        </w:rPr>
        <w:t xml:space="preserve"> </w:t>
      </w:r>
      <w:proofErr w:type="spellStart"/>
      <w:r w:rsidR="003F5085" w:rsidRPr="008A7BD7">
        <w:rPr>
          <w:rFonts w:ascii="Cambria" w:hAnsi="Cambria"/>
          <w:sz w:val="16"/>
          <w:szCs w:val="16"/>
          <w:lang w:val="es-US"/>
        </w:rPr>
        <w:t>October</w:t>
      </w:r>
      <w:proofErr w:type="spellEnd"/>
      <w:r w:rsidR="003F5085" w:rsidRPr="008A7BD7">
        <w:rPr>
          <w:rFonts w:ascii="Cambria" w:hAnsi="Cambria"/>
          <w:sz w:val="16"/>
          <w:szCs w:val="16"/>
          <w:lang w:val="es-US"/>
        </w:rPr>
        <w:t xml:space="preserve"> </w:t>
      </w:r>
      <w:r w:rsidR="00F10FC6" w:rsidRPr="008A7BD7">
        <w:rPr>
          <w:rFonts w:ascii="Cambria" w:hAnsi="Cambria"/>
          <w:sz w:val="16"/>
          <w:szCs w:val="16"/>
          <w:lang w:val="es-US"/>
        </w:rPr>
        <w:t>4</w:t>
      </w:r>
      <w:r w:rsidR="003F5085" w:rsidRPr="008A7BD7">
        <w:rPr>
          <w:rFonts w:ascii="Cambria" w:hAnsi="Cambria"/>
          <w:sz w:val="16"/>
          <w:szCs w:val="16"/>
          <w:lang w:val="es-US"/>
        </w:rPr>
        <w:t xml:space="preserve">, </w:t>
      </w:r>
      <w:r w:rsidR="00F10FC6" w:rsidRPr="008A7BD7">
        <w:rPr>
          <w:rFonts w:ascii="Cambria" w:hAnsi="Cambria"/>
          <w:sz w:val="16"/>
          <w:szCs w:val="16"/>
          <w:lang w:val="es-US"/>
        </w:rPr>
        <w:t xml:space="preserve">2021; </w:t>
      </w:r>
      <w:r w:rsidR="00F10FC6" w:rsidRPr="008A7BD7">
        <w:rPr>
          <w:rFonts w:ascii="Cambria" w:hAnsi="Cambria"/>
          <w:i/>
          <w:iCs/>
          <w:sz w:val="16"/>
          <w:szCs w:val="16"/>
          <w:lang w:val="es-US"/>
        </w:rPr>
        <w:t>El Periódico</w:t>
      </w:r>
      <w:r w:rsidR="00F10FC6" w:rsidRPr="008A7BD7">
        <w:rPr>
          <w:rFonts w:ascii="Cambria" w:hAnsi="Cambria"/>
          <w:sz w:val="16"/>
          <w:szCs w:val="16"/>
          <w:lang w:val="es-US"/>
        </w:rPr>
        <w:t xml:space="preserve">, </w:t>
      </w:r>
      <w:hyperlink r:id="rId78" w:history="1">
        <w:r w:rsidR="00F10FC6" w:rsidRPr="008A7BD7">
          <w:rPr>
            <w:rStyle w:val="Hyperlink"/>
            <w:rFonts w:ascii="Cambria" w:hAnsi="Cambria"/>
            <w:i/>
            <w:iCs/>
            <w:sz w:val="16"/>
            <w:szCs w:val="16"/>
            <w:lang w:val="es-US"/>
          </w:rPr>
          <w:t xml:space="preserve">CC ratifica que el trámite de antejuicio en contra de la jueza </w:t>
        </w:r>
        <w:proofErr w:type="spellStart"/>
        <w:r w:rsidR="00F10FC6" w:rsidRPr="008A7BD7">
          <w:rPr>
            <w:rStyle w:val="Hyperlink"/>
            <w:rFonts w:ascii="Cambria" w:hAnsi="Cambria"/>
            <w:i/>
            <w:iCs/>
            <w:sz w:val="16"/>
            <w:szCs w:val="16"/>
            <w:lang w:val="es-US"/>
          </w:rPr>
          <w:t>Aifán</w:t>
        </w:r>
        <w:proofErr w:type="spellEnd"/>
        <w:r w:rsidR="00F10FC6" w:rsidRPr="008A7BD7">
          <w:rPr>
            <w:rStyle w:val="Hyperlink"/>
            <w:rFonts w:ascii="Cambria" w:hAnsi="Cambria"/>
            <w:i/>
            <w:iCs/>
            <w:sz w:val="16"/>
            <w:szCs w:val="16"/>
            <w:lang w:val="es-US"/>
          </w:rPr>
          <w:t xml:space="preserve"> debe continua</w:t>
        </w:r>
      </w:hyperlink>
      <w:r w:rsidR="00F10FC6" w:rsidRPr="008A7BD7">
        <w:rPr>
          <w:rFonts w:ascii="Cambria" w:hAnsi="Cambria"/>
          <w:i/>
          <w:iCs/>
          <w:sz w:val="16"/>
          <w:szCs w:val="16"/>
          <w:lang w:val="es-US"/>
        </w:rPr>
        <w:t>r</w:t>
      </w:r>
      <w:r w:rsidR="003F5085" w:rsidRPr="008A7BD7">
        <w:rPr>
          <w:rFonts w:ascii="Cambria" w:hAnsi="Cambria"/>
          <w:sz w:val="16"/>
          <w:szCs w:val="16"/>
          <w:lang w:val="es-US"/>
        </w:rPr>
        <w:t>,</w:t>
      </w:r>
      <w:r w:rsidR="00F10FC6" w:rsidRPr="008A7BD7">
        <w:rPr>
          <w:rFonts w:ascii="Cambria" w:hAnsi="Cambria"/>
          <w:sz w:val="16"/>
          <w:szCs w:val="16"/>
          <w:lang w:val="es-US"/>
        </w:rPr>
        <w:t xml:space="preserve"> </w:t>
      </w:r>
      <w:proofErr w:type="spellStart"/>
      <w:r w:rsidR="003F5085" w:rsidRPr="008A7BD7">
        <w:rPr>
          <w:rFonts w:ascii="Cambria" w:hAnsi="Cambria"/>
          <w:sz w:val="16"/>
          <w:szCs w:val="16"/>
          <w:lang w:val="es-US"/>
        </w:rPr>
        <w:t>October</w:t>
      </w:r>
      <w:proofErr w:type="spellEnd"/>
      <w:r w:rsidR="003F5085" w:rsidRPr="008A7BD7">
        <w:rPr>
          <w:rFonts w:ascii="Cambria" w:hAnsi="Cambria"/>
          <w:sz w:val="16"/>
          <w:szCs w:val="16"/>
          <w:lang w:val="es-US"/>
        </w:rPr>
        <w:t xml:space="preserve"> </w:t>
      </w:r>
      <w:r w:rsidR="00F10FC6" w:rsidRPr="008A7BD7">
        <w:rPr>
          <w:rFonts w:ascii="Cambria" w:hAnsi="Cambria"/>
          <w:sz w:val="16"/>
          <w:szCs w:val="16"/>
          <w:lang w:val="es-US"/>
        </w:rPr>
        <w:t>4</w:t>
      </w:r>
      <w:r w:rsidR="003F5085" w:rsidRPr="008A7BD7">
        <w:rPr>
          <w:rFonts w:ascii="Cambria" w:hAnsi="Cambria"/>
          <w:sz w:val="16"/>
          <w:szCs w:val="16"/>
          <w:lang w:val="es-US"/>
        </w:rPr>
        <w:t xml:space="preserve">, </w:t>
      </w:r>
      <w:r w:rsidR="00F10FC6" w:rsidRPr="008A7BD7">
        <w:rPr>
          <w:rFonts w:ascii="Cambria" w:hAnsi="Cambria"/>
          <w:sz w:val="16"/>
          <w:szCs w:val="16"/>
          <w:lang w:val="es-US"/>
        </w:rPr>
        <w:t>2021.</w:t>
      </w:r>
    </w:p>
  </w:footnote>
  <w:footnote w:id="87">
    <w:p w14:paraId="546155AB" w14:textId="3CD99485" w:rsidR="00C56230" w:rsidRPr="008A7BD7" w:rsidRDefault="00C56230" w:rsidP="00C56230">
      <w:pPr>
        <w:pStyle w:val="FootnoteText"/>
        <w:spacing w:after="120"/>
        <w:ind w:firstLine="720"/>
        <w:jc w:val="both"/>
      </w:pPr>
      <w:r w:rsidRPr="008A7BD7">
        <w:rPr>
          <w:rStyle w:val="FootnoteReference"/>
        </w:rPr>
        <w:footnoteRef/>
      </w:r>
      <w:r w:rsidRPr="008A7BD7">
        <w:t xml:space="preserve"> </w:t>
      </w:r>
      <w:r w:rsidR="00670044" w:rsidRPr="008A7BD7">
        <w:rPr>
          <w:rFonts w:ascii="Cambria" w:hAnsi="Cambria"/>
          <w:sz w:val="16"/>
          <w:szCs w:val="16"/>
        </w:rPr>
        <w:t>Response from the State of</w:t>
      </w:r>
      <w:r w:rsidR="00670044"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670044" w:rsidRPr="008A7BD7">
        <w:rPr>
          <w:rFonts w:ascii="Cambria" w:hAnsi="Cambria"/>
          <w:sz w:val="16"/>
          <w:szCs w:val="16"/>
        </w:rPr>
        <w:t>OEA</w:t>
      </w:r>
      <w:r w:rsidR="00670044"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19.</w:t>
      </w:r>
    </w:p>
  </w:footnote>
  <w:footnote w:id="88">
    <w:p w14:paraId="39A3E92E" w14:textId="6892BC8E" w:rsidR="00A95298" w:rsidRPr="008A7BD7" w:rsidRDefault="00A95298"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00F10FC6" w:rsidRPr="008A7BD7">
        <w:rPr>
          <w:rFonts w:ascii="Cambria" w:hAnsi="Cambria"/>
          <w:i/>
          <w:iCs/>
          <w:sz w:val="16"/>
          <w:szCs w:val="16"/>
          <w:lang w:val="es-US"/>
        </w:rPr>
        <w:t>El Periódico</w:t>
      </w:r>
      <w:r w:rsidR="00F10FC6" w:rsidRPr="008A7BD7">
        <w:rPr>
          <w:rFonts w:ascii="Cambria" w:hAnsi="Cambria"/>
          <w:sz w:val="16"/>
          <w:szCs w:val="16"/>
          <w:lang w:val="es-US"/>
        </w:rPr>
        <w:t xml:space="preserve">, </w:t>
      </w:r>
      <w:hyperlink r:id="rId79" w:history="1">
        <w:r w:rsidR="00F10FC6" w:rsidRPr="008A7BD7">
          <w:rPr>
            <w:rStyle w:val="Hyperlink"/>
            <w:rFonts w:ascii="Cambria" w:hAnsi="Cambria"/>
            <w:i/>
            <w:iCs/>
            <w:sz w:val="16"/>
            <w:szCs w:val="16"/>
            <w:lang w:val="es-US"/>
          </w:rPr>
          <w:t xml:space="preserve">CC reactiva antejuicio contra Juez Pablo </w:t>
        </w:r>
        <w:proofErr w:type="spellStart"/>
        <w:r w:rsidR="00F10FC6" w:rsidRPr="008A7BD7">
          <w:rPr>
            <w:rStyle w:val="Hyperlink"/>
            <w:rFonts w:ascii="Cambria" w:hAnsi="Cambria"/>
            <w:i/>
            <w:iCs/>
            <w:sz w:val="16"/>
            <w:szCs w:val="16"/>
            <w:lang w:val="es-US"/>
          </w:rPr>
          <w:t>Xitimul</w:t>
        </w:r>
        <w:proofErr w:type="spellEnd"/>
      </w:hyperlink>
      <w:r w:rsidR="00B50FB0" w:rsidRPr="008A7BD7">
        <w:rPr>
          <w:rStyle w:val="Hyperlink"/>
          <w:rFonts w:ascii="Cambria" w:hAnsi="Cambria"/>
          <w:sz w:val="16"/>
          <w:szCs w:val="16"/>
          <w:lang w:val="es-US"/>
        </w:rPr>
        <w:t>,</w:t>
      </w:r>
      <w:r w:rsidR="00F10FC6" w:rsidRPr="008A7BD7">
        <w:rPr>
          <w:rFonts w:ascii="Cambria" w:hAnsi="Cambria"/>
          <w:sz w:val="16"/>
          <w:szCs w:val="16"/>
          <w:lang w:val="es-US"/>
        </w:rPr>
        <w:t xml:space="preserve"> </w:t>
      </w:r>
      <w:proofErr w:type="spellStart"/>
      <w:r w:rsidR="00B50FB0" w:rsidRPr="008A7BD7">
        <w:rPr>
          <w:rFonts w:ascii="Cambria" w:hAnsi="Cambria"/>
          <w:sz w:val="16"/>
          <w:szCs w:val="16"/>
          <w:lang w:val="es-US"/>
        </w:rPr>
        <w:t>July</w:t>
      </w:r>
      <w:proofErr w:type="spellEnd"/>
      <w:r w:rsidR="00B50FB0" w:rsidRPr="008A7BD7">
        <w:rPr>
          <w:rFonts w:ascii="Cambria" w:hAnsi="Cambria"/>
          <w:sz w:val="16"/>
          <w:szCs w:val="16"/>
          <w:lang w:val="es-US"/>
        </w:rPr>
        <w:t xml:space="preserve"> </w:t>
      </w:r>
      <w:r w:rsidR="00FA539D" w:rsidRPr="008A7BD7">
        <w:rPr>
          <w:rFonts w:ascii="Cambria" w:hAnsi="Cambria"/>
          <w:sz w:val="16"/>
          <w:szCs w:val="16"/>
          <w:lang w:val="es-US"/>
        </w:rPr>
        <w:t>1</w:t>
      </w:r>
      <w:r w:rsidR="00B50FB0" w:rsidRPr="008A7BD7">
        <w:rPr>
          <w:rFonts w:ascii="Cambria" w:hAnsi="Cambria"/>
          <w:sz w:val="16"/>
          <w:szCs w:val="16"/>
          <w:lang w:val="es-US"/>
        </w:rPr>
        <w:t xml:space="preserve">, </w:t>
      </w:r>
      <w:r w:rsidR="00FA539D" w:rsidRPr="008A7BD7">
        <w:rPr>
          <w:rFonts w:ascii="Cambria" w:hAnsi="Cambria"/>
          <w:sz w:val="16"/>
          <w:szCs w:val="16"/>
          <w:lang w:val="es-US"/>
        </w:rPr>
        <w:t xml:space="preserve">2021; Observatorio de Independencia Judicial, </w:t>
      </w:r>
      <w:hyperlink r:id="rId80" w:history="1">
        <w:r w:rsidR="00FA539D" w:rsidRPr="008A7BD7">
          <w:rPr>
            <w:rStyle w:val="Hyperlink"/>
            <w:rFonts w:ascii="Cambria" w:hAnsi="Cambria"/>
            <w:i/>
            <w:iCs/>
            <w:sz w:val="16"/>
            <w:szCs w:val="16"/>
            <w:lang w:val="es-US"/>
          </w:rPr>
          <w:t xml:space="preserve">Informe Anomalías en el proceso de Antejuicio contra el Juez Pablo </w:t>
        </w:r>
        <w:proofErr w:type="spellStart"/>
        <w:r w:rsidR="00FA539D" w:rsidRPr="008A7BD7">
          <w:rPr>
            <w:rStyle w:val="Hyperlink"/>
            <w:rFonts w:ascii="Cambria" w:hAnsi="Cambria"/>
            <w:i/>
            <w:iCs/>
            <w:sz w:val="16"/>
            <w:szCs w:val="16"/>
            <w:lang w:val="es-US"/>
          </w:rPr>
          <w:t>Xitimul</w:t>
        </w:r>
        <w:proofErr w:type="spellEnd"/>
      </w:hyperlink>
      <w:r w:rsidR="00FA539D" w:rsidRPr="008A7BD7">
        <w:rPr>
          <w:rFonts w:ascii="Cambria" w:hAnsi="Cambria"/>
          <w:sz w:val="16"/>
          <w:szCs w:val="16"/>
          <w:lang w:val="es-US"/>
        </w:rPr>
        <w:t xml:space="preserve">, </w:t>
      </w:r>
      <w:proofErr w:type="spellStart"/>
      <w:r w:rsidR="00B50FB0" w:rsidRPr="008A7BD7">
        <w:rPr>
          <w:rFonts w:ascii="Cambria" w:hAnsi="Cambria"/>
          <w:sz w:val="16"/>
          <w:szCs w:val="16"/>
          <w:lang w:val="es-US"/>
        </w:rPr>
        <w:t>October</w:t>
      </w:r>
      <w:proofErr w:type="spellEnd"/>
      <w:r w:rsidR="00B50FB0" w:rsidRPr="008A7BD7">
        <w:rPr>
          <w:rFonts w:ascii="Cambria" w:hAnsi="Cambria"/>
          <w:sz w:val="16"/>
          <w:szCs w:val="16"/>
          <w:lang w:val="es-US"/>
        </w:rPr>
        <w:t xml:space="preserve"> </w:t>
      </w:r>
      <w:r w:rsidR="00FA539D" w:rsidRPr="008A7BD7">
        <w:rPr>
          <w:rFonts w:ascii="Cambria" w:hAnsi="Cambria"/>
          <w:sz w:val="16"/>
          <w:szCs w:val="16"/>
          <w:lang w:val="es-US"/>
        </w:rPr>
        <w:t>2021.</w:t>
      </w:r>
    </w:p>
  </w:footnote>
  <w:footnote w:id="89">
    <w:p w14:paraId="2692CC1F" w14:textId="25F32CAA" w:rsidR="00C56230" w:rsidRPr="008A7BD7" w:rsidRDefault="00C56230" w:rsidP="00C56230">
      <w:pPr>
        <w:pStyle w:val="FootnoteText"/>
        <w:spacing w:after="120"/>
        <w:ind w:firstLine="720"/>
        <w:jc w:val="both"/>
      </w:pPr>
      <w:r w:rsidRPr="008A7BD7">
        <w:rPr>
          <w:rStyle w:val="FootnoteReference"/>
        </w:rPr>
        <w:footnoteRef/>
      </w:r>
      <w:r w:rsidRPr="008A7BD7">
        <w:t xml:space="preserve"> </w:t>
      </w:r>
      <w:r w:rsidR="00670044" w:rsidRPr="008A7BD7">
        <w:rPr>
          <w:rFonts w:ascii="Cambria" w:hAnsi="Cambria"/>
          <w:sz w:val="16"/>
          <w:szCs w:val="16"/>
        </w:rPr>
        <w:t>Response from the State of</w:t>
      </w:r>
      <w:r w:rsidR="00670044"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670044" w:rsidRPr="008A7BD7">
        <w:rPr>
          <w:rFonts w:ascii="Cambria" w:hAnsi="Cambria"/>
          <w:sz w:val="16"/>
          <w:szCs w:val="16"/>
        </w:rPr>
        <w:t>OEA</w:t>
      </w:r>
      <w:r w:rsidR="00670044"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19.</w:t>
      </w:r>
    </w:p>
  </w:footnote>
  <w:footnote w:id="90">
    <w:p w14:paraId="4AE1C8FF" w14:textId="1142FCB1" w:rsidR="003A3461" w:rsidRPr="008A7BD7" w:rsidRDefault="003A3461"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B50FB0" w:rsidRPr="008A7BD7">
        <w:rPr>
          <w:rFonts w:ascii="Cambria" w:hAnsi="Cambria"/>
          <w:sz w:val="16"/>
          <w:szCs w:val="16"/>
        </w:rPr>
        <w:t>Observations by the Guatemalan State to the Draft Chapter V Report</w:t>
      </w:r>
      <w:r w:rsidR="006000D9" w:rsidRPr="008A7BD7">
        <w:rPr>
          <w:rFonts w:ascii="Cambria" w:hAnsi="Cambria"/>
          <w:sz w:val="16"/>
          <w:szCs w:val="16"/>
        </w:rPr>
        <w:t xml:space="preserve">, </w:t>
      </w:r>
      <w:r w:rsidR="00B50FB0" w:rsidRPr="008A7BD7">
        <w:rPr>
          <w:rFonts w:ascii="Cambria" w:hAnsi="Cambria"/>
          <w:sz w:val="16"/>
          <w:szCs w:val="16"/>
        </w:rPr>
        <w:t>Follow-Up of Recommendations Issued by the IACHR in its Country or Thematic Report</w:t>
      </w:r>
      <w:r w:rsidR="006000D9" w:rsidRPr="008A7BD7">
        <w:rPr>
          <w:rFonts w:ascii="Cambria" w:hAnsi="Cambria"/>
          <w:sz w:val="16"/>
          <w:szCs w:val="16"/>
        </w:rPr>
        <w:t>s</w:t>
      </w:r>
      <w:r w:rsidR="00B50FB0" w:rsidRPr="008A7BD7">
        <w:rPr>
          <w:rFonts w:ascii="Cambria" w:hAnsi="Cambria"/>
          <w:sz w:val="16"/>
          <w:szCs w:val="16"/>
        </w:rPr>
        <w:t xml:space="preserve">, </w:t>
      </w:r>
      <w:r w:rsidR="00FE5F66" w:rsidRPr="008A7BD7">
        <w:rPr>
          <w:rFonts w:ascii="Cambria" w:hAnsi="Cambria"/>
          <w:sz w:val="16"/>
          <w:szCs w:val="16"/>
        </w:rPr>
        <w:t xml:space="preserve">Third Report on Follow-Up on Recommendations Issued by the IACHR </w:t>
      </w:r>
      <w:r w:rsidR="00E43172" w:rsidRPr="008A7BD7">
        <w:rPr>
          <w:rFonts w:ascii="Cambria" w:hAnsi="Cambria"/>
          <w:sz w:val="16"/>
          <w:szCs w:val="16"/>
        </w:rPr>
        <w:t xml:space="preserve">in its 2017 report </w:t>
      </w:r>
      <w:r w:rsidR="00FE5F66" w:rsidRPr="008A7BD7">
        <w:rPr>
          <w:rFonts w:ascii="Cambria" w:hAnsi="Cambria"/>
          <w:sz w:val="16"/>
          <w:szCs w:val="16"/>
        </w:rPr>
        <w:t>Situation of Human Rights in Guatemala</w:t>
      </w:r>
      <w:r w:rsidRPr="008A7BD7">
        <w:rPr>
          <w:rFonts w:ascii="Cambria" w:hAnsi="Cambria"/>
          <w:sz w:val="16"/>
          <w:szCs w:val="16"/>
        </w:rPr>
        <w:t xml:space="preserve">, Ref. NV-OEA-M4-No.087-2021, </w:t>
      </w:r>
      <w:r w:rsidR="00C74150" w:rsidRPr="008A7BD7">
        <w:rPr>
          <w:rFonts w:ascii="Cambria" w:hAnsi="Cambria"/>
          <w:sz w:val="16"/>
          <w:szCs w:val="16"/>
        </w:rPr>
        <w:t xml:space="preserve">February </w:t>
      </w:r>
      <w:r w:rsidRPr="008A7BD7">
        <w:rPr>
          <w:rFonts w:ascii="Cambria" w:hAnsi="Cambria"/>
          <w:sz w:val="16"/>
          <w:szCs w:val="16"/>
        </w:rPr>
        <w:t>3</w:t>
      </w:r>
      <w:r w:rsidR="00C74150" w:rsidRPr="008A7BD7">
        <w:rPr>
          <w:rFonts w:ascii="Cambria" w:hAnsi="Cambria"/>
          <w:sz w:val="16"/>
          <w:szCs w:val="16"/>
        </w:rPr>
        <w:t>,</w:t>
      </w:r>
      <w:r w:rsidRPr="008A7BD7">
        <w:rPr>
          <w:rFonts w:ascii="Cambria" w:hAnsi="Cambria"/>
          <w:sz w:val="16"/>
          <w:szCs w:val="16"/>
        </w:rPr>
        <w:t xml:space="preserve"> 2021, p</w:t>
      </w:r>
      <w:r w:rsidR="00C74150" w:rsidRPr="008A7BD7">
        <w:rPr>
          <w:rFonts w:ascii="Cambria" w:hAnsi="Cambria"/>
          <w:sz w:val="16"/>
          <w:szCs w:val="16"/>
        </w:rPr>
        <w:t>p</w:t>
      </w:r>
      <w:r w:rsidRPr="008A7BD7">
        <w:rPr>
          <w:rFonts w:ascii="Cambria" w:hAnsi="Cambria"/>
          <w:sz w:val="16"/>
          <w:szCs w:val="16"/>
        </w:rPr>
        <w:t xml:space="preserve">. 4 </w:t>
      </w:r>
      <w:r w:rsidR="00C74150" w:rsidRPr="008A7BD7">
        <w:rPr>
          <w:rFonts w:ascii="Cambria" w:hAnsi="Cambria"/>
          <w:sz w:val="16"/>
          <w:szCs w:val="16"/>
        </w:rPr>
        <w:t>and</w:t>
      </w:r>
      <w:r w:rsidRPr="008A7BD7">
        <w:rPr>
          <w:rFonts w:ascii="Cambria" w:hAnsi="Cambria"/>
          <w:sz w:val="16"/>
          <w:szCs w:val="16"/>
        </w:rPr>
        <w:t xml:space="preserve"> 5.</w:t>
      </w:r>
    </w:p>
  </w:footnote>
  <w:footnote w:id="91">
    <w:p w14:paraId="6A234F22" w14:textId="775A9A04" w:rsidR="00C56230" w:rsidRPr="008A7BD7" w:rsidRDefault="00C56230" w:rsidP="00C56230">
      <w:pPr>
        <w:pStyle w:val="FootnoteText"/>
        <w:spacing w:after="120"/>
        <w:ind w:firstLine="720"/>
        <w:jc w:val="both"/>
      </w:pPr>
      <w:r w:rsidRPr="008A7BD7">
        <w:rPr>
          <w:rStyle w:val="FootnoteReference"/>
        </w:rPr>
        <w:footnoteRef/>
      </w:r>
      <w:r w:rsidRPr="008A7BD7">
        <w:t xml:space="preserve"> </w:t>
      </w:r>
      <w:r w:rsidR="00145DA4" w:rsidRPr="008A7BD7">
        <w:rPr>
          <w:rFonts w:ascii="Cambria" w:hAnsi="Cambria"/>
          <w:sz w:val="16"/>
          <w:szCs w:val="16"/>
        </w:rPr>
        <w:t>Response from the State of</w:t>
      </w:r>
      <w:r w:rsidR="00145DA4"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5DA4" w:rsidRPr="008A7BD7">
        <w:rPr>
          <w:rFonts w:ascii="Cambria" w:hAnsi="Cambria"/>
          <w:sz w:val="16"/>
          <w:szCs w:val="16"/>
        </w:rPr>
        <w:t>OEA</w:t>
      </w:r>
      <w:r w:rsidR="00145DA4"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20.</w:t>
      </w:r>
    </w:p>
  </w:footnote>
  <w:footnote w:id="92">
    <w:p w14:paraId="2C95A052" w14:textId="1D786931" w:rsidR="001A2977" w:rsidRPr="008A7BD7" w:rsidRDefault="001A297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C4173A" w:rsidRPr="008A7BD7">
        <w:rPr>
          <w:rFonts w:ascii="Cambria" w:hAnsi="Cambria"/>
          <w:sz w:val="16"/>
          <w:szCs w:val="16"/>
        </w:rPr>
        <w:t>IACHR, 181</w:t>
      </w:r>
      <w:r w:rsidR="00C4173A" w:rsidRPr="008A7BD7">
        <w:rPr>
          <w:rFonts w:ascii="Cambria" w:hAnsi="Cambria"/>
          <w:sz w:val="16"/>
          <w:szCs w:val="16"/>
          <w:vertAlign w:val="superscript"/>
        </w:rPr>
        <w:t>st</w:t>
      </w:r>
      <w:r w:rsidR="00C4173A" w:rsidRPr="008A7BD7">
        <w:rPr>
          <w:rFonts w:ascii="Cambria" w:hAnsi="Cambria"/>
          <w:sz w:val="16"/>
          <w:szCs w:val="16"/>
        </w:rPr>
        <w:t xml:space="preserve"> period of sessions, </w:t>
      </w:r>
      <w:r w:rsidR="00C07974" w:rsidRPr="008A7BD7">
        <w:rPr>
          <w:rFonts w:ascii="Cambria" w:hAnsi="Cambria"/>
          <w:sz w:val="16"/>
          <w:szCs w:val="16"/>
        </w:rPr>
        <w:t>“</w:t>
      </w:r>
      <w:hyperlink r:id="rId81" w:history="1">
        <w:r w:rsidR="00C07974" w:rsidRPr="008A7BD7">
          <w:rPr>
            <w:rStyle w:val="Hyperlink"/>
            <w:rFonts w:ascii="Cambria" w:hAnsi="Cambria"/>
            <w:sz w:val="16"/>
            <w:szCs w:val="16"/>
          </w:rPr>
          <w:t>Human Rights Situation of Justice Operators and Judicial Independence in Guatemala</w:t>
        </w:r>
      </w:hyperlink>
      <w:r w:rsidR="00C07974" w:rsidRPr="008A7BD7">
        <w:rPr>
          <w:rFonts w:ascii="Cambria" w:hAnsi="Cambria"/>
          <w:sz w:val="16"/>
          <w:szCs w:val="16"/>
        </w:rPr>
        <w:t xml:space="preserve">,” </w:t>
      </w:r>
      <w:r w:rsidR="00C4173A" w:rsidRPr="008A7BD7">
        <w:rPr>
          <w:rFonts w:ascii="Cambria" w:hAnsi="Cambria"/>
          <w:sz w:val="16"/>
          <w:szCs w:val="16"/>
        </w:rPr>
        <w:t xml:space="preserve">public hearing held on October 28, </w:t>
      </w:r>
      <w:r w:rsidR="00C4173A" w:rsidRPr="008A7BD7">
        <w:rPr>
          <w:rFonts w:ascii="Cambria" w:eastAsia="Cambria" w:hAnsi="Cambria" w:cs="Cambria"/>
          <w:sz w:val="16"/>
          <w:szCs w:val="16"/>
        </w:rPr>
        <w:t>2021</w:t>
      </w:r>
      <w:r w:rsidR="00CA32B5" w:rsidRPr="008A7BD7">
        <w:rPr>
          <w:rFonts w:ascii="Cambria" w:eastAsia="Cambria" w:hAnsi="Cambria" w:cs="Cambria"/>
          <w:sz w:val="16"/>
          <w:szCs w:val="16"/>
        </w:rPr>
        <w:t>.</w:t>
      </w:r>
    </w:p>
  </w:footnote>
  <w:footnote w:id="93">
    <w:p w14:paraId="3ADF816E" w14:textId="201D8B69" w:rsidR="000968D0" w:rsidRPr="008A7BD7" w:rsidRDefault="000968D0"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BC2D4C" w:rsidRPr="008A7BD7">
        <w:rPr>
          <w:rFonts w:ascii="Cambria" w:hAnsi="Cambria"/>
          <w:sz w:val="16"/>
          <w:szCs w:val="16"/>
        </w:rPr>
        <w:t xml:space="preserve">IACHR, </w:t>
      </w:r>
      <w:hyperlink r:id="rId82" w:history="1">
        <w:r w:rsidR="00BC2D4C" w:rsidRPr="008A7BD7">
          <w:rPr>
            <w:rStyle w:val="Hyperlink"/>
            <w:rFonts w:ascii="Cambria" w:hAnsi="Cambria"/>
            <w:sz w:val="16"/>
            <w:szCs w:val="16"/>
          </w:rPr>
          <w:t>Guarantees for the Independence of Justice Operato</w:t>
        </w:r>
        <w:r w:rsidR="000E304C" w:rsidRPr="008A7BD7">
          <w:rPr>
            <w:rStyle w:val="Hyperlink"/>
            <w:rFonts w:ascii="Cambria" w:hAnsi="Cambria"/>
            <w:sz w:val="16"/>
            <w:szCs w:val="16"/>
          </w:rPr>
          <w:t>r</w:t>
        </w:r>
        <w:r w:rsidR="00BC2D4C" w:rsidRPr="008A7BD7">
          <w:rPr>
            <w:rStyle w:val="Hyperlink"/>
            <w:rFonts w:ascii="Cambria" w:hAnsi="Cambria"/>
            <w:sz w:val="16"/>
            <w:szCs w:val="16"/>
          </w:rPr>
          <w:t>s: Towards Strengthening Access to Justice and the Rule of Law in the Americas</w:t>
        </w:r>
      </w:hyperlink>
      <w:r w:rsidR="00BC2D4C" w:rsidRPr="008A7BD7">
        <w:rPr>
          <w:rFonts w:ascii="Cambria" w:hAnsi="Cambria"/>
          <w:sz w:val="16"/>
          <w:szCs w:val="16"/>
        </w:rPr>
        <w:t>,</w:t>
      </w:r>
      <w:r w:rsidR="00BC2D4C" w:rsidRPr="008A7BD7">
        <w:t xml:space="preserve"> </w:t>
      </w:r>
      <w:r w:rsidR="00BC2D4C" w:rsidRPr="008A7BD7">
        <w:rPr>
          <w:rFonts w:ascii="Cambria" w:hAnsi="Cambria"/>
          <w:sz w:val="16"/>
          <w:szCs w:val="16"/>
        </w:rPr>
        <w:t>OEA/</w:t>
      </w:r>
      <w:proofErr w:type="spellStart"/>
      <w:r w:rsidR="00BC2D4C" w:rsidRPr="008A7BD7">
        <w:rPr>
          <w:rFonts w:ascii="Cambria" w:hAnsi="Cambria"/>
          <w:sz w:val="16"/>
          <w:szCs w:val="16"/>
        </w:rPr>
        <w:t>Ser.L</w:t>
      </w:r>
      <w:proofErr w:type="spellEnd"/>
      <w:r w:rsidR="00BC2D4C" w:rsidRPr="008A7BD7">
        <w:rPr>
          <w:rFonts w:ascii="Cambria" w:hAnsi="Cambria"/>
          <w:sz w:val="16"/>
          <w:szCs w:val="16"/>
        </w:rPr>
        <w:t>/V/II. Doc.44, December 5, 2013</w:t>
      </w:r>
      <w:r w:rsidRPr="008A7BD7">
        <w:rPr>
          <w:rFonts w:ascii="Cambria" w:hAnsi="Cambria"/>
          <w:sz w:val="16"/>
          <w:szCs w:val="16"/>
        </w:rPr>
        <w:t>, p</w:t>
      </w:r>
      <w:r w:rsidR="00BC2D4C" w:rsidRPr="008A7BD7">
        <w:rPr>
          <w:rFonts w:ascii="Cambria" w:hAnsi="Cambria"/>
          <w:sz w:val="16"/>
          <w:szCs w:val="16"/>
        </w:rPr>
        <w:t>ar</w:t>
      </w:r>
      <w:r w:rsidRPr="008A7BD7">
        <w:rPr>
          <w:rFonts w:ascii="Cambria" w:hAnsi="Cambria"/>
          <w:sz w:val="16"/>
          <w:szCs w:val="16"/>
        </w:rPr>
        <w:t>. 24.</w:t>
      </w:r>
    </w:p>
  </w:footnote>
  <w:footnote w:id="94">
    <w:p w14:paraId="28AADB3D" w14:textId="1FE6ED53" w:rsidR="003A3461" w:rsidRPr="008A7BD7" w:rsidRDefault="003A3461"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BC2D4C" w:rsidRPr="008A7BD7">
        <w:rPr>
          <w:rFonts w:ascii="Cambria" w:hAnsi="Cambria"/>
          <w:sz w:val="16"/>
          <w:szCs w:val="16"/>
        </w:rPr>
        <w:t xml:space="preserve">IACHR, </w:t>
      </w:r>
      <w:hyperlink r:id="rId83" w:history="1">
        <w:r w:rsidR="00BC2D4C" w:rsidRPr="008A7BD7">
          <w:rPr>
            <w:rStyle w:val="Hyperlink"/>
            <w:rFonts w:ascii="Cambria" w:hAnsi="Cambria"/>
            <w:sz w:val="16"/>
            <w:szCs w:val="16"/>
          </w:rPr>
          <w:t>Guarantees for the Independence of Justice Operato</w:t>
        </w:r>
        <w:r w:rsidR="000E304C" w:rsidRPr="008A7BD7">
          <w:rPr>
            <w:rStyle w:val="Hyperlink"/>
            <w:rFonts w:ascii="Cambria" w:hAnsi="Cambria"/>
            <w:sz w:val="16"/>
            <w:szCs w:val="16"/>
          </w:rPr>
          <w:t>r</w:t>
        </w:r>
        <w:r w:rsidR="00BC2D4C" w:rsidRPr="008A7BD7">
          <w:rPr>
            <w:rStyle w:val="Hyperlink"/>
            <w:rFonts w:ascii="Cambria" w:hAnsi="Cambria"/>
            <w:sz w:val="16"/>
            <w:szCs w:val="16"/>
          </w:rPr>
          <w:t>s: Towards Strengthening Access to Justice and the Rule of Law in the Americas</w:t>
        </w:r>
      </w:hyperlink>
      <w:r w:rsidR="00BC2D4C" w:rsidRPr="008A7BD7">
        <w:rPr>
          <w:rFonts w:ascii="Cambria" w:hAnsi="Cambria"/>
          <w:sz w:val="16"/>
          <w:szCs w:val="16"/>
        </w:rPr>
        <w:t>,</w:t>
      </w:r>
      <w:r w:rsidR="00BC2D4C" w:rsidRPr="008A7BD7">
        <w:t xml:space="preserve"> </w:t>
      </w:r>
      <w:r w:rsidR="00BC2D4C" w:rsidRPr="008A7BD7">
        <w:rPr>
          <w:rFonts w:ascii="Cambria" w:hAnsi="Cambria"/>
          <w:sz w:val="16"/>
          <w:szCs w:val="16"/>
        </w:rPr>
        <w:t>OEA/</w:t>
      </w:r>
      <w:proofErr w:type="spellStart"/>
      <w:r w:rsidR="00BC2D4C" w:rsidRPr="008A7BD7">
        <w:rPr>
          <w:rFonts w:ascii="Cambria" w:hAnsi="Cambria"/>
          <w:sz w:val="16"/>
          <w:szCs w:val="16"/>
        </w:rPr>
        <w:t>Ser.L</w:t>
      </w:r>
      <w:proofErr w:type="spellEnd"/>
      <w:r w:rsidR="00BC2D4C" w:rsidRPr="008A7BD7">
        <w:rPr>
          <w:rFonts w:ascii="Cambria" w:hAnsi="Cambria"/>
          <w:sz w:val="16"/>
          <w:szCs w:val="16"/>
        </w:rPr>
        <w:t>/V/II. Doc.44, December 5, 2013</w:t>
      </w:r>
      <w:r w:rsidRPr="008A7BD7">
        <w:rPr>
          <w:rFonts w:ascii="Cambria" w:hAnsi="Cambria"/>
          <w:sz w:val="16"/>
          <w:szCs w:val="16"/>
        </w:rPr>
        <w:t>, p</w:t>
      </w:r>
      <w:r w:rsidR="00BC2D4C" w:rsidRPr="008A7BD7">
        <w:rPr>
          <w:rFonts w:ascii="Cambria" w:hAnsi="Cambria"/>
          <w:sz w:val="16"/>
          <w:szCs w:val="16"/>
        </w:rPr>
        <w:t>a</w:t>
      </w:r>
      <w:r w:rsidRPr="008A7BD7">
        <w:rPr>
          <w:rFonts w:ascii="Cambria" w:hAnsi="Cambria"/>
          <w:sz w:val="16"/>
          <w:szCs w:val="16"/>
        </w:rPr>
        <w:t>r. 216.</w:t>
      </w:r>
    </w:p>
  </w:footnote>
  <w:footnote w:id="95">
    <w:p w14:paraId="1253AAF1" w14:textId="4AD4882E" w:rsidR="00FA539D" w:rsidRPr="008A7BD7" w:rsidRDefault="00FA539D"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D11711" w:rsidRPr="008A7BD7">
        <w:rPr>
          <w:rFonts w:ascii="Cambria" w:hAnsi="Cambria"/>
          <w:sz w:val="16"/>
          <w:szCs w:val="16"/>
        </w:rPr>
        <w:t>IACHR, 181</w:t>
      </w:r>
      <w:r w:rsidR="00D11711" w:rsidRPr="008A7BD7">
        <w:rPr>
          <w:rFonts w:ascii="Cambria" w:hAnsi="Cambria"/>
          <w:sz w:val="16"/>
          <w:szCs w:val="16"/>
          <w:vertAlign w:val="superscript"/>
        </w:rPr>
        <w:t>st</w:t>
      </w:r>
      <w:r w:rsidR="00D11711" w:rsidRPr="008A7BD7">
        <w:rPr>
          <w:rFonts w:ascii="Cambria" w:hAnsi="Cambria"/>
          <w:sz w:val="16"/>
          <w:szCs w:val="16"/>
        </w:rPr>
        <w:t xml:space="preserve"> period of sessions, </w:t>
      </w:r>
      <w:r w:rsidR="00C07974" w:rsidRPr="008A7BD7">
        <w:rPr>
          <w:rFonts w:ascii="Cambria" w:hAnsi="Cambria"/>
          <w:sz w:val="16"/>
          <w:szCs w:val="16"/>
        </w:rPr>
        <w:t>“</w:t>
      </w:r>
      <w:hyperlink r:id="rId84" w:history="1">
        <w:r w:rsidR="00C07974" w:rsidRPr="008A7BD7">
          <w:rPr>
            <w:rStyle w:val="Hyperlink"/>
            <w:rFonts w:ascii="Cambria" w:hAnsi="Cambria"/>
            <w:sz w:val="16"/>
            <w:szCs w:val="16"/>
          </w:rPr>
          <w:t>Human Rights Situation of Justice Operators and Judicial Independence in Guatemala</w:t>
        </w:r>
      </w:hyperlink>
      <w:r w:rsidR="00C07974" w:rsidRPr="008A7BD7">
        <w:rPr>
          <w:rFonts w:ascii="Cambria" w:hAnsi="Cambria"/>
          <w:sz w:val="16"/>
          <w:szCs w:val="16"/>
        </w:rPr>
        <w:t xml:space="preserve">,” </w:t>
      </w:r>
      <w:r w:rsidR="00D11711" w:rsidRPr="008A7BD7">
        <w:rPr>
          <w:rFonts w:ascii="Cambria" w:hAnsi="Cambria"/>
          <w:sz w:val="16"/>
          <w:szCs w:val="16"/>
        </w:rPr>
        <w:t xml:space="preserve">public hearing held on October 28, </w:t>
      </w:r>
      <w:r w:rsidR="00D11711" w:rsidRPr="008A7BD7">
        <w:rPr>
          <w:rFonts w:ascii="Cambria" w:eastAsia="Cambria" w:hAnsi="Cambria" w:cs="Cambria"/>
          <w:sz w:val="16"/>
          <w:szCs w:val="16"/>
        </w:rPr>
        <w:t>2021</w:t>
      </w:r>
      <w:r w:rsidRPr="008A7BD7">
        <w:rPr>
          <w:rFonts w:ascii="Cambria" w:eastAsia="Cambria" w:hAnsi="Cambria" w:cs="Cambria"/>
          <w:sz w:val="16"/>
          <w:szCs w:val="16"/>
        </w:rPr>
        <w:t>.</w:t>
      </w:r>
    </w:p>
  </w:footnote>
  <w:footnote w:id="96">
    <w:p w14:paraId="730AAEF9" w14:textId="023010BC" w:rsidR="00FA539D" w:rsidRPr="008A7BD7" w:rsidRDefault="00FA539D"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D11711" w:rsidRPr="008A7BD7">
        <w:rPr>
          <w:rFonts w:ascii="Cambria" w:hAnsi="Cambria"/>
          <w:sz w:val="16"/>
          <w:szCs w:val="16"/>
        </w:rPr>
        <w:t>IACHR, 181</w:t>
      </w:r>
      <w:r w:rsidR="00D11711" w:rsidRPr="008A7BD7">
        <w:rPr>
          <w:rFonts w:ascii="Cambria" w:hAnsi="Cambria"/>
          <w:sz w:val="16"/>
          <w:szCs w:val="16"/>
          <w:vertAlign w:val="superscript"/>
        </w:rPr>
        <w:t>st</w:t>
      </w:r>
      <w:r w:rsidR="00D11711" w:rsidRPr="008A7BD7">
        <w:rPr>
          <w:rFonts w:ascii="Cambria" w:hAnsi="Cambria"/>
          <w:sz w:val="16"/>
          <w:szCs w:val="16"/>
        </w:rPr>
        <w:t xml:space="preserve"> period of sessions, </w:t>
      </w:r>
      <w:r w:rsidR="00C07974" w:rsidRPr="008A7BD7">
        <w:rPr>
          <w:rFonts w:ascii="Cambria" w:hAnsi="Cambria"/>
          <w:sz w:val="16"/>
          <w:szCs w:val="16"/>
        </w:rPr>
        <w:t>“</w:t>
      </w:r>
      <w:hyperlink r:id="rId85" w:history="1">
        <w:r w:rsidR="00C07974" w:rsidRPr="008A7BD7">
          <w:rPr>
            <w:rStyle w:val="Hyperlink"/>
            <w:rFonts w:ascii="Cambria" w:hAnsi="Cambria"/>
            <w:sz w:val="16"/>
            <w:szCs w:val="16"/>
          </w:rPr>
          <w:t>Human Rights Situation of Justice Operators and Judicial Independence in Guatemala</w:t>
        </w:r>
      </w:hyperlink>
      <w:r w:rsidR="00C07974" w:rsidRPr="008A7BD7">
        <w:rPr>
          <w:rFonts w:ascii="Cambria" w:hAnsi="Cambria"/>
          <w:sz w:val="16"/>
          <w:szCs w:val="16"/>
        </w:rPr>
        <w:t xml:space="preserve">,” </w:t>
      </w:r>
      <w:r w:rsidR="00D11711" w:rsidRPr="008A7BD7">
        <w:rPr>
          <w:rFonts w:ascii="Cambria" w:hAnsi="Cambria"/>
          <w:sz w:val="16"/>
          <w:szCs w:val="16"/>
        </w:rPr>
        <w:t xml:space="preserve">public hearing held on October 28, </w:t>
      </w:r>
      <w:r w:rsidR="00D11711" w:rsidRPr="008A7BD7">
        <w:rPr>
          <w:rFonts w:ascii="Cambria" w:eastAsia="Cambria" w:hAnsi="Cambria" w:cs="Cambria"/>
          <w:sz w:val="16"/>
          <w:szCs w:val="16"/>
        </w:rPr>
        <w:t>2021</w:t>
      </w:r>
      <w:r w:rsidRPr="008A7BD7">
        <w:rPr>
          <w:rFonts w:ascii="Cambria" w:eastAsia="Cambria" w:hAnsi="Cambria" w:cs="Cambria"/>
          <w:sz w:val="16"/>
          <w:szCs w:val="16"/>
        </w:rPr>
        <w:t>.</w:t>
      </w:r>
    </w:p>
  </w:footnote>
  <w:footnote w:id="97">
    <w:p w14:paraId="0DD669D2" w14:textId="1EB82CF1" w:rsidR="00FF2619" w:rsidRPr="008A7BD7" w:rsidRDefault="00FF2619" w:rsidP="00FF2619">
      <w:pPr>
        <w:pStyle w:val="FootnoteText"/>
        <w:spacing w:after="120"/>
        <w:ind w:firstLine="720"/>
        <w:jc w:val="both"/>
      </w:pPr>
      <w:r w:rsidRPr="008A7BD7">
        <w:rPr>
          <w:rStyle w:val="FootnoteReference"/>
        </w:rPr>
        <w:footnoteRef/>
      </w:r>
      <w:r w:rsidRPr="008A7BD7">
        <w:t xml:space="preserve"> </w:t>
      </w:r>
      <w:r w:rsidR="00145DA4" w:rsidRPr="008A7BD7">
        <w:rPr>
          <w:rFonts w:ascii="Cambria" w:hAnsi="Cambria"/>
          <w:sz w:val="16"/>
          <w:szCs w:val="16"/>
        </w:rPr>
        <w:t>Response from the State of</w:t>
      </w:r>
      <w:r w:rsidR="00145DA4"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5DA4" w:rsidRPr="008A7BD7">
        <w:rPr>
          <w:rFonts w:ascii="Cambria" w:hAnsi="Cambria"/>
          <w:sz w:val="16"/>
          <w:szCs w:val="16"/>
        </w:rPr>
        <w:t>OEA</w:t>
      </w:r>
      <w:r w:rsidR="00145DA4" w:rsidRPr="008A7BD7">
        <w:rPr>
          <w:rFonts w:ascii="Cambria" w:eastAsia="Cambria" w:hAnsi="Cambria" w:cs="Cambria"/>
          <w:color w:val="000000"/>
          <w:sz w:val="16"/>
          <w:szCs w:val="16"/>
        </w:rPr>
        <w:t>-M4-980-2021, December 22, 2021, p</w:t>
      </w:r>
      <w:r w:rsidRPr="008A7BD7">
        <w:rPr>
          <w:rFonts w:ascii="Cambria" w:eastAsia="Cambria" w:hAnsi="Cambria" w:cs="Cambria"/>
          <w:color w:val="000000"/>
          <w:sz w:val="16"/>
          <w:szCs w:val="16"/>
        </w:rPr>
        <w:t>p. 17</w:t>
      </w:r>
      <w:r w:rsidR="002341E8" w:rsidRPr="008A7BD7">
        <w:rPr>
          <w:rFonts w:ascii="Cambria" w:eastAsia="Cambria" w:hAnsi="Cambria" w:cs="Cambria"/>
          <w:color w:val="000000"/>
          <w:sz w:val="16"/>
          <w:szCs w:val="16"/>
        </w:rPr>
        <w:t>-1</w:t>
      </w:r>
      <w:r w:rsidRPr="008A7BD7">
        <w:rPr>
          <w:rFonts w:ascii="Cambria" w:eastAsia="Cambria" w:hAnsi="Cambria" w:cs="Cambria"/>
          <w:color w:val="000000"/>
          <w:sz w:val="16"/>
          <w:szCs w:val="16"/>
        </w:rPr>
        <w:t>8.</w:t>
      </w:r>
    </w:p>
  </w:footnote>
  <w:footnote w:id="98">
    <w:p w14:paraId="75A653E9" w14:textId="58EE7158" w:rsidR="00FF2619" w:rsidRPr="008A7BD7" w:rsidRDefault="00FF2619" w:rsidP="00FF2619">
      <w:pPr>
        <w:pStyle w:val="FootnoteText"/>
        <w:spacing w:after="120"/>
        <w:ind w:firstLine="720"/>
        <w:jc w:val="both"/>
      </w:pPr>
      <w:r w:rsidRPr="008A7BD7">
        <w:rPr>
          <w:rStyle w:val="FootnoteReference"/>
        </w:rPr>
        <w:footnoteRef/>
      </w:r>
      <w:r w:rsidRPr="008A7BD7">
        <w:t xml:space="preserve"> </w:t>
      </w:r>
      <w:r w:rsidR="00145DA4" w:rsidRPr="008A7BD7">
        <w:rPr>
          <w:rFonts w:ascii="Cambria" w:hAnsi="Cambria"/>
          <w:sz w:val="16"/>
          <w:szCs w:val="16"/>
        </w:rPr>
        <w:t>Response from the State of</w:t>
      </w:r>
      <w:r w:rsidR="00145DA4"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5DA4" w:rsidRPr="008A7BD7">
        <w:rPr>
          <w:rFonts w:ascii="Cambria" w:hAnsi="Cambria"/>
          <w:sz w:val="16"/>
          <w:szCs w:val="16"/>
        </w:rPr>
        <w:t>OEA</w:t>
      </w:r>
      <w:r w:rsidR="00145DA4"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 xml:space="preserve"> 20.</w:t>
      </w:r>
    </w:p>
  </w:footnote>
  <w:footnote w:id="99">
    <w:p w14:paraId="08EDFB72" w14:textId="7D52CC97" w:rsidR="00FF2619" w:rsidRPr="008A7BD7" w:rsidRDefault="00FF2619" w:rsidP="00FF2619">
      <w:pPr>
        <w:pStyle w:val="FootnoteText"/>
        <w:spacing w:after="120"/>
        <w:ind w:firstLine="720"/>
        <w:jc w:val="both"/>
      </w:pPr>
      <w:r w:rsidRPr="008A7BD7">
        <w:rPr>
          <w:rStyle w:val="FootnoteReference"/>
        </w:rPr>
        <w:footnoteRef/>
      </w:r>
      <w:r w:rsidRPr="008A7BD7">
        <w:t xml:space="preserve"> </w:t>
      </w:r>
      <w:r w:rsidR="00145DA4" w:rsidRPr="008A7BD7">
        <w:rPr>
          <w:rFonts w:ascii="Cambria" w:hAnsi="Cambria"/>
          <w:sz w:val="16"/>
          <w:szCs w:val="16"/>
        </w:rPr>
        <w:t>Response from the State of</w:t>
      </w:r>
      <w:r w:rsidR="00145DA4"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5DA4" w:rsidRPr="008A7BD7">
        <w:rPr>
          <w:rFonts w:ascii="Cambria" w:hAnsi="Cambria"/>
          <w:sz w:val="16"/>
          <w:szCs w:val="16"/>
        </w:rPr>
        <w:t>OEA</w:t>
      </w:r>
      <w:r w:rsidR="00145DA4"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18.</w:t>
      </w:r>
    </w:p>
  </w:footnote>
  <w:footnote w:id="100">
    <w:p w14:paraId="2CD40A2C" w14:textId="29DBEE42" w:rsidR="00FF2619" w:rsidRPr="008A7BD7" w:rsidRDefault="00FF2619" w:rsidP="00FF2619">
      <w:pPr>
        <w:pStyle w:val="FootnoteText"/>
        <w:spacing w:after="120"/>
        <w:ind w:firstLine="720"/>
        <w:jc w:val="both"/>
      </w:pPr>
      <w:r w:rsidRPr="008A7BD7">
        <w:rPr>
          <w:rStyle w:val="FootnoteReference"/>
        </w:rPr>
        <w:footnoteRef/>
      </w:r>
      <w:r w:rsidRPr="008A7BD7">
        <w:t xml:space="preserve"> </w:t>
      </w:r>
      <w:r w:rsidR="00145DA4" w:rsidRPr="008A7BD7">
        <w:rPr>
          <w:rFonts w:ascii="Cambria" w:hAnsi="Cambria"/>
          <w:sz w:val="16"/>
          <w:szCs w:val="16"/>
        </w:rPr>
        <w:t>Response from the State of</w:t>
      </w:r>
      <w:r w:rsidR="00145DA4"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5DA4" w:rsidRPr="008A7BD7">
        <w:rPr>
          <w:rFonts w:ascii="Cambria" w:hAnsi="Cambria"/>
          <w:sz w:val="16"/>
          <w:szCs w:val="16"/>
        </w:rPr>
        <w:t>OEA</w:t>
      </w:r>
      <w:r w:rsidR="00145DA4"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20.</w:t>
      </w:r>
    </w:p>
  </w:footnote>
  <w:footnote w:id="101">
    <w:p w14:paraId="779C8E57" w14:textId="13CEF610" w:rsidR="000968D0" w:rsidRPr="008A7BD7" w:rsidRDefault="000968D0"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0005683F" w:rsidRPr="008A7BD7">
        <w:rPr>
          <w:rFonts w:ascii="Cambria" w:hAnsi="Cambria"/>
          <w:sz w:val="16"/>
          <w:szCs w:val="16"/>
        </w:rPr>
        <w:t xml:space="preserve"> </w:t>
      </w:r>
      <w:r w:rsidR="00B879A6" w:rsidRPr="008A7BD7">
        <w:rPr>
          <w:rFonts w:ascii="Cambria" w:hAnsi="Cambria"/>
          <w:sz w:val="16"/>
          <w:szCs w:val="16"/>
        </w:rPr>
        <w:t xml:space="preserve">IACHR, Press </w:t>
      </w:r>
      <w:r w:rsidR="00467F76" w:rsidRPr="008A7BD7">
        <w:rPr>
          <w:rFonts w:ascii="Cambria" w:hAnsi="Cambria"/>
          <w:sz w:val="16"/>
          <w:szCs w:val="16"/>
        </w:rPr>
        <w:t>R</w:t>
      </w:r>
      <w:r w:rsidR="00B879A6" w:rsidRPr="008A7BD7">
        <w:rPr>
          <w:rFonts w:ascii="Cambria" w:hAnsi="Cambria"/>
          <w:sz w:val="16"/>
          <w:szCs w:val="16"/>
        </w:rPr>
        <w:t>elease No. 65/21</w:t>
      </w:r>
      <w:hyperlink r:id="rId86" w:history="1">
        <w:r w:rsidR="00B879A6" w:rsidRPr="008A7BD7">
          <w:rPr>
            <w:rStyle w:val="Hyperlink"/>
            <w:rFonts w:ascii="Cambria" w:hAnsi="Cambria"/>
            <w:sz w:val="16"/>
            <w:szCs w:val="16"/>
          </w:rPr>
          <w:t>, IACHR Expresses Concern over Impeachment Proceedings Brought Against Members of Guatemala’s Constitutional Court</w:t>
        </w:r>
      </w:hyperlink>
      <w:r w:rsidR="00B879A6" w:rsidRPr="008A7BD7">
        <w:rPr>
          <w:rFonts w:ascii="Cambria" w:hAnsi="Cambria"/>
          <w:sz w:val="16"/>
          <w:szCs w:val="16"/>
        </w:rPr>
        <w:t xml:space="preserve">. </w:t>
      </w:r>
      <w:r w:rsidR="00B879A6" w:rsidRPr="008A7BD7">
        <w:rPr>
          <w:rFonts w:ascii="Cambria" w:hAnsi="Cambria"/>
          <w:sz w:val="16"/>
          <w:szCs w:val="16"/>
          <w:lang w:val="es-CO"/>
        </w:rPr>
        <w:t>Washington, D.C., March 18, 2021.</w:t>
      </w:r>
    </w:p>
  </w:footnote>
  <w:footnote w:id="102">
    <w:p w14:paraId="282E8B15" w14:textId="3FDD0D0F" w:rsidR="00AC0523" w:rsidRPr="008A7BD7" w:rsidRDefault="00AC0523"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PDH, </w:t>
      </w:r>
      <w:hyperlink r:id="rId87" w:history="1">
        <w:r w:rsidRPr="008A7BD7">
          <w:rPr>
            <w:rStyle w:val="Hyperlink"/>
            <w:rFonts w:ascii="Cambria" w:hAnsi="Cambria"/>
            <w:i/>
            <w:iCs/>
            <w:sz w:val="16"/>
            <w:szCs w:val="16"/>
            <w:lang w:val="es-US"/>
          </w:rPr>
          <w:t>71/21 El Procurador de los Derechos Humanos, Jordán Rodas Andrade, advierte que el incumplimiento del Congreso de la República en el traslado de los recursos aprobados en el Presupuesto General de la Nación hará colapsar a la Institución en los próximos t</w:t>
        </w:r>
      </w:hyperlink>
      <w:r w:rsidR="001D57F2" w:rsidRPr="008A7BD7">
        <w:rPr>
          <w:rStyle w:val="Hyperlink"/>
          <w:rFonts w:ascii="Cambria" w:hAnsi="Cambria"/>
          <w:i/>
          <w:iCs/>
          <w:sz w:val="16"/>
          <w:szCs w:val="16"/>
          <w:lang w:val="es-US"/>
        </w:rPr>
        <w:t>res meses</w:t>
      </w:r>
      <w:r w:rsidR="001D57F2" w:rsidRPr="008A7BD7">
        <w:rPr>
          <w:rStyle w:val="Hyperlink"/>
          <w:rFonts w:ascii="Cambria" w:hAnsi="Cambria"/>
          <w:sz w:val="16"/>
          <w:szCs w:val="16"/>
          <w:lang w:val="es-US"/>
        </w:rPr>
        <w:t>,</w:t>
      </w:r>
      <w:r w:rsidR="001D57F2" w:rsidRPr="008A7BD7">
        <w:rPr>
          <w:rFonts w:ascii="Cambria" w:hAnsi="Cambria"/>
          <w:sz w:val="16"/>
          <w:szCs w:val="16"/>
          <w:lang w:val="es-US"/>
        </w:rPr>
        <w:t xml:space="preserve"> May </w:t>
      </w:r>
      <w:r w:rsidRPr="008A7BD7">
        <w:rPr>
          <w:rFonts w:ascii="Cambria" w:hAnsi="Cambria"/>
          <w:sz w:val="16"/>
          <w:szCs w:val="16"/>
          <w:lang w:val="es-US"/>
        </w:rPr>
        <w:t>6</w:t>
      </w:r>
      <w:r w:rsidR="001D57F2" w:rsidRPr="008A7BD7">
        <w:rPr>
          <w:rFonts w:ascii="Cambria" w:hAnsi="Cambria"/>
          <w:sz w:val="16"/>
          <w:szCs w:val="16"/>
          <w:lang w:val="es-US"/>
        </w:rPr>
        <w:t xml:space="preserve">, </w:t>
      </w:r>
      <w:r w:rsidRPr="008A7BD7">
        <w:rPr>
          <w:rFonts w:ascii="Cambria" w:hAnsi="Cambria"/>
          <w:sz w:val="16"/>
          <w:szCs w:val="16"/>
          <w:lang w:val="es-US"/>
        </w:rPr>
        <w:t>2021.</w:t>
      </w:r>
    </w:p>
  </w:footnote>
  <w:footnote w:id="103">
    <w:p w14:paraId="1C9A77CD" w14:textId="1E4ABD29" w:rsidR="00AC0523" w:rsidRPr="008A7BD7" w:rsidRDefault="00AC0523" w:rsidP="00746761">
      <w:pPr>
        <w:pStyle w:val="FootnoteText"/>
        <w:spacing w:after="120"/>
        <w:ind w:firstLine="720"/>
        <w:jc w:val="both"/>
        <w:rPr>
          <w:rFonts w:ascii="Cambria" w:hAnsi="Cambria"/>
          <w:sz w:val="16"/>
          <w:szCs w:val="16"/>
          <w:lang w:val="es-E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La Hora</w:t>
      </w:r>
      <w:r w:rsidRPr="008A7BD7">
        <w:rPr>
          <w:rFonts w:ascii="Cambria" w:hAnsi="Cambria"/>
          <w:sz w:val="16"/>
          <w:szCs w:val="16"/>
          <w:lang w:val="es-US"/>
        </w:rPr>
        <w:t xml:space="preserve">, </w:t>
      </w:r>
      <w:hyperlink r:id="rId88" w:history="1">
        <w:r w:rsidRPr="008A7BD7">
          <w:rPr>
            <w:rStyle w:val="Hyperlink"/>
            <w:rFonts w:ascii="Cambria" w:hAnsi="Cambria"/>
            <w:i/>
            <w:iCs/>
            <w:sz w:val="16"/>
            <w:szCs w:val="16"/>
            <w:lang w:val="es-US"/>
          </w:rPr>
          <w:t>PDH denuncia a la Dirección de Comunicación del Congreso de la República</w:t>
        </w:r>
      </w:hyperlink>
      <w:r w:rsidRPr="008A7BD7">
        <w:rPr>
          <w:rFonts w:ascii="Cambria" w:hAnsi="Cambria"/>
          <w:i/>
          <w:iCs/>
          <w:sz w:val="16"/>
          <w:szCs w:val="16"/>
          <w:lang w:val="es-US"/>
        </w:rPr>
        <w:t>; Vox Populi, “</w:t>
      </w:r>
      <w:hyperlink r:id="rId89" w:history="1">
        <w:r w:rsidRPr="008A7BD7">
          <w:rPr>
            <w:rStyle w:val="Hyperlink"/>
            <w:rFonts w:ascii="Cambria" w:hAnsi="Cambria"/>
            <w:i/>
            <w:iCs/>
            <w:sz w:val="16"/>
            <w:szCs w:val="16"/>
            <w:lang w:val="es-US"/>
          </w:rPr>
          <w:t>La estrategia del Congreso para atacar a opositores y funcionarios</w:t>
        </w:r>
      </w:hyperlink>
      <w:r w:rsidR="00F70954" w:rsidRPr="008A7BD7">
        <w:rPr>
          <w:rStyle w:val="Hyperlink"/>
          <w:rFonts w:ascii="Cambria" w:hAnsi="Cambria"/>
          <w:sz w:val="16"/>
          <w:szCs w:val="16"/>
          <w:lang w:val="es-US"/>
        </w:rPr>
        <w:t>,</w:t>
      </w:r>
      <w:r w:rsidRPr="008A7BD7">
        <w:rPr>
          <w:rFonts w:ascii="Cambria" w:hAnsi="Cambria"/>
          <w:sz w:val="16"/>
          <w:szCs w:val="16"/>
          <w:lang w:val="es-US"/>
        </w:rPr>
        <w:t xml:space="preserve"> </w:t>
      </w:r>
      <w:r w:rsidR="00F70954" w:rsidRPr="008A7BD7">
        <w:rPr>
          <w:rFonts w:ascii="Cambria" w:hAnsi="Cambria"/>
          <w:sz w:val="16"/>
          <w:szCs w:val="16"/>
          <w:lang w:val="es-US"/>
        </w:rPr>
        <w:t xml:space="preserve">May </w:t>
      </w:r>
      <w:r w:rsidRPr="008A7BD7">
        <w:rPr>
          <w:rFonts w:ascii="Cambria" w:hAnsi="Cambria"/>
          <w:sz w:val="16"/>
          <w:szCs w:val="16"/>
          <w:lang w:val="es-US"/>
        </w:rPr>
        <w:t>20</w:t>
      </w:r>
      <w:r w:rsidR="00F70954" w:rsidRPr="008A7BD7">
        <w:rPr>
          <w:rFonts w:ascii="Cambria" w:hAnsi="Cambria"/>
          <w:sz w:val="16"/>
          <w:szCs w:val="16"/>
          <w:lang w:val="es-US"/>
        </w:rPr>
        <w:t xml:space="preserve">, </w:t>
      </w:r>
      <w:r w:rsidRPr="008A7BD7">
        <w:rPr>
          <w:rFonts w:ascii="Cambria" w:hAnsi="Cambria"/>
          <w:sz w:val="16"/>
          <w:szCs w:val="16"/>
          <w:lang w:val="es-US"/>
        </w:rPr>
        <w:t>2021.</w:t>
      </w:r>
    </w:p>
  </w:footnote>
  <w:footnote w:id="104">
    <w:p w14:paraId="6CF2BEC6" w14:textId="0F9405EB" w:rsidR="00AC0523" w:rsidRPr="008A7BD7" w:rsidRDefault="00AC0523" w:rsidP="00746761">
      <w:pPr>
        <w:pStyle w:val="FootnoteText"/>
        <w:spacing w:after="120"/>
        <w:ind w:firstLine="720"/>
        <w:jc w:val="both"/>
        <w:rPr>
          <w:rFonts w:ascii="Cambria" w:hAnsi="Cambria"/>
          <w:sz w:val="16"/>
          <w:szCs w:val="16"/>
          <w:lang w:val="es-E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Prensa Comunitaria</w:t>
      </w:r>
      <w:r w:rsidRPr="008A7BD7">
        <w:rPr>
          <w:rFonts w:ascii="Cambria" w:hAnsi="Cambria"/>
          <w:sz w:val="16"/>
          <w:szCs w:val="16"/>
          <w:lang w:val="es-US"/>
        </w:rPr>
        <w:t xml:space="preserve">, </w:t>
      </w:r>
      <w:hyperlink r:id="rId90" w:history="1">
        <w:r w:rsidRPr="008A7BD7">
          <w:rPr>
            <w:rStyle w:val="Hyperlink"/>
            <w:rFonts w:ascii="Cambria" w:hAnsi="Cambria"/>
            <w:i/>
            <w:iCs/>
            <w:sz w:val="16"/>
            <w:szCs w:val="16"/>
            <w:lang w:val="es-US"/>
          </w:rPr>
          <w:t>Continúa desgaste al PDH en el Congreso; fracasa intento de conocer memorial para destituirlo</w:t>
        </w:r>
      </w:hyperlink>
      <w:r w:rsidR="00F1371E" w:rsidRPr="008A7BD7">
        <w:rPr>
          <w:rStyle w:val="Hyperlink"/>
          <w:rFonts w:ascii="Cambria" w:hAnsi="Cambria"/>
          <w:sz w:val="16"/>
          <w:szCs w:val="16"/>
          <w:lang w:val="es-US"/>
        </w:rPr>
        <w:t>,</w:t>
      </w:r>
      <w:r w:rsidRPr="008A7BD7">
        <w:rPr>
          <w:rFonts w:ascii="Cambria" w:hAnsi="Cambria"/>
          <w:sz w:val="16"/>
          <w:szCs w:val="16"/>
          <w:lang w:val="es-US"/>
        </w:rPr>
        <w:t xml:space="preserve"> </w:t>
      </w:r>
      <w:proofErr w:type="spellStart"/>
      <w:r w:rsidR="00F1371E" w:rsidRPr="008A7BD7">
        <w:rPr>
          <w:rFonts w:ascii="Cambria" w:hAnsi="Cambria"/>
          <w:sz w:val="16"/>
          <w:szCs w:val="16"/>
          <w:lang w:val="es-US"/>
        </w:rPr>
        <w:t>October</w:t>
      </w:r>
      <w:proofErr w:type="spellEnd"/>
      <w:r w:rsidR="00F1371E" w:rsidRPr="008A7BD7">
        <w:rPr>
          <w:rFonts w:ascii="Cambria" w:hAnsi="Cambria"/>
          <w:sz w:val="16"/>
          <w:szCs w:val="16"/>
          <w:lang w:val="es-US"/>
        </w:rPr>
        <w:t xml:space="preserve"> </w:t>
      </w:r>
      <w:r w:rsidRPr="008A7BD7">
        <w:rPr>
          <w:rFonts w:ascii="Cambria" w:hAnsi="Cambria"/>
          <w:sz w:val="16"/>
          <w:szCs w:val="16"/>
          <w:lang w:val="es-US"/>
        </w:rPr>
        <w:t>12</w:t>
      </w:r>
      <w:r w:rsidR="00F1371E" w:rsidRPr="008A7BD7">
        <w:rPr>
          <w:rFonts w:ascii="Cambria" w:hAnsi="Cambria"/>
          <w:sz w:val="16"/>
          <w:szCs w:val="16"/>
          <w:lang w:val="es-US"/>
        </w:rPr>
        <w:t>,</w:t>
      </w:r>
      <w:r w:rsidRPr="008A7BD7">
        <w:rPr>
          <w:rFonts w:ascii="Cambria" w:hAnsi="Cambria"/>
          <w:sz w:val="16"/>
          <w:szCs w:val="16"/>
          <w:lang w:val="es-US"/>
        </w:rPr>
        <w:t xml:space="preserve"> 2021</w:t>
      </w:r>
      <w:r w:rsidR="00F4720D" w:rsidRPr="008A7BD7">
        <w:rPr>
          <w:rFonts w:ascii="Cambria" w:hAnsi="Cambria"/>
          <w:sz w:val="16"/>
          <w:szCs w:val="16"/>
          <w:lang w:val="es-US"/>
        </w:rPr>
        <w:t>;</w:t>
      </w:r>
      <w:r w:rsidRPr="008A7BD7">
        <w:rPr>
          <w:rFonts w:ascii="Cambria" w:hAnsi="Cambria"/>
          <w:sz w:val="16"/>
          <w:szCs w:val="16"/>
          <w:lang w:val="es-US"/>
        </w:rPr>
        <w:t xml:space="preserve"> </w:t>
      </w:r>
      <w:r w:rsidRPr="008A7BD7">
        <w:rPr>
          <w:rFonts w:ascii="Cambria" w:hAnsi="Cambria"/>
          <w:i/>
          <w:iCs/>
          <w:sz w:val="16"/>
          <w:szCs w:val="16"/>
          <w:lang w:val="es-US"/>
        </w:rPr>
        <w:t>La Hora</w:t>
      </w:r>
      <w:r w:rsidRPr="008A7BD7">
        <w:rPr>
          <w:rFonts w:ascii="Cambria" w:hAnsi="Cambria"/>
          <w:sz w:val="16"/>
          <w:szCs w:val="16"/>
          <w:lang w:val="es-US"/>
        </w:rPr>
        <w:t xml:space="preserve">, </w:t>
      </w:r>
      <w:hyperlink r:id="rId91" w:history="1">
        <w:r w:rsidRPr="008A7BD7">
          <w:rPr>
            <w:rStyle w:val="Hyperlink"/>
            <w:rFonts w:ascii="Cambria" w:hAnsi="Cambria"/>
            <w:i/>
            <w:iCs/>
            <w:sz w:val="16"/>
            <w:szCs w:val="16"/>
            <w:lang w:val="es-US"/>
          </w:rPr>
          <w:t>Comisión de DDHH analizará citar al PDH por pedido de destitución</w:t>
        </w:r>
      </w:hyperlink>
      <w:r w:rsidR="00F1371E" w:rsidRPr="008A7BD7">
        <w:rPr>
          <w:rStyle w:val="Hyperlink"/>
          <w:rFonts w:ascii="Cambria" w:hAnsi="Cambria"/>
          <w:sz w:val="16"/>
          <w:szCs w:val="16"/>
          <w:lang w:val="es-US"/>
        </w:rPr>
        <w:t>,</w:t>
      </w:r>
      <w:r w:rsidRPr="008A7BD7">
        <w:rPr>
          <w:rFonts w:ascii="Cambria" w:hAnsi="Cambria"/>
          <w:sz w:val="16"/>
          <w:szCs w:val="16"/>
          <w:lang w:val="es-US"/>
        </w:rPr>
        <w:t xml:space="preserve"> </w:t>
      </w:r>
      <w:r w:rsidR="00F1371E" w:rsidRPr="008A7BD7">
        <w:rPr>
          <w:rFonts w:ascii="Cambria" w:hAnsi="Cambria"/>
          <w:sz w:val="16"/>
          <w:szCs w:val="16"/>
          <w:lang w:val="es-US"/>
        </w:rPr>
        <w:t xml:space="preserve">June </w:t>
      </w:r>
      <w:r w:rsidRPr="008A7BD7">
        <w:rPr>
          <w:rFonts w:ascii="Cambria" w:hAnsi="Cambria"/>
          <w:sz w:val="16"/>
          <w:szCs w:val="16"/>
          <w:lang w:val="es-US"/>
        </w:rPr>
        <w:t>10</w:t>
      </w:r>
      <w:r w:rsidR="00F1371E" w:rsidRPr="008A7BD7">
        <w:rPr>
          <w:rFonts w:ascii="Cambria" w:hAnsi="Cambria"/>
          <w:sz w:val="16"/>
          <w:szCs w:val="16"/>
          <w:lang w:val="es-US"/>
        </w:rPr>
        <w:t xml:space="preserve">, </w:t>
      </w:r>
      <w:r w:rsidRPr="008A7BD7">
        <w:rPr>
          <w:rFonts w:ascii="Cambria" w:hAnsi="Cambria"/>
          <w:sz w:val="16"/>
          <w:szCs w:val="16"/>
          <w:lang w:val="es-US"/>
        </w:rPr>
        <w:t xml:space="preserve">2021.  </w:t>
      </w:r>
    </w:p>
  </w:footnote>
  <w:footnote w:id="105">
    <w:p w14:paraId="27AADF51" w14:textId="0D02E932" w:rsidR="00FF2619" w:rsidRPr="008A7BD7" w:rsidRDefault="00FF2619" w:rsidP="00FF2619">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8D3370" w:rsidRPr="008A7BD7">
        <w:rPr>
          <w:rFonts w:ascii="Cambria" w:hAnsi="Cambria"/>
          <w:sz w:val="16"/>
          <w:szCs w:val="16"/>
        </w:rPr>
        <w:t>Response from the State of</w:t>
      </w:r>
      <w:r w:rsidR="008D3370"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8D3370" w:rsidRPr="008A7BD7">
        <w:rPr>
          <w:rFonts w:ascii="Cambria" w:hAnsi="Cambria"/>
          <w:sz w:val="16"/>
          <w:szCs w:val="16"/>
        </w:rPr>
        <w:t>OEA</w:t>
      </w:r>
      <w:r w:rsidR="008D3370"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22.</w:t>
      </w:r>
    </w:p>
  </w:footnote>
  <w:footnote w:id="106">
    <w:p w14:paraId="6145F9AB" w14:textId="2D0134DC" w:rsidR="00FF2619" w:rsidRPr="008A7BD7" w:rsidRDefault="00FF2619" w:rsidP="00FF2619">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2605B6" w:rsidRPr="008A7BD7">
        <w:rPr>
          <w:rFonts w:ascii="Cambria" w:hAnsi="Cambria"/>
          <w:sz w:val="16"/>
          <w:szCs w:val="16"/>
        </w:rPr>
        <w:t>Response from the State of</w:t>
      </w:r>
      <w:r w:rsidR="002605B6"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2605B6" w:rsidRPr="008A7BD7">
        <w:rPr>
          <w:rFonts w:ascii="Cambria" w:hAnsi="Cambria"/>
          <w:sz w:val="16"/>
          <w:szCs w:val="16"/>
        </w:rPr>
        <w:t>OEA</w:t>
      </w:r>
      <w:r w:rsidR="002605B6" w:rsidRPr="008A7BD7">
        <w:rPr>
          <w:rFonts w:ascii="Cambria" w:eastAsia="Cambria" w:hAnsi="Cambria" w:cs="Cambria"/>
          <w:color w:val="000000"/>
          <w:sz w:val="16"/>
          <w:szCs w:val="16"/>
        </w:rPr>
        <w:t xml:space="preserve">-M4-980-2021, December 22, 2021, p. </w:t>
      </w:r>
      <w:r w:rsidRPr="008A7BD7">
        <w:rPr>
          <w:rFonts w:ascii="Cambria" w:eastAsia="Cambria" w:hAnsi="Cambria" w:cs="Cambria"/>
          <w:color w:val="000000"/>
          <w:sz w:val="16"/>
          <w:szCs w:val="16"/>
        </w:rPr>
        <w:t>22.</w:t>
      </w:r>
    </w:p>
  </w:footnote>
  <w:footnote w:id="107">
    <w:p w14:paraId="54880DC1" w14:textId="611D30E0" w:rsidR="00FF2619" w:rsidRPr="008A7BD7" w:rsidRDefault="00FF2619" w:rsidP="00FF2619">
      <w:pPr>
        <w:pStyle w:val="FootnoteText"/>
        <w:spacing w:after="120"/>
        <w:ind w:firstLine="720"/>
        <w:jc w:val="both"/>
      </w:pPr>
      <w:r w:rsidRPr="008A7BD7">
        <w:rPr>
          <w:rStyle w:val="FootnoteReference"/>
          <w:rFonts w:ascii="Cambria" w:hAnsi="Cambria"/>
          <w:sz w:val="16"/>
          <w:szCs w:val="16"/>
        </w:rPr>
        <w:footnoteRef/>
      </w:r>
      <w:r w:rsidRPr="008A7BD7">
        <w:rPr>
          <w:rFonts w:ascii="Cambria" w:hAnsi="Cambria"/>
          <w:sz w:val="16"/>
          <w:szCs w:val="16"/>
        </w:rPr>
        <w:t xml:space="preserve"> </w:t>
      </w:r>
      <w:r w:rsidR="002605B6" w:rsidRPr="008A7BD7">
        <w:rPr>
          <w:rFonts w:ascii="Cambria" w:hAnsi="Cambria"/>
          <w:sz w:val="16"/>
          <w:szCs w:val="16"/>
        </w:rPr>
        <w:t>Response from the State of</w:t>
      </w:r>
      <w:r w:rsidR="002605B6"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2605B6" w:rsidRPr="008A7BD7">
        <w:rPr>
          <w:rFonts w:ascii="Cambria" w:hAnsi="Cambria"/>
          <w:sz w:val="16"/>
          <w:szCs w:val="16"/>
        </w:rPr>
        <w:t>OEA</w:t>
      </w:r>
      <w:r w:rsidR="002605B6" w:rsidRPr="008A7BD7">
        <w:rPr>
          <w:rFonts w:ascii="Cambria" w:eastAsia="Cambria" w:hAnsi="Cambria" w:cs="Cambria"/>
          <w:color w:val="000000"/>
          <w:sz w:val="16"/>
          <w:szCs w:val="16"/>
        </w:rPr>
        <w:t>-M4-980-2021, December 22, 2021, p</w:t>
      </w:r>
      <w:r w:rsidRPr="008A7BD7">
        <w:rPr>
          <w:rFonts w:ascii="Cambria" w:eastAsia="Cambria" w:hAnsi="Cambria" w:cs="Cambria"/>
          <w:color w:val="000000"/>
          <w:sz w:val="16"/>
          <w:szCs w:val="16"/>
        </w:rPr>
        <w:t>p. 22</w:t>
      </w:r>
      <w:r w:rsidR="002C6CF9" w:rsidRPr="008A7BD7">
        <w:rPr>
          <w:rFonts w:ascii="Cambria" w:eastAsia="Cambria" w:hAnsi="Cambria" w:cs="Cambria"/>
          <w:color w:val="000000"/>
          <w:sz w:val="16"/>
          <w:szCs w:val="16"/>
        </w:rPr>
        <w:t>-</w:t>
      </w:r>
      <w:r w:rsidRPr="008A7BD7">
        <w:rPr>
          <w:rFonts w:ascii="Cambria" w:eastAsia="Cambria" w:hAnsi="Cambria" w:cs="Cambria"/>
          <w:color w:val="000000"/>
          <w:sz w:val="16"/>
          <w:szCs w:val="16"/>
        </w:rPr>
        <w:t>23.</w:t>
      </w:r>
    </w:p>
  </w:footnote>
  <w:footnote w:id="108">
    <w:p w14:paraId="378DA0D3" w14:textId="530BF7CD" w:rsidR="00AC0523" w:rsidRPr="00C63448" w:rsidRDefault="00AC0523" w:rsidP="00746761">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2A5CAF" w:rsidRPr="008A7BD7">
        <w:rPr>
          <w:rFonts w:ascii="Cambria" w:hAnsi="Cambria"/>
          <w:sz w:val="16"/>
          <w:szCs w:val="16"/>
        </w:rPr>
        <w:t>On July</w:t>
      </w:r>
      <w:r w:rsidRPr="008A7BD7">
        <w:rPr>
          <w:rFonts w:ascii="Cambria" w:hAnsi="Cambria"/>
          <w:sz w:val="16"/>
          <w:szCs w:val="16"/>
        </w:rPr>
        <w:t xml:space="preserve"> 30</w:t>
      </w:r>
      <w:r w:rsidR="002A5CAF" w:rsidRPr="008A7BD7">
        <w:rPr>
          <w:rFonts w:ascii="Cambria" w:hAnsi="Cambria"/>
          <w:sz w:val="16"/>
          <w:szCs w:val="16"/>
        </w:rPr>
        <w:t xml:space="preserve">, </w:t>
      </w:r>
      <w:r w:rsidRPr="008A7BD7">
        <w:rPr>
          <w:rFonts w:ascii="Cambria" w:hAnsi="Cambria"/>
          <w:sz w:val="16"/>
          <w:szCs w:val="16"/>
        </w:rPr>
        <w:t xml:space="preserve">2020, </w:t>
      </w:r>
      <w:r w:rsidR="002A5CAF" w:rsidRPr="008A7BD7">
        <w:rPr>
          <w:rFonts w:ascii="Cambria" w:hAnsi="Cambria"/>
          <w:sz w:val="16"/>
          <w:szCs w:val="16"/>
        </w:rPr>
        <w:t xml:space="preserve">through Governmental Decisions </w:t>
      </w:r>
      <w:r w:rsidRPr="008A7BD7">
        <w:rPr>
          <w:rFonts w:ascii="Cambria" w:hAnsi="Cambria"/>
          <w:sz w:val="16"/>
          <w:szCs w:val="16"/>
        </w:rPr>
        <w:t xml:space="preserve">99-2020 </w:t>
      </w:r>
      <w:r w:rsidR="002A5CAF" w:rsidRPr="008A7BD7">
        <w:rPr>
          <w:rFonts w:ascii="Cambria" w:hAnsi="Cambria"/>
          <w:sz w:val="16"/>
          <w:szCs w:val="16"/>
        </w:rPr>
        <w:t>and</w:t>
      </w:r>
      <w:r w:rsidRPr="008A7BD7">
        <w:rPr>
          <w:rFonts w:ascii="Cambria" w:hAnsi="Cambria"/>
          <w:sz w:val="16"/>
          <w:szCs w:val="16"/>
        </w:rPr>
        <w:t xml:space="preserve"> 100-2020, </w:t>
      </w:r>
      <w:r w:rsidR="002A5CAF" w:rsidRPr="008A7BD7">
        <w:rPr>
          <w:rFonts w:ascii="Cambria" w:hAnsi="Cambria"/>
          <w:sz w:val="16"/>
          <w:szCs w:val="16"/>
        </w:rPr>
        <w:t xml:space="preserve">the </w:t>
      </w:r>
      <w:r w:rsidR="008978D0" w:rsidRPr="008A7BD7">
        <w:rPr>
          <w:rFonts w:ascii="Cambria" w:hAnsi="Cambria"/>
          <w:sz w:val="16"/>
          <w:szCs w:val="16"/>
        </w:rPr>
        <w:t>e</w:t>
      </w:r>
      <w:r w:rsidR="002A5CAF" w:rsidRPr="008A7BD7">
        <w:rPr>
          <w:rFonts w:ascii="Cambria" w:hAnsi="Cambria"/>
          <w:sz w:val="16"/>
          <w:szCs w:val="16"/>
        </w:rPr>
        <w:t xml:space="preserve">xecutive </w:t>
      </w:r>
      <w:r w:rsidR="008978D0" w:rsidRPr="008A7BD7">
        <w:rPr>
          <w:rFonts w:ascii="Cambria" w:hAnsi="Cambria"/>
          <w:sz w:val="16"/>
          <w:szCs w:val="16"/>
        </w:rPr>
        <w:t xml:space="preserve">branch </w:t>
      </w:r>
      <w:r w:rsidR="002A5CAF" w:rsidRPr="008A7BD7">
        <w:rPr>
          <w:rFonts w:ascii="Cambria" w:hAnsi="Cambria"/>
          <w:sz w:val="16"/>
          <w:szCs w:val="16"/>
        </w:rPr>
        <w:t xml:space="preserve">ordered the closure of </w:t>
      </w:r>
      <w:r w:rsidRPr="008A7BD7">
        <w:rPr>
          <w:rFonts w:ascii="Cambria" w:hAnsi="Cambria"/>
          <w:sz w:val="16"/>
          <w:szCs w:val="16"/>
        </w:rPr>
        <w:t xml:space="preserve">COPREDEH </w:t>
      </w:r>
      <w:r w:rsidR="002A5CAF" w:rsidRPr="008A7BD7">
        <w:rPr>
          <w:rFonts w:ascii="Cambria" w:hAnsi="Cambria"/>
          <w:sz w:val="16"/>
          <w:szCs w:val="16"/>
        </w:rPr>
        <w:t xml:space="preserve">and its replacement by the Presidential Commission for Peace and Human Rights </w:t>
      </w:r>
      <w:r w:rsidRPr="008A7BD7">
        <w:rPr>
          <w:rFonts w:ascii="Cambria" w:hAnsi="Cambria"/>
          <w:sz w:val="16"/>
          <w:szCs w:val="16"/>
        </w:rPr>
        <w:t xml:space="preserve">(COPADEH). </w:t>
      </w:r>
      <w:r w:rsidR="00795459" w:rsidRPr="008A7BD7">
        <w:rPr>
          <w:rFonts w:ascii="Cambria" w:hAnsi="Cambria"/>
          <w:sz w:val="16"/>
          <w:szCs w:val="16"/>
        </w:rPr>
        <w:t xml:space="preserve">According to the decision establishing it, </w:t>
      </w:r>
      <w:r w:rsidRPr="008A7BD7">
        <w:rPr>
          <w:rFonts w:ascii="Cambria" w:hAnsi="Cambria"/>
          <w:sz w:val="16"/>
          <w:szCs w:val="16"/>
        </w:rPr>
        <w:t xml:space="preserve">COPADEH </w:t>
      </w:r>
      <w:r w:rsidR="00795459" w:rsidRPr="008A7BD7">
        <w:rPr>
          <w:rFonts w:ascii="Cambria" w:hAnsi="Cambria"/>
          <w:sz w:val="16"/>
          <w:szCs w:val="16"/>
        </w:rPr>
        <w:t xml:space="preserve">will be in effect for four years </w:t>
      </w:r>
      <w:proofErr w:type="gramStart"/>
      <w:r w:rsidR="00795459" w:rsidRPr="008A7BD7">
        <w:rPr>
          <w:rFonts w:ascii="Cambria" w:hAnsi="Cambria"/>
          <w:sz w:val="16"/>
          <w:szCs w:val="16"/>
        </w:rPr>
        <w:t>and</w:t>
      </w:r>
      <w:r w:rsidR="00E446F9" w:rsidRPr="008A7BD7">
        <w:rPr>
          <w:rFonts w:ascii="Cambria" w:hAnsi="Cambria"/>
          <w:sz w:val="16"/>
          <w:szCs w:val="16"/>
        </w:rPr>
        <w:t xml:space="preserve"> also</w:t>
      </w:r>
      <w:proofErr w:type="gramEnd"/>
      <w:r w:rsidR="00E446F9" w:rsidRPr="008A7BD7">
        <w:rPr>
          <w:rFonts w:ascii="Cambria" w:hAnsi="Cambria"/>
          <w:sz w:val="16"/>
          <w:szCs w:val="16"/>
        </w:rPr>
        <w:t xml:space="preserve"> takes over the functions of the Secretariat for Peace </w:t>
      </w:r>
      <w:r w:rsidRPr="008A7BD7">
        <w:rPr>
          <w:rFonts w:ascii="Cambria" w:hAnsi="Cambria"/>
          <w:sz w:val="16"/>
          <w:szCs w:val="16"/>
        </w:rPr>
        <w:t xml:space="preserve">(SEPAZ) </w:t>
      </w:r>
      <w:r w:rsidR="00E446F9" w:rsidRPr="008A7BD7">
        <w:rPr>
          <w:rFonts w:ascii="Cambria" w:hAnsi="Cambria"/>
          <w:sz w:val="16"/>
          <w:szCs w:val="16"/>
        </w:rPr>
        <w:t xml:space="preserve">and the Secretariat for Agrarian Affairs </w:t>
      </w:r>
      <w:r w:rsidRPr="008A7BD7">
        <w:rPr>
          <w:rFonts w:ascii="Cambria" w:hAnsi="Cambria"/>
          <w:sz w:val="16"/>
          <w:szCs w:val="16"/>
        </w:rPr>
        <w:t>(SSA). COPADEH</w:t>
      </w:r>
      <w:r w:rsidR="00E446F9" w:rsidRPr="008A7BD7">
        <w:rPr>
          <w:rFonts w:ascii="Cambria" w:hAnsi="Cambria"/>
          <w:sz w:val="16"/>
          <w:szCs w:val="16"/>
        </w:rPr>
        <w:t xml:space="preserve"> will be chaired by the Constitutional President of the Republic</w:t>
      </w:r>
      <w:r w:rsidRPr="008A7BD7">
        <w:rPr>
          <w:rFonts w:ascii="Cambria" w:hAnsi="Cambria"/>
          <w:sz w:val="16"/>
          <w:szCs w:val="16"/>
        </w:rPr>
        <w:t xml:space="preserve"> </w:t>
      </w:r>
      <w:r w:rsidR="00E446F9" w:rsidRPr="008A7BD7">
        <w:rPr>
          <w:rFonts w:ascii="Cambria" w:hAnsi="Cambria"/>
          <w:sz w:val="16"/>
          <w:szCs w:val="16"/>
        </w:rPr>
        <w:t>and will comprise six Ministers, two Secretariats, and the Attorney General</w:t>
      </w:r>
      <w:r w:rsidR="001F28C1" w:rsidRPr="008A7BD7">
        <w:rPr>
          <w:rFonts w:ascii="Cambria" w:hAnsi="Cambria"/>
          <w:sz w:val="16"/>
          <w:szCs w:val="16"/>
        </w:rPr>
        <w:t xml:space="preserve"> (PGN)</w:t>
      </w:r>
      <w:r w:rsidRPr="008A7BD7">
        <w:rPr>
          <w:rFonts w:ascii="Cambria" w:hAnsi="Cambria"/>
          <w:sz w:val="16"/>
          <w:szCs w:val="16"/>
        </w:rPr>
        <w:t xml:space="preserve">, </w:t>
      </w:r>
      <w:r w:rsidR="00E446F9" w:rsidRPr="008A7BD7">
        <w:rPr>
          <w:rFonts w:ascii="Cambria" w:hAnsi="Cambria"/>
          <w:sz w:val="16"/>
          <w:szCs w:val="16"/>
        </w:rPr>
        <w:t xml:space="preserve">as well as the Executive Director. According to the </w:t>
      </w:r>
      <w:r w:rsidR="008978D0" w:rsidRPr="008A7BD7">
        <w:rPr>
          <w:rFonts w:ascii="Cambria" w:hAnsi="Cambria"/>
          <w:sz w:val="16"/>
          <w:szCs w:val="16"/>
        </w:rPr>
        <w:t>decision</w:t>
      </w:r>
      <w:r w:rsidR="00E446F9" w:rsidRPr="008A7BD7">
        <w:rPr>
          <w:rFonts w:ascii="Cambria" w:hAnsi="Cambria"/>
          <w:sz w:val="16"/>
          <w:szCs w:val="16"/>
        </w:rPr>
        <w:t xml:space="preserve"> establishing it, </w:t>
      </w:r>
      <w:r w:rsidR="001F28C1" w:rsidRPr="008A7BD7">
        <w:rPr>
          <w:rFonts w:ascii="Cambria" w:hAnsi="Cambria"/>
          <w:sz w:val="16"/>
          <w:szCs w:val="16"/>
        </w:rPr>
        <w:t xml:space="preserve">the purpose of </w:t>
      </w:r>
      <w:r w:rsidR="00E446F9" w:rsidRPr="008A7BD7">
        <w:rPr>
          <w:rFonts w:ascii="Cambria" w:hAnsi="Cambria"/>
          <w:sz w:val="16"/>
          <w:szCs w:val="16"/>
        </w:rPr>
        <w:t xml:space="preserve">COPADEH </w:t>
      </w:r>
      <w:r w:rsidR="001F28C1" w:rsidRPr="008A7BD7">
        <w:rPr>
          <w:rFonts w:ascii="Cambria" w:hAnsi="Cambria"/>
          <w:sz w:val="16"/>
          <w:szCs w:val="16"/>
        </w:rPr>
        <w:t>is “to advise and coordinate with the various [offices] of the Executive Branch on promoting actions and mechanisms to ensure the effective exercise and protection of human rights and compliance with government commitments under the Peace Accords and in connection with social conflicts in the country.</w:t>
      </w:r>
      <w:r w:rsidRPr="008A7BD7">
        <w:rPr>
          <w:rFonts w:ascii="Cambria" w:hAnsi="Cambria"/>
          <w:sz w:val="16"/>
          <w:szCs w:val="16"/>
        </w:rPr>
        <w:t xml:space="preserve">” </w:t>
      </w:r>
      <w:r w:rsidRPr="00C63448">
        <w:rPr>
          <w:rFonts w:ascii="Cambria" w:hAnsi="Cambria"/>
          <w:sz w:val="16"/>
          <w:szCs w:val="16"/>
        </w:rPr>
        <w:t>Minist</w:t>
      </w:r>
      <w:r w:rsidR="001F28C1" w:rsidRPr="00C63448">
        <w:rPr>
          <w:rFonts w:ascii="Cambria" w:hAnsi="Cambria"/>
          <w:sz w:val="16"/>
          <w:szCs w:val="16"/>
        </w:rPr>
        <w:t>ry of the Interior (</w:t>
      </w:r>
      <w:proofErr w:type="spellStart"/>
      <w:r w:rsidR="001F28C1" w:rsidRPr="00C63448">
        <w:rPr>
          <w:rFonts w:ascii="Cambria" w:hAnsi="Cambria"/>
          <w:i/>
          <w:iCs/>
          <w:sz w:val="16"/>
          <w:szCs w:val="16"/>
        </w:rPr>
        <w:t>Minist</w:t>
      </w:r>
      <w:r w:rsidRPr="00C63448">
        <w:rPr>
          <w:rFonts w:ascii="Cambria" w:hAnsi="Cambria"/>
          <w:i/>
          <w:iCs/>
          <w:sz w:val="16"/>
          <w:szCs w:val="16"/>
        </w:rPr>
        <w:t>erio</w:t>
      </w:r>
      <w:proofErr w:type="spellEnd"/>
      <w:r w:rsidRPr="00C63448">
        <w:rPr>
          <w:rFonts w:ascii="Cambria" w:hAnsi="Cambria"/>
          <w:i/>
          <w:iCs/>
          <w:sz w:val="16"/>
          <w:szCs w:val="16"/>
        </w:rPr>
        <w:t xml:space="preserve"> de </w:t>
      </w:r>
      <w:proofErr w:type="spellStart"/>
      <w:r w:rsidRPr="00C63448">
        <w:rPr>
          <w:rFonts w:ascii="Cambria" w:hAnsi="Cambria"/>
          <w:i/>
          <w:iCs/>
          <w:sz w:val="16"/>
          <w:szCs w:val="16"/>
        </w:rPr>
        <w:t>Gobernación</w:t>
      </w:r>
      <w:proofErr w:type="spellEnd"/>
      <w:r w:rsidR="001F28C1" w:rsidRPr="00C63448">
        <w:rPr>
          <w:rFonts w:ascii="Cambria" w:hAnsi="Cambria"/>
          <w:sz w:val="16"/>
          <w:szCs w:val="16"/>
        </w:rPr>
        <w:t>)</w:t>
      </w:r>
      <w:r w:rsidRPr="00C63448">
        <w:rPr>
          <w:rFonts w:ascii="Cambria" w:hAnsi="Cambria"/>
          <w:sz w:val="16"/>
          <w:szCs w:val="16"/>
        </w:rPr>
        <w:t xml:space="preserve">, </w:t>
      </w:r>
      <w:hyperlink r:id="rId92" w:history="1">
        <w:proofErr w:type="spellStart"/>
        <w:r w:rsidRPr="00C63448">
          <w:rPr>
            <w:rStyle w:val="Hyperlink"/>
            <w:rFonts w:ascii="Cambria" w:hAnsi="Cambria" w:cs="Arial"/>
            <w:i/>
            <w:iCs/>
            <w:sz w:val="16"/>
            <w:szCs w:val="16"/>
          </w:rPr>
          <w:t>Acuerdo</w:t>
        </w:r>
        <w:proofErr w:type="spellEnd"/>
        <w:r w:rsidRPr="00C63448">
          <w:rPr>
            <w:rStyle w:val="Hyperlink"/>
            <w:rFonts w:ascii="Cambria" w:hAnsi="Cambria" w:cs="Arial"/>
            <w:i/>
            <w:iCs/>
            <w:sz w:val="16"/>
            <w:szCs w:val="16"/>
          </w:rPr>
          <w:t xml:space="preserve"> </w:t>
        </w:r>
        <w:proofErr w:type="spellStart"/>
        <w:r w:rsidRPr="00C63448">
          <w:rPr>
            <w:rStyle w:val="Hyperlink"/>
            <w:rFonts w:ascii="Cambria" w:hAnsi="Cambria" w:cs="Arial"/>
            <w:i/>
            <w:iCs/>
            <w:sz w:val="16"/>
            <w:szCs w:val="16"/>
          </w:rPr>
          <w:t>Gubernativo</w:t>
        </w:r>
        <w:proofErr w:type="spellEnd"/>
        <w:r w:rsidRPr="00C63448">
          <w:rPr>
            <w:rStyle w:val="Hyperlink"/>
            <w:rFonts w:ascii="Cambria" w:hAnsi="Cambria" w:cs="Arial"/>
            <w:i/>
            <w:iCs/>
            <w:sz w:val="16"/>
            <w:szCs w:val="16"/>
          </w:rPr>
          <w:t xml:space="preserve"> No. 100-2020</w:t>
        </w:r>
      </w:hyperlink>
      <w:r w:rsidRPr="00C63448">
        <w:rPr>
          <w:rFonts w:ascii="Cambria" w:hAnsi="Cambria" w:cs="Arial"/>
          <w:color w:val="333333"/>
          <w:sz w:val="16"/>
          <w:szCs w:val="16"/>
        </w:rPr>
        <w:t xml:space="preserve">, </w:t>
      </w:r>
      <w:r w:rsidR="001F28C1" w:rsidRPr="00C63448">
        <w:rPr>
          <w:rFonts w:ascii="Cambria" w:hAnsi="Cambria" w:cs="Arial"/>
          <w:color w:val="333333"/>
          <w:sz w:val="16"/>
          <w:szCs w:val="16"/>
        </w:rPr>
        <w:t>Articles</w:t>
      </w:r>
      <w:r w:rsidRPr="00C63448">
        <w:rPr>
          <w:rFonts w:ascii="Cambria" w:hAnsi="Cambria" w:cs="Arial"/>
          <w:color w:val="333333"/>
          <w:sz w:val="16"/>
          <w:szCs w:val="16"/>
        </w:rPr>
        <w:t xml:space="preserve"> 3 </w:t>
      </w:r>
      <w:r w:rsidR="001F28C1" w:rsidRPr="00C63448">
        <w:rPr>
          <w:rFonts w:ascii="Cambria" w:hAnsi="Cambria" w:cs="Arial"/>
          <w:color w:val="333333"/>
          <w:sz w:val="16"/>
          <w:szCs w:val="16"/>
        </w:rPr>
        <w:t>and</w:t>
      </w:r>
      <w:r w:rsidRPr="00C63448">
        <w:rPr>
          <w:rFonts w:ascii="Cambria" w:hAnsi="Cambria" w:cs="Arial"/>
          <w:color w:val="333333"/>
          <w:sz w:val="16"/>
          <w:szCs w:val="16"/>
        </w:rPr>
        <w:t xml:space="preserve"> 4. </w:t>
      </w:r>
    </w:p>
  </w:footnote>
  <w:footnote w:id="109">
    <w:p w14:paraId="4F5F91E6" w14:textId="671F95E7" w:rsidR="00AC0523" w:rsidRPr="008A7BD7" w:rsidRDefault="00AC0523" w:rsidP="00746761">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F28C1" w:rsidRPr="008A7BD7">
        <w:rPr>
          <w:rFonts w:ascii="Cambria" w:eastAsia="Cambria" w:hAnsi="Cambria" w:cs="Cambria"/>
          <w:sz w:val="16"/>
          <w:szCs w:val="16"/>
        </w:rPr>
        <w:t>IACHR</w:t>
      </w:r>
      <w:r w:rsidR="00CA32B5" w:rsidRPr="008A7BD7">
        <w:rPr>
          <w:rFonts w:ascii="Cambria" w:eastAsia="Cambria" w:hAnsi="Cambria" w:cs="Cambria"/>
          <w:sz w:val="16"/>
          <w:szCs w:val="16"/>
        </w:rPr>
        <w:t xml:space="preserve">, </w:t>
      </w:r>
      <w:hyperlink r:id="rId93" w:history="1">
        <w:r w:rsidR="001F28C1" w:rsidRPr="008A7BD7">
          <w:rPr>
            <w:rStyle w:val="Hyperlink"/>
            <w:rFonts w:ascii="Cambria" w:eastAsia="Cambria" w:hAnsi="Cambria" w:cs="Cambria"/>
            <w:sz w:val="16"/>
            <w:szCs w:val="16"/>
          </w:rPr>
          <w:t>Annual Report 2020, Chapter V, Guatemala</w:t>
        </w:r>
      </w:hyperlink>
      <w:r w:rsidR="00DA1A63" w:rsidRPr="008A7BD7">
        <w:rPr>
          <w:rFonts w:ascii="Cambria" w:eastAsia="Cambria" w:hAnsi="Cambria" w:cs="Cambria"/>
          <w:sz w:val="16"/>
          <w:szCs w:val="16"/>
        </w:rPr>
        <w:t xml:space="preserve">, </w:t>
      </w:r>
      <w:r w:rsidR="004F16E4" w:rsidRPr="008A7BD7">
        <w:rPr>
          <w:rFonts w:ascii="Cambria" w:eastAsia="Cambria" w:hAnsi="Cambria" w:cs="Cambria"/>
          <w:sz w:val="16"/>
          <w:szCs w:val="16"/>
        </w:rPr>
        <w:t xml:space="preserve">Conclusions. </w:t>
      </w:r>
    </w:p>
  </w:footnote>
  <w:footnote w:id="110">
    <w:p w14:paraId="5052A52C" w14:textId="39AD2B33" w:rsidR="00DE6537" w:rsidRPr="008A7BD7" w:rsidRDefault="00DE6537" w:rsidP="00746761">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DA1A63" w:rsidRPr="008A7BD7">
        <w:rPr>
          <w:rFonts w:ascii="Cambria" w:hAnsi="Cambria"/>
          <w:sz w:val="16"/>
          <w:szCs w:val="16"/>
        </w:rPr>
        <w:t>Report of the State of Guatemala on compliance with recommendations</w:t>
      </w:r>
      <w:r w:rsidRPr="008A7BD7">
        <w:rPr>
          <w:rFonts w:ascii="Cambria" w:hAnsi="Cambria"/>
          <w:sz w:val="16"/>
          <w:szCs w:val="16"/>
        </w:rPr>
        <w:t xml:space="preserve">, Ref. NV-OEA-M4-No.803-2020, </w:t>
      </w:r>
      <w:r w:rsidR="00DA1A63" w:rsidRPr="008A7BD7">
        <w:rPr>
          <w:rFonts w:ascii="Cambria" w:hAnsi="Cambria"/>
          <w:sz w:val="16"/>
          <w:szCs w:val="16"/>
        </w:rPr>
        <w:t xml:space="preserve">October </w:t>
      </w:r>
      <w:r w:rsidRPr="008A7BD7">
        <w:rPr>
          <w:rFonts w:ascii="Cambria" w:hAnsi="Cambria"/>
          <w:sz w:val="16"/>
          <w:szCs w:val="16"/>
        </w:rPr>
        <w:t>23</w:t>
      </w:r>
      <w:r w:rsidR="00DA1A63" w:rsidRPr="008A7BD7">
        <w:rPr>
          <w:rFonts w:ascii="Cambria" w:hAnsi="Cambria"/>
          <w:sz w:val="16"/>
          <w:szCs w:val="16"/>
        </w:rPr>
        <w:t xml:space="preserve">, </w:t>
      </w:r>
      <w:r w:rsidRPr="008A7BD7">
        <w:rPr>
          <w:rFonts w:ascii="Cambria" w:hAnsi="Cambria"/>
          <w:sz w:val="16"/>
          <w:szCs w:val="16"/>
        </w:rPr>
        <w:t>2020, p. 2.</w:t>
      </w:r>
    </w:p>
  </w:footnote>
  <w:footnote w:id="111">
    <w:p w14:paraId="0720E303" w14:textId="4C9DCB8B" w:rsidR="00DE6537" w:rsidRPr="008A7BD7" w:rsidRDefault="00DE6537" w:rsidP="00746761">
      <w:pPr>
        <w:pStyle w:val="FootnoteText"/>
        <w:tabs>
          <w:tab w:val="left" w:pos="8505"/>
          <w:tab w:val="left" w:pos="9356"/>
        </w:tabs>
        <w:spacing w:after="120"/>
        <w:ind w:firstLine="720"/>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rPr>
        <w:t xml:space="preserve"> </w:t>
      </w:r>
      <w:r w:rsidR="00E43172" w:rsidRPr="008A7BD7">
        <w:rPr>
          <w:rFonts w:ascii="Cambria" w:hAnsi="Cambria"/>
          <w:sz w:val="16"/>
          <w:szCs w:val="16"/>
        </w:rPr>
        <w:t xml:space="preserve">Observations by the Guatemalan State to the Draft Chapter V Report, Follow-Up of Recommendations Issued by the IACHR in its Country or Thematic Reports, Third Report on Follow-Up on Recommendations Issued by the IACHR in its 2017 report Situation of Human Rights in Guatemala, Ref. </w:t>
      </w:r>
      <w:r w:rsidR="00E43172" w:rsidRPr="008A7BD7">
        <w:rPr>
          <w:rFonts w:ascii="Cambria" w:hAnsi="Cambria"/>
          <w:sz w:val="16"/>
          <w:szCs w:val="16"/>
          <w:lang w:val="es-CO"/>
        </w:rPr>
        <w:t xml:space="preserve">NV-OEA-M4-No.087-2021, </w:t>
      </w:r>
      <w:proofErr w:type="spellStart"/>
      <w:r w:rsidR="00E43172" w:rsidRPr="008A7BD7">
        <w:rPr>
          <w:rFonts w:ascii="Cambria" w:hAnsi="Cambria"/>
          <w:sz w:val="16"/>
          <w:szCs w:val="16"/>
          <w:lang w:val="es-CO"/>
        </w:rPr>
        <w:t>February</w:t>
      </w:r>
      <w:proofErr w:type="spellEnd"/>
      <w:r w:rsidR="00E43172" w:rsidRPr="008A7BD7">
        <w:rPr>
          <w:rFonts w:ascii="Cambria" w:hAnsi="Cambria"/>
          <w:sz w:val="16"/>
          <w:szCs w:val="16"/>
          <w:lang w:val="es-CO"/>
        </w:rPr>
        <w:t xml:space="preserve"> 3, 2021</w:t>
      </w:r>
      <w:r w:rsidRPr="008A7BD7">
        <w:rPr>
          <w:rFonts w:ascii="Cambria" w:hAnsi="Cambria"/>
          <w:sz w:val="16"/>
          <w:szCs w:val="16"/>
          <w:lang w:val="es-US"/>
        </w:rPr>
        <w:t>, p. 2.</w:t>
      </w:r>
    </w:p>
  </w:footnote>
  <w:footnote w:id="112">
    <w:p w14:paraId="206CF6D4" w14:textId="291B25F6" w:rsidR="00AC0523" w:rsidRPr="008A7BD7" w:rsidRDefault="00AC0523"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Prensa Libre</w:t>
      </w:r>
      <w:r w:rsidRPr="008A7BD7">
        <w:rPr>
          <w:rFonts w:ascii="Cambria" w:hAnsi="Cambria"/>
          <w:sz w:val="16"/>
          <w:szCs w:val="16"/>
          <w:lang w:val="es-US"/>
        </w:rPr>
        <w:t xml:space="preserve">, </w:t>
      </w:r>
      <w:hyperlink r:id="rId94" w:history="1">
        <w:r w:rsidRPr="008A7BD7">
          <w:rPr>
            <w:rStyle w:val="Hyperlink"/>
            <w:rFonts w:ascii="Cambria" w:hAnsi="Cambria"/>
            <w:i/>
            <w:iCs/>
            <w:sz w:val="16"/>
            <w:szCs w:val="16"/>
            <w:lang w:val="es-US"/>
          </w:rPr>
          <w:t>Así funciona la Comisión Presidencial por la Paz y los Derechos Humanos</w:t>
        </w:r>
      </w:hyperlink>
      <w:r w:rsidR="006174AB" w:rsidRPr="008A7BD7">
        <w:rPr>
          <w:rStyle w:val="Hyperlink"/>
          <w:rFonts w:ascii="Cambria" w:hAnsi="Cambria"/>
          <w:sz w:val="16"/>
          <w:szCs w:val="16"/>
          <w:lang w:val="es-US"/>
        </w:rPr>
        <w:t>,</w:t>
      </w:r>
      <w:r w:rsidRPr="008A7BD7">
        <w:rPr>
          <w:rFonts w:ascii="Cambria" w:hAnsi="Cambria"/>
          <w:sz w:val="16"/>
          <w:szCs w:val="16"/>
          <w:lang w:val="es-US"/>
        </w:rPr>
        <w:t xml:space="preserve"> </w:t>
      </w:r>
      <w:r w:rsidR="006174AB" w:rsidRPr="008A7BD7">
        <w:rPr>
          <w:rFonts w:ascii="Cambria" w:hAnsi="Cambria"/>
          <w:sz w:val="16"/>
          <w:szCs w:val="16"/>
          <w:lang w:val="es-US"/>
        </w:rPr>
        <w:t xml:space="preserve">April </w:t>
      </w:r>
      <w:r w:rsidRPr="008A7BD7">
        <w:rPr>
          <w:rFonts w:ascii="Cambria" w:hAnsi="Cambria"/>
          <w:sz w:val="16"/>
          <w:szCs w:val="16"/>
          <w:lang w:val="es-US"/>
        </w:rPr>
        <w:t>29</w:t>
      </w:r>
      <w:r w:rsidR="006174AB" w:rsidRPr="008A7BD7">
        <w:rPr>
          <w:rFonts w:ascii="Cambria" w:hAnsi="Cambria"/>
          <w:sz w:val="16"/>
          <w:szCs w:val="16"/>
          <w:lang w:val="es-US"/>
        </w:rPr>
        <w:t xml:space="preserve">, </w:t>
      </w:r>
      <w:r w:rsidRPr="008A7BD7">
        <w:rPr>
          <w:rFonts w:ascii="Cambria" w:hAnsi="Cambria"/>
          <w:sz w:val="16"/>
          <w:szCs w:val="16"/>
          <w:lang w:val="es-US"/>
        </w:rPr>
        <w:t xml:space="preserve">2021; </w:t>
      </w:r>
      <w:r w:rsidRPr="008A7BD7">
        <w:rPr>
          <w:rFonts w:ascii="Cambria" w:hAnsi="Cambria"/>
          <w:i/>
          <w:iCs/>
          <w:sz w:val="16"/>
          <w:szCs w:val="16"/>
          <w:lang w:val="es-US"/>
        </w:rPr>
        <w:t>El Periódico</w:t>
      </w:r>
      <w:r w:rsidRPr="008A7BD7">
        <w:rPr>
          <w:rFonts w:ascii="Cambria" w:hAnsi="Cambria"/>
          <w:sz w:val="16"/>
          <w:szCs w:val="16"/>
          <w:lang w:val="es-US"/>
        </w:rPr>
        <w:t xml:space="preserve">, </w:t>
      </w:r>
      <w:hyperlink r:id="rId95" w:history="1">
        <w:r w:rsidRPr="008A7BD7">
          <w:rPr>
            <w:rStyle w:val="Hyperlink"/>
            <w:rFonts w:ascii="Cambria" w:hAnsi="Cambria"/>
            <w:sz w:val="16"/>
            <w:szCs w:val="16"/>
            <w:lang w:val="es-US"/>
          </w:rPr>
          <w:t>Gobierno paralizó resarcimiento a víctimas del conflicto armado</w:t>
        </w:r>
      </w:hyperlink>
      <w:r w:rsidR="006174AB" w:rsidRPr="008A7BD7">
        <w:rPr>
          <w:rStyle w:val="Hyperlink"/>
          <w:rFonts w:ascii="Cambria" w:hAnsi="Cambria"/>
          <w:sz w:val="16"/>
          <w:szCs w:val="16"/>
          <w:lang w:val="es-US"/>
        </w:rPr>
        <w:t>,</w:t>
      </w:r>
      <w:r w:rsidRPr="008A7BD7">
        <w:rPr>
          <w:rFonts w:ascii="Cambria" w:hAnsi="Cambria"/>
          <w:sz w:val="16"/>
          <w:szCs w:val="16"/>
          <w:lang w:val="es-US"/>
        </w:rPr>
        <w:t xml:space="preserve"> </w:t>
      </w:r>
      <w:r w:rsidR="006174AB" w:rsidRPr="008A7BD7">
        <w:rPr>
          <w:rFonts w:ascii="Cambria" w:hAnsi="Cambria"/>
          <w:sz w:val="16"/>
          <w:szCs w:val="16"/>
          <w:lang w:val="es-US"/>
        </w:rPr>
        <w:t xml:space="preserve">June </w:t>
      </w:r>
      <w:r w:rsidRPr="008A7BD7">
        <w:rPr>
          <w:rFonts w:ascii="Cambria" w:hAnsi="Cambria"/>
          <w:sz w:val="16"/>
          <w:szCs w:val="16"/>
          <w:lang w:val="es-US"/>
        </w:rPr>
        <w:t>19</w:t>
      </w:r>
      <w:r w:rsidR="006174AB" w:rsidRPr="008A7BD7">
        <w:rPr>
          <w:rFonts w:ascii="Cambria" w:hAnsi="Cambria"/>
          <w:sz w:val="16"/>
          <w:szCs w:val="16"/>
          <w:lang w:val="es-US"/>
        </w:rPr>
        <w:t xml:space="preserve">, </w:t>
      </w:r>
      <w:r w:rsidRPr="008A7BD7">
        <w:rPr>
          <w:rFonts w:ascii="Cambria" w:hAnsi="Cambria"/>
          <w:sz w:val="16"/>
          <w:szCs w:val="16"/>
          <w:lang w:val="es-US"/>
        </w:rPr>
        <w:t xml:space="preserve">2021. </w:t>
      </w:r>
    </w:p>
  </w:footnote>
  <w:footnote w:id="113">
    <w:p w14:paraId="6559767C" w14:textId="4D5F5B22" w:rsidR="00FF2619" w:rsidRPr="008A7BD7" w:rsidRDefault="00FF2619" w:rsidP="00FF2619">
      <w:pPr>
        <w:pStyle w:val="FootnoteText"/>
        <w:spacing w:after="120"/>
        <w:ind w:firstLine="720"/>
        <w:jc w:val="both"/>
        <w:rPr>
          <w:rFonts w:ascii="Cambria" w:hAnsi="Cambria"/>
          <w:sz w:val="16"/>
          <w:szCs w:val="16"/>
        </w:rPr>
      </w:pPr>
      <w:r w:rsidRPr="008A7BD7">
        <w:rPr>
          <w:rFonts w:ascii="Cambria" w:hAnsi="Cambria"/>
          <w:sz w:val="16"/>
          <w:szCs w:val="16"/>
          <w:vertAlign w:val="superscript"/>
          <w:lang w:val="es-US"/>
        </w:rPr>
        <w:footnoteRef/>
      </w:r>
      <w:r w:rsidRPr="008A7BD7">
        <w:rPr>
          <w:rFonts w:ascii="Cambria" w:hAnsi="Cambria"/>
          <w:sz w:val="16"/>
          <w:szCs w:val="16"/>
          <w:vertAlign w:val="superscript"/>
        </w:rPr>
        <w:t xml:space="preserve"> </w:t>
      </w:r>
      <w:r w:rsidR="00CC5AB3" w:rsidRPr="008A7BD7">
        <w:rPr>
          <w:rFonts w:ascii="Cambria" w:hAnsi="Cambria"/>
          <w:sz w:val="16"/>
          <w:szCs w:val="16"/>
        </w:rPr>
        <w:t xml:space="preserve">This body </w:t>
      </w:r>
      <w:r w:rsidR="002C46CC" w:rsidRPr="008A7BD7">
        <w:rPr>
          <w:rFonts w:ascii="Cambria" w:hAnsi="Cambria"/>
          <w:sz w:val="16"/>
          <w:szCs w:val="16"/>
        </w:rPr>
        <w:t xml:space="preserve">is </w:t>
      </w:r>
      <w:r w:rsidR="00CC5AB3" w:rsidRPr="008A7BD7">
        <w:rPr>
          <w:rFonts w:ascii="Cambria" w:hAnsi="Cambria"/>
          <w:sz w:val="16"/>
          <w:szCs w:val="16"/>
        </w:rPr>
        <w:t xml:space="preserve">responsible for generating proposals and actions to comply with </w:t>
      </w:r>
      <w:r w:rsidR="002C46CC" w:rsidRPr="008A7BD7">
        <w:rPr>
          <w:rFonts w:ascii="Cambria" w:hAnsi="Cambria"/>
          <w:sz w:val="16"/>
          <w:szCs w:val="16"/>
        </w:rPr>
        <w:t xml:space="preserve">human rights </w:t>
      </w:r>
      <w:r w:rsidR="00CC5AB3" w:rsidRPr="008A7BD7">
        <w:rPr>
          <w:rFonts w:ascii="Cambria" w:hAnsi="Cambria"/>
          <w:sz w:val="16"/>
          <w:szCs w:val="16"/>
        </w:rPr>
        <w:t xml:space="preserve">protection and is the liaison with the </w:t>
      </w:r>
      <w:r w:rsidR="002C46CC" w:rsidRPr="008A7BD7">
        <w:rPr>
          <w:rFonts w:ascii="Cambria" w:hAnsi="Cambria"/>
          <w:sz w:val="16"/>
          <w:szCs w:val="16"/>
        </w:rPr>
        <w:t>Office</w:t>
      </w:r>
      <w:r w:rsidR="00CC5AB3" w:rsidRPr="008A7BD7">
        <w:rPr>
          <w:rFonts w:ascii="Cambria" w:hAnsi="Cambria"/>
          <w:sz w:val="16"/>
          <w:szCs w:val="16"/>
        </w:rPr>
        <w:t xml:space="preserve"> of the Human Rights Ombudsman. It is responsible for carrying out the following functions</w:t>
      </w:r>
      <w:r w:rsidRPr="008A7BD7">
        <w:rPr>
          <w:rFonts w:ascii="Cambria" w:hAnsi="Cambria"/>
          <w:sz w:val="16"/>
          <w:szCs w:val="16"/>
        </w:rPr>
        <w:t xml:space="preserve">: </w:t>
      </w:r>
      <w:r w:rsidR="00C20185" w:rsidRPr="008A7BD7">
        <w:rPr>
          <w:rFonts w:ascii="Cambria" w:hAnsi="Cambria"/>
          <w:sz w:val="16"/>
          <w:szCs w:val="16"/>
        </w:rPr>
        <w:t>p</w:t>
      </w:r>
      <w:r w:rsidR="00CC5AB3" w:rsidRPr="008A7BD7">
        <w:rPr>
          <w:rFonts w:ascii="Cambria" w:hAnsi="Cambria"/>
          <w:sz w:val="16"/>
          <w:szCs w:val="16"/>
        </w:rPr>
        <w:t>lanning, organiz</w:t>
      </w:r>
      <w:r w:rsidR="00192B72" w:rsidRPr="008A7BD7">
        <w:rPr>
          <w:rFonts w:ascii="Cambria" w:hAnsi="Cambria"/>
          <w:sz w:val="16"/>
          <w:szCs w:val="16"/>
        </w:rPr>
        <w:t>ing</w:t>
      </w:r>
      <w:r w:rsidR="00CC5AB3" w:rsidRPr="008A7BD7">
        <w:rPr>
          <w:rFonts w:ascii="Cambria" w:hAnsi="Cambria"/>
          <w:sz w:val="16"/>
          <w:szCs w:val="16"/>
        </w:rPr>
        <w:t>, manag</w:t>
      </w:r>
      <w:r w:rsidR="00192B72" w:rsidRPr="008A7BD7">
        <w:rPr>
          <w:rFonts w:ascii="Cambria" w:hAnsi="Cambria"/>
          <w:sz w:val="16"/>
          <w:szCs w:val="16"/>
        </w:rPr>
        <w:t>ing</w:t>
      </w:r>
      <w:r w:rsidR="00CC5AB3" w:rsidRPr="008A7BD7">
        <w:rPr>
          <w:rFonts w:ascii="Cambria" w:hAnsi="Cambria"/>
          <w:sz w:val="16"/>
          <w:szCs w:val="16"/>
        </w:rPr>
        <w:t>, coordinati</w:t>
      </w:r>
      <w:r w:rsidR="00192B72" w:rsidRPr="008A7BD7">
        <w:rPr>
          <w:rFonts w:ascii="Cambria" w:hAnsi="Cambria"/>
          <w:sz w:val="16"/>
          <w:szCs w:val="16"/>
        </w:rPr>
        <w:t>ng</w:t>
      </w:r>
      <w:r w:rsidR="00CC5AB3" w:rsidRPr="008A7BD7">
        <w:rPr>
          <w:rFonts w:ascii="Cambria" w:hAnsi="Cambria"/>
          <w:sz w:val="16"/>
          <w:szCs w:val="16"/>
        </w:rPr>
        <w:t xml:space="preserve">, and </w:t>
      </w:r>
      <w:r w:rsidR="00192B72" w:rsidRPr="008A7BD7">
        <w:rPr>
          <w:rFonts w:ascii="Cambria" w:hAnsi="Cambria"/>
          <w:sz w:val="16"/>
          <w:szCs w:val="16"/>
        </w:rPr>
        <w:t xml:space="preserve">overseeing </w:t>
      </w:r>
      <w:r w:rsidR="00CC5AB3" w:rsidRPr="008A7BD7">
        <w:rPr>
          <w:rFonts w:ascii="Cambria" w:hAnsi="Cambria"/>
          <w:sz w:val="16"/>
          <w:szCs w:val="16"/>
        </w:rPr>
        <w:t xml:space="preserve">the activities and resources </w:t>
      </w:r>
      <w:r w:rsidR="00192B72" w:rsidRPr="008A7BD7">
        <w:rPr>
          <w:rFonts w:ascii="Cambria" w:hAnsi="Cambria"/>
          <w:sz w:val="16"/>
          <w:szCs w:val="16"/>
        </w:rPr>
        <w:t>needed</w:t>
      </w:r>
      <w:r w:rsidR="00CC5AB3" w:rsidRPr="008A7BD7">
        <w:rPr>
          <w:rFonts w:ascii="Cambria" w:hAnsi="Cambria"/>
          <w:sz w:val="16"/>
          <w:szCs w:val="16"/>
        </w:rPr>
        <w:t xml:space="preserve"> to meet the </w:t>
      </w:r>
      <w:r w:rsidR="00192B72" w:rsidRPr="008A7BD7">
        <w:rPr>
          <w:rFonts w:ascii="Cambria" w:hAnsi="Cambria"/>
          <w:sz w:val="16"/>
          <w:szCs w:val="16"/>
        </w:rPr>
        <w:t xml:space="preserve">directorate’s </w:t>
      </w:r>
      <w:r w:rsidR="00CC5AB3" w:rsidRPr="008A7BD7">
        <w:rPr>
          <w:rFonts w:ascii="Cambria" w:hAnsi="Cambria"/>
          <w:sz w:val="16"/>
          <w:szCs w:val="16"/>
        </w:rPr>
        <w:t>objectives</w:t>
      </w:r>
      <w:r w:rsidRPr="008A7BD7">
        <w:rPr>
          <w:rFonts w:ascii="Cambria" w:hAnsi="Cambria"/>
          <w:sz w:val="16"/>
          <w:szCs w:val="16"/>
        </w:rPr>
        <w:t xml:space="preserve">; </w:t>
      </w:r>
      <w:r w:rsidR="00192B72" w:rsidRPr="008A7BD7">
        <w:rPr>
          <w:rFonts w:ascii="Cambria" w:hAnsi="Cambria"/>
          <w:sz w:val="16"/>
          <w:szCs w:val="16"/>
        </w:rPr>
        <w:t>promoting, within government institutions, guidelines and actions to ensure that public policies include a comprehensive human rights approach</w:t>
      </w:r>
      <w:r w:rsidRPr="008A7BD7">
        <w:rPr>
          <w:rFonts w:ascii="Cambria" w:hAnsi="Cambria"/>
          <w:sz w:val="16"/>
          <w:szCs w:val="16"/>
        </w:rPr>
        <w:t>;</w:t>
      </w:r>
      <w:r w:rsidR="00192B72" w:rsidRPr="008A7BD7">
        <w:rPr>
          <w:rFonts w:ascii="Cambria" w:hAnsi="Cambria"/>
          <w:sz w:val="16"/>
          <w:szCs w:val="16"/>
        </w:rPr>
        <w:t xml:space="preserve"> promoting</w:t>
      </w:r>
      <w:r w:rsidR="0053661A" w:rsidRPr="008A7BD7">
        <w:rPr>
          <w:rFonts w:ascii="Cambria" w:hAnsi="Cambria"/>
          <w:sz w:val="16"/>
          <w:szCs w:val="16"/>
        </w:rPr>
        <w:t xml:space="preserve">, in coordination with the Strategic Communication Unit </w:t>
      </w:r>
      <w:r w:rsidR="000B539E" w:rsidRPr="008A7BD7">
        <w:rPr>
          <w:rFonts w:ascii="Cambria" w:hAnsi="Cambria"/>
          <w:sz w:val="16"/>
          <w:szCs w:val="16"/>
        </w:rPr>
        <w:t xml:space="preserve">and the COPADEH Directorate for Strengthening Peace, </w:t>
      </w:r>
      <w:r w:rsidR="00192B72" w:rsidRPr="008A7BD7">
        <w:rPr>
          <w:rFonts w:ascii="Cambria" w:hAnsi="Cambria"/>
          <w:sz w:val="16"/>
          <w:szCs w:val="16"/>
        </w:rPr>
        <w:t>the implementation of</w:t>
      </w:r>
      <w:r w:rsidR="000B539E" w:rsidRPr="008A7BD7">
        <w:rPr>
          <w:rFonts w:ascii="Cambria" w:hAnsi="Cambria"/>
          <w:sz w:val="16"/>
          <w:szCs w:val="16"/>
        </w:rPr>
        <w:t xml:space="preserve"> actions, campaigns, and training on human rights and citizenship education geared toward society; advising the Executive Directorate on interinstitutional strengthening </w:t>
      </w:r>
      <w:r w:rsidR="002C46CC" w:rsidRPr="008A7BD7">
        <w:rPr>
          <w:rFonts w:ascii="Cambria" w:hAnsi="Cambria"/>
          <w:sz w:val="16"/>
          <w:szCs w:val="16"/>
        </w:rPr>
        <w:t>i</w:t>
      </w:r>
      <w:r w:rsidR="000B539E" w:rsidRPr="008A7BD7">
        <w:rPr>
          <w:rFonts w:ascii="Cambria" w:hAnsi="Cambria"/>
          <w:sz w:val="16"/>
          <w:szCs w:val="16"/>
        </w:rPr>
        <w:t xml:space="preserve">n human rights; monitoring the general and specific human rights situation in the country, with an emphasis on children, disability, women, senior citizens, indigenous peoples, and human rights defenders, among others; and fulfilling any other function that may be needed, </w:t>
      </w:r>
      <w:r w:rsidR="00DF4FA5" w:rsidRPr="008A7BD7">
        <w:rPr>
          <w:rFonts w:ascii="Cambria" w:hAnsi="Cambria"/>
          <w:sz w:val="16"/>
          <w:szCs w:val="16"/>
        </w:rPr>
        <w:t xml:space="preserve">by arrangement of the Executive Directorate. </w:t>
      </w:r>
      <w:r w:rsidR="00E74CCE" w:rsidRPr="008A7BD7">
        <w:rPr>
          <w:rFonts w:ascii="Cambria" w:hAnsi="Cambria"/>
          <w:sz w:val="16"/>
          <w:szCs w:val="16"/>
        </w:rPr>
        <w:t>Response from the State of</w:t>
      </w:r>
      <w:r w:rsidR="00E74CCE"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E74CCE" w:rsidRPr="008A7BD7">
        <w:rPr>
          <w:rFonts w:ascii="Cambria" w:hAnsi="Cambria"/>
          <w:sz w:val="16"/>
          <w:szCs w:val="16"/>
        </w:rPr>
        <w:t>OEA</w:t>
      </w:r>
      <w:r w:rsidR="00E74CCE" w:rsidRPr="008A7BD7">
        <w:rPr>
          <w:rFonts w:ascii="Cambria" w:eastAsia="Cambria" w:hAnsi="Cambria" w:cs="Cambria"/>
          <w:color w:val="000000"/>
          <w:sz w:val="16"/>
          <w:szCs w:val="16"/>
        </w:rPr>
        <w:t xml:space="preserve">-M4-980-2021, December 22, 2021, pp. </w:t>
      </w:r>
      <w:r w:rsidRPr="008A7BD7">
        <w:rPr>
          <w:rFonts w:ascii="Cambria" w:hAnsi="Cambria"/>
          <w:sz w:val="16"/>
          <w:szCs w:val="16"/>
        </w:rPr>
        <w:t xml:space="preserve">23 </w:t>
      </w:r>
      <w:r w:rsidR="00E74CCE" w:rsidRPr="008A7BD7">
        <w:rPr>
          <w:rFonts w:ascii="Cambria" w:hAnsi="Cambria"/>
          <w:sz w:val="16"/>
          <w:szCs w:val="16"/>
        </w:rPr>
        <w:t>and ff</w:t>
      </w:r>
      <w:r w:rsidRPr="008A7BD7">
        <w:rPr>
          <w:rFonts w:ascii="Cambria" w:hAnsi="Cambria"/>
          <w:sz w:val="16"/>
          <w:szCs w:val="16"/>
        </w:rPr>
        <w:t>.</w:t>
      </w:r>
    </w:p>
  </w:footnote>
  <w:footnote w:id="114">
    <w:p w14:paraId="34235BCC" w14:textId="3478DE9C" w:rsidR="00FF2619" w:rsidRPr="008A7BD7" w:rsidRDefault="00FF2619" w:rsidP="00FF2619">
      <w:pPr>
        <w:pStyle w:val="FootnoteText"/>
        <w:spacing w:after="120"/>
        <w:ind w:firstLine="720"/>
        <w:jc w:val="both"/>
        <w:rPr>
          <w:rFonts w:ascii="Cambria" w:hAnsi="Cambria"/>
          <w:sz w:val="16"/>
          <w:szCs w:val="16"/>
        </w:rPr>
      </w:pPr>
      <w:r w:rsidRPr="008A7BD7">
        <w:rPr>
          <w:rFonts w:ascii="Cambria" w:hAnsi="Cambria"/>
          <w:sz w:val="16"/>
          <w:szCs w:val="16"/>
          <w:vertAlign w:val="superscript"/>
          <w:lang w:val="es-US"/>
        </w:rPr>
        <w:footnoteRef/>
      </w:r>
      <w:r w:rsidRPr="008A7BD7">
        <w:rPr>
          <w:rFonts w:ascii="Cambria" w:hAnsi="Cambria"/>
          <w:sz w:val="16"/>
          <w:szCs w:val="16"/>
        </w:rPr>
        <w:t xml:space="preserve"> </w:t>
      </w:r>
      <w:r w:rsidR="00E74CCE" w:rsidRPr="008A7BD7">
        <w:rPr>
          <w:rFonts w:ascii="Cambria" w:hAnsi="Cambria"/>
          <w:sz w:val="16"/>
          <w:szCs w:val="16"/>
        </w:rPr>
        <w:t xml:space="preserve">This body </w:t>
      </w:r>
      <w:r w:rsidR="00986E32" w:rsidRPr="008A7BD7">
        <w:rPr>
          <w:rFonts w:ascii="Cambria" w:hAnsi="Cambria"/>
          <w:sz w:val="16"/>
          <w:szCs w:val="16"/>
        </w:rPr>
        <w:t xml:space="preserve">is </w:t>
      </w:r>
      <w:r w:rsidR="00E74CCE" w:rsidRPr="008A7BD7">
        <w:rPr>
          <w:rFonts w:ascii="Cambria" w:hAnsi="Cambria"/>
          <w:sz w:val="16"/>
          <w:szCs w:val="16"/>
        </w:rPr>
        <w:t xml:space="preserve">responsible for determining and coordinating strategies to facilitate the dialogue process to resolve conflicts at the national level. It is, in turn, made up of the Department </w:t>
      </w:r>
      <w:r w:rsidR="00986E32" w:rsidRPr="008A7BD7">
        <w:rPr>
          <w:rFonts w:ascii="Cambria" w:hAnsi="Cambria"/>
          <w:sz w:val="16"/>
          <w:szCs w:val="16"/>
        </w:rPr>
        <w:t xml:space="preserve">of Negotiators </w:t>
      </w:r>
      <w:r w:rsidR="00E74CCE" w:rsidRPr="008A7BD7">
        <w:rPr>
          <w:rFonts w:ascii="Cambria" w:hAnsi="Cambria"/>
          <w:sz w:val="16"/>
          <w:szCs w:val="16"/>
        </w:rPr>
        <w:t xml:space="preserve">and the Department for </w:t>
      </w:r>
      <w:r w:rsidR="00986E32" w:rsidRPr="008A7BD7">
        <w:rPr>
          <w:rFonts w:ascii="Cambria" w:hAnsi="Cambria"/>
          <w:sz w:val="16"/>
          <w:szCs w:val="16"/>
        </w:rPr>
        <w:t>the Study of</w:t>
      </w:r>
      <w:r w:rsidR="00E74CCE" w:rsidRPr="008A7BD7">
        <w:rPr>
          <w:rFonts w:ascii="Cambria" w:hAnsi="Cambria"/>
          <w:sz w:val="16"/>
          <w:szCs w:val="16"/>
        </w:rPr>
        <w:t xml:space="preserve"> </w:t>
      </w:r>
      <w:r w:rsidR="00986E32" w:rsidRPr="008A7BD7">
        <w:rPr>
          <w:rFonts w:ascii="Cambria" w:hAnsi="Cambria"/>
          <w:sz w:val="16"/>
          <w:szCs w:val="16"/>
        </w:rPr>
        <w:t xml:space="preserve">High-Conflict </w:t>
      </w:r>
      <w:r w:rsidR="00E74CCE" w:rsidRPr="008A7BD7">
        <w:rPr>
          <w:rFonts w:ascii="Cambria" w:hAnsi="Cambria"/>
          <w:sz w:val="16"/>
          <w:szCs w:val="16"/>
        </w:rPr>
        <w:t>Issues and Territories</w:t>
      </w:r>
      <w:r w:rsidRPr="008A7BD7">
        <w:rPr>
          <w:rFonts w:ascii="Cambria" w:hAnsi="Cambria"/>
          <w:sz w:val="16"/>
          <w:szCs w:val="16"/>
        </w:rPr>
        <w:t xml:space="preserve">. </w:t>
      </w:r>
      <w:r w:rsidR="00AA3405" w:rsidRPr="008A7BD7">
        <w:rPr>
          <w:rFonts w:ascii="Cambria" w:hAnsi="Cambria"/>
          <w:sz w:val="16"/>
          <w:szCs w:val="16"/>
        </w:rPr>
        <w:t>Response from the State of</w:t>
      </w:r>
      <w:r w:rsidR="00AA3405"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AA3405" w:rsidRPr="008A7BD7">
        <w:rPr>
          <w:rFonts w:ascii="Cambria" w:hAnsi="Cambria"/>
          <w:sz w:val="16"/>
          <w:szCs w:val="16"/>
        </w:rPr>
        <w:t>OEA</w:t>
      </w:r>
      <w:r w:rsidR="00AA3405" w:rsidRPr="008A7BD7">
        <w:rPr>
          <w:rFonts w:ascii="Cambria" w:eastAsia="Cambria" w:hAnsi="Cambria" w:cs="Cambria"/>
          <w:color w:val="000000"/>
          <w:sz w:val="16"/>
          <w:szCs w:val="16"/>
        </w:rPr>
        <w:t>-M4-980-2021, December 22, 2021, p</w:t>
      </w:r>
      <w:r w:rsidR="00AA3405" w:rsidRPr="008A7BD7">
        <w:rPr>
          <w:rFonts w:ascii="Cambria" w:eastAsia="Times New Roman" w:hAnsi="Cambria" w:cs="Tahoma"/>
          <w:color w:val="000000"/>
          <w:sz w:val="16"/>
          <w:szCs w:val="16"/>
          <w:lang w:eastAsia="es-ES_tradnl"/>
        </w:rPr>
        <w:t>p</w:t>
      </w:r>
      <w:r w:rsidR="00E74CCE" w:rsidRPr="008A7BD7">
        <w:rPr>
          <w:rFonts w:ascii="Cambria" w:eastAsia="Cambria" w:hAnsi="Cambria" w:cs="Cambria"/>
          <w:color w:val="000000"/>
          <w:sz w:val="16"/>
          <w:szCs w:val="16"/>
        </w:rPr>
        <w:t xml:space="preserve">. </w:t>
      </w:r>
      <w:r w:rsidRPr="008A7BD7">
        <w:rPr>
          <w:rFonts w:ascii="Cambria" w:hAnsi="Cambria"/>
          <w:sz w:val="16"/>
          <w:szCs w:val="16"/>
        </w:rPr>
        <w:t>39</w:t>
      </w:r>
      <w:r w:rsidR="00E74CCE" w:rsidRPr="008A7BD7">
        <w:rPr>
          <w:rFonts w:ascii="Cambria" w:hAnsi="Cambria"/>
          <w:sz w:val="16"/>
          <w:szCs w:val="16"/>
        </w:rPr>
        <w:t>-</w:t>
      </w:r>
      <w:r w:rsidRPr="008A7BD7">
        <w:rPr>
          <w:rFonts w:ascii="Cambria" w:hAnsi="Cambria"/>
          <w:sz w:val="16"/>
          <w:szCs w:val="16"/>
        </w:rPr>
        <w:t>45.</w:t>
      </w:r>
    </w:p>
  </w:footnote>
  <w:footnote w:id="115">
    <w:p w14:paraId="4B857867" w14:textId="6DBA7738" w:rsidR="00FF2619" w:rsidRPr="008A7BD7" w:rsidRDefault="00FF2619" w:rsidP="00FF2619">
      <w:pPr>
        <w:pStyle w:val="FootnoteText"/>
        <w:spacing w:after="120"/>
        <w:ind w:firstLine="720"/>
        <w:jc w:val="both"/>
        <w:rPr>
          <w:rFonts w:ascii="Cambria" w:hAnsi="Cambria"/>
          <w:sz w:val="16"/>
          <w:szCs w:val="16"/>
        </w:rPr>
      </w:pPr>
      <w:r w:rsidRPr="008A7BD7">
        <w:rPr>
          <w:rFonts w:ascii="Cambria" w:hAnsi="Cambria"/>
          <w:sz w:val="16"/>
          <w:szCs w:val="16"/>
          <w:vertAlign w:val="superscript"/>
          <w:lang w:val="es-US"/>
        </w:rPr>
        <w:footnoteRef/>
      </w:r>
      <w:r w:rsidRPr="008A7BD7">
        <w:rPr>
          <w:rFonts w:ascii="Cambria" w:hAnsi="Cambria"/>
          <w:sz w:val="16"/>
          <w:szCs w:val="16"/>
        </w:rPr>
        <w:t xml:space="preserve"> </w:t>
      </w:r>
      <w:r w:rsidR="00012D21" w:rsidRPr="008A7BD7">
        <w:rPr>
          <w:rFonts w:ascii="Cambria" w:hAnsi="Cambria"/>
          <w:sz w:val="16"/>
          <w:szCs w:val="16"/>
        </w:rPr>
        <w:t xml:space="preserve">This </w:t>
      </w:r>
      <w:r w:rsidR="00986E32" w:rsidRPr="008A7BD7">
        <w:rPr>
          <w:rFonts w:ascii="Cambria" w:hAnsi="Cambria"/>
          <w:sz w:val="16"/>
          <w:szCs w:val="16"/>
        </w:rPr>
        <w:t xml:space="preserve">body is </w:t>
      </w:r>
      <w:r w:rsidR="00012D21" w:rsidRPr="008A7BD7">
        <w:rPr>
          <w:rFonts w:ascii="Cambria" w:hAnsi="Cambria"/>
          <w:sz w:val="16"/>
          <w:szCs w:val="16"/>
        </w:rPr>
        <w:t xml:space="preserve">responsible for planning, organizing, </w:t>
      </w:r>
      <w:r w:rsidR="00986E32" w:rsidRPr="008A7BD7">
        <w:rPr>
          <w:rFonts w:ascii="Cambria" w:hAnsi="Cambria"/>
          <w:sz w:val="16"/>
          <w:szCs w:val="16"/>
        </w:rPr>
        <w:t>managing</w:t>
      </w:r>
      <w:r w:rsidR="00012D21" w:rsidRPr="008A7BD7">
        <w:rPr>
          <w:rFonts w:ascii="Cambria" w:hAnsi="Cambria"/>
          <w:sz w:val="16"/>
          <w:szCs w:val="16"/>
        </w:rPr>
        <w:t xml:space="preserve">, and overseeing the activities and resources needed to </w:t>
      </w:r>
      <w:r w:rsidR="00F06B27" w:rsidRPr="008A7BD7">
        <w:rPr>
          <w:rFonts w:ascii="Cambria" w:hAnsi="Cambria"/>
          <w:sz w:val="16"/>
          <w:szCs w:val="16"/>
        </w:rPr>
        <w:t>generate proposals and actions to promote a culture of peace and monitor</w:t>
      </w:r>
      <w:r w:rsidR="00986E32" w:rsidRPr="008A7BD7">
        <w:rPr>
          <w:rFonts w:ascii="Cambria" w:hAnsi="Cambria"/>
          <w:sz w:val="16"/>
          <w:szCs w:val="16"/>
        </w:rPr>
        <w:t xml:space="preserve"> </w:t>
      </w:r>
      <w:r w:rsidR="00F06B27" w:rsidRPr="008A7BD7">
        <w:rPr>
          <w:rFonts w:ascii="Cambria" w:hAnsi="Cambria"/>
          <w:sz w:val="16"/>
          <w:szCs w:val="16"/>
        </w:rPr>
        <w:t>compliance with the commit</w:t>
      </w:r>
      <w:r w:rsidR="00321F00" w:rsidRPr="008A7BD7">
        <w:rPr>
          <w:rFonts w:ascii="Cambria" w:hAnsi="Cambria"/>
          <w:sz w:val="16"/>
          <w:szCs w:val="16"/>
        </w:rPr>
        <w:t>ment</w:t>
      </w:r>
      <w:r w:rsidR="00F06B27" w:rsidRPr="008A7BD7">
        <w:rPr>
          <w:rFonts w:ascii="Cambria" w:hAnsi="Cambria"/>
          <w:sz w:val="16"/>
          <w:szCs w:val="16"/>
        </w:rPr>
        <w:t xml:space="preserve">s derived from the Peace Agreements. To carry out its functions, </w:t>
      </w:r>
      <w:r w:rsidRPr="008A7BD7">
        <w:rPr>
          <w:rFonts w:ascii="Cambria" w:hAnsi="Cambria"/>
          <w:sz w:val="16"/>
          <w:szCs w:val="16"/>
        </w:rPr>
        <w:t xml:space="preserve">DIFOPAZ </w:t>
      </w:r>
      <w:r w:rsidR="00F06B27" w:rsidRPr="008A7BD7">
        <w:rPr>
          <w:rFonts w:ascii="Cambria" w:hAnsi="Cambria"/>
          <w:sz w:val="16"/>
          <w:szCs w:val="16"/>
        </w:rPr>
        <w:t>is made up of the following departments</w:t>
      </w:r>
      <w:r w:rsidRPr="008A7BD7">
        <w:rPr>
          <w:rFonts w:ascii="Cambria" w:hAnsi="Cambria"/>
          <w:sz w:val="16"/>
          <w:szCs w:val="16"/>
        </w:rPr>
        <w:t xml:space="preserve">: 1. </w:t>
      </w:r>
      <w:r w:rsidR="00F06B27" w:rsidRPr="008A7BD7">
        <w:rPr>
          <w:rFonts w:ascii="Cambria" w:hAnsi="Cambria"/>
          <w:sz w:val="16"/>
          <w:szCs w:val="16"/>
        </w:rPr>
        <w:t>Department for Monitoring and Strengthening Peace</w:t>
      </w:r>
      <w:r w:rsidRPr="008A7BD7">
        <w:rPr>
          <w:rFonts w:ascii="Cambria" w:hAnsi="Cambria"/>
          <w:sz w:val="16"/>
          <w:szCs w:val="16"/>
        </w:rPr>
        <w:t>;</w:t>
      </w:r>
      <w:r w:rsidR="00F06B27" w:rsidRPr="008A7BD7">
        <w:rPr>
          <w:rFonts w:ascii="Cambria" w:hAnsi="Cambria"/>
          <w:sz w:val="16"/>
          <w:szCs w:val="16"/>
        </w:rPr>
        <w:t xml:space="preserve"> </w:t>
      </w:r>
      <w:r w:rsidRPr="008A7BD7">
        <w:rPr>
          <w:rFonts w:ascii="Cambria" w:hAnsi="Cambria"/>
          <w:sz w:val="16"/>
          <w:szCs w:val="16"/>
        </w:rPr>
        <w:t xml:space="preserve">2. </w:t>
      </w:r>
      <w:r w:rsidR="00F06B27" w:rsidRPr="008A7BD7">
        <w:rPr>
          <w:rFonts w:ascii="Cambria" w:hAnsi="Cambria"/>
          <w:sz w:val="16"/>
          <w:szCs w:val="16"/>
        </w:rPr>
        <w:t>Department for Education and Training in a Culture of Peace</w:t>
      </w:r>
      <w:r w:rsidRPr="008A7BD7">
        <w:rPr>
          <w:rFonts w:ascii="Cambria" w:hAnsi="Cambria"/>
          <w:sz w:val="16"/>
          <w:szCs w:val="16"/>
        </w:rPr>
        <w:t xml:space="preserve">. </w:t>
      </w:r>
      <w:r w:rsidR="00F06B27" w:rsidRPr="008A7BD7">
        <w:rPr>
          <w:rFonts w:ascii="Cambria" w:hAnsi="Cambria"/>
          <w:sz w:val="16"/>
          <w:szCs w:val="16"/>
        </w:rPr>
        <w:t>Response from the State of</w:t>
      </w:r>
      <w:r w:rsidR="00F06B27"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F06B27" w:rsidRPr="008A7BD7">
        <w:rPr>
          <w:rFonts w:ascii="Cambria" w:hAnsi="Cambria"/>
          <w:sz w:val="16"/>
          <w:szCs w:val="16"/>
        </w:rPr>
        <w:t>OEA</w:t>
      </w:r>
      <w:r w:rsidR="00F06B27" w:rsidRPr="008A7BD7">
        <w:rPr>
          <w:rFonts w:ascii="Cambria" w:eastAsia="Cambria" w:hAnsi="Cambria" w:cs="Cambria"/>
          <w:color w:val="000000"/>
          <w:sz w:val="16"/>
          <w:szCs w:val="16"/>
        </w:rPr>
        <w:t>-M4-980-2021, December 22, 2021, p</w:t>
      </w:r>
      <w:r w:rsidRPr="008A7BD7">
        <w:rPr>
          <w:rFonts w:ascii="Cambria" w:hAnsi="Cambria"/>
          <w:sz w:val="16"/>
          <w:szCs w:val="16"/>
        </w:rPr>
        <w:t>. 46.</w:t>
      </w:r>
    </w:p>
  </w:footnote>
  <w:footnote w:id="116">
    <w:p w14:paraId="5A68D258" w14:textId="2B4C5080" w:rsidR="00FF2619" w:rsidRPr="008A7BD7" w:rsidRDefault="00FF2619" w:rsidP="00FF2619">
      <w:pPr>
        <w:pStyle w:val="FootnoteText"/>
        <w:spacing w:after="120"/>
        <w:ind w:firstLine="720"/>
        <w:jc w:val="both"/>
        <w:rPr>
          <w:rFonts w:ascii="Cambria" w:hAnsi="Cambria"/>
          <w:sz w:val="16"/>
          <w:szCs w:val="16"/>
        </w:rPr>
      </w:pPr>
      <w:r w:rsidRPr="008A7BD7">
        <w:rPr>
          <w:rFonts w:ascii="Cambria" w:hAnsi="Cambria"/>
          <w:sz w:val="16"/>
          <w:szCs w:val="16"/>
          <w:vertAlign w:val="superscript"/>
          <w:lang w:val="es-US"/>
        </w:rPr>
        <w:footnoteRef/>
      </w:r>
      <w:r w:rsidRPr="008A7BD7">
        <w:rPr>
          <w:rFonts w:ascii="Cambria" w:hAnsi="Cambria"/>
          <w:sz w:val="16"/>
          <w:szCs w:val="16"/>
        </w:rPr>
        <w:t xml:space="preserve"> </w:t>
      </w:r>
      <w:r w:rsidR="00F06B27" w:rsidRPr="008A7BD7">
        <w:rPr>
          <w:rFonts w:ascii="Cambria" w:hAnsi="Cambria"/>
          <w:sz w:val="16"/>
          <w:szCs w:val="16"/>
        </w:rPr>
        <w:t xml:space="preserve">This </w:t>
      </w:r>
      <w:r w:rsidR="00986E32" w:rsidRPr="008A7BD7">
        <w:rPr>
          <w:rFonts w:ascii="Cambria" w:hAnsi="Cambria"/>
          <w:sz w:val="16"/>
          <w:szCs w:val="16"/>
        </w:rPr>
        <w:t>body is</w:t>
      </w:r>
      <w:r w:rsidR="00F06B27" w:rsidRPr="008A7BD7">
        <w:rPr>
          <w:rFonts w:ascii="Cambria" w:hAnsi="Cambria"/>
          <w:sz w:val="16"/>
          <w:szCs w:val="16"/>
        </w:rPr>
        <w:t xml:space="preserve"> responsible for attending to the </w:t>
      </w:r>
      <w:r w:rsidR="00321F00" w:rsidRPr="008A7BD7">
        <w:rPr>
          <w:rFonts w:ascii="Cambria" w:hAnsi="Cambria"/>
          <w:sz w:val="16"/>
          <w:szCs w:val="16"/>
        </w:rPr>
        <w:t>R</w:t>
      </w:r>
      <w:r w:rsidR="00F06B27" w:rsidRPr="008A7BD7">
        <w:rPr>
          <w:rFonts w:ascii="Cambria" w:hAnsi="Cambria"/>
          <w:sz w:val="16"/>
          <w:szCs w:val="16"/>
        </w:rPr>
        <w:t xml:space="preserve">egional </w:t>
      </w:r>
      <w:r w:rsidR="00321F00" w:rsidRPr="008A7BD7">
        <w:rPr>
          <w:rFonts w:ascii="Cambria" w:hAnsi="Cambria"/>
          <w:sz w:val="16"/>
          <w:szCs w:val="16"/>
        </w:rPr>
        <w:t>O</w:t>
      </w:r>
      <w:r w:rsidR="00F06B27" w:rsidRPr="008A7BD7">
        <w:rPr>
          <w:rFonts w:ascii="Cambria" w:hAnsi="Cambria"/>
          <w:sz w:val="16"/>
          <w:szCs w:val="16"/>
        </w:rPr>
        <w:t xml:space="preserve">ffices throughout the country, using tools and </w:t>
      </w:r>
      <w:r w:rsidR="007B045B" w:rsidRPr="008A7BD7">
        <w:rPr>
          <w:rFonts w:ascii="Cambria" w:hAnsi="Cambria"/>
          <w:sz w:val="16"/>
          <w:szCs w:val="16"/>
        </w:rPr>
        <w:t>guidelines</w:t>
      </w:r>
      <w:r w:rsidR="00F06B27" w:rsidRPr="008A7BD7">
        <w:rPr>
          <w:rFonts w:ascii="Cambria" w:hAnsi="Cambria"/>
          <w:sz w:val="16"/>
          <w:szCs w:val="16"/>
        </w:rPr>
        <w:t xml:space="preserve"> for strategic communication in every territory</w:t>
      </w:r>
      <w:r w:rsidRPr="008A7BD7">
        <w:rPr>
          <w:rFonts w:ascii="Cambria" w:hAnsi="Cambria"/>
          <w:sz w:val="16"/>
          <w:szCs w:val="16"/>
        </w:rPr>
        <w:t xml:space="preserve"> </w:t>
      </w:r>
      <w:r w:rsidR="00F06B27" w:rsidRPr="008A7BD7">
        <w:rPr>
          <w:rFonts w:ascii="Cambria" w:hAnsi="Cambria"/>
          <w:sz w:val="16"/>
          <w:szCs w:val="16"/>
        </w:rPr>
        <w:t xml:space="preserve">on matters related to social conflict, peace, and human rights, with </w:t>
      </w:r>
      <w:r w:rsidR="0021086F" w:rsidRPr="008A7BD7">
        <w:rPr>
          <w:rFonts w:ascii="Cambria" w:hAnsi="Cambria"/>
          <w:sz w:val="16"/>
          <w:szCs w:val="16"/>
        </w:rPr>
        <w:t xml:space="preserve">an institutional focus, coordinating with executive branch agencies at the local level and maintaining relationships with the Department Development Councils. </w:t>
      </w:r>
      <w:r w:rsidR="007411DD" w:rsidRPr="008A7BD7">
        <w:rPr>
          <w:rFonts w:ascii="Cambria" w:hAnsi="Cambria"/>
          <w:sz w:val="16"/>
          <w:szCs w:val="16"/>
        </w:rPr>
        <w:t>Response from the State of</w:t>
      </w:r>
      <w:r w:rsidR="007411DD"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7411DD" w:rsidRPr="008A7BD7">
        <w:rPr>
          <w:rFonts w:ascii="Cambria" w:hAnsi="Cambria"/>
          <w:sz w:val="16"/>
          <w:szCs w:val="16"/>
        </w:rPr>
        <w:t>OEA</w:t>
      </w:r>
      <w:r w:rsidR="007411DD" w:rsidRPr="008A7BD7">
        <w:rPr>
          <w:rFonts w:ascii="Cambria" w:eastAsia="Cambria" w:hAnsi="Cambria" w:cs="Cambria"/>
          <w:color w:val="000000"/>
          <w:sz w:val="16"/>
          <w:szCs w:val="16"/>
        </w:rPr>
        <w:t>-M4-980-2021, December 22, 2021, p</w:t>
      </w:r>
      <w:r w:rsidR="007411DD" w:rsidRPr="008A7BD7">
        <w:rPr>
          <w:rFonts w:ascii="Cambria" w:hAnsi="Cambria"/>
          <w:sz w:val="16"/>
          <w:szCs w:val="16"/>
        </w:rPr>
        <w:t xml:space="preserve">. </w:t>
      </w:r>
      <w:r w:rsidRPr="008A7BD7">
        <w:rPr>
          <w:rFonts w:ascii="Cambria" w:hAnsi="Cambria"/>
          <w:sz w:val="16"/>
          <w:szCs w:val="16"/>
        </w:rPr>
        <w:t>47.</w:t>
      </w:r>
    </w:p>
  </w:footnote>
  <w:footnote w:id="117">
    <w:p w14:paraId="025A6C63" w14:textId="15EED112" w:rsidR="00FF2619" w:rsidRPr="008A7BD7" w:rsidRDefault="00FF2619" w:rsidP="00FF2619">
      <w:pPr>
        <w:pStyle w:val="FootnoteText"/>
        <w:ind w:firstLine="720"/>
        <w:rPr>
          <w:rFonts w:ascii="Cambria" w:hAnsi="Cambria"/>
          <w:sz w:val="16"/>
          <w:szCs w:val="16"/>
        </w:rPr>
      </w:pPr>
      <w:r w:rsidRPr="008A7BD7">
        <w:rPr>
          <w:rStyle w:val="FootnoteReference"/>
        </w:rPr>
        <w:footnoteRef/>
      </w:r>
      <w:r w:rsidRPr="008A7BD7">
        <w:t xml:space="preserve"> </w:t>
      </w:r>
      <w:r w:rsidR="007411DD" w:rsidRPr="008A7BD7">
        <w:rPr>
          <w:rFonts w:ascii="Cambria" w:hAnsi="Cambria"/>
          <w:sz w:val="16"/>
          <w:szCs w:val="16"/>
        </w:rPr>
        <w:t>Response from the State of</w:t>
      </w:r>
      <w:r w:rsidR="007411DD"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7411DD" w:rsidRPr="008A7BD7">
        <w:rPr>
          <w:rFonts w:ascii="Cambria" w:hAnsi="Cambria"/>
          <w:sz w:val="16"/>
          <w:szCs w:val="16"/>
        </w:rPr>
        <w:t>OEA</w:t>
      </w:r>
      <w:r w:rsidR="007411DD" w:rsidRPr="008A7BD7">
        <w:rPr>
          <w:rFonts w:ascii="Cambria" w:eastAsia="Cambria" w:hAnsi="Cambria" w:cs="Cambria"/>
          <w:color w:val="000000"/>
          <w:sz w:val="16"/>
          <w:szCs w:val="16"/>
        </w:rPr>
        <w:t>-M4-980-2021, December 22, 2021</w:t>
      </w:r>
      <w:r w:rsidRPr="008A7BD7">
        <w:rPr>
          <w:rFonts w:ascii="Cambria" w:hAnsi="Cambria"/>
          <w:sz w:val="16"/>
          <w:szCs w:val="16"/>
        </w:rPr>
        <w:t>.</w:t>
      </w:r>
    </w:p>
    <w:p w14:paraId="61FCD373" w14:textId="77777777" w:rsidR="00FF2619" w:rsidRPr="008A7BD7" w:rsidRDefault="00FF2619" w:rsidP="00FF2619">
      <w:pPr>
        <w:pStyle w:val="FootnoteText"/>
        <w:ind w:firstLine="720"/>
      </w:pPr>
    </w:p>
  </w:footnote>
  <w:footnote w:id="118">
    <w:p w14:paraId="3B48D98B" w14:textId="3B858897" w:rsidR="00FF2619" w:rsidRPr="008A7BD7" w:rsidRDefault="00FF2619" w:rsidP="00FF2619">
      <w:pPr>
        <w:pStyle w:val="FootnoteText"/>
        <w:spacing w:after="120"/>
        <w:ind w:firstLine="720"/>
        <w:jc w:val="both"/>
        <w:rPr>
          <w:rFonts w:ascii="Cambria" w:hAnsi="Cambria"/>
          <w:sz w:val="16"/>
          <w:szCs w:val="16"/>
        </w:rPr>
      </w:pPr>
      <w:r w:rsidRPr="008A7BD7">
        <w:rPr>
          <w:rFonts w:ascii="Cambria" w:hAnsi="Cambria"/>
          <w:sz w:val="16"/>
          <w:szCs w:val="16"/>
          <w:lang w:val="es-US"/>
        </w:rPr>
        <w:footnoteRef/>
      </w:r>
      <w:r w:rsidRPr="008A7BD7">
        <w:rPr>
          <w:rFonts w:ascii="Cambria" w:hAnsi="Cambria"/>
          <w:sz w:val="16"/>
          <w:szCs w:val="16"/>
        </w:rPr>
        <w:t xml:space="preserve"> </w:t>
      </w:r>
      <w:r w:rsidR="007411DD" w:rsidRPr="008A7BD7">
        <w:rPr>
          <w:rFonts w:ascii="Cambria" w:hAnsi="Cambria"/>
          <w:sz w:val="16"/>
          <w:szCs w:val="16"/>
        </w:rPr>
        <w:t>Response from the State of</w:t>
      </w:r>
      <w:r w:rsidR="007411DD"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7411DD" w:rsidRPr="008A7BD7">
        <w:rPr>
          <w:rFonts w:ascii="Cambria" w:hAnsi="Cambria"/>
          <w:sz w:val="16"/>
          <w:szCs w:val="16"/>
        </w:rPr>
        <w:t>OEA</w:t>
      </w:r>
      <w:r w:rsidR="007411DD" w:rsidRPr="008A7BD7">
        <w:rPr>
          <w:rFonts w:ascii="Cambria" w:eastAsia="Cambria" w:hAnsi="Cambria" w:cs="Cambria"/>
          <w:color w:val="000000"/>
          <w:sz w:val="16"/>
          <w:szCs w:val="16"/>
        </w:rPr>
        <w:t>-M4-980-2021, December 22, 2021, p</w:t>
      </w:r>
      <w:r w:rsidR="007411DD" w:rsidRPr="008A7BD7">
        <w:rPr>
          <w:rFonts w:ascii="Cambria" w:hAnsi="Cambria"/>
          <w:sz w:val="16"/>
          <w:szCs w:val="16"/>
        </w:rPr>
        <w:t>p</w:t>
      </w:r>
      <w:r w:rsidRPr="008A7BD7">
        <w:rPr>
          <w:rFonts w:ascii="Cambria" w:hAnsi="Cambria"/>
          <w:sz w:val="16"/>
          <w:szCs w:val="16"/>
        </w:rPr>
        <w:t xml:space="preserve">. 25 </w:t>
      </w:r>
      <w:r w:rsidR="007411DD" w:rsidRPr="008A7BD7">
        <w:rPr>
          <w:rFonts w:ascii="Cambria" w:hAnsi="Cambria"/>
          <w:sz w:val="16"/>
          <w:szCs w:val="16"/>
        </w:rPr>
        <w:t>and ff</w:t>
      </w:r>
      <w:r w:rsidRPr="008A7BD7">
        <w:rPr>
          <w:rFonts w:ascii="Cambria" w:hAnsi="Cambria"/>
          <w:sz w:val="16"/>
          <w:szCs w:val="16"/>
        </w:rPr>
        <w:t>.</w:t>
      </w:r>
    </w:p>
  </w:footnote>
  <w:footnote w:id="119">
    <w:p w14:paraId="0F45E76E" w14:textId="4509D7CD" w:rsidR="00AC0523" w:rsidRPr="008A7BD7" w:rsidRDefault="00AC0523" w:rsidP="00746761">
      <w:pPr>
        <w:pStyle w:val="FootnoteText"/>
        <w:spacing w:after="120"/>
        <w:ind w:firstLine="720"/>
        <w:jc w:val="both"/>
        <w:rPr>
          <w:rFonts w:ascii="Cambria" w:hAnsi="Cambria"/>
          <w:sz w:val="16"/>
          <w:szCs w:val="16"/>
          <w:lang w:val="es-US"/>
        </w:rPr>
      </w:pPr>
      <w:r w:rsidRPr="008A7BD7">
        <w:rPr>
          <w:rStyle w:val="FootnoteReference"/>
          <w:rFonts w:ascii="Cambria" w:hAnsi="Cambria"/>
          <w:color w:val="000000"/>
          <w:sz w:val="16"/>
          <w:szCs w:val="16"/>
        </w:rPr>
        <w:footnoteRef/>
      </w:r>
      <w:r w:rsidRPr="008A7BD7">
        <w:rPr>
          <w:rFonts w:ascii="Cambria" w:hAnsi="Cambria"/>
          <w:color w:val="000000"/>
          <w:sz w:val="16"/>
          <w:szCs w:val="16"/>
        </w:rPr>
        <w:t xml:space="preserve"> </w:t>
      </w:r>
      <w:r w:rsidR="006174AB" w:rsidRPr="008A7BD7">
        <w:rPr>
          <w:rFonts w:ascii="Cambria" w:hAnsi="Cambria" w:cs="Noto Serif"/>
          <w:color w:val="000000"/>
          <w:sz w:val="16"/>
          <w:szCs w:val="16"/>
        </w:rPr>
        <w:t xml:space="preserve">FODES is one of the three executing units of MIDES. </w:t>
      </w:r>
      <w:r w:rsidRPr="008A7BD7">
        <w:rPr>
          <w:rFonts w:ascii="Cambria" w:hAnsi="Cambria" w:cs="Noto Serif"/>
          <w:color w:val="000000"/>
          <w:sz w:val="16"/>
          <w:szCs w:val="16"/>
        </w:rPr>
        <w:t xml:space="preserve">MIDES </w:t>
      </w:r>
      <w:r w:rsidR="009764EF" w:rsidRPr="008A7BD7">
        <w:rPr>
          <w:rFonts w:ascii="Cambria" w:hAnsi="Cambria" w:cs="Noto Serif"/>
          <w:color w:val="000000"/>
          <w:sz w:val="16"/>
          <w:szCs w:val="16"/>
        </w:rPr>
        <w:t xml:space="preserve">and FODES were given the responsibility for all the projects of the defunct National Fund for Peace </w:t>
      </w:r>
      <w:r w:rsidRPr="008A7BD7">
        <w:rPr>
          <w:rFonts w:ascii="Cambria" w:hAnsi="Cambria" w:cs="Noto Serif"/>
          <w:color w:val="000000"/>
          <w:sz w:val="16"/>
          <w:szCs w:val="16"/>
        </w:rPr>
        <w:t>(</w:t>
      </w:r>
      <w:r w:rsidR="009764EF" w:rsidRPr="008A7BD7">
        <w:rPr>
          <w:rFonts w:ascii="Cambria" w:hAnsi="Cambria" w:cs="Noto Serif"/>
          <w:color w:val="000000"/>
          <w:sz w:val="16"/>
          <w:szCs w:val="16"/>
        </w:rPr>
        <w:t>FONAPAZ</w:t>
      </w:r>
      <w:r w:rsidRPr="008A7BD7">
        <w:rPr>
          <w:rFonts w:ascii="Cambria" w:hAnsi="Cambria" w:cs="Noto Serif"/>
          <w:color w:val="000000"/>
          <w:sz w:val="16"/>
          <w:szCs w:val="16"/>
        </w:rPr>
        <w:t>)</w:t>
      </w:r>
      <w:r w:rsidR="009764EF" w:rsidRPr="008A7BD7">
        <w:rPr>
          <w:rFonts w:ascii="Cambria" w:hAnsi="Cambria" w:cs="Noto Serif"/>
          <w:color w:val="000000"/>
          <w:sz w:val="16"/>
          <w:szCs w:val="16"/>
        </w:rPr>
        <w:t>, closed in</w:t>
      </w:r>
      <w:r w:rsidRPr="008A7BD7">
        <w:rPr>
          <w:rFonts w:ascii="Cambria" w:hAnsi="Cambria" w:cs="Noto Serif"/>
          <w:color w:val="000000"/>
          <w:sz w:val="16"/>
          <w:szCs w:val="16"/>
        </w:rPr>
        <w:t xml:space="preserve"> 2020.</w:t>
      </w:r>
      <w:r w:rsidRPr="008A7BD7">
        <w:rPr>
          <w:rFonts w:ascii="Cambria" w:hAnsi="Cambria"/>
          <w:color w:val="000000"/>
          <w:sz w:val="16"/>
          <w:szCs w:val="16"/>
        </w:rPr>
        <w:t xml:space="preserve"> </w:t>
      </w:r>
      <w:r w:rsidRPr="008A7BD7">
        <w:rPr>
          <w:rFonts w:ascii="Cambria" w:hAnsi="Cambria"/>
          <w:i/>
          <w:iCs/>
          <w:color w:val="000000"/>
          <w:sz w:val="16"/>
          <w:szCs w:val="16"/>
          <w:lang w:val="es-US"/>
        </w:rPr>
        <w:t>El Periódico</w:t>
      </w:r>
      <w:r w:rsidRPr="008A7BD7">
        <w:rPr>
          <w:rFonts w:ascii="Cambria" w:hAnsi="Cambria"/>
          <w:sz w:val="16"/>
          <w:szCs w:val="16"/>
          <w:lang w:val="es-US"/>
        </w:rPr>
        <w:t xml:space="preserve">, </w:t>
      </w:r>
      <w:hyperlink r:id="rId96" w:history="1">
        <w:r w:rsidRPr="008A7BD7">
          <w:rPr>
            <w:rStyle w:val="Hyperlink"/>
            <w:rFonts w:ascii="Cambria" w:hAnsi="Cambria"/>
            <w:i/>
            <w:iCs/>
            <w:sz w:val="16"/>
            <w:szCs w:val="16"/>
            <w:lang w:val="es-US"/>
          </w:rPr>
          <w:t>Gobierno paralizó resarcimiento a víctimas del conflicto armado</w:t>
        </w:r>
      </w:hyperlink>
      <w:r w:rsidR="009764EF" w:rsidRPr="008A7BD7">
        <w:rPr>
          <w:rStyle w:val="Hyperlink"/>
          <w:rFonts w:ascii="Cambria" w:hAnsi="Cambria"/>
          <w:sz w:val="16"/>
          <w:szCs w:val="16"/>
          <w:lang w:val="es-US"/>
        </w:rPr>
        <w:t>,</w:t>
      </w:r>
      <w:r w:rsidR="009764EF" w:rsidRPr="008A7BD7">
        <w:rPr>
          <w:rFonts w:ascii="Cambria" w:hAnsi="Cambria"/>
          <w:sz w:val="16"/>
          <w:szCs w:val="16"/>
          <w:lang w:val="es-US"/>
        </w:rPr>
        <w:t xml:space="preserve"> June </w:t>
      </w:r>
      <w:r w:rsidRPr="008A7BD7">
        <w:rPr>
          <w:rFonts w:ascii="Cambria" w:hAnsi="Cambria"/>
          <w:sz w:val="16"/>
          <w:szCs w:val="16"/>
          <w:lang w:val="es-US"/>
        </w:rPr>
        <w:t>19</w:t>
      </w:r>
      <w:r w:rsidR="009764EF" w:rsidRPr="008A7BD7">
        <w:rPr>
          <w:rFonts w:ascii="Cambria" w:hAnsi="Cambria"/>
          <w:sz w:val="16"/>
          <w:szCs w:val="16"/>
          <w:lang w:val="es-US"/>
        </w:rPr>
        <w:t xml:space="preserve">, </w:t>
      </w:r>
      <w:r w:rsidRPr="008A7BD7">
        <w:rPr>
          <w:rFonts w:ascii="Cambria" w:hAnsi="Cambria"/>
          <w:sz w:val="16"/>
          <w:szCs w:val="16"/>
          <w:lang w:val="es-US"/>
        </w:rPr>
        <w:t xml:space="preserve">2021. </w:t>
      </w:r>
    </w:p>
  </w:footnote>
  <w:footnote w:id="120">
    <w:p w14:paraId="74B4BFFD" w14:textId="1574B98B" w:rsidR="009C4A37" w:rsidRPr="008A7BD7" w:rsidRDefault="009C4A37" w:rsidP="00746761">
      <w:pPr>
        <w:spacing w:after="120"/>
        <w:ind w:firstLine="720"/>
        <w:jc w:val="both"/>
        <w:rPr>
          <w:rFonts w:ascii="Cambria" w:eastAsia="Cambria" w:hAnsi="Cambria" w:cstheme="majorHAnsi"/>
          <w:sz w:val="16"/>
          <w:szCs w:val="16"/>
          <w:lang w:val="es-419"/>
        </w:rPr>
      </w:pPr>
      <w:r w:rsidRPr="008A7BD7">
        <w:rPr>
          <w:rFonts w:ascii="Cambria" w:hAnsi="Cambria"/>
          <w:sz w:val="16"/>
          <w:szCs w:val="16"/>
          <w:vertAlign w:val="superscript"/>
        </w:rPr>
        <w:footnoteRef/>
      </w:r>
      <w:r w:rsidRPr="008A7BD7">
        <w:rPr>
          <w:rFonts w:ascii="Cambria" w:eastAsia="Cambria" w:hAnsi="Cambria" w:cs="Cambria"/>
          <w:sz w:val="16"/>
          <w:szCs w:val="16"/>
          <w:lang w:val="es-US"/>
        </w:rPr>
        <w:t xml:space="preserve"> IFJ</w:t>
      </w:r>
      <w:r w:rsidR="0072069D" w:rsidRPr="008A7BD7">
        <w:rPr>
          <w:rFonts w:ascii="Cambria" w:eastAsia="Cambria" w:hAnsi="Cambria" w:cs="Cambria"/>
          <w:sz w:val="16"/>
          <w:szCs w:val="16"/>
          <w:lang w:val="es-US"/>
        </w:rPr>
        <w:t xml:space="preserve">, </w:t>
      </w:r>
      <w:proofErr w:type="spellStart"/>
      <w:r w:rsidR="0072069D" w:rsidRPr="008A7BD7">
        <w:rPr>
          <w:rFonts w:ascii="Cambria" w:eastAsia="Cambria" w:hAnsi="Cambria" w:cs="Cambria"/>
          <w:sz w:val="16"/>
          <w:szCs w:val="16"/>
          <w:lang w:val="es-US"/>
        </w:rPr>
        <w:t>July</w:t>
      </w:r>
      <w:proofErr w:type="spellEnd"/>
      <w:r w:rsidRPr="008A7BD7">
        <w:rPr>
          <w:rFonts w:ascii="Cambria" w:eastAsia="Cambria" w:hAnsi="Cambria" w:cs="Cambria"/>
          <w:sz w:val="16"/>
          <w:szCs w:val="16"/>
          <w:lang w:val="es-US"/>
        </w:rPr>
        <w:t xml:space="preserve"> 12</w:t>
      </w:r>
      <w:r w:rsidR="0072069D" w:rsidRPr="008A7BD7">
        <w:rPr>
          <w:rFonts w:ascii="Cambria" w:eastAsia="Cambria" w:hAnsi="Cambria" w:cs="Cambria"/>
          <w:sz w:val="16"/>
          <w:szCs w:val="16"/>
          <w:lang w:val="es-US"/>
        </w:rPr>
        <w:t>,</w:t>
      </w:r>
      <w:r w:rsidRPr="008A7BD7">
        <w:rPr>
          <w:rFonts w:ascii="Cambria" w:eastAsia="Cambria" w:hAnsi="Cambria" w:cs="Cambria"/>
          <w:sz w:val="16"/>
          <w:szCs w:val="16"/>
          <w:lang w:val="es-US"/>
        </w:rPr>
        <w:t xml:space="preserve"> 2021</w:t>
      </w:r>
      <w:r w:rsidR="0072069D" w:rsidRPr="008A7BD7">
        <w:rPr>
          <w:rFonts w:ascii="Cambria" w:eastAsia="Cambria" w:hAnsi="Cambria" w:cs="Cambria"/>
          <w:sz w:val="16"/>
          <w:szCs w:val="16"/>
          <w:lang w:val="es-US"/>
        </w:rPr>
        <w:t>,</w:t>
      </w:r>
      <w:r w:rsidRPr="008A7BD7">
        <w:rPr>
          <w:rFonts w:ascii="Cambria" w:eastAsia="Cambria" w:hAnsi="Cambria" w:cs="Cambria"/>
          <w:sz w:val="16"/>
          <w:szCs w:val="16"/>
          <w:lang w:val="es-US"/>
        </w:rPr>
        <w:t xml:space="preserve"> </w:t>
      </w:r>
      <w:hyperlink r:id="rId97">
        <w:r w:rsidRPr="008A7BD7">
          <w:rPr>
            <w:rFonts w:ascii="Cambria" w:eastAsia="Cambria" w:hAnsi="Cambria" w:cstheme="majorHAnsi"/>
            <w:i/>
            <w:color w:val="1155CC"/>
            <w:sz w:val="16"/>
            <w:szCs w:val="16"/>
            <w:u w:val="single"/>
            <w:lang w:val="es-419"/>
          </w:rPr>
          <w:t xml:space="preserve">Guatemala: asesinaron al activista y periodista independiente Frank </w:t>
        </w:r>
        <w:proofErr w:type="spellStart"/>
        <w:r w:rsidRPr="008A7BD7">
          <w:rPr>
            <w:rFonts w:ascii="Cambria" w:eastAsia="Cambria" w:hAnsi="Cambria" w:cstheme="majorHAnsi"/>
            <w:i/>
            <w:color w:val="1155CC"/>
            <w:sz w:val="16"/>
            <w:szCs w:val="16"/>
            <w:u w:val="single"/>
            <w:lang w:val="es-419"/>
          </w:rPr>
          <w:t>Stalyn</w:t>
        </w:r>
        <w:proofErr w:type="spellEnd"/>
        <w:r w:rsidRPr="008A7BD7">
          <w:rPr>
            <w:rFonts w:ascii="Cambria" w:eastAsia="Cambria" w:hAnsi="Cambria" w:cstheme="majorHAnsi"/>
            <w:i/>
            <w:color w:val="1155CC"/>
            <w:sz w:val="16"/>
            <w:szCs w:val="16"/>
            <w:u w:val="single"/>
            <w:lang w:val="es-419"/>
          </w:rPr>
          <w:t xml:space="preserve"> </w:t>
        </w:r>
        <w:r w:rsidRPr="008A7BD7">
          <w:rPr>
            <w:rStyle w:val="Hyperlink"/>
            <w:rFonts w:ascii="Cambria" w:eastAsia="Cambria" w:hAnsi="Cambria"/>
            <w:sz w:val="16"/>
            <w:szCs w:val="16"/>
            <w:lang w:val="es-419"/>
          </w:rPr>
          <w:t>Ramazzini</w:t>
        </w:r>
      </w:hyperlink>
      <w:r w:rsidR="0072069D" w:rsidRPr="008A7BD7">
        <w:rPr>
          <w:rStyle w:val="Hyperlink"/>
          <w:rFonts w:ascii="Cambria" w:eastAsia="Cambria" w:hAnsi="Cambria"/>
          <w:sz w:val="16"/>
          <w:szCs w:val="16"/>
          <w:lang w:val="es-419"/>
        </w:rPr>
        <w:t>;</w:t>
      </w:r>
      <w:r w:rsidR="0072069D" w:rsidRPr="008A7BD7">
        <w:rPr>
          <w:rFonts w:ascii="Cambria" w:eastAsia="Cambria" w:hAnsi="Cambria" w:cstheme="majorHAnsi"/>
          <w:i/>
          <w:color w:val="313131"/>
          <w:sz w:val="16"/>
          <w:szCs w:val="16"/>
          <w:lang w:val="es-419"/>
        </w:rPr>
        <w:t xml:space="preserve"> </w:t>
      </w:r>
      <w:r w:rsidRPr="008A7BD7">
        <w:rPr>
          <w:rFonts w:ascii="Cambria" w:eastAsia="Cambria" w:hAnsi="Cambria" w:cstheme="majorHAnsi"/>
          <w:i/>
          <w:iCs/>
          <w:sz w:val="16"/>
          <w:szCs w:val="16"/>
          <w:lang w:val="es-419"/>
        </w:rPr>
        <w:t>Prensa Libre</w:t>
      </w:r>
      <w:r w:rsidR="0072069D" w:rsidRPr="008A7BD7">
        <w:rPr>
          <w:rFonts w:ascii="Cambria" w:eastAsia="Cambria" w:hAnsi="Cambria" w:cstheme="majorHAnsi"/>
          <w:sz w:val="16"/>
          <w:szCs w:val="16"/>
          <w:lang w:val="es-419"/>
        </w:rPr>
        <w:t>, June</w:t>
      </w:r>
      <w:r w:rsidRPr="008A7BD7">
        <w:rPr>
          <w:rFonts w:ascii="Cambria" w:eastAsia="Cambria" w:hAnsi="Cambria" w:cstheme="majorHAnsi"/>
          <w:sz w:val="16"/>
          <w:szCs w:val="16"/>
          <w:lang w:val="es-419"/>
        </w:rPr>
        <w:t xml:space="preserve"> 9</w:t>
      </w:r>
      <w:r w:rsidR="0072069D"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72069D" w:rsidRPr="008A7BD7">
        <w:rPr>
          <w:rFonts w:ascii="Cambria" w:eastAsia="Cambria" w:hAnsi="Cambria" w:cstheme="majorHAnsi"/>
          <w:color w:val="313131"/>
          <w:sz w:val="16"/>
          <w:szCs w:val="16"/>
          <w:lang w:val="es-419"/>
        </w:rPr>
        <w:t>,</w:t>
      </w:r>
      <w:r w:rsidRPr="008A7BD7">
        <w:rPr>
          <w:rFonts w:ascii="Cambria" w:eastAsia="Cambria" w:hAnsi="Cambria" w:cstheme="majorHAnsi"/>
          <w:color w:val="313131"/>
          <w:sz w:val="16"/>
          <w:szCs w:val="16"/>
          <w:lang w:val="es-419"/>
        </w:rPr>
        <w:t xml:space="preserve"> </w:t>
      </w:r>
      <w:hyperlink r:id="rId98">
        <w:r w:rsidRPr="008A7BD7">
          <w:rPr>
            <w:rFonts w:ascii="Cambria" w:eastAsia="Cambria" w:hAnsi="Cambria" w:cstheme="majorHAnsi"/>
            <w:i/>
            <w:color w:val="1155CC"/>
            <w:sz w:val="16"/>
            <w:szCs w:val="16"/>
            <w:u w:val="single"/>
            <w:lang w:val="es-419"/>
          </w:rPr>
          <w:t>Ataque armado deja cuatro muertos y dos heridos en una discoteca de la zona 6 capitalina</w:t>
        </w:r>
      </w:hyperlink>
      <w:r w:rsidR="0072069D" w:rsidRPr="008A7BD7">
        <w:rPr>
          <w:rFonts w:ascii="Cambria" w:eastAsia="Cambria" w:hAnsi="Cambria" w:cstheme="majorHAnsi"/>
          <w:i/>
          <w:color w:val="1155CC"/>
          <w:sz w:val="16"/>
          <w:szCs w:val="16"/>
          <w:u w:val="single"/>
          <w:lang w:val="es-419"/>
        </w:rPr>
        <w:t>.</w:t>
      </w:r>
    </w:p>
  </w:footnote>
  <w:footnote w:id="121">
    <w:p w14:paraId="553645C5" w14:textId="40137224" w:rsidR="009C4A37" w:rsidRPr="008A7BD7" w:rsidRDefault="009C4A37" w:rsidP="00746761">
      <w:pPr>
        <w:spacing w:after="120"/>
        <w:ind w:firstLine="720"/>
        <w:jc w:val="both"/>
        <w:rPr>
          <w:rFonts w:ascii="Cambria" w:hAnsi="Cambria" w:cstheme="majorHAnsi"/>
          <w: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CO"/>
        </w:rPr>
        <w:t xml:space="preserve"> </w:t>
      </w:r>
      <w:proofErr w:type="spellStart"/>
      <w:r w:rsidR="0072069D" w:rsidRPr="008A7BD7">
        <w:rPr>
          <w:rFonts w:ascii="Cambria" w:hAnsi="Cambria" w:cstheme="majorHAnsi"/>
          <w:sz w:val="16"/>
          <w:szCs w:val="16"/>
          <w:lang w:val="es-CO"/>
        </w:rPr>
        <w:t>Public</w:t>
      </w:r>
      <w:proofErr w:type="spellEnd"/>
      <w:r w:rsidR="0072069D" w:rsidRPr="008A7BD7">
        <w:rPr>
          <w:rFonts w:ascii="Cambria" w:hAnsi="Cambria" w:cstheme="majorHAnsi"/>
          <w:sz w:val="16"/>
          <w:szCs w:val="16"/>
          <w:lang w:val="es-CO"/>
        </w:rPr>
        <w:t xml:space="preserve"> </w:t>
      </w:r>
      <w:proofErr w:type="spellStart"/>
      <w:r w:rsidR="0072069D" w:rsidRPr="008A7BD7">
        <w:rPr>
          <w:rFonts w:ascii="Cambria" w:hAnsi="Cambria" w:cstheme="majorHAnsi"/>
          <w:sz w:val="16"/>
          <w:szCs w:val="16"/>
          <w:lang w:val="es-CO"/>
        </w:rPr>
        <w:t>Prosecutor’s</w:t>
      </w:r>
      <w:proofErr w:type="spellEnd"/>
      <w:r w:rsidR="0072069D" w:rsidRPr="008A7BD7">
        <w:rPr>
          <w:rFonts w:ascii="Cambria" w:hAnsi="Cambria" w:cstheme="majorHAnsi"/>
          <w:sz w:val="16"/>
          <w:szCs w:val="16"/>
          <w:lang w:val="es-CO"/>
        </w:rPr>
        <w:t xml:space="preserve"> Office</w:t>
      </w:r>
      <w:r w:rsidR="0072069D" w:rsidRPr="008A7BD7">
        <w:rPr>
          <w:rFonts w:ascii="Cambria" w:eastAsia="Cambria" w:hAnsi="Cambria" w:cstheme="majorHAnsi"/>
          <w:sz w:val="16"/>
          <w:szCs w:val="16"/>
          <w:lang w:val="es-CO"/>
        </w:rPr>
        <w:t xml:space="preserve"> of </w:t>
      </w:r>
      <w:r w:rsidRPr="008A7BD7">
        <w:rPr>
          <w:rFonts w:ascii="Cambria" w:eastAsia="Cambria" w:hAnsi="Cambria" w:cstheme="majorHAnsi"/>
          <w:sz w:val="16"/>
          <w:szCs w:val="16"/>
          <w:lang w:val="es-CO"/>
        </w:rPr>
        <w:t>Guatemala</w:t>
      </w:r>
      <w:r w:rsidR="0072069D" w:rsidRPr="008A7BD7">
        <w:rPr>
          <w:rFonts w:ascii="Cambria" w:eastAsia="Cambria" w:hAnsi="Cambria" w:cstheme="majorHAnsi"/>
          <w:sz w:val="16"/>
          <w:szCs w:val="16"/>
          <w:lang w:val="es-CO"/>
        </w:rPr>
        <w:t>, June</w:t>
      </w:r>
      <w:r w:rsidRPr="008A7BD7">
        <w:rPr>
          <w:rFonts w:ascii="Cambria" w:eastAsia="Cambria" w:hAnsi="Cambria" w:cstheme="majorHAnsi"/>
          <w:sz w:val="16"/>
          <w:szCs w:val="16"/>
          <w:lang w:val="es-CO"/>
        </w:rPr>
        <w:t xml:space="preserve"> 10</w:t>
      </w:r>
      <w:r w:rsidR="0072069D" w:rsidRPr="008A7BD7">
        <w:rPr>
          <w:rFonts w:ascii="Cambria" w:eastAsia="Cambria" w:hAnsi="Cambria" w:cstheme="majorHAnsi"/>
          <w:sz w:val="16"/>
          <w:szCs w:val="16"/>
          <w:lang w:val="es-CO"/>
        </w:rPr>
        <w:t xml:space="preserve">, </w:t>
      </w:r>
      <w:r w:rsidRPr="008A7BD7">
        <w:rPr>
          <w:rFonts w:ascii="Cambria" w:eastAsia="Cambria" w:hAnsi="Cambria" w:cstheme="majorHAnsi"/>
          <w:sz w:val="16"/>
          <w:szCs w:val="16"/>
          <w:lang w:val="es-CO"/>
        </w:rPr>
        <w:t>2021</w:t>
      </w:r>
      <w:r w:rsidR="0072069D" w:rsidRPr="008A7BD7">
        <w:rPr>
          <w:rFonts w:ascii="Cambria" w:eastAsia="Cambria" w:hAnsi="Cambria" w:cstheme="majorHAnsi"/>
          <w:sz w:val="16"/>
          <w:szCs w:val="16"/>
          <w:lang w:val="es-CO"/>
        </w:rPr>
        <w:t>,</w:t>
      </w:r>
      <w:r w:rsidRPr="008A7BD7">
        <w:rPr>
          <w:rFonts w:ascii="Cambria" w:eastAsia="Cambria" w:hAnsi="Cambria" w:cstheme="majorHAnsi"/>
          <w:sz w:val="16"/>
          <w:szCs w:val="16"/>
          <w:lang w:val="es-CO"/>
        </w:rPr>
        <w:t xml:space="preserve"> </w:t>
      </w:r>
      <w:hyperlink r:id="rId99">
        <w:r w:rsidRPr="008A7BD7">
          <w:rPr>
            <w:rFonts w:ascii="Cambria" w:eastAsia="Cambria" w:hAnsi="Cambria" w:cstheme="majorHAnsi"/>
            <w:i/>
            <w:color w:val="1155CC"/>
            <w:sz w:val="16"/>
            <w:szCs w:val="16"/>
            <w:u w:val="single"/>
            <w:lang w:val="es-419"/>
          </w:rPr>
          <w:t xml:space="preserve">La Fiscalía de Delitos contra la Vida y la Integridad de las Personas procesó escena en la cual perdió la vida Frank </w:t>
        </w:r>
        <w:proofErr w:type="spellStart"/>
        <w:r w:rsidRPr="008A7BD7">
          <w:rPr>
            <w:rFonts w:ascii="Cambria" w:eastAsia="Cambria" w:hAnsi="Cambria" w:cstheme="majorHAnsi"/>
            <w:i/>
            <w:color w:val="1155CC"/>
            <w:sz w:val="16"/>
            <w:szCs w:val="16"/>
            <w:u w:val="single"/>
            <w:lang w:val="es-419"/>
          </w:rPr>
          <w:t>Stalyn</w:t>
        </w:r>
        <w:proofErr w:type="spellEnd"/>
        <w:r w:rsidRPr="008A7BD7">
          <w:rPr>
            <w:rFonts w:ascii="Cambria" w:eastAsia="Cambria" w:hAnsi="Cambria" w:cstheme="majorHAnsi"/>
            <w:i/>
            <w:color w:val="1155CC"/>
            <w:sz w:val="16"/>
            <w:szCs w:val="16"/>
            <w:u w:val="single"/>
            <w:lang w:val="es-419"/>
          </w:rPr>
          <w:t xml:space="preserve"> Ramazzini Véliz  y tres personas más</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La Hora</w:t>
      </w:r>
      <w:r w:rsidR="0072069D"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r w:rsidR="0072069D" w:rsidRPr="008A7BD7">
        <w:rPr>
          <w:rFonts w:ascii="Cambria" w:eastAsia="Cambria" w:hAnsi="Cambria" w:cstheme="majorHAnsi"/>
          <w:sz w:val="16"/>
          <w:szCs w:val="16"/>
          <w:lang w:val="es-419"/>
        </w:rPr>
        <w:t xml:space="preserve">June </w:t>
      </w:r>
      <w:r w:rsidRPr="008A7BD7">
        <w:rPr>
          <w:rFonts w:ascii="Cambria" w:eastAsia="Cambria" w:hAnsi="Cambria" w:cstheme="majorHAnsi"/>
          <w:sz w:val="16"/>
          <w:szCs w:val="16"/>
          <w:lang w:val="es-419"/>
        </w:rPr>
        <w:t>10</w:t>
      </w:r>
      <w:r w:rsidR="0072069D"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72069D"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00">
        <w:r w:rsidRPr="008A7BD7">
          <w:rPr>
            <w:rFonts w:ascii="Cambria" w:eastAsia="Cambria" w:hAnsi="Cambria" w:cstheme="majorHAnsi"/>
            <w:i/>
            <w:color w:val="1155CC"/>
            <w:sz w:val="16"/>
            <w:szCs w:val="16"/>
            <w:u w:val="single"/>
            <w:lang w:val="es-419"/>
          </w:rPr>
          <w:t>Indignación y pedidos de investigación causa asesinato de Frank Ramazzini</w:t>
        </w:r>
      </w:hyperlink>
      <w:r w:rsidR="0072069D" w:rsidRPr="008A7BD7">
        <w:rPr>
          <w:rFonts w:ascii="Cambria" w:eastAsia="Cambria" w:hAnsi="Cambria" w:cstheme="majorHAnsi"/>
          <w:i/>
          <w:color w:val="1155CC"/>
          <w:sz w:val="16"/>
          <w:szCs w:val="16"/>
          <w:u w:val="single"/>
          <w:lang w:val="es-419"/>
        </w:rPr>
        <w:t>.</w:t>
      </w:r>
    </w:p>
  </w:footnote>
  <w:footnote w:id="122">
    <w:p w14:paraId="1E1F6FF5" w14:textId="3082D586" w:rsidR="009C4A37" w:rsidRPr="008A7BD7" w:rsidRDefault="009C4A37" w:rsidP="00746761">
      <w:pPr>
        <w:spacing w:after="120"/>
        <w:ind w:firstLine="720"/>
        <w:jc w:val="both"/>
        <w:rPr>
          <w:rFonts w:ascii="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El Periódico</w:t>
      </w:r>
      <w:r w:rsidR="0072069D"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proofErr w:type="spellStart"/>
      <w:r w:rsidR="0072069D" w:rsidRPr="008A7BD7">
        <w:rPr>
          <w:rFonts w:ascii="Cambria" w:eastAsia="Cambria" w:hAnsi="Cambria" w:cstheme="majorHAnsi"/>
          <w:sz w:val="16"/>
          <w:szCs w:val="16"/>
          <w:lang w:val="es-419"/>
        </w:rPr>
        <w:t>September</w:t>
      </w:r>
      <w:proofErr w:type="spellEnd"/>
      <w:r w:rsidR="0072069D"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12</w:t>
      </w:r>
      <w:r w:rsidR="0072069D"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72069D"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01">
        <w:r w:rsidRPr="008A7BD7">
          <w:rPr>
            <w:rFonts w:ascii="Cambria" w:eastAsia="Cambria" w:hAnsi="Cambria" w:cstheme="majorHAnsi"/>
            <w:i/>
            <w:color w:val="1155CC"/>
            <w:sz w:val="16"/>
            <w:szCs w:val="16"/>
            <w:u w:val="single"/>
            <w:lang w:val="es-419"/>
          </w:rPr>
          <w:t>MP confirmó que las armas localizadas en la zona 6 se usaron en ataque a Ramazzini</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Soy502</w:t>
      </w:r>
      <w:r w:rsidR="0072069D" w:rsidRPr="008A7BD7">
        <w:rPr>
          <w:rFonts w:ascii="Cambria" w:eastAsia="Cambria" w:hAnsi="Cambria" w:cstheme="majorHAnsi"/>
          <w:sz w:val="16"/>
          <w:szCs w:val="16"/>
          <w:lang w:val="es-419"/>
        </w:rPr>
        <w:t xml:space="preserve">, </w:t>
      </w:r>
      <w:proofErr w:type="spellStart"/>
      <w:r w:rsidR="0072069D" w:rsidRPr="008A7BD7">
        <w:rPr>
          <w:rFonts w:ascii="Cambria" w:eastAsia="Cambria" w:hAnsi="Cambria" w:cstheme="majorHAnsi"/>
          <w:sz w:val="16"/>
          <w:szCs w:val="16"/>
          <w:lang w:val="es-419"/>
        </w:rPr>
        <w:t>September</w:t>
      </w:r>
      <w:proofErr w:type="spellEnd"/>
      <w:r w:rsidRPr="008A7BD7">
        <w:rPr>
          <w:rFonts w:ascii="Cambria" w:eastAsia="Cambria" w:hAnsi="Cambria" w:cstheme="majorHAnsi"/>
          <w:sz w:val="16"/>
          <w:szCs w:val="16"/>
          <w:lang w:val="es-419"/>
        </w:rPr>
        <w:t xml:space="preserve"> 13</w:t>
      </w:r>
      <w:r w:rsidR="0072069D"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72069D"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02">
        <w:r w:rsidRPr="008A7BD7">
          <w:rPr>
            <w:rFonts w:ascii="Cambria" w:eastAsia="Cambria" w:hAnsi="Cambria" w:cstheme="majorHAnsi"/>
            <w:i/>
            <w:color w:val="1155CC"/>
            <w:sz w:val="16"/>
            <w:szCs w:val="16"/>
            <w:u w:val="single"/>
            <w:lang w:val="es-419"/>
          </w:rPr>
          <w:t>Las ubicadas en un carro fueron usadas en el asesinato de Frank Ramazzini</w:t>
        </w:r>
      </w:hyperlink>
      <w:r w:rsidRPr="008A7BD7">
        <w:rPr>
          <w:rFonts w:ascii="Cambria" w:eastAsia="Cambria" w:hAnsi="Cambria" w:cstheme="majorHAnsi"/>
          <w:sz w:val="16"/>
          <w:szCs w:val="16"/>
          <w:lang w:val="es-419"/>
        </w:rPr>
        <w:t>.</w:t>
      </w:r>
      <w:r w:rsidRPr="008A7BD7">
        <w:rPr>
          <w:rFonts w:ascii="Cambria" w:hAnsi="Cambria" w:cstheme="majorHAnsi"/>
          <w:sz w:val="16"/>
          <w:szCs w:val="16"/>
          <w:lang w:val="es-419"/>
        </w:rPr>
        <w:t xml:space="preserve"> </w:t>
      </w:r>
    </w:p>
  </w:footnote>
  <w:footnote w:id="123">
    <w:p w14:paraId="5146D4F0" w14:textId="6BB5B9BC" w:rsidR="004E0CAC" w:rsidRPr="008A7BD7" w:rsidRDefault="004E0CAC" w:rsidP="00E4426E">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0072069D" w:rsidRPr="008A7BD7">
        <w:rPr>
          <w:rFonts w:ascii="Cambria" w:eastAsia="Cambria" w:hAnsi="Cambria" w:cstheme="majorHAnsi"/>
          <w:sz w:val="16"/>
          <w:szCs w:val="16"/>
          <w:lang w:val="es-419"/>
        </w:rPr>
        <w:t xml:space="preserve">RSF, August 5, 2021, </w:t>
      </w:r>
      <w:hyperlink r:id="rId103">
        <w:r w:rsidRPr="008A7BD7">
          <w:rPr>
            <w:rFonts w:ascii="Cambria" w:eastAsia="Cambria" w:hAnsi="Cambria" w:cstheme="majorHAnsi"/>
            <w:i/>
            <w:color w:val="1155CC"/>
            <w:sz w:val="16"/>
            <w:szCs w:val="16"/>
            <w:u w:val="single"/>
            <w:lang w:val="es-419"/>
          </w:rPr>
          <w:t>Asesinado el periodista Pedro Alfonso Guadrón Hernández</w:t>
        </w:r>
      </w:hyperlink>
      <w:r w:rsidRPr="008A7BD7">
        <w:rPr>
          <w:rFonts w:ascii="Cambria" w:eastAsia="Cambria" w:hAnsi="Cambria" w:cstheme="majorHAnsi"/>
          <w:sz w:val="16"/>
          <w:szCs w:val="16"/>
          <w:lang w:val="es-419"/>
        </w:rPr>
        <w:t xml:space="preserve">; </w:t>
      </w:r>
      <w:r w:rsidR="0072069D" w:rsidRPr="008A7BD7">
        <w:rPr>
          <w:rFonts w:ascii="Cambria" w:eastAsia="Cambria" w:hAnsi="Cambria" w:cstheme="majorHAnsi"/>
          <w:i/>
          <w:iCs/>
          <w:sz w:val="16"/>
          <w:szCs w:val="16"/>
          <w:lang w:val="es-419"/>
        </w:rPr>
        <w:t>República</w:t>
      </w:r>
      <w:r w:rsidR="0072069D" w:rsidRPr="008A7BD7">
        <w:rPr>
          <w:rFonts w:ascii="Cambria" w:eastAsia="Cambria" w:hAnsi="Cambria" w:cstheme="majorHAnsi"/>
          <w:sz w:val="16"/>
          <w:szCs w:val="16"/>
          <w:lang w:val="es-419"/>
        </w:rPr>
        <w:t xml:space="preserve">, </w:t>
      </w:r>
      <w:proofErr w:type="spellStart"/>
      <w:r w:rsidR="0072069D" w:rsidRPr="008A7BD7">
        <w:rPr>
          <w:rFonts w:ascii="Cambria" w:eastAsia="Cambria" w:hAnsi="Cambria" w:cstheme="majorHAnsi"/>
          <w:sz w:val="16"/>
          <w:szCs w:val="16"/>
          <w:lang w:val="es-419"/>
        </w:rPr>
        <w:t>July</w:t>
      </w:r>
      <w:proofErr w:type="spellEnd"/>
      <w:r w:rsidR="0072069D" w:rsidRPr="008A7BD7">
        <w:rPr>
          <w:rFonts w:ascii="Cambria" w:eastAsia="Cambria" w:hAnsi="Cambria" w:cstheme="majorHAnsi"/>
          <w:sz w:val="16"/>
          <w:szCs w:val="16"/>
          <w:lang w:val="es-419"/>
        </w:rPr>
        <w:t xml:space="preserve"> 31, 2021,</w:t>
      </w:r>
      <w:r w:rsidRPr="008A7BD7">
        <w:rPr>
          <w:rFonts w:ascii="Cambria" w:eastAsia="Cambria" w:hAnsi="Cambria" w:cstheme="majorHAnsi"/>
          <w:sz w:val="16"/>
          <w:szCs w:val="16"/>
          <w:lang w:val="es-419"/>
        </w:rPr>
        <w:t xml:space="preserve"> </w:t>
      </w:r>
      <w:hyperlink r:id="rId104">
        <w:r w:rsidRPr="008A7BD7">
          <w:rPr>
            <w:rFonts w:ascii="Cambria" w:eastAsia="Cambria" w:hAnsi="Cambria" w:cstheme="majorHAnsi"/>
            <w:i/>
            <w:color w:val="1155CC"/>
            <w:sz w:val="16"/>
            <w:szCs w:val="16"/>
            <w:u w:val="single"/>
            <w:lang w:val="es-419"/>
          </w:rPr>
          <w:t>Condenan el asesinato de comunicador social en Chiquimula</w:t>
        </w:r>
      </w:hyperlink>
      <w:r w:rsidRPr="008A7BD7">
        <w:rPr>
          <w:rFonts w:ascii="Cambria" w:eastAsia="Cambria" w:hAnsi="Cambria" w:cstheme="majorHAnsi"/>
          <w:sz w:val="16"/>
          <w:szCs w:val="16"/>
          <w:lang w:val="es-419"/>
        </w:rPr>
        <w:t>.</w:t>
      </w:r>
    </w:p>
  </w:footnote>
  <w:footnote w:id="124">
    <w:p w14:paraId="2563CB83" w14:textId="5BE93F39" w:rsidR="004E0CAC" w:rsidRPr="008A7BD7" w:rsidRDefault="004E0CAC" w:rsidP="00746761">
      <w:pPr>
        <w:spacing w:after="120"/>
        <w:ind w:firstLine="720"/>
        <w:rPr>
          <w:rFonts w:ascii="Cambria" w:eastAsia="Cambria" w:hAnsi="Cambria" w:cstheme="majorHAnsi"/>
          <w:sz w:val="16"/>
          <w:szCs w:val="16"/>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rPr>
        <w:t xml:space="preserve"> </w:t>
      </w:r>
      <w:r w:rsidR="0072069D" w:rsidRPr="008A7BD7">
        <w:rPr>
          <w:rFonts w:ascii="Cambria" w:eastAsia="Cambria" w:hAnsi="Cambria" w:cstheme="majorHAnsi"/>
          <w:sz w:val="16"/>
          <w:szCs w:val="16"/>
        </w:rPr>
        <w:t>Association of Journalists of Guatemala, July 31, 2021,</w:t>
      </w:r>
      <w:hyperlink r:id="rId105">
        <w:r w:rsidRPr="008A7BD7">
          <w:rPr>
            <w:rFonts w:ascii="Cambria" w:eastAsia="Cambria" w:hAnsi="Cambria" w:cstheme="majorHAnsi"/>
            <w:color w:val="1155CC"/>
            <w:sz w:val="16"/>
            <w:szCs w:val="16"/>
            <w:u w:val="single"/>
          </w:rPr>
          <w:t>Comunicado 31-07-2021</w:t>
        </w:r>
      </w:hyperlink>
      <w:r w:rsidRPr="008A7BD7">
        <w:rPr>
          <w:rFonts w:ascii="Cambria" w:eastAsia="Cambria" w:hAnsi="Cambria" w:cstheme="majorHAnsi"/>
          <w:sz w:val="16"/>
          <w:szCs w:val="16"/>
        </w:rPr>
        <w:t xml:space="preserve">. </w:t>
      </w:r>
    </w:p>
  </w:footnote>
  <w:footnote w:id="125">
    <w:p w14:paraId="00832FA5" w14:textId="72766D08" w:rsidR="004E0CAC" w:rsidRPr="008A7BD7" w:rsidRDefault="004E0CAC" w:rsidP="00E4426E">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Ruda</w:t>
      </w:r>
      <w:r w:rsidR="00D40A87" w:rsidRPr="008A7BD7">
        <w:rPr>
          <w:rFonts w:ascii="Cambria" w:hAnsi="Cambria"/>
          <w:sz w:val="16"/>
          <w:szCs w:val="16"/>
          <w:lang w:val="es-US"/>
        </w:rPr>
        <w:t xml:space="preserve">, </w:t>
      </w:r>
      <w:proofErr w:type="spellStart"/>
      <w:r w:rsidR="00D40A87" w:rsidRPr="008A7BD7">
        <w:rPr>
          <w:rFonts w:ascii="Cambria" w:hAnsi="Cambria"/>
          <w:sz w:val="16"/>
          <w:szCs w:val="16"/>
          <w:lang w:val="es-US"/>
        </w:rPr>
        <w:t>October</w:t>
      </w:r>
      <w:proofErr w:type="spellEnd"/>
      <w:r w:rsidRPr="008A7BD7">
        <w:rPr>
          <w:rFonts w:ascii="Cambria" w:hAnsi="Cambria"/>
          <w:sz w:val="16"/>
          <w:szCs w:val="16"/>
          <w:lang w:val="es-US"/>
        </w:rPr>
        <w:t xml:space="preserve"> 1</w:t>
      </w:r>
      <w:r w:rsidR="00D40A87" w:rsidRPr="008A7BD7">
        <w:rPr>
          <w:rFonts w:ascii="Cambria" w:hAnsi="Cambria"/>
          <w:sz w:val="16"/>
          <w:szCs w:val="16"/>
          <w:lang w:val="es-US"/>
        </w:rPr>
        <w:t xml:space="preserve">, </w:t>
      </w:r>
      <w:r w:rsidRPr="008A7BD7">
        <w:rPr>
          <w:rFonts w:ascii="Cambria" w:hAnsi="Cambria"/>
          <w:sz w:val="16"/>
          <w:szCs w:val="16"/>
          <w:lang w:val="es-US"/>
        </w:rPr>
        <w:t>2021</w:t>
      </w:r>
      <w:r w:rsidR="00D40A87" w:rsidRPr="008A7BD7">
        <w:rPr>
          <w:rFonts w:ascii="Cambria" w:hAnsi="Cambria"/>
          <w:sz w:val="16"/>
          <w:szCs w:val="16"/>
          <w:lang w:val="es-US"/>
        </w:rPr>
        <w:t>,</w:t>
      </w:r>
      <w:r w:rsidRPr="008A7BD7">
        <w:rPr>
          <w:rFonts w:ascii="Cambria" w:hAnsi="Cambria"/>
          <w:sz w:val="16"/>
          <w:szCs w:val="16"/>
          <w:lang w:val="es-US"/>
        </w:rPr>
        <w:t xml:space="preserve"> </w:t>
      </w:r>
      <w:hyperlink r:id="rId106" w:history="1">
        <w:r w:rsidRPr="008A7BD7">
          <w:rPr>
            <w:rStyle w:val="Hyperlink"/>
            <w:rFonts w:ascii="Cambria" w:hAnsi="Cambria"/>
            <w:sz w:val="16"/>
            <w:szCs w:val="16"/>
            <w:lang w:val="es-US"/>
          </w:rPr>
          <w:t>Periodistas narran detención y falta de información a comunidades sobre exhumación</w:t>
        </w:r>
      </w:hyperlink>
      <w:r w:rsidRPr="008A7BD7">
        <w:rPr>
          <w:rFonts w:ascii="Cambria" w:hAnsi="Cambria"/>
          <w:sz w:val="16"/>
          <w:szCs w:val="16"/>
          <w:lang w:val="es-US"/>
        </w:rPr>
        <w:t xml:space="preserve">; PDH. </w:t>
      </w:r>
      <w:proofErr w:type="spellStart"/>
      <w:r w:rsidR="00D40A87" w:rsidRPr="008A7BD7">
        <w:rPr>
          <w:rFonts w:ascii="Cambria" w:eastAsia="Cambria" w:hAnsi="Cambria" w:cstheme="majorHAnsi"/>
          <w:sz w:val="16"/>
          <w:szCs w:val="16"/>
          <w:lang w:val="es-419"/>
        </w:rPr>
        <w:t>September</w:t>
      </w:r>
      <w:proofErr w:type="spellEnd"/>
      <w:r w:rsidR="00D40A87" w:rsidRPr="008A7BD7">
        <w:rPr>
          <w:rFonts w:ascii="Cambria" w:eastAsia="Cambria" w:hAnsi="Cambria" w:cstheme="majorHAnsi"/>
          <w:sz w:val="16"/>
          <w:szCs w:val="16"/>
          <w:lang w:val="es-419"/>
        </w:rPr>
        <w:t xml:space="preserve"> </w:t>
      </w:r>
      <w:r w:rsidRPr="008A7BD7">
        <w:rPr>
          <w:rFonts w:ascii="Cambria" w:hAnsi="Cambria"/>
          <w:sz w:val="16"/>
          <w:szCs w:val="16"/>
          <w:lang w:val="es-US"/>
        </w:rPr>
        <w:t>29</w:t>
      </w:r>
      <w:r w:rsidR="00D40A87" w:rsidRPr="008A7BD7">
        <w:rPr>
          <w:rFonts w:ascii="Cambria" w:hAnsi="Cambria"/>
          <w:sz w:val="16"/>
          <w:szCs w:val="16"/>
          <w:lang w:val="es-US"/>
        </w:rPr>
        <w:t xml:space="preserve">, </w:t>
      </w:r>
      <w:r w:rsidRPr="008A7BD7">
        <w:rPr>
          <w:rFonts w:ascii="Cambria" w:hAnsi="Cambria"/>
          <w:sz w:val="16"/>
          <w:szCs w:val="16"/>
          <w:lang w:val="es-US"/>
        </w:rPr>
        <w:t>2021</w:t>
      </w:r>
      <w:r w:rsidR="00D40A87" w:rsidRPr="008A7BD7">
        <w:rPr>
          <w:rFonts w:ascii="Cambria" w:hAnsi="Cambria"/>
          <w:sz w:val="16"/>
          <w:szCs w:val="16"/>
          <w:lang w:val="es-US"/>
        </w:rPr>
        <w:t>,</w:t>
      </w:r>
      <w:r w:rsidRPr="008A7BD7">
        <w:rPr>
          <w:rFonts w:ascii="Cambria" w:hAnsi="Cambria"/>
          <w:sz w:val="16"/>
          <w:szCs w:val="16"/>
          <w:lang w:val="es-US"/>
        </w:rPr>
        <w:t xml:space="preserve"> </w:t>
      </w:r>
      <w:hyperlink r:id="rId107" w:history="1">
        <w:r w:rsidRPr="008A7BD7">
          <w:rPr>
            <w:rStyle w:val="Hyperlink"/>
            <w:rFonts w:ascii="Cambria" w:hAnsi="Cambria"/>
            <w:i/>
            <w:iCs/>
            <w:sz w:val="16"/>
            <w:szCs w:val="16"/>
            <w:lang w:val="es-US"/>
          </w:rPr>
          <w:t xml:space="preserve">Procurador de los Derechos Humanos - Noticias - 174/21 El Procurador de los Derechos Humanos, Jordán Rodas Andrade, deplora la retención ilegal del periodista José </w:t>
        </w:r>
        <w:proofErr w:type="spellStart"/>
        <w:r w:rsidRPr="008A7BD7">
          <w:rPr>
            <w:rStyle w:val="Hyperlink"/>
            <w:rFonts w:ascii="Cambria" w:hAnsi="Cambria"/>
            <w:i/>
            <w:iCs/>
            <w:sz w:val="16"/>
            <w:szCs w:val="16"/>
            <w:lang w:val="es-US"/>
          </w:rPr>
          <w:t>Guarcas</w:t>
        </w:r>
        <w:proofErr w:type="spellEnd"/>
        <w:r w:rsidRPr="008A7BD7">
          <w:rPr>
            <w:rStyle w:val="Hyperlink"/>
            <w:rFonts w:ascii="Cambria" w:hAnsi="Cambria"/>
            <w:i/>
            <w:iCs/>
            <w:sz w:val="16"/>
            <w:szCs w:val="16"/>
            <w:lang w:val="es-US"/>
          </w:rPr>
          <w:t xml:space="preserve">, en el contexto de una diligencia judicial de exhumación en </w:t>
        </w:r>
        <w:proofErr w:type="spellStart"/>
        <w:r w:rsidRPr="008A7BD7">
          <w:rPr>
            <w:rStyle w:val="Hyperlink"/>
            <w:rFonts w:ascii="Cambria" w:hAnsi="Cambria"/>
            <w:i/>
            <w:iCs/>
            <w:sz w:val="16"/>
            <w:szCs w:val="16"/>
            <w:lang w:val="es-US"/>
          </w:rPr>
          <w:t>Chiul</w:t>
        </w:r>
        <w:proofErr w:type="spellEnd"/>
        <w:r w:rsidRPr="008A7BD7">
          <w:rPr>
            <w:rStyle w:val="Hyperlink"/>
            <w:rFonts w:ascii="Cambria" w:hAnsi="Cambria"/>
            <w:i/>
            <w:iCs/>
            <w:sz w:val="16"/>
            <w:szCs w:val="16"/>
            <w:lang w:val="es-US"/>
          </w:rPr>
          <w:t xml:space="preserve">, </w:t>
        </w:r>
        <w:proofErr w:type="spellStart"/>
        <w:r w:rsidRPr="008A7BD7">
          <w:rPr>
            <w:rStyle w:val="Hyperlink"/>
            <w:rFonts w:ascii="Cambria" w:hAnsi="Cambria"/>
            <w:i/>
            <w:iCs/>
            <w:sz w:val="16"/>
            <w:szCs w:val="16"/>
            <w:lang w:val="es-US"/>
          </w:rPr>
          <w:t>Cunén</w:t>
        </w:r>
        <w:proofErr w:type="spellEnd"/>
        <w:r w:rsidRPr="008A7BD7">
          <w:rPr>
            <w:rStyle w:val="Hyperlink"/>
            <w:rFonts w:ascii="Cambria" w:hAnsi="Cambria"/>
            <w:i/>
            <w:iCs/>
            <w:sz w:val="16"/>
            <w:szCs w:val="16"/>
            <w:lang w:val="es-US"/>
          </w:rPr>
          <w:t>, Quiché, donde fueron masacrados 115 niños en 1988</w:t>
        </w:r>
        <w:r w:rsidR="00D40A87" w:rsidRPr="008A7BD7">
          <w:rPr>
            <w:rStyle w:val="Hyperlink"/>
            <w:rFonts w:ascii="Cambria" w:hAnsi="Cambria"/>
            <w:sz w:val="16"/>
            <w:szCs w:val="16"/>
            <w:lang w:val="es-US"/>
          </w:rPr>
          <w:t>.</w:t>
        </w:r>
        <w:r w:rsidRPr="008A7BD7">
          <w:rPr>
            <w:rStyle w:val="Hyperlink"/>
            <w:rFonts w:ascii="Cambria" w:hAnsi="Cambria"/>
            <w:sz w:val="16"/>
            <w:szCs w:val="16"/>
            <w:lang w:val="es-US"/>
          </w:rPr>
          <w:t xml:space="preserve"> </w:t>
        </w:r>
      </w:hyperlink>
    </w:p>
  </w:footnote>
  <w:footnote w:id="126">
    <w:p w14:paraId="43C77241" w14:textId="750E0399" w:rsidR="004E0CAC" w:rsidRPr="008A7BD7" w:rsidRDefault="004E0CAC" w:rsidP="001C0306">
      <w:pPr>
        <w:pStyle w:val="FootnoteText"/>
        <w:spacing w:after="120"/>
        <w:ind w:firstLine="720"/>
        <w:jc w:val="both"/>
        <w:rPr>
          <w:rFonts w:ascii="Cambria" w:hAnsi="Cambria" w:cstheme="majorHAnsi"/>
          <w:sz w:val="16"/>
          <w:szCs w:val="16"/>
        </w:rPr>
      </w:pPr>
      <w:r w:rsidRPr="008A7BD7">
        <w:rPr>
          <w:rStyle w:val="FootnoteReference"/>
          <w:rFonts w:ascii="Cambria" w:hAnsi="Cambria" w:cstheme="majorHAnsi"/>
          <w:sz w:val="16"/>
          <w:szCs w:val="16"/>
          <w:lang w:val="es-419"/>
        </w:rPr>
        <w:footnoteRef/>
      </w:r>
      <w:r w:rsidRPr="008A7BD7">
        <w:rPr>
          <w:rFonts w:ascii="Cambria" w:hAnsi="Cambria" w:cstheme="majorHAnsi"/>
          <w:sz w:val="16"/>
          <w:szCs w:val="16"/>
        </w:rPr>
        <w:t xml:space="preserve"> </w:t>
      </w:r>
      <w:r w:rsidR="00212C21" w:rsidRPr="008A7BD7">
        <w:rPr>
          <w:rFonts w:ascii="Cambria" w:hAnsi="Cambria" w:cstheme="majorHAnsi"/>
          <w:sz w:val="16"/>
          <w:szCs w:val="16"/>
        </w:rPr>
        <w:t xml:space="preserve">IACHR, Office of the Special Rapporteur for Freedom of Expression, October </w:t>
      </w:r>
      <w:r w:rsidRPr="008A7BD7">
        <w:rPr>
          <w:rFonts w:ascii="Cambria" w:hAnsi="Cambria" w:cstheme="majorHAnsi"/>
          <w:sz w:val="16"/>
          <w:szCs w:val="16"/>
        </w:rPr>
        <w:t>29</w:t>
      </w:r>
      <w:r w:rsidR="00212C21" w:rsidRPr="008A7BD7">
        <w:rPr>
          <w:rFonts w:ascii="Cambria" w:hAnsi="Cambria" w:cstheme="majorHAnsi"/>
          <w:sz w:val="16"/>
          <w:szCs w:val="16"/>
        </w:rPr>
        <w:t xml:space="preserve">, </w:t>
      </w:r>
      <w:r w:rsidRPr="008A7BD7">
        <w:rPr>
          <w:rFonts w:ascii="Cambria" w:hAnsi="Cambria" w:cstheme="majorHAnsi"/>
          <w:sz w:val="16"/>
          <w:szCs w:val="16"/>
        </w:rPr>
        <w:t>2021</w:t>
      </w:r>
      <w:r w:rsidR="00212C21" w:rsidRPr="008A7BD7">
        <w:rPr>
          <w:rFonts w:ascii="Cambria" w:hAnsi="Cambria" w:cstheme="majorHAnsi"/>
          <w:sz w:val="16"/>
          <w:szCs w:val="16"/>
        </w:rPr>
        <w:t xml:space="preserve">, Press Release </w:t>
      </w:r>
      <w:r w:rsidRPr="008A7BD7">
        <w:rPr>
          <w:rFonts w:ascii="Cambria" w:hAnsi="Cambria" w:cstheme="majorHAnsi"/>
          <w:sz w:val="16"/>
          <w:szCs w:val="16"/>
        </w:rPr>
        <w:t>286</w:t>
      </w:r>
      <w:r w:rsidR="00212C21" w:rsidRPr="008A7BD7">
        <w:rPr>
          <w:rFonts w:ascii="Cambria" w:hAnsi="Cambria" w:cstheme="majorHAnsi"/>
          <w:sz w:val="16"/>
          <w:szCs w:val="16"/>
        </w:rPr>
        <w:t xml:space="preserve">, </w:t>
      </w:r>
      <w:hyperlink r:id="rId108" w:history="1">
        <w:r w:rsidR="00212C21" w:rsidRPr="008A7BD7">
          <w:rPr>
            <w:rStyle w:val="Hyperlink"/>
            <w:rFonts w:ascii="Cambria" w:hAnsi="Cambria" w:cstheme="majorHAnsi"/>
            <w:sz w:val="16"/>
            <w:szCs w:val="16"/>
          </w:rPr>
          <w:t>The Office of the Special Rapporteur calls on the State of Guatemala to respect and guarantee the work of journalists in accordance with international human rights standards</w:t>
        </w:r>
      </w:hyperlink>
      <w:r w:rsidR="00212C21" w:rsidRPr="008A7BD7">
        <w:rPr>
          <w:rFonts w:ascii="Cambria" w:hAnsi="Cambria" w:cstheme="majorHAnsi"/>
          <w:sz w:val="16"/>
          <w:szCs w:val="16"/>
        </w:rPr>
        <w:t xml:space="preserve">. </w:t>
      </w:r>
    </w:p>
  </w:footnote>
  <w:footnote w:id="127">
    <w:p w14:paraId="557712FC" w14:textId="49C7E727" w:rsidR="004E0CAC" w:rsidRPr="008A7BD7" w:rsidRDefault="004E0CAC" w:rsidP="001C0306">
      <w:pPr>
        <w:pStyle w:val="FootnoteText"/>
        <w:spacing w:after="120"/>
        <w:ind w:firstLine="720"/>
        <w:jc w:val="both"/>
        <w:rPr>
          <w:rFonts w:ascii="Cambria" w:hAnsi="Cambria" w:cstheme="majorHAnsi"/>
          <w:sz w:val="16"/>
          <w:szCs w:val="16"/>
          <w:lang w:val="es-419"/>
        </w:rPr>
      </w:pPr>
      <w:r w:rsidRPr="008A7BD7">
        <w:rPr>
          <w:rStyle w:val="FootnoteReference"/>
          <w:rFonts w:ascii="Cambria" w:hAnsi="Cambria" w:cstheme="majorHAnsi"/>
          <w:sz w:val="16"/>
          <w:szCs w:val="16"/>
          <w:lang w:val="es-419"/>
        </w:rPr>
        <w:footnoteRef/>
      </w:r>
      <w:r w:rsidRPr="008A7BD7">
        <w:rPr>
          <w:rFonts w:ascii="Cambria" w:hAnsi="Cambria" w:cstheme="majorHAnsi"/>
          <w:sz w:val="16"/>
          <w:szCs w:val="16"/>
          <w:lang w:val="es-419"/>
        </w:rPr>
        <w:t xml:space="preserve"> </w:t>
      </w:r>
      <w:proofErr w:type="spellStart"/>
      <w:r w:rsidR="0098724C" w:rsidRPr="008A7BD7">
        <w:rPr>
          <w:rFonts w:ascii="Cambria" w:hAnsi="Cambria" w:cstheme="majorHAnsi"/>
          <w:sz w:val="16"/>
          <w:szCs w:val="16"/>
          <w:lang w:val="es-419"/>
        </w:rPr>
        <w:t>Republic</w:t>
      </w:r>
      <w:proofErr w:type="spellEnd"/>
      <w:r w:rsidR="0098724C" w:rsidRPr="008A7BD7">
        <w:rPr>
          <w:rFonts w:ascii="Cambria" w:hAnsi="Cambria" w:cstheme="majorHAnsi"/>
          <w:sz w:val="16"/>
          <w:szCs w:val="16"/>
          <w:lang w:val="es-419"/>
        </w:rPr>
        <w:t xml:space="preserve"> of</w:t>
      </w:r>
      <w:r w:rsidRPr="008A7BD7">
        <w:rPr>
          <w:rFonts w:ascii="Cambria" w:hAnsi="Cambria" w:cstheme="majorHAnsi"/>
          <w:sz w:val="16"/>
          <w:szCs w:val="16"/>
          <w:lang w:val="es-419"/>
        </w:rPr>
        <w:t xml:space="preserve"> Guatemala</w:t>
      </w:r>
      <w:r w:rsidR="009307AD"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hyperlink r:id="rId109" w:history="1">
        <w:r w:rsidRPr="008A7BD7">
          <w:rPr>
            <w:rStyle w:val="Hyperlink"/>
            <w:rFonts w:ascii="Cambria" w:hAnsi="Cambria" w:cstheme="majorHAnsi"/>
            <w:sz w:val="16"/>
            <w:szCs w:val="16"/>
            <w:lang w:val="es-419"/>
          </w:rPr>
          <w:t>Decreto Gubernamental 009-2021</w:t>
        </w:r>
      </w:hyperlink>
      <w:r w:rsidRPr="008A7BD7">
        <w:rPr>
          <w:rFonts w:ascii="Cambria" w:hAnsi="Cambria" w:cstheme="majorHAnsi"/>
          <w:sz w:val="16"/>
          <w:szCs w:val="16"/>
          <w:lang w:val="es-419"/>
        </w:rPr>
        <w:t xml:space="preserve">; </w:t>
      </w:r>
      <w:r w:rsidRPr="008A7BD7">
        <w:rPr>
          <w:rFonts w:ascii="Cambria" w:hAnsi="Cambria" w:cstheme="majorHAnsi"/>
          <w:i/>
          <w:iCs/>
          <w:sz w:val="16"/>
          <w:szCs w:val="16"/>
          <w:lang w:val="es-419"/>
        </w:rPr>
        <w:t>Prensa Libre</w:t>
      </w:r>
      <w:r w:rsidR="0098724C"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proofErr w:type="spellStart"/>
      <w:r w:rsidR="0098724C" w:rsidRPr="008A7BD7">
        <w:rPr>
          <w:rFonts w:ascii="Cambria" w:hAnsi="Cambria" w:cstheme="majorHAnsi"/>
          <w:sz w:val="16"/>
          <w:szCs w:val="16"/>
          <w:lang w:val="es-419"/>
        </w:rPr>
        <w:t>October</w:t>
      </w:r>
      <w:proofErr w:type="spellEnd"/>
      <w:r w:rsidR="0098724C" w:rsidRPr="008A7BD7">
        <w:rPr>
          <w:rFonts w:ascii="Cambria" w:hAnsi="Cambria" w:cstheme="majorHAnsi"/>
          <w:sz w:val="16"/>
          <w:szCs w:val="16"/>
          <w:lang w:val="es-419"/>
        </w:rPr>
        <w:t xml:space="preserve"> </w:t>
      </w:r>
      <w:r w:rsidRPr="008A7BD7">
        <w:rPr>
          <w:rFonts w:ascii="Cambria" w:hAnsi="Cambria" w:cstheme="majorHAnsi"/>
          <w:sz w:val="16"/>
          <w:szCs w:val="16"/>
          <w:lang w:val="es-419"/>
        </w:rPr>
        <w:t>25</w:t>
      </w:r>
      <w:r w:rsidR="0098724C" w:rsidRPr="008A7BD7">
        <w:rPr>
          <w:rFonts w:ascii="Cambria" w:hAnsi="Cambria" w:cstheme="majorHAnsi"/>
          <w:sz w:val="16"/>
          <w:szCs w:val="16"/>
          <w:lang w:val="es-419"/>
        </w:rPr>
        <w:t xml:space="preserve">, </w:t>
      </w:r>
      <w:r w:rsidRPr="008A7BD7">
        <w:rPr>
          <w:rFonts w:ascii="Cambria" w:hAnsi="Cambria" w:cstheme="majorHAnsi"/>
          <w:sz w:val="16"/>
          <w:szCs w:val="16"/>
          <w:lang w:val="es-419"/>
        </w:rPr>
        <w:t>2021</w:t>
      </w:r>
      <w:r w:rsidR="0098724C"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hyperlink r:id="rId110" w:history="1">
        <w:r w:rsidRPr="008A7BD7">
          <w:rPr>
            <w:rStyle w:val="Hyperlink"/>
            <w:rFonts w:ascii="Cambria" w:hAnsi="Cambria" w:cstheme="majorHAnsi"/>
            <w:i/>
            <w:iCs/>
            <w:sz w:val="16"/>
            <w:szCs w:val="16"/>
            <w:lang w:val="es-419"/>
          </w:rPr>
          <w:t>Congreso de la República ratifica el estado de Sitio en El Estor, Izabal, y estará vigente 30 días</w:t>
        </w:r>
        <w:r w:rsidRPr="008A7BD7">
          <w:rPr>
            <w:rStyle w:val="Hyperlink"/>
            <w:rFonts w:ascii="Cambria" w:hAnsi="Cambria" w:cstheme="majorHAnsi"/>
            <w:sz w:val="16"/>
            <w:szCs w:val="16"/>
            <w:lang w:val="es-419"/>
          </w:rPr>
          <w:t>.</w:t>
        </w:r>
      </w:hyperlink>
    </w:p>
  </w:footnote>
  <w:footnote w:id="128">
    <w:p w14:paraId="1832F5D9" w14:textId="6A086CC0" w:rsidR="004E0CAC" w:rsidRPr="008A7BD7" w:rsidRDefault="004E0CAC" w:rsidP="001C0306">
      <w:pPr>
        <w:spacing w:after="120"/>
        <w:ind w:firstLine="720"/>
        <w:jc w:val="both"/>
        <w:rPr>
          <w:rFonts w:ascii="Cambria" w:hAnsi="Cambria" w:cstheme="majorHAnsi"/>
          <w:sz w:val="16"/>
          <w:szCs w:val="16"/>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rPr>
        <w:t xml:space="preserve"> </w:t>
      </w:r>
      <w:r w:rsidR="009307AD" w:rsidRPr="008A7BD7">
        <w:rPr>
          <w:rFonts w:ascii="Cambria" w:hAnsi="Cambria" w:cstheme="majorHAnsi"/>
          <w:sz w:val="16"/>
          <w:szCs w:val="16"/>
        </w:rPr>
        <w:t>IACHR, Office of the Special Rapporteur for Freedom of Expression,</w:t>
      </w:r>
      <w:r w:rsidR="009E0293" w:rsidRPr="008A7BD7">
        <w:rPr>
          <w:rFonts w:ascii="Cambria" w:hAnsi="Cambria" w:cstheme="majorHAnsi"/>
          <w:sz w:val="16"/>
          <w:szCs w:val="16"/>
        </w:rPr>
        <w:t xml:space="preserve"> </w:t>
      </w:r>
      <w:hyperlink r:id="rId111" w:history="1">
        <w:r w:rsidR="009E0293" w:rsidRPr="008A7BD7">
          <w:rPr>
            <w:rStyle w:val="Hyperlink"/>
            <w:rFonts w:ascii="Cambria" w:hAnsi="Cambria" w:cstheme="majorHAnsi"/>
            <w:sz w:val="16"/>
            <w:szCs w:val="16"/>
          </w:rPr>
          <w:t>Annual Report 2014</w:t>
        </w:r>
      </w:hyperlink>
      <w:r w:rsidR="009E0293" w:rsidRPr="008A7BD7">
        <w:rPr>
          <w:rFonts w:ascii="Cambria" w:hAnsi="Cambria" w:cstheme="majorHAnsi"/>
          <w:sz w:val="16"/>
          <w:szCs w:val="16"/>
        </w:rPr>
        <w:t>,</w:t>
      </w:r>
      <w:r w:rsidRPr="008A7BD7">
        <w:rPr>
          <w:rFonts w:ascii="Cambria" w:eastAsia="Cambria" w:hAnsi="Cambria" w:cstheme="majorHAnsi"/>
          <w:sz w:val="16"/>
          <w:szCs w:val="16"/>
        </w:rPr>
        <w:t xml:space="preserve"> OEA/</w:t>
      </w:r>
      <w:proofErr w:type="spellStart"/>
      <w:r w:rsidRPr="008A7BD7">
        <w:rPr>
          <w:rFonts w:ascii="Cambria" w:eastAsia="Cambria" w:hAnsi="Cambria" w:cstheme="majorHAnsi"/>
          <w:sz w:val="16"/>
          <w:szCs w:val="16"/>
        </w:rPr>
        <w:t>Ser.L</w:t>
      </w:r>
      <w:proofErr w:type="spellEnd"/>
      <w:r w:rsidRPr="008A7BD7">
        <w:rPr>
          <w:rFonts w:ascii="Cambria" w:eastAsia="Cambria" w:hAnsi="Cambria" w:cstheme="majorHAnsi"/>
          <w:sz w:val="16"/>
          <w:szCs w:val="16"/>
        </w:rPr>
        <w:t>/V/II Doc. 13</w:t>
      </w:r>
      <w:r w:rsidR="009E0293" w:rsidRPr="008A7BD7">
        <w:rPr>
          <w:rFonts w:ascii="Cambria" w:eastAsia="Cambria" w:hAnsi="Cambria" w:cstheme="majorHAnsi"/>
          <w:sz w:val="16"/>
          <w:szCs w:val="16"/>
        </w:rPr>
        <w:t>, March</w:t>
      </w:r>
      <w:r w:rsidRPr="008A7BD7">
        <w:rPr>
          <w:rFonts w:ascii="Cambria" w:eastAsia="Cambria" w:hAnsi="Cambria" w:cstheme="majorHAnsi"/>
          <w:sz w:val="16"/>
          <w:szCs w:val="16"/>
        </w:rPr>
        <w:t xml:space="preserve"> 9</w:t>
      </w:r>
      <w:r w:rsidR="009E0293" w:rsidRPr="008A7BD7">
        <w:rPr>
          <w:rFonts w:ascii="Cambria" w:eastAsia="Cambria" w:hAnsi="Cambria" w:cstheme="majorHAnsi"/>
          <w:sz w:val="16"/>
          <w:szCs w:val="16"/>
        </w:rPr>
        <w:t xml:space="preserve">, </w:t>
      </w:r>
      <w:r w:rsidRPr="008A7BD7">
        <w:rPr>
          <w:rFonts w:ascii="Cambria" w:eastAsia="Cambria" w:hAnsi="Cambria" w:cstheme="majorHAnsi"/>
          <w:sz w:val="16"/>
          <w:szCs w:val="16"/>
        </w:rPr>
        <w:t xml:space="preserve">2015. par. 551. </w:t>
      </w:r>
      <w:r w:rsidRPr="008A7BD7">
        <w:rPr>
          <w:rFonts w:ascii="Cambria" w:hAnsi="Cambria" w:cstheme="majorHAnsi"/>
          <w:sz w:val="16"/>
          <w:szCs w:val="16"/>
        </w:rPr>
        <w:t xml:space="preserve"> </w:t>
      </w:r>
    </w:p>
  </w:footnote>
  <w:footnote w:id="129">
    <w:p w14:paraId="760E3CD4" w14:textId="24C6331C" w:rsidR="004E0CAC" w:rsidRPr="008A7BD7" w:rsidRDefault="004E0CAC" w:rsidP="001C0306">
      <w:pPr>
        <w:spacing w:after="120"/>
        <w:ind w:firstLine="720"/>
        <w:jc w:val="both"/>
        <w:rPr>
          <w:rFonts w:ascii="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eastAsia="Cambria" w:hAnsi="Cambria" w:cstheme="majorHAnsi"/>
          <w:sz w:val="16"/>
          <w:szCs w:val="16"/>
          <w:lang w:val="es-419"/>
        </w:rPr>
        <w:t xml:space="preserve"> Federación Guatemalteca de Escuelas Radiof</w:t>
      </w:r>
      <w:r w:rsidR="001C0306" w:rsidRPr="008A7BD7">
        <w:rPr>
          <w:rFonts w:ascii="Cambria" w:eastAsia="Cambria" w:hAnsi="Cambria" w:cstheme="majorHAnsi"/>
          <w:sz w:val="16"/>
          <w:szCs w:val="16"/>
          <w:lang w:val="es-419"/>
        </w:rPr>
        <w:t>ó</w:t>
      </w:r>
      <w:r w:rsidRPr="008A7BD7">
        <w:rPr>
          <w:rFonts w:ascii="Cambria" w:eastAsia="Cambria" w:hAnsi="Cambria" w:cstheme="majorHAnsi"/>
          <w:sz w:val="16"/>
          <w:szCs w:val="16"/>
          <w:lang w:val="es-419"/>
        </w:rPr>
        <w:t>nicas</w:t>
      </w:r>
      <w:r w:rsidR="0086127B"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proofErr w:type="spellStart"/>
      <w:r w:rsidR="0086127B" w:rsidRPr="008A7BD7">
        <w:rPr>
          <w:rFonts w:ascii="Cambria" w:eastAsia="Cambria" w:hAnsi="Cambria" w:cstheme="majorHAnsi"/>
          <w:sz w:val="16"/>
          <w:szCs w:val="16"/>
          <w:lang w:val="es-419"/>
        </w:rPr>
        <w:t>September</w:t>
      </w:r>
      <w:proofErr w:type="spellEnd"/>
      <w:r w:rsidR="0086127B"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22</w:t>
      </w:r>
      <w:r w:rsidR="0086127B"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86127B"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12">
        <w:r w:rsidRPr="008A7BD7">
          <w:rPr>
            <w:rFonts w:ascii="Cambria" w:eastAsia="Cambria" w:hAnsi="Cambria" w:cstheme="majorHAnsi"/>
            <w:i/>
            <w:iCs/>
            <w:color w:val="1155CC"/>
            <w:sz w:val="16"/>
            <w:szCs w:val="16"/>
            <w:u w:val="single"/>
            <w:lang w:val="es-419"/>
          </w:rPr>
          <w:t xml:space="preserve">Inicia etapa intermedia en caso de periodista Norma </w:t>
        </w:r>
        <w:proofErr w:type="spellStart"/>
        <w:r w:rsidRPr="008A7BD7">
          <w:rPr>
            <w:rFonts w:ascii="Cambria" w:eastAsia="Cambria" w:hAnsi="Cambria" w:cstheme="majorHAnsi"/>
            <w:i/>
            <w:iCs/>
            <w:color w:val="1155CC"/>
            <w:sz w:val="16"/>
            <w:szCs w:val="16"/>
            <w:u w:val="single"/>
            <w:lang w:val="es-419"/>
          </w:rPr>
          <w:t>Sancir</w:t>
        </w:r>
        <w:proofErr w:type="spellEnd"/>
        <w:r w:rsidRPr="008A7BD7">
          <w:rPr>
            <w:rFonts w:ascii="Cambria" w:eastAsia="Cambria" w:hAnsi="Cambria" w:cstheme="majorHAnsi"/>
            <w:i/>
            <w:iCs/>
            <w:color w:val="1155CC"/>
            <w:sz w:val="16"/>
            <w:szCs w:val="16"/>
            <w:u w:val="single"/>
            <w:lang w:val="es-419"/>
          </w:rPr>
          <w:t xml:space="preserve"> - Federación Guatemalteca de Escuelas Radiofónicas</w:t>
        </w:r>
      </w:hyperlink>
      <w:r w:rsidR="0086127B"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Ruda</w:t>
      </w:r>
      <w:r w:rsidR="0086127B"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proofErr w:type="spellStart"/>
      <w:r w:rsidR="0086127B" w:rsidRPr="008A7BD7">
        <w:rPr>
          <w:rFonts w:ascii="Cambria" w:eastAsia="Cambria" w:hAnsi="Cambria" w:cstheme="majorHAnsi"/>
          <w:sz w:val="16"/>
          <w:szCs w:val="16"/>
          <w:lang w:val="es-419"/>
        </w:rPr>
        <w:t>September</w:t>
      </w:r>
      <w:proofErr w:type="spellEnd"/>
      <w:r w:rsidR="0086127B"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22</w:t>
      </w:r>
      <w:r w:rsidR="0086127B"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2021</w:t>
      </w:r>
      <w:r w:rsidR="0086127B"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13">
        <w:r w:rsidRPr="008A7BD7">
          <w:rPr>
            <w:rFonts w:ascii="Cambria" w:eastAsia="Cambria" w:hAnsi="Cambria" w:cstheme="majorHAnsi"/>
            <w:i/>
            <w:iCs/>
            <w:color w:val="1155CC"/>
            <w:sz w:val="16"/>
            <w:szCs w:val="16"/>
            <w:u w:val="single"/>
            <w:lang w:val="es-419"/>
          </w:rPr>
          <w:t>Policías podrían enfrentar juicio por abuso de autoridad en contra de periodista</w:t>
        </w:r>
      </w:hyperlink>
      <w:r w:rsidR="0086127B"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p>
  </w:footnote>
  <w:footnote w:id="130">
    <w:p w14:paraId="4C06DA6F" w14:textId="3CB6749E" w:rsidR="00FF2619" w:rsidRPr="008A7BD7" w:rsidRDefault="00FF2619" w:rsidP="00FF2619">
      <w:pPr>
        <w:pStyle w:val="FootnoteText"/>
        <w:ind w:firstLine="720"/>
        <w:rPr>
          <w:rFonts w:ascii="Cambria" w:hAnsi="Cambria"/>
          <w:sz w:val="16"/>
          <w:szCs w:val="16"/>
        </w:rPr>
      </w:pPr>
      <w:r w:rsidRPr="008A7BD7">
        <w:rPr>
          <w:rStyle w:val="FootnoteReference"/>
        </w:rPr>
        <w:footnoteRef/>
      </w:r>
      <w:r w:rsidRPr="008A7BD7">
        <w:t xml:space="preserve"> </w:t>
      </w:r>
      <w:r w:rsidR="00F06675" w:rsidRPr="008A7BD7">
        <w:rPr>
          <w:rFonts w:ascii="Cambria" w:hAnsi="Cambria"/>
          <w:sz w:val="16"/>
          <w:szCs w:val="16"/>
        </w:rPr>
        <w:t>Response from the State of</w:t>
      </w:r>
      <w:r w:rsidR="00F06675"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F06675" w:rsidRPr="008A7BD7">
        <w:rPr>
          <w:rFonts w:ascii="Cambria" w:hAnsi="Cambria"/>
          <w:sz w:val="16"/>
          <w:szCs w:val="16"/>
        </w:rPr>
        <w:t>OEA</w:t>
      </w:r>
      <w:r w:rsidR="00F06675" w:rsidRPr="008A7BD7">
        <w:rPr>
          <w:rFonts w:ascii="Cambria" w:eastAsia="Cambria" w:hAnsi="Cambria" w:cs="Cambria"/>
          <w:color w:val="000000"/>
          <w:sz w:val="16"/>
          <w:szCs w:val="16"/>
        </w:rPr>
        <w:t>-M4-980-2021, December 22, 2021, pp</w:t>
      </w:r>
      <w:r w:rsidRPr="008A7BD7">
        <w:rPr>
          <w:rFonts w:ascii="Cambria" w:hAnsi="Cambria"/>
          <w:sz w:val="16"/>
          <w:szCs w:val="16"/>
        </w:rPr>
        <w:t>. 47</w:t>
      </w:r>
      <w:r w:rsidR="00E35B68" w:rsidRPr="008A7BD7">
        <w:rPr>
          <w:rFonts w:ascii="Cambria" w:hAnsi="Cambria"/>
          <w:sz w:val="16"/>
          <w:szCs w:val="16"/>
        </w:rPr>
        <w:t>-</w:t>
      </w:r>
      <w:r w:rsidRPr="008A7BD7">
        <w:rPr>
          <w:rFonts w:ascii="Cambria" w:hAnsi="Cambria"/>
          <w:sz w:val="16"/>
          <w:szCs w:val="16"/>
        </w:rPr>
        <w:t>48.</w:t>
      </w:r>
    </w:p>
    <w:p w14:paraId="3DF6C40B" w14:textId="77777777" w:rsidR="00FF2619" w:rsidRPr="008A7BD7" w:rsidRDefault="00FF2619" w:rsidP="00FF2619">
      <w:pPr>
        <w:pStyle w:val="FootnoteText"/>
        <w:ind w:firstLine="720"/>
      </w:pPr>
    </w:p>
  </w:footnote>
  <w:footnote w:id="131">
    <w:p w14:paraId="1B40774C" w14:textId="6E6A4210" w:rsidR="004E0CAC" w:rsidRPr="008A7BD7" w:rsidRDefault="004E0CAC" w:rsidP="001C0306">
      <w:pPr>
        <w:spacing w:after="120"/>
        <w:ind w:firstLine="720"/>
        <w:jc w:val="both"/>
        <w:rPr>
          <w:rFonts w:ascii="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eastAsia="Cambria" w:hAnsi="Cambria" w:cstheme="majorHAnsi"/>
          <w:sz w:val="16"/>
          <w:szCs w:val="16"/>
          <w:lang w:val="es-419"/>
        </w:rPr>
        <w:t xml:space="preserve"> </w:t>
      </w:r>
      <w:proofErr w:type="spellStart"/>
      <w:r w:rsidR="00143FEF" w:rsidRPr="008A7BD7">
        <w:rPr>
          <w:rFonts w:ascii="Cambria" w:eastAsia="Cambria" w:hAnsi="Cambria" w:cstheme="majorHAnsi"/>
          <w:sz w:val="16"/>
          <w:szCs w:val="16"/>
          <w:lang w:val="es-419"/>
        </w:rPr>
        <w:t>Article</w:t>
      </w:r>
      <w:proofErr w:type="spellEnd"/>
      <w:r w:rsidRPr="008A7BD7">
        <w:rPr>
          <w:rFonts w:ascii="Cambria" w:eastAsia="Cambria" w:hAnsi="Cambria" w:cstheme="majorHAnsi"/>
          <w:sz w:val="16"/>
          <w:szCs w:val="16"/>
          <w:lang w:val="es-419"/>
        </w:rPr>
        <w:t xml:space="preserve"> 19</w:t>
      </w:r>
      <w:r w:rsidR="00143FEF" w:rsidRPr="008A7BD7">
        <w:rPr>
          <w:rFonts w:ascii="Cambria" w:eastAsia="Cambria" w:hAnsi="Cambria" w:cstheme="majorHAnsi"/>
          <w:sz w:val="16"/>
          <w:szCs w:val="16"/>
          <w:lang w:val="es-419"/>
        </w:rPr>
        <w:t>, August</w:t>
      </w:r>
      <w:r w:rsidRPr="008A7BD7">
        <w:rPr>
          <w:rFonts w:ascii="Cambria" w:eastAsia="Cambria" w:hAnsi="Cambria" w:cstheme="majorHAnsi"/>
          <w:sz w:val="16"/>
          <w:szCs w:val="16"/>
          <w:lang w:val="es-419"/>
        </w:rPr>
        <w:t xml:space="preserve"> 28</w:t>
      </w:r>
      <w:r w:rsidR="00143FEF"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143FEF"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14">
        <w:r w:rsidRPr="008A7BD7">
          <w:rPr>
            <w:rFonts w:ascii="Cambria" w:eastAsia="Cambria" w:hAnsi="Cambria" w:cstheme="majorHAnsi"/>
            <w:i/>
            <w:iCs/>
            <w:color w:val="1155CC"/>
            <w:sz w:val="16"/>
            <w:szCs w:val="16"/>
            <w:u w:val="single"/>
            <w:lang w:val="es-419"/>
          </w:rPr>
          <w:t xml:space="preserve">Interponen denuncias penales contra Marvin Del Cid y </w:t>
        </w:r>
        <w:proofErr w:type="spellStart"/>
        <w:r w:rsidRPr="008A7BD7">
          <w:rPr>
            <w:rFonts w:ascii="Cambria" w:eastAsia="Cambria" w:hAnsi="Cambria" w:cstheme="majorHAnsi"/>
            <w:i/>
            <w:iCs/>
            <w:color w:val="1155CC"/>
            <w:sz w:val="16"/>
            <w:szCs w:val="16"/>
            <w:u w:val="single"/>
            <w:lang w:val="es-419"/>
          </w:rPr>
          <w:t>Sonny</w:t>
        </w:r>
        <w:proofErr w:type="spellEnd"/>
        <w:r w:rsidRPr="008A7BD7">
          <w:rPr>
            <w:rFonts w:ascii="Cambria" w:eastAsia="Cambria" w:hAnsi="Cambria" w:cstheme="majorHAnsi"/>
            <w:i/>
            <w:iCs/>
            <w:color w:val="1155CC"/>
            <w:sz w:val="16"/>
            <w:szCs w:val="16"/>
            <w:u w:val="single"/>
            <w:lang w:val="es-419"/>
          </w:rPr>
          <w:t xml:space="preserve"> Figueroa por publicar casos de interés público</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La Hora</w:t>
      </w:r>
      <w:r w:rsidR="00143FEF" w:rsidRPr="008A7BD7">
        <w:rPr>
          <w:rFonts w:ascii="Cambria" w:eastAsia="Cambria" w:hAnsi="Cambria" w:cstheme="majorHAnsi"/>
          <w:sz w:val="16"/>
          <w:szCs w:val="16"/>
          <w:lang w:val="es-419"/>
        </w:rPr>
        <w:t>, August</w:t>
      </w:r>
      <w:r w:rsidRPr="008A7BD7">
        <w:rPr>
          <w:rFonts w:ascii="Cambria" w:eastAsia="Cambria" w:hAnsi="Cambria" w:cstheme="majorHAnsi"/>
          <w:sz w:val="16"/>
          <w:szCs w:val="16"/>
          <w:lang w:val="es-419"/>
        </w:rPr>
        <w:t xml:space="preserve"> 27</w:t>
      </w:r>
      <w:r w:rsidR="00143FEF"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143FEF"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15">
        <w:r w:rsidRPr="008A7BD7">
          <w:rPr>
            <w:rFonts w:ascii="Cambria" w:eastAsia="Cambria" w:hAnsi="Cambria" w:cstheme="majorHAnsi"/>
            <w:i/>
            <w:iCs/>
            <w:color w:val="1155CC"/>
            <w:sz w:val="16"/>
            <w:szCs w:val="16"/>
            <w:u w:val="single"/>
            <w:lang w:val="es-419"/>
          </w:rPr>
          <w:t>Mamá y hermana de Miguel Martínez denuncian a periodistas por reportaje de casa</w:t>
        </w:r>
      </w:hyperlink>
      <w:r w:rsidR="00143FEF"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p>
  </w:footnote>
  <w:footnote w:id="132">
    <w:p w14:paraId="132D4FD7" w14:textId="1B4BC9BD" w:rsidR="004E0CAC" w:rsidRPr="008A7BD7" w:rsidRDefault="004E0CAC" w:rsidP="001C0306">
      <w:pPr>
        <w:spacing w:after="120"/>
        <w:ind w:firstLine="720"/>
        <w:jc w:val="both"/>
        <w:rPr>
          <w:rFonts w:ascii="Cambria" w:eastAsia="Cambria" w:hAnsi="Cambria" w:cstheme="majorHAnsi"/>
          <w:sz w:val="16"/>
          <w:szCs w:val="16"/>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rPr>
        <w:t xml:space="preserve"> </w:t>
      </w:r>
      <w:proofErr w:type="spellStart"/>
      <w:r w:rsidRPr="008A7BD7">
        <w:rPr>
          <w:rFonts w:ascii="Cambria" w:eastAsia="Cambria" w:hAnsi="Cambria" w:cstheme="majorHAnsi"/>
          <w:i/>
          <w:iCs/>
          <w:sz w:val="16"/>
          <w:szCs w:val="16"/>
        </w:rPr>
        <w:t>Art</w:t>
      </w:r>
      <w:r w:rsidR="00143FEF" w:rsidRPr="008A7BD7">
        <w:rPr>
          <w:rFonts w:ascii="Cambria" w:eastAsia="Cambria" w:hAnsi="Cambria" w:cstheme="majorHAnsi"/>
          <w:i/>
          <w:iCs/>
          <w:sz w:val="16"/>
          <w:szCs w:val="16"/>
        </w:rPr>
        <w:t>í</w:t>
      </w:r>
      <w:r w:rsidRPr="008A7BD7">
        <w:rPr>
          <w:rFonts w:ascii="Cambria" w:eastAsia="Cambria" w:hAnsi="Cambria" w:cstheme="majorHAnsi"/>
          <w:i/>
          <w:iCs/>
          <w:sz w:val="16"/>
          <w:szCs w:val="16"/>
        </w:rPr>
        <w:t>culo</w:t>
      </w:r>
      <w:proofErr w:type="spellEnd"/>
      <w:r w:rsidRPr="008A7BD7">
        <w:rPr>
          <w:rFonts w:ascii="Cambria" w:eastAsia="Cambria" w:hAnsi="Cambria" w:cstheme="majorHAnsi"/>
          <w:i/>
          <w:iCs/>
          <w:sz w:val="16"/>
          <w:szCs w:val="16"/>
        </w:rPr>
        <w:t xml:space="preserve"> 35</w:t>
      </w:r>
      <w:r w:rsidR="001C0306" w:rsidRPr="008A7BD7">
        <w:rPr>
          <w:rFonts w:ascii="Cambria" w:eastAsia="Cambria" w:hAnsi="Cambria" w:cstheme="majorHAnsi"/>
          <w:i/>
          <w:iCs/>
          <w:sz w:val="16"/>
          <w:szCs w:val="16"/>
        </w:rPr>
        <w:t>,</w:t>
      </w:r>
      <w:r w:rsidRPr="008A7BD7">
        <w:rPr>
          <w:rFonts w:ascii="Cambria" w:eastAsia="Cambria" w:hAnsi="Cambria" w:cstheme="majorHAnsi"/>
          <w:sz w:val="16"/>
          <w:szCs w:val="16"/>
        </w:rPr>
        <w:t xml:space="preserve"> </w:t>
      </w:r>
      <w:r w:rsidR="00143FEF" w:rsidRPr="008A7BD7">
        <w:rPr>
          <w:rFonts w:ascii="Cambria" w:eastAsia="Cambria" w:hAnsi="Cambria" w:cstheme="majorHAnsi"/>
          <w:sz w:val="16"/>
          <w:szCs w:val="16"/>
        </w:rPr>
        <w:t xml:space="preserve">August </w:t>
      </w:r>
      <w:r w:rsidRPr="008A7BD7">
        <w:rPr>
          <w:rFonts w:ascii="Cambria" w:eastAsia="Cambria" w:hAnsi="Cambria" w:cstheme="majorHAnsi"/>
          <w:sz w:val="16"/>
          <w:szCs w:val="16"/>
        </w:rPr>
        <w:t>3</w:t>
      </w:r>
      <w:r w:rsidR="00143FEF" w:rsidRPr="008A7BD7">
        <w:rPr>
          <w:rFonts w:ascii="Cambria" w:eastAsia="Cambria" w:hAnsi="Cambria" w:cstheme="majorHAnsi"/>
          <w:sz w:val="16"/>
          <w:szCs w:val="16"/>
        </w:rPr>
        <w:t xml:space="preserve">, </w:t>
      </w:r>
      <w:r w:rsidRPr="008A7BD7">
        <w:rPr>
          <w:rFonts w:ascii="Cambria" w:eastAsia="Cambria" w:hAnsi="Cambria" w:cstheme="majorHAnsi"/>
          <w:sz w:val="16"/>
          <w:szCs w:val="16"/>
        </w:rPr>
        <w:t>2021</w:t>
      </w:r>
      <w:r w:rsidR="00143FEF" w:rsidRPr="008A7BD7">
        <w:rPr>
          <w:rFonts w:ascii="Cambria" w:eastAsia="Cambria" w:hAnsi="Cambria" w:cstheme="majorHAnsi"/>
          <w:sz w:val="16"/>
          <w:szCs w:val="16"/>
        </w:rPr>
        <w:t>,</w:t>
      </w:r>
      <w:r w:rsidRPr="008A7BD7">
        <w:rPr>
          <w:rFonts w:ascii="Cambria" w:eastAsia="Cambria" w:hAnsi="Cambria" w:cstheme="majorHAnsi"/>
          <w:sz w:val="16"/>
          <w:szCs w:val="16"/>
        </w:rPr>
        <w:t xml:space="preserve"> </w:t>
      </w:r>
      <w:hyperlink r:id="rId116">
        <w:proofErr w:type="spellStart"/>
        <w:r w:rsidRPr="008A7BD7">
          <w:rPr>
            <w:rFonts w:ascii="Cambria" w:eastAsia="Cambria" w:hAnsi="Cambria" w:cstheme="majorHAnsi"/>
            <w:i/>
            <w:iCs/>
            <w:color w:val="1155CC"/>
            <w:sz w:val="16"/>
            <w:szCs w:val="16"/>
            <w:u w:val="single"/>
          </w:rPr>
          <w:t>Levantan</w:t>
        </w:r>
        <w:proofErr w:type="spellEnd"/>
        <w:r w:rsidRPr="008A7BD7">
          <w:rPr>
            <w:rFonts w:ascii="Cambria" w:eastAsia="Cambria" w:hAnsi="Cambria" w:cstheme="majorHAnsi"/>
            <w:i/>
            <w:iCs/>
            <w:color w:val="1155CC"/>
            <w:sz w:val="16"/>
            <w:szCs w:val="16"/>
            <w:u w:val="single"/>
          </w:rPr>
          <w:t xml:space="preserve"> </w:t>
        </w:r>
        <w:proofErr w:type="spellStart"/>
        <w:r w:rsidRPr="008A7BD7">
          <w:rPr>
            <w:rFonts w:ascii="Cambria" w:eastAsia="Cambria" w:hAnsi="Cambria" w:cstheme="majorHAnsi"/>
            <w:i/>
            <w:iCs/>
            <w:color w:val="1155CC"/>
            <w:sz w:val="16"/>
            <w:szCs w:val="16"/>
            <w:u w:val="single"/>
          </w:rPr>
          <w:t>censura</w:t>
        </w:r>
        <w:proofErr w:type="spellEnd"/>
        <w:r w:rsidRPr="008A7BD7">
          <w:rPr>
            <w:rFonts w:ascii="Cambria" w:eastAsia="Cambria" w:hAnsi="Cambria" w:cstheme="majorHAnsi"/>
            <w:i/>
            <w:iCs/>
            <w:color w:val="1155CC"/>
            <w:sz w:val="16"/>
            <w:szCs w:val="16"/>
            <w:u w:val="single"/>
          </w:rPr>
          <w:t xml:space="preserve"> </w:t>
        </w:r>
        <w:proofErr w:type="spellStart"/>
        <w:r w:rsidRPr="008A7BD7">
          <w:rPr>
            <w:rFonts w:ascii="Cambria" w:eastAsia="Cambria" w:hAnsi="Cambria" w:cstheme="majorHAnsi"/>
            <w:i/>
            <w:iCs/>
            <w:color w:val="1155CC"/>
            <w:sz w:val="16"/>
            <w:szCs w:val="16"/>
            <w:u w:val="single"/>
          </w:rPr>
          <w:t>en</w:t>
        </w:r>
        <w:proofErr w:type="spellEnd"/>
        <w:r w:rsidRPr="008A7BD7">
          <w:rPr>
            <w:rFonts w:ascii="Cambria" w:eastAsia="Cambria" w:hAnsi="Cambria" w:cstheme="majorHAnsi"/>
            <w:i/>
            <w:iCs/>
            <w:color w:val="1155CC"/>
            <w:sz w:val="16"/>
            <w:szCs w:val="16"/>
            <w:u w:val="single"/>
          </w:rPr>
          <w:t xml:space="preserve"> contra de </w:t>
        </w:r>
        <w:proofErr w:type="spellStart"/>
        <w:r w:rsidRPr="008A7BD7">
          <w:rPr>
            <w:rFonts w:ascii="Cambria" w:eastAsia="Cambria" w:hAnsi="Cambria" w:cstheme="majorHAnsi"/>
            <w:i/>
            <w:iCs/>
            <w:color w:val="1155CC"/>
            <w:sz w:val="16"/>
            <w:szCs w:val="16"/>
            <w:u w:val="single"/>
          </w:rPr>
          <w:t>periodistas</w:t>
        </w:r>
        <w:proofErr w:type="spellEnd"/>
      </w:hyperlink>
      <w:r w:rsidRPr="008A7BD7">
        <w:rPr>
          <w:rFonts w:ascii="Cambria" w:eastAsia="Cambria" w:hAnsi="Cambria" w:cstheme="majorHAnsi"/>
          <w:sz w:val="16"/>
          <w:szCs w:val="16"/>
        </w:rPr>
        <w:t xml:space="preserve">; </w:t>
      </w:r>
      <w:r w:rsidRPr="008A7BD7">
        <w:rPr>
          <w:rFonts w:ascii="Cambria" w:eastAsia="Cambria" w:hAnsi="Cambria" w:cstheme="majorHAnsi"/>
          <w:color w:val="0F1419"/>
          <w:sz w:val="16"/>
          <w:szCs w:val="16"/>
        </w:rPr>
        <w:t>Uni</w:t>
      </w:r>
      <w:r w:rsidR="00143FEF" w:rsidRPr="008A7BD7">
        <w:rPr>
          <w:rFonts w:ascii="Cambria" w:eastAsia="Cambria" w:hAnsi="Cambria" w:cstheme="majorHAnsi"/>
          <w:color w:val="0F1419"/>
          <w:sz w:val="16"/>
          <w:szCs w:val="16"/>
        </w:rPr>
        <w:t>t for the Protection of Human Rights Defenders –</w:t>
      </w:r>
      <w:r w:rsidRPr="008A7BD7">
        <w:rPr>
          <w:rFonts w:ascii="Cambria" w:eastAsia="Cambria" w:hAnsi="Cambria" w:cstheme="majorHAnsi"/>
          <w:color w:val="0F1419"/>
          <w:sz w:val="16"/>
          <w:szCs w:val="16"/>
        </w:rPr>
        <w:t xml:space="preserve"> Guatemala</w:t>
      </w:r>
      <w:r w:rsidR="00143FEF" w:rsidRPr="008A7BD7">
        <w:rPr>
          <w:rFonts w:ascii="Cambria" w:eastAsia="Cambria" w:hAnsi="Cambria" w:cstheme="majorHAnsi"/>
          <w:color w:val="0F1419"/>
          <w:sz w:val="16"/>
          <w:szCs w:val="16"/>
        </w:rPr>
        <w:t>, September</w:t>
      </w:r>
      <w:r w:rsidRPr="008A7BD7">
        <w:rPr>
          <w:rFonts w:ascii="Cambria" w:eastAsia="Cambria" w:hAnsi="Cambria" w:cstheme="majorHAnsi"/>
          <w:color w:val="0F1419"/>
          <w:sz w:val="16"/>
          <w:szCs w:val="16"/>
        </w:rPr>
        <w:t xml:space="preserve"> 3</w:t>
      </w:r>
      <w:r w:rsidR="00143FEF" w:rsidRPr="008A7BD7">
        <w:rPr>
          <w:rFonts w:ascii="Cambria" w:eastAsia="Cambria" w:hAnsi="Cambria" w:cstheme="majorHAnsi"/>
          <w:color w:val="0F1419"/>
          <w:sz w:val="16"/>
          <w:szCs w:val="16"/>
        </w:rPr>
        <w:t xml:space="preserve">, </w:t>
      </w:r>
      <w:r w:rsidRPr="008A7BD7">
        <w:rPr>
          <w:rFonts w:ascii="Cambria" w:eastAsia="Cambria" w:hAnsi="Cambria" w:cstheme="majorHAnsi"/>
          <w:color w:val="0F1419"/>
          <w:sz w:val="16"/>
          <w:szCs w:val="16"/>
        </w:rPr>
        <w:t>2021</w:t>
      </w:r>
      <w:r w:rsidR="00143FEF" w:rsidRPr="008A7BD7">
        <w:rPr>
          <w:rFonts w:ascii="Cambria" w:eastAsia="Cambria" w:hAnsi="Cambria" w:cstheme="majorHAnsi"/>
          <w:color w:val="0F1419"/>
          <w:sz w:val="16"/>
          <w:szCs w:val="16"/>
        </w:rPr>
        <w:t>,</w:t>
      </w:r>
      <w:r w:rsidRPr="008A7BD7">
        <w:rPr>
          <w:rFonts w:ascii="Cambria" w:eastAsia="Cambria" w:hAnsi="Cambria" w:cstheme="majorHAnsi"/>
          <w:color w:val="0F1419"/>
          <w:sz w:val="16"/>
          <w:szCs w:val="16"/>
        </w:rPr>
        <w:t xml:space="preserve"> </w:t>
      </w:r>
      <w:hyperlink r:id="rId117">
        <w:proofErr w:type="spellStart"/>
        <w:r w:rsidRPr="008A7BD7">
          <w:rPr>
            <w:rFonts w:ascii="Cambria" w:eastAsia="Cambria" w:hAnsi="Cambria" w:cstheme="majorHAnsi"/>
            <w:i/>
            <w:iCs/>
            <w:color w:val="1155CC"/>
            <w:sz w:val="16"/>
            <w:szCs w:val="16"/>
            <w:u w:val="single"/>
          </w:rPr>
          <w:t>Comunicado</w:t>
        </w:r>
        <w:proofErr w:type="spellEnd"/>
      </w:hyperlink>
      <w:r w:rsidR="00143FEF" w:rsidRPr="008A7BD7">
        <w:rPr>
          <w:rFonts w:ascii="Cambria" w:eastAsia="Cambria" w:hAnsi="Cambria" w:cstheme="majorHAnsi"/>
          <w:color w:val="1155CC"/>
          <w:sz w:val="16"/>
          <w:szCs w:val="16"/>
          <w:u w:val="single"/>
        </w:rPr>
        <w:t>.</w:t>
      </w:r>
    </w:p>
  </w:footnote>
  <w:footnote w:id="133">
    <w:p w14:paraId="1EC825B1" w14:textId="2E4D42F6" w:rsidR="00FF2619" w:rsidRPr="008A7BD7" w:rsidRDefault="00FF2619" w:rsidP="00FF2619">
      <w:pPr>
        <w:spacing w:after="120"/>
        <w:ind w:firstLine="720"/>
      </w:pPr>
      <w:r w:rsidRPr="008A7BD7">
        <w:rPr>
          <w:rStyle w:val="FootnoteReference"/>
          <w:rFonts w:ascii="Cambria" w:hAnsi="Cambria"/>
          <w:sz w:val="16"/>
          <w:szCs w:val="16"/>
        </w:rPr>
        <w:footnoteRef/>
      </w:r>
      <w:r w:rsidRPr="008A7BD7">
        <w:rPr>
          <w:rFonts w:ascii="Cambria" w:hAnsi="Cambria"/>
          <w:sz w:val="16"/>
          <w:szCs w:val="16"/>
        </w:rPr>
        <w:t xml:space="preserve"> </w:t>
      </w:r>
      <w:r w:rsidR="00F06675" w:rsidRPr="008A7BD7">
        <w:rPr>
          <w:rFonts w:ascii="Cambria" w:hAnsi="Cambria"/>
          <w:sz w:val="16"/>
          <w:szCs w:val="16"/>
        </w:rPr>
        <w:t>Response from the State of</w:t>
      </w:r>
      <w:r w:rsidR="00F06675"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F06675" w:rsidRPr="008A7BD7">
        <w:rPr>
          <w:rFonts w:ascii="Cambria" w:hAnsi="Cambria"/>
          <w:sz w:val="16"/>
          <w:szCs w:val="16"/>
        </w:rPr>
        <w:t>OEA</w:t>
      </w:r>
      <w:r w:rsidR="00F06675"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 50.</w:t>
      </w:r>
    </w:p>
  </w:footnote>
  <w:footnote w:id="134">
    <w:p w14:paraId="4C5CAB8B" w14:textId="044F1EF0" w:rsidR="004E0CAC" w:rsidRPr="008A7BD7" w:rsidRDefault="004E0CAC" w:rsidP="001C0306">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eastAsia="Cambria" w:hAnsi="Cambria" w:cstheme="majorHAnsi"/>
          <w:sz w:val="16"/>
          <w:szCs w:val="16"/>
          <w:lang w:val="es-CO"/>
        </w:rPr>
        <w:t xml:space="preserve"> </w:t>
      </w:r>
      <w:r w:rsidR="00C96284" w:rsidRPr="008A7BD7">
        <w:rPr>
          <w:rFonts w:ascii="Cambria" w:eastAsia="Cambria" w:hAnsi="Cambria" w:cstheme="majorHAnsi"/>
          <w:sz w:val="16"/>
          <w:szCs w:val="16"/>
          <w:lang w:val="es-CO"/>
        </w:rPr>
        <w:t xml:space="preserve">Office of </w:t>
      </w:r>
      <w:proofErr w:type="spellStart"/>
      <w:r w:rsidR="00C96284" w:rsidRPr="008A7BD7">
        <w:rPr>
          <w:rFonts w:ascii="Cambria" w:eastAsia="Cambria" w:hAnsi="Cambria" w:cstheme="majorHAnsi"/>
          <w:sz w:val="16"/>
          <w:szCs w:val="16"/>
          <w:lang w:val="es-CO"/>
        </w:rPr>
        <w:t>the</w:t>
      </w:r>
      <w:proofErr w:type="spellEnd"/>
      <w:r w:rsidR="00C96284" w:rsidRPr="008A7BD7">
        <w:rPr>
          <w:rFonts w:ascii="Cambria" w:eastAsia="Cambria" w:hAnsi="Cambria" w:cstheme="majorHAnsi"/>
          <w:sz w:val="16"/>
          <w:szCs w:val="16"/>
          <w:lang w:val="es-CO"/>
        </w:rPr>
        <w:t xml:space="preserve"> Human </w:t>
      </w:r>
      <w:proofErr w:type="spellStart"/>
      <w:r w:rsidR="00C96284" w:rsidRPr="008A7BD7">
        <w:rPr>
          <w:rFonts w:ascii="Cambria" w:eastAsia="Cambria" w:hAnsi="Cambria" w:cstheme="majorHAnsi"/>
          <w:sz w:val="16"/>
          <w:szCs w:val="16"/>
          <w:lang w:val="es-CO"/>
        </w:rPr>
        <w:t>Rights</w:t>
      </w:r>
      <w:proofErr w:type="spellEnd"/>
      <w:r w:rsidR="00C96284" w:rsidRPr="008A7BD7">
        <w:rPr>
          <w:rFonts w:ascii="Cambria" w:eastAsia="Cambria" w:hAnsi="Cambria" w:cstheme="majorHAnsi"/>
          <w:sz w:val="16"/>
          <w:szCs w:val="16"/>
          <w:lang w:val="es-CO"/>
        </w:rPr>
        <w:t xml:space="preserve"> Ombudsman of </w:t>
      </w:r>
      <w:r w:rsidRPr="008A7BD7">
        <w:rPr>
          <w:rFonts w:ascii="Cambria" w:eastAsia="Cambria" w:hAnsi="Cambria" w:cstheme="majorHAnsi"/>
          <w:sz w:val="16"/>
          <w:szCs w:val="16"/>
          <w:lang w:val="es-CO"/>
        </w:rPr>
        <w:t>Guatemala</w:t>
      </w:r>
      <w:r w:rsidR="00C96284" w:rsidRPr="008A7BD7">
        <w:rPr>
          <w:rFonts w:ascii="Cambria" w:eastAsia="Cambria" w:hAnsi="Cambria" w:cstheme="majorHAnsi"/>
          <w:sz w:val="16"/>
          <w:szCs w:val="16"/>
          <w:lang w:val="es-CO"/>
        </w:rPr>
        <w:t>, August</w:t>
      </w:r>
      <w:r w:rsidRPr="008A7BD7">
        <w:rPr>
          <w:rFonts w:ascii="Cambria" w:eastAsia="Cambria" w:hAnsi="Cambria" w:cstheme="majorHAnsi"/>
          <w:sz w:val="16"/>
          <w:szCs w:val="16"/>
          <w:lang w:val="es-CO"/>
        </w:rPr>
        <w:t xml:space="preserve"> 26</w:t>
      </w:r>
      <w:r w:rsidR="00C96284" w:rsidRPr="008A7BD7">
        <w:rPr>
          <w:rFonts w:ascii="Cambria" w:eastAsia="Cambria" w:hAnsi="Cambria" w:cstheme="majorHAnsi"/>
          <w:sz w:val="16"/>
          <w:szCs w:val="16"/>
          <w:lang w:val="es-CO"/>
        </w:rPr>
        <w:t xml:space="preserve">, </w:t>
      </w:r>
      <w:r w:rsidRPr="008A7BD7">
        <w:rPr>
          <w:rFonts w:ascii="Cambria" w:eastAsia="Cambria" w:hAnsi="Cambria" w:cstheme="majorHAnsi"/>
          <w:sz w:val="16"/>
          <w:szCs w:val="16"/>
          <w:lang w:val="es-CO"/>
        </w:rPr>
        <w:t>2021</w:t>
      </w:r>
      <w:r w:rsidR="00C96284" w:rsidRPr="008A7BD7">
        <w:rPr>
          <w:rFonts w:ascii="Cambria" w:eastAsia="Cambria" w:hAnsi="Cambria" w:cstheme="majorHAnsi"/>
          <w:sz w:val="16"/>
          <w:szCs w:val="16"/>
          <w:lang w:val="es-CO"/>
        </w:rPr>
        <w:t>,</w:t>
      </w:r>
      <w:r w:rsidRPr="008A7BD7">
        <w:rPr>
          <w:rFonts w:ascii="Cambria" w:eastAsia="Cambria" w:hAnsi="Cambria" w:cstheme="majorHAnsi"/>
          <w:sz w:val="16"/>
          <w:szCs w:val="16"/>
          <w:lang w:val="es-CO"/>
        </w:rPr>
        <w:t xml:space="preserve"> </w:t>
      </w:r>
      <w:hyperlink r:id="rId118" w:history="1">
        <w:r w:rsidRPr="008A7BD7">
          <w:rPr>
            <w:rStyle w:val="Hyperlink"/>
            <w:rFonts w:ascii="Cambria" w:eastAsia="Cambria" w:hAnsi="Cambria" w:cstheme="majorHAnsi"/>
            <w:i/>
            <w:iCs/>
            <w:sz w:val="16"/>
            <w:szCs w:val="16"/>
            <w:lang w:val="es-CO"/>
          </w:rPr>
          <w:t>Comunicado de prensa</w:t>
        </w:r>
      </w:hyperlink>
      <w:r w:rsidRPr="008A7BD7">
        <w:rPr>
          <w:rFonts w:ascii="Cambria" w:eastAsia="Cambria" w:hAnsi="Cambria" w:cstheme="majorHAnsi"/>
          <w:i/>
          <w:color w:val="1155CC"/>
          <w:sz w:val="16"/>
          <w:szCs w:val="16"/>
          <w:u w:val="single"/>
          <w:lang w:val="es-CO"/>
        </w:rPr>
        <w:t>;</w:t>
      </w:r>
      <w:r w:rsidR="00CB0172" w:rsidRPr="008A7BD7">
        <w:rPr>
          <w:rFonts w:ascii="Cambria" w:eastAsia="Cambria" w:hAnsi="Cambria" w:cstheme="majorHAnsi"/>
          <w:i/>
          <w:color w:val="1155CC"/>
          <w:sz w:val="16"/>
          <w:szCs w:val="16"/>
          <w:u w:val="single"/>
          <w:lang w:val="es-CO"/>
        </w:rPr>
        <w:t xml:space="preserve"> </w:t>
      </w:r>
      <w:r w:rsidRPr="008A7BD7">
        <w:rPr>
          <w:rFonts w:ascii="Cambria" w:eastAsia="Cambria" w:hAnsi="Cambria" w:cstheme="majorHAnsi"/>
          <w:i/>
          <w:iCs/>
          <w:sz w:val="16"/>
          <w:szCs w:val="16"/>
          <w:lang w:val="es-CO"/>
        </w:rPr>
        <w:t>CRN Noticias</w:t>
      </w:r>
      <w:r w:rsidR="00CB0172" w:rsidRPr="008A7BD7">
        <w:rPr>
          <w:rFonts w:ascii="Cambria" w:eastAsia="Cambria" w:hAnsi="Cambria" w:cstheme="majorHAnsi"/>
          <w:sz w:val="16"/>
          <w:szCs w:val="16"/>
          <w:lang w:val="es-CO"/>
        </w:rPr>
        <w:t>,</w:t>
      </w:r>
      <w:r w:rsidRPr="008A7BD7">
        <w:rPr>
          <w:rFonts w:ascii="Cambria" w:eastAsia="Cambria" w:hAnsi="Cambria" w:cstheme="majorHAnsi"/>
          <w:sz w:val="16"/>
          <w:szCs w:val="16"/>
          <w:lang w:val="es-CO"/>
        </w:rPr>
        <w:t xml:space="preserve"> </w:t>
      </w:r>
      <w:r w:rsidR="00CB0172" w:rsidRPr="008A7BD7">
        <w:rPr>
          <w:rFonts w:ascii="Cambria" w:eastAsia="Cambria" w:hAnsi="Cambria" w:cstheme="majorHAnsi"/>
          <w:sz w:val="16"/>
          <w:szCs w:val="16"/>
          <w:lang w:val="es-CO"/>
        </w:rPr>
        <w:t xml:space="preserve">August </w:t>
      </w:r>
      <w:r w:rsidRPr="008A7BD7">
        <w:rPr>
          <w:rFonts w:ascii="Cambria" w:eastAsia="Cambria" w:hAnsi="Cambria" w:cstheme="majorHAnsi"/>
          <w:sz w:val="16"/>
          <w:szCs w:val="16"/>
          <w:lang w:val="es-CO"/>
        </w:rPr>
        <w:t>28</w:t>
      </w:r>
      <w:r w:rsidR="00CB0172" w:rsidRPr="008A7BD7">
        <w:rPr>
          <w:rFonts w:ascii="Cambria" w:eastAsia="Cambria" w:hAnsi="Cambria" w:cstheme="majorHAnsi"/>
          <w:sz w:val="16"/>
          <w:szCs w:val="16"/>
          <w:lang w:val="es-CO"/>
        </w:rPr>
        <w:t xml:space="preserve">, </w:t>
      </w:r>
      <w:r w:rsidRPr="008A7BD7">
        <w:rPr>
          <w:rFonts w:ascii="Cambria" w:eastAsia="Cambria" w:hAnsi="Cambria" w:cstheme="majorHAnsi"/>
          <w:sz w:val="16"/>
          <w:szCs w:val="16"/>
          <w:lang w:val="es-CO"/>
        </w:rPr>
        <w:t>2021</w:t>
      </w:r>
      <w:r w:rsidR="00CB0172" w:rsidRPr="008A7BD7">
        <w:rPr>
          <w:rFonts w:ascii="Cambria" w:eastAsia="Cambria" w:hAnsi="Cambria" w:cstheme="majorHAnsi"/>
          <w:sz w:val="16"/>
          <w:szCs w:val="16"/>
          <w:lang w:val="es-CO"/>
        </w:rPr>
        <w:t>,</w:t>
      </w:r>
      <w:r w:rsidRPr="008A7BD7">
        <w:rPr>
          <w:rFonts w:ascii="Cambria" w:eastAsia="Cambria" w:hAnsi="Cambria" w:cstheme="majorHAnsi"/>
          <w:sz w:val="16"/>
          <w:szCs w:val="16"/>
          <w:lang w:val="es-CO"/>
        </w:rPr>
        <w:t xml:space="preserve"> </w:t>
      </w:r>
      <w:hyperlink r:id="rId119">
        <w:r w:rsidRPr="008A7BD7">
          <w:rPr>
            <w:rFonts w:ascii="Cambria" w:eastAsia="Cambria" w:hAnsi="Cambria" w:cstheme="majorHAnsi"/>
            <w:i/>
            <w:iCs/>
            <w:color w:val="1155CC"/>
            <w:sz w:val="16"/>
            <w:szCs w:val="16"/>
            <w:u w:val="single"/>
            <w:lang w:val="es-419"/>
          </w:rPr>
          <w:t>Alejandra Carrillo usa la Ley Contra el Femicidio para denunciar a directivos del Diario La Hor</w:t>
        </w:r>
        <w:r w:rsidRPr="008A7BD7">
          <w:rPr>
            <w:rFonts w:ascii="Cambria" w:eastAsia="Cambria" w:hAnsi="Cambria" w:cstheme="majorHAnsi"/>
            <w:color w:val="1155CC"/>
            <w:sz w:val="16"/>
            <w:szCs w:val="16"/>
            <w:u w:val="single"/>
            <w:lang w:val="es-419"/>
          </w:rPr>
          <w:t>a</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Deutsche Welle</w:t>
      </w:r>
      <w:r w:rsidR="00CB0172" w:rsidRPr="008A7BD7">
        <w:rPr>
          <w:rFonts w:ascii="Cambria" w:eastAsia="Cambria" w:hAnsi="Cambria" w:cstheme="majorHAnsi"/>
          <w:sz w:val="16"/>
          <w:szCs w:val="16"/>
          <w:lang w:val="es-419"/>
        </w:rPr>
        <w:t>, August</w:t>
      </w:r>
      <w:r w:rsidRPr="008A7BD7">
        <w:rPr>
          <w:rFonts w:ascii="Cambria" w:eastAsia="Cambria" w:hAnsi="Cambria" w:cstheme="majorHAnsi"/>
          <w:sz w:val="16"/>
          <w:szCs w:val="16"/>
          <w:lang w:val="es-419"/>
        </w:rPr>
        <w:t xml:space="preserve"> 28</w:t>
      </w:r>
      <w:r w:rsidR="00CB0172"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CB0172"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20">
        <w:r w:rsidRPr="008A7BD7">
          <w:rPr>
            <w:rFonts w:ascii="Cambria" w:eastAsia="Cambria" w:hAnsi="Cambria" w:cstheme="majorHAnsi"/>
            <w:i/>
            <w:iCs/>
            <w:color w:val="1155CC"/>
            <w:sz w:val="16"/>
            <w:szCs w:val="16"/>
            <w:u w:val="single"/>
            <w:lang w:val="es-419"/>
          </w:rPr>
          <w:t>Asociación de Periodistas de Guatemala condena "acoso judicial" contra La Hora</w:t>
        </w:r>
      </w:hyperlink>
      <w:r w:rsidRPr="008A7BD7">
        <w:rPr>
          <w:rFonts w:ascii="Cambria" w:eastAsia="Cambria" w:hAnsi="Cambria" w:cstheme="majorHAnsi"/>
          <w:sz w:val="16"/>
          <w:szCs w:val="16"/>
          <w:lang w:val="es-419"/>
        </w:rPr>
        <w:t>.</w:t>
      </w:r>
    </w:p>
  </w:footnote>
  <w:footnote w:id="135">
    <w:p w14:paraId="1A2DD56E" w14:textId="67CC6542" w:rsidR="004E0CAC" w:rsidRPr="008A7BD7" w:rsidRDefault="004E0CAC" w:rsidP="001C0306">
      <w:pPr>
        <w:pStyle w:val="FootnoteText"/>
        <w:spacing w:after="120"/>
        <w:ind w:firstLine="720"/>
        <w:jc w:val="both"/>
        <w:rPr>
          <w:rFonts w:ascii="Cambria" w:hAnsi="Cambria" w:cstheme="majorHAnsi"/>
          <w:sz w:val="16"/>
          <w:szCs w:val="16"/>
          <w:lang w:val="es-419"/>
        </w:rPr>
      </w:pPr>
      <w:r w:rsidRPr="008A7BD7">
        <w:rPr>
          <w:rStyle w:val="FootnoteReference"/>
          <w:rFonts w:ascii="Cambria" w:hAnsi="Cambria" w:cstheme="majorHAnsi"/>
          <w:sz w:val="16"/>
          <w:szCs w:val="16"/>
          <w:lang w:val="es-419"/>
        </w:rPr>
        <w:footnoteRef/>
      </w:r>
      <w:r w:rsidRPr="008A7BD7">
        <w:rPr>
          <w:rFonts w:ascii="Cambria" w:hAnsi="Cambria" w:cstheme="majorHAnsi"/>
          <w:sz w:val="16"/>
          <w:szCs w:val="16"/>
          <w:lang w:val="es-419"/>
        </w:rPr>
        <w:t xml:space="preserve"> </w:t>
      </w:r>
      <w:r w:rsidRPr="008A7BD7">
        <w:rPr>
          <w:rFonts w:ascii="Cambria" w:hAnsi="Cambria" w:cstheme="majorHAnsi"/>
          <w:i/>
          <w:iCs/>
          <w:sz w:val="16"/>
          <w:szCs w:val="16"/>
          <w:lang w:val="es-419"/>
        </w:rPr>
        <w:t>El Periódico</w:t>
      </w:r>
      <w:r w:rsidR="00CB0172" w:rsidRPr="008A7BD7">
        <w:rPr>
          <w:rFonts w:ascii="Cambria" w:hAnsi="Cambria" w:cstheme="majorHAnsi"/>
          <w:sz w:val="16"/>
          <w:szCs w:val="16"/>
          <w:lang w:val="es-419"/>
        </w:rPr>
        <w:t xml:space="preserve">, </w:t>
      </w:r>
      <w:proofErr w:type="spellStart"/>
      <w:r w:rsidR="00CB0172" w:rsidRPr="008A7BD7">
        <w:rPr>
          <w:rFonts w:ascii="Cambria" w:hAnsi="Cambria" w:cstheme="majorHAnsi"/>
          <w:sz w:val="16"/>
          <w:szCs w:val="16"/>
          <w:lang w:val="es-419"/>
        </w:rPr>
        <w:t>September</w:t>
      </w:r>
      <w:proofErr w:type="spellEnd"/>
      <w:r w:rsidRPr="008A7BD7">
        <w:rPr>
          <w:rFonts w:ascii="Cambria" w:hAnsi="Cambria" w:cstheme="majorHAnsi"/>
          <w:sz w:val="16"/>
          <w:szCs w:val="16"/>
          <w:lang w:val="es-419"/>
        </w:rPr>
        <w:t xml:space="preserve"> 28</w:t>
      </w:r>
      <w:r w:rsidR="00CB0172" w:rsidRPr="008A7BD7">
        <w:rPr>
          <w:rFonts w:ascii="Cambria" w:hAnsi="Cambria" w:cstheme="majorHAnsi"/>
          <w:sz w:val="16"/>
          <w:szCs w:val="16"/>
          <w:lang w:val="es-419"/>
        </w:rPr>
        <w:t xml:space="preserve">, </w:t>
      </w:r>
      <w:r w:rsidRPr="008A7BD7">
        <w:rPr>
          <w:rFonts w:ascii="Cambria" w:hAnsi="Cambria" w:cstheme="majorHAnsi"/>
          <w:sz w:val="16"/>
          <w:szCs w:val="16"/>
          <w:lang w:val="es-419"/>
        </w:rPr>
        <w:t>2021</w:t>
      </w:r>
      <w:r w:rsidR="00CB0172"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hyperlink r:id="rId121" w:history="1">
        <w:r w:rsidRPr="008A7BD7">
          <w:rPr>
            <w:rStyle w:val="Hyperlink"/>
            <w:rFonts w:ascii="Cambria" w:hAnsi="Cambria" w:cstheme="majorHAnsi"/>
            <w:i/>
            <w:iCs/>
            <w:sz w:val="16"/>
            <w:szCs w:val="16"/>
            <w:lang w:val="es-419"/>
          </w:rPr>
          <w:t>Insólito: Corte Suprema de Justicia resuelve al estilo de la tremenda Corte de Tres Patines</w:t>
        </w:r>
        <w:r w:rsidRPr="008A7BD7">
          <w:rPr>
            <w:rStyle w:val="Hyperlink"/>
            <w:rFonts w:ascii="Cambria" w:hAnsi="Cambria" w:cstheme="majorHAnsi"/>
            <w:sz w:val="16"/>
            <w:szCs w:val="16"/>
            <w:lang w:val="es-419"/>
          </w:rPr>
          <w:t xml:space="preserve"> </w:t>
        </w:r>
      </w:hyperlink>
      <w:r w:rsidRPr="008A7BD7">
        <w:rPr>
          <w:rFonts w:ascii="Cambria" w:hAnsi="Cambria" w:cstheme="majorHAnsi"/>
          <w:sz w:val="16"/>
          <w:szCs w:val="16"/>
          <w:lang w:val="es-419"/>
        </w:rPr>
        <w:t>; SIP</w:t>
      </w:r>
      <w:r w:rsidR="00CB0172"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proofErr w:type="spellStart"/>
      <w:r w:rsidR="00CB0172" w:rsidRPr="008A7BD7">
        <w:rPr>
          <w:rFonts w:ascii="Cambria" w:hAnsi="Cambria" w:cstheme="majorHAnsi"/>
          <w:sz w:val="16"/>
          <w:szCs w:val="16"/>
          <w:lang w:val="es-419"/>
        </w:rPr>
        <w:t>September</w:t>
      </w:r>
      <w:proofErr w:type="spellEnd"/>
      <w:r w:rsidR="00CB0172" w:rsidRPr="008A7BD7">
        <w:rPr>
          <w:rFonts w:ascii="Cambria" w:hAnsi="Cambria" w:cstheme="majorHAnsi"/>
          <w:sz w:val="16"/>
          <w:szCs w:val="16"/>
          <w:lang w:val="es-419"/>
        </w:rPr>
        <w:t xml:space="preserve"> </w:t>
      </w:r>
      <w:r w:rsidRPr="008A7BD7">
        <w:rPr>
          <w:rFonts w:ascii="Cambria" w:hAnsi="Cambria" w:cstheme="majorHAnsi"/>
          <w:sz w:val="16"/>
          <w:szCs w:val="16"/>
          <w:lang w:val="es-419"/>
        </w:rPr>
        <w:t>30</w:t>
      </w:r>
      <w:r w:rsidR="00CB0172" w:rsidRPr="008A7BD7">
        <w:rPr>
          <w:rFonts w:ascii="Cambria" w:hAnsi="Cambria" w:cstheme="majorHAnsi"/>
          <w:sz w:val="16"/>
          <w:szCs w:val="16"/>
          <w:lang w:val="es-419"/>
        </w:rPr>
        <w:t xml:space="preserve">, </w:t>
      </w:r>
      <w:r w:rsidRPr="008A7BD7">
        <w:rPr>
          <w:rFonts w:ascii="Cambria" w:hAnsi="Cambria" w:cstheme="majorHAnsi"/>
          <w:sz w:val="16"/>
          <w:szCs w:val="16"/>
          <w:lang w:val="es-419"/>
        </w:rPr>
        <w:t>2021</w:t>
      </w:r>
      <w:r w:rsidR="00CB0172"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hyperlink r:id="rId122" w:history="1">
        <w:r w:rsidRPr="008A7BD7">
          <w:rPr>
            <w:rStyle w:val="Hyperlink"/>
            <w:rFonts w:ascii="Cambria" w:hAnsi="Cambria" w:cstheme="majorHAnsi"/>
            <w:i/>
            <w:iCs/>
            <w:sz w:val="16"/>
            <w:szCs w:val="16"/>
            <w:lang w:val="es-419"/>
          </w:rPr>
          <w:t xml:space="preserve">SIP rechaza investigación a </w:t>
        </w:r>
        <w:proofErr w:type="spellStart"/>
        <w:r w:rsidRPr="008A7BD7">
          <w:rPr>
            <w:rStyle w:val="Hyperlink"/>
            <w:rFonts w:ascii="Cambria" w:hAnsi="Cambria" w:cstheme="majorHAnsi"/>
            <w:i/>
            <w:iCs/>
            <w:sz w:val="16"/>
            <w:szCs w:val="16"/>
            <w:lang w:val="es-419"/>
          </w:rPr>
          <w:t>elPeriódico</w:t>
        </w:r>
        <w:proofErr w:type="spellEnd"/>
        <w:r w:rsidRPr="008A7BD7">
          <w:rPr>
            <w:rStyle w:val="Hyperlink"/>
            <w:rFonts w:ascii="Cambria" w:hAnsi="Cambria" w:cstheme="majorHAnsi"/>
            <w:i/>
            <w:iCs/>
            <w:sz w:val="16"/>
            <w:szCs w:val="16"/>
            <w:lang w:val="es-419"/>
          </w:rPr>
          <w:t xml:space="preserve"> ordenada por la Corte Suprema de Guatemala</w:t>
        </w:r>
        <w:r w:rsidRPr="008A7BD7">
          <w:rPr>
            <w:rStyle w:val="Hyperlink"/>
            <w:rFonts w:ascii="Cambria" w:hAnsi="Cambria" w:cstheme="majorHAnsi"/>
            <w:sz w:val="16"/>
            <w:szCs w:val="16"/>
            <w:lang w:val="es-419"/>
          </w:rPr>
          <w:t>.</w:t>
        </w:r>
      </w:hyperlink>
    </w:p>
  </w:footnote>
  <w:footnote w:id="136">
    <w:p w14:paraId="6B619FF2" w14:textId="720211F8" w:rsidR="004E0CAC" w:rsidRPr="008A7BD7" w:rsidRDefault="004E0CAC" w:rsidP="00746761">
      <w:pPr>
        <w:pStyle w:val="FootnoteText"/>
        <w:spacing w:after="120"/>
        <w:ind w:firstLine="720"/>
        <w:rPr>
          <w:rFonts w:ascii="Cambria" w:hAnsi="Cambria"/>
          <w:sz w:val="16"/>
          <w:szCs w:val="16"/>
          <w:lang w:val="es-ES_tradnl"/>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L</w:t>
      </w:r>
      <w:r w:rsidRPr="008A7BD7">
        <w:rPr>
          <w:rFonts w:ascii="Cambria" w:hAnsi="Cambria" w:cstheme="majorHAnsi"/>
          <w:i/>
          <w:iCs/>
          <w:sz w:val="16"/>
          <w:szCs w:val="16"/>
          <w:lang w:val="es-419"/>
        </w:rPr>
        <w:t>a Hora</w:t>
      </w:r>
      <w:r w:rsidR="00E55DB9" w:rsidRPr="008A7BD7">
        <w:rPr>
          <w:rFonts w:ascii="Cambria" w:hAnsi="Cambria" w:cstheme="majorHAnsi"/>
          <w:sz w:val="16"/>
          <w:szCs w:val="16"/>
          <w:lang w:val="es-419"/>
        </w:rPr>
        <w:t xml:space="preserve">, </w:t>
      </w:r>
      <w:proofErr w:type="spellStart"/>
      <w:r w:rsidR="00E55DB9" w:rsidRPr="008A7BD7">
        <w:rPr>
          <w:rFonts w:ascii="Cambria" w:hAnsi="Cambria" w:cstheme="majorHAnsi"/>
          <w:sz w:val="16"/>
          <w:szCs w:val="16"/>
          <w:lang w:val="es-419"/>
        </w:rPr>
        <w:t>October</w:t>
      </w:r>
      <w:proofErr w:type="spellEnd"/>
      <w:r w:rsidRPr="008A7BD7">
        <w:rPr>
          <w:rFonts w:ascii="Cambria" w:hAnsi="Cambria" w:cstheme="majorHAnsi"/>
          <w:sz w:val="16"/>
          <w:szCs w:val="16"/>
          <w:lang w:val="es-419"/>
        </w:rPr>
        <w:t xml:space="preserve"> 2</w:t>
      </w:r>
      <w:r w:rsidR="00E55DB9" w:rsidRPr="008A7BD7">
        <w:rPr>
          <w:rFonts w:ascii="Cambria" w:hAnsi="Cambria" w:cstheme="majorHAnsi"/>
          <w:sz w:val="16"/>
          <w:szCs w:val="16"/>
          <w:lang w:val="es-419"/>
        </w:rPr>
        <w:t xml:space="preserve">, </w:t>
      </w:r>
      <w:r w:rsidRPr="008A7BD7">
        <w:rPr>
          <w:rFonts w:ascii="Cambria" w:hAnsi="Cambria" w:cstheme="majorHAnsi"/>
          <w:sz w:val="16"/>
          <w:szCs w:val="16"/>
          <w:lang w:val="es-419"/>
        </w:rPr>
        <w:t>2021</w:t>
      </w:r>
      <w:r w:rsidR="00E55DB9"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hyperlink r:id="rId123" w:history="1">
        <w:r w:rsidRPr="008A7BD7">
          <w:rPr>
            <w:rStyle w:val="Hyperlink"/>
            <w:rFonts w:ascii="Cambria" w:hAnsi="Cambria" w:cstheme="majorHAnsi"/>
            <w:i/>
            <w:iCs/>
            <w:sz w:val="16"/>
            <w:szCs w:val="16"/>
            <w:lang w:val="es-419"/>
          </w:rPr>
          <w:t>MP quiere interrogar a periodista por nota que denunció filtración</w:t>
        </w:r>
      </w:hyperlink>
      <w:r w:rsidRPr="008A7BD7">
        <w:rPr>
          <w:rFonts w:ascii="Cambria" w:hAnsi="Cambria" w:cstheme="majorHAnsi"/>
          <w:sz w:val="16"/>
          <w:szCs w:val="16"/>
          <w:lang w:val="es-419"/>
        </w:rPr>
        <w:t>.</w:t>
      </w:r>
    </w:p>
  </w:footnote>
  <w:footnote w:id="137">
    <w:p w14:paraId="1B41EF97" w14:textId="36064227" w:rsidR="004E0CAC" w:rsidRPr="008A7BD7" w:rsidRDefault="004E0CAC" w:rsidP="00746761">
      <w:pPr>
        <w:pStyle w:val="FootnoteText"/>
        <w:spacing w:after="120"/>
        <w:ind w:firstLine="720"/>
        <w:rPr>
          <w:rFonts w:ascii="Cambria" w:hAnsi="Cambria" w:cstheme="majorHAnsi"/>
          <w:sz w:val="16"/>
          <w:szCs w:val="16"/>
        </w:rPr>
      </w:pPr>
      <w:r w:rsidRPr="008A7BD7">
        <w:rPr>
          <w:rStyle w:val="FootnoteReference"/>
          <w:rFonts w:ascii="Cambria" w:hAnsi="Cambria" w:cstheme="majorHAnsi"/>
          <w:sz w:val="16"/>
          <w:szCs w:val="16"/>
          <w:lang w:val="es-419"/>
        </w:rPr>
        <w:footnoteRef/>
      </w:r>
      <w:r w:rsidRPr="008A7BD7">
        <w:rPr>
          <w:rFonts w:ascii="Cambria" w:hAnsi="Cambria" w:cstheme="majorHAnsi"/>
          <w:sz w:val="16"/>
          <w:szCs w:val="16"/>
        </w:rPr>
        <w:t xml:space="preserve"> </w:t>
      </w:r>
      <w:r w:rsidR="0086127B" w:rsidRPr="008A7BD7">
        <w:rPr>
          <w:rFonts w:ascii="Cambria" w:hAnsi="Cambria" w:cstheme="majorHAnsi"/>
          <w:sz w:val="16"/>
          <w:szCs w:val="16"/>
        </w:rPr>
        <w:t xml:space="preserve">IACHR, Office of the Special Rapporteur for Freedom of Expression, October 29, 2021, Press Release 286, </w:t>
      </w:r>
      <w:hyperlink r:id="rId124" w:history="1">
        <w:r w:rsidR="0086127B" w:rsidRPr="008A7BD7">
          <w:rPr>
            <w:rStyle w:val="Hyperlink"/>
            <w:rFonts w:ascii="Cambria" w:hAnsi="Cambria" w:cstheme="majorHAnsi"/>
            <w:sz w:val="16"/>
            <w:szCs w:val="16"/>
          </w:rPr>
          <w:t>The Office of the Special Rapporteur calls on the State of Guatemala to respect and guarantee the work of journalists in accordance with international human rights standards</w:t>
        </w:r>
      </w:hyperlink>
      <w:r w:rsidRPr="008A7BD7">
        <w:rPr>
          <w:rFonts w:ascii="Cambria" w:hAnsi="Cambria" w:cstheme="majorHAnsi"/>
          <w:sz w:val="16"/>
          <w:szCs w:val="16"/>
        </w:rPr>
        <w:t>.</w:t>
      </w:r>
    </w:p>
  </w:footnote>
  <w:footnote w:id="138">
    <w:p w14:paraId="4B914441" w14:textId="1444D321" w:rsidR="004E0CAC" w:rsidRPr="008A7BD7" w:rsidRDefault="004E0CAC" w:rsidP="00746761">
      <w:pPr>
        <w:pStyle w:val="FootnoteText"/>
        <w:spacing w:after="120"/>
        <w:ind w:firstLine="720"/>
        <w:rPr>
          <w:rFonts w:ascii="Cambria" w:hAnsi="Cambria" w:cstheme="majorHAnsi"/>
          <w:sz w:val="16"/>
          <w:szCs w:val="16"/>
          <w:lang w:val="es-419"/>
        </w:rPr>
      </w:pPr>
      <w:r w:rsidRPr="008A7BD7">
        <w:rPr>
          <w:rStyle w:val="FootnoteReference"/>
          <w:rFonts w:ascii="Cambria" w:hAnsi="Cambria" w:cstheme="majorHAnsi"/>
          <w:sz w:val="16"/>
          <w:szCs w:val="16"/>
          <w:lang w:val="es-419"/>
        </w:rPr>
        <w:footnoteRef/>
      </w:r>
      <w:r w:rsidRPr="008A7BD7">
        <w:rPr>
          <w:rFonts w:ascii="Cambria" w:hAnsi="Cambria" w:cstheme="majorHAnsi"/>
          <w:sz w:val="16"/>
          <w:szCs w:val="16"/>
          <w:lang w:val="es-419"/>
        </w:rPr>
        <w:t xml:space="preserve"> </w:t>
      </w:r>
      <w:proofErr w:type="spellStart"/>
      <w:r w:rsidR="0050550F" w:rsidRPr="008A7BD7">
        <w:rPr>
          <w:rFonts w:ascii="Cambria" w:eastAsia="Cambria" w:hAnsi="Cambria" w:cstheme="majorHAnsi"/>
          <w:sz w:val="16"/>
          <w:szCs w:val="16"/>
          <w:lang w:val="es-419"/>
        </w:rPr>
        <w:t>Article</w:t>
      </w:r>
      <w:proofErr w:type="spellEnd"/>
      <w:r w:rsidRPr="008A7BD7">
        <w:rPr>
          <w:rFonts w:ascii="Cambria" w:eastAsia="Cambria" w:hAnsi="Cambria" w:cstheme="majorHAnsi"/>
          <w:sz w:val="16"/>
          <w:szCs w:val="16"/>
          <w:lang w:val="es-419"/>
        </w:rPr>
        <w:t xml:space="preserve"> 19</w:t>
      </w:r>
      <w:r w:rsidR="0050550F" w:rsidRPr="008A7BD7">
        <w:rPr>
          <w:rFonts w:ascii="Cambria" w:eastAsia="Cambria" w:hAnsi="Cambria" w:cstheme="majorHAnsi"/>
          <w:sz w:val="16"/>
          <w:szCs w:val="16"/>
          <w:lang w:val="es-419"/>
        </w:rPr>
        <w:t xml:space="preserve">, April </w:t>
      </w:r>
      <w:r w:rsidRPr="008A7BD7">
        <w:rPr>
          <w:rFonts w:ascii="Cambria" w:eastAsia="Cambria" w:hAnsi="Cambria" w:cstheme="majorHAnsi"/>
          <w:sz w:val="16"/>
          <w:szCs w:val="16"/>
          <w:lang w:val="es-419"/>
        </w:rPr>
        <w:t>7</w:t>
      </w:r>
      <w:r w:rsidR="0050550F"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0550F"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25">
        <w:r w:rsidRPr="008A7BD7">
          <w:rPr>
            <w:rFonts w:ascii="Cambria" w:eastAsia="Cambria" w:hAnsi="Cambria" w:cstheme="majorHAnsi"/>
            <w:i/>
            <w:iCs/>
            <w:color w:val="1155CC"/>
            <w:sz w:val="16"/>
            <w:szCs w:val="16"/>
            <w:u w:val="single"/>
            <w:lang w:val="es-419"/>
          </w:rPr>
          <w:t xml:space="preserve">Acoso sistemático contra los periodistas Marvin Del Cid y </w:t>
        </w:r>
        <w:proofErr w:type="spellStart"/>
        <w:r w:rsidRPr="008A7BD7">
          <w:rPr>
            <w:rFonts w:ascii="Cambria" w:eastAsia="Cambria" w:hAnsi="Cambria" w:cstheme="majorHAnsi"/>
            <w:i/>
            <w:iCs/>
            <w:color w:val="1155CC"/>
            <w:sz w:val="16"/>
            <w:szCs w:val="16"/>
            <w:u w:val="single"/>
            <w:lang w:val="es-419"/>
          </w:rPr>
          <w:t>Sonny</w:t>
        </w:r>
        <w:proofErr w:type="spellEnd"/>
        <w:r w:rsidRPr="008A7BD7">
          <w:rPr>
            <w:rFonts w:ascii="Cambria" w:eastAsia="Cambria" w:hAnsi="Cambria" w:cstheme="majorHAnsi"/>
            <w:i/>
            <w:iCs/>
            <w:color w:val="1155CC"/>
            <w:sz w:val="16"/>
            <w:szCs w:val="16"/>
            <w:u w:val="single"/>
            <w:lang w:val="es-419"/>
          </w:rPr>
          <w:t xml:space="preserve"> Figueroa</w:t>
        </w:r>
      </w:hyperlink>
      <w:r w:rsidRPr="008A7BD7">
        <w:rPr>
          <w:rFonts w:ascii="Cambria" w:eastAsia="Cambria" w:hAnsi="Cambria" w:cstheme="majorHAnsi"/>
          <w:sz w:val="16"/>
          <w:szCs w:val="16"/>
          <w:lang w:val="es-419"/>
        </w:rPr>
        <w:t xml:space="preserve">; </w:t>
      </w:r>
      <w:r w:rsidR="0050550F" w:rsidRPr="008A7BD7">
        <w:rPr>
          <w:rFonts w:ascii="Cambria" w:eastAsia="Cambria" w:hAnsi="Cambria" w:cstheme="majorHAnsi"/>
          <w:sz w:val="16"/>
          <w:szCs w:val="16"/>
          <w:lang w:val="es-419"/>
        </w:rPr>
        <w:t xml:space="preserve">International </w:t>
      </w:r>
      <w:proofErr w:type="spellStart"/>
      <w:r w:rsidR="0050550F" w:rsidRPr="008A7BD7">
        <w:rPr>
          <w:rFonts w:ascii="Cambria" w:eastAsia="Cambria" w:hAnsi="Cambria" w:cstheme="majorHAnsi"/>
          <w:sz w:val="16"/>
          <w:szCs w:val="16"/>
          <w:lang w:val="es-419"/>
        </w:rPr>
        <w:t>Federation</w:t>
      </w:r>
      <w:proofErr w:type="spellEnd"/>
      <w:r w:rsidR="0050550F" w:rsidRPr="008A7BD7">
        <w:rPr>
          <w:rFonts w:ascii="Cambria" w:eastAsia="Cambria" w:hAnsi="Cambria" w:cstheme="majorHAnsi"/>
          <w:sz w:val="16"/>
          <w:szCs w:val="16"/>
          <w:lang w:val="es-419"/>
        </w:rPr>
        <w:t xml:space="preserve"> </w:t>
      </w:r>
      <w:proofErr w:type="spellStart"/>
      <w:r w:rsidR="0050550F" w:rsidRPr="008A7BD7">
        <w:rPr>
          <w:rFonts w:ascii="Cambria" w:eastAsia="Cambria" w:hAnsi="Cambria" w:cstheme="majorHAnsi"/>
          <w:sz w:val="16"/>
          <w:szCs w:val="16"/>
          <w:lang w:val="es-419"/>
        </w:rPr>
        <w:t>for</w:t>
      </w:r>
      <w:proofErr w:type="spellEnd"/>
      <w:r w:rsidR="0050550F" w:rsidRPr="008A7BD7">
        <w:rPr>
          <w:rFonts w:ascii="Cambria" w:eastAsia="Cambria" w:hAnsi="Cambria" w:cstheme="majorHAnsi"/>
          <w:sz w:val="16"/>
          <w:szCs w:val="16"/>
          <w:lang w:val="es-419"/>
        </w:rPr>
        <w:t xml:space="preserve"> Human </w:t>
      </w:r>
      <w:proofErr w:type="spellStart"/>
      <w:r w:rsidR="0050550F" w:rsidRPr="008A7BD7">
        <w:rPr>
          <w:rFonts w:ascii="Cambria" w:eastAsia="Cambria" w:hAnsi="Cambria" w:cstheme="majorHAnsi"/>
          <w:sz w:val="16"/>
          <w:szCs w:val="16"/>
          <w:lang w:val="es-419"/>
        </w:rPr>
        <w:t>Rights</w:t>
      </w:r>
      <w:proofErr w:type="spellEnd"/>
      <w:r w:rsidR="0050550F" w:rsidRPr="008A7BD7">
        <w:rPr>
          <w:rFonts w:ascii="Cambria" w:eastAsia="Cambria" w:hAnsi="Cambria" w:cstheme="majorHAnsi"/>
          <w:sz w:val="16"/>
          <w:szCs w:val="16"/>
          <w:lang w:val="es-419"/>
        </w:rPr>
        <w:t xml:space="preserve">, April </w:t>
      </w:r>
      <w:r w:rsidRPr="008A7BD7">
        <w:rPr>
          <w:rFonts w:ascii="Cambria" w:eastAsia="Cambria" w:hAnsi="Cambria" w:cstheme="majorHAnsi"/>
          <w:sz w:val="16"/>
          <w:szCs w:val="16"/>
          <w:lang w:val="es-419"/>
        </w:rPr>
        <w:t>8</w:t>
      </w:r>
      <w:r w:rsidR="0050550F"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0550F"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26">
        <w:r w:rsidRPr="008A7BD7">
          <w:rPr>
            <w:rFonts w:ascii="Cambria" w:eastAsia="Cambria" w:hAnsi="Cambria" w:cstheme="majorHAnsi"/>
            <w:i/>
            <w:iCs/>
            <w:color w:val="1155CC"/>
            <w:sz w:val="16"/>
            <w:szCs w:val="16"/>
            <w:u w:val="single"/>
            <w:lang w:val="es-419"/>
          </w:rPr>
          <w:t xml:space="preserve">Guatemala: Persiste el hostigamiento contra los periodistas Marvin Del Cid y </w:t>
        </w:r>
        <w:proofErr w:type="spellStart"/>
        <w:r w:rsidRPr="008A7BD7">
          <w:rPr>
            <w:rFonts w:ascii="Cambria" w:eastAsia="Cambria" w:hAnsi="Cambria" w:cstheme="majorHAnsi"/>
            <w:i/>
            <w:iCs/>
            <w:color w:val="1155CC"/>
            <w:sz w:val="16"/>
            <w:szCs w:val="16"/>
            <w:u w:val="single"/>
            <w:lang w:val="es-419"/>
          </w:rPr>
          <w:t>Sonny</w:t>
        </w:r>
        <w:proofErr w:type="spellEnd"/>
        <w:r w:rsidRPr="008A7BD7">
          <w:rPr>
            <w:rFonts w:ascii="Cambria" w:eastAsia="Cambria" w:hAnsi="Cambria" w:cstheme="majorHAnsi"/>
            <w:i/>
            <w:iCs/>
            <w:color w:val="1155CC"/>
            <w:sz w:val="16"/>
            <w:szCs w:val="16"/>
            <w:u w:val="single"/>
            <w:lang w:val="es-419"/>
          </w:rPr>
          <w:t xml:space="preserve"> Figueroa</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Deutsche Welle</w:t>
      </w:r>
      <w:r w:rsidR="0050550F" w:rsidRPr="008A7BD7">
        <w:rPr>
          <w:rFonts w:ascii="Cambria" w:eastAsia="Cambria" w:hAnsi="Cambria" w:cstheme="majorHAnsi"/>
          <w:sz w:val="16"/>
          <w:szCs w:val="16"/>
          <w:lang w:val="es-419"/>
        </w:rPr>
        <w:t xml:space="preserve">, April </w:t>
      </w:r>
      <w:r w:rsidRPr="008A7BD7">
        <w:rPr>
          <w:rFonts w:ascii="Cambria" w:eastAsia="Cambria" w:hAnsi="Cambria" w:cstheme="majorHAnsi"/>
          <w:sz w:val="16"/>
          <w:szCs w:val="16"/>
          <w:lang w:val="es-419"/>
        </w:rPr>
        <w:t>1</w:t>
      </w:r>
      <w:r w:rsidR="0050550F"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0550F"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27">
        <w:r w:rsidRPr="008A7BD7">
          <w:rPr>
            <w:rFonts w:ascii="Cambria" w:eastAsia="Cambria" w:hAnsi="Cambria" w:cstheme="majorHAnsi"/>
            <w:i/>
            <w:iCs/>
            <w:color w:val="1155CC"/>
            <w:sz w:val="16"/>
            <w:szCs w:val="16"/>
            <w:u w:val="single"/>
            <w:lang w:val="es-419"/>
          </w:rPr>
          <w:t>Periodistas de Guatemala denuncian nuevos seguimientos y ataques</w:t>
        </w:r>
      </w:hyperlink>
      <w:r w:rsidR="0050550F" w:rsidRPr="008A7BD7">
        <w:rPr>
          <w:rFonts w:ascii="Cambria" w:eastAsia="Cambria" w:hAnsi="Cambria" w:cstheme="majorHAnsi"/>
          <w:i/>
          <w:iCs/>
          <w:color w:val="1155CC"/>
          <w:sz w:val="16"/>
          <w:szCs w:val="16"/>
          <w:u w:val="single"/>
          <w:lang w:val="es-419"/>
        </w:rPr>
        <w:t>.</w:t>
      </w:r>
    </w:p>
  </w:footnote>
  <w:footnote w:id="139">
    <w:p w14:paraId="1EF447A2" w14:textId="427C73C8" w:rsidR="004E0CAC" w:rsidRPr="008A7BD7" w:rsidRDefault="004E0CAC" w:rsidP="00746761">
      <w:pPr>
        <w:spacing w:after="120"/>
        <w:ind w:firstLine="720"/>
        <w:rPr>
          <w:rFonts w:ascii="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proofErr w:type="spellStart"/>
      <w:r w:rsidR="00DB565F" w:rsidRPr="008A7BD7">
        <w:rPr>
          <w:rFonts w:ascii="Cambria" w:eastAsia="Cambria" w:hAnsi="Cambria" w:cstheme="majorHAnsi"/>
          <w:sz w:val="16"/>
          <w:szCs w:val="16"/>
          <w:lang w:val="es-419"/>
        </w:rPr>
        <w:t>Article</w:t>
      </w:r>
      <w:proofErr w:type="spellEnd"/>
      <w:r w:rsidR="00DB565F" w:rsidRPr="008A7BD7">
        <w:rPr>
          <w:rFonts w:ascii="Cambria" w:eastAsia="Cambria" w:hAnsi="Cambria" w:cstheme="majorHAnsi"/>
          <w:sz w:val="16"/>
          <w:szCs w:val="16"/>
          <w:lang w:val="es-419"/>
        </w:rPr>
        <w:t xml:space="preserve"> 19, April 7, 2021, </w:t>
      </w:r>
      <w:hyperlink r:id="rId128">
        <w:r w:rsidR="00DB565F" w:rsidRPr="008A7BD7">
          <w:rPr>
            <w:rFonts w:ascii="Cambria" w:eastAsia="Cambria" w:hAnsi="Cambria" w:cstheme="majorHAnsi"/>
            <w:i/>
            <w:iCs/>
            <w:color w:val="1155CC"/>
            <w:sz w:val="16"/>
            <w:szCs w:val="16"/>
            <w:u w:val="single"/>
            <w:lang w:val="es-419"/>
          </w:rPr>
          <w:t xml:space="preserve">Acoso sistemático contra los periodistas Marvin Del Cid y </w:t>
        </w:r>
        <w:proofErr w:type="spellStart"/>
        <w:r w:rsidR="00DB565F" w:rsidRPr="008A7BD7">
          <w:rPr>
            <w:rFonts w:ascii="Cambria" w:eastAsia="Cambria" w:hAnsi="Cambria" w:cstheme="majorHAnsi"/>
            <w:i/>
            <w:iCs/>
            <w:color w:val="1155CC"/>
            <w:sz w:val="16"/>
            <w:szCs w:val="16"/>
            <w:u w:val="single"/>
            <w:lang w:val="es-419"/>
          </w:rPr>
          <w:t>Sonny</w:t>
        </w:r>
        <w:proofErr w:type="spellEnd"/>
        <w:r w:rsidR="00DB565F" w:rsidRPr="008A7BD7">
          <w:rPr>
            <w:rFonts w:ascii="Cambria" w:eastAsia="Cambria" w:hAnsi="Cambria" w:cstheme="majorHAnsi"/>
            <w:i/>
            <w:iCs/>
            <w:color w:val="1155CC"/>
            <w:sz w:val="16"/>
            <w:szCs w:val="16"/>
            <w:u w:val="single"/>
            <w:lang w:val="es-419"/>
          </w:rPr>
          <w:t xml:space="preserve"> Figueroa</w:t>
        </w:r>
      </w:hyperlink>
      <w:r w:rsidR="00DB565F" w:rsidRPr="008A7BD7">
        <w:rPr>
          <w:rFonts w:ascii="Cambria" w:eastAsia="Cambria" w:hAnsi="Cambria" w:cstheme="majorHAnsi"/>
          <w:sz w:val="16"/>
          <w:szCs w:val="16"/>
          <w:lang w:val="es-419"/>
        </w:rPr>
        <w:t xml:space="preserve">; International </w:t>
      </w:r>
      <w:proofErr w:type="spellStart"/>
      <w:r w:rsidR="00DB565F" w:rsidRPr="008A7BD7">
        <w:rPr>
          <w:rFonts w:ascii="Cambria" w:eastAsia="Cambria" w:hAnsi="Cambria" w:cstheme="majorHAnsi"/>
          <w:sz w:val="16"/>
          <w:szCs w:val="16"/>
          <w:lang w:val="es-419"/>
        </w:rPr>
        <w:t>Federation</w:t>
      </w:r>
      <w:proofErr w:type="spellEnd"/>
      <w:r w:rsidR="00DB565F" w:rsidRPr="008A7BD7">
        <w:rPr>
          <w:rFonts w:ascii="Cambria" w:eastAsia="Cambria" w:hAnsi="Cambria" w:cstheme="majorHAnsi"/>
          <w:sz w:val="16"/>
          <w:szCs w:val="16"/>
          <w:lang w:val="es-419"/>
        </w:rPr>
        <w:t xml:space="preserve"> </w:t>
      </w:r>
      <w:proofErr w:type="spellStart"/>
      <w:r w:rsidR="00DB565F" w:rsidRPr="008A7BD7">
        <w:rPr>
          <w:rFonts w:ascii="Cambria" w:eastAsia="Cambria" w:hAnsi="Cambria" w:cstheme="majorHAnsi"/>
          <w:sz w:val="16"/>
          <w:szCs w:val="16"/>
          <w:lang w:val="es-419"/>
        </w:rPr>
        <w:t>for</w:t>
      </w:r>
      <w:proofErr w:type="spellEnd"/>
      <w:r w:rsidR="00DB565F" w:rsidRPr="008A7BD7">
        <w:rPr>
          <w:rFonts w:ascii="Cambria" w:eastAsia="Cambria" w:hAnsi="Cambria" w:cstheme="majorHAnsi"/>
          <w:sz w:val="16"/>
          <w:szCs w:val="16"/>
          <w:lang w:val="es-419"/>
        </w:rPr>
        <w:t xml:space="preserve"> Human </w:t>
      </w:r>
      <w:proofErr w:type="spellStart"/>
      <w:r w:rsidR="00DB565F" w:rsidRPr="008A7BD7">
        <w:rPr>
          <w:rFonts w:ascii="Cambria" w:eastAsia="Cambria" w:hAnsi="Cambria" w:cstheme="majorHAnsi"/>
          <w:sz w:val="16"/>
          <w:szCs w:val="16"/>
          <w:lang w:val="es-419"/>
        </w:rPr>
        <w:t>Rights</w:t>
      </w:r>
      <w:proofErr w:type="spellEnd"/>
      <w:r w:rsidR="00DB565F" w:rsidRPr="008A7BD7">
        <w:rPr>
          <w:rFonts w:ascii="Cambria" w:eastAsia="Cambria" w:hAnsi="Cambria" w:cstheme="majorHAnsi"/>
          <w:sz w:val="16"/>
          <w:szCs w:val="16"/>
          <w:lang w:val="es-419"/>
        </w:rPr>
        <w:t xml:space="preserve">, April 8, 2021, </w:t>
      </w:r>
      <w:hyperlink r:id="rId129">
        <w:r w:rsidR="00DB565F" w:rsidRPr="008A7BD7">
          <w:rPr>
            <w:rFonts w:ascii="Cambria" w:eastAsia="Cambria" w:hAnsi="Cambria" w:cstheme="majorHAnsi"/>
            <w:i/>
            <w:iCs/>
            <w:color w:val="1155CC"/>
            <w:sz w:val="16"/>
            <w:szCs w:val="16"/>
            <w:u w:val="single"/>
            <w:lang w:val="es-419"/>
          </w:rPr>
          <w:t xml:space="preserve">Guatemala: Persiste el hostigamiento contra los periodistas Marvin Del Cid y </w:t>
        </w:r>
        <w:proofErr w:type="spellStart"/>
        <w:r w:rsidR="00DB565F" w:rsidRPr="008A7BD7">
          <w:rPr>
            <w:rFonts w:ascii="Cambria" w:eastAsia="Cambria" w:hAnsi="Cambria" w:cstheme="majorHAnsi"/>
            <w:i/>
            <w:iCs/>
            <w:color w:val="1155CC"/>
            <w:sz w:val="16"/>
            <w:szCs w:val="16"/>
            <w:u w:val="single"/>
            <w:lang w:val="es-419"/>
          </w:rPr>
          <w:t>Sonny</w:t>
        </w:r>
        <w:proofErr w:type="spellEnd"/>
        <w:r w:rsidR="00DB565F" w:rsidRPr="008A7BD7">
          <w:rPr>
            <w:rFonts w:ascii="Cambria" w:eastAsia="Cambria" w:hAnsi="Cambria" w:cstheme="majorHAnsi"/>
            <w:i/>
            <w:iCs/>
            <w:color w:val="1155CC"/>
            <w:sz w:val="16"/>
            <w:szCs w:val="16"/>
            <w:u w:val="single"/>
            <w:lang w:val="es-419"/>
          </w:rPr>
          <w:t xml:space="preserve"> Figueroa</w:t>
        </w:r>
      </w:hyperlink>
      <w:r w:rsidR="00DB565F" w:rsidRPr="008A7BD7">
        <w:rPr>
          <w:rFonts w:ascii="Cambria" w:eastAsia="Cambria" w:hAnsi="Cambria" w:cstheme="majorHAnsi"/>
          <w:sz w:val="16"/>
          <w:szCs w:val="16"/>
          <w:lang w:val="es-419"/>
        </w:rPr>
        <w:t xml:space="preserve">; </w:t>
      </w:r>
      <w:r w:rsidR="00DB565F" w:rsidRPr="008A7BD7">
        <w:rPr>
          <w:rFonts w:ascii="Cambria" w:eastAsia="Cambria" w:hAnsi="Cambria" w:cstheme="majorHAnsi"/>
          <w:i/>
          <w:iCs/>
          <w:sz w:val="16"/>
          <w:szCs w:val="16"/>
          <w:lang w:val="es-419"/>
        </w:rPr>
        <w:t>Deutsche Welle</w:t>
      </w:r>
      <w:r w:rsidR="00DB565F" w:rsidRPr="008A7BD7">
        <w:rPr>
          <w:rFonts w:ascii="Cambria" w:eastAsia="Cambria" w:hAnsi="Cambria" w:cstheme="majorHAnsi"/>
          <w:sz w:val="16"/>
          <w:szCs w:val="16"/>
          <w:lang w:val="es-419"/>
        </w:rPr>
        <w:t xml:space="preserve">, April 1, 2021, </w:t>
      </w:r>
      <w:hyperlink r:id="rId130">
        <w:r w:rsidR="00DB565F" w:rsidRPr="008A7BD7">
          <w:rPr>
            <w:rFonts w:ascii="Cambria" w:eastAsia="Cambria" w:hAnsi="Cambria" w:cstheme="majorHAnsi"/>
            <w:i/>
            <w:iCs/>
            <w:color w:val="1155CC"/>
            <w:sz w:val="16"/>
            <w:szCs w:val="16"/>
            <w:u w:val="single"/>
            <w:lang w:val="es-419"/>
          </w:rPr>
          <w:t>Periodistas de Guatemala denuncian nuevos seguimientos y ataques</w:t>
        </w:r>
      </w:hyperlink>
      <w:r w:rsidR="00DB565F" w:rsidRPr="008A7BD7">
        <w:rPr>
          <w:rFonts w:ascii="Cambria" w:eastAsia="Cambria" w:hAnsi="Cambria" w:cstheme="majorHAnsi"/>
          <w:i/>
          <w:iCs/>
          <w:color w:val="1155CC"/>
          <w:sz w:val="16"/>
          <w:szCs w:val="16"/>
          <w:u w:val="single"/>
          <w:lang w:val="es-419"/>
        </w:rPr>
        <w:t>.</w:t>
      </w:r>
    </w:p>
  </w:footnote>
  <w:footnote w:id="140">
    <w:p w14:paraId="1C6CD969" w14:textId="408F3C36" w:rsidR="004E0CAC" w:rsidRPr="008A7BD7" w:rsidRDefault="004E0CAC" w:rsidP="00746761">
      <w:pPr>
        <w:spacing w:after="120"/>
        <w:ind w:firstLine="720"/>
        <w:rPr>
          <w:rFonts w:ascii="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sz w:val="16"/>
          <w:szCs w:val="16"/>
          <w:lang w:val="es-419"/>
        </w:rPr>
        <w:t>Reporteros sin Fronteras</w:t>
      </w:r>
      <w:r w:rsidR="0065010E" w:rsidRPr="008A7BD7">
        <w:rPr>
          <w:rFonts w:ascii="Cambria" w:eastAsia="Cambria" w:hAnsi="Cambria" w:cstheme="majorHAnsi"/>
          <w:sz w:val="16"/>
          <w:szCs w:val="16"/>
          <w:lang w:val="es-419"/>
        </w:rPr>
        <w:t>, March</w:t>
      </w:r>
      <w:r w:rsidRPr="008A7BD7">
        <w:rPr>
          <w:rFonts w:ascii="Cambria" w:eastAsia="Cambria" w:hAnsi="Cambria" w:cstheme="majorHAnsi"/>
          <w:sz w:val="16"/>
          <w:szCs w:val="16"/>
          <w:lang w:val="es-419"/>
        </w:rPr>
        <w:t xml:space="preserve"> 11</w:t>
      </w:r>
      <w:r w:rsidR="0065010E"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65010E"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31">
        <w:r w:rsidRPr="008A7BD7">
          <w:rPr>
            <w:rFonts w:ascii="Cambria" w:eastAsia="Cambria" w:hAnsi="Cambria" w:cstheme="majorHAnsi"/>
            <w:i/>
            <w:iCs/>
            <w:color w:val="1155CC"/>
            <w:sz w:val="16"/>
            <w:szCs w:val="16"/>
            <w:u w:val="single"/>
            <w:lang w:val="es-419"/>
          </w:rPr>
          <w:t>RSF condena las difamaciones y amenazas contra el periodista español Asier Vera</w:t>
        </w:r>
      </w:hyperlink>
      <w:r w:rsidRPr="008A7BD7">
        <w:rPr>
          <w:rFonts w:ascii="Cambria" w:eastAsia="Cambria" w:hAnsi="Cambria" w:cstheme="majorHAnsi"/>
          <w:sz w:val="16"/>
          <w:szCs w:val="16"/>
          <w:lang w:val="es-419"/>
        </w:rPr>
        <w:t>.</w:t>
      </w:r>
    </w:p>
  </w:footnote>
  <w:footnote w:id="141">
    <w:p w14:paraId="16DD5688" w14:textId="0F6F3CFA" w:rsidR="004E0CAC" w:rsidRPr="008A7BD7" w:rsidRDefault="004E0CAC" w:rsidP="00746761">
      <w:pPr>
        <w:spacing w:after="120"/>
        <w:ind w:firstLine="720"/>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sz w:val="16"/>
          <w:szCs w:val="16"/>
          <w:lang w:val="es-419"/>
        </w:rPr>
        <w:t>Twitter</w:t>
      </w:r>
      <w:r w:rsidR="0065010E" w:rsidRPr="008A7BD7">
        <w:rPr>
          <w:rFonts w:ascii="Cambria" w:eastAsia="Cambria" w:hAnsi="Cambria" w:cstheme="majorHAnsi"/>
          <w:sz w:val="16"/>
          <w:szCs w:val="16"/>
          <w:lang w:val="es-419"/>
        </w:rPr>
        <w:t xml:space="preserve">, </w:t>
      </w:r>
      <w:proofErr w:type="spellStart"/>
      <w:r w:rsidR="0065010E" w:rsidRPr="008A7BD7">
        <w:rPr>
          <w:rFonts w:ascii="Cambria" w:eastAsia="Cambria" w:hAnsi="Cambria" w:cstheme="majorHAnsi"/>
          <w:sz w:val="16"/>
          <w:szCs w:val="16"/>
          <w:lang w:val="es-419"/>
        </w:rPr>
        <w:t>undated</w:t>
      </w:r>
      <w:proofErr w:type="spellEnd"/>
      <w:r w:rsidR="0065010E" w:rsidRPr="008A7BD7">
        <w:rPr>
          <w:rFonts w:ascii="Cambria" w:eastAsia="Cambria" w:hAnsi="Cambria" w:cstheme="majorHAnsi"/>
          <w:sz w:val="16"/>
          <w:szCs w:val="16"/>
          <w:lang w:val="es-419"/>
        </w:rPr>
        <w:t xml:space="preserve">, </w:t>
      </w:r>
      <w:hyperlink r:id="rId132">
        <w:r w:rsidRPr="008A7BD7">
          <w:rPr>
            <w:rFonts w:ascii="Cambria" w:eastAsia="Cambria" w:hAnsi="Cambria" w:cstheme="majorHAnsi"/>
            <w:color w:val="1155CC"/>
            <w:sz w:val="16"/>
            <w:szCs w:val="16"/>
            <w:u w:val="single"/>
            <w:lang w:val="es-419"/>
          </w:rPr>
          <w:t>@LordVaderGT</w:t>
        </w:r>
        <w:r w:rsidR="0065010E" w:rsidRPr="008A7BD7">
          <w:rPr>
            <w:rFonts w:ascii="Cambria" w:eastAsia="Cambria" w:hAnsi="Cambria" w:cstheme="majorHAnsi"/>
            <w:color w:val="1155CC"/>
            <w:sz w:val="16"/>
            <w:szCs w:val="16"/>
            <w:u w:val="single"/>
            <w:lang w:val="es-419"/>
          </w:rPr>
          <w:t>.</w:t>
        </w:r>
        <w:r w:rsidRPr="008A7BD7">
          <w:rPr>
            <w:rFonts w:ascii="Cambria" w:eastAsia="Cambria" w:hAnsi="Cambria" w:cstheme="majorHAnsi"/>
            <w:color w:val="1155CC"/>
            <w:sz w:val="16"/>
            <w:szCs w:val="16"/>
            <w:u w:val="single"/>
            <w:lang w:val="es-419"/>
          </w:rPr>
          <w:t xml:space="preserve"> </w:t>
        </w:r>
      </w:hyperlink>
    </w:p>
  </w:footnote>
  <w:footnote w:id="142">
    <w:p w14:paraId="444D5A86" w14:textId="26DA865F" w:rsidR="004E0CAC" w:rsidRPr="008A7BD7" w:rsidRDefault="004E0CAC" w:rsidP="00746761">
      <w:pPr>
        <w:spacing w:after="120"/>
        <w:ind w:firstLine="720"/>
        <w:rPr>
          <w:rFonts w:ascii="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hAnsi="Cambria" w:cstheme="majorHAnsi"/>
          <w:i/>
          <w:iCs/>
          <w:sz w:val="16"/>
          <w:szCs w:val="16"/>
          <w:lang w:val="es-419"/>
        </w:rPr>
        <w:t>La Hora</w:t>
      </w:r>
      <w:r w:rsidR="0065010E"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r w:rsidR="0065010E" w:rsidRPr="008A7BD7">
        <w:rPr>
          <w:rFonts w:ascii="Cambria" w:hAnsi="Cambria" w:cstheme="majorHAnsi"/>
          <w:sz w:val="16"/>
          <w:szCs w:val="16"/>
          <w:lang w:val="es-419"/>
        </w:rPr>
        <w:t xml:space="preserve">May </w:t>
      </w:r>
      <w:r w:rsidRPr="008A7BD7">
        <w:rPr>
          <w:rFonts w:ascii="Cambria" w:hAnsi="Cambria" w:cstheme="majorHAnsi"/>
          <w:sz w:val="16"/>
          <w:szCs w:val="16"/>
          <w:lang w:val="es-419"/>
        </w:rPr>
        <w:t>17</w:t>
      </w:r>
      <w:r w:rsidR="0065010E" w:rsidRPr="008A7BD7">
        <w:rPr>
          <w:rFonts w:ascii="Cambria" w:hAnsi="Cambria" w:cstheme="majorHAnsi"/>
          <w:sz w:val="16"/>
          <w:szCs w:val="16"/>
          <w:lang w:val="es-419"/>
        </w:rPr>
        <w:t xml:space="preserve">, </w:t>
      </w:r>
      <w:r w:rsidRPr="008A7BD7">
        <w:rPr>
          <w:rFonts w:ascii="Cambria" w:hAnsi="Cambria" w:cstheme="majorHAnsi"/>
          <w:sz w:val="16"/>
          <w:szCs w:val="16"/>
          <w:lang w:val="es-419"/>
        </w:rPr>
        <w:t>2021</w:t>
      </w:r>
      <w:r w:rsidR="0065010E"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hyperlink r:id="rId133">
        <w:r w:rsidRPr="008A7BD7">
          <w:rPr>
            <w:rFonts w:ascii="Cambria" w:hAnsi="Cambria" w:cstheme="majorHAnsi"/>
            <w:i/>
            <w:iCs/>
            <w:color w:val="1155CC"/>
            <w:sz w:val="16"/>
            <w:szCs w:val="16"/>
            <w:u w:val="single"/>
            <w:lang w:val="es-US"/>
          </w:rPr>
          <w:t xml:space="preserve">Periodistas acusan a Magistrada de la CSJ de filtrar imágenes a </w:t>
        </w:r>
        <w:proofErr w:type="spellStart"/>
        <w:r w:rsidRPr="008A7BD7">
          <w:rPr>
            <w:rFonts w:ascii="Cambria" w:hAnsi="Cambria" w:cstheme="majorHAnsi"/>
            <w:i/>
            <w:iCs/>
            <w:color w:val="1155CC"/>
            <w:sz w:val="16"/>
            <w:szCs w:val="16"/>
            <w:u w:val="single"/>
            <w:lang w:val="es-US"/>
          </w:rPr>
          <w:t>Netcenter</w:t>
        </w:r>
        <w:proofErr w:type="spellEnd"/>
      </w:hyperlink>
      <w:r w:rsidRPr="008A7BD7">
        <w:rPr>
          <w:rFonts w:ascii="Cambria" w:hAnsi="Cambria" w:cstheme="majorHAnsi"/>
          <w:sz w:val="16"/>
          <w:szCs w:val="16"/>
          <w:lang w:val="es-US"/>
        </w:rPr>
        <w:t xml:space="preserve">; </w:t>
      </w:r>
      <w:r w:rsidR="0065010E" w:rsidRPr="008A7BD7">
        <w:rPr>
          <w:rFonts w:ascii="Cambria" w:eastAsia="Cambria" w:hAnsi="Cambria" w:cstheme="majorHAnsi"/>
          <w:sz w:val="16"/>
          <w:szCs w:val="16"/>
          <w:lang w:val="es-CO"/>
        </w:rPr>
        <w:t xml:space="preserve">Office of </w:t>
      </w:r>
      <w:proofErr w:type="spellStart"/>
      <w:r w:rsidR="0065010E" w:rsidRPr="008A7BD7">
        <w:rPr>
          <w:rFonts w:ascii="Cambria" w:eastAsia="Cambria" w:hAnsi="Cambria" w:cstheme="majorHAnsi"/>
          <w:sz w:val="16"/>
          <w:szCs w:val="16"/>
          <w:lang w:val="es-CO"/>
        </w:rPr>
        <w:t>the</w:t>
      </w:r>
      <w:proofErr w:type="spellEnd"/>
      <w:r w:rsidR="0065010E" w:rsidRPr="008A7BD7">
        <w:rPr>
          <w:rFonts w:ascii="Cambria" w:eastAsia="Cambria" w:hAnsi="Cambria" w:cstheme="majorHAnsi"/>
          <w:sz w:val="16"/>
          <w:szCs w:val="16"/>
          <w:lang w:val="es-CO"/>
        </w:rPr>
        <w:t xml:space="preserve"> Human </w:t>
      </w:r>
      <w:proofErr w:type="spellStart"/>
      <w:r w:rsidR="0065010E" w:rsidRPr="008A7BD7">
        <w:rPr>
          <w:rFonts w:ascii="Cambria" w:eastAsia="Cambria" w:hAnsi="Cambria" w:cstheme="majorHAnsi"/>
          <w:sz w:val="16"/>
          <w:szCs w:val="16"/>
          <w:lang w:val="es-CO"/>
        </w:rPr>
        <w:t>Rights</w:t>
      </w:r>
      <w:proofErr w:type="spellEnd"/>
      <w:r w:rsidR="0065010E" w:rsidRPr="008A7BD7">
        <w:rPr>
          <w:rFonts w:ascii="Cambria" w:eastAsia="Cambria" w:hAnsi="Cambria" w:cstheme="majorHAnsi"/>
          <w:sz w:val="16"/>
          <w:szCs w:val="16"/>
          <w:lang w:val="es-CO"/>
        </w:rPr>
        <w:t xml:space="preserve"> Ombudsman of Guatemala, May</w:t>
      </w:r>
      <w:r w:rsidR="0065010E" w:rsidRPr="008A7BD7">
        <w:rPr>
          <w:rFonts w:ascii="Cambria" w:hAnsi="Cambria" w:cstheme="majorHAnsi"/>
          <w:sz w:val="16"/>
          <w:szCs w:val="16"/>
          <w:lang w:val="es-US"/>
        </w:rPr>
        <w:t xml:space="preserve"> </w:t>
      </w:r>
      <w:r w:rsidRPr="008A7BD7">
        <w:rPr>
          <w:rFonts w:ascii="Cambria" w:hAnsi="Cambria" w:cstheme="majorHAnsi"/>
          <w:sz w:val="16"/>
          <w:szCs w:val="16"/>
          <w:lang w:val="es-US"/>
        </w:rPr>
        <w:t>17</w:t>
      </w:r>
      <w:r w:rsidR="0065010E" w:rsidRPr="008A7BD7">
        <w:rPr>
          <w:rFonts w:ascii="Cambria" w:hAnsi="Cambria" w:cstheme="majorHAnsi"/>
          <w:sz w:val="16"/>
          <w:szCs w:val="16"/>
          <w:lang w:val="es-US"/>
        </w:rPr>
        <w:t>,</w:t>
      </w:r>
      <w:r w:rsidRPr="008A7BD7">
        <w:rPr>
          <w:rFonts w:ascii="Cambria" w:hAnsi="Cambria" w:cstheme="majorHAnsi"/>
          <w:sz w:val="16"/>
          <w:szCs w:val="16"/>
          <w:lang w:val="es-US"/>
        </w:rPr>
        <w:t xml:space="preserve"> 2021</w:t>
      </w:r>
      <w:r w:rsidR="0065010E" w:rsidRPr="008A7BD7">
        <w:rPr>
          <w:rFonts w:ascii="Cambria" w:hAnsi="Cambria" w:cstheme="majorHAnsi"/>
          <w:sz w:val="16"/>
          <w:szCs w:val="16"/>
          <w:lang w:val="es-US"/>
        </w:rPr>
        <w:t>,</w:t>
      </w:r>
      <w:r w:rsidRPr="008A7BD7">
        <w:rPr>
          <w:rFonts w:ascii="Cambria" w:hAnsi="Cambria" w:cstheme="majorHAnsi"/>
          <w:sz w:val="16"/>
          <w:szCs w:val="16"/>
          <w:lang w:val="es-US"/>
        </w:rPr>
        <w:t xml:space="preserve"> </w:t>
      </w:r>
      <w:hyperlink r:id="rId134">
        <w:r w:rsidRPr="008A7BD7">
          <w:rPr>
            <w:rFonts w:ascii="Cambria" w:hAnsi="Cambria" w:cstheme="majorHAnsi"/>
            <w:i/>
            <w:iCs/>
            <w:color w:val="1155CC"/>
            <w:sz w:val="16"/>
            <w:szCs w:val="16"/>
            <w:u w:val="single"/>
            <w:lang w:val="es-419"/>
          </w:rPr>
          <w:t xml:space="preserve">75/21 El Procurador de los Derechos Humanos, Jordán Rodas Andrade, condena los actos de hostigamiento contra la periodista Michelle Mendoza y rechaza categóricamente los ataques promovidos contra líderes civiles desde los </w:t>
        </w:r>
        <w:proofErr w:type="spellStart"/>
        <w:r w:rsidRPr="008A7BD7">
          <w:rPr>
            <w:rFonts w:ascii="Cambria" w:hAnsi="Cambria" w:cstheme="majorHAnsi"/>
            <w:i/>
            <w:iCs/>
            <w:color w:val="1155CC"/>
            <w:sz w:val="16"/>
            <w:szCs w:val="16"/>
            <w:u w:val="single"/>
            <w:lang w:val="es-419"/>
          </w:rPr>
          <w:t>netcenters</w:t>
        </w:r>
        <w:proofErr w:type="spellEnd"/>
        <w:r w:rsidRPr="008A7BD7">
          <w:rPr>
            <w:rFonts w:ascii="Cambria" w:hAnsi="Cambria" w:cstheme="majorHAnsi"/>
            <w:i/>
            <w:iCs/>
            <w:color w:val="1155CC"/>
            <w:sz w:val="16"/>
            <w:szCs w:val="16"/>
            <w:u w:val="single"/>
            <w:lang w:val="es-419"/>
          </w:rPr>
          <w:t xml:space="preserve"> que forman parte de estructuras criminales</w:t>
        </w:r>
      </w:hyperlink>
      <w:r w:rsidRPr="008A7BD7">
        <w:rPr>
          <w:rFonts w:ascii="Cambria" w:hAnsi="Cambria" w:cstheme="majorHAnsi"/>
          <w:sz w:val="16"/>
          <w:szCs w:val="16"/>
          <w:lang w:val="es-419"/>
        </w:rPr>
        <w:t xml:space="preserve">.  </w:t>
      </w:r>
    </w:p>
  </w:footnote>
  <w:footnote w:id="143">
    <w:p w14:paraId="6696AC95" w14:textId="7B5738DF" w:rsidR="004E0CAC" w:rsidRPr="008A7BD7" w:rsidRDefault="004E0CAC" w:rsidP="00DE7135">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El Peri</w:t>
      </w:r>
      <w:r w:rsidR="000B2759" w:rsidRPr="008A7BD7">
        <w:rPr>
          <w:rFonts w:ascii="Cambria" w:eastAsia="Cambria" w:hAnsi="Cambria" w:cstheme="majorHAnsi"/>
          <w:i/>
          <w:iCs/>
          <w:sz w:val="16"/>
          <w:szCs w:val="16"/>
          <w:lang w:val="es-419"/>
        </w:rPr>
        <w:t>ó</w:t>
      </w:r>
      <w:r w:rsidRPr="008A7BD7">
        <w:rPr>
          <w:rFonts w:ascii="Cambria" w:eastAsia="Cambria" w:hAnsi="Cambria" w:cstheme="majorHAnsi"/>
          <w:i/>
          <w:iCs/>
          <w:sz w:val="16"/>
          <w:szCs w:val="16"/>
          <w:lang w:val="es-419"/>
        </w:rPr>
        <w:t>dico</w:t>
      </w:r>
      <w:r w:rsidR="004D50C2" w:rsidRPr="008A7BD7">
        <w:rPr>
          <w:rFonts w:ascii="Cambria" w:eastAsia="Cambria" w:hAnsi="Cambria" w:cstheme="majorHAnsi"/>
          <w:sz w:val="16"/>
          <w:szCs w:val="16"/>
          <w:lang w:val="es-419"/>
        </w:rPr>
        <w:t>, June</w:t>
      </w:r>
      <w:r w:rsidRPr="008A7BD7">
        <w:rPr>
          <w:rFonts w:ascii="Cambria" w:eastAsia="Cambria" w:hAnsi="Cambria" w:cstheme="majorHAnsi"/>
          <w:sz w:val="16"/>
          <w:szCs w:val="16"/>
          <w:lang w:val="es-419"/>
        </w:rPr>
        <w:t xml:space="preserve"> 9</w:t>
      </w:r>
      <w:r w:rsidR="004D50C2"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4D50C2"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35">
        <w:r w:rsidRPr="008A7BD7">
          <w:rPr>
            <w:rFonts w:ascii="Cambria" w:eastAsia="Cambria" w:hAnsi="Cambria" w:cstheme="majorHAnsi"/>
            <w:i/>
            <w:color w:val="1155CC"/>
            <w:sz w:val="16"/>
            <w:szCs w:val="16"/>
            <w:u w:val="single"/>
            <w:lang w:val="es-419"/>
          </w:rPr>
          <w:t xml:space="preserve">PNC allana vivienda de editor de </w:t>
        </w:r>
        <w:proofErr w:type="spellStart"/>
        <w:r w:rsidRPr="008A7BD7">
          <w:rPr>
            <w:rFonts w:ascii="Cambria" w:eastAsia="Cambria" w:hAnsi="Cambria" w:cstheme="majorHAnsi"/>
            <w:i/>
            <w:color w:val="1155CC"/>
            <w:sz w:val="16"/>
            <w:szCs w:val="16"/>
            <w:u w:val="single"/>
            <w:lang w:val="es-419"/>
          </w:rPr>
          <w:t>elPeriódico</w:t>
        </w:r>
        <w:proofErr w:type="spellEnd"/>
      </w:hyperlink>
      <w:r w:rsidRPr="008A7BD7">
        <w:rPr>
          <w:rFonts w:ascii="Cambria" w:eastAsia="Cambria" w:hAnsi="Cambria" w:cstheme="majorHAnsi"/>
          <w:sz w:val="16"/>
          <w:szCs w:val="16"/>
          <w:lang w:val="es-419"/>
        </w:rPr>
        <w:t xml:space="preserve">; </w:t>
      </w:r>
      <w:proofErr w:type="spellStart"/>
      <w:r w:rsidRPr="008A7BD7">
        <w:rPr>
          <w:rFonts w:ascii="Cambria" w:eastAsia="Cambria" w:hAnsi="Cambria" w:cstheme="majorHAnsi"/>
          <w:sz w:val="16"/>
          <w:szCs w:val="16"/>
          <w:lang w:val="es-419"/>
        </w:rPr>
        <w:t>Latam</w:t>
      </w:r>
      <w:proofErr w:type="spellEnd"/>
      <w:r w:rsidRPr="008A7BD7">
        <w:rPr>
          <w:rFonts w:ascii="Cambria" w:eastAsia="Cambria" w:hAnsi="Cambria" w:cstheme="majorHAnsi"/>
          <w:sz w:val="16"/>
          <w:szCs w:val="16"/>
          <w:lang w:val="es-419"/>
        </w:rPr>
        <w:t xml:space="preserve"> </w:t>
      </w:r>
      <w:proofErr w:type="spellStart"/>
      <w:r w:rsidRPr="008A7BD7">
        <w:rPr>
          <w:rFonts w:ascii="Cambria" w:eastAsia="Cambria" w:hAnsi="Cambria" w:cstheme="majorHAnsi"/>
          <w:sz w:val="16"/>
          <w:szCs w:val="16"/>
          <w:lang w:val="es-419"/>
        </w:rPr>
        <w:t>Journalism</w:t>
      </w:r>
      <w:proofErr w:type="spellEnd"/>
      <w:r w:rsidRPr="008A7BD7">
        <w:rPr>
          <w:rFonts w:ascii="Cambria" w:eastAsia="Cambria" w:hAnsi="Cambria" w:cstheme="majorHAnsi"/>
          <w:sz w:val="16"/>
          <w:szCs w:val="16"/>
          <w:lang w:val="es-419"/>
        </w:rPr>
        <w:t xml:space="preserve"> </w:t>
      </w:r>
      <w:proofErr w:type="spellStart"/>
      <w:r w:rsidRPr="008A7BD7">
        <w:rPr>
          <w:rFonts w:ascii="Cambria" w:eastAsia="Cambria" w:hAnsi="Cambria" w:cstheme="majorHAnsi"/>
          <w:sz w:val="16"/>
          <w:szCs w:val="16"/>
          <w:lang w:val="es-419"/>
        </w:rPr>
        <w:t>Review</w:t>
      </w:r>
      <w:proofErr w:type="spellEnd"/>
      <w:r w:rsidR="004D50C2"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r w:rsidR="004D50C2" w:rsidRPr="008A7BD7">
        <w:rPr>
          <w:rFonts w:ascii="Cambria" w:eastAsia="Cambria" w:hAnsi="Cambria" w:cstheme="majorHAnsi"/>
          <w:sz w:val="16"/>
          <w:szCs w:val="16"/>
          <w:lang w:val="es-419"/>
        </w:rPr>
        <w:t xml:space="preserve">June </w:t>
      </w:r>
      <w:r w:rsidRPr="008A7BD7">
        <w:rPr>
          <w:rFonts w:ascii="Cambria" w:eastAsia="Cambria" w:hAnsi="Cambria" w:cstheme="majorHAnsi"/>
          <w:sz w:val="16"/>
          <w:szCs w:val="16"/>
          <w:lang w:val="es-419"/>
        </w:rPr>
        <w:t>9</w:t>
      </w:r>
      <w:r w:rsidR="004D50C2"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4D50C2"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36">
        <w:r w:rsidRPr="008A7BD7">
          <w:rPr>
            <w:rFonts w:ascii="Cambria" w:eastAsia="Cambria" w:hAnsi="Cambria" w:cstheme="majorHAnsi"/>
            <w:i/>
            <w:color w:val="1155CC"/>
            <w:sz w:val="16"/>
            <w:szCs w:val="16"/>
            <w:u w:val="single"/>
            <w:lang w:val="es-419"/>
          </w:rPr>
          <w:t xml:space="preserve">Policía allana vivienda de editor de </w:t>
        </w:r>
        <w:proofErr w:type="spellStart"/>
        <w:r w:rsidRPr="008A7BD7">
          <w:rPr>
            <w:rFonts w:ascii="Cambria" w:eastAsia="Cambria" w:hAnsi="Cambria" w:cstheme="majorHAnsi"/>
            <w:i/>
            <w:color w:val="1155CC"/>
            <w:sz w:val="16"/>
            <w:szCs w:val="16"/>
            <w:u w:val="single"/>
            <w:lang w:val="es-419"/>
          </w:rPr>
          <w:t>elPeriódico</w:t>
        </w:r>
        <w:proofErr w:type="spellEnd"/>
        <w:r w:rsidRPr="008A7BD7">
          <w:rPr>
            <w:rFonts w:ascii="Cambria" w:eastAsia="Cambria" w:hAnsi="Cambria" w:cstheme="majorHAnsi"/>
            <w:i/>
            <w:color w:val="1155CC"/>
            <w:sz w:val="16"/>
            <w:szCs w:val="16"/>
            <w:u w:val="single"/>
            <w:lang w:val="es-419"/>
          </w:rPr>
          <w:t xml:space="preserve"> en Guatemala</w:t>
        </w:r>
      </w:hyperlink>
      <w:r w:rsidRPr="008A7BD7">
        <w:rPr>
          <w:rFonts w:ascii="Cambria" w:eastAsia="Cambria" w:hAnsi="Cambria" w:cstheme="majorHAnsi"/>
          <w:sz w:val="16"/>
          <w:szCs w:val="16"/>
          <w:lang w:val="es-419"/>
        </w:rPr>
        <w:t>.</w:t>
      </w:r>
    </w:p>
  </w:footnote>
  <w:footnote w:id="144">
    <w:p w14:paraId="772647C9" w14:textId="358374AC" w:rsidR="00FF2619" w:rsidRPr="008A7BD7" w:rsidRDefault="00FF2619" w:rsidP="00FF2619">
      <w:pPr>
        <w:spacing w:after="120"/>
        <w:ind w:firstLine="720"/>
      </w:pPr>
      <w:r w:rsidRPr="008A7BD7">
        <w:rPr>
          <w:rStyle w:val="FootnoteReference"/>
          <w:rFonts w:ascii="Cambria" w:hAnsi="Cambria"/>
          <w:sz w:val="16"/>
          <w:szCs w:val="16"/>
        </w:rPr>
        <w:footnoteRef/>
      </w:r>
      <w:r w:rsidRPr="008A7BD7">
        <w:rPr>
          <w:rFonts w:ascii="Cambria" w:hAnsi="Cambria"/>
          <w:sz w:val="16"/>
          <w:szCs w:val="16"/>
        </w:rPr>
        <w:t xml:space="preserve"> </w:t>
      </w:r>
      <w:r w:rsidR="007737D8" w:rsidRPr="008A7BD7">
        <w:rPr>
          <w:rFonts w:ascii="Cambria" w:hAnsi="Cambria"/>
          <w:sz w:val="16"/>
          <w:szCs w:val="16"/>
        </w:rPr>
        <w:t>Response from the State of</w:t>
      </w:r>
      <w:r w:rsidR="007737D8"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7737D8" w:rsidRPr="008A7BD7">
        <w:rPr>
          <w:rFonts w:ascii="Cambria" w:hAnsi="Cambria"/>
          <w:sz w:val="16"/>
          <w:szCs w:val="16"/>
        </w:rPr>
        <w:t>OEA</w:t>
      </w:r>
      <w:r w:rsidR="007737D8" w:rsidRPr="008A7BD7">
        <w:rPr>
          <w:rFonts w:ascii="Cambria" w:eastAsia="Cambria" w:hAnsi="Cambria" w:cs="Cambria"/>
          <w:color w:val="000000"/>
          <w:sz w:val="16"/>
          <w:szCs w:val="16"/>
        </w:rPr>
        <w:t>-M4-980-2021, December 22, 2021, p</w:t>
      </w:r>
      <w:r w:rsidR="007737D8"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50</w:t>
      </w:r>
      <w:r w:rsidR="00DE262B"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51.</w:t>
      </w:r>
    </w:p>
  </w:footnote>
  <w:footnote w:id="145">
    <w:p w14:paraId="3D67AB2B" w14:textId="6563B281" w:rsidR="004E0CAC" w:rsidRPr="008A7BD7" w:rsidRDefault="004E0CAC" w:rsidP="00DE7135">
      <w:pPr>
        <w:pStyle w:val="FootnoteText"/>
        <w:spacing w:after="120"/>
        <w:ind w:firstLine="720"/>
        <w:jc w:val="both"/>
        <w:rPr>
          <w:rFonts w:ascii="Cambria" w:hAnsi="Cambria"/>
          <w:sz w:val="16"/>
          <w:szCs w:val="16"/>
          <w:lang w:val="es-ES_tradnl"/>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Prensa Comunitaria</w:t>
      </w:r>
      <w:r w:rsidR="004D50C2" w:rsidRPr="008A7BD7">
        <w:rPr>
          <w:rFonts w:ascii="Cambria" w:hAnsi="Cambria"/>
          <w:sz w:val="16"/>
          <w:szCs w:val="16"/>
          <w:lang w:val="es-US"/>
        </w:rPr>
        <w:t xml:space="preserve">, </w:t>
      </w:r>
      <w:proofErr w:type="spellStart"/>
      <w:r w:rsidR="004D50C2" w:rsidRPr="008A7BD7">
        <w:rPr>
          <w:rFonts w:ascii="Cambria" w:hAnsi="Cambria"/>
          <w:sz w:val="16"/>
          <w:szCs w:val="16"/>
          <w:lang w:val="es-US"/>
        </w:rPr>
        <w:t>October</w:t>
      </w:r>
      <w:proofErr w:type="spellEnd"/>
      <w:r w:rsidRPr="008A7BD7">
        <w:rPr>
          <w:rFonts w:ascii="Cambria" w:hAnsi="Cambria"/>
          <w:sz w:val="16"/>
          <w:szCs w:val="16"/>
          <w:lang w:val="es-US"/>
        </w:rPr>
        <w:t xml:space="preserve"> 26</w:t>
      </w:r>
      <w:r w:rsidR="004D50C2" w:rsidRPr="008A7BD7">
        <w:rPr>
          <w:rFonts w:ascii="Cambria" w:hAnsi="Cambria"/>
          <w:sz w:val="16"/>
          <w:szCs w:val="16"/>
          <w:lang w:val="es-US"/>
        </w:rPr>
        <w:t xml:space="preserve">, </w:t>
      </w:r>
      <w:r w:rsidRPr="008A7BD7">
        <w:rPr>
          <w:rFonts w:ascii="Cambria" w:hAnsi="Cambria"/>
          <w:sz w:val="16"/>
          <w:szCs w:val="16"/>
          <w:lang w:val="es-US"/>
        </w:rPr>
        <w:t>2021</w:t>
      </w:r>
      <w:r w:rsidR="004D50C2" w:rsidRPr="008A7BD7">
        <w:rPr>
          <w:rFonts w:ascii="Cambria" w:hAnsi="Cambria"/>
          <w:sz w:val="16"/>
          <w:szCs w:val="16"/>
          <w:lang w:val="es-US"/>
        </w:rPr>
        <w:t>,</w:t>
      </w:r>
      <w:r w:rsidRPr="008A7BD7">
        <w:rPr>
          <w:rFonts w:ascii="Cambria" w:hAnsi="Cambria"/>
          <w:sz w:val="16"/>
          <w:szCs w:val="16"/>
          <w:lang w:val="es-US"/>
        </w:rPr>
        <w:t xml:space="preserve"> </w:t>
      </w:r>
      <w:hyperlink r:id="rId137" w:history="1">
        <w:r w:rsidRPr="008A7BD7">
          <w:rPr>
            <w:rStyle w:val="Hyperlink"/>
            <w:rFonts w:ascii="Cambria" w:hAnsi="Cambria"/>
            <w:i/>
            <w:iCs/>
            <w:sz w:val="16"/>
            <w:szCs w:val="16"/>
            <w:lang w:val="es-US"/>
          </w:rPr>
          <w:t xml:space="preserve">Allanamiento en casa del periodista Juan Bautista </w:t>
        </w:r>
        <w:proofErr w:type="spellStart"/>
        <w:r w:rsidRPr="008A7BD7">
          <w:rPr>
            <w:rStyle w:val="Hyperlink"/>
            <w:rFonts w:ascii="Cambria" w:hAnsi="Cambria"/>
            <w:i/>
            <w:iCs/>
            <w:sz w:val="16"/>
            <w:szCs w:val="16"/>
            <w:lang w:val="es-US"/>
          </w:rPr>
          <w:t>Xol</w:t>
        </w:r>
        <w:proofErr w:type="spellEnd"/>
        <w:r w:rsidRPr="008A7BD7">
          <w:rPr>
            <w:rStyle w:val="Hyperlink"/>
            <w:rFonts w:ascii="Cambria" w:hAnsi="Cambria"/>
            <w:i/>
            <w:iCs/>
            <w:sz w:val="16"/>
            <w:szCs w:val="16"/>
            <w:lang w:val="es-US"/>
          </w:rPr>
          <w:t>, acto de criminalización y censura</w:t>
        </w:r>
      </w:hyperlink>
      <w:r w:rsidRPr="008A7BD7">
        <w:rPr>
          <w:rFonts w:ascii="Cambria" w:hAnsi="Cambria"/>
          <w:sz w:val="16"/>
          <w:szCs w:val="16"/>
          <w:lang w:val="es-US"/>
        </w:rPr>
        <w:t>.</w:t>
      </w:r>
    </w:p>
  </w:footnote>
  <w:footnote w:id="146">
    <w:p w14:paraId="4D1E5EB2" w14:textId="188C2398" w:rsidR="004E0CAC" w:rsidRPr="008A7BD7" w:rsidRDefault="004E0CAC" w:rsidP="00DE7135">
      <w:pPr>
        <w:pStyle w:val="FootnoteText"/>
        <w:spacing w:after="120"/>
        <w:ind w:firstLine="720"/>
        <w:jc w:val="both"/>
        <w:rPr>
          <w:rFonts w:ascii="Cambria" w:hAnsi="Cambria" w:cstheme="majorHAnsi"/>
          <w:sz w:val="16"/>
          <w:szCs w:val="16"/>
        </w:rPr>
      </w:pPr>
      <w:r w:rsidRPr="008A7BD7">
        <w:rPr>
          <w:rStyle w:val="FootnoteReference"/>
          <w:rFonts w:ascii="Cambria" w:hAnsi="Cambria" w:cstheme="majorHAnsi"/>
          <w:sz w:val="16"/>
          <w:szCs w:val="16"/>
          <w:lang w:val="es-419"/>
        </w:rPr>
        <w:footnoteRef/>
      </w:r>
      <w:r w:rsidRPr="008A7BD7">
        <w:rPr>
          <w:rFonts w:ascii="Cambria" w:hAnsi="Cambria" w:cstheme="majorHAnsi"/>
          <w:sz w:val="16"/>
          <w:szCs w:val="16"/>
        </w:rPr>
        <w:t xml:space="preserve"> </w:t>
      </w:r>
      <w:r w:rsidR="00F8120A" w:rsidRPr="008A7BD7">
        <w:rPr>
          <w:rFonts w:ascii="Cambria" w:hAnsi="Cambria" w:cstheme="majorHAnsi"/>
          <w:sz w:val="16"/>
          <w:szCs w:val="16"/>
        </w:rPr>
        <w:t xml:space="preserve">IACHR, Office of the Special Rapporteur for Freedom of Expression, October 29, 2021, Press Release 286, </w:t>
      </w:r>
      <w:hyperlink r:id="rId138" w:history="1">
        <w:r w:rsidR="00F8120A" w:rsidRPr="008A7BD7">
          <w:rPr>
            <w:rStyle w:val="Hyperlink"/>
            <w:rFonts w:ascii="Cambria" w:hAnsi="Cambria" w:cstheme="majorHAnsi"/>
            <w:sz w:val="16"/>
            <w:szCs w:val="16"/>
          </w:rPr>
          <w:t>The Office of the Special Rapporteur calls on the State of Guatemala to respect and guarantee the work of journalists in accordance with international human rights standards</w:t>
        </w:r>
      </w:hyperlink>
      <w:r w:rsidRPr="008A7BD7">
        <w:rPr>
          <w:rFonts w:ascii="Cambria" w:hAnsi="Cambria" w:cstheme="majorHAnsi"/>
          <w:sz w:val="16"/>
          <w:szCs w:val="16"/>
        </w:rPr>
        <w:t>.</w:t>
      </w:r>
    </w:p>
  </w:footnote>
  <w:footnote w:id="147">
    <w:p w14:paraId="2123B6D8" w14:textId="36BA0AF1" w:rsidR="004E0CAC" w:rsidRPr="008A7BD7" w:rsidRDefault="004E0CAC" w:rsidP="00DE7135">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CO"/>
        </w:rPr>
        <w:t xml:space="preserve"> </w:t>
      </w:r>
      <w:proofErr w:type="spellStart"/>
      <w:r w:rsidR="00F8120A" w:rsidRPr="008A7BD7">
        <w:rPr>
          <w:rFonts w:ascii="Cambria" w:hAnsi="Cambria" w:cstheme="majorHAnsi"/>
          <w:sz w:val="16"/>
          <w:szCs w:val="16"/>
          <w:lang w:val="es-CO"/>
        </w:rPr>
        <w:t>Government</w:t>
      </w:r>
      <w:proofErr w:type="spellEnd"/>
      <w:r w:rsidR="00F8120A" w:rsidRPr="008A7BD7">
        <w:rPr>
          <w:rFonts w:ascii="Cambria" w:hAnsi="Cambria" w:cstheme="majorHAnsi"/>
          <w:sz w:val="16"/>
          <w:szCs w:val="16"/>
          <w:lang w:val="es-CO"/>
        </w:rPr>
        <w:t xml:space="preserve"> of </w:t>
      </w:r>
      <w:r w:rsidRPr="008A7BD7">
        <w:rPr>
          <w:rFonts w:ascii="Cambria" w:hAnsi="Cambria" w:cstheme="majorHAnsi"/>
          <w:sz w:val="16"/>
          <w:szCs w:val="16"/>
          <w:lang w:val="es-CO"/>
        </w:rPr>
        <w:t>Guatemala</w:t>
      </w:r>
      <w:r w:rsidR="00F8120A" w:rsidRPr="008A7BD7">
        <w:rPr>
          <w:rFonts w:ascii="Cambria" w:hAnsi="Cambria" w:cstheme="majorHAnsi"/>
          <w:sz w:val="16"/>
          <w:szCs w:val="16"/>
          <w:lang w:val="es-CO"/>
        </w:rPr>
        <w:t>,</w:t>
      </w:r>
      <w:r w:rsidRPr="008A7BD7">
        <w:rPr>
          <w:rFonts w:ascii="Cambria" w:hAnsi="Cambria" w:cstheme="majorHAnsi"/>
          <w:sz w:val="16"/>
          <w:szCs w:val="16"/>
          <w:lang w:val="es-CO"/>
        </w:rPr>
        <w:t xml:space="preserve"> </w:t>
      </w:r>
      <w:hyperlink r:id="rId139" w:history="1">
        <w:r w:rsidRPr="008A7BD7">
          <w:rPr>
            <w:rStyle w:val="Hyperlink"/>
            <w:rFonts w:ascii="Cambria" w:hAnsi="Cambria" w:cstheme="majorHAnsi"/>
            <w:i/>
            <w:iCs/>
            <w:sz w:val="16"/>
            <w:szCs w:val="16"/>
            <w:lang w:val="es-CO"/>
          </w:rPr>
          <w:t>Decreto Gubernativo 6-2021</w:t>
        </w:r>
      </w:hyperlink>
      <w:r w:rsidR="00F8120A" w:rsidRPr="008A7BD7">
        <w:rPr>
          <w:rFonts w:ascii="Cambria" w:hAnsi="Cambria" w:cstheme="majorHAnsi"/>
          <w:sz w:val="16"/>
          <w:szCs w:val="16"/>
          <w:lang w:val="es-CO"/>
        </w:rPr>
        <w:t>,</w:t>
      </w:r>
      <w:r w:rsidRPr="008A7BD7">
        <w:rPr>
          <w:rFonts w:ascii="Cambria" w:hAnsi="Cambria" w:cstheme="majorHAnsi"/>
          <w:sz w:val="16"/>
          <w:szCs w:val="16"/>
          <w:lang w:val="es-CO"/>
        </w:rPr>
        <w:t xml:space="preserve"> </w:t>
      </w:r>
      <w:r w:rsidR="00F8120A" w:rsidRPr="008A7BD7">
        <w:rPr>
          <w:rFonts w:ascii="Cambria" w:hAnsi="Cambria" w:cstheme="majorHAnsi"/>
          <w:sz w:val="16"/>
          <w:szCs w:val="16"/>
          <w:lang w:val="es-CO"/>
        </w:rPr>
        <w:t xml:space="preserve">August </w:t>
      </w:r>
      <w:r w:rsidRPr="008A7BD7">
        <w:rPr>
          <w:rFonts w:ascii="Cambria" w:hAnsi="Cambria" w:cstheme="majorHAnsi"/>
          <w:sz w:val="16"/>
          <w:szCs w:val="16"/>
          <w:lang w:val="es-CO"/>
        </w:rPr>
        <w:t>13</w:t>
      </w:r>
      <w:r w:rsidR="00F8120A" w:rsidRPr="008A7BD7">
        <w:rPr>
          <w:rFonts w:ascii="Cambria" w:hAnsi="Cambria" w:cstheme="majorHAnsi"/>
          <w:sz w:val="16"/>
          <w:szCs w:val="16"/>
          <w:lang w:val="es-CO"/>
        </w:rPr>
        <w:t xml:space="preserve">, </w:t>
      </w:r>
      <w:r w:rsidRPr="008A7BD7">
        <w:rPr>
          <w:rFonts w:ascii="Cambria" w:hAnsi="Cambria" w:cstheme="majorHAnsi"/>
          <w:sz w:val="16"/>
          <w:szCs w:val="16"/>
          <w:lang w:val="es-CO"/>
        </w:rPr>
        <w:t>2021;</w:t>
      </w:r>
      <w:r w:rsidRPr="008A7BD7">
        <w:rPr>
          <w:rFonts w:ascii="Cambria" w:eastAsia="Cambria" w:hAnsi="Cambria" w:cstheme="majorHAnsi"/>
          <w:sz w:val="16"/>
          <w:szCs w:val="16"/>
          <w:lang w:val="es-CO"/>
        </w:rPr>
        <w:t xml:space="preserve"> </w:t>
      </w:r>
      <w:proofErr w:type="spellStart"/>
      <w:r w:rsidR="00F8120A" w:rsidRPr="008A7BD7">
        <w:rPr>
          <w:rFonts w:ascii="Cambria" w:hAnsi="Cambria" w:cstheme="majorHAnsi"/>
          <w:sz w:val="16"/>
          <w:szCs w:val="16"/>
          <w:lang w:val="es-CO"/>
        </w:rPr>
        <w:t>Government</w:t>
      </w:r>
      <w:proofErr w:type="spellEnd"/>
      <w:r w:rsidR="00F8120A" w:rsidRPr="008A7BD7">
        <w:rPr>
          <w:rFonts w:ascii="Cambria" w:hAnsi="Cambria" w:cstheme="majorHAnsi"/>
          <w:sz w:val="16"/>
          <w:szCs w:val="16"/>
          <w:lang w:val="es-CO"/>
        </w:rPr>
        <w:t xml:space="preserve"> of</w:t>
      </w:r>
      <w:r w:rsidRPr="008A7BD7">
        <w:rPr>
          <w:rFonts w:ascii="Cambria" w:eastAsia="Cambria" w:hAnsi="Cambria" w:cstheme="majorHAnsi"/>
          <w:sz w:val="16"/>
          <w:szCs w:val="16"/>
          <w:lang w:val="es-CO"/>
        </w:rPr>
        <w:t xml:space="preserve"> Guatemala</w:t>
      </w:r>
      <w:r w:rsidR="00F8120A" w:rsidRPr="008A7BD7">
        <w:rPr>
          <w:rFonts w:ascii="Cambria" w:eastAsia="Cambria" w:hAnsi="Cambria" w:cstheme="majorHAnsi"/>
          <w:sz w:val="16"/>
          <w:szCs w:val="16"/>
          <w:lang w:val="es-CO"/>
        </w:rPr>
        <w:t>,</w:t>
      </w:r>
      <w:r w:rsidRPr="008A7BD7">
        <w:rPr>
          <w:rFonts w:ascii="Cambria" w:eastAsia="Cambria" w:hAnsi="Cambria" w:cstheme="majorHAnsi"/>
          <w:sz w:val="16"/>
          <w:szCs w:val="16"/>
          <w:lang w:val="es-CO"/>
        </w:rPr>
        <w:t xml:space="preserve"> </w:t>
      </w:r>
      <w:hyperlink r:id="rId140" w:history="1">
        <w:r w:rsidRPr="008A7BD7">
          <w:rPr>
            <w:rStyle w:val="Hyperlink"/>
            <w:rFonts w:ascii="Cambria" w:eastAsia="Cambria" w:hAnsi="Cambria" w:cstheme="majorHAnsi"/>
            <w:i/>
            <w:iCs/>
            <w:sz w:val="16"/>
            <w:szCs w:val="16"/>
            <w:lang w:val="es-419"/>
          </w:rPr>
          <w:t>Disposiciones Presidenciales y órdenes para el Estricto cumplimiento necesarias por la calamidad pública originada por la pandemia covid-19 y sus variantes, en especial la denominada delta</w:t>
        </w:r>
        <w:r w:rsidRPr="008A7BD7">
          <w:rPr>
            <w:rStyle w:val="Hyperlink"/>
            <w:rFonts w:ascii="Cambria" w:eastAsia="Cambria" w:hAnsi="Cambria" w:cstheme="majorHAnsi"/>
            <w:sz w:val="16"/>
            <w:szCs w:val="16"/>
            <w:lang w:val="es-419"/>
          </w:rPr>
          <w:t>.</w:t>
        </w:r>
      </w:hyperlink>
      <w:r w:rsidR="00F8120A" w:rsidRPr="008A7BD7">
        <w:rPr>
          <w:rFonts w:ascii="Cambria" w:eastAsia="Cambria" w:hAnsi="Cambria" w:cstheme="majorHAnsi"/>
          <w:sz w:val="16"/>
          <w:szCs w:val="16"/>
          <w:lang w:val="es-419"/>
        </w:rPr>
        <w:t xml:space="preserve"> </w:t>
      </w:r>
      <w:r w:rsidR="00F8120A" w:rsidRPr="008A7BD7">
        <w:rPr>
          <w:rFonts w:ascii="Cambria" w:eastAsia="Cambria" w:hAnsi="Cambria" w:cstheme="majorHAnsi"/>
          <w:sz w:val="16"/>
          <w:szCs w:val="16"/>
          <w:lang w:val="es-CO"/>
        </w:rPr>
        <w:t>August 1</w:t>
      </w:r>
      <w:r w:rsidRPr="008A7BD7">
        <w:rPr>
          <w:rFonts w:ascii="Cambria" w:eastAsia="Cambria" w:hAnsi="Cambria" w:cstheme="majorHAnsi"/>
          <w:sz w:val="16"/>
          <w:szCs w:val="16"/>
          <w:lang w:val="es-CO"/>
        </w:rPr>
        <w:t>3</w:t>
      </w:r>
      <w:r w:rsidR="00F8120A" w:rsidRPr="008A7BD7">
        <w:rPr>
          <w:rFonts w:ascii="Cambria" w:eastAsia="Cambria" w:hAnsi="Cambria" w:cstheme="majorHAnsi"/>
          <w:sz w:val="16"/>
          <w:szCs w:val="16"/>
          <w:lang w:val="es-CO"/>
        </w:rPr>
        <w:t>,</w:t>
      </w:r>
      <w:r w:rsidRPr="008A7BD7">
        <w:rPr>
          <w:rFonts w:ascii="Cambria" w:eastAsia="Cambria" w:hAnsi="Cambria" w:cstheme="majorHAnsi"/>
          <w:sz w:val="16"/>
          <w:szCs w:val="16"/>
          <w:lang w:val="es-CO"/>
        </w:rPr>
        <w:t xml:space="preserve"> 2021; </w:t>
      </w:r>
      <w:r w:rsidRPr="008A7BD7">
        <w:rPr>
          <w:rFonts w:ascii="Cambria" w:hAnsi="Cambria" w:cstheme="majorHAnsi"/>
          <w:sz w:val="16"/>
          <w:szCs w:val="16"/>
          <w:lang w:val="es-CO"/>
        </w:rPr>
        <w:t xml:space="preserve"> </w:t>
      </w:r>
      <w:proofErr w:type="spellStart"/>
      <w:r w:rsidR="00F8120A" w:rsidRPr="008A7BD7">
        <w:rPr>
          <w:rFonts w:ascii="Cambria" w:hAnsi="Cambria" w:cstheme="majorHAnsi"/>
          <w:sz w:val="16"/>
          <w:szCs w:val="16"/>
          <w:lang w:val="es-CO"/>
        </w:rPr>
        <w:t>Government</w:t>
      </w:r>
      <w:proofErr w:type="spellEnd"/>
      <w:r w:rsidR="00F8120A" w:rsidRPr="008A7BD7">
        <w:rPr>
          <w:rFonts w:ascii="Cambria" w:hAnsi="Cambria" w:cstheme="majorHAnsi"/>
          <w:sz w:val="16"/>
          <w:szCs w:val="16"/>
          <w:lang w:val="es-CO"/>
        </w:rPr>
        <w:t xml:space="preserve"> of</w:t>
      </w:r>
      <w:r w:rsidRPr="008A7BD7">
        <w:rPr>
          <w:rFonts w:ascii="Cambria" w:hAnsi="Cambria" w:cstheme="majorHAnsi"/>
          <w:sz w:val="16"/>
          <w:szCs w:val="16"/>
          <w:lang w:val="es-CO"/>
        </w:rPr>
        <w:t xml:space="preserve"> Guatemala</w:t>
      </w:r>
      <w:r w:rsidR="00F8120A" w:rsidRPr="008A7BD7">
        <w:rPr>
          <w:rFonts w:ascii="Cambria" w:hAnsi="Cambria" w:cstheme="majorHAnsi"/>
          <w:sz w:val="16"/>
          <w:szCs w:val="16"/>
          <w:lang w:val="es-CO"/>
        </w:rPr>
        <w:t>,</w:t>
      </w:r>
      <w:r w:rsidRPr="008A7BD7">
        <w:rPr>
          <w:rFonts w:ascii="Cambria" w:hAnsi="Cambria" w:cstheme="majorHAnsi"/>
          <w:sz w:val="16"/>
          <w:szCs w:val="16"/>
          <w:lang w:val="es-CO"/>
        </w:rPr>
        <w:t xml:space="preserve"> </w:t>
      </w:r>
      <w:hyperlink r:id="rId141" w:history="1">
        <w:r w:rsidRPr="008A7BD7">
          <w:rPr>
            <w:rStyle w:val="Hyperlink"/>
            <w:rFonts w:ascii="Cambria" w:hAnsi="Cambria" w:cstheme="majorHAnsi"/>
            <w:i/>
            <w:iCs/>
            <w:sz w:val="16"/>
            <w:szCs w:val="16"/>
            <w:lang w:val="es-CO"/>
          </w:rPr>
          <w:t>Decreto Gubernativo 7-2021</w:t>
        </w:r>
      </w:hyperlink>
      <w:r w:rsidR="00F8120A" w:rsidRPr="008A7BD7">
        <w:rPr>
          <w:rFonts w:ascii="Cambria" w:hAnsi="Cambria" w:cstheme="majorHAnsi"/>
          <w:sz w:val="16"/>
          <w:szCs w:val="16"/>
          <w:lang w:val="es-CO"/>
        </w:rPr>
        <w:t>,</w:t>
      </w:r>
      <w:r w:rsidRPr="008A7BD7">
        <w:rPr>
          <w:rFonts w:ascii="Cambria" w:hAnsi="Cambria" w:cstheme="majorHAnsi"/>
          <w:sz w:val="16"/>
          <w:szCs w:val="16"/>
          <w:lang w:val="es-CO"/>
        </w:rPr>
        <w:t xml:space="preserve"> </w:t>
      </w:r>
      <w:r w:rsidR="00F8120A" w:rsidRPr="008A7BD7">
        <w:rPr>
          <w:rFonts w:ascii="Cambria" w:hAnsi="Cambria" w:cstheme="majorHAnsi"/>
          <w:sz w:val="16"/>
          <w:szCs w:val="16"/>
          <w:lang w:val="es-CO"/>
        </w:rPr>
        <w:t xml:space="preserve">August </w:t>
      </w:r>
      <w:r w:rsidRPr="008A7BD7">
        <w:rPr>
          <w:rFonts w:ascii="Cambria" w:hAnsi="Cambria" w:cstheme="majorHAnsi"/>
          <w:sz w:val="16"/>
          <w:szCs w:val="16"/>
          <w:lang w:val="es-CO"/>
        </w:rPr>
        <w:t>21</w:t>
      </w:r>
      <w:r w:rsidR="00F8120A" w:rsidRPr="008A7BD7">
        <w:rPr>
          <w:rFonts w:ascii="Cambria" w:hAnsi="Cambria" w:cstheme="majorHAnsi"/>
          <w:sz w:val="16"/>
          <w:szCs w:val="16"/>
          <w:lang w:val="es-CO"/>
        </w:rPr>
        <w:t>,</w:t>
      </w:r>
      <w:r w:rsidRPr="008A7BD7">
        <w:rPr>
          <w:rFonts w:ascii="Cambria" w:hAnsi="Cambria" w:cstheme="majorHAnsi"/>
          <w:sz w:val="16"/>
          <w:szCs w:val="16"/>
          <w:lang w:val="es-CO"/>
        </w:rPr>
        <w:t xml:space="preserve"> 2021;</w:t>
      </w:r>
      <w:r w:rsidRPr="008A7BD7">
        <w:rPr>
          <w:rFonts w:ascii="Cambria" w:eastAsia="Cambria" w:hAnsi="Cambria" w:cstheme="majorHAnsi"/>
          <w:sz w:val="16"/>
          <w:szCs w:val="16"/>
          <w:lang w:val="es-CO"/>
        </w:rPr>
        <w:t xml:space="preserve"> </w:t>
      </w:r>
      <w:r w:rsidRPr="008A7BD7">
        <w:rPr>
          <w:rFonts w:ascii="Cambria" w:hAnsi="Cambria"/>
          <w:sz w:val="16"/>
          <w:szCs w:val="16"/>
          <w:lang w:val="es-CO"/>
        </w:rPr>
        <w:t xml:space="preserve"> </w:t>
      </w:r>
      <w:proofErr w:type="spellStart"/>
      <w:r w:rsidR="00F8120A" w:rsidRPr="008A7BD7">
        <w:rPr>
          <w:rFonts w:ascii="Cambria" w:hAnsi="Cambria" w:cstheme="majorHAnsi"/>
          <w:sz w:val="16"/>
          <w:szCs w:val="16"/>
          <w:lang w:val="es-CO"/>
        </w:rPr>
        <w:t>Government</w:t>
      </w:r>
      <w:proofErr w:type="spellEnd"/>
      <w:r w:rsidR="00F8120A" w:rsidRPr="008A7BD7">
        <w:rPr>
          <w:rFonts w:ascii="Cambria" w:hAnsi="Cambria" w:cstheme="majorHAnsi"/>
          <w:sz w:val="16"/>
          <w:szCs w:val="16"/>
          <w:lang w:val="es-CO"/>
        </w:rPr>
        <w:t xml:space="preserve"> of</w:t>
      </w:r>
      <w:r w:rsidRPr="008A7BD7">
        <w:rPr>
          <w:rFonts w:ascii="Cambria" w:eastAsia="Cambria" w:hAnsi="Cambria" w:cstheme="majorHAnsi"/>
          <w:iCs/>
          <w:sz w:val="16"/>
          <w:szCs w:val="16"/>
          <w:lang w:val="es-CO"/>
        </w:rPr>
        <w:t xml:space="preserve"> Guatemala</w:t>
      </w:r>
      <w:r w:rsidR="00F8120A" w:rsidRPr="008A7BD7">
        <w:rPr>
          <w:rFonts w:ascii="Cambria" w:eastAsia="Cambria" w:hAnsi="Cambria" w:cstheme="majorHAnsi"/>
          <w:iCs/>
          <w:sz w:val="16"/>
          <w:szCs w:val="16"/>
          <w:lang w:val="es-CO"/>
        </w:rPr>
        <w:t>,</w:t>
      </w:r>
      <w:r w:rsidRPr="008A7BD7">
        <w:rPr>
          <w:rFonts w:ascii="Cambria" w:eastAsia="Cambria" w:hAnsi="Cambria" w:cstheme="majorHAnsi"/>
          <w:iCs/>
          <w:sz w:val="16"/>
          <w:szCs w:val="16"/>
          <w:lang w:val="es-CO"/>
        </w:rPr>
        <w:t xml:space="preserve"> </w:t>
      </w:r>
      <w:hyperlink r:id="rId142" w:history="1">
        <w:r w:rsidRPr="008A7BD7">
          <w:rPr>
            <w:rStyle w:val="Hyperlink"/>
            <w:rFonts w:ascii="Cambria" w:eastAsia="Cambria" w:hAnsi="Cambria" w:cstheme="majorHAnsi"/>
            <w:i/>
            <w:iCs/>
            <w:sz w:val="16"/>
            <w:szCs w:val="16"/>
            <w:lang w:val="es-419"/>
          </w:rPr>
          <w:t>Disposiciones Presidenciales y órdenes para el Estricto cumplimiento necesarias por la calamidad pública originada por la pandemia covid-19 y sus variantes, en especial la denominada delta</w:t>
        </w:r>
      </w:hyperlink>
      <w:r w:rsidR="00F8120A" w:rsidRPr="008A7BD7">
        <w:rPr>
          <w:rFonts w:ascii="Cambria" w:eastAsia="Cambria" w:hAnsi="Cambria" w:cstheme="majorHAnsi"/>
          <w:i/>
          <w:sz w:val="16"/>
          <w:szCs w:val="16"/>
          <w:lang w:val="es-419"/>
        </w:rPr>
        <w:t>,</w:t>
      </w:r>
      <w:r w:rsidRPr="008A7BD7">
        <w:rPr>
          <w:rFonts w:ascii="Cambria" w:eastAsia="Cambria" w:hAnsi="Cambria" w:cstheme="majorHAnsi"/>
          <w:sz w:val="16"/>
          <w:szCs w:val="16"/>
          <w:lang w:val="es-419"/>
        </w:rPr>
        <w:t xml:space="preserve"> </w:t>
      </w:r>
      <w:r w:rsidR="00F8120A" w:rsidRPr="008A7BD7">
        <w:rPr>
          <w:rFonts w:ascii="Cambria" w:eastAsia="Cambria" w:hAnsi="Cambria" w:cstheme="majorHAnsi"/>
          <w:sz w:val="16"/>
          <w:szCs w:val="16"/>
          <w:lang w:val="es-419"/>
        </w:rPr>
        <w:t xml:space="preserve">August </w:t>
      </w:r>
      <w:r w:rsidRPr="008A7BD7">
        <w:rPr>
          <w:rFonts w:ascii="Cambria" w:eastAsia="Cambria" w:hAnsi="Cambria" w:cstheme="majorHAnsi"/>
          <w:iCs/>
          <w:sz w:val="16"/>
          <w:szCs w:val="16"/>
          <w:lang w:val="es-419"/>
        </w:rPr>
        <w:t>21</w:t>
      </w:r>
      <w:r w:rsidR="00F8120A" w:rsidRPr="008A7BD7">
        <w:rPr>
          <w:rFonts w:ascii="Cambria" w:eastAsia="Cambria" w:hAnsi="Cambria" w:cstheme="majorHAnsi"/>
          <w:iCs/>
          <w:sz w:val="16"/>
          <w:szCs w:val="16"/>
          <w:lang w:val="es-419"/>
        </w:rPr>
        <w:t xml:space="preserve">, </w:t>
      </w:r>
      <w:r w:rsidRPr="008A7BD7">
        <w:rPr>
          <w:rFonts w:ascii="Cambria" w:eastAsia="Cambria" w:hAnsi="Cambria" w:cstheme="majorHAnsi"/>
          <w:iCs/>
          <w:sz w:val="16"/>
          <w:szCs w:val="16"/>
          <w:lang w:val="es-419"/>
        </w:rPr>
        <w:t>2021.</w:t>
      </w:r>
      <w:r w:rsidRPr="008A7BD7">
        <w:rPr>
          <w:rFonts w:ascii="Cambria" w:eastAsia="Cambria" w:hAnsi="Cambria" w:cstheme="majorHAnsi"/>
          <w:sz w:val="16"/>
          <w:szCs w:val="16"/>
          <w:lang w:val="es-419"/>
        </w:rPr>
        <w:t xml:space="preserve"> </w:t>
      </w:r>
    </w:p>
  </w:footnote>
  <w:footnote w:id="148">
    <w:p w14:paraId="722A50AF" w14:textId="2512161F" w:rsidR="004E0CAC" w:rsidRPr="008A7BD7" w:rsidRDefault="004E0CAC" w:rsidP="00DE7135">
      <w:pPr>
        <w:spacing w:after="120"/>
        <w:ind w:firstLine="720"/>
        <w:jc w:val="both"/>
        <w:rPr>
          <w:rFonts w:ascii="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La Hora</w:t>
      </w:r>
      <w:r w:rsidR="00C939D7" w:rsidRPr="008A7BD7">
        <w:rPr>
          <w:rFonts w:ascii="Cambria" w:eastAsia="Cambria" w:hAnsi="Cambria" w:cstheme="majorHAnsi"/>
          <w:sz w:val="16"/>
          <w:szCs w:val="16"/>
          <w:lang w:val="es-419"/>
        </w:rPr>
        <w:t>, August</w:t>
      </w:r>
      <w:r w:rsidRPr="008A7BD7">
        <w:rPr>
          <w:rFonts w:ascii="Cambria" w:eastAsia="Cambria" w:hAnsi="Cambria" w:cstheme="majorHAnsi"/>
          <w:sz w:val="16"/>
          <w:szCs w:val="16"/>
          <w:lang w:val="es-419"/>
        </w:rPr>
        <w:t xml:space="preserve"> 22</w:t>
      </w:r>
      <w:r w:rsidR="00C939D7"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C939D7"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43">
        <w:r w:rsidRPr="008A7BD7">
          <w:rPr>
            <w:rFonts w:ascii="Cambria" w:eastAsia="Cambria" w:hAnsi="Cambria" w:cstheme="majorHAnsi"/>
            <w:i/>
            <w:iCs/>
            <w:color w:val="1155CC"/>
            <w:sz w:val="16"/>
            <w:szCs w:val="16"/>
            <w:u w:val="single"/>
            <w:lang w:val="es-419"/>
          </w:rPr>
          <w:t>La amenaza a la libertad de prensa que ya estaba y ahora causó preocupación</w:t>
        </w:r>
      </w:hyperlink>
      <w:r w:rsidRPr="008A7BD7">
        <w:rPr>
          <w:rFonts w:ascii="Cambria" w:eastAsia="Cambria" w:hAnsi="Cambria" w:cstheme="majorHAnsi"/>
          <w:sz w:val="16"/>
          <w:szCs w:val="16"/>
          <w:lang w:val="es-419"/>
        </w:rPr>
        <w:t xml:space="preserve">; </w:t>
      </w:r>
      <w:r w:rsidR="00C939D7" w:rsidRPr="008A7BD7">
        <w:rPr>
          <w:rFonts w:ascii="Cambria" w:eastAsia="Cambria" w:hAnsi="Cambria" w:cstheme="majorHAnsi"/>
          <w:sz w:val="16"/>
          <w:szCs w:val="16"/>
          <w:lang w:val="es-CO"/>
        </w:rPr>
        <w:t xml:space="preserve">Office of </w:t>
      </w:r>
      <w:proofErr w:type="spellStart"/>
      <w:r w:rsidR="00C939D7" w:rsidRPr="008A7BD7">
        <w:rPr>
          <w:rFonts w:ascii="Cambria" w:eastAsia="Cambria" w:hAnsi="Cambria" w:cstheme="majorHAnsi"/>
          <w:sz w:val="16"/>
          <w:szCs w:val="16"/>
          <w:lang w:val="es-CO"/>
        </w:rPr>
        <w:t>the</w:t>
      </w:r>
      <w:proofErr w:type="spellEnd"/>
      <w:r w:rsidR="00C939D7" w:rsidRPr="008A7BD7">
        <w:rPr>
          <w:rFonts w:ascii="Cambria" w:eastAsia="Cambria" w:hAnsi="Cambria" w:cstheme="majorHAnsi"/>
          <w:sz w:val="16"/>
          <w:szCs w:val="16"/>
          <w:lang w:val="es-CO"/>
        </w:rPr>
        <w:t xml:space="preserve"> Human </w:t>
      </w:r>
      <w:proofErr w:type="spellStart"/>
      <w:r w:rsidR="00C939D7" w:rsidRPr="008A7BD7">
        <w:rPr>
          <w:rFonts w:ascii="Cambria" w:eastAsia="Cambria" w:hAnsi="Cambria" w:cstheme="majorHAnsi"/>
          <w:sz w:val="16"/>
          <w:szCs w:val="16"/>
          <w:lang w:val="es-CO"/>
        </w:rPr>
        <w:t>Rights</w:t>
      </w:r>
      <w:proofErr w:type="spellEnd"/>
      <w:r w:rsidR="00C939D7" w:rsidRPr="008A7BD7">
        <w:rPr>
          <w:rFonts w:ascii="Cambria" w:eastAsia="Cambria" w:hAnsi="Cambria" w:cstheme="majorHAnsi"/>
          <w:sz w:val="16"/>
          <w:szCs w:val="16"/>
          <w:lang w:val="es-CO"/>
        </w:rPr>
        <w:t xml:space="preserve"> Ombudsman of Guatemala,</w:t>
      </w:r>
      <w:r w:rsidR="00C939D7" w:rsidRPr="008A7BD7">
        <w:rPr>
          <w:rFonts w:ascii="Cambria" w:eastAsia="Cambria" w:hAnsi="Cambria" w:cstheme="majorHAnsi"/>
          <w:sz w:val="16"/>
          <w:szCs w:val="16"/>
          <w:lang w:val="es-419"/>
        </w:rPr>
        <w:t xml:space="preserve"> August</w:t>
      </w:r>
      <w:r w:rsidRPr="008A7BD7">
        <w:rPr>
          <w:rFonts w:ascii="Cambria" w:eastAsia="Cambria" w:hAnsi="Cambria" w:cstheme="majorHAnsi"/>
          <w:sz w:val="16"/>
          <w:szCs w:val="16"/>
          <w:lang w:val="es-419"/>
        </w:rPr>
        <w:t xml:space="preserve"> 22</w:t>
      </w:r>
      <w:r w:rsidR="00C939D7"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C939D7"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44">
        <w:r w:rsidRPr="008A7BD7">
          <w:rPr>
            <w:rFonts w:ascii="Cambria" w:eastAsia="Cambria" w:hAnsi="Cambria" w:cstheme="majorHAnsi"/>
            <w:i/>
            <w:iCs/>
            <w:color w:val="1155CC"/>
            <w:sz w:val="16"/>
            <w:szCs w:val="16"/>
            <w:u w:val="single"/>
            <w:lang w:val="es-419"/>
          </w:rPr>
          <w:t>Comunicado de prensa</w:t>
        </w:r>
      </w:hyperlink>
      <w:r w:rsidRPr="008A7BD7">
        <w:rPr>
          <w:rFonts w:ascii="Cambria" w:eastAsia="Cambria" w:hAnsi="Cambria" w:cstheme="majorHAnsi"/>
          <w:sz w:val="16"/>
          <w:szCs w:val="16"/>
          <w:lang w:val="es-419"/>
        </w:rPr>
        <w:t>.</w:t>
      </w:r>
      <w:r w:rsidRPr="008A7BD7">
        <w:rPr>
          <w:rFonts w:ascii="Cambria" w:hAnsi="Cambria" w:cstheme="majorHAnsi"/>
          <w:sz w:val="16"/>
          <w:szCs w:val="16"/>
          <w:lang w:val="es-419"/>
        </w:rPr>
        <w:t xml:space="preserve"> </w:t>
      </w:r>
    </w:p>
  </w:footnote>
  <w:footnote w:id="149">
    <w:p w14:paraId="5C665012" w14:textId="008F1F83" w:rsidR="004E0CAC" w:rsidRPr="008A7BD7" w:rsidRDefault="004E0CAC" w:rsidP="00DE7135">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La Hora</w:t>
      </w:r>
      <w:r w:rsidR="00C939D7" w:rsidRPr="008A7BD7">
        <w:rPr>
          <w:rFonts w:ascii="Cambria" w:hAnsi="Cambria"/>
          <w:sz w:val="16"/>
          <w:szCs w:val="16"/>
          <w:lang w:val="es-US"/>
        </w:rPr>
        <w:t>, August</w:t>
      </w:r>
      <w:r w:rsidRPr="008A7BD7">
        <w:rPr>
          <w:rFonts w:ascii="Cambria" w:hAnsi="Cambria"/>
          <w:sz w:val="16"/>
          <w:szCs w:val="16"/>
          <w:lang w:val="es-US"/>
        </w:rPr>
        <w:t xml:space="preserve"> 23</w:t>
      </w:r>
      <w:r w:rsidR="00C939D7" w:rsidRPr="008A7BD7">
        <w:rPr>
          <w:rFonts w:ascii="Cambria" w:hAnsi="Cambria"/>
          <w:sz w:val="16"/>
          <w:szCs w:val="16"/>
          <w:lang w:val="es-US"/>
        </w:rPr>
        <w:t xml:space="preserve">, </w:t>
      </w:r>
      <w:r w:rsidRPr="008A7BD7">
        <w:rPr>
          <w:rFonts w:ascii="Cambria" w:hAnsi="Cambria"/>
          <w:sz w:val="16"/>
          <w:szCs w:val="16"/>
          <w:lang w:val="es-US"/>
        </w:rPr>
        <w:t>2021</w:t>
      </w:r>
      <w:r w:rsidR="00C939D7" w:rsidRPr="008A7BD7">
        <w:rPr>
          <w:rFonts w:ascii="Cambria" w:hAnsi="Cambria"/>
          <w:sz w:val="16"/>
          <w:szCs w:val="16"/>
          <w:lang w:val="es-US"/>
        </w:rPr>
        <w:t>,</w:t>
      </w:r>
      <w:r w:rsidRPr="008A7BD7">
        <w:rPr>
          <w:rFonts w:ascii="Cambria" w:hAnsi="Cambria"/>
          <w:sz w:val="16"/>
          <w:szCs w:val="16"/>
          <w:lang w:val="es-US"/>
        </w:rPr>
        <w:t xml:space="preserve"> </w:t>
      </w:r>
      <w:hyperlink r:id="rId145" w:history="1">
        <w:r w:rsidRPr="008A7BD7">
          <w:rPr>
            <w:rStyle w:val="Hyperlink"/>
            <w:rFonts w:ascii="Cambria" w:hAnsi="Cambria"/>
            <w:i/>
            <w:iCs/>
            <w:sz w:val="16"/>
            <w:szCs w:val="16"/>
            <w:lang w:val="es-US"/>
          </w:rPr>
          <w:t>Diputados de la UNE accionan contra disposición presidencial sobre labor informativa</w:t>
        </w:r>
      </w:hyperlink>
      <w:r w:rsidR="00C939D7" w:rsidRPr="008A7BD7">
        <w:rPr>
          <w:rFonts w:ascii="Cambria" w:hAnsi="Cambria"/>
          <w:sz w:val="16"/>
          <w:szCs w:val="16"/>
          <w:lang w:val="es-US"/>
        </w:rPr>
        <w:t>.</w:t>
      </w:r>
    </w:p>
  </w:footnote>
  <w:footnote w:id="150">
    <w:p w14:paraId="5C1A9E2D" w14:textId="5B5F59C7" w:rsidR="004E0CAC" w:rsidRPr="008A7BD7" w:rsidRDefault="004E0CAC" w:rsidP="00DE7135">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Soy502</w:t>
      </w:r>
      <w:r w:rsidR="00C939D7"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r w:rsidR="00C939D7" w:rsidRPr="008A7BD7">
        <w:rPr>
          <w:rFonts w:ascii="Cambria" w:eastAsia="Cambria" w:hAnsi="Cambria" w:cstheme="majorHAnsi"/>
          <w:sz w:val="16"/>
          <w:szCs w:val="16"/>
          <w:lang w:val="es-419"/>
        </w:rPr>
        <w:t xml:space="preserve">August </w:t>
      </w:r>
      <w:r w:rsidRPr="008A7BD7">
        <w:rPr>
          <w:rFonts w:ascii="Cambria" w:eastAsia="Cambria" w:hAnsi="Cambria" w:cstheme="majorHAnsi"/>
          <w:sz w:val="16"/>
          <w:szCs w:val="16"/>
          <w:lang w:val="es-419"/>
        </w:rPr>
        <w:t>23</w:t>
      </w:r>
      <w:r w:rsidR="00C939D7"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C939D7"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46">
        <w:r w:rsidRPr="008A7BD7">
          <w:rPr>
            <w:rFonts w:ascii="Cambria" w:eastAsia="Cambria" w:hAnsi="Cambria" w:cstheme="majorHAnsi"/>
            <w:i/>
            <w:iCs/>
            <w:color w:val="1155CC"/>
            <w:sz w:val="16"/>
            <w:szCs w:val="16"/>
            <w:u w:val="single"/>
            <w:lang w:val="es-419"/>
          </w:rPr>
          <w:t>Congreso rechaza el Estado de Calamidad</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Deutsche Welle</w:t>
      </w:r>
      <w:r w:rsidR="00C939D7" w:rsidRPr="008A7BD7">
        <w:rPr>
          <w:rFonts w:ascii="Cambria" w:eastAsia="Cambria" w:hAnsi="Cambria" w:cstheme="majorHAnsi"/>
          <w:sz w:val="16"/>
          <w:szCs w:val="16"/>
          <w:lang w:val="es-419"/>
        </w:rPr>
        <w:t>, August</w:t>
      </w:r>
      <w:r w:rsidRPr="008A7BD7">
        <w:rPr>
          <w:rFonts w:ascii="Cambria" w:eastAsia="Cambria" w:hAnsi="Cambria" w:cstheme="majorHAnsi"/>
          <w:sz w:val="16"/>
          <w:szCs w:val="16"/>
          <w:lang w:val="es-419"/>
        </w:rPr>
        <w:t xml:space="preserve"> 24</w:t>
      </w:r>
      <w:r w:rsidR="00C939D7"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C939D7"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47">
        <w:r w:rsidRPr="008A7BD7">
          <w:rPr>
            <w:rFonts w:ascii="Cambria" w:eastAsia="Cambria" w:hAnsi="Cambria" w:cstheme="majorHAnsi"/>
            <w:i/>
            <w:iCs/>
            <w:color w:val="1155CC"/>
            <w:sz w:val="16"/>
            <w:szCs w:val="16"/>
            <w:u w:val="single"/>
            <w:lang w:val="es-419"/>
          </w:rPr>
          <w:t xml:space="preserve">Congreso de Guatemala rechaza estado de calamidad por COVID-19 decretado por </w:t>
        </w:r>
        <w:proofErr w:type="spellStart"/>
        <w:r w:rsidRPr="008A7BD7">
          <w:rPr>
            <w:rFonts w:ascii="Cambria" w:eastAsia="Cambria" w:hAnsi="Cambria" w:cstheme="majorHAnsi"/>
            <w:i/>
            <w:iCs/>
            <w:color w:val="1155CC"/>
            <w:sz w:val="16"/>
            <w:szCs w:val="16"/>
            <w:u w:val="single"/>
            <w:lang w:val="es-419"/>
          </w:rPr>
          <w:t>Giammattei</w:t>
        </w:r>
        <w:proofErr w:type="spellEnd"/>
      </w:hyperlink>
      <w:r w:rsidRPr="008A7BD7">
        <w:rPr>
          <w:rFonts w:ascii="Cambria" w:eastAsia="Cambria" w:hAnsi="Cambria" w:cstheme="majorHAnsi"/>
          <w:sz w:val="16"/>
          <w:szCs w:val="16"/>
          <w:lang w:val="es-419"/>
        </w:rPr>
        <w:t>.</w:t>
      </w:r>
    </w:p>
  </w:footnote>
  <w:footnote w:id="151">
    <w:p w14:paraId="043303CF" w14:textId="3C18DE6D" w:rsidR="004E0CAC" w:rsidRPr="008A7BD7" w:rsidRDefault="004E0CAC" w:rsidP="00DE7135">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Prensa Comunitaria</w:t>
      </w:r>
      <w:r w:rsidR="009B7138" w:rsidRPr="008A7BD7">
        <w:rPr>
          <w:rFonts w:ascii="Cambria" w:eastAsia="Cambria" w:hAnsi="Cambria" w:cstheme="majorHAnsi"/>
          <w:i/>
          <w:iCs/>
          <w:sz w:val="16"/>
          <w:szCs w:val="16"/>
          <w:lang w:val="es-419"/>
        </w:rPr>
        <w:t>,</w:t>
      </w:r>
      <w:r w:rsidRPr="008A7BD7">
        <w:rPr>
          <w:rFonts w:ascii="Cambria" w:eastAsia="Cambria" w:hAnsi="Cambria" w:cstheme="majorHAnsi"/>
          <w:sz w:val="16"/>
          <w:szCs w:val="16"/>
          <w:lang w:val="es-419"/>
        </w:rPr>
        <w:t xml:space="preserve"> </w:t>
      </w:r>
      <w:r w:rsidR="009B7138" w:rsidRPr="008A7BD7">
        <w:rPr>
          <w:rFonts w:ascii="Cambria" w:eastAsia="Cambria" w:hAnsi="Cambria" w:cstheme="majorHAnsi"/>
          <w:sz w:val="16"/>
          <w:szCs w:val="16"/>
          <w:lang w:val="es-419"/>
        </w:rPr>
        <w:t xml:space="preserve">June </w:t>
      </w:r>
      <w:r w:rsidRPr="008A7BD7">
        <w:rPr>
          <w:rFonts w:ascii="Cambria" w:eastAsia="Cambria" w:hAnsi="Cambria" w:cstheme="majorHAnsi"/>
          <w:sz w:val="16"/>
          <w:szCs w:val="16"/>
          <w:lang w:val="es-419"/>
        </w:rPr>
        <w:t>22</w:t>
      </w:r>
      <w:r w:rsidR="009B7138"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9B7138"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48">
        <w:r w:rsidRPr="008A7BD7">
          <w:rPr>
            <w:rFonts w:ascii="Cambria" w:eastAsia="Cambria" w:hAnsi="Cambria" w:cstheme="majorHAnsi"/>
            <w:i/>
            <w:iCs/>
            <w:color w:val="1155CC"/>
            <w:sz w:val="16"/>
            <w:szCs w:val="16"/>
            <w:u w:val="single"/>
            <w:lang w:val="es-419"/>
          </w:rPr>
          <w:t>Violentan mandato Constitucional en Centro Médico Militar</w:t>
        </w:r>
      </w:hyperlink>
      <w:r w:rsidRPr="008A7BD7">
        <w:rPr>
          <w:rFonts w:ascii="Cambria" w:eastAsia="Cambria" w:hAnsi="Cambria" w:cstheme="majorHAnsi"/>
          <w:sz w:val="16"/>
          <w:szCs w:val="16"/>
          <w:lang w:val="es-419"/>
        </w:rPr>
        <w:t xml:space="preserve">; </w:t>
      </w:r>
      <w:r w:rsidR="009B7138" w:rsidRPr="008A7BD7">
        <w:rPr>
          <w:rFonts w:ascii="Cambria" w:eastAsia="Cambria" w:hAnsi="Cambria" w:cstheme="majorHAnsi"/>
          <w:sz w:val="16"/>
          <w:szCs w:val="16"/>
          <w:lang w:val="es-CO"/>
        </w:rPr>
        <w:t xml:space="preserve">Office of </w:t>
      </w:r>
      <w:proofErr w:type="spellStart"/>
      <w:r w:rsidR="009B7138" w:rsidRPr="008A7BD7">
        <w:rPr>
          <w:rFonts w:ascii="Cambria" w:eastAsia="Cambria" w:hAnsi="Cambria" w:cstheme="majorHAnsi"/>
          <w:sz w:val="16"/>
          <w:szCs w:val="16"/>
          <w:lang w:val="es-CO"/>
        </w:rPr>
        <w:t>the</w:t>
      </w:r>
      <w:proofErr w:type="spellEnd"/>
      <w:r w:rsidR="009B7138" w:rsidRPr="008A7BD7">
        <w:rPr>
          <w:rFonts w:ascii="Cambria" w:eastAsia="Cambria" w:hAnsi="Cambria" w:cstheme="majorHAnsi"/>
          <w:sz w:val="16"/>
          <w:szCs w:val="16"/>
          <w:lang w:val="es-CO"/>
        </w:rPr>
        <w:t xml:space="preserve"> Human </w:t>
      </w:r>
      <w:proofErr w:type="spellStart"/>
      <w:r w:rsidR="009B7138" w:rsidRPr="008A7BD7">
        <w:rPr>
          <w:rFonts w:ascii="Cambria" w:eastAsia="Cambria" w:hAnsi="Cambria" w:cstheme="majorHAnsi"/>
          <w:sz w:val="16"/>
          <w:szCs w:val="16"/>
          <w:lang w:val="es-CO"/>
        </w:rPr>
        <w:t>Rights</w:t>
      </w:r>
      <w:proofErr w:type="spellEnd"/>
      <w:r w:rsidR="009B7138" w:rsidRPr="008A7BD7">
        <w:rPr>
          <w:rFonts w:ascii="Cambria" w:eastAsia="Cambria" w:hAnsi="Cambria" w:cstheme="majorHAnsi"/>
          <w:sz w:val="16"/>
          <w:szCs w:val="16"/>
          <w:lang w:val="es-CO"/>
        </w:rPr>
        <w:t xml:space="preserve"> Ombudsman of Guatemala,</w:t>
      </w:r>
      <w:r w:rsidRPr="008A7BD7">
        <w:rPr>
          <w:rFonts w:ascii="Cambria" w:eastAsia="Cambria" w:hAnsi="Cambria" w:cstheme="majorHAnsi"/>
          <w:sz w:val="16"/>
          <w:szCs w:val="16"/>
          <w:lang w:val="es-419"/>
        </w:rPr>
        <w:t xml:space="preserve"> </w:t>
      </w:r>
      <w:r w:rsidR="009B7138" w:rsidRPr="008A7BD7">
        <w:rPr>
          <w:rFonts w:ascii="Cambria" w:eastAsia="Cambria" w:hAnsi="Cambria" w:cstheme="majorHAnsi"/>
          <w:sz w:val="16"/>
          <w:szCs w:val="16"/>
          <w:lang w:val="es-419"/>
        </w:rPr>
        <w:t xml:space="preserve">June </w:t>
      </w:r>
      <w:r w:rsidRPr="008A7BD7">
        <w:rPr>
          <w:rFonts w:ascii="Cambria" w:eastAsia="Cambria" w:hAnsi="Cambria" w:cstheme="majorHAnsi"/>
          <w:sz w:val="16"/>
          <w:szCs w:val="16"/>
          <w:lang w:val="es-419"/>
        </w:rPr>
        <w:t>22</w:t>
      </w:r>
      <w:r w:rsidR="009B7138"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9B7138"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49">
        <w:r w:rsidRPr="008A7BD7">
          <w:rPr>
            <w:rFonts w:ascii="Cambria" w:eastAsia="Cambria" w:hAnsi="Cambria" w:cstheme="majorHAnsi"/>
            <w:color w:val="1155CC"/>
            <w:sz w:val="16"/>
            <w:szCs w:val="16"/>
            <w:u w:val="single"/>
            <w:lang w:val="es-419"/>
          </w:rPr>
          <w:t xml:space="preserve">103/21 </w:t>
        </w:r>
        <w:r w:rsidRPr="008A7BD7">
          <w:rPr>
            <w:rFonts w:ascii="Cambria" w:eastAsia="Cambria" w:hAnsi="Cambria" w:cstheme="majorHAnsi"/>
            <w:i/>
            <w:iCs/>
            <w:color w:val="1155CC"/>
            <w:sz w:val="16"/>
            <w:szCs w:val="16"/>
            <w:u w:val="single"/>
            <w:lang w:val="es-419"/>
          </w:rPr>
          <w:t>El Procurador de los Derechos Humanos, Jordán Rodas Andrade, condena la obstrucción del libre acceso a la fuente y a la información a dos periodistas, en el caso de la primera declaración pública del “Diario Militar” en el Centro Médico Militar</w:t>
        </w:r>
      </w:hyperlink>
      <w:r w:rsidR="009B7138" w:rsidRPr="008A7BD7">
        <w:rPr>
          <w:rFonts w:ascii="Cambria" w:eastAsia="Cambria" w:hAnsi="Cambria" w:cstheme="majorHAnsi"/>
          <w:sz w:val="16"/>
          <w:szCs w:val="16"/>
          <w:lang w:val="es-419"/>
        </w:rPr>
        <w:t>.</w:t>
      </w:r>
    </w:p>
  </w:footnote>
  <w:footnote w:id="152">
    <w:p w14:paraId="3425DF69" w14:textId="5F7C4B32" w:rsidR="004E0CAC" w:rsidRPr="008A7BD7" w:rsidRDefault="004E0CAC" w:rsidP="00DE7135">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CO"/>
        </w:rPr>
        <w:t xml:space="preserve"> </w:t>
      </w:r>
      <w:r w:rsidR="009B7138" w:rsidRPr="008A7BD7">
        <w:rPr>
          <w:rFonts w:ascii="Cambria" w:eastAsia="Cambria" w:hAnsi="Cambria" w:cstheme="majorHAnsi"/>
          <w:sz w:val="16"/>
          <w:szCs w:val="16"/>
          <w:lang w:val="es-CO"/>
        </w:rPr>
        <w:t xml:space="preserve">Office of </w:t>
      </w:r>
      <w:proofErr w:type="spellStart"/>
      <w:r w:rsidR="009B7138" w:rsidRPr="008A7BD7">
        <w:rPr>
          <w:rFonts w:ascii="Cambria" w:eastAsia="Cambria" w:hAnsi="Cambria" w:cstheme="majorHAnsi"/>
          <w:sz w:val="16"/>
          <w:szCs w:val="16"/>
          <w:lang w:val="es-CO"/>
        </w:rPr>
        <w:t>the</w:t>
      </w:r>
      <w:proofErr w:type="spellEnd"/>
      <w:r w:rsidR="009B7138" w:rsidRPr="008A7BD7">
        <w:rPr>
          <w:rFonts w:ascii="Cambria" w:eastAsia="Cambria" w:hAnsi="Cambria" w:cstheme="majorHAnsi"/>
          <w:sz w:val="16"/>
          <w:szCs w:val="16"/>
          <w:lang w:val="es-CO"/>
        </w:rPr>
        <w:t xml:space="preserve"> Human </w:t>
      </w:r>
      <w:proofErr w:type="spellStart"/>
      <w:r w:rsidR="009B7138" w:rsidRPr="008A7BD7">
        <w:rPr>
          <w:rFonts w:ascii="Cambria" w:eastAsia="Cambria" w:hAnsi="Cambria" w:cstheme="majorHAnsi"/>
          <w:sz w:val="16"/>
          <w:szCs w:val="16"/>
          <w:lang w:val="es-CO"/>
        </w:rPr>
        <w:t>Rights</w:t>
      </w:r>
      <w:proofErr w:type="spellEnd"/>
      <w:r w:rsidR="009B7138" w:rsidRPr="008A7BD7">
        <w:rPr>
          <w:rFonts w:ascii="Cambria" w:eastAsia="Cambria" w:hAnsi="Cambria" w:cstheme="majorHAnsi"/>
          <w:sz w:val="16"/>
          <w:szCs w:val="16"/>
          <w:lang w:val="es-CO"/>
        </w:rPr>
        <w:t xml:space="preserve"> Ombudsman of Guatemala, </w:t>
      </w:r>
      <w:proofErr w:type="spellStart"/>
      <w:r w:rsidR="009B7138" w:rsidRPr="008A7BD7">
        <w:rPr>
          <w:rFonts w:ascii="Cambria" w:eastAsia="Cambria" w:hAnsi="Cambria" w:cstheme="majorHAnsi"/>
          <w:sz w:val="16"/>
          <w:szCs w:val="16"/>
          <w:lang w:val="es-CO"/>
        </w:rPr>
        <w:t>September</w:t>
      </w:r>
      <w:proofErr w:type="spellEnd"/>
      <w:r w:rsidRPr="008A7BD7">
        <w:rPr>
          <w:rFonts w:ascii="Cambria" w:eastAsia="Cambria" w:hAnsi="Cambria" w:cstheme="majorHAnsi"/>
          <w:sz w:val="16"/>
          <w:szCs w:val="16"/>
          <w:lang w:val="es-CO"/>
        </w:rPr>
        <w:t xml:space="preserve"> 2</w:t>
      </w:r>
      <w:r w:rsidR="009B7138" w:rsidRPr="008A7BD7">
        <w:rPr>
          <w:rFonts w:ascii="Cambria" w:eastAsia="Cambria" w:hAnsi="Cambria" w:cstheme="majorHAnsi"/>
          <w:sz w:val="16"/>
          <w:szCs w:val="16"/>
          <w:lang w:val="es-CO"/>
        </w:rPr>
        <w:t xml:space="preserve">, </w:t>
      </w:r>
      <w:r w:rsidRPr="008A7BD7">
        <w:rPr>
          <w:rFonts w:ascii="Cambria" w:eastAsia="Cambria" w:hAnsi="Cambria" w:cstheme="majorHAnsi"/>
          <w:sz w:val="16"/>
          <w:szCs w:val="16"/>
          <w:lang w:val="es-CO"/>
        </w:rPr>
        <w:t>2021</w:t>
      </w:r>
      <w:r w:rsidR="009B7138" w:rsidRPr="008A7BD7">
        <w:rPr>
          <w:rFonts w:ascii="Cambria" w:eastAsia="Cambria" w:hAnsi="Cambria" w:cstheme="majorHAnsi"/>
          <w:sz w:val="16"/>
          <w:szCs w:val="16"/>
          <w:lang w:val="es-CO"/>
        </w:rPr>
        <w:t>,</w:t>
      </w:r>
      <w:r w:rsidRPr="008A7BD7">
        <w:rPr>
          <w:rFonts w:ascii="Cambria" w:eastAsia="Cambria" w:hAnsi="Cambria" w:cstheme="majorHAnsi"/>
          <w:sz w:val="16"/>
          <w:szCs w:val="16"/>
          <w:lang w:val="es-CO"/>
        </w:rPr>
        <w:t xml:space="preserve"> </w:t>
      </w:r>
      <w:hyperlink r:id="rId150">
        <w:r w:rsidRPr="008A7BD7">
          <w:rPr>
            <w:rFonts w:ascii="Cambria" w:eastAsia="Cambria" w:hAnsi="Cambria" w:cstheme="majorHAnsi"/>
            <w:i/>
            <w:iCs/>
            <w:color w:val="1155CC"/>
            <w:sz w:val="16"/>
            <w:szCs w:val="16"/>
            <w:u w:val="single"/>
            <w:lang w:val="es-419"/>
          </w:rPr>
          <w:t xml:space="preserve">158/21 El Procurador de los Derechos Humanos, Jordán Rodas Andrade, deplora la actitud arbitraria, autoritaria y violatoria de la Constitución por parte del presidente del Congreso de la República, Allan Rodríguez, al impedir el acceso del periodista Enrique García del diario </w:t>
        </w:r>
        <w:proofErr w:type="spellStart"/>
        <w:r w:rsidRPr="008A7BD7">
          <w:rPr>
            <w:rFonts w:ascii="Cambria" w:eastAsia="Cambria" w:hAnsi="Cambria" w:cstheme="majorHAnsi"/>
            <w:i/>
            <w:iCs/>
            <w:color w:val="1155CC"/>
            <w:sz w:val="16"/>
            <w:szCs w:val="16"/>
            <w:u w:val="single"/>
            <w:lang w:val="es-419"/>
          </w:rPr>
          <w:t>elPeriódico</w:t>
        </w:r>
        <w:proofErr w:type="spellEnd"/>
        <w:r w:rsidRPr="008A7BD7">
          <w:rPr>
            <w:rFonts w:ascii="Cambria" w:eastAsia="Cambria" w:hAnsi="Cambria" w:cstheme="majorHAnsi"/>
            <w:i/>
            <w:iCs/>
            <w:color w:val="1155CC"/>
            <w:sz w:val="16"/>
            <w:szCs w:val="16"/>
            <w:u w:val="single"/>
            <w:lang w:val="es-419"/>
          </w:rPr>
          <w:t>, a la rueda de prensa que trató aspectos relacionados con el Presupuesto General de Ingresos y Egresos del Estado 2022</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El Peri</w:t>
      </w:r>
      <w:r w:rsidR="000B2759" w:rsidRPr="008A7BD7">
        <w:rPr>
          <w:rFonts w:ascii="Cambria" w:eastAsia="Cambria" w:hAnsi="Cambria" w:cstheme="majorHAnsi"/>
          <w:i/>
          <w:iCs/>
          <w:sz w:val="16"/>
          <w:szCs w:val="16"/>
          <w:lang w:val="es-419"/>
        </w:rPr>
        <w:t>ó</w:t>
      </w:r>
      <w:r w:rsidRPr="008A7BD7">
        <w:rPr>
          <w:rFonts w:ascii="Cambria" w:eastAsia="Cambria" w:hAnsi="Cambria" w:cstheme="majorHAnsi"/>
          <w:i/>
          <w:iCs/>
          <w:sz w:val="16"/>
          <w:szCs w:val="16"/>
          <w:lang w:val="es-419"/>
        </w:rPr>
        <w:t>dico</w:t>
      </w:r>
      <w:r w:rsidR="009B7138" w:rsidRPr="008A7BD7">
        <w:rPr>
          <w:rFonts w:ascii="Cambria" w:eastAsia="Cambria" w:hAnsi="Cambria" w:cstheme="majorHAnsi"/>
          <w:sz w:val="16"/>
          <w:szCs w:val="16"/>
          <w:lang w:val="es-419"/>
        </w:rPr>
        <w:t xml:space="preserve">, </w:t>
      </w:r>
      <w:proofErr w:type="spellStart"/>
      <w:r w:rsidR="009B7138" w:rsidRPr="008A7BD7">
        <w:rPr>
          <w:rFonts w:ascii="Cambria" w:eastAsia="Cambria" w:hAnsi="Cambria" w:cstheme="majorHAnsi"/>
          <w:sz w:val="16"/>
          <w:szCs w:val="16"/>
          <w:lang w:val="es-419"/>
        </w:rPr>
        <w:t>September</w:t>
      </w:r>
      <w:proofErr w:type="spellEnd"/>
      <w:r w:rsidRPr="008A7BD7">
        <w:rPr>
          <w:rFonts w:ascii="Cambria" w:eastAsia="Cambria" w:hAnsi="Cambria" w:cstheme="majorHAnsi"/>
          <w:sz w:val="16"/>
          <w:szCs w:val="16"/>
          <w:lang w:val="es-419"/>
        </w:rPr>
        <w:t xml:space="preserve"> 2</w:t>
      </w:r>
      <w:r w:rsidR="009B7138"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9B7138"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51">
        <w:r w:rsidRPr="008A7BD7">
          <w:rPr>
            <w:rFonts w:ascii="Cambria" w:eastAsia="Cambria" w:hAnsi="Cambria" w:cstheme="majorHAnsi"/>
            <w:i/>
            <w:iCs/>
            <w:color w:val="1155CC"/>
            <w:sz w:val="16"/>
            <w:szCs w:val="16"/>
            <w:u w:val="single"/>
            <w:lang w:val="es-419"/>
          </w:rPr>
          <w:t>Presidente del Congreso niega acceso a periodista de “</w:t>
        </w:r>
        <w:proofErr w:type="spellStart"/>
        <w:r w:rsidRPr="008A7BD7">
          <w:rPr>
            <w:rFonts w:ascii="Cambria" w:eastAsia="Cambria" w:hAnsi="Cambria" w:cstheme="majorHAnsi"/>
            <w:i/>
            <w:iCs/>
            <w:color w:val="1155CC"/>
            <w:sz w:val="16"/>
            <w:szCs w:val="16"/>
            <w:u w:val="single"/>
            <w:lang w:val="es-419"/>
          </w:rPr>
          <w:t>elPeriódico</w:t>
        </w:r>
        <w:proofErr w:type="spellEnd"/>
        <w:r w:rsidRPr="008A7BD7">
          <w:rPr>
            <w:rFonts w:ascii="Cambria" w:eastAsia="Cambria" w:hAnsi="Cambria" w:cstheme="majorHAnsi"/>
            <w:i/>
            <w:iCs/>
            <w:color w:val="1155CC"/>
            <w:sz w:val="16"/>
            <w:szCs w:val="16"/>
            <w:u w:val="single"/>
            <w:lang w:val="es-419"/>
          </w:rPr>
          <w:t>” a rueda de prensa</w:t>
        </w:r>
      </w:hyperlink>
      <w:r w:rsidRPr="008A7BD7">
        <w:rPr>
          <w:rFonts w:ascii="Cambria" w:eastAsia="Cambria" w:hAnsi="Cambria" w:cstheme="majorHAnsi"/>
          <w:sz w:val="16"/>
          <w:szCs w:val="16"/>
          <w:lang w:val="es-419"/>
        </w:rPr>
        <w:t>.</w:t>
      </w:r>
    </w:p>
  </w:footnote>
  <w:footnote w:id="153">
    <w:p w14:paraId="69079284" w14:textId="46E75355" w:rsidR="009C4A37" w:rsidRPr="008A7BD7" w:rsidRDefault="009C4A37" w:rsidP="00746761">
      <w:pPr>
        <w:spacing w:after="120"/>
        <w:ind w:firstLine="720"/>
        <w:jc w:val="both"/>
        <w:rPr>
          <w:rFonts w:ascii="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hAnsi="Cambria" w:cstheme="majorHAnsi"/>
          <w:i/>
          <w:iCs/>
          <w:sz w:val="16"/>
          <w:szCs w:val="16"/>
          <w:lang w:val="es-419"/>
        </w:rPr>
        <w:t>Soy502</w:t>
      </w:r>
      <w:r w:rsidR="00BB5E13"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r w:rsidR="00BB5E13" w:rsidRPr="008A7BD7">
        <w:rPr>
          <w:rFonts w:ascii="Cambria" w:hAnsi="Cambria" w:cstheme="majorHAnsi"/>
          <w:sz w:val="16"/>
          <w:szCs w:val="16"/>
          <w:lang w:val="es-419"/>
        </w:rPr>
        <w:t xml:space="preserve">June </w:t>
      </w:r>
      <w:r w:rsidRPr="008A7BD7">
        <w:rPr>
          <w:rFonts w:ascii="Cambria" w:hAnsi="Cambria" w:cstheme="majorHAnsi"/>
          <w:sz w:val="16"/>
          <w:szCs w:val="16"/>
          <w:lang w:val="es-419"/>
        </w:rPr>
        <w:t>15</w:t>
      </w:r>
      <w:r w:rsidR="00BB5E13" w:rsidRPr="008A7BD7">
        <w:rPr>
          <w:rFonts w:ascii="Cambria" w:hAnsi="Cambria" w:cstheme="majorHAnsi"/>
          <w:sz w:val="16"/>
          <w:szCs w:val="16"/>
          <w:lang w:val="es-419"/>
        </w:rPr>
        <w:t xml:space="preserve">, </w:t>
      </w:r>
      <w:r w:rsidRPr="008A7BD7">
        <w:rPr>
          <w:rFonts w:ascii="Cambria" w:hAnsi="Cambria" w:cstheme="majorHAnsi"/>
          <w:sz w:val="16"/>
          <w:szCs w:val="16"/>
          <w:lang w:val="es-419"/>
        </w:rPr>
        <w:t>2021</w:t>
      </w:r>
      <w:r w:rsidR="00BB5E13"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hyperlink r:id="rId152">
        <w:r w:rsidRPr="008A7BD7">
          <w:rPr>
            <w:rFonts w:ascii="Cambria" w:hAnsi="Cambria" w:cstheme="majorHAnsi"/>
            <w:i/>
            <w:iCs/>
            <w:color w:val="1155CC"/>
            <w:sz w:val="16"/>
            <w:szCs w:val="16"/>
            <w:u w:val="single"/>
            <w:lang w:val="es-419"/>
          </w:rPr>
          <w:t>Ley de ONG entrará en vigencia el lunes 21 de junio</w:t>
        </w:r>
      </w:hyperlink>
      <w:r w:rsidRPr="008A7BD7">
        <w:rPr>
          <w:rFonts w:ascii="Cambria" w:hAnsi="Cambria" w:cstheme="majorHAnsi"/>
          <w:i/>
          <w:iCs/>
          <w:sz w:val="16"/>
          <w:szCs w:val="16"/>
          <w:lang w:val="es-419"/>
        </w:rPr>
        <w:t>; Republica</w:t>
      </w:r>
      <w:r w:rsidR="00DE7135" w:rsidRPr="008A7BD7">
        <w:rPr>
          <w:rFonts w:ascii="Cambria" w:hAnsi="Cambria" w:cstheme="majorHAnsi"/>
          <w:i/>
          <w:iCs/>
          <w:sz w:val="16"/>
          <w:szCs w:val="16"/>
          <w:lang w:val="es-419"/>
        </w:rPr>
        <w:t>,</w:t>
      </w:r>
      <w:r w:rsidR="00DE7135" w:rsidRPr="008A7BD7">
        <w:rPr>
          <w:rFonts w:ascii="Cambria" w:hAnsi="Cambria" w:cstheme="majorHAnsi"/>
          <w:sz w:val="16"/>
          <w:szCs w:val="16"/>
          <w:lang w:val="es-419"/>
        </w:rPr>
        <w:t xml:space="preserve"> June 21, 2021,</w:t>
      </w:r>
      <w:r w:rsidRPr="008A7BD7">
        <w:rPr>
          <w:rFonts w:ascii="Cambria" w:hAnsi="Cambria" w:cstheme="majorHAnsi"/>
          <w:i/>
          <w:iCs/>
          <w:sz w:val="16"/>
          <w:szCs w:val="16"/>
          <w:lang w:val="es-419"/>
        </w:rPr>
        <w:t xml:space="preserve"> </w:t>
      </w:r>
      <w:hyperlink r:id="rId153">
        <w:r w:rsidRPr="008A7BD7">
          <w:rPr>
            <w:rFonts w:ascii="Cambria" w:hAnsi="Cambria" w:cstheme="majorHAnsi"/>
            <w:i/>
            <w:iCs/>
            <w:color w:val="1155CC"/>
            <w:sz w:val="16"/>
            <w:szCs w:val="16"/>
            <w:u w:val="single"/>
            <w:lang w:val="es-419"/>
          </w:rPr>
          <w:t>Entran en vigencia reformas a la Ley de Organizaciones no Gubernamentales</w:t>
        </w:r>
      </w:hyperlink>
      <w:r w:rsidR="00BB5E13"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p>
  </w:footnote>
  <w:footnote w:id="154">
    <w:p w14:paraId="628CBA1A" w14:textId="7F0A3C72" w:rsidR="009C4A37" w:rsidRPr="008A7BD7" w:rsidRDefault="009C4A37" w:rsidP="00746761">
      <w:pPr>
        <w:spacing w:after="120"/>
        <w:ind w:firstLine="720"/>
        <w:jc w:val="both"/>
        <w:rPr>
          <w:rFonts w:ascii="Cambria" w:eastAsia="Cambria" w:hAnsi="Cambria" w:cstheme="majorHAnsi"/>
          <w:sz w:val="16"/>
          <w:szCs w:val="16"/>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rPr>
        <w:t xml:space="preserve"> </w:t>
      </w:r>
      <w:r w:rsidR="00BB5E13" w:rsidRPr="008A7BD7">
        <w:rPr>
          <w:rFonts w:ascii="Cambria" w:eastAsia="Cambria" w:hAnsi="Cambria" w:cstheme="majorHAnsi"/>
          <w:sz w:val="16"/>
          <w:szCs w:val="16"/>
        </w:rPr>
        <w:t xml:space="preserve">IACHR, May </w:t>
      </w:r>
      <w:r w:rsidRPr="008A7BD7">
        <w:rPr>
          <w:rFonts w:ascii="Cambria" w:eastAsia="Cambria" w:hAnsi="Cambria" w:cstheme="majorHAnsi"/>
          <w:sz w:val="16"/>
          <w:szCs w:val="16"/>
        </w:rPr>
        <w:t>19</w:t>
      </w:r>
      <w:r w:rsidR="00BB5E13" w:rsidRPr="008A7BD7">
        <w:rPr>
          <w:rFonts w:ascii="Cambria" w:eastAsia="Cambria" w:hAnsi="Cambria" w:cstheme="majorHAnsi"/>
          <w:sz w:val="16"/>
          <w:szCs w:val="16"/>
        </w:rPr>
        <w:t xml:space="preserve">, </w:t>
      </w:r>
      <w:r w:rsidRPr="008A7BD7">
        <w:rPr>
          <w:rFonts w:ascii="Cambria" w:eastAsia="Cambria" w:hAnsi="Cambria" w:cstheme="majorHAnsi"/>
          <w:sz w:val="16"/>
          <w:szCs w:val="16"/>
        </w:rPr>
        <w:t>2021</w:t>
      </w:r>
      <w:r w:rsidR="00BB5E13" w:rsidRPr="008A7BD7">
        <w:rPr>
          <w:rFonts w:ascii="Cambria" w:eastAsia="Cambria" w:hAnsi="Cambria" w:cstheme="majorHAnsi"/>
          <w:sz w:val="16"/>
          <w:szCs w:val="16"/>
        </w:rPr>
        <w:t xml:space="preserve">, </w:t>
      </w:r>
      <w:hyperlink r:id="rId154" w:history="1">
        <w:r w:rsidR="00BB5E13" w:rsidRPr="008A7BD7">
          <w:rPr>
            <w:rStyle w:val="Hyperlink"/>
            <w:rFonts w:ascii="Cambria" w:eastAsia="Cambria" w:hAnsi="Cambria" w:cstheme="majorHAnsi"/>
            <w:sz w:val="16"/>
            <w:szCs w:val="16"/>
          </w:rPr>
          <w:t>IACHR and RFOE Reject Entry into Force of Reforms to the Nongovernmental Organizations Act in Guatemala</w:t>
        </w:r>
      </w:hyperlink>
      <w:r w:rsidRPr="008A7BD7">
        <w:rPr>
          <w:rFonts w:ascii="Cambria" w:eastAsia="Cambria" w:hAnsi="Cambria" w:cstheme="majorHAnsi"/>
          <w:sz w:val="16"/>
          <w:szCs w:val="16"/>
        </w:rPr>
        <w:t xml:space="preserve">. </w:t>
      </w:r>
    </w:p>
  </w:footnote>
  <w:footnote w:id="155">
    <w:p w14:paraId="38278036" w14:textId="08B22F87" w:rsidR="00F97F2A" w:rsidRPr="008A7BD7" w:rsidRDefault="00F97F2A" w:rsidP="00F97F2A">
      <w:pPr>
        <w:spacing w:after="120"/>
        <w:ind w:firstLine="720"/>
      </w:pPr>
      <w:r w:rsidRPr="008A7BD7">
        <w:rPr>
          <w:rStyle w:val="FootnoteReference"/>
          <w:rFonts w:ascii="Cambria" w:hAnsi="Cambria"/>
          <w:sz w:val="16"/>
          <w:szCs w:val="16"/>
        </w:rPr>
        <w:footnoteRef/>
      </w:r>
      <w:r w:rsidRPr="008A7BD7">
        <w:rPr>
          <w:rFonts w:ascii="Cambria" w:hAnsi="Cambria"/>
          <w:sz w:val="16"/>
          <w:szCs w:val="16"/>
        </w:rPr>
        <w:t xml:space="preserve"> </w:t>
      </w:r>
      <w:r w:rsidR="00F51882" w:rsidRPr="008A7BD7">
        <w:rPr>
          <w:rFonts w:ascii="Cambria" w:hAnsi="Cambria"/>
          <w:sz w:val="16"/>
          <w:szCs w:val="16"/>
        </w:rPr>
        <w:t>Response from the State of</w:t>
      </w:r>
      <w:r w:rsidR="00F51882"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F51882" w:rsidRPr="008A7BD7">
        <w:rPr>
          <w:rFonts w:ascii="Cambria" w:hAnsi="Cambria"/>
          <w:sz w:val="16"/>
          <w:szCs w:val="16"/>
        </w:rPr>
        <w:t>OEA</w:t>
      </w:r>
      <w:r w:rsidR="00F51882"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 52.</w:t>
      </w:r>
    </w:p>
  </w:footnote>
  <w:footnote w:id="156">
    <w:p w14:paraId="4BCC63B7" w14:textId="0731F89B" w:rsidR="009C4A37" w:rsidRPr="008A7BD7" w:rsidRDefault="009C4A37" w:rsidP="00746761">
      <w:pPr>
        <w:spacing w:after="120"/>
        <w:ind w:firstLine="720"/>
        <w:jc w:val="both"/>
        <w:rPr>
          <w:rFonts w:ascii="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CO"/>
        </w:rPr>
        <w:t xml:space="preserve"> </w:t>
      </w:r>
      <w:proofErr w:type="spellStart"/>
      <w:r w:rsidR="00910C76" w:rsidRPr="008A7BD7">
        <w:rPr>
          <w:rFonts w:ascii="Cambria" w:hAnsi="Cambria" w:cstheme="majorHAnsi"/>
          <w:sz w:val="16"/>
          <w:szCs w:val="16"/>
          <w:lang w:val="es-CO"/>
        </w:rPr>
        <w:t>Government</w:t>
      </w:r>
      <w:proofErr w:type="spellEnd"/>
      <w:r w:rsidR="00910C76" w:rsidRPr="008A7BD7">
        <w:rPr>
          <w:rFonts w:ascii="Cambria" w:hAnsi="Cambria" w:cstheme="majorHAnsi"/>
          <w:sz w:val="16"/>
          <w:szCs w:val="16"/>
          <w:lang w:val="es-CO"/>
        </w:rPr>
        <w:t xml:space="preserve"> of</w:t>
      </w:r>
      <w:r w:rsidRPr="008A7BD7">
        <w:rPr>
          <w:rFonts w:ascii="Cambria" w:hAnsi="Cambria" w:cstheme="majorHAnsi"/>
          <w:sz w:val="16"/>
          <w:szCs w:val="16"/>
          <w:lang w:val="es-CO"/>
        </w:rPr>
        <w:t xml:space="preserve"> Guatemala</w:t>
      </w:r>
      <w:r w:rsidR="00910C76" w:rsidRPr="008A7BD7">
        <w:rPr>
          <w:rFonts w:ascii="Cambria" w:hAnsi="Cambria" w:cstheme="majorHAnsi"/>
          <w:sz w:val="16"/>
          <w:szCs w:val="16"/>
          <w:lang w:val="es-CO"/>
        </w:rPr>
        <w:t>, August</w:t>
      </w:r>
      <w:r w:rsidRPr="008A7BD7">
        <w:rPr>
          <w:rFonts w:ascii="Cambria" w:hAnsi="Cambria" w:cstheme="majorHAnsi"/>
          <w:sz w:val="16"/>
          <w:szCs w:val="16"/>
          <w:lang w:val="es-CO"/>
        </w:rPr>
        <w:t xml:space="preserve"> 13</w:t>
      </w:r>
      <w:r w:rsidR="00910C76" w:rsidRPr="008A7BD7">
        <w:rPr>
          <w:rFonts w:ascii="Cambria" w:hAnsi="Cambria" w:cstheme="majorHAnsi"/>
          <w:sz w:val="16"/>
          <w:szCs w:val="16"/>
          <w:lang w:val="es-CO"/>
        </w:rPr>
        <w:t xml:space="preserve">, </w:t>
      </w:r>
      <w:r w:rsidRPr="008A7BD7">
        <w:rPr>
          <w:rFonts w:ascii="Cambria" w:hAnsi="Cambria" w:cstheme="majorHAnsi"/>
          <w:sz w:val="16"/>
          <w:szCs w:val="16"/>
          <w:lang w:val="es-CO"/>
        </w:rPr>
        <w:t>2021</w:t>
      </w:r>
      <w:r w:rsidR="00910C76" w:rsidRPr="008A7BD7">
        <w:rPr>
          <w:rFonts w:ascii="Cambria" w:hAnsi="Cambria" w:cstheme="majorHAnsi"/>
          <w:sz w:val="16"/>
          <w:szCs w:val="16"/>
          <w:lang w:val="es-CO"/>
        </w:rPr>
        <w:t>,</w:t>
      </w:r>
      <w:r w:rsidRPr="008A7BD7">
        <w:rPr>
          <w:rFonts w:ascii="Cambria" w:hAnsi="Cambria" w:cstheme="majorHAnsi"/>
          <w:sz w:val="16"/>
          <w:szCs w:val="16"/>
          <w:lang w:val="es-CO"/>
        </w:rPr>
        <w:t xml:space="preserve"> </w:t>
      </w:r>
      <w:hyperlink r:id="rId155">
        <w:r w:rsidRPr="008A7BD7">
          <w:rPr>
            <w:rFonts w:ascii="Cambria" w:hAnsi="Cambria" w:cstheme="majorHAnsi"/>
            <w:i/>
            <w:iCs/>
            <w:color w:val="1155CC"/>
            <w:sz w:val="16"/>
            <w:szCs w:val="16"/>
            <w:u w:val="single"/>
            <w:lang w:val="es-CO"/>
          </w:rPr>
          <w:t>Decreto Gubernativo 5-2021</w:t>
        </w:r>
      </w:hyperlink>
      <w:r w:rsidRPr="008A7BD7">
        <w:rPr>
          <w:rFonts w:ascii="Cambria" w:hAnsi="Cambria" w:cstheme="majorHAnsi"/>
          <w:sz w:val="16"/>
          <w:szCs w:val="16"/>
          <w:lang w:val="es-CO"/>
        </w:rPr>
        <w:t xml:space="preserve">; </w:t>
      </w:r>
      <w:r w:rsidRPr="008A7BD7">
        <w:rPr>
          <w:rFonts w:ascii="Cambria" w:hAnsi="Cambria" w:cstheme="majorHAnsi"/>
          <w:i/>
          <w:iCs/>
          <w:sz w:val="16"/>
          <w:szCs w:val="16"/>
          <w:lang w:val="es-CO"/>
        </w:rPr>
        <w:t>La Hora</w:t>
      </w:r>
      <w:r w:rsidR="00740E2C" w:rsidRPr="008A7BD7">
        <w:rPr>
          <w:rFonts w:ascii="Cambria" w:hAnsi="Cambria" w:cstheme="majorHAnsi"/>
          <w:sz w:val="16"/>
          <w:szCs w:val="16"/>
          <w:lang w:val="es-CO"/>
        </w:rPr>
        <w:t xml:space="preserve">, </w:t>
      </w:r>
      <w:proofErr w:type="spellStart"/>
      <w:r w:rsidR="00740E2C" w:rsidRPr="008A7BD7">
        <w:rPr>
          <w:rFonts w:ascii="Cambria" w:hAnsi="Cambria" w:cstheme="majorHAnsi"/>
          <w:sz w:val="16"/>
          <w:szCs w:val="16"/>
          <w:lang w:val="es-CO"/>
        </w:rPr>
        <w:t>July</w:t>
      </w:r>
      <w:proofErr w:type="spellEnd"/>
      <w:r w:rsidRPr="008A7BD7">
        <w:rPr>
          <w:rFonts w:ascii="Cambria" w:hAnsi="Cambria" w:cstheme="majorHAnsi"/>
          <w:sz w:val="16"/>
          <w:szCs w:val="16"/>
          <w:lang w:val="es-CO"/>
        </w:rPr>
        <w:t xml:space="preserve"> 14</w:t>
      </w:r>
      <w:r w:rsidR="00740E2C" w:rsidRPr="008A7BD7">
        <w:rPr>
          <w:rFonts w:ascii="Cambria" w:hAnsi="Cambria" w:cstheme="majorHAnsi"/>
          <w:sz w:val="16"/>
          <w:szCs w:val="16"/>
          <w:lang w:val="es-CO"/>
        </w:rPr>
        <w:t xml:space="preserve">, </w:t>
      </w:r>
      <w:r w:rsidRPr="008A7BD7">
        <w:rPr>
          <w:rFonts w:ascii="Cambria" w:hAnsi="Cambria" w:cstheme="majorHAnsi"/>
          <w:sz w:val="16"/>
          <w:szCs w:val="16"/>
          <w:lang w:val="es-CO"/>
        </w:rPr>
        <w:t>2021</w:t>
      </w:r>
      <w:r w:rsidR="00740E2C" w:rsidRPr="008A7BD7">
        <w:rPr>
          <w:rFonts w:ascii="Cambria" w:hAnsi="Cambria" w:cstheme="majorHAnsi"/>
          <w:sz w:val="16"/>
          <w:szCs w:val="16"/>
          <w:lang w:val="es-CO"/>
        </w:rPr>
        <w:t>,</w:t>
      </w:r>
      <w:r w:rsidRPr="008A7BD7">
        <w:rPr>
          <w:rFonts w:ascii="Cambria" w:hAnsi="Cambria" w:cstheme="majorHAnsi"/>
          <w:sz w:val="16"/>
          <w:szCs w:val="16"/>
          <w:lang w:val="es-CO"/>
        </w:rPr>
        <w:t xml:space="preserve"> </w:t>
      </w:r>
      <w:hyperlink r:id="rId156">
        <w:r w:rsidRPr="008A7BD7">
          <w:rPr>
            <w:rFonts w:ascii="Cambria" w:hAnsi="Cambria" w:cstheme="majorHAnsi"/>
            <w:i/>
            <w:iCs/>
            <w:color w:val="1155CC"/>
            <w:sz w:val="16"/>
            <w:szCs w:val="16"/>
            <w:u w:val="single"/>
            <w:lang w:val="es-419"/>
          </w:rPr>
          <w:t>Publican Estado de Prevención; Vicepresidente votó en contra</w:t>
        </w:r>
      </w:hyperlink>
      <w:r w:rsidRPr="008A7BD7">
        <w:rPr>
          <w:rFonts w:ascii="Cambria" w:hAnsi="Cambria" w:cstheme="majorHAnsi"/>
          <w:sz w:val="16"/>
          <w:szCs w:val="16"/>
          <w:lang w:val="es-419"/>
        </w:rPr>
        <w:t>.</w:t>
      </w:r>
    </w:p>
  </w:footnote>
  <w:footnote w:id="157">
    <w:p w14:paraId="7B1A4F60" w14:textId="685A0F72" w:rsidR="009C4A37" w:rsidRPr="008A7BD7" w:rsidRDefault="009C4A37" w:rsidP="00746761">
      <w:pPr>
        <w:spacing w:after="120"/>
        <w:ind w:firstLine="720"/>
        <w:jc w:val="both"/>
        <w:rPr>
          <w:rFonts w:ascii="Cambria" w:eastAsia="Cambria" w:hAnsi="Cambria" w:cstheme="majorHAnsi"/>
          <w:sz w:val="16"/>
          <w:szCs w:val="16"/>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rPr>
        <w:t xml:space="preserve"> </w:t>
      </w:r>
      <w:r w:rsidR="00740E2C" w:rsidRPr="008A7BD7">
        <w:rPr>
          <w:rFonts w:ascii="Cambria" w:hAnsi="Cambria" w:cstheme="majorHAnsi"/>
          <w:sz w:val="16"/>
          <w:szCs w:val="16"/>
        </w:rPr>
        <w:t xml:space="preserve">Government of Guatemala, August 13, 2021, </w:t>
      </w:r>
      <w:hyperlink r:id="rId157">
        <w:proofErr w:type="spellStart"/>
        <w:r w:rsidR="00740E2C" w:rsidRPr="008A7BD7">
          <w:rPr>
            <w:rFonts w:ascii="Cambria" w:hAnsi="Cambria" w:cstheme="majorHAnsi"/>
            <w:i/>
            <w:iCs/>
            <w:color w:val="1155CC"/>
            <w:sz w:val="16"/>
            <w:szCs w:val="16"/>
            <w:u w:val="single"/>
          </w:rPr>
          <w:t>Decreto</w:t>
        </w:r>
        <w:proofErr w:type="spellEnd"/>
        <w:r w:rsidR="00740E2C" w:rsidRPr="008A7BD7">
          <w:rPr>
            <w:rFonts w:ascii="Cambria" w:hAnsi="Cambria" w:cstheme="majorHAnsi"/>
            <w:i/>
            <w:iCs/>
            <w:color w:val="1155CC"/>
            <w:sz w:val="16"/>
            <w:szCs w:val="16"/>
            <w:u w:val="single"/>
          </w:rPr>
          <w:t xml:space="preserve"> </w:t>
        </w:r>
        <w:proofErr w:type="spellStart"/>
        <w:r w:rsidR="00740E2C" w:rsidRPr="008A7BD7">
          <w:rPr>
            <w:rFonts w:ascii="Cambria" w:hAnsi="Cambria" w:cstheme="majorHAnsi"/>
            <w:i/>
            <w:iCs/>
            <w:color w:val="1155CC"/>
            <w:sz w:val="16"/>
            <w:szCs w:val="16"/>
            <w:u w:val="single"/>
          </w:rPr>
          <w:t>Gubernativo</w:t>
        </w:r>
        <w:proofErr w:type="spellEnd"/>
        <w:r w:rsidR="00740E2C" w:rsidRPr="008A7BD7">
          <w:rPr>
            <w:rFonts w:ascii="Cambria" w:hAnsi="Cambria" w:cstheme="majorHAnsi"/>
            <w:i/>
            <w:iCs/>
            <w:color w:val="1155CC"/>
            <w:sz w:val="16"/>
            <w:szCs w:val="16"/>
            <w:u w:val="single"/>
          </w:rPr>
          <w:t xml:space="preserve"> 5-2021</w:t>
        </w:r>
      </w:hyperlink>
      <w:r w:rsidR="00AD62E2" w:rsidRPr="008A7BD7">
        <w:rPr>
          <w:rFonts w:ascii="Cambria" w:hAnsi="Cambria" w:cstheme="majorHAnsi"/>
          <w:sz w:val="16"/>
          <w:szCs w:val="16"/>
        </w:rPr>
        <w:t>.</w:t>
      </w:r>
    </w:p>
  </w:footnote>
  <w:footnote w:id="158">
    <w:p w14:paraId="3B64054B" w14:textId="63F525EC" w:rsidR="009C4A37" w:rsidRPr="008A7BD7" w:rsidRDefault="009C4A37" w:rsidP="00746761">
      <w:pPr>
        <w:spacing w:after="120"/>
        <w:ind w:firstLine="720"/>
        <w:jc w:val="both"/>
        <w:rPr>
          <w:rFonts w:ascii="Cambria" w:hAnsi="Cambria" w:cstheme="majorHAnsi"/>
          <w:sz w:val="16"/>
          <w:szCs w:val="16"/>
          <w:lang w:val="es-US"/>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rPr>
        <w:t xml:space="preserve"> </w:t>
      </w:r>
      <w:r w:rsidR="00252086" w:rsidRPr="008A7BD7">
        <w:rPr>
          <w:rFonts w:ascii="Cambria" w:eastAsia="Cambria" w:hAnsi="Cambria" w:cstheme="majorHAnsi"/>
          <w:sz w:val="16"/>
          <w:szCs w:val="16"/>
        </w:rPr>
        <w:t>Office of the Human Rights Ombudsman of Guatemala, July</w:t>
      </w:r>
      <w:r w:rsidRPr="008A7BD7">
        <w:rPr>
          <w:rFonts w:ascii="Cambria" w:eastAsia="Cambria" w:hAnsi="Cambria" w:cstheme="majorHAnsi"/>
          <w:sz w:val="16"/>
          <w:szCs w:val="16"/>
        </w:rPr>
        <w:t xml:space="preserve"> 13</w:t>
      </w:r>
      <w:r w:rsidR="00252086" w:rsidRPr="008A7BD7">
        <w:rPr>
          <w:rFonts w:ascii="Cambria" w:eastAsia="Cambria" w:hAnsi="Cambria" w:cstheme="majorHAnsi"/>
          <w:sz w:val="16"/>
          <w:szCs w:val="16"/>
        </w:rPr>
        <w:t xml:space="preserve">, </w:t>
      </w:r>
      <w:r w:rsidRPr="008A7BD7">
        <w:rPr>
          <w:rFonts w:ascii="Cambria" w:eastAsia="Cambria" w:hAnsi="Cambria" w:cstheme="majorHAnsi"/>
          <w:sz w:val="16"/>
          <w:szCs w:val="16"/>
        </w:rPr>
        <w:t xml:space="preserve">2021. </w:t>
      </w:r>
      <w:hyperlink r:id="rId158">
        <w:r w:rsidRPr="008A7BD7">
          <w:rPr>
            <w:rFonts w:ascii="Cambria" w:eastAsia="Cambria" w:hAnsi="Cambria" w:cstheme="majorHAnsi"/>
            <w:i/>
            <w:iCs/>
            <w:color w:val="1155CC"/>
            <w:sz w:val="16"/>
            <w:szCs w:val="16"/>
            <w:u w:val="single"/>
            <w:lang w:val="es-US"/>
          </w:rPr>
          <w:t>Comunicado de prensa</w:t>
        </w:r>
      </w:hyperlink>
      <w:r w:rsidRPr="008A7BD7">
        <w:rPr>
          <w:rFonts w:ascii="Cambria" w:hAnsi="Cambria" w:cstheme="majorHAnsi"/>
          <w:sz w:val="16"/>
          <w:szCs w:val="16"/>
          <w:lang w:val="es-US"/>
        </w:rPr>
        <w:t xml:space="preserve">. </w:t>
      </w:r>
    </w:p>
  </w:footnote>
  <w:footnote w:id="159">
    <w:p w14:paraId="072BEBFC" w14:textId="18684B25" w:rsidR="009C4A37" w:rsidRPr="008A7BD7" w:rsidRDefault="009C4A37" w:rsidP="00746761">
      <w:pPr>
        <w:spacing w:after="120"/>
        <w:ind w:firstLine="720"/>
        <w:jc w:val="both"/>
        <w:rPr>
          <w:rFonts w:ascii="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CO"/>
        </w:rPr>
        <w:t xml:space="preserve">  </w:t>
      </w:r>
      <w:r w:rsidR="00252086" w:rsidRPr="008A7BD7">
        <w:rPr>
          <w:rFonts w:ascii="Cambria" w:eastAsia="Cambria" w:hAnsi="Cambria" w:cstheme="majorHAnsi"/>
          <w:sz w:val="16"/>
          <w:szCs w:val="16"/>
          <w:lang w:val="es-CO"/>
        </w:rPr>
        <w:t xml:space="preserve">Office of </w:t>
      </w:r>
      <w:proofErr w:type="spellStart"/>
      <w:r w:rsidR="00252086" w:rsidRPr="008A7BD7">
        <w:rPr>
          <w:rFonts w:ascii="Cambria" w:eastAsia="Cambria" w:hAnsi="Cambria" w:cstheme="majorHAnsi"/>
          <w:sz w:val="16"/>
          <w:szCs w:val="16"/>
          <w:lang w:val="es-CO"/>
        </w:rPr>
        <w:t>the</w:t>
      </w:r>
      <w:proofErr w:type="spellEnd"/>
      <w:r w:rsidR="00252086" w:rsidRPr="008A7BD7">
        <w:rPr>
          <w:rFonts w:ascii="Cambria" w:eastAsia="Cambria" w:hAnsi="Cambria" w:cstheme="majorHAnsi"/>
          <w:sz w:val="16"/>
          <w:szCs w:val="16"/>
          <w:lang w:val="es-CO"/>
        </w:rPr>
        <w:t xml:space="preserve"> Human </w:t>
      </w:r>
      <w:proofErr w:type="spellStart"/>
      <w:r w:rsidR="00252086" w:rsidRPr="008A7BD7">
        <w:rPr>
          <w:rFonts w:ascii="Cambria" w:eastAsia="Cambria" w:hAnsi="Cambria" w:cstheme="majorHAnsi"/>
          <w:sz w:val="16"/>
          <w:szCs w:val="16"/>
          <w:lang w:val="es-CO"/>
        </w:rPr>
        <w:t>Rights</w:t>
      </w:r>
      <w:proofErr w:type="spellEnd"/>
      <w:r w:rsidR="00252086" w:rsidRPr="008A7BD7">
        <w:rPr>
          <w:rFonts w:ascii="Cambria" w:eastAsia="Cambria" w:hAnsi="Cambria" w:cstheme="majorHAnsi"/>
          <w:sz w:val="16"/>
          <w:szCs w:val="16"/>
          <w:lang w:val="es-CO"/>
        </w:rPr>
        <w:t xml:space="preserve"> Ombudsman of Guatemala, </w:t>
      </w:r>
      <w:proofErr w:type="spellStart"/>
      <w:r w:rsidR="00252086" w:rsidRPr="008A7BD7">
        <w:rPr>
          <w:rFonts w:ascii="Cambria" w:eastAsia="Cambria" w:hAnsi="Cambria" w:cstheme="majorHAnsi"/>
          <w:sz w:val="16"/>
          <w:szCs w:val="16"/>
          <w:lang w:val="es-CO"/>
        </w:rPr>
        <w:t>July</w:t>
      </w:r>
      <w:proofErr w:type="spellEnd"/>
      <w:r w:rsidRPr="008A7BD7">
        <w:rPr>
          <w:rFonts w:ascii="Cambria" w:eastAsia="Cambria" w:hAnsi="Cambria" w:cstheme="majorHAnsi"/>
          <w:sz w:val="16"/>
          <w:szCs w:val="16"/>
          <w:lang w:val="es-CO"/>
        </w:rPr>
        <w:t xml:space="preserve"> 28</w:t>
      </w:r>
      <w:r w:rsidR="00252086" w:rsidRPr="008A7BD7">
        <w:rPr>
          <w:rFonts w:ascii="Cambria" w:eastAsia="Cambria" w:hAnsi="Cambria" w:cstheme="majorHAnsi"/>
          <w:sz w:val="16"/>
          <w:szCs w:val="16"/>
          <w:lang w:val="es-CO"/>
        </w:rPr>
        <w:t xml:space="preserve">, </w:t>
      </w:r>
      <w:r w:rsidRPr="008A7BD7">
        <w:rPr>
          <w:rFonts w:ascii="Cambria" w:eastAsia="Cambria" w:hAnsi="Cambria" w:cstheme="majorHAnsi"/>
          <w:sz w:val="16"/>
          <w:szCs w:val="16"/>
          <w:lang w:val="es-CO"/>
        </w:rPr>
        <w:t>2021</w:t>
      </w:r>
      <w:r w:rsidR="00252086" w:rsidRPr="008A7BD7">
        <w:rPr>
          <w:rFonts w:ascii="Cambria" w:eastAsia="Cambria" w:hAnsi="Cambria" w:cstheme="majorHAnsi"/>
          <w:sz w:val="16"/>
          <w:szCs w:val="16"/>
          <w:lang w:val="es-CO"/>
        </w:rPr>
        <w:t>,</w:t>
      </w:r>
      <w:r w:rsidRPr="008A7BD7">
        <w:rPr>
          <w:rFonts w:ascii="Cambria" w:eastAsia="Cambria" w:hAnsi="Cambria" w:cstheme="majorHAnsi"/>
          <w:sz w:val="16"/>
          <w:szCs w:val="16"/>
          <w:lang w:val="es-CO"/>
        </w:rPr>
        <w:t xml:space="preserve"> </w:t>
      </w:r>
      <w:hyperlink r:id="rId159">
        <w:r w:rsidRPr="008A7BD7">
          <w:rPr>
            <w:rFonts w:ascii="Cambria" w:eastAsia="Cambria" w:hAnsi="Cambria" w:cstheme="majorHAnsi"/>
            <w:i/>
            <w:iCs/>
            <w:color w:val="1155CC"/>
            <w:sz w:val="16"/>
            <w:szCs w:val="16"/>
            <w:u w:val="single"/>
            <w:lang w:val="es-419"/>
          </w:rPr>
          <w:t>CC otorga amparo provisional a PDH y ordena a las autoridades impugnadas garantizar el derecho a manifestar</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BBC</w:t>
      </w:r>
      <w:r w:rsidR="0025208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proofErr w:type="spellStart"/>
      <w:r w:rsidR="00252086" w:rsidRPr="008A7BD7">
        <w:rPr>
          <w:rFonts w:ascii="Cambria" w:eastAsia="Cambria" w:hAnsi="Cambria" w:cstheme="majorHAnsi"/>
          <w:sz w:val="16"/>
          <w:szCs w:val="16"/>
          <w:lang w:val="es-419"/>
        </w:rPr>
        <w:t>July</w:t>
      </w:r>
      <w:proofErr w:type="spellEnd"/>
      <w:r w:rsidR="0025208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29</w:t>
      </w:r>
      <w:r w:rsidR="0025208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25208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60">
        <w:r w:rsidRPr="008A7BD7">
          <w:rPr>
            <w:rFonts w:ascii="Cambria" w:eastAsia="Cambria" w:hAnsi="Cambria" w:cstheme="majorHAnsi"/>
            <w:i/>
            <w:iCs/>
            <w:color w:val="1155CC"/>
            <w:sz w:val="16"/>
            <w:szCs w:val="16"/>
            <w:u w:val="single"/>
            <w:lang w:val="es-419"/>
          </w:rPr>
          <w:t xml:space="preserve">Protestas en Guatemala contra el presidente </w:t>
        </w:r>
        <w:proofErr w:type="spellStart"/>
        <w:r w:rsidRPr="008A7BD7">
          <w:rPr>
            <w:rFonts w:ascii="Cambria" w:eastAsia="Cambria" w:hAnsi="Cambria" w:cstheme="majorHAnsi"/>
            <w:i/>
            <w:iCs/>
            <w:color w:val="1155CC"/>
            <w:sz w:val="16"/>
            <w:szCs w:val="16"/>
            <w:u w:val="single"/>
            <w:lang w:val="es-419"/>
          </w:rPr>
          <w:t>Giammattei</w:t>
        </w:r>
        <w:proofErr w:type="spellEnd"/>
        <w:r w:rsidRPr="008A7BD7">
          <w:rPr>
            <w:rFonts w:ascii="Cambria" w:eastAsia="Cambria" w:hAnsi="Cambria" w:cstheme="majorHAnsi"/>
            <w:i/>
            <w:iCs/>
            <w:color w:val="1155CC"/>
            <w:sz w:val="16"/>
            <w:szCs w:val="16"/>
            <w:u w:val="single"/>
            <w:lang w:val="es-419"/>
          </w:rPr>
          <w:t xml:space="preserve"> y la jefa del Ministerio Público por la destitución del fiscal anticorrupción</w:t>
        </w:r>
      </w:hyperlink>
      <w:r w:rsidRPr="008A7BD7">
        <w:rPr>
          <w:rFonts w:ascii="Cambria" w:eastAsia="Cambria" w:hAnsi="Cambria" w:cstheme="majorHAnsi"/>
          <w:sz w:val="16"/>
          <w:szCs w:val="16"/>
          <w:lang w:val="es-419"/>
        </w:rPr>
        <w:t xml:space="preserve">.  </w:t>
      </w:r>
    </w:p>
  </w:footnote>
  <w:footnote w:id="160">
    <w:p w14:paraId="3B08DEF1" w14:textId="1D9C9989" w:rsidR="009C4A37" w:rsidRPr="008A7BD7" w:rsidRDefault="009C4A37" w:rsidP="00746761">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Deutsche Welle</w:t>
      </w:r>
      <w:r w:rsidR="00252086" w:rsidRPr="008A7BD7">
        <w:rPr>
          <w:rFonts w:ascii="Cambria" w:eastAsia="Cambria" w:hAnsi="Cambria" w:cstheme="majorHAnsi"/>
          <w:sz w:val="16"/>
          <w:szCs w:val="16"/>
          <w:lang w:val="es-419"/>
        </w:rPr>
        <w:t xml:space="preserve">, </w:t>
      </w:r>
      <w:proofErr w:type="spellStart"/>
      <w:r w:rsidR="00252086" w:rsidRPr="008A7BD7">
        <w:rPr>
          <w:rFonts w:ascii="Cambria" w:eastAsia="Cambria" w:hAnsi="Cambria" w:cstheme="majorHAnsi"/>
          <w:sz w:val="16"/>
          <w:szCs w:val="16"/>
          <w:lang w:val="es-419"/>
        </w:rPr>
        <w:t>July</w:t>
      </w:r>
      <w:proofErr w:type="spellEnd"/>
      <w:r w:rsidRPr="008A7BD7">
        <w:rPr>
          <w:rFonts w:ascii="Cambria" w:eastAsia="Cambria" w:hAnsi="Cambria" w:cstheme="majorHAnsi"/>
          <w:sz w:val="16"/>
          <w:szCs w:val="16"/>
          <w:lang w:val="es-419"/>
        </w:rPr>
        <w:t xml:space="preserve"> 30</w:t>
      </w:r>
      <w:r w:rsidR="0025208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25208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61">
        <w:r w:rsidRPr="008A7BD7">
          <w:rPr>
            <w:rFonts w:ascii="Cambria" w:eastAsia="Cambria" w:hAnsi="Cambria" w:cstheme="majorHAnsi"/>
            <w:i/>
            <w:iCs/>
            <w:color w:val="1155CC"/>
            <w:sz w:val="16"/>
            <w:szCs w:val="16"/>
            <w:u w:val="single"/>
            <w:shd w:val="clear" w:color="auto" w:fill="FDFDFD"/>
            <w:lang w:val="es-419"/>
          </w:rPr>
          <w:t xml:space="preserve">Guatemala: bloquean carreteras para exigir renuncia de Alejandro </w:t>
        </w:r>
        <w:proofErr w:type="spellStart"/>
        <w:r w:rsidRPr="008A7BD7">
          <w:rPr>
            <w:rFonts w:ascii="Cambria" w:eastAsia="Cambria" w:hAnsi="Cambria" w:cstheme="majorHAnsi"/>
            <w:i/>
            <w:iCs/>
            <w:color w:val="1155CC"/>
            <w:sz w:val="16"/>
            <w:szCs w:val="16"/>
            <w:u w:val="single"/>
            <w:shd w:val="clear" w:color="auto" w:fill="FDFDFD"/>
            <w:lang w:val="es-419"/>
          </w:rPr>
          <w:t>Giammattei</w:t>
        </w:r>
        <w:proofErr w:type="spellEnd"/>
      </w:hyperlink>
      <w:r w:rsidRPr="008A7BD7">
        <w:rPr>
          <w:rFonts w:ascii="Cambria" w:eastAsia="Cambria" w:hAnsi="Cambria" w:cstheme="majorHAnsi"/>
          <w:sz w:val="16"/>
          <w:szCs w:val="16"/>
          <w:lang w:val="es-419"/>
        </w:rPr>
        <w:t xml:space="preserve">; </w:t>
      </w:r>
      <w:proofErr w:type="spellStart"/>
      <w:r w:rsidRPr="008A7BD7">
        <w:rPr>
          <w:rFonts w:ascii="Cambria" w:eastAsia="Cambria" w:hAnsi="Cambria" w:cstheme="majorHAnsi"/>
          <w:i/>
          <w:iCs/>
          <w:sz w:val="16"/>
          <w:szCs w:val="16"/>
          <w:lang w:val="es-419"/>
        </w:rPr>
        <w:t>Telesurt</w:t>
      </w:r>
      <w:r w:rsidR="00BE764B" w:rsidRPr="008A7BD7">
        <w:rPr>
          <w:rFonts w:ascii="Cambria" w:eastAsia="Cambria" w:hAnsi="Cambria" w:cstheme="majorHAnsi"/>
          <w:i/>
          <w:iCs/>
          <w:sz w:val="16"/>
          <w:szCs w:val="16"/>
          <w:lang w:val="es-419"/>
        </w:rPr>
        <w:t>v</w:t>
      </w:r>
      <w:proofErr w:type="spellEnd"/>
      <w:r w:rsidR="00252086" w:rsidRPr="008A7BD7">
        <w:rPr>
          <w:rFonts w:ascii="Cambria" w:eastAsia="Cambria" w:hAnsi="Cambria" w:cstheme="majorHAnsi"/>
          <w:i/>
          <w:iCs/>
          <w:sz w:val="16"/>
          <w:szCs w:val="16"/>
          <w:lang w:val="es-419"/>
        </w:rPr>
        <w:t>,</w:t>
      </w:r>
      <w:r w:rsidRPr="008A7BD7">
        <w:rPr>
          <w:rFonts w:ascii="Cambria" w:eastAsia="Cambria" w:hAnsi="Cambria" w:cstheme="majorHAnsi"/>
          <w:sz w:val="16"/>
          <w:szCs w:val="16"/>
          <w:lang w:val="es-419"/>
        </w:rPr>
        <w:t xml:space="preserve"> </w:t>
      </w:r>
      <w:r w:rsidR="00252086" w:rsidRPr="008A7BD7">
        <w:rPr>
          <w:rFonts w:ascii="Cambria" w:eastAsia="Cambria" w:hAnsi="Cambria" w:cstheme="majorHAnsi"/>
          <w:sz w:val="16"/>
          <w:szCs w:val="16"/>
          <w:lang w:val="es-419"/>
        </w:rPr>
        <w:t xml:space="preserve">August </w:t>
      </w:r>
      <w:r w:rsidRPr="008A7BD7">
        <w:rPr>
          <w:rFonts w:ascii="Cambria" w:eastAsia="Cambria" w:hAnsi="Cambria" w:cstheme="majorHAnsi"/>
          <w:sz w:val="16"/>
          <w:szCs w:val="16"/>
          <w:lang w:val="es-419"/>
        </w:rPr>
        <w:t>10</w:t>
      </w:r>
      <w:r w:rsidR="0025208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25208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62">
        <w:r w:rsidRPr="008A7BD7">
          <w:rPr>
            <w:rFonts w:ascii="Cambria" w:eastAsia="Cambria" w:hAnsi="Cambria" w:cstheme="majorHAnsi"/>
            <w:i/>
            <w:iCs/>
            <w:color w:val="1155CC"/>
            <w:sz w:val="16"/>
            <w:szCs w:val="16"/>
            <w:u w:val="single"/>
            <w:lang w:val="es-419"/>
          </w:rPr>
          <w:t>Movimiento campesino amplía protestas en Guatemala</w:t>
        </w:r>
      </w:hyperlink>
      <w:r w:rsidRPr="008A7BD7">
        <w:rPr>
          <w:rFonts w:ascii="Cambria" w:eastAsia="Cambria" w:hAnsi="Cambria" w:cstheme="majorHAnsi"/>
          <w:sz w:val="16"/>
          <w:szCs w:val="16"/>
          <w:lang w:val="es-419"/>
        </w:rPr>
        <w:t xml:space="preserve">.  </w:t>
      </w:r>
    </w:p>
  </w:footnote>
  <w:footnote w:id="161">
    <w:p w14:paraId="5E5D8676" w14:textId="136B7E67" w:rsidR="009C4A37" w:rsidRPr="008A7BD7" w:rsidRDefault="009C4A37" w:rsidP="00746761">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La Hora</w:t>
      </w:r>
      <w:r w:rsidR="00252086" w:rsidRPr="008A7BD7">
        <w:rPr>
          <w:rFonts w:ascii="Cambria" w:eastAsia="Cambria" w:hAnsi="Cambria" w:cstheme="majorHAnsi"/>
          <w:sz w:val="16"/>
          <w:szCs w:val="16"/>
          <w:lang w:val="es-419"/>
        </w:rPr>
        <w:t xml:space="preserve">, August </w:t>
      </w:r>
      <w:r w:rsidRPr="008A7BD7">
        <w:rPr>
          <w:rFonts w:ascii="Cambria" w:eastAsia="Cambria" w:hAnsi="Cambria" w:cstheme="majorHAnsi"/>
          <w:sz w:val="16"/>
          <w:szCs w:val="16"/>
          <w:lang w:val="es-419"/>
        </w:rPr>
        <w:t>9</w:t>
      </w:r>
      <w:r w:rsidR="0025208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25208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63">
        <w:r w:rsidRPr="008A7BD7">
          <w:rPr>
            <w:rFonts w:ascii="Cambria" w:eastAsia="Cambria" w:hAnsi="Cambria" w:cstheme="majorHAnsi"/>
            <w:i/>
            <w:iCs/>
            <w:color w:val="1155CC"/>
            <w:sz w:val="16"/>
            <w:szCs w:val="16"/>
            <w:u w:val="single"/>
            <w:lang w:val="es-419"/>
          </w:rPr>
          <w:t>Ministro de Economía reconoce derecho a manifestar, pero cuestiona bloqueos</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Perspectiva</w:t>
      </w:r>
      <w:r w:rsidR="00252086" w:rsidRPr="008A7BD7">
        <w:rPr>
          <w:rFonts w:ascii="Cambria" w:eastAsia="Cambria" w:hAnsi="Cambria" w:cstheme="majorHAnsi"/>
          <w:sz w:val="16"/>
          <w:szCs w:val="16"/>
          <w:lang w:val="es-419"/>
        </w:rPr>
        <w:t xml:space="preserve"> August</w:t>
      </w:r>
      <w:r w:rsidRPr="008A7BD7">
        <w:rPr>
          <w:rFonts w:ascii="Cambria" w:eastAsia="Cambria" w:hAnsi="Cambria" w:cstheme="majorHAnsi"/>
          <w:sz w:val="16"/>
          <w:szCs w:val="16"/>
          <w:lang w:val="es-419"/>
        </w:rPr>
        <w:t xml:space="preserve"> 9</w:t>
      </w:r>
      <w:r w:rsidR="0025208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25208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64">
        <w:proofErr w:type="spellStart"/>
        <w:r w:rsidRPr="008A7BD7">
          <w:rPr>
            <w:rFonts w:ascii="Cambria" w:eastAsia="Cambria" w:hAnsi="Cambria" w:cstheme="majorHAnsi"/>
            <w:i/>
            <w:iCs/>
            <w:color w:val="1155CC"/>
            <w:sz w:val="16"/>
            <w:szCs w:val="16"/>
            <w:u w:val="single"/>
            <w:lang w:val="es-419"/>
          </w:rPr>
          <w:t>Malouf</w:t>
        </w:r>
        <w:proofErr w:type="spellEnd"/>
        <w:r w:rsidRPr="008A7BD7">
          <w:rPr>
            <w:rFonts w:ascii="Cambria" w:eastAsia="Cambria" w:hAnsi="Cambria" w:cstheme="majorHAnsi"/>
            <w:i/>
            <w:iCs/>
            <w:color w:val="1155CC"/>
            <w:sz w:val="16"/>
            <w:szCs w:val="16"/>
            <w:u w:val="single"/>
            <w:lang w:val="es-419"/>
          </w:rPr>
          <w:t xml:space="preserve"> : “bloqueos ocasionan pérdidas económicas</w:t>
        </w:r>
        <w:r w:rsidR="00252086" w:rsidRPr="008A7BD7">
          <w:rPr>
            <w:rFonts w:ascii="Cambria" w:eastAsia="Cambria" w:hAnsi="Cambria" w:cstheme="majorHAnsi"/>
            <w:i/>
            <w:iCs/>
            <w:color w:val="1155CC"/>
            <w:sz w:val="16"/>
            <w:szCs w:val="16"/>
            <w:u w:val="single"/>
            <w:lang w:val="es-419"/>
          </w:rPr>
          <w:t>.</w:t>
        </w:r>
        <w:r w:rsidRPr="008A7BD7">
          <w:rPr>
            <w:rFonts w:ascii="Cambria" w:eastAsia="Cambria" w:hAnsi="Cambria" w:cstheme="majorHAnsi"/>
            <w:i/>
            <w:iCs/>
            <w:color w:val="1155CC"/>
            <w:sz w:val="16"/>
            <w:szCs w:val="16"/>
            <w:u w:val="single"/>
            <w:lang w:val="es-419"/>
          </w:rPr>
          <w:t>”</w:t>
        </w:r>
      </w:hyperlink>
      <w:r w:rsidRPr="008A7BD7">
        <w:rPr>
          <w:rFonts w:ascii="Cambria" w:eastAsia="Cambria" w:hAnsi="Cambria" w:cstheme="majorHAnsi"/>
          <w:sz w:val="16"/>
          <w:szCs w:val="16"/>
          <w:lang w:val="es-419"/>
        </w:rPr>
        <w:t xml:space="preserve"> </w:t>
      </w:r>
    </w:p>
  </w:footnote>
  <w:footnote w:id="162">
    <w:p w14:paraId="44FC3E93" w14:textId="2FA5D625" w:rsidR="009C4A37" w:rsidRPr="008A7BD7" w:rsidRDefault="009C4A37" w:rsidP="00746761">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Soy502</w:t>
      </w:r>
      <w:r w:rsidR="00252086" w:rsidRPr="008A7BD7">
        <w:rPr>
          <w:rFonts w:ascii="Cambria" w:eastAsia="Cambria" w:hAnsi="Cambria" w:cstheme="majorHAnsi"/>
          <w:sz w:val="16"/>
          <w:szCs w:val="16"/>
          <w:lang w:val="es-419"/>
        </w:rPr>
        <w:t>, August</w:t>
      </w:r>
      <w:r w:rsidRPr="008A7BD7">
        <w:rPr>
          <w:rFonts w:ascii="Cambria" w:eastAsia="Cambria" w:hAnsi="Cambria" w:cstheme="majorHAnsi"/>
          <w:sz w:val="16"/>
          <w:szCs w:val="16"/>
          <w:lang w:val="es-419"/>
        </w:rPr>
        <w:t xml:space="preserve"> 20</w:t>
      </w:r>
      <w:r w:rsidR="0025208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25208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65">
        <w:r w:rsidRPr="008A7BD7">
          <w:rPr>
            <w:rFonts w:ascii="Cambria" w:eastAsia="Cambria" w:hAnsi="Cambria" w:cstheme="majorHAnsi"/>
            <w:i/>
            <w:iCs/>
            <w:color w:val="1155CC"/>
            <w:sz w:val="16"/>
            <w:szCs w:val="16"/>
            <w:u w:val="single"/>
            <w:lang w:val="es-419"/>
          </w:rPr>
          <w:t>Accionan contra supuestos vendedores de La Termina</w:t>
        </w:r>
      </w:hyperlink>
      <w:r w:rsidRPr="008A7BD7">
        <w:rPr>
          <w:rFonts w:ascii="Cambria" w:eastAsia="Cambria" w:hAnsi="Cambria" w:cstheme="majorHAnsi"/>
          <w:i/>
          <w:iCs/>
          <w:sz w:val="16"/>
          <w:szCs w:val="16"/>
          <w:lang w:val="es-419"/>
        </w:rPr>
        <w:t>l</w:t>
      </w:r>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La Hora</w:t>
      </w:r>
      <w:r w:rsidR="00252086" w:rsidRPr="008A7BD7">
        <w:rPr>
          <w:rFonts w:ascii="Cambria" w:eastAsia="Cambria" w:hAnsi="Cambria" w:cstheme="majorHAnsi"/>
          <w:sz w:val="16"/>
          <w:szCs w:val="16"/>
          <w:lang w:val="es-419"/>
        </w:rPr>
        <w:t>, August</w:t>
      </w:r>
      <w:r w:rsidRPr="008A7BD7">
        <w:rPr>
          <w:rFonts w:ascii="Cambria" w:eastAsia="Cambria" w:hAnsi="Cambria" w:cstheme="majorHAnsi"/>
          <w:sz w:val="16"/>
          <w:szCs w:val="16"/>
          <w:lang w:val="es-419"/>
        </w:rPr>
        <w:t xml:space="preserve"> 20</w:t>
      </w:r>
      <w:r w:rsidR="0025208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25208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66">
        <w:r w:rsidRPr="008A7BD7">
          <w:rPr>
            <w:rFonts w:ascii="Cambria" w:eastAsia="Cambria" w:hAnsi="Cambria" w:cstheme="majorHAnsi"/>
            <w:i/>
            <w:iCs/>
            <w:color w:val="1155CC"/>
            <w:sz w:val="16"/>
            <w:szCs w:val="16"/>
            <w:u w:val="single"/>
            <w:lang w:val="es-419"/>
          </w:rPr>
          <w:t xml:space="preserve">Sin </w:t>
        </w:r>
        <w:proofErr w:type="spellStart"/>
        <w:r w:rsidRPr="008A7BD7">
          <w:rPr>
            <w:rFonts w:ascii="Cambria" w:eastAsia="Cambria" w:hAnsi="Cambria" w:cstheme="majorHAnsi"/>
            <w:i/>
            <w:iCs/>
            <w:color w:val="1155CC"/>
            <w:sz w:val="16"/>
            <w:szCs w:val="16"/>
            <w:u w:val="single"/>
            <w:lang w:val="es-419"/>
          </w:rPr>
          <w:t>Joviel</w:t>
        </w:r>
        <w:proofErr w:type="spellEnd"/>
        <w:r w:rsidRPr="008A7BD7">
          <w:rPr>
            <w:rFonts w:ascii="Cambria" w:eastAsia="Cambria" w:hAnsi="Cambria" w:cstheme="majorHAnsi"/>
            <w:i/>
            <w:iCs/>
            <w:color w:val="1155CC"/>
            <w:sz w:val="16"/>
            <w:szCs w:val="16"/>
            <w:u w:val="single"/>
            <w:lang w:val="es-419"/>
          </w:rPr>
          <w:t xml:space="preserve"> y Anam, vendedores de La Terminal asumen defensa del Gobierno</w:t>
        </w:r>
      </w:hyperlink>
      <w:r w:rsidRPr="008A7BD7">
        <w:rPr>
          <w:rFonts w:ascii="Cambria" w:eastAsia="Cambria" w:hAnsi="Cambria" w:cstheme="majorHAnsi"/>
          <w:sz w:val="16"/>
          <w:szCs w:val="16"/>
          <w:lang w:val="es-419"/>
        </w:rPr>
        <w:t xml:space="preserve">.  </w:t>
      </w:r>
    </w:p>
  </w:footnote>
  <w:footnote w:id="163">
    <w:p w14:paraId="1BF961D9" w14:textId="00CC7BBD" w:rsidR="009C4A37" w:rsidRPr="008A7BD7" w:rsidRDefault="009C4A37" w:rsidP="00746761">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proofErr w:type="spellStart"/>
      <w:r w:rsidR="00252086" w:rsidRPr="008A7BD7">
        <w:rPr>
          <w:rFonts w:ascii="Cambria" w:eastAsia="Cambria" w:hAnsi="Cambria" w:cstheme="majorHAnsi"/>
          <w:sz w:val="16"/>
          <w:szCs w:val="16"/>
          <w:lang w:val="es-419"/>
        </w:rPr>
        <w:t>Constitutional</w:t>
      </w:r>
      <w:proofErr w:type="spellEnd"/>
      <w:r w:rsidR="00252086" w:rsidRPr="008A7BD7">
        <w:rPr>
          <w:rFonts w:ascii="Cambria" w:eastAsia="Cambria" w:hAnsi="Cambria" w:cstheme="majorHAnsi"/>
          <w:sz w:val="16"/>
          <w:szCs w:val="16"/>
          <w:lang w:val="es-419"/>
        </w:rPr>
        <w:t xml:space="preserve"> </w:t>
      </w:r>
      <w:proofErr w:type="spellStart"/>
      <w:r w:rsidR="00252086" w:rsidRPr="008A7BD7">
        <w:rPr>
          <w:rFonts w:ascii="Cambria" w:eastAsia="Cambria" w:hAnsi="Cambria" w:cstheme="majorHAnsi"/>
          <w:sz w:val="16"/>
          <w:szCs w:val="16"/>
          <w:lang w:val="es-419"/>
        </w:rPr>
        <w:t>Court</w:t>
      </w:r>
      <w:proofErr w:type="spellEnd"/>
      <w:r w:rsidR="00252086" w:rsidRPr="008A7BD7">
        <w:rPr>
          <w:rFonts w:ascii="Cambria" w:eastAsia="Cambria" w:hAnsi="Cambria" w:cstheme="majorHAnsi"/>
          <w:sz w:val="16"/>
          <w:szCs w:val="16"/>
          <w:lang w:val="es-419"/>
        </w:rPr>
        <w:t xml:space="preserve">, August </w:t>
      </w:r>
      <w:r w:rsidRPr="008A7BD7">
        <w:rPr>
          <w:rFonts w:ascii="Cambria" w:eastAsia="Cambria" w:hAnsi="Cambria" w:cstheme="majorHAnsi"/>
          <w:sz w:val="16"/>
          <w:szCs w:val="16"/>
          <w:lang w:val="es-419"/>
        </w:rPr>
        <w:t>29</w:t>
      </w:r>
      <w:r w:rsidR="0025208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25208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67">
        <w:r w:rsidRPr="008A7BD7">
          <w:rPr>
            <w:rFonts w:ascii="Cambria" w:eastAsia="Cambria" w:hAnsi="Cambria" w:cstheme="majorHAnsi"/>
            <w:i/>
            <w:iCs/>
            <w:color w:val="1155CC"/>
            <w:sz w:val="16"/>
            <w:szCs w:val="16"/>
            <w:u w:val="single"/>
            <w:lang w:val="es-419"/>
          </w:rPr>
          <w:t>Expediente 4254-2021. Amparo Provisional</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Prensa Libre</w:t>
      </w:r>
      <w:r w:rsidR="00252086" w:rsidRPr="008A7BD7">
        <w:rPr>
          <w:rFonts w:ascii="Cambria" w:eastAsia="Cambria" w:hAnsi="Cambria" w:cstheme="majorHAnsi"/>
          <w:i/>
          <w:iCs/>
          <w:sz w:val="16"/>
          <w:szCs w:val="16"/>
          <w:lang w:val="es-419"/>
        </w:rPr>
        <w:t>,</w:t>
      </w:r>
      <w:r w:rsidRPr="008A7BD7">
        <w:rPr>
          <w:rFonts w:ascii="Cambria" w:eastAsia="Cambria" w:hAnsi="Cambria" w:cstheme="majorHAnsi"/>
          <w:sz w:val="16"/>
          <w:szCs w:val="16"/>
          <w:lang w:val="es-419"/>
        </w:rPr>
        <w:t xml:space="preserve"> </w:t>
      </w:r>
      <w:r w:rsidR="00252086" w:rsidRPr="008A7BD7">
        <w:rPr>
          <w:rFonts w:ascii="Cambria" w:eastAsia="Cambria" w:hAnsi="Cambria" w:cstheme="majorHAnsi"/>
          <w:sz w:val="16"/>
          <w:szCs w:val="16"/>
          <w:lang w:val="es-419"/>
        </w:rPr>
        <w:t xml:space="preserve">August </w:t>
      </w:r>
      <w:r w:rsidRPr="008A7BD7">
        <w:rPr>
          <w:rFonts w:ascii="Cambria" w:eastAsia="Cambria" w:hAnsi="Cambria" w:cstheme="majorHAnsi"/>
          <w:sz w:val="16"/>
          <w:szCs w:val="16"/>
          <w:lang w:val="es-419"/>
        </w:rPr>
        <w:t>9</w:t>
      </w:r>
      <w:r w:rsidR="0025208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2021</w:t>
      </w:r>
      <w:r w:rsidR="0025208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68">
        <w:r w:rsidRPr="008A7BD7">
          <w:rPr>
            <w:rFonts w:ascii="Cambria" w:eastAsia="Cambria" w:hAnsi="Cambria" w:cstheme="majorHAnsi"/>
            <w:i/>
            <w:iCs/>
            <w:color w:val="1155CC"/>
            <w:sz w:val="16"/>
            <w:szCs w:val="16"/>
            <w:u w:val="single"/>
            <w:lang w:val="es-419"/>
          </w:rPr>
          <w:t>Cámaras de Industria, Comercio y del Agro se pronuncian y muestran rechazo a los bloqueos en Guatemala</w:t>
        </w:r>
      </w:hyperlink>
      <w:r w:rsidRPr="008A7BD7">
        <w:rPr>
          <w:rFonts w:ascii="Cambria" w:eastAsia="Cambria" w:hAnsi="Cambria" w:cstheme="majorHAnsi"/>
          <w:sz w:val="16"/>
          <w:szCs w:val="16"/>
          <w:lang w:val="es-419"/>
        </w:rPr>
        <w:t xml:space="preserve">. </w:t>
      </w:r>
    </w:p>
  </w:footnote>
  <w:footnote w:id="164">
    <w:p w14:paraId="492B9082" w14:textId="0A83C19E" w:rsidR="009C4A37" w:rsidRPr="00C63448" w:rsidRDefault="009C4A37" w:rsidP="00746761">
      <w:pPr>
        <w:spacing w:after="120"/>
        <w:ind w:firstLine="720"/>
        <w:jc w:val="both"/>
        <w:rPr>
          <w:rFonts w:ascii="Cambria" w:eastAsia="Cambria" w:hAnsi="Cambria" w:cstheme="majorHAnsi"/>
          <w:sz w:val="16"/>
          <w:szCs w:val="16"/>
          <w:lang w:val="es-PE"/>
        </w:rPr>
      </w:pPr>
      <w:r w:rsidRPr="008A7BD7">
        <w:rPr>
          <w:rFonts w:ascii="Cambria" w:hAnsi="Cambria" w:cstheme="majorHAnsi"/>
          <w:sz w:val="16"/>
          <w:szCs w:val="16"/>
          <w:vertAlign w:val="superscript"/>
          <w:lang w:val="es-419"/>
        </w:rPr>
        <w:footnoteRef/>
      </w:r>
      <w:r w:rsidRPr="00C63448">
        <w:rPr>
          <w:rFonts w:ascii="Cambria" w:hAnsi="Cambria" w:cstheme="majorHAnsi"/>
          <w:sz w:val="16"/>
          <w:szCs w:val="16"/>
          <w:lang w:val="es-PE"/>
        </w:rPr>
        <w:t xml:space="preserve">  </w:t>
      </w:r>
      <w:proofErr w:type="spellStart"/>
      <w:r w:rsidR="00A63325" w:rsidRPr="00C63448">
        <w:rPr>
          <w:rFonts w:ascii="Cambria" w:eastAsia="Cambria" w:hAnsi="Cambria" w:cstheme="majorHAnsi"/>
          <w:sz w:val="16"/>
          <w:szCs w:val="16"/>
          <w:lang w:val="es-PE"/>
        </w:rPr>
        <w:t>Constitutional</w:t>
      </w:r>
      <w:proofErr w:type="spellEnd"/>
      <w:r w:rsidR="00A63325" w:rsidRPr="00C63448">
        <w:rPr>
          <w:rFonts w:ascii="Cambria" w:eastAsia="Cambria" w:hAnsi="Cambria" w:cstheme="majorHAnsi"/>
          <w:sz w:val="16"/>
          <w:szCs w:val="16"/>
          <w:lang w:val="es-PE"/>
        </w:rPr>
        <w:t xml:space="preserve"> </w:t>
      </w:r>
      <w:proofErr w:type="spellStart"/>
      <w:r w:rsidR="00A63325" w:rsidRPr="00C63448">
        <w:rPr>
          <w:rFonts w:ascii="Cambria" w:eastAsia="Cambria" w:hAnsi="Cambria" w:cstheme="majorHAnsi"/>
          <w:sz w:val="16"/>
          <w:szCs w:val="16"/>
          <w:lang w:val="es-PE"/>
        </w:rPr>
        <w:t>Court</w:t>
      </w:r>
      <w:proofErr w:type="spellEnd"/>
      <w:r w:rsidR="00A63325" w:rsidRPr="00C63448">
        <w:rPr>
          <w:rFonts w:ascii="Cambria" w:eastAsia="Cambria" w:hAnsi="Cambria" w:cstheme="majorHAnsi"/>
          <w:sz w:val="16"/>
          <w:szCs w:val="16"/>
          <w:lang w:val="es-PE"/>
        </w:rPr>
        <w:t xml:space="preserve">, August 29, 2021, </w:t>
      </w:r>
      <w:hyperlink r:id="rId169">
        <w:r w:rsidR="00A63325" w:rsidRPr="00C63448">
          <w:rPr>
            <w:rFonts w:ascii="Cambria" w:eastAsia="Cambria" w:hAnsi="Cambria" w:cstheme="majorHAnsi"/>
            <w:i/>
            <w:iCs/>
            <w:color w:val="1155CC"/>
            <w:sz w:val="16"/>
            <w:szCs w:val="16"/>
            <w:u w:val="single"/>
            <w:lang w:val="es-PE"/>
          </w:rPr>
          <w:t>Expediente 4254-2021. Amparo Provisional</w:t>
        </w:r>
      </w:hyperlink>
      <w:r w:rsidRPr="00C63448">
        <w:rPr>
          <w:rFonts w:ascii="Cambria" w:eastAsia="Cambria" w:hAnsi="Cambria" w:cstheme="majorHAnsi"/>
          <w:sz w:val="16"/>
          <w:szCs w:val="16"/>
          <w:lang w:val="es-PE"/>
        </w:rPr>
        <w:t xml:space="preserve">. </w:t>
      </w:r>
    </w:p>
  </w:footnote>
  <w:footnote w:id="165">
    <w:p w14:paraId="27539A6D" w14:textId="715980FB" w:rsidR="009C4A37" w:rsidRPr="008A7BD7" w:rsidRDefault="009C4A37" w:rsidP="00746761">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C63448">
        <w:rPr>
          <w:rFonts w:ascii="Cambria" w:eastAsia="Cambria" w:hAnsi="Cambria" w:cstheme="majorHAnsi"/>
          <w:sz w:val="16"/>
          <w:szCs w:val="16"/>
          <w:lang w:val="es-PE"/>
        </w:rPr>
        <w:t xml:space="preserve"> </w:t>
      </w:r>
      <w:proofErr w:type="spellStart"/>
      <w:r w:rsidR="00A63325" w:rsidRPr="00C63448">
        <w:rPr>
          <w:rFonts w:ascii="Cambria" w:eastAsia="Cambria" w:hAnsi="Cambria" w:cstheme="majorHAnsi"/>
          <w:sz w:val="16"/>
          <w:szCs w:val="16"/>
          <w:lang w:val="es-PE"/>
        </w:rPr>
        <w:t>Constitutional</w:t>
      </w:r>
      <w:proofErr w:type="spellEnd"/>
      <w:r w:rsidR="00A63325" w:rsidRPr="00C63448">
        <w:rPr>
          <w:rFonts w:ascii="Cambria" w:eastAsia="Cambria" w:hAnsi="Cambria" w:cstheme="majorHAnsi"/>
          <w:sz w:val="16"/>
          <w:szCs w:val="16"/>
          <w:lang w:val="es-PE"/>
        </w:rPr>
        <w:t xml:space="preserve"> </w:t>
      </w:r>
      <w:proofErr w:type="spellStart"/>
      <w:r w:rsidR="00A63325" w:rsidRPr="00C63448">
        <w:rPr>
          <w:rFonts w:ascii="Cambria" w:eastAsia="Cambria" w:hAnsi="Cambria" w:cstheme="majorHAnsi"/>
          <w:sz w:val="16"/>
          <w:szCs w:val="16"/>
          <w:lang w:val="es-PE"/>
        </w:rPr>
        <w:t>Court</w:t>
      </w:r>
      <w:proofErr w:type="spellEnd"/>
      <w:r w:rsidR="00A63325" w:rsidRPr="00C63448">
        <w:rPr>
          <w:rFonts w:ascii="Cambria" w:eastAsia="Cambria" w:hAnsi="Cambria" w:cstheme="majorHAnsi"/>
          <w:sz w:val="16"/>
          <w:szCs w:val="16"/>
          <w:lang w:val="es-PE"/>
        </w:rPr>
        <w:t xml:space="preserve">, August 29, 2021, </w:t>
      </w:r>
      <w:hyperlink r:id="rId170">
        <w:r w:rsidR="00A63325" w:rsidRPr="00C63448">
          <w:rPr>
            <w:rFonts w:ascii="Cambria" w:eastAsia="Cambria" w:hAnsi="Cambria" w:cstheme="majorHAnsi"/>
            <w:i/>
            <w:iCs/>
            <w:color w:val="1155CC"/>
            <w:sz w:val="16"/>
            <w:szCs w:val="16"/>
            <w:u w:val="single"/>
            <w:lang w:val="es-PE"/>
          </w:rPr>
          <w:t xml:space="preserve">Expediente 4254-2021. </w:t>
        </w:r>
        <w:r w:rsidR="00A63325" w:rsidRPr="008A7BD7">
          <w:rPr>
            <w:rFonts w:ascii="Cambria" w:eastAsia="Cambria" w:hAnsi="Cambria" w:cstheme="majorHAnsi"/>
            <w:i/>
            <w:iCs/>
            <w:color w:val="1155CC"/>
            <w:sz w:val="16"/>
            <w:szCs w:val="16"/>
            <w:u w:val="single"/>
            <w:lang w:val="es-419"/>
          </w:rPr>
          <w:t>Amparo Provisional</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La Hora</w:t>
      </w:r>
      <w:r w:rsidR="00A63325" w:rsidRPr="008A7BD7">
        <w:rPr>
          <w:rFonts w:ascii="Cambria" w:eastAsia="Cambria" w:hAnsi="Cambria" w:cstheme="majorHAnsi"/>
          <w:sz w:val="16"/>
          <w:szCs w:val="16"/>
          <w:lang w:val="es-419"/>
        </w:rPr>
        <w:t>, August</w:t>
      </w:r>
      <w:r w:rsidRPr="008A7BD7">
        <w:rPr>
          <w:rFonts w:ascii="Cambria" w:eastAsia="Cambria" w:hAnsi="Cambria" w:cstheme="majorHAnsi"/>
          <w:sz w:val="16"/>
          <w:szCs w:val="16"/>
          <w:lang w:val="es-419"/>
        </w:rPr>
        <w:t xml:space="preserve"> 26</w:t>
      </w:r>
      <w:r w:rsidR="00A63325"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A63325"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71">
        <w:r w:rsidRPr="008A7BD7">
          <w:rPr>
            <w:rFonts w:ascii="Cambria" w:eastAsia="Cambria" w:hAnsi="Cambria" w:cstheme="majorHAnsi"/>
            <w:i/>
            <w:iCs/>
            <w:color w:val="1155CC"/>
            <w:sz w:val="16"/>
            <w:szCs w:val="16"/>
            <w:u w:val="single"/>
            <w:lang w:val="es-419"/>
          </w:rPr>
          <w:t>CC otorga amparo por manifestaciones; locomoción también debe garantizarse</w:t>
        </w:r>
      </w:hyperlink>
      <w:r w:rsidRPr="008A7BD7">
        <w:rPr>
          <w:rFonts w:ascii="Cambria" w:eastAsia="Cambria" w:hAnsi="Cambria" w:cstheme="majorHAnsi"/>
          <w:sz w:val="16"/>
          <w:szCs w:val="16"/>
          <w:lang w:val="es-419"/>
        </w:rPr>
        <w:t xml:space="preserve">. </w:t>
      </w:r>
    </w:p>
  </w:footnote>
  <w:footnote w:id="166">
    <w:p w14:paraId="4D582136" w14:textId="3482C27F" w:rsidR="009C4A37" w:rsidRPr="008A7BD7" w:rsidRDefault="009C4A37" w:rsidP="00746761">
      <w:pPr>
        <w:pStyle w:val="FootnoteText"/>
        <w:spacing w:after="120"/>
        <w:ind w:firstLine="720"/>
        <w:jc w:val="both"/>
        <w:rPr>
          <w:rFonts w:ascii="Cambria" w:hAnsi="Cambria" w:cstheme="majorHAnsi"/>
          <w:sz w:val="16"/>
          <w:szCs w:val="16"/>
          <w:lang w:val="es-419"/>
        </w:rPr>
      </w:pPr>
      <w:r w:rsidRPr="008A7BD7">
        <w:rPr>
          <w:rStyle w:val="FootnoteReference"/>
          <w:rFonts w:ascii="Cambria" w:hAnsi="Cambria" w:cstheme="majorHAnsi"/>
          <w:sz w:val="16"/>
          <w:szCs w:val="16"/>
          <w:lang w:val="es-419"/>
        </w:rPr>
        <w:footnoteRef/>
      </w:r>
      <w:r w:rsidRPr="008A7BD7">
        <w:rPr>
          <w:rFonts w:ascii="Cambria" w:hAnsi="Cambria" w:cstheme="majorHAnsi"/>
          <w:sz w:val="16"/>
          <w:szCs w:val="16"/>
          <w:lang w:val="es-419"/>
        </w:rPr>
        <w:t xml:space="preserve"> </w:t>
      </w:r>
      <w:r w:rsidRPr="008A7BD7">
        <w:rPr>
          <w:rFonts w:ascii="Cambria" w:hAnsi="Cambria" w:cstheme="majorHAnsi"/>
          <w:i/>
          <w:iCs/>
          <w:sz w:val="16"/>
          <w:szCs w:val="16"/>
          <w:lang w:val="es-419"/>
        </w:rPr>
        <w:t>El Periódico</w:t>
      </w:r>
      <w:r w:rsidRPr="008A7BD7">
        <w:rPr>
          <w:rFonts w:ascii="Cambria" w:hAnsi="Cambria" w:cstheme="majorHAnsi"/>
          <w:sz w:val="16"/>
          <w:szCs w:val="16"/>
          <w:lang w:val="es-419"/>
        </w:rPr>
        <w:t xml:space="preserve">. </w:t>
      </w:r>
      <w:proofErr w:type="spellStart"/>
      <w:r w:rsidR="00216F57" w:rsidRPr="008A7BD7">
        <w:rPr>
          <w:rFonts w:ascii="Cambria" w:hAnsi="Cambria" w:cstheme="majorHAnsi"/>
          <w:sz w:val="16"/>
          <w:szCs w:val="16"/>
          <w:lang w:val="es-419"/>
        </w:rPr>
        <w:t>September</w:t>
      </w:r>
      <w:proofErr w:type="spellEnd"/>
      <w:r w:rsidR="00216F57" w:rsidRPr="008A7BD7">
        <w:rPr>
          <w:rFonts w:ascii="Cambria" w:hAnsi="Cambria" w:cstheme="majorHAnsi"/>
          <w:sz w:val="16"/>
          <w:szCs w:val="16"/>
          <w:lang w:val="es-419"/>
        </w:rPr>
        <w:t xml:space="preserve"> </w:t>
      </w:r>
      <w:r w:rsidRPr="008A7BD7">
        <w:rPr>
          <w:rFonts w:ascii="Cambria" w:hAnsi="Cambria" w:cstheme="majorHAnsi"/>
          <w:sz w:val="16"/>
          <w:szCs w:val="16"/>
          <w:lang w:val="es-419"/>
        </w:rPr>
        <w:t>27</w:t>
      </w:r>
      <w:r w:rsidR="00216F57" w:rsidRPr="008A7BD7">
        <w:rPr>
          <w:rFonts w:ascii="Cambria" w:hAnsi="Cambria" w:cstheme="majorHAnsi"/>
          <w:sz w:val="16"/>
          <w:szCs w:val="16"/>
          <w:lang w:val="es-419"/>
        </w:rPr>
        <w:t xml:space="preserve">, </w:t>
      </w:r>
      <w:r w:rsidRPr="008A7BD7">
        <w:rPr>
          <w:rFonts w:ascii="Cambria" w:hAnsi="Cambria" w:cstheme="majorHAnsi"/>
          <w:sz w:val="16"/>
          <w:szCs w:val="16"/>
          <w:lang w:val="es-419"/>
        </w:rPr>
        <w:t>2021</w:t>
      </w:r>
      <w:r w:rsidR="00216F57"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hyperlink r:id="rId172" w:history="1">
        <w:r w:rsidRPr="008A7BD7">
          <w:rPr>
            <w:rStyle w:val="Hyperlink"/>
            <w:rFonts w:ascii="Cambria" w:hAnsi="Cambria" w:cstheme="majorHAnsi"/>
            <w:i/>
            <w:iCs/>
            <w:sz w:val="16"/>
            <w:szCs w:val="16"/>
            <w:lang w:val="es-419"/>
          </w:rPr>
          <w:t>Al menos veinte personas heridas tras protestas en Cuyotenango</w:t>
        </w:r>
      </w:hyperlink>
      <w:r w:rsidRPr="008A7BD7">
        <w:rPr>
          <w:rFonts w:ascii="Cambria" w:hAnsi="Cambria" w:cstheme="majorHAnsi"/>
          <w:sz w:val="16"/>
          <w:szCs w:val="16"/>
          <w:lang w:val="es-419"/>
        </w:rPr>
        <w:t xml:space="preserve">; </w:t>
      </w:r>
      <w:r w:rsidRPr="008A7BD7">
        <w:rPr>
          <w:rFonts w:ascii="Cambria" w:hAnsi="Cambria" w:cstheme="majorHAnsi"/>
          <w:i/>
          <w:iCs/>
          <w:sz w:val="16"/>
          <w:szCs w:val="16"/>
          <w:lang w:val="es-419"/>
        </w:rPr>
        <w:t>República</w:t>
      </w:r>
      <w:r w:rsidR="00216F57" w:rsidRPr="008A7BD7">
        <w:rPr>
          <w:rFonts w:ascii="Cambria" w:hAnsi="Cambria" w:cstheme="majorHAnsi"/>
          <w:sz w:val="16"/>
          <w:szCs w:val="16"/>
          <w:lang w:val="es-419"/>
        </w:rPr>
        <w:t xml:space="preserve">, </w:t>
      </w:r>
      <w:proofErr w:type="spellStart"/>
      <w:r w:rsidR="00216F57" w:rsidRPr="008A7BD7">
        <w:rPr>
          <w:rFonts w:ascii="Cambria" w:hAnsi="Cambria" w:cstheme="majorHAnsi"/>
          <w:sz w:val="16"/>
          <w:szCs w:val="16"/>
          <w:lang w:val="es-419"/>
        </w:rPr>
        <w:t>September</w:t>
      </w:r>
      <w:proofErr w:type="spellEnd"/>
      <w:r w:rsidRPr="008A7BD7">
        <w:rPr>
          <w:rFonts w:ascii="Cambria" w:hAnsi="Cambria" w:cstheme="majorHAnsi"/>
          <w:sz w:val="16"/>
          <w:szCs w:val="16"/>
          <w:lang w:val="es-419"/>
        </w:rPr>
        <w:t xml:space="preserve"> 28</w:t>
      </w:r>
      <w:r w:rsidR="00216F57" w:rsidRPr="008A7BD7">
        <w:rPr>
          <w:rFonts w:ascii="Cambria" w:hAnsi="Cambria" w:cstheme="majorHAnsi"/>
          <w:sz w:val="16"/>
          <w:szCs w:val="16"/>
          <w:lang w:val="es-419"/>
        </w:rPr>
        <w:t>,</w:t>
      </w:r>
      <w:r w:rsidRPr="008A7BD7">
        <w:rPr>
          <w:rFonts w:ascii="Cambria" w:hAnsi="Cambria" w:cstheme="majorHAnsi"/>
          <w:sz w:val="16"/>
          <w:szCs w:val="16"/>
          <w:lang w:val="es-419"/>
        </w:rPr>
        <w:t xml:space="preserve"> 2021</w:t>
      </w:r>
      <w:r w:rsidR="00216F57"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hyperlink r:id="rId173" w:history="1">
        <w:r w:rsidRPr="008A7BD7">
          <w:rPr>
            <w:rStyle w:val="Hyperlink"/>
            <w:rFonts w:ascii="Cambria" w:hAnsi="Cambria" w:cstheme="majorHAnsi"/>
            <w:i/>
            <w:iCs/>
            <w:sz w:val="16"/>
            <w:szCs w:val="16"/>
            <w:lang w:val="es-419"/>
          </w:rPr>
          <w:t>Diez policías heridos durante desalojo en bloqueo de Cuyotenango, Suchitepéquez</w:t>
        </w:r>
        <w:r w:rsidRPr="008A7BD7">
          <w:rPr>
            <w:rStyle w:val="Hyperlink"/>
            <w:rFonts w:ascii="Cambria" w:hAnsi="Cambria" w:cstheme="majorHAnsi"/>
            <w:sz w:val="16"/>
            <w:szCs w:val="16"/>
            <w:lang w:val="es-419"/>
          </w:rPr>
          <w:t>.</w:t>
        </w:r>
      </w:hyperlink>
    </w:p>
  </w:footnote>
  <w:footnote w:id="167">
    <w:p w14:paraId="48FEF7BF" w14:textId="2A201463" w:rsidR="009C4A37" w:rsidRPr="008A7BD7" w:rsidRDefault="009C4A37" w:rsidP="00746761">
      <w:pPr>
        <w:pStyle w:val="FootnoteText"/>
        <w:spacing w:after="120"/>
        <w:ind w:firstLine="720"/>
        <w:jc w:val="both"/>
        <w:rPr>
          <w:rFonts w:ascii="Cambria" w:hAnsi="Cambria" w:cstheme="majorHAnsi"/>
          <w:sz w:val="16"/>
          <w:szCs w:val="16"/>
          <w:lang w:val="es-419"/>
        </w:rPr>
      </w:pPr>
      <w:r w:rsidRPr="008A7BD7">
        <w:rPr>
          <w:rStyle w:val="FootnoteReference"/>
          <w:rFonts w:ascii="Cambria" w:hAnsi="Cambria" w:cstheme="majorHAnsi"/>
          <w:sz w:val="16"/>
          <w:szCs w:val="16"/>
          <w:lang w:val="es-419"/>
        </w:rPr>
        <w:footnoteRef/>
      </w:r>
      <w:r w:rsidRPr="008A7BD7">
        <w:rPr>
          <w:rFonts w:ascii="Cambria" w:hAnsi="Cambria" w:cstheme="majorHAnsi"/>
          <w:sz w:val="16"/>
          <w:szCs w:val="16"/>
          <w:lang w:val="es-419"/>
        </w:rPr>
        <w:t xml:space="preserve"> </w:t>
      </w:r>
      <w:r w:rsidRPr="008A7BD7">
        <w:rPr>
          <w:rFonts w:ascii="Cambria" w:hAnsi="Cambria" w:cstheme="majorHAnsi"/>
          <w:i/>
          <w:iCs/>
          <w:sz w:val="16"/>
          <w:szCs w:val="16"/>
          <w:shd w:val="clear" w:color="auto" w:fill="FAFAFA"/>
          <w:lang w:val="es-419"/>
        </w:rPr>
        <w:t>EFE</w:t>
      </w:r>
      <w:r w:rsidR="00216F57" w:rsidRPr="008A7BD7">
        <w:rPr>
          <w:rFonts w:ascii="Cambria" w:hAnsi="Cambria" w:cstheme="majorHAnsi"/>
          <w:sz w:val="16"/>
          <w:szCs w:val="16"/>
          <w:shd w:val="clear" w:color="auto" w:fill="FAFAFA"/>
          <w:lang w:val="es-419"/>
        </w:rPr>
        <w:t xml:space="preserve">, </w:t>
      </w:r>
      <w:proofErr w:type="spellStart"/>
      <w:r w:rsidR="00216F57" w:rsidRPr="008A7BD7">
        <w:rPr>
          <w:rFonts w:ascii="Cambria" w:hAnsi="Cambria" w:cstheme="majorHAnsi"/>
          <w:sz w:val="16"/>
          <w:szCs w:val="16"/>
          <w:shd w:val="clear" w:color="auto" w:fill="FAFAFA"/>
          <w:lang w:val="es-419"/>
        </w:rPr>
        <w:t>October</w:t>
      </w:r>
      <w:proofErr w:type="spellEnd"/>
      <w:r w:rsidRPr="008A7BD7">
        <w:rPr>
          <w:rFonts w:ascii="Cambria" w:hAnsi="Cambria" w:cstheme="majorHAnsi"/>
          <w:sz w:val="16"/>
          <w:szCs w:val="16"/>
          <w:shd w:val="clear" w:color="auto" w:fill="FAFAFA"/>
          <w:lang w:val="es-419"/>
        </w:rPr>
        <w:t xml:space="preserve"> 20</w:t>
      </w:r>
      <w:r w:rsidR="00216F57" w:rsidRPr="008A7BD7">
        <w:rPr>
          <w:rFonts w:ascii="Cambria" w:hAnsi="Cambria" w:cstheme="majorHAnsi"/>
          <w:sz w:val="16"/>
          <w:szCs w:val="16"/>
          <w:shd w:val="clear" w:color="auto" w:fill="FAFAFA"/>
          <w:lang w:val="es-419"/>
        </w:rPr>
        <w:t xml:space="preserve">, </w:t>
      </w:r>
      <w:r w:rsidRPr="008A7BD7">
        <w:rPr>
          <w:rFonts w:ascii="Cambria" w:hAnsi="Cambria" w:cstheme="majorHAnsi"/>
          <w:sz w:val="16"/>
          <w:szCs w:val="16"/>
          <w:shd w:val="clear" w:color="auto" w:fill="FAFAFA"/>
          <w:lang w:val="es-419"/>
        </w:rPr>
        <w:t>2021</w:t>
      </w:r>
      <w:r w:rsidR="00216F57" w:rsidRPr="008A7BD7">
        <w:rPr>
          <w:rFonts w:ascii="Cambria" w:hAnsi="Cambria" w:cstheme="majorHAnsi"/>
          <w:sz w:val="16"/>
          <w:szCs w:val="16"/>
          <w:shd w:val="clear" w:color="auto" w:fill="FAFAFA"/>
          <w:lang w:val="es-419"/>
        </w:rPr>
        <w:t>,</w:t>
      </w:r>
      <w:r w:rsidRPr="008A7BD7">
        <w:rPr>
          <w:rFonts w:ascii="Cambria" w:hAnsi="Cambria" w:cstheme="majorHAnsi"/>
          <w:sz w:val="16"/>
          <w:szCs w:val="16"/>
          <w:shd w:val="clear" w:color="auto" w:fill="FAFAFA"/>
          <w:lang w:val="es-419"/>
        </w:rPr>
        <w:t xml:space="preserve"> </w:t>
      </w:r>
      <w:hyperlink r:id="rId174" w:history="1">
        <w:r w:rsidRPr="008A7BD7">
          <w:rPr>
            <w:rStyle w:val="Hyperlink"/>
            <w:rFonts w:ascii="Cambria" w:hAnsi="Cambria" w:cstheme="majorHAnsi"/>
            <w:i/>
            <w:iCs/>
            <w:sz w:val="16"/>
            <w:szCs w:val="16"/>
            <w:lang w:val="es-419"/>
          </w:rPr>
          <w:t>Exmilitares guatemaltecos asaltan el Congreso para pedir compensaciones</w:t>
        </w:r>
      </w:hyperlink>
      <w:r w:rsidRPr="008A7BD7">
        <w:rPr>
          <w:rFonts w:ascii="Cambria" w:hAnsi="Cambria" w:cstheme="majorHAnsi"/>
          <w:sz w:val="16"/>
          <w:szCs w:val="16"/>
          <w:lang w:val="es-419"/>
        </w:rPr>
        <w:t xml:space="preserve">; </w:t>
      </w:r>
      <w:r w:rsidRPr="008A7BD7">
        <w:rPr>
          <w:rFonts w:ascii="Cambria" w:hAnsi="Cambria" w:cstheme="majorHAnsi"/>
          <w:i/>
          <w:iCs/>
          <w:sz w:val="16"/>
          <w:szCs w:val="16"/>
          <w:lang w:val="es-419"/>
        </w:rPr>
        <w:t>El Peri</w:t>
      </w:r>
      <w:r w:rsidR="000B2759" w:rsidRPr="008A7BD7">
        <w:rPr>
          <w:rFonts w:ascii="Cambria" w:hAnsi="Cambria" w:cstheme="majorHAnsi"/>
          <w:i/>
          <w:iCs/>
          <w:sz w:val="16"/>
          <w:szCs w:val="16"/>
          <w:lang w:val="es-419"/>
        </w:rPr>
        <w:t>ó</w:t>
      </w:r>
      <w:r w:rsidRPr="008A7BD7">
        <w:rPr>
          <w:rFonts w:ascii="Cambria" w:hAnsi="Cambria" w:cstheme="majorHAnsi"/>
          <w:i/>
          <w:iCs/>
          <w:sz w:val="16"/>
          <w:szCs w:val="16"/>
          <w:lang w:val="es-419"/>
        </w:rPr>
        <w:t>dico</w:t>
      </w:r>
      <w:r w:rsidR="00216F57" w:rsidRPr="008A7BD7">
        <w:rPr>
          <w:rFonts w:ascii="Cambria" w:hAnsi="Cambria" w:cstheme="majorHAnsi"/>
          <w:sz w:val="16"/>
          <w:szCs w:val="16"/>
          <w:lang w:val="es-419"/>
        </w:rPr>
        <w:t xml:space="preserve">, </w:t>
      </w:r>
      <w:proofErr w:type="spellStart"/>
      <w:r w:rsidR="00216F57" w:rsidRPr="008A7BD7">
        <w:rPr>
          <w:rFonts w:ascii="Cambria" w:hAnsi="Cambria" w:cstheme="majorHAnsi"/>
          <w:sz w:val="16"/>
          <w:szCs w:val="16"/>
          <w:lang w:val="es-419"/>
        </w:rPr>
        <w:t>October</w:t>
      </w:r>
      <w:proofErr w:type="spellEnd"/>
      <w:r w:rsidRPr="008A7BD7">
        <w:rPr>
          <w:rFonts w:ascii="Cambria" w:hAnsi="Cambria" w:cstheme="majorHAnsi"/>
          <w:sz w:val="16"/>
          <w:szCs w:val="16"/>
          <w:lang w:val="es-419"/>
        </w:rPr>
        <w:t xml:space="preserve"> 20</w:t>
      </w:r>
      <w:r w:rsidR="00216F57" w:rsidRPr="008A7BD7">
        <w:rPr>
          <w:rFonts w:ascii="Cambria" w:hAnsi="Cambria" w:cstheme="majorHAnsi"/>
          <w:sz w:val="16"/>
          <w:szCs w:val="16"/>
          <w:lang w:val="es-419"/>
        </w:rPr>
        <w:t xml:space="preserve">, </w:t>
      </w:r>
      <w:r w:rsidRPr="008A7BD7">
        <w:rPr>
          <w:rFonts w:ascii="Cambria" w:hAnsi="Cambria" w:cstheme="majorHAnsi"/>
          <w:sz w:val="16"/>
          <w:szCs w:val="16"/>
          <w:lang w:val="es-419"/>
        </w:rPr>
        <w:t>2021</w:t>
      </w:r>
      <w:r w:rsidR="00216F57" w:rsidRPr="008A7BD7">
        <w:rPr>
          <w:rFonts w:ascii="Cambria" w:hAnsi="Cambria" w:cstheme="majorHAnsi"/>
          <w:sz w:val="16"/>
          <w:szCs w:val="16"/>
          <w:lang w:val="es-419"/>
        </w:rPr>
        <w:t>,</w:t>
      </w:r>
      <w:r w:rsidRPr="008A7BD7">
        <w:rPr>
          <w:rFonts w:ascii="Cambria" w:hAnsi="Cambria" w:cstheme="majorHAnsi"/>
          <w:sz w:val="16"/>
          <w:szCs w:val="16"/>
          <w:lang w:val="es-419"/>
        </w:rPr>
        <w:t xml:space="preserve"> </w:t>
      </w:r>
      <w:hyperlink r:id="rId175" w:history="1">
        <w:r w:rsidRPr="008A7BD7">
          <w:rPr>
            <w:rStyle w:val="Hyperlink"/>
            <w:rFonts w:ascii="Cambria" w:hAnsi="Cambria" w:cstheme="majorHAnsi"/>
            <w:i/>
            <w:iCs/>
            <w:sz w:val="16"/>
            <w:szCs w:val="16"/>
            <w:lang w:val="es-419"/>
          </w:rPr>
          <w:t xml:space="preserve">APG condenó las agresiones contra periodistas durante la manifestación de militares retirados | </w:t>
        </w:r>
        <w:proofErr w:type="spellStart"/>
        <w:r w:rsidRPr="008A7BD7">
          <w:rPr>
            <w:rStyle w:val="Hyperlink"/>
            <w:rFonts w:ascii="Cambria" w:hAnsi="Cambria" w:cstheme="majorHAnsi"/>
            <w:i/>
            <w:iCs/>
            <w:sz w:val="16"/>
            <w:szCs w:val="16"/>
            <w:lang w:val="es-419"/>
          </w:rPr>
          <w:t>elPeriódico</w:t>
        </w:r>
        <w:proofErr w:type="spellEnd"/>
        <w:r w:rsidRPr="008A7BD7">
          <w:rPr>
            <w:rStyle w:val="Hyperlink"/>
            <w:rFonts w:ascii="Cambria" w:hAnsi="Cambria" w:cstheme="majorHAnsi"/>
            <w:i/>
            <w:iCs/>
            <w:sz w:val="16"/>
            <w:szCs w:val="16"/>
            <w:lang w:val="es-419"/>
          </w:rPr>
          <w:t xml:space="preserve"> de Guatemala</w:t>
        </w:r>
        <w:r w:rsidRPr="008A7BD7">
          <w:rPr>
            <w:rStyle w:val="Hyperlink"/>
            <w:rFonts w:ascii="Cambria" w:hAnsi="Cambria" w:cstheme="majorHAnsi"/>
            <w:sz w:val="16"/>
            <w:szCs w:val="16"/>
            <w:lang w:val="es-419"/>
          </w:rPr>
          <w:t xml:space="preserve">. </w:t>
        </w:r>
      </w:hyperlink>
    </w:p>
  </w:footnote>
  <w:footnote w:id="168">
    <w:p w14:paraId="78734023" w14:textId="4BEDF327" w:rsidR="009C4A37" w:rsidRPr="008A7BD7" w:rsidRDefault="009C4A37" w:rsidP="00746761">
      <w:pPr>
        <w:pStyle w:val="FootnoteText"/>
        <w:spacing w:after="120"/>
        <w:ind w:firstLine="720"/>
        <w:jc w:val="both"/>
        <w:rPr>
          <w:rFonts w:ascii="Cambria" w:hAnsi="Cambria" w:cstheme="majorHAnsi"/>
          <w:sz w:val="16"/>
          <w:szCs w:val="16"/>
        </w:rPr>
      </w:pPr>
      <w:r w:rsidRPr="008A7BD7">
        <w:rPr>
          <w:rStyle w:val="FootnoteReference"/>
          <w:rFonts w:ascii="Cambria" w:hAnsi="Cambria" w:cstheme="majorHAnsi"/>
          <w:sz w:val="16"/>
          <w:szCs w:val="16"/>
          <w:lang w:val="es-419"/>
        </w:rPr>
        <w:footnoteRef/>
      </w:r>
      <w:r w:rsidRPr="008A7BD7">
        <w:rPr>
          <w:rFonts w:ascii="Cambria" w:hAnsi="Cambria" w:cstheme="majorHAnsi"/>
          <w:sz w:val="16"/>
          <w:szCs w:val="16"/>
        </w:rPr>
        <w:t xml:space="preserve"> </w:t>
      </w:r>
      <w:r w:rsidR="00216F57" w:rsidRPr="008A7BD7">
        <w:rPr>
          <w:rFonts w:ascii="Cambria" w:hAnsi="Cambria" w:cstheme="majorHAnsi"/>
          <w:sz w:val="16"/>
          <w:szCs w:val="16"/>
        </w:rPr>
        <w:t xml:space="preserve">IACHR, Office of the Special Rapporteur for Freedom of Expression, October 29, 2021, Press Release 286, </w:t>
      </w:r>
      <w:hyperlink r:id="rId176" w:history="1">
        <w:r w:rsidR="00216F57" w:rsidRPr="008A7BD7">
          <w:rPr>
            <w:rStyle w:val="Hyperlink"/>
            <w:rFonts w:ascii="Cambria" w:hAnsi="Cambria" w:cstheme="majorHAnsi"/>
            <w:sz w:val="16"/>
            <w:szCs w:val="16"/>
          </w:rPr>
          <w:t>The Office of the Special Rapporteur calls on the State of Guatemala to respect and guarantee the work of journalists in accordance with international human rights standards</w:t>
        </w:r>
      </w:hyperlink>
      <w:r w:rsidRPr="008A7BD7">
        <w:rPr>
          <w:rFonts w:ascii="Cambria" w:hAnsi="Cambria" w:cstheme="majorHAnsi"/>
          <w:sz w:val="16"/>
          <w:szCs w:val="16"/>
        </w:rPr>
        <w:t>.</w:t>
      </w:r>
    </w:p>
  </w:footnote>
  <w:footnote w:id="169">
    <w:p w14:paraId="7870722D" w14:textId="1CDCF2B9" w:rsidR="009C4A37" w:rsidRPr="008A7BD7" w:rsidRDefault="009C4A37" w:rsidP="00746761">
      <w:pPr>
        <w:pStyle w:val="FootnoteText"/>
        <w:spacing w:after="120"/>
        <w:ind w:firstLine="720"/>
        <w:jc w:val="both"/>
        <w:rPr>
          <w:rFonts w:ascii="Cambria" w:hAnsi="Cambria" w:cstheme="majorHAnsi"/>
          <w:sz w:val="16"/>
          <w:szCs w:val="16"/>
          <w:lang w:val="es-419"/>
        </w:rPr>
      </w:pPr>
      <w:r w:rsidRPr="008A7BD7">
        <w:rPr>
          <w:rStyle w:val="FootnoteReference"/>
          <w:rFonts w:ascii="Cambria" w:hAnsi="Cambria" w:cstheme="majorHAnsi"/>
          <w:sz w:val="16"/>
          <w:szCs w:val="16"/>
          <w:lang w:val="es-419"/>
        </w:rPr>
        <w:footnoteRef/>
      </w:r>
      <w:r w:rsidRPr="008A7BD7">
        <w:rPr>
          <w:rFonts w:ascii="Cambria" w:hAnsi="Cambria" w:cstheme="majorHAnsi"/>
          <w:sz w:val="16"/>
          <w:szCs w:val="16"/>
          <w:lang w:val="es-419"/>
        </w:rPr>
        <w:t xml:space="preserve"> </w:t>
      </w:r>
      <w:proofErr w:type="spellStart"/>
      <w:r w:rsidR="00216F57" w:rsidRPr="008A7BD7">
        <w:rPr>
          <w:rFonts w:ascii="Cambria" w:hAnsi="Cambria" w:cstheme="majorHAnsi"/>
          <w:sz w:val="16"/>
          <w:szCs w:val="16"/>
          <w:lang w:val="es-419"/>
        </w:rPr>
        <w:t>Republic</w:t>
      </w:r>
      <w:proofErr w:type="spellEnd"/>
      <w:r w:rsidR="00216F57" w:rsidRPr="008A7BD7">
        <w:rPr>
          <w:rFonts w:ascii="Cambria" w:hAnsi="Cambria" w:cstheme="majorHAnsi"/>
          <w:sz w:val="16"/>
          <w:szCs w:val="16"/>
          <w:lang w:val="es-419"/>
        </w:rPr>
        <w:t xml:space="preserve"> of Guatemala, </w:t>
      </w:r>
      <w:hyperlink r:id="rId177" w:history="1">
        <w:r w:rsidR="00216F57" w:rsidRPr="008A7BD7">
          <w:rPr>
            <w:rStyle w:val="Hyperlink"/>
            <w:rFonts w:ascii="Cambria" w:hAnsi="Cambria" w:cstheme="majorHAnsi"/>
            <w:sz w:val="16"/>
            <w:szCs w:val="16"/>
            <w:lang w:val="es-419"/>
          </w:rPr>
          <w:t>Decreto Gubernamental 009-2021</w:t>
        </w:r>
      </w:hyperlink>
      <w:r w:rsidR="00216F57" w:rsidRPr="008A7BD7">
        <w:rPr>
          <w:rFonts w:ascii="Cambria" w:hAnsi="Cambria" w:cstheme="majorHAnsi"/>
          <w:sz w:val="16"/>
          <w:szCs w:val="16"/>
          <w:lang w:val="es-419"/>
        </w:rPr>
        <w:t xml:space="preserve">; </w:t>
      </w:r>
      <w:r w:rsidR="00216F57" w:rsidRPr="008A7BD7">
        <w:rPr>
          <w:rFonts w:ascii="Cambria" w:hAnsi="Cambria" w:cstheme="majorHAnsi"/>
          <w:i/>
          <w:iCs/>
          <w:sz w:val="16"/>
          <w:szCs w:val="16"/>
          <w:lang w:val="es-419"/>
        </w:rPr>
        <w:t>Prensa Libre</w:t>
      </w:r>
      <w:r w:rsidR="00216F57" w:rsidRPr="008A7BD7">
        <w:rPr>
          <w:rFonts w:ascii="Cambria" w:hAnsi="Cambria" w:cstheme="majorHAnsi"/>
          <w:sz w:val="16"/>
          <w:szCs w:val="16"/>
          <w:lang w:val="es-419"/>
        </w:rPr>
        <w:t xml:space="preserve">, </w:t>
      </w:r>
      <w:proofErr w:type="spellStart"/>
      <w:r w:rsidR="00216F57" w:rsidRPr="008A7BD7">
        <w:rPr>
          <w:rFonts w:ascii="Cambria" w:hAnsi="Cambria" w:cstheme="majorHAnsi"/>
          <w:sz w:val="16"/>
          <w:szCs w:val="16"/>
          <w:lang w:val="es-419"/>
        </w:rPr>
        <w:t>October</w:t>
      </w:r>
      <w:proofErr w:type="spellEnd"/>
      <w:r w:rsidR="00216F57" w:rsidRPr="008A7BD7">
        <w:rPr>
          <w:rFonts w:ascii="Cambria" w:hAnsi="Cambria" w:cstheme="majorHAnsi"/>
          <w:sz w:val="16"/>
          <w:szCs w:val="16"/>
          <w:lang w:val="es-419"/>
        </w:rPr>
        <w:t xml:space="preserve"> 25, 2021, </w:t>
      </w:r>
      <w:hyperlink r:id="rId178" w:history="1">
        <w:r w:rsidR="00216F57" w:rsidRPr="008A7BD7">
          <w:rPr>
            <w:rStyle w:val="Hyperlink"/>
            <w:rFonts w:ascii="Cambria" w:hAnsi="Cambria" w:cstheme="majorHAnsi"/>
            <w:i/>
            <w:iCs/>
            <w:sz w:val="16"/>
            <w:szCs w:val="16"/>
            <w:lang w:val="es-419"/>
          </w:rPr>
          <w:t>Congreso de la República ratifica el estado de Sitio en El Estor, Izabal, y estará vigente 30 días</w:t>
        </w:r>
        <w:r w:rsidR="00216F57" w:rsidRPr="008A7BD7">
          <w:rPr>
            <w:rStyle w:val="Hyperlink"/>
            <w:rFonts w:ascii="Cambria" w:hAnsi="Cambria" w:cstheme="majorHAnsi"/>
            <w:sz w:val="16"/>
            <w:szCs w:val="16"/>
            <w:lang w:val="es-419"/>
          </w:rPr>
          <w:t>.</w:t>
        </w:r>
      </w:hyperlink>
    </w:p>
  </w:footnote>
  <w:footnote w:id="170">
    <w:p w14:paraId="1558FD2E" w14:textId="22ADAECF" w:rsidR="00F97F2A" w:rsidRPr="008A7BD7" w:rsidRDefault="00F97F2A" w:rsidP="00F97F2A">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CA262D" w:rsidRPr="008A7BD7">
        <w:rPr>
          <w:rFonts w:ascii="Cambria" w:hAnsi="Cambria" w:cstheme="majorHAnsi"/>
          <w:sz w:val="16"/>
          <w:szCs w:val="16"/>
        </w:rPr>
        <w:t>For example, according to the information provided, from July 12, 2021, to August 25, 2021, the platform had a total of</w:t>
      </w:r>
      <w:r w:rsidRPr="008A7BD7">
        <w:rPr>
          <w:rFonts w:ascii="Cambria" w:eastAsia="Montserrat" w:hAnsi="Cambria" w:cs="Montserrat"/>
          <w:sz w:val="16"/>
          <w:szCs w:val="16"/>
        </w:rPr>
        <w:t xml:space="preserve"> 476,757 us</w:t>
      </w:r>
      <w:r w:rsidR="00CA262D" w:rsidRPr="008A7BD7">
        <w:rPr>
          <w:rFonts w:ascii="Cambria" w:eastAsia="Montserrat" w:hAnsi="Cambria" w:cs="Montserrat"/>
          <w:sz w:val="16"/>
          <w:szCs w:val="16"/>
        </w:rPr>
        <w:t>ers</w:t>
      </w:r>
      <w:r w:rsidR="00D15054" w:rsidRPr="008A7BD7">
        <w:rPr>
          <w:rFonts w:ascii="Cambria" w:eastAsia="Montserrat" w:hAnsi="Cambria" w:cs="Montserrat"/>
          <w:sz w:val="16"/>
          <w:szCs w:val="16"/>
        </w:rPr>
        <w:t xml:space="preserve"> and recorded </w:t>
      </w:r>
      <w:r w:rsidRPr="008A7BD7">
        <w:rPr>
          <w:rFonts w:ascii="Cambria" w:eastAsia="Montserrat" w:hAnsi="Cambria" w:cs="Montserrat"/>
          <w:sz w:val="16"/>
          <w:szCs w:val="16"/>
        </w:rPr>
        <w:t>864,610 visit</w:t>
      </w:r>
      <w:r w:rsidR="00CA262D" w:rsidRPr="008A7BD7">
        <w:rPr>
          <w:rFonts w:ascii="Cambria" w:eastAsia="Montserrat" w:hAnsi="Cambria" w:cs="Montserrat"/>
          <w:sz w:val="16"/>
          <w:szCs w:val="16"/>
        </w:rPr>
        <w:t>s to the materials</w:t>
      </w:r>
      <w:r w:rsidRPr="008A7BD7">
        <w:rPr>
          <w:rFonts w:ascii="Cambria" w:eastAsia="Montserrat" w:hAnsi="Cambria" w:cs="Montserrat"/>
          <w:sz w:val="16"/>
          <w:szCs w:val="16"/>
        </w:rPr>
        <w:t xml:space="preserve">. </w:t>
      </w:r>
      <w:r w:rsidR="006945DD" w:rsidRPr="008A7BD7">
        <w:rPr>
          <w:rFonts w:ascii="Cambria" w:eastAsia="Montserrat" w:hAnsi="Cambria" w:cs="Montserrat"/>
          <w:sz w:val="16"/>
          <w:szCs w:val="16"/>
        </w:rPr>
        <w:t>Visits to the Press Room platform have been made from countries such as</w:t>
      </w:r>
      <w:r w:rsidRPr="008A7BD7">
        <w:rPr>
          <w:rFonts w:ascii="Cambria" w:eastAsia="Montserrat" w:hAnsi="Cambria" w:cs="Montserrat"/>
          <w:sz w:val="16"/>
          <w:szCs w:val="16"/>
        </w:rPr>
        <w:t xml:space="preserve"> Guatemala, </w:t>
      </w:r>
      <w:r w:rsidR="006945DD" w:rsidRPr="008A7BD7">
        <w:rPr>
          <w:rFonts w:ascii="Cambria" w:eastAsia="Montserrat" w:hAnsi="Cambria" w:cs="Montserrat"/>
          <w:sz w:val="16"/>
          <w:szCs w:val="16"/>
        </w:rPr>
        <w:t xml:space="preserve">United States, </w:t>
      </w:r>
      <w:r w:rsidRPr="008A7BD7">
        <w:rPr>
          <w:rFonts w:ascii="Cambria" w:eastAsia="Montserrat" w:hAnsi="Cambria" w:cs="Montserrat"/>
          <w:sz w:val="16"/>
          <w:szCs w:val="16"/>
        </w:rPr>
        <w:t>Honduras, M</w:t>
      </w:r>
      <w:r w:rsidR="006945DD" w:rsidRPr="008A7BD7">
        <w:rPr>
          <w:rFonts w:ascii="Cambria" w:eastAsia="Montserrat" w:hAnsi="Cambria" w:cs="Montserrat"/>
          <w:sz w:val="16"/>
          <w:szCs w:val="16"/>
        </w:rPr>
        <w:t>e</w:t>
      </w:r>
      <w:r w:rsidRPr="008A7BD7">
        <w:rPr>
          <w:rFonts w:ascii="Cambria" w:eastAsia="Montserrat" w:hAnsi="Cambria" w:cs="Montserrat"/>
          <w:sz w:val="16"/>
          <w:szCs w:val="16"/>
        </w:rPr>
        <w:t>xico, El Salvador, Ir</w:t>
      </w:r>
      <w:r w:rsidR="006945DD" w:rsidRPr="008A7BD7">
        <w:rPr>
          <w:rFonts w:ascii="Cambria" w:eastAsia="Montserrat" w:hAnsi="Cambria" w:cs="Montserrat"/>
          <w:sz w:val="16"/>
          <w:szCs w:val="16"/>
        </w:rPr>
        <w:t>e</w:t>
      </w:r>
      <w:r w:rsidRPr="008A7BD7">
        <w:rPr>
          <w:rFonts w:ascii="Cambria" w:eastAsia="Montserrat" w:hAnsi="Cambria" w:cs="Montserrat"/>
          <w:sz w:val="16"/>
          <w:szCs w:val="16"/>
        </w:rPr>
        <w:t>land, Beli</w:t>
      </w:r>
      <w:r w:rsidR="006945DD" w:rsidRPr="008A7BD7">
        <w:rPr>
          <w:rFonts w:ascii="Cambria" w:eastAsia="Montserrat" w:hAnsi="Cambria" w:cs="Montserrat"/>
          <w:sz w:val="16"/>
          <w:szCs w:val="16"/>
        </w:rPr>
        <w:t>z</w:t>
      </w:r>
      <w:r w:rsidRPr="008A7BD7">
        <w:rPr>
          <w:rFonts w:ascii="Cambria" w:eastAsia="Montserrat" w:hAnsi="Cambria" w:cs="Montserrat"/>
          <w:sz w:val="16"/>
          <w:szCs w:val="16"/>
        </w:rPr>
        <w:t>e, Bra</w:t>
      </w:r>
      <w:r w:rsidR="006945DD" w:rsidRPr="008A7BD7">
        <w:rPr>
          <w:rFonts w:ascii="Cambria" w:eastAsia="Montserrat" w:hAnsi="Cambria" w:cs="Montserrat"/>
          <w:sz w:val="16"/>
          <w:szCs w:val="16"/>
        </w:rPr>
        <w:t>z</w:t>
      </w:r>
      <w:r w:rsidRPr="008A7BD7">
        <w:rPr>
          <w:rFonts w:ascii="Cambria" w:eastAsia="Montserrat" w:hAnsi="Cambria" w:cs="Montserrat"/>
          <w:sz w:val="16"/>
          <w:szCs w:val="16"/>
        </w:rPr>
        <w:t xml:space="preserve">il, </w:t>
      </w:r>
      <w:r w:rsidR="006945DD" w:rsidRPr="008A7BD7">
        <w:rPr>
          <w:rFonts w:ascii="Cambria" w:eastAsia="Montserrat" w:hAnsi="Cambria" w:cs="Montserrat"/>
          <w:sz w:val="16"/>
          <w:szCs w:val="16"/>
        </w:rPr>
        <w:t xml:space="preserve">Sweden, and </w:t>
      </w:r>
      <w:r w:rsidRPr="008A7BD7">
        <w:rPr>
          <w:rFonts w:ascii="Cambria" w:eastAsia="Montserrat" w:hAnsi="Cambria" w:cs="Montserrat"/>
          <w:sz w:val="16"/>
          <w:szCs w:val="16"/>
        </w:rPr>
        <w:t>Panam</w:t>
      </w:r>
      <w:r w:rsidR="006945DD" w:rsidRPr="008A7BD7">
        <w:rPr>
          <w:rFonts w:ascii="Cambria" w:eastAsia="Montserrat" w:hAnsi="Cambria" w:cs="Montserrat"/>
          <w:sz w:val="16"/>
          <w:szCs w:val="16"/>
        </w:rPr>
        <w:t>a</w:t>
      </w:r>
      <w:r w:rsidRPr="008A7BD7">
        <w:rPr>
          <w:rFonts w:ascii="Cambria" w:eastAsia="Montserrat" w:hAnsi="Cambria" w:cs="Montserrat"/>
          <w:sz w:val="16"/>
          <w:szCs w:val="16"/>
        </w:rPr>
        <w:t xml:space="preserve">. </w:t>
      </w:r>
      <w:r w:rsidR="00447D13" w:rsidRPr="008A7BD7">
        <w:rPr>
          <w:rFonts w:ascii="Cambria" w:hAnsi="Cambria"/>
          <w:sz w:val="16"/>
          <w:szCs w:val="16"/>
        </w:rPr>
        <w:t>Response from the State of</w:t>
      </w:r>
      <w:r w:rsidR="00447D13"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447D13" w:rsidRPr="008A7BD7">
        <w:rPr>
          <w:rFonts w:ascii="Cambria" w:hAnsi="Cambria"/>
          <w:sz w:val="16"/>
          <w:szCs w:val="16"/>
        </w:rPr>
        <w:t>OEA</w:t>
      </w:r>
      <w:r w:rsidR="00447D13"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p. 52-55.</w:t>
      </w:r>
    </w:p>
  </w:footnote>
  <w:footnote w:id="171">
    <w:p w14:paraId="0CD9251B" w14:textId="7CA16E29" w:rsidR="009C4A37" w:rsidRPr="008A7BD7" w:rsidRDefault="009C4A37" w:rsidP="00746761">
      <w:pPr>
        <w:spacing w:after="120"/>
        <w:ind w:firstLine="720"/>
        <w:jc w:val="both"/>
        <w:rPr>
          <w:rFonts w:ascii="Cambria" w:hAnsi="Cambria" w:cstheme="majorHAnsi"/>
          <w:sz w:val="16"/>
          <w:szCs w:val="16"/>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rPr>
        <w:t xml:space="preserve"> </w:t>
      </w:r>
      <w:r w:rsidR="00524266" w:rsidRPr="008A7BD7">
        <w:rPr>
          <w:rFonts w:ascii="Cambria" w:hAnsi="Cambria" w:cstheme="majorHAnsi"/>
          <w:sz w:val="16"/>
          <w:szCs w:val="16"/>
        </w:rPr>
        <w:t xml:space="preserve">IACHR, Office of the Special Rapporteur for Freedom of Expression, Annual Report </w:t>
      </w:r>
      <w:r w:rsidRPr="008A7BD7">
        <w:rPr>
          <w:rFonts w:ascii="Cambria" w:hAnsi="Cambria" w:cstheme="majorHAnsi"/>
          <w:sz w:val="16"/>
          <w:szCs w:val="16"/>
        </w:rPr>
        <w:t xml:space="preserve">2020. </w:t>
      </w:r>
    </w:p>
  </w:footnote>
  <w:footnote w:id="172">
    <w:p w14:paraId="017140EC" w14:textId="4E618ACD" w:rsidR="009C4A37" w:rsidRPr="008A7BD7" w:rsidRDefault="009C4A37" w:rsidP="00746761">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00524266"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El Periódico</w:t>
      </w:r>
      <w:r w:rsidR="0052426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proofErr w:type="spellStart"/>
      <w:r w:rsidR="00524266" w:rsidRPr="008A7BD7">
        <w:rPr>
          <w:rFonts w:ascii="Cambria" w:eastAsia="Cambria" w:hAnsi="Cambria" w:cstheme="majorHAnsi"/>
          <w:sz w:val="16"/>
          <w:szCs w:val="16"/>
          <w:lang w:val="es-419"/>
        </w:rPr>
        <w:t>July</w:t>
      </w:r>
      <w:proofErr w:type="spellEnd"/>
      <w:r w:rsidR="0052426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4</w:t>
      </w:r>
      <w:r w:rsidR="0052426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2426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79">
        <w:r w:rsidRPr="008A7BD7">
          <w:rPr>
            <w:rFonts w:ascii="Cambria" w:eastAsia="Cambria" w:hAnsi="Cambria" w:cstheme="majorHAnsi"/>
            <w:i/>
            <w:iCs/>
            <w:color w:val="1155CC"/>
            <w:sz w:val="16"/>
            <w:szCs w:val="16"/>
            <w:u w:val="single"/>
            <w:lang w:val="es-419"/>
          </w:rPr>
          <w:t xml:space="preserve">Un </w:t>
        </w:r>
        <w:proofErr w:type="spellStart"/>
        <w:r w:rsidRPr="008A7BD7">
          <w:rPr>
            <w:rFonts w:ascii="Cambria" w:eastAsia="Cambria" w:hAnsi="Cambria" w:cstheme="majorHAnsi"/>
            <w:i/>
            <w:iCs/>
            <w:color w:val="1155CC"/>
            <w:sz w:val="16"/>
            <w:szCs w:val="16"/>
            <w:u w:val="single"/>
            <w:lang w:val="es-419"/>
          </w:rPr>
          <w:t>netcenter</w:t>
        </w:r>
        <w:proofErr w:type="spellEnd"/>
        <w:r w:rsidRPr="008A7BD7">
          <w:rPr>
            <w:rFonts w:ascii="Cambria" w:eastAsia="Cambria" w:hAnsi="Cambria" w:cstheme="majorHAnsi"/>
            <w:i/>
            <w:iCs/>
            <w:color w:val="1155CC"/>
            <w:sz w:val="16"/>
            <w:szCs w:val="16"/>
            <w:u w:val="single"/>
            <w:lang w:val="es-419"/>
          </w:rPr>
          <w:t xml:space="preserve"> en Twitter disemina apoyo al presidente </w:t>
        </w:r>
        <w:proofErr w:type="spellStart"/>
        <w:r w:rsidRPr="008A7BD7">
          <w:rPr>
            <w:rFonts w:ascii="Cambria" w:eastAsia="Cambria" w:hAnsi="Cambria" w:cstheme="majorHAnsi"/>
            <w:i/>
            <w:iCs/>
            <w:color w:val="1155CC"/>
            <w:sz w:val="16"/>
            <w:szCs w:val="16"/>
            <w:u w:val="single"/>
            <w:lang w:val="es-419"/>
          </w:rPr>
          <w:t>Giammattei</w:t>
        </w:r>
        <w:proofErr w:type="spellEnd"/>
      </w:hyperlink>
      <w:r w:rsidR="0052426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Soy502</w:t>
      </w:r>
      <w:r w:rsidR="00524266" w:rsidRPr="008A7BD7">
        <w:rPr>
          <w:rFonts w:ascii="Cambria" w:eastAsia="Cambria" w:hAnsi="Cambria" w:cstheme="majorHAnsi"/>
          <w:sz w:val="16"/>
          <w:szCs w:val="16"/>
          <w:lang w:val="es-419"/>
        </w:rPr>
        <w:t xml:space="preserve">, </w:t>
      </w:r>
      <w:proofErr w:type="spellStart"/>
      <w:r w:rsidR="00524266" w:rsidRPr="008A7BD7">
        <w:rPr>
          <w:rFonts w:ascii="Cambria" w:eastAsia="Cambria" w:hAnsi="Cambria" w:cstheme="majorHAnsi"/>
          <w:sz w:val="16"/>
          <w:szCs w:val="16"/>
          <w:lang w:val="es-419"/>
        </w:rPr>
        <w:t>July</w:t>
      </w:r>
      <w:proofErr w:type="spellEnd"/>
      <w:r w:rsidRPr="008A7BD7">
        <w:rPr>
          <w:rFonts w:ascii="Cambria" w:eastAsia="Cambria" w:hAnsi="Cambria" w:cstheme="majorHAnsi"/>
          <w:sz w:val="16"/>
          <w:szCs w:val="16"/>
          <w:lang w:val="es-419"/>
        </w:rPr>
        <w:t xml:space="preserve"> 4</w:t>
      </w:r>
      <w:r w:rsidR="0052426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2426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80">
        <w:r w:rsidRPr="008A7BD7">
          <w:rPr>
            <w:rFonts w:ascii="Cambria" w:eastAsia="Cambria" w:hAnsi="Cambria" w:cstheme="majorHAnsi"/>
            <w:i/>
            <w:iCs/>
            <w:color w:val="1155CC"/>
            <w:sz w:val="16"/>
            <w:szCs w:val="16"/>
            <w:u w:val="single"/>
            <w:lang w:val="es-419"/>
          </w:rPr>
          <w:t xml:space="preserve">El "apoyo ficticio" a </w:t>
        </w:r>
        <w:proofErr w:type="spellStart"/>
        <w:r w:rsidRPr="008A7BD7">
          <w:rPr>
            <w:rFonts w:ascii="Cambria" w:eastAsia="Cambria" w:hAnsi="Cambria" w:cstheme="majorHAnsi"/>
            <w:i/>
            <w:iCs/>
            <w:color w:val="1155CC"/>
            <w:sz w:val="16"/>
            <w:szCs w:val="16"/>
            <w:u w:val="single"/>
            <w:lang w:val="es-419"/>
          </w:rPr>
          <w:t>Giammattei</w:t>
        </w:r>
        <w:proofErr w:type="spellEnd"/>
        <w:r w:rsidRPr="008A7BD7">
          <w:rPr>
            <w:rFonts w:ascii="Cambria" w:eastAsia="Cambria" w:hAnsi="Cambria" w:cstheme="majorHAnsi"/>
            <w:i/>
            <w:iCs/>
            <w:color w:val="1155CC"/>
            <w:sz w:val="16"/>
            <w:szCs w:val="16"/>
            <w:u w:val="single"/>
            <w:lang w:val="es-419"/>
          </w:rPr>
          <w:t xml:space="preserve"> en Twitter por las vacunas</w:t>
        </w:r>
      </w:hyperlink>
      <w:r w:rsidR="00524266" w:rsidRPr="008A7BD7">
        <w:rPr>
          <w:rFonts w:ascii="Cambria" w:eastAsia="Cambria" w:hAnsi="Cambria" w:cstheme="majorHAnsi"/>
          <w:sz w:val="16"/>
          <w:szCs w:val="16"/>
          <w:lang w:val="es-419"/>
        </w:rPr>
        <w:t>.</w:t>
      </w:r>
    </w:p>
  </w:footnote>
  <w:footnote w:id="173">
    <w:p w14:paraId="70D4557A" w14:textId="07CE88E4" w:rsidR="009C4A37" w:rsidRPr="008A7BD7" w:rsidRDefault="009C4A37" w:rsidP="00746761">
      <w:pPr>
        <w:spacing w:after="120"/>
        <w:ind w:firstLine="720"/>
        <w:jc w:val="both"/>
        <w:rPr>
          <w:rFonts w:ascii="Cambria" w:eastAsia="Cambria" w:hAnsi="Cambria" w:cstheme="majorHAnsi"/>
          <w:sz w:val="16"/>
          <w:szCs w:val="16"/>
        </w:rPr>
      </w:pPr>
      <w:r w:rsidRPr="008A7BD7">
        <w:rPr>
          <w:rFonts w:ascii="Cambria" w:hAnsi="Cambria" w:cstheme="majorHAnsi"/>
          <w:sz w:val="16"/>
          <w:szCs w:val="16"/>
          <w:vertAlign w:val="superscript"/>
          <w:lang w:val="es-419"/>
        </w:rPr>
        <w:footnoteRef/>
      </w:r>
      <w:r w:rsidRPr="008A7BD7">
        <w:rPr>
          <w:rFonts w:ascii="Cambria" w:eastAsia="Cambria" w:hAnsi="Cambria" w:cstheme="majorHAnsi"/>
          <w:sz w:val="16"/>
          <w:szCs w:val="16"/>
        </w:rPr>
        <w:t xml:space="preserve"> </w:t>
      </w:r>
      <w:r w:rsidR="00893E82" w:rsidRPr="008A7BD7">
        <w:rPr>
          <w:rFonts w:ascii="Cambria" w:eastAsia="Cambria" w:hAnsi="Cambria" w:cstheme="majorHAnsi"/>
          <w:sz w:val="16"/>
          <w:szCs w:val="16"/>
        </w:rPr>
        <w:t xml:space="preserve">Inter-American Development Bank, </w:t>
      </w:r>
      <w:r w:rsidRPr="008A7BD7">
        <w:rPr>
          <w:rFonts w:ascii="Cambria" w:eastAsia="Cambria" w:hAnsi="Cambria" w:cstheme="majorHAnsi"/>
          <w:sz w:val="16"/>
          <w:szCs w:val="16"/>
        </w:rPr>
        <w:t>2021</w:t>
      </w:r>
      <w:r w:rsidR="00893E82" w:rsidRPr="008A7BD7">
        <w:rPr>
          <w:rFonts w:ascii="Cambria" w:eastAsia="Cambria" w:hAnsi="Cambria" w:cstheme="majorHAnsi"/>
          <w:sz w:val="16"/>
          <w:szCs w:val="16"/>
        </w:rPr>
        <w:t xml:space="preserve">, </w:t>
      </w:r>
      <w:hyperlink r:id="rId181" w:history="1">
        <w:r w:rsidR="00893E82" w:rsidRPr="008A7BD7">
          <w:rPr>
            <w:rStyle w:val="Hyperlink"/>
            <w:rFonts w:ascii="Cambria" w:eastAsia="Cambria" w:hAnsi="Cambria" w:cstheme="majorHAnsi"/>
            <w:sz w:val="16"/>
            <w:szCs w:val="16"/>
          </w:rPr>
          <w:t>Annual Report of the Broadband Development Index: Digital Gap in Latin America and the Caribbean</w:t>
        </w:r>
      </w:hyperlink>
      <w:r w:rsidRPr="008A7BD7">
        <w:rPr>
          <w:rFonts w:ascii="Cambria" w:eastAsia="Cambria" w:hAnsi="Cambria" w:cstheme="majorHAnsi"/>
          <w:sz w:val="16"/>
          <w:szCs w:val="16"/>
        </w:rPr>
        <w:t>.</w:t>
      </w:r>
    </w:p>
  </w:footnote>
  <w:footnote w:id="174">
    <w:p w14:paraId="1CE02EEC" w14:textId="516EE628" w:rsidR="009C4A37" w:rsidRPr="008A7BD7" w:rsidRDefault="009C4A37" w:rsidP="00746761">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Plaza Pública</w:t>
      </w:r>
      <w:r w:rsidR="00524266" w:rsidRPr="008A7BD7">
        <w:rPr>
          <w:rFonts w:ascii="Cambria" w:eastAsia="Cambria" w:hAnsi="Cambria" w:cstheme="majorHAnsi"/>
          <w:sz w:val="16"/>
          <w:szCs w:val="16"/>
          <w:lang w:val="es-419"/>
        </w:rPr>
        <w:t xml:space="preserve">, </w:t>
      </w:r>
      <w:proofErr w:type="spellStart"/>
      <w:r w:rsidR="00524266" w:rsidRPr="008A7BD7">
        <w:rPr>
          <w:rFonts w:ascii="Cambria" w:eastAsia="Cambria" w:hAnsi="Cambria" w:cstheme="majorHAnsi"/>
          <w:sz w:val="16"/>
          <w:szCs w:val="16"/>
          <w:lang w:val="es-419"/>
        </w:rPr>
        <w:t>January</w:t>
      </w:r>
      <w:proofErr w:type="spellEnd"/>
      <w:r w:rsidRPr="008A7BD7">
        <w:rPr>
          <w:rFonts w:ascii="Cambria" w:eastAsia="Cambria" w:hAnsi="Cambria" w:cstheme="majorHAnsi"/>
          <w:sz w:val="16"/>
          <w:szCs w:val="16"/>
          <w:lang w:val="es-419"/>
        </w:rPr>
        <w:t xml:space="preserve"> 10</w:t>
      </w:r>
      <w:r w:rsidR="0052426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24266" w:rsidRPr="008A7BD7">
        <w:rPr>
          <w:rFonts w:ascii="Cambria" w:eastAsia="Cambria" w:hAnsi="Cambria" w:cstheme="majorHAnsi"/>
          <w:i/>
          <w:iCs/>
          <w:sz w:val="16"/>
          <w:szCs w:val="16"/>
          <w:lang w:val="es-419"/>
        </w:rPr>
        <w:t>,</w:t>
      </w:r>
      <w:r w:rsidRPr="008A7BD7">
        <w:rPr>
          <w:rFonts w:ascii="Cambria" w:eastAsia="Cambria" w:hAnsi="Cambria" w:cstheme="majorHAnsi"/>
          <w:i/>
          <w:iCs/>
          <w:sz w:val="16"/>
          <w:szCs w:val="16"/>
          <w:lang w:val="es-419"/>
        </w:rPr>
        <w:t xml:space="preserve"> </w:t>
      </w:r>
      <w:hyperlink r:id="rId182">
        <w:r w:rsidRPr="008A7BD7">
          <w:rPr>
            <w:rFonts w:ascii="Cambria" w:eastAsia="Cambria" w:hAnsi="Cambria" w:cstheme="majorHAnsi"/>
            <w:i/>
            <w:iCs/>
            <w:color w:val="1155CC"/>
            <w:sz w:val="16"/>
            <w:szCs w:val="16"/>
            <w:u w:val="single"/>
            <w:lang w:val="es-419"/>
          </w:rPr>
          <w:t>La posición ambigua de Tigo: Tiene los derechos sobre la banda 4G pero no puede usarlos, por el momento</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Plaza Pública</w:t>
      </w:r>
      <w:r w:rsidR="00524266" w:rsidRPr="008A7BD7">
        <w:rPr>
          <w:rFonts w:ascii="Cambria" w:eastAsia="Cambria" w:hAnsi="Cambria" w:cstheme="majorHAnsi"/>
          <w:sz w:val="16"/>
          <w:szCs w:val="16"/>
          <w:lang w:val="es-419"/>
        </w:rPr>
        <w:t>, May</w:t>
      </w:r>
      <w:r w:rsidRPr="008A7BD7">
        <w:rPr>
          <w:rFonts w:ascii="Cambria" w:eastAsia="Cambria" w:hAnsi="Cambria" w:cstheme="majorHAnsi"/>
          <w:sz w:val="16"/>
          <w:szCs w:val="16"/>
          <w:lang w:val="es-419"/>
        </w:rPr>
        <w:t xml:space="preserve"> 13</w:t>
      </w:r>
      <w:r w:rsidR="0052426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2426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83">
        <w:r w:rsidRPr="008A7BD7">
          <w:rPr>
            <w:rFonts w:ascii="Cambria" w:eastAsia="Cambria" w:hAnsi="Cambria" w:cstheme="majorHAnsi"/>
            <w:i/>
            <w:iCs/>
            <w:color w:val="1155CC"/>
            <w:sz w:val="16"/>
            <w:szCs w:val="16"/>
            <w:u w:val="single"/>
            <w:lang w:val="es-419"/>
          </w:rPr>
          <w:t>Gobierno hace malabares con banda 4G y beneficia a Tigo</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Prensa Libre</w:t>
      </w:r>
      <w:r w:rsidR="0052426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proofErr w:type="spellStart"/>
      <w:r w:rsidR="00524266" w:rsidRPr="008A7BD7">
        <w:rPr>
          <w:rFonts w:ascii="Cambria" w:eastAsia="Cambria" w:hAnsi="Cambria" w:cstheme="majorHAnsi"/>
          <w:sz w:val="16"/>
          <w:szCs w:val="16"/>
          <w:lang w:val="es-419"/>
        </w:rPr>
        <w:t>January</w:t>
      </w:r>
      <w:proofErr w:type="spellEnd"/>
      <w:r w:rsidR="0052426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7</w:t>
      </w:r>
      <w:r w:rsidR="00524266"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24266"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84">
        <w:r w:rsidRPr="008A7BD7">
          <w:rPr>
            <w:rFonts w:ascii="Cambria" w:eastAsia="Cambria" w:hAnsi="Cambria" w:cstheme="majorHAnsi"/>
            <w:i/>
            <w:iCs/>
            <w:color w:val="1155CC"/>
            <w:sz w:val="16"/>
            <w:szCs w:val="16"/>
            <w:u w:val="single"/>
            <w:lang w:val="es-419"/>
          </w:rPr>
          <w:t>Dos recursos se cruzan en el proceso para subastar la red 4G</w:t>
        </w:r>
      </w:hyperlink>
      <w:r w:rsidRPr="008A7BD7">
        <w:rPr>
          <w:rFonts w:ascii="Cambria" w:eastAsia="Cambria" w:hAnsi="Cambria" w:cstheme="majorHAnsi"/>
          <w:sz w:val="16"/>
          <w:szCs w:val="16"/>
          <w:lang w:val="es-419"/>
        </w:rPr>
        <w:t xml:space="preserve">. </w:t>
      </w:r>
    </w:p>
  </w:footnote>
  <w:footnote w:id="175">
    <w:p w14:paraId="5F74CDA7" w14:textId="24ABE1B2" w:rsidR="009C4A37" w:rsidRPr="008A7BD7" w:rsidRDefault="009C4A37" w:rsidP="00746761">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Plaza Pública</w:t>
      </w:r>
      <w:r w:rsidR="005824F9"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proofErr w:type="spellStart"/>
      <w:r w:rsidR="005824F9" w:rsidRPr="008A7BD7">
        <w:rPr>
          <w:rFonts w:ascii="Cambria" w:eastAsia="Cambria" w:hAnsi="Cambria" w:cstheme="majorHAnsi"/>
          <w:sz w:val="16"/>
          <w:szCs w:val="16"/>
          <w:lang w:val="es-419"/>
        </w:rPr>
        <w:t>January</w:t>
      </w:r>
      <w:proofErr w:type="spellEnd"/>
      <w:r w:rsidR="005824F9"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10</w:t>
      </w:r>
      <w:r w:rsidR="005824F9"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824F9"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85">
        <w:r w:rsidRPr="008A7BD7">
          <w:rPr>
            <w:rFonts w:ascii="Cambria" w:eastAsia="Cambria" w:hAnsi="Cambria" w:cstheme="majorHAnsi"/>
            <w:i/>
            <w:iCs/>
            <w:color w:val="1155CC"/>
            <w:sz w:val="16"/>
            <w:szCs w:val="16"/>
            <w:u w:val="single"/>
            <w:lang w:val="es-419"/>
          </w:rPr>
          <w:t>La posición ambigua de Tigo: Tiene los derechos sobre la banda 4G pero no puede usarlos, por el momento</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Plaza Pública</w:t>
      </w:r>
      <w:r w:rsidR="005824F9" w:rsidRPr="008A7BD7">
        <w:rPr>
          <w:rFonts w:ascii="Cambria" w:eastAsia="Cambria" w:hAnsi="Cambria" w:cstheme="majorHAnsi"/>
          <w:sz w:val="16"/>
          <w:szCs w:val="16"/>
          <w:lang w:val="es-419"/>
        </w:rPr>
        <w:t>, May</w:t>
      </w:r>
      <w:r w:rsidRPr="008A7BD7">
        <w:rPr>
          <w:rFonts w:ascii="Cambria" w:eastAsia="Cambria" w:hAnsi="Cambria" w:cstheme="majorHAnsi"/>
          <w:sz w:val="16"/>
          <w:szCs w:val="16"/>
          <w:lang w:val="es-419"/>
        </w:rPr>
        <w:t xml:space="preserve"> 13</w:t>
      </w:r>
      <w:r w:rsidR="005824F9"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824F9"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86">
        <w:r w:rsidRPr="008A7BD7">
          <w:rPr>
            <w:rFonts w:ascii="Cambria" w:eastAsia="Cambria" w:hAnsi="Cambria" w:cstheme="majorHAnsi"/>
            <w:i/>
            <w:iCs/>
            <w:color w:val="1155CC"/>
            <w:sz w:val="16"/>
            <w:szCs w:val="16"/>
            <w:u w:val="single"/>
            <w:lang w:val="es-419"/>
          </w:rPr>
          <w:t>Gobierno hace malabares con banda 4G y beneficia a Tigo</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Prensa Libre</w:t>
      </w:r>
      <w:r w:rsidR="005824F9"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proofErr w:type="spellStart"/>
      <w:r w:rsidR="005824F9" w:rsidRPr="008A7BD7">
        <w:rPr>
          <w:rFonts w:ascii="Cambria" w:eastAsia="Cambria" w:hAnsi="Cambria" w:cstheme="majorHAnsi"/>
          <w:sz w:val="16"/>
          <w:szCs w:val="16"/>
          <w:lang w:val="es-419"/>
        </w:rPr>
        <w:t>January</w:t>
      </w:r>
      <w:proofErr w:type="spellEnd"/>
      <w:r w:rsidR="005824F9"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7</w:t>
      </w:r>
      <w:r w:rsidR="005824F9"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824F9"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87">
        <w:r w:rsidRPr="008A7BD7">
          <w:rPr>
            <w:rFonts w:ascii="Cambria" w:eastAsia="Cambria" w:hAnsi="Cambria" w:cstheme="majorHAnsi"/>
            <w:i/>
            <w:iCs/>
            <w:color w:val="1155CC"/>
            <w:sz w:val="16"/>
            <w:szCs w:val="16"/>
            <w:u w:val="single"/>
            <w:lang w:val="es-419"/>
          </w:rPr>
          <w:t>Dos recursos se cruzan en el proceso para subastar la red 4G</w:t>
        </w:r>
      </w:hyperlink>
      <w:r w:rsidR="005824F9" w:rsidRPr="008A7BD7">
        <w:rPr>
          <w:rFonts w:ascii="Cambria" w:eastAsia="Cambria" w:hAnsi="Cambria" w:cstheme="majorHAnsi"/>
          <w:color w:val="1155CC"/>
          <w:sz w:val="16"/>
          <w:szCs w:val="16"/>
          <w:u w:val="single"/>
          <w:lang w:val="es-419"/>
        </w:rPr>
        <w:t>.</w:t>
      </w:r>
    </w:p>
  </w:footnote>
  <w:footnote w:id="176">
    <w:p w14:paraId="1F02692B" w14:textId="3DE8A31A" w:rsidR="009C4A37" w:rsidRPr="008A7BD7" w:rsidRDefault="009C4A37" w:rsidP="00746761">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Soy502</w:t>
      </w:r>
      <w:r w:rsidR="005824F9" w:rsidRPr="008A7BD7">
        <w:rPr>
          <w:rFonts w:ascii="Cambria" w:eastAsia="Cambria" w:hAnsi="Cambria" w:cstheme="majorHAnsi"/>
          <w:sz w:val="16"/>
          <w:szCs w:val="16"/>
          <w:lang w:val="es-419"/>
        </w:rPr>
        <w:t xml:space="preserve">, </w:t>
      </w:r>
      <w:proofErr w:type="spellStart"/>
      <w:r w:rsidR="005824F9" w:rsidRPr="008A7BD7">
        <w:rPr>
          <w:rFonts w:ascii="Cambria" w:eastAsia="Cambria" w:hAnsi="Cambria" w:cstheme="majorHAnsi"/>
          <w:sz w:val="16"/>
          <w:szCs w:val="16"/>
          <w:lang w:val="es-419"/>
        </w:rPr>
        <w:t>January</w:t>
      </w:r>
      <w:proofErr w:type="spellEnd"/>
      <w:r w:rsidRPr="008A7BD7">
        <w:rPr>
          <w:rFonts w:ascii="Cambria" w:eastAsia="Cambria" w:hAnsi="Cambria" w:cstheme="majorHAnsi"/>
          <w:sz w:val="16"/>
          <w:szCs w:val="16"/>
          <w:lang w:val="es-419"/>
        </w:rPr>
        <w:t xml:space="preserve"> 4</w:t>
      </w:r>
      <w:r w:rsidR="005824F9"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824F9"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88">
        <w:r w:rsidRPr="008A7BD7">
          <w:rPr>
            <w:rFonts w:ascii="Cambria" w:eastAsia="Cambria" w:hAnsi="Cambria" w:cstheme="majorHAnsi"/>
            <w:i/>
            <w:iCs/>
            <w:color w:val="1155CC"/>
            <w:sz w:val="16"/>
            <w:szCs w:val="16"/>
            <w:u w:val="single"/>
            <w:lang w:val="es-419"/>
          </w:rPr>
          <w:t xml:space="preserve">Exjefe de SIT acusa a </w:t>
        </w:r>
        <w:proofErr w:type="spellStart"/>
        <w:r w:rsidRPr="008A7BD7">
          <w:rPr>
            <w:rFonts w:ascii="Cambria" w:eastAsia="Cambria" w:hAnsi="Cambria" w:cstheme="majorHAnsi"/>
            <w:i/>
            <w:iCs/>
            <w:color w:val="1155CC"/>
            <w:sz w:val="16"/>
            <w:szCs w:val="16"/>
            <w:u w:val="single"/>
            <w:lang w:val="es-419"/>
          </w:rPr>
          <w:t>Giammattei</w:t>
        </w:r>
        <w:proofErr w:type="spellEnd"/>
        <w:r w:rsidRPr="008A7BD7">
          <w:rPr>
            <w:rFonts w:ascii="Cambria" w:eastAsia="Cambria" w:hAnsi="Cambria" w:cstheme="majorHAnsi"/>
            <w:i/>
            <w:iCs/>
            <w:color w:val="1155CC"/>
            <w:sz w:val="16"/>
            <w:szCs w:val="16"/>
            <w:u w:val="single"/>
            <w:lang w:val="es-419"/>
          </w:rPr>
          <w:t xml:space="preserve"> de presiones para firmar acuerdo</w:t>
        </w:r>
      </w:hyperlink>
      <w:r w:rsidRPr="008A7BD7">
        <w:rPr>
          <w:rFonts w:ascii="Cambria" w:eastAsia="Cambria" w:hAnsi="Cambria" w:cstheme="majorHAnsi"/>
          <w:sz w:val="16"/>
          <w:szCs w:val="16"/>
          <w:lang w:val="es-419"/>
        </w:rPr>
        <w:t xml:space="preserve">; </w:t>
      </w:r>
      <w:proofErr w:type="spellStart"/>
      <w:r w:rsidRPr="008A7BD7">
        <w:rPr>
          <w:rFonts w:ascii="Cambria" w:eastAsia="Cambria" w:hAnsi="Cambria" w:cstheme="majorHAnsi"/>
          <w:sz w:val="16"/>
          <w:szCs w:val="16"/>
          <w:lang w:val="es-419"/>
        </w:rPr>
        <w:t>CentralAmericaData</w:t>
      </w:r>
      <w:proofErr w:type="spellEnd"/>
      <w:r w:rsidR="005824F9"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proofErr w:type="spellStart"/>
      <w:r w:rsidR="005824F9" w:rsidRPr="008A7BD7">
        <w:rPr>
          <w:rFonts w:ascii="Cambria" w:eastAsia="Cambria" w:hAnsi="Cambria" w:cstheme="majorHAnsi"/>
          <w:sz w:val="16"/>
          <w:szCs w:val="16"/>
          <w:lang w:val="es-419"/>
        </w:rPr>
        <w:t>January</w:t>
      </w:r>
      <w:proofErr w:type="spellEnd"/>
      <w:r w:rsidR="005824F9"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8</w:t>
      </w:r>
      <w:r w:rsidR="005824F9"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824F9" w:rsidRPr="008A7BD7">
        <w:rPr>
          <w:rFonts w:ascii="Cambria" w:eastAsia="Cambria" w:hAnsi="Cambria" w:cstheme="majorHAnsi"/>
          <w:sz w:val="16"/>
          <w:szCs w:val="16"/>
          <w:lang w:val="es-419"/>
        </w:rPr>
        <w:t xml:space="preserve">, </w:t>
      </w:r>
      <w:hyperlink r:id="rId189">
        <w:r w:rsidR="007E3AEC" w:rsidRPr="008A7BD7">
          <w:rPr>
            <w:rFonts w:ascii="Cambria" w:eastAsia="Cambria" w:hAnsi="Cambria" w:cstheme="majorHAnsi"/>
            <w:i/>
            <w:iCs/>
            <w:color w:val="1155CC"/>
            <w:sz w:val="16"/>
            <w:szCs w:val="16"/>
            <w:u w:val="single"/>
            <w:lang w:val="es-419"/>
          </w:rPr>
          <w:t xml:space="preserve">Subasta de red 4G: Batalla en Guatemala - </w:t>
        </w:r>
        <w:proofErr w:type="spellStart"/>
        <w:r w:rsidR="007E3AEC" w:rsidRPr="008A7BD7">
          <w:rPr>
            <w:rFonts w:ascii="Cambria" w:eastAsia="Cambria" w:hAnsi="Cambria" w:cstheme="majorHAnsi"/>
            <w:i/>
            <w:iCs/>
            <w:color w:val="1155CC"/>
            <w:sz w:val="16"/>
            <w:szCs w:val="16"/>
            <w:u w:val="single"/>
            <w:lang w:val="es-419"/>
          </w:rPr>
          <w:t>CentralAmericaData</w:t>
        </w:r>
        <w:proofErr w:type="spellEnd"/>
      </w:hyperlink>
      <w:r w:rsidR="005824F9" w:rsidRPr="008A7BD7">
        <w:rPr>
          <w:rFonts w:ascii="Cambria" w:eastAsia="Cambria" w:hAnsi="Cambria" w:cstheme="majorHAnsi"/>
          <w:sz w:val="16"/>
          <w:szCs w:val="16"/>
          <w:lang w:val="es-419"/>
        </w:rPr>
        <w:t>.</w:t>
      </w:r>
    </w:p>
  </w:footnote>
  <w:footnote w:id="177">
    <w:p w14:paraId="3A8966DF" w14:textId="5E6A67BB" w:rsidR="009C4A37" w:rsidRPr="008A7BD7" w:rsidRDefault="009C4A37" w:rsidP="00746761">
      <w:pPr>
        <w:spacing w:after="120"/>
        <w:ind w:firstLine="720"/>
        <w:jc w:val="both"/>
        <w:rPr>
          <w:rFonts w:ascii="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proofErr w:type="spellStart"/>
      <w:r w:rsidRPr="008A7BD7">
        <w:rPr>
          <w:rFonts w:ascii="Cambria" w:eastAsia="Cambria" w:hAnsi="Cambria" w:cstheme="majorHAnsi"/>
          <w:sz w:val="16"/>
          <w:szCs w:val="16"/>
          <w:lang w:val="es-419"/>
        </w:rPr>
        <w:t>Artic</w:t>
      </w:r>
      <w:r w:rsidR="005824F9" w:rsidRPr="008A7BD7">
        <w:rPr>
          <w:rFonts w:ascii="Cambria" w:eastAsia="Cambria" w:hAnsi="Cambria" w:cstheme="majorHAnsi"/>
          <w:sz w:val="16"/>
          <w:szCs w:val="16"/>
          <w:lang w:val="es-419"/>
        </w:rPr>
        <w:t>le</w:t>
      </w:r>
      <w:proofErr w:type="spellEnd"/>
      <w:r w:rsidRPr="008A7BD7">
        <w:rPr>
          <w:rFonts w:ascii="Cambria" w:eastAsia="Cambria" w:hAnsi="Cambria" w:cstheme="majorHAnsi"/>
          <w:sz w:val="16"/>
          <w:szCs w:val="16"/>
          <w:lang w:val="es-419"/>
        </w:rPr>
        <w:t xml:space="preserve"> 19</w:t>
      </w:r>
      <w:r w:rsidR="005824F9"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Centro </w:t>
      </w:r>
      <w:proofErr w:type="spellStart"/>
      <w:r w:rsidRPr="008A7BD7">
        <w:rPr>
          <w:rFonts w:ascii="Cambria" w:eastAsia="Cambria" w:hAnsi="Cambria" w:cstheme="majorHAnsi"/>
          <w:sz w:val="16"/>
          <w:szCs w:val="16"/>
          <w:lang w:val="es-419"/>
        </w:rPr>
        <w:t>Civitas</w:t>
      </w:r>
      <w:proofErr w:type="spellEnd"/>
      <w:r w:rsidRPr="008A7BD7">
        <w:rPr>
          <w:rFonts w:ascii="Cambria" w:eastAsia="Cambria" w:hAnsi="Cambria" w:cstheme="majorHAnsi"/>
          <w:sz w:val="16"/>
          <w:szCs w:val="16"/>
          <w:lang w:val="es-419"/>
        </w:rPr>
        <w:t>, Artículo 35</w:t>
      </w:r>
      <w:r w:rsidR="005824F9" w:rsidRPr="008A7BD7">
        <w:rPr>
          <w:rFonts w:ascii="Cambria" w:eastAsia="Cambria" w:hAnsi="Cambria" w:cstheme="majorHAnsi"/>
          <w:sz w:val="16"/>
          <w:szCs w:val="16"/>
          <w:lang w:val="es-419"/>
        </w:rPr>
        <w:t>, April</w:t>
      </w:r>
      <w:r w:rsidRPr="008A7BD7">
        <w:rPr>
          <w:rFonts w:ascii="Cambria" w:eastAsia="Cambria" w:hAnsi="Cambria" w:cstheme="majorHAnsi"/>
          <w:sz w:val="16"/>
          <w:szCs w:val="16"/>
          <w:lang w:val="es-419"/>
        </w:rPr>
        <w:t xml:space="preserve"> 19</w:t>
      </w:r>
      <w:r w:rsidR="005824F9"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5824F9"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90">
        <w:r w:rsidRPr="008A7BD7">
          <w:rPr>
            <w:rFonts w:ascii="Cambria" w:eastAsia="Cambria" w:hAnsi="Cambria" w:cstheme="majorHAnsi"/>
            <w:i/>
            <w:iCs/>
            <w:color w:val="1155CC"/>
            <w:sz w:val="16"/>
            <w:szCs w:val="16"/>
            <w:u w:val="single"/>
            <w:lang w:val="es-419"/>
          </w:rPr>
          <w:t>Guatemala: Estado contra la Prensa y la Libertad de Expresión</w:t>
        </w:r>
      </w:hyperlink>
      <w:r w:rsidRPr="008A7BD7">
        <w:rPr>
          <w:rFonts w:ascii="Cambria" w:eastAsia="Cambria" w:hAnsi="Cambria" w:cstheme="majorHAnsi"/>
          <w:sz w:val="16"/>
          <w:szCs w:val="16"/>
          <w:lang w:val="es-419"/>
        </w:rPr>
        <w:t xml:space="preserve">. </w:t>
      </w:r>
    </w:p>
  </w:footnote>
  <w:footnote w:id="178">
    <w:p w14:paraId="443C4118" w14:textId="280167E5" w:rsidR="009C4A37" w:rsidRPr="008A7BD7" w:rsidRDefault="009C4A37" w:rsidP="00746761">
      <w:pPr>
        <w:pStyle w:val="FootnoteText"/>
        <w:spacing w:after="120"/>
        <w:ind w:firstLine="720"/>
        <w:jc w:val="both"/>
        <w:rPr>
          <w:rFonts w:ascii="Cambria" w:hAnsi="Cambria" w:cstheme="majorHAnsi"/>
          <w:sz w:val="16"/>
          <w:szCs w:val="16"/>
        </w:rPr>
      </w:pPr>
      <w:r w:rsidRPr="008A7BD7">
        <w:rPr>
          <w:rStyle w:val="FootnoteReference"/>
          <w:rFonts w:ascii="Cambria" w:hAnsi="Cambria" w:cstheme="majorHAnsi"/>
          <w:sz w:val="16"/>
          <w:szCs w:val="16"/>
          <w:lang w:val="es-419"/>
        </w:rPr>
        <w:footnoteRef/>
      </w:r>
      <w:r w:rsidRPr="008A7BD7">
        <w:rPr>
          <w:rFonts w:ascii="Cambria" w:hAnsi="Cambria" w:cstheme="majorHAnsi"/>
          <w:sz w:val="16"/>
          <w:szCs w:val="16"/>
        </w:rPr>
        <w:t xml:space="preserve"> </w:t>
      </w:r>
      <w:r w:rsidR="005D061D" w:rsidRPr="008A7BD7">
        <w:rPr>
          <w:rFonts w:ascii="Cambria" w:hAnsi="Cambria" w:cstheme="majorHAnsi"/>
          <w:sz w:val="16"/>
          <w:szCs w:val="16"/>
        </w:rPr>
        <w:t xml:space="preserve">IACHR, Office of the Special Rapporteur for Freedom of Expression, October 29, 2021, Press Release 286, </w:t>
      </w:r>
      <w:hyperlink r:id="rId191" w:history="1">
        <w:r w:rsidR="005D061D" w:rsidRPr="008A7BD7">
          <w:rPr>
            <w:rStyle w:val="Hyperlink"/>
            <w:rFonts w:ascii="Cambria" w:hAnsi="Cambria" w:cstheme="majorHAnsi"/>
            <w:sz w:val="16"/>
            <w:szCs w:val="16"/>
          </w:rPr>
          <w:t>The Office of the Special Rapporteur calls on the State of Guatemala to respect and guarantee the work of journalists in accordance with international human rights standards</w:t>
        </w:r>
      </w:hyperlink>
      <w:r w:rsidR="005D061D" w:rsidRPr="008A7BD7">
        <w:rPr>
          <w:rFonts w:ascii="Cambria" w:hAnsi="Cambria" w:cstheme="majorHAnsi"/>
          <w:sz w:val="16"/>
          <w:szCs w:val="16"/>
        </w:rPr>
        <w:t>.</w:t>
      </w:r>
    </w:p>
  </w:footnote>
  <w:footnote w:id="179">
    <w:p w14:paraId="569A0584" w14:textId="74BEBA9F" w:rsidR="009C4A37" w:rsidRPr="008A7BD7" w:rsidRDefault="009C4A3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C1774F" w:rsidRPr="008A7BD7">
        <w:rPr>
          <w:rFonts w:ascii="Cambria" w:eastAsia="Cambria" w:hAnsi="Cambria" w:cstheme="majorHAnsi"/>
          <w:sz w:val="16"/>
          <w:szCs w:val="16"/>
        </w:rPr>
        <w:t>Committee to Protect Journalists,</w:t>
      </w:r>
      <w:r w:rsidRPr="008A7BD7">
        <w:rPr>
          <w:rFonts w:ascii="Cambria" w:eastAsia="Cambria" w:hAnsi="Cambria" w:cstheme="majorHAnsi"/>
          <w:sz w:val="16"/>
          <w:szCs w:val="16"/>
        </w:rPr>
        <w:t xml:space="preserve"> </w:t>
      </w:r>
      <w:r w:rsidR="00C1774F" w:rsidRPr="008A7BD7">
        <w:rPr>
          <w:rFonts w:ascii="Cambria" w:eastAsia="Cambria" w:hAnsi="Cambria" w:cstheme="majorHAnsi"/>
          <w:sz w:val="16"/>
          <w:szCs w:val="16"/>
        </w:rPr>
        <w:t xml:space="preserve">September </w:t>
      </w:r>
      <w:r w:rsidRPr="008A7BD7">
        <w:rPr>
          <w:rFonts w:ascii="Cambria" w:eastAsia="Cambria" w:hAnsi="Cambria" w:cstheme="majorHAnsi"/>
          <w:sz w:val="16"/>
          <w:szCs w:val="16"/>
        </w:rPr>
        <w:t>10</w:t>
      </w:r>
      <w:r w:rsidR="00C1774F" w:rsidRPr="008A7BD7">
        <w:rPr>
          <w:rFonts w:ascii="Cambria" w:eastAsia="Cambria" w:hAnsi="Cambria" w:cstheme="majorHAnsi"/>
          <w:sz w:val="16"/>
          <w:szCs w:val="16"/>
        </w:rPr>
        <w:t xml:space="preserve">, </w:t>
      </w:r>
      <w:r w:rsidRPr="008A7BD7">
        <w:rPr>
          <w:rFonts w:ascii="Cambria" w:eastAsia="Cambria" w:hAnsi="Cambria" w:cstheme="majorHAnsi"/>
          <w:sz w:val="16"/>
          <w:szCs w:val="16"/>
        </w:rPr>
        <w:t>2021</w:t>
      </w:r>
      <w:r w:rsidR="00C1774F" w:rsidRPr="008A7BD7">
        <w:rPr>
          <w:rFonts w:ascii="Cambria" w:eastAsia="Cambria" w:hAnsi="Cambria" w:cstheme="majorHAnsi"/>
          <w:sz w:val="16"/>
          <w:szCs w:val="16"/>
        </w:rPr>
        <w:t xml:space="preserve">, </w:t>
      </w:r>
      <w:hyperlink r:id="rId192" w:anchor=":~:text=Miami%2C%20September%2010%2C%202021%20%E2%80%93,charges%20against%20journalist%20Anastasia%20Mej%C3%ADa.&amp;text=She%20was%20held%20in%20pretrial,house%20arrest%2C%20she%20told%20CPJ">
        <w:r w:rsidRPr="008A7BD7">
          <w:rPr>
            <w:rFonts w:ascii="Cambria" w:eastAsia="Cambria" w:hAnsi="Cambria" w:cstheme="majorHAnsi"/>
            <w:color w:val="1155CC"/>
            <w:sz w:val="16"/>
            <w:szCs w:val="16"/>
            <w:u w:val="single"/>
          </w:rPr>
          <w:t>CPJ welcomes decision to drop criminal charges against Guatemalan journalist Anastasia Mejía</w:t>
        </w:r>
      </w:hyperlink>
      <w:r w:rsidRPr="008A7BD7">
        <w:rPr>
          <w:rFonts w:ascii="Cambria" w:eastAsia="Cambria" w:hAnsi="Cambria" w:cstheme="majorHAnsi"/>
          <w:sz w:val="16"/>
          <w:szCs w:val="16"/>
        </w:rPr>
        <w:t xml:space="preserve">; </w:t>
      </w:r>
      <w:r w:rsidR="00C1774F" w:rsidRPr="008A7BD7">
        <w:rPr>
          <w:rFonts w:ascii="Cambria" w:eastAsia="Cambria" w:hAnsi="Cambria" w:cstheme="majorHAnsi"/>
          <w:sz w:val="16"/>
          <w:szCs w:val="16"/>
        </w:rPr>
        <w:t>International Federation for Human Rights, September 23,</w:t>
      </w:r>
      <w:r w:rsidRPr="008A7BD7">
        <w:rPr>
          <w:rFonts w:ascii="Cambria" w:eastAsia="Cambria" w:hAnsi="Cambria" w:cstheme="majorHAnsi"/>
          <w:sz w:val="16"/>
          <w:szCs w:val="16"/>
        </w:rPr>
        <w:t xml:space="preserve"> 2021</w:t>
      </w:r>
      <w:r w:rsidR="00C1774F" w:rsidRPr="008A7BD7">
        <w:rPr>
          <w:rFonts w:ascii="Cambria" w:eastAsia="Cambria" w:hAnsi="Cambria" w:cstheme="majorHAnsi"/>
          <w:sz w:val="16"/>
          <w:szCs w:val="16"/>
        </w:rPr>
        <w:t>,</w:t>
      </w:r>
      <w:r w:rsidRPr="008A7BD7">
        <w:rPr>
          <w:rFonts w:ascii="Cambria" w:eastAsia="Cambria" w:hAnsi="Cambria" w:cstheme="majorHAnsi"/>
          <w:sz w:val="16"/>
          <w:szCs w:val="16"/>
        </w:rPr>
        <w:t xml:space="preserve"> </w:t>
      </w:r>
      <w:hyperlink r:id="rId193">
        <w:r w:rsidRPr="008A7BD7">
          <w:rPr>
            <w:rFonts w:ascii="Cambria" w:eastAsia="Cambria" w:hAnsi="Cambria" w:cstheme="majorHAnsi"/>
            <w:i/>
            <w:iCs/>
            <w:color w:val="1155CC"/>
            <w:sz w:val="16"/>
            <w:szCs w:val="16"/>
            <w:u w:val="single"/>
          </w:rPr>
          <w:t xml:space="preserve">Guatemala: Fin de la </w:t>
        </w:r>
        <w:proofErr w:type="spellStart"/>
        <w:r w:rsidRPr="008A7BD7">
          <w:rPr>
            <w:rFonts w:ascii="Cambria" w:eastAsia="Cambria" w:hAnsi="Cambria" w:cstheme="majorHAnsi"/>
            <w:i/>
            <w:iCs/>
            <w:color w:val="1155CC"/>
            <w:sz w:val="16"/>
            <w:szCs w:val="16"/>
            <w:u w:val="single"/>
          </w:rPr>
          <w:t>criminalización</w:t>
        </w:r>
        <w:proofErr w:type="spellEnd"/>
        <w:r w:rsidRPr="008A7BD7">
          <w:rPr>
            <w:rFonts w:ascii="Cambria" w:eastAsia="Cambria" w:hAnsi="Cambria" w:cstheme="majorHAnsi"/>
            <w:i/>
            <w:iCs/>
            <w:color w:val="1155CC"/>
            <w:sz w:val="16"/>
            <w:szCs w:val="16"/>
            <w:u w:val="single"/>
          </w:rPr>
          <w:t xml:space="preserve"> de Anastasia Mejía </w:t>
        </w:r>
        <w:proofErr w:type="spellStart"/>
        <w:r w:rsidRPr="008A7BD7">
          <w:rPr>
            <w:rFonts w:ascii="Cambria" w:eastAsia="Cambria" w:hAnsi="Cambria" w:cstheme="majorHAnsi"/>
            <w:i/>
            <w:iCs/>
            <w:color w:val="1155CC"/>
            <w:sz w:val="16"/>
            <w:szCs w:val="16"/>
            <w:u w:val="single"/>
          </w:rPr>
          <w:t>Tiriquiz</w:t>
        </w:r>
        <w:proofErr w:type="spellEnd"/>
      </w:hyperlink>
      <w:r w:rsidRPr="008A7BD7">
        <w:rPr>
          <w:rFonts w:ascii="Cambria" w:eastAsia="Cambria" w:hAnsi="Cambria" w:cstheme="majorHAnsi"/>
          <w:sz w:val="16"/>
          <w:szCs w:val="16"/>
        </w:rPr>
        <w:t>.</w:t>
      </w:r>
    </w:p>
  </w:footnote>
  <w:footnote w:id="180">
    <w:p w14:paraId="6DD283F3" w14:textId="674CFD89" w:rsidR="009C4A37" w:rsidRPr="008A7BD7" w:rsidRDefault="009C4A37" w:rsidP="00746761">
      <w:pPr>
        <w:spacing w:after="120"/>
        <w:ind w:firstLine="720"/>
        <w:jc w:val="both"/>
        <w:rPr>
          <w:rFonts w:ascii="Cambria" w:eastAsia="Cambria" w:hAnsi="Cambria" w:cstheme="majorHAnsi"/>
          <w:sz w:val="16"/>
          <w:szCs w:val="16"/>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rPr>
        <w:t xml:space="preserve"> </w:t>
      </w:r>
      <w:r w:rsidR="00C1774F" w:rsidRPr="008A7BD7">
        <w:rPr>
          <w:rFonts w:ascii="Cambria" w:hAnsi="Cambria" w:cstheme="majorHAnsi"/>
          <w:sz w:val="16"/>
          <w:szCs w:val="16"/>
        </w:rPr>
        <w:t xml:space="preserve">IACHR, Office of the Special Rapporteur for Freedom of Expression, </w:t>
      </w:r>
      <w:hyperlink r:id="rId194" w:history="1">
        <w:r w:rsidR="00C1774F" w:rsidRPr="008A7BD7">
          <w:rPr>
            <w:rStyle w:val="Hyperlink"/>
            <w:rFonts w:ascii="Cambria" w:hAnsi="Cambria" w:cstheme="majorHAnsi"/>
            <w:sz w:val="16"/>
            <w:szCs w:val="16"/>
          </w:rPr>
          <w:t>Annual Report 2020</w:t>
        </w:r>
      </w:hyperlink>
      <w:r w:rsidR="00C1774F" w:rsidRPr="008A7BD7">
        <w:rPr>
          <w:rFonts w:ascii="Cambria" w:hAnsi="Cambria" w:cstheme="majorHAnsi"/>
          <w:sz w:val="16"/>
          <w:szCs w:val="16"/>
        </w:rPr>
        <w:t xml:space="preserve">, </w:t>
      </w:r>
      <w:r w:rsidRPr="008A7BD7">
        <w:rPr>
          <w:rFonts w:ascii="Cambria" w:eastAsia="Cambria" w:hAnsi="Cambria" w:cstheme="majorHAnsi"/>
          <w:sz w:val="16"/>
          <w:szCs w:val="16"/>
        </w:rPr>
        <w:t>OEA/</w:t>
      </w:r>
      <w:proofErr w:type="spellStart"/>
      <w:r w:rsidRPr="008A7BD7">
        <w:rPr>
          <w:rFonts w:ascii="Cambria" w:eastAsia="Cambria" w:hAnsi="Cambria" w:cstheme="majorHAnsi"/>
          <w:sz w:val="16"/>
          <w:szCs w:val="16"/>
        </w:rPr>
        <w:t>Ser.L</w:t>
      </w:r>
      <w:proofErr w:type="spellEnd"/>
      <w:r w:rsidRPr="008A7BD7">
        <w:rPr>
          <w:rFonts w:ascii="Cambria" w:eastAsia="Cambria" w:hAnsi="Cambria" w:cstheme="majorHAnsi"/>
          <w:sz w:val="16"/>
          <w:szCs w:val="16"/>
        </w:rPr>
        <w:t>/V/II Doc. 28</w:t>
      </w:r>
      <w:r w:rsidR="00C1774F" w:rsidRPr="008A7BD7">
        <w:rPr>
          <w:rFonts w:ascii="Cambria" w:eastAsia="Cambria" w:hAnsi="Cambria" w:cstheme="majorHAnsi"/>
          <w:sz w:val="16"/>
          <w:szCs w:val="16"/>
        </w:rPr>
        <w:t>, March</w:t>
      </w:r>
      <w:r w:rsidRPr="008A7BD7">
        <w:rPr>
          <w:rFonts w:ascii="Cambria" w:eastAsia="Cambria" w:hAnsi="Cambria" w:cstheme="majorHAnsi"/>
          <w:sz w:val="16"/>
          <w:szCs w:val="16"/>
        </w:rPr>
        <w:t xml:space="preserve"> 30</w:t>
      </w:r>
      <w:r w:rsidR="00C1774F" w:rsidRPr="008A7BD7">
        <w:rPr>
          <w:rFonts w:ascii="Cambria" w:eastAsia="Cambria" w:hAnsi="Cambria" w:cstheme="majorHAnsi"/>
          <w:sz w:val="16"/>
          <w:szCs w:val="16"/>
        </w:rPr>
        <w:t xml:space="preserve">, </w:t>
      </w:r>
      <w:r w:rsidRPr="008A7BD7">
        <w:rPr>
          <w:rFonts w:ascii="Cambria" w:eastAsia="Cambria" w:hAnsi="Cambria" w:cstheme="majorHAnsi"/>
          <w:sz w:val="16"/>
          <w:szCs w:val="16"/>
        </w:rPr>
        <w:t>2021</w:t>
      </w:r>
      <w:r w:rsidR="00C1774F" w:rsidRPr="008A7BD7">
        <w:rPr>
          <w:rFonts w:ascii="Cambria" w:eastAsia="Cambria" w:hAnsi="Cambria" w:cstheme="majorHAnsi"/>
          <w:sz w:val="16"/>
          <w:szCs w:val="16"/>
        </w:rPr>
        <w:t>, par.</w:t>
      </w:r>
      <w:r w:rsidRPr="008A7BD7">
        <w:rPr>
          <w:rFonts w:ascii="Cambria" w:eastAsia="Cambria" w:hAnsi="Cambria" w:cstheme="majorHAnsi"/>
          <w:sz w:val="16"/>
          <w:szCs w:val="16"/>
        </w:rPr>
        <w:t xml:space="preserve"> 745.</w:t>
      </w:r>
    </w:p>
  </w:footnote>
  <w:footnote w:id="181">
    <w:p w14:paraId="401CE9CD" w14:textId="671B014B" w:rsidR="009C4A37" w:rsidRPr="008A7BD7" w:rsidRDefault="009C4A37" w:rsidP="00746761">
      <w:pPr>
        <w:spacing w:after="120"/>
        <w:ind w:firstLine="720"/>
        <w:jc w:val="both"/>
        <w:rPr>
          <w:rFonts w:ascii="Cambria" w:eastAsia="Cambria" w:hAnsi="Cambria" w:cstheme="majorHAnsi"/>
          <w:sz w:val="16"/>
          <w:szCs w:val="16"/>
          <w:lang w:val="es-419"/>
        </w:rPr>
      </w:pPr>
      <w:r w:rsidRPr="008A7BD7">
        <w:rPr>
          <w:rFonts w:ascii="Cambria" w:hAnsi="Cambria" w:cstheme="majorHAnsi"/>
          <w:sz w:val="16"/>
          <w:szCs w:val="16"/>
          <w:vertAlign w:val="superscript"/>
          <w:lang w:val="es-419"/>
        </w:rPr>
        <w:footnoteRef/>
      </w:r>
      <w:r w:rsidRPr="008A7BD7">
        <w:rPr>
          <w:rFonts w:ascii="Cambria" w:hAnsi="Cambria" w:cstheme="majorHAnsi"/>
          <w:sz w:val="16"/>
          <w:szCs w:val="16"/>
          <w:lang w:val="es-419"/>
        </w:rPr>
        <w:t xml:space="preserve"> </w:t>
      </w:r>
      <w:r w:rsidRPr="008A7BD7">
        <w:rPr>
          <w:rFonts w:ascii="Cambria" w:eastAsia="Cambria" w:hAnsi="Cambria" w:cstheme="majorHAnsi"/>
          <w:i/>
          <w:iCs/>
          <w:sz w:val="16"/>
          <w:szCs w:val="16"/>
          <w:lang w:val="es-419"/>
        </w:rPr>
        <w:t>Prensa Libre</w:t>
      </w:r>
      <w:r w:rsidR="00C92C65" w:rsidRPr="008A7BD7">
        <w:rPr>
          <w:rFonts w:ascii="Cambria" w:eastAsia="Cambria" w:hAnsi="Cambria" w:cstheme="majorHAnsi"/>
          <w:sz w:val="16"/>
          <w:szCs w:val="16"/>
          <w:lang w:val="es-419"/>
        </w:rPr>
        <w:t xml:space="preserve">, </w:t>
      </w:r>
      <w:proofErr w:type="spellStart"/>
      <w:r w:rsidR="00C92C65" w:rsidRPr="008A7BD7">
        <w:rPr>
          <w:rFonts w:ascii="Cambria" w:eastAsia="Cambria" w:hAnsi="Cambria" w:cstheme="majorHAnsi"/>
          <w:sz w:val="16"/>
          <w:szCs w:val="16"/>
          <w:lang w:val="es-419"/>
        </w:rPr>
        <w:t>February</w:t>
      </w:r>
      <w:proofErr w:type="spellEnd"/>
      <w:r w:rsidRPr="008A7BD7">
        <w:rPr>
          <w:rFonts w:ascii="Cambria" w:eastAsia="Cambria" w:hAnsi="Cambria" w:cstheme="majorHAnsi"/>
          <w:sz w:val="16"/>
          <w:szCs w:val="16"/>
          <w:lang w:val="es-419"/>
        </w:rPr>
        <w:t xml:space="preserve"> 15</w:t>
      </w:r>
      <w:r w:rsidR="00C92C65"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95">
        <w:r w:rsidRPr="008A7BD7">
          <w:rPr>
            <w:rFonts w:ascii="Cambria" w:eastAsia="Cambria" w:hAnsi="Cambria" w:cstheme="majorHAnsi"/>
            <w:i/>
            <w:iCs/>
            <w:color w:val="1155CC"/>
            <w:sz w:val="16"/>
            <w:szCs w:val="16"/>
            <w:u w:val="single"/>
            <w:lang w:val="es-419"/>
          </w:rPr>
          <w:t>“Tengo miedo”, la campaña contra la violencia hacia las mujeres y que el MP critica</w:t>
        </w:r>
      </w:hyperlink>
      <w:r w:rsidRPr="008A7BD7">
        <w:rPr>
          <w:rFonts w:ascii="Cambria" w:eastAsia="Cambria" w:hAnsi="Cambria" w:cstheme="majorHAnsi"/>
          <w:sz w:val="16"/>
          <w:szCs w:val="16"/>
          <w:lang w:val="es-419"/>
        </w:rPr>
        <w:t xml:space="preserve">; </w:t>
      </w:r>
      <w:r w:rsidRPr="008A7BD7">
        <w:rPr>
          <w:rFonts w:ascii="Cambria" w:eastAsia="Cambria" w:hAnsi="Cambria" w:cstheme="majorHAnsi"/>
          <w:i/>
          <w:iCs/>
          <w:sz w:val="16"/>
          <w:szCs w:val="16"/>
          <w:lang w:val="es-419"/>
        </w:rPr>
        <w:t>El Pa</w:t>
      </w:r>
      <w:r w:rsidR="00C92C65" w:rsidRPr="008A7BD7">
        <w:rPr>
          <w:rFonts w:ascii="Cambria" w:eastAsia="Cambria" w:hAnsi="Cambria" w:cstheme="majorHAnsi"/>
          <w:i/>
          <w:iCs/>
          <w:sz w:val="16"/>
          <w:szCs w:val="16"/>
          <w:lang w:val="es-419"/>
        </w:rPr>
        <w:t>í</w:t>
      </w:r>
      <w:r w:rsidRPr="008A7BD7">
        <w:rPr>
          <w:rFonts w:ascii="Cambria" w:eastAsia="Cambria" w:hAnsi="Cambria" w:cstheme="majorHAnsi"/>
          <w:i/>
          <w:iCs/>
          <w:sz w:val="16"/>
          <w:szCs w:val="16"/>
          <w:lang w:val="es-419"/>
        </w:rPr>
        <w:t>s</w:t>
      </w:r>
      <w:r w:rsidR="00C92C65"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r w:rsidR="00C92C65" w:rsidRPr="008A7BD7">
        <w:rPr>
          <w:rFonts w:ascii="Cambria" w:eastAsia="Cambria" w:hAnsi="Cambria" w:cstheme="majorHAnsi"/>
          <w:sz w:val="16"/>
          <w:szCs w:val="16"/>
          <w:lang w:val="es-419"/>
        </w:rPr>
        <w:t xml:space="preserve">April </w:t>
      </w:r>
      <w:r w:rsidRPr="008A7BD7">
        <w:rPr>
          <w:rFonts w:ascii="Cambria" w:eastAsia="Cambria" w:hAnsi="Cambria" w:cstheme="majorHAnsi"/>
          <w:sz w:val="16"/>
          <w:szCs w:val="16"/>
          <w:lang w:val="es-419"/>
        </w:rPr>
        <w:t>28</w:t>
      </w:r>
      <w:r w:rsidR="00C92C65"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C92C65"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96">
        <w:r w:rsidRPr="008A7BD7">
          <w:rPr>
            <w:rFonts w:ascii="Cambria" w:eastAsia="Cambria" w:hAnsi="Cambria" w:cstheme="majorHAnsi"/>
            <w:i/>
            <w:iCs/>
            <w:color w:val="1155CC"/>
            <w:sz w:val="16"/>
            <w:szCs w:val="16"/>
            <w:u w:val="single"/>
            <w:lang w:val="es-419"/>
          </w:rPr>
          <w:t>#TengoMiedo, el grito contra los asesinatos y desapariciones de mujeres y niñas en Guatemala</w:t>
        </w:r>
      </w:hyperlink>
      <w:r w:rsidRPr="008A7BD7">
        <w:rPr>
          <w:rFonts w:ascii="Cambria" w:eastAsia="Cambria" w:hAnsi="Cambria" w:cstheme="majorHAnsi"/>
          <w:sz w:val="16"/>
          <w:szCs w:val="16"/>
          <w:lang w:val="es-419"/>
        </w:rPr>
        <w:t xml:space="preserve">; </w:t>
      </w:r>
      <w:r w:rsidR="00C92C65" w:rsidRPr="008A7BD7">
        <w:rPr>
          <w:rFonts w:ascii="Cambria" w:eastAsia="Cambria" w:hAnsi="Cambria" w:cstheme="majorHAnsi"/>
          <w:i/>
          <w:iCs/>
          <w:sz w:val="16"/>
          <w:szCs w:val="16"/>
          <w:lang w:val="es-419"/>
        </w:rPr>
        <w:t>L</w:t>
      </w:r>
      <w:r w:rsidRPr="008A7BD7">
        <w:rPr>
          <w:rFonts w:ascii="Cambria" w:eastAsia="Cambria" w:hAnsi="Cambria" w:cstheme="majorHAnsi"/>
          <w:i/>
          <w:iCs/>
          <w:sz w:val="16"/>
          <w:szCs w:val="16"/>
          <w:lang w:val="es-419"/>
        </w:rPr>
        <w:t>a Hora</w:t>
      </w:r>
      <w:r w:rsidR="00C92C65" w:rsidRPr="008A7BD7">
        <w:rPr>
          <w:rFonts w:ascii="Cambria" w:eastAsia="Cambria" w:hAnsi="Cambria" w:cstheme="majorHAnsi"/>
          <w:sz w:val="16"/>
          <w:szCs w:val="16"/>
          <w:lang w:val="es-419"/>
        </w:rPr>
        <w:t xml:space="preserve">, </w:t>
      </w:r>
      <w:proofErr w:type="spellStart"/>
      <w:r w:rsidR="00C92C65" w:rsidRPr="008A7BD7">
        <w:rPr>
          <w:rFonts w:ascii="Cambria" w:eastAsia="Cambria" w:hAnsi="Cambria" w:cstheme="majorHAnsi"/>
          <w:sz w:val="16"/>
          <w:szCs w:val="16"/>
          <w:lang w:val="es-419"/>
        </w:rPr>
        <w:t>February</w:t>
      </w:r>
      <w:proofErr w:type="spellEnd"/>
      <w:r w:rsidRPr="008A7BD7">
        <w:rPr>
          <w:rFonts w:ascii="Cambria" w:eastAsia="Cambria" w:hAnsi="Cambria" w:cstheme="majorHAnsi"/>
          <w:sz w:val="16"/>
          <w:szCs w:val="16"/>
          <w:lang w:val="es-419"/>
        </w:rPr>
        <w:t xml:space="preserve"> 15</w:t>
      </w:r>
      <w:r w:rsidR="00C92C65" w:rsidRPr="008A7BD7">
        <w:rPr>
          <w:rFonts w:ascii="Cambria" w:eastAsia="Cambria" w:hAnsi="Cambria" w:cstheme="majorHAnsi"/>
          <w:sz w:val="16"/>
          <w:szCs w:val="16"/>
          <w:lang w:val="es-419"/>
        </w:rPr>
        <w:t xml:space="preserve">, </w:t>
      </w:r>
      <w:r w:rsidRPr="008A7BD7">
        <w:rPr>
          <w:rFonts w:ascii="Cambria" w:eastAsia="Cambria" w:hAnsi="Cambria" w:cstheme="majorHAnsi"/>
          <w:sz w:val="16"/>
          <w:szCs w:val="16"/>
          <w:lang w:val="es-419"/>
        </w:rPr>
        <w:t>2021</w:t>
      </w:r>
      <w:r w:rsidR="00C92C65" w:rsidRPr="008A7BD7">
        <w:rPr>
          <w:rFonts w:ascii="Cambria" w:eastAsia="Cambria" w:hAnsi="Cambria" w:cstheme="majorHAnsi"/>
          <w:sz w:val="16"/>
          <w:szCs w:val="16"/>
          <w:lang w:val="es-419"/>
        </w:rPr>
        <w:t>,</w:t>
      </w:r>
      <w:r w:rsidRPr="008A7BD7">
        <w:rPr>
          <w:rFonts w:ascii="Cambria" w:eastAsia="Cambria" w:hAnsi="Cambria" w:cstheme="majorHAnsi"/>
          <w:sz w:val="16"/>
          <w:szCs w:val="16"/>
          <w:lang w:val="es-419"/>
        </w:rPr>
        <w:t xml:space="preserve"> </w:t>
      </w:r>
      <w:hyperlink r:id="rId197">
        <w:r w:rsidRPr="008A7BD7">
          <w:rPr>
            <w:rFonts w:ascii="Cambria" w:eastAsia="Cambria" w:hAnsi="Cambria" w:cstheme="majorHAnsi"/>
            <w:i/>
            <w:iCs/>
            <w:color w:val="1155CC"/>
            <w:sz w:val="16"/>
            <w:szCs w:val="16"/>
            <w:u w:val="single"/>
            <w:lang w:val="es-419"/>
          </w:rPr>
          <w:t>Campaña “#</w:t>
        </w:r>
        <w:proofErr w:type="spellStart"/>
        <w:r w:rsidRPr="008A7BD7">
          <w:rPr>
            <w:rFonts w:ascii="Cambria" w:eastAsia="Cambria" w:hAnsi="Cambria" w:cstheme="majorHAnsi"/>
            <w:i/>
            <w:iCs/>
            <w:color w:val="1155CC"/>
            <w:sz w:val="16"/>
            <w:szCs w:val="16"/>
            <w:u w:val="single"/>
            <w:lang w:val="es-419"/>
          </w:rPr>
          <w:t>TengoMiedo</w:t>
        </w:r>
        <w:proofErr w:type="spellEnd"/>
        <w:r w:rsidRPr="008A7BD7">
          <w:rPr>
            <w:rFonts w:ascii="Cambria" w:eastAsia="Cambria" w:hAnsi="Cambria" w:cstheme="majorHAnsi"/>
            <w:i/>
            <w:iCs/>
            <w:color w:val="1155CC"/>
            <w:sz w:val="16"/>
            <w:szCs w:val="16"/>
            <w:u w:val="single"/>
            <w:lang w:val="es-419"/>
          </w:rPr>
          <w:t>” busca hacer conciencia sobre la violencia contra las niñas y mujeres en GT</w:t>
        </w:r>
      </w:hyperlink>
      <w:r w:rsidR="00C92C65" w:rsidRPr="008A7BD7">
        <w:rPr>
          <w:rFonts w:ascii="Cambria" w:eastAsia="Cambria" w:hAnsi="Cambria" w:cstheme="majorHAnsi"/>
          <w:sz w:val="16"/>
          <w:szCs w:val="16"/>
          <w:lang w:val="es-419"/>
        </w:rPr>
        <w:t>.</w:t>
      </w:r>
    </w:p>
  </w:footnote>
  <w:footnote w:id="182">
    <w:p w14:paraId="3042464C" w14:textId="7647413E" w:rsidR="009C4A37" w:rsidRPr="008A7BD7" w:rsidRDefault="009C4A37" w:rsidP="00746761">
      <w:pPr>
        <w:spacing w:after="120"/>
        <w:ind w:firstLine="720"/>
        <w:jc w:val="both"/>
        <w:rPr>
          <w:rFonts w:ascii="Cambria" w:eastAsia="Cambria" w:hAnsi="Cambria" w:cs="Cambria"/>
          <w:sz w:val="16"/>
          <w:szCs w:val="16"/>
          <w:lang w:val="es-US"/>
        </w:rPr>
      </w:pPr>
      <w:r w:rsidRPr="008A7BD7">
        <w:rPr>
          <w:rFonts w:ascii="Cambria" w:hAnsi="Cambria" w:cstheme="majorHAnsi"/>
          <w:sz w:val="16"/>
          <w:szCs w:val="16"/>
          <w:vertAlign w:val="superscript"/>
          <w:lang w:val="es-419"/>
        </w:rPr>
        <w:footnoteRef/>
      </w:r>
      <w:r w:rsidRPr="008A7BD7">
        <w:rPr>
          <w:rFonts w:ascii="Cambria" w:eastAsia="Cambria" w:hAnsi="Cambria" w:cstheme="majorHAnsi"/>
          <w:sz w:val="16"/>
          <w:szCs w:val="16"/>
          <w:lang w:val="es-CO"/>
        </w:rPr>
        <w:t xml:space="preserve"> </w:t>
      </w:r>
      <w:r w:rsidR="00576244" w:rsidRPr="008A7BD7">
        <w:rPr>
          <w:rFonts w:ascii="Cambria" w:eastAsia="Cambria" w:hAnsi="Cambria" w:cstheme="majorHAnsi"/>
          <w:sz w:val="16"/>
          <w:szCs w:val="16"/>
          <w:lang w:val="es-CO"/>
        </w:rPr>
        <w:t xml:space="preserve">Office of </w:t>
      </w:r>
      <w:proofErr w:type="spellStart"/>
      <w:r w:rsidR="00576244" w:rsidRPr="008A7BD7">
        <w:rPr>
          <w:rFonts w:ascii="Cambria" w:eastAsia="Cambria" w:hAnsi="Cambria" w:cstheme="majorHAnsi"/>
          <w:sz w:val="16"/>
          <w:szCs w:val="16"/>
          <w:lang w:val="es-CO"/>
        </w:rPr>
        <w:t>the</w:t>
      </w:r>
      <w:proofErr w:type="spellEnd"/>
      <w:r w:rsidR="00576244" w:rsidRPr="008A7BD7">
        <w:rPr>
          <w:rFonts w:ascii="Cambria" w:eastAsia="Cambria" w:hAnsi="Cambria" w:cstheme="majorHAnsi"/>
          <w:sz w:val="16"/>
          <w:szCs w:val="16"/>
          <w:lang w:val="es-CO"/>
        </w:rPr>
        <w:t xml:space="preserve"> Human </w:t>
      </w:r>
      <w:proofErr w:type="spellStart"/>
      <w:r w:rsidR="00576244" w:rsidRPr="008A7BD7">
        <w:rPr>
          <w:rFonts w:ascii="Cambria" w:eastAsia="Cambria" w:hAnsi="Cambria" w:cstheme="majorHAnsi"/>
          <w:sz w:val="16"/>
          <w:szCs w:val="16"/>
          <w:lang w:val="es-CO"/>
        </w:rPr>
        <w:t>Rights</w:t>
      </w:r>
      <w:proofErr w:type="spellEnd"/>
      <w:r w:rsidR="00576244" w:rsidRPr="008A7BD7">
        <w:rPr>
          <w:rFonts w:ascii="Cambria" w:eastAsia="Cambria" w:hAnsi="Cambria" w:cstheme="majorHAnsi"/>
          <w:sz w:val="16"/>
          <w:szCs w:val="16"/>
          <w:lang w:val="es-CO"/>
        </w:rPr>
        <w:t xml:space="preserve"> Ombudsman of Guatemala, March</w:t>
      </w:r>
      <w:r w:rsidRPr="008A7BD7">
        <w:rPr>
          <w:rFonts w:ascii="Cambria" w:eastAsia="Cambria" w:hAnsi="Cambria" w:cstheme="majorHAnsi"/>
          <w:sz w:val="16"/>
          <w:szCs w:val="16"/>
          <w:lang w:val="es-CO"/>
        </w:rPr>
        <w:t xml:space="preserve"> 24</w:t>
      </w:r>
      <w:r w:rsidR="00576244" w:rsidRPr="008A7BD7">
        <w:rPr>
          <w:rFonts w:ascii="Cambria" w:eastAsia="Cambria" w:hAnsi="Cambria" w:cstheme="majorHAnsi"/>
          <w:sz w:val="16"/>
          <w:szCs w:val="16"/>
          <w:lang w:val="es-CO"/>
        </w:rPr>
        <w:t xml:space="preserve">, </w:t>
      </w:r>
      <w:r w:rsidRPr="008A7BD7">
        <w:rPr>
          <w:rFonts w:ascii="Cambria" w:eastAsia="Cambria" w:hAnsi="Cambria" w:cstheme="majorHAnsi"/>
          <w:sz w:val="16"/>
          <w:szCs w:val="16"/>
          <w:lang w:val="es-CO"/>
        </w:rPr>
        <w:t>2021</w:t>
      </w:r>
      <w:r w:rsidR="00576244" w:rsidRPr="008A7BD7">
        <w:rPr>
          <w:rFonts w:ascii="Cambria" w:eastAsia="Cambria" w:hAnsi="Cambria" w:cstheme="majorHAnsi"/>
          <w:sz w:val="16"/>
          <w:szCs w:val="16"/>
          <w:lang w:val="es-CO"/>
        </w:rPr>
        <w:t>,</w:t>
      </w:r>
      <w:r w:rsidRPr="008A7BD7">
        <w:rPr>
          <w:rFonts w:ascii="Cambria" w:eastAsia="Cambria" w:hAnsi="Cambria" w:cstheme="majorHAnsi"/>
          <w:sz w:val="16"/>
          <w:szCs w:val="16"/>
          <w:lang w:val="es-CO"/>
        </w:rPr>
        <w:t xml:space="preserve"> </w:t>
      </w:r>
      <w:hyperlink r:id="rId198">
        <w:r w:rsidRPr="008A7BD7">
          <w:rPr>
            <w:rFonts w:ascii="Cambria" w:eastAsia="Cambria" w:hAnsi="Cambria" w:cstheme="majorHAnsi"/>
            <w:color w:val="1155CC"/>
            <w:sz w:val="16"/>
            <w:szCs w:val="16"/>
            <w:u w:val="single"/>
            <w:lang w:val="es-419"/>
          </w:rPr>
          <w:t xml:space="preserve">39/21 </w:t>
        </w:r>
        <w:r w:rsidRPr="008A7BD7">
          <w:rPr>
            <w:rFonts w:ascii="Cambria" w:eastAsia="Cambria" w:hAnsi="Cambria" w:cstheme="majorHAnsi"/>
            <w:i/>
            <w:iCs/>
            <w:color w:val="1155CC"/>
            <w:sz w:val="16"/>
            <w:szCs w:val="16"/>
            <w:u w:val="single"/>
            <w:lang w:val="es-419"/>
          </w:rPr>
          <w:t>El Procurador de los Derechos Humanos, Jordán Rodas Andrade, recomienda a la ONSEC analizar con objetividad y considerando el marco normativo, la no renovación del contrato laboral de María Alejandra Morales Arana, sin más causa aparente que haber promovido la impactante campaña ciudadana #TengoMiedo, en relación a la violencia contra la mujer</w:t>
        </w:r>
      </w:hyperlink>
      <w:r w:rsidR="00576244" w:rsidRPr="008A7BD7">
        <w:rPr>
          <w:rFonts w:ascii="Cambria" w:eastAsia="Cambria" w:hAnsi="Cambria" w:cs="Cambria"/>
          <w:sz w:val="16"/>
          <w:szCs w:val="16"/>
          <w:lang w:val="es-US"/>
        </w:rPr>
        <w:t>.</w:t>
      </w:r>
    </w:p>
  </w:footnote>
  <w:footnote w:id="183">
    <w:p w14:paraId="4758C692" w14:textId="6203AC31" w:rsidR="00E0555A" w:rsidRPr="008A7BD7" w:rsidRDefault="00E0555A" w:rsidP="009A54C4">
      <w:pPr>
        <w:pStyle w:val="FootnoteText"/>
        <w:ind w:firstLine="720"/>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OXFAM</w:t>
      </w:r>
      <w:r w:rsidR="00DB5B27" w:rsidRPr="008A7BD7">
        <w:rPr>
          <w:rFonts w:ascii="Cambria" w:hAnsi="Cambria"/>
          <w:sz w:val="16"/>
          <w:szCs w:val="16"/>
          <w:lang w:val="es-US"/>
        </w:rPr>
        <w:t xml:space="preserve"> International</w:t>
      </w:r>
      <w:r w:rsidRPr="008A7BD7">
        <w:rPr>
          <w:rFonts w:ascii="Cambria" w:hAnsi="Cambria"/>
          <w:sz w:val="16"/>
          <w:szCs w:val="16"/>
          <w:lang w:val="es-US"/>
        </w:rPr>
        <w:t xml:space="preserve">, </w:t>
      </w:r>
      <w:hyperlink r:id="rId199" w:history="1">
        <w:r w:rsidRPr="008A7BD7">
          <w:rPr>
            <w:rStyle w:val="Hyperlink"/>
            <w:rFonts w:ascii="Cambria" w:hAnsi="Cambria"/>
            <w:i/>
            <w:iCs/>
            <w:sz w:val="16"/>
            <w:szCs w:val="16"/>
            <w:lang w:val="es-US"/>
          </w:rPr>
          <w:t xml:space="preserve">Entre el </w:t>
        </w:r>
        <w:r w:rsidR="009A54C4" w:rsidRPr="008A7BD7">
          <w:rPr>
            <w:rStyle w:val="Hyperlink"/>
            <w:rFonts w:ascii="Cambria" w:hAnsi="Cambria"/>
            <w:i/>
            <w:iCs/>
            <w:sz w:val="16"/>
            <w:szCs w:val="16"/>
            <w:lang w:val="es-US"/>
          </w:rPr>
          <w:t xml:space="preserve">suelo y el </w:t>
        </w:r>
        <w:r w:rsidRPr="008A7BD7">
          <w:rPr>
            <w:rStyle w:val="Hyperlink"/>
            <w:rFonts w:ascii="Cambria" w:hAnsi="Cambria"/>
            <w:i/>
            <w:iCs/>
            <w:sz w:val="16"/>
            <w:szCs w:val="16"/>
            <w:lang w:val="es-US"/>
          </w:rPr>
          <w:t xml:space="preserve">cielo, </w:t>
        </w:r>
        <w:r w:rsidR="009A54C4" w:rsidRPr="008A7BD7">
          <w:rPr>
            <w:rStyle w:val="Hyperlink"/>
            <w:rFonts w:ascii="Cambria" w:hAnsi="Cambria"/>
            <w:i/>
            <w:iCs/>
            <w:sz w:val="16"/>
            <w:szCs w:val="16"/>
            <w:lang w:val="es-US"/>
          </w:rPr>
          <w:t>R</w:t>
        </w:r>
        <w:r w:rsidRPr="008A7BD7">
          <w:rPr>
            <w:rStyle w:val="Hyperlink"/>
            <w:rFonts w:ascii="Cambria" w:hAnsi="Cambria"/>
            <w:i/>
            <w:iCs/>
            <w:sz w:val="16"/>
            <w:szCs w:val="16"/>
            <w:lang w:val="es-US"/>
          </w:rPr>
          <w:t>adiografía multidimensional de la desigualdad en Guatemala</w:t>
        </w:r>
      </w:hyperlink>
      <w:r w:rsidRPr="008A7BD7">
        <w:rPr>
          <w:rFonts w:ascii="Cambria" w:hAnsi="Cambria"/>
          <w:sz w:val="16"/>
          <w:szCs w:val="16"/>
          <w:lang w:val="es-US"/>
        </w:rPr>
        <w:t xml:space="preserve">, </w:t>
      </w:r>
      <w:r w:rsidR="009A54C4" w:rsidRPr="008A7BD7">
        <w:rPr>
          <w:rFonts w:ascii="Cambria" w:hAnsi="Cambria"/>
          <w:sz w:val="16"/>
          <w:szCs w:val="16"/>
          <w:lang w:val="es-US"/>
        </w:rPr>
        <w:t>March</w:t>
      </w:r>
      <w:r w:rsidRPr="008A7BD7">
        <w:rPr>
          <w:rFonts w:ascii="Cambria" w:hAnsi="Cambria"/>
          <w:sz w:val="16"/>
          <w:szCs w:val="16"/>
          <w:lang w:val="es-US"/>
        </w:rPr>
        <w:t xml:space="preserve"> 2019.</w:t>
      </w:r>
    </w:p>
    <w:p w14:paraId="3A2F50AE" w14:textId="77777777" w:rsidR="00576244" w:rsidRPr="008A7BD7" w:rsidRDefault="00576244" w:rsidP="009A54C4">
      <w:pPr>
        <w:pStyle w:val="FootnoteText"/>
        <w:ind w:firstLine="720"/>
        <w:rPr>
          <w:rFonts w:ascii="Cambria" w:hAnsi="Cambria"/>
          <w:sz w:val="16"/>
          <w:szCs w:val="16"/>
          <w:lang w:val="es-US"/>
        </w:rPr>
      </w:pPr>
    </w:p>
  </w:footnote>
  <w:footnote w:id="184">
    <w:p w14:paraId="33C69732" w14:textId="7F9F4453" w:rsidR="00E0555A" w:rsidRPr="008A7BD7" w:rsidRDefault="00E0555A" w:rsidP="00C92C65">
      <w:pPr>
        <w:pStyle w:val="FootnoteText"/>
        <w:ind w:firstLine="720"/>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rPr>
        <w:t xml:space="preserve"> </w:t>
      </w:r>
      <w:r w:rsidR="00F20B3C" w:rsidRPr="008A7BD7">
        <w:rPr>
          <w:rFonts w:ascii="Cambria" w:hAnsi="Cambria"/>
          <w:sz w:val="16"/>
          <w:szCs w:val="16"/>
        </w:rPr>
        <w:t xml:space="preserve">IACHR, </w:t>
      </w:r>
      <w:hyperlink r:id="rId200" w:history="1">
        <w:r w:rsidR="00F20B3C" w:rsidRPr="008A7BD7">
          <w:rPr>
            <w:rStyle w:val="Hyperlink"/>
            <w:rFonts w:ascii="Cambria" w:hAnsi="Cambria"/>
            <w:sz w:val="16"/>
            <w:szCs w:val="16"/>
          </w:rPr>
          <w:t xml:space="preserve">Situation of Human Rights in </w:t>
        </w:r>
        <w:r w:rsidRPr="008A7BD7">
          <w:rPr>
            <w:rStyle w:val="Hyperlink"/>
            <w:rFonts w:ascii="Cambria" w:hAnsi="Cambria"/>
            <w:sz w:val="16"/>
            <w:szCs w:val="16"/>
          </w:rPr>
          <w:t>Guatemala</w:t>
        </w:r>
      </w:hyperlink>
      <w:r w:rsidRPr="008A7BD7">
        <w:rPr>
          <w:rFonts w:ascii="Cambria" w:hAnsi="Cambria"/>
          <w:sz w:val="16"/>
          <w:szCs w:val="16"/>
        </w:rPr>
        <w:t>, 2017, OEA/</w:t>
      </w:r>
      <w:proofErr w:type="spellStart"/>
      <w:r w:rsidRPr="008A7BD7">
        <w:rPr>
          <w:rFonts w:ascii="Cambria" w:hAnsi="Cambria"/>
          <w:sz w:val="16"/>
          <w:szCs w:val="16"/>
        </w:rPr>
        <w:t>Ser.L</w:t>
      </w:r>
      <w:proofErr w:type="spellEnd"/>
      <w:r w:rsidRPr="008A7BD7">
        <w:rPr>
          <w:rFonts w:ascii="Cambria" w:hAnsi="Cambria"/>
          <w:sz w:val="16"/>
          <w:szCs w:val="16"/>
        </w:rPr>
        <w:t>/V/II. Doc. 208/17</w:t>
      </w:r>
      <w:r w:rsidR="00340B1D" w:rsidRPr="008A7BD7">
        <w:rPr>
          <w:rFonts w:ascii="Cambria" w:hAnsi="Cambria"/>
          <w:sz w:val="16"/>
          <w:szCs w:val="16"/>
        </w:rPr>
        <w:t xml:space="preserve">, December </w:t>
      </w:r>
      <w:r w:rsidRPr="008A7BD7">
        <w:rPr>
          <w:rFonts w:ascii="Cambria" w:hAnsi="Cambria"/>
          <w:sz w:val="16"/>
          <w:szCs w:val="16"/>
        </w:rPr>
        <w:t>31</w:t>
      </w:r>
      <w:r w:rsidR="00340B1D" w:rsidRPr="008A7BD7">
        <w:rPr>
          <w:rFonts w:ascii="Cambria" w:hAnsi="Cambria"/>
          <w:sz w:val="16"/>
          <w:szCs w:val="16"/>
        </w:rPr>
        <w:t xml:space="preserve">, </w:t>
      </w:r>
      <w:r w:rsidRPr="008A7BD7">
        <w:rPr>
          <w:rFonts w:ascii="Cambria" w:hAnsi="Cambria"/>
          <w:sz w:val="16"/>
          <w:szCs w:val="16"/>
        </w:rPr>
        <w:t xml:space="preserve">2017, </w:t>
      </w:r>
      <w:r w:rsidR="00340B1D" w:rsidRPr="008A7BD7">
        <w:rPr>
          <w:rFonts w:ascii="Cambria" w:hAnsi="Cambria"/>
          <w:sz w:val="16"/>
          <w:szCs w:val="16"/>
        </w:rPr>
        <w:t>paras.</w:t>
      </w:r>
      <w:r w:rsidRPr="008A7BD7">
        <w:rPr>
          <w:rFonts w:ascii="Cambria" w:hAnsi="Cambria"/>
          <w:sz w:val="16"/>
          <w:szCs w:val="16"/>
        </w:rPr>
        <w:t xml:space="preserve"> 39 </w:t>
      </w:r>
      <w:r w:rsidR="00340B1D" w:rsidRPr="008A7BD7">
        <w:rPr>
          <w:rFonts w:ascii="Cambria" w:hAnsi="Cambria"/>
          <w:sz w:val="16"/>
          <w:szCs w:val="16"/>
        </w:rPr>
        <w:t>and</w:t>
      </w:r>
      <w:r w:rsidRPr="008A7BD7">
        <w:rPr>
          <w:rFonts w:ascii="Cambria" w:hAnsi="Cambria"/>
          <w:sz w:val="16"/>
          <w:szCs w:val="16"/>
        </w:rPr>
        <w:t xml:space="preserve"> 49</w:t>
      </w:r>
      <w:r w:rsidR="00340B1D" w:rsidRPr="008A7BD7">
        <w:rPr>
          <w:rFonts w:ascii="Cambria" w:hAnsi="Cambria"/>
          <w:sz w:val="16"/>
          <w:szCs w:val="16"/>
        </w:rPr>
        <w:t>;</w:t>
      </w:r>
      <w:r w:rsidRPr="008A7BD7">
        <w:rPr>
          <w:rFonts w:ascii="Cambria" w:hAnsi="Cambria"/>
          <w:sz w:val="16"/>
          <w:szCs w:val="16"/>
        </w:rPr>
        <w:t xml:space="preserve"> </w:t>
      </w:r>
      <w:r w:rsidR="0076394C" w:rsidRPr="008A7BD7">
        <w:rPr>
          <w:rFonts w:ascii="Cambria" w:hAnsi="Cambria"/>
          <w:sz w:val="16"/>
          <w:szCs w:val="16"/>
        </w:rPr>
        <w:t>REDESCA</w:t>
      </w:r>
      <w:r w:rsidR="002D26B0" w:rsidRPr="008A7BD7">
        <w:rPr>
          <w:rFonts w:ascii="Cambria" w:hAnsi="Cambria"/>
          <w:sz w:val="16"/>
          <w:szCs w:val="16"/>
        </w:rPr>
        <w:t xml:space="preserve">, Annual Report </w:t>
      </w:r>
      <w:r w:rsidRPr="008A7BD7">
        <w:rPr>
          <w:rFonts w:ascii="Cambria" w:hAnsi="Cambria"/>
          <w:sz w:val="16"/>
          <w:szCs w:val="16"/>
        </w:rPr>
        <w:t>2021, Doc. OEA/SERL/V/II. Doc.</w:t>
      </w:r>
      <w:r w:rsidR="002D26B0" w:rsidRPr="008A7BD7">
        <w:rPr>
          <w:rFonts w:ascii="Cambria" w:hAnsi="Cambria"/>
          <w:sz w:val="16"/>
          <w:szCs w:val="16"/>
        </w:rPr>
        <w:t xml:space="preserve"> </w:t>
      </w:r>
      <w:r w:rsidRPr="008A7BD7">
        <w:rPr>
          <w:rFonts w:ascii="Cambria" w:hAnsi="Cambria"/>
          <w:sz w:val="16"/>
          <w:szCs w:val="16"/>
        </w:rPr>
        <w:t>28</w:t>
      </w:r>
      <w:r w:rsidR="00F152DB" w:rsidRPr="008A7BD7">
        <w:rPr>
          <w:rFonts w:ascii="Cambria" w:hAnsi="Cambria"/>
          <w:sz w:val="16"/>
          <w:szCs w:val="16"/>
        </w:rPr>
        <w:t xml:space="preserve">, March </w:t>
      </w:r>
      <w:r w:rsidRPr="008A7BD7">
        <w:rPr>
          <w:rFonts w:ascii="Cambria" w:hAnsi="Cambria"/>
          <w:sz w:val="16"/>
          <w:szCs w:val="16"/>
        </w:rPr>
        <w:t>30</w:t>
      </w:r>
      <w:r w:rsidR="00F152DB" w:rsidRPr="008A7BD7">
        <w:rPr>
          <w:rFonts w:ascii="Cambria" w:hAnsi="Cambria"/>
          <w:sz w:val="16"/>
          <w:szCs w:val="16"/>
        </w:rPr>
        <w:t xml:space="preserve">, </w:t>
      </w:r>
      <w:r w:rsidRPr="008A7BD7">
        <w:rPr>
          <w:rFonts w:ascii="Cambria" w:hAnsi="Cambria"/>
          <w:sz w:val="16"/>
          <w:szCs w:val="16"/>
        </w:rPr>
        <w:t xml:space="preserve">2021, </w:t>
      </w:r>
      <w:r w:rsidR="00F152DB" w:rsidRPr="008A7BD7">
        <w:rPr>
          <w:rFonts w:ascii="Cambria" w:hAnsi="Cambria"/>
          <w:sz w:val="16"/>
          <w:szCs w:val="16"/>
        </w:rPr>
        <w:t>para</w:t>
      </w:r>
      <w:r w:rsidRPr="008A7BD7">
        <w:rPr>
          <w:rFonts w:ascii="Cambria" w:hAnsi="Cambria"/>
          <w:sz w:val="16"/>
          <w:szCs w:val="16"/>
        </w:rPr>
        <w:t xml:space="preserve">s. </w:t>
      </w:r>
      <w:r w:rsidRPr="008A7BD7">
        <w:rPr>
          <w:rFonts w:ascii="Cambria" w:hAnsi="Cambria"/>
          <w:sz w:val="16"/>
          <w:szCs w:val="16"/>
          <w:lang w:val="es-US"/>
        </w:rPr>
        <w:t xml:space="preserve">605 </w:t>
      </w:r>
      <w:proofErr w:type="spellStart"/>
      <w:r w:rsidR="00F152DB" w:rsidRPr="008A7BD7">
        <w:rPr>
          <w:rFonts w:ascii="Cambria" w:hAnsi="Cambria"/>
          <w:sz w:val="16"/>
          <w:szCs w:val="16"/>
          <w:lang w:val="es-US"/>
        </w:rPr>
        <w:t>to</w:t>
      </w:r>
      <w:proofErr w:type="spellEnd"/>
      <w:r w:rsidRPr="008A7BD7">
        <w:rPr>
          <w:rFonts w:ascii="Cambria" w:hAnsi="Cambria"/>
          <w:sz w:val="16"/>
          <w:szCs w:val="16"/>
          <w:lang w:val="es-US"/>
        </w:rPr>
        <w:t xml:space="preserve"> 629</w:t>
      </w:r>
      <w:r w:rsidR="00F152DB" w:rsidRPr="008A7BD7">
        <w:rPr>
          <w:rFonts w:ascii="Cambria" w:hAnsi="Cambria"/>
          <w:sz w:val="16"/>
          <w:szCs w:val="16"/>
          <w:lang w:val="es-US"/>
        </w:rPr>
        <w:t>.</w:t>
      </w:r>
    </w:p>
    <w:p w14:paraId="7FC6BDB0" w14:textId="77777777" w:rsidR="00F152DB" w:rsidRPr="008A7BD7" w:rsidRDefault="00F152DB" w:rsidP="00C92C65">
      <w:pPr>
        <w:pStyle w:val="FootnoteText"/>
        <w:ind w:firstLine="720"/>
        <w:rPr>
          <w:rFonts w:ascii="Cambria" w:hAnsi="Cambria"/>
          <w:sz w:val="16"/>
          <w:szCs w:val="16"/>
          <w:lang w:val="es-US"/>
        </w:rPr>
      </w:pPr>
    </w:p>
  </w:footnote>
  <w:footnote w:id="185">
    <w:p w14:paraId="64A32FEE" w14:textId="7508AB1A" w:rsidR="00E0555A" w:rsidRPr="008A7BD7" w:rsidRDefault="00E0555A" w:rsidP="00F152DB">
      <w:pPr>
        <w:pStyle w:val="FootnoteText"/>
        <w:spacing w:after="120"/>
        <w:ind w:firstLine="720"/>
        <w:rPr>
          <w:rFonts w:ascii="Cambria" w:hAnsi="Cambria"/>
          <w:sz w:val="16"/>
          <w:szCs w:val="16"/>
          <w:lang w:val="es-419"/>
        </w:rPr>
      </w:pPr>
      <w:r w:rsidRPr="008A7BD7">
        <w:rPr>
          <w:rStyle w:val="FootnoteReference"/>
          <w:rFonts w:ascii="Cambria" w:eastAsia="Cambria" w:hAnsi="Cambria" w:cs="Cambria"/>
          <w:sz w:val="16"/>
          <w:szCs w:val="16"/>
        </w:rPr>
        <w:footnoteRef/>
      </w:r>
      <w:r w:rsidRPr="008A7BD7">
        <w:rPr>
          <w:rFonts w:ascii="Cambria" w:eastAsia="Cambria" w:hAnsi="Cambria" w:cs="Cambria"/>
          <w:sz w:val="16"/>
          <w:szCs w:val="16"/>
          <w:lang w:val="es-419"/>
        </w:rPr>
        <w:t xml:space="preserve"> </w:t>
      </w:r>
      <w:r w:rsidR="00F152DB" w:rsidRPr="008A7BD7">
        <w:rPr>
          <w:rFonts w:ascii="Cambria" w:eastAsia="Cambria" w:hAnsi="Cambria" w:cstheme="majorHAnsi"/>
          <w:sz w:val="16"/>
          <w:szCs w:val="16"/>
          <w:lang w:val="es-CO"/>
        </w:rPr>
        <w:t xml:space="preserve">Office of </w:t>
      </w:r>
      <w:proofErr w:type="spellStart"/>
      <w:r w:rsidR="00F152DB" w:rsidRPr="008A7BD7">
        <w:rPr>
          <w:rFonts w:ascii="Cambria" w:eastAsia="Cambria" w:hAnsi="Cambria" w:cstheme="majorHAnsi"/>
          <w:sz w:val="16"/>
          <w:szCs w:val="16"/>
          <w:lang w:val="es-CO"/>
        </w:rPr>
        <w:t>the</w:t>
      </w:r>
      <w:proofErr w:type="spellEnd"/>
      <w:r w:rsidR="00F152DB" w:rsidRPr="008A7BD7">
        <w:rPr>
          <w:rFonts w:ascii="Cambria" w:eastAsia="Cambria" w:hAnsi="Cambria" w:cstheme="majorHAnsi"/>
          <w:sz w:val="16"/>
          <w:szCs w:val="16"/>
          <w:lang w:val="es-CO"/>
        </w:rPr>
        <w:t xml:space="preserve"> Human </w:t>
      </w:r>
      <w:proofErr w:type="spellStart"/>
      <w:r w:rsidR="00F152DB" w:rsidRPr="008A7BD7">
        <w:rPr>
          <w:rFonts w:ascii="Cambria" w:eastAsia="Cambria" w:hAnsi="Cambria" w:cstheme="majorHAnsi"/>
          <w:sz w:val="16"/>
          <w:szCs w:val="16"/>
          <w:lang w:val="es-CO"/>
        </w:rPr>
        <w:t>Rights</w:t>
      </w:r>
      <w:proofErr w:type="spellEnd"/>
      <w:r w:rsidR="00F152DB" w:rsidRPr="008A7BD7">
        <w:rPr>
          <w:rFonts w:ascii="Cambria" w:eastAsia="Cambria" w:hAnsi="Cambria" w:cstheme="majorHAnsi"/>
          <w:sz w:val="16"/>
          <w:szCs w:val="16"/>
          <w:lang w:val="es-CO"/>
        </w:rPr>
        <w:t xml:space="preserve"> Ombudsman of Guatemala</w:t>
      </w:r>
      <w:r w:rsidRPr="008A7BD7">
        <w:rPr>
          <w:rFonts w:ascii="Cambria" w:eastAsia="Cambria" w:hAnsi="Cambria" w:cs="Cambria"/>
          <w:sz w:val="16"/>
          <w:szCs w:val="16"/>
          <w:lang w:val="es-419"/>
        </w:rPr>
        <w:t xml:space="preserve">, </w:t>
      </w:r>
      <w:r w:rsidR="00F152DB" w:rsidRPr="008A7BD7">
        <w:rPr>
          <w:rFonts w:ascii="Cambria" w:eastAsia="Cambria" w:hAnsi="Cambria" w:cs="Cambria"/>
          <w:i/>
          <w:iCs/>
          <w:sz w:val="16"/>
          <w:szCs w:val="16"/>
          <w:lang w:val="es-419"/>
        </w:rPr>
        <w:t xml:space="preserve">Información sobre irregularidades en el proceso de vacunación contra el COVID-19 en Guatemala, </w:t>
      </w:r>
      <w:proofErr w:type="spellStart"/>
      <w:r w:rsidR="00F152DB" w:rsidRPr="008A7BD7">
        <w:rPr>
          <w:rFonts w:ascii="Cambria" w:eastAsia="Cambria" w:hAnsi="Cambria" w:cs="Cambria"/>
          <w:sz w:val="16"/>
          <w:szCs w:val="16"/>
          <w:lang w:val="es-419"/>
        </w:rPr>
        <w:t>Document</w:t>
      </w:r>
      <w:proofErr w:type="spellEnd"/>
      <w:r w:rsidR="00F152DB" w:rsidRPr="008A7BD7">
        <w:rPr>
          <w:rFonts w:ascii="Cambria" w:eastAsia="Cambria" w:hAnsi="Cambria" w:cs="Cambria"/>
          <w:sz w:val="16"/>
          <w:szCs w:val="16"/>
          <w:lang w:val="es-419"/>
        </w:rPr>
        <w:t xml:space="preserve"> No. </w:t>
      </w:r>
      <w:r w:rsidR="00F152DB" w:rsidRPr="008A7BD7">
        <w:rPr>
          <w:rFonts w:ascii="Cambria" w:eastAsia="Cambria" w:hAnsi="Cambria" w:cs="Cambria"/>
          <w:sz w:val="16"/>
          <w:szCs w:val="16"/>
          <w:lang w:val="es-CO"/>
        </w:rPr>
        <w:t>DP-SMIP-46-23021-mvlg, August 3, 2021.</w:t>
      </w:r>
    </w:p>
  </w:footnote>
  <w:footnote w:id="186">
    <w:p w14:paraId="6372A456" w14:textId="0703BA95" w:rsidR="00E0555A" w:rsidRPr="008A7BD7" w:rsidRDefault="00E0555A" w:rsidP="00C92C65">
      <w:pPr>
        <w:spacing w:after="120"/>
        <w:ind w:firstLine="720"/>
        <w:jc w:val="both"/>
        <w:rPr>
          <w:rFonts w:ascii="Cambria" w:eastAsia="Cambria" w:hAnsi="Cambria" w:cs="Cambria"/>
          <w:sz w:val="16"/>
          <w:szCs w:val="16"/>
        </w:rPr>
      </w:pPr>
      <w:r w:rsidRPr="008A7BD7">
        <w:rPr>
          <w:rFonts w:ascii="Cambria" w:eastAsia="Cambria" w:hAnsi="Cambria" w:cs="Cambria"/>
          <w:sz w:val="16"/>
          <w:szCs w:val="16"/>
          <w:vertAlign w:val="superscript"/>
        </w:rPr>
        <w:footnoteRef/>
      </w:r>
      <w:r w:rsidRPr="008A7BD7">
        <w:rPr>
          <w:rFonts w:ascii="Cambria" w:eastAsia="Cambria" w:hAnsi="Cambria" w:cs="Cambria"/>
          <w:sz w:val="16"/>
          <w:szCs w:val="16"/>
          <w:lang w:val="es-419"/>
        </w:rPr>
        <w:t xml:space="preserve"> </w:t>
      </w:r>
      <w:r w:rsidR="00576244" w:rsidRPr="008A7BD7">
        <w:rPr>
          <w:rFonts w:ascii="Cambria" w:eastAsia="Cambria" w:hAnsi="Cambria" w:cstheme="majorHAnsi"/>
          <w:sz w:val="16"/>
          <w:szCs w:val="16"/>
          <w:lang w:val="es-CO"/>
        </w:rPr>
        <w:t xml:space="preserve">Office of </w:t>
      </w:r>
      <w:proofErr w:type="spellStart"/>
      <w:r w:rsidR="00576244" w:rsidRPr="008A7BD7">
        <w:rPr>
          <w:rFonts w:ascii="Cambria" w:eastAsia="Cambria" w:hAnsi="Cambria" w:cstheme="majorHAnsi"/>
          <w:sz w:val="16"/>
          <w:szCs w:val="16"/>
          <w:lang w:val="es-CO"/>
        </w:rPr>
        <w:t>the</w:t>
      </w:r>
      <w:proofErr w:type="spellEnd"/>
      <w:r w:rsidR="00576244" w:rsidRPr="008A7BD7">
        <w:rPr>
          <w:rFonts w:ascii="Cambria" w:eastAsia="Cambria" w:hAnsi="Cambria" w:cstheme="majorHAnsi"/>
          <w:sz w:val="16"/>
          <w:szCs w:val="16"/>
          <w:lang w:val="es-CO"/>
        </w:rPr>
        <w:t xml:space="preserve"> Human </w:t>
      </w:r>
      <w:proofErr w:type="spellStart"/>
      <w:r w:rsidR="00576244" w:rsidRPr="008A7BD7">
        <w:rPr>
          <w:rFonts w:ascii="Cambria" w:eastAsia="Cambria" w:hAnsi="Cambria" w:cstheme="majorHAnsi"/>
          <w:sz w:val="16"/>
          <w:szCs w:val="16"/>
          <w:lang w:val="es-CO"/>
        </w:rPr>
        <w:t>Rights</w:t>
      </w:r>
      <w:proofErr w:type="spellEnd"/>
      <w:r w:rsidR="00576244" w:rsidRPr="008A7BD7">
        <w:rPr>
          <w:rFonts w:ascii="Cambria" w:eastAsia="Cambria" w:hAnsi="Cambria" w:cstheme="majorHAnsi"/>
          <w:sz w:val="16"/>
          <w:szCs w:val="16"/>
          <w:lang w:val="es-CO"/>
        </w:rPr>
        <w:t xml:space="preserve"> Ombudsman of Guatemala,</w:t>
      </w:r>
      <w:r w:rsidRPr="008A7BD7">
        <w:rPr>
          <w:rFonts w:ascii="Cambria" w:eastAsia="Cambria" w:hAnsi="Cambria" w:cs="Cambria"/>
          <w:sz w:val="16"/>
          <w:szCs w:val="16"/>
          <w:lang w:val="es-419"/>
        </w:rPr>
        <w:t xml:space="preserve"> </w:t>
      </w:r>
      <w:r w:rsidRPr="008A7BD7">
        <w:rPr>
          <w:rFonts w:ascii="Cambria" w:eastAsia="Cambria" w:hAnsi="Cambria" w:cs="Cambria"/>
          <w:i/>
          <w:iCs/>
          <w:sz w:val="16"/>
          <w:szCs w:val="16"/>
          <w:lang w:val="es-419"/>
        </w:rPr>
        <w:t xml:space="preserve">Información sobre irregularidades en el proceso de vacunación contra el COVID-19 en Guatemala, </w:t>
      </w:r>
      <w:proofErr w:type="spellStart"/>
      <w:r w:rsidR="00576244" w:rsidRPr="008A7BD7">
        <w:rPr>
          <w:rFonts w:ascii="Cambria" w:eastAsia="Cambria" w:hAnsi="Cambria" w:cs="Cambria"/>
          <w:sz w:val="16"/>
          <w:szCs w:val="16"/>
          <w:lang w:val="es-419"/>
        </w:rPr>
        <w:t>Document</w:t>
      </w:r>
      <w:proofErr w:type="spellEnd"/>
      <w:r w:rsidRPr="008A7BD7">
        <w:rPr>
          <w:rFonts w:ascii="Cambria" w:eastAsia="Cambria" w:hAnsi="Cambria" w:cs="Cambria"/>
          <w:sz w:val="16"/>
          <w:szCs w:val="16"/>
          <w:lang w:val="es-419"/>
        </w:rPr>
        <w:t xml:space="preserve"> No. </w:t>
      </w:r>
      <w:r w:rsidRPr="008A7BD7">
        <w:rPr>
          <w:rFonts w:ascii="Cambria" w:eastAsia="Cambria" w:hAnsi="Cambria" w:cs="Cambria"/>
          <w:sz w:val="16"/>
          <w:szCs w:val="16"/>
        </w:rPr>
        <w:t xml:space="preserve">DP-SMIP-46-23021-mvlg, </w:t>
      </w:r>
      <w:r w:rsidR="00576244" w:rsidRPr="008A7BD7">
        <w:rPr>
          <w:rFonts w:ascii="Cambria" w:eastAsia="Cambria" w:hAnsi="Cambria" w:cs="Cambria"/>
          <w:sz w:val="16"/>
          <w:szCs w:val="16"/>
        </w:rPr>
        <w:t xml:space="preserve">August </w:t>
      </w:r>
      <w:r w:rsidRPr="008A7BD7">
        <w:rPr>
          <w:rFonts w:ascii="Cambria" w:eastAsia="Cambria" w:hAnsi="Cambria" w:cs="Cambria"/>
          <w:sz w:val="16"/>
          <w:szCs w:val="16"/>
        </w:rPr>
        <w:t>3</w:t>
      </w:r>
      <w:r w:rsidR="00576244" w:rsidRPr="008A7BD7">
        <w:rPr>
          <w:rFonts w:ascii="Cambria" w:eastAsia="Cambria" w:hAnsi="Cambria" w:cs="Cambria"/>
          <w:sz w:val="16"/>
          <w:szCs w:val="16"/>
        </w:rPr>
        <w:t xml:space="preserve">, </w:t>
      </w:r>
      <w:r w:rsidRPr="008A7BD7">
        <w:rPr>
          <w:rFonts w:ascii="Cambria" w:eastAsia="Cambria" w:hAnsi="Cambria" w:cs="Cambria"/>
          <w:sz w:val="16"/>
          <w:szCs w:val="16"/>
        </w:rPr>
        <w:t xml:space="preserve">2021; </w:t>
      </w:r>
      <w:r w:rsidR="00576244" w:rsidRPr="008A7BD7">
        <w:rPr>
          <w:rFonts w:ascii="Cambria" w:eastAsia="Cambria" w:hAnsi="Cambria" w:cstheme="majorHAnsi"/>
          <w:sz w:val="16"/>
          <w:szCs w:val="16"/>
        </w:rPr>
        <w:t>Office of the Human Rights Ombudsman of Guatemala,</w:t>
      </w:r>
      <w:r w:rsidRPr="008A7BD7">
        <w:rPr>
          <w:rFonts w:ascii="Cambria" w:eastAsia="Cambria" w:hAnsi="Cambria" w:cs="Cambria"/>
          <w:sz w:val="16"/>
          <w:szCs w:val="16"/>
        </w:rPr>
        <w:t xml:space="preserve"> </w:t>
      </w:r>
      <w:r w:rsidR="00576244" w:rsidRPr="008A7BD7">
        <w:rPr>
          <w:rFonts w:ascii="Cambria" w:eastAsia="Cambria" w:hAnsi="Cambria" w:cs="Cambria"/>
          <w:sz w:val="16"/>
          <w:szCs w:val="16"/>
        </w:rPr>
        <w:t>Resolution case file</w:t>
      </w:r>
      <w:r w:rsidRPr="008A7BD7">
        <w:rPr>
          <w:rFonts w:ascii="Cambria" w:eastAsia="Cambria" w:hAnsi="Cambria" w:cs="Cambria"/>
          <w:sz w:val="16"/>
          <w:szCs w:val="16"/>
        </w:rPr>
        <w:t xml:space="preserve"> REF.EXP.2610-2021 ACUM.REF.EXP.2966-2021</w:t>
      </w:r>
      <w:r w:rsidR="00576244" w:rsidRPr="008A7BD7">
        <w:rPr>
          <w:rFonts w:ascii="Cambria" w:eastAsia="Cambria" w:hAnsi="Cambria" w:cs="Cambria"/>
          <w:sz w:val="16"/>
          <w:szCs w:val="16"/>
        </w:rPr>
        <w:t>,</w:t>
      </w:r>
      <w:r w:rsidRPr="008A7BD7">
        <w:rPr>
          <w:rFonts w:ascii="Cambria" w:eastAsia="Cambria" w:hAnsi="Cambria" w:cs="Cambria"/>
          <w:sz w:val="16"/>
          <w:szCs w:val="16"/>
        </w:rPr>
        <w:t xml:space="preserve"> Guatemala, </w:t>
      </w:r>
      <w:r w:rsidR="00576244" w:rsidRPr="008A7BD7">
        <w:rPr>
          <w:rFonts w:ascii="Cambria" w:eastAsia="Cambria" w:hAnsi="Cambria" w:cs="Cambria"/>
          <w:sz w:val="16"/>
          <w:szCs w:val="16"/>
        </w:rPr>
        <w:t xml:space="preserve">June </w:t>
      </w:r>
      <w:r w:rsidRPr="008A7BD7">
        <w:rPr>
          <w:rFonts w:ascii="Cambria" w:eastAsia="Cambria" w:hAnsi="Cambria" w:cs="Cambria"/>
          <w:sz w:val="16"/>
          <w:szCs w:val="16"/>
        </w:rPr>
        <w:t>22</w:t>
      </w:r>
      <w:r w:rsidR="00576244" w:rsidRPr="008A7BD7">
        <w:rPr>
          <w:rFonts w:ascii="Cambria" w:eastAsia="Cambria" w:hAnsi="Cambria" w:cs="Cambria"/>
          <w:sz w:val="16"/>
          <w:szCs w:val="16"/>
        </w:rPr>
        <w:t xml:space="preserve">, </w:t>
      </w:r>
      <w:r w:rsidRPr="008A7BD7">
        <w:rPr>
          <w:rFonts w:ascii="Cambria" w:eastAsia="Cambria" w:hAnsi="Cambria" w:cs="Cambria"/>
          <w:sz w:val="16"/>
          <w:szCs w:val="16"/>
        </w:rPr>
        <w:t>2021</w:t>
      </w:r>
      <w:r w:rsidR="00576244" w:rsidRPr="008A7BD7">
        <w:rPr>
          <w:rFonts w:ascii="Cambria" w:eastAsia="Cambria" w:hAnsi="Cambria" w:cs="Cambria"/>
          <w:sz w:val="16"/>
          <w:szCs w:val="16"/>
        </w:rPr>
        <w:t>.</w:t>
      </w:r>
    </w:p>
  </w:footnote>
  <w:footnote w:id="187">
    <w:p w14:paraId="40176024" w14:textId="0D71BA1C" w:rsidR="00E0555A" w:rsidRPr="008A7BD7" w:rsidRDefault="00E0555A" w:rsidP="00DB6C37">
      <w:pPr>
        <w:ind w:firstLine="720"/>
        <w:rPr>
          <w:rFonts w:ascii="Cambria" w:eastAsia="Cambria" w:hAnsi="Cambria" w:cs="Cambria"/>
          <w:sz w:val="18"/>
          <w:szCs w:val="18"/>
        </w:rPr>
      </w:pPr>
      <w:r w:rsidRPr="008A7BD7">
        <w:rPr>
          <w:rFonts w:ascii="Cambria" w:eastAsia="Cambria" w:hAnsi="Cambria" w:cs="Cambria"/>
          <w:sz w:val="18"/>
          <w:szCs w:val="18"/>
          <w:vertAlign w:val="superscript"/>
        </w:rPr>
        <w:footnoteRef/>
      </w:r>
      <w:r w:rsidRPr="008A7BD7">
        <w:rPr>
          <w:rFonts w:ascii="Cambria" w:eastAsia="Cambria" w:hAnsi="Cambria" w:cs="Cambria"/>
          <w:sz w:val="18"/>
          <w:szCs w:val="18"/>
        </w:rPr>
        <w:t xml:space="preserve"> </w:t>
      </w:r>
      <w:r w:rsidR="00414FF4" w:rsidRPr="008A7BD7">
        <w:rPr>
          <w:rFonts w:ascii="Cambria" w:eastAsia="Cambria" w:hAnsi="Cambria" w:cs="Cambria"/>
          <w:sz w:val="18"/>
          <w:szCs w:val="18"/>
        </w:rPr>
        <w:t xml:space="preserve">Comptroller General of </w:t>
      </w:r>
      <w:r w:rsidRPr="008A7BD7">
        <w:rPr>
          <w:rFonts w:ascii="Cambria" w:eastAsia="Cambria" w:hAnsi="Cambria" w:cs="Cambria"/>
          <w:sz w:val="18"/>
          <w:szCs w:val="18"/>
        </w:rPr>
        <w:t xml:space="preserve">Guatemala, </w:t>
      </w:r>
      <w:hyperlink r:id="rId201">
        <w:r w:rsidR="00414FF4" w:rsidRPr="008A7BD7">
          <w:rPr>
            <w:rStyle w:val="Hyperlink"/>
            <w:rFonts w:ascii="Cambria" w:eastAsia="Cambria" w:hAnsi="Cambria" w:cs="Cambria"/>
            <w:sz w:val="18"/>
            <w:szCs w:val="18"/>
          </w:rPr>
          <w:t>Twitter feed</w:t>
        </w:r>
      </w:hyperlink>
      <w:r w:rsidRPr="008A7BD7">
        <w:rPr>
          <w:rFonts w:ascii="Cambria" w:eastAsia="Cambria" w:hAnsi="Cambria" w:cs="Cambria"/>
          <w:sz w:val="18"/>
          <w:szCs w:val="18"/>
        </w:rPr>
        <w:t xml:space="preserve">, </w:t>
      </w:r>
      <w:r w:rsidR="00414FF4" w:rsidRPr="008A7BD7">
        <w:rPr>
          <w:rFonts w:ascii="Cambria" w:eastAsia="Cambria" w:hAnsi="Cambria" w:cs="Cambria"/>
          <w:sz w:val="18"/>
          <w:szCs w:val="18"/>
        </w:rPr>
        <w:t xml:space="preserve">July </w:t>
      </w:r>
      <w:r w:rsidRPr="008A7BD7">
        <w:rPr>
          <w:rFonts w:ascii="Cambria" w:eastAsia="Cambria" w:hAnsi="Cambria" w:cs="Cambria"/>
          <w:sz w:val="18"/>
          <w:szCs w:val="18"/>
        </w:rPr>
        <w:t>2</w:t>
      </w:r>
      <w:r w:rsidR="00414FF4" w:rsidRPr="008A7BD7">
        <w:rPr>
          <w:rFonts w:ascii="Cambria" w:eastAsia="Cambria" w:hAnsi="Cambria" w:cs="Cambria"/>
          <w:sz w:val="18"/>
          <w:szCs w:val="18"/>
        </w:rPr>
        <w:t xml:space="preserve">, </w:t>
      </w:r>
      <w:r w:rsidRPr="008A7BD7">
        <w:rPr>
          <w:rFonts w:ascii="Cambria" w:eastAsia="Cambria" w:hAnsi="Cambria" w:cs="Cambria"/>
          <w:sz w:val="18"/>
          <w:szCs w:val="18"/>
        </w:rPr>
        <w:t>2021</w:t>
      </w:r>
      <w:r w:rsidR="00414FF4" w:rsidRPr="008A7BD7">
        <w:rPr>
          <w:rFonts w:ascii="Cambria" w:eastAsia="Cambria" w:hAnsi="Cambria" w:cs="Cambria"/>
          <w:sz w:val="18"/>
          <w:szCs w:val="18"/>
        </w:rPr>
        <w:t>.</w:t>
      </w:r>
    </w:p>
  </w:footnote>
  <w:footnote w:id="188">
    <w:p w14:paraId="5BD02A4E" w14:textId="330144C2" w:rsidR="00E0555A" w:rsidRPr="008A7BD7" w:rsidRDefault="00E0555A" w:rsidP="00992C6A">
      <w:pPr>
        <w:ind w:firstLine="720"/>
        <w:jc w:val="both"/>
        <w:rPr>
          <w:rFonts w:ascii="Cambria" w:eastAsia="Cambria" w:hAnsi="Cambria" w:cs="Cambria"/>
          <w:sz w:val="18"/>
          <w:szCs w:val="18"/>
          <w:lang w:val="es-US"/>
        </w:rPr>
      </w:pPr>
      <w:r w:rsidRPr="008A7BD7">
        <w:rPr>
          <w:rFonts w:ascii="Cambria" w:eastAsia="Cambria" w:hAnsi="Cambria" w:cs="Cambria"/>
          <w:sz w:val="18"/>
          <w:szCs w:val="18"/>
          <w:vertAlign w:val="superscript"/>
        </w:rPr>
        <w:footnoteRef/>
      </w:r>
      <w:r w:rsidRPr="008A7BD7">
        <w:rPr>
          <w:rFonts w:ascii="Cambria" w:eastAsia="Cambria" w:hAnsi="Cambria" w:cs="Cambria"/>
          <w:sz w:val="18"/>
          <w:szCs w:val="18"/>
          <w:lang w:val="es-US"/>
        </w:rPr>
        <w:t xml:space="preserve"> </w:t>
      </w:r>
      <w:r w:rsidRPr="008A7BD7">
        <w:rPr>
          <w:rFonts w:ascii="Cambria" w:eastAsia="Cambria" w:hAnsi="Cambria" w:cs="Cambria"/>
          <w:i/>
          <w:iCs/>
          <w:sz w:val="18"/>
          <w:szCs w:val="18"/>
          <w:lang w:val="es-US"/>
        </w:rPr>
        <w:t>Prensa Libre</w:t>
      </w:r>
      <w:r w:rsidRPr="008A7BD7">
        <w:rPr>
          <w:rFonts w:ascii="Cambria" w:eastAsia="Cambria" w:hAnsi="Cambria" w:cs="Cambria"/>
          <w:sz w:val="18"/>
          <w:szCs w:val="18"/>
          <w:lang w:val="es-US"/>
        </w:rPr>
        <w:t xml:space="preserve">, </w:t>
      </w:r>
      <w:hyperlink r:id="rId202">
        <w:r w:rsidRPr="008A7BD7">
          <w:rPr>
            <w:rStyle w:val="Hyperlink"/>
            <w:rFonts w:ascii="Cambria" w:eastAsia="Cambria" w:hAnsi="Cambria" w:cs="Cambria"/>
            <w:i/>
            <w:iCs/>
            <w:sz w:val="18"/>
            <w:szCs w:val="18"/>
            <w:lang w:val="es-US"/>
          </w:rPr>
          <w:t>Contraloría General de Cuentas denuncia a la ministra de salud, Amelia Flores</w:t>
        </w:r>
      </w:hyperlink>
      <w:r w:rsidRPr="008A7BD7">
        <w:rPr>
          <w:rFonts w:ascii="Cambria" w:eastAsia="Cambria" w:hAnsi="Cambria" w:cs="Cambria"/>
          <w:sz w:val="18"/>
          <w:szCs w:val="18"/>
          <w:lang w:val="es-US"/>
        </w:rPr>
        <w:t xml:space="preserve">, </w:t>
      </w:r>
      <w:proofErr w:type="spellStart"/>
      <w:r w:rsidR="00414FF4" w:rsidRPr="008A7BD7">
        <w:rPr>
          <w:rFonts w:ascii="Cambria" w:eastAsia="Cambria" w:hAnsi="Cambria" w:cs="Cambria"/>
          <w:sz w:val="18"/>
          <w:szCs w:val="18"/>
          <w:lang w:val="es-US"/>
        </w:rPr>
        <w:t>July</w:t>
      </w:r>
      <w:proofErr w:type="spellEnd"/>
      <w:r w:rsidR="00414FF4" w:rsidRPr="008A7BD7">
        <w:rPr>
          <w:rFonts w:ascii="Cambria" w:eastAsia="Cambria" w:hAnsi="Cambria" w:cs="Cambria"/>
          <w:sz w:val="18"/>
          <w:szCs w:val="18"/>
          <w:lang w:val="es-US"/>
        </w:rPr>
        <w:t xml:space="preserve"> </w:t>
      </w:r>
      <w:r w:rsidRPr="008A7BD7">
        <w:rPr>
          <w:rFonts w:ascii="Cambria" w:eastAsia="Cambria" w:hAnsi="Cambria" w:cs="Cambria"/>
          <w:sz w:val="18"/>
          <w:szCs w:val="18"/>
          <w:lang w:val="es-US"/>
        </w:rPr>
        <w:t>2</w:t>
      </w:r>
      <w:r w:rsidR="00414FF4" w:rsidRPr="008A7BD7">
        <w:rPr>
          <w:rFonts w:ascii="Cambria" w:eastAsia="Cambria" w:hAnsi="Cambria" w:cs="Cambria"/>
          <w:sz w:val="18"/>
          <w:szCs w:val="18"/>
          <w:lang w:val="es-US"/>
        </w:rPr>
        <w:t xml:space="preserve">, </w:t>
      </w:r>
      <w:r w:rsidRPr="008A7BD7">
        <w:rPr>
          <w:rFonts w:ascii="Cambria" w:eastAsia="Cambria" w:hAnsi="Cambria" w:cs="Cambria"/>
          <w:sz w:val="18"/>
          <w:szCs w:val="18"/>
          <w:lang w:val="es-US"/>
        </w:rPr>
        <w:t>2021</w:t>
      </w:r>
      <w:r w:rsidR="00414FF4" w:rsidRPr="008A7BD7">
        <w:rPr>
          <w:rFonts w:ascii="Cambria" w:eastAsia="Cambria" w:hAnsi="Cambria" w:cs="Cambria"/>
          <w:sz w:val="18"/>
          <w:szCs w:val="18"/>
          <w:lang w:val="es-US"/>
        </w:rPr>
        <w:t>.</w:t>
      </w:r>
    </w:p>
    <w:p w14:paraId="52B784BE" w14:textId="77777777" w:rsidR="00992C6A" w:rsidRPr="008A7BD7" w:rsidRDefault="00992C6A" w:rsidP="00992C6A">
      <w:pPr>
        <w:ind w:firstLine="720"/>
        <w:jc w:val="both"/>
        <w:rPr>
          <w:lang w:val="es-US"/>
        </w:rPr>
      </w:pPr>
    </w:p>
  </w:footnote>
  <w:footnote w:id="189">
    <w:p w14:paraId="5BF3DB62" w14:textId="3996B68E" w:rsidR="00E0555A" w:rsidRPr="008A7BD7" w:rsidRDefault="00E0555A" w:rsidP="00992C6A">
      <w:pPr>
        <w:spacing w:after="120"/>
        <w:ind w:firstLine="720"/>
        <w:jc w:val="both"/>
        <w:rPr>
          <w:rFonts w:ascii="Cambria" w:eastAsia="Cambria" w:hAnsi="Cambria" w:cs="Cambria"/>
          <w:sz w:val="16"/>
          <w:szCs w:val="16"/>
          <w:lang w:val="es-419"/>
        </w:rPr>
      </w:pPr>
      <w:r w:rsidRPr="008A7BD7">
        <w:rPr>
          <w:rFonts w:ascii="Cambria" w:eastAsia="Cambria" w:hAnsi="Cambria" w:cs="Cambria"/>
          <w:sz w:val="18"/>
          <w:szCs w:val="18"/>
          <w:vertAlign w:val="superscript"/>
        </w:rPr>
        <w:footnoteRef/>
      </w:r>
      <w:r w:rsidRPr="008A7BD7">
        <w:rPr>
          <w:rFonts w:ascii="Cambria" w:eastAsia="Cambria" w:hAnsi="Cambria" w:cs="Cambria"/>
          <w:sz w:val="18"/>
          <w:szCs w:val="18"/>
          <w:lang w:val="es-419"/>
        </w:rPr>
        <w:t xml:space="preserve"> </w:t>
      </w:r>
      <w:r w:rsidRPr="008A7BD7">
        <w:rPr>
          <w:rFonts w:ascii="Cambria" w:eastAsia="Cambria" w:hAnsi="Cambria" w:cs="Cambria"/>
          <w:i/>
          <w:iCs/>
          <w:sz w:val="18"/>
          <w:szCs w:val="18"/>
          <w:lang w:val="es-419"/>
        </w:rPr>
        <w:t>Prensa Libre</w:t>
      </w:r>
      <w:r w:rsidRPr="008A7BD7">
        <w:rPr>
          <w:rFonts w:ascii="Cambria" w:eastAsia="Cambria" w:hAnsi="Cambria" w:cs="Cambria"/>
          <w:sz w:val="18"/>
          <w:szCs w:val="18"/>
          <w:lang w:val="es-419"/>
        </w:rPr>
        <w:t xml:space="preserve">, </w:t>
      </w:r>
      <w:hyperlink r:id="rId203">
        <w:r w:rsidRPr="008A7BD7">
          <w:rPr>
            <w:rFonts w:ascii="Cambria" w:eastAsia="Cambria" w:hAnsi="Cambria" w:cs="Cambria"/>
            <w:i/>
            <w:iCs/>
            <w:color w:val="1155CC"/>
            <w:sz w:val="18"/>
            <w:szCs w:val="18"/>
            <w:u w:val="single"/>
            <w:lang w:val="es-419"/>
          </w:rPr>
          <w:t>Crisis hospitalaria: Así viven la escalada de casos por covid-19 en los diferentes centros asistenciales de Guatemala</w:t>
        </w:r>
        <w:r w:rsidRPr="008A7BD7">
          <w:rPr>
            <w:rFonts w:ascii="Cambria" w:eastAsia="Cambria" w:hAnsi="Cambria" w:cs="Cambria"/>
            <w:color w:val="1155CC"/>
            <w:sz w:val="18"/>
            <w:szCs w:val="18"/>
            <w:u w:val="single"/>
            <w:lang w:val="es-419"/>
          </w:rPr>
          <w:t>,</w:t>
        </w:r>
      </w:hyperlink>
      <w:r w:rsidRPr="008A7BD7">
        <w:rPr>
          <w:rFonts w:ascii="Cambria" w:eastAsia="Cambria" w:hAnsi="Cambria" w:cs="Cambria"/>
          <w:sz w:val="18"/>
          <w:szCs w:val="18"/>
          <w:lang w:val="es-419"/>
        </w:rPr>
        <w:t xml:space="preserve"> </w:t>
      </w:r>
      <w:proofErr w:type="spellStart"/>
      <w:r w:rsidR="000E6190" w:rsidRPr="008A7BD7">
        <w:rPr>
          <w:rFonts w:ascii="Cambria" w:eastAsia="Cambria" w:hAnsi="Cambria" w:cs="Cambria"/>
          <w:sz w:val="18"/>
          <w:szCs w:val="18"/>
          <w:lang w:val="es-419"/>
        </w:rPr>
        <w:t>September</w:t>
      </w:r>
      <w:proofErr w:type="spellEnd"/>
      <w:r w:rsidR="000E6190"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12</w:t>
      </w:r>
      <w:r w:rsidR="000E6190"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 xml:space="preserve">2019. </w:t>
      </w:r>
    </w:p>
  </w:footnote>
  <w:footnote w:id="190">
    <w:p w14:paraId="439F9055" w14:textId="37BF3872" w:rsidR="00F97F2A" w:rsidRPr="008A7BD7" w:rsidRDefault="00F97F2A" w:rsidP="00F97F2A">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5352CF" w:rsidRPr="008A7BD7">
        <w:rPr>
          <w:rFonts w:ascii="Cambria" w:hAnsi="Cambria"/>
          <w:sz w:val="16"/>
          <w:szCs w:val="16"/>
        </w:rPr>
        <w:t xml:space="preserve">The State also </w:t>
      </w:r>
      <w:r w:rsidR="00747DB6" w:rsidRPr="008A7BD7">
        <w:rPr>
          <w:rFonts w:ascii="Cambria" w:hAnsi="Cambria"/>
          <w:sz w:val="16"/>
          <w:szCs w:val="16"/>
        </w:rPr>
        <w:t>reported on the following programs:</w:t>
      </w:r>
      <w:r w:rsidRPr="008A7BD7">
        <w:rPr>
          <w:rFonts w:ascii="Cambria" w:hAnsi="Cambria"/>
          <w:sz w:val="16"/>
          <w:szCs w:val="16"/>
        </w:rPr>
        <w:t xml:space="preserve"> </w:t>
      </w:r>
      <w:r w:rsidR="009C38B7" w:rsidRPr="008A7BD7">
        <w:rPr>
          <w:rFonts w:ascii="Cambria" w:hAnsi="Cambria"/>
          <w:sz w:val="16"/>
          <w:szCs w:val="16"/>
        </w:rPr>
        <w:t xml:space="preserve">Distribution of </w:t>
      </w:r>
      <w:r w:rsidR="00747DB6" w:rsidRPr="008A7BD7">
        <w:rPr>
          <w:rFonts w:ascii="Cambria" w:hAnsi="Cambria"/>
          <w:sz w:val="16"/>
          <w:szCs w:val="16"/>
        </w:rPr>
        <w:t xml:space="preserve">Food </w:t>
      </w:r>
      <w:r w:rsidR="009C38B7" w:rsidRPr="008A7BD7">
        <w:rPr>
          <w:rFonts w:ascii="Cambria" w:hAnsi="Cambria"/>
          <w:sz w:val="16"/>
          <w:szCs w:val="16"/>
        </w:rPr>
        <w:t>Rations in response to</w:t>
      </w:r>
      <w:r w:rsidR="00747DB6" w:rsidRPr="008A7BD7">
        <w:rPr>
          <w:rFonts w:ascii="Cambria" w:hAnsi="Cambria"/>
          <w:sz w:val="16"/>
          <w:szCs w:val="16"/>
        </w:rPr>
        <w:t xml:space="preserve"> </w:t>
      </w:r>
      <w:r w:rsidRPr="008A7BD7">
        <w:rPr>
          <w:rFonts w:ascii="Cambria" w:hAnsi="Cambria"/>
          <w:sz w:val="16"/>
          <w:szCs w:val="16"/>
        </w:rPr>
        <w:t xml:space="preserve">COVID-19; </w:t>
      </w:r>
      <w:r w:rsidR="00747DB6" w:rsidRPr="008A7BD7">
        <w:rPr>
          <w:rFonts w:ascii="Cambria" w:hAnsi="Cambria"/>
          <w:sz w:val="16"/>
          <w:szCs w:val="16"/>
        </w:rPr>
        <w:t>Grants, Services, and Infrastructure for Social Development</w:t>
      </w:r>
      <w:r w:rsidRPr="008A7BD7">
        <w:rPr>
          <w:rFonts w:ascii="Cambria" w:hAnsi="Cambria"/>
          <w:sz w:val="16"/>
          <w:szCs w:val="16"/>
        </w:rPr>
        <w:t xml:space="preserve">; </w:t>
      </w:r>
      <w:r w:rsidR="00747DB6" w:rsidRPr="008A7BD7">
        <w:rPr>
          <w:rFonts w:ascii="Cambria" w:hAnsi="Cambria"/>
          <w:sz w:val="16"/>
          <w:szCs w:val="16"/>
        </w:rPr>
        <w:t xml:space="preserve">Temporary Assistance Voucher; interventions to address the </w:t>
      </w:r>
      <w:r w:rsidRPr="008A7BD7">
        <w:rPr>
          <w:rFonts w:ascii="Cambria" w:hAnsi="Cambria"/>
          <w:sz w:val="16"/>
          <w:szCs w:val="16"/>
        </w:rPr>
        <w:t>COVID-19</w:t>
      </w:r>
      <w:r w:rsidR="00747DB6" w:rsidRPr="008A7BD7">
        <w:rPr>
          <w:rFonts w:ascii="Cambria" w:hAnsi="Cambria"/>
          <w:sz w:val="16"/>
          <w:szCs w:val="16"/>
        </w:rPr>
        <w:t xml:space="preserve"> emergency</w:t>
      </w:r>
      <w:r w:rsidRPr="008A7BD7">
        <w:rPr>
          <w:rFonts w:ascii="Cambria" w:hAnsi="Cambria"/>
          <w:sz w:val="16"/>
          <w:szCs w:val="16"/>
        </w:rPr>
        <w:t xml:space="preserve">; </w:t>
      </w:r>
      <w:r w:rsidR="00747DB6" w:rsidRPr="008A7BD7">
        <w:rPr>
          <w:rFonts w:ascii="Cambria" w:hAnsi="Cambria"/>
          <w:sz w:val="16"/>
          <w:szCs w:val="16"/>
        </w:rPr>
        <w:t>Social Basket (</w:t>
      </w:r>
      <w:r w:rsidRPr="008A7BD7">
        <w:rPr>
          <w:rFonts w:ascii="Cambria" w:hAnsi="Cambria"/>
          <w:sz w:val="16"/>
          <w:szCs w:val="16"/>
        </w:rPr>
        <w:t>Bolsa Social</w:t>
      </w:r>
      <w:r w:rsidR="00747DB6" w:rsidRPr="008A7BD7">
        <w:rPr>
          <w:rFonts w:ascii="Cambria" w:hAnsi="Cambria"/>
          <w:sz w:val="16"/>
          <w:szCs w:val="16"/>
        </w:rPr>
        <w:t>)</w:t>
      </w:r>
      <w:r w:rsidRPr="008A7BD7">
        <w:rPr>
          <w:rFonts w:ascii="Cambria" w:hAnsi="Cambria"/>
          <w:sz w:val="16"/>
          <w:szCs w:val="16"/>
        </w:rPr>
        <w:t xml:space="preserve">. </w:t>
      </w:r>
      <w:r w:rsidR="00747DB6" w:rsidRPr="008A7BD7">
        <w:rPr>
          <w:rFonts w:ascii="Cambria" w:hAnsi="Cambria"/>
          <w:sz w:val="16"/>
          <w:szCs w:val="16"/>
        </w:rPr>
        <w:t>Response from the State of</w:t>
      </w:r>
      <w:r w:rsidR="00747DB6"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747DB6" w:rsidRPr="008A7BD7">
        <w:rPr>
          <w:rFonts w:ascii="Cambria" w:hAnsi="Cambria"/>
          <w:sz w:val="16"/>
          <w:szCs w:val="16"/>
        </w:rPr>
        <w:t>OEA</w:t>
      </w:r>
      <w:r w:rsidR="00747DB6" w:rsidRPr="008A7BD7">
        <w:rPr>
          <w:rFonts w:ascii="Cambria" w:eastAsia="Cambria" w:hAnsi="Cambria" w:cs="Cambria"/>
          <w:color w:val="000000"/>
          <w:sz w:val="16"/>
          <w:szCs w:val="16"/>
        </w:rPr>
        <w:t>-M4-980-2021, December 22, 2021, p</w:t>
      </w:r>
      <w:r w:rsidR="00747DB6"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56</w:t>
      </w:r>
      <w:r w:rsidR="00747DB6"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65.</w:t>
      </w:r>
    </w:p>
  </w:footnote>
  <w:footnote w:id="191">
    <w:p w14:paraId="5B70D6AF" w14:textId="07707D26" w:rsidR="00F97F2A" w:rsidRPr="008A7BD7" w:rsidRDefault="00F97F2A" w:rsidP="00F97F2A">
      <w:pPr>
        <w:pStyle w:val="FootnoteText"/>
        <w:spacing w:after="120"/>
        <w:ind w:firstLine="720"/>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747DB6" w:rsidRPr="008A7BD7">
        <w:rPr>
          <w:rFonts w:ascii="Cambria" w:hAnsi="Cambria"/>
          <w:sz w:val="16"/>
          <w:szCs w:val="16"/>
        </w:rPr>
        <w:t xml:space="preserve">These </w:t>
      </w:r>
      <w:proofErr w:type="gramStart"/>
      <w:r w:rsidR="00747DB6" w:rsidRPr="008A7BD7">
        <w:rPr>
          <w:rFonts w:ascii="Cambria" w:hAnsi="Cambria"/>
          <w:sz w:val="16"/>
          <w:szCs w:val="16"/>
        </w:rPr>
        <w:t>include</w:t>
      </w:r>
      <w:r w:rsidRPr="008A7BD7">
        <w:rPr>
          <w:rFonts w:ascii="Cambria" w:hAnsi="Cambria"/>
          <w:sz w:val="16"/>
          <w:szCs w:val="16"/>
        </w:rPr>
        <w:t>:</w:t>
      </w:r>
      <w:proofErr w:type="gramEnd"/>
      <w:r w:rsidRPr="008A7BD7">
        <w:rPr>
          <w:rFonts w:ascii="Cambria" w:hAnsi="Cambria"/>
          <w:sz w:val="16"/>
          <w:szCs w:val="16"/>
        </w:rPr>
        <w:t xml:space="preserve"> </w:t>
      </w:r>
      <w:r w:rsidR="00747DB6" w:rsidRPr="008A7BD7">
        <w:rPr>
          <w:rFonts w:ascii="Cambria" w:hAnsi="Cambria"/>
          <w:sz w:val="16"/>
          <w:szCs w:val="16"/>
        </w:rPr>
        <w:t>Education Voucher</w:t>
      </w:r>
      <w:r w:rsidRPr="008A7BD7">
        <w:rPr>
          <w:rFonts w:ascii="Cambria" w:hAnsi="Cambria"/>
          <w:sz w:val="16"/>
          <w:szCs w:val="16"/>
        </w:rPr>
        <w:t>; VIDA</w:t>
      </w:r>
      <w:r w:rsidR="00747DB6" w:rsidRPr="008A7BD7">
        <w:rPr>
          <w:rFonts w:ascii="Cambria" w:hAnsi="Cambria"/>
          <w:sz w:val="16"/>
          <w:szCs w:val="16"/>
        </w:rPr>
        <w:t xml:space="preserve"> Program</w:t>
      </w:r>
      <w:r w:rsidRPr="008A7BD7">
        <w:rPr>
          <w:rFonts w:ascii="Cambria" w:hAnsi="Cambria"/>
          <w:sz w:val="16"/>
          <w:szCs w:val="16"/>
        </w:rPr>
        <w:t xml:space="preserve">; </w:t>
      </w:r>
      <w:r w:rsidR="00747DB6" w:rsidRPr="008A7BD7">
        <w:rPr>
          <w:rFonts w:ascii="Cambria" w:hAnsi="Cambria"/>
          <w:sz w:val="16"/>
          <w:szCs w:val="16"/>
        </w:rPr>
        <w:t xml:space="preserve">Supplemental Nutrition; Social Scholarship for </w:t>
      </w:r>
      <w:r w:rsidR="00631891" w:rsidRPr="008A7BD7">
        <w:rPr>
          <w:rFonts w:ascii="Cambria" w:hAnsi="Cambria"/>
          <w:sz w:val="16"/>
          <w:szCs w:val="16"/>
        </w:rPr>
        <w:t>Secondary Education</w:t>
      </w:r>
      <w:r w:rsidR="00747DB6" w:rsidRPr="008A7BD7">
        <w:rPr>
          <w:rFonts w:ascii="Cambria" w:hAnsi="Cambria"/>
          <w:sz w:val="16"/>
          <w:szCs w:val="16"/>
        </w:rPr>
        <w:t>; First Job Social Scholarship</w:t>
      </w:r>
      <w:r w:rsidRPr="008A7BD7">
        <w:rPr>
          <w:rFonts w:ascii="Cambria" w:hAnsi="Cambria"/>
          <w:sz w:val="16"/>
          <w:szCs w:val="16"/>
        </w:rPr>
        <w:t xml:space="preserve">. </w:t>
      </w:r>
      <w:r w:rsidR="00747DB6" w:rsidRPr="008A7BD7">
        <w:rPr>
          <w:rFonts w:ascii="Cambria" w:hAnsi="Cambria"/>
          <w:sz w:val="16"/>
          <w:szCs w:val="16"/>
        </w:rPr>
        <w:t>Response from the State of</w:t>
      </w:r>
      <w:r w:rsidR="00747DB6"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747DB6" w:rsidRPr="008A7BD7">
        <w:rPr>
          <w:rFonts w:ascii="Cambria" w:hAnsi="Cambria"/>
          <w:sz w:val="16"/>
          <w:szCs w:val="16"/>
        </w:rPr>
        <w:t>OEA</w:t>
      </w:r>
      <w:r w:rsidR="00747DB6" w:rsidRPr="008A7BD7">
        <w:rPr>
          <w:rFonts w:ascii="Cambria" w:eastAsia="Cambria" w:hAnsi="Cambria" w:cs="Cambria"/>
          <w:color w:val="000000"/>
          <w:sz w:val="16"/>
          <w:szCs w:val="16"/>
        </w:rPr>
        <w:t>-M4-980-2021, December 22, 2021, p</w:t>
      </w:r>
      <w:r w:rsidR="00747DB6"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66</w:t>
      </w:r>
      <w:r w:rsidR="00747DB6"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100.</w:t>
      </w:r>
    </w:p>
  </w:footnote>
  <w:footnote w:id="192">
    <w:p w14:paraId="12E8CE32" w14:textId="1F7C3059" w:rsidR="00F97F2A" w:rsidRPr="008A7BD7" w:rsidRDefault="00F97F2A" w:rsidP="00F97F2A">
      <w:pPr>
        <w:pStyle w:val="FootnoteText"/>
        <w:spacing w:after="120"/>
        <w:ind w:firstLine="720"/>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747DB6" w:rsidRPr="008A7BD7">
        <w:rPr>
          <w:rFonts w:ascii="Cambria" w:hAnsi="Cambria"/>
          <w:sz w:val="16"/>
          <w:szCs w:val="16"/>
        </w:rPr>
        <w:t>Response from the State of</w:t>
      </w:r>
      <w:r w:rsidR="00747DB6"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747DB6" w:rsidRPr="008A7BD7">
        <w:rPr>
          <w:rFonts w:ascii="Cambria" w:hAnsi="Cambria"/>
          <w:sz w:val="16"/>
          <w:szCs w:val="16"/>
        </w:rPr>
        <w:t>OEA</w:t>
      </w:r>
      <w:r w:rsidR="00747DB6" w:rsidRPr="008A7BD7">
        <w:rPr>
          <w:rFonts w:ascii="Cambria" w:eastAsia="Cambria" w:hAnsi="Cambria" w:cs="Cambria"/>
          <w:color w:val="000000"/>
          <w:sz w:val="16"/>
          <w:szCs w:val="16"/>
        </w:rPr>
        <w:t>-M4-980-2021, December 22, 2021, p</w:t>
      </w:r>
      <w:r w:rsidR="00747DB6"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100</w:t>
      </w:r>
      <w:r w:rsidR="00747DB6"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105.</w:t>
      </w:r>
    </w:p>
  </w:footnote>
  <w:footnote w:id="193">
    <w:p w14:paraId="353431C4" w14:textId="32DBD295" w:rsidR="00E0555A" w:rsidRPr="008A7BD7" w:rsidRDefault="00E0555A" w:rsidP="00992C6A">
      <w:pPr>
        <w:spacing w:after="120"/>
        <w:ind w:firstLine="720"/>
        <w:jc w:val="both"/>
        <w:rPr>
          <w:rFonts w:ascii="Cambria" w:eastAsia="Cambria" w:hAnsi="Cambria" w:cs="Cambria"/>
          <w:sz w:val="16"/>
          <w:szCs w:val="16"/>
          <w:lang w:val="es-419"/>
        </w:rPr>
      </w:pPr>
      <w:r w:rsidRPr="008A7BD7">
        <w:rPr>
          <w:rFonts w:ascii="Cambria" w:eastAsia="Cambria" w:hAnsi="Cambria" w:cs="Cambria"/>
          <w:sz w:val="18"/>
          <w:szCs w:val="18"/>
          <w:vertAlign w:val="superscript"/>
        </w:rPr>
        <w:footnoteRef/>
      </w:r>
      <w:r w:rsidRPr="008A7BD7">
        <w:rPr>
          <w:rFonts w:ascii="Cambria" w:eastAsia="Cambria" w:hAnsi="Cambria" w:cs="Cambria"/>
          <w:sz w:val="18"/>
          <w:szCs w:val="18"/>
          <w:lang w:val="es-419"/>
        </w:rPr>
        <w:t xml:space="preserve"> </w:t>
      </w:r>
      <w:r w:rsidRPr="008A7BD7">
        <w:rPr>
          <w:rFonts w:ascii="Cambria" w:eastAsia="Cambria" w:hAnsi="Cambria" w:cs="Cambria"/>
          <w:i/>
          <w:iCs/>
          <w:sz w:val="18"/>
          <w:szCs w:val="18"/>
          <w:lang w:val="es-419"/>
        </w:rPr>
        <w:t>El Periódico</w:t>
      </w:r>
      <w:r w:rsidRPr="008A7BD7">
        <w:rPr>
          <w:rFonts w:ascii="Cambria" w:eastAsia="Cambria" w:hAnsi="Cambria" w:cs="Cambria"/>
          <w:sz w:val="18"/>
          <w:szCs w:val="18"/>
          <w:lang w:val="es-419"/>
        </w:rPr>
        <w:t xml:space="preserve">, </w:t>
      </w:r>
      <w:hyperlink r:id="rId204">
        <w:r w:rsidRPr="008A7BD7">
          <w:rPr>
            <w:rFonts w:ascii="Cambria" w:eastAsia="Cambria" w:hAnsi="Cambria" w:cs="Cambria"/>
            <w:i/>
            <w:iCs/>
            <w:color w:val="1155CC"/>
            <w:sz w:val="18"/>
            <w:szCs w:val="18"/>
            <w:u w:val="single"/>
            <w:lang w:val="es-419"/>
          </w:rPr>
          <w:t>Médicos renuncian al sistema de Salud</w:t>
        </w:r>
        <w:r w:rsidRPr="008A7BD7">
          <w:rPr>
            <w:rFonts w:ascii="Cambria" w:eastAsia="Cambria" w:hAnsi="Cambria" w:cs="Cambria"/>
            <w:color w:val="1155CC"/>
            <w:sz w:val="18"/>
            <w:szCs w:val="18"/>
            <w:u w:val="single"/>
            <w:lang w:val="es-419"/>
          </w:rPr>
          <w:t>,</w:t>
        </w:r>
      </w:hyperlink>
      <w:r w:rsidRPr="008A7BD7">
        <w:rPr>
          <w:rFonts w:ascii="Cambria" w:eastAsia="Cambria" w:hAnsi="Cambria" w:cs="Cambria"/>
          <w:sz w:val="18"/>
          <w:szCs w:val="18"/>
          <w:lang w:val="es-419"/>
        </w:rPr>
        <w:t xml:space="preserve"> </w:t>
      </w:r>
      <w:proofErr w:type="spellStart"/>
      <w:r w:rsidR="004D4DE1" w:rsidRPr="008A7BD7">
        <w:rPr>
          <w:rFonts w:ascii="Cambria" w:eastAsia="Cambria" w:hAnsi="Cambria" w:cs="Cambria"/>
          <w:sz w:val="18"/>
          <w:szCs w:val="18"/>
          <w:lang w:val="es-419"/>
        </w:rPr>
        <w:t>January</w:t>
      </w:r>
      <w:proofErr w:type="spellEnd"/>
      <w:r w:rsidR="004D4DE1"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19</w:t>
      </w:r>
      <w:r w:rsidR="004D4DE1"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 xml:space="preserve">2021. </w:t>
      </w:r>
    </w:p>
  </w:footnote>
  <w:footnote w:id="194">
    <w:p w14:paraId="2E660D03" w14:textId="23265029" w:rsidR="00E0555A" w:rsidRPr="008A7BD7" w:rsidRDefault="00E0555A" w:rsidP="00992C6A">
      <w:pPr>
        <w:pStyle w:val="FootnoteText"/>
        <w:spacing w:after="120"/>
        <w:ind w:firstLine="720"/>
        <w:jc w:val="both"/>
        <w:rPr>
          <w:rFonts w:ascii="Cambria" w:hAnsi="Cambria"/>
          <w:sz w:val="16"/>
          <w:szCs w:val="16"/>
        </w:rPr>
      </w:pPr>
      <w:r w:rsidRPr="008A7BD7">
        <w:rPr>
          <w:rStyle w:val="FootnoteReference"/>
          <w:rFonts w:ascii="Cambria" w:eastAsia="Cambria" w:hAnsi="Cambria" w:cs="Cambria"/>
          <w:sz w:val="18"/>
          <w:szCs w:val="18"/>
        </w:rPr>
        <w:footnoteRef/>
      </w:r>
      <w:r w:rsidRPr="008A7BD7">
        <w:rPr>
          <w:rFonts w:ascii="Cambria" w:eastAsia="Cambria" w:hAnsi="Cambria" w:cs="Cambria"/>
          <w:sz w:val="18"/>
          <w:szCs w:val="18"/>
        </w:rPr>
        <w:t xml:space="preserve"> </w:t>
      </w:r>
      <w:proofErr w:type="spellStart"/>
      <w:r w:rsidRPr="008A7BD7">
        <w:rPr>
          <w:rFonts w:ascii="Cambria" w:eastAsia="Cambria" w:hAnsi="Cambria" w:cs="Cambria"/>
          <w:sz w:val="18"/>
          <w:szCs w:val="18"/>
        </w:rPr>
        <w:t>Foro</w:t>
      </w:r>
      <w:proofErr w:type="spellEnd"/>
      <w:r w:rsidRPr="008A7BD7">
        <w:rPr>
          <w:rFonts w:ascii="Cambria" w:eastAsia="Cambria" w:hAnsi="Cambria" w:cs="Cambria"/>
          <w:sz w:val="18"/>
          <w:szCs w:val="18"/>
        </w:rPr>
        <w:t xml:space="preserve"> Guatemala Vulnerable</w:t>
      </w:r>
      <w:r w:rsidR="008D5C34" w:rsidRPr="008A7BD7">
        <w:rPr>
          <w:rFonts w:ascii="Cambria" w:eastAsia="Cambria" w:hAnsi="Cambria" w:cs="Cambria"/>
          <w:sz w:val="18"/>
          <w:szCs w:val="18"/>
        </w:rPr>
        <w:t>,</w:t>
      </w:r>
      <w:r w:rsidRPr="008A7BD7">
        <w:rPr>
          <w:rFonts w:ascii="Cambria" w:eastAsia="Cambria" w:hAnsi="Cambria" w:cs="Cambria"/>
          <w:sz w:val="18"/>
          <w:szCs w:val="18"/>
        </w:rPr>
        <w:t xml:space="preserve"> </w:t>
      </w:r>
      <w:r w:rsidRPr="008A7BD7">
        <w:rPr>
          <w:rFonts w:ascii="Cambria" w:eastAsia="Cambria" w:hAnsi="Cambria" w:cs="Cambria"/>
          <w:i/>
          <w:iCs/>
          <w:sz w:val="18"/>
          <w:szCs w:val="18"/>
        </w:rPr>
        <w:t xml:space="preserve">Unidad </w:t>
      </w:r>
      <w:proofErr w:type="spellStart"/>
      <w:r w:rsidRPr="008A7BD7">
        <w:rPr>
          <w:rFonts w:ascii="Cambria" w:eastAsia="Cambria" w:hAnsi="Cambria" w:cs="Cambria"/>
          <w:i/>
          <w:iCs/>
          <w:sz w:val="18"/>
          <w:szCs w:val="18"/>
        </w:rPr>
        <w:t>por</w:t>
      </w:r>
      <w:proofErr w:type="spellEnd"/>
      <w:r w:rsidRPr="008A7BD7">
        <w:rPr>
          <w:rFonts w:ascii="Cambria" w:eastAsia="Cambria" w:hAnsi="Cambria" w:cs="Cambria"/>
          <w:i/>
          <w:iCs/>
          <w:sz w:val="18"/>
          <w:szCs w:val="18"/>
        </w:rPr>
        <w:t xml:space="preserve"> la </w:t>
      </w:r>
      <w:proofErr w:type="spellStart"/>
      <w:r w:rsidRPr="008A7BD7">
        <w:rPr>
          <w:rFonts w:ascii="Cambria" w:eastAsia="Cambria" w:hAnsi="Cambria" w:cs="Cambria"/>
          <w:i/>
          <w:iCs/>
          <w:sz w:val="18"/>
          <w:szCs w:val="18"/>
        </w:rPr>
        <w:t>vida</w:t>
      </w:r>
      <w:proofErr w:type="spellEnd"/>
      <w:r w:rsidRPr="008A7BD7">
        <w:rPr>
          <w:rFonts w:ascii="Cambria" w:eastAsia="Cambria" w:hAnsi="Cambria" w:cs="Cambria"/>
          <w:sz w:val="18"/>
          <w:szCs w:val="18"/>
        </w:rPr>
        <w:t xml:space="preserve">, </w:t>
      </w:r>
      <w:r w:rsidR="008D5C34" w:rsidRPr="008A7BD7">
        <w:rPr>
          <w:rFonts w:ascii="Cambria" w:eastAsia="Cambria" w:hAnsi="Cambria" w:cs="Cambria"/>
          <w:sz w:val="18"/>
          <w:szCs w:val="18"/>
        </w:rPr>
        <w:t xml:space="preserve">Statement of the National Virtual Gathering of August 18-19, </w:t>
      </w:r>
      <w:r w:rsidRPr="008A7BD7">
        <w:rPr>
          <w:rFonts w:ascii="Cambria" w:eastAsia="Cambria" w:hAnsi="Cambria" w:cs="Cambria"/>
          <w:sz w:val="18"/>
          <w:szCs w:val="18"/>
        </w:rPr>
        <w:t>2021</w:t>
      </w:r>
      <w:r w:rsidR="008D5C34" w:rsidRPr="008A7BD7">
        <w:rPr>
          <w:rFonts w:ascii="Cambria" w:eastAsia="Cambria" w:hAnsi="Cambria" w:cs="Cambria"/>
          <w:sz w:val="18"/>
          <w:szCs w:val="18"/>
        </w:rPr>
        <w:t>.</w:t>
      </w:r>
    </w:p>
  </w:footnote>
  <w:footnote w:id="195">
    <w:p w14:paraId="1C0DF9A5" w14:textId="656C5BB1" w:rsidR="00E0555A" w:rsidRPr="008A7BD7" w:rsidRDefault="00E0555A" w:rsidP="00992C6A">
      <w:pPr>
        <w:pStyle w:val="FootnoteText"/>
        <w:spacing w:after="120"/>
        <w:ind w:firstLine="720"/>
        <w:jc w:val="both"/>
        <w:rPr>
          <w:rFonts w:ascii="Cambria" w:hAnsi="Cambria"/>
          <w:sz w:val="16"/>
          <w:szCs w:val="16"/>
        </w:rPr>
      </w:pPr>
      <w:r w:rsidRPr="008A7BD7">
        <w:rPr>
          <w:rStyle w:val="FootnoteReference"/>
          <w:rFonts w:ascii="Cambria" w:eastAsia="Cambria" w:hAnsi="Cambria" w:cs="Cambria"/>
          <w:sz w:val="18"/>
          <w:szCs w:val="18"/>
        </w:rPr>
        <w:footnoteRef/>
      </w:r>
      <w:r w:rsidRPr="008A7BD7">
        <w:rPr>
          <w:rFonts w:ascii="Cambria" w:eastAsia="Cambria" w:hAnsi="Cambria" w:cs="Cambria"/>
          <w:sz w:val="18"/>
          <w:szCs w:val="18"/>
        </w:rPr>
        <w:t xml:space="preserve"> </w:t>
      </w:r>
      <w:proofErr w:type="spellStart"/>
      <w:r w:rsidRPr="008A7BD7">
        <w:rPr>
          <w:rFonts w:ascii="Cambria" w:eastAsia="Cambria" w:hAnsi="Cambria" w:cs="Cambria"/>
          <w:sz w:val="18"/>
          <w:szCs w:val="18"/>
        </w:rPr>
        <w:t>Germanwatch</w:t>
      </w:r>
      <w:proofErr w:type="spellEnd"/>
      <w:r w:rsidRPr="008A7BD7">
        <w:rPr>
          <w:rFonts w:ascii="Cambria" w:eastAsia="Cambria" w:hAnsi="Cambria" w:cs="Cambria"/>
          <w:sz w:val="18"/>
          <w:szCs w:val="18"/>
        </w:rPr>
        <w:t xml:space="preserve">, </w:t>
      </w:r>
      <w:hyperlink r:id="rId205">
        <w:r w:rsidR="005B38A2" w:rsidRPr="008A7BD7">
          <w:rPr>
            <w:rStyle w:val="Hyperlink"/>
            <w:rFonts w:ascii="Cambria" w:eastAsia="Cambria" w:hAnsi="Cambria" w:cs="Cambria"/>
            <w:sz w:val="18"/>
            <w:szCs w:val="18"/>
          </w:rPr>
          <w:t>Briefing</w:t>
        </w:r>
      </w:hyperlink>
      <w:r w:rsidR="005B38A2" w:rsidRPr="008A7BD7">
        <w:rPr>
          <w:rStyle w:val="Hyperlink"/>
          <w:rFonts w:ascii="Cambria" w:eastAsia="Cambria" w:hAnsi="Cambria" w:cs="Cambria"/>
          <w:sz w:val="18"/>
          <w:szCs w:val="18"/>
        </w:rPr>
        <w:t xml:space="preserve"> Paper, Global Climate Risk Index 2021</w:t>
      </w:r>
      <w:r w:rsidRPr="008A7BD7">
        <w:rPr>
          <w:rFonts w:ascii="Cambria" w:eastAsia="Cambria" w:hAnsi="Cambria" w:cs="Cambria"/>
          <w:sz w:val="18"/>
          <w:szCs w:val="18"/>
        </w:rPr>
        <w:t xml:space="preserve">, </w:t>
      </w:r>
      <w:r w:rsidR="00414FF4" w:rsidRPr="008A7BD7">
        <w:rPr>
          <w:rFonts w:ascii="Cambria" w:eastAsia="Cambria" w:hAnsi="Cambria" w:cs="Cambria"/>
          <w:sz w:val="18"/>
          <w:szCs w:val="18"/>
        </w:rPr>
        <w:t>January</w:t>
      </w:r>
      <w:r w:rsidRPr="008A7BD7">
        <w:rPr>
          <w:rFonts w:ascii="Cambria" w:eastAsia="Cambria" w:hAnsi="Cambria" w:cs="Cambria"/>
          <w:sz w:val="18"/>
          <w:szCs w:val="18"/>
        </w:rPr>
        <w:t xml:space="preserve"> 2021</w:t>
      </w:r>
      <w:r w:rsidR="00992C6A" w:rsidRPr="008A7BD7">
        <w:rPr>
          <w:rFonts w:ascii="Cambria" w:eastAsia="Cambria" w:hAnsi="Cambria" w:cs="Cambria"/>
          <w:sz w:val="18"/>
          <w:szCs w:val="18"/>
        </w:rPr>
        <w:t>.</w:t>
      </w:r>
    </w:p>
  </w:footnote>
  <w:footnote w:id="196">
    <w:p w14:paraId="5F2EE257" w14:textId="7B46F810" w:rsidR="00E0555A" w:rsidRPr="008A7BD7" w:rsidRDefault="00E0555A" w:rsidP="00992C6A">
      <w:pPr>
        <w:pStyle w:val="FootnoteText"/>
        <w:spacing w:after="120"/>
        <w:ind w:firstLine="720"/>
        <w:jc w:val="both"/>
        <w:rPr>
          <w:rFonts w:ascii="Cambria" w:hAnsi="Cambria"/>
          <w:sz w:val="16"/>
          <w:szCs w:val="16"/>
        </w:rPr>
      </w:pPr>
      <w:r w:rsidRPr="008A7BD7">
        <w:rPr>
          <w:rStyle w:val="FootnoteReference"/>
          <w:rFonts w:ascii="Cambria" w:eastAsia="Cambria" w:hAnsi="Cambria" w:cs="Cambria"/>
          <w:sz w:val="18"/>
          <w:szCs w:val="18"/>
        </w:rPr>
        <w:footnoteRef/>
      </w:r>
      <w:r w:rsidRPr="008A7BD7">
        <w:rPr>
          <w:rFonts w:ascii="Cambria" w:eastAsia="Cambria" w:hAnsi="Cambria" w:cs="Cambria"/>
          <w:sz w:val="18"/>
          <w:szCs w:val="18"/>
        </w:rPr>
        <w:t xml:space="preserve"> </w:t>
      </w:r>
      <w:proofErr w:type="spellStart"/>
      <w:r w:rsidRPr="008A7BD7">
        <w:rPr>
          <w:rFonts w:ascii="Cambria" w:eastAsia="Cambria" w:hAnsi="Cambria" w:cs="Cambria"/>
          <w:sz w:val="18"/>
          <w:szCs w:val="18"/>
        </w:rPr>
        <w:t>Foro</w:t>
      </w:r>
      <w:proofErr w:type="spellEnd"/>
      <w:r w:rsidRPr="008A7BD7">
        <w:rPr>
          <w:rFonts w:ascii="Cambria" w:eastAsia="Cambria" w:hAnsi="Cambria" w:cs="Cambria"/>
          <w:sz w:val="18"/>
          <w:szCs w:val="18"/>
        </w:rPr>
        <w:t xml:space="preserve"> Guatemala Vulnerable</w:t>
      </w:r>
      <w:r w:rsidR="00B37AA2" w:rsidRPr="008A7BD7">
        <w:rPr>
          <w:rFonts w:ascii="Cambria" w:eastAsia="Cambria" w:hAnsi="Cambria" w:cs="Cambria"/>
          <w:sz w:val="18"/>
          <w:szCs w:val="18"/>
        </w:rPr>
        <w:t>,</w:t>
      </w:r>
      <w:r w:rsidRPr="008A7BD7">
        <w:rPr>
          <w:rFonts w:ascii="Cambria" w:eastAsia="Cambria" w:hAnsi="Cambria" w:cs="Cambria"/>
          <w:sz w:val="18"/>
          <w:szCs w:val="18"/>
        </w:rPr>
        <w:t xml:space="preserve"> </w:t>
      </w:r>
      <w:r w:rsidRPr="008A7BD7">
        <w:rPr>
          <w:rFonts w:ascii="Cambria" w:eastAsia="Cambria" w:hAnsi="Cambria" w:cs="Cambria"/>
          <w:i/>
          <w:iCs/>
          <w:sz w:val="18"/>
          <w:szCs w:val="18"/>
        </w:rPr>
        <w:t xml:space="preserve">Unidad </w:t>
      </w:r>
      <w:proofErr w:type="spellStart"/>
      <w:r w:rsidRPr="008A7BD7">
        <w:rPr>
          <w:rFonts w:ascii="Cambria" w:eastAsia="Cambria" w:hAnsi="Cambria" w:cs="Cambria"/>
          <w:i/>
          <w:iCs/>
          <w:sz w:val="18"/>
          <w:szCs w:val="18"/>
        </w:rPr>
        <w:t>por</w:t>
      </w:r>
      <w:proofErr w:type="spellEnd"/>
      <w:r w:rsidRPr="008A7BD7">
        <w:rPr>
          <w:rFonts w:ascii="Cambria" w:eastAsia="Cambria" w:hAnsi="Cambria" w:cs="Cambria"/>
          <w:i/>
          <w:iCs/>
          <w:sz w:val="18"/>
          <w:szCs w:val="18"/>
        </w:rPr>
        <w:t xml:space="preserve"> la </w:t>
      </w:r>
      <w:proofErr w:type="spellStart"/>
      <w:r w:rsidRPr="008A7BD7">
        <w:rPr>
          <w:rFonts w:ascii="Cambria" w:eastAsia="Cambria" w:hAnsi="Cambria" w:cs="Cambria"/>
          <w:i/>
          <w:iCs/>
          <w:sz w:val="18"/>
          <w:szCs w:val="18"/>
        </w:rPr>
        <w:t>vida</w:t>
      </w:r>
      <w:proofErr w:type="spellEnd"/>
      <w:r w:rsidRPr="008A7BD7">
        <w:rPr>
          <w:rFonts w:ascii="Cambria" w:eastAsia="Cambria" w:hAnsi="Cambria" w:cs="Cambria"/>
          <w:sz w:val="18"/>
          <w:szCs w:val="18"/>
        </w:rPr>
        <w:t xml:space="preserve">, </w:t>
      </w:r>
      <w:r w:rsidR="00B37AA2" w:rsidRPr="008A7BD7">
        <w:rPr>
          <w:rFonts w:ascii="Cambria" w:eastAsia="Cambria" w:hAnsi="Cambria" w:cs="Cambria"/>
          <w:sz w:val="18"/>
          <w:szCs w:val="18"/>
        </w:rPr>
        <w:t>Statement of the National Virtual Gathering of August 18-19, 2021.</w:t>
      </w:r>
    </w:p>
  </w:footnote>
  <w:footnote w:id="197">
    <w:p w14:paraId="24AE14AD" w14:textId="32E6887B" w:rsidR="00E0555A" w:rsidRPr="008A7BD7" w:rsidRDefault="00E0555A" w:rsidP="00992C6A">
      <w:pPr>
        <w:pStyle w:val="FootnoteText"/>
        <w:spacing w:after="120"/>
        <w:ind w:firstLine="720"/>
        <w:jc w:val="both"/>
        <w:rPr>
          <w:rFonts w:ascii="Cambria" w:hAnsi="Cambria"/>
          <w:sz w:val="16"/>
          <w:szCs w:val="16"/>
        </w:rPr>
      </w:pPr>
      <w:r w:rsidRPr="008A7BD7">
        <w:rPr>
          <w:rStyle w:val="FootnoteReference"/>
          <w:rFonts w:ascii="Cambria" w:eastAsia="Cambria" w:hAnsi="Cambria" w:cs="Cambria"/>
          <w:sz w:val="18"/>
          <w:szCs w:val="18"/>
        </w:rPr>
        <w:footnoteRef/>
      </w:r>
      <w:r w:rsidRPr="008A7BD7">
        <w:rPr>
          <w:rFonts w:ascii="Cambria" w:eastAsia="Cambria" w:hAnsi="Cambria" w:cs="Cambria"/>
          <w:sz w:val="18"/>
          <w:szCs w:val="18"/>
        </w:rPr>
        <w:t xml:space="preserve"> </w:t>
      </w:r>
      <w:r w:rsidR="00617378" w:rsidRPr="008A7BD7">
        <w:rPr>
          <w:rFonts w:ascii="Cambria" w:eastAsia="Cambria" w:hAnsi="Cambria" w:cs="Cambria"/>
          <w:sz w:val="18"/>
          <w:szCs w:val="18"/>
        </w:rPr>
        <w:t>IACHR</w:t>
      </w:r>
      <w:r w:rsidRPr="008A7BD7">
        <w:rPr>
          <w:rFonts w:ascii="Cambria" w:eastAsia="Cambria" w:hAnsi="Cambria" w:cs="Cambria"/>
          <w:sz w:val="18"/>
          <w:szCs w:val="18"/>
        </w:rPr>
        <w:t xml:space="preserve">, </w:t>
      </w:r>
      <w:hyperlink r:id="rId206" w:history="1">
        <w:r w:rsidR="00EC4AF9" w:rsidRPr="008A7BD7">
          <w:rPr>
            <w:rStyle w:val="Hyperlink"/>
            <w:rFonts w:ascii="Cambria" w:eastAsia="Cambria" w:hAnsi="Cambria" w:cs="Cambria"/>
            <w:sz w:val="18"/>
            <w:szCs w:val="18"/>
          </w:rPr>
          <w:t>Statement on Twitter</w:t>
        </w:r>
      </w:hyperlink>
      <w:r w:rsidR="00EC4AF9" w:rsidRPr="008A7BD7">
        <w:rPr>
          <w:rFonts w:ascii="Cambria" w:eastAsia="Cambria" w:hAnsi="Cambria" w:cs="Cambria"/>
          <w:sz w:val="18"/>
          <w:szCs w:val="18"/>
        </w:rPr>
        <w:t xml:space="preserve">, June 15, 2021. </w:t>
      </w:r>
    </w:p>
  </w:footnote>
  <w:footnote w:id="198">
    <w:p w14:paraId="455BE7FF" w14:textId="2E6744C4" w:rsidR="00E0555A" w:rsidRPr="008A7BD7" w:rsidRDefault="00E0555A" w:rsidP="00DB6C37">
      <w:pPr>
        <w:spacing w:after="120"/>
        <w:ind w:firstLine="720"/>
        <w:jc w:val="both"/>
        <w:rPr>
          <w:rFonts w:ascii="Cambria" w:eastAsia="Cambria" w:hAnsi="Cambria" w:cs="Cambria"/>
          <w:sz w:val="16"/>
          <w:szCs w:val="16"/>
          <w:lang w:val="es-419"/>
        </w:rPr>
      </w:pPr>
      <w:r w:rsidRPr="008A7BD7">
        <w:rPr>
          <w:rFonts w:ascii="Cambria" w:eastAsia="Cambria" w:hAnsi="Cambria" w:cs="Cambria"/>
          <w:sz w:val="18"/>
          <w:szCs w:val="18"/>
          <w:vertAlign w:val="superscript"/>
        </w:rPr>
        <w:footnoteRef/>
      </w:r>
      <w:r w:rsidRPr="008A7BD7">
        <w:rPr>
          <w:rFonts w:ascii="Cambria" w:eastAsia="Cambria" w:hAnsi="Cambria" w:cs="Cambria"/>
          <w:sz w:val="18"/>
          <w:szCs w:val="18"/>
          <w:lang w:val="es-419"/>
        </w:rPr>
        <w:t xml:space="preserve"> </w:t>
      </w:r>
      <w:r w:rsidRPr="008A7BD7">
        <w:rPr>
          <w:rFonts w:ascii="Cambria" w:eastAsia="Cambria" w:hAnsi="Cambria" w:cs="Cambria"/>
          <w:i/>
          <w:iCs/>
          <w:sz w:val="18"/>
          <w:szCs w:val="18"/>
          <w:lang w:val="es-419"/>
        </w:rPr>
        <w:t>Soy502</w:t>
      </w:r>
      <w:r w:rsidRPr="008A7BD7">
        <w:rPr>
          <w:rFonts w:ascii="Cambria" w:eastAsia="Cambria" w:hAnsi="Cambria" w:cs="Cambria"/>
          <w:sz w:val="18"/>
          <w:szCs w:val="18"/>
          <w:lang w:val="es-419"/>
        </w:rPr>
        <w:t xml:space="preserve">, </w:t>
      </w:r>
      <w:hyperlink r:id="rId207">
        <w:r w:rsidRPr="008A7BD7">
          <w:rPr>
            <w:rFonts w:ascii="Cambria" w:eastAsia="Cambria" w:hAnsi="Cambria" w:cs="Cambria"/>
            <w:i/>
            <w:iCs/>
            <w:color w:val="1155CC"/>
            <w:sz w:val="18"/>
            <w:szCs w:val="18"/>
            <w:u w:val="single"/>
            <w:lang w:val="es-419"/>
          </w:rPr>
          <w:t>Unas 10 mil personas podrían ser evacuadas tras inundaciones en Sololá</w:t>
        </w:r>
      </w:hyperlink>
      <w:r w:rsidRPr="008A7BD7">
        <w:rPr>
          <w:rFonts w:ascii="Cambria" w:eastAsia="Cambria" w:hAnsi="Cambria" w:cs="Cambria"/>
          <w:sz w:val="18"/>
          <w:szCs w:val="18"/>
          <w:lang w:val="es-419"/>
        </w:rPr>
        <w:t xml:space="preserve">, </w:t>
      </w:r>
      <w:r w:rsidR="00EE7510" w:rsidRPr="008A7BD7">
        <w:rPr>
          <w:rFonts w:ascii="Cambria" w:eastAsia="Cambria" w:hAnsi="Cambria" w:cs="Cambria"/>
          <w:sz w:val="18"/>
          <w:szCs w:val="18"/>
          <w:lang w:val="es-419"/>
        </w:rPr>
        <w:t xml:space="preserve">June </w:t>
      </w:r>
      <w:r w:rsidRPr="008A7BD7">
        <w:rPr>
          <w:rFonts w:ascii="Cambria" w:eastAsia="Cambria" w:hAnsi="Cambria" w:cs="Cambria"/>
          <w:sz w:val="18"/>
          <w:szCs w:val="18"/>
          <w:lang w:val="es-419"/>
        </w:rPr>
        <w:t>13</w:t>
      </w:r>
      <w:r w:rsidR="00EE7510"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 xml:space="preserve">2021. </w:t>
      </w:r>
    </w:p>
  </w:footnote>
  <w:footnote w:id="199">
    <w:p w14:paraId="71DFEF7C" w14:textId="55BE0168" w:rsidR="00E0555A" w:rsidRPr="008A7BD7" w:rsidRDefault="00E0555A" w:rsidP="00DB6C37">
      <w:pPr>
        <w:spacing w:after="120"/>
        <w:ind w:firstLine="720"/>
        <w:jc w:val="both"/>
        <w:rPr>
          <w:rFonts w:ascii="Cambria" w:eastAsia="Cambria" w:hAnsi="Cambria" w:cs="Cambria"/>
          <w:sz w:val="16"/>
          <w:szCs w:val="16"/>
          <w:lang w:val="es-419"/>
        </w:rPr>
      </w:pPr>
      <w:r w:rsidRPr="008A7BD7">
        <w:rPr>
          <w:rFonts w:ascii="Cambria" w:eastAsia="Cambria" w:hAnsi="Cambria" w:cs="Cambria"/>
          <w:sz w:val="18"/>
          <w:szCs w:val="18"/>
          <w:vertAlign w:val="superscript"/>
        </w:rPr>
        <w:footnoteRef/>
      </w:r>
      <w:r w:rsidRPr="008A7BD7">
        <w:rPr>
          <w:rFonts w:ascii="Cambria" w:eastAsia="Cambria" w:hAnsi="Cambria" w:cs="Cambria"/>
          <w:sz w:val="18"/>
          <w:szCs w:val="18"/>
          <w:lang w:val="es-419"/>
        </w:rPr>
        <w:t xml:space="preserve"> </w:t>
      </w:r>
      <w:r w:rsidRPr="008A7BD7">
        <w:rPr>
          <w:rFonts w:ascii="Cambria" w:eastAsia="Cambria" w:hAnsi="Cambria" w:cs="Cambria"/>
          <w:i/>
          <w:iCs/>
          <w:sz w:val="18"/>
          <w:szCs w:val="18"/>
          <w:lang w:val="es-419"/>
        </w:rPr>
        <w:t>República</w:t>
      </w:r>
      <w:r w:rsidRPr="008A7BD7">
        <w:rPr>
          <w:rFonts w:ascii="Cambria" w:eastAsia="Cambria" w:hAnsi="Cambria" w:cs="Cambria"/>
          <w:sz w:val="18"/>
          <w:szCs w:val="18"/>
          <w:lang w:val="es-419"/>
        </w:rPr>
        <w:t xml:space="preserve">, </w:t>
      </w:r>
      <w:hyperlink r:id="rId208">
        <w:r w:rsidRPr="008A7BD7">
          <w:rPr>
            <w:rFonts w:ascii="Cambria" w:eastAsia="Cambria" w:hAnsi="Cambria" w:cs="Cambria"/>
            <w:i/>
            <w:iCs/>
            <w:color w:val="1155CC"/>
            <w:sz w:val="18"/>
            <w:szCs w:val="18"/>
            <w:u w:val="single"/>
            <w:lang w:val="es-419"/>
          </w:rPr>
          <w:t>Río Pantaleón cambia de cauce y afecta comunidades, cultivos y carreteras</w:t>
        </w:r>
      </w:hyperlink>
      <w:r w:rsidRPr="008A7BD7">
        <w:rPr>
          <w:rFonts w:ascii="Cambria" w:eastAsia="Cambria" w:hAnsi="Cambria" w:cs="Cambria"/>
          <w:sz w:val="18"/>
          <w:szCs w:val="18"/>
          <w:lang w:val="es-419"/>
        </w:rPr>
        <w:t xml:space="preserve">, </w:t>
      </w:r>
      <w:proofErr w:type="spellStart"/>
      <w:r w:rsidR="00EE7510" w:rsidRPr="008A7BD7">
        <w:rPr>
          <w:rFonts w:ascii="Cambria" w:eastAsia="Cambria" w:hAnsi="Cambria" w:cs="Cambria"/>
          <w:sz w:val="18"/>
          <w:szCs w:val="18"/>
          <w:lang w:val="es-419"/>
        </w:rPr>
        <w:t>September</w:t>
      </w:r>
      <w:proofErr w:type="spellEnd"/>
      <w:r w:rsidR="00EE7510"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12</w:t>
      </w:r>
      <w:r w:rsidR="00EE7510"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 xml:space="preserve">2021. </w:t>
      </w:r>
    </w:p>
  </w:footnote>
  <w:footnote w:id="200">
    <w:p w14:paraId="679E8E6E" w14:textId="22A153FD" w:rsidR="00DB6C37" w:rsidRPr="008A7BD7" w:rsidRDefault="00E0555A" w:rsidP="00271359">
      <w:pPr>
        <w:ind w:firstLine="720"/>
        <w:rPr>
          <w:rFonts w:ascii="Cambria" w:eastAsia="Cambria" w:hAnsi="Cambria" w:cs="Cambria"/>
          <w:sz w:val="18"/>
          <w:szCs w:val="18"/>
        </w:rPr>
      </w:pPr>
      <w:r w:rsidRPr="008A7BD7">
        <w:rPr>
          <w:rFonts w:ascii="Cambria" w:eastAsia="Cambria" w:hAnsi="Cambria" w:cs="Cambria"/>
          <w:sz w:val="18"/>
          <w:szCs w:val="18"/>
          <w:vertAlign w:val="superscript"/>
        </w:rPr>
        <w:footnoteRef/>
      </w:r>
      <w:r w:rsidRPr="008A7BD7">
        <w:rPr>
          <w:rFonts w:ascii="Cambria" w:eastAsia="Cambria" w:hAnsi="Cambria" w:cs="Cambria"/>
          <w:sz w:val="18"/>
          <w:szCs w:val="18"/>
        </w:rPr>
        <w:t xml:space="preserve"> </w:t>
      </w:r>
      <w:r w:rsidR="002D7419" w:rsidRPr="008A7BD7">
        <w:rPr>
          <w:rFonts w:ascii="Cambria" w:eastAsia="Cambria" w:hAnsi="Cambria" w:cs="Cambria"/>
          <w:sz w:val="18"/>
          <w:szCs w:val="18"/>
        </w:rPr>
        <w:t xml:space="preserve">IACHR and </w:t>
      </w:r>
      <w:r w:rsidR="0076394C" w:rsidRPr="008A7BD7">
        <w:rPr>
          <w:rFonts w:ascii="Cambria" w:eastAsia="Cambria" w:hAnsi="Cambria" w:cs="Cambria"/>
          <w:sz w:val="18"/>
          <w:szCs w:val="18"/>
        </w:rPr>
        <w:t>REDESCA</w:t>
      </w:r>
      <w:r w:rsidR="002D7419" w:rsidRPr="008A7BD7">
        <w:rPr>
          <w:rFonts w:ascii="Cambria" w:eastAsia="Cambria" w:hAnsi="Cambria" w:cs="Cambria"/>
          <w:sz w:val="18"/>
          <w:szCs w:val="18"/>
        </w:rPr>
        <w:t xml:space="preserve">, </w:t>
      </w:r>
      <w:hyperlink r:id="rId209" w:history="1">
        <w:r w:rsidR="002D7419" w:rsidRPr="008A7BD7">
          <w:rPr>
            <w:rStyle w:val="Hyperlink"/>
            <w:rFonts w:ascii="Cambria" w:eastAsia="Cambria" w:hAnsi="Cambria" w:cs="Cambria"/>
            <w:sz w:val="18"/>
            <w:szCs w:val="18"/>
          </w:rPr>
          <w:t xml:space="preserve">In the framework of COP 26 of the Framework Convention on Climate Change, the IACHR and </w:t>
        </w:r>
        <w:r w:rsidRPr="008A7BD7">
          <w:rPr>
            <w:rStyle w:val="Hyperlink"/>
            <w:rFonts w:ascii="Cambria" w:eastAsia="Cambria" w:hAnsi="Cambria" w:cs="Cambria"/>
            <w:sz w:val="18"/>
            <w:szCs w:val="18"/>
          </w:rPr>
          <w:t>REDESCA</w:t>
        </w:r>
        <w:r w:rsidR="002D7419" w:rsidRPr="008A7BD7">
          <w:rPr>
            <w:rStyle w:val="Hyperlink"/>
            <w:rFonts w:ascii="Cambria" w:eastAsia="Cambria" w:hAnsi="Cambria" w:cs="Cambria"/>
            <w:sz w:val="18"/>
            <w:szCs w:val="18"/>
          </w:rPr>
          <w:t xml:space="preserve"> call on OAS Member States to put the protection of human rights at the center of their climate policies and actions</w:t>
        </w:r>
      </w:hyperlink>
      <w:r w:rsidR="002D7419" w:rsidRPr="008A7BD7">
        <w:rPr>
          <w:rFonts w:ascii="Cambria" w:eastAsia="Cambria" w:hAnsi="Cambria" w:cs="Cambria"/>
          <w:sz w:val="18"/>
          <w:szCs w:val="18"/>
        </w:rPr>
        <w:t>,</w:t>
      </w:r>
      <w:r w:rsidRPr="008A7BD7">
        <w:rPr>
          <w:rFonts w:ascii="Cambria" w:eastAsia="Cambria" w:hAnsi="Cambria" w:cs="Cambria"/>
          <w:sz w:val="18"/>
          <w:szCs w:val="18"/>
        </w:rPr>
        <w:t xml:space="preserve"> </w:t>
      </w:r>
      <w:r w:rsidR="002D7419" w:rsidRPr="008A7BD7">
        <w:rPr>
          <w:rFonts w:ascii="Cambria" w:eastAsia="Cambria" w:hAnsi="Cambria" w:cs="Cambria"/>
          <w:sz w:val="18"/>
          <w:szCs w:val="18"/>
        </w:rPr>
        <w:t xml:space="preserve">November </w:t>
      </w:r>
      <w:r w:rsidRPr="008A7BD7">
        <w:rPr>
          <w:rFonts w:ascii="Cambria" w:eastAsia="Cambria" w:hAnsi="Cambria" w:cs="Cambria"/>
          <w:sz w:val="18"/>
          <w:szCs w:val="18"/>
        </w:rPr>
        <w:t>4</w:t>
      </w:r>
      <w:r w:rsidR="002D7419" w:rsidRPr="008A7BD7">
        <w:rPr>
          <w:rFonts w:ascii="Cambria" w:eastAsia="Cambria" w:hAnsi="Cambria" w:cs="Cambria"/>
          <w:sz w:val="18"/>
          <w:szCs w:val="18"/>
        </w:rPr>
        <w:t xml:space="preserve">, </w:t>
      </w:r>
      <w:r w:rsidRPr="008A7BD7">
        <w:rPr>
          <w:rFonts w:ascii="Cambria" w:eastAsia="Cambria" w:hAnsi="Cambria" w:cs="Cambria"/>
          <w:sz w:val="18"/>
          <w:szCs w:val="18"/>
        </w:rPr>
        <w:t>2021</w:t>
      </w:r>
      <w:r w:rsidR="002D7419" w:rsidRPr="008A7BD7">
        <w:rPr>
          <w:rFonts w:ascii="Cambria" w:eastAsia="Cambria" w:hAnsi="Cambria" w:cs="Cambria"/>
          <w:sz w:val="18"/>
          <w:szCs w:val="18"/>
        </w:rPr>
        <w:t>.</w:t>
      </w:r>
    </w:p>
    <w:p w14:paraId="221FCD61" w14:textId="77777777" w:rsidR="00271359" w:rsidRPr="008A7BD7" w:rsidRDefault="00271359" w:rsidP="00271359">
      <w:pPr>
        <w:ind w:firstLine="720"/>
        <w:rPr>
          <w:rFonts w:ascii="Cambria" w:eastAsia="Cambria" w:hAnsi="Cambria" w:cs="Cambria"/>
          <w:sz w:val="18"/>
          <w:szCs w:val="18"/>
        </w:rPr>
      </w:pPr>
    </w:p>
  </w:footnote>
  <w:footnote w:id="201">
    <w:p w14:paraId="315DE34F" w14:textId="4D2A6FD9" w:rsidR="00E0555A" w:rsidRPr="008A7BD7" w:rsidRDefault="00E0555A" w:rsidP="00DB6C37">
      <w:pPr>
        <w:spacing w:after="120"/>
        <w:ind w:firstLine="720"/>
        <w:jc w:val="both"/>
        <w:rPr>
          <w:rFonts w:ascii="Cambria" w:eastAsia="Cambria" w:hAnsi="Cambria" w:cs="Cambria"/>
          <w:sz w:val="16"/>
          <w:szCs w:val="16"/>
          <w:lang w:val="es-419"/>
        </w:rPr>
      </w:pPr>
      <w:r w:rsidRPr="008A7BD7">
        <w:rPr>
          <w:rFonts w:ascii="Cambria" w:eastAsia="Cambria" w:hAnsi="Cambria" w:cs="Cambria"/>
          <w:sz w:val="18"/>
          <w:szCs w:val="18"/>
          <w:vertAlign w:val="superscript"/>
        </w:rPr>
        <w:footnoteRef/>
      </w:r>
      <w:r w:rsidRPr="008A7BD7">
        <w:rPr>
          <w:rFonts w:ascii="Cambria" w:eastAsia="Cambria" w:hAnsi="Cambria" w:cs="Cambria"/>
          <w:sz w:val="18"/>
          <w:szCs w:val="18"/>
          <w:lang w:val="es-419"/>
        </w:rPr>
        <w:t xml:space="preserve"> </w:t>
      </w:r>
      <w:r w:rsidRPr="008A7BD7">
        <w:rPr>
          <w:rFonts w:ascii="Cambria" w:eastAsia="Cambria" w:hAnsi="Cambria" w:cs="Cambria"/>
          <w:i/>
          <w:iCs/>
          <w:sz w:val="18"/>
          <w:szCs w:val="18"/>
          <w:lang w:val="es-419"/>
        </w:rPr>
        <w:t>Yahoo! Noticias</w:t>
      </w:r>
      <w:r w:rsidRPr="008A7BD7">
        <w:rPr>
          <w:rFonts w:ascii="Cambria" w:eastAsia="Cambria" w:hAnsi="Cambria" w:cs="Cambria"/>
          <w:sz w:val="18"/>
          <w:szCs w:val="18"/>
          <w:lang w:val="es-419"/>
        </w:rPr>
        <w:t xml:space="preserve">, </w:t>
      </w:r>
      <w:hyperlink r:id="rId210">
        <w:r w:rsidRPr="008A7BD7">
          <w:rPr>
            <w:rFonts w:ascii="Cambria" w:eastAsia="Cambria" w:hAnsi="Cambria" w:cs="Cambria"/>
            <w:i/>
            <w:iCs/>
            <w:color w:val="0563C1"/>
            <w:sz w:val="18"/>
            <w:szCs w:val="18"/>
            <w:u w:val="single"/>
            <w:lang w:val="es-419"/>
          </w:rPr>
          <w:t>La temporada de lluvias deja cinco muertos y 266.000 afectados en Guatemala</w:t>
        </w:r>
      </w:hyperlink>
      <w:r w:rsidRPr="008A7BD7">
        <w:rPr>
          <w:rFonts w:ascii="Cambria" w:eastAsia="Cambria" w:hAnsi="Cambria" w:cs="Cambria"/>
          <w:sz w:val="18"/>
          <w:szCs w:val="18"/>
          <w:lang w:val="es-419"/>
        </w:rPr>
        <w:t xml:space="preserve">, </w:t>
      </w:r>
      <w:r w:rsidR="002C1217" w:rsidRPr="008A7BD7">
        <w:rPr>
          <w:rFonts w:ascii="Cambria" w:eastAsia="Cambria" w:hAnsi="Cambria" w:cs="Cambria"/>
          <w:sz w:val="18"/>
          <w:szCs w:val="18"/>
          <w:lang w:val="es-419"/>
        </w:rPr>
        <w:t xml:space="preserve">June </w:t>
      </w:r>
      <w:r w:rsidRPr="008A7BD7">
        <w:rPr>
          <w:rFonts w:ascii="Cambria" w:eastAsia="Cambria" w:hAnsi="Cambria" w:cs="Cambria"/>
          <w:sz w:val="18"/>
          <w:szCs w:val="18"/>
          <w:lang w:val="es-419"/>
        </w:rPr>
        <w:t>14</w:t>
      </w:r>
      <w:r w:rsidR="002C1217"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 xml:space="preserve">2021. </w:t>
      </w:r>
    </w:p>
  </w:footnote>
  <w:footnote w:id="202">
    <w:p w14:paraId="79E61447" w14:textId="5810CC60" w:rsidR="00E0555A" w:rsidRPr="008A7BD7" w:rsidRDefault="00E0555A" w:rsidP="00DB6C37">
      <w:pPr>
        <w:pStyle w:val="FootnoteText"/>
        <w:spacing w:after="120"/>
        <w:ind w:firstLine="720"/>
        <w:rPr>
          <w:rFonts w:ascii="Cambria" w:hAnsi="Cambria"/>
          <w:sz w:val="16"/>
          <w:szCs w:val="16"/>
          <w:lang w:val="es-US"/>
        </w:rPr>
      </w:pPr>
      <w:r w:rsidRPr="008A7BD7">
        <w:rPr>
          <w:rStyle w:val="FootnoteReference"/>
          <w:rFonts w:ascii="Cambria" w:eastAsia="Cambria" w:hAnsi="Cambria" w:cs="Cambria"/>
          <w:sz w:val="18"/>
          <w:szCs w:val="18"/>
        </w:rPr>
        <w:footnoteRef/>
      </w:r>
      <w:r w:rsidR="00870849" w:rsidRPr="008A7BD7">
        <w:rPr>
          <w:rFonts w:ascii="Cambria" w:eastAsia="Cambria" w:hAnsi="Cambria" w:cs="Cambria"/>
          <w:sz w:val="18"/>
          <w:szCs w:val="18"/>
          <w:lang w:val="es-US"/>
        </w:rPr>
        <w:t xml:space="preserve"> IOM</w:t>
      </w:r>
      <w:r w:rsidRPr="008A7BD7">
        <w:rPr>
          <w:rFonts w:ascii="Cambria" w:eastAsia="Cambria" w:hAnsi="Cambria" w:cs="Cambria"/>
          <w:sz w:val="18"/>
          <w:szCs w:val="18"/>
          <w:lang w:val="es-US"/>
        </w:rPr>
        <w:t xml:space="preserve">, </w:t>
      </w:r>
      <w:hyperlink r:id="rId211">
        <w:r w:rsidRPr="008A7BD7">
          <w:rPr>
            <w:rStyle w:val="Hyperlink"/>
            <w:rFonts w:ascii="Cambria" w:eastAsia="Cambria" w:hAnsi="Cambria" w:cs="Cambria"/>
            <w:i/>
            <w:iCs/>
            <w:sz w:val="18"/>
            <w:szCs w:val="18"/>
            <w:lang w:val="es-US"/>
          </w:rPr>
          <w:t>Encuesta de medios de vida a hogares desplazados por tormentas en Alta Verapaz y Huehuetenango: DTM Tormentas Guatemala</w:t>
        </w:r>
      </w:hyperlink>
      <w:r w:rsidRPr="008A7BD7">
        <w:rPr>
          <w:rFonts w:ascii="Cambria" w:eastAsia="Cambria" w:hAnsi="Cambria" w:cs="Cambria"/>
          <w:sz w:val="18"/>
          <w:szCs w:val="18"/>
          <w:lang w:val="es-US"/>
        </w:rPr>
        <w:t>, 2021</w:t>
      </w:r>
      <w:r w:rsidR="00870849" w:rsidRPr="008A7BD7">
        <w:rPr>
          <w:rFonts w:ascii="Cambria" w:eastAsia="Cambria" w:hAnsi="Cambria" w:cs="Cambria"/>
          <w:sz w:val="18"/>
          <w:szCs w:val="18"/>
          <w:lang w:val="es-US"/>
        </w:rPr>
        <w:t>.</w:t>
      </w:r>
    </w:p>
  </w:footnote>
  <w:footnote w:id="203">
    <w:p w14:paraId="0AA4EC0C" w14:textId="6BBB6C9E" w:rsidR="00E0555A" w:rsidRPr="008A7BD7" w:rsidRDefault="00E0555A" w:rsidP="00DB6C37">
      <w:pPr>
        <w:spacing w:after="120"/>
        <w:ind w:firstLine="720"/>
        <w:jc w:val="both"/>
        <w:rPr>
          <w:rFonts w:ascii="Cambria" w:eastAsia="Cambria" w:hAnsi="Cambria" w:cs="Cambria"/>
          <w:sz w:val="16"/>
          <w:szCs w:val="16"/>
          <w:lang w:val="es-419"/>
        </w:rPr>
      </w:pPr>
      <w:r w:rsidRPr="008A7BD7">
        <w:rPr>
          <w:rFonts w:ascii="Cambria" w:eastAsia="Cambria" w:hAnsi="Cambria" w:cs="Cambria"/>
          <w:sz w:val="18"/>
          <w:szCs w:val="18"/>
          <w:vertAlign w:val="superscript"/>
        </w:rPr>
        <w:footnoteRef/>
      </w:r>
      <w:r w:rsidRPr="008A7BD7">
        <w:rPr>
          <w:rFonts w:ascii="Cambria" w:eastAsia="Cambria" w:hAnsi="Cambria" w:cs="Cambria"/>
          <w:sz w:val="18"/>
          <w:szCs w:val="18"/>
          <w:lang w:val="es-419"/>
        </w:rPr>
        <w:t xml:space="preserve"> </w:t>
      </w:r>
      <w:r w:rsidRPr="008A7BD7">
        <w:rPr>
          <w:rFonts w:ascii="Cambria" w:eastAsia="Cambria" w:hAnsi="Cambria" w:cs="Cambria"/>
          <w:i/>
          <w:iCs/>
          <w:sz w:val="18"/>
          <w:szCs w:val="18"/>
          <w:lang w:val="es-419"/>
        </w:rPr>
        <w:t>CRN Noticias</w:t>
      </w:r>
      <w:r w:rsidRPr="008A7BD7">
        <w:rPr>
          <w:rFonts w:ascii="Cambria" w:eastAsia="Cambria" w:hAnsi="Cambria" w:cs="Cambria"/>
          <w:sz w:val="18"/>
          <w:szCs w:val="18"/>
          <w:lang w:val="es-419"/>
        </w:rPr>
        <w:t xml:space="preserve">, </w:t>
      </w:r>
      <w:hyperlink r:id="rId212">
        <w:r w:rsidRPr="008A7BD7">
          <w:rPr>
            <w:rFonts w:ascii="Cambria" w:eastAsia="Cambria" w:hAnsi="Cambria" w:cs="Cambria"/>
            <w:i/>
            <w:iCs/>
            <w:color w:val="0563C1"/>
            <w:sz w:val="18"/>
            <w:szCs w:val="18"/>
            <w:u w:val="single"/>
            <w:lang w:val="es-419"/>
          </w:rPr>
          <w:t>Los huracanes Eta e Iota aún generan desplazados en Guatemala</w:t>
        </w:r>
      </w:hyperlink>
      <w:r w:rsidRPr="008A7BD7">
        <w:rPr>
          <w:rFonts w:ascii="Cambria" w:eastAsia="Cambria" w:hAnsi="Cambria" w:cs="Cambria"/>
          <w:sz w:val="18"/>
          <w:szCs w:val="18"/>
          <w:lang w:val="es-419"/>
        </w:rPr>
        <w:t xml:space="preserve">, </w:t>
      </w:r>
      <w:r w:rsidR="00870849" w:rsidRPr="008A7BD7">
        <w:rPr>
          <w:rFonts w:ascii="Cambria" w:eastAsia="Cambria" w:hAnsi="Cambria" w:cs="Cambria"/>
          <w:sz w:val="18"/>
          <w:szCs w:val="18"/>
          <w:lang w:val="es-419"/>
        </w:rPr>
        <w:t xml:space="preserve">May </w:t>
      </w:r>
      <w:r w:rsidRPr="008A7BD7">
        <w:rPr>
          <w:rFonts w:ascii="Cambria" w:eastAsia="Cambria" w:hAnsi="Cambria" w:cs="Cambria"/>
          <w:sz w:val="18"/>
          <w:szCs w:val="18"/>
          <w:lang w:val="es-419"/>
        </w:rPr>
        <w:t>5</w:t>
      </w:r>
      <w:r w:rsidR="00870849"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 xml:space="preserve">2021. </w:t>
      </w:r>
    </w:p>
  </w:footnote>
  <w:footnote w:id="204">
    <w:p w14:paraId="74002C66" w14:textId="056A5A34" w:rsidR="00E0555A" w:rsidRPr="008A7BD7" w:rsidRDefault="00E0555A" w:rsidP="00DB6C37">
      <w:pPr>
        <w:pStyle w:val="FootnoteText"/>
        <w:spacing w:after="120"/>
        <w:ind w:firstLine="720"/>
        <w:rPr>
          <w:rFonts w:ascii="Cambria" w:eastAsia="Cambria" w:hAnsi="Cambria" w:cs="Cambria"/>
          <w:sz w:val="16"/>
          <w:szCs w:val="16"/>
          <w:lang w:val="es-US"/>
        </w:rPr>
      </w:pPr>
      <w:r w:rsidRPr="008A7BD7">
        <w:rPr>
          <w:rStyle w:val="FootnoteReference"/>
          <w:rFonts w:ascii="Cambria" w:eastAsia="Cambria" w:hAnsi="Cambria" w:cs="Cambria"/>
          <w:sz w:val="18"/>
          <w:szCs w:val="18"/>
        </w:rPr>
        <w:footnoteRef/>
      </w:r>
      <w:r w:rsidRPr="008A7BD7">
        <w:rPr>
          <w:rFonts w:ascii="Cambria" w:eastAsia="Cambria" w:hAnsi="Cambria" w:cs="Cambria"/>
          <w:sz w:val="18"/>
          <w:szCs w:val="18"/>
          <w:lang w:val="es-US"/>
        </w:rPr>
        <w:t xml:space="preserve"> </w:t>
      </w:r>
      <w:r w:rsidR="00DB6C37" w:rsidRPr="008A7BD7">
        <w:rPr>
          <w:rFonts w:ascii="Cambria" w:eastAsia="Cambria" w:hAnsi="Cambria" w:cs="Cambria"/>
          <w:sz w:val="18"/>
          <w:szCs w:val="18"/>
          <w:lang w:val="es-US"/>
        </w:rPr>
        <w:t xml:space="preserve">IOM, </w:t>
      </w:r>
      <w:hyperlink r:id="rId213">
        <w:r w:rsidR="00DB6C37" w:rsidRPr="008A7BD7">
          <w:rPr>
            <w:rStyle w:val="Hyperlink"/>
            <w:rFonts w:ascii="Cambria" w:eastAsia="Cambria" w:hAnsi="Cambria" w:cs="Cambria"/>
            <w:i/>
            <w:iCs/>
            <w:sz w:val="18"/>
            <w:szCs w:val="18"/>
            <w:lang w:val="es-US"/>
          </w:rPr>
          <w:t>Encuesta de medios de vida a hogares desplazados por tormentas en Alta Verapaz y Huehuetenango: DTM Tormentas Guatemala</w:t>
        </w:r>
      </w:hyperlink>
      <w:r w:rsidR="00DB6C37" w:rsidRPr="008A7BD7">
        <w:rPr>
          <w:rFonts w:ascii="Cambria" w:eastAsia="Cambria" w:hAnsi="Cambria" w:cs="Cambria"/>
          <w:sz w:val="18"/>
          <w:szCs w:val="18"/>
          <w:lang w:val="es-US"/>
        </w:rPr>
        <w:t xml:space="preserve">, </w:t>
      </w:r>
      <w:r w:rsidRPr="008A7BD7">
        <w:rPr>
          <w:rFonts w:ascii="Cambria" w:eastAsia="Cambria" w:hAnsi="Cambria" w:cs="Cambria"/>
          <w:sz w:val="18"/>
          <w:szCs w:val="18"/>
          <w:lang w:val="es-US"/>
        </w:rPr>
        <w:t>2021</w:t>
      </w:r>
      <w:r w:rsidR="00870849" w:rsidRPr="008A7BD7">
        <w:rPr>
          <w:rFonts w:ascii="Cambria" w:eastAsia="Cambria" w:hAnsi="Cambria" w:cs="Cambria"/>
          <w:sz w:val="18"/>
          <w:szCs w:val="18"/>
          <w:lang w:val="es-US"/>
        </w:rPr>
        <w:t>.</w:t>
      </w:r>
    </w:p>
  </w:footnote>
  <w:footnote w:id="205">
    <w:p w14:paraId="45B42D0E" w14:textId="24373361" w:rsidR="00E0555A" w:rsidRPr="008A7BD7" w:rsidRDefault="00E0555A" w:rsidP="00483BDA">
      <w:pPr>
        <w:spacing w:after="120"/>
        <w:ind w:firstLine="720"/>
        <w:jc w:val="both"/>
        <w:rPr>
          <w:rFonts w:ascii="Cambria" w:eastAsia="Cambria" w:hAnsi="Cambria" w:cs="Cambria"/>
          <w:sz w:val="16"/>
          <w:szCs w:val="16"/>
          <w:lang w:val="es-419"/>
        </w:rPr>
      </w:pPr>
      <w:r w:rsidRPr="008A7BD7">
        <w:rPr>
          <w:rFonts w:ascii="Cambria" w:eastAsia="Cambria" w:hAnsi="Cambria" w:cs="Cambria"/>
          <w:sz w:val="18"/>
          <w:szCs w:val="18"/>
          <w:vertAlign w:val="superscript"/>
        </w:rPr>
        <w:footnoteRef/>
      </w:r>
      <w:r w:rsidRPr="008A7BD7">
        <w:rPr>
          <w:rFonts w:ascii="Cambria" w:eastAsia="Cambria" w:hAnsi="Cambria" w:cs="Cambria"/>
          <w:sz w:val="18"/>
          <w:szCs w:val="18"/>
          <w:lang w:val="es-419"/>
        </w:rPr>
        <w:t xml:space="preserve"> </w:t>
      </w:r>
      <w:r w:rsidRPr="008A7BD7">
        <w:rPr>
          <w:rFonts w:ascii="Cambria" w:eastAsia="Cambria" w:hAnsi="Cambria" w:cs="Cambria"/>
          <w:i/>
          <w:iCs/>
          <w:sz w:val="18"/>
          <w:szCs w:val="18"/>
          <w:lang w:val="es-419"/>
        </w:rPr>
        <w:t>La Hora</w:t>
      </w:r>
      <w:r w:rsidRPr="008A7BD7">
        <w:rPr>
          <w:rFonts w:ascii="Cambria" w:eastAsia="Cambria" w:hAnsi="Cambria" w:cs="Cambria"/>
          <w:sz w:val="18"/>
          <w:szCs w:val="18"/>
          <w:lang w:val="es-419"/>
        </w:rPr>
        <w:t>,</w:t>
      </w:r>
      <w:r w:rsidRPr="008A7BD7">
        <w:rPr>
          <w:rFonts w:ascii="Cambria" w:eastAsia="Cambria" w:hAnsi="Cambria" w:cs="Cambria"/>
          <w:color w:val="0563C1"/>
          <w:sz w:val="18"/>
          <w:szCs w:val="18"/>
          <w:lang w:val="es-419"/>
        </w:rPr>
        <w:t xml:space="preserve"> </w:t>
      </w:r>
      <w:hyperlink r:id="rId214">
        <w:r w:rsidRPr="008A7BD7">
          <w:rPr>
            <w:rFonts w:ascii="Cambria" w:eastAsia="Cambria" w:hAnsi="Cambria" w:cs="Cambria"/>
            <w:color w:val="0563C1"/>
            <w:sz w:val="18"/>
            <w:szCs w:val="18"/>
            <w:u w:val="single"/>
            <w:lang w:val="es-419"/>
          </w:rPr>
          <w:t>Más de 80 organizaciones piden ratificar Acuerdo de Escazú</w:t>
        </w:r>
      </w:hyperlink>
      <w:r w:rsidRPr="008A7BD7">
        <w:rPr>
          <w:rFonts w:ascii="Cambria" w:eastAsia="Cambria" w:hAnsi="Cambria" w:cs="Cambria"/>
          <w:sz w:val="18"/>
          <w:szCs w:val="18"/>
          <w:lang w:val="es-419"/>
        </w:rPr>
        <w:t xml:space="preserve">, </w:t>
      </w:r>
      <w:r w:rsidR="00483BDA" w:rsidRPr="008A7BD7">
        <w:rPr>
          <w:rFonts w:ascii="Cambria" w:eastAsia="Cambria" w:hAnsi="Cambria" w:cs="Cambria"/>
          <w:sz w:val="18"/>
          <w:szCs w:val="18"/>
          <w:lang w:val="es-419"/>
        </w:rPr>
        <w:t xml:space="preserve">June </w:t>
      </w:r>
      <w:r w:rsidRPr="008A7BD7">
        <w:rPr>
          <w:rFonts w:ascii="Cambria" w:eastAsia="Cambria" w:hAnsi="Cambria" w:cs="Cambria"/>
          <w:sz w:val="18"/>
          <w:szCs w:val="18"/>
          <w:lang w:val="es-419"/>
        </w:rPr>
        <w:t>30</w:t>
      </w:r>
      <w:r w:rsidR="00483BDA"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 xml:space="preserve">2021. </w:t>
      </w:r>
    </w:p>
  </w:footnote>
  <w:footnote w:id="206">
    <w:p w14:paraId="2C31506C" w14:textId="13B72F64" w:rsidR="00E0555A" w:rsidRPr="008A7BD7" w:rsidRDefault="00E0555A" w:rsidP="007E7324">
      <w:pPr>
        <w:spacing w:after="120"/>
        <w:ind w:firstLine="720"/>
        <w:rPr>
          <w:rFonts w:ascii="Cambria" w:eastAsia="Cambria" w:hAnsi="Cambria" w:cs="Cambria"/>
          <w:sz w:val="16"/>
          <w:szCs w:val="16"/>
          <w:lang w:val="es-US"/>
        </w:rPr>
      </w:pPr>
      <w:r w:rsidRPr="008A7BD7">
        <w:rPr>
          <w:rFonts w:ascii="Cambria" w:eastAsia="Cambria" w:hAnsi="Cambria" w:cs="Cambria"/>
          <w:sz w:val="18"/>
          <w:szCs w:val="18"/>
          <w:vertAlign w:val="superscript"/>
        </w:rPr>
        <w:footnoteRef/>
      </w:r>
      <w:r w:rsidRPr="008A7BD7">
        <w:rPr>
          <w:rFonts w:ascii="Cambria" w:eastAsia="Cambria" w:hAnsi="Cambria" w:cs="Cambria"/>
          <w:sz w:val="18"/>
          <w:szCs w:val="18"/>
          <w:lang w:val="es-US"/>
        </w:rPr>
        <w:t xml:space="preserve"> </w:t>
      </w:r>
      <w:r w:rsidR="007E7324" w:rsidRPr="008A7BD7">
        <w:rPr>
          <w:rFonts w:ascii="Cambria" w:eastAsia="Cambria" w:hAnsi="Cambria" w:cs="Cambria"/>
          <w:i/>
          <w:iCs/>
          <w:sz w:val="18"/>
          <w:szCs w:val="18"/>
          <w:lang w:val="es-419"/>
        </w:rPr>
        <w:t>La Hora</w:t>
      </w:r>
      <w:r w:rsidR="007E7324" w:rsidRPr="008A7BD7">
        <w:rPr>
          <w:rFonts w:ascii="Cambria" w:eastAsia="Cambria" w:hAnsi="Cambria" w:cs="Cambria"/>
          <w:sz w:val="18"/>
          <w:szCs w:val="18"/>
          <w:lang w:val="es-419"/>
        </w:rPr>
        <w:t>,</w:t>
      </w:r>
      <w:r w:rsidR="007E7324" w:rsidRPr="008A7BD7">
        <w:rPr>
          <w:rFonts w:ascii="Cambria" w:eastAsia="Cambria" w:hAnsi="Cambria" w:cs="Cambria"/>
          <w:color w:val="0563C1"/>
          <w:sz w:val="18"/>
          <w:szCs w:val="18"/>
          <w:lang w:val="es-419"/>
        </w:rPr>
        <w:t xml:space="preserve"> </w:t>
      </w:r>
      <w:hyperlink r:id="rId215">
        <w:r w:rsidR="007E7324" w:rsidRPr="008A7BD7">
          <w:rPr>
            <w:rFonts w:ascii="Cambria" w:eastAsia="Cambria" w:hAnsi="Cambria" w:cs="Cambria"/>
            <w:color w:val="0563C1"/>
            <w:sz w:val="18"/>
            <w:szCs w:val="18"/>
            <w:u w:val="single"/>
            <w:lang w:val="es-419"/>
          </w:rPr>
          <w:t>Más de 80 organizaciones piden ratificar Acuerdo de Escazú</w:t>
        </w:r>
      </w:hyperlink>
      <w:r w:rsidR="007E7324" w:rsidRPr="008A7BD7">
        <w:rPr>
          <w:rFonts w:ascii="Cambria" w:eastAsia="Cambria" w:hAnsi="Cambria" w:cs="Cambria"/>
          <w:sz w:val="18"/>
          <w:szCs w:val="18"/>
          <w:lang w:val="es-419"/>
        </w:rPr>
        <w:t>, June 30, 2021</w:t>
      </w:r>
      <w:r w:rsidRPr="008A7BD7">
        <w:rPr>
          <w:rFonts w:ascii="Cambria" w:eastAsia="Cambria" w:hAnsi="Cambria" w:cs="Cambria"/>
          <w:sz w:val="18"/>
          <w:szCs w:val="18"/>
          <w:lang w:val="es-419"/>
        </w:rPr>
        <w:t>.</w:t>
      </w:r>
    </w:p>
  </w:footnote>
  <w:footnote w:id="207">
    <w:p w14:paraId="7AE70D02" w14:textId="4FC4369B" w:rsidR="00E0555A" w:rsidRPr="008A7BD7" w:rsidRDefault="00E0555A" w:rsidP="007E7324">
      <w:pPr>
        <w:pStyle w:val="FootnoteText"/>
        <w:spacing w:after="120"/>
        <w:ind w:firstLine="720"/>
        <w:rPr>
          <w:rFonts w:ascii="Cambria" w:hAnsi="Cambria"/>
          <w:sz w:val="16"/>
          <w:szCs w:val="16"/>
        </w:rPr>
      </w:pPr>
      <w:r w:rsidRPr="008A7BD7">
        <w:rPr>
          <w:rStyle w:val="FootnoteReference"/>
          <w:rFonts w:ascii="Cambria" w:eastAsia="Cambria" w:hAnsi="Cambria" w:cs="Cambria"/>
          <w:sz w:val="18"/>
          <w:szCs w:val="18"/>
        </w:rPr>
        <w:footnoteRef/>
      </w:r>
      <w:r w:rsidRPr="008A7BD7">
        <w:rPr>
          <w:rFonts w:ascii="Cambria" w:eastAsia="Cambria" w:hAnsi="Cambria" w:cs="Cambria"/>
          <w:sz w:val="18"/>
          <w:szCs w:val="18"/>
        </w:rPr>
        <w:t xml:space="preserve"> </w:t>
      </w:r>
      <w:r w:rsidR="007E7324" w:rsidRPr="008A7BD7">
        <w:rPr>
          <w:rFonts w:ascii="Cambria" w:eastAsia="Cambria" w:hAnsi="Cambria" w:cs="Cambria"/>
          <w:sz w:val="18"/>
          <w:szCs w:val="18"/>
        </w:rPr>
        <w:t>IACHR,</w:t>
      </w:r>
      <w:r w:rsidR="00881B62" w:rsidRPr="008A7BD7">
        <w:rPr>
          <w:rFonts w:ascii="Cambria" w:eastAsia="Cambria" w:hAnsi="Cambria" w:cs="Cambria"/>
          <w:sz w:val="18"/>
          <w:szCs w:val="18"/>
        </w:rPr>
        <w:t xml:space="preserve"> </w:t>
      </w:r>
      <w:hyperlink r:id="rId216" w:history="1">
        <w:r w:rsidR="00881B62" w:rsidRPr="008A7BD7">
          <w:rPr>
            <w:rStyle w:val="Hyperlink"/>
            <w:rFonts w:ascii="Cambria" w:eastAsia="Cambria" w:hAnsi="Cambria" w:cs="Cambria"/>
            <w:sz w:val="18"/>
            <w:szCs w:val="18"/>
          </w:rPr>
          <w:t xml:space="preserve">On Earth Day, IACHR and REDESCA welcome the entry into force of the </w:t>
        </w:r>
        <w:proofErr w:type="spellStart"/>
        <w:r w:rsidR="00881B62" w:rsidRPr="008A7BD7">
          <w:rPr>
            <w:rStyle w:val="Hyperlink"/>
            <w:rFonts w:ascii="Cambria" w:eastAsia="Cambria" w:hAnsi="Cambria" w:cs="Cambria"/>
            <w:sz w:val="18"/>
            <w:szCs w:val="18"/>
          </w:rPr>
          <w:t>Escazú</w:t>
        </w:r>
        <w:proofErr w:type="spellEnd"/>
        <w:r w:rsidR="00881B62" w:rsidRPr="008A7BD7">
          <w:rPr>
            <w:rStyle w:val="Hyperlink"/>
            <w:rFonts w:ascii="Cambria" w:eastAsia="Cambria" w:hAnsi="Cambria" w:cs="Cambria"/>
            <w:sz w:val="18"/>
            <w:szCs w:val="18"/>
          </w:rPr>
          <w:t xml:space="preserve"> Agreement and call on the States of the region to strengthen their environmental public policies in the face of the climate emergency</w:t>
        </w:r>
      </w:hyperlink>
      <w:r w:rsidR="00881B62" w:rsidRPr="008A7BD7">
        <w:rPr>
          <w:rFonts w:ascii="Cambria" w:eastAsia="Cambria" w:hAnsi="Cambria" w:cs="Cambria"/>
          <w:sz w:val="18"/>
          <w:szCs w:val="18"/>
        </w:rPr>
        <w:t>, April 22, 2021.</w:t>
      </w:r>
    </w:p>
  </w:footnote>
  <w:footnote w:id="208">
    <w:p w14:paraId="0F8CE3B5" w14:textId="273B684B" w:rsidR="00F97F2A" w:rsidRPr="008A7BD7" w:rsidRDefault="00F97F2A" w:rsidP="00F97F2A">
      <w:pPr>
        <w:pStyle w:val="FootnoteText"/>
        <w:spacing w:after="120"/>
        <w:ind w:firstLine="720"/>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9B1383" w:rsidRPr="008A7BD7">
        <w:rPr>
          <w:rFonts w:ascii="Cambria" w:hAnsi="Cambria"/>
          <w:sz w:val="16"/>
          <w:szCs w:val="16"/>
        </w:rPr>
        <w:t>Response from the State of</w:t>
      </w:r>
      <w:r w:rsidR="009B1383"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9B1383" w:rsidRPr="008A7BD7">
        <w:rPr>
          <w:rFonts w:ascii="Cambria" w:hAnsi="Cambria"/>
          <w:sz w:val="16"/>
          <w:szCs w:val="16"/>
        </w:rPr>
        <w:t>OEA</w:t>
      </w:r>
      <w:r w:rsidR="009B1383"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p. 107</w:t>
      </w:r>
      <w:r w:rsidR="009B1383"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114.</w:t>
      </w:r>
    </w:p>
  </w:footnote>
  <w:footnote w:id="209">
    <w:p w14:paraId="2B084D74" w14:textId="62E47382" w:rsidR="00F97F2A" w:rsidRPr="008A7BD7" w:rsidRDefault="00F97F2A" w:rsidP="00F97F2A">
      <w:pPr>
        <w:pStyle w:val="FootnoteText"/>
        <w:spacing w:after="120"/>
        <w:ind w:firstLine="720"/>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9B1383" w:rsidRPr="008A7BD7">
        <w:rPr>
          <w:rFonts w:ascii="Cambria" w:hAnsi="Cambria"/>
          <w:sz w:val="16"/>
          <w:szCs w:val="16"/>
        </w:rPr>
        <w:t>Response from the State of</w:t>
      </w:r>
      <w:r w:rsidR="009B1383"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9B1383" w:rsidRPr="008A7BD7">
        <w:rPr>
          <w:rFonts w:ascii="Cambria" w:hAnsi="Cambria"/>
          <w:sz w:val="16"/>
          <w:szCs w:val="16"/>
        </w:rPr>
        <w:t>OEA</w:t>
      </w:r>
      <w:r w:rsidR="009B1383" w:rsidRPr="008A7BD7">
        <w:rPr>
          <w:rFonts w:ascii="Cambria" w:eastAsia="Cambria" w:hAnsi="Cambria" w:cs="Cambria"/>
          <w:color w:val="000000"/>
          <w:sz w:val="16"/>
          <w:szCs w:val="16"/>
        </w:rPr>
        <w:t>-M4-980-2021, December 22, 2021, p</w:t>
      </w:r>
      <w:r w:rsidR="009B1383"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112</w:t>
      </w:r>
      <w:r w:rsidR="009B1383"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126.</w:t>
      </w:r>
    </w:p>
  </w:footnote>
  <w:footnote w:id="210">
    <w:p w14:paraId="0CEAF466" w14:textId="6A8A498A" w:rsidR="00E0555A" w:rsidRPr="008A7BD7" w:rsidRDefault="00E0555A" w:rsidP="001B7DFE">
      <w:pPr>
        <w:pStyle w:val="FootnoteText"/>
        <w:spacing w:after="120"/>
        <w:ind w:firstLine="720"/>
        <w:rPr>
          <w:rFonts w:ascii="Cambria" w:hAnsi="Cambria"/>
          <w:sz w:val="16"/>
          <w:szCs w:val="16"/>
          <w:lang w:val="es-419"/>
        </w:rPr>
      </w:pPr>
      <w:r w:rsidRPr="008A7BD7">
        <w:rPr>
          <w:rStyle w:val="FootnoteReference"/>
          <w:rFonts w:ascii="Cambria" w:eastAsia="Cambria" w:hAnsi="Cambria" w:cs="Cambria"/>
          <w:sz w:val="18"/>
          <w:szCs w:val="18"/>
        </w:rPr>
        <w:footnoteRef/>
      </w:r>
      <w:r w:rsidRPr="008A7BD7">
        <w:rPr>
          <w:rFonts w:ascii="Cambria" w:eastAsia="Cambria" w:hAnsi="Cambria" w:cs="Cambria"/>
          <w:sz w:val="18"/>
          <w:szCs w:val="18"/>
          <w:lang w:val="es-419"/>
        </w:rPr>
        <w:t xml:space="preserve"> </w:t>
      </w:r>
      <w:r w:rsidR="001B7DFE" w:rsidRPr="008A7BD7">
        <w:rPr>
          <w:rFonts w:ascii="Cambria" w:eastAsia="Cambria" w:hAnsi="Cambria" w:cs="Cambria"/>
          <w:sz w:val="18"/>
          <w:szCs w:val="18"/>
          <w:lang w:val="es-419"/>
        </w:rPr>
        <w:t>IACHR</w:t>
      </w:r>
      <w:r w:rsidRPr="008A7BD7">
        <w:rPr>
          <w:rFonts w:ascii="Cambria" w:eastAsia="Cambria" w:hAnsi="Cambria" w:cs="Cambria"/>
          <w:sz w:val="18"/>
          <w:szCs w:val="18"/>
          <w:lang w:val="es-419"/>
        </w:rPr>
        <w:t xml:space="preserve">, </w:t>
      </w:r>
      <w:hyperlink r:id="rId217" w:history="1">
        <w:r w:rsidRPr="008A7BD7">
          <w:rPr>
            <w:rStyle w:val="Hyperlink"/>
            <w:rFonts w:ascii="Cambria" w:eastAsia="Cambria" w:hAnsi="Cambria" w:cs="Cambria"/>
            <w:i/>
            <w:iCs/>
            <w:sz w:val="18"/>
            <w:szCs w:val="18"/>
            <w:lang w:val="es-419"/>
          </w:rPr>
          <w:t xml:space="preserve">La CIDH condena el uso excesivo de la fuerza y la represión en contra de pueblos indígenas mayas </w:t>
        </w:r>
        <w:proofErr w:type="spellStart"/>
        <w:r w:rsidRPr="008A7BD7">
          <w:rPr>
            <w:rStyle w:val="Hyperlink"/>
            <w:rFonts w:ascii="Cambria" w:eastAsia="Cambria" w:hAnsi="Cambria" w:cs="Cambria"/>
            <w:i/>
            <w:iCs/>
            <w:sz w:val="18"/>
            <w:szCs w:val="18"/>
            <w:lang w:val="es-419"/>
          </w:rPr>
          <w:t>q'eqchi</w:t>
        </w:r>
        <w:proofErr w:type="spellEnd"/>
        <w:r w:rsidRPr="008A7BD7">
          <w:rPr>
            <w:rStyle w:val="Hyperlink"/>
            <w:rFonts w:ascii="Cambria" w:eastAsia="Cambria" w:hAnsi="Cambria" w:cs="Cambria"/>
            <w:i/>
            <w:iCs/>
            <w:sz w:val="18"/>
            <w:szCs w:val="18"/>
            <w:lang w:val="es-419"/>
          </w:rPr>
          <w:t>', periodistas y medios de comunicación en El Estor, Guatemala</w:t>
        </w:r>
      </w:hyperlink>
      <w:r w:rsidRPr="008A7BD7">
        <w:rPr>
          <w:rFonts w:ascii="Cambria" w:eastAsia="Cambria" w:hAnsi="Cambria" w:cs="Cambria"/>
          <w:sz w:val="18"/>
          <w:szCs w:val="18"/>
          <w:lang w:val="es-419"/>
        </w:rPr>
        <w:t xml:space="preserve">, </w:t>
      </w:r>
      <w:proofErr w:type="spellStart"/>
      <w:r w:rsidR="001B7DFE" w:rsidRPr="008A7BD7">
        <w:rPr>
          <w:rFonts w:ascii="Cambria" w:eastAsia="Cambria" w:hAnsi="Cambria" w:cs="Cambria"/>
          <w:sz w:val="18"/>
          <w:szCs w:val="18"/>
          <w:lang w:val="es-419"/>
        </w:rPr>
        <w:t>November</w:t>
      </w:r>
      <w:proofErr w:type="spellEnd"/>
      <w:r w:rsidR="001B7DFE"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4</w:t>
      </w:r>
      <w:r w:rsidR="001B7DFE" w:rsidRPr="008A7BD7">
        <w:rPr>
          <w:rFonts w:ascii="Cambria" w:eastAsia="Cambria" w:hAnsi="Cambria" w:cs="Cambria"/>
          <w:sz w:val="18"/>
          <w:szCs w:val="18"/>
          <w:lang w:val="es-419"/>
        </w:rPr>
        <w:t xml:space="preserve">, </w:t>
      </w:r>
      <w:r w:rsidRPr="008A7BD7">
        <w:rPr>
          <w:rFonts w:ascii="Cambria" w:eastAsia="Cambria" w:hAnsi="Cambria" w:cs="Cambria"/>
          <w:sz w:val="18"/>
          <w:szCs w:val="18"/>
          <w:lang w:val="es-419"/>
        </w:rPr>
        <w:t>2021</w:t>
      </w:r>
      <w:r w:rsidR="001B7DFE" w:rsidRPr="008A7BD7">
        <w:rPr>
          <w:rFonts w:ascii="Cambria" w:eastAsia="Cambria" w:hAnsi="Cambria" w:cs="Cambria"/>
          <w:sz w:val="18"/>
          <w:szCs w:val="18"/>
          <w:lang w:val="es-419"/>
        </w:rPr>
        <w:t>.</w:t>
      </w:r>
    </w:p>
  </w:footnote>
  <w:footnote w:id="211">
    <w:p w14:paraId="2CAEAB79" w14:textId="693190B8" w:rsidR="00E0555A" w:rsidRPr="008A7BD7" w:rsidRDefault="00E0555A" w:rsidP="001B7DFE">
      <w:pPr>
        <w:pStyle w:val="FootnoteText"/>
        <w:spacing w:after="120"/>
        <w:ind w:firstLine="720"/>
        <w:rPr>
          <w:rFonts w:ascii="Cambria" w:hAnsi="Cambria"/>
          <w:sz w:val="16"/>
          <w:szCs w:val="16"/>
          <w:lang w:val="es-419"/>
        </w:rPr>
      </w:pPr>
      <w:r w:rsidRPr="008A7BD7">
        <w:rPr>
          <w:rStyle w:val="FootnoteReference"/>
          <w:rFonts w:ascii="Cambria" w:eastAsia="Cambria" w:hAnsi="Cambria" w:cs="Cambria"/>
          <w:sz w:val="18"/>
          <w:szCs w:val="18"/>
        </w:rPr>
        <w:footnoteRef/>
      </w:r>
      <w:r w:rsidRPr="008A7BD7">
        <w:rPr>
          <w:rFonts w:ascii="Cambria" w:eastAsia="Cambria" w:hAnsi="Cambria" w:cs="Cambria"/>
          <w:sz w:val="18"/>
          <w:szCs w:val="18"/>
          <w:lang w:val="es-419"/>
        </w:rPr>
        <w:t xml:space="preserve"> </w:t>
      </w:r>
      <w:r w:rsidR="001B7DFE" w:rsidRPr="008A7BD7">
        <w:rPr>
          <w:rFonts w:ascii="Cambria" w:eastAsia="Cambria" w:hAnsi="Cambria" w:cs="Cambria"/>
          <w:sz w:val="18"/>
          <w:szCs w:val="18"/>
          <w:lang w:val="es-419"/>
        </w:rPr>
        <w:t xml:space="preserve">IACHR, </w:t>
      </w:r>
      <w:hyperlink r:id="rId218" w:history="1">
        <w:r w:rsidR="001B7DFE" w:rsidRPr="008A7BD7">
          <w:rPr>
            <w:rStyle w:val="Hyperlink"/>
            <w:rFonts w:ascii="Cambria" w:eastAsia="Cambria" w:hAnsi="Cambria" w:cs="Cambria"/>
            <w:i/>
            <w:iCs/>
            <w:sz w:val="18"/>
            <w:szCs w:val="18"/>
            <w:lang w:val="es-419"/>
          </w:rPr>
          <w:t xml:space="preserve">La CIDH condena el uso excesivo de la fuerza y la represión en contra de pueblos indígenas mayas </w:t>
        </w:r>
        <w:proofErr w:type="spellStart"/>
        <w:r w:rsidR="001B7DFE" w:rsidRPr="008A7BD7">
          <w:rPr>
            <w:rStyle w:val="Hyperlink"/>
            <w:rFonts w:ascii="Cambria" w:eastAsia="Cambria" w:hAnsi="Cambria" w:cs="Cambria"/>
            <w:i/>
            <w:iCs/>
            <w:sz w:val="18"/>
            <w:szCs w:val="18"/>
            <w:lang w:val="es-419"/>
          </w:rPr>
          <w:t>q'eqchi</w:t>
        </w:r>
        <w:proofErr w:type="spellEnd"/>
        <w:r w:rsidR="001B7DFE" w:rsidRPr="008A7BD7">
          <w:rPr>
            <w:rStyle w:val="Hyperlink"/>
            <w:rFonts w:ascii="Cambria" w:eastAsia="Cambria" w:hAnsi="Cambria" w:cs="Cambria"/>
            <w:i/>
            <w:iCs/>
            <w:sz w:val="18"/>
            <w:szCs w:val="18"/>
            <w:lang w:val="es-419"/>
          </w:rPr>
          <w:t>', periodistas y medios de comunicación en El Estor, Guatemala</w:t>
        </w:r>
      </w:hyperlink>
      <w:r w:rsidR="001B7DFE" w:rsidRPr="008A7BD7">
        <w:rPr>
          <w:rFonts w:ascii="Cambria" w:eastAsia="Cambria" w:hAnsi="Cambria" w:cs="Cambria"/>
          <w:sz w:val="18"/>
          <w:szCs w:val="18"/>
          <w:lang w:val="es-419"/>
        </w:rPr>
        <w:t xml:space="preserve">, </w:t>
      </w:r>
      <w:proofErr w:type="spellStart"/>
      <w:r w:rsidR="001B7DFE" w:rsidRPr="008A7BD7">
        <w:rPr>
          <w:rFonts w:ascii="Cambria" w:eastAsia="Cambria" w:hAnsi="Cambria" w:cs="Cambria"/>
          <w:sz w:val="18"/>
          <w:szCs w:val="18"/>
          <w:lang w:val="es-419"/>
        </w:rPr>
        <w:t>November</w:t>
      </w:r>
      <w:proofErr w:type="spellEnd"/>
      <w:r w:rsidR="001B7DFE" w:rsidRPr="008A7BD7">
        <w:rPr>
          <w:rFonts w:ascii="Cambria" w:eastAsia="Cambria" w:hAnsi="Cambria" w:cs="Cambria"/>
          <w:sz w:val="18"/>
          <w:szCs w:val="18"/>
          <w:lang w:val="es-419"/>
        </w:rPr>
        <w:t xml:space="preserve"> 4, 2021.</w:t>
      </w:r>
    </w:p>
  </w:footnote>
  <w:footnote w:id="212">
    <w:p w14:paraId="43F50032" w14:textId="1D149DD4" w:rsidR="00E0555A" w:rsidRPr="008A7BD7" w:rsidRDefault="00E0555A" w:rsidP="001B7DFE">
      <w:pPr>
        <w:pStyle w:val="FootnoteText"/>
        <w:spacing w:after="120"/>
        <w:ind w:firstLine="720"/>
        <w:rPr>
          <w:rFonts w:ascii="Cambria" w:hAnsi="Cambria"/>
          <w:sz w:val="16"/>
          <w:szCs w:val="16"/>
          <w:lang w:val="es-419"/>
        </w:rPr>
      </w:pPr>
      <w:r w:rsidRPr="008A7BD7">
        <w:rPr>
          <w:rStyle w:val="FootnoteReference"/>
          <w:rFonts w:ascii="Cambria" w:eastAsia="Cambria" w:hAnsi="Cambria" w:cs="Cambria"/>
          <w:sz w:val="18"/>
          <w:szCs w:val="18"/>
        </w:rPr>
        <w:footnoteRef/>
      </w:r>
      <w:r w:rsidRPr="008A7BD7">
        <w:rPr>
          <w:rFonts w:ascii="Cambria" w:eastAsia="Cambria" w:hAnsi="Cambria" w:cs="Cambria"/>
          <w:sz w:val="18"/>
          <w:szCs w:val="18"/>
          <w:lang w:val="es-419"/>
        </w:rPr>
        <w:t xml:space="preserve"> </w:t>
      </w:r>
      <w:r w:rsidR="001B7DFE" w:rsidRPr="008A7BD7">
        <w:rPr>
          <w:rFonts w:ascii="Cambria" w:eastAsia="Cambria" w:hAnsi="Cambria" w:cs="Cambria"/>
          <w:sz w:val="18"/>
          <w:szCs w:val="18"/>
          <w:lang w:val="es-419"/>
        </w:rPr>
        <w:t xml:space="preserve">IACHR, </w:t>
      </w:r>
      <w:hyperlink r:id="rId219" w:history="1">
        <w:r w:rsidR="001B7DFE" w:rsidRPr="008A7BD7">
          <w:rPr>
            <w:rStyle w:val="Hyperlink"/>
            <w:rFonts w:ascii="Cambria" w:eastAsia="Cambria" w:hAnsi="Cambria" w:cs="Cambria"/>
            <w:i/>
            <w:iCs/>
            <w:sz w:val="18"/>
            <w:szCs w:val="18"/>
            <w:lang w:val="es-419"/>
          </w:rPr>
          <w:t xml:space="preserve">La CIDH condena el uso excesivo de la fuerza y la represión en contra de pueblos indígenas mayas </w:t>
        </w:r>
        <w:proofErr w:type="spellStart"/>
        <w:r w:rsidR="001B7DFE" w:rsidRPr="008A7BD7">
          <w:rPr>
            <w:rStyle w:val="Hyperlink"/>
            <w:rFonts w:ascii="Cambria" w:eastAsia="Cambria" w:hAnsi="Cambria" w:cs="Cambria"/>
            <w:i/>
            <w:iCs/>
            <w:sz w:val="18"/>
            <w:szCs w:val="18"/>
            <w:lang w:val="es-419"/>
          </w:rPr>
          <w:t>q'eqchi</w:t>
        </w:r>
        <w:proofErr w:type="spellEnd"/>
        <w:r w:rsidR="001B7DFE" w:rsidRPr="008A7BD7">
          <w:rPr>
            <w:rStyle w:val="Hyperlink"/>
            <w:rFonts w:ascii="Cambria" w:eastAsia="Cambria" w:hAnsi="Cambria" w:cs="Cambria"/>
            <w:i/>
            <w:iCs/>
            <w:sz w:val="18"/>
            <w:szCs w:val="18"/>
            <w:lang w:val="es-419"/>
          </w:rPr>
          <w:t>', periodistas y medios de comunicación en El Estor, Guatemala</w:t>
        </w:r>
      </w:hyperlink>
      <w:r w:rsidR="001B7DFE" w:rsidRPr="008A7BD7">
        <w:rPr>
          <w:rFonts w:ascii="Cambria" w:eastAsia="Cambria" w:hAnsi="Cambria" w:cs="Cambria"/>
          <w:sz w:val="18"/>
          <w:szCs w:val="18"/>
          <w:lang w:val="es-419"/>
        </w:rPr>
        <w:t xml:space="preserve">, </w:t>
      </w:r>
      <w:proofErr w:type="spellStart"/>
      <w:r w:rsidR="001B7DFE" w:rsidRPr="008A7BD7">
        <w:rPr>
          <w:rFonts w:ascii="Cambria" w:eastAsia="Cambria" w:hAnsi="Cambria" w:cs="Cambria"/>
          <w:sz w:val="18"/>
          <w:szCs w:val="18"/>
          <w:lang w:val="es-419"/>
        </w:rPr>
        <w:t>November</w:t>
      </w:r>
      <w:proofErr w:type="spellEnd"/>
      <w:r w:rsidR="001B7DFE" w:rsidRPr="008A7BD7">
        <w:rPr>
          <w:rFonts w:ascii="Cambria" w:eastAsia="Cambria" w:hAnsi="Cambria" w:cs="Cambria"/>
          <w:sz w:val="18"/>
          <w:szCs w:val="18"/>
          <w:lang w:val="es-419"/>
        </w:rPr>
        <w:t xml:space="preserve"> 4, 2021.</w:t>
      </w:r>
    </w:p>
  </w:footnote>
  <w:footnote w:id="213">
    <w:p w14:paraId="51F92757" w14:textId="62492AB5" w:rsidR="00DC16DE" w:rsidRPr="008A7BD7" w:rsidRDefault="00DC16DE" w:rsidP="00746761">
      <w:pPr>
        <w:spacing w:after="120"/>
        <w:ind w:firstLine="720"/>
        <w:jc w:val="both"/>
        <w:rPr>
          <w:rFonts w:ascii="Cambria" w:eastAsia="Cambria" w:hAnsi="Cambria" w:cs="Cambria"/>
          <w:color w:val="333333"/>
          <w:sz w:val="16"/>
          <w:szCs w:val="16"/>
          <w:lang w:val="es-ES"/>
        </w:rPr>
      </w:pPr>
      <w:r w:rsidRPr="008A7BD7">
        <w:rPr>
          <w:rStyle w:val="FootnoteReference"/>
          <w:rFonts w:ascii="Cambria" w:hAnsi="Cambria"/>
          <w:sz w:val="16"/>
          <w:szCs w:val="16"/>
        </w:rPr>
        <w:footnoteRef/>
      </w:r>
      <w:r w:rsidRPr="008A7BD7">
        <w:rPr>
          <w:rFonts w:ascii="Cambria" w:hAnsi="Cambria"/>
          <w:sz w:val="16"/>
          <w:szCs w:val="16"/>
          <w:lang w:val="es-419"/>
        </w:rPr>
        <w:t xml:space="preserve"> </w:t>
      </w:r>
      <w:r w:rsidRPr="008A7BD7">
        <w:rPr>
          <w:rFonts w:ascii="Cambria" w:eastAsia="Cambria" w:hAnsi="Cambria" w:cs="Cambria"/>
          <w:i/>
          <w:iCs/>
          <w:color w:val="333333"/>
          <w:sz w:val="16"/>
          <w:szCs w:val="16"/>
          <w:lang w:val="es-ES"/>
        </w:rPr>
        <w:t>Prensa Comunitaria</w:t>
      </w:r>
      <w:r w:rsidRPr="008A7BD7">
        <w:rPr>
          <w:rFonts w:ascii="Cambria" w:eastAsia="Cambria" w:hAnsi="Cambria" w:cs="Cambria"/>
          <w:color w:val="333333"/>
          <w:sz w:val="16"/>
          <w:szCs w:val="16"/>
          <w:lang w:val="es-ES"/>
        </w:rPr>
        <w:t xml:space="preserve">, </w:t>
      </w:r>
      <w:hyperlink r:id="rId220" w:history="1">
        <w:r w:rsidRPr="008A7BD7">
          <w:rPr>
            <w:rStyle w:val="Hyperlink"/>
            <w:rFonts w:ascii="Cambria" w:eastAsia="Cambria" w:hAnsi="Cambria" w:cs="Cambria"/>
            <w:i/>
            <w:iCs/>
            <w:sz w:val="16"/>
            <w:szCs w:val="16"/>
            <w:lang w:val="es-ES"/>
          </w:rPr>
          <w:t>Víctimas del conflicto armado interno denuncian a Guatemala ante la ONU</w:t>
        </w:r>
      </w:hyperlink>
      <w:r w:rsidRPr="008A7BD7">
        <w:rPr>
          <w:rFonts w:ascii="Cambria" w:eastAsia="Cambria" w:hAnsi="Cambria" w:cs="Cambria"/>
          <w:color w:val="333333"/>
          <w:sz w:val="16"/>
          <w:szCs w:val="16"/>
          <w:lang w:val="es-ES"/>
        </w:rPr>
        <w:t xml:space="preserve">, </w:t>
      </w:r>
      <w:proofErr w:type="spellStart"/>
      <w:r w:rsidR="00D04F6A" w:rsidRPr="008A7BD7">
        <w:rPr>
          <w:rFonts w:ascii="Cambria" w:eastAsia="Cambria" w:hAnsi="Cambria" w:cs="Cambria"/>
          <w:color w:val="333333"/>
          <w:sz w:val="16"/>
          <w:szCs w:val="16"/>
          <w:lang w:val="es-ES"/>
        </w:rPr>
        <w:t>July</w:t>
      </w:r>
      <w:proofErr w:type="spellEnd"/>
      <w:r w:rsidR="00D04F6A"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 xml:space="preserve">30, 2021; </w:t>
      </w:r>
      <w:r w:rsidRPr="008A7BD7">
        <w:rPr>
          <w:rFonts w:ascii="Cambria" w:eastAsia="Cambria" w:hAnsi="Cambria" w:cs="Cambria"/>
          <w:i/>
          <w:iCs/>
          <w:color w:val="333333"/>
          <w:sz w:val="16"/>
          <w:szCs w:val="16"/>
          <w:lang w:val="es-ES"/>
        </w:rPr>
        <w:t>La Cuerda</w:t>
      </w:r>
      <w:r w:rsidRPr="008A7BD7">
        <w:rPr>
          <w:rFonts w:ascii="Cambria" w:eastAsia="Cambria" w:hAnsi="Cambria" w:cs="Cambria"/>
          <w:color w:val="333333"/>
          <w:sz w:val="16"/>
          <w:szCs w:val="16"/>
          <w:lang w:val="es-ES"/>
        </w:rPr>
        <w:t xml:space="preserve">, </w:t>
      </w:r>
      <w:hyperlink r:id="rId221" w:history="1">
        <w:r w:rsidRPr="008A7BD7">
          <w:rPr>
            <w:rStyle w:val="Hyperlink"/>
            <w:rFonts w:ascii="Cambria" w:eastAsia="Cambria" w:hAnsi="Cambria" w:cs="Cambria"/>
            <w:i/>
            <w:iCs/>
            <w:sz w:val="16"/>
            <w:szCs w:val="16"/>
            <w:lang w:val="es-ES"/>
          </w:rPr>
          <w:t>Las mujeres que llevan 22 años buscando justicia en nombre de sus familias</w:t>
        </w:r>
      </w:hyperlink>
      <w:r w:rsidRPr="008A7BD7">
        <w:rPr>
          <w:rFonts w:ascii="Cambria" w:eastAsia="Cambria" w:hAnsi="Cambria" w:cs="Cambria"/>
          <w:color w:val="333333"/>
          <w:sz w:val="16"/>
          <w:szCs w:val="16"/>
          <w:lang w:val="es-ES"/>
        </w:rPr>
        <w:t xml:space="preserve">, </w:t>
      </w:r>
      <w:proofErr w:type="spellStart"/>
      <w:r w:rsidR="00D04F6A" w:rsidRPr="008A7BD7">
        <w:rPr>
          <w:rFonts w:ascii="Cambria" w:eastAsia="Cambria" w:hAnsi="Cambria" w:cs="Cambria"/>
          <w:color w:val="333333"/>
          <w:sz w:val="16"/>
          <w:szCs w:val="16"/>
          <w:lang w:val="es-ES"/>
        </w:rPr>
        <w:t>September</w:t>
      </w:r>
      <w:proofErr w:type="spellEnd"/>
      <w:r w:rsidR="00D04F6A"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6</w:t>
      </w:r>
      <w:r w:rsidR="00D04F6A"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 xml:space="preserve">2021; </w:t>
      </w:r>
      <w:r w:rsidRPr="008A7BD7">
        <w:rPr>
          <w:rFonts w:ascii="Cambria" w:eastAsia="Cambria" w:hAnsi="Cambria" w:cs="Cambria"/>
          <w:i/>
          <w:iCs/>
          <w:color w:val="333333"/>
          <w:sz w:val="16"/>
          <w:szCs w:val="16"/>
          <w:lang w:val="es-ES"/>
        </w:rPr>
        <w:t>Prensa Comunitaria</w:t>
      </w:r>
      <w:r w:rsidRPr="008A7BD7">
        <w:rPr>
          <w:rFonts w:ascii="Cambria" w:eastAsia="Cambria" w:hAnsi="Cambria" w:cs="Cambria"/>
          <w:color w:val="333333"/>
          <w:sz w:val="16"/>
          <w:szCs w:val="16"/>
          <w:lang w:val="es-ES"/>
        </w:rPr>
        <w:t xml:space="preserve">, </w:t>
      </w:r>
      <w:hyperlink r:id="rId222" w:history="1">
        <w:r w:rsidRPr="008A7BD7">
          <w:rPr>
            <w:rStyle w:val="Hyperlink"/>
            <w:rFonts w:ascii="Cambria" w:eastAsia="Cambria" w:hAnsi="Cambria" w:cs="Cambria"/>
            <w:i/>
            <w:iCs/>
            <w:sz w:val="16"/>
            <w:szCs w:val="16"/>
            <w:lang w:val="es-ES"/>
          </w:rPr>
          <w:t>Piden declarar inconstitucional Acuerdo que afecta resarcimiento a víctimas de Chixoy</w:t>
        </w:r>
      </w:hyperlink>
      <w:r w:rsidRPr="008A7BD7">
        <w:rPr>
          <w:rFonts w:ascii="Cambria" w:eastAsia="Cambria" w:hAnsi="Cambria" w:cs="Cambria"/>
          <w:color w:val="333333"/>
          <w:sz w:val="16"/>
          <w:szCs w:val="16"/>
          <w:lang w:val="es-ES"/>
        </w:rPr>
        <w:t xml:space="preserve">, </w:t>
      </w:r>
      <w:r w:rsidR="00D04F6A" w:rsidRPr="008A7BD7">
        <w:rPr>
          <w:rFonts w:ascii="Cambria" w:eastAsia="Cambria" w:hAnsi="Cambria" w:cs="Cambria"/>
          <w:color w:val="333333"/>
          <w:sz w:val="16"/>
          <w:szCs w:val="16"/>
          <w:lang w:val="es-ES"/>
        </w:rPr>
        <w:t xml:space="preserve">May </w:t>
      </w:r>
      <w:r w:rsidRPr="008A7BD7">
        <w:rPr>
          <w:rFonts w:ascii="Cambria" w:eastAsia="Cambria" w:hAnsi="Cambria" w:cs="Cambria"/>
          <w:color w:val="333333"/>
          <w:sz w:val="16"/>
          <w:szCs w:val="16"/>
          <w:lang w:val="es-ES"/>
        </w:rPr>
        <w:t>18</w:t>
      </w:r>
      <w:r w:rsidR="00D04F6A"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 xml:space="preserve">2021; </w:t>
      </w:r>
      <w:r w:rsidRPr="008A7BD7">
        <w:rPr>
          <w:rFonts w:ascii="Cambria" w:eastAsia="Cambria" w:hAnsi="Cambria" w:cs="Cambria"/>
          <w:i/>
          <w:iCs/>
          <w:color w:val="333333"/>
          <w:sz w:val="16"/>
          <w:szCs w:val="16"/>
          <w:lang w:val="es-ES"/>
        </w:rPr>
        <w:t>Prensa Libre</w:t>
      </w:r>
      <w:r w:rsidRPr="008A7BD7">
        <w:rPr>
          <w:rFonts w:ascii="Cambria" w:eastAsia="Cambria" w:hAnsi="Cambria" w:cs="Cambria"/>
          <w:color w:val="333333"/>
          <w:sz w:val="16"/>
          <w:szCs w:val="16"/>
          <w:lang w:val="es-ES"/>
        </w:rPr>
        <w:t xml:space="preserve">, </w:t>
      </w:r>
      <w:hyperlink r:id="rId223" w:history="1">
        <w:r w:rsidRPr="008A7BD7">
          <w:rPr>
            <w:rStyle w:val="Hyperlink"/>
            <w:rFonts w:ascii="Cambria" w:eastAsia="Cambria" w:hAnsi="Cambria" w:cs="Cambria"/>
            <w:i/>
            <w:iCs/>
            <w:sz w:val="16"/>
            <w:szCs w:val="16"/>
            <w:lang w:val="es-ES"/>
          </w:rPr>
          <w:t>Así funciona la Comisión Presidencial por la Paz y los Derechos Humanos</w:t>
        </w:r>
      </w:hyperlink>
      <w:r w:rsidRPr="008A7BD7">
        <w:rPr>
          <w:rFonts w:ascii="Cambria" w:eastAsia="Cambria" w:hAnsi="Cambria" w:cs="Cambria"/>
          <w:color w:val="333333"/>
          <w:sz w:val="16"/>
          <w:szCs w:val="16"/>
          <w:lang w:val="es-ES"/>
        </w:rPr>
        <w:t xml:space="preserve">, </w:t>
      </w:r>
      <w:r w:rsidR="00D04F6A" w:rsidRPr="008A7BD7">
        <w:rPr>
          <w:rFonts w:ascii="Cambria" w:eastAsia="Cambria" w:hAnsi="Cambria" w:cs="Cambria"/>
          <w:color w:val="333333"/>
          <w:sz w:val="16"/>
          <w:szCs w:val="16"/>
          <w:lang w:val="es-ES"/>
        </w:rPr>
        <w:t xml:space="preserve">April </w:t>
      </w:r>
      <w:r w:rsidRPr="008A7BD7">
        <w:rPr>
          <w:rFonts w:ascii="Cambria" w:eastAsia="Cambria" w:hAnsi="Cambria" w:cs="Cambria"/>
          <w:color w:val="333333"/>
          <w:sz w:val="16"/>
          <w:szCs w:val="16"/>
          <w:lang w:val="es-ES"/>
        </w:rPr>
        <w:t>29</w:t>
      </w:r>
      <w:r w:rsidR="00D04F6A"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 xml:space="preserve">2021; </w:t>
      </w:r>
      <w:r w:rsidRPr="008A7BD7">
        <w:rPr>
          <w:rFonts w:ascii="Cambria" w:eastAsia="Cambria" w:hAnsi="Cambria" w:cs="Cambria"/>
          <w:i/>
          <w:iCs/>
          <w:color w:val="333333"/>
          <w:sz w:val="16"/>
          <w:szCs w:val="16"/>
          <w:lang w:val="es-ES"/>
        </w:rPr>
        <w:t>UDG TV</w:t>
      </w:r>
      <w:r w:rsidRPr="008A7BD7">
        <w:rPr>
          <w:rFonts w:ascii="Cambria" w:eastAsia="Cambria" w:hAnsi="Cambria" w:cs="Cambria"/>
          <w:color w:val="333333"/>
          <w:sz w:val="16"/>
          <w:szCs w:val="16"/>
          <w:lang w:val="es-ES"/>
        </w:rPr>
        <w:t>,</w:t>
      </w:r>
      <w:r w:rsidRPr="008A7BD7">
        <w:rPr>
          <w:rFonts w:ascii="Cambria" w:eastAsia="Cambria" w:hAnsi="Cambria" w:cs="Cambria"/>
          <w:i/>
          <w:iCs/>
          <w:color w:val="333333"/>
          <w:sz w:val="16"/>
          <w:szCs w:val="16"/>
          <w:lang w:val="es-ES"/>
        </w:rPr>
        <w:t xml:space="preserve"> </w:t>
      </w:r>
      <w:hyperlink r:id="rId224" w:history="1">
        <w:r w:rsidRPr="008A7BD7">
          <w:rPr>
            <w:rStyle w:val="Hyperlink"/>
            <w:rFonts w:ascii="Cambria" w:eastAsia="Cambria" w:hAnsi="Cambria" w:cs="Cambria"/>
            <w:i/>
            <w:iCs/>
            <w:sz w:val="16"/>
            <w:szCs w:val="16"/>
            <w:lang w:val="es-ES"/>
          </w:rPr>
          <w:t>Denuncian retroceso en acuerdos de paz al recordar masacre en Guatemala</w:t>
        </w:r>
      </w:hyperlink>
      <w:r w:rsidRPr="008A7BD7">
        <w:rPr>
          <w:rFonts w:ascii="Cambria" w:eastAsia="Cambria" w:hAnsi="Cambria" w:cs="Cambria"/>
          <w:color w:val="333333"/>
          <w:sz w:val="16"/>
          <w:szCs w:val="16"/>
          <w:lang w:val="es-ES"/>
        </w:rPr>
        <w:t xml:space="preserve">, </w:t>
      </w:r>
      <w:proofErr w:type="spellStart"/>
      <w:r w:rsidR="00D04F6A" w:rsidRPr="008A7BD7">
        <w:rPr>
          <w:rFonts w:ascii="Cambria" w:eastAsia="Cambria" w:hAnsi="Cambria" w:cs="Cambria"/>
          <w:color w:val="333333"/>
          <w:sz w:val="16"/>
          <w:szCs w:val="16"/>
          <w:lang w:val="es-ES"/>
        </w:rPr>
        <w:t>January</w:t>
      </w:r>
      <w:proofErr w:type="spellEnd"/>
      <w:r w:rsidR="00D04F6A"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31</w:t>
      </w:r>
      <w:r w:rsidR="00D04F6A"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2021.</w:t>
      </w:r>
    </w:p>
  </w:footnote>
  <w:footnote w:id="214">
    <w:p w14:paraId="5E6722C0" w14:textId="4B7600CC" w:rsidR="00DC16DE" w:rsidRPr="008A7BD7" w:rsidRDefault="00DC16DE" w:rsidP="00746761">
      <w:pPr>
        <w:pStyle w:val="FootnoteText"/>
        <w:spacing w:after="120"/>
        <w:ind w:firstLine="720"/>
        <w:jc w:val="both"/>
        <w:rPr>
          <w:rFonts w:ascii="Cambria" w:hAnsi="Cambria"/>
          <w:sz w:val="16"/>
          <w:szCs w:val="16"/>
          <w:lang w:val="es-419"/>
        </w:rPr>
      </w:pPr>
      <w:r w:rsidRPr="008A7BD7">
        <w:rPr>
          <w:rStyle w:val="FootnoteReference"/>
          <w:rFonts w:ascii="Cambria" w:hAnsi="Cambria"/>
          <w:sz w:val="16"/>
          <w:szCs w:val="16"/>
        </w:rPr>
        <w:footnoteRef/>
      </w:r>
      <w:r w:rsidRPr="008A7BD7">
        <w:rPr>
          <w:rFonts w:ascii="Cambria" w:hAnsi="Cambria"/>
          <w:sz w:val="16"/>
          <w:szCs w:val="16"/>
          <w:lang w:val="es-419"/>
        </w:rPr>
        <w:t xml:space="preserve"> </w:t>
      </w:r>
      <w:proofErr w:type="spellStart"/>
      <w:r w:rsidR="001C35F8" w:rsidRPr="008A7BD7">
        <w:rPr>
          <w:rFonts w:ascii="Cambria" w:eastAsia="Cambria" w:hAnsi="Cambria" w:cs="Cambria"/>
          <w:color w:val="333333"/>
          <w:sz w:val="16"/>
          <w:szCs w:val="16"/>
          <w:lang w:val="es-ES"/>
        </w:rPr>
        <w:t>Government</w:t>
      </w:r>
      <w:proofErr w:type="spellEnd"/>
      <w:r w:rsidR="001C35F8" w:rsidRPr="008A7BD7">
        <w:rPr>
          <w:rFonts w:ascii="Cambria" w:eastAsia="Cambria" w:hAnsi="Cambria" w:cs="Cambria"/>
          <w:color w:val="333333"/>
          <w:sz w:val="16"/>
          <w:szCs w:val="16"/>
          <w:lang w:val="es-ES"/>
        </w:rPr>
        <w:t xml:space="preserve"> of </w:t>
      </w:r>
      <w:r w:rsidRPr="008A7BD7">
        <w:rPr>
          <w:rFonts w:ascii="Cambria" w:eastAsia="Cambria" w:hAnsi="Cambria" w:cs="Cambria"/>
          <w:color w:val="333333"/>
          <w:sz w:val="16"/>
          <w:szCs w:val="16"/>
          <w:lang w:val="es-ES"/>
        </w:rPr>
        <w:t xml:space="preserve">Guatemala, </w:t>
      </w:r>
      <w:hyperlink r:id="rId225" w:history="1">
        <w:r w:rsidRPr="008A7BD7">
          <w:rPr>
            <w:rStyle w:val="Hyperlink"/>
            <w:rFonts w:ascii="Cambria" w:eastAsia="Cambria" w:hAnsi="Cambria" w:cs="Cambria"/>
            <w:i/>
            <w:iCs/>
            <w:sz w:val="16"/>
            <w:szCs w:val="16"/>
            <w:lang w:val="es-ES"/>
          </w:rPr>
          <w:t>COPADEH cumple un año de existir institucionalmente y 7 meses en funciones; fomentando una cultura de paz y respeto a los derechos humanos</w:t>
        </w:r>
      </w:hyperlink>
      <w:r w:rsidRPr="008A7BD7">
        <w:rPr>
          <w:rFonts w:ascii="Cambria" w:eastAsia="Cambria" w:hAnsi="Cambria" w:cs="Cambria"/>
          <w:color w:val="333333"/>
          <w:sz w:val="16"/>
          <w:szCs w:val="16"/>
          <w:lang w:val="es-ES"/>
        </w:rPr>
        <w:t xml:space="preserve">, </w:t>
      </w:r>
      <w:proofErr w:type="spellStart"/>
      <w:r w:rsidR="001C35F8" w:rsidRPr="008A7BD7">
        <w:rPr>
          <w:rFonts w:ascii="Cambria" w:eastAsia="Cambria" w:hAnsi="Cambria" w:cs="Cambria"/>
          <w:color w:val="333333"/>
          <w:sz w:val="16"/>
          <w:szCs w:val="16"/>
          <w:lang w:val="es-ES"/>
        </w:rPr>
        <w:t>July</w:t>
      </w:r>
      <w:proofErr w:type="spellEnd"/>
      <w:r w:rsidR="001C35F8"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30</w:t>
      </w:r>
      <w:r w:rsidR="001C35F8" w:rsidRPr="008A7BD7">
        <w:rPr>
          <w:rFonts w:ascii="Cambria" w:eastAsia="Cambria" w:hAnsi="Cambria" w:cs="Cambria"/>
          <w:color w:val="333333"/>
          <w:sz w:val="16"/>
          <w:szCs w:val="16"/>
          <w:lang w:val="es-ES"/>
        </w:rPr>
        <w:t>,</w:t>
      </w:r>
      <w:r w:rsidRPr="008A7BD7">
        <w:rPr>
          <w:rFonts w:ascii="Cambria" w:eastAsia="Cambria" w:hAnsi="Cambria" w:cs="Cambria"/>
          <w:color w:val="333333"/>
          <w:sz w:val="16"/>
          <w:szCs w:val="16"/>
          <w:lang w:val="es-ES"/>
        </w:rPr>
        <w:t xml:space="preserve"> 2021. </w:t>
      </w:r>
    </w:p>
  </w:footnote>
  <w:footnote w:id="215">
    <w:p w14:paraId="35ACFA0A" w14:textId="46A45D24" w:rsidR="00DC16DE" w:rsidRPr="008A7BD7" w:rsidRDefault="00DC16DE" w:rsidP="00746761">
      <w:pPr>
        <w:pStyle w:val="FootnoteText"/>
        <w:spacing w:after="120"/>
        <w:ind w:firstLine="720"/>
        <w:jc w:val="both"/>
        <w:rPr>
          <w:rFonts w:ascii="Cambria" w:hAnsi="Cambria"/>
          <w:sz w:val="16"/>
          <w:szCs w:val="16"/>
          <w:lang w:val="es-419"/>
        </w:rPr>
      </w:pPr>
      <w:r w:rsidRPr="008A7BD7">
        <w:rPr>
          <w:rStyle w:val="FootnoteReference"/>
          <w:rFonts w:ascii="Cambria" w:hAnsi="Cambria"/>
          <w:sz w:val="16"/>
          <w:szCs w:val="16"/>
        </w:rPr>
        <w:footnoteRef/>
      </w:r>
      <w:r w:rsidRPr="008A7BD7">
        <w:rPr>
          <w:rFonts w:ascii="Cambria" w:hAnsi="Cambria"/>
          <w:sz w:val="16"/>
          <w:szCs w:val="16"/>
          <w:lang w:val="es-419"/>
        </w:rPr>
        <w:t xml:space="preserve"> </w:t>
      </w:r>
      <w:r w:rsidRPr="008A7BD7">
        <w:rPr>
          <w:rFonts w:ascii="Cambria" w:eastAsia="Cambria" w:hAnsi="Cambria" w:cs="Cambria"/>
          <w:i/>
          <w:iCs/>
          <w:color w:val="333333"/>
          <w:sz w:val="16"/>
          <w:szCs w:val="16"/>
          <w:lang w:val="es-ES"/>
        </w:rPr>
        <w:t>El Periódico</w:t>
      </w:r>
      <w:r w:rsidRPr="008A7BD7">
        <w:rPr>
          <w:rFonts w:ascii="Cambria" w:eastAsia="Cambria" w:hAnsi="Cambria" w:cs="Cambria"/>
          <w:color w:val="333333"/>
          <w:sz w:val="16"/>
          <w:szCs w:val="16"/>
          <w:lang w:val="es-ES"/>
        </w:rPr>
        <w:t xml:space="preserve">, </w:t>
      </w:r>
      <w:hyperlink r:id="rId226" w:history="1">
        <w:r w:rsidRPr="008A7BD7">
          <w:rPr>
            <w:rStyle w:val="Hyperlink"/>
            <w:rFonts w:ascii="Cambria" w:eastAsia="Cambria" w:hAnsi="Cambria" w:cs="Cambria"/>
            <w:i/>
            <w:iCs/>
            <w:sz w:val="16"/>
            <w:szCs w:val="16"/>
            <w:lang w:val="es-ES"/>
          </w:rPr>
          <w:t>Gobierno paralizó resarcimiento a víctimas del conflicto armado</w:t>
        </w:r>
      </w:hyperlink>
      <w:r w:rsidRPr="008A7BD7">
        <w:rPr>
          <w:rFonts w:ascii="Cambria" w:eastAsia="Cambria" w:hAnsi="Cambria" w:cs="Cambria"/>
          <w:i/>
          <w:iCs/>
          <w:color w:val="333333"/>
          <w:sz w:val="16"/>
          <w:szCs w:val="16"/>
          <w:lang w:val="es-ES"/>
        </w:rPr>
        <w:t xml:space="preserve">, </w:t>
      </w:r>
      <w:r w:rsidR="00645879" w:rsidRPr="008A7BD7">
        <w:rPr>
          <w:rFonts w:ascii="Cambria" w:eastAsia="Cambria" w:hAnsi="Cambria" w:cs="Cambria"/>
          <w:color w:val="333333"/>
          <w:sz w:val="16"/>
          <w:szCs w:val="16"/>
          <w:lang w:val="es-ES"/>
        </w:rPr>
        <w:t xml:space="preserve">June </w:t>
      </w:r>
      <w:r w:rsidRPr="008A7BD7">
        <w:rPr>
          <w:rFonts w:ascii="Cambria" w:eastAsia="Cambria" w:hAnsi="Cambria" w:cs="Cambria"/>
          <w:color w:val="333333"/>
          <w:sz w:val="16"/>
          <w:szCs w:val="16"/>
          <w:lang w:val="es-ES"/>
        </w:rPr>
        <w:t>19</w:t>
      </w:r>
      <w:r w:rsidR="00645879"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2021;</w:t>
      </w:r>
      <w:r w:rsidRPr="008A7BD7">
        <w:rPr>
          <w:rFonts w:ascii="Cambria" w:eastAsia="Cambria" w:hAnsi="Cambria" w:cs="Cambria"/>
          <w:i/>
          <w:iCs/>
          <w:color w:val="333333"/>
          <w:sz w:val="16"/>
          <w:szCs w:val="16"/>
          <w:lang w:val="es-ES"/>
        </w:rPr>
        <w:t xml:space="preserve"> Prensa Comunitaria, </w:t>
      </w:r>
      <w:hyperlink r:id="rId227" w:history="1">
        <w:r w:rsidRPr="008A7BD7">
          <w:rPr>
            <w:rStyle w:val="Hyperlink"/>
            <w:rFonts w:ascii="Cambria" w:eastAsia="Cambria" w:hAnsi="Cambria" w:cs="Cambria"/>
            <w:i/>
            <w:iCs/>
            <w:sz w:val="16"/>
            <w:szCs w:val="16"/>
            <w:lang w:val="es-ES"/>
          </w:rPr>
          <w:t>Víctimas del conflicto armado interno denuncian a Guatemala ante la ONU</w:t>
        </w:r>
      </w:hyperlink>
      <w:r w:rsidRPr="008A7BD7">
        <w:rPr>
          <w:rFonts w:ascii="Cambria" w:eastAsia="Cambria" w:hAnsi="Cambria" w:cs="Cambria"/>
          <w:color w:val="333333"/>
          <w:sz w:val="16"/>
          <w:szCs w:val="16"/>
          <w:lang w:val="es-ES"/>
        </w:rPr>
        <w:t xml:space="preserve">, </w:t>
      </w:r>
      <w:proofErr w:type="spellStart"/>
      <w:r w:rsidR="00F5369D" w:rsidRPr="008A7BD7">
        <w:rPr>
          <w:rFonts w:ascii="Cambria" w:eastAsia="Cambria" w:hAnsi="Cambria" w:cs="Cambria"/>
          <w:color w:val="333333"/>
          <w:sz w:val="16"/>
          <w:szCs w:val="16"/>
          <w:lang w:val="es-ES"/>
        </w:rPr>
        <w:t>July</w:t>
      </w:r>
      <w:proofErr w:type="spellEnd"/>
      <w:r w:rsidR="00F5369D"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30</w:t>
      </w:r>
      <w:r w:rsidR="00F5369D"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2021</w:t>
      </w:r>
      <w:r w:rsidR="00F5369D" w:rsidRPr="008A7BD7">
        <w:rPr>
          <w:rFonts w:ascii="Cambria" w:eastAsia="Cambria" w:hAnsi="Cambria" w:cs="Cambria"/>
          <w:color w:val="333333"/>
          <w:sz w:val="16"/>
          <w:szCs w:val="16"/>
          <w:lang w:val="es-ES"/>
        </w:rPr>
        <w:t>.</w:t>
      </w:r>
    </w:p>
  </w:footnote>
  <w:footnote w:id="216">
    <w:p w14:paraId="189B60D2" w14:textId="71A6654D" w:rsidR="00F97F2A" w:rsidRPr="008A7BD7" w:rsidRDefault="00F97F2A" w:rsidP="00F97F2A">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9B1383" w:rsidRPr="008A7BD7">
        <w:rPr>
          <w:rFonts w:ascii="Cambria" w:hAnsi="Cambria"/>
          <w:sz w:val="16"/>
          <w:szCs w:val="16"/>
        </w:rPr>
        <w:t>Response from the State of</w:t>
      </w:r>
      <w:r w:rsidR="009B1383"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9B1383" w:rsidRPr="008A7BD7">
        <w:rPr>
          <w:rFonts w:ascii="Cambria" w:hAnsi="Cambria"/>
          <w:sz w:val="16"/>
          <w:szCs w:val="16"/>
        </w:rPr>
        <w:t>OEA</w:t>
      </w:r>
      <w:r w:rsidR="009B1383" w:rsidRPr="008A7BD7">
        <w:rPr>
          <w:rFonts w:ascii="Cambria" w:eastAsia="Cambria" w:hAnsi="Cambria" w:cs="Cambria"/>
          <w:color w:val="000000"/>
          <w:sz w:val="16"/>
          <w:szCs w:val="16"/>
        </w:rPr>
        <w:t>-M4-980-2021, December 22, 2021, p</w:t>
      </w:r>
      <w:r w:rsidR="009B1383"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132</w:t>
      </w:r>
      <w:r w:rsidR="005B5751"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133.</w:t>
      </w:r>
    </w:p>
  </w:footnote>
  <w:footnote w:id="217">
    <w:p w14:paraId="480126C0" w14:textId="10AC2B78" w:rsidR="00DC16DE" w:rsidRPr="008A7BD7" w:rsidRDefault="00DC16DE" w:rsidP="00746761">
      <w:pPr>
        <w:spacing w:after="120"/>
        <w:ind w:firstLine="720"/>
        <w:jc w:val="both"/>
        <w:rPr>
          <w:rFonts w:ascii="Cambria" w:eastAsia="Cambria" w:hAnsi="Cambria" w:cs="Cambria"/>
          <w:color w:val="333333"/>
          <w:sz w:val="16"/>
          <w:szCs w:val="16"/>
        </w:rPr>
      </w:pPr>
      <w:r w:rsidRPr="008A7BD7">
        <w:rPr>
          <w:rFonts w:ascii="Cambria" w:eastAsia="Cambria" w:hAnsi="Cambria" w:cs="Cambria"/>
          <w:color w:val="333333"/>
          <w:sz w:val="16"/>
          <w:szCs w:val="16"/>
          <w:vertAlign w:val="superscript"/>
          <w:lang w:val="es-ES"/>
        </w:rPr>
        <w:footnoteRef/>
      </w:r>
      <w:r w:rsidRPr="008A7BD7">
        <w:rPr>
          <w:rFonts w:ascii="Cambria" w:eastAsia="Cambria" w:hAnsi="Cambria" w:cs="Cambria"/>
          <w:color w:val="333333"/>
          <w:sz w:val="16"/>
          <w:szCs w:val="16"/>
        </w:rPr>
        <w:t xml:space="preserve"> </w:t>
      </w:r>
      <w:r w:rsidR="00F5369D" w:rsidRPr="008A7BD7">
        <w:rPr>
          <w:rFonts w:ascii="Cambria" w:eastAsia="Cambria" w:hAnsi="Cambria" w:cs="Cambria"/>
          <w:color w:val="333333"/>
          <w:sz w:val="16"/>
          <w:szCs w:val="16"/>
        </w:rPr>
        <w:t>Constitutional Court</w:t>
      </w:r>
      <w:r w:rsidRPr="008A7BD7">
        <w:rPr>
          <w:rFonts w:ascii="Cambria" w:eastAsia="Cambria" w:hAnsi="Cambria" w:cs="Cambria"/>
          <w:color w:val="333333"/>
          <w:sz w:val="16"/>
          <w:szCs w:val="16"/>
        </w:rPr>
        <w:t xml:space="preserve">, </w:t>
      </w:r>
      <w:r w:rsidR="00F5369D" w:rsidRPr="008A7BD7">
        <w:rPr>
          <w:rFonts w:ascii="Cambria" w:eastAsia="Cambria" w:hAnsi="Cambria" w:cs="Cambria"/>
          <w:color w:val="333333"/>
          <w:sz w:val="16"/>
          <w:szCs w:val="16"/>
        </w:rPr>
        <w:t xml:space="preserve">Combined case files </w:t>
      </w:r>
      <w:r w:rsidRPr="008A7BD7">
        <w:rPr>
          <w:rFonts w:ascii="Cambria" w:eastAsia="Cambria" w:hAnsi="Cambria" w:cs="Cambria"/>
          <w:color w:val="333333"/>
          <w:sz w:val="16"/>
          <w:szCs w:val="16"/>
        </w:rPr>
        <w:t xml:space="preserve">682-2019 </w:t>
      </w:r>
      <w:r w:rsidR="00F5369D" w:rsidRPr="008A7BD7">
        <w:rPr>
          <w:rFonts w:ascii="Cambria" w:eastAsia="Cambria" w:hAnsi="Cambria" w:cs="Cambria"/>
          <w:color w:val="333333"/>
          <w:sz w:val="16"/>
          <w:szCs w:val="16"/>
        </w:rPr>
        <w:t>and</w:t>
      </w:r>
      <w:r w:rsidRPr="008A7BD7">
        <w:rPr>
          <w:rFonts w:ascii="Cambria" w:eastAsia="Cambria" w:hAnsi="Cambria" w:cs="Cambria"/>
          <w:color w:val="333333"/>
          <w:sz w:val="16"/>
          <w:szCs w:val="16"/>
        </w:rPr>
        <w:t xml:space="preserve"> 1214-2019, </w:t>
      </w:r>
      <w:r w:rsidR="00F5369D" w:rsidRPr="008A7BD7">
        <w:rPr>
          <w:rFonts w:ascii="Cambria" w:eastAsia="Cambria" w:hAnsi="Cambria" w:cs="Cambria"/>
          <w:color w:val="333333"/>
          <w:sz w:val="16"/>
          <w:szCs w:val="16"/>
        </w:rPr>
        <w:t xml:space="preserve">February </w:t>
      </w:r>
      <w:r w:rsidRPr="008A7BD7">
        <w:rPr>
          <w:rFonts w:ascii="Cambria" w:eastAsia="Cambria" w:hAnsi="Cambria" w:cs="Cambria"/>
          <w:color w:val="333333"/>
          <w:sz w:val="16"/>
          <w:szCs w:val="16"/>
        </w:rPr>
        <w:t>9</w:t>
      </w:r>
      <w:r w:rsidR="00F5369D" w:rsidRPr="008A7BD7">
        <w:rPr>
          <w:rFonts w:ascii="Cambria" w:eastAsia="Cambria" w:hAnsi="Cambria" w:cs="Cambria"/>
          <w:color w:val="333333"/>
          <w:sz w:val="16"/>
          <w:szCs w:val="16"/>
        </w:rPr>
        <w:t xml:space="preserve">, </w:t>
      </w:r>
      <w:r w:rsidRPr="008A7BD7">
        <w:rPr>
          <w:rFonts w:ascii="Cambria" w:eastAsia="Cambria" w:hAnsi="Cambria" w:cs="Cambria"/>
          <w:color w:val="333333"/>
          <w:sz w:val="16"/>
          <w:szCs w:val="16"/>
        </w:rPr>
        <w:t>2021.</w:t>
      </w:r>
    </w:p>
  </w:footnote>
  <w:footnote w:id="218">
    <w:p w14:paraId="6F387AC6" w14:textId="141C43C0" w:rsidR="00DC16DE" w:rsidRPr="008A7BD7" w:rsidRDefault="00DC16DE" w:rsidP="00746761">
      <w:pPr>
        <w:pStyle w:val="FootnoteText"/>
        <w:spacing w:after="120"/>
        <w:ind w:firstLine="720"/>
        <w:jc w:val="both"/>
        <w:rPr>
          <w:rFonts w:ascii="Cambria" w:hAnsi="Cambria"/>
          <w:sz w:val="16"/>
          <w:szCs w:val="16"/>
          <w:lang w:val="es-419"/>
        </w:rPr>
      </w:pPr>
      <w:r w:rsidRPr="008A7BD7">
        <w:rPr>
          <w:rStyle w:val="FootnoteReference"/>
          <w:rFonts w:ascii="Cambria" w:hAnsi="Cambria"/>
          <w:sz w:val="16"/>
          <w:szCs w:val="16"/>
        </w:rPr>
        <w:footnoteRef/>
      </w:r>
      <w:r w:rsidRPr="008A7BD7">
        <w:rPr>
          <w:rFonts w:ascii="Cambria" w:hAnsi="Cambria"/>
          <w:sz w:val="16"/>
          <w:szCs w:val="16"/>
          <w:lang w:val="es-419"/>
        </w:rPr>
        <w:t xml:space="preserve"> </w:t>
      </w:r>
      <w:r w:rsidRPr="008A7BD7">
        <w:rPr>
          <w:rFonts w:ascii="Cambria" w:hAnsi="Cambria"/>
          <w:i/>
          <w:iCs/>
          <w:sz w:val="16"/>
          <w:szCs w:val="16"/>
          <w:lang w:val="es-419"/>
        </w:rPr>
        <w:t>La Hora GT</w:t>
      </w:r>
      <w:r w:rsidRPr="008A7BD7">
        <w:rPr>
          <w:rFonts w:ascii="Cambria" w:hAnsi="Cambria"/>
          <w:sz w:val="16"/>
          <w:szCs w:val="16"/>
          <w:lang w:val="es-419"/>
        </w:rPr>
        <w:t xml:space="preserve">, </w:t>
      </w:r>
      <w:hyperlink r:id="rId228" w:history="1">
        <w:r w:rsidRPr="008A7BD7">
          <w:rPr>
            <w:rStyle w:val="Hyperlink"/>
            <w:rFonts w:ascii="Cambria" w:hAnsi="Cambria"/>
            <w:i/>
            <w:iCs/>
            <w:sz w:val="16"/>
            <w:szCs w:val="16"/>
            <w:lang w:val="es-419"/>
          </w:rPr>
          <w:t>Tras sentencia de la CC, Congreso archiva Ley de Reconciliación Nacional</w:t>
        </w:r>
      </w:hyperlink>
      <w:r w:rsidRPr="008A7BD7">
        <w:rPr>
          <w:rFonts w:ascii="Cambria" w:hAnsi="Cambria"/>
          <w:sz w:val="16"/>
          <w:szCs w:val="16"/>
          <w:lang w:val="es-419"/>
        </w:rPr>
        <w:t xml:space="preserve">, </w:t>
      </w:r>
      <w:r w:rsidR="009141A0" w:rsidRPr="008A7BD7">
        <w:rPr>
          <w:rFonts w:ascii="Cambria" w:hAnsi="Cambria"/>
          <w:sz w:val="16"/>
          <w:szCs w:val="16"/>
          <w:lang w:val="es-419"/>
        </w:rPr>
        <w:t xml:space="preserve">April </w:t>
      </w:r>
      <w:r w:rsidRPr="008A7BD7">
        <w:rPr>
          <w:rFonts w:ascii="Cambria" w:hAnsi="Cambria"/>
          <w:sz w:val="16"/>
          <w:szCs w:val="16"/>
          <w:lang w:val="es-419"/>
        </w:rPr>
        <w:t>20</w:t>
      </w:r>
      <w:r w:rsidR="009141A0" w:rsidRPr="008A7BD7">
        <w:rPr>
          <w:rFonts w:ascii="Cambria" w:hAnsi="Cambria"/>
          <w:sz w:val="16"/>
          <w:szCs w:val="16"/>
          <w:lang w:val="es-419"/>
        </w:rPr>
        <w:t xml:space="preserve">, </w:t>
      </w:r>
      <w:r w:rsidRPr="008A7BD7">
        <w:rPr>
          <w:rFonts w:ascii="Cambria" w:hAnsi="Cambria"/>
          <w:sz w:val="16"/>
          <w:szCs w:val="16"/>
          <w:lang w:val="es-419"/>
        </w:rPr>
        <w:t>2021.</w:t>
      </w:r>
    </w:p>
  </w:footnote>
  <w:footnote w:id="219">
    <w:p w14:paraId="64CAF4C4" w14:textId="1BBB315D" w:rsidR="00DC16DE" w:rsidRPr="008A7BD7" w:rsidRDefault="00DC16DE" w:rsidP="00746761">
      <w:pPr>
        <w:pStyle w:val="FootnoteText"/>
        <w:spacing w:after="120"/>
        <w:ind w:firstLine="720"/>
        <w:jc w:val="both"/>
        <w:rPr>
          <w:rFonts w:ascii="Cambria" w:eastAsia="Cambria" w:hAnsi="Cambria" w:cs="Cambria"/>
          <w:color w:val="333333"/>
          <w:sz w:val="16"/>
          <w:szCs w:val="16"/>
          <w:lang w:val="es-ES"/>
        </w:rPr>
      </w:pPr>
      <w:r w:rsidRPr="008A7BD7">
        <w:rPr>
          <w:rStyle w:val="FootnoteReference"/>
          <w:rFonts w:ascii="Cambria" w:hAnsi="Cambria"/>
          <w:sz w:val="16"/>
          <w:szCs w:val="16"/>
        </w:rPr>
        <w:footnoteRef/>
      </w:r>
      <w:r w:rsidRPr="008A7BD7">
        <w:rPr>
          <w:rFonts w:ascii="Cambria" w:hAnsi="Cambria"/>
          <w:sz w:val="16"/>
          <w:szCs w:val="16"/>
          <w:lang w:val="es-419"/>
        </w:rPr>
        <w:t xml:space="preserve"> </w:t>
      </w:r>
      <w:proofErr w:type="spellStart"/>
      <w:r w:rsidR="00BA562A" w:rsidRPr="008A7BD7">
        <w:rPr>
          <w:rFonts w:ascii="Cambria" w:eastAsia="Cambria" w:hAnsi="Cambria" w:cs="Cambria"/>
          <w:color w:val="333333"/>
          <w:sz w:val="16"/>
          <w:szCs w:val="16"/>
          <w:lang w:val="es-ES"/>
        </w:rPr>
        <w:t>Congress</w:t>
      </w:r>
      <w:proofErr w:type="spellEnd"/>
      <w:r w:rsidR="00BA562A" w:rsidRPr="008A7BD7">
        <w:rPr>
          <w:rFonts w:ascii="Cambria" w:eastAsia="Cambria" w:hAnsi="Cambria" w:cs="Cambria"/>
          <w:color w:val="333333"/>
          <w:sz w:val="16"/>
          <w:szCs w:val="16"/>
          <w:lang w:val="es-ES"/>
        </w:rPr>
        <w:t xml:space="preserve"> of </w:t>
      </w:r>
      <w:proofErr w:type="spellStart"/>
      <w:r w:rsidR="00BA562A" w:rsidRPr="008A7BD7">
        <w:rPr>
          <w:rFonts w:ascii="Cambria" w:eastAsia="Cambria" w:hAnsi="Cambria" w:cs="Cambria"/>
          <w:color w:val="333333"/>
          <w:sz w:val="16"/>
          <w:szCs w:val="16"/>
          <w:lang w:val="es-ES"/>
        </w:rPr>
        <w:t>the</w:t>
      </w:r>
      <w:proofErr w:type="spellEnd"/>
      <w:r w:rsidR="00BA562A" w:rsidRPr="008A7BD7">
        <w:rPr>
          <w:rFonts w:ascii="Cambria" w:eastAsia="Cambria" w:hAnsi="Cambria" w:cs="Cambria"/>
          <w:color w:val="333333"/>
          <w:sz w:val="16"/>
          <w:szCs w:val="16"/>
          <w:lang w:val="es-ES"/>
        </w:rPr>
        <w:t xml:space="preserve"> </w:t>
      </w:r>
      <w:proofErr w:type="spellStart"/>
      <w:r w:rsidR="00BA562A" w:rsidRPr="008A7BD7">
        <w:rPr>
          <w:rFonts w:ascii="Cambria" w:eastAsia="Cambria" w:hAnsi="Cambria" w:cs="Cambria"/>
          <w:color w:val="333333"/>
          <w:sz w:val="16"/>
          <w:szCs w:val="16"/>
          <w:lang w:val="es-ES"/>
        </w:rPr>
        <w:t>Republic</w:t>
      </w:r>
      <w:proofErr w:type="spellEnd"/>
      <w:r w:rsidR="00BA562A" w:rsidRPr="008A7BD7">
        <w:rPr>
          <w:rFonts w:ascii="Cambria" w:eastAsia="Cambria" w:hAnsi="Cambria" w:cs="Cambria"/>
          <w:color w:val="333333"/>
          <w:sz w:val="16"/>
          <w:szCs w:val="16"/>
          <w:lang w:val="es-ES"/>
        </w:rPr>
        <w:t xml:space="preserve">, Legislative </w:t>
      </w:r>
      <w:proofErr w:type="spellStart"/>
      <w:r w:rsidR="00BA562A" w:rsidRPr="008A7BD7">
        <w:rPr>
          <w:rFonts w:ascii="Cambria" w:eastAsia="Cambria" w:hAnsi="Cambria" w:cs="Cambria"/>
          <w:color w:val="333333"/>
          <w:sz w:val="16"/>
          <w:szCs w:val="16"/>
          <w:lang w:val="es-ES"/>
        </w:rPr>
        <w:t>Directorate</w:t>
      </w:r>
      <w:proofErr w:type="spellEnd"/>
      <w:r w:rsidR="00BA562A" w:rsidRPr="008A7BD7">
        <w:rPr>
          <w:rFonts w:ascii="Cambria" w:eastAsia="Cambria" w:hAnsi="Cambria" w:cs="Cambria"/>
          <w:color w:val="333333"/>
          <w:sz w:val="16"/>
          <w:szCs w:val="16"/>
          <w:lang w:val="es-ES"/>
        </w:rPr>
        <w:t xml:space="preserve">, Control of </w:t>
      </w:r>
      <w:proofErr w:type="spellStart"/>
      <w:r w:rsidR="00BA562A" w:rsidRPr="008A7BD7">
        <w:rPr>
          <w:rFonts w:ascii="Cambria" w:eastAsia="Cambria" w:hAnsi="Cambria" w:cs="Cambria"/>
          <w:color w:val="333333"/>
          <w:sz w:val="16"/>
          <w:szCs w:val="16"/>
          <w:lang w:val="es-ES"/>
        </w:rPr>
        <w:t>Initiatives</w:t>
      </w:r>
      <w:proofErr w:type="spellEnd"/>
      <w:r w:rsidR="00BA562A" w:rsidRPr="008A7BD7">
        <w:rPr>
          <w:rFonts w:ascii="Cambria" w:eastAsia="Cambria" w:hAnsi="Cambria" w:cs="Cambria"/>
          <w:color w:val="333333"/>
          <w:sz w:val="16"/>
          <w:szCs w:val="16"/>
          <w:lang w:val="es-ES"/>
        </w:rPr>
        <w:t xml:space="preserve">, </w:t>
      </w:r>
      <w:proofErr w:type="spellStart"/>
      <w:r w:rsidR="00BA562A" w:rsidRPr="008A7BD7">
        <w:rPr>
          <w:rFonts w:ascii="Cambria" w:eastAsia="Cambria" w:hAnsi="Cambria" w:cs="Cambria"/>
          <w:color w:val="333333"/>
          <w:sz w:val="16"/>
          <w:szCs w:val="16"/>
          <w:lang w:val="es-ES"/>
        </w:rPr>
        <w:t>Registration</w:t>
      </w:r>
      <w:proofErr w:type="spellEnd"/>
      <w:r w:rsidR="00BA562A" w:rsidRPr="008A7BD7">
        <w:rPr>
          <w:rFonts w:ascii="Cambria" w:eastAsia="Cambria" w:hAnsi="Cambria" w:cs="Cambria"/>
          <w:color w:val="333333"/>
          <w:sz w:val="16"/>
          <w:szCs w:val="16"/>
          <w:lang w:val="es-ES"/>
        </w:rPr>
        <w:t xml:space="preserve"> No. </w:t>
      </w:r>
      <w:r w:rsidRPr="008A7BD7">
        <w:rPr>
          <w:rFonts w:ascii="Cambria" w:eastAsia="Cambria" w:hAnsi="Cambria" w:cs="Cambria"/>
          <w:color w:val="333333"/>
          <w:sz w:val="16"/>
          <w:szCs w:val="16"/>
          <w:lang w:val="es-ES"/>
        </w:rPr>
        <w:t xml:space="preserve">5290, 2021; </w:t>
      </w:r>
      <w:r w:rsidRPr="008A7BD7">
        <w:rPr>
          <w:rFonts w:ascii="Cambria" w:eastAsia="Cambria" w:hAnsi="Cambria" w:cs="Cambria"/>
          <w:i/>
          <w:iCs/>
          <w:color w:val="333333"/>
          <w:sz w:val="16"/>
          <w:szCs w:val="16"/>
          <w:lang w:val="es-ES"/>
        </w:rPr>
        <w:t xml:space="preserve">Prensa </w:t>
      </w:r>
      <w:r w:rsidR="00197C26" w:rsidRPr="008A7BD7">
        <w:rPr>
          <w:rFonts w:ascii="Cambria" w:eastAsia="Cambria" w:hAnsi="Cambria" w:cs="Cambria"/>
          <w:i/>
          <w:iCs/>
          <w:color w:val="333333"/>
          <w:sz w:val="16"/>
          <w:szCs w:val="16"/>
          <w:lang w:val="es-ES"/>
        </w:rPr>
        <w:t>C</w:t>
      </w:r>
      <w:r w:rsidRPr="008A7BD7">
        <w:rPr>
          <w:rFonts w:ascii="Cambria" w:eastAsia="Cambria" w:hAnsi="Cambria" w:cs="Cambria"/>
          <w:i/>
          <w:iCs/>
          <w:color w:val="333333"/>
          <w:sz w:val="16"/>
          <w:szCs w:val="16"/>
          <w:lang w:val="es-ES"/>
        </w:rPr>
        <w:t>omunitaria</w:t>
      </w:r>
      <w:r w:rsidRPr="008A7BD7">
        <w:rPr>
          <w:rFonts w:ascii="Cambria" w:eastAsia="Cambria" w:hAnsi="Cambria" w:cs="Cambria"/>
          <w:color w:val="333333"/>
          <w:sz w:val="16"/>
          <w:szCs w:val="16"/>
          <w:lang w:val="es-ES"/>
        </w:rPr>
        <w:t xml:space="preserve">, </w:t>
      </w:r>
      <w:hyperlink r:id="rId229" w:history="1">
        <w:r w:rsidRPr="008A7BD7">
          <w:rPr>
            <w:rStyle w:val="Hyperlink"/>
            <w:rFonts w:ascii="Cambria" w:eastAsia="Cambria" w:hAnsi="Cambria" w:cs="Cambria"/>
            <w:i/>
            <w:iCs/>
            <w:sz w:val="16"/>
            <w:szCs w:val="16"/>
            <w:lang w:val="es-ES"/>
          </w:rPr>
          <w:t>Víctimas del Conflicto Armado Interno rechazan proyecto de ley que busca amnistía para militares</w:t>
        </w:r>
      </w:hyperlink>
      <w:r w:rsidRPr="008A7BD7">
        <w:rPr>
          <w:rFonts w:ascii="Cambria" w:eastAsia="Cambria" w:hAnsi="Cambria" w:cs="Cambria"/>
          <w:color w:val="333333"/>
          <w:sz w:val="16"/>
          <w:szCs w:val="16"/>
          <w:lang w:val="es-ES"/>
        </w:rPr>
        <w:t xml:space="preserve">, </w:t>
      </w:r>
      <w:r w:rsidR="00197C26" w:rsidRPr="008A7BD7">
        <w:rPr>
          <w:rFonts w:ascii="Cambria" w:eastAsia="Cambria" w:hAnsi="Cambria" w:cs="Cambria"/>
          <w:color w:val="333333"/>
          <w:sz w:val="16"/>
          <w:szCs w:val="16"/>
          <w:lang w:val="es-ES"/>
        </w:rPr>
        <w:t xml:space="preserve">June </w:t>
      </w:r>
      <w:r w:rsidRPr="008A7BD7">
        <w:rPr>
          <w:rFonts w:ascii="Cambria" w:eastAsia="Cambria" w:hAnsi="Cambria" w:cs="Cambria"/>
          <w:color w:val="333333"/>
          <w:sz w:val="16"/>
          <w:szCs w:val="16"/>
          <w:lang w:val="es-ES"/>
        </w:rPr>
        <w:t>22</w:t>
      </w:r>
      <w:r w:rsidR="00197C26" w:rsidRPr="008A7BD7">
        <w:rPr>
          <w:rFonts w:ascii="Cambria" w:eastAsia="Cambria" w:hAnsi="Cambria" w:cs="Cambria"/>
          <w:color w:val="333333"/>
          <w:sz w:val="16"/>
          <w:szCs w:val="16"/>
          <w:lang w:val="es-ES"/>
        </w:rPr>
        <w:t xml:space="preserve">, </w:t>
      </w:r>
      <w:r w:rsidRPr="008A7BD7">
        <w:rPr>
          <w:rFonts w:ascii="Cambria" w:eastAsia="Cambria" w:hAnsi="Cambria" w:cs="Cambria"/>
          <w:color w:val="333333"/>
          <w:sz w:val="16"/>
          <w:szCs w:val="16"/>
          <w:lang w:val="es-ES"/>
        </w:rPr>
        <w:t xml:space="preserve">2021. </w:t>
      </w:r>
    </w:p>
  </w:footnote>
  <w:footnote w:id="220">
    <w:p w14:paraId="591CE056" w14:textId="157BC4FA" w:rsidR="00DC16DE" w:rsidRPr="008A7BD7" w:rsidRDefault="00DC16DE" w:rsidP="00746761">
      <w:pPr>
        <w:pStyle w:val="FootnoteText"/>
        <w:spacing w:after="120"/>
        <w:ind w:firstLine="720"/>
        <w:jc w:val="both"/>
        <w:rPr>
          <w:rFonts w:ascii="Cambria" w:hAnsi="Cambria"/>
          <w:sz w:val="16"/>
          <w:szCs w:val="16"/>
          <w:lang w:val="es-419"/>
        </w:rPr>
      </w:pPr>
      <w:r w:rsidRPr="008A7BD7">
        <w:rPr>
          <w:rStyle w:val="FootnoteReference"/>
          <w:rFonts w:ascii="Cambria" w:hAnsi="Cambria"/>
          <w:sz w:val="16"/>
          <w:szCs w:val="16"/>
        </w:rPr>
        <w:footnoteRef/>
      </w:r>
      <w:r w:rsidRPr="008A7BD7">
        <w:rPr>
          <w:rFonts w:ascii="Cambria" w:hAnsi="Cambria"/>
          <w:sz w:val="16"/>
          <w:szCs w:val="16"/>
          <w:lang w:val="es-419"/>
        </w:rPr>
        <w:t xml:space="preserve"> CEJIL, </w:t>
      </w:r>
      <w:hyperlink r:id="rId230" w:history="1">
        <w:r w:rsidRPr="008A7BD7">
          <w:rPr>
            <w:rStyle w:val="Hyperlink"/>
            <w:rFonts w:ascii="Cambria" w:hAnsi="Cambria"/>
            <w:i/>
            <w:iCs/>
            <w:sz w:val="16"/>
            <w:szCs w:val="16"/>
            <w:lang w:val="es-419"/>
          </w:rPr>
          <w:t>Demandamos a Guatemala justicia y verdad en cumplimiento de la sentencia de la Corte IDH en el caso Diario Militar</w:t>
        </w:r>
      </w:hyperlink>
      <w:r w:rsidRPr="008A7BD7">
        <w:rPr>
          <w:rFonts w:ascii="Cambria" w:hAnsi="Cambria"/>
          <w:sz w:val="16"/>
          <w:szCs w:val="16"/>
          <w:lang w:val="es-419"/>
        </w:rPr>
        <w:t xml:space="preserve">, </w:t>
      </w:r>
      <w:r w:rsidR="00197C26" w:rsidRPr="008A7BD7">
        <w:rPr>
          <w:rFonts w:ascii="Cambria" w:hAnsi="Cambria"/>
          <w:sz w:val="16"/>
          <w:szCs w:val="16"/>
          <w:lang w:val="es-419"/>
        </w:rPr>
        <w:t xml:space="preserve">May </w:t>
      </w:r>
      <w:r w:rsidRPr="008A7BD7">
        <w:rPr>
          <w:rFonts w:ascii="Cambria" w:hAnsi="Cambria"/>
          <w:sz w:val="16"/>
          <w:szCs w:val="16"/>
          <w:lang w:val="es-419"/>
        </w:rPr>
        <w:t>28</w:t>
      </w:r>
      <w:r w:rsidR="00197C26" w:rsidRPr="008A7BD7">
        <w:rPr>
          <w:rFonts w:ascii="Cambria" w:hAnsi="Cambria"/>
          <w:sz w:val="16"/>
          <w:szCs w:val="16"/>
          <w:lang w:val="es-419"/>
        </w:rPr>
        <w:t>,</w:t>
      </w:r>
      <w:r w:rsidRPr="008A7BD7">
        <w:rPr>
          <w:rFonts w:ascii="Cambria" w:hAnsi="Cambria"/>
          <w:sz w:val="16"/>
          <w:szCs w:val="16"/>
          <w:lang w:val="es-419"/>
        </w:rPr>
        <w:t xml:space="preserve"> 2021; </w:t>
      </w:r>
      <w:r w:rsidRPr="008A7BD7">
        <w:rPr>
          <w:rFonts w:ascii="Cambria" w:hAnsi="Cambria"/>
          <w:i/>
          <w:iCs/>
          <w:sz w:val="16"/>
          <w:szCs w:val="16"/>
          <w:lang w:val="es-419"/>
        </w:rPr>
        <w:t>DW</w:t>
      </w:r>
      <w:r w:rsidRPr="008A7BD7">
        <w:rPr>
          <w:rFonts w:ascii="Cambria" w:hAnsi="Cambria"/>
          <w:sz w:val="16"/>
          <w:szCs w:val="16"/>
          <w:lang w:val="es-419"/>
        </w:rPr>
        <w:t xml:space="preserve">, </w:t>
      </w:r>
      <w:hyperlink r:id="rId231" w:history="1">
        <w:r w:rsidRPr="008A7BD7">
          <w:rPr>
            <w:rStyle w:val="Hyperlink"/>
            <w:rFonts w:ascii="Cambria" w:hAnsi="Cambria"/>
            <w:i/>
            <w:iCs/>
            <w:sz w:val="16"/>
            <w:szCs w:val="16"/>
            <w:lang w:val="es-419"/>
          </w:rPr>
          <w:t>Guatemala: inician imputación a acusados en caso "Diario Militar</w:t>
        </w:r>
        <w:r w:rsidR="00197C26" w:rsidRPr="008A7BD7">
          <w:rPr>
            <w:rStyle w:val="Hyperlink"/>
            <w:rFonts w:ascii="Cambria" w:hAnsi="Cambria"/>
            <w:i/>
            <w:iCs/>
            <w:sz w:val="16"/>
            <w:szCs w:val="16"/>
            <w:lang w:val="es-419"/>
          </w:rPr>
          <w:t>,</w:t>
        </w:r>
        <w:r w:rsidRPr="008A7BD7">
          <w:rPr>
            <w:rStyle w:val="Hyperlink"/>
            <w:rFonts w:ascii="Cambria" w:hAnsi="Cambria"/>
            <w:i/>
            <w:iCs/>
            <w:sz w:val="16"/>
            <w:szCs w:val="16"/>
            <w:lang w:val="es-419"/>
          </w:rPr>
          <w:t>"</w:t>
        </w:r>
      </w:hyperlink>
      <w:r w:rsidRPr="008A7BD7">
        <w:rPr>
          <w:rFonts w:ascii="Cambria" w:hAnsi="Cambria"/>
          <w:sz w:val="16"/>
          <w:szCs w:val="16"/>
          <w:lang w:val="es-419"/>
        </w:rPr>
        <w:t xml:space="preserve"> </w:t>
      </w:r>
      <w:r w:rsidR="00197C26" w:rsidRPr="008A7BD7">
        <w:rPr>
          <w:rFonts w:ascii="Cambria" w:hAnsi="Cambria"/>
          <w:sz w:val="16"/>
          <w:szCs w:val="16"/>
          <w:lang w:val="es-419"/>
        </w:rPr>
        <w:t xml:space="preserve">June </w:t>
      </w:r>
      <w:r w:rsidRPr="008A7BD7">
        <w:rPr>
          <w:rFonts w:ascii="Cambria" w:hAnsi="Cambria"/>
          <w:sz w:val="16"/>
          <w:szCs w:val="16"/>
          <w:lang w:val="es-419"/>
        </w:rPr>
        <w:t>3</w:t>
      </w:r>
      <w:r w:rsidR="00197C26" w:rsidRPr="008A7BD7">
        <w:rPr>
          <w:rFonts w:ascii="Cambria" w:hAnsi="Cambria"/>
          <w:sz w:val="16"/>
          <w:szCs w:val="16"/>
          <w:lang w:val="es-419"/>
        </w:rPr>
        <w:t xml:space="preserve">, </w:t>
      </w:r>
      <w:r w:rsidRPr="008A7BD7">
        <w:rPr>
          <w:rFonts w:ascii="Cambria" w:hAnsi="Cambria"/>
          <w:sz w:val="16"/>
          <w:szCs w:val="16"/>
          <w:lang w:val="es-419"/>
        </w:rPr>
        <w:t>2021.</w:t>
      </w:r>
    </w:p>
  </w:footnote>
  <w:footnote w:id="221">
    <w:p w14:paraId="43D73AFA" w14:textId="4E3135BE" w:rsidR="00DC16DE" w:rsidRPr="008A7BD7" w:rsidRDefault="00DC16DE" w:rsidP="00746761">
      <w:pPr>
        <w:pStyle w:val="FootnoteText"/>
        <w:spacing w:after="120"/>
        <w:ind w:firstLine="720"/>
        <w:jc w:val="both"/>
        <w:rPr>
          <w:rFonts w:ascii="Cambria" w:hAnsi="Cambria"/>
          <w:sz w:val="16"/>
          <w:szCs w:val="16"/>
          <w:lang w:val="es-419"/>
        </w:rPr>
      </w:pPr>
      <w:r w:rsidRPr="008A7BD7">
        <w:rPr>
          <w:rStyle w:val="FootnoteReference"/>
          <w:rFonts w:ascii="Cambria" w:hAnsi="Cambria"/>
          <w:sz w:val="16"/>
          <w:szCs w:val="16"/>
        </w:rPr>
        <w:footnoteRef/>
      </w:r>
      <w:r w:rsidRPr="008A7BD7">
        <w:rPr>
          <w:rFonts w:ascii="Cambria" w:hAnsi="Cambria"/>
          <w:sz w:val="16"/>
          <w:szCs w:val="16"/>
          <w:lang w:val="es-419"/>
        </w:rPr>
        <w:t xml:space="preserve"> </w:t>
      </w:r>
      <w:r w:rsidRPr="008A7BD7">
        <w:rPr>
          <w:rFonts w:ascii="Cambria" w:hAnsi="Cambria"/>
          <w:i/>
          <w:iCs/>
          <w:sz w:val="16"/>
          <w:szCs w:val="16"/>
          <w:lang w:val="es-419"/>
        </w:rPr>
        <w:t>DW</w:t>
      </w:r>
      <w:r w:rsidRPr="008A7BD7">
        <w:rPr>
          <w:rFonts w:ascii="Cambria" w:hAnsi="Cambria"/>
          <w:sz w:val="16"/>
          <w:szCs w:val="16"/>
          <w:lang w:val="es-419"/>
        </w:rPr>
        <w:t xml:space="preserve">, </w:t>
      </w:r>
      <w:hyperlink r:id="rId232" w:history="1">
        <w:r w:rsidRPr="008A7BD7">
          <w:rPr>
            <w:rStyle w:val="Hyperlink"/>
            <w:rFonts w:ascii="Cambria" w:hAnsi="Cambria"/>
            <w:i/>
            <w:iCs/>
            <w:sz w:val="16"/>
            <w:szCs w:val="16"/>
            <w:lang w:val="es-419"/>
          </w:rPr>
          <w:t>Guatemala: arrestan a José Ortiz por masacre en "Dos Erres</w:t>
        </w:r>
        <w:r w:rsidR="009C2860" w:rsidRPr="008A7BD7">
          <w:rPr>
            <w:rStyle w:val="Hyperlink"/>
            <w:rFonts w:ascii="Cambria" w:hAnsi="Cambria"/>
            <w:i/>
            <w:iCs/>
            <w:sz w:val="16"/>
            <w:szCs w:val="16"/>
            <w:lang w:val="es-419"/>
          </w:rPr>
          <w:t>,</w:t>
        </w:r>
        <w:r w:rsidRPr="008A7BD7">
          <w:rPr>
            <w:rStyle w:val="Hyperlink"/>
            <w:rFonts w:ascii="Cambria" w:hAnsi="Cambria"/>
            <w:i/>
            <w:iCs/>
            <w:sz w:val="16"/>
            <w:szCs w:val="16"/>
            <w:lang w:val="es-419"/>
          </w:rPr>
          <w:t>"</w:t>
        </w:r>
      </w:hyperlink>
      <w:r w:rsidRPr="008A7BD7">
        <w:rPr>
          <w:rFonts w:ascii="Cambria" w:hAnsi="Cambria"/>
          <w:sz w:val="16"/>
          <w:szCs w:val="16"/>
          <w:lang w:val="es-419"/>
        </w:rPr>
        <w:t xml:space="preserve"> </w:t>
      </w:r>
      <w:r w:rsidR="009C2860" w:rsidRPr="008A7BD7">
        <w:rPr>
          <w:rFonts w:ascii="Cambria" w:hAnsi="Cambria"/>
          <w:sz w:val="16"/>
          <w:szCs w:val="16"/>
          <w:lang w:val="es-419"/>
        </w:rPr>
        <w:t xml:space="preserve">May </w:t>
      </w:r>
      <w:r w:rsidRPr="008A7BD7">
        <w:rPr>
          <w:rFonts w:ascii="Cambria" w:hAnsi="Cambria"/>
          <w:sz w:val="16"/>
          <w:szCs w:val="16"/>
          <w:lang w:val="es-419"/>
        </w:rPr>
        <w:t>9</w:t>
      </w:r>
      <w:r w:rsidR="009C2860" w:rsidRPr="008A7BD7">
        <w:rPr>
          <w:rFonts w:ascii="Cambria" w:hAnsi="Cambria"/>
          <w:sz w:val="16"/>
          <w:szCs w:val="16"/>
          <w:lang w:val="es-419"/>
        </w:rPr>
        <w:t xml:space="preserve">, </w:t>
      </w:r>
      <w:r w:rsidRPr="008A7BD7">
        <w:rPr>
          <w:rFonts w:ascii="Cambria" w:hAnsi="Cambria"/>
          <w:sz w:val="16"/>
          <w:szCs w:val="16"/>
          <w:lang w:val="es-419"/>
        </w:rPr>
        <w:t xml:space="preserve">2021; U.S. </w:t>
      </w:r>
      <w:proofErr w:type="spellStart"/>
      <w:r w:rsidRPr="008A7BD7">
        <w:rPr>
          <w:rFonts w:ascii="Cambria" w:hAnsi="Cambria"/>
          <w:sz w:val="16"/>
          <w:szCs w:val="16"/>
          <w:lang w:val="es-419"/>
        </w:rPr>
        <w:t>I</w:t>
      </w:r>
      <w:r w:rsidR="003B3F12" w:rsidRPr="008A7BD7">
        <w:rPr>
          <w:rFonts w:ascii="Cambria" w:hAnsi="Cambria"/>
          <w:sz w:val="16"/>
          <w:szCs w:val="16"/>
          <w:lang w:val="es-419"/>
        </w:rPr>
        <w:t>m</w:t>
      </w:r>
      <w:r w:rsidRPr="008A7BD7">
        <w:rPr>
          <w:rFonts w:ascii="Cambria" w:hAnsi="Cambria"/>
          <w:sz w:val="16"/>
          <w:szCs w:val="16"/>
          <w:lang w:val="es-419"/>
        </w:rPr>
        <w:t>migration</w:t>
      </w:r>
      <w:proofErr w:type="spellEnd"/>
      <w:r w:rsidRPr="008A7BD7">
        <w:rPr>
          <w:rFonts w:ascii="Cambria" w:hAnsi="Cambria"/>
          <w:sz w:val="16"/>
          <w:szCs w:val="16"/>
          <w:lang w:val="es-419"/>
        </w:rPr>
        <w:t xml:space="preserve"> and </w:t>
      </w:r>
      <w:proofErr w:type="spellStart"/>
      <w:r w:rsidRPr="008A7BD7">
        <w:rPr>
          <w:rFonts w:ascii="Cambria" w:hAnsi="Cambria"/>
          <w:sz w:val="16"/>
          <w:szCs w:val="16"/>
          <w:lang w:val="es-419"/>
        </w:rPr>
        <w:t>Customs</w:t>
      </w:r>
      <w:proofErr w:type="spellEnd"/>
      <w:r w:rsidRPr="008A7BD7">
        <w:rPr>
          <w:rFonts w:ascii="Cambria" w:hAnsi="Cambria"/>
          <w:sz w:val="16"/>
          <w:szCs w:val="16"/>
          <w:lang w:val="es-419"/>
        </w:rPr>
        <w:t xml:space="preserve"> </w:t>
      </w:r>
      <w:proofErr w:type="spellStart"/>
      <w:r w:rsidRPr="008A7BD7">
        <w:rPr>
          <w:rFonts w:ascii="Cambria" w:hAnsi="Cambria"/>
          <w:sz w:val="16"/>
          <w:szCs w:val="16"/>
          <w:lang w:val="es-419"/>
        </w:rPr>
        <w:t>Enforcement</w:t>
      </w:r>
      <w:proofErr w:type="spellEnd"/>
      <w:r w:rsidRPr="008A7BD7">
        <w:rPr>
          <w:rFonts w:ascii="Cambria" w:hAnsi="Cambria"/>
          <w:sz w:val="16"/>
          <w:szCs w:val="16"/>
          <w:lang w:val="es-419"/>
        </w:rPr>
        <w:t>,</w:t>
      </w:r>
      <w:r w:rsidR="009C2860" w:rsidRPr="008A7BD7">
        <w:rPr>
          <w:rFonts w:ascii="Cambria" w:hAnsi="Cambria"/>
          <w:sz w:val="16"/>
          <w:szCs w:val="16"/>
          <w:lang w:val="es-419"/>
        </w:rPr>
        <w:t xml:space="preserve"> </w:t>
      </w:r>
      <w:hyperlink r:id="rId233" w:history="1">
        <w:r w:rsidR="009C2860" w:rsidRPr="008A7BD7">
          <w:rPr>
            <w:rStyle w:val="Hyperlink"/>
            <w:rFonts w:ascii="Cambria" w:hAnsi="Cambria"/>
            <w:sz w:val="16"/>
            <w:szCs w:val="16"/>
            <w:lang w:val="es-419"/>
          </w:rPr>
          <w:t>ICE</w:t>
        </w:r>
        <w:r w:rsidR="00C627BC" w:rsidRPr="008A7BD7">
          <w:rPr>
            <w:rStyle w:val="Hyperlink"/>
            <w:rFonts w:ascii="Cambria" w:hAnsi="Cambria"/>
            <w:sz w:val="16"/>
            <w:szCs w:val="16"/>
            <w:lang w:val="es-419"/>
          </w:rPr>
          <w:t xml:space="preserve"> </w:t>
        </w:r>
        <w:proofErr w:type="spellStart"/>
        <w:r w:rsidR="00C627BC" w:rsidRPr="008A7BD7">
          <w:rPr>
            <w:rStyle w:val="Hyperlink"/>
            <w:rFonts w:ascii="Cambria" w:hAnsi="Cambria"/>
            <w:sz w:val="16"/>
            <w:szCs w:val="16"/>
            <w:lang w:val="es-419"/>
          </w:rPr>
          <w:t>r</w:t>
        </w:r>
        <w:r w:rsidR="009C2860" w:rsidRPr="008A7BD7">
          <w:rPr>
            <w:rStyle w:val="Hyperlink"/>
            <w:rFonts w:ascii="Cambria" w:hAnsi="Cambria"/>
            <w:sz w:val="16"/>
            <w:szCs w:val="16"/>
            <w:lang w:val="es-419"/>
          </w:rPr>
          <w:t>emoves</w:t>
        </w:r>
        <w:proofErr w:type="spellEnd"/>
        <w:r w:rsidR="009C2860" w:rsidRPr="008A7BD7">
          <w:rPr>
            <w:rStyle w:val="Hyperlink"/>
            <w:rFonts w:ascii="Cambria" w:hAnsi="Cambria"/>
            <w:sz w:val="16"/>
            <w:szCs w:val="16"/>
            <w:lang w:val="es-419"/>
          </w:rPr>
          <w:t xml:space="preserve"> </w:t>
        </w:r>
        <w:proofErr w:type="spellStart"/>
        <w:r w:rsidR="009C2860" w:rsidRPr="008A7BD7">
          <w:rPr>
            <w:rStyle w:val="Hyperlink"/>
            <w:rFonts w:ascii="Cambria" w:hAnsi="Cambria"/>
            <w:sz w:val="16"/>
            <w:szCs w:val="16"/>
            <w:lang w:val="es-419"/>
          </w:rPr>
          <w:t>Guatemalan</w:t>
        </w:r>
        <w:proofErr w:type="spellEnd"/>
        <w:r w:rsidR="009C2860" w:rsidRPr="008A7BD7">
          <w:rPr>
            <w:rStyle w:val="Hyperlink"/>
            <w:rFonts w:ascii="Cambria" w:hAnsi="Cambria"/>
            <w:sz w:val="16"/>
            <w:szCs w:val="16"/>
            <w:lang w:val="es-419"/>
          </w:rPr>
          <w:t xml:space="preserve"> </w:t>
        </w:r>
        <w:proofErr w:type="spellStart"/>
        <w:r w:rsidR="009C2860" w:rsidRPr="008A7BD7">
          <w:rPr>
            <w:rStyle w:val="Hyperlink"/>
            <w:rFonts w:ascii="Cambria" w:hAnsi="Cambria"/>
            <w:sz w:val="16"/>
            <w:szCs w:val="16"/>
            <w:lang w:val="es-419"/>
          </w:rPr>
          <w:t>citizen</w:t>
        </w:r>
        <w:proofErr w:type="spellEnd"/>
        <w:r w:rsidR="009C2860" w:rsidRPr="008A7BD7">
          <w:rPr>
            <w:rStyle w:val="Hyperlink"/>
            <w:rFonts w:ascii="Cambria" w:hAnsi="Cambria"/>
            <w:sz w:val="16"/>
            <w:szCs w:val="16"/>
            <w:lang w:val="es-419"/>
          </w:rPr>
          <w:t xml:space="preserve"> </w:t>
        </w:r>
        <w:proofErr w:type="spellStart"/>
        <w:r w:rsidR="009C2860" w:rsidRPr="008A7BD7">
          <w:rPr>
            <w:rStyle w:val="Hyperlink"/>
            <w:rFonts w:ascii="Cambria" w:hAnsi="Cambria"/>
            <w:sz w:val="16"/>
            <w:szCs w:val="16"/>
            <w:lang w:val="es-419"/>
          </w:rPr>
          <w:t>for</w:t>
        </w:r>
        <w:proofErr w:type="spellEnd"/>
        <w:r w:rsidR="009C2860" w:rsidRPr="008A7BD7">
          <w:rPr>
            <w:rStyle w:val="Hyperlink"/>
            <w:rFonts w:ascii="Cambria" w:hAnsi="Cambria"/>
            <w:sz w:val="16"/>
            <w:szCs w:val="16"/>
            <w:lang w:val="es-419"/>
          </w:rPr>
          <w:t xml:space="preserve"> </w:t>
        </w:r>
        <w:proofErr w:type="spellStart"/>
        <w:r w:rsidR="009C2860" w:rsidRPr="008A7BD7">
          <w:rPr>
            <w:rStyle w:val="Hyperlink"/>
            <w:rFonts w:ascii="Cambria" w:hAnsi="Cambria"/>
            <w:sz w:val="16"/>
            <w:szCs w:val="16"/>
            <w:lang w:val="es-419"/>
          </w:rPr>
          <w:t>alleged</w:t>
        </w:r>
        <w:proofErr w:type="spellEnd"/>
        <w:r w:rsidR="009C2860" w:rsidRPr="008A7BD7">
          <w:rPr>
            <w:rStyle w:val="Hyperlink"/>
            <w:rFonts w:ascii="Cambria" w:hAnsi="Cambria"/>
            <w:sz w:val="16"/>
            <w:szCs w:val="16"/>
            <w:lang w:val="es-419"/>
          </w:rPr>
          <w:t xml:space="preserve"> human </w:t>
        </w:r>
        <w:proofErr w:type="spellStart"/>
        <w:r w:rsidR="009C2860" w:rsidRPr="008A7BD7">
          <w:rPr>
            <w:rStyle w:val="Hyperlink"/>
            <w:rFonts w:ascii="Cambria" w:hAnsi="Cambria"/>
            <w:sz w:val="16"/>
            <w:szCs w:val="16"/>
            <w:lang w:val="es-419"/>
          </w:rPr>
          <w:t>rights</w:t>
        </w:r>
        <w:proofErr w:type="spellEnd"/>
        <w:r w:rsidR="009C2860" w:rsidRPr="008A7BD7">
          <w:rPr>
            <w:rStyle w:val="Hyperlink"/>
            <w:rFonts w:ascii="Cambria" w:hAnsi="Cambria"/>
            <w:sz w:val="16"/>
            <w:szCs w:val="16"/>
            <w:lang w:val="es-419"/>
          </w:rPr>
          <w:t xml:space="preserve"> </w:t>
        </w:r>
        <w:proofErr w:type="spellStart"/>
        <w:r w:rsidR="009C2860" w:rsidRPr="008A7BD7">
          <w:rPr>
            <w:rStyle w:val="Hyperlink"/>
            <w:rFonts w:ascii="Cambria" w:hAnsi="Cambria"/>
            <w:sz w:val="16"/>
            <w:szCs w:val="16"/>
            <w:lang w:val="es-419"/>
          </w:rPr>
          <w:t>violations</w:t>
        </w:r>
        <w:proofErr w:type="spellEnd"/>
        <w:r w:rsidR="009C2860" w:rsidRPr="008A7BD7">
          <w:rPr>
            <w:rStyle w:val="Hyperlink"/>
            <w:rFonts w:ascii="Cambria" w:hAnsi="Cambria"/>
            <w:sz w:val="16"/>
            <w:szCs w:val="16"/>
            <w:lang w:val="es-419"/>
          </w:rPr>
          <w:t xml:space="preserve"> in </w:t>
        </w:r>
        <w:proofErr w:type="spellStart"/>
        <w:r w:rsidR="009C2860" w:rsidRPr="008A7BD7">
          <w:rPr>
            <w:rStyle w:val="Hyperlink"/>
            <w:rFonts w:ascii="Cambria" w:hAnsi="Cambria"/>
            <w:sz w:val="16"/>
            <w:szCs w:val="16"/>
            <w:lang w:val="es-419"/>
          </w:rPr>
          <w:t>connection</w:t>
        </w:r>
        <w:proofErr w:type="spellEnd"/>
        <w:r w:rsidR="009C2860" w:rsidRPr="008A7BD7">
          <w:rPr>
            <w:rStyle w:val="Hyperlink"/>
            <w:rFonts w:ascii="Cambria" w:hAnsi="Cambria"/>
            <w:sz w:val="16"/>
            <w:szCs w:val="16"/>
            <w:lang w:val="es-419"/>
          </w:rPr>
          <w:t xml:space="preserve"> </w:t>
        </w:r>
        <w:proofErr w:type="spellStart"/>
        <w:r w:rsidR="009C2860" w:rsidRPr="008A7BD7">
          <w:rPr>
            <w:rStyle w:val="Hyperlink"/>
            <w:rFonts w:ascii="Cambria" w:hAnsi="Cambria"/>
            <w:sz w:val="16"/>
            <w:szCs w:val="16"/>
            <w:lang w:val="es-419"/>
          </w:rPr>
          <w:t>with</w:t>
        </w:r>
        <w:proofErr w:type="spellEnd"/>
        <w:r w:rsidR="009C2860" w:rsidRPr="008A7BD7">
          <w:rPr>
            <w:rStyle w:val="Hyperlink"/>
            <w:rFonts w:ascii="Cambria" w:hAnsi="Cambria"/>
            <w:sz w:val="16"/>
            <w:szCs w:val="16"/>
            <w:lang w:val="es-419"/>
          </w:rPr>
          <w:t xml:space="preserve"> 1982 Dos Erres </w:t>
        </w:r>
        <w:proofErr w:type="spellStart"/>
        <w:r w:rsidR="009C2860" w:rsidRPr="008A7BD7">
          <w:rPr>
            <w:rStyle w:val="Hyperlink"/>
            <w:rFonts w:ascii="Cambria" w:hAnsi="Cambria"/>
            <w:sz w:val="16"/>
            <w:szCs w:val="16"/>
            <w:lang w:val="es-419"/>
          </w:rPr>
          <w:t>massacre</w:t>
        </w:r>
        <w:proofErr w:type="spellEnd"/>
      </w:hyperlink>
      <w:r w:rsidR="009C2860" w:rsidRPr="008A7BD7">
        <w:rPr>
          <w:rFonts w:ascii="Cambria" w:hAnsi="Cambria"/>
          <w:sz w:val="16"/>
          <w:szCs w:val="16"/>
          <w:lang w:val="es-419"/>
        </w:rPr>
        <w:t>,</w:t>
      </w:r>
      <w:r w:rsidR="00621E17" w:rsidRPr="008A7BD7">
        <w:rPr>
          <w:lang w:val="es-CO"/>
        </w:rPr>
        <w:t xml:space="preserve"> </w:t>
      </w:r>
      <w:r w:rsidR="00621E17" w:rsidRPr="008A7BD7">
        <w:rPr>
          <w:rFonts w:ascii="Cambria" w:hAnsi="Cambria"/>
          <w:sz w:val="16"/>
          <w:szCs w:val="16"/>
          <w:lang w:val="es-419"/>
        </w:rPr>
        <w:t>May 12,</w:t>
      </w:r>
      <w:r w:rsidRPr="008A7BD7">
        <w:rPr>
          <w:rFonts w:ascii="Cambria" w:hAnsi="Cambria"/>
          <w:sz w:val="16"/>
          <w:szCs w:val="16"/>
          <w:lang w:val="es-419"/>
        </w:rPr>
        <w:t xml:space="preserve"> 2021; </w:t>
      </w:r>
      <w:r w:rsidRPr="008A7BD7">
        <w:rPr>
          <w:rFonts w:ascii="Cambria" w:hAnsi="Cambria"/>
          <w:i/>
          <w:iCs/>
          <w:sz w:val="16"/>
          <w:szCs w:val="16"/>
          <w:lang w:val="es-419"/>
        </w:rPr>
        <w:t>La Hora GT</w:t>
      </w:r>
      <w:r w:rsidRPr="008A7BD7">
        <w:rPr>
          <w:rFonts w:ascii="Cambria" w:hAnsi="Cambria"/>
          <w:sz w:val="16"/>
          <w:szCs w:val="16"/>
          <w:lang w:val="es-419"/>
        </w:rPr>
        <w:t xml:space="preserve">, </w:t>
      </w:r>
      <w:hyperlink r:id="rId234" w:history="1">
        <w:r w:rsidRPr="008A7BD7">
          <w:rPr>
            <w:rStyle w:val="Hyperlink"/>
            <w:rFonts w:ascii="Cambria" w:hAnsi="Cambria"/>
            <w:i/>
            <w:iCs/>
            <w:sz w:val="16"/>
            <w:szCs w:val="16"/>
            <w:lang w:val="es-419"/>
          </w:rPr>
          <w:t xml:space="preserve">Caso Dos Erres: Juzgado envía a juicio a José </w:t>
        </w:r>
        <w:proofErr w:type="spellStart"/>
        <w:r w:rsidRPr="008A7BD7">
          <w:rPr>
            <w:rStyle w:val="Hyperlink"/>
            <w:rFonts w:ascii="Cambria" w:hAnsi="Cambria"/>
            <w:i/>
            <w:iCs/>
            <w:sz w:val="16"/>
            <w:szCs w:val="16"/>
            <w:lang w:val="es-419"/>
          </w:rPr>
          <w:t>Ortíz</w:t>
        </w:r>
        <w:proofErr w:type="spellEnd"/>
        <w:r w:rsidRPr="008A7BD7">
          <w:rPr>
            <w:rStyle w:val="Hyperlink"/>
            <w:rFonts w:ascii="Cambria" w:hAnsi="Cambria"/>
            <w:i/>
            <w:iCs/>
            <w:sz w:val="16"/>
            <w:szCs w:val="16"/>
            <w:lang w:val="es-419"/>
          </w:rPr>
          <w:t xml:space="preserve"> por crímenes cometidos en 1982</w:t>
        </w:r>
      </w:hyperlink>
      <w:r w:rsidRPr="008A7BD7">
        <w:rPr>
          <w:rFonts w:ascii="Cambria" w:hAnsi="Cambria"/>
          <w:sz w:val="16"/>
          <w:szCs w:val="16"/>
          <w:lang w:val="es-419"/>
        </w:rPr>
        <w:t xml:space="preserve">, </w:t>
      </w:r>
      <w:proofErr w:type="spellStart"/>
      <w:r w:rsidR="00CA632E" w:rsidRPr="008A7BD7">
        <w:rPr>
          <w:rFonts w:ascii="Cambria" w:hAnsi="Cambria"/>
          <w:sz w:val="16"/>
          <w:szCs w:val="16"/>
          <w:lang w:val="es-419"/>
        </w:rPr>
        <w:t>October</w:t>
      </w:r>
      <w:proofErr w:type="spellEnd"/>
      <w:r w:rsidR="00CA632E" w:rsidRPr="008A7BD7">
        <w:rPr>
          <w:rFonts w:ascii="Cambria" w:hAnsi="Cambria"/>
          <w:sz w:val="16"/>
          <w:szCs w:val="16"/>
          <w:lang w:val="es-419"/>
        </w:rPr>
        <w:t xml:space="preserve"> </w:t>
      </w:r>
      <w:r w:rsidRPr="008A7BD7">
        <w:rPr>
          <w:rFonts w:ascii="Cambria" w:hAnsi="Cambria"/>
          <w:sz w:val="16"/>
          <w:szCs w:val="16"/>
          <w:lang w:val="es-419"/>
        </w:rPr>
        <w:t>14</w:t>
      </w:r>
      <w:r w:rsidR="00CA632E" w:rsidRPr="008A7BD7">
        <w:rPr>
          <w:rFonts w:ascii="Cambria" w:hAnsi="Cambria"/>
          <w:sz w:val="16"/>
          <w:szCs w:val="16"/>
          <w:lang w:val="es-419"/>
        </w:rPr>
        <w:t xml:space="preserve">, </w:t>
      </w:r>
      <w:r w:rsidRPr="008A7BD7">
        <w:rPr>
          <w:rFonts w:ascii="Cambria" w:hAnsi="Cambria"/>
          <w:sz w:val="16"/>
          <w:szCs w:val="16"/>
          <w:lang w:val="es-419"/>
        </w:rPr>
        <w:t>2021.</w:t>
      </w:r>
    </w:p>
  </w:footnote>
  <w:footnote w:id="222">
    <w:p w14:paraId="687040D1" w14:textId="42B192DD" w:rsidR="00DA59A7" w:rsidRPr="008A7BD7" w:rsidRDefault="00DA59A7" w:rsidP="00746761">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sz w:val="16"/>
          <w:szCs w:val="16"/>
          <w:lang w:val="es-ES"/>
        </w:rPr>
        <w:t xml:space="preserve">UDEFEGUA, </w:t>
      </w:r>
      <w:hyperlink r:id="rId235" w:history="1">
        <w:r w:rsidRPr="008A7BD7">
          <w:rPr>
            <w:rStyle w:val="Hyperlink"/>
            <w:rFonts w:ascii="Cambria" w:hAnsi="Cambria"/>
            <w:i/>
            <w:iCs/>
            <w:sz w:val="16"/>
            <w:szCs w:val="16"/>
            <w:lang w:val="es-US"/>
          </w:rPr>
          <w:t xml:space="preserve">Retroceso de la democracia en Guatemala UDEFEGUA presenta situación sobre agresiones a personas, organizaciones y comunidades defensoras de DD. </w:t>
        </w:r>
        <w:r w:rsidRPr="008A7BD7">
          <w:rPr>
            <w:rStyle w:val="Hyperlink"/>
            <w:rFonts w:ascii="Cambria" w:hAnsi="Cambria"/>
            <w:i/>
            <w:iCs/>
            <w:sz w:val="16"/>
            <w:szCs w:val="16"/>
          </w:rPr>
          <w:t>HH</w:t>
        </w:r>
      </w:hyperlink>
      <w:r w:rsidRPr="008A7BD7">
        <w:rPr>
          <w:rFonts w:ascii="Cambria" w:hAnsi="Cambria"/>
          <w:sz w:val="16"/>
          <w:szCs w:val="16"/>
        </w:rPr>
        <w:t xml:space="preserve">, </w:t>
      </w:r>
      <w:r w:rsidR="009D2372" w:rsidRPr="008A7BD7">
        <w:rPr>
          <w:rFonts w:ascii="Cambria" w:hAnsi="Cambria"/>
          <w:sz w:val="16"/>
          <w:szCs w:val="16"/>
        </w:rPr>
        <w:t xml:space="preserve">September </w:t>
      </w:r>
      <w:r w:rsidRPr="008A7BD7">
        <w:rPr>
          <w:rFonts w:ascii="Cambria" w:hAnsi="Cambria"/>
          <w:sz w:val="16"/>
          <w:szCs w:val="16"/>
        </w:rPr>
        <w:t>3</w:t>
      </w:r>
      <w:r w:rsidR="009D2372" w:rsidRPr="008A7BD7">
        <w:rPr>
          <w:rFonts w:ascii="Cambria" w:hAnsi="Cambria"/>
          <w:sz w:val="16"/>
          <w:szCs w:val="16"/>
        </w:rPr>
        <w:t xml:space="preserve">, </w:t>
      </w:r>
      <w:r w:rsidRPr="008A7BD7">
        <w:rPr>
          <w:rFonts w:ascii="Cambria" w:hAnsi="Cambria"/>
          <w:sz w:val="16"/>
          <w:szCs w:val="16"/>
        </w:rPr>
        <w:t xml:space="preserve">2021. </w:t>
      </w:r>
    </w:p>
  </w:footnote>
  <w:footnote w:id="223">
    <w:p w14:paraId="61B9ECB0" w14:textId="289ED4F5" w:rsidR="00824BA2" w:rsidRPr="008A7BD7" w:rsidRDefault="00824BA2" w:rsidP="00746761">
      <w:pPr>
        <w:pStyle w:val="FootnoteText"/>
        <w:spacing w:after="120"/>
        <w:ind w:firstLine="720"/>
        <w:jc w:val="both"/>
        <w:rPr>
          <w:rFonts w:ascii="Cambria" w:hAnsi="Cambria"/>
          <w:b/>
          <w:bCs/>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91485F" w:rsidRPr="008A7BD7">
        <w:rPr>
          <w:rFonts w:ascii="Cambria" w:hAnsi="Cambria"/>
          <w:sz w:val="16"/>
          <w:szCs w:val="16"/>
        </w:rPr>
        <w:t>IACHR</w:t>
      </w:r>
      <w:r w:rsidRPr="008A7BD7">
        <w:rPr>
          <w:rFonts w:ascii="Cambria" w:hAnsi="Cambria"/>
          <w:sz w:val="16"/>
          <w:szCs w:val="16"/>
        </w:rPr>
        <w:t xml:space="preserve">, </w:t>
      </w:r>
      <w:r w:rsidR="0091485F" w:rsidRPr="008A7BD7">
        <w:rPr>
          <w:rFonts w:ascii="Cambria" w:hAnsi="Cambria"/>
          <w:sz w:val="16"/>
          <w:szCs w:val="16"/>
        </w:rPr>
        <w:t xml:space="preserve">Press Release </w:t>
      </w:r>
      <w:r w:rsidRPr="008A7BD7">
        <w:rPr>
          <w:rFonts w:ascii="Cambria" w:hAnsi="Cambria"/>
          <w:sz w:val="16"/>
          <w:szCs w:val="16"/>
        </w:rPr>
        <w:t>No.</w:t>
      </w:r>
      <w:r w:rsidR="0091485F" w:rsidRPr="008A7BD7">
        <w:rPr>
          <w:rFonts w:ascii="Cambria" w:hAnsi="Cambria"/>
          <w:sz w:val="16"/>
          <w:szCs w:val="16"/>
        </w:rPr>
        <w:t xml:space="preserve"> </w:t>
      </w:r>
      <w:r w:rsidRPr="008A7BD7">
        <w:rPr>
          <w:rFonts w:ascii="Cambria" w:hAnsi="Cambria"/>
          <w:sz w:val="16"/>
          <w:szCs w:val="16"/>
        </w:rPr>
        <w:t>215/20,</w:t>
      </w:r>
      <w:r w:rsidR="0091485F" w:rsidRPr="008A7BD7">
        <w:rPr>
          <w:rFonts w:ascii="Cambria" w:hAnsi="Cambria"/>
          <w:sz w:val="16"/>
          <w:szCs w:val="16"/>
        </w:rPr>
        <w:t xml:space="preserve"> </w:t>
      </w:r>
      <w:hyperlink r:id="rId236" w:history="1">
        <w:r w:rsidR="0091485F" w:rsidRPr="008A7BD7">
          <w:rPr>
            <w:rStyle w:val="Hyperlink"/>
            <w:rFonts w:ascii="Cambria" w:hAnsi="Cambria"/>
            <w:sz w:val="16"/>
            <w:szCs w:val="16"/>
          </w:rPr>
          <w:t>The IACHR Condemns Murders and Attacks against Defenders in Guatemala</w:t>
        </w:r>
      </w:hyperlink>
      <w:r w:rsidR="0091485F" w:rsidRPr="008A7BD7">
        <w:rPr>
          <w:rFonts w:ascii="Cambria" w:hAnsi="Cambria"/>
          <w:sz w:val="16"/>
          <w:szCs w:val="16"/>
        </w:rPr>
        <w:t>,</w:t>
      </w:r>
      <w:r w:rsidR="0091485F" w:rsidRPr="008A7BD7">
        <w:t xml:space="preserve"> </w:t>
      </w:r>
      <w:r w:rsidR="0091485F" w:rsidRPr="008A7BD7">
        <w:rPr>
          <w:rFonts w:ascii="Cambria" w:hAnsi="Cambria"/>
          <w:sz w:val="16"/>
          <w:szCs w:val="16"/>
        </w:rPr>
        <w:t>September 1</w:t>
      </w:r>
      <w:r w:rsidRPr="008A7BD7">
        <w:rPr>
          <w:rFonts w:ascii="Cambria" w:hAnsi="Cambria"/>
          <w:sz w:val="16"/>
          <w:szCs w:val="16"/>
        </w:rPr>
        <w:t>1</w:t>
      </w:r>
      <w:r w:rsidR="0091485F" w:rsidRPr="008A7BD7">
        <w:rPr>
          <w:rFonts w:ascii="Cambria" w:hAnsi="Cambria"/>
          <w:sz w:val="16"/>
          <w:szCs w:val="16"/>
        </w:rPr>
        <w:t xml:space="preserve">, </w:t>
      </w:r>
      <w:r w:rsidRPr="008A7BD7">
        <w:rPr>
          <w:rFonts w:ascii="Cambria" w:hAnsi="Cambria"/>
          <w:sz w:val="16"/>
          <w:szCs w:val="16"/>
        </w:rPr>
        <w:t>2020.</w:t>
      </w:r>
      <w:r w:rsidRPr="008A7BD7">
        <w:rPr>
          <w:rFonts w:ascii="Cambria" w:hAnsi="Cambria"/>
          <w:b/>
          <w:bCs/>
          <w:sz w:val="16"/>
          <w:szCs w:val="16"/>
        </w:rPr>
        <w:t xml:space="preserve"> </w:t>
      </w:r>
    </w:p>
  </w:footnote>
  <w:footnote w:id="224">
    <w:p w14:paraId="357385C4" w14:textId="3A738CB1" w:rsidR="00DA59A7" w:rsidRPr="008A7BD7" w:rsidRDefault="00DA59A7"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00165F3F" w:rsidRPr="008A7BD7">
        <w:rPr>
          <w:rFonts w:ascii="Cambria" w:eastAsia="Cambria" w:hAnsi="Cambria" w:cstheme="majorHAnsi"/>
          <w:sz w:val="16"/>
          <w:szCs w:val="16"/>
          <w:lang w:val="es-CO"/>
        </w:rPr>
        <w:t xml:space="preserve">Office of </w:t>
      </w:r>
      <w:proofErr w:type="spellStart"/>
      <w:r w:rsidR="00165F3F" w:rsidRPr="008A7BD7">
        <w:rPr>
          <w:rFonts w:ascii="Cambria" w:eastAsia="Cambria" w:hAnsi="Cambria" w:cstheme="majorHAnsi"/>
          <w:sz w:val="16"/>
          <w:szCs w:val="16"/>
          <w:lang w:val="es-CO"/>
        </w:rPr>
        <w:t>the</w:t>
      </w:r>
      <w:proofErr w:type="spellEnd"/>
      <w:r w:rsidR="00165F3F" w:rsidRPr="008A7BD7">
        <w:rPr>
          <w:rFonts w:ascii="Cambria" w:eastAsia="Cambria" w:hAnsi="Cambria" w:cstheme="majorHAnsi"/>
          <w:sz w:val="16"/>
          <w:szCs w:val="16"/>
          <w:lang w:val="es-CO"/>
        </w:rPr>
        <w:t xml:space="preserve"> Human </w:t>
      </w:r>
      <w:proofErr w:type="spellStart"/>
      <w:r w:rsidR="00165F3F" w:rsidRPr="008A7BD7">
        <w:rPr>
          <w:rFonts w:ascii="Cambria" w:eastAsia="Cambria" w:hAnsi="Cambria" w:cstheme="majorHAnsi"/>
          <w:sz w:val="16"/>
          <w:szCs w:val="16"/>
          <w:lang w:val="es-CO"/>
        </w:rPr>
        <w:t>Rights</w:t>
      </w:r>
      <w:proofErr w:type="spellEnd"/>
      <w:r w:rsidR="00165F3F" w:rsidRPr="008A7BD7">
        <w:rPr>
          <w:rFonts w:ascii="Cambria" w:eastAsia="Cambria" w:hAnsi="Cambria" w:cstheme="majorHAnsi"/>
          <w:sz w:val="16"/>
          <w:szCs w:val="16"/>
          <w:lang w:val="es-CO"/>
        </w:rPr>
        <w:t xml:space="preserve"> Ombudsman</w:t>
      </w:r>
      <w:r w:rsidRPr="008A7BD7">
        <w:rPr>
          <w:rFonts w:ascii="Cambria" w:hAnsi="Cambria"/>
          <w:sz w:val="16"/>
          <w:szCs w:val="16"/>
          <w:lang w:val="es-US"/>
        </w:rPr>
        <w:t xml:space="preserve">, </w:t>
      </w:r>
      <w:proofErr w:type="spellStart"/>
      <w:r w:rsidR="00B11F99" w:rsidRPr="008A7BD7">
        <w:rPr>
          <w:rFonts w:ascii="Cambria" w:hAnsi="Cambria"/>
          <w:sz w:val="16"/>
          <w:szCs w:val="16"/>
          <w:lang w:val="es-US"/>
        </w:rPr>
        <w:t>Press</w:t>
      </w:r>
      <w:proofErr w:type="spellEnd"/>
      <w:r w:rsidR="00B11F99" w:rsidRPr="008A7BD7">
        <w:rPr>
          <w:rFonts w:ascii="Cambria" w:hAnsi="Cambria"/>
          <w:sz w:val="16"/>
          <w:szCs w:val="16"/>
          <w:lang w:val="es-US"/>
        </w:rPr>
        <w:t xml:space="preserve"> </w:t>
      </w:r>
      <w:proofErr w:type="spellStart"/>
      <w:r w:rsidR="00B11F99" w:rsidRPr="008A7BD7">
        <w:rPr>
          <w:rFonts w:ascii="Cambria" w:hAnsi="Cambria"/>
          <w:sz w:val="16"/>
          <w:szCs w:val="16"/>
          <w:lang w:val="es-US"/>
        </w:rPr>
        <w:t>Release</w:t>
      </w:r>
      <w:proofErr w:type="spellEnd"/>
      <w:r w:rsidR="00B11F99" w:rsidRPr="008A7BD7">
        <w:rPr>
          <w:rFonts w:ascii="Cambria" w:hAnsi="Cambria"/>
          <w:sz w:val="16"/>
          <w:szCs w:val="16"/>
          <w:lang w:val="es-US"/>
        </w:rPr>
        <w:t xml:space="preserve"> No. </w:t>
      </w:r>
      <w:r w:rsidRPr="008A7BD7">
        <w:rPr>
          <w:rFonts w:ascii="Cambria" w:hAnsi="Cambria"/>
          <w:sz w:val="16"/>
          <w:szCs w:val="16"/>
          <w:lang w:val="es-US"/>
        </w:rPr>
        <w:t xml:space="preserve">169/21, </w:t>
      </w:r>
      <w:hyperlink r:id="rId237" w:history="1">
        <w:r w:rsidRPr="008A7BD7">
          <w:rPr>
            <w:rStyle w:val="Hyperlink"/>
            <w:rFonts w:ascii="Cambria" w:hAnsi="Cambria"/>
            <w:i/>
            <w:iCs/>
            <w:sz w:val="16"/>
            <w:szCs w:val="16"/>
            <w:lang w:val="es-US"/>
          </w:rPr>
          <w:t xml:space="preserve">El Procurador de los Derechos Humanos, Jordán Rodas Andrade, condena el asesinato del defensor de derechos humanos y líder comunitario Ramón Jiménez López, y recuerda que en los tres últimos años han sido ejecutados más de 20 dirigentes del </w:t>
        </w:r>
        <w:proofErr w:type="spellStart"/>
        <w:r w:rsidRPr="008A7BD7">
          <w:rPr>
            <w:rStyle w:val="Hyperlink"/>
            <w:rFonts w:ascii="Cambria" w:hAnsi="Cambria"/>
            <w:i/>
            <w:iCs/>
            <w:sz w:val="16"/>
            <w:szCs w:val="16"/>
            <w:lang w:val="es-US"/>
          </w:rPr>
          <w:t>Codeca</w:t>
        </w:r>
        <w:proofErr w:type="spellEnd"/>
      </w:hyperlink>
      <w:r w:rsidRPr="008A7BD7">
        <w:rPr>
          <w:rFonts w:ascii="Cambria" w:hAnsi="Cambria"/>
          <w:sz w:val="16"/>
          <w:szCs w:val="16"/>
          <w:lang w:val="es-US"/>
        </w:rPr>
        <w:t xml:space="preserve">, </w:t>
      </w:r>
      <w:proofErr w:type="spellStart"/>
      <w:r w:rsidR="00B11F99" w:rsidRPr="008A7BD7">
        <w:rPr>
          <w:rFonts w:ascii="Cambria" w:hAnsi="Cambria"/>
          <w:sz w:val="16"/>
          <w:szCs w:val="16"/>
          <w:lang w:val="es-US"/>
        </w:rPr>
        <w:t>September</w:t>
      </w:r>
      <w:proofErr w:type="spellEnd"/>
      <w:r w:rsidR="00B11F99" w:rsidRPr="008A7BD7">
        <w:rPr>
          <w:rFonts w:ascii="Cambria" w:hAnsi="Cambria"/>
          <w:sz w:val="16"/>
          <w:szCs w:val="16"/>
          <w:lang w:val="es-US"/>
        </w:rPr>
        <w:t xml:space="preserve"> </w:t>
      </w:r>
      <w:r w:rsidRPr="008A7BD7">
        <w:rPr>
          <w:rFonts w:ascii="Cambria" w:hAnsi="Cambria"/>
          <w:sz w:val="16"/>
          <w:szCs w:val="16"/>
          <w:lang w:val="es-US"/>
        </w:rPr>
        <w:t>21</w:t>
      </w:r>
      <w:r w:rsidR="00B11F99" w:rsidRPr="008A7BD7">
        <w:rPr>
          <w:rFonts w:ascii="Cambria" w:hAnsi="Cambria"/>
          <w:sz w:val="16"/>
          <w:szCs w:val="16"/>
          <w:lang w:val="es-US"/>
        </w:rPr>
        <w:t xml:space="preserve">, </w:t>
      </w:r>
      <w:r w:rsidRPr="008A7BD7">
        <w:rPr>
          <w:rFonts w:ascii="Cambria" w:hAnsi="Cambria"/>
          <w:sz w:val="16"/>
          <w:szCs w:val="16"/>
          <w:lang w:val="es-US"/>
        </w:rPr>
        <w:t xml:space="preserve">2021; </w:t>
      </w:r>
      <w:r w:rsidRPr="008A7BD7">
        <w:rPr>
          <w:rFonts w:ascii="Cambria" w:hAnsi="Cambria"/>
          <w:i/>
          <w:iCs/>
          <w:sz w:val="16"/>
          <w:szCs w:val="16"/>
          <w:lang w:val="es-US"/>
        </w:rPr>
        <w:t>La Hora</w:t>
      </w:r>
      <w:r w:rsidRPr="008A7BD7">
        <w:rPr>
          <w:rFonts w:ascii="Cambria" w:hAnsi="Cambria"/>
          <w:sz w:val="16"/>
          <w:szCs w:val="16"/>
          <w:lang w:val="es-US"/>
        </w:rPr>
        <w:t xml:space="preserve">, </w:t>
      </w:r>
      <w:hyperlink r:id="rId238" w:history="1">
        <w:r w:rsidRPr="008A7BD7">
          <w:rPr>
            <w:rStyle w:val="Hyperlink"/>
            <w:rFonts w:ascii="Cambria" w:hAnsi="Cambria"/>
            <w:i/>
            <w:iCs/>
            <w:sz w:val="16"/>
            <w:szCs w:val="16"/>
            <w:lang w:val="es-US"/>
          </w:rPr>
          <w:t xml:space="preserve">Reportan asesinato de integrante de </w:t>
        </w:r>
        <w:proofErr w:type="spellStart"/>
        <w:r w:rsidRPr="008A7BD7">
          <w:rPr>
            <w:rStyle w:val="Hyperlink"/>
            <w:rFonts w:ascii="Cambria" w:hAnsi="Cambria"/>
            <w:i/>
            <w:iCs/>
            <w:sz w:val="16"/>
            <w:szCs w:val="16"/>
            <w:lang w:val="es-US"/>
          </w:rPr>
          <w:t>Codeca</w:t>
        </w:r>
        <w:proofErr w:type="spellEnd"/>
        <w:r w:rsidRPr="008A7BD7">
          <w:rPr>
            <w:rStyle w:val="Hyperlink"/>
            <w:rFonts w:ascii="Cambria" w:hAnsi="Cambria"/>
            <w:i/>
            <w:iCs/>
            <w:sz w:val="16"/>
            <w:szCs w:val="16"/>
            <w:lang w:val="es-US"/>
          </w:rPr>
          <w:t xml:space="preserve"> en Jalapa; dos fiscalías investigan el hecho</w:t>
        </w:r>
      </w:hyperlink>
      <w:r w:rsidRPr="008A7BD7">
        <w:rPr>
          <w:rFonts w:ascii="Cambria" w:hAnsi="Cambria"/>
          <w:sz w:val="16"/>
          <w:szCs w:val="16"/>
          <w:lang w:val="es-US"/>
        </w:rPr>
        <w:t xml:space="preserve">, </w:t>
      </w:r>
      <w:proofErr w:type="spellStart"/>
      <w:r w:rsidR="00B11F99" w:rsidRPr="008A7BD7">
        <w:rPr>
          <w:rFonts w:ascii="Cambria" w:hAnsi="Cambria"/>
          <w:sz w:val="16"/>
          <w:szCs w:val="16"/>
          <w:lang w:val="es-US"/>
        </w:rPr>
        <w:t>September</w:t>
      </w:r>
      <w:proofErr w:type="spellEnd"/>
      <w:r w:rsidR="00B11F99" w:rsidRPr="008A7BD7">
        <w:rPr>
          <w:rFonts w:ascii="Cambria" w:hAnsi="Cambria"/>
          <w:sz w:val="16"/>
          <w:szCs w:val="16"/>
          <w:lang w:val="es-US"/>
        </w:rPr>
        <w:t xml:space="preserve"> </w:t>
      </w:r>
      <w:r w:rsidRPr="008A7BD7">
        <w:rPr>
          <w:rFonts w:ascii="Cambria" w:hAnsi="Cambria"/>
          <w:sz w:val="16"/>
          <w:szCs w:val="16"/>
          <w:lang w:val="es-US"/>
        </w:rPr>
        <w:t>21</w:t>
      </w:r>
      <w:r w:rsidR="00B11F99" w:rsidRPr="008A7BD7">
        <w:rPr>
          <w:rFonts w:ascii="Cambria" w:hAnsi="Cambria"/>
          <w:sz w:val="16"/>
          <w:szCs w:val="16"/>
          <w:lang w:val="es-US"/>
        </w:rPr>
        <w:t xml:space="preserve">, </w:t>
      </w:r>
      <w:r w:rsidRPr="008A7BD7">
        <w:rPr>
          <w:rFonts w:ascii="Cambria" w:hAnsi="Cambria"/>
          <w:sz w:val="16"/>
          <w:szCs w:val="16"/>
          <w:lang w:val="es-US"/>
        </w:rPr>
        <w:t xml:space="preserve">2021. </w:t>
      </w:r>
    </w:p>
  </w:footnote>
  <w:footnote w:id="225">
    <w:p w14:paraId="2BDF8300" w14:textId="5B94BC1C" w:rsidR="00DA59A7" w:rsidRPr="008A7BD7" w:rsidRDefault="00DA59A7" w:rsidP="00746761">
      <w:pPr>
        <w:pStyle w:val="FootnoteText"/>
        <w:spacing w:after="120"/>
        <w:ind w:firstLine="720"/>
        <w:jc w:val="both"/>
        <w:rPr>
          <w:rFonts w:ascii="Cambria" w:hAnsi="Cambria"/>
          <w:b/>
          <w:bCs/>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FIDH, </w:t>
      </w:r>
      <w:hyperlink r:id="rId239" w:history="1">
        <w:r w:rsidRPr="008A7BD7">
          <w:rPr>
            <w:rStyle w:val="Hyperlink"/>
            <w:rFonts w:ascii="Cambria" w:hAnsi="Cambria"/>
            <w:i/>
            <w:iCs/>
            <w:sz w:val="16"/>
            <w:szCs w:val="16"/>
            <w:lang w:val="es-US"/>
          </w:rPr>
          <w:t>Guatemala: Violencia sistemática contra quienes defienden el territorio</w:t>
        </w:r>
      </w:hyperlink>
      <w:r w:rsidRPr="008A7BD7">
        <w:rPr>
          <w:rFonts w:ascii="Cambria" w:hAnsi="Cambria"/>
          <w:sz w:val="16"/>
          <w:szCs w:val="16"/>
          <w:lang w:val="es-US"/>
        </w:rPr>
        <w:t xml:space="preserve">, </w:t>
      </w:r>
      <w:r w:rsidR="00B11F99" w:rsidRPr="008A7BD7">
        <w:rPr>
          <w:rFonts w:ascii="Cambria" w:hAnsi="Cambria"/>
          <w:sz w:val="16"/>
          <w:szCs w:val="16"/>
          <w:lang w:val="es-US"/>
        </w:rPr>
        <w:t xml:space="preserve">April </w:t>
      </w:r>
      <w:r w:rsidRPr="008A7BD7">
        <w:rPr>
          <w:rFonts w:ascii="Cambria" w:hAnsi="Cambria"/>
          <w:sz w:val="16"/>
          <w:szCs w:val="16"/>
          <w:lang w:val="es-US"/>
        </w:rPr>
        <w:t>15</w:t>
      </w:r>
      <w:r w:rsidR="00B11F99" w:rsidRPr="008A7BD7">
        <w:rPr>
          <w:rFonts w:ascii="Cambria" w:hAnsi="Cambria"/>
          <w:sz w:val="16"/>
          <w:szCs w:val="16"/>
          <w:lang w:val="es-US"/>
        </w:rPr>
        <w:t xml:space="preserve">, </w:t>
      </w:r>
      <w:r w:rsidRPr="008A7BD7">
        <w:rPr>
          <w:rFonts w:ascii="Cambria" w:hAnsi="Cambria"/>
          <w:sz w:val="16"/>
          <w:szCs w:val="16"/>
          <w:lang w:val="es-US"/>
        </w:rPr>
        <w:t>2021.</w:t>
      </w:r>
    </w:p>
  </w:footnote>
  <w:footnote w:id="226">
    <w:p w14:paraId="089C2CCB" w14:textId="0F4D04BD" w:rsidR="00DA59A7" w:rsidRPr="008A7BD7" w:rsidRDefault="00DA59A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EF764B" w:rsidRPr="008A7BD7">
        <w:rPr>
          <w:rFonts w:ascii="Cambria" w:hAnsi="Cambria"/>
          <w:sz w:val="16"/>
          <w:szCs w:val="16"/>
        </w:rPr>
        <w:t>Amnesty International</w:t>
      </w:r>
      <w:r w:rsidRPr="008A7BD7">
        <w:rPr>
          <w:rFonts w:ascii="Cambria" w:hAnsi="Cambria"/>
          <w:sz w:val="16"/>
          <w:szCs w:val="16"/>
        </w:rPr>
        <w:t>,</w:t>
      </w:r>
      <w:r w:rsidR="00094FAE" w:rsidRPr="008A7BD7">
        <w:rPr>
          <w:rFonts w:ascii="Cambria" w:hAnsi="Cambria"/>
          <w:sz w:val="16"/>
          <w:szCs w:val="16"/>
        </w:rPr>
        <w:t xml:space="preserve"> </w:t>
      </w:r>
      <w:hyperlink r:id="rId240" w:history="1">
        <w:r w:rsidR="00094FAE" w:rsidRPr="008A7BD7">
          <w:rPr>
            <w:rStyle w:val="Hyperlink"/>
            <w:rFonts w:ascii="Cambria" w:hAnsi="Cambria"/>
            <w:sz w:val="16"/>
            <w:szCs w:val="16"/>
          </w:rPr>
          <w:t>Guatemala: Indigenous Leader Shot: Julio David González Arango</w:t>
        </w:r>
      </w:hyperlink>
      <w:r w:rsidR="00094FAE" w:rsidRPr="008A7BD7">
        <w:rPr>
          <w:rFonts w:ascii="Cambria" w:hAnsi="Cambria"/>
          <w:sz w:val="16"/>
          <w:szCs w:val="16"/>
        </w:rPr>
        <w:t>,</w:t>
      </w:r>
      <w:r w:rsidRPr="008A7BD7">
        <w:rPr>
          <w:rFonts w:ascii="Cambria" w:hAnsi="Cambria"/>
          <w:sz w:val="16"/>
          <w:szCs w:val="16"/>
        </w:rPr>
        <w:t xml:space="preserve"> </w:t>
      </w:r>
      <w:r w:rsidR="00094FAE" w:rsidRPr="008A7BD7">
        <w:rPr>
          <w:rFonts w:ascii="Cambria" w:hAnsi="Cambria"/>
          <w:sz w:val="16"/>
          <w:szCs w:val="16"/>
        </w:rPr>
        <w:t>January 2</w:t>
      </w:r>
      <w:r w:rsidRPr="008A7BD7">
        <w:rPr>
          <w:rFonts w:ascii="Cambria" w:hAnsi="Cambria"/>
          <w:sz w:val="16"/>
          <w:szCs w:val="16"/>
        </w:rPr>
        <w:t>5</w:t>
      </w:r>
      <w:r w:rsidR="00094FAE" w:rsidRPr="008A7BD7">
        <w:rPr>
          <w:rFonts w:ascii="Cambria" w:hAnsi="Cambria"/>
          <w:sz w:val="16"/>
          <w:szCs w:val="16"/>
        </w:rPr>
        <w:t xml:space="preserve">, </w:t>
      </w:r>
      <w:r w:rsidRPr="008A7BD7">
        <w:rPr>
          <w:rFonts w:ascii="Cambria" w:hAnsi="Cambria"/>
          <w:sz w:val="16"/>
          <w:szCs w:val="16"/>
        </w:rPr>
        <w:t xml:space="preserve">2021; </w:t>
      </w:r>
      <w:r w:rsidR="005A5216" w:rsidRPr="008A7BD7">
        <w:rPr>
          <w:rFonts w:ascii="Cambria" w:hAnsi="Cambria"/>
          <w:sz w:val="16"/>
          <w:szCs w:val="16"/>
        </w:rPr>
        <w:t>Business &amp; Huma</w:t>
      </w:r>
      <w:r w:rsidR="0067738B" w:rsidRPr="008A7BD7">
        <w:rPr>
          <w:rFonts w:ascii="Cambria" w:hAnsi="Cambria"/>
          <w:sz w:val="16"/>
          <w:szCs w:val="16"/>
        </w:rPr>
        <w:t>n</w:t>
      </w:r>
      <w:r w:rsidR="005A5216" w:rsidRPr="008A7BD7">
        <w:rPr>
          <w:rFonts w:ascii="Cambria" w:hAnsi="Cambria"/>
          <w:sz w:val="16"/>
          <w:szCs w:val="16"/>
        </w:rPr>
        <w:t xml:space="preserve"> Rights Resource Centre, </w:t>
      </w:r>
      <w:r w:rsidRPr="008A7BD7">
        <w:rPr>
          <w:rFonts w:ascii="Cambria" w:hAnsi="Cambria"/>
          <w:sz w:val="16"/>
          <w:szCs w:val="16"/>
        </w:rPr>
        <w:t xml:space="preserve">Guatemala: </w:t>
      </w:r>
      <w:hyperlink r:id="rId241" w:history="1">
        <w:r w:rsidRPr="008A7BD7">
          <w:rPr>
            <w:rStyle w:val="Hyperlink"/>
            <w:rFonts w:ascii="Cambria" w:hAnsi="Cambria"/>
            <w:sz w:val="16"/>
            <w:szCs w:val="16"/>
          </w:rPr>
          <w:t xml:space="preserve">Almost 200 international </w:t>
        </w:r>
        <w:proofErr w:type="spellStart"/>
        <w:r w:rsidRPr="008A7BD7">
          <w:rPr>
            <w:rStyle w:val="Hyperlink"/>
            <w:rFonts w:ascii="Cambria" w:hAnsi="Cambria"/>
            <w:sz w:val="16"/>
            <w:szCs w:val="16"/>
          </w:rPr>
          <w:t>organisations</w:t>
        </w:r>
        <w:proofErr w:type="spellEnd"/>
        <w:r w:rsidRPr="008A7BD7">
          <w:rPr>
            <w:rStyle w:val="Hyperlink"/>
            <w:rFonts w:ascii="Cambria" w:hAnsi="Cambria"/>
            <w:sz w:val="16"/>
            <w:szCs w:val="16"/>
          </w:rPr>
          <w:t xml:space="preserve"> jointly denounce the murder attack against </w:t>
        </w:r>
        <w:proofErr w:type="spellStart"/>
        <w:r w:rsidRPr="008A7BD7">
          <w:rPr>
            <w:rStyle w:val="Hyperlink"/>
            <w:rFonts w:ascii="Cambria" w:hAnsi="Cambria"/>
            <w:sz w:val="16"/>
            <w:szCs w:val="16"/>
          </w:rPr>
          <w:t>Xinka</w:t>
        </w:r>
        <w:proofErr w:type="spellEnd"/>
        <w:r w:rsidRPr="008A7BD7">
          <w:rPr>
            <w:rStyle w:val="Hyperlink"/>
            <w:rFonts w:ascii="Cambria" w:hAnsi="Cambria"/>
            <w:sz w:val="16"/>
            <w:szCs w:val="16"/>
          </w:rPr>
          <w:t xml:space="preserve"> leader opposing </w:t>
        </w:r>
        <w:proofErr w:type="spellStart"/>
        <w:r w:rsidRPr="008A7BD7">
          <w:rPr>
            <w:rStyle w:val="Hyperlink"/>
            <w:rFonts w:ascii="Cambria" w:hAnsi="Cambria"/>
            <w:sz w:val="16"/>
            <w:szCs w:val="16"/>
          </w:rPr>
          <w:t>Escobal</w:t>
        </w:r>
        <w:proofErr w:type="spellEnd"/>
        <w:r w:rsidRPr="008A7BD7">
          <w:rPr>
            <w:rStyle w:val="Hyperlink"/>
            <w:rFonts w:ascii="Cambria" w:hAnsi="Cambria"/>
            <w:sz w:val="16"/>
            <w:szCs w:val="16"/>
          </w:rPr>
          <w:t xml:space="preserve"> mine</w:t>
        </w:r>
      </w:hyperlink>
      <w:r w:rsidRPr="008A7BD7">
        <w:rPr>
          <w:rFonts w:ascii="Cambria" w:hAnsi="Cambria"/>
          <w:sz w:val="16"/>
          <w:szCs w:val="16"/>
        </w:rPr>
        <w:t xml:space="preserve">, </w:t>
      </w:r>
      <w:r w:rsidR="0067738B" w:rsidRPr="008A7BD7">
        <w:rPr>
          <w:rFonts w:ascii="Cambria" w:hAnsi="Cambria"/>
          <w:sz w:val="16"/>
          <w:szCs w:val="16"/>
        </w:rPr>
        <w:t xml:space="preserve">January </w:t>
      </w:r>
      <w:r w:rsidRPr="008A7BD7">
        <w:rPr>
          <w:rFonts w:ascii="Cambria" w:hAnsi="Cambria"/>
          <w:sz w:val="16"/>
          <w:szCs w:val="16"/>
        </w:rPr>
        <w:t>21</w:t>
      </w:r>
      <w:r w:rsidR="0067738B" w:rsidRPr="008A7BD7">
        <w:rPr>
          <w:rFonts w:ascii="Cambria" w:hAnsi="Cambria"/>
          <w:sz w:val="16"/>
          <w:szCs w:val="16"/>
        </w:rPr>
        <w:t>,</w:t>
      </w:r>
      <w:r w:rsidRPr="008A7BD7">
        <w:rPr>
          <w:rFonts w:ascii="Cambria" w:hAnsi="Cambria"/>
          <w:sz w:val="16"/>
          <w:szCs w:val="16"/>
        </w:rPr>
        <w:t xml:space="preserve"> 2021. </w:t>
      </w:r>
    </w:p>
  </w:footnote>
  <w:footnote w:id="227">
    <w:p w14:paraId="6A6F12C1" w14:textId="2A68CC8B" w:rsidR="00DA59A7" w:rsidRPr="008A7BD7" w:rsidRDefault="00DA59A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7B247F" w:rsidRPr="008A7BD7">
        <w:rPr>
          <w:rFonts w:ascii="Cambria" w:hAnsi="Cambria"/>
          <w:sz w:val="16"/>
          <w:szCs w:val="16"/>
        </w:rPr>
        <w:t xml:space="preserve">IACHR, </w:t>
      </w:r>
      <w:hyperlink r:id="rId242" w:history="1">
        <w:r w:rsidR="007B247F" w:rsidRPr="008A7BD7">
          <w:rPr>
            <w:rStyle w:val="Hyperlink"/>
            <w:rFonts w:ascii="Cambria" w:hAnsi="Cambria"/>
            <w:sz w:val="16"/>
            <w:szCs w:val="16"/>
          </w:rPr>
          <w:t xml:space="preserve">Report </w:t>
        </w:r>
        <w:proofErr w:type="gramStart"/>
        <w:r w:rsidR="007B247F" w:rsidRPr="008A7BD7">
          <w:rPr>
            <w:rStyle w:val="Hyperlink"/>
            <w:rFonts w:ascii="Cambria" w:hAnsi="Cambria"/>
            <w:sz w:val="16"/>
            <w:szCs w:val="16"/>
          </w:rPr>
          <w:t>on the Situation of</w:t>
        </w:r>
        <w:proofErr w:type="gramEnd"/>
        <w:r w:rsidR="007B247F" w:rsidRPr="008A7BD7">
          <w:rPr>
            <w:rStyle w:val="Hyperlink"/>
            <w:rFonts w:ascii="Cambria" w:hAnsi="Cambria"/>
            <w:sz w:val="16"/>
            <w:szCs w:val="16"/>
          </w:rPr>
          <w:t xml:space="preserve"> Human Rights Defenders in the Americas</w:t>
        </w:r>
      </w:hyperlink>
      <w:r w:rsidR="007B247F" w:rsidRPr="008A7BD7">
        <w:rPr>
          <w:rFonts w:ascii="Cambria" w:hAnsi="Cambria"/>
          <w:sz w:val="16"/>
          <w:szCs w:val="16"/>
        </w:rPr>
        <w:t xml:space="preserve">, </w:t>
      </w:r>
      <w:r w:rsidRPr="008A7BD7">
        <w:rPr>
          <w:rFonts w:ascii="Cambria" w:hAnsi="Cambria"/>
          <w:sz w:val="16"/>
          <w:szCs w:val="16"/>
        </w:rPr>
        <w:t xml:space="preserve">OEA/Ser. L/V/II.124 Doc. 5 rev.1, </w:t>
      </w:r>
      <w:r w:rsidR="00966B7E" w:rsidRPr="008A7BD7">
        <w:rPr>
          <w:rFonts w:ascii="Cambria" w:hAnsi="Cambria"/>
          <w:sz w:val="16"/>
          <w:szCs w:val="16"/>
        </w:rPr>
        <w:t xml:space="preserve">March </w:t>
      </w:r>
      <w:r w:rsidRPr="008A7BD7">
        <w:rPr>
          <w:rFonts w:ascii="Cambria" w:hAnsi="Cambria"/>
          <w:sz w:val="16"/>
          <w:szCs w:val="16"/>
        </w:rPr>
        <w:t>7</w:t>
      </w:r>
      <w:r w:rsidR="00966B7E" w:rsidRPr="008A7BD7">
        <w:rPr>
          <w:rFonts w:ascii="Cambria" w:hAnsi="Cambria"/>
          <w:sz w:val="16"/>
          <w:szCs w:val="16"/>
        </w:rPr>
        <w:t xml:space="preserve">, </w:t>
      </w:r>
      <w:r w:rsidRPr="008A7BD7">
        <w:rPr>
          <w:rFonts w:ascii="Cambria" w:hAnsi="Cambria"/>
          <w:sz w:val="16"/>
          <w:szCs w:val="16"/>
        </w:rPr>
        <w:t>2006, p</w:t>
      </w:r>
      <w:r w:rsidR="00966B7E" w:rsidRPr="008A7BD7">
        <w:rPr>
          <w:rFonts w:ascii="Cambria" w:hAnsi="Cambria"/>
          <w:sz w:val="16"/>
          <w:szCs w:val="16"/>
        </w:rPr>
        <w:t>ar</w:t>
      </w:r>
      <w:r w:rsidRPr="008A7BD7">
        <w:rPr>
          <w:rFonts w:ascii="Cambria" w:hAnsi="Cambria"/>
          <w:sz w:val="16"/>
          <w:szCs w:val="16"/>
        </w:rPr>
        <w:t>. 43.</w:t>
      </w:r>
    </w:p>
  </w:footnote>
  <w:footnote w:id="228">
    <w:p w14:paraId="422F59FE" w14:textId="0C15A243" w:rsidR="00DA59A7" w:rsidRPr="008A7BD7" w:rsidRDefault="00DA59A7"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00966B7E" w:rsidRPr="008A7BD7">
        <w:rPr>
          <w:rFonts w:ascii="Cambria" w:hAnsi="Cambria"/>
          <w:sz w:val="16"/>
          <w:szCs w:val="16"/>
        </w:rPr>
        <w:t xml:space="preserve"> IACHR, </w:t>
      </w:r>
      <w:hyperlink r:id="rId243" w:history="1">
        <w:r w:rsidR="00A37CFD" w:rsidRPr="008A7BD7">
          <w:rPr>
            <w:rStyle w:val="Hyperlink"/>
            <w:rFonts w:ascii="Cambria" w:hAnsi="Cambria"/>
            <w:sz w:val="16"/>
            <w:szCs w:val="16"/>
          </w:rPr>
          <w:t xml:space="preserve">Second Report </w:t>
        </w:r>
        <w:proofErr w:type="gramStart"/>
        <w:r w:rsidR="00A37CFD" w:rsidRPr="008A7BD7">
          <w:rPr>
            <w:rStyle w:val="Hyperlink"/>
            <w:rFonts w:ascii="Cambria" w:hAnsi="Cambria"/>
            <w:sz w:val="16"/>
            <w:szCs w:val="16"/>
          </w:rPr>
          <w:t>on the Situation of</w:t>
        </w:r>
        <w:proofErr w:type="gramEnd"/>
        <w:r w:rsidR="00A37CFD" w:rsidRPr="008A7BD7">
          <w:rPr>
            <w:rStyle w:val="Hyperlink"/>
            <w:rFonts w:ascii="Cambria" w:hAnsi="Cambria"/>
            <w:sz w:val="16"/>
            <w:szCs w:val="16"/>
          </w:rPr>
          <w:t xml:space="preserve"> Human Rights Defenders in the Americas</w:t>
        </w:r>
      </w:hyperlink>
      <w:r w:rsidR="00A37CFD" w:rsidRPr="008A7BD7">
        <w:rPr>
          <w:rFonts w:ascii="Cambria" w:hAnsi="Cambria"/>
          <w:sz w:val="16"/>
          <w:szCs w:val="16"/>
        </w:rPr>
        <w:t xml:space="preserve">, </w:t>
      </w:r>
      <w:r w:rsidRPr="008A7BD7">
        <w:rPr>
          <w:rFonts w:ascii="Cambria" w:hAnsi="Cambria"/>
          <w:sz w:val="16"/>
          <w:szCs w:val="16"/>
        </w:rPr>
        <w:t>OEA/</w:t>
      </w:r>
      <w:proofErr w:type="spellStart"/>
      <w:r w:rsidRPr="008A7BD7">
        <w:rPr>
          <w:rFonts w:ascii="Cambria" w:hAnsi="Cambria"/>
          <w:sz w:val="16"/>
          <w:szCs w:val="16"/>
        </w:rPr>
        <w:t>Ser.L</w:t>
      </w:r>
      <w:proofErr w:type="spellEnd"/>
      <w:r w:rsidRPr="008A7BD7">
        <w:rPr>
          <w:rFonts w:ascii="Cambria" w:hAnsi="Cambria"/>
          <w:sz w:val="16"/>
          <w:szCs w:val="16"/>
        </w:rPr>
        <w:t xml:space="preserve">/V/II.   </w:t>
      </w:r>
      <w:r w:rsidRPr="008A7BD7">
        <w:rPr>
          <w:rFonts w:ascii="Cambria" w:hAnsi="Cambria"/>
          <w:sz w:val="16"/>
          <w:szCs w:val="16"/>
          <w:lang w:val="es-US"/>
        </w:rPr>
        <w:t xml:space="preserve">Doc. 66, </w:t>
      </w:r>
      <w:proofErr w:type="spellStart"/>
      <w:r w:rsidR="00677C9F" w:rsidRPr="008A7BD7">
        <w:rPr>
          <w:rFonts w:ascii="Cambria" w:hAnsi="Cambria"/>
          <w:sz w:val="16"/>
          <w:szCs w:val="16"/>
          <w:lang w:val="es-US"/>
        </w:rPr>
        <w:t>December</w:t>
      </w:r>
      <w:proofErr w:type="spellEnd"/>
      <w:r w:rsidR="00677C9F" w:rsidRPr="008A7BD7">
        <w:rPr>
          <w:rFonts w:ascii="Cambria" w:hAnsi="Cambria"/>
          <w:sz w:val="16"/>
          <w:szCs w:val="16"/>
          <w:lang w:val="es-US"/>
        </w:rPr>
        <w:t xml:space="preserve"> </w:t>
      </w:r>
      <w:r w:rsidRPr="008A7BD7">
        <w:rPr>
          <w:rFonts w:ascii="Cambria" w:hAnsi="Cambria"/>
          <w:sz w:val="16"/>
          <w:szCs w:val="16"/>
          <w:lang w:val="es-US"/>
        </w:rPr>
        <w:t>31</w:t>
      </w:r>
      <w:r w:rsidR="00677C9F" w:rsidRPr="008A7BD7">
        <w:rPr>
          <w:rFonts w:ascii="Cambria" w:hAnsi="Cambria"/>
          <w:sz w:val="16"/>
          <w:szCs w:val="16"/>
          <w:lang w:val="es-US"/>
        </w:rPr>
        <w:t xml:space="preserve">, </w:t>
      </w:r>
      <w:r w:rsidRPr="008A7BD7">
        <w:rPr>
          <w:rFonts w:ascii="Cambria" w:hAnsi="Cambria"/>
          <w:sz w:val="16"/>
          <w:szCs w:val="16"/>
          <w:lang w:val="es-US"/>
        </w:rPr>
        <w:t>201</w:t>
      </w:r>
      <w:r w:rsidR="00677C9F" w:rsidRPr="008A7BD7">
        <w:rPr>
          <w:rFonts w:ascii="Cambria" w:hAnsi="Cambria"/>
          <w:sz w:val="16"/>
          <w:szCs w:val="16"/>
          <w:lang w:val="es-US"/>
        </w:rPr>
        <w:t>1</w:t>
      </w:r>
      <w:r w:rsidRPr="008A7BD7">
        <w:rPr>
          <w:rFonts w:ascii="Cambria" w:hAnsi="Cambria"/>
          <w:sz w:val="16"/>
          <w:szCs w:val="16"/>
          <w:lang w:val="es-US"/>
        </w:rPr>
        <w:t xml:space="preserve">, </w:t>
      </w:r>
      <w:r w:rsidR="00677C9F" w:rsidRPr="008A7BD7">
        <w:rPr>
          <w:rFonts w:ascii="Cambria" w:hAnsi="Cambria"/>
          <w:sz w:val="16"/>
          <w:szCs w:val="16"/>
          <w:lang w:val="es-US"/>
        </w:rPr>
        <w:t>par</w:t>
      </w:r>
      <w:r w:rsidRPr="008A7BD7">
        <w:rPr>
          <w:rFonts w:ascii="Cambria" w:hAnsi="Cambria"/>
          <w:sz w:val="16"/>
          <w:szCs w:val="16"/>
          <w:lang w:val="es-US"/>
        </w:rPr>
        <w:t xml:space="preserve">. 298. </w:t>
      </w:r>
      <w:r w:rsidRPr="008A7BD7">
        <w:rPr>
          <w:rFonts w:ascii="Cambria" w:hAnsi="Cambria"/>
          <w:sz w:val="16"/>
          <w:szCs w:val="16"/>
          <w:lang w:val="es-ES"/>
        </w:rPr>
        <w:t xml:space="preserve"> </w:t>
      </w:r>
    </w:p>
  </w:footnote>
  <w:footnote w:id="229">
    <w:p w14:paraId="2D9C43FC" w14:textId="47EC6AF8" w:rsidR="00DA59A7" w:rsidRPr="008A7BD7" w:rsidRDefault="00DA59A7"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sz w:val="16"/>
          <w:szCs w:val="16"/>
          <w:lang w:val="es-ES"/>
        </w:rPr>
        <w:t xml:space="preserve">FIDH, </w:t>
      </w:r>
      <w:hyperlink r:id="rId244" w:history="1">
        <w:r w:rsidRPr="008A7BD7">
          <w:rPr>
            <w:rStyle w:val="Hyperlink"/>
            <w:rFonts w:ascii="Cambria" w:hAnsi="Cambria"/>
            <w:i/>
            <w:iCs/>
            <w:sz w:val="16"/>
            <w:szCs w:val="16"/>
            <w:lang w:val="es-US"/>
          </w:rPr>
          <w:t xml:space="preserve">Guatemala: Criminalización de cinco personas defensoras Maya </w:t>
        </w:r>
        <w:proofErr w:type="spellStart"/>
        <w:r w:rsidRPr="008A7BD7">
          <w:rPr>
            <w:rStyle w:val="Hyperlink"/>
            <w:rFonts w:ascii="Cambria" w:hAnsi="Cambria"/>
            <w:i/>
            <w:iCs/>
            <w:sz w:val="16"/>
            <w:szCs w:val="16"/>
            <w:lang w:val="es-US"/>
          </w:rPr>
          <w:t>Ch’orti</w:t>
        </w:r>
        <w:proofErr w:type="spellEnd"/>
        <w:r w:rsidRPr="008A7BD7">
          <w:rPr>
            <w:rStyle w:val="Hyperlink"/>
            <w:rFonts w:ascii="Cambria" w:hAnsi="Cambria"/>
            <w:i/>
            <w:iCs/>
            <w:sz w:val="16"/>
            <w:szCs w:val="16"/>
            <w:lang w:val="es-US"/>
          </w:rPr>
          <w:t>’</w:t>
        </w:r>
      </w:hyperlink>
      <w:r w:rsidRPr="008A7BD7">
        <w:rPr>
          <w:rFonts w:ascii="Cambria" w:hAnsi="Cambria"/>
          <w:sz w:val="16"/>
          <w:szCs w:val="16"/>
          <w:lang w:val="es-US"/>
        </w:rPr>
        <w:t xml:space="preserve">, </w:t>
      </w:r>
      <w:proofErr w:type="spellStart"/>
      <w:r w:rsidR="00677C9F" w:rsidRPr="008A7BD7">
        <w:rPr>
          <w:rFonts w:ascii="Cambria" w:hAnsi="Cambria"/>
          <w:sz w:val="16"/>
          <w:szCs w:val="16"/>
          <w:lang w:val="es-US"/>
        </w:rPr>
        <w:t>October</w:t>
      </w:r>
      <w:proofErr w:type="spellEnd"/>
      <w:r w:rsidR="00677C9F" w:rsidRPr="008A7BD7">
        <w:rPr>
          <w:rFonts w:ascii="Cambria" w:hAnsi="Cambria"/>
          <w:sz w:val="16"/>
          <w:szCs w:val="16"/>
          <w:lang w:val="es-US"/>
        </w:rPr>
        <w:t xml:space="preserve"> </w:t>
      </w:r>
      <w:r w:rsidRPr="008A7BD7">
        <w:rPr>
          <w:rFonts w:ascii="Cambria" w:hAnsi="Cambria"/>
          <w:sz w:val="16"/>
          <w:szCs w:val="16"/>
          <w:lang w:val="es-US"/>
        </w:rPr>
        <w:t>13</w:t>
      </w:r>
      <w:r w:rsidR="00677C9F" w:rsidRPr="008A7BD7">
        <w:rPr>
          <w:rFonts w:ascii="Cambria" w:hAnsi="Cambria"/>
          <w:sz w:val="16"/>
          <w:szCs w:val="16"/>
          <w:lang w:val="es-US"/>
        </w:rPr>
        <w:t xml:space="preserve">, </w:t>
      </w:r>
      <w:r w:rsidRPr="008A7BD7">
        <w:rPr>
          <w:rFonts w:ascii="Cambria" w:hAnsi="Cambria"/>
          <w:sz w:val="16"/>
          <w:szCs w:val="16"/>
          <w:lang w:val="es-US"/>
        </w:rPr>
        <w:t xml:space="preserve">2021. </w:t>
      </w:r>
    </w:p>
  </w:footnote>
  <w:footnote w:id="230">
    <w:p w14:paraId="5EE8E4CD" w14:textId="3D2A2363" w:rsidR="00DA59A7" w:rsidRPr="008A7BD7" w:rsidRDefault="00DA59A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056440" w:rsidRPr="008A7BD7">
        <w:rPr>
          <w:rFonts w:ascii="Cambria" w:hAnsi="Cambria"/>
          <w:sz w:val="16"/>
          <w:szCs w:val="16"/>
        </w:rPr>
        <w:t xml:space="preserve">United Nations OHCHR, </w:t>
      </w:r>
      <w:hyperlink r:id="rId245" w:history="1">
        <w:r w:rsidR="00056440" w:rsidRPr="008A7BD7">
          <w:rPr>
            <w:rStyle w:val="Hyperlink"/>
            <w:rFonts w:ascii="Cambria" w:hAnsi="Cambria"/>
            <w:sz w:val="16"/>
            <w:szCs w:val="16"/>
          </w:rPr>
          <w:t>Guatemala: Stop treating indigenous human rights defenders like criminals – UN experts</w:t>
        </w:r>
      </w:hyperlink>
      <w:r w:rsidR="00056440" w:rsidRPr="008A7BD7">
        <w:rPr>
          <w:rFonts w:ascii="Cambria" w:hAnsi="Cambria"/>
          <w:sz w:val="16"/>
          <w:szCs w:val="16"/>
        </w:rPr>
        <w:t xml:space="preserve">, July </w:t>
      </w:r>
      <w:r w:rsidRPr="008A7BD7">
        <w:rPr>
          <w:rFonts w:ascii="Cambria" w:hAnsi="Cambria"/>
          <w:sz w:val="16"/>
          <w:szCs w:val="16"/>
        </w:rPr>
        <w:t>27</w:t>
      </w:r>
      <w:r w:rsidR="00056440" w:rsidRPr="008A7BD7">
        <w:rPr>
          <w:rFonts w:ascii="Cambria" w:hAnsi="Cambria"/>
          <w:sz w:val="16"/>
          <w:szCs w:val="16"/>
        </w:rPr>
        <w:t xml:space="preserve">, </w:t>
      </w:r>
      <w:r w:rsidRPr="008A7BD7">
        <w:rPr>
          <w:rFonts w:ascii="Cambria" w:hAnsi="Cambria"/>
          <w:sz w:val="16"/>
          <w:szCs w:val="16"/>
        </w:rPr>
        <w:t xml:space="preserve">2021. </w:t>
      </w:r>
    </w:p>
  </w:footnote>
  <w:footnote w:id="231">
    <w:p w14:paraId="279E668A" w14:textId="30623893" w:rsidR="00DA59A7" w:rsidRPr="008A7BD7" w:rsidRDefault="00DA59A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B243B" w:rsidRPr="008A7BD7">
        <w:rPr>
          <w:rFonts w:ascii="Cambria" w:hAnsi="Cambria"/>
          <w:sz w:val="16"/>
          <w:szCs w:val="16"/>
        </w:rPr>
        <w:t xml:space="preserve">IACHR, </w:t>
      </w:r>
      <w:hyperlink r:id="rId246" w:history="1">
        <w:r w:rsidR="001B243B" w:rsidRPr="008A7BD7">
          <w:rPr>
            <w:rStyle w:val="Hyperlink"/>
            <w:rFonts w:ascii="Cambria" w:hAnsi="Cambria"/>
            <w:sz w:val="16"/>
            <w:szCs w:val="16"/>
          </w:rPr>
          <w:t>Situation of Human Rights in Guatemala</w:t>
        </w:r>
      </w:hyperlink>
      <w:r w:rsidR="001B243B" w:rsidRPr="008A7BD7">
        <w:rPr>
          <w:rFonts w:ascii="Cambria" w:hAnsi="Cambria"/>
          <w:sz w:val="16"/>
          <w:szCs w:val="16"/>
        </w:rPr>
        <w:t>, OEA/</w:t>
      </w:r>
      <w:proofErr w:type="spellStart"/>
      <w:r w:rsidR="001B243B" w:rsidRPr="008A7BD7">
        <w:rPr>
          <w:rFonts w:ascii="Cambria" w:hAnsi="Cambria"/>
          <w:sz w:val="16"/>
          <w:szCs w:val="16"/>
        </w:rPr>
        <w:t>Ser.L</w:t>
      </w:r>
      <w:proofErr w:type="spellEnd"/>
      <w:r w:rsidR="001B243B" w:rsidRPr="008A7BD7">
        <w:rPr>
          <w:rFonts w:ascii="Cambria" w:hAnsi="Cambria"/>
          <w:sz w:val="16"/>
          <w:szCs w:val="16"/>
        </w:rPr>
        <w:t>/V/II. Doc. 208/17, December 31, 2017</w:t>
      </w:r>
      <w:r w:rsidRPr="008A7BD7">
        <w:rPr>
          <w:rFonts w:ascii="Cambria" w:hAnsi="Cambria"/>
          <w:sz w:val="16"/>
          <w:szCs w:val="16"/>
        </w:rPr>
        <w:t xml:space="preserve">, </w:t>
      </w:r>
      <w:r w:rsidR="001B243B" w:rsidRPr="008A7BD7">
        <w:rPr>
          <w:rFonts w:ascii="Cambria" w:hAnsi="Cambria"/>
          <w:sz w:val="16"/>
          <w:szCs w:val="16"/>
        </w:rPr>
        <w:t>paras</w:t>
      </w:r>
      <w:r w:rsidRPr="008A7BD7">
        <w:rPr>
          <w:rFonts w:ascii="Cambria" w:hAnsi="Cambria"/>
          <w:sz w:val="16"/>
          <w:szCs w:val="16"/>
        </w:rPr>
        <w:t xml:space="preserve">. 39-41. </w:t>
      </w:r>
    </w:p>
  </w:footnote>
  <w:footnote w:id="232">
    <w:p w14:paraId="02D07C5A" w14:textId="7C04839C" w:rsidR="00DA59A7" w:rsidRPr="008A7BD7" w:rsidRDefault="00DA59A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F43B29" w:rsidRPr="008A7BD7">
        <w:rPr>
          <w:rFonts w:ascii="Cambria" w:hAnsi="Cambria"/>
          <w:sz w:val="16"/>
          <w:szCs w:val="16"/>
        </w:rPr>
        <w:t xml:space="preserve">IACHR, </w:t>
      </w:r>
      <w:hyperlink r:id="rId247" w:history="1">
        <w:r w:rsidR="00F43B29" w:rsidRPr="008A7BD7">
          <w:rPr>
            <w:rStyle w:val="Hyperlink"/>
            <w:rFonts w:ascii="Cambria" w:hAnsi="Cambria"/>
            <w:sz w:val="16"/>
            <w:szCs w:val="16"/>
          </w:rPr>
          <w:t>Criminalization of the Work of Human Rights Defenders</w:t>
        </w:r>
      </w:hyperlink>
      <w:r w:rsidR="00F43B29" w:rsidRPr="008A7BD7">
        <w:rPr>
          <w:rFonts w:ascii="Cambria" w:hAnsi="Cambria"/>
          <w:sz w:val="16"/>
          <w:szCs w:val="16"/>
        </w:rPr>
        <w:t xml:space="preserve">, </w:t>
      </w:r>
      <w:r w:rsidRPr="008A7BD7">
        <w:rPr>
          <w:rFonts w:ascii="Cambria" w:hAnsi="Cambria"/>
          <w:sz w:val="16"/>
          <w:szCs w:val="16"/>
        </w:rPr>
        <w:t>OEA/</w:t>
      </w:r>
      <w:proofErr w:type="spellStart"/>
      <w:r w:rsidRPr="008A7BD7">
        <w:rPr>
          <w:rFonts w:ascii="Cambria" w:hAnsi="Cambria"/>
          <w:sz w:val="16"/>
          <w:szCs w:val="16"/>
        </w:rPr>
        <w:t>Ser.L</w:t>
      </w:r>
      <w:proofErr w:type="spellEnd"/>
      <w:r w:rsidRPr="008A7BD7">
        <w:rPr>
          <w:rFonts w:ascii="Cambria" w:hAnsi="Cambria"/>
          <w:sz w:val="16"/>
          <w:szCs w:val="16"/>
        </w:rPr>
        <w:t xml:space="preserve">/V/II. Doc. 49/15, </w:t>
      </w:r>
      <w:r w:rsidR="00F43B29" w:rsidRPr="008A7BD7">
        <w:rPr>
          <w:rFonts w:ascii="Cambria" w:hAnsi="Cambria"/>
          <w:sz w:val="16"/>
          <w:szCs w:val="16"/>
        </w:rPr>
        <w:t xml:space="preserve">December </w:t>
      </w:r>
      <w:r w:rsidRPr="008A7BD7">
        <w:rPr>
          <w:rFonts w:ascii="Cambria" w:hAnsi="Cambria"/>
          <w:sz w:val="16"/>
          <w:szCs w:val="16"/>
        </w:rPr>
        <w:t>31</w:t>
      </w:r>
      <w:r w:rsidR="00F43B29" w:rsidRPr="008A7BD7">
        <w:rPr>
          <w:rFonts w:ascii="Cambria" w:hAnsi="Cambria"/>
          <w:sz w:val="16"/>
          <w:szCs w:val="16"/>
        </w:rPr>
        <w:t xml:space="preserve">, </w:t>
      </w:r>
      <w:r w:rsidRPr="008A7BD7">
        <w:rPr>
          <w:rFonts w:ascii="Cambria" w:hAnsi="Cambria"/>
          <w:sz w:val="16"/>
          <w:szCs w:val="16"/>
        </w:rPr>
        <w:t>2015, p</w:t>
      </w:r>
      <w:r w:rsidR="00F43B29" w:rsidRPr="008A7BD7">
        <w:rPr>
          <w:rFonts w:ascii="Cambria" w:hAnsi="Cambria"/>
          <w:sz w:val="16"/>
          <w:szCs w:val="16"/>
        </w:rPr>
        <w:t>ar</w:t>
      </w:r>
      <w:r w:rsidRPr="008A7BD7">
        <w:rPr>
          <w:rFonts w:ascii="Cambria" w:hAnsi="Cambria"/>
          <w:sz w:val="16"/>
          <w:szCs w:val="16"/>
        </w:rPr>
        <w:t>. 16.</w:t>
      </w:r>
    </w:p>
  </w:footnote>
  <w:footnote w:id="233">
    <w:p w14:paraId="133F2F5D" w14:textId="0BE3A2BE" w:rsidR="00DA59A7" w:rsidRPr="008A7BD7" w:rsidRDefault="00DA59A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0B468A" w:rsidRPr="008A7BD7">
        <w:rPr>
          <w:rFonts w:ascii="Cambria" w:hAnsi="Cambria"/>
          <w:sz w:val="16"/>
          <w:szCs w:val="16"/>
        </w:rPr>
        <w:t xml:space="preserve">IACHR, </w:t>
      </w:r>
      <w:hyperlink r:id="rId248" w:history="1">
        <w:r w:rsidR="000B468A" w:rsidRPr="008A7BD7">
          <w:rPr>
            <w:rStyle w:val="Hyperlink"/>
            <w:rFonts w:ascii="Cambria" w:hAnsi="Cambria"/>
            <w:sz w:val="16"/>
            <w:szCs w:val="16"/>
          </w:rPr>
          <w:t xml:space="preserve">Second Report </w:t>
        </w:r>
        <w:proofErr w:type="gramStart"/>
        <w:r w:rsidR="000B468A" w:rsidRPr="008A7BD7">
          <w:rPr>
            <w:rStyle w:val="Hyperlink"/>
            <w:rFonts w:ascii="Cambria" w:hAnsi="Cambria"/>
            <w:sz w:val="16"/>
            <w:szCs w:val="16"/>
          </w:rPr>
          <w:t>on the Situation of</w:t>
        </w:r>
        <w:proofErr w:type="gramEnd"/>
        <w:r w:rsidR="000B468A" w:rsidRPr="008A7BD7">
          <w:rPr>
            <w:rStyle w:val="Hyperlink"/>
            <w:rFonts w:ascii="Cambria" w:hAnsi="Cambria"/>
            <w:sz w:val="16"/>
            <w:szCs w:val="16"/>
          </w:rPr>
          <w:t xml:space="preserve"> Human Rights Defenders in the Americas</w:t>
        </w:r>
      </w:hyperlink>
      <w:r w:rsidR="000B468A" w:rsidRPr="008A7BD7">
        <w:rPr>
          <w:rFonts w:ascii="Cambria" w:hAnsi="Cambria"/>
          <w:sz w:val="16"/>
          <w:szCs w:val="16"/>
        </w:rPr>
        <w:t xml:space="preserve">, par. </w:t>
      </w:r>
      <w:r w:rsidRPr="008A7BD7">
        <w:rPr>
          <w:rFonts w:ascii="Cambria" w:hAnsi="Cambria"/>
          <w:sz w:val="16"/>
          <w:szCs w:val="16"/>
        </w:rPr>
        <w:t>80.</w:t>
      </w:r>
    </w:p>
  </w:footnote>
  <w:footnote w:id="234">
    <w:p w14:paraId="7A08ABC5" w14:textId="6C8E145E" w:rsidR="00DA59A7" w:rsidRPr="008A7BD7" w:rsidRDefault="00DA59A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C7740" w:rsidRPr="008A7BD7">
        <w:rPr>
          <w:rFonts w:ascii="Cambria" w:hAnsi="Cambria"/>
          <w:sz w:val="16"/>
          <w:szCs w:val="16"/>
        </w:rPr>
        <w:t xml:space="preserve">IACHR, Press Release No. 128/21, </w:t>
      </w:r>
      <w:hyperlink r:id="rId249" w:history="1">
        <w:r w:rsidR="001C7740" w:rsidRPr="008A7BD7">
          <w:rPr>
            <w:rStyle w:val="Hyperlink"/>
            <w:rFonts w:ascii="Cambria" w:hAnsi="Cambria"/>
            <w:sz w:val="16"/>
            <w:szCs w:val="16"/>
          </w:rPr>
          <w:t>IACHR and RFOE Reject Entry into Force of Reforms to the Nongovernmental Organizations Act in Guatemala</w:t>
        </w:r>
      </w:hyperlink>
      <w:r w:rsidR="001C7740" w:rsidRPr="008A7BD7">
        <w:rPr>
          <w:rFonts w:ascii="Cambria" w:hAnsi="Cambria"/>
          <w:sz w:val="16"/>
          <w:szCs w:val="16"/>
        </w:rPr>
        <w:t>, May 19, 2021</w:t>
      </w:r>
      <w:r w:rsidRPr="008A7BD7">
        <w:rPr>
          <w:rFonts w:ascii="Cambria" w:hAnsi="Cambria"/>
          <w:sz w:val="16"/>
          <w:szCs w:val="16"/>
        </w:rPr>
        <w:t>.</w:t>
      </w:r>
    </w:p>
  </w:footnote>
  <w:footnote w:id="235">
    <w:p w14:paraId="39B2A31F" w14:textId="2B158992" w:rsidR="00DA59A7" w:rsidRPr="008A7BD7" w:rsidRDefault="00DA59A7"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DW</w:t>
      </w:r>
      <w:r w:rsidRPr="008A7BD7">
        <w:rPr>
          <w:rFonts w:ascii="Cambria" w:hAnsi="Cambria"/>
          <w:sz w:val="16"/>
          <w:szCs w:val="16"/>
          <w:lang w:val="es-US"/>
        </w:rPr>
        <w:t xml:space="preserve">, </w:t>
      </w:r>
      <w:hyperlink r:id="rId250" w:history="1">
        <w:r w:rsidRPr="008A7BD7">
          <w:rPr>
            <w:rStyle w:val="Hyperlink"/>
            <w:rFonts w:ascii="Cambria" w:hAnsi="Cambria"/>
            <w:i/>
            <w:iCs/>
            <w:sz w:val="16"/>
            <w:szCs w:val="16"/>
            <w:lang w:val="es-US"/>
          </w:rPr>
          <w:t>Corte de Guatemala da luz verde a cuestionada ley sobre ONG</w:t>
        </w:r>
      </w:hyperlink>
      <w:r w:rsidRPr="008A7BD7">
        <w:rPr>
          <w:rFonts w:ascii="Cambria" w:hAnsi="Cambria"/>
          <w:sz w:val="16"/>
          <w:szCs w:val="16"/>
          <w:lang w:val="es-US"/>
        </w:rPr>
        <w:t xml:space="preserve">, </w:t>
      </w:r>
      <w:r w:rsidR="003A31E2" w:rsidRPr="008A7BD7">
        <w:rPr>
          <w:rFonts w:ascii="Cambria" w:hAnsi="Cambria"/>
          <w:sz w:val="16"/>
          <w:szCs w:val="16"/>
          <w:lang w:val="es-US"/>
        </w:rPr>
        <w:t xml:space="preserve">May </w:t>
      </w:r>
      <w:r w:rsidRPr="008A7BD7">
        <w:rPr>
          <w:rFonts w:ascii="Cambria" w:hAnsi="Cambria"/>
          <w:sz w:val="16"/>
          <w:szCs w:val="16"/>
          <w:lang w:val="es-US"/>
        </w:rPr>
        <w:t>13</w:t>
      </w:r>
      <w:r w:rsidR="003A31E2" w:rsidRPr="008A7BD7">
        <w:rPr>
          <w:rFonts w:ascii="Cambria" w:hAnsi="Cambria"/>
          <w:sz w:val="16"/>
          <w:szCs w:val="16"/>
          <w:lang w:val="es-US"/>
        </w:rPr>
        <w:t>,</w:t>
      </w:r>
      <w:r w:rsidRPr="008A7BD7">
        <w:rPr>
          <w:rFonts w:ascii="Cambria" w:hAnsi="Cambria"/>
          <w:sz w:val="16"/>
          <w:szCs w:val="16"/>
          <w:lang w:val="es-US"/>
        </w:rPr>
        <w:t xml:space="preserve"> 2021; </w:t>
      </w:r>
      <w:r w:rsidRPr="008A7BD7">
        <w:rPr>
          <w:rFonts w:ascii="Cambria" w:hAnsi="Cambria"/>
          <w:i/>
          <w:iCs/>
          <w:sz w:val="16"/>
          <w:szCs w:val="16"/>
          <w:lang w:val="es-US"/>
        </w:rPr>
        <w:t xml:space="preserve">San Diego </w:t>
      </w:r>
      <w:proofErr w:type="spellStart"/>
      <w:r w:rsidRPr="008A7BD7">
        <w:rPr>
          <w:rFonts w:ascii="Cambria" w:hAnsi="Cambria"/>
          <w:i/>
          <w:iCs/>
          <w:sz w:val="16"/>
          <w:szCs w:val="16"/>
          <w:lang w:val="es-US"/>
        </w:rPr>
        <w:t>Tribune</w:t>
      </w:r>
      <w:proofErr w:type="spellEnd"/>
      <w:r w:rsidRPr="008A7BD7">
        <w:rPr>
          <w:rFonts w:ascii="Cambria" w:hAnsi="Cambria"/>
          <w:sz w:val="16"/>
          <w:szCs w:val="16"/>
          <w:lang w:val="es-US"/>
        </w:rPr>
        <w:t xml:space="preserve">, </w:t>
      </w:r>
      <w:hyperlink r:id="rId251" w:history="1">
        <w:r w:rsidRPr="008A7BD7">
          <w:rPr>
            <w:rStyle w:val="Hyperlink"/>
            <w:rFonts w:ascii="Cambria" w:hAnsi="Cambria"/>
            <w:i/>
            <w:iCs/>
            <w:sz w:val="16"/>
            <w:szCs w:val="16"/>
            <w:lang w:val="es-US"/>
          </w:rPr>
          <w:t>Guatemala: Corte da vía libre a ley que controla a las ONG</w:t>
        </w:r>
      </w:hyperlink>
      <w:r w:rsidRPr="008A7BD7">
        <w:rPr>
          <w:rFonts w:ascii="Cambria" w:hAnsi="Cambria"/>
          <w:sz w:val="16"/>
          <w:szCs w:val="16"/>
          <w:lang w:val="es-US"/>
        </w:rPr>
        <w:t xml:space="preserve">, </w:t>
      </w:r>
      <w:r w:rsidR="003A31E2" w:rsidRPr="008A7BD7">
        <w:rPr>
          <w:rFonts w:ascii="Cambria" w:hAnsi="Cambria"/>
          <w:sz w:val="16"/>
          <w:szCs w:val="16"/>
          <w:lang w:val="es-US"/>
        </w:rPr>
        <w:t xml:space="preserve">May </w:t>
      </w:r>
      <w:r w:rsidRPr="008A7BD7">
        <w:rPr>
          <w:rFonts w:ascii="Cambria" w:hAnsi="Cambria"/>
          <w:sz w:val="16"/>
          <w:szCs w:val="16"/>
          <w:lang w:val="es-US"/>
        </w:rPr>
        <w:t>13</w:t>
      </w:r>
      <w:r w:rsidR="003A31E2" w:rsidRPr="008A7BD7">
        <w:rPr>
          <w:rFonts w:ascii="Cambria" w:hAnsi="Cambria"/>
          <w:sz w:val="16"/>
          <w:szCs w:val="16"/>
          <w:lang w:val="es-US"/>
        </w:rPr>
        <w:t xml:space="preserve">, </w:t>
      </w:r>
      <w:r w:rsidRPr="008A7BD7">
        <w:rPr>
          <w:rFonts w:ascii="Cambria" w:hAnsi="Cambria"/>
          <w:sz w:val="16"/>
          <w:szCs w:val="16"/>
          <w:lang w:val="es-US"/>
        </w:rPr>
        <w:t xml:space="preserve">2021. </w:t>
      </w:r>
    </w:p>
  </w:footnote>
  <w:footnote w:id="236">
    <w:p w14:paraId="1528AE29" w14:textId="38F04ECD" w:rsidR="00DA59A7" w:rsidRPr="008A7BD7" w:rsidRDefault="00DA59A7" w:rsidP="00746761">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Pr="008A7BD7">
        <w:rPr>
          <w:rFonts w:ascii="Cambria" w:hAnsi="Cambria"/>
          <w:i/>
          <w:iCs/>
          <w:sz w:val="16"/>
          <w:szCs w:val="16"/>
          <w:lang w:val="es-US"/>
        </w:rPr>
        <w:t>Prensa Libre</w:t>
      </w:r>
      <w:r w:rsidRPr="008A7BD7">
        <w:rPr>
          <w:rFonts w:ascii="Cambria" w:hAnsi="Cambria"/>
          <w:sz w:val="16"/>
          <w:szCs w:val="16"/>
          <w:lang w:val="es-US"/>
        </w:rPr>
        <w:t xml:space="preserve">, </w:t>
      </w:r>
      <w:hyperlink w:history="1">
        <w:r w:rsidRPr="008A7BD7">
          <w:rPr>
            <w:rStyle w:val="Hyperlink"/>
            <w:rFonts w:ascii="Cambria" w:hAnsi="Cambria"/>
            <w:i/>
            <w:iCs/>
            <w:sz w:val="16"/>
            <w:szCs w:val="16"/>
            <w:lang w:val="es-US"/>
          </w:rPr>
          <w:t>Ley de oenegés: piden que nueva normativa se declare inconstitucional</w:t>
        </w:r>
      </w:hyperlink>
      <w:r w:rsidRPr="008A7BD7">
        <w:rPr>
          <w:rFonts w:ascii="Cambria" w:hAnsi="Cambria"/>
          <w:sz w:val="16"/>
          <w:szCs w:val="16"/>
          <w:lang w:val="es-US"/>
        </w:rPr>
        <w:t xml:space="preserve">, </w:t>
      </w:r>
      <w:r w:rsidR="003A31E2" w:rsidRPr="008A7BD7">
        <w:rPr>
          <w:rFonts w:ascii="Cambria" w:hAnsi="Cambria"/>
          <w:sz w:val="16"/>
          <w:szCs w:val="16"/>
          <w:lang w:val="es-US"/>
        </w:rPr>
        <w:t xml:space="preserve">June </w:t>
      </w:r>
      <w:r w:rsidRPr="008A7BD7">
        <w:rPr>
          <w:rFonts w:ascii="Cambria" w:hAnsi="Cambria"/>
          <w:sz w:val="16"/>
          <w:szCs w:val="16"/>
          <w:lang w:val="es-US"/>
        </w:rPr>
        <w:t>22</w:t>
      </w:r>
      <w:r w:rsidR="003A31E2" w:rsidRPr="008A7BD7">
        <w:rPr>
          <w:rFonts w:ascii="Cambria" w:hAnsi="Cambria"/>
          <w:sz w:val="16"/>
          <w:szCs w:val="16"/>
          <w:lang w:val="es-US"/>
        </w:rPr>
        <w:t xml:space="preserve">, </w:t>
      </w:r>
      <w:r w:rsidRPr="008A7BD7">
        <w:rPr>
          <w:rFonts w:ascii="Cambria" w:hAnsi="Cambria"/>
          <w:sz w:val="16"/>
          <w:szCs w:val="16"/>
          <w:lang w:val="es-US"/>
        </w:rPr>
        <w:t xml:space="preserve">2021; </w:t>
      </w:r>
      <w:r w:rsidRPr="008A7BD7">
        <w:rPr>
          <w:rFonts w:ascii="Cambria" w:hAnsi="Cambria"/>
          <w:i/>
          <w:iCs/>
          <w:sz w:val="16"/>
          <w:szCs w:val="16"/>
          <w:lang w:val="es-US"/>
        </w:rPr>
        <w:t>Soy502</w:t>
      </w:r>
      <w:r w:rsidRPr="008A7BD7">
        <w:rPr>
          <w:rFonts w:ascii="Cambria" w:hAnsi="Cambria"/>
          <w:sz w:val="16"/>
          <w:szCs w:val="16"/>
          <w:lang w:val="es-US"/>
        </w:rPr>
        <w:t xml:space="preserve">, </w:t>
      </w:r>
      <w:hyperlink r:id="rId252" w:history="1">
        <w:r w:rsidRPr="008A7BD7">
          <w:rPr>
            <w:rStyle w:val="Hyperlink"/>
            <w:rFonts w:ascii="Cambria" w:hAnsi="Cambria"/>
            <w:i/>
            <w:iCs/>
            <w:sz w:val="16"/>
            <w:szCs w:val="16"/>
            <w:lang w:val="es-US"/>
          </w:rPr>
          <w:t>Gobierno publica reglamento de Ley de ONG en Guatemala</w:t>
        </w:r>
      </w:hyperlink>
      <w:r w:rsidRPr="008A7BD7">
        <w:rPr>
          <w:rFonts w:ascii="Cambria" w:hAnsi="Cambria"/>
          <w:sz w:val="16"/>
          <w:szCs w:val="16"/>
          <w:lang w:val="es-US"/>
        </w:rPr>
        <w:t xml:space="preserve">, </w:t>
      </w:r>
      <w:r w:rsidR="003A31E2" w:rsidRPr="008A7BD7">
        <w:rPr>
          <w:rFonts w:ascii="Cambria" w:hAnsi="Cambria"/>
          <w:sz w:val="16"/>
          <w:szCs w:val="16"/>
          <w:lang w:val="es-US"/>
        </w:rPr>
        <w:t xml:space="preserve">August </w:t>
      </w:r>
      <w:r w:rsidRPr="008A7BD7">
        <w:rPr>
          <w:rFonts w:ascii="Cambria" w:hAnsi="Cambria"/>
          <w:sz w:val="16"/>
          <w:szCs w:val="16"/>
          <w:lang w:val="es-US"/>
        </w:rPr>
        <w:t>2</w:t>
      </w:r>
      <w:r w:rsidR="003A31E2" w:rsidRPr="008A7BD7">
        <w:rPr>
          <w:rFonts w:ascii="Cambria" w:hAnsi="Cambria"/>
          <w:sz w:val="16"/>
          <w:szCs w:val="16"/>
          <w:lang w:val="es-US"/>
        </w:rPr>
        <w:t xml:space="preserve">, </w:t>
      </w:r>
      <w:r w:rsidRPr="008A7BD7">
        <w:rPr>
          <w:rFonts w:ascii="Cambria" w:hAnsi="Cambria"/>
          <w:sz w:val="16"/>
          <w:szCs w:val="16"/>
          <w:lang w:val="es-US"/>
        </w:rPr>
        <w:t>2021.</w:t>
      </w:r>
    </w:p>
  </w:footnote>
  <w:footnote w:id="237">
    <w:p w14:paraId="54AE22D3" w14:textId="7E034540" w:rsidR="00DA59A7" w:rsidRPr="008A7BD7" w:rsidRDefault="00DA59A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F769D3" w:rsidRPr="008A7BD7">
        <w:rPr>
          <w:rFonts w:ascii="Cambria" w:hAnsi="Cambria"/>
          <w:sz w:val="16"/>
          <w:szCs w:val="16"/>
        </w:rPr>
        <w:t xml:space="preserve">IACHR, Press Release No. 128/21, </w:t>
      </w:r>
      <w:hyperlink r:id="rId253" w:history="1">
        <w:r w:rsidR="00F769D3" w:rsidRPr="008A7BD7">
          <w:rPr>
            <w:rStyle w:val="Hyperlink"/>
            <w:rFonts w:ascii="Cambria" w:hAnsi="Cambria"/>
            <w:sz w:val="16"/>
            <w:szCs w:val="16"/>
          </w:rPr>
          <w:t>IACHR and RFOE Reject Entry into Force of Reforms to the Nongovernmental Organizations Act in Guatemala</w:t>
        </w:r>
      </w:hyperlink>
      <w:r w:rsidR="00F769D3" w:rsidRPr="008A7BD7">
        <w:rPr>
          <w:rFonts w:ascii="Cambria" w:hAnsi="Cambria"/>
          <w:sz w:val="16"/>
          <w:szCs w:val="16"/>
        </w:rPr>
        <w:t>, May 19, 2021</w:t>
      </w:r>
      <w:r w:rsidRPr="008A7BD7">
        <w:rPr>
          <w:rFonts w:ascii="Cambria" w:hAnsi="Cambria"/>
          <w:sz w:val="16"/>
          <w:szCs w:val="16"/>
        </w:rPr>
        <w:t>.</w:t>
      </w:r>
    </w:p>
  </w:footnote>
  <w:footnote w:id="238">
    <w:p w14:paraId="377AE0E1" w14:textId="44E81CD2" w:rsidR="00DA59A7" w:rsidRPr="008A7BD7" w:rsidRDefault="00DA59A7" w:rsidP="00746761">
      <w:pPr>
        <w:pStyle w:val="FootnoteText"/>
        <w:spacing w:after="120"/>
        <w:ind w:firstLine="720"/>
        <w:jc w:val="both"/>
        <w:rPr>
          <w:rFonts w:ascii="Cambria" w:hAnsi="Cambria"/>
          <w:sz w:val="16"/>
          <w:szCs w:val="16"/>
          <w:lang w:val="es-ES"/>
        </w:rPr>
      </w:pPr>
      <w:r w:rsidRPr="008A7BD7">
        <w:rPr>
          <w:rStyle w:val="FootnoteReference"/>
          <w:rFonts w:ascii="Cambria" w:hAnsi="Cambria"/>
          <w:sz w:val="16"/>
          <w:szCs w:val="16"/>
        </w:rPr>
        <w:footnoteRef/>
      </w:r>
      <w:r w:rsidR="001D33F1" w:rsidRPr="008A7BD7">
        <w:rPr>
          <w:rFonts w:ascii="Cambria" w:hAnsi="Cambria"/>
          <w:sz w:val="16"/>
          <w:szCs w:val="16"/>
        </w:rPr>
        <w:t xml:space="preserve"> IACHR, </w:t>
      </w:r>
      <w:hyperlink r:id="rId254" w:history="1">
        <w:r w:rsidR="001D33F1" w:rsidRPr="008A7BD7">
          <w:rPr>
            <w:rStyle w:val="Hyperlink"/>
            <w:rFonts w:ascii="Cambria" w:hAnsi="Cambria"/>
            <w:sz w:val="16"/>
            <w:szCs w:val="16"/>
          </w:rPr>
          <w:t xml:space="preserve">Second Report </w:t>
        </w:r>
        <w:proofErr w:type="gramStart"/>
        <w:r w:rsidR="001D33F1" w:rsidRPr="008A7BD7">
          <w:rPr>
            <w:rStyle w:val="Hyperlink"/>
            <w:rFonts w:ascii="Cambria" w:hAnsi="Cambria"/>
            <w:sz w:val="16"/>
            <w:szCs w:val="16"/>
          </w:rPr>
          <w:t>on the Situation of</w:t>
        </w:r>
        <w:proofErr w:type="gramEnd"/>
        <w:r w:rsidR="001D33F1" w:rsidRPr="008A7BD7">
          <w:rPr>
            <w:rStyle w:val="Hyperlink"/>
            <w:rFonts w:ascii="Cambria" w:hAnsi="Cambria"/>
            <w:sz w:val="16"/>
            <w:szCs w:val="16"/>
          </w:rPr>
          <w:t xml:space="preserve"> Human Rights Defenders in the Americas</w:t>
        </w:r>
      </w:hyperlink>
      <w:r w:rsidR="001D33F1" w:rsidRPr="008A7BD7">
        <w:rPr>
          <w:rFonts w:ascii="Cambria" w:hAnsi="Cambria"/>
          <w:sz w:val="16"/>
          <w:szCs w:val="16"/>
        </w:rPr>
        <w:t>, OEA/</w:t>
      </w:r>
      <w:proofErr w:type="spellStart"/>
      <w:r w:rsidR="001D33F1" w:rsidRPr="008A7BD7">
        <w:rPr>
          <w:rFonts w:ascii="Cambria" w:hAnsi="Cambria"/>
          <w:sz w:val="16"/>
          <w:szCs w:val="16"/>
        </w:rPr>
        <w:t>Ser.L</w:t>
      </w:r>
      <w:proofErr w:type="spellEnd"/>
      <w:r w:rsidR="001D33F1" w:rsidRPr="008A7BD7">
        <w:rPr>
          <w:rFonts w:ascii="Cambria" w:hAnsi="Cambria"/>
          <w:sz w:val="16"/>
          <w:szCs w:val="16"/>
        </w:rPr>
        <w:t xml:space="preserve">/V/II.   </w:t>
      </w:r>
      <w:r w:rsidR="001D33F1" w:rsidRPr="008A7BD7">
        <w:rPr>
          <w:rFonts w:ascii="Cambria" w:hAnsi="Cambria"/>
          <w:sz w:val="16"/>
          <w:szCs w:val="16"/>
          <w:lang w:val="es-US"/>
        </w:rPr>
        <w:t xml:space="preserve">Doc. 66, </w:t>
      </w:r>
      <w:proofErr w:type="spellStart"/>
      <w:r w:rsidR="001D33F1" w:rsidRPr="008A7BD7">
        <w:rPr>
          <w:rFonts w:ascii="Cambria" w:hAnsi="Cambria"/>
          <w:sz w:val="16"/>
          <w:szCs w:val="16"/>
          <w:lang w:val="es-US"/>
        </w:rPr>
        <w:t>December</w:t>
      </w:r>
      <w:proofErr w:type="spellEnd"/>
      <w:r w:rsidR="001D33F1" w:rsidRPr="008A7BD7">
        <w:rPr>
          <w:rFonts w:ascii="Cambria" w:hAnsi="Cambria"/>
          <w:sz w:val="16"/>
          <w:szCs w:val="16"/>
          <w:lang w:val="es-US"/>
        </w:rPr>
        <w:t xml:space="preserve"> 31, 2011, paras</w:t>
      </w:r>
      <w:r w:rsidRPr="008A7BD7">
        <w:rPr>
          <w:rFonts w:ascii="Cambria" w:hAnsi="Cambria"/>
          <w:sz w:val="16"/>
          <w:szCs w:val="16"/>
          <w:lang w:val="es-US"/>
        </w:rPr>
        <w:t xml:space="preserve">. 157 </w:t>
      </w:r>
      <w:r w:rsidR="001D33F1" w:rsidRPr="008A7BD7">
        <w:rPr>
          <w:rFonts w:ascii="Cambria" w:hAnsi="Cambria"/>
          <w:sz w:val="16"/>
          <w:szCs w:val="16"/>
          <w:lang w:val="es-US"/>
        </w:rPr>
        <w:t>and</w:t>
      </w:r>
      <w:r w:rsidRPr="008A7BD7">
        <w:rPr>
          <w:rFonts w:ascii="Cambria" w:hAnsi="Cambria"/>
          <w:sz w:val="16"/>
          <w:szCs w:val="16"/>
          <w:lang w:val="es-US"/>
        </w:rPr>
        <w:t xml:space="preserve"> 163. </w:t>
      </w:r>
      <w:r w:rsidRPr="008A7BD7">
        <w:rPr>
          <w:rFonts w:ascii="Cambria" w:hAnsi="Cambria"/>
          <w:sz w:val="16"/>
          <w:szCs w:val="16"/>
          <w:lang w:val="es-ES"/>
        </w:rPr>
        <w:t xml:space="preserve"> </w:t>
      </w:r>
    </w:p>
  </w:footnote>
  <w:footnote w:id="239">
    <w:p w14:paraId="0011E49E" w14:textId="116A72C5" w:rsidR="00DA59A7" w:rsidRPr="008A7BD7" w:rsidRDefault="00DA59A7" w:rsidP="00746761">
      <w:pPr>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w:t>
      </w:r>
      <w:r w:rsidR="00721E9C" w:rsidRPr="008A7BD7">
        <w:rPr>
          <w:rFonts w:ascii="Cambria" w:eastAsia="Cambria" w:hAnsi="Cambria" w:cstheme="majorHAnsi"/>
          <w:sz w:val="16"/>
          <w:szCs w:val="16"/>
          <w:lang w:val="es-CO"/>
        </w:rPr>
        <w:t xml:space="preserve">Office of </w:t>
      </w:r>
      <w:proofErr w:type="spellStart"/>
      <w:r w:rsidR="00721E9C" w:rsidRPr="008A7BD7">
        <w:rPr>
          <w:rFonts w:ascii="Cambria" w:eastAsia="Cambria" w:hAnsi="Cambria" w:cstheme="majorHAnsi"/>
          <w:sz w:val="16"/>
          <w:szCs w:val="16"/>
          <w:lang w:val="es-CO"/>
        </w:rPr>
        <w:t>the</w:t>
      </w:r>
      <w:proofErr w:type="spellEnd"/>
      <w:r w:rsidR="00721E9C" w:rsidRPr="008A7BD7">
        <w:rPr>
          <w:rFonts w:ascii="Cambria" w:eastAsia="Cambria" w:hAnsi="Cambria" w:cstheme="majorHAnsi"/>
          <w:sz w:val="16"/>
          <w:szCs w:val="16"/>
          <w:lang w:val="es-CO"/>
        </w:rPr>
        <w:t xml:space="preserve"> Human </w:t>
      </w:r>
      <w:proofErr w:type="spellStart"/>
      <w:r w:rsidR="00721E9C" w:rsidRPr="008A7BD7">
        <w:rPr>
          <w:rFonts w:ascii="Cambria" w:eastAsia="Cambria" w:hAnsi="Cambria" w:cstheme="majorHAnsi"/>
          <w:sz w:val="16"/>
          <w:szCs w:val="16"/>
          <w:lang w:val="es-CO"/>
        </w:rPr>
        <w:t>Rights</w:t>
      </w:r>
      <w:proofErr w:type="spellEnd"/>
      <w:r w:rsidR="00721E9C" w:rsidRPr="008A7BD7">
        <w:rPr>
          <w:rFonts w:ascii="Cambria" w:eastAsia="Cambria" w:hAnsi="Cambria" w:cstheme="majorHAnsi"/>
          <w:sz w:val="16"/>
          <w:szCs w:val="16"/>
          <w:lang w:val="es-CO"/>
        </w:rPr>
        <w:t xml:space="preserve"> Ombudsman</w:t>
      </w:r>
      <w:r w:rsidRPr="008A7BD7">
        <w:rPr>
          <w:rFonts w:ascii="Cambria" w:hAnsi="Cambria"/>
          <w:sz w:val="16"/>
          <w:szCs w:val="16"/>
          <w:lang w:val="es-US"/>
        </w:rPr>
        <w:t xml:space="preserve">, </w:t>
      </w:r>
      <w:hyperlink r:id="rId255" w:history="1">
        <w:r w:rsidRPr="008A7BD7">
          <w:rPr>
            <w:rStyle w:val="Hyperlink"/>
            <w:rFonts w:ascii="Cambria" w:hAnsi="Cambria"/>
            <w:i/>
            <w:iCs/>
            <w:sz w:val="16"/>
            <w:szCs w:val="16"/>
            <w:lang w:val="es-US"/>
          </w:rPr>
          <w:t>Informe de supervisión a Comisión Presidencial por la Paz y los Derechos Humanos, Secretaría de Planificación y Programación de la Presidencia y Ministerio de Gobernación sobre la Política Pública para la Protección de Defensoras y Defensores de Derechos</w:t>
        </w:r>
      </w:hyperlink>
      <w:r w:rsidRPr="008A7BD7">
        <w:rPr>
          <w:rFonts w:ascii="Cambria" w:hAnsi="Cambria"/>
          <w:sz w:val="16"/>
          <w:szCs w:val="16"/>
          <w:lang w:val="es-US"/>
        </w:rPr>
        <w:t xml:space="preserve">, </w:t>
      </w:r>
      <w:r w:rsidR="001478F2" w:rsidRPr="008A7BD7">
        <w:rPr>
          <w:rFonts w:ascii="Cambria" w:hAnsi="Cambria"/>
          <w:sz w:val="16"/>
          <w:szCs w:val="16"/>
          <w:lang w:val="es-US"/>
        </w:rPr>
        <w:t>June</w:t>
      </w:r>
      <w:r w:rsidRPr="008A7BD7">
        <w:rPr>
          <w:rFonts w:ascii="Cambria" w:hAnsi="Cambria"/>
          <w:sz w:val="16"/>
          <w:szCs w:val="16"/>
          <w:lang w:val="es-US"/>
        </w:rPr>
        <w:t xml:space="preserve"> 2021. </w:t>
      </w:r>
    </w:p>
  </w:footnote>
  <w:footnote w:id="240">
    <w:p w14:paraId="69CB5542" w14:textId="2B234DB4" w:rsidR="3547638A" w:rsidRPr="008A7BD7" w:rsidRDefault="3547638A" w:rsidP="00746761">
      <w:pPr>
        <w:spacing w:after="120"/>
        <w:ind w:firstLine="720"/>
        <w:jc w:val="both"/>
        <w:rPr>
          <w:rFonts w:ascii="Cambria" w:eastAsia="Cambria" w:hAnsi="Cambria" w:cs="Cambria"/>
          <w:sz w:val="16"/>
          <w:szCs w:val="16"/>
        </w:rPr>
      </w:pPr>
      <w:r w:rsidRPr="008A7BD7">
        <w:rPr>
          <w:rFonts w:ascii="Cambria" w:eastAsia="Cambria" w:hAnsi="Cambria" w:cs="Cambria"/>
          <w:sz w:val="16"/>
          <w:szCs w:val="16"/>
          <w:vertAlign w:val="superscript"/>
        </w:rPr>
        <w:footnoteRef/>
      </w:r>
      <w:r w:rsidRPr="008A7BD7">
        <w:rPr>
          <w:rFonts w:ascii="Cambria" w:eastAsia="Cambria" w:hAnsi="Cambria" w:cs="Cambria"/>
          <w:sz w:val="16"/>
          <w:szCs w:val="16"/>
        </w:rPr>
        <w:t xml:space="preserve"> </w:t>
      </w:r>
      <w:r w:rsidR="001478F2" w:rsidRPr="008A7BD7">
        <w:rPr>
          <w:rFonts w:ascii="Cambria" w:hAnsi="Cambria"/>
          <w:sz w:val="16"/>
          <w:szCs w:val="16"/>
        </w:rPr>
        <w:t>IACHR, 181</w:t>
      </w:r>
      <w:r w:rsidR="001478F2" w:rsidRPr="008A7BD7">
        <w:rPr>
          <w:rFonts w:ascii="Cambria" w:hAnsi="Cambria"/>
          <w:sz w:val="16"/>
          <w:szCs w:val="16"/>
          <w:vertAlign w:val="superscript"/>
        </w:rPr>
        <w:t>st</w:t>
      </w:r>
      <w:r w:rsidR="001478F2" w:rsidRPr="008A7BD7">
        <w:rPr>
          <w:rFonts w:ascii="Cambria" w:hAnsi="Cambria"/>
          <w:sz w:val="16"/>
          <w:szCs w:val="16"/>
        </w:rPr>
        <w:t xml:space="preserve"> period of sessions, </w:t>
      </w:r>
      <w:r w:rsidR="00C07974" w:rsidRPr="008A7BD7">
        <w:rPr>
          <w:rFonts w:ascii="Cambria" w:hAnsi="Cambria"/>
          <w:sz w:val="16"/>
          <w:szCs w:val="16"/>
        </w:rPr>
        <w:t>“</w:t>
      </w:r>
      <w:hyperlink r:id="rId256" w:history="1">
        <w:r w:rsidR="00C07974" w:rsidRPr="008A7BD7">
          <w:rPr>
            <w:rStyle w:val="Hyperlink"/>
            <w:rFonts w:ascii="Cambria" w:hAnsi="Cambria"/>
            <w:sz w:val="16"/>
            <w:szCs w:val="16"/>
          </w:rPr>
          <w:t>Human Rights Situation of Justice Operators and Judicial Independence in Guatemala</w:t>
        </w:r>
      </w:hyperlink>
      <w:r w:rsidR="00C07974" w:rsidRPr="008A7BD7">
        <w:rPr>
          <w:rFonts w:ascii="Cambria" w:hAnsi="Cambria"/>
          <w:sz w:val="16"/>
          <w:szCs w:val="16"/>
        </w:rPr>
        <w:t xml:space="preserve">,” </w:t>
      </w:r>
      <w:r w:rsidR="001478F2" w:rsidRPr="008A7BD7">
        <w:rPr>
          <w:rFonts w:ascii="Cambria" w:hAnsi="Cambria"/>
          <w:sz w:val="16"/>
          <w:szCs w:val="16"/>
        </w:rPr>
        <w:t xml:space="preserve">public hearing held on October 28, </w:t>
      </w:r>
      <w:r w:rsidR="001478F2" w:rsidRPr="008A7BD7">
        <w:rPr>
          <w:rFonts w:ascii="Cambria" w:eastAsia="Cambria" w:hAnsi="Cambria" w:cs="Cambria"/>
          <w:sz w:val="16"/>
          <w:szCs w:val="16"/>
        </w:rPr>
        <w:t>2021</w:t>
      </w:r>
      <w:r w:rsidRPr="008A7BD7">
        <w:rPr>
          <w:rFonts w:ascii="Cambria" w:eastAsia="Cambria" w:hAnsi="Cambria" w:cs="Cambria"/>
          <w:sz w:val="16"/>
          <w:szCs w:val="16"/>
        </w:rPr>
        <w:t>.</w:t>
      </w:r>
    </w:p>
  </w:footnote>
  <w:footnote w:id="241">
    <w:p w14:paraId="497C42D0" w14:textId="018D0AFD" w:rsidR="00DA59A7" w:rsidRPr="008A7BD7" w:rsidRDefault="00DA59A7"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254FA8" w:rsidRPr="008A7BD7">
        <w:rPr>
          <w:rFonts w:ascii="Cambria" w:hAnsi="Cambria"/>
          <w:sz w:val="16"/>
          <w:szCs w:val="16"/>
        </w:rPr>
        <w:t xml:space="preserve">IACHR, </w:t>
      </w:r>
      <w:hyperlink r:id="rId257" w:history="1">
        <w:r w:rsidR="00254FA8" w:rsidRPr="008A7BD7">
          <w:rPr>
            <w:rStyle w:val="Hyperlink"/>
            <w:rFonts w:ascii="Cambria" w:hAnsi="Cambria"/>
            <w:sz w:val="16"/>
            <w:szCs w:val="16"/>
          </w:rPr>
          <w:t>Situation of Human Rights in Guatemala</w:t>
        </w:r>
      </w:hyperlink>
      <w:r w:rsidR="00254FA8" w:rsidRPr="008A7BD7">
        <w:rPr>
          <w:rFonts w:ascii="Cambria" w:hAnsi="Cambria"/>
          <w:sz w:val="16"/>
          <w:szCs w:val="16"/>
        </w:rPr>
        <w:t>, OEA/</w:t>
      </w:r>
      <w:proofErr w:type="spellStart"/>
      <w:r w:rsidR="00254FA8" w:rsidRPr="008A7BD7">
        <w:rPr>
          <w:rFonts w:ascii="Cambria" w:hAnsi="Cambria"/>
          <w:sz w:val="16"/>
          <w:szCs w:val="16"/>
        </w:rPr>
        <w:t>Ser.L</w:t>
      </w:r>
      <w:proofErr w:type="spellEnd"/>
      <w:r w:rsidR="00254FA8" w:rsidRPr="008A7BD7">
        <w:rPr>
          <w:rFonts w:ascii="Cambria" w:hAnsi="Cambria"/>
          <w:sz w:val="16"/>
          <w:szCs w:val="16"/>
        </w:rPr>
        <w:t xml:space="preserve">/V/II. Doc. 208/17, December 31, 2017, Recommendation </w:t>
      </w:r>
      <w:r w:rsidRPr="008A7BD7">
        <w:rPr>
          <w:rFonts w:ascii="Cambria" w:hAnsi="Cambria"/>
          <w:sz w:val="16"/>
          <w:szCs w:val="16"/>
        </w:rPr>
        <w:t xml:space="preserve">36. </w:t>
      </w:r>
    </w:p>
  </w:footnote>
  <w:footnote w:id="242">
    <w:p w14:paraId="5C760634" w14:textId="0101CF4B" w:rsidR="00F97F2A" w:rsidRPr="008A7BD7" w:rsidRDefault="00F97F2A" w:rsidP="00F97F2A">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3F31F3" w:rsidRPr="008A7BD7">
        <w:rPr>
          <w:rFonts w:ascii="Cambria" w:hAnsi="Cambria"/>
          <w:sz w:val="16"/>
          <w:szCs w:val="16"/>
        </w:rPr>
        <w:t xml:space="preserve">According to the State, on August </w:t>
      </w:r>
      <w:r w:rsidRPr="008A7BD7">
        <w:rPr>
          <w:rFonts w:ascii="Cambria" w:eastAsia="Cambria" w:hAnsi="Cambria" w:cs="Cambria"/>
          <w:sz w:val="16"/>
          <w:szCs w:val="16"/>
        </w:rPr>
        <w:t>17</w:t>
      </w:r>
      <w:r w:rsidR="003F31F3" w:rsidRPr="008A7BD7">
        <w:rPr>
          <w:rFonts w:ascii="Cambria" w:eastAsia="Cambria" w:hAnsi="Cambria" w:cs="Cambria"/>
          <w:sz w:val="16"/>
          <w:szCs w:val="16"/>
        </w:rPr>
        <w:t xml:space="preserve">, </w:t>
      </w:r>
      <w:r w:rsidRPr="008A7BD7">
        <w:rPr>
          <w:rFonts w:ascii="Cambria" w:eastAsia="Cambria" w:hAnsi="Cambria" w:cs="Cambria"/>
          <w:sz w:val="16"/>
          <w:szCs w:val="16"/>
        </w:rPr>
        <w:t>2021</w:t>
      </w:r>
      <w:r w:rsidR="003F31F3" w:rsidRPr="008A7BD7">
        <w:rPr>
          <w:rFonts w:ascii="Cambria" w:eastAsia="Cambria" w:hAnsi="Cambria" w:cs="Cambria"/>
          <w:sz w:val="16"/>
          <w:szCs w:val="16"/>
        </w:rPr>
        <w:t xml:space="preserve">, </w:t>
      </w:r>
      <w:r w:rsidRPr="008A7BD7">
        <w:rPr>
          <w:rFonts w:ascii="Cambria" w:eastAsia="Cambria" w:hAnsi="Cambria" w:cs="Cambria"/>
          <w:sz w:val="16"/>
          <w:szCs w:val="16"/>
        </w:rPr>
        <w:t xml:space="preserve">COPADEH </w:t>
      </w:r>
      <w:r w:rsidR="003F31F3" w:rsidRPr="008A7BD7">
        <w:rPr>
          <w:rFonts w:ascii="Cambria" w:eastAsia="Cambria" w:hAnsi="Cambria" w:cs="Cambria"/>
          <w:sz w:val="16"/>
          <w:szCs w:val="16"/>
        </w:rPr>
        <w:t xml:space="preserve">participated in the virtual course on protection of human rights defenders </w:t>
      </w:r>
      <w:r w:rsidR="00B87795" w:rsidRPr="008A7BD7">
        <w:rPr>
          <w:rFonts w:ascii="Cambria" w:eastAsia="Cambria" w:hAnsi="Cambria" w:cs="Cambria"/>
          <w:sz w:val="16"/>
          <w:szCs w:val="16"/>
        </w:rPr>
        <w:t xml:space="preserve">convened by the Inter-American Commission on Human Rights (IACHR) for human rights </w:t>
      </w:r>
      <w:r w:rsidR="003F31F3" w:rsidRPr="008A7BD7">
        <w:rPr>
          <w:rFonts w:ascii="Cambria" w:eastAsia="Cambria" w:hAnsi="Cambria" w:cs="Cambria"/>
          <w:sz w:val="16"/>
          <w:szCs w:val="16"/>
        </w:rPr>
        <w:t xml:space="preserve">defenders and officials from the States of </w:t>
      </w:r>
      <w:r w:rsidRPr="008A7BD7">
        <w:rPr>
          <w:rFonts w:ascii="Cambria" w:eastAsia="Cambria" w:hAnsi="Cambria" w:cs="Cambria"/>
          <w:sz w:val="16"/>
          <w:szCs w:val="16"/>
        </w:rPr>
        <w:t>Guatemala, El Salvador</w:t>
      </w:r>
      <w:r w:rsidR="003F31F3" w:rsidRPr="008A7BD7">
        <w:rPr>
          <w:rFonts w:ascii="Cambria" w:eastAsia="Cambria" w:hAnsi="Cambria" w:cs="Cambria"/>
          <w:sz w:val="16"/>
          <w:szCs w:val="16"/>
        </w:rPr>
        <w:t xml:space="preserve">, and </w:t>
      </w:r>
      <w:r w:rsidRPr="008A7BD7">
        <w:rPr>
          <w:rFonts w:ascii="Cambria" w:eastAsia="Cambria" w:hAnsi="Cambria" w:cs="Cambria"/>
          <w:sz w:val="16"/>
          <w:szCs w:val="16"/>
        </w:rPr>
        <w:t xml:space="preserve">Honduras. </w:t>
      </w:r>
      <w:r w:rsidR="003F31F3" w:rsidRPr="008A7BD7">
        <w:rPr>
          <w:rFonts w:ascii="Cambria" w:eastAsia="Cambria" w:hAnsi="Cambria" w:cs="Cambria"/>
          <w:sz w:val="16"/>
          <w:szCs w:val="16"/>
        </w:rPr>
        <w:t>The purpose of the workshop was to familiarize participants with inter-American standards related to prevention, protection, and investigation of acts of violence against human rights defenders. On</w:t>
      </w:r>
      <w:r w:rsidR="00FC058E" w:rsidRPr="008A7BD7">
        <w:rPr>
          <w:rFonts w:ascii="Cambria" w:eastAsia="Cambria" w:hAnsi="Cambria" w:cs="Cambria"/>
          <w:sz w:val="16"/>
          <w:szCs w:val="16"/>
        </w:rPr>
        <w:t xml:space="preserve"> August 30 and September 6, personnel from </w:t>
      </w:r>
      <w:r w:rsidRPr="008A7BD7">
        <w:rPr>
          <w:rFonts w:ascii="Cambria" w:eastAsia="Cambria" w:hAnsi="Cambria" w:cs="Cambria"/>
          <w:sz w:val="16"/>
          <w:szCs w:val="16"/>
        </w:rPr>
        <w:t>COPADEH</w:t>
      </w:r>
      <w:r w:rsidR="00FC058E" w:rsidRPr="008A7BD7">
        <w:rPr>
          <w:rFonts w:ascii="Cambria" w:eastAsia="Cambria" w:hAnsi="Cambria" w:cs="Cambria"/>
          <w:sz w:val="16"/>
          <w:szCs w:val="16"/>
        </w:rPr>
        <w:t xml:space="preserve"> took a course</w:t>
      </w:r>
      <w:r w:rsidR="008C65BD" w:rsidRPr="008A7BD7">
        <w:rPr>
          <w:rFonts w:ascii="Cambria" w:eastAsia="Cambria" w:hAnsi="Cambria" w:cs="Cambria"/>
          <w:sz w:val="16"/>
          <w:szCs w:val="16"/>
        </w:rPr>
        <w:t xml:space="preserve"> (</w:t>
      </w:r>
      <w:r w:rsidR="00A15E74" w:rsidRPr="008A7BD7">
        <w:rPr>
          <w:rFonts w:ascii="Cambria" w:eastAsia="Cambria" w:hAnsi="Cambria" w:cs="Cambria"/>
          <w:sz w:val="16"/>
          <w:szCs w:val="16"/>
        </w:rPr>
        <w:t>“Declaration on the Right and Responsibility of Individuals, Groups and Organs of Society to Promote and Protect Universally Recognized Human Rights and Fundamental Freedoms”</w:t>
      </w:r>
      <w:r w:rsidR="008C65BD" w:rsidRPr="008A7BD7">
        <w:rPr>
          <w:rFonts w:ascii="Cambria" w:eastAsia="Cambria" w:hAnsi="Cambria" w:cs="Cambria"/>
          <w:sz w:val="16"/>
          <w:szCs w:val="16"/>
        </w:rPr>
        <w:t xml:space="preserve">) </w:t>
      </w:r>
      <w:r w:rsidR="00FC058E" w:rsidRPr="008A7BD7">
        <w:rPr>
          <w:rFonts w:ascii="Cambria" w:eastAsia="Cambria" w:hAnsi="Cambria" w:cs="Cambria"/>
          <w:sz w:val="16"/>
          <w:szCs w:val="16"/>
        </w:rPr>
        <w:t>offered by the Office of the United Nations Commissioner for Human Rights in Guatemala</w:t>
      </w:r>
      <w:r w:rsidR="00A15E74" w:rsidRPr="008A7BD7">
        <w:rPr>
          <w:rFonts w:ascii="Cambria" w:eastAsia="Cambria" w:hAnsi="Cambria" w:cs="Cambria"/>
          <w:sz w:val="16"/>
          <w:szCs w:val="16"/>
        </w:rPr>
        <w:t>.</w:t>
      </w:r>
      <w:r w:rsidRPr="008A7BD7">
        <w:rPr>
          <w:rFonts w:ascii="Cambria" w:eastAsia="Cambria" w:hAnsi="Cambria" w:cs="Cambria"/>
          <w:sz w:val="16"/>
          <w:szCs w:val="16"/>
        </w:rPr>
        <w:t xml:space="preserve"> </w:t>
      </w:r>
      <w:r w:rsidR="00C216AE" w:rsidRPr="008A7BD7">
        <w:rPr>
          <w:rFonts w:ascii="Cambria" w:hAnsi="Cambria"/>
          <w:sz w:val="16"/>
          <w:szCs w:val="16"/>
        </w:rPr>
        <w:t>Response from the State of</w:t>
      </w:r>
      <w:r w:rsidR="00C216AE"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C216AE" w:rsidRPr="008A7BD7">
        <w:rPr>
          <w:rFonts w:ascii="Cambria" w:hAnsi="Cambria"/>
          <w:sz w:val="16"/>
          <w:szCs w:val="16"/>
        </w:rPr>
        <w:t>OEA</w:t>
      </w:r>
      <w:r w:rsidR="00C216AE" w:rsidRPr="008A7BD7">
        <w:rPr>
          <w:rFonts w:ascii="Cambria" w:eastAsia="Cambria" w:hAnsi="Cambria" w:cs="Cambria"/>
          <w:color w:val="000000"/>
          <w:sz w:val="16"/>
          <w:szCs w:val="16"/>
        </w:rPr>
        <w:t>-M4-980-2021, December 22, 2021, p</w:t>
      </w:r>
      <w:r w:rsidR="00C216AE" w:rsidRPr="008A7BD7">
        <w:rPr>
          <w:rFonts w:ascii="Cambria" w:eastAsia="Times New Roman" w:hAnsi="Cambria" w:cs="Tahoma"/>
          <w:color w:val="000000"/>
          <w:sz w:val="16"/>
          <w:szCs w:val="16"/>
          <w:lang w:eastAsia="es-ES_tradnl"/>
        </w:rPr>
        <w:t>p</w:t>
      </w:r>
      <w:r w:rsidRPr="008A7BD7">
        <w:rPr>
          <w:rFonts w:ascii="Cambria" w:eastAsia="Cambria" w:hAnsi="Cambria" w:cs="Cambria"/>
          <w:sz w:val="16"/>
          <w:szCs w:val="16"/>
        </w:rPr>
        <w:t>. 133</w:t>
      </w:r>
      <w:r w:rsidR="00B87795" w:rsidRPr="008A7BD7">
        <w:rPr>
          <w:rFonts w:ascii="Cambria" w:eastAsia="Cambria" w:hAnsi="Cambria" w:cs="Cambria"/>
          <w:sz w:val="16"/>
          <w:szCs w:val="16"/>
        </w:rPr>
        <w:t>-</w:t>
      </w:r>
      <w:r w:rsidRPr="008A7BD7">
        <w:rPr>
          <w:rFonts w:ascii="Cambria" w:eastAsia="Cambria" w:hAnsi="Cambria" w:cs="Cambria"/>
          <w:sz w:val="16"/>
          <w:szCs w:val="16"/>
        </w:rPr>
        <w:t>134.</w:t>
      </w:r>
    </w:p>
  </w:footnote>
  <w:footnote w:id="243">
    <w:p w14:paraId="36D8F0C7" w14:textId="3810C5E3" w:rsidR="00F97F2A" w:rsidRPr="008A7BD7" w:rsidRDefault="00F97F2A" w:rsidP="00F97F2A">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C216AE" w:rsidRPr="008A7BD7">
        <w:rPr>
          <w:rFonts w:ascii="Cambria" w:hAnsi="Cambria"/>
          <w:sz w:val="16"/>
          <w:szCs w:val="16"/>
        </w:rPr>
        <w:t>Response from the State of</w:t>
      </w:r>
      <w:r w:rsidR="00C216AE"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C216AE" w:rsidRPr="008A7BD7">
        <w:rPr>
          <w:rFonts w:ascii="Cambria" w:hAnsi="Cambria"/>
          <w:sz w:val="16"/>
          <w:szCs w:val="16"/>
        </w:rPr>
        <w:t>OEA</w:t>
      </w:r>
      <w:r w:rsidR="00C216AE"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 134.</w:t>
      </w:r>
    </w:p>
  </w:footnote>
  <w:footnote w:id="244">
    <w:p w14:paraId="54DE017E" w14:textId="77777777"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Institute for Criminal Policy Research at Birkbeck - University of London, </w:t>
      </w:r>
      <w:hyperlink r:id="rId258">
        <w:r w:rsidRPr="008A7BD7">
          <w:rPr>
            <w:rFonts w:ascii="Cambria" w:eastAsia="Cambria" w:hAnsi="Cambria" w:cs="Cambria"/>
            <w:sz w:val="16"/>
            <w:szCs w:val="16"/>
            <w:u w:val="single"/>
          </w:rPr>
          <w:t>World Prison Brief data -Highest to Lowest - Occupancy level (based on official capacity)</w:t>
        </w:r>
      </w:hyperlink>
      <w:r w:rsidRPr="008A7BD7">
        <w:rPr>
          <w:rFonts w:ascii="Cambria" w:eastAsia="Cambria" w:hAnsi="Cambria" w:cs="Cambria"/>
          <w:sz w:val="16"/>
          <w:szCs w:val="16"/>
        </w:rPr>
        <w:t xml:space="preserve">, 2021.  </w:t>
      </w:r>
    </w:p>
  </w:footnote>
  <w:footnote w:id="245">
    <w:p w14:paraId="63EC0ECC" w14:textId="79A99588"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EE013B" w:rsidRPr="008A7BD7">
        <w:rPr>
          <w:rFonts w:ascii="Cambria" w:eastAsia="Cambria" w:hAnsi="Cambria" w:cs="Cambria"/>
          <w:sz w:val="16"/>
          <w:szCs w:val="16"/>
        </w:rPr>
        <w:t>Number of individuals deprived of liberty under the responsibility of the</w:t>
      </w:r>
      <w:r w:rsidRPr="008A7BD7">
        <w:rPr>
          <w:rFonts w:ascii="Cambria" w:eastAsia="Cambria" w:hAnsi="Cambria" w:cs="Cambria"/>
          <w:sz w:val="16"/>
          <w:szCs w:val="16"/>
        </w:rPr>
        <w:t xml:space="preserve"> @Dgspg </w:t>
      </w:r>
      <w:r w:rsidR="00EE013B" w:rsidRPr="008A7BD7">
        <w:rPr>
          <w:rFonts w:ascii="Cambria" w:eastAsia="Cambria" w:hAnsi="Cambria" w:cs="Cambria"/>
          <w:sz w:val="16"/>
          <w:szCs w:val="16"/>
        </w:rPr>
        <w:t>as of today, Twitter account, General Directorate of the Prison System</w:t>
      </w:r>
      <w:r w:rsidRPr="008A7BD7">
        <w:rPr>
          <w:rFonts w:ascii="Cambria" w:eastAsia="Cambria" w:hAnsi="Cambria" w:cs="Cambria"/>
          <w:sz w:val="16"/>
          <w:szCs w:val="16"/>
        </w:rPr>
        <w:t xml:space="preserve"> (@DGSP)</w:t>
      </w:r>
      <w:r w:rsidR="00EE013B" w:rsidRPr="008A7BD7">
        <w:rPr>
          <w:rFonts w:ascii="Cambria" w:eastAsia="Cambria" w:hAnsi="Cambria" w:cs="Cambria"/>
          <w:sz w:val="16"/>
          <w:szCs w:val="16"/>
        </w:rPr>
        <w:t>,</w:t>
      </w:r>
      <w:r w:rsidRPr="008A7BD7">
        <w:rPr>
          <w:rFonts w:ascii="Cambria" w:eastAsia="Cambria" w:hAnsi="Cambria" w:cs="Cambria"/>
          <w:sz w:val="16"/>
          <w:szCs w:val="16"/>
        </w:rPr>
        <w:t xml:space="preserve"> </w:t>
      </w:r>
      <w:hyperlink r:id="rId259">
        <w:r w:rsidRPr="008A7BD7">
          <w:rPr>
            <w:rFonts w:ascii="Cambria" w:eastAsia="Cambria" w:hAnsi="Cambria" w:cs="Cambria"/>
            <w:sz w:val="16"/>
            <w:szCs w:val="16"/>
            <w:u w:val="single"/>
          </w:rPr>
          <w:t>P</w:t>
        </w:r>
        <w:r w:rsidR="00EE013B" w:rsidRPr="008A7BD7">
          <w:rPr>
            <w:rFonts w:ascii="Cambria" w:eastAsia="Cambria" w:hAnsi="Cambria" w:cs="Cambria"/>
            <w:sz w:val="16"/>
            <w:szCs w:val="16"/>
            <w:u w:val="single"/>
          </w:rPr>
          <w:t>ost</w:t>
        </w:r>
        <w:r w:rsidR="002C14E0" w:rsidRPr="008A7BD7">
          <w:rPr>
            <w:rFonts w:ascii="Cambria" w:eastAsia="Cambria" w:hAnsi="Cambria" w:cs="Cambria"/>
            <w:sz w:val="16"/>
            <w:szCs w:val="16"/>
            <w:u w:val="single"/>
          </w:rPr>
          <w:t>ed on</w:t>
        </w:r>
        <w:r w:rsidR="00EE013B" w:rsidRPr="008A7BD7">
          <w:rPr>
            <w:rFonts w:ascii="Cambria" w:eastAsia="Cambria" w:hAnsi="Cambria" w:cs="Cambria"/>
            <w:sz w:val="16"/>
            <w:szCs w:val="16"/>
            <w:u w:val="single"/>
          </w:rPr>
          <w:t xml:space="preserve"> September </w:t>
        </w:r>
        <w:r w:rsidRPr="008A7BD7">
          <w:rPr>
            <w:rFonts w:ascii="Cambria" w:eastAsia="Cambria" w:hAnsi="Cambria" w:cs="Cambria"/>
            <w:sz w:val="16"/>
            <w:szCs w:val="16"/>
            <w:u w:val="single"/>
          </w:rPr>
          <w:t>13</w:t>
        </w:r>
        <w:r w:rsidR="00EE013B" w:rsidRPr="008A7BD7">
          <w:rPr>
            <w:rFonts w:ascii="Cambria" w:eastAsia="Cambria" w:hAnsi="Cambria" w:cs="Cambria"/>
            <w:sz w:val="16"/>
            <w:szCs w:val="16"/>
            <w:u w:val="single"/>
          </w:rPr>
          <w:t>,</w:t>
        </w:r>
        <w:r w:rsidRPr="008A7BD7">
          <w:rPr>
            <w:rFonts w:ascii="Cambria" w:eastAsia="Cambria" w:hAnsi="Cambria" w:cs="Cambria"/>
            <w:sz w:val="16"/>
            <w:szCs w:val="16"/>
            <w:u w:val="single"/>
          </w:rPr>
          <w:t xml:space="preserve"> 2021</w:t>
        </w:r>
      </w:hyperlink>
      <w:r w:rsidRPr="008A7BD7">
        <w:rPr>
          <w:rFonts w:ascii="Cambria" w:eastAsia="Cambria" w:hAnsi="Cambria" w:cs="Cambria"/>
          <w:sz w:val="16"/>
          <w:szCs w:val="16"/>
        </w:rPr>
        <w:t xml:space="preserve">. </w:t>
      </w:r>
    </w:p>
  </w:footnote>
  <w:footnote w:id="246">
    <w:p w14:paraId="720081A5" w14:textId="77777777"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Institute for Criminal Policy Research at Birkbeck - University of London, </w:t>
      </w:r>
      <w:hyperlink r:id="rId260">
        <w:r w:rsidRPr="008A7BD7">
          <w:rPr>
            <w:rFonts w:ascii="Cambria" w:eastAsia="Cambria" w:hAnsi="Cambria" w:cs="Cambria"/>
            <w:sz w:val="16"/>
            <w:szCs w:val="16"/>
            <w:u w:val="single"/>
          </w:rPr>
          <w:t>World Prison Brief data -</w:t>
        </w:r>
      </w:hyperlink>
      <w:r w:rsidRPr="008A7BD7">
        <w:rPr>
          <w:rFonts w:ascii="Cambria" w:eastAsia="Cambria" w:hAnsi="Cambria" w:cs="Cambria"/>
          <w:sz w:val="16"/>
          <w:szCs w:val="16"/>
          <w:u w:val="single"/>
        </w:rPr>
        <w:t xml:space="preserve"> Guatemala</w:t>
      </w:r>
      <w:r w:rsidRPr="008A7BD7">
        <w:rPr>
          <w:rFonts w:ascii="Cambria" w:eastAsia="Cambria" w:hAnsi="Cambria" w:cs="Cambria"/>
          <w:sz w:val="16"/>
          <w:szCs w:val="16"/>
        </w:rPr>
        <w:t xml:space="preserve">, 2021.  </w:t>
      </w:r>
    </w:p>
  </w:footnote>
  <w:footnote w:id="247">
    <w:p w14:paraId="187A9978" w14:textId="3F738A34"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2C14E0" w:rsidRPr="008A7BD7">
        <w:rPr>
          <w:rFonts w:ascii="Cambria" w:eastAsia="Cambria" w:hAnsi="Cambria" w:cs="Cambria"/>
          <w:sz w:val="16"/>
          <w:szCs w:val="16"/>
        </w:rPr>
        <w:t xml:space="preserve">IACHR, </w:t>
      </w:r>
      <w:hyperlink r:id="rId261" w:history="1">
        <w:r w:rsidR="002C14E0" w:rsidRPr="008A7BD7">
          <w:rPr>
            <w:rStyle w:val="Hyperlink"/>
            <w:rFonts w:ascii="Cambria" w:eastAsia="Cambria" w:hAnsi="Cambria" w:cs="Cambria"/>
            <w:sz w:val="16"/>
            <w:szCs w:val="16"/>
          </w:rPr>
          <w:t>Report on the Use of Pretrial Detention in the Americas</w:t>
        </w:r>
      </w:hyperlink>
      <w:r w:rsidR="002C14E0" w:rsidRPr="008A7BD7">
        <w:rPr>
          <w:rFonts w:ascii="Cambria" w:eastAsia="Cambria" w:hAnsi="Cambria" w:cs="Cambria"/>
          <w:sz w:val="16"/>
          <w:szCs w:val="16"/>
        </w:rPr>
        <w:t>, OEA/</w:t>
      </w:r>
      <w:proofErr w:type="spellStart"/>
      <w:r w:rsidR="002C14E0" w:rsidRPr="008A7BD7">
        <w:rPr>
          <w:rFonts w:ascii="Cambria" w:eastAsia="Cambria" w:hAnsi="Cambria" w:cs="Cambria"/>
          <w:sz w:val="16"/>
          <w:szCs w:val="16"/>
        </w:rPr>
        <w:t>Ser.L</w:t>
      </w:r>
      <w:proofErr w:type="spellEnd"/>
      <w:r w:rsidR="002C14E0" w:rsidRPr="008A7BD7">
        <w:rPr>
          <w:rFonts w:ascii="Cambria" w:eastAsia="Cambria" w:hAnsi="Cambria" w:cs="Cambria"/>
          <w:sz w:val="16"/>
          <w:szCs w:val="16"/>
        </w:rPr>
        <w:t>/V/II. Doc. 46/13, December 30, 2013, par</w:t>
      </w:r>
      <w:r w:rsidRPr="008A7BD7">
        <w:rPr>
          <w:rFonts w:ascii="Cambria" w:eastAsia="Cambria" w:hAnsi="Cambria" w:cs="Cambria"/>
          <w:sz w:val="16"/>
          <w:szCs w:val="16"/>
        </w:rPr>
        <w:t>. 290.</w:t>
      </w:r>
    </w:p>
  </w:footnote>
  <w:footnote w:id="248">
    <w:p w14:paraId="325E5441" w14:textId="27A1F79D"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2C14E0" w:rsidRPr="008A7BD7">
        <w:rPr>
          <w:rFonts w:ascii="Cambria" w:eastAsia="Cambria" w:hAnsi="Cambria" w:cs="Cambria"/>
          <w:sz w:val="16"/>
          <w:szCs w:val="16"/>
        </w:rPr>
        <w:t xml:space="preserve">IACHR, </w:t>
      </w:r>
      <w:hyperlink r:id="rId262" w:history="1">
        <w:r w:rsidR="002C14E0" w:rsidRPr="008A7BD7">
          <w:rPr>
            <w:rStyle w:val="Hyperlink"/>
            <w:rFonts w:ascii="Cambria" w:eastAsia="Cambria" w:hAnsi="Cambria" w:cs="Cambria"/>
            <w:sz w:val="16"/>
            <w:szCs w:val="16"/>
          </w:rPr>
          <w:t>Report on the Use of Pretrial Detention in the Americas</w:t>
        </w:r>
      </w:hyperlink>
      <w:r w:rsidR="002C14E0" w:rsidRPr="008A7BD7">
        <w:rPr>
          <w:rFonts w:ascii="Cambria" w:eastAsia="Cambria" w:hAnsi="Cambria" w:cs="Cambria"/>
          <w:sz w:val="16"/>
          <w:szCs w:val="16"/>
        </w:rPr>
        <w:t>, OEA/</w:t>
      </w:r>
      <w:proofErr w:type="spellStart"/>
      <w:r w:rsidR="002C14E0" w:rsidRPr="008A7BD7">
        <w:rPr>
          <w:rFonts w:ascii="Cambria" w:eastAsia="Cambria" w:hAnsi="Cambria" w:cs="Cambria"/>
          <w:sz w:val="16"/>
          <w:szCs w:val="16"/>
        </w:rPr>
        <w:t>Ser.L</w:t>
      </w:r>
      <w:proofErr w:type="spellEnd"/>
      <w:r w:rsidR="002C14E0" w:rsidRPr="008A7BD7">
        <w:rPr>
          <w:rFonts w:ascii="Cambria" w:eastAsia="Cambria" w:hAnsi="Cambria" w:cs="Cambria"/>
          <w:sz w:val="16"/>
          <w:szCs w:val="16"/>
        </w:rPr>
        <w:t>/V/II. Doc. 46/13, December 30, 2013, par. 290</w:t>
      </w:r>
      <w:r w:rsidRPr="008A7BD7">
        <w:rPr>
          <w:rFonts w:ascii="Cambria" w:eastAsia="Cambria" w:hAnsi="Cambria" w:cs="Cambria"/>
          <w:sz w:val="16"/>
          <w:szCs w:val="16"/>
        </w:rPr>
        <w:t xml:space="preserve">. </w:t>
      </w:r>
    </w:p>
  </w:footnote>
  <w:footnote w:id="249">
    <w:p w14:paraId="67D31C46" w14:textId="34FFC974"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142E21" w:rsidRPr="008A7BD7">
        <w:rPr>
          <w:rFonts w:ascii="Cambria" w:eastAsia="Cambria" w:hAnsi="Cambria" w:cs="Cambria"/>
          <w:sz w:val="16"/>
          <w:szCs w:val="16"/>
        </w:rPr>
        <w:t xml:space="preserve">Number of individuals deprived of liberty under the responsibility of the @Dgspg as of today, Twitter account, General Directorate of the Prison System (@DGSP), </w:t>
      </w:r>
      <w:hyperlink r:id="rId263">
        <w:r w:rsidR="00142E21" w:rsidRPr="008A7BD7">
          <w:rPr>
            <w:rFonts w:ascii="Cambria" w:eastAsia="Cambria" w:hAnsi="Cambria" w:cs="Cambria"/>
            <w:sz w:val="16"/>
            <w:szCs w:val="16"/>
            <w:u w:val="single"/>
          </w:rPr>
          <w:t>Posted on September 13, 2021</w:t>
        </w:r>
      </w:hyperlink>
      <w:r w:rsidRPr="008A7BD7">
        <w:rPr>
          <w:rFonts w:ascii="Cambria" w:eastAsia="Cambria" w:hAnsi="Cambria" w:cs="Cambria"/>
          <w:sz w:val="16"/>
          <w:szCs w:val="16"/>
        </w:rPr>
        <w:t xml:space="preserve">. </w:t>
      </w:r>
    </w:p>
  </w:footnote>
  <w:footnote w:id="250">
    <w:p w14:paraId="28F0A164" w14:textId="5A7B3D2E"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73121C" w:rsidRPr="008A7BD7">
        <w:rPr>
          <w:rFonts w:ascii="Cambria" w:eastAsia="Cambria" w:hAnsi="Cambria" w:cs="Cambria"/>
          <w:sz w:val="16"/>
          <w:szCs w:val="16"/>
        </w:rPr>
        <w:t xml:space="preserve">These crimes, specifically, </w:t>
      </w:r>
      <w:proofErr w:type="gramStart"/>
      <w:r w:rsidR="0073121C" w:rsidRPr="008A7BD7">
        <w:rPr>
          <w:rFonts w:ascii="Cambria" w:eastAsia="Cambria" w:hAnsi="Cambria" w:cs="Cambria"/>
          <w:sz w:val="16"/>
          <w:szCs w:val="16"/>
        </w:rPr>
        <w:t>are:</w:t>
      </w:r>
      <w:proofErr w:type="gramEnd"/>
      <w:r w:rsidR="0073121C" w:rsidRPr="008A7BD7">
        <w:rPr>
          <w:rFonts w:ascii="Cambria" w:eastAsia="Cambria" w:hAnsi="Cambria" w:cs="Cambria"/>
          <w:sz w:val="16"/>
          <w:szCs w:val="16"/>
        </w:rPr>
        <w:t xml:space="preserve"> international </w:t>
      </w:r>
      <w:r w:rsidR="00926E1A" w:rsidRPr="008A7BD7">
        <w:rPr>
          <w:rFonts w:ascii="Cambria" w:eastAsia="Cambria" w:hAnsi="Cambria" w:cs="Cambria"/>
          <w:sz w:val="16"/>
          <w:szCs w:val="16"/>
        </w:rPr>
        <w:t>transit;</w:t>
      </w:r>
      <w:r w:rsidR="0073121C" w:rsidRPr="008A7BD7">
        <w:rPr>
          <w:rFonts w:ascii="Cambria" w:eastAsia="Cambria" w:hAnsi="Cambria" w:cs="Cambria"/>
          <w:sz w:val="16"/>
          <w:szCs w:val="16"/>
        </w:rPr>
        <w:t xml:space="preserve"> planting and cultivation</w:t>
      </w:r>
      <w:r w:rsidR="00926E1A" w:rsidRPr="008A7BD7">
        <w:rPr>
          <w:rFonts w:ascii="Cambria" w:eastAsia="Cambria" w:hAnsi="Cambria" w:cs="Cambria"/>
          <w:sz w:val="16"/>
          <w:szCs w:val="16"/>
        </w:rPr>
        <w:t>;</w:t>
      </w:r>
      <w:r w:rsidR="0073121C" w:rsidRPr="008A7BD7">
        <w:rPr>
          <w:rFonts w:ascii="Cambria" w:eastAsia="Cambria" w:hAnsi="Cambria" w:cs="Cambria"/>
          <w:sz w:val="16"/>
          <w:szCs w:val="16"/>
        </w:rPr>
        <w:t xml:space="preserve"> manufacturing or transformation</w:t>
      </w:r>
      <w:r w:rsidR="00926E1A" w:rsidRPr="008A7BD7">
        <w:rPr>
          <w:rFonts w:ascii="Cambria" w:eastAsia="Cambria" w:hAnsi="Cambria" w:cs="Cambria"/>
          <w:sz w:val="16"/>
          <w:szCs w:val="16"/>
        </w:rPr>
        <w:t>; illicit</w:t>
      </w:r>
      <w:r w:rsidR="0073121C" w:rsidRPr="008A7BD7">
        <w:rPr>
          <w:rFonts w:ascii="Cambria" w:eastAsia="Cambria" w:hAnsi="Cambria" w:cs="Cambria"/>
          <w:sz w:val="16"/>
          <w:szCs w:val="16"/>
        </w:rPr>
        <w:t xml:space="preserve"> </w:t>
      </w:r>
      <w:r w:rsidR="00FD0826" w:rsidRPr="008A7BD7">
        <w:rPr>
          <w:rFonts w:ascii="Cambria" w:eastAsia="Cambria" w:hAnsi="Cambria" w:cs="Cambria"/>
          <w:sz w:val="16"/>
          <w:szCs w:val="16"/>
        </w:rPr>
        <w:t>trade, trafficking or</w:t>
      </w:r>
      <w:r w:rsidR="00926E1A" w:rsidRPr="008A7BD7">
        <w:rPr>
          <w:rFonts w:ascii="Cambria" w:eastAsia="Cambria" w:hAnsi="Cambria" w:cs="Cambria"/>
          <w:sz w:val="16"/>
          <w:szCs w:val="16"/>
        </w:rPr>
        <w:t xml:space="preserve"> </w:t>
      </w:r>
      <w:r w:rsidR="00FD0826" w:rsidRPr="008A7BD7">
        <w:rPr>
          <w:rFonts w:ascii="Cambria" w:eastAsia="Cambria" w:hAnsi="Cambria" w:cs="Cambria"/>
          <w:sz w:val="16"/>
          <w:szCs w:val="16"/>
        </w:rPr>
        <w:t>stockpiling</w:t>
      </w:r>
      <w:r w:rsidR="00926E1A" w:rsidRPr="008A7BD7">
        <w:rPr>
          <w:rFonts w:ascii="Cambria" w:eastAsia="Cambria" w:hAnsi="Cambria" w:cs="Cambria"/>
          <w:sz w:val="16"/>
          <w:szCs w:val="16"/>
        </w:rPr>
        <w:t>;</w:t>
      </w:r>
      <w:r w:rsidR="00FD0826" w:rsidRPr="008A7BD7">
        <w:rPr>
          <w:rFonts w:ascii="Cambria" w:eastAsia="Cambria" w:hAnsi="Cambria" w:cs="Cambria"/>
          <w:sz w:val="16"/>
          <w:szCs w:val="16"/>
        </w:rPr>
        <w:t xml:space="preserve"> possession for use</w:t>
      </w:r>
      <w:r w:rsidR="00926E1A" w:rsidRPr="008A7BD7">
        <w:rPr>
          <w:rFonts w:ascii="Cambria" w:eastAsia="Cambria" w:hAnsi="Cambria" w:cs="Cambria"/>
          <w:sz w:val="16"/>
          <w:szCs w:val="16"/>
        </w:rPr>
        <w:t>;</w:t>
      </w:r>
      <w:r w:rsidR="00FD0826" w:rsidRPr="008A7BD7">
        <w:rPr>
          <w:rFonts w:ascii="Cambria" w:eastAsia="Cambria" w:hAnsi="Cambria" w:cs="Cambria"/>
          <w:sz w:val="16"/>
          <w:szCs w:val="16"/>
        </w:rPr>
        <w:t xml:space="preserve"> promotion and</w:t>
      </w:r>
      <w:r w:rsidR="00CA33D5" w:rsidRPr="008A7BD7">
        <w:rPr>
          <w:rFonts w:ascii="Cambria" w:eastAsia="Cambria" w:hAnsi="Cambria" w:cs="Cambria"/>
          <w:sz w:val="16"/>
          <w:szCs w:val="16"/>
        </w:rPr>
        <w:t xml:space="preserve"> </w:t>
      </w:r>
      <w:r w:rsidR="00F15957" w:rsidRPr="008A7BD7">
        <w:rPr>
          <w:rFonts w:ascii="Cambria" w:eastAsia="Cambria" w:hAnsi="Cambria" w:cs="Cambria"/>
          <w:sz w:val="16"/>
          <w:szCs w:val="16"/>
        </w:rPr>
        <w:t>inducement</w:t>
      </w:r>
      <w:r w:rsidR="00926E1A" w:rsidRPr="008A7BD7">
        <w:rPr>
          <w:rFonts w:ascii="Cambria" w:eastAsia="Cambria" w:hAnsi="Cambria" w:cs="Cambria"/>
          <w:sz w:val="16"/>
          <w:szCs w:val="16"/>
        </w:rPr>
        <w:t>;</w:t>
      </w:r>
      <w:r w:rsidR="00CA33D5" w:rsidRPr="008A7BD7">
        <w:rPr>
          <w:rFonts w:ascii="Cambria" w:eastAsia="Cambria" w:hAnsi="Cambria" w:cs="Cambria"/>
          <w:sz w:val="16"/>
          <w:szCs w:val="16"/>
        </w:rPr>
        <w:t xml:space="preserve"> facilitation of means</w:t>
      </w:r>
      <w:r w:rsidR="00926E1A" w:rsidRPr="008A7BD7">
        <w:rPr>
          <w:rFonts w:ascii="Cambria" w:eastAsia="Cambria" w:hAnsi="Cambria" w:cs="Cambria"/>
          <w:sz w:val="16"/>
          <w:szCs w:val="16"/>
        </w:rPr>
        <w:t>;</w:t>
      </w:r>
      <w:r w:rsidR="00CA33D5" w:rsidRPr="008A7BD7">
        <w:rPr>
          <w:rFonts w:ascii="Cambria" w:eastAsia="Cambria" w:hAnsi="Cambria" w:cs="Cambria"/>
          <w:sz w:val="16"/>
          <w:szCs w:val="16"/>
        </w:rPr>
        <w:t xml:space="preserve"> alteration</w:t>
      </w:r>
      <w:r w:rsidR="00926E1A" w:rsidRPr="008A7BD7">
        <w:rPr>
          <w:rFonts w:ascii="Cambria" w:eastAsia="Cambria" w:hAnsi="Cambria" w:cs="Cambria"/>
          <w:sz w:val="16"/>
          <w:szCs w:val="16"/>
        </w:rPr>
        <w:t>;</w:t>
      </w:r>
      <w:r w:rsidR="00CA33D5" w:rsidRPr="008A7BD7">
        <w:rPr>
          <w:rFonts w:ascii="Cambria" w:eastAsia="Cambria" w:hAnsi="Cambria" w:cs="Cambria"/>
          <w:sz w:val="16"/>
          <w:szCs w:val="16"/>
        </w:rPr>
        <w:t xml:space="preserve"> illicit </w:t>
      </w:r>
      <w:r w:rsidR="00926E1A" w:rsidRPr="008A7BD7">
        <w:rPr>
          <w:rFonts w:ascii="Cambria" w:eastAsia="Cambria" w:hAnsi="Cambria" w:cs="Cambria"/>
          <w:sz w:val="16"/>
          <w:szCs w:val="16"/>
        </w:rPr>
        <w:t xml:space="preserve">selling; </w:t>
      </w:r>
      <w:r w:rsidR="001837AD" w:rsidRPr="008A7BD7">
        <w:rPr>
          <w:rFonts w:ascii="Cambria" w:eastAsia="Cambria" w:hAnsi="Cambria" w:cs="Cambria"/>
          <w:sz w:val="16"/>
          <w:szCs w:val="16"/>
        </w:rPr>
        <w:t>prescription or supply</w:t>
      </w:r>
      <w:r w:rsidR="00926E1A" w:rsidRPr="008A7BD7">
        <w:rPr>
          <w:rFonts w:ascii="Cambria" w:eastAsia="Cambria" w:hAnsi="Cambria" w:cs="Cambria"/>
          <w:sz w:val="16"/>
          <w:szCs w:val="16"/>
        </w:rPr>
        <w:t>; illicit transactions and investments</w:t>
      </w:r>
      <w:r w:rsidR="00A8454B" w:rsidRPr="008A7BD7">
        <w:rPr>
          <w:rFonts w:ascii="Cambria" w:eastAsia="Cambria" w:hAnsi="Cambria" w:cs="Cambria"/>
          <w:sz w:val="16"/>
          <w:szCs w:val="16"/>
        </w:rPr>
        <w:t>; criminal association;</w:t>
      </w:r>
      <w:r w:rsidR="00536E71" w:rsidRPr="008A7BD7">
        <w:rPr>
          <w:rFonts w:ascii="Cambria" w:eastAsia="Cambria" w:hAnsi="Cambria" w:cs="Cambria"/>
          <w:sz w:val="16"/>
          <w:szCs w:val="16"/>
        </w:rPr>
        <w:t xml:space="preserve"> pursuit of impunity, or evasion; promotion or encouragement of drug addiction;</w:t>
      </w:r>
      <w:r w:rsidR="00F15957" w:rsidRPr="008A7BD7">
        <w:rPr>
          <w:rFonts w:ascii="Cambria" w:eastAsia="Cambria" w:hAnsi="Cambria" w:cs="Cambria"/>
          <w:sz w:val="16"/>
          <w:szCs w:val="16"/>
        </w:rPr>
        <w:t xml:space="preserve"> actual cover-up; personal cover-up</w:t>
      </w:r>
      <w:r w:rsidRPr="008A7BD7">
        <w:rPr>
          <w:rFonts w:ascii="Cambria" w:eastAsia="Cambria" w:hAnsi="Cambria" w:cs="Cambria"/>
          <w:sz w:val="16"/>
          <w:szCs w:val="16"/>
        </w:rPr>
        <w:t xml:space="preserve">. </w:t>
      </w:r>
      <w:r w:rsidR="00F15957" w:rsidRPr="008A7BD7">
        <w:rPr>
          <w:rFonts w:ascii="Cambria" w:eastAsia="Cambria" w:hAnsi="Cambria" w:cs="Cambria"/>
          <w:sz w:val="16"/>
          <w:szCs w:val="16"/>
        </w:rPr>
        <w:t xml:space="preserve">Government of </w:t>
      </w:r>
      <w:r w:rsidRPr="008A7BD7">
        <w:rPr>
          <w:rFonts w:ascii="Cambria" w:eastAsia="Cambria" w:hAnsi="Cambria" w:cs="Cambria"/>
          <w:sz w:val="16"/>
          <w:szCs w:val="16"/>
        </w:rPr>
        <w:t>Guatemala, Inf. Inter</w:t>
      </w:r>
      <w:r w:rsidR="00F15957" w:rsidRPr="008A7BD7">
        <w:rPr>
          <w:rFonts w:ascii="Cambria" w:eastAsia="Cambria" w:hAnsi="Cambria" w:cs="Cambria"/>
          <w:sz w:val="16"/>
          <w:szCs w:val="16"/>
        </w:rPr>
        <w:t>,</w:t>
      </w:r>
      <w:r w:rsidRPr="008A7BD7">
        <w:rPr>
          <w:rFonts w:ascii="Cambria" w:eastAsia="Cambria" w:hAnsi="Cambria" w:cs="Cambria"/>
          <w:sz w:val="16"/>
          <w:szCs w:val="16"/>
        </w:rPr>
        <w:t xml:space="preserve"> DAJCC-</w:t>
      </w:r>
      <w:proofErr w:type="spellStart"/>
      <w:r w:rsidRPr="008A7BD7">
        <w:rPr>
          <w:rFonts w:ascii="Cambria" w:eastAsia="Cambria" w:hAnsi="Cambria" w:cs="Cambria"/>
          <w:sz w:val="16"/>
          <w:szCs w:val="16"/>
        </w:rPr>
        <w:t>Seprem</w:t>
      </w:r>
      <w:proofErr w:type="spellEnd"/>
      <w:r w:rsidRPr="008A7BD7">
        <w:rPr>
          <w:rFonts w:ascii="Cambria" w:eastAsia="Cambria" w:hAnsi="Cambria" w:cs="Cambria"/>
          <w:sz w:val="16"/>
          <w:szCs w:val="16"/>
        </w:rPr>
        <w:t xml:space="preserve"> 003-2021, </w:t>
      </w:r>
      <w:r w:rsidR="00F15957" w:rsidRPr="008A7BD7">
        <w:rPr>
          <w:rFonts w:ascii="Cambria" w:eastAsia="Cambria" w:hAnsi="Cambria" w:cs="Cambria"/>
          <w:sz w:val="16"/>
          <w:szCs w:val="16"/>
        </w:rPr>
        <w:t xml:space="preserve">April </w:t>
      </w:r>
      <w:r w:rsidRPr="008A7BD7">
        <w:rPr>
          <w:rFonts w:ascii="Cambria" w:eastAsia="Cambria" w:hAnsi="Cambria" w:cs="Cambria"/>
          <w:sz w:val="16"/>
          <w:szCs w:val="16"/>
        </w:rPr>
        <w:t>14</w:t>
      </w:r>
      <w:r w:rsidR="00F15957" w:rsidRPr="008A7BD7">
        <w:rPr>
          <w:rFonts w:ascii="Cambria" w:eastAsia="Cambria" w:hAnsi="Cambria" w:cs="Cambria"/>
          <w:sz w:val="16"/>
          <w:szCs w:val="16"/>
        </w:rPr>
        <w:t xml:space="preserve">, </w:t>
      </w:r>
      <w:r w:rsidRPr="008A7BD7">
        <w:rPr>
          <w:rFonts w:ascii="Cambria" w:eastAsia="Cambria" w:hAnsi="Cambria" w:cs="Cambria"/>
          <w:sz w:val="16"/>
          <w:szCs w:val="16"/>
        </w:rPr>
        <w:t xml:space="preserve">2021, p. 6. </w:t>
      </w:r>
      <w:r w:rsidR="00F15957" w:rsidRPr="008A7BD7">
        <w:rPr>
          <w:rFonts w:ascii="Cambria" w:eastAsia="Cambria" w:hAnsi="Cambria" w:cs="Cambria"/>
          <w:sz w:val="16"/>
          <w:szCs w:val="16"/>
        </w:rPr>
        <w:t xml:space="preserve">Information provided in the context of the preparation of the report on </w:t>
      </w:r>
      <w:r w:rsidR="004A0889" w:rsidRPr="008A7BD7">
        <w:rPr>
          <w:rFonts w:ascii="Cambria" w:eastAsia="Cambria" w:hAnsi="Cambria" w:cs="Cambria"/>
          <w:sz w:val="16"/>
          <w:szCs w:val="16"/>
        </w:rPr>
        <w:t>w</w:t>
      </w:r>
      <w:r w:rsidR="00F15957" w:rsidRPr="008A7BD7">
        <w:rPr>
          <w:rFonts w:ascii="Cambria" w:eastAsia="Cambria" w:hAnsi="Cambria" w:cs="Cambria"/>
          <w:sz w:val="16"/>
          <w:szCs w:val="16"/>
        </w:rPr>
        <w:t xml:space="preserve">omen </w:t>
      </w:r>
      <w:r w:rsidR="004A0889" w:rsidRPr="008A7BD7">
        <w:rPr>
          <w:rFonts w:ascii="Cambria" w:eastAsia="Cambria" w:hAnsi="Cambria" w:cs="Cambria"/>
          <w:sz w:val="16"/>
          <w:szCs w:val="16"/>
        </w:rPr>
        <w:t>d</w:t>
      </w:r>
      <w:r w:rsidR="00F15957" w:rsidRPr="008A7BD7">
        <w:rPr>
          <w:rFonts w:ascii="Cambria" w:eastAsia="Cambria" w:hAnsi="Cambria" w:cs="Cambria"/>
          <w:sz w:val="16"/>
          <w:szCs w:val="16"/>
        </w:rPr>
        <w:t xml:space="preserve">eprived of </w:t>
      </w:r>
      <w:r w:rsidR="004A0889" w:rsidRPr="008A7BD7">
        <w:rPr>
          <w:rFonts w:ascii="Cambria" w:eastAsia="Cambria" w:hAnsi="Cambria" w:cs="Cambria"/>
          <w:sz w:val="16"/>
          <w:szCs w:val="16"/>
        </w:rPr>
        <w:t>l</w:t>
      </w:r>
      <w:r w:rsidR="00F15957" w:rsidRPr="008A7BD7">
        <w:rPr>
          <w:rFonts w:ascii="Cambria" w:eastAsia="Cambria" w:hAnsi="Cambria" w:cs="Cambria"/>
          <w:sz w:val="16"/>
          <w:szCs w:val="16"/>
        </w:rPr>
        <w:t>iberty</w:t>
      </w:r>
      <w:r w:rsidRPr="008A7BD7">
        <w:rPr>
          <w:rFonts w:ascii="Cambria" w:eastAsia="Cambria" w:hAnsi="Cambria" w:cs="Cambria"/>
          <w:sz w:val="16"/>
          <w:szCs w:val="16"/>
        </w:rPr>
        <w:t xml:space="preserve">.  </w:t>
      </w:r>
    </w:p>
    <w:p w14:paraId="326C4BC0" w14:textId="2238E86F" w:rsidR="004D1FCF" w:rsidRPr="008A7BD7" w:rsidRDefault="00D42ED1" w:rsidP="00746761">
      <w:pPr>
        <w:spacing w:after="120"/>
        <w:ind w:firstLine="720"/>
        <w:jc w:val="both"/>
        <w:rPr>
          <w:rFonts w:ascii="Cambria" w:eastAsia="Cambria" w:hAnsi="Cambria" w:cs="Cambria"/>
          <w:sz w:val="16"/>
          <w:szCs w:val="16"/>
        </w:rPr>
      </w:pPr>
      <w:r w:rsidRPr="008A7BD7">
        <w:rPr>
          <w:rFonts w:ascii="Cambria" w:eastAsia="Cambria" w:hAnsi="Cambria" w:cs="Cambria"/>
          <w:sz w:val="16"/>
          <w:szCs w:val="16"/>
        </w:rPr>
        <w:t xml:space="preserve">See also IACHR, </w:t>
      </w:r>
      <w:hyperlink r:id="rId264" w:history="1">
        <w:r w:rsidRPr="008A7BD7">
          <w:rPr>
            <w:rStyle w:val="Hyperlink"/>
            <w:rFonts w:ascii="Cambria" w:hAnsi="Cambria"/>
            <w:sz w:val="16"/>
            <w:szCs w:val="16"/>
          </w:rPr>
          <w:t>Situation of Human Rights in Guatemala</w:t>
        </w:r>
      </w:hyperlink>
      <w:r w:rsidRPr="008A7BD7">
        <w:rPr>
          <w:rFonts w:ascii="Cambria" w:hAnsi="Cambria"/>
          <w:sz w:val="16"/>
          <w:szCs w:val="16"/>
        </w:rPr>
        <w:t>, OEA/</w:t>
      </w:r>
      <w:proofErr w:type="spellStart"/>
      <w:r w:rsidRPr="008A7BD7">
        <w:rPr>
          <w:rFonts w:ascii="Cambria" w:hAnsi="Cambria"/>
          <w:sz w:val="16"/>
          <w:szCs w:val="16"/>
        </w:rPr>
        <w:t>Ser.L</w:t>
      </w:r>
      <w:proofErr w:type="spellEnd"/>
      <w:r w:rsidRPr="008A7BD7">
        <w:rPr>
          <w:rFonts w:ascii="Cambria" w:hAnsi="Cambria"/>
          <w:sz w:val="16"/>
          <w:szCs w:val="16"/>
        </w:rPr>
        <w:t xml:space="preserve">/V/II. Doc. 208/17, December 31, 2017, par. </w:t>
      </w:r>
      <w:r w:rsidR="004D1FCF" w:rsidRPr="008A7BD7">
        <w:rPr>
          <w:rFonts w:ascii="Cambria" w:eastAsia="Cambria" w:hAnsi="Cambria" w:cs="Cambria"/>
          <w:sz w:val="16"/>
          <w:szCs w:val="16"/>
        </w:rPr>
        <w:t xml:space="preserve">400. </w:t>
      </w:r>
    </w:p>
  </w:footnote>
  <w:footnote w:id="251">
    <w:p w14:paraId="7FA2D718" w14:textId="1761C066" w:rsidR="004D1FCF" w:rsidRPr="008A7BD7" w:rsidRDefault="004D1FCF" w:rsidP="00746761">
      <w:pPr>
        <w:spacing w:after="120"/>
        <w:ind w:firstLine="720"/>
        <w:jc w:val="both"/>
        <w:rPr>
          <w:rFonts w:ascii="Cambria" w:eastAsia="Cambria" w:hAnsi="Cambria" w:cs="Cambria"/>
          <w:sz w:val="16"/>
          <w:szCs w:val="16"/>
          <w:lang w:val="es-US"/>
        </w:rPr>
      </w:pPr>
      <w:r w:rsidRPr="008A7BD7">
        <w:rPr>
          <w:rStyle w:val="FootnoteReference"/>
          <w:rFonts w:ascii="Cambria" w:hAnsi="Cambria"/>
          <w:sz w:val="16"/>
          <w:szCs w:val="16"/>
        </w:rPr>
        <w:footnoteRef/>
      </w:r>
      <w:r w:rsidRPr="008A7BD7">
        <w:rPr>
          <w:rFonts w:ascii="Cambria" w:eastAsia="Cambria" w:hAnsi="Cambria" w:cs="Cambria"/>
          <w:sz w:val="16"/>
          <w:szCs w:val="16"/>
          <w:lang w:val="es-US"/>
        </w:rPr>
        <w:t xml:space="preserve"> Colectivo Artesana </w:t>
      </w:r>
      <w:r w:rsidR="00D42ED1" w:rsidRPr="008A7BD7">
        <w:rPr>
          <w:rFonts w:ascii="Cambria" w:eastAsia="Cambria" w:hAnsi="Cambria" w:cs="Cambria"/>
          <w:sz w:val="16"/>
          <w:szCs w:val="16"/>
          <w:lang w:val="es-US"/>
        </w:rPr>
        <w:t>and</w:t>
      </w:r>
      <w:r w:rsidRPr="008A7BD7">
        <w:rPr>
          <w:rFonts w:ascii="Cambria" w:eastAsia="Cambria" w:hAnsi="Cambria" w:cs="Cambria"/>
          <w:sz w:val="16"/>
          <w:szCs w:val="16"/>
          <w:lang w:val="es-US"/>
        </w:rPr>
        <w:t xml:space="preserve"> </w:t>
      </w:r>
      <w:proofErr w:type="spellStart"/>
      <w:r w:rsidRPr="008A7BD7">
        <w:rPr>
          <w:rFonts w:ascii="Cambria" w:eastAsia="Cambria" w:hAnsi="Cambria" w:cs="Cambria"/>
          <w:sz w:val="16"/>
          <w:szCs w:val="16"/>
          <w:lang w:val="es-US"/>
        </w:rPr>
        <w:t>Sare</w:t>
      </w:r>
      <w:proofErr w:type="spellEnd"/>
      <w:r w:rsidRPr="008A7BD7">
        <w:rPr>
          <w:rFonts w:ascii="Cambria" w:eastAsia="Cambria" w:hAnsi="Cambria" w:cs="Cambria"/>
          <w:sz w:val="16"/>
          <w:szCs w:val="16"/>
          <w:lang w:val="es-US"/>
        </w:rPr>
        <w:t xml:space="preserve"> </w:t>
      </w:r>
      <w:proofErr w:type="spellStart"/>
      <w:r w:rsidRPr="008A7BD7">
        <w:rPr>
          <w:rFonts w:ascii="Cambria" w:eastAsia="Cambria" w:hAnsi="Cambria" w:cs="Cambria"/>
          <w:sz w:val="16"/>
          <w:szCs w:val="16"/>
          <w:lang w:val="es-US"/>
        </w:rPr>
        <w:t>Consultants</w:t>
      </w:r>
      <w:proofErr w:type="spellEnd"/>
      <w:r w:rsidRPr="008A7BD7">
        <w:rPr>
          <w:rFonts w:ascii="Cambria" w:eastAsia="Cambria" w:hAnsi="Cambria" w:cs="Cambria"/>
          <w:sz w:val="16"/>
          <w:szCs w:val="16"/>
          <w:lang w:val="es-US"/>
        </w:rPr>
        <w:t xml:space="preserve">, </w:t>
      </w:r>
      <w:r w:rsidRPr="008A7BD7">
        <w:rPr>
          <w:rFonts w:ascii="Cambria" w:eastAsia="Cambria" w:hAnsi="Cambria" w:cs="Cambria"/>
          <w:i/>
          <w:iCs/>
          <w:sz w:val="16"/>
          <w:szCs w:val="16"/>
          <w:lang w:val="es-US"/>
        </w:rPr>
        <w:t>Consideraciones sobre la privación de libertad en Guatemala 2021</w:t>
      </w:r>
      <w:r w:rsidRPr="008A7BD7">
        <w:rPr>
          <w:rFonts w:ascii="Cambria" w:eastAsia="Cambria" w:hAnsi="Cambria" w:cs="Cambria"/>
          <w:sz w:val="16"/>
          <w:szCs w:val="16"/>
          <w:lang w:val="es-US"/>
        </w:rPr>
        <w:t xml:space="preserve">, </w:t>
      </w:r>
      <w:proofErr w:type="spellStart"/>
      <w:r w:rsidR="00D42ED1" w:rsidRPr="008A7BD7">
        <w:rPr>
          <w:rFonts w:ascii="Cambria" w:eastAsia="Cambria" w:hAnsi="Cambria" w:cs="Cambria"/>
          <w:sz w:val="16"/>
          <w:szCs w:val="16"/>
          <w:lang w:val="es-US"/>
        </w:rPr>
        <w:t>Records</w:t>
      </w:r>
      <w:proofErr w:type="spellEnd"/>
      <w:r w:rsidR="00D42ED1" w:rsidRPr="008A7BD7">
        <w:rPr>
          <w:rFonts w:ascii="Cambria" w:eastAsia="Cambria" w:hAnsi="Cambria" w:cs="Cambria"/>
          <w:sz w:val="16"/>
          <w:szCs w:val="16"/>
          <w:lang w:val="es-US"/>
        </w:rPr>
        <w:t xml:space="preserve"> of </w:t>
      </w:r>
      <w:proofErr w:type="spellStart"/>
      <w:r w:rsidR="00D42ED1" w:rsidRPr="008A7BD7">
        <w:rPr>
          <w:rFonts w:ascii="Cambria" w:eastAsia="Cambria" w:hAnsi="Cambria" w:cs="Cambria"/>
          <w:sz w:val="16"/>
          <w:szCs w:val="16"/>
          <w:lang w:val="es-US"/>
        </w:rPr>
        <w:t>the</w:t>
      </w:r>
      <w:proofErr w:type="spellEnd"/>
      <w:r w:rsidR="00D42ED1" w:rsidRPr="008A7BD7">
        <w:rPr>
          <w:rFonts w:ascii="Cambria" w:eastAsia="Cambria" w:hAnsi="Cambria" w:cs="Cambria"/>
          <w:sz w:val="16"/>
          <w:szCs w:val="16"/>
          <w:lang w:val="es-US"/>
        </w:rPr>
        <w:t xml:space="preserve"> IACHR, </w:t>
      </w:r>
      <w:proofErr w:type="spellStart"/>
      <w:r w:rsidR="00D42ED1" w:rsidRPr="008A7BD7">
        <w:rPr>
          <w:rFonts w:ascii="Cambria" w:eastAsia="Cambria" w:hAnsi="Cambria" w:cs="Cambria"/>
          <w:sz w:val="16"/>
          <w:szCs w:val="16"/>
          <w:lang w:val="es-US"/>
        </w:rPr>
        <w:t>September</w:t>
      </w:r>
      <w:proofErr w:type="spellEnd"/>
      <w:r w:rsidR="00D42ED1" w:rsidRPr="008A7BD7">
        <w:rPr>
          <w:rFonts w:ascii="Cambria" w:eastAsia="Cambria" w:hAnsi="Cambria" w:cs="Cambria"/>
          <w:sz w:val="16"/>
          <w:szCs w:val="16"/>
          <w:lang w:val="es-US"/>
        </w:rPr>
        <w:t xml:space="preserve"> </w:t>
      </w:r>
      <w:r w:rsidRPr="008A7BD7">
        <w:rPr>
          <w:rFonts w:ascii="Cambria" w:eastAsia="Cambria" w:hAnsi="Cambria" w:cs="Cambria"/>
          <w:sz w:val="16"/>
          <w:szCs w:val="16"/>
          <w:lang w:val="es-US"/>
        </w:rPr>
        <w:t>27</w:t>
      </w:r>
      <w:r w:rsidR="00D42ED1" w:rsidRPr="008A7BD7">
        <w:rPr>
          <w:rFonts w:ascii="Cambria" w:eastAsia="Cambria" w:hAnsi="Cambria" w:cs="Cambria"/>
          <w:sz w:val="16"/>
          <w:szCs w:val="16"/>
          <w:lang w:val="es-US"/>
        </w:rPr>
        <w:t xml:space="preserve">, </w:t>
      </w:r>
      <w:r w:rsidRPr="008A7BD7">
        <w:rPr>
          <w:rFonts w:ascii="Cambria" w:eastAsia="Cambria" w:hAnsi="Cambria" w:cs="Cambria"/>
          <w:sz w:val="16"/>
          <w:szCs w:val="16"/>
          <w:lang w:val="es-US"/>
        </w:rPr>
        <w:t xml:space="preserve">2021, p. 2. </w:t>
      </w:r>
    </w:p>
  </w:footnote>
  <w:footnote w:id="252">
    <w:p w14:paraId="2522A576" w14:textId="2565F100"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1449B8" w:rsidRPr="008A7BD7">
        <w:rPr>
          <w:rFonts w:ascii="Cambria" w:eastAsia="Cambria" w:hAnsi="Cambria" w:cs="Cambria"/>
          <w:sz w:val="16"/>
          <w:szCs w:val="16"/>
        </w:rPr>
        <w:t>IACHR,</w:t>
      </w:r>
      <w:r w:rsidR="00244049" w:rsidRPr="008A7BD7">
        <w:rPr>
          <w:rFonts w:ascii="Cambria" w:eastAsia="Cambria" w:hAnsi="Cambria" w:cs="Cambria"/>
          <w:sz w:val="16"/>
          <w:szCs w:val="16"/>
        </w:rPr>
        <w:t xml:space="preserve"> </w:t>
      </w:r>
      <w:hyperlink r:id="rId265" w:history="1">
        <w:r w:rsidR="00244049" w:rsidRPr="008A7BD7">
          <w:rPr>
            <w:rStyle w:val="Hyperlink"/>
            <w:rFonts w:ascii="Cambria" w:eastAsia="Cambria" w:hAnsi="Cambria" w:cs="Cambria"/>
            <w:sz w:val="16"/>
            <w:szCs w:val="16"/>
          </w:rPr>
          <w:t>Report on Measures Aimed at Reducing the Use of Pretrial Detention in the Americas</w:t>
        </w:r>
      </w:hyperlink>
      <w:r w:rsidR="00244049" w:rsidRPr="008A7BD7">
        <w:rPr>
          <w:rFonts w:ascii="Cambria" w:eastAsia="Cambria" w:hAnsi="Cambria" w:cs="Cambria"/>
          <w:sz w:val="16"/>
          <w:szCs w:val="16"/>
        </w:rPr>
        <w:t xml:space="preserve">, </w:t>
      </w:r>
      <w:r w:rsidRPr="008A7BD7">
        <w:rPr>
          <w:rFonts w:ascii="Cambria" w:eastAsia="Cambria" w:hAnsi="Cambria" w:cs="Cambria"/>
          <w:sz w:val="16"/>
          <w:szCs w:val="16"/>
        </w:rPr>
        <w:t>OEA/</w:t>
      </w:r>
      <w:proofErr w:type="spellStart"/>
      <w:r w:rsidRPr="008A7BD7">
        <w:rPr>
          <w:rFonts w:ascii="Cambria" w:eastAsia="Cambria" w:hAnsi="Cambria" w:cs="Cambria"/>
          <w:sz w:val="16"/>
          <w:szCs w:val="16"/>
        </w:rPr>
        <w:t>Ser.L</w:t>
      </w:r>
      <w:proofErr w:type="spellEnd"/>
      <w:r w:rsidRPr="008A7BD7">
        <w:rPr>
          <w:rFonts w:ascii="Cambria" w:eastAsia="Cambria" w:hAnsi="Cambria" w:cs="Cambria"/>
          <w:sz w:val="16"/>
          <w:szCs w:val="16"/>
        </w:rPr>
        <w:t xml:space="preserve">/V/II.163. Doc. 105, </w:t>
      </w:r>
      <w:r w:rsidR="00244049" w:rsidRPr="008A7BD7">
        <w:rPr>
          <w:rFonts w:ascii="Cambria" w:eastAsia="Cambria" w:hAnsi="Cambria" w:cs="Cambria"/>
          <w:sz w:val="16"/>
          <w:szCs w:val="16"/>
        </w:rPr>
        <w:t xml:space="preserve">July 3, </w:t>
      </w:r>
      <w:r w:rsidRPr="008A7BD7">
        <w:rPr>
          <w:rFonts w:ascii="Cambria" w:eastAsia="Cambria" w:hAnsi="Cambria" w:cs="Cambria"/>
          <w:sz w:val="16"/>
          <w:szCs w:val="16"/>
        </w:rPr>
        <w:t>2017, p</w:t>
      </w:r>
      <w:r w:rsidR="00244049" w:rsidRPr="008A7BD7">
        <w:rPr>
          <w:rFonts w:ascii="Cambria" w:eastAsia="Cambria" w:hAnsi="Cambria" w:cs="Cambria"/>
          <w:sz w:val="16"/>
          <w:szCs w:val="16"/>
        </w:rPr>
        <w:t>ar</w:t>
      </w:r>
      <w:r w:rsidRPr="008A7BD7">
        <w:rPr>
          <w:rFonts w:ascii="Cambria" w:eastAsia="Cambria" w:hAnsi="Cambria" w:cs="Cambria"/>
          <w:sz w:val="16"/>
          <w:szCs w:val="16"/>
        </w:rPr>
        <w:t>. 231</w:t>
      </w:r>
      <w:r w:rsidR="00244049" w:rsidRPr="008A7BD7">
        <w:rPr>
          <w:rFonts w:ascii="Cambria" w:eastAsia="Cambria" w:hAnsi="Cambria" w:cs="Cambria"/>
          <w:sz w:val="16"/>
          <w:szCs w:val="16"/>
        </w:rPr>
        <w:t>, Recommendation A, “General Measures Related to Matters of State</w:t>
      </w:r>
      <w:r w:rsidRPr="008A7BD7">
        <w:rPr>
          <w:rFonts w:ascii="Cambria" w:eastAsia="Cambria" w:hAnsi="Cambria" w:cs="Cambria"/>
          <w:sz w:val="16"/>
          <w:szCs w:val="16"/>
        </w:rPr>
        <w:t xml:space="preserve"> </w:t>
      </w:r>
      <w:r w:rsidR="00244049" w:rsidRPr="008A7BD7">
        <w:rPr>
          <w:rFonts w:ascii="Cambria" w:eastAsia="Cambria" w:hAnsi="Cambria" w:cs="Cambria"/>
          <w:sz w:val="16"/>
          <w:szCs w:val="16"/>
        </w:rPr>
        <w:t xml:space="preserve">Policy” (hereinafter, Report on Measures Aimed at Reducing the Use of Pretrial Detention in the Americas), par. </w:t>
      </w:r>
      <w:r w:rsidRPr="008A7BD7">
        <w:rPr>
          <w:rFonts w:ascii="Cambria" w:eastAsia="Cambria" w:hAnsi="Cambria" w:cs="Cambria"/>
          <w:sz w:val="16"/>
          <w:szCs w:val="16"/>
        </w:rPr>
        <w:t>1.</w:t>
      </w:r>
    </w:p>
  </w:footnote>
  <w:footnote w:id="253">
    <w:p w14:paraId="3D326F84" w14:textId="3D19A0F4"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244049" w:rsidRPr="008A7BD7">
        <w:rPr>
          <w:rFonts w:ascii="Cambria" w:eastAsia="Cambria" w:hAnsi="Cambria" w:cs="Cambria"/>
          <w:sz w:val="16"/>
          <w:szCs w:val="16"/>
        </w:rPr>
        <w:t xml:space="preserve">IACHR, </w:t>
      </w:r>
      <w:hyperlink r:id="rId266" w:history="1">
        <w:r w:rsidR="00244049" w:rsidRPr="008A7BD7">
          <w:rPr>
            <w:rStyle w:val="Hyperlink"/>
            <w:rFonts w:ascii="Cambria" w:eastAsia="Cambria" w:hAnsi="Cambria" w:cs="Cambria"/>
            <w:sz w:val="16"/>
            <w:szCs w:val="16"/>
          </w:rPr>
          <w:t>Report on Measures Aimed at Reducing the Use of Pretrial Detention in the Americas</w:t>
        </w:r>
      </w:hyperlink>
      <w:r w:rsidR="00244049" w:rsidRPr="008A7BD7">
        <w:rPr>
          <w:rFonts w:ascii="Cambria" w:eastAsia="Cambria" w:hAnsi="Cambria" w:cs="Cambria"/>
          <w:sz w:val="16"/>
          <w:szCs w:val="16"/>
        </w:rPr>
        <w:t>, par</w:t>
      </w:r>
      <w:r w:rsidRPr="008A7BD7">
        <w:rPr>
          <w:rFonts w:ascii="Cambria" w:eastAsia="Cambria" w:hAnsi="Cambria" w:cs="Cambria"/>
          <w:sz w:val="16"/>
          <w:szCs w:val="16"/>
        </w:rPr>
        <w:t>. 231</w:t>
      </w:r>
      <w:r w:rsidR="00244049" w:rsidRPr="008A7BD7">
        <w:rPr>
          <w:rFonts w:ascii="Cambria" w:eastAsia="Cambria" w:hAnsi="Cambria" w:cs="Cambria"/>
          <w:sz w:val="16"/>
          <w:szCs w:val="16"/>
        </w:rPr>
        <w:t>,</w:t>
      </w:r>
      <w:r w:rsidRPr="008A7BD7">
        <w:rPr>
          <w:rFonts w:ascii="Cambria" w:eastAsia="Cambria" w:hAnsi="Cambria" w:cs="Cambria"/>
          <w:sz w:val="16"/>
          <w:szCs w:val="16"/>
        </w:rPr>
        <w:t xml:space="preserve"> </w:t>
      </w:r>
      <w:r w:rsidR="00244049" w:rsidRPr="008A7BD7">
        <w:rPr>
          <w:rFonts w:ascii="Cambria" w:eastAsia="Cambria" w:hAnsi="Cambria" w:cs="Cambria"/>
          <w:sz w:val="16"/>
          <w:szCs w:val="16"/>
        </w:rPr>
        <w:t>Recommendation A, “General Measures Related to Matters of State Policy” (hereinafter, Report on Measures Aimed at Reducing the Use of Pretrial Detention in the Americas)</w:t>
      </w:r>
      <w:r w:rsidR="0037435B" w:rsidRPr="008A7BD7">
        <w:rPr>
          <w:rFonts w:ascii="Cambria" w:eastAsia="Cambria" w:hAnsi="Cambria" w:cs="Cambria"/>
          <w:sz w:val="16"/>
          <w:szCs w:val="16"/>
        </w:rPr>
        <w:t>.</w:t>
      </w:r>
    </w:p>
    <w:bookmarkStart w:id="7" w:name="_heading=h.1t3h5sf" w:colFirst="0" w:colLast="0"/>
    <w:bookmarkEnd w:id="7"/>
  </w:footnote>
  <w:footnote w:id="254">
    <w:p w14:paraId="52ECF803" w14:textId="2D6BDD56" w:rsidR="004D1FCF" w:rsidRPr="008A7BD7" w:rsidRDefault="004D1FCF" w:rsidP="00746761">
      <w:pPr>
        <w:spacing w:after="120"/>
        <w:ind w:firstLine="720"/>
        <w:jc w:val="both"/>
        <w:rPr>
          <w:rFonts w:ascii="Cambria" w:eastAsia="Cambria" w:hAnsi="Cambria" w:cs="Cambria"/>
          <w:sz w:val="16"/>
          <w:szCs w:val="16"/>
          <w:lang w:val="es-US"/>
        </w:rPr>
      </w:pPr>
      <w:bookmarkStart w:id="8" w:name="_heading=h.1t3h5sf" w:colFirst="0" w:colLast="0"/>
      <w:bookmarkEnd w:id="8"/>
      <w:r w:rsidRPr="008A7BD7">
        <w:rPr>
          <w:rStyle w:val="FootnoteReference"/>
          <w:rFonts w:ascii="Cambria" w:hAnsi="Cambria"/>
          <w:sz w:val="16"/>
          <w:szCs w:val="16"/>
        </w:rPr>
        <w:footnoteRef/>
      </w:r>
      <w:r w:rsidRPr="008A7BD7">
        <w:rPr>
          <w:rFonts w:ascii="Cambria" w:eastAsia="Cambria" w:hAnsi="Cambria" w:cs="Cambria"/>
          <w:sz w:val="16"/>
          <w:szCs w:val="16"/>
          <w:lang w:val="es-US"/>
        </w:rPr>
        <w:t xml:space="preserve"> </w:t>
      </w:r>
      <w:proofErr w:type="spellStart"/>
      <w:r w:rsidRPr="008A7BD7">
        <w:rPr>
          <w:rFonts w:ascii="Cambria" w:eastAsia="Cambria" w:hAnsi="Cambria" w:cs="Cambria"/>
          <w:i/>
          <w:iCs/>
          <w:sz w:val="16"/>
          <w:szCs w:val="16"/>
          <w:lang w:val="es-US"/>
        </w:rPr>
        <w:t>Backfem</w:t>
      </w:r>
      <w:proofErr w:type="spellEnd"/>
      <w:r w:rsidRPr="008A7BD7">
        <w:rPr>
          <w:rFonts w:ascii="Cambria" w:eastAsia="Cambria" w:hAnsi="Cambria" w:cs="Cambria"/>
          <w:i/>
          <w:iCs/>
          <w:sz w:val="16"/>
          <w:szCs w:val="16"/>
          <w:lang w:val="es-US"/>
        </w:rPr>
        <w:t xml:space="preserve"> Prensa</w:t>
      </w:r>
      <w:r w:rsidRPr="008A7BD7">
        <w:rPr>
          <w:rFonts w:ascii="Cambria" w:eastAsia="Cambria" w:hAnsi="Cambria" w:cs="Cambria"/>
          <w:sz w:val="16"/>
          <w:szCs w:val="16"/>
          <w:lang w:val="es-US"/>
        </w:rPr>
        <w:t xml:space="preserve">, </w:t>
      </w:r>
      <w:hyperlink r:id="rId267">
        <w:r w:rsidRPr="008A7BD7">
          <w:rPr>
            <w:rFonts w:ascii="Cambria" w:eastAsia="Cambria" w:hAnsi="Cambria" w:cs="Cambria"/>
            <w:i/>
            <w:iCs/>
            <w:sz w:val="16"/>
            <w:szCs w:val="16"/>
            <w:u w:val="single"/>
            <w:lang w:val="es-US"/>
          </w:rPr>
          <w:t>El hacinamiento en las cárceles continúa sin que se implementen mecanismos alternativos – Prensa Libre</w:t>
        </w:r>
      </w:hyperlink>
      <w:r w:rsidRPr="008A7BD7">
        <w:rPr>
          <w:rFonts w:ascii="Cambria" w:eastAsia="Cambria" w:hAnsi="Cambria" w:cs="Cambria"/>
          <w:sz w:val="16"/>
          <w:szCs w:val="16"/>
          <w:lang w:val="es-US"/>
        </w:rPr>
        <w:t xml:space="preserve">, </w:t>
      </w:r>
      <w:proofErr w:type="spellStart"/>
      <w:r w:rsidR="00D50056" w:rsidRPr="008A7BD7">
        <w:rPr>
          <w:rFonts w:ascii="Cambria" w:eastAsia="Cambria" w:hAnsi="Cambria" w:cs="Cambria"/>
          <w:sz w:val="16"/>
          <w:szCs w:val="16"/>
          <w:lang w:val="es-US"/>
        </w:rPr>
        <w:t>September</w:t>
      </w:r>
      <w:proofErr w:type="spellEnd"/>
      <w:r w:rsidR="00D50056" w:rsidRPr="008A7BD7">
        <w:rPr>
          <w:rFonts w:ascii="Cambria" w:eastAsia="Cambria" w:hAnsi="Cambria" w:cs="Cambria"/>
          <w:sz w:val="16"/>
          <w:szCs w:val="16"/>
          <w:lang w:val="es-US"/>
        </w:rPr>
        <w:t xml:space="preserve"> </w:t>
      </w:r>
      <w:r w:rsidRPr="008A7BD7">
        <w:rPr>
          <w:rFonts w:ascii="Cambria" w:eastAsia="Cambria" w:hAnsi="Cambria" w:cs="Cambria"/>
          <w:sz w:val="16"/>
          <w:szCs w:val="16"/>
          <w:lang w:val="es-US"/>
        </w:rPr>
        <w:t>16</w:t>
      </w:r>
      <w:r w:rsidR="00D50056" w:rsidRPr="008A7BD7">
        <w:rPr>
          <w:rFonts w:ascii="Cambria" w:eastAsia="Cambria" w:hAnsi="Cambria" w:cs="Cambria"/>
          <w:sz w:val="16"/>
          <w:szCs w:val="16"/>
          <w:lang w:val="es-US"/>
        </w:rPr>
        <w:t xml:space="preserve">, </w:t>
      </w:r>
      <w:r w:rsidRPr="008A7BD7">
        <w:rPr>
          <w:rFonts w:ascii="Cambria" w:eastAsia="Cambria" w:hAnsi="Cambria" w:cs="Cambria"/>
          <w:sz w:val="16"/>
          <w:szCs w:val="16"/>
          <w:lang w:val="es-US"/>
        </w:rPr>
        <w:t xml:space="preserve">2021. </w:t>
      </w:r>
    </w:p>
  </w:footnote>
  <w:footnote w:id="255">
    <w:p w14:paraId="67F37BDB" w14:textId="0C823513" w:rsidR="004D1FCF" w:rsidRPr="008A7BD7" w:rsidRDefault="004D1FCF" w:rsidP="00746761">
      <w:pPr>
        <w:spacing w:after="120"/>
        <w:ind w:firstLine="720"/>
        <w:jc w:val="both"/>
        <w:rPr>
          <w:rFonts w:ascii="Cambria" w:eastAsia="Cambria" w:hAnsi="Cambria" w:cs="Cambria"/>
          <w:sz w:val="16"/>
          <w:szCs w:val="16"/>
          <w:lang w:val="es-US"/>
        </w:rPr>
      </w:pPr>
      <w:r w:rsidRPr="008A7BD7">
        <w:rPr>
          <w:rStyle w:val="FootnoteReference"/>
          <w:rFonts w:ascii="Cambria" w:hAnsi="Cambria"/>
          <w:sz w:val="16"/>
          <w:szCs w:val="16"/>
        </w:rPr>
        <w:footnoteRef/>
      </w:r>
      <w:r w:rsidRPr="008A7BD7">
        <w:rPr>
          <w:rFonts w:ascii="Cambria" w:eastAsia="Cambria" w:hAnsi="Cambria" w:cs="Cambria"/>
          <w:sz w:val="16"/>
          <w:szCs w:val="16"/>
          <w:lang w:val="es-US"/>
        </w:rPr>
        <w:t xml:space="preserve"> </w:t>
      </w:r>
      <w:proofErr w:type="spellStart"/>
      <w:r w:rsidR="00D50056" w:rsidRPr="008A7BD7">
        <w:rPr>
          <w:rFonts w:ascii="Cambria" w:eastAsia="Cambria" w:hAnsi="Cambria" w:cs="Cambria"/>
          <w:i/>
          <w:iCs/>
          <w:sz w:val="16"/>
          <w:szCs w:val="16"/>
          <w:lang w:val="es-US"/>
        </w:rPr>
        <w:t>Backfem</w:t>
      </w:r>
      <w:proofErr w:type="spellEnd"/>
      <w:r w:rsidR="00D50056" w:rsidRPr="008A7BD7">
        <w:rPr>
          <w:rFonts w:ascii="Cambria" w:eastAsia="Cambria" w:hAnsi="Cambria" w:cs="Cambria"/>
          <w:i/>
          <w:iCs/>
          <w:sz w:val="16"/>
          <w:szCs w:val="16"/>
          <w:lang w:val="es-US"/>
        </w:rPr>
        <w:t xml:space="preserve"> Prensa</w:t>
      </w:r>
      <w:r w:rsidR="00D50056" w:rsidRPr="008A7BD7">
        <w:rPr>
          <w:rFonts w:ascii="Cambria" w:eastAsia="Cambria" w:hAnsi="Cambria" w:cs="Cambria"/>
          <w:sz w:val="16"/>
          <w:szCs w:val="16"/>
          <w:lang w:val="es-US"/>
        </w:rPr>
        <w:t xml:space="preserve">, </w:t>
      </w:r>
      <w:hyperlink r:id="rId268">
        <w:r w:rsidR="00D50056" w:rsidRPr="008A7BD7">
          <w:rPr>
            <w:rFonts w:ascii="Cambria" w:eastAsia="Cambria" w:hAnsi="Cambria" w:cs="Cambria"/>
            <w:i/>
            <w:iCs/>
            <w:sz w:val="16"/>
            <w:szCs w:val="16"/>
            <w:u w:val="single"/>
            <w:lang w:val="es-US"/>
          </w:rPr>
          <w:t>El hacinamiento en las cárceles continúa sin que se implementen mecanismos alternativos – Prensa Libre</w:t>
        </w:r>
      </w:hyperlink>
      <w:r w:rsidR="00D50056" w:rsidRPr="008A7BD7">
        <w:rPr>
          <w:rFonts w:ascii="Cambria" w:eastAsia="Cambria" w:hAnsi="Cambria" w:cs="Cambria"/>
          <w:sz w:val="16"/>
          <w:szCs w:val="16"/>
          <w:lang w:val="es-US"/>
        </w:rPr>
        <w:t xml:space="preserve">, </w:t>
      </w:r>
      <w:proofErr w:type="spellStart"/>
      <w:r w:rsidR="00D50056" w:rsidRPr="008A7BD7">
        <w:rPr>
          <w:rFonts w:ascii="Cambria" w:eastAsia="Cambria" w:hAnsi="Cambria" w:cs="Cambria"/>
          <w:sz w:val="16"/>
          <w:szCs w:val="16"/>
          <w:lang w:val="es-US"/>
        </w:rPr>
        <w:t>September</w:t>
      </w:r>
      <w:proofErr w:type="spellEnd"/>
      <w:r w:rsidR="00D50056" w:rsidRPr="008A7BD7">
        <w:rPr>
          <w:rFonts w:ascii="Cambria" w:eastAsia="Cambria" w:hAnsi="Cambria" w:cs="Cambria"/>
          <w:sz w:val="16"/>
          <w:szCs w:val="16"/>
          <w:lang w:val="es-US"/>
        </w:rPr>
        <w:t xml:space="preserve"> 16, 2021</w:t>
      </w:r>
      <w:r w:rsidRPr="008A7BD7">
        <w:rPr>
          <w:rFonts w:ascii="Cambria" w:eastAsia="Cambria" w:hAnsi="Cambria" w:cs="Cambria"/>
          <w:sz w:val="16"/>
          <w:szCs w:val="16"/>
          <w:lang w:val="es-US"/>
        </w:rPr>
        <w:t xml:space="preserve">. </w:t>
      </w:r>
    </w:p>
  </w:footnote>
  <w:footnote w:id="256">
    <w:p w14:paraId="02E36890" w14:textId="45AD5576"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D50056" w:rsidRPr="008A7BD7">
        <w:rPr>
          <w:rFonts w:ascii="Cambria" w:eastAsia="Cambria" w:hAnsi="Cambria" w:cs="Cambria"/>
          <w:sz w:val="16"/>
          <w:szCs w:val="16"/>
        </w:rPr>
        <w:t xml:space="preserve">Along these lines, see IACHR, </w:t>
      </w:r>
      <w:hyperlink r:id="rId269" w:history="1">
        <w:r w:rsidR="00D50056" w:rsidRPr="008A7BD7">
          <w:rPr>
            <w:rStyle w:val="Hyperlink"/>
            <w:rFonts w:ascii="Cambria" w:eastAsia="Cambria" w:hAnsi="Cambria" w:cs="Cambria"/>
            <w:sz w:val="16"/>
            <w:szCs w:val="16"/>
          </w:rPr>
          <w:t>Report on Measures Aimed at Reducing the Use of Pretrial Detention in the Americas</w:t>
        </w:r>
      </w:hyperlink>
      <w:r w:rsidR="00D50056" w:rsidRPr="008A7BD7">
        <w:rPr>
          <w:rFonts w:ascii="Cambria" w:eastAsia="Cambria" w:hAnsi="Cambria" w:cs="Cambria"/>
          <w:sz w:val="16"/>
          <w:szCs w:val="16"/>
        </w:rPr>
        <w:t xml:space="preserve">, par. </w:t>
      </w:r>
      <w:r w:rsidRPr="008A7BD7">
        <w:rPr>
          <w:rFonts w:ascii="Cambria" w:eastAsia="Cambria" w:hAnsi="Cambria" w:cs="Cambria"/>
          <w:sz w:val="16"/>
          <w:szCs w:val="16"/>
        </w:rPr>
        <w:t xml:space="preserve">108.  </w:t>
      </w:r>
    </w:p>
  </w:footnote>
  <w:footnote w:id="257">
    <w:p w14:paraId="692F1448" w14:textId="341D185F"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6D3988" w:rsidRPr="008A7BD7">
        <w:rPr>
          <w:rFonts w:ascii="Cambria" w:eastAsia="Cambria" w:hAnsi="Cambria" w:cs="Cambria"/>
          <w:sz w:val="16"/>
          <w:szCs w:val="16"/>
        </w:rPr>
        <w:t xml:space="preserve">See IACHR, </w:t>
      </w:r>
      <w:hyperlink r:id="rId270" w:history="1">
        <w:r w:rsidR="006D3988" w:rsidRPr="008A7BD7">
          <w:rPr>
            <w:rStyle w:val="Hyperlink"/>
            <w:rFonts w:ascii="Cambria" w:eastAsia="Cambria" w:hAnsi="Cambria" w:cs="Cambria"/>
            <w:sz w:val="16"/>
            <w:szCs w:val="16"/>
          </w:rPr>
          <w:t>Report on Measures Aimed at Reducing the Use of Pretrial Detention in the Americas</w:t>
        </w:r>
      </w:hyperlink>
      <w:r w:rsidR="006D3988" w:rsidRPr="008A7BD7">
        <w:rPr>
          <w:rFonts w:ascii="Cambria" w:eastAsia="Cambria" w:hAnsi="Cambria" w:cs="Cambria"/>
          <w:sz w:val="16"/>
          <w:szCs w:val="16"/>
        </w:rPr>
        <w:t xml:space="preserve">, par. </w:t>
      </w:r>
      <w:r w:rsidRPr="008A7BD7">
        <w:rPr>
          <w:rFonts w:ascii="Cambria" w:eastAsia="Cambria" w:hAnsi="Cambria" w:cs="Cambria"/>
          <w:sz w:val="16"/>
          <w:szCs w:val="16"/>
        </w:rPr>
        <w:t xml:space="preserve">110.   </w:t>
      </w:r>
    </w:p>
  </w:footnote>
  <w:footnote w:id="258">
    <w:p w14:paraId="4E2A024C" w14:textId="5E02A7C0"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A00F44" w:rsidRPr="008A7BD7">
        <w:rPr>
          <w:rFonts w:ascii="Cambria" w:eastAsia="Cambria" w:hAnsi="Cambria" w:cs="Cambria"/>
          <w:sz w:val="16"/>
          <w:szCs w:val="16"/>
        </w:rPr>
        <w:t xml:space="preserve">Government of </w:t>
      </w:r>
      <w:r w:rsidRPr="008A7BD7">
        <w:rPr>
          <w:rFonts w:ascii="Cambria" w:eastAsia="Cambria" w:hAnsi="Cambria" w:cs="Cambria"/>
          <w:sz w:val="16"/>
          <w:szCs w:val="16"/>
        </w:rPr>
        <w:t xml:space="preserve">Guatemala, </w:t>
      </w:r>
      <w:r w:rsidR="00A00F44" w:rsidRPr="008A7BD7">
        <w:rPr>
          <w:rFonts w:ascii="Cambria" w:eastAsia="Cambria" w:hAnsi="Cambria" w:cs="Cambria"/>
          <w:sz w:val="16"/>
          <w:szCs w:val="16"/>
        </w:rPr>
        <w:t xml:space="preserve">Diplomatic Note </w:t>
      </w:r>
      <w:r w:rsidRPr="008A7BD7">
        <w:rPr>
          <w:rFonts w:ascii="Cambria" w:eastAsia="Cambria" w:hAnsi="Cambria" w:cs="Cambria"/>
          <w:sz w:val="16"/>
          <w:szCs w:val="16"/>
        </w:rPr>
        <w:t xml:space="preserve">No. NV-OEA-M4-No. 631-2021 </w:t>
      </w:r>
      <w:r w:rsidR="001373B5" w:rsidRPr="008A7BD7">
        <w:rPr>
          <w:rFonts w:ascii="Cambria" w:eastAsia="Cambria" w:hAnsi="Cambria" w:cs="Cambria"/>
          <w:sz w:val="16"/>
          <w:szCs w:val="16"/>
        </w:rPr>
        <w:t>–</w:t>
      </w:r>
      <w:r w:rsidRPr="008A7BD7">
        <w:rPr>
          <w:rFonts w:ascii="Cambria" w:eastAsia="Cambria" w:hAnsi="Cambria" w:cs="Cambria"/>
          <w:sz w:val="16"/>
          <w:szCs w:val="16"/>
        </w:rPr>
        <w:t xml:space="preserve"> </w:t>
      </w:r>
      <w:r w:rsidR="001373B5" w:rsidRPr="008A7BD7">
        <w:rPr>
          <w:rFonts w:ascii="Cambria" w:eastAsia="Cambria" w:hAnsi="Cambria" w:cs="Cambria"/>
          <w:sz w:val="16"/>
          <w:szCs w:val="16"/>
        </w:rPr>
        <w:t>Response from the Presidential Commission for Peace and Human Rights (</w:t>
      </w:r>
      <w:r w:rsidRPr="008A7BD7">
        <w:rPr>
          <w:rFonts w:ascii="Cambria" w:eastAsia="Cambria" w:hAnsi="Cambria" w:cs="Cambria"/>
          <w:sz w:val="16"/>
          <w:szCs w:val="16"/>
        </w:rPr>
        <w:t>COPADEH</w:t>
      </w:r>
      <w:r w:rsidR="001373B5" w:rsidRPr="008A7BD7">
        <w:rPr>
          <w:rFonts w:ascii="Cambria" w:eastAsia="Cambria" w:hAnsi="Cambria" w:cs="Cambria"/>
          <w:sz w:val="16"/>
          <w:szCs w:val="16"/>
        </w:rPr>
        <w:t>)</w:t>
      </w:r>
      <w:r w:rsidRPr="008A7BD7">
        <w:rPr>
          <w:rFonts w:ascii="Cambria" w:eastAsia="Cambria" w:hAnsi="Cambria" w:cs="Cambria"/>
          <w:sz w:val="16"/>
          <w:szCs w:val="16"/>
        </w:rPr>
        <w:t xml:space="preserve"> </w:t>
      </w:r>
      <w:r w:rsidR="001373B5" w:rsidRPr="008A7BD7">
        <w:rPr>
          <w:rFonts w:ascii="Cambria" w:eastAsia="Cambria" w:hAnsi="Cambria" w:cs="Cambria"/>
          <w:sz w:val="16"/>
          <w:szCs w:val="16"/>
        </w:rPr>
        <w:t xml:space="preserve">to the Consultation Questionnaire on compliance with the recommendations of the Inter-American Commission on Human Rights (IACHR) related to detention conditions and pretrial detention in </w:t>
      </w:r>
      <w:r w:rsidRPr="008A7BD7">
        <w:rPr>
          <w:rFonts w:ascii="Cambria" w:eastAsia="Cambria" w:hAnsi="Cambria" w:cs="Cambria"/>
          <w:sz w:val="16"/>
          <w:szCs w:val="16"/>
        </w:rPr>
        <w:t>Guatemala, Honduras</w:t>
      </w:r>
      <w:r w:rsidR="001373B5" w:rsidRPr="008A7BD7">
        <w:rPr>
          <w:rFonts w:ascii="Cambria" w:eastAsia="Cambria" w:hAnsi="Cambria" w:cs="Cambria"/>
          <w:sz w:val="16"/>
          <w:szCs w:val="16"/>
        </w:rPr>
        <w:t>, and</w:t>
      </w:r>
      <w:r w:rsidRPr="008A7BD7">
        <w:rPr>
          <w:rFonts w:ascii="Cambria" w:eastAsia="Cambria" w:hAnsi="Cambria" w:cs="Cambria"/>
          <w:sz w:val="16"/>
          <w:szCs w:val="16"/>
        </w:rPr>
        <w:t xml:space="preserve"> El Salvador, </w:t>
      </w:r>
      <w:r w:rsidR="001373B5" w:rsidRPr="008A7BD7">
        <w:rPr>
          <w:rFonts w:ascii="Cambria" w:eastAsia="Cambria" w:hAnsi="Cambria" w:cs="Cambria"/>
          <w:sz w:val="16"/>
          <w:szCs w:val="16"/>
        </w:rPr>
        <w:t xml:space="preserve">August </w:t>
      </w:r>
      <w:r w:rsidRPr="008A7BD7">
        <w:rPr>
          <w:rFonts w:ascii="Cambria" w:eastAsia="Cambria" w:hAnsi="Cambria" w:cs="Cambria"/>
          <w:sz w:val="16"/>
          <w:szCs w:val="16"/>
        </w:rPr>
        <w:t>5</w:t>
      </w:r>
      <w:r w:rsidR="001373B5" w:rsidRPr="008A7BD7">
        <w:rPr>
          <w:rFonts w:ascii="Cambria" w:eastAsia="Cambria" w:hAnsi="Cambria" w:cs="Cambria"/>
          <w:sz w:val="16"/>
          <w:szCs w:val="16"/>
        </w:rPr>
        <w:t xml:space="preserve">, </w:t>
      </w:r>
      <w:r w:rsidRPr="008A7BD7">
        <w:rPr>
          <w:rFonts w:ascii="Cambria" w:eastAsia="Cambria" w:hAnsi="Cambria" w:cs="Cambria"/>
          <w:sz w:val="16"/>
          <w:szCs w:val="16"/>
        </w:rPr>
        <w:t>2021, pp. 9, 41-43</w:t>
      </w:r>
      <w:r w:rsidR="001373B5" w:rsidRPr="008A7BD7">
        <w:rPr>
          <w:rFonts w:ascii="Cambria" w:eastAsia="Cambria" w:hAnsi="Cambria" w:cs="Cambria"/>
          <w:sz w:val="16"/>
          <w:szCs w:val="16"/>
        </w:rPr>
        <w:t xml:space="preserve">, and </w:t>
      </w:r>
      <w:r w:rsidRPr="008A7BD7">
        <w:rPr>
          <w:rFonts w:ascii="Cambria" w:eastAsia="Cambria" w:hAnsi="Cambria" w:cs="Cambria"/>
          <w:sz w:val="16"/>
          <w:szCs w:val="16"/>
        </w:rPr>
        <w:t xml:space="preserve">47.   </w:t>
      </w:r>
    </w:p>
  </w:footnote>
  <w:footnote w:id="259">
    <w:p w14:paraId="3CA6FCEB" w14:textId="7873ABDD"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1373B5" w:rsidRPr="008A7BD7">
        <w:rPr>
          <w:rFonts w:ascii="Cambria" w:eastAsia="Cambria" w:hAnsi="Cambria" w:cs="Cambria"/>
          <w:sz w:val="16"/>
          <w:szCs w:val="16"/>
        </w:rPr>
        <w:t>Government of Guatemala, Diplomatic Note No. NV-OEA-M4-No. 631-2021 – Response from the Presidential Commission for Peace and Human Rights (COPADEH) to the Consultation Questionnaire on compliance with the recommendations of the Inter-American Commission on Human Rights (IACHR) related to detention conditions and pretrial detention in Guatemala, Honduras, and El Salvador, August 5, 2021</w:t>
      </w:r>
      <w:r w:rsidRPr="008A7BD7">
        <w:rPr>
          <w:rFonts w:ascii="Cambria" w:eastAsia="Cambria" w:hAnsi="Cambria" w:cs="Cambria"/>
          <w:sz w:val="16"/>
          <w:szCs w:val="16"/>
        </w:rPr>
        <w:t xml:space="preserve">, p. 44.     </w:t>
      </w:r>
    </w:p>
  </w:footnote>
  <w:footnote w:id="260">
    <w:p w14:paraId="6D419F02" w14:textId="614AABCF"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1373B5" w:rsidRPr="008A7BD7">
        <w:rPr>
          <w:rFonts w:ascii="Cambria" w:eastAsia="Cambria" w:hAnsi="Cambria" w:cs="Cambria"/>
          <w:sz w:val="16"/>
          <w:szCs w:val="16"/>
        </w:rPr>
        <w:t>Government of Guatemala, Diplomatic Note No. NV-OEA-M4-No. 631-2021 – Response from the Presidential Commission for Peace and Human Rights (COPADEH) to the Consultation Questionnaire on compliance with the recommendations of the Inter-American Commission on Human Rights (IACHR) related to detention conditions and pretrial detention in Guatemala, Honduras, and El Salvador, August 5, 2021</w:t>
      </w:r>
      <w:r w:rsidRPr="008A7BD7">
        <w:rPr>
          <w:rFonts w:ascii="Cambria" w:eastAsia="Cambria" w:hAnsi="Cambria" w:cs="Cambria"/>
          <w:sz w:val="16"/>
          <w:szCs w:val="16"/>
        </w:rPr>
        <w:t xml:space="preserve">, pp. 45-46.     </w:t>
      </w:r>
    </w:p>
    <w:bookmarkStart w:id="10" w:name="_heading=h.3dy6vkm" w:colFirst="0" w:colLast="0"/>
    <w:bookmarkEnd w:id="10"/>
  </w:footnote>
  <w:footnote w:id="261">
    <w:p w14:paraId="097DEF30" w14:textId="27BB4A91"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sz w:val="16"/>
          <w:szCs w:val="16"/>
        </w:rPr>
      </w:pPr>
      <w:bookmarkStart w:id="11" w:name="_heading=h.3dy6vkm" w:colFirst="0" w:colLast="0"/>
      <w:bookmarkEnd w:id="11"/>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896802" w:rsidRPr="008A7BD7">
        <w:rPr>
          <w:rFonts w:ascii="Cambria" w:eastAsia="Cambria" w:hAnsi="Cambria" w:cs="Cambria"/>
          <w:sz w:val="16"/>
          <w:szCs w:val="16"/>
        </w:rPr>
        <w:t>Specifically, it contains the following information</w:t>
      </w:r>
      <w:r w:rsidRPr="008A7BD7">
        <w:rPr>
          <w:rFonts w:ascii="Cambria" w:eastAsia="Cambria" w:hAnsi="Cambria" w:cs="Cambria"/>
          <w:sz w:val="16"/>
          <w:szCs w:val="16"/>
        </w:rPr>
        <w:t xml:space="preserve">: </w:t>
      </w:r>
      <w:r w:rsidR="00006722" w:rsidRPr="008A7BD7">
        <w:rPr>
          <w:rFonts w:ascii="Cambria" w:eastAsia="Cambria" w:hAnsi="Cambria" w:cs="Cambria"/>
          <w:sz w:val="16"/>
          <w:szCs w:val="16"/>
        </w:rPr>
        <w:t xml:space="preserve">names and </w:t>
      </w:r>
      <w:r w:rsidR="00896802" w:rsidRPr="008A7BD7">
        <w:rPr>
          <w:rFonts w:ascii="Cambria" w:eastAsia="Cambria" w:hAnsi="Cambria" w:cs="Cambria"/>
          <w:sz w:val="16"/>
          <w:szCs w:val="16"/>
        </w:rPr>
        <w:t>surnames</w:t>
      </w:r>
      <w:r w:rsidRPr="008A7BD7">
        <w:rPr>
          <w:rFonts w:ascii="Cambria" w:eastAsia="Cambria" w:hAnsi="Cambria" w:cs="Cambria"/>
          <w:sz w:val="16"/>
          <w:szCs w:val="16"/>
        </w:rPr>
        <w:t xml:space="preserve">; </w:t>
      </w:r>
      <w:r w:rsidR="00006722" w:rsidRPr="008A7BD7">
        <w:rPr>
          <w:rFonts w:ascii="Cambria" w:eastAsia="Cambria" w:hAnsi="Cambria" w:cs="Cambria"/>
          <w:sz w:val="16"/>
          <w:szCs w:val="16"/>
        </w:rPr>
        <w:t>identity document number</w:t>
      </w:r>
      <w:r w:rsidRPr="008A7BD7">
        <w:rPr>
          <w:rFonts w:ascii="Cambria" w:eastAsia="Cambria" w:hAnsi="Cambria" w:cs="Cambria"/>
          <w:sz w:val="16"/>
          <w:szCs w:val="16"/>
        </w:rPr>
        <w:t xml:space="preserve">; </w:t>
      </w:r>
      <w:r w:rsidR="00006722" w:rsidRPr="008A7BD7">
        <w:rPr>
          <w:rFonts w:ascii="Cambria" w:eastAsia="Cambria" w:hAnsi="Cambria" w:cs="Cambria"/>
          <w:sz w:val="16"/>
          <w:szCs w:val="16"/>
        </w:rPr>
        <w:t xml:space="preserve">age; gender; marital status; nationality; place of residence and address for notifications; name of close relatives or trusted individuals and addresses for notification purposes; center or location where the person is being held; judge who issued the order for arrest or pretrial detention, or whether this is a case of arrest in the act of committing a crime; court </w:t>
      </w:r>
      <w:r w:rsidR="00D92665" w:rsidRPr="008A7BD7">
        <w:rPr>
          <w:rFonts w:ascii="Cambria" w:eastAsia="Cambria" w:hAnsi="Cambria" w:cs="Cambria"/>
          <w:sz w:val="16"/>
          <w:szCs w:val="16"/>
        </w:rPr>
        <w:t>that has the person in custody; name of defender and how to locate that person for notifications</w:t>
      </w:r>
      <w:r w:rsidRPr="008A7BD7">
        <w:rPr>
          <w:rFonts w:ascii="Cambria" w:eastAsia="Cambria" w:hAnsi="Cambria" w:cs="Cambria"/>
          <w:sz w:val="16"/>
          <w:szCs w:val="16"/>
        </w:rPr>
        <w:t xml:space="preserve">; </w:t>
      </w:r>
      <w:r w:rsidR="00D92665" w:rsidRPr="008A7BD7">
        <w:rPr>
          <w:rFonts w:ascii="Cambria" w:eastAsia="Cambria" w:hAnsi="Cambria" w:cs="Cambria"/>
          <w:sz w:val="16"/>
          <w:szCs w:val="16"/>
        </w:rPr>
        <w:t>and name of parents</w:t>
      </w:r>
      <w:r w:rsidRPr="008A7BD7">
        <w:rPr>
          <w:rFonts w:ascii="Cambria" w:eastAsia="Cambria" w:hAnsi="Cambria" w:cs="Cambria"/>
          <w:sz w:val="16"/>
          <w:szCs w:val="16"/>
        </w:rPr>
        <w:t xml:space="preserve">. </w:t>
      </w:r>
      <w:r w:rsidR="00D92665" w:rsidRPr="008A7BD7">
        <w:rPr>
          <w:rFonts w:ascii="Cambria" w:eastAsia="Cambria" w:hAnsi="Cambria" w:cs="Cambria"/>
          <w:sz w:val="16"/>
          <w:szCs w:val="16"/>
        </w:rPr>
        <w:t>See</w:t>
      </w:r>
      <w:r w:rsidRPr="008A7BD7">
        <w:rPr>
          <w:rFonts w:ascii="Cambria" w:eastAsia="Cambria" w:hAnsi="Cambria" w:cs="Cambria"/>
          <w:sz w:val="16"/>
          <w:szCs w:val="16"/>
        </w:rPr>
        <w:t xml:space="preserve">: </w:t>
      </w:r>
      <w:r w:rsidR="00D92665" w:rsidRPr="008A7BD7">
        <w:rPr>
          <w:rFonts w:ascii="Cambria" w:eastAsia="Cambria" w:hAnsi="Cambria" w:cs="Cambria"/>
          <w:sz w:val="16"/>
          <w:szCs w:val="16"/>
        </w:rPr>
        <w:t>Government of Guatemala, Diplomatic Note No. NV-OEA-M4-No. 631-2021 – Response from the Presidential Commission for Peace and Human Rights (COPADEH) to the Consultation Questionnaire on compliance with the recommendations of the Inter-American Commission on Human Rights (IACHR) related to detention conditions and pretrial detention in Guatemala, Honduras, and El Salvador, August 5, 2021, pp. 45-46</w:t>
      </w:r>
      <w:r w:rsidRPr="008A7BD7">
        <w:rPr>
          <w:rFonts w:ascii="Cambria" w:eastAsia="Cambria" w:hAnsi="Cambria" w:cs="Cambria"/>
          <w:sz w:val="16"/>
          <w:szCs w:val="16"/>
        </w:rPr>
        <w:t xml:space="preserve">.  </w:t>
      </w:r>
    </w:p>
  </w:footnote>
  <w:footnote w:id="262">
    <w:p w14:paraId="3F4DC7CC" w14:textId="05480DA6"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8A7BD7">
        <w:rPr>
          <w:rStyle w:val="FootnoteReference"/>
          <w:rFonts w:ascii="Cambria" w:hAnsi="Cambria"/>
          <w:sz w:val="16"/>
          <w:szCs w:val="16"/>
        </w:rPr>
        <w:footnoteRef/>
      </w:r>
      <w:r w:rsidRPr="008A7BD7">
        <w:rPr>
          <w:rFonts w:ascii="Cambria" w:eastAsia="Cambria" w:hAnsi="Cambria" w:cs="Cambria"/>
          <w:color w:val="000000"/>
          <w:sz w:val="16"/>
          <w:szCs w:val="16"/>
          <w:lang w:val="es-US"/>
        </w:rPr>
        <w:t xml:space="preserve"> </w:t>
      </w:r>
      <w:r w:rsidR="00A1120E" w:rsidRPr="008A7BD7">
        <w:rPr>
          <w:rFonts w:ascii="Cambria" w:eastAsia="Cambria" w:hAnsi="Cambria" w:cs="Cambria"/>
          <w:sz w:val="16"/>
          <w:szCs w:val="16"/>
          <w:lang w:val="es-US"/>
        </w:rPr>
        <w:t xml:space="preserve">Colectivo Artesana and </w:t>
      </w:r>
      <w:proofErr w:type="spellStart"/>
      <w:r w:rsidR="00A1120E" w:rsidRPr="008A7BD7">
        <w:rPr>
          <w:rFonts w:ascii="Cambria" w:eastAsia="Cambria" w:hAnsi="Cambria" w:cs="Cambria"/>
          <w:sz w:val="16"/>
          <w:szCs w:val="16"/>
          <w:lang w:val="es-US"/>
        </w:rPr>
        <w:t>Sare</w:t>
      </w:r>
      <w:proofErr w:type="spellEnd"/>
      <w:r w:rsidR="00A1120E" w:rsidRPr="008A7BD7">
        <w:rPr>
          <w:rFonts w:ascii="Cambria" w:eastAsia="Cambria" w:hAnsi="Cambria" w:cs="Cambria"/>
          <w:sz w:val="16"/>
          <w:szCs w:val="16"/>
          <w:lang w:val="es-US"/>
        </w:rPr>
        <w:t xml:space="preserve"> </w:t>
      </w:r>
      <w:proofErr w:type="spellStart"/>
      <w:r w:rsidR="00A1120E" w:rsidRPr="008A7BD7">
        <w:rPr>
          <w:rFonts w:ascii="Cambria" w:eastAsia="Cambria" w:hAnsi="Cambria" w:cs="Cambria"/>
          <w:sz w:val="16"/>
          <w:szCs w:val="16"/>
          <w:lang w:val="es-US"/>
        </w:rPr>
        <w:t>Consultants</w:t>
      </w:r>
      <w:proofErr w:type="spellEnd"/>
      <w:r w:rsidR="00A1120E" w:rsidRPr="008A7BD7">
        <w:rPr>
          <w:rFonts w:ascii="Cambria" w:eastAsia="Cambria" w:hAnsi="Cambria" w:cs="Cambria"/>
          <w:sz w:val="16"/>
          <w:szCs w:val="16"/>
          <w:lang w:val="es-US"/>
        </w:rPr>
        <w:t xml:space="preserve">, </w:t>
      </w:r>
      <w:r w:rsidR="00A1120E" w:rsidRPr="008A7BD7">
        <w:rPr>
          <w:rFonts w:ascii="Cambria" w:eastAsia="Cambria" w:hAnsi="Cambria" w:cs="Cambria"/>
          <w:i/>
          <w:iCs/>
          <w:sz w:val="16"/>
          <w:szCs w:val="16"/>
          <w:lang w:val="es-US"/>
        </w:rPr>
        <w:t>Consideraciones sobre la privación de libertad en Guatemala 2021</w:t>
      </w:r>
      <w:r w:rsidR="00A1120E" w:rsidRPr="008A7BD7">
        <w:rPr>
          <w:rFonts w:ascii="Cambria" w:eastAsia="Cambria" w:hAnsi="Cambria" w:cs="Cambria"/>
          <w:sz w:val="16"/>
          <w:szCs w:val="16"/>
          <w:lang w:val="es-US"/>
        </w:rPr>
        <w:t xml:space="preserve">, </w:t>
      </w:r>
      <w:proofErr w:type="spellStart"/>
      <w:r w:rsidR="00A1120E" w:rsidRPr="008A7BD7">
        <w:rPr>
          <w:rFonts w:ascii="Cambria" w:eastAsia="Cambria" w:hAnsi="Cambria" w:cs="Cambria"/>
          <w:sz w:val="16"/>
          <w:szCs w:val="16"/>
          <w:lang w:val="es-US"/>
        </w:rPr>
        <w:t>Records</w:t>
      </w:r>
      <w:proofErr w:type="spellEnd"/>
      <w:r w:rsidR="00A1120E" w:rsidRPr="008A7BD7">
        <w:rPr>
          <w:rFonts w:ascii="Cambria" w:eastAsia="Cambria" w:hAnsi="Cambria" w:cs="Cambria"/>
          <w:sz w:val="16"/>
          <w:szCs w:val="16"/>
          <w:lang w:val="es-US"/>
        </w:rPr>
        <w:t xml:space="preserve"> of </w:t>
      </w:r>
      <w:proofErr w:type="spellStart"/>
      <w:r w:rsidR="00A1120E" w:rsidRPr="008A7BD7">
        <w:rPr>
          <w:rFonts w:ascii="Cambria" w:eastAsia="Cambria" w:hAnsi="Cambria" w:cs="Cambria"/>
          <w:sz w:val="16"/>
          <w:szCs w:val="16"/>
          <w:lang w:val="es-US"/>
        </w:rPr>
        <w:t>the</w:t>
      </w:r>
      <w:proofErr w:type="spellEnd"/>
      <w:r w:rsidR="00A1120E" w:rsidRPr="008A7BD7">
        <w:rPr>
          <w:rFonts w:ascii="Cambria" w:eastAsia="Cambria" w:hAnsi="Cambria" w:cs="Cambria"/>
          <w:sz w:val="16"/>
          <w:szCs w:val="16"/>
          <w:lang w:val="es-US"/>
        </w:rPr>
        <w:t xml:space="preserve"> IACHR, </w:t>
      </w:r>
      <w:proofErr w:type="spellStart"/>
      <w:r w:rsidR="00A1120E" w:rsidRPr="008A7BD7">
        <w:rPr>
          <w:rFonts w:ascii="Cambria" w:eastAsia="Cambria" w:hAnsi="Cambria" w:cs="Cambria"/>
          <w:sz w:val="16"/>
          <w:szCs w:val="16"/>
          <w:lang w:val="es-US"/>
        </w:rPr>
        <w:t>September</w:t>
      </w:r>
      <w:proofErr w:type="spellEnd"/>
      <w:r w:rsidR="00A1120E" w:rsidRPr="008A7BD7">
        <w:rPr>
          <w:rFonts w:ascii="Cambria" w:eastAsia="Cambria" w:hAnsi="Cambria" w:cs="Cambria"/>
          <w:sz w:val="16"/>
          <w:szCs w:val="16"/>
          <w:lang w:val="es-US"/>
        </w:rPr>
        <w:t xml:space="preserve"> 27, 2021, p. </w:t>
      </w:r>
      <w:r w:rsidRPr="008A7BD7">
        <w:rPr>
          <w:rFonts w:ascii="Cambria" w:eastAsia="Cambria" w:hAnsi="Cambria" w:cs="Cambria"/>
          <w:color w:val="000000"/>
          <w:sz w:val="16"/>
          <w:szCs w:val="16"/>
          <w:lang w:val="es-US"/>
        </w:rPr>
        <w:t xml:space="preserve">2. </w:t>
      </w:r>
    </w:p>
  </w:footnote>
  <w:footnote w:id="263">
    <w:p w14:paraId="25F6C244" w14:textId="176C53B5"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8A7BD7">
        <w:rPr>
          <w:rStyle w:val="FootnoteReference"/>
          <w:rFonts w:ascii="Cambria" w:hAnsi="Cambria"/>
          <w:sz w:val="16"/>
          <w:szCs w:val="16"/>
        </w:rPr>
        <w:footnoteRef/>
      </w:r>
      <w:r w:rsidRPr="008A7BD7">
        <w:rPr>
          <w:rFonts w:ascii="Cambria" w:eastAsia="Cambria" w:hAnsi="Cambria" w:cs="Cambria"/>
          <w:color w:val="000000"/>
          <w:sz w:val="16"/>
          <w:szCs w:val="16"/>
          <w:lang w:val="es-US"/>
        </w:rPr>
        <w:t xml:space="preserve"> </w:t>
      </w:r>
      <w:r w:rsidR="00A1120E" w:rsidRPr="008A7BD7">
        <w:rPr>
          <w:rFonts w:ascii="Cambria" w:eastAsia="Cambria" w:hAnsi="Cambria" w:cs="Cambria"/>
          <w:sz w:val="16"/>
          <w:szCs w:val="16"/>
          <w:lang w:val="es-US"/>
        </w:rPr>
        <w:t xml:space="preserve">Colectivo Artesana and </w:t>
      </w:r>
      <w:proofErr w:type="spellStart"/>
      <w:r w:rsidR="00A1120E" w:rsidRPr="008A7BD7">
        <w:rPr>
          <w:rFonts w:ascii="Cambria" w:eastAsia="Cambria" w:hAnsi="Cambria" w:cs="Cambria"/>
          <w:sz w:val="16"/>
          <w:szCs w:val="16"/>
          <w:lang w:val="es-US"/>
        </w:rPr>
        <w:t>Sare</w:t>
      </w:r>
      <w:proofErr w:type="spellEnd"/>
      <w:r w:rsidR="00A1120E" w:rsidRPr="008A7BD7">
        <w:rPr>
          <w:rFonts w:ascii="Cambria" w:eastAsia="Cambria" w:hAnsi="Cambria" w:cs="Cambria"/>
          <w:sz w:val="16"/>
          <w:szCs w:val="16"/>
          <w:lang w:val="es-US"/>
        </w:rPr>
        <w:t xml:space="preserve"> </w:t>
      </w:r>
      <w:proofErr w:type="spellStart"/>
      <w:r w:rsidR="00A1120E" w:rsidRPr="008A7BD7">
        <w:rPr>
          <w:rFonts w:ascii="Cambria" w:eastAsia="Cambria" w:hAnsi="Cambria" w:cs="Cambria"/>
          <w:sz w:val="16"/>
          <w:szCs w:val="16"/>
          <w:lang w:val="es-US"/>
        </w:rPr>
        <w:t>Consultants</w:t>
      </w:r>
      <w:proofErr w:type="spellEnd"/>
      <w:r w:rsidR="00A1120E" w:rsidRPr="008A7BD7">
        <w:rPr>
          <w:rFonts w:ascii="Cambria" w:eastAsia="Cambria" w:hAnsi="Cambria" w:cs="Cambria"/>
          <w:sz w:val="16"/>
          <w:szCs w:val="16"/>
          <w:lang w:val="es-US"/>
        </w:rPr>
        <w:t xml:space="preserve">, </w:t>
      </w:r>
      <w:r w:rsidR="00A1120E" w:rsidRPr="008A7BD7">
        <w:rPr>
          <w:rFonts w:ascii="Cambria" w:eastAsia="Cambria" w:hAnsi="Cambria" w:cs="Cambria"/>
          <w:i/>
          <w:iCs/>
          <w:sz w:val="16"/>
          <w:szCs w:val="16"/>
          <w:lang w:val="es-US"/>
        </w:rPr>
        <w:t>Consideraciones sobre la privación de libertad en Guatemala 2021</w:t>
      </w:r>
      <w:r w:rsidR="00A1120E" w:rsidRPr="008A7BD7">
        <w:rPr>
          <w:rFonts w:ascii="Cambria" w:eastAsia="Cambria" w:hAnsi="Cambria" w:cs="Cambria"/>
          <w:sz w:val="16"/>
          <w:szCs w:val="16"/>
          <w:lang w:val="es-US"/>
        </w:rPr>
        <w:t xml:space="preserve">, </w:t>
      </w:r>
      <w:proofErr w:type="spellStart"/>
      <w:r w:rsidR="00A1120E" w:rsidRPr="008A7BD7">
        <w:rPr>
          <w:rFonts w:ascii="Cambria" w:eastAsia="Cambria" w:hAnsi="Cambria" w:cs="Cambria"/>
          <w:sz w:val="16"/>
          <w:szCs w:val="16"/>
          <w:lang w:val="es-US"/>
        </w:rPr>
        <w:t>Records</w:t>
      </w:r>
      <w:proofErr w:type="spellEnd"/>
      <w:r w:rsidR="00A1120E" w:rsidRPr="008A7BD7">
        <w:rPr>
          <w:rFonts w:ascii="Cambria" w:eastAsia="Cambria" w:hAnsi="Cambria" w:cs="Cambria"/>
          <w:sz w:val="16"/>
          <w:szCs w:val="16"/>
          <w:lang w:val="es-US"/>
        </w:rPr>
        <w:t xml:space="preserve"> of </w:t>
      </w:r>
      <w:proofErr w:type="spellStart"/>
      <w:r w:rsidR="00A1120E" w:rsidRPr="008A7BD7">
        <w:rPr>
          <w:rFonts w:ascii="Cambria" w:eastAsia="Cambria" w:hAnsi="Cambria" w:cs="Cambria"/>
          <w:sz w:val="16"/>
          <w:szCs w:val="16"/>
          <w:lang w:val="es-US"/>
        </w:rPr>
        <w:t>the</w:t>
      </w:r>
      <w:proofErr w:type="spellEnd"/>
      <w:r w:rsidR="00A1120E" w:rsidRPr="008A7BD7">
        <w:rPr>
          <w:rFonts w:ascii="Cambria" w:eastAsia="Cambria" w:hAnsi="Cambria" w:cs="Cambria"/>
          <w:sz w:val="16"/>
          <w:szCs w:val="16"/>
          <w:lang w:val="es-US"/>
        </w:rPr>
        <w:t xml:space="preserve"> IACHR, </w:t>
      </w:r>
      <w:proofErr w:type="spellStart"/>
      <w:r w:rsidR="00A1120E" w:rsidRPr="008A7BD7">
        <w:rPr>
          <w:rFonts w:ascii="Cambria" w:eastAsia="Cambria" w:hAnsi="Cambria" w:cs="Cambria"/>
          <w:sz w:val="16"/>
          <w:szCs w:val="16"/>
          <w:lang w:val="es-US"/>
        </w:rPr>
        <w:t>September</w:t>
      </w:r>
      <w:proofErr w:type="spellEnd"/>
      <w:r w:rsidR="00A1120E" w:rsidRPr="008A7BD7">
        <w:rPr>
          <w:rFonts w:ascii="Cambria" w:eastAsia="Cambria" w:hAnsi="Cambria" w:cs="Cambria"/>
          <w:sz w:val="16"/>
          <w:szCs w:val="16"/>
          <w:lang w:val="es-US"/>
        </w:rPr>
        <w:t xml:space="preserve"> 27, 2021, p. </w:t>
      </w:r>
      <w:r w:rsidRPr="008A7BD7">
        <w:rPr>
          <w:rFonts w:ascii="Cambria" w:eastAsia="Cambria" w:hAnsi="Cambria" w:cs="Cambria"/>
          <w:color w:val="000000"/>
          <w:sz w:val="16"/>
          <w:szCs w:val="16"/>
          <w:lang w:val="es-US"/>
        </w:rPr>
        <w:t xml:space="preserve">2. </w:t>
      </w:r>
    </w:p>
  </w:footnote>
  <w:footnote w:id="264">
    <w:p w14:paraId="0687666D" w14:textId="68111E04"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A1120E" w:rsidRPr="008A7BD7">
        <w:rPr>
          <w:rFonts w:ascii="Cambria" w:eastAsia="Cambria" w:hAnsi="Cambria" w:cs="Cambria"/>
          <w:sz w:val="16"/>
          <w:szCs w:val="16"/>
        </w:rPr>
        <w:t>Government of Guatemala, Diplomatic Note No. NV-OEA-M4-No. 631-2021 – Response from the Presidential Commission for Peace and Human Rights (COPADEH) to the Consultation Questionnaire on compliance with the recommendations of the Inter-American Commission on Human Rights (IACHR) related to detention conditions and pretrial detention in Guatemala, Honduras, and El Salvador, August 5, 2021, pp</w:t>
      </w:r>
      <w:r w:rsidRPr="008A7BD7">
        <w:rPr>
          <w:rFonts w:ascii="Cambria" w:eastAsia="Cambria" w:hAnsi="Cambria" w:cs="Cambria"/>
          <w:sz w:val="16"/>
          <w:szCs w:val="16"/>
        </w:rPr>
        <w:t xml:space="preserve">. 48-49.    </w:t>
      </w:r>
    </w:p>
  </w:footnote>
  <w:footnote w:id="265">
    <w:p w14:paraId="13710E29" w14:textId="716A0ED2"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EE333E" w:rsidRPr="008A7BD7">
        <w:rPr>
          <w:rFonts w:ascii="Cambria" w:eastAsia="Cambria" w:hAnsi="Cambria" w:cs="Cambria"/>
          <w:sz w:val="16"/>
          <w:szCs w:val="16"/>
        </w:rPr>
        <w:t xml:space="preserve">Government of Guatemala, Diplomatic Note No. NV-OEA-M4-No. 631-2021 – Additional institutional information sent by the judiciary, referring to points 3, </w:t>
      </w:r>
      <w:r w:rsidRPr="008A7BD7">
        <w:rPr>
          <w:rFonts w:ascii="Cambria" w:eastAsia="Cambria" w:hAnsi="Cambria" w:cs="Cambria"/>
          <w:sz w:val="16"/>
          <w:szCs w:val="16"/>
        </w:rPr>
        <w:t>6</w:t>
      </w:r>
      <w:r w:rsidR="00EE333E" w:rsidRPr="008A7BD7">
        <w:rPr>
          <w:rFonts w:ascii="Cambria" w:eastAsia="Cambria" w:hAnsi="Cambria" w:cs="Cambria"/>
          <w:sz w:val="16"/>
          <w:szCs w:val="16"/>
        </w:rPr>
        <w:t xml:space="preserve">, and 12 of the </w:t>
      </w:r>
      <w:r w:rsidR="00BB1716" w:rsidRPr="008A7BD7">
        <w:rPr>
          <w:rFonts w:ascii="Cambria" w:eastAsia="Cambria" w:hAnsi="Cambria" w:cs="Cambria"/>
          <w:sz w:val="16"/>
          <w:szCs w:val="16"/>
        </w:rPr>
        <w:t xml:space="preserve">IACHR questionnaire </w:t>
      </w:r>
      <w:r w:rsidR="00EE333E" w:rsidRPr="008A7BD7">
        <w:rPr>
          <w:rFonts w:ascii="Cambria" w:eastAsia="Cambria" w:hAnsi="Cambria" w:cs="Cambria"/>
          <w:sz w:val="16"/>
          <w:szCs w:val="16"/>
        </w:rPr>
        <w:t xml:space="preserve">on recommendations, August 9, </w:t>
      </w:r>
      <w:r w:rsidRPr="008A7BD7">
        <w:rPr>
          <w:rFonts w:ascii="Cambria" w:eastAsia="Cambria" w:hAnsi="Cambria" w:cs="Cambria"/>
          <w:sz w:val="16"/>
          <w:szCs w:val="16"/>
        </w:rPr>
        <w:t xml:space="preserve">2021, pp. 77-78.  </w:t>
      </w:r>
    </w:p>
  </w:footnote>
  <w:footnote w:id="266">
    <w:p w14:paraId="7338F4F6" w14:textId="7F45C4F4"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8A7BD7">
        <w:rPr>
          <w:rStyle w:val="FootnoteReference"/>
          <w:rFonts w:ascii="Cambria" w:hAnsi="Cambria"/>
          <w:sz w:val="16"/>
          <w:szCs w:val="16"/>
        </w:rPr>
        <w:footnoteRef/>
      </w:r>
      <w:r w:rsidRPr="008A7BD7">
        <w:rPr>
          <w:rFonts w:ascii="Cambria" w:eastAsia="Cambria" w:hAnsi="Cambria" w:cs="Cambria"/>
          <w:color w:val="000000"/>
          <w:sz w:val="16"/>
          <w:szCs w:val="16"/>
          <w:lang w:val="es-US"/>
        </w:rPr>
        <w:t xml:space="preserve"> </w:t>
      </w:r>
      <w:r w:rsidR="005D4EFE" w:rsidRPr="008A7BD7">
        <w:rPr>
          <w:rFonts w:ascii="Cambria" w:eastAsia="Cambria" w:hAnsi="Cambria" w:cs="Cambria"/>
          <w:sz w:val="16"/>
          <w:szCs w:val="16"/>
          <w:lang w:val="es-US"/>
        </w:rPr>
        <w:t xml:space="preserve">Colectivo Artesana and </w:t>
      </w:r>
      <w:proofErr w:type="spellStart"/>
      <w:r w:rsidR="005D4EFE" w:rsidRPr="008A7BD7">
        <w:rPr>
          <w:rFonts w:ascii="Cambria" w:eastAsia="Cambria" w:hAnsi="Cambria" w:cs="Cambria"/>
          <w:sz w:val="16"/>
          <w:szCs w:val="16"/>
          <w:lang w:val="es-US"/>
        </w:rPr>
        <w:t>Sare</w:t>
      </w:r>
      <w:proofErr w:type="spellEnd"/>
      <w:r w:rsidR="005D4EFE" w:rsidRPr="008A7BD7">
        <w:rPr>
          <w:rFonts w:ascii="Cambria" w:eastAsia="Cambria" w:hAnsi="Cambria" w:cs="Cambria"/>
          <w:sz w:val="16"/>
          <w:szCs w:val="16"/>
          <w:lang w:val="es-US"/>
        </w:rPr>
        <w:t xml:space="preserve"> </w:t>
      </w:r>
      <w:proofErr w:type="spellStart"/>
      <w:r w:rsidR="005D4EFE" w:rsidRPr="008A7BD7">
        <w:rPr>
          <w:rFonts w:ascii="Cambria" w:eastAsia="Cambria" w:hAnsi="Cambria" w:cs="Cambria"/>
          <w:sz w:val="16"/>
          <w:szCs w:val="16"/>
          <w:lang w:val="es-US"/>
        </w:rPr>
        <w:t>Consultants</w:t>
      </w:r>
      <w:proofErr w:type="spellEnd"/>
      <w:r w:rsidR="005D4EFE" w:rsidRPr="008A7BD7">
        <w:rPr>
          <w:rFonts w:ascii="Cambria" w:eastAsia="Cambria" w:hAnsi="Cambria" w:cs="Cambria"/>
          <w:sz w:val="16"/>
          <w:szCs w:val="16"/>
          <w:lang w:val="es-US"/>
        </w:rPr>
        <w:t xml:space="preserve">, </w:t>
      </w:r>
      <w:r w:rsidR="005D4EFE" w:rsidRPr="008A7BD7">
        <w:rPr>
          <w:rFonts w:ascii="Cambria" w:eastAsia="Cambria" w:hAnsi="Cambria" w:cs="Cambria"/>
          <w:i/>
          <w:iCs/>
          <w:sz w:val="16"/>
          <w:szCs w:val="16"/>
          <w:lang w:val="es-US"/>
        </w:rPr>
        <w:t>Consideraciones sobre la privación de libertad en Guatemala 2021</w:t>
      </w:r>
      <w:r w:rsidR="005D4EFE" w:rsidRPr="008A7BD7">
        <w:rPr>
          <w:rFonts w:ascii="Cambria" w:eastAsia="Cambria" w:hAnsi="Cambria" w:cs="Cambria"/>
          <w:sz w:val="16"/>
          <w:szCs w:val="16"/>
          <w:lang w:val="es-US"/>
        </w:rPr>
        <w:t xml:space="preserve">, </w:t>
      </w:r>
      <w:proofErr w:type="spellStart"/>
      <w:r w:rsidR="005D4EFE" w:rsidRPr="008A7BD7">
        <w:rPr>
          <w:rFonts w:ascii="Cambria" w:eastAsia="Cambria" w:hAnsi="Cambria" w:cs="Cambria"/>
          <w:sz w:val="16"/>
          <w:szCs w:val="16"/>
          <w:lang w:val="es-US"/>
        </w:rPr>
        <w:t>Records</w:t>
      </w:r>
      <w:proofErr w:type="spellEnd"/>
      <w:r w:rsidR="005D4EFE" w:rsidRPr="008A7BD7">
        <w:rPr>
          <w:rFonts w:ascii="Cambria" w:eastAsia="Cambria" w:hAnsi="Cambria" w:cs="Cambria"/>
          <w:sz w:val="16"/>
          <w:szCs w:val="16"/>
          <w:lang w:val="es-US"/>
        </w:rPr>
        <w:t xml:space="preserve"> of </w:t>
      </w:r>
      <w:proofErr w:type="spellStart"/>
      <w:r w:rsidR="005D4EFE" w:rsidRPr="008A7BD7">
        <w:rPr>
          <w:rFonts w:ascii="Cambria" w:eastAsia="Cambria" w:hAnsi="Cambria" w:cs="Cambria"/>
          <w:sz w:val="16"/>
          <w:szCs w:val="16"/>
          <w:lang w:val="es-US"/>
        </w:rPr>
        <w:t>the</w:t>
      </w:r>
      <w:proofErr w:type="spellEnd"/>
      <w:r w:rsidR="005D4EFE" w:rsidRPr="008A7BD7">
        <w:rPr>
          <w:rFonts w:ascii="Cambria" w:eastAsia="Cambria" w:hAnsi="Cambria" w:cs="Cambria"/>
          <w:sz w:val="16"/>
          <w:szCs w:val="16"/>
          <w:lang w:val="es-US"/>
        </w:rPr>
        <w:t xml:space="preserve"> IACHR, </w:t>
      </w:r>
      <w:proofErr w:type="spellStart"/>
      <w:r w:rsidR="005D4EFE" w:rsidRPr="008A7BD7">
        <w:rPr>
          <w:rFonts w:ascii="Cambria" w:eastAsia="Cambria" w:hAnsi="Cambria" w:cs="Cambria"/>
          <w:sz w:val="16"/>
          <w:szCs w:val="16"/>
          <w:lang w:val="es-US"/>
        </w:rPr>
        <w:t>September</w:t>
      </w:r>
      <w:proofErr w:type="spellEnd"/>
      <w:r w:rsidR="005D4EFE" w:rsidRPr="008A7BD7">
        <w:rPr>
          <w:rFonts w:ascii="Cambria" w:eastAsia="Cambria" w:hAnsi="Cambria" w:cs="Cambria"/>
          <w:sz w:val="16"/>
          <w:szCs w:val="16"/>
          <w:lang w:val="es-US"/>
        </w:rPr>
        <w:t xml:space="preserve"> 27, 2021, p. </w:t>
      </w:r>
      <w:r w:rsidR="005D4EFE" w:rsidRPr="008A7BD7">
        <w:rPr>
          <w:rFonts w:ascii="Cambria" w:eastAsia="Cambria" w:hAnsi="Cambria" w:cs="Cambria"/>
          <w:color w:val="000000"/>
          <w:sz w:val="16"/>
          <w:szCs w:val="16"/>
          <w:lang w:val="es-US"/>
        </w:rPr>
        <w:t>2</w:t>
      </w:r>
      <w:r w:rsidRPr="008A7BD7">
        <w:rPr>
          <w:rFonts w:ascii="Cambria" w:eastAsia="Cambria" w:hAnsi="Cambria" w:cs="Cambria"/>
          <w:color w:val="000000"/>
          <w:sz w:val="16"/>
          <w:szCs w:val="16"/>
          <w:lang w:val="es-US"/>
        </w:rPr>
        <w:t xml:space="preserve">. </w:t>
      </w:r>
    </w:p>
  </w:footnote>
  <w:footnote w:id="267">
    <w:p w14:paraId="6B1A78CD" w14:textId="00F2BC46"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8A7BD7">
        <w:rPr>
          <w:rStyle w:val="FootnoteReference"/>
          <w:rFonts w:ascii="Cambria" w:hAnsi="Cambria"/>
          <w:sz w:val="16"/>
          <w:szCs w:val="16"/>
        </w:rPr>
        <w:footnoteRef/>
      </w:r>
      <w:r w:rsidRPr="008A7BD7">
        <w:rPr>
          <w:rFonts w:ascii="Cambria" w:eastAsia="Cambria" w:hAnsi="Cambria" w:cs="Cambria"/>
          <w:color w:val="000000"/>
          <w:sz w:val="16"/>
          <w:szCs w:val="16"/>
          <w:lang w:val="es-US"/>
        </w:rPr>
        <w:t xml:space="preserve"> </w:t>
      </w:r>
      <w:r w:rsidR="005D4EFE" w:rsidRPr="008A7BD7">
        <w:rPr>
          <w:rFonts w:ascii="Cambria" w:eastAsia="Cambria" w:hAnsi="Cambria" w:cs="Cambria"/>
          <w:sz w:val="16"/>
          <w:szCs w:val="16"/>
          <w:lang w:val="es-US"/>
        </w:rPr>
        <w:t xml:space="preserve">Colectivo Artesana and </w:t>
      </w:r>
      <w:proofErr w:type="spellStart"/>
      <w:r w:rsidR="005D4EFE" w:rsidRPr="008A7BD7">
        <w:rPr>
          <w:rFonts w:ascii="Cambria" w:eastAsia="Cambria" w:hAnsi="Cambria" w:cs="Cambria"/>
          <w:sz w:val="16"/>
          <w:szCs w:val="16"/>
          <w:lang w:val="es-US"/>
        </w:rPr>
        <w:t>Sare</w:t>
      </w:r>
      <w:proofErr w:type="spellEnd"/>
      <w:r w:rsidR="005D4EFE" w:rsidRPr="008A7BD7">
        <w:rPr>
          <w:rFonts w:ascii="Cambria" w:eastAsia="Cambria" w:hAnsi="Cambria" w:cs="Cambria"/>
          <w:sz w:val="16"/>
          <w:szCs w:val="16"/>
          <w:lang w:val="es-US"/>
        </w:rPr>
        <w:t xml:space="preserve"> </w:t>
      </w:r>
      <w:proofErr w:type="spellStart"/>
      <w:r w:rsidR="005D4EFE" w:rsidRPr="008A7BD7">
        <w:rPr>
          <w:rFonts w:ascii="Cambria" w:eastAsia="Cambria" w:hAnsi="Cambria" w:cs="Cambria"/>
          <w:sz w:val="16"/>
          <w:szCs w:val="16"/>
          <w:lang w:val="es-US"/>
        </w:rPr>
        <w:t>Consultants</w:t>
      </w:r>
      <w:proofErr w:type="spellEnd"/>
      <w:r w:rsidR="005D4EFE" w:rsidRPr="008A7BD7">
        <w:rPr>
          <w:rFonts w:ascii="Cambria" w:eastAsia="Cambria" w:hAnsi="Cambria" w:cs="Cambria"/>
          <w:sz w:val="16"/>
          <w:szCs w:val="16"/>
          <w:lang w:val="es-US"/>
        </w:rPr>
        <w:t xml:space="preserve">, </w:t>
      </w:r>
      <w:r w:rsidR="005D4EFE" w:rsidRPr="008A7BD7">
        <w:rPr>
          <w:rFonts w:ascii="Cambria" w:eastAsia="Cambria" w:hAnsi="Cambria" w:cs="Cambria"/>
          <w:i/>
          <w:iCs/>
          <w:sz w:val="16"/>
          <w:szCs w:val="16"/>
          <w:lang w:val="es-US"/>
        </w:rPr>
        <w:t>Consideraciones sobre la privación de libertad en Guatemala 2021</w:t>
      </w:r>
      <w:r w:rsidR="005D4EFE" w:rsidRPr="008A7BD7">
        <w:rPr>
          <w:rFonts w:ascii="Cambria" w:eastAsia="Cambria" w:hAnsi="Cambria" w:cs="Cambria"/>
          <w:sz w:val="16"/>
          <w:szCs w:val="16"/>
          <w:lang w:val="es-US"/>
        </w:rPr>
        <w:t xml:space="preserve">, </w:t>
      </w:r>
      <w:proofErr w:type="spellStart"/>
      <w:r w:rsidR="005D4EFE" w:rsidRPr="008A7BD7">
        <w:rPr>
          <w:rFonts w:ascii="Cambria" w:eastAsia="Cambria" w:hAnsi="Cambria" w:cs="Cambria"/>
          <w:sz w:val="16"/>
          <w:szCs w:val="16"/>
          <w:lang w:val="es-US"/>
        </w:rPr>
        <w:t>Records</w:t>
      </w:r>
      <w:proofErr w:type="spellEnd"/>
      <w:r w:rsidR="005D4EFE" w:rsidRPr="008A7BD7">
        <w:rPr>
          <w:rFonts w:ascii="Cambria" w:eastAsia="Cambria" w:hAnsi="Cambria" w:cs="Cambria"/>
          <w:sz w:val="16"/>
          <w:szCs w:val="16"/>
          <w:lang w:val="es-US"/>
        </w:rPr>
        <w:t xml:space="preserve"> of </w:t>
      </w:r>
      <w:proofErr w:type="spellStart"/>
      <w:r w:rsidR="005D4EFE" w:rsidRPr="008A7BD7">
        <w:rPr>
          <w:rFonts w:ascii="Cambria" w:eastAsia="Cambria" w:hAnsi="Cambria" w:cs="Cambria"/>
          <w:sz w:val="16"/>
          <w:szCs w:val="16"/>
          <w:lang w:val="es-US"/>
        </w:rPr>
        <w:t>the</w:t>
      </w:r>
      <w:proofErr w:type="spellEnd"/>
      <w:r w:rsidR="005D4EFE" w:rsidRPr="008A7BD7">
        <w:rPr>
          <w:rFonts w:ascii="Cambria" w:eastAsia="Cambria" w:hAnsi="Cambria" w:cs="Cambria"/>
          <w:sz w:val="16"/>
          <w:szCs w:val="16"/>
          <w:lang w:val="es-US"/>
        </w:rPr>
        <w:t xml:space="preserve"> IACHR, </w:t>
      </w:r>
      <w:proofErr w:type="spellStart"/>
      <w:r w:rsidR="005D4EFE" w:rsidRPr="008A7BD7">
        <w:rPr>
          <w:rFonts w:ascii="Cambria" w:eastAsia="Cambria" w:hAnsi="Cambria" w:cs="Cambria"/>
          <w:sz w:val="16"/>
          <w:szCs w:val="16"/>
          <w:lang w:val="es-US"/>
        </w:rPr>
        <w:t>September</w:t>
      </w:r>
      <w:proofErr w:type="spellEnd"/>
      <w:r w:rsidR="005D4EFE" w:rsidRPr="008A7BD7">
        <w:rPr>
          <w:rFonts w:ascii="Cambria" w:eastAsia="Cambria" w:hAnsi="Cambria" w:cs="Cambria"/>
          <w:sz w:val="16"/>
          <w:szCs w:val="16"/>
          <w:lang w:val="es-US"/>
        </w:rPr>
        <w:t xml:space="preserve"> 27, 2021, p. </w:t>
      </w:r>
      <w:r w:rsidR="005D4EFE" w:rsidRPr="008A7BD7">
        <w:rPr>
          <w:rFonts w:ascii="Cambria" w:eastAsia="Cambria" w:hAnsi="Cambria" w:cs="Cambria"/>
          <w:color w:val="000000"/>
          <w:sz w:val="16"/>
          <w:szCs w:val="16"/>
          <w:lang w:val="es-US"/>
        </w:rPr>
        <w:t>2</w:t>
      </w:r>
      <w:r w:rsidRPr="008A7BD7">
        <w:rPr>
          <w:rFonts w:ascii="Cambria" w:eastAsia="Cambria" w:hAnsi="Cambria" w:cs="Cambria"/>
          <w:color w:val="000000"/>
          <w:sz w:val="16"/>
          <w:szCs w:val="16"/>
          <w:lang w:val="es-US"/>
        </w:rPr>
        <w:t xml:space="preserve">. </w:t>
      </w:r>
    </w:p>
  </w:footnote>
  <w:footnote w:id="268">
    <w:p w14:paraId="71993EFD" w14:textId="6201AD88" w:rsidR="004D1FCF" w:rsidRPr="008A7BD7" w:rsidRDefault="004D1FCF" w:rsidP="00746761">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C56F9D" w:rsidRPr="008A7BD7">
        <w:rPr>
          <w:rFonts w:ascii="Cambria" w:eastAsia="Cambria" w:hAnsi="Cambria" w:cs="Cambria"/>
          <w:sz w:val="16"/>
          <w:szCs w:val="16"/>
        </w:rPr>
        <w:t>Along these lines, see</w:t>
      </w:r>
      <w:r w:rsidRPr="008A7BD7">
        <w:rPr>
          <w:rFonts w:ascii="Cambria" w:eastAsia="Cambria" w:hAnsi="Cambria" w:cs="Cambria"/>
          <w:sz w:val="16"/>
          <w:szCs w:val="16"/>
        </w:rPr>
        <w:t xml:space="preserve">: </w:t>
      </w:r>
      <w:r w:rsidR="00C56F9D" w:rsidRPr="008A7BD7">
        <w:rPr>
          <w:rFonts w:ascii="Cambria" w:eastAsia="Cambria" w:hAnsi="Cambria" w:cs="Cambria"/>
          <w:sz w:val="16"/>
          <w:szCs w:val="16"/>
        </w:rPr>
        <w:t xml:space="preserve">IACHR, </w:t>
      </w:r>
      <w:hyperlink r:id="rId271" w:history="1">
        <w:r w:rsidR="00C56F9D" w:rsidRPr="008A7BD7">
          <w:rPr>
            <w:rStyle w:val="Hyperlink"/>
            <w:rFonts w:ascii="Cambria" w:eastAsia="Cambria" w:hAnsi="Cambria" w:cs="Cambria"/>
            <w:sz w:val="16"/>
            <w:szCs w:val="16"/>
          </w:rPr>
          <w:t>Report on the Use of Pretrial Detention in the Americas</w:t>
        </w:r>
      </w:hyperlink>
      <w:r w:rsidR="00C56F9D" w:rsidRPr="008A7BD7">
        <w:rPr>
          <w:rFonts w:ascii="Cambria" w:eastAsia="Cambria" w:hAnsi="Cambria" w:cs="Cambria"/>
          <w:sz w:val="16"/>
          <w:szCs w:val="16"/>
        </w:rPr>
        <w:t xml:space="preserve">, paras </w:t>
      </w:r>
      <w:r w:rsidRPr="008A7BD7">
        <w:rPr>
          <w:rFonts w:ascii="Cambria" w:eastAsia="Cambria" w:hAnsi="Cambria" w:cs="Cambria"/>
          <w:sz w:val="16"/>
          <w:szCs w:val="16"/>
        </w:rPr>
        <w:t>179, 199</w:t>
      </w:r>
      <w:r w:rsidR="00C56F9D" w:rsidRPr="008A7BD7">
        <w:rPr>
          <w:rFonts w:ascii="Cambria" w:eastAsia="Cambria" w:hAnsi="Cambria" w:cs="Cambria"/>
          <w:sz w:val="16"/>
          <w:szCs w:val="16"/>
        </w:rPr>
        <w:t>, and</w:t>
      </w:r>
      <w:r w:rsidRPr="008A7BD7">
        <w:rPr>
          <w:rFonts w:ascii="Cambria" w:eastAsia="Cambria" w:hAnsi="Cambria" w:cs="Cambria"/>
          <w:sz w:val="16"/>
          <w:szCs w:val="16"/>
        </w:rPr>
        <w:t xml:space="preserve"> 326</w:t>
      </w:r>
      <w:r w:rsidR="00C56F9D" w:rsidRPr="008A7BD7">
        <w:rPr>
          <w:rFonts w:ascii="Cambria" w:eastAsia="Cambria" w:hAnsi="Cambria" w:cs="Cambria"/>
          <w:sz w:val="16"/>
          <w:szCs w:val="16"/>
        </w:rPr>
        <w:t>,</w:t>
      </w:r>
      <w:r w:rsidRPr="008A7BD7">
        <w:rPr>
          <w:rFonts w:ascii="Cambria" w:eastAsia="Cambria" w:hAnsi="Cambria" w:cs="Cambria"/>
          <w:sz w:val="16"/>
          <w:szCs w:val="16"/>
        </w:rPr>
        <w:t xml:space="preserve"> Rec</w:t>
      </w:r>
      <w:r w:rsidR="00C56F9D" w:rsidRPr="008A7BD7">
        <w:rPr>
          <w:rFonts w:ascii="Cambria" w:eastAsia="Cambria" w:hAnsi="Cambria" w:cs="Cambria"/>
          <w:sz w:val="16"/>
          <w:szCs w:val="16"/>
        </w:rPr>
        <w:t>ommendation</w:t>
      </w:r>
      <w:r w:rsidRPr="008A7BD7">
        <w:rPr>
          <w:rFonts w:ascii="Cambria" w:eastAsia="Cambria" w:hAnsi="Cambria" w:cs="Cambria"/>
          <w:sz w:val="16"/>
          <w:szCs w:val="16"/>
        </w:rPr>
        <w:t xml:space="preserve"> C</w:t>
      </w:r>
      <w:r w:rsidR="00C56F9D" w:rsidRPr="008A7BD7">
        <w:rPr>
          <w:rFonts w:ascii="Cambria" w:eastAsia="Cambria" w:hAnsi="Cambria" w:cs="Cambria"/>
          <w:sz w:val="16"/>
          <w:szCs w:val="16"/>
        </w:rPr>
        <w:t>,</w:t>
      </w:r>
      <w:r w:rsidRPr="008A7BD7">
        <w:rPr>
          <w:rFonts w:ascii="Cambria" w:eastAsia="Cambria" w:hAnsi="Cambria" w:cs="Cambria"/>
          <w:sz w:val="16"/>
          <w:szCs w:val="16"/>
        </w:rPr>
        <w:t xml:space="preserve"> “</w:t>
      </w:r>
      <w:r w:rsidR="00DB043C" w:rsidRPr="008A7BD7">
        <w:rPr>
          <w:rFonts w:ascii="Cambria" w:eastAsia="Cambria" w:hAnsi="Cambria" w:cs="Cambria"/>
          <w:sz w:val="16"/>
          <w:szCs w:val="16"/>
        </w:rPr>
        <w:t>Legal framework and application of pretrial detention”</w:t>
      </w:r>
      <w:r w:rsidRPr="008A7BD7">
        <w:rPr>
          <w:rFonts w:ascii="Cambria" w:eastAsia="Cambria" w:hAnsi="Cambria" w:cs="Cambria"/>
          <w:sz w:val="16"/>
          <w:szCs w:val="16"/>
        </w:rPr>
        <w:t xml:space="preserve">; </w:t>
      </w:r>
      <w:r w:rsidR="00DB043C" w:rsidRPr="008A7BD7">
        <w:rPr>
          <w:rFonts w:ascii="Cambria" w:eastAsia="Cambria" w:hAnsi="Cambria" w:cs="Cambria"/>
          <w:sz w:val="16"/>
          <w:szCs w:val="16"/>
        </w:rPr>
        <w:t xml:space="preserve">IACHR, </w:t>
      </w:r>
      <w:hyperlink r:id="rId272" w:history="1">
        <w:r w:rsidR="00DB043C" w:rsidRPr="008A7BD7">
          <w:rPr>
            <w:rStyle w:val="Hyperlink"/>
            <w:rFonts w:ascii="Cambria" w:eastAsia="Cambria" w:hAnsi="Cambria" w:cs="Cambria"/>
            <w:sz w:val="16"/>
            <w:szCs w:val="16"/>
          </w:rPr>
          <w:t>Report on Measures Aimed at Reducing the Use of Pretrial Detention in the Americas</w:t>
        </w:r>
      </w:hyperlink>
      <w:r w:rsidR="00DB043C" w:rsidRPr="008A7BD7">
        <w:rPr>
          <w:rFonts w:ascii="Cambria" w:eastAsia="Cambria" w:hAnsi="Cambria" w:cs="Cambria"/>
          <w:sz w:val="16"/>
          <w:szCs w:val="16"/>
        </w:rPr>
        <w:t>, par. 182</w:t>
      </w:r>
      <w:r w:rsidRPr="008A7BD7">
        <w:rPr>
          <w:rFonts w:ascii="Cambria" w:eastAsia="Cambria" w:hAnsi="Cambria" w:cs="Cambria"/>
          <w:sz w:val="16"/>
          <w:szCs w:val="16"/>
        </w:rPr>
        <w:t xml:space="preserve">;  </w:t>
      </w:r>
      <w:r w:rsidR="0036071B" w:rsidRPr="008A7BD7">
        <w:rPr>
          <w:rFonts w:ascii="Cambria" w:eastAsia="Cambria" w:hAnsi="Cambria" w:cs="Cambria"/>
          <w:sz w:val="16"/>
          <w:szCs w:val="16"/>
        </w:rPr>
        <w:t xml:space="preserve">IACHR, </w:t>
      </w:r>
      <w:hyperlink r:id="rId273" w:history="1">
        <w:r w:rsidR="0036071B" w:rsidRPr="008A7BD7">
          <w:rPr>
            <w:rStyle w:val="Hyperlink"/>
            <w:rFonts w:ascii="Cambria" w:eastAsia="Cambria" w:hAnsi="Cambria" w:cs="Cambria"/>
            <w:sz w:val="16"/>
            <w:szCs w:val="16"/>
          </w:rPr>
          <w:t>Report on the Human Rights of Persons Deprived of Liberty in the Americas</w:t>
        </w:r>
      </w:hyperlink>
      <w:r w:rsidR="0036071B" w:rsidRPr="008A7BD7">
        <w:rPr>
          <w:rFonts w:ascii="Cambria" w:eastAsia="Cambria" w:hAnsi="Cambria" w:cs="Cambria"/>
          <w:sz w:val="16"/>
          <w:szCs w:val="16"/>
        </w:rPr>
        <w:t xml:space="preserve">, par. </w:t>
      </w:r>
      <w:r w:rsidRPr="008A7BD7">
        <w:rPr>
          <w:rFonts w:ascii="Cambria" w:eastAsia="Cambria" w:hAnsi="Cambria" w:cs="Cambria"/>
          <w:sz w:val="16"/>
          <w:szCs w:val="16"/>
        </w:rPr>
        <w:t xml:space="preserve">199; </w:t>
      </w:r>
      <w:r w:rsidR="0036071B" w:rsidRPr="008A7BD7">
        <w:rPr>
          <w:rFonts w:ascii="Cambria" w:eastAsia="Cambria" w:hAnsi="Cambria" w:cs="Cambria"/>
          <w:sz w:val="16"/>
          <w:szCs w:val="16"/>
        </w:rPr>
        <w:t xml:space="preserve">and IACHR, Resolution </w:t>
      </w:r>
      <w:r w:rsidRPr="008A7BD7">
        <w:rPr>
          <w:rFonts w:ascii="Cambria" w:eastAsia="Cambria" w:hAnsi="Cambria" w:cs="Cambria"/>
          <w:sz w:val="16"/>
          <w:szCs w:val="16"/>
        </w:rPr>
        <w:t>1/20</w:t>
      </w:r>
      <w:r w:rsidR="0036071B" w:rsidRPr="008A7BD7">
        <w:rPr>
          <w:rFonts w:ascii="Cambria" w:eastAsia="Cambria" w:hAnsi="Cambria" w:cs="Cambria"/>
          <w:sz w:val="16"/>
          <w:szCs w:val="16"/>
        </w:rPr>
        <w:t xml:space="preserve">, </w:t>
      </w:r>
      <w:hyperlink r:id="rId274" w:history="1">
        <w:r w:rsidR="0036071B" w:rsidRPr="008A7BD7">
          <w:rPr>
            <w:rStyle w:val="Hyperlink"/>
            <w:rFonts w:ascii="Cambria" w:eastAsia="Cambria" w:hAnsi="Cambria" w:cs="Cambria"/>
            <w:sz w:val="16"/>
            <w:szCs w:val="16"/>
          </w:rPr>
          <w:t>Pandemic and Human Rights in the Americas</w:t>
        </w:r>
      </w:hyperlink>
      <w:r w:rsidR="0036071B" w:rsidRPr="008A7BD7">
        <w:rPr>
          <w:rFonts w:ascii="Cambria" w:eastAsia="Cambria" w:hAnsi="Cambria" w:cs="Cambria"/>
          <w:sz w:val="16"/>
          <w:szCs w:val="16"/>
        </w:rPr>
        <w:t xml:space="preserve">, adopted on April 10, 2020. </w:t>
      </w:r>
    </w:p>
  </w:footnote>
  <w:footnote w:id="269">
    <w:p w14:paraId="1F126D1E" w14:textId="0F6C193D"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856554" w:rsidRPr="008A7BD7">
        <w:rPr>
          <w:rFonts w:ascii="Cambria" w:eastAsia="Cambria" w:hAnsi="Cambria" w:cs="Cambria"/>
          <w:sz w:val="16"/>
          <w:szCs w:val="16"/>
        </w:rPr>
        <w:t xml:space="preserve">Government of Guatemala, Diplomatic Note No. NV-OEA-M4-No. 631-2021 – Response from the Presidential Commission for Peace and Human Rights (COPADEH) to the Consultation Questionnaire on compliance with the recommendations of the Inter-American Commission on Human Rights (IACHR) related to detention conditions and pretrial detention in Guatemala, Honduras, and El Salvador, August 5, 2021, pp. </w:t>
      </w:r>
      <w:r w:rsidRPr="008A7BD7">
        <w:rPr>
          <w:rFonts w:ascii="Cambria" w:eastAsia="Cambria" w:hAnsi="Cambria" w:cs="Cambria"/>
          <w:sz w:val="16"/>
          <w:szCs w:val="16"/>
        </w:rPr>
        <w:t xml:space="preserve">41-43.  </w:t>
      </w:r>
    </w:p>
  </w:footnote>
  <w:footnote w:id="270">
    <w:p w14:paraId="20F0DF75" w14:textId="261DCB5A"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8A7BD7">
        <w:rPr>
          <w:rStyle w:val="FootnoteReference"/>
          <w:rFonts w:ascii="Cambria" w:hAnsi="Cambria"/>
          <w:sz w:val="16"/>
          <w:szCs w:val="16"/>
        </w:rPr>
        <w:footnoteRef/>
      </w:r>
      <w:r w:rsidRPr="008A7BD7">
        <w:rPr>
          <w:rFonts w:ascii="Cambria" w:eastAsia="Cambria" w:hAnsi="Cambria" w:cs="Cambria"/>
          <w:color w:val="000000"/>
          <w:sz w:val="16"/>
          <w:szCs w:val="16"/>
          <w:lang w:val="es-US"/>
        </w:rPr>
        <w:t xml:space="preserve"> </w:t>
      </w:r>
      <w:r w:rsidR="006117A6" w:rsidRPr="008A7BD7">
        <w:rPr>
          <w:rFonts w:ascii="Cambria" w:eastAsia="Cambria" w:hAnsi="Cambria" w:cs="Cambria"/>
          <w:sz w:val="16"/>
          <w:szCs w:val="16"/>
          <w:lang w:val="es-US"/>
        </w:rPr>
        <w:t xml:space="preserve">Colectivo Artesana and </w:t>
      </w:r>
      <w:proofErr w:type="spellStart"/>
      <w:r w:rsidR="006117A6" w:rsidRPr="008A7BD7">
        <w:rPr>
          <w:rFonts w:ascii="Cambria" w:eastAsia="Cambria" w:hAnsi="Cambria" w:cs="Cambria"/>
          <w:sz w:val="16"/>
          <w:szCs w:val="16"/>
          <w:lang w:val="es-US"/>
        </w:rPr>
        <w:t>Sare</w:t>
      </w:r>
      <w:proofErr w:type="spellEnd"/>
      <w:r w:rsidR="006117A6" w:rsidRPr="008A7BD7">
        <w:rPr>
          <w:rFonts w:ascii="Cambria" w:eastAsia="Cambria" w:hAnsi="Cambria" w:cs="Cambria"/>
          <w:sz w:val="16"/>
          <w:szCs w:val="16"/>
          <w:lang w:val="es-US"/>
        </w:rPr>
        <w:t xml:space="preserve"> </w:t>
      </w:r>
      <w:proofErr w:type="spellStart"/>
      <w:r w:rsidR="006117A6" w:rsidRPr="008A7BD7">
        <w:rPr>
          <w:rFonts w:ascii="Cambria" w:eastAsia="Cambria" w:hAnsi="Cambria" w:cs="Cambria"/>
          <w:sz w:val="16"/>
          <w:szCs w:val="16"/>
          <w:lang w:val="es-US"/>
        </w:rPr>
        <w:t>Consultants</w:t>
      </w:r>
      <w:proofErr w:type="spellEnd"/>
      <w:r w:rsidR="006117A6" w:rsidRPr="008A7BD7">
        <w:rPr>
          <w:rFonts w:ascii="Cambria" w:eastAsia="Cambria" w:hAnsi="Cambria" w:cs="Cambria"/>
          <w:sz w:val="16"/>
          <w:szCs w:val="16"/>
          <w:lang w:val="es-US"/>
        </w:rPr>
        <w:t xml:space="preserve">, </w:t>
      </w:r>
      <w:r w:rsidR="006117A6" w:rsidRPr="008A7BD7">
        <w:rPr>
          <w:rFonts w:ascii="Cambria" w:eastAsia="Cambria" w:hAnsi="Cambria" w:cs="Cambria"/>
          <w:i/>
          <w:iCs/>
          <w:sz w:val="16"/>
          <w:szCs w:val="16"/>
          <w:lang w:val="es-US"/>
        </w:rPr>
        <w:t>Consideraciones sobre la privación de libertad en Guatemala 2021</w:t>
      </w:r>
      <w:r w:rsidR="006117A6" w:rsidRPr="008A7BD7">
        <w:rPr>
          <w:rFonts w:ascii="Cambria" w:eastAsia="Cambria" w:hAnsi="Cambria" w:cs="Cambria"/>
          <w:sz w:val="16"/>
          <w:szCs w:val="16"/>
          <w:lang w:val="es-US"/>
        </w:rPr>
        <w:t xml:space="preserve">, </w:t>
      </w:r>
      <w:proofErr w:type="spellStart"/>
      <w:r w:rsidR="006117A6" w:rsidRPr="008A7BD7">
        <w:rPr>
          <w:rFonts w:ascii="Cambria" w:eastAsia="Cambria" w:hAnsi="Cambria" w:cs="Cambria"/>
          <w:sz w:val="16"/>
          <w:szCs w:val="16"/>
          <w:lang w:val="es-US"/>
        </w:rPr>
        <w:t>Records</w:t>
      </w:r>
      <w:proofErr w:type="spellEnd"/>
      <w:r w:rsidR="006117A6" w:rsidRPr="008A7BD7">
        <w:rPr>
          <w:rFonts w:ascii="Cambria" w:eastAsia="Cambria" w:hAnsi="Cambria" w:cs="Cambria"/>
          <w:sz w:val="16"/>
          <w:szCs w:val="16"/>
          <w:lang w:val="es-US"/>
        </w:rPr>
        <w:t xml:space="preserve"> of </w:t>
      </w:r>
      <w:proofErr w:type="spellStart"/>
      <w:r w:rsidR="006117A6" w:rsidRPr="008A7BD7">
        <w:rPr>
          <w:rFonts w:ascii="Cambria" w:eastAsia="Cambria" w:hAnsi="Cambria" w:cs="Cambria"/>
          <w:sz w:val="16"/>
          <w:szCs w:val="16"/>
          <w:lang w:val="es-US"/>
        </w:rPr>
        <w:t>the</w:t>
      </w:r>
      <w:proofErr w:type="spellEnd"/>
      <w:r w:rsidR="006117A6" w:rsidRPr="008A7BD7">
        <w:rPr>
          <w:rFonts w:ascii="Cambria" w:eastAsia="Cambria" w:hAnsi="Cambria" w:cs="Cambria"/>
          <w:sz w:val="16"/>
          <w:szCs w:val="16"/>
          <w:lang w:val="es-US"/>
        </w:rPr>
        <w:t xml:space="preserve"> IACHR, </w:t>
      </w:r>
      <w:proofErr w:type="spellStart"/>
      <w:r w:rsidR="006117A6" w:rsidRPr="008A7BD7">
        <w:rPr>
          <w:rFonts w:ascii="Cambria" w:eastAsia="Cambria" w:hAnsi="Cambria" w:cs="Cambria"/>
          <w:sz w:val="16"/>
          <w:szCs w:val="16"/>
          <w:lang w:val="es-US"/>
        </w:rPr>
        <w:t>September</w:t>
      </w:r>
      <w:proofErr w:type="spellEnd"/>
      <w:r w:rsidR="006117A6" w:rsidRPr="008A7BD7">
        <w:rPr>
          <w:rFonts w:ascii="Cambria" w:eastAsia="Cambria" w:hAnsi="Cambria" w:cs="Cambria"/>
          <w:sz w:val="16"/>
          <w:szCs w:val="16"/>
          <w:lang w:val="es-US"/>
        </w:rPr>
        <w:t xml:space="preserve"> 27, 2021, p.</w:t>
      </w:r>
      <w:r w:rsidRPr="008A7BD7">
        <w:rPr>
          <w:rFonts w:ascii="Cambria" w:eastAsia="Cambria" w:hAnsi="Cambria" w:cs="Cambria"/>
          <w:color w:val="000000"/>
          <w:sz w:val="16"/>
          <w:szCs w:val="16"/>
          <w:lang w:val="es-US"/>
        </w:rPr>
        <w:t xml:space="preserve"> 3.  </w:t>
      </w:r>
    </w:p>
  </w:footnote>
  <w:footnote w:id="271">
    <w:p w14:paraId="2EF4209C" w14:textId="4FD8ECAD" w:rsidR="00F97F2A" w:rsidRPr="008A7BD7" w:rsidRDefault="00F97F2A" w:rsidP="00F97F2A">
      <w:pPr>
        <w:pBdr>
          <w:top w:val="nil"/>
          <w:left w:val="nil"/>
          <w:bottom w:val="nil"/>
          <w:right w:val="nil"/>
          <w:between w:val="nil"/>
        </w:pBd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F1485B" w:rsidRPr="008A7BD7">
        <w:rPr>
          <w:rFonts w:ascii="Cambria" w:eastAsia="Cambria" w:hAnsi="Cambria" w:cs="Cambria"/>
          <w:color w:val="000000"/>
          <w:sz w:val="16"/>
          <w:szCs w:val="16"/>
        </w:rPr>
        <w:t>More than</w:t>
      </w:r>
      <w:r w:rsidR="00F1485B" w:rsidRPr="008A7BD7">
        <w:rPr>
          <w:rFonts w:ascii="Cambria" w:hAnsi="Cambria"/>
          <w:sz w:val="16"/>
          <w:szCs w:val="16"/>
        </w:rPr>
        <w:t xml:space="preserve"> </w:t>
      </w:r>
      <w:r w:rsidRPr="008A7BD7">
        <w:rPr>
          <w:rFonts w:ascii="Cambria" w:hAnsi="Cambria"/>
          <w:sz w:val="16"/>
          <w:szCs w:val="16"/>
        </w:rPr>
        <w:t xml:space="preserve">100 </w:t>
      </w:r>
      <w:r w:rsidR="00F1485B" w:rsidRPr="008A7BD7">
        <w:rPr>
          <w:rFonts w:ascii="Cambria" w:hAnsi="Cambria"/>
          <w:sz w:val="16"/>
          <w:szCs w:val="16"/>
        </w:rPr>
        <w:t xml:space="preserve">female inmates were trained during workshops on </w:t>
      </w:r>
      <w:r w:rsidR="00FA21C5" w:rsidRPr="008A7BD7">
        <w:rPr>
          <w:rFonts w:ascii="Cambria" w:hAnsi="Cambria"/>
          <w:sz w:val="16"/>
          <w:szCs w:val="16"/>
        </w:rPr>
        <w:t>cosmetology</w:t>
      </w:r>
      <w:r w:rsidR="00F1485B" w:rsidRPr="008A7BD7">
        <w:rPr>
          <w:rFonts w:ascii="Cambria" w:hAnsi="Cambria"/>
          <w:sz w:val="16"/>
          <w:szCs w:val="16"/>
        </w:rPr>
        <w:t xml:space="preserve">, carpentry, </w:t>
      </w:r>
      <w:r w:rsidR="00BF415D" w:rsidRPr="008A7BD7">
        <w:rPr>
          <w:rFonts w:ascii="Cambria" w:hAnsi="Cambria"/>
          <w:sz w:val="16"/>
          <w:szCs w:val="16"/>
        </w:rPr>
        <w:t>writing, and</w:t>
      </w:r>
      <w:r w:rsidR="00FA21C5" w:rsidRPr="008A7BD7">
        <w:rPr>
          <w:rFonts w:ascii="Cambria" w:hAnsi="Cambria"/>
          <w:sz w:val="16"/>
          <w:szCs w:val="16"/>
        </w:rPr>
        <w:t xml:space="preserve"> </w:t>
      </w:r>
      <w:r w:rsidR="00BF415D" w:rsidRPr="008A7BD7">
        <w:rPr>
          <w:rFonts w:ascii="Cambria" w:hAnsi="Cambria"/>
          <w:sz w:val="16"/>
          <w:szCs w:val="16"/>
        </w:rPr>
        <w:t>French, among other</w:t>
      </w:r>
      <w:r w:rsidR="00FA21C5" w:rsidRPr="008A7BD7">
        <w:rPr>
          <w:rFonts w:ascii="Cambria" w:hAnsi="Cambria"/>
          <w:sz w:val="16"/>
          <w:szCs w:val="16"/>
        </w:rPr>
        <w:t xml:space="preserve"> subjects</w:t>
      </w:r>
      <w:r w:rsidR="00BF415D" w:rsidRPr="008A7BD7">
        <w:rPr>
          <w:rFonts w:ascii="Cambria" w:hAnsi="Cambria"/>
          <w:sz w:val="16"/>
          <w:szCs w:val="16"/>
        </w:rPr>
        <w:t>, to enable them to make a decent living once they are released. Response from the State of</w:t>
      </w:r>
      <w:r w:rsidR="00BF415D"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BF415D" w:rsidRPr="008A7BD7">
        <w:rPr>
          <w:rFonts w:ascii="Cambria" w:hAnsi="Cambria"/>
          <w:sz w:val="16"/>
          <w:szCs w:val="16"/>
        </w:rPr>
        <w:t>OEA</w:t>
      </w:r>
      <w:r w:rsidR="00BF415D" w:rsidRPr="008A7BD7">
        <w:rPr>
          <w:rFonts w:ascii="Cambria" w:eastAsia="Cambria" w:hAnsi="Cambria" w:cs="Cambria"/>
          <w:color w:val="000000"/>
          <w:sz w:val="16"/>
          <w:szCs w:val="16"/>
        </w:rPr>
        <w:t>-M4-980-2021, December 22, 2021, p</w:t>
      </w:r>
      <w:r w:rsidR="00BF415D"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 xml:space="preserve"> 135.</w:t>
      </w:r>
    </w:p>
  </w:footnote>
  <w:footnote w:id="272">
    <w:p w14:paraId="6693C2AF" w14:textId="2EE7B741" w:rsidR="00F97F2A" w:rsidRPr="008A7BD7" w:rsidRDefault="00F97F2A" w:rsidP="00F97F2A">
      <w:pPr>
        <w:pBdr>
          <w:top w:val="nil"/>
          <w:left w:val="nil"/>
          <w:bottom w:val="nil"/>
          <w:right w:val="nil"/>
          <w:between w:val="nil"/>
        </w:pBdr>
        <w:spacing w:after="120"/>
        <w:ind w:firstLine="720"/>
        <w:jc w:val="both"/>
      </w:pPr>
      <w:r w:rsidRPr="008A7BD7">
        <w:rPr>
          <w:rStyle w:val="FootnoteReference"/>
          <w:rFonts w:ascii="Cambria" w:hAnsi="Cambria"/>
          <w:sz w:val="16"/>
          <w:szCs w:val="16"/>
        </w:rPr>
        <w:footnoteRef/>
      </w:r>
      <w:r w:rsidRPr="008A7BD7">
        <w:rPr>
          <w:rFonts w:ascii="Cambria" w:hAnsi="Cambria"/>
          <w:sz w:val="16"/>
          <w:szCs w:val="16"/>
        </w:rPr>
        <w:t xml:space="preserve"> </w:t>
      </w:r>
      <w:r w:rsidR="00BF415D" w:rsidRPr="008A7BD7">
        <w:rPr>
          <w:rFonts w:ascii="Cambria" w:eastAsia="Cambria" w:hAnsi="Cambria" w:cs="Cambria"/>
          <w:color w:val="000000"/>
          <w:sz w:val="16"/>
          <w:szCs w:val="16"/>
        </w:rPr>
        <w:t xml:space="preserve">The activities carried out </w:t>
      </w:r>
      <w:proofErr w:type="gramStart"/>
      <w:r w:rsidR="00BF415D" w:rsidRPr="008A7BD7">
        <w:rPr>
          <w:rFonts w:ascii="Cambria" w:eastAsia="Cambria" w:hAnsi="Cambria" w:cs="Cambria"/>
          <w:color w:val="000000"/>
          <w:sz w:val="16"/>
          <w:szCs w:val="16"/>
        </w:rPr>
        <w:t>include</w:t>
      </w:r>
      <w:r w:rsidRPr="008A7BD7">
        <w:rPr>
          <w:rFonts w:ascii="Cambria" w:hAnsi="Cambria"/>
          <w:sz w:val="16"/>
          <w:szCs w:val="16"/>
        </w:rPr>
        <w:t>:</w:t>
      </w:r>
      <w:proofErr w:type="gramEnd"/>
      <w:r w:rsidRPr="008A7BD7">
        <w:rPr>
          <w:rFonts w:ascii="Cambria" w:hAnsi="Cambria"/>
          <w:sz w:val="16"/>
          <w:szCs w:val="16"/>
        </w:rPr>
        <w:t xml:space="preserve"> </w:t>
      </w:r>
      <w:r w:rsidR="00BF415D" w:rsidRPr="008A7BD7">
        <w:rPr>
          <w:rFonts w:ascii="Cambria" w:hAnsi="Cambria"/>
          <w:sz w:val="16"/>
          <w:szCs w:val="16"/>
        </w:rPr>
        <w:t>certificate program in Human Rights in Prison Management</w:t>
      </w:r>
      <w:r w:rsidR="00FA21C5" w:rsidRPr="008A7BD7">
        <w:rPr>
          <w:rFonts w:ascii="Cambria" w:hAnsi="Cambria"/>
          <w:sz w:val="16"/>
          <w:szCs w:val="16"/>
        </w:rPr>
        <w:t>,</w:t>
      </w:r>
      <w:r w:rsidR="00BF415D" w:rsidRPr="008A7BD7">
        <w:rPr>
          <w:rFonts w:ascii="Cambria" w:hAnsi="Cambria"/>
          <w:sz w:val="16"/>
          <w:szCs w:val="16"/>
        </w:rPr>
        <w:t xml:space="preserve"> Limits to Use of Force with a Focus on Conflict Resolution</w:t>
      </w:r>
      <w:r w:rsidR="00FA21C5" w:rsidRPr="008A7BD7">
        <w:rPr>
          <w:rFonts w:ascii="Cambria" w:hAnsi="Cambria"/>
          <w:sz w:val="16"/>
          <w:szCs w:val="16"/>
        </w:rPr>
        <w:t>,</w:t>
      </w:r>
      <w:r w:rsidRPr="008A7BD7">
        <w:rPr>
          <w:rFonts w:ascii="Cambria" w:hAnsi="Cambria"/>
          <w:sz w:val="16"/>
          <w:szCs w:val="16"/>
        </w:rPr>
        <w:t xml:space="preserve"> </w:t>
      </w:r>
      <w:r w:rsidR="00BF415D" w:rsidRPr="008A7BD7">
        <w:rPr>
          <w:rFonts w:ascii="Cambria" w:hAnsi="Cambria"/>
          <w:sz w:val="16"/>
          <w:szCs w:val="16"/>
        </w:rPr>
        <w:t xml:space="preserve">conferences on How to Manage Anxiety </w:t>
      </w:r>
      <w:r w:rsidR="008C65BD" w:rsidRPr="008A7BD7">
        <w:rPr>
          <w:rFonts w:ascii="Cambria" w:hAnsi="Cambria"/>
          <w:sz w:val="16"/>
          <w:szCs w:val="16"/>
        </w:rPr>
        <w:t xml:space="preserve">in Prison </w:t>
      </w:r>
      <w:r w:rsidR="00BF415D" w:rsidRPr="008A7BD7">
        <w:rPr>
          <w:rFonts w:ascii="Cambria" w:hAnsi="Cambria"/>
          <w:sz w:val="16"/>
          <w:szCs w:val="16"/>
        </w:rPr>
        <w:t>in Times of</w:t>
      </w:r>
      <w:r w:rsidRPr="008A7BD7">
        <w:rPr>
          <w:rFonts w:ascii="Cambria" w:hAnsi="Cambria"/>
          <w:sz w:val="16"/>
          <w:szCs w:val="16"/>
        </w:rPr>
        <w:t xml:space="preserve"> COVID-19, </w:t>
      </w:r>
      <w:r w:rsidR="00BF415D" w:rsidRPr="008A7BD7">
        <w:rPr>
          <w:rFonts w:ascii="Cambria" w:hAnsi="Cambria"/>
          <w:sz w:val="16"/>
          <w:szCs w:val="16"/>
        </w:rPr>
        <w:t xml:space="preserve">Advice on Making Prison Work Effective and Efficient, How to </w:t>
      </w:r>
      <w:r w:rsidR="004946E2" w:rsidRPr="008A7BD7">
        <w:rPr>
          <w:rFonts w:ascii="Cambria" w:hAnsi="Cambria"/>
          <w:sz w:val="16"/>
          <w:szCs w:val="16"/>
        </w:rPr>
        <w:t>Cope with</w:t>
      </w:r>
      <w:r w:rsidR="00BF415D" w:rsidRPr="008A7BD7">
        <w:rPr>
          <w:rFonts w:ascii="Cambria" w:hAnsi="Cambria"/>
          <w:sz w:val="16"/>
          <w:szCs w:val="16"/>
        </w:rPr>
        <w:t xml:space="preserve"> the Loss of a Loved One, Morals and Ethics, </w:t>
      </w:r>
      <w:r w:rsidR="004946E2" w:rsidRPr="008A7BD7">
        <w:rPr>
          <w:rFonts w:ascii="Cambria" w:hAnsi="Cambria"/>
          <w:sz w:val="16"/>
          <w:szCs w:val="16"/>
        </w:rPr>
        <w:t xml:space="preserve">Handling Emotions in Times of </w:t>
      </w:r>
      <w:r w:rsidRPr="008A7BD7">
        <w:rPr>
          <w:rFonts w:ascii="Cambria" w:hAnsi="Cambria"/>
          <w:sz w:val="16"/>
          <w:szCs w:val="16"/>
        </w:rPr>
        <w:t>COVID-19</w:t>
      </w:r>
      <w:r w:rsidR="004946E2" w:rsidRPr="008A7BD7">
        <w:rPr>
          <w:rFonts w:ascii="Cambria" w:hAnsi="Cambria"/>
          <w:sz w:val="16"/>
          <w:szCs w:val="16"/>
        </w:rPr>
        <w:t>, Applying Biosecurity Measures and Protocols, and the Importance of Teamwork.</w:t>
      </w:r>
      <w:r w:rsidRPr="008A7BD7">
        <w:rPr>
          <w:rFonts w:ascii="Cambria" w:hAnsi="Cambria"/>
          <w:sz w:val="16"/>
          <w:szCs w:val="16"/>
        </w:rPr>
        <w:t xml:space="preserve"> </w:t>
      </w:r>
      <w:r w:rsidR="004946E2" w:rsidRPr="008A7BD7">
        <w:rPr>
          <w:rFonts w:ascii="Cambria" w:hAnsi="Cambria"/>
          <w:sz w:val="16"/>
          <w:szCs w:val="16"/>
        </w:rPr>
        <w:t>The EEP Directorate reported that these new innovative virtual tools are being used to strengthen the capacity and knowledge of all staff. Response from the State of</w:t>
      </w:r>
      <w:r w:rsidR="004946E2"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4946E2" w:rsidRPr="008A7BD7">
        <w:rPr>
          <w:rFonts w:ascii="Cambria" w:hAnsi="Cambria"/>
          <w:sz w:val="16"/>
          <w:szCs w:val="16"/>
        </w:rPr>
        <w:t>OEA</w:t>
      </w:r>
      <w:r w:rsidR="004946E2"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 136.</w:t>
      </w:r>
    </w:p>
  </w:footnote>
  <w:footnote w:id="273">
    <w:p w14:paraId="53B950E3" w14:textId="7E659AF6"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EA39AB" w:rsidRPr="008A7BD7">
        <w:rPr>
          <w:rFonts w:ascii="Cambria" w:eastAsia="Cambria" w:hAnsi="Cambria" w:cs="Cambria"/>
          <w:sz w:val="16"/>
          <w:szCs w:val="16"/>
        </w:rPr>
        <w:t xml:space="preserve">UNHCR, </w:t>
      </w:r>
      <w:hyperlink r:id="rId275" w:history="1">
        <w:r w:rsidR="00EA39AB" w:rsidRPr="008A7BD7">
          <w:rPr>
            <w:rStyle w:val="Hyperlink"/>
            <w:rFonts w:ascii="Cambria" w:eastAsia="Cambria" w:hAnsi="Cambria" w:cs="Cambria"/>
            <w:sz w:val="16"/>
            <w:szCs w:val="16"/>
          </w:rPr>
          <w:t>Global Trends: Forced Displacement in 2020</w:t>
        </w:r>
      </w:hyperlink>
      <w:r w:rsidR="00EA39AB" w:rsidRPr="008A7BD7">
        <w:rPr>
          <w:rFonts w:ascii="Cambria" w:eastAsia="Cambria" w:hAnsi="Cambria" w:cs="Cambria"/>
          <w:sz w:val="16"/>
          <w:szCs w:val="16"/>
        </w:rPr>
        <w:t xml:space="preserve">, June </w:t>
      </w:r>
      <w:r w:rsidRPr="008A7BD7">
        <w:rPr>
          <w:rFonts w:ascii="Cambria" w:eastAsia="Cambria" w:hAnsi="Cambria" w:cs="Cambria"/>
          <w:sz w:val="16"/>
          <w:szCs w:val="16"/>
        </w:rPr>
        <w:t>2021, Tabl</w:t>
      </w:r>
      <w:r w:rsidR="00EA39AB" w:rsidRPr="008A7BD7">
        <w:rPr>
          <w:rFonts w:ascii="Cambria" w:eastAsia="Cambria" w:hAnsi="Cambria" w:cs="Cambria"/>
          <w:sz w:val="16"/>
          <w:szCs w:val="16"/>
        </w:rPr>
        <w:t>es</w:t>
      </w:r>
      <w:r w:rsidRPr="008A7BD7">
        <w:rPr>
          <w:rFonts w:ascii="Cambria" w:eastAsia="Cambria" w:hAnsi="Cambria" w:cs="Cambria"/>
          <w:sz w:val="16"/>
          <w:szCs w:val="16"/>
        </w:rPr>
        <w:t xml:space="preserve"> 1 </w:t>
      </w:r>
      <w:r w:rsidR="00EA39AB" w:rsidRPr="008A7BD7">
        <w:rPr>
          <w:rFonts w:ascii="Cambria" w:eastAsia="Cambria" w:hAnsi="Cambria" w:cs="Cambria"/>
          <w:sz w:val="16"/>
          <w:szCs w:val="16"/>
        </w:rPr>
        <w:t>to</w:t>
      </w:r>
      <w:r w:rsidRPr="008A7BD7">
        <w:rPr>
          <w:rFonts w:ascii="Cambria" w:eastAsia="Cambria" w:hAnsi="Cambria" w:cs="Cambria"/>
          <w:sz w:val="16"/>
          <w:szCs w:val="16"/>
        </w:rPr>
        <w:t xml:space="preserve"> 22 </w:t>
      </w:r>
      <w:r w:rsidR="00EA39AB" w:rsidRPr="008A7BD7">
        <w:rPr>
          <w:rFonts w:ascii="Cambria" w:eastAsia="Cambria" w:hAnsi="Cambria" w:cs="Cambria"/>
          <w:sz w:val="16"/>
          <w:szCs w:val="16"/>
        </w:rPr>
        <w:t>of the annex</w:t>
      </w:r>
      <w:r w:rsidRPr="008A7BD7">
        <w:rPr>
          <w:rFonts w:ascii="Cambria" w:eastAsia="Cambria" w:hAnsi="Cambria" w:cs="Cambria"/>
          <w:sz w:val="16"/>
          <w:szCs w:val="16"/>
        </w:rPr>
        <w:t>.</w:t>
      </w:r>
    </w:p>
  </w:footnote>
  <w:footnote w:id="274">
    <w:p w14:paraId="0760F5F3" w14:textId="64C8747A"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D143E2" w:rsidRPr="008A7BD7">
        <w:rPr>
          <w:rFonts w:ascii="Cambria" w:eastAsia="Cambria" w:hAnsi="Cambria" w:cs="Cambria"/>
          <w:sz w:val="16"/>
          <w:szCs w:val="16"/>
        </w:rPr>
        <w:t xml:space="preserve">IACHR, </w:t>
      </w:r>
      <w:hyperlink r:id="rId276" w:history="1">
        <w:r w:rsidR="00D143E2" w:rsidRPr="008A7BD7">
          <w:rPr>
            <w:rStyle w:val="Hyperlink"/>
            <w:rFonts w:ascii="Cambria" w:eastAsia="Cambria" w:hAnsi="Cambria" w:cs="Cambria"/>
            <w:sz w:val="16"/>
            <w:szCs w:val="16"/>
          </w:rPr>
          <w:t>Annual Report 2020, Chapter V, Guatemala</w:t>
        </w:r>
      </w:hyperlink>
      <w:r w:rsidR="00D143E2" w:rsidRPr="008A7BD7">
        <w:rPr>
          <w:rFonts w:ascii="Cambria" w:eastAsia="Cambria" w:hAnsi="Cambria" w:cs="Cambria"/>
          <w:sz w:val="16"/>
          <w:szCs w:val="16"/>
        </w:rPr>
        <w:t>, par.</w:t>
      </w:r>
      <w:r w:rsidRPr="008A7BD7">
        <w:rPr>
          <w:rFonts w:ascii="Cambria" w:eastAsia="Cambria" w:hAnsi="Cambria" w:cs="Cambria"/>
          <w:sz w:val="16"/>
          <w:szCs w:val="16"/>
        </w:rPr>
        <w:t xml:space="preserve"> 189</w:t>
      </w:r>
      <w:r w:rsidR="00D143E2" w:rsidRPr="008A7BD7">
        <w:rPr>
          <w:rFonts w:ascii="Cambria" w:eastAsia="Cambria" w:hAnsi="Cambria" w:cs="Cambria"/>
          <w:sz w:val="16"/>
          <w:szCs w:val="16"/>
        </w:rPr>
        <w:t>;</w:t>
      </w:r>
      <w:r w:rsidRPr="008A7BD7">
        <w:rPr>
          <w:rFonts w:ascii="Cambria" w:eastAsia="Cambria" w:hAnsi="Cambria" w:cs="Cambria"/>
          <w:sz w:val="16"/>
          <w:szCs w:val="16"/>
        </w:rPr>
        <w:t xml:space="preserve"> </w:t>
      </w:r>
      <w:r w:rsidR="00490B75" w:rsidRPr="008A7BD7">
        <w:rPr>
          <w:rFonts w:ascii="Cambria" w:eastAsia="Cambria" w:hAnsi="Cambria" w:cs="Cambria"/>
          <w:sz w:val="16"/>
          <w:szCs w:val="16"/>
        </w:rPr>
        <w:t>UNHCR</w:t>
      </w:r>
      <w:r w:rsidRPr="008A7BD7">
        <w:rPr>
          <w:rFonts w:ascii="Cambria" w:eastAsia="Cambria" w:hAnsi="Cambria" w:cs="Cambria"/>
          <w:sz w:val="16"/>
          <w:szCs w:val="16"/>
        </w:rPr>
        <w:t>,</w:t>
      </w:r>
      <w:r w:rsidR="00490B75" w:rsidRPr="008A7BD7">
        <w:rPr>
          <w:rFonts w:ascii="Cambria" w:eastAsia="Cambria" w:hAnsi="Cambria" w:cs="Cambria"/>
          <w:sz w:val="16"/>
          <w:szCs w:val="16"/>
        </w:rPr>
        <w:t xml:space="preserve"> </w:t>
      </w:r>
      <w:hyperlink r:id="rId277" w:history="1">
        <w:r w:rsidR="00490B75" w:rsidRPr="008A7BD7">
          <w:rPr>
            <w:rStyle w:val="Hyperlink"/>
            <w:rFonts w:ascii="Cambria" w:eastAsia="Cambria" w:hAnsi="Cambria" w:cs="Cambria"/>
            <w:sz w:val="16"/>
            <w:szCs w:val="16"/>
          </w:rPr>
          <w:t>Global Trends: Forced Displacement in 2019</w:t>
        </w:r>
      </w:hyperlink>
      <w:r w:rsidR="00490B75" w:rsidRPr="008A7BD7">
        <w:rPr>
          <w:rFonts w:ascii="Cambria" w:eastAsia="Cambria" w:hAnsi="Cambria" w:cs="Cambria"/>
          <w:sz w:val="16"/>
          <w:szCs w:val="16"/>
        </w:rPr>
        <w:t>, June</w:t>
      </w:r>
      <w:r w:rsidR="00490B75" w:rsidRPr="008A7BD7">
        <w:t xml:space="preserve"> </w:t>
      </w:r>
      <w:r w:rsidRPr="008A7BD7">
        <w:rPr>
          <w:rFonts w:ascii="Cambria" w:eastAsia="Cambria" w:hAnsi="Cambria" w:cs="Cambria"/>
          <w:sz w:val="16"/>
          <w:szCs w:val="16"/>
        </w:rPr>
        <w:t>2019, p. 79.</w:t>
      </w:r>
    </w:p>
  </w:footnote>
  <w:footnote w:id="275">
    <w:p w14:paraId="2DC82AD1" w14:textId="1D568A0D"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4A1E99" w:rsidRPr="008A7BD7">
        <w:rPr>
          <w:rFonts w:ascii="Cambria" w:eastAsia="Cambria" w:hAnsi="Cambria" w:cs="Cambria"/>
          <w:sz w:val="16"/>
          <w:szCs w:val="16"/>
        </w:rPr>
        <w:t xml:space="preserve">UNHCR, </w:t>
      </w:r>
      <w:hyperlink r:id="rId278" w:history="1">
        <w:r w:rsidR="004A1E99" w:rsidRPr="008A7BD7">
          <w:rPr>
            <w:rStyle w:val="Hyperlink"/>
            <w:rFonts w:ascii="Cambria" w:eastAsia="Cambria" w:hAnsi="Cambria" w:cs="Cambria"/>
            <w:sz w:val="16"/>
            <w:szCs w:val="16"/>
          </w:rPr>
          <w:t>Global Trends: Forced Displacement in 2020</w:t>
        </w:r>
      </w:hyperlink>
      <w:r w:rsidR="004A1E99" w:rsidRPr="008A7BD7">
        <w:rPr>
          <w:rFonts w:ascii="Cambria" w:eastAsia="Cambria" w:hAnsi="Cambria" w:cs="Cambria"/>
          <w:sz w:val="16"/>
          <w:szCs w:val="16"/>
        </w:rPr>
        <w:t>, June 2021, Tables 1 to 22 of the annex.</w:t>
      </w:r>
    </w:p>
  </w:footnote>
  <w:footnote w:id="276">
    <w:p w14:paraId="731F6EF6" w14:textId="1BB846B5"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0F5C31" w:rsidRPr="008A7BD7">
        <w:rPr>
          <w:rFonts w:ascii="Cambria" w:eastAsia="Cambria" w:hAnsi="Cambria" w:cs="Cambria"/>
          <w:sz w:val="16"/>
          <w:szCs w:val="16"/>
        </w:rPr>
        <w:t xml:space="preserve">According to the information available, beginning in March of fiscal year </w:t>
      </w:r>
      <w:r w:rsidRPr="008A7BD7">
        <w:rPr>
          <w:rFonts w:ascii="Cambria" w:eastAsia="Cambria" w:hAnsi="Cambria" w:cs="Cambria"/>
          <w:sz w:val="16"/>
          <w:szCs w:val="16"/>
        </w:rPr>
        <w:t xml:space="preserve">2020, USBP </w:t>
      </w:r>
      <w:r w:rsidR="000F5C31" w:rsidRPr="008A7BD7">
        <w:rPr>
          <w:rFonts w:ascii="Cambria" w:eastAsia="Cambria" w:hAnsi="Cambria" w:cs="Cambria"/>
          <w:sz w:val="16"/>
          <w:szCs w:val="16"/>
        </w:rPr>
        <w:t>and</w:t>
      </w:r>
      <w:r w:rsidRPr="008A7BD7">
        <w:rPr>
          <w:rFonts w:ascii="Cambria" w:eastAsia="Cambria" w:hAnsi="Cambria" w:cs="Cambria"/>
          <w:sz w:val="16"/>
          <w:szCs w:val="16"/>
        </w:rPr>
        <w:t xml:space="preserve"> OFO </w:t>
      </w:r>
      <w:r w:rsidR="000F5C31" w:rsidRPr="008A7BD7">
        <w:rPr>
          <w:rFonts w:ascii="Cambria" w:eastAsia="Cambria" w:hAnsi="Cambria" w:cs="Cambria"/>
          <w:sz w:val="16"/>
          <w:szCs w:val="16"/>
        </w:rPr>
        <w:t xml:space="preserve">statistics on encounters include both Title </w:t>
      </w:r>
      <w:r w:rsidR="00C31348" w:rsidRPr="008A7BD7">
        <w:rPr>
          <w:rFonts w:ascii="Cambria" w:eastAsia="Cambria" w:hAnsi="Cambria" w:cs="Cambria"/>
          <w:sz w:val="16"/>
          <w:szCs w:val="16"/>
        </w:rPr>
        <w:t>8</w:t>
      </w:r>
      <w:r w:rsidR="000F5C31" w:rsidRPr="008A7BD7">
        <w:rPr>
          <w:rFonts w:ascii="Cambria" w:eastAsia="Cambria" w:hAnsi="Cambria" w:cs="Cambria"/>
          <w:sz w:val="16"/>
          <w:szCs w:val="16"/>
        </w:rPr>
        <w:t xml:space="preserve"> apprehensions, Title 8 </w:t>
      </w:r>
      <w:proofErr w:type="spellStart"/>
      <w:r w:rsidR="006C7544" w:rsidRPr="008A7BD7">
        <w:rPr>
          <w:rFonts w:ascii="Cambria" w:eastAsia="Cambria" w:hAnsi="Cambria" w:cs="Cambria"/>
          <w:sz w:val="16"/>
          <w:szCs w:val="16"/>
        </w:rPr>
        <w:t>inadmissibles</w:t>
      </w:r>
      <w:proofErr w:type="spellEnd"/>
      <w:r w:rsidR="000F5C31" w:rsidRPr="008A7BD7">
        <w:rPr>
          <w:rFonts w:ascii="Cambria" w:eastAsia="Cambria" w:hAnsi="Cambria" w:cs="Cambria"/>
          <w:sz w:val="16"/>
          <w:szCs w:val="16"/>
        </w:rPr>
        <w:t xml:space="preserve">, and Title 42 expulsions. </w:t>
      </w:r>
      <w:r w:rsidRPr="008A7BD7">
        <w:rPr>
          <w:rFonts w:ascii="Cambria" w:eastAsia="Cambria" w:hAnsi="Cambria" w:cs="Cambria"/>
          <w:sz w:val="16"/>
          <w:szCs w:val="16"/>
        </w:rPr>
        <w:t xml:space="preserve">CBP, </w:t>
      </w:r>
      <w:r w:rsidR="000F5C31" w:rsidRPr="008A7BD7">
        <w:rPr>
          <w:rFonts w:ascii="Cambria" w:eastAsia="Cambria" w:hAnsi="Cambria" w:cs="Cambria"/>
          <w:sz w:val="16"/>
          <w:szCs w:val="16"/>
        </w:rPr>
        <w:t>United States</w:t>
      </w:r>
      <w:r w:rsidRPr="008A7BD7">
        <w:rPr>
          <w:rFonts w:ascii="Cambria" w:eastAsia="Cambria" w:hAnsi="Cambria" w:cs="Cambria"/>
          <w:sz w:val="16"/>
          <w:szCs w:val="16"/>
        </w:rPr>
        <w:t>,</w:t>
      </w:r>
      <w:hyperlink r:id="rId279">
        <w:r w:rsidRPr="008A7BD7">
          <w:rPr>
            <w:rFonts w:ascii="Cambria" w:eastAsia="Cambria" w:hAnsi="Cambria" w:cs="Cambria"/>
            <w:sz w:val="16"/>
            <w:szCs w:val="16"/>
          </w:rPr>
          <w:t xml:space="preserve"> </w:t>
        </w:r>
      </w:hyperlink>
      <w:hyperlink r:id="rId280">
        <w:r w:rsidRPr="008A7BD7">
          <w:rPr>
            <w:rFonts w:ascii="Cambria" w:eastAsia="Cambria" w:hAnsi="Cambria" w:cs="Cambria"/>
            <w:color w:val="0563C1"/>
            <w:sz w:val="16"/>
            <w:szCs w:val="16"/>
            <w:u w:val="single"/>
          </w:rPr>
          <w:t>Southwest Land Border Encounters</w:t>
        </w:r>
      </w:hyperlink>
      <w:r w:rsidRPr="008A7BD7">
        <w:rPr>
          <w:rFonts w:ascii="Cambria" w:eastAsia="Cambria" w:hAnsi="Cambria" w:cs="Cambria"/>
          <w:sz w:val="16"/>
          <w:szCs w:val="16"/>
        </w:rPr>
        <w:t>, 2021.</w:t>
      </w:r>
    </w:p>
  </w:footnote>
  <w:footnote w:id="277">
    <w:p w14:paraId="25A9D3D1" w14:textId="5F15518B" w:rsidR="00F97F2A" w:rsidRPr="008A7BD7" w:rsidRDefault="00F97F2A" w:rsidP="00F97F2A">
      <w:pPr>
        <w:pStyle w:val="FootnoteText"/>
        <w:ind w:firstLine="720"/>
        <w:jc w:val="both"/>
      </w:pPr>
      <w:r w:rsidRPr="008A7BD7">
        <w:rPr>
          <w:rStyle w:val="FootnoteReference"/>
          <w:rFonts w:ascii="Cambria" w:hAnsi="Cambria"/>
          <w:sz w:val="16"/>
          <w:szCs w:val="16"/>
        </w:rPr>
        <w:footnoteRef/>
      </w:r>
      <w:r w:rsidRPr="008A7BD7">
        <w:rPr>
          <w:rFonts w:ascii="Cambria" w:hAnsi="Cambria"/>
          <w:sz w:val="16"/>
          <w:szCs w:val="16"/>
        </w:rPr>
        <w:t xml:space="preserve"> </w:t>
      </w:r>
      <w:r w:rsidR="00435D8F" w:rsidRPr="008A7BD7">
        <w:rPr>
          <w:rFonts w:ascii="Cambria" w:hAnsi="Cambria"/>
          <w:sz w:val="16"/>
          <w:szCs w:val="16"/>
        </w:rPr>
        <w:t>Response from the State of</w:t>
      </w:r>
      <w:r w:rsidR="00435D8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435D8F" w:rsidRPr="008A7BD7">
        <w:rPr>
          <w:rFonts w:ascii="Cambria" w:hAnsi="Cambria"/>
          <w:sz w:val="16"/>
          <w:szCs w:val="16"/>
        </w:rPr>
        <w:t>OEA</w:t>
      </w:r>
      <w:r w:rsidR="00435D8F"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 135.</w:t>
      </w:r>
    </w:p>
  </w:footnote>
  <w:footnote w:id="278">
    <w:p w14:paraId="17F0C7CF" w14:textId="2BA00F68"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rPr>
      </w:pPr>
      <w:r w:rsidRPr="008A7BD7">
        <w:rPr>
          <w:rStyle w:val="FootnoteReference"/>
          <w:rFonts w:ascii="Cambria" w:hAnsi="Cambria"/>
          <w:sz w:val="16"/>
          <w:szCs w:val="16"/>
        </w:rPr>
        <w:footnoteRef/>
      </w:r>
      <w:r w:rsidRPr="008A7BD7">
        <w:rPr>
          <w:rFonts w:ascii="Cambria" w:eastAsia="Cambria" w:hAnsi="Cambria" w:cs="Cambria"/>
          <w:color w:val="000000"/>
          <w:sz w:val="16"/>
          <w:szCs w:val="16"/>
        </w:rPr>
        <w:t xml:space="preserve"> </w:t>
      </w:r>
      <w:r w:rsidR="009862FA" w:rsidRPr="008A7BD7">
        <w:rPr>
          <w:rFonts w:ascii="Cambria" w:eastAsia="Cambria" w:hAnsi="Cambria" w:cs="Cambria"/>
          <w:color w:val="000000"/>
          <w:sz w:val="16"/>
          <w:szCs w:val="16"/>
        </w:rPr>
        <w:t xml:space="preserve">UN </w:t>
      </w:r>
      <w:r w:rsidRPr="008A7BD7">
        <w:rPr>
          <w:rFonts w:ascii="Cambria" w:eastAsia="Cambria" w:hAnsi="Cambria" w:cs="Cambria"/>
          <w:color w:val="000000"/>
          <w:sz w:val="16"/>
          <w:szCs w:val="16"/>
        </w:rPr>
        <w:t>OCHA,</w:t>
      </w:r>
      <w:r w:rsidR="005D253B" w:rsidRPr="008A7BD7">
        <w:rPr>
          <w:rFonts w:ascii="Cambria" w:eastAsia="Cambria" w:hAnsi="Cambria" w:cs="Cambria"/>
          <w:color w:val="000000"/>
          <w:sz w:val="16"/>
          <w:szCs w:val="16"/>
        </w:rPr>
        <w:t xml:space="preserve"> </w:t>
      </w:r>
      <w:hyperlink r:id="rId281" w:history="1">
        <w:r w:rsidR="00C62B89" w:rsidRPr="008A7BD7">
          <w:rPr>
            <w:rStyle w:val="Hyperlink"/>
            <w:rFonts w:ascii="Cambria" w:eastAsia="Cambria" w:hAnsi="Cambria" w:cs="Cambria"/>
            <w:sz w:val="16"/>
            <w:szCs w:val="16"/>
          </w:rPr>
          <w:t xml:space="preserve">Humanitarian Needs Overview: </w:t>
        </w:r>
        <w:r w:rsidR="005D253B" w:rsidRPr="008A7BD7">
          <w:rPr>
            <w:rStyle w:val="Hyperlink"/>
            <w:rFonts w:ascii="Cambria" w:eastAsia="Cambria" w:hAnsi="Cambria" w:cs="Cambria"/>
            <w:sz w:val="16"/>
            <w:szCs w:val="16"/>
          </w:rPr>
          <w:t>El Salvador, Guatemala &amp; Honduras</w:t>
        </w:r>
      </w:hyperlink>
      <w:r w:rsidR="005D253B" w:rsidRPr="008A7BD7">
        <w:rPr>
          <w:rFonts w:ascii="Cambria" w:eastAsia="Cambria" w:hAnsi="Cambria" w:cs="Cambria"/>
          <w:color w:val="000000"/>
          <w:sz w:val="16"/>
          <w:szCs w:val="16"/>
        </w:rPr>
        <w:t>,</w:t>
      </w:r>
      <w:r w:rsidRPr="008A7BD7">
        <w:rPr>
          <w:rFonts w:ascii="Cambria" w:eastAsia="Cambria" w:hAnsi="Cambria" w:cs="Cambria"/>
          <w:color w:val="000000"/>
          <w:sz w:val="16"/>
          <w:szCs w:val="16"/>
        </w:rPr>
        <w:t xml:space="preserve"> </w:t>
      </w:r>
      <w:r w:rsidR="002279F9" w:rsidRPr="008A7BD7">
        <w:rPr>
          <w:rFonts w:ascii="Cambria" w:eastAsia="Cambria" w:hAnsi="Cambria" w:cs="Cambria"/>
          <w:color w:val="000000"/>
          <w:sz w:val="16"/>
          <w:szCs w:val="16"/>
        </w:rPr>
        <w:t xml:space="preserve">July </w:t>
      </w:r>
      <w:r w:rsidRPr="008A7BD7">
        <w:rPr>
          <w:rFonts w:ascii="Cambria" w:eastAsia="Cambria" w:hAnsi="Cambria" w:cs="Cambria"/>
          <w:color w:val="000000"/>
          <w:sz w:val="16"/>
          <w:szCs w:val="16"/>
        </w:rPr>
        <w:t>2021, p</w:t>
      </w:r>
      <w:r w:rsidR="002279F9" w:rsidRPr="008A7BD7">
        <w:rPr>
          <w:rFonts w:ascii="Cambria" w:eastAsia="Cambria" w:hAnsi="Cambria" w:cs="Cambria"/>
          <w:color w:val="000000"/>
          <w:sz w:val="16"/>
          <w:szCs w:val="16"/>
        </w:rPr>
        <w:t>p</w:t>
      </w:r>
      <w:r w:rsidRPr="008A7BD7">
        <w:rPr>
          <w:rFonts w:ascii="Cambria" w:eastAsia="Cambria" w:hAnsi="Cambria" w:cs="Cambria"/>
          <w:color w:val="000000"/>
          <w:sz w:val="16"/>
          <w:szCs w:val="16"/>
        </w:rPr>
        <w:t>. 11, 15, 21</w:t>
      </w:r>
      <w:r w:rsidR="002279F9" w:rsidRPr="008A7BD7">
        <w:rPr>
          <w:rFonts w:ascii="Cambria" w:eastAsia="Cambria" w:hAnsi="Cambria" w:cs="Cambria"/>
          <w:color w:val="000000"/>
          <w:sz w:val="16"/>
          <w:szCs w:val="16"/>
        </w:rPr>
        <w:t>, and</w:t>
      </w:r>
      <w:r w:rsidRPr="008A7BD7">
        <w:rPr>
          <w:rFonts w:ascii="Cambria" w:eastAsia="Cambria" w:hAnsi="Cambria" w:cs="Cambria"/>
          <w:color w:val="000000"/>
          <w:sz w:val="16"/>
          <w:szCs w:val="16"/>
        </w:rPr>
        <w:t xml:space="preserve"> 30.</w:t>
      </w:r>
    </w:p>
  </w:footnote>
  <w:footnote w:id="279">
    <w:p w14:paraId="0B2E0E2B" w14:textId="30863866"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rPr>
      </w:pPr>
      <w:r w:rsidRPr="008A7BD7">
        <w:rPr>
          <w:rStyle w:val="FootnoteReference"/>
          <w:rFonts w:ascii="Cambria" w:hAnsi="Cambria"/>
          <w:sz w:val="16"/>
          <w:szCs w:val="16"/>
        </w:rPr>
        <w:footnoteRef/>
      </w:r>
      <w:r w:rsidRPr="008A7BD7">
        <w:rPr>
          <w:rFonts w:ascii="Cambria" w:eastAsia="Cambria" w:hAnsi="Cambria" w:cs="Cambria"/>
          <w:color w:val="000000"/>
          <w:sz w:val="16"/>
          <w:szCs w:val="16"/>
        </w:rPr>
        <w:t xml:space="preserve"> OXFAM Interna</w:t>
      </w:r>
      <w:r w:rsidR="006C7544" w:rsidRPr="008A7BD7">
        <w:rPr>
          <w:rFonts w:ascii="Cambria" w:eastAsia="Cambria" w:hAnsi="Cambria" w:cs="Cambria"/>
          <w:color w:val="000000"/>
          <w:sz w:val="16"/>
          <w:szCs w:val="16"/>
        </w:rPr>
        <w:t>t</w:t>
      </w:r>
      <w:r w:rsidRPr="008A7BD7">
        <w:rPr>
          <w:rFonts w:ascii="Cambria" w:eastAsia="Cambria" w:hAnsi="Cambria" w:cs="Cambria"/>
          <w:color w:val="000000"/>
          <w:sz w:val="16"/>
          <w:szCs w:val="16"/>
        </w:rPr>
        <w:t>ional</w:t>
      </w:r>
      <w:r w:rsidR="005A78AA" w:rsidRPr="008A7BD7">
        <w:rPr>
          <w:rFonts w:ascii="Cambria" w:eastAsia="Cambria" w:hAnsi="Cambria" w:cs="Cambria"/>
          <w:color w:val="000000"/>
          <w:sz w:val="16"/>
          <w:szCs w:val="16"/>
        </w:rPr>
        <w:t xml:space="preserve">, </w:t>
      </w:r>
      <w:hyperlink r:id="rId282" w:history="1">
        <w:r w:rsidR="005A78AA" w:rsidRPr="008A7BD7">
          <w:rPr>
            <w:rStyle w:val="Hyperlink"/>
            <w:rFonts w:ascii="Cambria" w:eastAsia="Cambria" w:hAnsi="Cambria" w:cs="Cambria"/>
            <w:sz w:val="16"/>
            <w:szCs w:val="16"/>
          </w:rPr>
          <w:t>Faces of Hunger in Central America: Food and nutritional insecurity in the Dry Corridor as a consequence of the hurricane season, drought, and Covid-19</w:t>
        </w:r>
      </w:hyperlink>
      <w:r w:rsidR="005A78AA" w:rsidRPr="008A7BD7">
        <w:rPr>
          <w:rFonts w:ascii="Cambria" w:eastAsia="Cambria" w:hAnsi="Cambria" w:cs="Cambria"/>
          <w:color w:val="000000"/>
          <w:sz w:val="16"/>
          <w:szCs w:val="16"/>
        </w:rPr>
        <w:t xml:space="preserve">, March </w:t>
      </w:r>
      <w:r w:rsidRPr="008A7BD7">
        <w:rPr>
          <w:rFonts w:ascii="Cambria" w:eastAsia="Cambria" w:hAnsi="Cambria" w:cs="Cambria"/>
          <w:color w:val="000000"/>
          <w:sz w:val="16"/>
          <w:szCs w:val="16"/>
        </w:rPr>
        <w:t>2021, p</w:t>
      </w:r>
      <w:r w:rsidR="005A78AA" w:rsidRPr="008A7BD7">
        <w:rPr>
          <w:rFonts w:ascii="Cambria" w:eastAsia="Cambria" w:hAnsi="Cambria" w:cs="Cambria"/>
          <w:color w:val="000000"/>
          <w:sz w:val="16"/>
          <w:szCs w:val="16"/>
        </w:rPr>
        <w:t>p</w:t>
      </w:r>
      <w:r w:rsidRPr="008A7BD7">
        <w:rPr>
          <w:rFonts w:ascii="Cambria" w:eastAsia="Cambria" w:hAnsi="Cambria" w:cs="Cambria"/>
          <w:color w:val="000000"/>
          <w:sz w:val="16"/>
          <w:szCs w:val="16"/>
        </w:rPr>
        <w:t xml:space="preserve">. 3 </w:t>
      </w:r>
      <w:r w:rsidR="005A78AA" w:rsidRPr="008A7BD7">
        <w:rPr>
          <w:rFonts w:ascii="Cambria" w:eastAsia="Cambria" w:hAnsi="Cambria" w:cs="Cambria"/>
          <w:color w:val="000000"/>
          <w:sz w:val="16"/>
          <w:szCs w:val="16"/>
        </w:rPr>
        <w:t>and</w:t>
      </w:r>
      <w:r w:rsidRPr="008A7BD7">
        <w:rPr>
          <w:rFonts w:ascii="Cambria" w:eastAsia="Cambria" w:hAnsi="Cambria" w:cs="Cambria"/>
          <w:color w:val="000000"/>
          <w:sz w:val="16"/>
          <w:szCs w:val="16"/>
        </w:rPr>
        <w:t xml:space="preserve"> 5.</w:t>
      </w:r>
    </w:p>
  </w:footnote>
  <w:footnote w:id="280">
    <w:p w14:paraId="00E2436B" w14:textId="6059C804"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8A7BD7">
        <w:rPr>
          <w:rStyle w:val="FootnoteReference"/>
          <w:rFonts w:ascii="Cambria" w:hAnsi="Cambria"/>
          <w:sz w:val="16"/>
          <w:szCs w:val="16"/>
        </w:rPr>
        <w:footnoteRef/>
      </w:r>
      <w:r w:rsidRPr="008A7BD7">
        <w:rPr>
          <w:rFonts w:ascii="Cambria" w:eastAsia="Cambria" w:hAnsi="Cambria" w:cs="Cambria"/>
          <w:color w:val="000000"/>
          <w:sz w:val="16"/>
          <w:szCs w:val="16"/>
          <w:lang w:val="es-US"/>
        </w:rPr>
        <w:t xml:space="preserve"> </w:t>
      </w:r>
      <w:r w:rsidR="00B57726" w:rsidRPr="008A7BD7">
        <w:rPr>
          <w:rFonts w:ascii="Cambria" w:eastAsia="Cambria" w:hAnsi="Cambria" w:cs="Cambria"/>
          <w:color w:val="000000"/>
          <w:sz w:val="16"/>
          <w:szCs w:val="16"/>
          <w:lang w:val="es-US"/>
        </w:rPr>
        <w:t>IOM</w:t>
      </w:r>
      <w:r w:rsidRPr="008A7BD7">
        <w:rPr>
          <w:rFonts w:ascii="Cambria" w:eastAsia="Cambria" w:hAnsi="Cambria" w:cs="Cambria"/>
          <w:color w:val="000000"/>
          <w:sz w:val="16"/>
          <w:szCs w:val="16"/>
          <w:lang w:val="es-US"/>
        </w:rPr>
        <w:t xml:space="preserve"> </w:t>
      </w:r>
      <w:r w:rsidR="00B57726" w:rsidRPr="008A7BD7">
        <w:rPr>
          <w:rFonts w:ascii="Cambria" w:eastAsia="Cambria" w:hAnsi="Cambria" w:cs="Cambria"/>
          <w:color w:val="000000"/>
          <w:sz w:val="16"/>
          <w:szCs w:val="16"/>
          <w:lang w:val="es-US"/>
        </w:rPr>
        <w:t>and</w:t>
      </w:r>
      <w:r w:rsidRPr="008A7BD7">
        <w:rPr>
          <w:rFonts w:ascii="Cambria" w:eastAsia="Cambria" w:hAnsi="Cambria" w:cs="Cambria"/>
          <w:color w:val="000000"/>
          <w:sz w:val="16"/>
          <w:szCs w:val="16"/>
          <w:lang w:val="es-US"/>
        </w:rPr>
        <w:t xml:space="preserve"> UNFPA, </w:t>
      </w:r>
      <w:hyperlink r:id="rId283">
        <w:r w:rsidRPr="008A7BD7">
          <w:rPr>
            <w:rFonts w:ascii="Cambria" w:eastAsia="Cambria" w:hAnsi="Cambria" w:cs="Cambria"/>
            <w:i/>
            <w:iCs/>
            <w:color w:val="1155CC"/>
            <w:sz w:val="16"/>
            <w:szCs w:val="16"/>
            <w:u w:val="single"/>
            <w:lang w:val="es-US"/>
          </w:rPr>
          <w:t>Caracterización de la migración internacional en Guatemala (Censo 2018)</w:t>
        </w:r>
      </w:hyperlink>
      <w:r w:rsidRPr="008A7BD7">
        <w:rPr>
          <w:rFonts w:ascii="Cambria" w:eastAsia="Cambria" w:hAnsi="Cambria" w:cs="Cambria"/>
          <w:color w:val="000000"/>
          <w:sz w:val="16"/>
          <w:szCs w:val="16"/>
          <w:lang w:val="es-US"/>
        </w:rPr>
        <w:t>, Guatemala, 2021, p. 9.</w:t>
      </w:r>
    </w:p>
  </w:footnote>
  <w:footnote w:id="281">
    <w:p w14:paraId="03411167" w14:textId="3E56F65F"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B57726" w:rsidRPr="008A7BD7">
        <w:rPr>
          <w:rFonts w:ascii="Cambria" w:eastAsia="Cambria" w:hAnsi="Cambria" w:cs="Cambria"/>
          <w:sz w:val="16"/>
          <w:szCs w:val="16"/>
        </w:rPr>
        <w:t xml:space="preserve">IACHR, Resolution 4/19, </w:t>
      </w:r>
      <w:hyperlink r:id="rId284" w:history="1">
        <w:r w:rsidR="00B57726" w:rsidRPr="008A7BD7">
          <w:rPr>
            <w:rStyle w:val="Hyperlink"/>
            <w:rFonts w:ascii="Cambria" w:eastAsia="Cambria" w:hAnsi="Cambria" w:cs="Cambria"/>
            <w:sz w:val="16"/>
            <w:szCs w:val="16"/>
          </w:rPr>
          <w:t xml:space="preserve">Inter-American Principles on the Human Rights of All Migrants, Refugees, Stateless </w:t>
        </w:r>
        <w:proofErr w:type="gramStart"/>
        <w:r w:rsidR="00B57726" w:rsidRPr="008A7BD7">
          <w:rPr>
            <w:rStyle w:val="Hyperlink"/>
            <w:rFonts w:ascii="Cambria" w:eastAsia="Cambria" w:hAnsi="Cambria" w:cs="Cambria"/>
            <w:sz w:val="16"/>
            <w:szCs w:val="16"/>
          </w:rPr>
          <w:t>Persons</w:t>
        </w:r>
        <w:proofErr w:type="gramEnd"/>
        <w:r w:rsidR="00B57726" w:rsidRPr="008A7BD7">
          <w:rPr>
            <w:rStyle w:val="Hyperlink"/>
            <w:rFonts w:ascii="Cambria" w:eastAsia="Cambria" w:hAnsi="Cambria" w:cs="Cambria"/>
            <w:sz w:val="16"/>
            <w:szCs w:val="16"/>
          </w:rPr>
          <w:t xml:space="preserve"> and Victims of Human Trafficking</w:t>
        </w:r>
      </w:hyperlink>
      <w:r w:rsidR="00B57726" w:rsidRPr="008A7BD7">
        <w:rPr>
          <w:rFonts w:ascii="Cambria" w:eastAsia="Cambria" w:hAnsi="Cambria" w:cs="Cambria"/>
          <w:sz w:val="16"/>
          <w:szCs w:val="16"/>
        </w:rPr>
        <w:t>, December 7, 2019.</w:t>
      </w:r>
      <w:r w:rsidRPr="008A7BD7">
        <w:rPr>
          <w:rFonts w:ascii="Cambria" w:eastAsia="Cambria" w:hAnsi="Cambria" w:cs="Cambria"/>
          <w:sz w:val="16"/>
          <w:szCs w:val="16"/>
        </w:rPr>
        <w:tab/>
      </w:r>
    </w:p>
  </w:footnote>
  <w:footnote w:id="282">
    <w:p w14:paraId="7245525D" w14:textId="077D4834"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B23293" w:rsidRPr="008A7BD7">
        <w:rPr>
          <w:rFonts w:ascii="Cambria" w:eastAsia="Cambria" w:hAnsi="Cambria" w:cs="Cambria"/>
          <w:sz w:val="16"/>
          <w:szCs w:val="16"/>
        </w:rPr>
        <w:t xml:space="preserve">IACHR, Press Release </w:t>
      </w:r>
      <w:r w:rsidRPr="008A7BD7">
        <w:rPr>
          <w:rFonts w:ascii="Cambria" w:eastAsia="Cambria" w:hAnsi="Cambria" w:cs="Cambria"/>
          <w:sz w:val="16"/>
          <w:szCs w:val="16"/>
        </w:rPr>
        <w:t xml:space="preserve">16/21 </w:t>
      </w:r>
      <w:r w:rsidR="002D3E06" w:rsidRPr="008A7BD7">
        <w:rPr>
          <w:rFonts w:ascii="Cambria" w:eastAsia="Cambria" w:hAnsi="Cambria" w:cs="Cambria"/>
          <w:sz w:val="16"/>
          <w:szCs w:val="16"/>
        </w:rPr>
        <w:t>–</w:t>
      </w:r>
      <w:r w:rsidRPr="008A7BD7">
        <w:rPr>
          <w:rFonts w:ascii="Cambria" w:eastAsia="Cambria" w:hAnsi="Cambria" w:cs="Cambria"/>
          <w:sz w:val="16"/>
          <w:szCs w:val="16"/>
        </w:rPr>
        <w:t xml:space="preserve"> </w:t>
      </w:r>
      <w:hyperlink r:id="rId285" w:history="1">
        <w:r w:rsidR="002D3E06" w:rsidRPr="008A7BD7">
          <w:rPr>
            <w:rStyle w:val="Hyperlink"/>
            <w:rFonts w:ascii="Cambria" w:eastAsia="Cambria" w:hAnsi="Cambria" w:cs="Cambria"/>
            <w:sz w:val="16"/>
            <w:szCs w:val="16"/>
          </w:rPr>
          <w:t>IACHR Calls on States in Central and North America to Ensure Comprehensive Protection for the Rights of the Individuals who Make Up the Migrant Caravan from Honduras</w:t>
        </w:r>
      </w:hyperlink>
      <w:r w:rsidR="002D3E06" w:rsidRPr="008A7BD7">
        <w:rPr>
          <w:rFonts w:ascii="Cambria" w:eastAsia="Cambria" w:hAnsi="Cambria" w:cs="Cambria"/>
          <w:sz w:val="16"/>
          <w:szCs w:val="16"/>
        </w:rPr>
        <w:t>, January 28, 2021.</w:t>
      </w:r>
      <w:r w:rsidR="002D3E06" w:rsidRPr="008A7BD7">
        <w:t xml:space="preserve"> </w:t>
      </w:r>
    </w:p>
  </w:footnote>
  <w:footnote w:id="283">
    <w:p w14:paraId="6875BD18" w14:textId="6C479A13" w:rsidR="004D1FCF" w:rsidRPr="00C63448"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rPr>
      </w:pPr>
      <w:r w:rsidRPr="008A7BD7">
        <w:rPr>
          <w:rStyle w:val="FootnoteReference"/>
          <w:rFonts w:ascii="Cambria" w:hAnsi="Cambria"/>
          <w:sz w:val="16"/>
          <w:szCs w:val="16"/>
        </w:rPr>
        <w:footnoteRef/>
      </w:r>
      <w:r w:rsidRPr="008A7BD7">
        <w:rPr>
          <w:rFonts w:ascii="Cambria" w:eastAsia="Cambria" w:hAnsi="Cambria" w:cs="Cambria"/>
          <w:color w:val="000000"/>
          <w:sz w:val="16"/>
          <w:szCs w:val="16"/>
        </w:rPr>
        <w:t xml:space="preserve"> </w:t>
      </w:r>
      <w:r w:rsidR="00CA525F" w:rsidRPr="008A7BD7">
        <w:rPr>
          <w:rFonts w:ascii="Cambria" w:eastAsia="Cambria" w:hAnsi="Cambria" w:cs="Cambria"/>
          <w:color w:val="000000"/>
          <w:sz w:val="16"/>
          <w:szCs w:val="16"/>
        </w:rPr>
        <w:t>IACHR</w:t>
      </w:r>
      <w:r w:rsidRPr="008A7BD7">
        <w:rPr>
          <w:rFonts w:ascii="Cambria" w:eastAsia="Cambria" w:hAnsi="Cambria" w:cs="Cambria"/>
          <w:color w:val="000000"/>
          <w:sz w:val="16"/>
          <w:szCs w:val="16"/>
        </w:rPr>
        <w:t xml:space="preserve">, </w:t>
      </w:r>
      <w:r w:rsidR="00CA525F" w:rsidRPr="008A7BD7">
        <w:rPr>
          <w:rFonts w:ascii="Cambria" w:eastAsia="Cambria" w:hAnsi="Cambria" w:cs="Cambria"/>
          <w:color w:val="000000"/>
          <w:sz w:val="16"/>
          <w:szCs w:val="16"/>
        </w:rPr>
        <w:t xml:space="preserve">Press Release </w:t>
      </w:r>
      <w:r w:rsidRPr="008A7BD7">
        <w:rPr>
          <w:rFonts w:ascii="Cambria" w:eastAsia="Cambria" w:hAnsi="Cambria" w:cs="Cambria"/>
          <w:color w:val="000000"/>
          <w:sz w:val="16"/>
          <w:szCs w:val="16"/>
        </w:rPr>
        <w:t xml:space="preserve">82/21 </w:t>
      </w:r>
      <w:r w:rsidR="00CA525F" w:rsidRPr="008A7BD7">
        <w:rPr>
          <w:rFonts w:ascii="Cambria" w:eastAsia="Cambria" w:hAnsi="Cambria" w:cs="Cambria"/>
          <w:color w:val="000000"/>
          <w:sz w:val="16"/>
          <w:szCs w:val="16"/>
        </w:rPr>
        <w:t xml:space="preserve">– </w:t>
      </w:r>
      <w:hyperlink r:id="rId286" w:history="1">
        <w:r w:rsidR="00CA525F" w:rsidRPr="008A7BD7">
          <w:rPr>
            <w:rStyle w:val="Hyperlink"/>
            <w:rFonts w:ascii="Cambria" w:eastAsia="Cambria" w:hAnsi="Cambria" w:cs="Cambria"/>
            <w:sz w:val="16"/>
            <w:szCs w:val="16"/>
          </w:rPr>
          <w:t>IACHR Calls on States in the Americas to Adopt Migration and Border Management Policies that Incorporate a Human Rights Perspective</w:t>
        </w:r>
      </w:hyperlink>
      <w:r w:rsidR="00CA525F" w:rsidRPr="008A7BD7">
        <w:rPr>
          <w:rFonts w:ascii="Cambria" w:eastAsia="Cambria" w:hAnsi="Cambria" w:cs="Cambria"/>
          <w:color w:val="000000"/>
          <w:sz w:val="16"/>
          <w:szCs w:val="16"/>
        </w:rPr>
        <w:t>,</w:t>
      </w:r>
      <w:r w:rsidR="00CA525F" w:rsidRPr="008A7BD7">
        <w:t xml:space="preserve"> </w:t>
      </w:r>
      <w:r w:rsidRPr="008A7BD7">
        <w:rPr>
          <w:rFonts w:ascii="Cambria" w:eastAsia="Cambria" w:hAnsi="Cambria" w:cs="Cambria"/>
          <w:color w:val="000000"/>
          <w:sz w:val="16"/>
          <w:szCs w:val="16"/>
        </w:rPr>
        <w:t xml:space="preserve">Washington, D.C., </w:t>
      </w:r>
      <w:r w:rsidR="00CA525F" w:rsidRPr="008A7BD7">
        <w:rPr>
          <w:rFonts w:ascii="Cambria" w:eastAsia="Cambria" w:hAnsi="Cambria" w:cs="Cambria"/>
          <w:color w:val="000000"/>
          <w:sz w:val="16"/>
          <w:szCs w:val="16"/>
        </w:rPr>
        <w:t xml:space="preserve">April </w:t>
      </w:r>
      <w:r w:rsidRPr="008A7BD7">
        <w:rPr>
          <w:rFonts w:ascii="Cambria" w:eastAsia="Cambria" w:hAnsi="Cambria" w:cs="Cambria"/>
          <w:color w:val="000000"/>
          <w:sz w:val="16"/>
          <w:szCs w:val="16"/>
        </w:rPr>
        <w:t>21</w:t>
      </w:r>
      <w:r w:rsidR="00CE2629" w:rsidRPr="008A7BD7">
        <w:rPr>
          <w:rFonts w:ascii="Cambria" w:eastAsia="Cambria" w:hAnsi="Cambria" w:cs="Cambria"/>
          <w:color w:val="000000"/>
          <w:sz w:val="16"/>
          <w:szCs w:val="16"/>
        </w:rPr>
        <w:t xml:space="preserve">, </w:t>
      </w:r>
      <w:r w:rsidRPr="008A7BD7">
        <w:rPr>
          <w:rFonts w:ascii="Cambria" w:eastAsia="Cambria" w:hAnsi="Cambria" w:cs="Cambria"/>
          <w:color w:val="000000"/>
          <w:sz w:val="16"/>
          <w:szCs w:val="16"/>
        </w:rPr>
        <w:t xml:space="preserve">2021. </w:t>
      </w:r>
      <w:r w:rsidR="00CE2629" w:rsidRPr="00C63448">
        <w:rPr>
          <w:rFonts w:ascii="Cambria" w:eastAsia="Cambria" w:hAnsi="Cambria" w:cs="Cambria"/>
          <w:color w:val="000000"/>
          <w:sz w:val="16"/>
          <w:szCs w:val="16"/>
        </w:rPr>
        <w:t>See also</w:t>
      </w:r>
      <w:r w:rsidRPr="00C63448">
        <w:rPr>
          <w:rFonts w:ascii="Cambria" w:eastAsia="Cambria" w:hAnsi="Cambria" w:cs="Cambria"/>
          <w:color w:val="000000"/>
          <w:sz w:val="16"/>
          <w:szCs w:val="16"/>
        </w:rPr>
        <w:t xml:space="preserve">: </w:t>
      </w:r>
      <w:proofErr w:type="spellStart"/>
      <w:r w:rsidRPr="00C63448">
        <w:rPr>
          <w:rFonts w:ascii="Cambria" w:eastAsia="Cambria" w:hAnsi="Cambria" w:cs="Cambria"/>
          <w:color w:val="000000"/>
          <w:sz w:val="16"/>
          <w:szCs w:val="16"/>
        </w:rPr>
        <w:t>Diario</w:t>
      </w:r>
      <w:proofErr w:type="spellEnd"/>
      <w:r w:rsidRPr="00C63448">
        <w:rPr>
          <w:rFonts w:ascii="Cambria" w:eastAsia="Cambria" w:hAnsi="Cambria" w:cs="Cambria"/>
          <w:color w:val="000000"/>
          <w:sz w:val="16"/>
          <w:szCs w:val="16"/>
        </w:rPr>
        <w:t xml:space="preserve"> de Centro América, </w:t>
      </w:r>
      <w:hyperlink r:id="rId287">
        <w:proofErr w:type="spellStart"/>
        <w:r w:rsidRPr="00C63448">
          <w:rPr>
            <w:rFonts w:ascii="Cambria" w:eastAsia="Cambria" w:hAnsi="Cambria" w:cs="Cambria"/>
            <w:i/>
            <w:iCs/>
            <w:color w:val="0563C1"/>
            <w:sz w:val="16"/>
            <w:szCs w:val="16"/>
            <w:u w:val="single"/>
          </w:rPr>
          <w:t>Decreto</w:t>
        </w:r>
        <w:proofErr w:type="spellEnd"/>
        <w:r w:rsidRPr="00C63448">
          <w:rPr>
            <w:rFonts w:ascii="Cambria" w:eastAsia="Cambria" w:hAnsi="Cambria" w:cs="Cambria"/>
            <w:i/>
            <w:iCs/>
            <w:color w:val="0563C1"/>
            <w:sz w:val="16"/>
            <w:szCs w:val="16"/>
            <w:u w:val="single"/>
          </w:rPr>
          <w:t xml:space="preserve"> </w:t>
        </w:r>
        <w:proofErr w:type="spellStart"/>
        <w:r w:rsidRPr="00C63448">
          <w:rPr>
            <w:rFonts w:ascii="Cambria" w:eastAsia="Cambria" w:hAnsi="Cambria" w:cs="Cambria"/>
            <w:i/>
            <w:iCs/>
            <w:color w:val="0563C1"/>
            <w:sz w:val="16"/>
            <w:szCs w:val="16"/>
            <w:u w:val="single"/>
          </w:rPr>
          <w:t>Gubernativo</w:t>
        </w:r>
        <w:proofErr w:type="spellEnd"/>
        <w:r w:rsidRPr="00C63448">
          <w:rPr>
            <w:rFonts w:ascii="Cambria" w:eastAsia="Cambria" w:hAnsi="Cambria" w:cs="Cambria"/>
            <w:i/>
            <w:iCs/>
            <w:color w:val="0563C1"/>
            <w:sz w:val="16"/>
            <w:szCs w:val="16"/>
            <w:u w:val="single"/>
          </w:rPr>
          <w:t xml:space="preserve"> 1-2021</w:t>
        </w:r>
      </w:hyperlink>
      <w:r w:rsidRPr="00C63448">
        <w:rPr>
          <w:rFonts w:ascii="Cambria" w:eastAsia="Cambria" w:hAnsi="Cambria" w:cs="Cambria"/>
          <w:color w:val="000000"/>
          <w:sz w:val="16"/>
          <w:szCs w:val="16"/>
        </w:rPr>
        <w:t xml:space="preserve">, </w:t>
      </w:r>
      <w:r w:rsidR="00CE2629" w:rsidRPr="00C63448">
        <w:rPr>
          <w:rFonts w:ascii="Cambria" w:eastAsia="Cambria" w:hAnsi="Cambria" w:cs="Cambria"/>
          <w:color w:val="000000"/>
          <w:sz w:val="16"/>
          <w:szCs w:val="16"/>
        </w:rPr>
        <w:t xml:space="preserve">January </w:t>
      </w:r>
      <w:r w:rsidRPr="00C63448">
        <w:rPr>
          <w:rFonts w:ascii="Cambria" w:eastAsia="Cambria" w:hAnsi="Cambria" w:cs="Cambria"/>
          <w:color w:val="000000"/>
          <w:sz w:val="16"/>
          <w:szCs w:val="16"/>
        </w:rPr>
        <w:t>11</w:t>
      </w:r>
      <w:r w:rsidR="00CE2629" w:rsidRPr="00C63448">
        <w:rPr>
          <w:rFonts w:ascii="Cambria" w:eastAsia="Cambria" w:hAnsi="Cambria" w:cs="Cambria"/>
          <w:color w:val="000000"/>
          <w:sz w:val="16"/>
          <w:szCs w:val="16"/>
        </w:rPr>
        <w:t xml:space="preserve">, </w:t>
      </w:r>
      <w:r w:rsidRPr="00C63448">
        <w:rPr>
          <w:rFonts w:ascii="Cambria" w:eastAsia="Cambria" w:hAnsi="Cambria" w:cs="Cambria"/>
          <w:color w:val="000000"/>
          <w:sz w:val="16"/>
          <w:szCs w:val="16"/>
        </w:rPr>
        <w:t>2021</w:t>
      </w:r>
      <w:r w:rsidR="00CE2629" w:rsidRPr="00C63448">
        <w:rPr>
          <w:rFonts w:ascii="Cambria" w:eastAsia="Cambria" w:hAnsi="Cambria" w:cs="Cambria"/>
          <w:color w:val="000000"/>
          <w:sz w:val="16"/>
          <w:szCs w:val="16"/>
        </w:rPr>
        <w:t>;</w:t>
      </w:r>
      <w:r w:rsidRPr="00C63448">
        <w:rPr>
          <w:rFonts w:ascii="Cambria" w:eastAsia="Cambria" w:hAnsi="Cambria" w:cs="Cambria"/>
          <w:color w:val="000000"/>
          <w:sz w:val="16"/>
          <w:szCs w:val="16"/>
        </w:rPr>
        <w:t xml:space="preserve"> </w:t>
      </w:r>
      <w:proofErr w:type="spellStart"/>
      <w:r w:rsidRPr="00C63448">
        <w:rPr>
          <w:rFonts w:ascii="Cambria" w:eastAsia="Cambria" w:hAnsi="Cambria" w:cs="Cambria"/>
          <w:color w:val="000000"/>
          <w:sz w:val="16"/>
          <w:szCs w:val="16"/>
        </w:rPr>
        <w:t>Diario</w:t>
      </w:r>
      <w:proofErr w:type="spellEnd"/>
      <w:r w:rsidRPr="00C63448">
        <w:rPr>
          <w:rFonts w:ascii="Cambria" w:eastAsia="Cambria" w:hAnsi="Cambria" w:cs="Cambria"/>
          <w:color w:val="000000"/>
          <w:sz w:val="16"/>
          <w:szCs w:val="16"/>
        </w:rPr>
        <w:t xml:space="preserve"> de Centro América, </w:t>
      </w:r>
      <w:hyperlink r:id="rId288">
        <w:proofErr w:type="spellStart"/>
        <w:r w:rsidRPr="00C63448">
          <w:rPr>
            <w:rFonts w:ascii="Cambria" w:eastAsia="Cambria" w:hAnsi="Cambria" w:cs="Cambria"/>
            <w:i/>
            <w:iCs/>
            <w:color w:val="0563C1"/>
            <w:sz w:val="16"/>
            <w:szCs w:val="16"/>
            <w:u w:val="single"/>
          </w:rPr>
          <w:t>Decreto</w:t>
        </w:r>
        <w:proofErr w:type="spellEnd"/>
        <w:r w:rsidRPr="00C63448">
          <w:rPr>
            <w:rFonts w:ascii="Cambria" w:eastAsia="Cambria" w:hAnsi="Cambria" w:cs="Cambria"/>
            <w:i/>
            <w:iCs/>
            <w:color w:val="0563C1"/>
            <w:sz w:val="16"/>
            <w:szCs w:val="16"/>
            <w:u w:val="single"/>
          </w:rPr>
          <w:t xml:space="preserve"> </w:t>
        </w:r>
        <w:proofErr w:type="spellStart"/>
        <w:r w:rsidRPr="00C63448">
          <w:rPr>
            <w:rFonts w:ascii="Cambria" w:eastAsia="Cambria" w:hAnsi="Cambria" w:cs="Cambria"/>
            <w:i/>
            <w:iCs/>
            <w:color w:val="0563C1"/>
            <w:sz w:val="16"/>
            <w:szCs w:val="16"/>
            <w:u w:val="single"/>
          </w:rPr>
          <w:t>Gubernativo</w:t>
        </w:r>
        <w:proofErr w:type="spellEnd"/>
        <w:r w:rsidRPr="00C63448">
          <w:rPr>
            <w:rFonts w:ascii="Cambria" w:eastAsia="Cambria" w:hAnsi="Cambria" w:cs="Cambria"/>
            <w:i/>
            <w:iCs/>
            <w:color w:val="0563C1"/>
            <w:sz w:val="16"/>
            <w:szCs w:val="16"/>
            <w:u w:val="single"/>
          </w:rPr>
          <w:t xml:space="preserve"> 1-2020</w:t>
        </w:r>
      </w:hyperlink>
      <w:r w:rsidRPr="00C63448">
        <w:rPr>
          <w:rFonts w:ascii="Cambria" w:eastAsia="Cambria" w:hAnsi="Cambria" w:cs="Cambria"/>
          <w:color w:val="000000"/>
          <w:sz w:val="16"/>
          <w:szCs w:val="16"/>
        </w:rPr>
        <w:t xml:space="preserve">, </w:t>
      </w:r>
      <w:r w:rsidR="00CE2629" w:rsidRPr="00C63448">
        <w:rPr>
          <w:rFonts w:ascii="Cambria" w:eastAsia="Cambria" w:hAnsi="Cambria" w:cs="Cambria"/>
          <w:color w:val="000000"/>
          <w:sz w:val="16"/>
          <w:szCs w:val="16"/>
        </w:rPr>
        <w:t xml:space="preserve">January </w:t>
      </w:r>
      <w:r w:rsidRPr="00C63448">
        <w:rPr>
          <w:rFonts w:ascii="Cambria" w:eastAsia="Cambria" w:hAnsi="Cambria" w:cs="Cambria"/>
          <w:color w:val="000000"/>
          <w:sz w:val="16"/>
          <w:szCs w:val="16"/>
        </w:rPr>
        <w:t>16</w:t>
      </w:r>
      <w:r w:rsidR="00CE2629" w:rsidRPr="00C63448">
        <w:rPr>
          <w:rFonts w:ascii="Cambria" w:eastAsia="Cambria" w:hAnsi="Cambria" w:cs="Cambria"/>
          <w:color w:val="000000"/>
          <w:sz w:val="16"/>
          <w:szCs w:val="16"/>
        </w:rPr>
        <w:t xml:space="preserve">, </w:t>
      </w:r>
      <w:r w:rsidRPr="00C63448">
        <w:rPr>
          <w:rFonts w:ascii="Cambria" w:eastAsia="Cambria" w:hAnsi="Cambria" w:cs="Cambria"/>
          <w:color w:val="000000"/>
          <w:sz w:val="16"/>
          <w:szCs w:val="16"/>
        </w:rPr>
        <w:t>2020</w:t>
      </w:r>
      <w:r w:rsidR="00CE2629" w:rsidRPr="00C63448">
        <w:rPr>
          <w:rFonts w:ascii="Cambria" w:eastAsia="Cambria" w:hAnsi="Cambria" w:cs="Cambria"/>
          <w:color w:val="000000"/>
          <w:sz w:val="16"/>
          <w:szCs w:val="16"/>
        </w:rPr>
        <w:t>;</w:t>
      </w:r>
      <w:r w:rsidRPr="00C63448">
        <w:rPr>
          <w:rFonts w:ascii="Cambria" w:eastAsia="Cambria" w:hAnsi="Cambria" w:cs="Cambria"/>
          <w:color w:val="000000"/>
          <w:sz w:val="16"/>
          <w:szCs w:val="16"/>
        </w:rPr>
        <w:t xml:space="preserve"> </w:t>
      </w:r>
      <w:proofErr w:type="spellStart"/>
      <w:r w:rsidRPr="00C63448">
        <w:rPr>
          <w:rFonts w:ascii="Cambria" w:eastAsia="Cambria" w:hAnsi="Cambria" w:cs="Cambria"/>
          <w:color w:val="000000"/>
          <w:sz w:val="16"/>
          <w:szCs w:val="16"/>
        </w:rPr>
        <w:t>Diario</w:t>
      </w:r>
      <w:proofErr w:type="spellEnd"/>
      <w:r w:rsidRPr="00C63448">
        <w:rPr>
          <w:rFonts w:ascii="Cambria" w:eastAsia="Cambria" w:hAnsi="Cambria" w:cs="Cambria"/>
          <w:color w:val="000000"/>
          <w:sz w:val="16"/>
          <w:szCs w:val="16"/>
        </w:rPr>
        <w:t xml:space="preserve"> de Centro América, </w:t>
      </w:r>
      <w:hyperlink r:id="rId289">
        <w:proofErr w:type="spellStart"/>
        <w:r w:rsidRPr="00C63448">
          <w:rPr>
            <w:rFonts w:ascii="Cambria" w:eastAsia="Cambria" w:hAnsi="Cambria" w:cs="Cambria"/>
            <w:i/>
            <w:iCs/>
            <w:color w:val="0563C1"/>
            <w:sz w:val="16"/>
            <w:szCs w:val="16"/>
            <w:u w:val="single"/>
          </w:rPr>
          <w:t>Decreto</w:t>
        </w:r>
        <w:proofErr w:type="spellEnd"/>
        <w:r w:rsidRPr="00C63448">
          <w:rPr>
            <w:rFonts w:ascii="Cambria" w:eastAsia="Cambria" w:hAnsi="Cambria" w:cs="Cambria"/>
            <w:i/>
            <w:iCs/>
            <w:color w:val="0563C1"/>
            <w:sz w:val="16"/>
            <w:szCs w:val="16"/>
            <w:u w:val="single"/>
          </w:rPr>
          <w:t xml:space="preserve"> </w:t>
        </w:r>
        <w:proofErr w:type="spellStart"/>
        <w:r w:rsidRPr="00C63448">
          <w:rPr>
            <w:rFonts w:ascii="Cambria" w:eastAsia="Cambria" w:hAnsi="Cambria" w:cs="Cambria"/>
            <w:i/>
            <w:iCs/>
            <w:color w:val="0563C1"/>
            <w:sz w:val="16"/>
            <w:szCs w:val="16"/>
            <w:u w:val="single"/>
          </w:rPr>
          <w:t>Gubernativo</w:t>
        </w:r>
        <w:proofErr w:type="spellEnd"/>
        <w:r w:rsidRPr="00C63448">
          <w:rPr>
            <w:rFonts w:ascii="Cambria" w:eastAsia="Cambria" w:hAnsi="Cambria" w:cs="Cambria"/>
            <w:i/>
            <w:iCs/>
            <w:color w:val="0563C1"/>
            <w:sz w:val="16"/>
            <w:szCs w:val="16"/>
            <w:u w:val="single"/>
          </w:rPr>
          <w:t xml:space="preserve"> 18-2020</w:t>
        </w:r>
      </w:hyperlink>
      <w:r w:rsidRPr="00C63448">
        <w:rPr>
          <w:rFonts w:ascii="Cambria" w:eastAsia="Cambria" w:hAnsi="Cambria" w:cs="Cambria"/>
          <w:color w:val="000000"/>
          <w:sz w:val="16"/>
          <w:szCs w:val="16"/>
        </w:rPr>
        <w:t xml:space="preserve">, </w:t>
      </w:r>
      <w:r w:rsidR="00CE2629" w:rsidRPr="00C63448">
        <w:rPr>
          <w:rFonts w:ascii="Cambria" w:eastAsia="Cambria" w:hAnsi="Cambria" w:cs="Cambria"/>
          <w:color w:val="000000"/>
          <w:sz w:val="16"/>
          <w:szCs w:val="16"/>
        </w:rPr>
        <w:t xml:space="preserve">October </w:t>
      </w:r>
      <w:r w:rsidRPr="00C63448">
        <w:rPr>
          <w:rFonts w:ascii="Cambria" w:eastAsia="Cambria" w:hAnsi="Cambria" w:cs="Cambria"/>
          <w:color w:val="000000"/>
          <w:sz w:val="16"/>
          <w:szCs w:val="16"/>
        </w:rPr>
        <w:t>1</w:t>
      </w:r>
      <w:r w:rsidR="00CE2629" w:rsidRPr="00C63448">
        <w:rPr>
          <w:rFonts w:ascii="Cambria" w:eastAsia="Cambria" w:hAnsi="Cambria" w:cs="Cambria"/>
          <w:color w:val="000000"/>
          <w:sz w:val="16"/>
          <w:szCs w:val="16"/>
        </w:rPr>
        <w:t xml:space="preserve">, </w:t>
      </w:r>
      <w:r w:rsidRPr="00C63448">
        <w:rPr>
          <w:rFonts w:ascii="Cambria" w:eastAsia="Cambria" w:hAnsi="Cambria" w:cs="Cambria"/>
          <w:color w:val="000000"/>
          <w:sz w:val="16"/>
          <w:szCs w:val="16"/>
        </w:rPr>
        <w:t>2020.</w:t>
      </w:r>
    </w:p>
  </w:footnote>
  <w:footnote w:id="284">
    <w:p w14:paraId="07E42441" w14:textId="7119FFF0"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rPr>
      </w:pPr>
      <w:r w:rsidRPr="008A7BD7">
        <w:rPr>
          <w:rStyle w:val="FootnoteReference"/>
          <w:rFonts w:ascii="Cambria" w:hAnsi="Cambria"/>
          <w:sz w:val="16"/>
          <w:szCs w:val="16"/>
        </w:rPr>
        <w:footnoteRef/>
      </w:r>
      <w:r w:rsidRPr="008A7BD7">
        <w:rPr>
          <w:rFonts w:ascii="Cambria" w:eastAsia="Cambria" w:hAnsi="Cambria" w:cs="Cambria"/>
          <w:color w:val="000000"/>
          <w:sz w:val="16"/>
          <w:szCs w:val="16"/>
        </w:rPr>
        <w:t xml:space="preserve"> </w:t>
      </w:r>
      <w:r w:rsidR="00A6047E" w:rsidRPr="008A7BD7">
        <w:rPr>
          <w:rFonts w:ascii="Cambria" w:eastAsia="Cambria" w:hAnsi="Cambria" w:cs="Cambria"/>
          <w:color w:val="000000"/>
          <w:sz w:val="16"/>
          <w:szCs w:val="16"/>
        </w:rPr>
        <w:t>IACHR, Press Release</w:t>
      </w:r>
      <w:r w:rsidRPr="008A7BD7">
        <w:rPr>
          <w:rFonts w:ascii="Cambria" w:eastAsia="Cambria" w:hAnsi="Cambria" w:cs="Cambria"/>
          <w:color w:val="000000"/>
          <w:sz w:val="16"/>
          <w:szCs w:val="16"/>
        </w:rPr>
        <w:t xml:space="preserve"> 27/20 </w:t>
      </w:r>
      <w:r w:rsidR="00FF7E39" w:rsidRPr="008A7BD7">
        <w:rPr>
          <w:rFonts w:ascii="Cambria" w:eastAsia="Cambria" w:hAnsi="Cambria" w:cs="Cambria"/>
          <w:color w:val="000000"/>
          <w:sz w:val="16"/>
          <w:szCs w:val="16"/>
        </w:rPr>
        <w:t xml:space="preserve">– </w:t>
      </w:r>
      <w:hyperlink r:id="rId290" w:history="1">
        <w:r w:rsidR="00FF7E39" w:rsidRPr="008A7BD7">
          <w:rPr>
            <w:rStyle w:val="Hyperlink"/>
            <w:rFonts w:ascii="Cambria" w:eastAsia="Cambria" w:hAnsi="Cambria" w:cs="Cambria"/>
            <w:sz w:val="16"/>
            <w:szCs w:val="16"/>
          </w:rPr>
          <w:t>IACHR Urges El Salvador, Guatemala, Honduras, and Mexico to Guarantee the Rights of Migrants and Refugees Traveling Through the Region</w:t>
        </w:r>
      </w:hyperlink>
      <w:r w:rsidR="00FF7E39" w:rsidRPr="008A7BD7">
        <w:rPr>
          <w:rFonts w:ascii="Cambria" w:eastAsia="Cambria" w:hAnsi="Cambria" w:cs="Cambria"/>
          <w:color w:val="000000"/>
          <w:sz w:val="16"/>
          <w:szCs w:val="16"/>
        </w:rPr>
        <w:t>, February 7, 2020</w:t>
      </w:r>
      <w:r w:rsidRPr="008A7BD7">
        <w:rPr>
          <w:rFonts w:ascii="Cambria" w:eastAsia="Cambria" w:hAnsi="Cambria" w:cs="Cambria"/>
          <w:color w:val="000000"/>
          <w:sz w:val="16"/>
          <w:szCs w:val="16"/>
        </w:rPr>
        <w:t>.</w:t>
      </w:r>
    </w:p>
  </w:footnote>
  <w:footnote w:id="285">
    <w:p w14:paraId="564F7F9E" w14:textId="0D7C8650" w:rsidR="004D1FCF" w:rsidRPr="008A7BD7" w:rsidRDefault="004D1FCF" w:rsidP="00746761">
      <w:pPr>
        <w:spacing w:after="120"/>
        <w:ind w:firstLine="720"/>
        <w:jc w:val="both"/>
        <w:rPr>
          <w:rFonts w:ascii="Cambria" w:eastAsia="Cambria" w:hAnsi="Cambria" w:cs="Cambria"/>
          <w:b/>
          <w:color w:val="333333"/>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2D3E06" w:rsidRPr="008A7BD7">
        <w:rPr>
          <w:rFonts w:ascii="Cambria" w:eastAsia="Cambria" w:hAnsi="Cambria" w:cs="Cambria"/>
          <w:sz w:val="16"/>
          <w:szCs w:val="16"/>
        </w:rPr>
        <w:t xml:space="preserve">IACHR, Press Release 16/21 – </w:t>
      </w:r>
      <w:hyperlink r:id="rId291" w:history="1">
        <w:r w:rsidR="002D3E06" w:rsidRPr="008A7BD7">
          <w:rPr>
            <w:rStyle w:val="Hyperlink"/>
            <w:rFonts w:ascii="Cambria" w:eastAsia="Cambria" w:hAnsi="Cambria" w:cs="Cambria"/>
            <w:sz w:val="16"/>
            <w:szCs w:val="16"/>
          </w:rPr>
          <w:t>IACHR Calls on States in Central and North America to Ensure Comprehensive Protection for the Rights of the Individuals who Make Up the Migrant Caravan from Honduras</w:t>
        </w:r>
      </w:hyperlink>
      <w:r w:rsidR="002D3E06" w:rsidRPr="008A7BD7">
        <w:rPr>
          <w:rFonts w:ascii="Cambria" w:eastAsia="Cambria" w:hAnsi="Cambria" w:cs="Cambria"/>
          <w:sz w:val="16"/>
          <w:szCs w:val="16"/>
        </w:rPr>
        <w:t>, January 28, 2021</w:t>
      </w:r>
      <w:r w:rsidRPr="008A7BD7">
        <w:rPr>
          <w:rFonts w:ascii="Cambria" w:eastAsia="Cambria" w:hAnsi="Cambria" w:cs="Cambria"/>
          <w:color w:val="333333"/>
          <w:sz w:val="16"/>
          <w:szCs w:val="16"/>
        </w:rPr>
        <w:t>.</w:t>
      </w:r>
    </w:p>
  </w:footnote>
  <w:footnote w:id="286">
    <w:p w14:paraId="42DFBE78" w14:textId="3CA08D52"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rPr>
      </w:pPr>
      <w:r w:rsidRPr="008A7BD7">
        <w:rPr>
          <w:rStyle w:val="FootnoteReference"/>
          <w:rFonts w:ascii="Cambria" w:hAnsi="Cambria"/>
          <w:sz w:val="16"/>
          <w:szCs w:val="16"/>
        </w:rPr>
        <w:footnoteRef/>
      </w:r>
      <w:r w:rsidRPr="008A7BD7">
        <w:rPr>
          <w:rFonts w:ascii="Cambria" w:eastAsia="Cambria" w:hAnsi="Cambria" w:cs="Cambria"/>
          <w:color w:val="000000"/>
          <w:sz w:val="16"/>
          <w:szCs w:val="16"/>
        </w:rPr>
        <w:t xml:space="preserve"> </w:t>
      </w:r>
      <w:r w:rsidR="009020E5" w:rsidRPr="008A7BD7">
        <w:rPr>
          <w:rFonts w:ascii="Cambria" w:hAnsi="Cambria"/>
          <w:sz w:val="16"/>
          <w:szCs w:val="16"/>
        </w:rPr>
        <w:t xml:space="preserve">IACHR, Annual Report 2020, </w:t>
      </w:r>
      <w:hyperlink r:id="rId292" w:history="1">
        <w:r w:rsidR="00800D97" w:rsidRPr="008A7BD7">
          <w:rPr>
            <w:rStyle w:val="Hyperlink"/>
            <w:rFonts w:ascii="Cambria" w:hAnsi="Cambria"/>
            <w:sz w:val="16"/>
            <w:szCs w:val="16"/>
          </w:rPr>
          <w:t>Chapter IV.A, Human Rights Development in the Region</w:t>
        </w:r>
      </w:hyperlink>
      <w:r w:rsidR="009020E5" w:rsidRPr="008A7BD7">
        <w:rPr>
          <w:rFonts w:ascii="Cambria" w:hAnsi="Cambria"/>
          <w:sz w:val="16"/>
          <w:szCs w:val="16"/>
        </w:rPr>
        <w:t xml:space="preserve">, par. </w:t>
      </w:r>
      <w:r w:rsidRPr="008A7BD7">
        <w:rPr>
          <w:rFonts w:ascii="Cambria" w:eastAsia="Cambria" w:hAnsi="Cambria" w:cs="Cambria"/>
          <w:color w:val="000000"/>
          <w:sz w:val="16"/>
          <w:szCs w:val="16"/>
        </w:rPr>
        <w:t>437.</w:t>
      </w:r>
    </w:p>
  </w:footnote>
  <w:footnote w:id="287">
    <w:p w14:paraId="1C9AD4EB" w14:textId="6F3FDC30"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rPr>
      </w:pPr>
      <w:r w:rsidRPr="008A7BD7">
        <w:rPr>
          <w:rStyle w:val="FootnoteReference"/>
          <w:rFonts w:ascii="Cambria" w:hAnsi="Cambria"/>
          <w:sz w:val="16"/>
          <w:szCs w:val="16"/>
        </w:rPr>
        <w:footnoteRef/>
      </w:r>
      <w:r w:rsidRPr="008A7BD7">
        <w:rPr>
          <w:rFonts w:ascii="Cambria" w:eastAsia="Cambria" w:hAnsi="Cambria" w:cs="Cambria"/>
          <w:color w:val="000000"/>
          <w:sz w:val="16"/>
          <w:szCs w:val="16"/>
        </w:rPr>
        <w:t xml:space="preserve"> </w:t>
      </w:r>
      <w:r w:rsidR="00A77332" w:rsidRPr="008A7BD7">
        <w:rPr>
          <w:rFonts w:ascii="Cambria" w:eastAsia="Cambria" w:hAnsi="Cambria" w:cs="Cambria"/>
          <w:color w:val="000000"/>
          <w:sz w:val="16"/>
          <w:szCs w:val="16"/>
        </w:rPr>
        <w:t xml:space="preserve">IACHR, Press Release </w:t>
      </w:r>
      <w:r w:rsidRPr="008A7BD7">
        <w:rPr>
          <w:rFonts w:ascii="Cambria" w:eastAsia="Cambria" w:hAnsi="Cambria" w:cs="Cambria"/>
          <w:color w:val="000000"/>
          <w:sz w:val="16"/>
          <w:szCs w:val="16"/>
        </w:rPr>
        <w:t xml:space="preserve">243/21 </w:t>
      </w:r>
      <w:r w:rsidR="00A77332" w:rsidRPr="008A7BD7">
        <w:rPr>
          <w:rFonts w:ascii="Cambria" w:eastAsia="Cambria" w:hAnsi="Cambria" w:cs="Cambria"/>
          <w:color w:val="000000"/>
          <w:sz w:val="16"/>
          <w:szCs w:val="16"/>
        </w:rPr>
        <w:t xml:space="preserve">– </w:t>
      </w:r>
      <w:hyperlink r:id="rId293" w:history="1">
        <w:r w:rsidR="00A77332" w:rsidRPr="008A7BD7">
          <w:rPr>
            <w:rStyle w:val="Hyperlink"/>
            <w:rFonts w:ascii="Cambria" w:eastAsia="Cambria" w:hAnsi="Cambria" w:cs="Cambria"/>
            <w:sz w:val="16"/>
            <w:szCs w:val="16"/>
          </w:rPr>
          <w:t>The IACHR Expresses Concern about the Expulsion of People in a Human Mobility Context from the United States and Mexico and Calls on State to Ensure the Effective Protection of their Rights</w:t>
        </w:r>
      </w:hyperlink>
      <w:r w:rsidR="00A77332" w:rsidRPr="008A7BD7">
        <w:rPr>
          <w:rFonts w:ascii="Cambria" w:eastAsia="Cambria" w:hAnsi="Cambria" w:cs="Cambria"/>
          <w:color w:val="000000"/>
          <w:sz w:val="16"/>
          <w:szCs w:val="16"/>
        </w:rPr>
        <w:t>,</w:t>
      </w:r>
      <w:r w:rsidR="00A77332" w:rsidRPr="008A7BD7">
        <w:t xml:space="preserve"> </w:t>
      </w:r>
      <w:r w:rsidRPr="008A7BD7">
        <w:rPr>
          <w:rFonts w:ascii="Cambria" w:eastAsia="Cambria" w:hAnsi="Cambria" w:cs="Cambria"/>
          <w:color w:val="000000"/>
          <w:sz w:val="16"/>
          <w:szCs w:val="16"/>
        </w:rPr>
        <w:t xml:space="preserve">Washington, D.C., </w:t>
      </w:r>
      <w:r w:rsidR="00A77332" w:rsidRPr="008A7BD7">
        <w:rPr>
          <w:rFonts w:ascii="Cambria" w:eastAsia="Cambria" w:hAnsi="Cambria" w:cs="Cambria"/>
          <w:color w:val="000000"/>
          <w:sz w:val="16"/>
          <w:szCs w:val="16"/>
        </w:rPr>
        <w:t xml:space="preserve">September </w:t>
      </w:r>
      <w:r w:rsidRPr="008A7BD7">
        <w:rPr>
          <w:rFonts w:ascii="Cambria" w:eastAsia="Cambria" w:hAnsi="Cambria" w:cs="Cambria"/>
          <w:color w:val="000000"/>
          <w:sz w:val="16"/>
          <w:szCs w:val="16"/>
        </w:rPr>
        <w:t>17</w:t>
      </w:r>
      <w:r w:rsidR="00A77332" w:rsidRPr="008A7BD7">
        <w:rPr>
          <w:rFonts w:ascii="Cambria" w:eastAsia="Cambria" w:hAnsi="Cambria" w:cs="Cambria"/>
          <w:color w:val="000000"/>
          <w:sz w:val="16"/>
          <w:szCs w:val="16"/>
        </w:rPr>
        <w:t xml:space="preserve">, </w:t>
      </w:r>
      <w:r w:rsidRPr="008A7BD7">
        <w:rPr>
          <w:rFonts w:ascii="Cambria" w:eastAsia="Cambria" w:hAnsi="Cambria" w:cs="Cambria"/>
          <w:color w:val="000000"/>
          <w:sz w:val="16"/>
          <w:szCs w:val="16"/>
        </w:rPr>
        <w:t>2021.</w:t>
      </w:r>
    </w:p>
  </w:footnote>
  <w:footnote w:id="288">
    <w:p w14:paraId="7AE6EE3E" w14:textId="765A4D0A" w:rsidR="004D1FCF" w:rsidRPr="008A7BD7" w:rsidRDefault="004D1FCF" w:rsidP="00746761">
      <w:pPr>
        <w:spacing w:after="120"/>
        <w:ind w:firstLine="720"/>
        <w:jc w:val="both"/>
        <w:rPr>
          <w:rFonts w:ascii="Cambria" w:eastAsia="Cambria" w:hAnsi="Cambria" w:cs="Cambria"/>
          <w:sz w:val="16"/>
          <w:szCs w:val="16"/>
          <w:lang w:val="es-US"/>
        </w:rPr>
      </w:pPr>
      <w:r w:rsidRPr="008A7BD7">
        <w:rPr>
          <w:rStyle w:val="FootnoteReference"/>
          <w:rFonts w:ascii="Cambria" w:hAnsi="Cambria"/>
          <w:sz w:val="16"/>
          <w:szCs w:val="16"/>
        </w:rPr>
        <w:footnoteRef/>
      </w:r>
      <w:r w:rsidRPr="008A7BD7">
        <w:rPr>
          <w:rFonts w:ascii="Cambria" w:eastAsia="Cambria" w:hAnsi="Cambria" w:cs="Cambria"/>
          <w:sz w:val="16"/>
          <w:szCs w:val="16"/>
          <w:lang w:val="es-US"/>
        </w:rPr>
        <w:t xml:space="preserve"> IGM, Guatemala, </w:t>
      </w:r>
      <w:hyperlink r:id="rId294">
        <w:r w:rsidRPr="008A7BD7">
          <w:rPr>
            <w:rFonts w:ascii="Cambria" w:eastAsia="Cambria" w:hAnsi="Cambria" w:cs="Cambria"/>
            <w:i/>
            <w:iCs/>
            <w:color w:val="1155CC"/>
            <w:sz w:val="16"/>
            <w:szCs w:val="16"/>
            <w:u w:val="single"/>
            <w:lang w:val="es-US"/>
          </w:rPr>
          <w:t>Informe estadístico cuantitativo enero-mayo 2021</w:t>
        </w:r>
      </w:hyperlink>
      <w:r w:rsidRPr="008A7BD7">
        <w:rPr>
          <w:rFonts w:ascii="Cambria" w:eastAsia="Cambria" w:hAnsi="Cambria" w:cs="Cambria"/>
          <w:sz w:val="16"/>
          <w:szCs w:val="16"/>
          <w:lang w:val="es-US"/>
        </w:rPr>
        <w:t>, p</w:t>
      </w:r>
      <w:r w:rsidR="00800D97" w:rsidRPr="008A7BD7">
        <w:rPr>
          <w:rFonts w:ascii="Cambria" w:eastAsia="Cambria" w:hAnsi="Cambria" w:cs="Cambria"/>
          <w:sz w:val="16"/>
          <w:szCs w:val="16"/>
          <w:lang w:val="es-US"/>
        </w:rPr>
        <w:t>p</w:t>
      </w:r>
      <w:r w:rsidRPr="008A7BD7">
        <w:rPr>
          <w:rFonts w:ascii="Cambria" w:eastAsia="Cambria" w:hAnsi="Cambria" w:cs="Cambria"/>
          <w:sz w:val="16"/>
          <w:szCs w:val="16"/>
          <w:lang w:val="es-US"/>
        </w:rPr>
        <w:t xml:space="preserve">. 24 </w:t>
      </w:r>
      <w:r w:rsidR="00AB2824" w:rsidRPr="008A7BD7">
        <w:rPr>
          <w:rFonts w:ascii="Cambria" w:eastAsia="Cambria" w:hAnsi="Cambria" w:cs="Cambria"/>
          <w:sz w:val="16"/>
          <w:szCs w:val="16"/>
          <w:lang w:val="es-US"/>
        </w:rPr>
        <w:t>and</w:t>
      </w:r>
      <w:r w:rsidRPr="008A7BD7">
        <w:rPr>
          <w:rFonts w:ascii="Cambria" w:eastAsia="Cambria" w:hAnsi="Cambria" w:cs="Cambria"/>
          <w:sz w:val="16"/>
          <w:szCs w:val="16"/>
          <w:lang w:val="es-US"/>
        </w:rPr>
        <w:t xml:space="preserve"> 25.</w:t>
      </w:r>
    </w:p>
  </w:footnote>
  <w:footnote w:id="289">
    <w:p w14:paraId="084ECD8B" w14:textId="77777777" w:rsidR="004D1FCF" w:rsidRPr="008A7BD7" w:rsidRDefault="004D1FCF" w:rsidP="00746761">
      <w:pPr>
        <w:spacing w:after="120"/>
        <w:ind w:firstLine="720"/>
        <w:jc w:val="both"/>
        <w:rPr>
          <w:rFonts w:ascii="Cambria" w:eastAsia="Cambria" w:hAnsi="Cambria" w:cs="Cambria"/>
          <w:sz w:val="16"/>
          <w:szCs w:val="16"/>
          <w:lang w:val="es-US"/>
        </w:rPr>
      </w:pPr>
      <w:r w:rsidRPr="008A7BD7">
        <w:rPr>
          <w:rStyle w:val="FootnoteReference"/>
          <w:rFonts w:ascii="Cambria" w:hAnsi="Cambria"/>
          <w:sz w:val="16"/>
          <w:szCs w:val="16"/>
        </w:rPr>
        <w:footnoteRef/>
      </w:r>
      <w:r w:rsidRPr="008A7BD7">
        <w:rPr>
          <w:rFonts w:ascii="Cambria" w:eastAsia="Cambria" w:hAnsi="Cambria" w:cs="Cambria"/>
          <w:sz w:val="16"/>
          <w:szCs w:val="16"/>
          <w:lang w:val="es-US"/>
        </w:rPr>
        <w:t xml:space="preserve"> IGM, Guatemala, </w:t>
      </w:r>
      <w:hyperlink r:id="rId295">
        <w:r w:rsidRPr="008A7BD7">
          <w:rPr>
            <w:rFonts w:ascii="Cambria" w:eastAsia="Cambria" w:hAnsi="Cambria" w:cs="Cambria"/>
            <w:i/>
            <w:iCs/>
            <w:color w:val="1155CC"/>
            <w:sz w:val="16"/>
            <w:szCs w:val="16"/>
            <w:u w:val="single"/>
            <w:lang w:val="es-US"/>
          </w:rPr>
          <w:t>Informe estadístico general enero - diciembre 2020</w:t>
        </w:r>
      </w:hyperlink>
      <w:r w:rsidRPr="008A7BD7">
        <w:rPr>
          <w:rFonts w:ascii="Cambria" w:eastAsia="Cambria" w:hAnsi="Cambria" w:cs="Cambria"/>
          <w:sz w:val="16"/>
          <w:szCs w:val="16"/>
          <w:lang w:val="es-US"/>
        </w:rPr>
        <w:t>, p. 36.</w:t>
      </w:r>
    </w:p>
  </w:footnote>
  <w:footnote w:id="290">
    <w:p w14:paraId="44AD207A" w14:textId="062E8EE7" w:rsidR="00F97F2A" w:rsidRPr="008A7BD7" w:rsidRDefault="00F97F2A" w:rsidP="00F97F2A">
      <w:pPr>
        <w:pStyle w:val="FootnoteText"/>
        <w:ind w:firstLine="720"/>
        <w:jc w:val="both"/>
      </w:pPr>
      <w:r w:rsidRPr="008A7BD7">
        <w:rPr>
          <w:rStyle w:val="FootnoteReference"/>
          <w:rFonts w:ascii="Cambria" w:hAnsi="Cambria"/>
          <w:sz w:val="16"/>
          <w:szCs w:val="16"/>
        </w:rPr>
        <w:footnoteRef/>
      </w:r>
      <w:r w:rsidRPr="008A7BD7">
        <w:rPr>
          <w:rFonts w:ascii="Cambria" w:hAnsi="Cambria"/>
          <w:sz w:val="16"/>
          <w:szCs w:val="16"/>
        </w:rPr>
        <w:t xml:space="preserve"> </w:t>
      </w:r>
      <w:r w:rsidR="00C71412" w:rsidRPr="008A7BD7">
        <w:rPr>
          <w:rFonts w:ascii="Cambria" w:hAnsi="Cambria"/>
          <w:sz w:val="16"/>
          <w:szCs w:val="16"/>
        </w:rPr>
        <w:t>Response from the State of</w:t>
      </w:r>
      <w:r w:rsidR="00C71412"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C71412" w:rsidRPr="008A7BD7">
        <w:rPr>
          <w:rFonts w:ascii="Cambria" w:hAnsi="Cambria"/>
          <w:sz w:val="16"/>
          <w:szCs w:val="16"/>
        </w:rPr>
        <w:t>OEA</w:t>
      </w:r>
      <w:r w:rsidR="00C71412"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 182.</w:t>
      </w:r>
    </w:p>
  </w:footnote>
  <w:footnote w:id="291">
    <w:p w14:paraId="522FFB47" w14:textId="5D1913F4"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rPr>
      </w:pPr>
      <w:r w:rsidRPr="008A7BD7">
        <w:rPr>
          <w:rStyle w:val="FootnoteReference"/>
          <w:rFonts w:ascii="Cambria" w:hAnsi="Cambria"/>
          <w:sz w:val="16"/>
          <w:szCs w:val="16"/>
        </w:rPr>
        <w:footnoteRef/>
      </w:r>
      <w:r w:rsidRPr="008A7BD7">
        <w:rPr>
          <w:rFonts w:ascii="Cambria" w:eastAsia="Cambria" w:hAnsi="Cambria" w:cs="Cambria"/>
          <w:color w:val="000000"/>
          <w:sz w:val="16"/>
          <w:szCs w:val="16"/>
        </w:rPr>
        <w:t xml:space="preserve"> </w:t>
      </w:r>
      <w:r w:rsidR="0019776C" w:rsidRPr="008A7BD7">
        <w:rPr>
          <w:rFonts w:ascii="Cambria" w:eastAsia="Cambria" w:hAnsi="Cambria" w:cs="Cambria"/>
          <w:color w:val="000000"/>
          <w:sz w:val="16"/>
          <w:szCs w:val="16"/>
        </w:rPr>
        <w:t xml:space="preserve">IACHR, </w:t>
      </w:r>
      <w:hyperlink r:id="rId296" w:history="1">
        <w:r w:rsidR="0019776C" w:rsidRPr="008A7BD7">
          <w:rPr>
            <w:rStyle w:val="Hyperlink"/>
            <w:rFonts w:ascii="Cambria" w:eastAsia="Cambria" w:hAnsi="Cambria" w:cs="Cambria"/>
            <w:sz w:val="16"/>
            <w:szCs w:val="16"/>
          </w:rPr>
          <w:t>Due Process in Procedures for the Determination of Refugee Status and Statelessness and the Granting of Complementary Protection</w:t>
        </w:r>
      </w:hyperlink>
      <w:r w:rsidR="0019776C" w:rsidRPr="008A7BD7">
        <w:rPr>
          <w:rFonts w:ascii="Cambria" w:eastAsia="Cambria" w:hAnsi="Cambria" w:cs="Cambria"/>
          <w:color w:val="000000"/>
          <w:sz w:val="16"/>
          <w:szCs w:val="16"/>
        </w:rPr>
        <w:t xml:space="preserve">, </w:t>
      </w:r>
      <w:r w:rsidRPr="008A7BD7">
        <w:rPr>
          <w:rFonts w:ascii="Cambria" w:eastAsia="Cambria" w:hAnsi="Cambria" w:cs="Cambria"/>
          <w:color w:val="000000"/>
          <w:sz w:val="16"/>
          <w:szCs w:val="16"/>
        </w:rPr>
        <w:t>OEA/</w:t>
      </w:r>
      <w:proofErr w:type="spellStart"/>
      <w:r w:rsidRPr="008A7BD7">
        <w:rPr>
          <w:rFonts w:ascii="Cambria" w:eastAsia="Cambria" w:hAnsi="Cambria" w:cs="Cambria"/>
          <w:color w:val="000000"/>
          <w:sz w:val="16"/>
          <w:szCs w:val="16"/>
        </w:rPr>
        <w:t>Ser.L</w:t>
      </w:r>
      <w:proofErr w:type="spellEnd"/>
      <w:r w:rsidRPr="008A7BD7">
        <w:rPr>
          <w:rFonts w:ascii="Cambria" w:eastAsia="Cambria" w:hAnsi="Cambria" w:cs="Cambria"/>
          <w:color w:val="000000"/>
          <w:sz w:val="16"/>
          <w:szCs w:val="16"/>
        </w:rPr>
        <w:t xml:space="preserve">/V/II., Doc. 255, </w:t>
      </w:r>
      <w:r w:rsidR="00B354C9" w:rsidRPr="008A7BD7">
        <w:rPr>
          <w:rFonts w:ascii="Cambria" w:eastAsia="Cambria" w:hAnsi="Cambria" w:cs="Cambria"/>
          <w:color w:val="000000"/>
          <w:sz w:val="16"/>
          <w:szCs w:val="16"/>
        </w:rPr>
        <w:t xml:space="preserve">August </w:t>
      </w:r>
      <w:r w:rsidRPr="008A7BD7">
        <w:rPr>
          <w:rFonts w:ascii="Cambria" w:eastAsia="Cambria" w:hAnsi="Cambria" w:cs="Cambria"/>
          <w:color w:val="000000"/>
          <w:sz w:val="16"/>
          <w:szCs w:val="16"/>
        </w:rPr>
        <w:t>5</w:t>
      </w:r>
      <w:r w:rsidR="00B354C9" w:rsidRPr="008A7BD7">
        <w:rPr>
          <w:rFonts w:ascii="Cambria" w:eastAsia="Cambria" w:hAnsi="Cambria" w:cs="Cambria"/>
          <w:color w:val="000000"/>
          <w:sz w:val="16"/>
          <w:szCs w:val="16"/>
        </w:rPr>
        <w:t xml:space="preserve">, </w:t>
      </w:r>
      <w:r w:rsidRPr="008A7BD7">
        <w:rPr>
          <w:rFonts w:ascii="Cambria" w:eastAsia="Cambria" w:hAnsi="Cambria" w:cs="Cambria"/>
          <w:color w:val="000000"/>
          <w:sz w:val="16"/>
          <w:szCs w:val="16"/>
        </w:rPr>
        <w:t xml:space="preserve">2020, </w:t>
      </w:r>
      <w:r w:rsidR="00B354C9" w:rsidRPr="008A7BD7">
        <w:rPr>
          <w:rFonts w:ascii="Cambria" w:eastAsia="Cambria" w:hAnsi="Cambria" w:cs="Cambria"/>
          <w:color w:val="000000"/>
          <w:sz w:val="16"/>
          <w:szCs w:val="16"/>
        </w:rPr>
        <w:t>paras</w:t>
      </w:r>
      <w:r w:rsidRPr="008A7BD7">
        <w:rPr>
          <w:rFonts w:ascii="Cambria" w:eastAsia="Cambria" w:hAnsi="Cambria" w:cs="Cambria"/>
          <w:color w:val="000000"/>
          <w:sz w:val="16"/>
          <w:szCs w:val="16"/>
        </w:rPr>
        <w:t xml:space="preserve">. 391 </w:t>
      </w:r>
      <w:r w:rsidR="00B354C9" w:rsidRPr="008A7BD7">
        <w:rPr>
          <w:rFonts w:ascii="Cambria" w:eastAsia="Cambria" w:hAnsi="Cambria" w:cs="Cambria"/>
          <w:color w:val="000000"/>
          <w:sz w:val="16"/>
          <w:szCs w:val="16"/>
        </w:rPr>
        <w:t>and</w:t>
      </w:r>
      <w:r w:rsidRPr="008A7BD7">
        <w:rPr>
          <w:rFonts w:ascii="Cambria" w:eastAsia="Cambria" w:hAnsi="Cambria" w:cs="Cambria"/>
          <w:color w:val="000000"/>
          <w:sz w:val="16"/>
          <w:szCs w:val="16"/>
        </w:rPr>
        <w:t xml:space="preserve"> 395.</w:t>
      </w:r>
    </w:p>
  </w:footnote>
  <w:footnote w:id="292">
    <w:p w14:paraId="15C7ABF6" w14:textId="38B072A4"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2D0273" w:rsidRPr="008A7BD7">
        <w:rPr>
          <w:rFonts w:ascii="Cambria" w:eastAsia="Cambria" w:hAnsi="Cambria" w:cs="Cambria"/>
          <w:color w:val="000000"/>
          <w:sz w:val="16"/>
          <w:szCs w:val="16"/>
        </w:rPr>
        <w:t xml:space="preserve">IACHR, Press Release 243/21 – </w:t>
      </w:r>
      <w:hyperlink r:id="rId297" w:history="1">
        <w:r w:rsidR="002D0273" w:rsidRPr="008A7BD7">
          <w:rPr>
            <w:rStyle w:val="Hyperlink"/>
            <w:rFonts w:ascii="Cambria" w:eastAsia="Cambria" w:hAnsi="Cambria" w:cs="Cambria"/>
            <w:sz w:val="16"/>
            <w:szCs w:val="16"/>
          </w:rPr>
          <w:t>The IACHR Expresses Concern about the Expulsion of People in a Human Mobility Context from the United States and Mexico and Calls on State to Ensure the Effective Protection of their Rights</w:t>
        </w:r>
      </w:hyperlink>
      <w:r w:rsidR="002D0273" w:rsidRPr="008A7BD7">
        <w:rPr>
          <w:rFonts w:ascii="Cambria" w:eastAsia="Cambria" w:hAnsi="Cambria" w:cs="Cambria"/>
          <w:color w:val="000000"/>
          <w:sz w:val="16"/>
          <w:szCs w:val="16"/>
        </w:rPr>
        <w:t>,</w:t>
      </w:r>
      <w:r w:rsidR="002D0273" w:rsidRPr="008A7BD7">
        <w:t xml:space="preserve"> </w:t>
      </w:r>
      <w:r w:rsidR="002D0273" w:rsidRPr="008A7BD7">
        <w:rPr>
          <w:rFonts w:ascii="Cambria" w:eastAsia="Cambria" w:hAnsi="Cambria" w:cs="Cambria"/>
          <w:color w:val="000000"/>
          <w:sz w:val="16"/>
          <w:szCs w:val="16"/>
        </w:rPr>
        <w:t>Washington, D.C., September 17, 2021</w:t>
      </w:r>
      <w:r w:rsidRPr="008A7BD7">
        <w:rPr>
          <w:rFonts w:ascii="Cambria" w:eastAsia="Cambria" w:hAnsi="Cambria" w:cs="Cambria"/>
          <w:sz w:val="16"/>
          <w:szCs w:val="16"/>
        </w:rPr>
        <w:t>.</w:t>
      </w:r>
    </w:p>
  </w:footnote>
  <w:footnote w:id="293">
    <w:p w14:paraId="281CB5B0" w14:textId="5B65EC3B"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rPr>
      </w:pPr>
      <w:r w:rsidRPr="008A7BD7">
        <w:rPr>
          <w:rStyle w:val="FootnoteReference"/>
          <w:rFonts w:ascii="Cambria" w:hAnsi="Cambria"/>
          <w:sz w:val="16"/>
          <w:szCs w:val="16"/>
        </w:rPr>
        <w:footnoteRef/>
      </w:r>
      <w:r w:rsidRPr="008A7BD7">
        <w:rPr>
          <w:rFonts w:ascii="Cambria" w:eastAsia="Cambria" w:hAnsi="Cambria" w:cs="Cambria"/>
          <w:color w:val="000000"/>
          <w:sz w:val="16"/>
          <w:szCs w:val="16"/>
        </w:rPr>
        <w:t xml:space="preserve"> </w:t>
      </w:r>
      <w:r w:rsidR="002D0273" w:rsidRPr="008A7BD7">
        <w:rPr>
          <w:rFonts w:ascii="Cambria" w:eastAsia="Cambria" w:hAnsi="Cambria" w:cs="Cambria"/>
          <w:color w:val="000000"/>
          <w:sz w:val="16"/>
          <w:szCs w:val="16"/>
        </w:rPr>
        <w:t xml:space="preserve">IACHR, Press Release 243/21 – </w:t>
      </w:r>
      <w:hyperlink r:id="rId298" w:history="1">
        <w:r w:rsidR="002D0273" w:rsidRPr="008A7BD7">
          <w:rPr>
            <w:rStyle w:val="Hyperlink"/>
            <w:rFonts w:ascii="Cambria" w:eastAsia="Cambria" w:hAnsi="Cambria" w:cs="Cambria"/>
            <w:sz w:val="16"/>
            <w:szCs w:val="16"/>
          </w:rPr>
          <w:t>The IACHR Expresses Concern about the Expulsion of People in a Human Mobility Context from the United States and Mexico and Calls on State to Ensure the Effective Protection of their Rights</w:t>
        </w:r>
      </w:hyperlink>
      <w:r w:rsidR="002D0273" w:rsidRPr="008A7BD7">
        <w:rPr>
          <w:rFonts w:ascii="Cambria" w:eastAsia="Cambria" w:hAnsi="Cambria" w:cs="Cambria"/>
          <w:color w:val="000000"/>
          <w:sz w:val="16"/>
          <w:szCs w:val="16"/>
        </w:rPr>
        <w:t>,</w:t>
      </w:r>
      <w:r w:rsidR="002D0273" w:rsidRPr="008A7BD7">
        <w:t xml:space="preserve"> </w:t>
      </w:r>
      <w:r w:rsidR="002D0273" w:rsidRPr="008A7BD7">
        <w:rPr>
          <w:rFonts w:ascii="Cambria" w:eastAsia="Cambria" w:hAnsi="Cambria" w:cs="Cambria"/>
          <w:color w:val="000000"/>
          <w:sz w:val="16"/>
          <w:szCs w:val="16"/>
        </w:rPr>
        <w:t>Washington, D.C., September 17, 2021</w:t>
      </w:r>
      <w:r w:rsidRPr="008A7BD7">
        <w:rPr>
          <w:rFonts w:ascii="Cambria" w:eastAsia="Cambria" w:hAnsi="Cambria" w:cs="Cambria"/>
          <w:color w:val="000000"/>
          <w:sz w:val="16"/>
          <w:szCs w:val="16"/>
        </w:rPr>
        <w:t>.</w:t>
      </w:r>
    </w:p>
  </w:footnote>
  <w:footnote w:id="294">
    <w:p w14:paraId="7072F90D" w14:textId="70E2B7D5"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rPr>
      </w:pPr>
      <w:r w:rsidRPr="008A7BD7">
        <w:rPr>
          <w:rStyle w:val="FootnoteReference"/>
          <w:rFonts w:ascii="Cambria" w:hAnsi="Cambria"/>
          <w:sz w:val="16"/>
          <w:szCs w:val="16"/>
        </w:rPr>
        <w:footnoteRef/>
      </w:r>
      <w:r w:rsidRPr="008A7BD7">
        <w:rPr>
          <w:rFonts w:ascii="Cambria" w:eastAsia="Cambria" w:hAnsi="Cambria" w:cs="Cambria"/>
          <w:color w:val="000000"/>
          <w:sz w:val="16"/>
          <w:szCs w:val="16"/>
        </w:rPr>
        <w:t xml:space="preserve"> </w:t>
      </w:r>
      <w:r w:rsidR="00566D6C" w:rsidRPr="008A7BD7">
        <w:rPr>
          <w:rFonts w:ascii="Cambria" w:eastAsia="Cambria" w:hAnsi="Cambria" w:cs="Cambria"/>
          <w:sz w:val="16"/>
          <w:szCs w:val="16"/>
        </w:rPr>
        <w:t xml:space="preserve">IACHR, </w:t>
      </w:r>
      <w:hyperlink r:id="rId299" w:history="1">
        <w:r w:rsidR="00566D6C" w:rsidRPr="008A7BD7">
          <w:rPr>
            <w:rStyle w:val="Hyperlink"/>
            <w:rFonts w:ascii="Cambria" w:hAnsi="Cambria"/>
            <w:sz w:val="16"/>
            <w:szCs w:val="16"/>
          </w:rPr>
          <w:t>Situation of Human Rights in Guatemala</w:t>
        </w:r>
      </w:hyperlink>
      <w:r w:rsidR="00566D6C" w:rsidRPr="008A7BD7">
        <w:rPr>
          <w:rFonts w:ascii="Cambria" w:hAnsi="Cambria"/>
          <w:sz w:val="16"/>
          <w:szCs w:val="16"/>
        </w:rPr>
        <w:t>, OEA/</w:t>
      </w:r>
      <w:proofErr w:type="spellStart"/>
      <w:r w:rsidR="00566D6C" w:rsidRPr="008A7BD7">
        <w:rPr>
          <w:rFonts w:ascii="Cambria" w:hAnsi="Cambria"/>
          <w:sz w:val="16"/>
          <w:szCs w:val="16"/>
        </w:rPr>
        <w:t>Ser.L</w:t>
      </w:r>
      <w:proofErr w:type="spellEnd"/>
      <w:r w:rsidR="00566D6C" w:rsidRPr="008A7BD7">
        <w:rPr>
          <w:rFonts w:ascii="Cambria" w:hAnsi="Cambria"/>
          <w:sz w:val="16"/>
          <w:szCs w:val="16"/>
        </w:rPr>
        <w:t>/V/II. Doc. 208/17, December 31, 2017, par</w:t>
      </w:r>
      <w:r w:rsidRPr="008A7BD7">
        <w:rPr>
          <w:rFonts w:ascii="Cambria" w:eastAsia="Cambria" w:hAnsi="Cambria" w:cs="Cambria"/>
          <w:color w:val="000000"/>
          <w:sz w:val="16"/>
          <w:szCs w:val="16"/>
        </w:rPr>
        <w:t>. 232.</w:t>
      </w:r>
    </w:p>
  </w:footnote>
  <w:footnote w:id="295">
    <w:p w14:paraId="05C958F1" w14:textId="2FADE04F"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8A7BD7">
        <w:rPr>
          <w:rStyle w:val="FootnoteReference"/>
          <w:rFonts w:ascii="Cambria" w:hAnsi="Cambria"/>
          <w:sz w:val="16"/>
          <w:szCs w:val="16"/>
        </w:rPr>
        <w:footnoteRef/>
      </w:r>
      <w:r w:rsidRPr="008A7BD7">
        <w:rPr>
          <w:rFonts w:ascii="Cambria" w:eastAsia="Cambria" w:hAnsi="Cambria" w:cs="Cambria"/>
          <w:color w:val="000000"/>
          <w:sz w:val="16"/>
          <w:szCs w:val="16"/>
          <w:lang w:val="es-US"/>
        </w:rPr>
        <w:t xml:space="preserve"> </w:t>
      </w:r>
      <w:r w:rsidRPr="008A7BD7">
        <w:rPr>
          <w:rFonts w:ascii="Cambria" w:eastAsia="Cambria" w:hAnsi="Cambria" w:cs="Cambria"/>
          <w:i/>
          <w:iCs/>
          <w:color w:val="000000"/>
          <w:sz w:val="16"/>
          <w:szCs w:val="16"/>
          <w:lang w:val="es-US"/>
        </w:rPr>
        <w:t>Prensa Comunitaria</w:t>
      </w:r>
      <w:r w:rsidRPr="008A7BD7">
        <w:rPr>
          <w:rFonts w:ascii="Cambria" w:eastAsia="Cambria" w:hAnsi="Cambria" w:cs="Cambria"/>
          <w:color w:val="000000"/>
          <w:sz w:val="16"/>
          <w:szCs w:val="16"/>
          <w:lang w:val="es-US"/>
        </w:rPr>
        <w:t xml:space="preserve">, </w:t>
      </w:r>
      <w:hyperlink r:id="rId300">
        <w:r w:rsidRPr="008A7BD7">
          <w:rPr>
            <w:rFonts w:ascii="Cambria" w:eastAsia="Cambria" w:hAnsi="Cambria" w:cs="Cambria"/>
            <w:i/>
            <w:iCs/>
            <w:color w:val="0563C1"/>
            <w:sz w:val="16"/>
            <w:szCs w:val="16"/>
            <w:u w:val="single"/>
            <w:lang w:val="es-US"/>
          </w:rPr>
          <w:t xml:space="preserve">El Estor: vuelven los desalojos de comunidades </w:t>
        </w:r>
        <w:proofErr w:type="spellStart"/>
        <w:r w:rsidRPr="008A7BD7">
          <w:rPr>
            <w:rFonts w:ascii="Cambria" w:eastAsia="Cambria" w:hAnsi="Cambria" w:cs="Cambria"/>
            <w:i/>
            <w:iCs/>
            <w:color w:val="0563C1"/>
            <w:sz w:val="16"/>
            <w:szCs w:val="16"/>
            <w:u w:val="single"/>
            <w:lang w:val="es-US"/>
          </w:rPr>
          <w:t>Q’eqchi</w:t>
        </w:r>
        <w:proofErr w:type="spellEnd"/>
        <w:r w:rsidRPr="008A7BD7">
          <w:rPr>
            <w:rFonts w:ascii="Cambria" w:eastAsia="Cambria" w:hAnsi="Cambria" w:cs="Cambria"/>
            <w:i/>
            <w:iCs/>
            <w:color w:val="0563C1"/>
            <w:sz w:val="16"/>
            <w:szCs w:val="16"/>
            <w:u w:val="single"/>
            <w:lang w:val="es-US"/>
          </w:rPr>
          <w:t>’ en medio de la pandemia</w:t>
        </w:r>
      </w:hyperlink>
      <w:r w:rsidRPr="008A7BD7">
        <w:rPr>
          <w:rFonts w:ascii="Cambria" w:eastAsia="Cambria" w:hAnsi="Cambria" w:cs="Cambria"/>
          <w:i/>
          <w:iCs/>
          <w:color w:val="000000"/>
          <w:sz w:val="16"/>
          <w:szCs w:val="16"/>
          <w:lang w:val="es-US"/>
        </w:rPr>
        <w:t xml:space="preserve">, </w:t>
      </w:r>
      <w:r w:rsidR="00C63BA8" w:rsidRPr="008A7BD7">
        <w:rPr>
          <w:rFonts w:ascii="Cambria" w:eastAsia="Cambria" w:hAnsi="Cambria" w:cs="Cambria"/>
          <w:color w:val="000000"/>
          <w:sz w:val="16"/>
          <w:szCs w:val="16"/>
          <w:lang w:val="es-US"/>
        </w:rPr>
        <w:t xml:space="preserve">June </w:t>
      </w:r>
      <w:r w:rsidRPr="008A7BD7">
        <w:rPr>
          <w:rFonts w:ascii="Cambria" w:eastAsia="Cambria" w:hAnsi="Cambria" w:cs="Cambria"/>
          <w:color w:val="000000"/>
          <w:sz w:val="16"/>
          <w:szCs w:val="16"/>
          <w:lang w:val="es-US"/>
        </w:rPr>
        <w:t>16</w:t>
      </w:r>
      <w:r w:rsidR="00C63BA8" w:rsidRPr="008A7BD7">
        <w:rPr>
          <w:rFonts w:ascii="Cambria" w:eastAsia="Cambria" w:hAnsi="Cambria" w:cs="Cambria"/>
          <w:color w:val="000000"/>
          <w:sz w:val="16"/>
          <w:szCs w:val="16"/>
          <w:lang w:val="es-US"/>
        </w:rPr>
        <w:t xml:space="preserve">, </w:t>
      </w:r>
      <w:r w:rsidRPr="008A7BD7">
        <w:rPr>
          <w:rFonts w:ascii="Cambria" w:eastAsia="Cambria" w:hAnsi="Cambria" w:cs="Cambria"/>
          <w:color w:val="000000"/>
          <w:sz w:val="16"/>
          <w:szCs w:val="16"/>
          <w:lang w:val="es-US"/>
        </w:rPr>
        <w:t>2021</w:t>
      </w:r>
      <w:r w:rsidR="00C63BA8" w:rsidRPr="008A7BD7">
        <w:rPr>
          <w:rFonts w:ascii="Cambria" w:eastAsia="Cambria" w:hAnsi="Cambria" w:cs="Cambria"/>
          <w:color w:val="000000"/>
          <w:sz w:val="16"/>
          <w:szCs w:val="16"/>
          <w:lang w:val="es-US"/>
        </w:rPr>
        <w:t>;</w:t>
      </w:r>
      <w:r w:rsidRPr="008A7BD7">
        <w:rPr>
          <w:rFonts w:ascii="Cambria" w:eastAsia="Cambria" w:hAnsi="Cambria" w:cs="Cambria"/>
          <w:i/>
          <w:iCs/>
          <w:color w:val="000000"/>
          <w:sz w:val="16"/>
          <w:szCs w:val="16"/>
          <w:lang w:val="es-US"/>
        </w:rPr>
        <w:t xml:space="preserve"> FGER, </w:t>
      </w:r>
      <w:hyperlink r:id="rId301">
        <w:r w:rsidRPr="008A7BD7">
          <w:rPr>
            <w:rFonts w:ascii="Cambria" w:eastAsia="Cambria" w:hAnsi="Cambria" w:cs="Cambria"/>
            <w:i/>
            <w:iCs/>
            <w:color w:val="0563C1"/>
            <w:sz w:val="16"/>
            <w:szCs w:val="16"/>
            <w:u w:val="single"/>
            <w:lang w:val="es-US"/>
          </w:rPr>
          <w:t>Operativo policial partió de Río Dulce</w:t>
        </w:r>
      </w:hyperlink>
      <w:r w:rsidRPr="008A7BD7">
        <w:rPr>
          <w:rFonts w:ascii="Cambria" w:eastAsia="Cambria" w:hAnsi="Cambria" w:cs="Cambria"/>
          <w:color w:val="000000"/>
          <w:sz w:val="16"/>
          <w:szCs w:val="16"/>
          <w:lang w:val="es-US"/>
        </w:rPr>
        <w:t xml:space="preserve">, </w:t>
      </w:r>
      <w:r w:rsidR="00B619FD" w:rsidRPr="008A7BD7">
        <w:rPr>
          <w:rFonts w:ascii="Cambria" w:eastAsia="Cambria" w:hAnsi="Cambria" w:cs="Cambria"/>
          <w:color w:val="000000"/>
          <w:sz w:val="16"/>
          <w:szCs w:val="16"/>
          <w:lang w:val="es-US"/>
        </w:rPr>
        <w:t xml:space="preserve">June </w:t>
      </w:r>
      <w:r w:rsidRPr="008A7BD7">
        <w:rPr>
          <w:rFonts w:ascii="Cambria" w:eastAsia="Cambria" w:hAnsi="Cambria" w:cs="Cambria"/>
          <w:color w:val="000000"/>
          <w:sz w:val="16"/>
          <w:szCs w:val="16"/>
          <w:lang w:val="es-US"/>
        </w:rPr>
        <w:t>16</w:t>
      </w:r>
      <w:r w:rsidR="00B619FD" w:rsidRPr="008A7BD7">
        <w:rPr>
          <w:rFonts w:ascii="Cambria" w:eastAsia="Cambria" w:hAnsi="Cambria" w:cs="Cambria"/>
          <w:color w:val="000000"/>
          <w:sz w:val="16"/>
          <w:szCs w:val="16"/>
          <w:lang w:val="es-US"/>
        </w:rPr>
        <w:t xml:space="preserve">, </w:t>
      </w:r>
      <w:r w:rsidRPr="008A7BD7">
        <w:rPr>
          <w:rFonts w:ascii="Cambria" w:eastAsia="Cambria" w:hAnsi="Cambria" w:cs="Cambria"/>
          <w:color w:val="000000"/>
          <w:sz w:val="16"/>
          <w:szCs w:val="16"/>
          <w:lang w:val="es-US"/>
        </w:rPr>
        <w:t>2021.</w:t>
      </w:r>
    </w:p>
  </w:footnote>
  <w:footnote w:id="296">
    <w:p w14:paraId="1865DAB6" w14:textId="3C830620" w:rsidR="004D1FCF" w:rsidRPr="008A7BD7" w:rsidRDefault="004D1FCF" w:rsidP="00746761">
      <w:pPr>
        <w:pBdr>
          <w:top w:val="nil"/>
          <w:left w:val="nil"/>
          <w:bottom w:val="nil"/>
          <w:right w:val="nil"/>
          <w:between w:val="nil"/>
        </w:pBdr>
        <w:shd w:val="clear" w:color="auto" w:fill="FFFFFF"/>
        <w:spacing w:after="120"/>
        <w:ind w:firstLine="720"/>
        <w:jc w:val="both"/>
        <w:rPr>
          <w:rFonts w:ascii="Cambria" w:eastAsia="Cambria" w:hAnsi="Cambria" w:cs="Cambria"/>
          <w:color w:val="000000"/>
          <w:sz w:val="16"/>
          <w:szCs w:val="16"/>
          <w:lang w:val="es-US"/>
        </w:rPr>
      </w:pPr>
      <w:r w:rsidRPr="008A7BD7">
        <w:rPr>
          <w:rStyle w:val="FootnoteReference"/>
          <w:rFonts w:ascii="Cambria" w:hAnsi="Cambria"/>
          <w:sz w:val="16"/>
          <w:szCs w:val="16"/>
        </w:rPr>
        <w:footnoteRef/>
      </w:r>
      <w:r w:rsidRPr="008A7BD7">
        <w:rPr>
          <w:rFonts w:ascii="Cambria" w:eastAsia="Cambria" w:hAnsi="Cambria" w:cs="Cambria"/>
          <w:color w:val="000000"/>
          <w:sz w:val="16"/>
          <w:szCs w:val="16"/>
          <w:lang w:val="es-US"/>
        </w:rPr>
        <w:t xml:space="preserve"> </w:t>
      </w:r>
      <w:proofErr w:type="spellStart"/>
      <w:r w:rsidRPr="008A7BD7">
        <w:rPr>
          <w:rFonts w:ascii="Cambria" w:eastAsia="Cambria" w:hAnsi="Cambria" w:cs="Cambria"/>
          <w:i/>
          <w:iCs/>
          <w:color w:val="000000"/>
          <w:sz w:val="16"/>
          <w:szCs w:val="16"/>
          <w:lang w:val="es-US"/>
        </w:rPr>
        <w:t>PrensaComunitaria</w:t>
      </w:r>
      <w:proofErr w:type="spellEnd"/>
      <w:r w:rsidRPr="008A7BD7">
        <w:rPr>
          <w:rFonts w:ascii="Cambria" w:eastAsia="Cambria" w:hAnsi="Cambria" w:cs="Cambria"/>
          <w:color w:val="000000"/>
          <w:sz w:val="16"/>
          <w:szCs w:val="16"/>
          <w:lang w:val="es-US"/>
        </w:rPr>
        <w:t xml:space="preserve"> [@PrensaComunitar]</w:t>
      </w:r>
      <w:r w:rsidR="00350DC9" w:rsidRPr="008A7BD7">
        <w:rPr>
          <w:rFonts w:ascii="Cambria" w:eastAsia="Cambria" w:hAnsi="Cambria" w:cs="Cambria"/>
          <w:color w:val="000000"/>
          <w:sz w:val="16"/>
          <w:szCs w:val="16"/>
          <w:lang w:val="es-US"/>
        </w:rPr>
        <w:t xml:space="preserve">, </w:t>
      </w:r>
      <w:proofErr w:type="spellStart"/>
      <w:r w:rsidR="00350DC9" w:rsidRPr="008A7BD7">
        <w:rPr>
          <w:rFonts w:ascii="Cambria" w:eastAsia="Cambria" w:hAnsi="Cambria" w:cs="Cambria"/>
          <w:color w:val="000000"/>
          <w:sz w:val="16"/>
          <w:szCs w:val="16"/>
          <w:lang w:val="es-US"/>
        </w:rPr>
        <w:t>October</w:t>
      </w:r>
      <w:proofErr w:type="spellEnd"/>
      <w:r w:rsidRPr="008A7BD7">
        <w:rPr>
          <w:rFonts w:ascii="Cambria" w:eastAsia="Cambria" w:hAnsi="Cambria" w:cs="Cambria"/>
          <w:color w:val="000000"/>
          <w:sz w:val="16"/>
          <w:szCs w:val="16"/>
          <w:lang w:val="es-US"/>
        </w:rPr>
        <w:t xml:space="preserve"> 1</w:t>
      </w:r>
      <w:r w:rsidR="00350DC9" w:rsidRPr="008A7BD7">
        <w:rPr>
          <w:rFonts w:ascii="Cambria" w:eastAsia="Cambria" w:hAnsi="Cambria" w:cs="Cambria"/>
          <w:color w:val="000000"/>
          <w:sz w:val="16"/>
          <w:szCs w:val="16"/>
          <w:lang w:val="es-US"/>
        </w:rPr>
        <w:t xml:space="preserve">, </w:t>
      </w:r>
      <w:r w:rsidRPr="008A7BD7">
        <w:rPr>
          <w:rFonts w:ascii="Cambria" w:eastAsia="Cambria" w:hAnsi="Cambria" w:cs="Cambria"/>
          <w:color w:val="000000"/>
          <w:sz w:val="16"/>
          <w:szCs w:val="16"/>
          <w:lang w:val="es-US"/>
        </w:rPr>
        <w:t>2021</w:t>
      </w:r>
      <w:r w:rsidR="00350DC9" w:rsidRPr="008A7BD7">
        <w:rPr>
          <w:rFonts w:ascii="Cambria" w:eastAsia="Cambria" w:hAnsi="Cambria" w:cs="Cambria"/>
          <w:color w:val="000000"/>
          <w:sz w:val="16"/>
          <w:szCs w:val="16"/>
          <w:lang w:val="es-US"/>
        </w:rPr>
        <w:t xml:space="preserve">, </w:t>
      </w:r>
      <w:hyperlink r:id="rId302" w:history="1">
        <w:r w:rsidR="00350DC9" w:rsidRPr="008A7BD7">
          <w:rPr>
            <w:rStyle w:val="Hyperlink"/>
            <w:rFonts w:ascii="Cambria" w:eastAsia="Cambria" w:hAnsi="Cambria" w:cs="Cambria"/>
            <w:sz w:val="16"/>
            <w:szCs w:val="16"/>
            <w:lang w:val="es-US"/>
          </w:rPr>
          <w:t>Twitter post</w:t>
        </w:r>
      </w:hyperlink>
      <w:r w:rsidR="00350DC9" w:rsidRPr="008A7BD7">
        <w:rPr>
          <w:rFonts w:ascii="Cambria" w:eastAsia="Cambria" w:hAnsi="Cambria" w:cs="Cambria"/>
          <w:color w:val="000000"/>
          <w:sz w:val="16"/>
          <w:szCs w:val="16"/>
          <w:lang w:val="es-US"/>
        </w:rPr>
        <w:t xml:space="preserve">: </w:t>
      </w:r>
      <w:r w:rsidRPr="008A7BD7">
        <w:rPr>
          <w:rFonts w:ascii="Cambria" w:eastAsia="Cambria" w:hAnsi="Cambria" w:cs="Cambria"/>
          <w:i/>
          <w:color w:val="000000"/>
          <w:sz w:val="16"/>
          <w:szCs w:val="16"/>
          <w:lang w:val="es-US"/>
        </w:rPr>
        <w:t xml:space="preserve">1/2 #Izabal | Familias </w:t>
      </w:r>
      <w:proofErr w:type="spellStart"/>
      <w:r w:rsidRPr="008A7BD7">
        <w:rPr>
          <w:rFonts w:ascii="Cambria" w:eastAsia="Cambria" w:hAnsi="Cambria" w:cs="Cambria"/>
          <w:i/>
          <w:color w:val="000000"/>
          <w:sz w:val="16"/>
          <w:szCs w:val="16"/>
          <w:lang w:val="es-US"/>
        </w:rPr>
        <w:t>Q'eqchi</w:t>
      </w:r>
      <w:proofErr w:type="spellEnd"/>
      <w:r w:rsidRPr="008A7BD7">
        <w:rPr>
          <w:rFonts w:ascii="Cambria" w:eastAsia="Cambria" w:hAnsi="Cambria" w:cs="Cambria"/>
          <w:i/>
          <w:color w:val="000000"/>
          <w:sz w:val="16"/>
          <w:szCs w:val="16"/>
          <w:lang w:val="es-US"/>
        </w:rPr>
        <w:t xml:space="preserve">' de la comunidad </w:t>
      </w:r>
      <w:proofErr w:type="spellStart"/>
      <w:r w:rsidRPr="008A7BD7">
        <w:rPr>
          <w:rFonts w:ascii="Cambria" w:eastAsia="Cambria" w:hAnsi="Cambria" w:cs="Cambria"/>
          <w:i/>
          <w:color w:val="000000"/>
          <w:sz w:val="16"/>
          <w:szCs w:val="16"/>
          <w:lang w:val="es-US"/>
        </w:rPr>
        <w:t>Aktela</w:t>
      </w:r>
      <w:proofErr w:type="spellEnd"/>
      <w:r w:rsidRPr="008A7BD7">
        <w:rPr>
          <w:rFonts w:ascii="Cambria" w:eastAsia="Cambria" w:hAnsi="Cambria" w:cs="Cambria"/>
          <w:i/>
          <w:color w:val="000000"/>
          <w:sz w:val="16"/>
          <w:szCs w:val="16"/>
          <w:lang w:val="es-US"/>
        </w:rPr>
        <w:t xml:space="preserve">, Sierra Santa Cruz, </w:t>
      </w:r>
      <w:proofErr w:type="spellStart"/>
      <w:r w:rsidRPr="008A7BD7">
        <w:rPr>
          <w:rFonts w:ascii="Cambria" w:eastAsia="Cambria" w:hAnsi="Cambria" w:cs="Cambria"/>
          <w:i/>
          <w:color w:val="000000"/>
          <w:sz w:val="16"/>
          <w:szCs w:val="16"/>
          <w:lang w:val="es-US"/>
        </w:rPr>
        <w:t>Linvingston</w:t>
      </w:r>
      <w:proofErr w:type="spellEnd"/>
      <w:r w:rsidRPr="008A7BD7">
        <w:rPr>
          <w:rFonts w:ascii="Cambria" w:eastAsia="Cambria" w:hAnsi="Cambria" w:cs="Cambria"/>
          <w:i/>
          <w:color w:val="000000"/>
          <w:sz w:val="16"/>
          <w:szCs w:val="16"/>
          <w:lang w:val="es-US"/>
        </w:rPr>
        <w:t xml:space="preserve"> fueron desalojadas de manera violenta por un grupo armado ayer</w:t>
      </w:r>
      <w:r w:rsidR="00350DC9" w:rsidRPr="008A7BD7">
        <w:rPr>
          <w:rFonts w:ascii="Cambria" w:eastAsia="Cambria" w:hAnsi="Cambria" w:cs="Cambria"/>
          <w:i/>
          <w:color w:val="000000"/>
          <w:sz w:val="16"/>
          <w:szCs w:val="16"/>
          <w:lang w:val="es-US"/>
        </w:rPr>
        <w:t>;</w:t>
      </w:r>
      <w:r w:rsidRPr="008A7BD7">
        <w:rPr>
          <w:rFonts w:ascii="Cambria" w:eastAsia="Cambria" w:hAnsi="Cambria" w:cs="Cambria"/>
          <w:color w:val="000000"/>
          <w:sz w:val="16"/>
          <w:szCs w:val="16"/>
          <w:lang w:val="es-US"/>
        </w:rPr>
        <w:t xml:space="preserve"> </w:t>
      </w:r>
      <w:r w:rsidRPr="008A7BD7">
        <w:rPr>
          <w:rFonts w:ascii="Cambria" w:eastAsia="Cambria" w:hAnsi="Cambria" w:cs="Cambria"/>
          <w:color w:val="000000"/>
          <w:sz w:val="16"/>
          <w:szCs w:val="16"/>
          <w:lang w:val="es-CO"/>
        </w:rPr>
        <w:t>CUC [@CUCGuatemala]</w:t>
      </w:r>
      <w:r w:rsidR="00350DC9" w:rsidRPr="008A7BD7">
        <w:rPr>
          <w:rFonts w:ascii="Cambria" w:eastAsia="Cambria" w:hAnsi="Cambria" w:cs="Cambria"/>
          <w:color w:val="000000"/>
          <w:sz w:val="16"/>
          <w:szCs w:val="16"/>
          <w:lang w:val="es-CO"/>
        </w:rPr>
        <w:t xml:space="preserve">, </w:t>
      </w:r>
      <w:proofErr w:type="spellStart"/>
      <w:r w:rsidR="00350DC9" w:rsidRPr="008A7BD7">
        <w:rPr>
          <w:rFonts w:ascii="Cambria" w:eastAsia="Cambria" w:hAnsi="Cambria" w:cs="Cambria"/>
          <w:color w:val="000000"/>
          <w:sz w:val="16"/>
          <w:szCs w:val="16"/>
          <w:lang w:val="es-CO"/>
        </w:rPr>
        <w:t>September</w:t>
      </w:r>
      <w:proofErr w:type="spellEnd"/>
      <w:r w:rsidR="00350DC9" w:rsidRPr="008A7BD7">
        <w:rPr>
          <w:rFonts w:ascii="Cambria" w:eastAsia="Cambria" w:hAnsi="Cambria" w:cs="Cambria"/>
          <w:color w:val="000000"/>
          <w:sz w:val="16"/>
          <w:szCs w:val="16"/>
          <w:lang w:val="es-US"/>
        </w:rPr>
        <w:t xml:space="preserve"> </w:t>
      </w:r>
      <w:r w:rsidRPr="008A7BD7">
        <w:rPr>
          <w:rFonts w:ascii="Cambria" w:eastAsia="Cambria" w:hAnsi="Cambria" w:cs="Cambria"/>
          <w:color w:val="000000"/>
          <w:sz w:val="16"/>
          <w:szCs w:val="16"/>
          <w:lang w:val="es-US"/>
        </w:rPr>
        <w:t>30</w:t>
      </w:r>
      <w:r w:rsidR="00350DC9" w:rsidRPr="008A7BD7">
        <w:rPr>
          <w:rFonts w:ascii="Cambria" w:eastAsia="Cambria" w:hAnsi="Cambria" w:cs="Cambria"/>
          <w:color w:val="000000"/>
          <w:sz w:val="16"/>
          <w:szCs w:val="16"/>
          <w:lang w:val="es-US"/>
        </w:rPr>
        <w:t xml:space="preserve">, </w:t>
      </w:r>
      <w:r w:rsidRPr="008A7BD7">
        <w:rPr>
          <w:rFonts w:ascii="Cambria" w:eastAsia="Cambria" w:hAnsi="Cambria" w:cs="Cambria"/>
          <w:color w:val="000000"/>
          <w:sz w:val="16"/>
          <w:szCs w:val="16"/>
          <w:lang w:val="es-US"/>
        </w:rPr>
        <w:t>2021</w:t>
      </w:r>
      <w:r w:rsidR="00350DC9" w:rsidRPr="008A7BD7">
        <w:rPr>
          <w:rFonts w:ascii="Cambria" w:eastAsia="Cambria" w:hAnsi="Cambria" w:cs="Cambria"/>
          <w:color w:val="000000"/>
          <w:sz w:val="16"/>
          <w:szCs w:val="16"/>
          <w:lang w:val="es-US"/>
        </w:rPr>
        <w:t xml:space="preserve">, </w:t>
      </w:r>
      <w:hyperlink r:id="rId303" w:history="1">
        <w:r w:rsidR="00350DC9" w:rsidRPr="008A7BD7">
          <w:rPr>
            <w:rStyle w:val="Hyperlink"/>
            <w:rFonts w:ascii="Cambria" w:eastAsia="Cambria" w:hAnsi="Cambria" w:cs="Cambria"/>
            <w:sz w:val="16"/>
            <w:szCs w:val="16"/>
            <w:lang w:val="es-US"/>
          </w:rPr>
          <w:t>Twitter post</w:t>
        </w:r>
      </w:hyperlink>
      <w:r w:rsidR="00350DC9" w:rsidRPr="008A7BD7">
        <w:rPr>
          <w:rFonts w:ascii="Cambria" w:eastAsia="Cambria" w:hAnsi="Cambria" w:cs="Cambria"/>
          <w:color w:val="000000"/>
          <w:sz w:val="16"/>
          <w:szCs w:val="16"/>
          <w:lang w:val="es-US"/>
        </w:rPr>
        <w:t xml:space="preserve">: </w:t>
      </w:r>
      <w:r w:rsidRPr="008A7BD7">
        <w:rPr>
          <w:rFonts w:ascii="Cambria" w:eastAsia="Cambria" w:hAnsi="Cambria" w:cs="Cambria"/>
          <w:i/>
          <w:color w:val="000000"/>
          <w:sz w:val="16"/>
          <w:szCs w:val="16"/>
          <w:lang w:val="es-US"/>
        </w:rPr>
        <w:t xml:space="preserve">#Hoy La comunidad </w:t>
      </w:r>
      <w:proofErr w:type="spellStart"/>
      <w:r w:rsidRPr="008A7BD7">
        <w:rPr>
          <w:rFonts w:ascii="Cambria" w:eastAsia="Cambria" w:hAnsi="Cambria" w:cs="Cambria"/>
          <w:i/>
          <w:color w:val="000000"/>
          <w:sz w:val="16"/>
          <w:szCs w:val="16"/>
          <w:lang w:val="es-US"/>
        </w:rPr>
        <w:t>Q´eqchi</w:t>
      </w:r>
      <w:proofErr w:type="spellEnd"/>
      <w:r w:rsidRPr="008A7BD7">
        <w:rPr>
          <w:rFonts w:ascii="Cambria" w:eastAsia="Cambria" w:hAnsi="Cambria" w:cs="Cambria"/>
          <w:i/>
          <w:color w:val="000000"/>
          <w:sz w:val="16"/>
          <w:szCs w:val="16"/>
          <w:lang w:val="es-US"/>
        </w:rPr>
        <w:t xml:space="preserve">´ de </w:t>
      </w:r>
      <w:proofErr w:type="spellStart"/>
      <w:r w:rsidRPr="008A7BD7">
        <w:rPr>
          <w:rFonts w:ascii="Cambria" w:eastAsia="Cambria" w:hAnsi="Cambria" w:cs="Cambria"/>
          <w:i/>
          <w:color w:val="000000"/>
          <w:sz w:val="16"/>
          <w:szCs w:val="16"/>
          <w:lang w:val="es-US"/>
        </w:rPr>
        <w:t>Aktela</w:t>
      </w:r>
      <w:proofErr w:type="spellEnd"/>
      <w:r w:rsidRPr="008A7BD7">
        <w:rPr>
          <w:rFonts w:ascii="Cambria" w:eastAsia="Cambria" w:hAnsi="Cambria" w:cs="Cambria"/>
          <w:i/>
          <w:color w:val="000000"/>
          <w:sz w:val="16"/>
          <w:szCs w:val="16"/>
          <w:lang w:val="es-US"/>
        </w:rPr>
        <w:t xml:space="preserve"> de Sierra Santa Cruz en #Livingston #Izabal fue fuertemente afectada por el desalojo extrajudicial</w:t>
      </w:r>
      <w:r w:rsidR="00350DC9" w:rsidRPr="008A7BD7">
        <w:rPr>
          <w:rFonts w:ascii="Cambria" w:eastAsia="Cambria" w:hAnsi="Cambria" w:cs="Cambria"/>
          <w:i/>
          <w:color w:val="000000"/>
          <w:sz w:val="16"/>
          <w:szCs w:val="16"/>
          <w:lang w:val="es-US"/>
        </w:rPr>
        <w:t>;</w:t>
      </w:r>
      <w:r w:rsidRPr="008A7BD7">
        <w:rPr>
          <w:rFonts w:ascii="Cambria" w:eastAsia="Cambria" w:hAnsi="Cambria" w:cs="Cambria"/>
          <w:color w:val="000000"/>
          <w:sz w:val="16"/>
          <w:szCs w:val="16"/>
          <w:lang w:val="es-CO"/>
        </w:rPr>
        <w:t xml:space="preserve"> CUC [@CUCGuatemala]</w:t>
      </w:r>
      <w:r w:rsidR="00350DC9" w:rsidRPr="008A7BD7">
        <w:rPr>
          <w:rFonts w:ascii="Cambria" w:eastAsia="Cambria" w:hAnsi="Cambria" w:cs="Cambria"/>
          <w:color w:val="000000"/>
          <w:sz w:val="16"/>
          <w:szCs w:val="16"/>
          <w:lang w:val="es-CO"/>
        </w:rPr>
        <w:t xml:space="preserve">, </w:t>
      </w:r>
      <w:proofErr w:type="spellStart"/>
      <w:r w:rsidR="00350DC9" w:rsidRPr="008A7BD7">
        <w:rPr>
          <w:rFonts w:ascii="Cambria" w:eastAsia="Cambria" w:hAnsi="Cambria" w:cs="Cambria"/>
          <w:color w:val="000000"/>
          <w:sz w:val="16"/>
          <w:szCs w:val="16"/>
          <w:lang w:val="es-CO"/>
        </w:rPr>
        <w:t>September</w:t>
      </w:r>
      <w:proofErr w:type="spellEnd"/>
      <w:r w:rsidR="00350DC9" w:rsidRPr="008A7BD7">
        <w:rPr>
          <w:rFonts w:ascii="Cambria" w:eastAsia="Cambria" w:hAnsi="Cambria" w:cs="Cambria"/>
          <w:color w:val="000000"/>
          <w:sz w:val="16"/>
          <w:szCs w:val="16"/>
          <w:lang w:val="es-US"/>
        </w:rPr>
        <w:t xml:space="preserve"> </w:t>
      </w:r>
      <w:r w:rsidRPr="008A7BD7">
        <w:rPr>
          <w:rFonts w:ascii="Cambria" w:eastAsia="Cambria" w:hAnsi="Cambria" w:cs="Cambria"/>
          <w:color w:val="000000"/>
          <w:sz w:val="16"/>
          <w:szCs w:val="16"/>
          <w:lang w:val="es-US"/>
        </w:rPr>
        <w:t>30</w:t>
      </w:r>
      <w:r w:rsidR="00350DC9" w:rsidRPr="008A7BD7">
        <w:rPr>
          <w:rFonts w:ascii="Cambria" w:eastAsia="Cambria" w:hAnsi="Cambria" w:cs="Cambria"/>
          <w:color w:val="000000"/>
          <w:sz w:val="16"/>
          <w:szCs w:val="16"/>
          <w:lang w:val="es-US"/>
        </w:rPr>
        <w:t xml:space="preserve">, </w:t>
      </w:r>
      <w:r w:rsidRPr="008A7BD7">
        <w:rPr>
          <w:rFonts w:ascii="Cambria" w:eastAsia="Cambria" w:hAnsi="Cambria" w:cs="Cambria"/>
          <w:color w:val="000000"/>
          <w:sz w:val="16"/>
          <w:szCs w:val="16"/>
          <w:lang w:val="es-US"/>
        </w:rPr>
        <w:t>2021</w:t>
      </w:r>
      <w:r w:rsidR="00350DC9" w:rsidRPr="008A7BD7">
        <w:rPr>
          <w:rFonts w:ascii="Cambria" w:eastAsia="Cambria" w:hAnsi="Cambria" w:cs="Cambria"/>
          <w:color w:val="000000"/>
          <w:sz w:val="16"/>
          <w:szCs w:val="16"/>
          <w:lang w:val="es-US"/>
        </w:rPr>
        <w:t xml:space="preserve">, </w:t>
      </w:r>
      <w:hyperlink r:id="rId304" w:history="1">
        <w:r w:rsidR="00350DC9" w:rsidRPr="008A7BD7">
          <w:rPr>
            <w:rStyle w:val="Hyperlink"/>
            <w:rFonts w:ascii="Cambria" w:eastAsia="Cambria" w:hAnsi="Cambria" w:cs="Cambria"/>
            <w:sz w:val="16"/>
            <w:szCs w:val="16"/>
            <w:lang w:val="es-US"/>
          </w:rPr>
          <w:t>Twitter post</w:t>
        </w:r>
      </w:hyperlink>
      <w:r w:rsidR="00350DC9" w:rsidRPr="008A7BD7">
        <w:rPr>
          <w:rFonts w:ascii="Cambria" w:eastAsia="Cambria" w:hAnsi="Cambria" w:cs="Cambria"/>
          <w:color w:val="000000"/>
          <w:sz w:val="16"/>
          <w:szCs w:val="16"/>
          <w:lang w:val="es-US"/>
        </w:rPr>
        <w:t>:</w:t>
      </w:r>
      <w:r w:rsidRPr="008A7BD7">
        <w:rPr>
          <w:rFonts w:ascii="Cambria" w:eastAsia="Cambria" w:hAnsi="Cambria" w:cs="Cambria"/>
          <w:color w:val="000000"/>
          <w:sz w:val="16"/>
          <w:szCs w:val="16"/>
          <w:lang w:val="es-US"/>
        </w:rPr>
        <w:t xml:space="preserve"> </w:t>
      </w:r>
      <w:r w:rsidRPr="008A7BD7">
        <w:rPr>
          <w:rFonts w:ascii="Cambria" w:eastAsia="Cambria" w:hAnsi="Cambria" w:cs="Cambria"/>
          <w:i/>
          <w:color w:val="000000"/>
          <w:sz w:val="16"/>
          <w:szCs w:val="16"/>
          <w:lang w:val="es-US"/>
        </w:rPr>
        <w:t xml:space="preserve">#Alerta El día de hoy 30 de septiembre, un grupo armado entró a las 06:00 de la mañana disparando en la comunidad de </w:t>
      </w:r>
      <w:proofErr w:type="spellStart"/>
      <w:r w:rsidRPr="008A7BD7">
        <w:rPr>
          <w:rFonts w:ascii="Cambria" w:eastAsia="Cambria" w:hAnsi="Cambria" w:cs="Cambria"/>
          <w:i/>
          <w:color w:val="000000"/>
          <w:sz w:val="16"/>
          <w:szCs w:val="16"/>
          <w:lang w:val="es-US"/>
        </w:rPr>
        <w:t>Aktela</w:t>
      </w:r>
      <w:proofErr w:type="spellEnd"/>
      <w:r w:rsidRPr="008A7BD7">
        <w:rPr>
          <w:rFonts w:ascii="Cambria" w:eastAsia="Cambria" w:hAnsi="Cambria" w:cs="Cambria"/>
          <w:i/>
          <w:color w:val="000000"/>
          <w:sz w:val="16"/>
          <w:szCs w:val="16"/>
          <w:lang w:val="es-US"/>
        </w:rPr>
        <w:t xml:space="preserve"> de Sierra Santa Cruz en Livingston #Izabal, con el objetivo de desalojar extrajudicialmente</w:t>
      </w:r>
      <w:r w:rsidRPr="008A7BD7">
        <w:rPr>
          <w:rFonts w:ascii="Cambria" w:eastAsia="Cambria" w:hAnsi="Cambria" w:cs="Cambria"/>
          <w:color w:val="000000"/>
          <w:sz w:val="16"/>
          <w:szCs w:val="16"/>
          <w:lang w:val="es-US"/>
        </w:rPr>
        <w:t>.</w:t>
      </w:r>
    </w:p>
  </w:footnote>
  <w:footnote w:id="297">
    <w:p w14:paraId="168444B2" w14:textId="4D0922E5" w:rsidR="004D1FCF" w:rsidRPr="008A7BD7" w:rsidRDefault="004D1FCF" w:rsidP="00746761">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8A7BD7">
        <w:rPr>
          <w:rStyle w:val="FootnoteReference"/>
          <w:rFonts w:ascii="Cambria" w:hAnsi="Cambria"/>
          <w:sz w:val="16"/>
          <w:szCs w:val="16"/>
        </w:rPr>
        <w:footnoteRef/>
      </w:r>
      <w:r w:rsidRPr="008A7BD7">
        <w:rPr>
          <w:rFonts w:ascii="Cambria" w:eastAsia="Cambria" w:hAnsi="Cambria" w:cs="Cambria"/>
          <w:color w:val="000000"/>
          <w:sz w:val="16"/>
          <w:szCs w:val="16"/>
          <w:lang w:val="es-US"/>
        </w:rPr>
        <w:t xml:space="preserve"> CUC, </w:t>
      </w:r>
      <w:hyperlink r:id="rId305">
        <w:r w:rsidRPr="008A7BD7">
          <w:rPr>
            <w:rFonts w:ascii="Cambria" w:eastAsia="Cambria" w:hAnsi="Cambria" w:cs="Cambria"/>
            <w:i/>
            <w:iCs/>
            <w:color w:val="0563C1"/>
            <w:sz w:val="16"/>
            <w:szCs w:val="16"/>
            <w:u w:val="single"/>
            <w:lang w:val="es-US"/>
          </w:rPr>
          <w:t>Representantes de 18 comunidades de la Sierra de Santa Cruz, Izabal, demandan la titulación de su territorio al Estado de Guatemala</w:t>
        </w:r>
      </w:hyperlink>
      <w:r w:rsidRPr="008A7BD7">
        <w:rPr>
          <w:rFonts w:ascii="Cambria" w:eastAsia="Cambria" w:hAnsi="Cambria" w:cs="Cambria"/>
          <w:color w:val="000000"/>
          <w:sz w:val="16"/>
          <w:szCs w:val="16"/>
          <w:lang w:val="es-US"/>
        </w:rPr>
        <w:t xml:space="preserve">, </w:t>
      </w:r>
      <w:proofErr w:type="spellStart"/>
      <w:r w:rsidR="00EA4A80" w:rsidRPr="008A7BD7">
        <w:rPr>
          <w:rFonts w:ascii="Cambria" w:eastAsia="Cambria" w:hAnsi="Cambria" w:cs="Cambria"/>
          <w:color w:val="000000"/>
          <w:sz w:val="16"/>
          <w:szCs w:val="16"/>
          <w:lang w:val="es-US"/>
        </w:rPr>
        <w:t>July</w:t>
      </w:r>
      <w:proofErr w:type="spellEnd"/>
      <w:r w:rsidR="00EA4A80" w:rsidRPr="008A7BD7">
        <w:rPr>
          <w:rFonts w:ascii="Cambria" w:eastAsia="Cambria" w:hAnsi="Cambria" w:cs="Cambria"/>
          <w:color w:val="000000"/>
          <w:sz w:val="16"/>
          <w:szCs w:val="16"/>
          <w:lang w:val="es-US"/>
        </w:rPr>
        <w:t xml:space="preserve"> </w:t>
      </w:r>
      <w:r w:rsidRPr="008A7BD7">
        <w:rPr>
          <w:rFonts w:ascii="Cambria" w:eastAsia="Cambria" w:hAnsi="Cambria" w:cs="Cambria"/>
          <w:color w:val="000000"/>
          <w:sz w:val="16"/>
          <w:szCs w:val="16"/>
          <w:lang w:val="es-US"/>
        </w:rPr>
        <w:t>5</w:t>
      </w:r>
      <w:r w:rsidR="00EA4A80" w:rsidRPr="008A7BD7">
        <w:rPr>
          <w:rFonts w:ascii="Cambria" w:eastAsia="Cambria" w:hAnsi="Cambria" w:cs="Cambria"/>
          <w:color w:val="000000"/>
          <w:sz w:val="16"/>
          <w:szCs w:val="16"/>
          <w:lang w:val="es-US"/>
        </w:rPr>
        <w:t xml:space="preserve">, </w:t>
      </w:r>
      <w:r w:rsidRPr="008A7BD7">
        <w:rPr>
          <w:rFonts w:ascii="Cambria" w:eastAsia="Cambria" w:hAnsi="Cambria" w:cs="Cambria"/>
          <w:color w:val="000000"/>
          <w:sz w:val="16"/>
          <w:szCs w:val="16"/>
          <w:lang w:val="es-US"/>
        </w:rPr>
        <w:t>2021.</w:t>
      </w:r>
    </w:p>
  </w:footnote>
  <w:footnote w:id="298">
    <w:p w14:paraId="2364C649" w14:textId="516E88CF" w:rsidR="009E52D6" w:rsidRPr="008A7BD7" w:rsidRDefault="009E52D6" w:rsidP="009E52D6">
      <w:pPr>
        <w:spacing w:after="120"/>
        <w:ind w:firstLine="720"/>
        <w:jc w:val="both"/>
      </w:pPr>
      <w:r w:rsidRPr="008A7BD7">
        <w:rPr>
          <w:rStyle w:val="FootnoteReference"/>
          <w:sz w:val="16"/>
          <w:szCs w:val="16"/>
        </w:rPr>
        <w:footnoteRef/>
      </w:r>
      <w:r w:rsidRPr="008A7BD7">
        <w:t xml:space="preserve"> </w:t>
      </w:r>
      <w:r w:rsidR="009317B7" w:rsidRPr="008A7BD7">
        <w:rPr>
          <w:rFonts w:ascii="Cambria" w:hAnsi="Cambria"/>
          <w:sz w:val="16"/>
          <w:szCs w:val="16"/>
        </w:rPr>
        <w:t>Response from the State of</w:t>
      </w:r>
      <w:r w:rsidR="009317B7"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9317B7" w:rsidRPr="008A7BD7">
        <w:rPr>
          <w:rFonts w:ascii="Cambria" w:hAnsi="Cambria"/>
          <w:sz w:val="16"/>
          <w:szCs w:val="16"/>
        </w:rPr>
        <w:t>OEA</w:t>
      </w:r>
      <w:r w:rsidR="009317B7"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p. 183</w:t>
      </w:r>
      <w:r w:rsidR="00FE47C7"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184.</w:t>
      </w:r>
    </w:p>
  </w:footnote>
  <w:footnote w:id="299">
    <w:p w14:paraId="6B4C2C90" w14:textId="3E3F45FC" w:rsidR="004D1FCF" w:rsidRPr="008A7BD7" w:rsidRDefault="004D1FCF" w:rsidP="00746761">
      <w:pPr>
        <w:spacing w:after="120"/>
        <w:ind w:firstLine="720"/>
        <w:jc w:val="both"/>
        <w:rPr>
          <w:rFonts w:ascii="Cambria" w:eastAsia="Cambria" w:hAnsi="Cambria" w:cs="Cambria"/>
          <w:sz w:val="16"/>
          <w:szCs w:val="16"/>
        </w:rPr>
      </w:pPr>
      <w:r w:rsidRPr="008A7BD7">
        <w:rPr>
          <w:rStyle w:val="FootnoteReference"/>
          <w:rFonts w:ascii="Cambria" w:hAnsi="Cambria"/>
          <w:sz w:val="16"/>
          <w:szCs w:val="16"/>
        </w:rPr>
        <w:footnoteRef/>
      </w:r>
      <w:r w:rsidRPr="008A7BD7">
        <w:rPr>
          <w:rFonts w:ascii="Cambria" w:eastAsia="Cambria" w:hAnsi="Cambria" w:cs="Cambria"/>
          <w:sz w:val="16"/>
          <w:szCs w:val="16"/>
        </w:rPr>
        <w:t xml:space="preserve"> </w:t>
      </w:r>
      <w:r w:rsidR="00EA4A80" w:rsidRPr="008A7BD7">
        <w:rPr>
          <w:rFonts w:ascii="Cambria" w:eastAsia="Cambria" w:hAnsi="Cambria" w:cs="Cambria"/>
          <w:sz w:val="16"/>
          <w:szCs w:val="16"/>
        </w:rPr>
        <w:t xml:space="preserve">IACHR, Press Release </w:t>
      </w:r>
      <w:r w:rsidRPr="008A7BD7">
        <w:rPr>
          <w:rFonts w:ascii="Cambria" w:eastAsia="Cambria" w:hAnsi="Cambria" w:cs="Cambria"/>
          <w:sz w:val="16"/>
          <w:szCs w:val="16"/>
        </w:rPr>
        <w:t xml:space="preserve">158/18 </w:t>
      </w:r>
      <w:r w:rsidR="00EA4A80" w:rsidRPr="008A7BD7">
        <w:rPr>
          <w:rFonts w:ascii="Cambria" w:eastAsia="Cambria" w:hAnsi="Cambria" w:cs="Cambria"/>
          <w:sz w:val="16"/>
          <w:szCs w:val="16"/>
        </w:rPr>
        <w:t xml:space="preserve">– </w:t>
      </w:r>
      <w:hyperlink r:id="rId306" w:history="1">
        <w:r w:rsidR="00EA4A80" w:rsidRPr="008A7BD7">
          <w:rPr>
            <w:rStyle w:val="Hyperlink"/>
            <w:rFonts w:ascii="Cambria" w:eastAsia="Cambria" w:hAnsi="Cambria" w:cs="Cambria"/>
            <w:sz w:val="16"/>
            <w:szCs w:val="16"/>
          </w:rPr>
          <w:t>IACHR, UN Experts Express Concern over Forced Evictions and Internal Displacement in Guatemala</w:t>
        </w:r>
      </w:hyperlink>
      <w:r w:rsidR="00EA4A80" w:rsidRPr="008A7BD7">
        <w:rPr>
          <w:rFonts w:ascii="Cambria" w:eastAsia="Cambria" w:hAnsi="Cambria" w:cs="Cambria"/>
          <w:sz w:val="16"/>
          <w:szCs w:val="16"/>
        </w:rPr>
        <w:t>,</w:t>
      </w:r>
      <w:r w:rsidR="00EA4A80" w:rsidRPr="008A7BD7">
        <w:t xml:space="preserve"> </w:t>
      </w:r>
      <w:r w:rsidRPr="008A7BD7">
        <w:rPr>
          <w:rFonts w:ascii="Cambria" w:eastAsia="Cambria" w:hAnsi="Cambria" w:cs="Cambria"/>
          <w:sz w:val="16"/>
          <w:szCs w:val="16"/>
        </w:rPr>
        <w:t xml:space="preserve">Washington, D.C., </w:t>
      </w:r>
      <w:r w:rsidR="00EA4A80" w:rsidRPr="008A7BD7">
        <w:rPr>
          <w:rFonts w:ascii="Cambria" w:eastAsia="Cambria" w:hAnsi="Cambria" w:cs="Cambria"/>
          <w:sz w:val="16"/>
          <w:szCs w:val="16"/>
        </w:rPr>
        <w:t xml:space="preserve">July </w:t>
      </w:r>
      <w:r w:rsidRPr="008A7BD7">
        <w:rPr>
          <w:rFonts w:ascii="Cambria" w:eastAsia="Cambria" w:hAnsi="Cambria" w:cs="Cambria"/>
          <w:sz w:val="16"/>
          <w:szCs w:val="16"/>
        </w:rPr>
        <w:t>20</w:t>
      </w:r>
      <w:r w:rsidR="00EA4A80" w:rsidRPr="008A7BD7">
        <w:rPr>
          <w:rFonts w:ascii="Cambria" w:eastAsia="Cambria" w:hAnsi="Cambria" w:cs="Cambria"/>
          <w:sz w:val="16"/>
          <w:szCs w:val="16"/>
        </w:rPr>
        <w:t xml:space="preserve">, </w:t>
      </w:r>
      <w:r w:rsidRPr="008A7BD7">
        <w:rPr>
          <w:rFonts w:ascii="Cambria" w:eastAsia="Cambria" w:hAnsi="Cambria" w:cs="Cambria"/>
          <w:sz w:val="16"/>
          <w:szCs w:val="16"/>
        </w:rPr>
        <w:t>2018.</w:t>
      </w:r>
    </w:p>
  </w:footnote>
  <w:footnote w:id="300">
    <w:p w14:paraId="35364D1F" w14:textId="29525A94" w:rsidR="009E52D6" w:rsidRPr="008A7BD7" w:rsidRDefault="009E52D6" w:rsidP="009E52D6">
      <w:pPr>
        <w:spacing w:after="120"/>
        <w:ind w:firstLine="720"/>
        <w:jc w:val="both"/>
        <w:rPr>
          <w:rFonts w:ascii="Cambria" w:eastAsia="Montserrat" w:hAnsi="Cambria" w:cs="Montserrat"/>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C71412" w:rsidRPr="008A7BD7">
        <w:rPr>
          <w:rFonts w:ascii="Cambria" w:hAnsi="Cambria"/>
          <w:sz w:val="16"/>
          <w:szCs w:val="16"/>
        </w:rPr>
        <w:t>Response from the State of</w:t>
      </w:r>
      <w:r w:rsidR="00C71412"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C71412" w:rsidRPr="008A7BD7">
        <w:rPr>
          <w:rFonts w:ascii="Cambria" w:hAnsi="Cambria"/>
          <w:sz w:val="16"/>
          <w:szCs w:val="16"/>
        </w:rPr>
        <w:t>OEA</w:t>
      </w:r>
      <w:r w:rsidR="00C71412" w:rsidRPr="008A7BD7">
        <w:rPr>
          <w:rFonts w:ascii="Cambria" w:eastAsia="Cambria" w:hAnsi="Cambria" w:cs="Cambria"/>
          <w:color w:val="000000"/>
          <w:sz w:val="16"/>
          <w:szCs w:val="16"/>
        </w:rPr>
        <w:t>-M4-980-2021, December 22, 2021, pp</w:t>
      </w:r>
      <w:r w:rsidRPr="008A7BD7">
        <w:rPr>
          <w:rFonts w:ascii="Cambria" w:eastAsia="Times New Roman" w:hAnsi="Cambria" w:cs="Tahoma"/>
          <w:color w:val="000000"/>
          <w:sz w:val="16"/>
          <w:szCs w:val="16"/>
          <w:lang w:eastAsia="es-ES_tradnl"/>
        </w:rPr>
        <w:t>. 144</w:t>
      </w:r>
      <w:r w:rsidR="00FE47C7"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145.</w:t>
      </w:r>
    </w:p>
  </w:footnote>
  <w:footnote w:id="301">
    <w:p w14:paraId="7F3972C7" w14:textId="5B042959" w:rsidR="009E52D6" w:rsidRPr="008A7BD7" w:rsidRDefault="009E52D6" w:rsidP="009E52D6">
      <w:pPr>
        <w:spacing w:after="120"/>
        <w:ind w:firstLine="720"/>
        <w:jc w:val="both"/>
        <w:rPr>
          <w:rFonts w:ascii="Cambria" w:eastAsia="Montserrat" w:hAnsi="Cambria" w:cs="Montserrat"/>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780A71" w:rsidRPr="008A7BD7">
        <w:rPr>
          <w:rFonts w:ascii="Cambria" w:eastAsia="Cambria" w:hAnsi="Cambria" w:cs="Cambria"/>
          <w:sz w:val="16"/>
          <w:szCs w:val="16"/>
        </w:rPr>
        <w:t xml:space="preserve">As the </w:t>
      </w:r>
      <w:r w:rsidR="00FE47C7" w:rsidRPr="008A7BD7">
        <w:rPr>
          <w:rFonts w:ascii="Cambria" w:eastAsia="Cambria" w:hAnsi="Cambria" w:cs="Cambria"/>
          <w:sz w:val="16"/>
          <w:szCs w:val="16"/>
        </w:rPr>
        <w:t>State</w:t>
      </w:r>
      <w:r w:rsidR="00780A71" w:rsidRPr="008A7BD7">
        <w:rPr>
          <w:rFonts w:ascii="Cambria" w:eastAsia="Cambria" w:hAnsi="Cambria" w:cs="Cambria"/>
          <w:sz w:val="16"/>
          <w:szCs w:val="16"/>
        </w:rPr>
        <w:t xml:space="preserve"> informed the IACHR, </w:t>
      </w:r>
      <w:r w:rsidRPr="008A7BD7">
        <w:rPr>
          <w:rFonts w:ascii="Cambria" w:hAnsi="Cambria"/>
          <w:sz w:val="16"/>
          <w:szCs w:val="16"/>
        </w:rPr>
        <w:t>“</w:t>
      </w:r>
      <w:r w:rsidR="00780A71" w:rsidRPr="008A7BD7">
        <w:rPr>
          <w:rFonts w:ascii="Cambria" w:hAnsi="Cambria"/>
          <w:sz w:val="16"/>
          <w:szCs w:val="16"/>
        </w:rPr>
        <w:t xml:space="preserve">one of the goals of </w:t>
      </w:r>
      <w:r w:rsidRPr="008A7BD7">
        <w:rPr>
          <w:rFonts w:ascii="Cambria" w:eastAsia="Montserrat" w:hAnsi="Cambria" w:cs="Montserrat"/>
          <w:sz w:val="16"/>
          <w:szCs w:val="16"/>
        </w:rPr>
        <w:t xml:space="preserve">Casa Joven </w:t>
      </w:r>
      <w:r w:rsidR="00780A71" w:rsidRPr="008A7BD7">
        <w:rPr>
          <w:rFonts w:ascii="Cambria" w:eastAsia="Montserrat" w:hAnsi="Cambria" w:cs="Montserrat"/>
          <w:sz w:val="16"/>
          <w:szCs w:val="16"/>
        </w:rPr>
        <w:t xml:space="preserve">[Youth House] is to prevent violence, so it tries to support beneficiaries and </w:t>
      </w:r>
      <w:r w:rsidR="00FE47C7" w:rsidRPr="008A7BD7">
        <w:rPr>
          <w:rFonts w:ascii="Cambria" w:eastAsia="Montserrat" w:hAnsi="Cambria" w:cs="Montserrat"/>
          <w:sz w:val="16"/>
          <w:szCs w:val="16"/>
        </w:rPr>
        <w:t xml:space="preserve">give them </w:t>
      </w:r>
      <w:r w:rsidR="00780A71" w:rsidRPr="008A7BD7">
        <w:rPr>
          <w:rFonts w:ascii="Cambria" w:eastAsia="Montserrat" w:hAnsi="Cambria" w:cs="Montserrat"/>
          <w:sz w:val="16"/>
          <w:szCs w:val="16"/>
        </w:rPr>
        <w:t>guid</w:t>
      </w:r>
      <w:r w:rsidR="00FE47C7" w:rsidRPr="008A7BD7">
        <w:rPr>
          <w:rFonts w:ascii="Cambria" w:eastAsia="Montserrat" w:hAnsi="Cambria" w:cs="Montserrat"/>
          <w:sz w:val="16"/>
          <w:szCs w:val="16"/>
        </w:rPr>
        <w:t>ance to</w:t>
      </w:r>
      <w:r w:rsidR="00AA3A3C" w:rsidRPr="008A7BD7">
        <w:rPr>
          <w:rFonts w:ascii="Cambria" w:eastAsia="Montserrat" w:hAnsi="Cambria" w:cs="Montserrat"/>
          <w:sz w:val="16"/>
          <w:szCs w:val="16"/>
        </w:rPr>
        <w:t xml:space="preserve"> resolv</w:t>
      </w:r>
      <w:r w:rsidR="00FE47C7" w:rsidRPr="008A7BD7">
        <w:rPr>
          <w:rFonts w:ascii="Cambria" w:eastAsia="Montserrat" w:hAnsi="Cambria" w:cs="Montserrat"/>
          <w:sz w:val="16"/>
          <w:szCs w:val="16"/>
        </w:rPr>
        <w:t>e</w:t>
      </w:r>
      <w:r w:rsidR="00780A71" w:rsidRPr="008A7BD7">
        <w:rPr>
          <w:rFonts w:ascii="Cambria" w:eastAsia="Montserrat" w:hAnsi="Cambria" w:cs="Montserrat"/>
          <w:sz w:val="16"/>
          <w:szCs w:val="16"/>
        </w:rPr>
        <w:t xml:space="preserve"> conflicts assertively</w:t>
      </w:r>
      <w:r w:rsidR="00AA3A3C" w:rsidRPr="008A7BD7">
        <w:rPr>
          <w:rFonts w:ascii="Cambria" w:eastAsia="Montserrat" w:hAnsi="Cambria" w:cs="Montserrat"/>
          <w:sz w:val="16"/>
          <w:szCs w:val="16"/>
        </w:rPr>
        <w:t xml:space="preserve"> and</w:t>
      </w:r>
      <w:r w:rsidR="00780A71" w:rsidRPr="008A7BD7">
        <w:rPr>
          <w:rFonts w:ascii="Cambria" w:eastAsia="Montserrat" w:hAnsi="Cambria" w:cs="Montserrat"/>
          <w:sz w:val="16"/>
          <w:szCs w:val="16"/>
        </w:rPr>
        <w:t xml:space="preserve"> </w:t>
      </w:r>
      <w:r w:rsidR="00624845" w:rsidRPr="008A7BD7">
        <w:rPr>
          <w:rFonts w:ascii="Cambria" w:eastAsia="Montserrat" w:hAnsi="Cambria" w:cs="Montserrat"/>
          <w:sz w:val="16"/>
          <w:szCs w:val="16"/>
        </w:rPr>
        <w:t>use</w:t>
      </w:r>
      <w:r w:rsidR="00780A71" w:rsidRPr="008A7BD7">
        <w:rPr>
          <w:rFonts w:ascii="Cambria" w:eastAsia="Montserrat" w:hAnsi="Cambria" w:cs="Montserrat"/>
          <w:sz w:val="16"/>
          <w:szCs w:val="16"/>
        </w:rPr>
        <w:t xml:space="preserve"> their free time for activities that </w:t>
      </w:r>
      <w:r w:rsidR="00AA3A3C" w:rsidRPr="008A7BD7">
        <w:rPr>
          <w:rFonts w:ascii="Cambria" w:eastAsia="Montserrat" w:hAnsi="Cambria" w:cs="Montserrat"/>
          <w:sz w:val="16"/>
          <w:szCs w:val="16"/>
        </w:rPr>
        <w:t>allow</w:t>
      </w:r>
      <w:r w:rsidR="00780A71" w:rsidRPr="008A7BD7">
        <w:rPr>
          <w:rFonts w:ascii="Cambria" w:eastAsia="Montserrat" w:hAnsi="Cambria" w:cs="Montserrat"/>
          <w:sz w:val="16"/>
          <w:szCs w:val="16"/>
        </w:rPr>
        <w:t xml:space="preserve"> them </w:t>
      </w:r>
      <w:r w:rsidR="00AA3A3C" w:rsidRPr="008A7BD7">
        <w:rPr>
          <w:rFonts w:ascii="Cambria" w:eastAsia="Montserrat" w:hAnsi="Cambria" w:cs="Montserrat"/>
          <w:sz w:val="16"/>
          <w:szCs w:val="16"/>
        </w:rPr>
        <w:t>to channel the emotions</w:t>
      </w:r>
      <w:r w:rsidR="00624845" w:rsidRPr="008A7BD7">
        <w:rPr>
          <w:rFonts w:ascii="Cambria" w:eastAsia="Montserrat" w:hAnsi="Cambria" w:cs="Montserrat"/>
          <w:sz w:val="16"/>
          <w:szCs w:val="16"/>
        </w:rPr>
        <w:t xml:space="preserve"> they are feeling as a result of </w:t>
      </w:r>
      <w:r w:rsidR="00AA3A3C" w:rsidRPr="008A7BD7">
        <w:rPr>
          <w:rFonts w:ascii="Cambria" w:eastAsia="Montserrat" w:hAnsi="Cambria" w:cs="Montserrat"/>
          <w:sz w:val="16"/>
          <w:szCs w:val="16"/>
        </w:rPr>
        <w:t xml:space="preserve">problems they are going through </w:t>
      </w:r>
      <w:r w:rsidR="00624845" w:rsidRPr="008A7BD7">
        <w:rPr>
          <w:rFonts w:ascii="Cambria" w:eastAsia="Montserrat" w:hAnsi="Cambria" w:cs="Montserrat"/>
          <w:sz w:val="16"/>
          <w:szCs w:val="16"/>
        </w:rPr>
        <w:t>in</w:t>
      </w:r>
      <w:r w:rsidR="00AA3A3C" w:rsidRPr="008A7BD7">
        <w:rPr>
          <w:rFonts w:ascii="Cambria" w:eastAsia="Montserrat" w:hAnsi="Cambria" w:cs="Montserrat"/>
          <w:sz w:val="16"/>
          <w:szCs w:val="16"/>
        </w:rPr>
        <w:t xml:space="preserve"> their environment</w:t>
      </w:r>
      <w:r w:rsidR="00624845" w:rsidRPr="008A7BD7">
        <w:rPr>
          <w:rFonts w:ascii="Cambria" w:eastAsia="Montserrat" w:hAnsi="Cambria" w:cs="Montserrat"/>
          <w:sz w:val="16"/>
          <w:szCs w:val="16"/>
        </w:rPr>
        <w:t>,</w:t>
      </w:r>
      <w:r w:rsidR="00AA3A3C" w:rsidRPr="008A7BD7">
        <w:rPr>
          <w:rFonts w:ascii="Cambria" w:eastAsia="Montserrat" w:hAnsi="Cambria" w:cs="Montserrat"/>
          <w:sz w:val="16"/>
          <w:szCs w:val="16"/>
        </w:rPr>
        <w:t xml:space="preserve"> and thus prevent social risk, </w:t>
      </w:r>
      <w:r w:rsidR="00624845" w:rsidRPr="008A7BD7">
        <w:rPr>
          <w:rFonts w:ascii="Cambria" w:eastAsia="Montserrat" w:hAnsi="Cambria" w:cs="Montserrat"/>
          <w:sz w:val="16"/>
          <w:szCs w:val="16"/>
        </w:rPr>
        <w:t>the</w:t>
      </w:r>
      <w:r w:rsidR="00AA3A3C" w:rsidRPr="008A7BD7">
        <w:rPr>
          <w:rFonts w:ascii="Cambria" w:eastAsia="Montserrat" w:hAnsi="Cambria" w:cs="Montserrat"/>
          <w:sz w:val="16"/>
          <w:szCs w:val="16"/>
        </w:rPr>
        <w:t xml:space="preserve"> reason that has prompted many of them to leave their homes, families, friends,</w:t>
      </w:r>
      <w:r w:rsidR="00034FDB" w:rsidRPr="008A7BD7">
        <w:rPr>
          <w:rFonts w:ascii="Cambria" w:eastAsia="Montserrat" w:hAnsi="Cambria" w:cs="Montserrat"/>
          <w:sz w:val="16"/>
          <w:szCs w:val="16"/>
        </w:rPr>
        <w:t xml:space="preserve"> and everything that was part of their world.” The actions carried out by Casa Joven for the population it </w:t>
      </w:r>
      <w:r w:rsidR="00624845" w:rsidRPr="008A7BD7">
        <w:rPr>
          <w:rFonts w:ascii="Cambria" w:eastAsia="Montserrat" w:hAnsi="Cambria" w:cs="Montserrat"/>
          <w:sz w:val="16"/>
          <w:szCs w:val="16"/>
        </w:rPr>
        <w:t>serves</w:t>
      </w:r>
      <w:r w:rsidR="00034FDB" w:rsidRPr="008A7BD7">
        <w:rPr>
          <w:rFonts w:ascii="Cambria" w:eastAsia="Montserrat" w:hAnsi="Cambria" w:cs="Montserrat"/>
          <w:sz w:val="16"/>
          <w:szCs w:val="16"/>
        </w:rPr>
        <w:t xml:space="preserve"> </w:t>
      </w:r>
      <w:r w:rsidR="004A182E" w:rsidRPr="008A7BD7">
        <w:rPr>
          <w:rFonts w:ascii="Cambria" w:eastAsia="Montserrat" w:hAnsi="Cambria" w:cs="Montserrat"/>
          <w:sz w:val="16"/>
          <w:szCs w:val="16"/>
        </w:rPr>
        <w:t>include</w:t>
      </w:r>
      <w:r w:rsidR="00034FDB" w:rsidRPr="008A7BD7">
        <w:rPr>
          <w:rFonts w:ascii="Cambria" w:eastAsia="Montserrat" w:hAnsi="Cambria" w:cs="Montserrat"/>
          <w:sz w:val="16"/>
          <w:szCs w:val="16"/>
        </w:rPr>
        <w:t>: psychological therapy as a benefit to help them recover from the trauma produced by insecurity and fear</w:t>
      </w:r>
      <w:r w:rsidR="008A314D" w:rsidRPr="008A7BD7">
        <w:rPr>
          <w:rFonts w:ascii="Cambria" w:eastAsia="Montserrat" w:hAnsi="Cambria" w:cs="Montserrat"/>
          <w:sz w:val="16"/>
          <w:szCs w:val="16"/>
        </w:rPr>
        <w:t>,</w:t>
      </w:r>
      <w:r w:rsidR="00034FDB" w:rsidRPr="008A7BD7">
        <w:rPr>
          <w:rFonts w:ascii="Cambria" w:eastAsia="Montserrat" w:hAnsi="Cambria" w:cs="Montserrat"/>
          <w:sz w:val="16"/>
          <w:szCs w:val="16"/>
        </w:rPr>
        <w:t xml:space="preserve"> due to the threat they have suffered and the loss that comes with changes in any aspect of life; </w:t>
      </w:r>
      <w:r w:rsidR="00624845" w:rsidRPr="008A7BD7">
        <w:rPr>
          <w:rFonts w:ascii="Cambria" w:eastAsia="Montserrat" w:hAnsi="Cambria" w:cs="Montserrat"/>
          <w:sz w:val="16"/>
          <w:szCs w:val="16"/>
        </w:rPr>
        <w:t>assistance</w:t>
      </w:r>
      <w:r w:rsidR="00034FDB" w:rsidRPr="008A7BD7">
        <w:rPr>
          <w:rFonts w:ascii="Cambria" w:eastAsia="Montserrat" w:hAnsi="Cambria" w:cs="Montserrat"/>
          <w:sz w:val="16"/>
          <w:szCs w:val="16"/>
        </w:rPr>
        <w:t xml:space="preserve"> </w:t>
      </w:r>
      <w:r w:rsidR="00624845" w:rsidRPr="008A7BD7">
        <w:rPr>
          <w:rFonts w:ascii="Cambria" w:eastAsia="Montserrat" w:hAnsi="Cambria" w:cs="Montserrat"/>
          <w:sz w:val="16"/>
          <w:szCs w:val="16"/>
        </w:rPr>
        <w:t>to</w:t>
      </w:r>
      <w:r w:rsidR="00034FDB" w:rsidRPr="008A7BD7">
        <w:rPr>
          <w:rFonts w:ascii="Cambria" w:eastAsia="Montserrat" w:hAnsi="Cambria" w:cs="Montserrat"/>
          <w:sz w:val="16"/>
          <w:szCs w:val="16"/>
        </w:rPr>
        <w:t xml:space="preserve"> continu</w:t>
      </w:r>
      <w:r w:rsidR="00624845" w:rsidRPr="008A7BD7">
        <w:rPr>
          <w:rFonts w:ascii="Cambria" w:eastAsia="Montserrat" w:hAnsi="Cambria" w:cs="Montserrat"/>
          <w:sz w:val="16"/>
          <w:szCs w:val="16"/>
        </w:rPr>
        <w:t>e</w:t>
      </w:r>
      <w:r w:rsidR="00034FDB" w:rsidRPr="008A7BD7">
        <w:rPr>
          <w:rFonts w:ascii="Cambria" w:eastAsia="Montserrat" w:hAnsi="Cambria" w:cs="Montserrat"/>
          <w:sz w:val="16"/>
          <w:szCs w:val="16"/>
        </w:rPr>
        <w:t xml:space="preserve"> their academic</w:t>
      </w:r>
      <w:r w:rsidR="004A182E" w:rsidRPr="008A7BD7">
        <w:rPr>
          <w:rFonts w:ascii="Cambria" w:eastAsia="Montserrat" w:hAnsi="Cambria" w:cs="Montserrat"/>
          <w:sz w:val="16"/>
          <w:szCs w:val="16"/>
        </w:rPr>
        <w:t xml:space="preserve"> education through distance learning and workshops</w:t>
      </w:r>
      <w:r w:rsidR="008A314D" w:rsidRPr="008A7BD7">
        <w:rPr>
          <w:rFonts w:ascii="Cambria" w:eastAsia="Montserrat" w:hAnsi="Cambria" w:cs="Montserrat"/>
          <w:sz w:val="16"/>
          <w:szCs w:val="16"/>
        </w:rPr>
        <w:t xml:space="preserve"> on topics</w:t>
      </w:r>
      <w:r w:rsidR="004A182E" w:rsidRPr="008A7BD7">
        <w:rPr>
          <w:rFonts w:ascii="Cambria" w:eastAsia="Montserrat" w:hAnsi="Cambria" w:cs="Montserrat"/>
          <w:sz w:val="16"/>
          <w:szCs w:val="16"/>
        </w:rPr>
        <w:t xml:space="preserve"> such as computer skills, to support the beneficiaries’ personal growth</w:t>
      </w:r>
      <w:r w:rsidRPr="008A7BD7">
        <w:rPr>
          <w:rFonts w:ascii="Cambria" w:eastAsia="Montserrat" w:hAnsi="Cambria" w:cs="Montserrat"/>
          <w:sz w:val="16"/>
          <w:szCs w:val="16"/>
        </w:rPr>
        <w:t xml:space="preserve">; </w:t>
      </w:r>
      <w:r w:rsidR="004A182E" w:rsidRPr="008A7BD7">
        <w:rPr>
          <w:rFonts w:ascii="Cambria" w:eastAsia="Montserrat" w:hAnsi="Cambria" w:cs="Montserrat"/>
          <w:sz w:val="16"/>
          <w:szCs w:val="16"/>
        </w:rPr>
        <w:t xml:space="preserve">schooling for the parents through the program </w:t>
      </w:r>
      <w:proofErr w:type="spellStart"/>
      <w:r w:rsidR="004A182E" w:rsidRPr="008A7BD7">
        <w:rPr>
          <w:rFonts w:ascii="Cambria" w:eastAsia="Montserrat" w:hAnsi="Cambria" w:cs="Montserrat"/>
          <w:sz w:val="16"/>
          <w:szCs w:val="16"/>
        </w:rPr>
        <w:t>Educando</w:t>
      </w:r>
      <w:proofErr w:type="spellEnd"/>
      <w:r w:rsidR="004A182E" w:rsidRPr="008A7BD7">
        <w:rPr>
          <w:rFonts w:ascii="Cambria" w:eastAsia="Montserrat" w:hAnsi="Cambria" w:cs="Montserrat"/>
          <w:sz w:val="16"/>
          <w:szCs w:val="16"/>
        </w:rPr>
        <w:t xml:space="preserve"> </w:t>
      </w:r>
      <w:proofErr w:type="spellStart"/>
      <w:r w:rsidR="004A182E" w:rsidRPr="008A7BD7">
        <w:rPr>
          <w:rFonts w:ascii="Cambria" w:eastAsia="Montserrat" w:hAnsi="Cambria" w:cs="Montserrat"/>
          <w:sz w:val="16"/>
          <w:szCs w:val="16"/>
        </w:rPr>
        <w:t>en</w:t>
      </w:r>
      <w:proofErr w:type="spellEnd"/>
      <w:r w:rsidR="004A182E" w:rsidRPr="008A7BD7">
        <w:rPr>
          <w:rFonts w:ascii="Cambria" w:eastAsia="Montserrat" w:hAnsi="Cambria" w:cs="Montserrat"/>
          <w:sz w:val="16"/>
          <w:szCs w:val="16"/>
        </w:rPr>
        <w:t xml:space="preserve"> Familia; and </w:t>
      </w:r>
      <w:r w:rsidR="00D929A9" w:rsidRPr="008A7BD7">
        <w:rPr>
          <w:rFonts w:ascii="Cambria" w:eastAsia="Montserrat" w:hAnsi="Cambria" w:cs="Montserrat"/>
          <w:sz w:val="16"/>
          <w:szCs w:val="16"/>
        </w:rPr>
        <w:t>social</w:t>
      </w:r>
      <w:r w:rsidR="008A314D" w:rsidRPr="008A7BD7">
        <w:rPr>
          <w:rFonts w:ascii="Cambria" w:eastAsia="Montserrat" w:hAnsi="Cambria" w:cs="Montserrat"/>
          <w:sz w:val="16"/>
          <w:szCs w:val="16"/>
        </w:rPr>
        <w:t>-</w:t>
      </w:r>
      <w:r w:rsidR="00D929A9" w:rsidRPr="008A7BD7">
        <w:rPr>
          <w:rFonts w:ascii="Cambria" w:eastAsia="Montserrat" w:hAnsi="Cambria" w:cs="Montserrat"/>
          <w:sz w:val="16"/>
          <w:szCs w:val="16"/>
        </w:rPr>
        <w:t xml:space="preserve">work </w:t>
      </w:r>
      <w:r w:rsidR="004A182E" w:rsidRPr="008A7BD7">
        <w:rPr>
          <w:rFonts w:ascii="Cambria" w:eastAsia="Montserrat" w:hAnsi="Cambria" w:cs="Montserrat"/>
          <w:sz w:val="16"/>
          <w:szCs w:val="16"/>
        </w:rPr>
        <w:t>counseling and support so that they can go back to school, among other</w:t>
      </w:r>
      <w:r w:rsidR="00D929A9" w:rsidRPr="008A7BD7">
        <w:rPr>
          <w:rFonts w:ascii="Cambria" w:eastAsia="Montserrat" w:hAnsi="Cambria" w:cs="Montserrat"/>
          <w:sz w:val="16"/>
          <w:szCs w:val="16"/>
        </w:rPr>
        <w:t xml:space="preserve"> service</w:t>
      </w:r>
      <w:r w:rsidR="004A182E" w:rsidRPr="008A7BD7">
        <w:rPr>
          <w:rFonts w:ascii="Cambria" w:eastAsia="Montserrat" w:hAnsi="Cambria" w:cs="Montserrat"/>
          <w:sz w:val="16"/>
          <w:szCs w:val="16"/>
        </w:rPr>
        <w:t xml:space="preserve">s. </w:t>
      </w:r>
      <w:r w:rsidR="00C71412" w:rsidRPr="008A7BD7">
        <w:rPr>
          <w:rFonts w:ascii="Cambria" w:hAnsi="Cambria"/>
          <w:sz w:val="16"/>
          <w:szCs w:val="16"/>
        </w:rPr>
        <w:t>Response from the State of</w:t>
      </w:r>
      <w:r w:rsidR="00C71412"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C71412" w:rsidRPr="008A7BD7">
        <w:rPr>
          <w:rFonts w:ascii="Cambria" w:hAnsi="Cambria"/>
          <w:sz w:val="16"/>
          <w:szCs w:val="16"/>
        </w:rPr>
        <w:t>OEA</w:t>
      </w:r>
      <w:r w:rsidR="00C71412" w:rsidRPr="008A7BD7">
        <w:rPr>
          <w:rFonts w:ascii="Cambria" w:eastAsia="Cambria" w:hAnsi="Cambria" w:cs="Cambria"/>
          <w:color w:val="000000"/>
          <w:sz w:val="16"/>
          <w:szCs w:val="16"/>
        </w:rPr>
        <w:t>-M4-980-2021, December 22, 2021, pp</w:t>
      </w:r>
      <w:r w:rsidR="00C71412" w:rsidRPr="008A7BD7">
        <w:rPr>
          <w:rFonts w:ascii="Cambria" w:eastAsia="Times New Roman" w:hAnsi="Cambria" w:cs="Tahoma"/>
          <w:color w:val="000000"/>
          <w:sz w:val="16"/>
          <w:szCs w:val="16"/>
          <w:lang w:eastAsia="es-ES_tradnl"/>
        </w:rPr>
        <w:t>. 144</w:t>
      </w:r>
      <w:r w:rsidR="00D929A9" w:rsidRPr="008A7BD7">
        <w:rPr>
          <w:rFonts w:ascii="Cambria" w:eastAsia="Times New Roman" w:hAnsi="Cambria" w:cs="Tahoma"/>
          <w:color w:val="000000"/>
          <w:sz w:val="16"/>
          <w:szCs w:val="16"/>
          <w:lang w:eastAsia="es-ES_tradnl"/>
        </w:rPr>
        <w:t>-</w:t>
      </w:r>
      <w:r w:rsidR="00C71412" w:rsidRPr="008A7BD7">
        <w:rPr>
          <w:rFonts w:ascii="Cambria" w:eastAsia="Times New Roman" w:hAnsi="Cambria" w:cs="Tahoma"/>
          <w:color w:val="000000"/>
          <w:sz w:val="16"/>
          <w:szCs w:val="16"/>
          <w:lang w:eastAsia="es-ES_tradnl"/>
        </w:rPr>
        <w:t>145</w:t>
      </w:r>
      <w:r w:rsidRPr="008A7BD7">
        <w:rPr>
          <w:rFonts w:ascii="Cambria" w:eastAsia="Times New Roman" w:hAnsi="Cambria" w:cs="Tahoma"/>
          <w:color w:val="000000"/>
          <w:sz w:val="16"/>
          <w:szCs w:val="16"/>
          <w:lang w:eastAsia="es-ES_tradnl"/>
        </w:rPr>
        <w:t>.</w:t>
      </w:r>
    </w:p>
  </w:footnote>
  <w:footnote w:id="302">
    <w:p w14:paraId="59F5384C" w14:textId="6EB4A172" w:rsidR="009E52D6" w:rsidRPr="008A7BD7" w:rsidRDefault="009E52D6" w:rsidP="009E52D6">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9D7B6D" w:rsidRPr="008A7BD7">
        <w:rPr>
          <w:rFonts w:ascii="Cambria" w:eastAsia="Cambria" w:hAnsi="Cambria" w:cs="Cambria"/>
          <w:sz w:val="16"/>
          <w:szCs w:val="16"/>
        </w:rPr>
        <w:t>For example</w:t>
      </w:r>
      <w:r w:rsidRPr="008A7BD7">
        <w:rPr>
          <w:rFonts w:ascii="Cambria" w:hAnsi="Cambria"/>
          <w:sz w:val="16"/>
          <w:szCs w:val="16"/>
        </w:rPr>
        <w:t xml:space="preserve">: </w:t>
      </w:r>
      <w:r w:rsidR="009D7B6D" w:rsidRPr="008A7BD7">
        <w:rPr>
          <w:rFonts w:ascii="Cambria" w:hAnsi="Cambria"/>
          <w:sz w:val="16"/>
          <w:szCs w:val="16"/>
        </w:rPr>
        <w:t xml:space="preserve">measures to guarantee care to children and adolescents; </w:t>
      </w:r>
      <w:r w:rsidR="0011588B" w:rsidRPr="008A7BD7">
        <w:rPr>
          <w:rFonts w:ascii="Cambria" w:hAnsi="Cambria"/>
          <w:sz w:val="16"/>
          <w:szCs w:val="16"/>
        </w:rPr>
        <w:t xml:space="preserve">training for </w:t>
      </w:r>
      <w:r w:rsidR="009D7B6D" w:rsidRPr="008A7BD7">
        <w:rPr>
          <w:rFonts w:ascii="Cambria" w:hAnsi="Cambria"/>
          <w:sz w:val="16"/>
          <w:szCs w:val="16"/>
        </w:rPr>
        <w:t xml:space="preserve">personnel </w:t>
      </w:r>
      <w:r w:rsidR="0011588B" w:rsidRPr="008A7BD7">
        <w:rPr>
          <w:rFonts w:ascii="Cambria" w:hAnsi="Cambria"/>
          <w:sz w:val="16"/>
          <w:szCs w:val="16"/>
        </w:rPr>
        <w:t>involved in</w:t>
      </w:r>
      <w:r w:rsidR="009D7B6D" w:rsidRPr="008A7BD7">
        <w:rPr>
          <w:rFonts w:ascii="Cambria" w:hAnsi="Cambria"/>
          <w:sz w:val="16"/>
          <w:szCs w:val="16"/>
        </w:rPr>
        <w:t xml:space="preserve"> direct care; separation of children and adolescents by age and profile in dormitories; comprehensive care that includes health, education, food, clothing, housing, recreation, psychological care; decent spaces in which to provide care</w:t>
      </w:r>
      <w:r w:rsidRPr="008A7BD7">
        <w:rPr>
          <w:rFonts w:ascii="Cambria" w:hAnsi="Cambria"/>
          <w:sz w:val="16"/>
          <w:szCs w:val="16"/>
        </w:rPr>
        <w:t xml:space="preserve">; </w:t>
      </w:r>
      <w:r w:rsidR="009D7B6D" w:rsidRPr="008A7BD7">
        <w:rPr>
          <w:rFonts w:ascii="Cambria" w:hAnsi="Cambria"/>
          <w:sz w:val="16"/>
          <w:szCs w:val="16"/>
        </w:rPr>
        <w:t xml:space="preserve">restoration of the right to health; </w:t>
      </w:r>
      <w:r w:rsidR="00902DE8" w:rsidRPr="008A7BD7">
        <w:rPr>
          <w:rFonts w:ascii="Cambria" w:hAnsi="Cambria"/>
          <w:sz w:val="16"/>
          <w:szCs w:val="16"/>
        </w:rPr>
        <w:t>video calls and visits with family members; the holding of hearings</w:t>
      </w:r>
      <w:r w:rsidRPr="008A7BD7">
        <w:rPr>
          <w:rFonts w:ascii="Cambria" w:hAnsi="Cambria"/>
          <w:sz w:val="16"/>
          <w:szCs w:val="16"/>
        </w:rPr>
        <w:t xml:space="preserve">; </w:t>
      </w:r>
      <w:r w:rsidR="00902DE8" w:rsidRPr="008A7BD7">
        <w:rPr>
          <w:rFonts w:ascii="Cambria" w:hAnsi="Cambria"/>
          <w:sz w:val="16"/>
          <w:szCs w:val="16"/>
        </w:rPr>
        <w:t xml:space="preserve">restoration of the right to identity; and implementation of protocols to prevent </w:t>
      </w:r>
      <w:r w:rsidRPr="008A7BD7">
        <w:rPr>
          <w:rFonts w:ascii="Cambria" w:hAnsi="Cambria"/>
          <w:sz w:val="16"/>
          <w:szCs w:val="16"/>
        </w:rPr>
        <w:t>COVID-19</w:t>
      </w:r>
      <w:r w:rsidR="00902DE8" w:rsidRPr="008A7BD7">
        <w:rPr>
          <w:rFonts w:ascii="Cambria" w:hAnsi="Cambria"/>
          <w:sz w:val="16"/>
          <w:szCs w:val="16"/>
        </w:rPr>
        <w:t xml:space="preserve"> infections</w:t>
      </w:r>
      <w:r w:rsidRPr="008A7BD7">
        <w:rPr>
          <w:rFonts w:ascii="Cambria" w:hAnsi="Cambria"/>
          <w:sz w:val="16"/>
          <w:szCs w:val="16"/>
        </w:rPr>
        <w:t xml:space="preserve">. </w:t>
      </w:r>
      <w:r w:rsidR="00902DE8" w:rsidRPr="008A7BD7">
        <w:rPr>
          <w:rFonts w:ascii="Cambria" w:hAnsi="Cambria"/>
          <w:sz w:val="16"/>
          <w:szCs w:val="16"/>
        </w:rPr>
        <w:t xml:space="preserve">In addition, measures adopted to guarantee the right of children and adolescents to be raised by their family; legal guidance for their families of origin; </w:t>
      </w:r>
      <w:r w:rsidR="00696A94" w:rsidRPr="008A7BD7">
        <w:rPr>
          <w:rFonts w:ascii="Cambria" w:hAnsi="Cambria"/>
          <w:sz w:val="16"/>
          <w:szCs w:val="16"/>
        </w:rPr>
        <w:t xml:space="preserve">the </w:t>
      </w:r>
      <w:r w:rsidR="00902DE8" w:rsidRPr="008A7BD7">
        <w:rPr>
          <w:rFonts w:ascii="Cambria" w:hAnsi="Cambria"/>
          <w:sz w:val="16"/>
          <w:szCs w:val="16"/>
        </w:rPr>
        <w:t>strengthening of family ties; home visits with the families</w:t>
      </w:r>
      <w:r w:rsidRPr="008A7BD7">
        <w:rPr>
          <w:rFonts w:ascii="Cambria" w:hAnsi="Cambria"/>
          <w:sz w:val="16"/>
          <w:szCs w:val="16"/>
        </w:rPr>
        <w:t xml:space="preserve">; </w:t>
      </w:r>
      <w:r w:rsidR="00902DE8" w:rsidRPr="008A7BD7">
        <w:rPr>
          <w:rFonts w:ascii="Cambria" w:hAnsi="Cambria"/>
          <w:sz w:val="16"/>
          <w:szCs w:val="16"/>
        </w:rPr>
        <w:t xml:space="preserve">communication via phone calls and video chats between the children and adolescents and their families; </w:t>
      </w:r>
      <w:r w:rsidR="00696A94" w:rsidRPr="008A7BD7">
        <w:rPr>
          <w:rFonts w:ascii="Cambria" w:hAnsi="Cambria"/>
          <w:sz w:val="16"/>
          <w:szCs w:val="16"/>
        </w:rPr>
        <w:t xml:space="preserve">and </w:t>
      </w:r>
      <w:r w:rsidR="00902DE8" w:rsidRPr="008A7BD7">
        <w:rPr>
          <w:rFonts w:ascii="Cambria" w:hAnsi="Cambria"/>
          <w:sz w:val="16"/>
          <w:szCs w:val="16"/>
        </w:rPr>
        <w:t xml:space="preserve">requests for </w:t>
      </w:r>
      <w:r w:rsidR="00696A94" w:rsidRPr="008A7BD7">
        <w:rPr>
          <w:rFonts w:ascii="Cambria" w:hAnsi="Cambria"/>
          <w:sz w:val="16"/>
          <w:szCs w:val="16"/>
        </w:rPr>
        <w:t>special</w:t>
      </w:r>
      <w:r w:rsidR="00941747" w:rsidRPr="008A7BD7">
        <w:rPr>
          <w:rFonts w:ascii="Cambria" w:hAnsi="Cambria"/>
          <w:sz w:val="16"/>
          <w:szCs w:val="16"/>
        </w:rPr>
        <w:t xml:space="preserve"> </w:t>
      </w:r>
      <w:r w:rsidR="00696A94" w:rsidRPr="008A7BD7">
        <w:rPr>
          <w:rFonts w:ascii="Cambria" w:hAnsi="Cambria"/>
          <w:sz w:val="16"/>
          <w:szCs w:val="16"/>
        </w:rPr>
        <w:t xml:space="preserve">court </w:t>
      </w:r>
      <w:r w:rsidR="00941747" w:rsidRPr="008A7BD7">
        <w:rPr>
          <w:rFonts w:ascii="Cambria" w:hAnsi="Cambria"/>
          <w:sz w:val="16"/>
          <w:szCs w:val="16"/>
        </w:rPr>
        <w:t>hearings</w:t>
      </w:r>
      <w:r w:rsidR="00696A94" w:rsidRPr="008A7BD7">
        <w:rPr>
          <w:rFonts w:ascii="Cambria" w:hAnsi="Cambria"/>
          <w:sz w:val="16"/>
          <w:szCs w:val="16"/>
        </w:rPr>
        <w:t xml:space="preserve"> </w:t>
      </w:r>
      <w:r w:rsidR="00941747" w:rsidRPr="008A7BD7">
        <w:rPr>
          <w:rFonts w:ascii="Cambria" w:hAnsi="Cambria"/>
          <w:sz w:val="16"/>
          <w:szCs w:val="16"/>
        </w:rPr>
        <w:t xml:space="preserve">when a suitable </w:t>
      </w:r>
      <w:r w:rsidR="00696A94" w:rsidRPr="008A7BD7">
        <w:rPr>
          <w:rFonts w:ascii="Cambria" w:hAnsi="Cambria"/>
          <w:sz w:val="16"/>
          <w:szCs w:val="16"/>
        </w:rPr>
        <w:t>remedy</w:t>
      </w:r>
      <w:r w:rsidR="00941747" w:rsidRPr="008A7BD7">
        <w:rPr>
          <w:rFonts w:ascii="Cambria" w:hAnsi="Cambria"/>
          <w:sz w:val="16"/>
          <w:szCs w:val="16"/>
        </w:rPr>
        <w:t xml:space="preserve"> </w:t>
      </w:r>
      <w:r w:rsidR="00696A94" w:rsidRPr="008A7BD7">
        <w:rPr>
          <w:rFonts w:ascii="Cambria" w:hAnsi="Cambria"/>
          <w:sz w:val="16"/>
          <w:szCs w:val="16"/>
        </w:rPr>
        <w:t xml:space="preserve">already exists </w:t>
      </w:r>
      <w:r w:rsidR="00941747" w:rsidRPr="008A7BD7">
        <w:rPr>
          <w:rFonts w:ascii="Cambria" w:hAnsi="Cambria"/>
          <w:sz w:val="16"/>
          <w:szCs w:val="16"/>
        </w:rPr>
        <w:t>for reintegratin</w:t>
      </w:r>
      <w:r w:rsidR="00BA6B98" w:rsidRPr="008A7BD7">
        <w:rPr>
          <w:rFonts w:ascii="Cambria" w:hAnsi="Cambria"/>
          <w:sz w:val="16"/>
          <w:szCs w:val="16"/>
        </w:rPr>
        <w:t>g</w:t>
      </w:r>
      <w:r w:rsidR="00941747" w:rsidRPr="008A7BD7">
        <w:rPr>
          <w:rFonts w:ascii="Cambria" w:hAnsi="Cambria"/>
          <w:sz w:val="16"/>
          <w:szCs w:val="16"/>
        </w:rPr>
        <w:t xml:space="preserve"> </w:t>
      </w:r>
      <w:r w:rsidR="00BA6B98" w:rsidRPr="008A7BD7">
        <w:rPr>
          <w:rFonts w:ascii="Cambria" w:hAnsi="Cambria"/>
          <w:sz w:val="16"/>
          <w:szCs w:val="16"/>
        </w:rPr>
        <w:t>the</w:t>
      </w:r>
      <w:r w:rsidR="00941747" w:rsidRPr="008A7BD7">
        <w:rPr>
          <w:rFonts w:ascii="Cambria" w:hAnsi="Cambria"/>
          <w:sz w:val="16"/>
          <w:szCs w:val="16"/>
        </w:rPr>
        <w:t xml:space="preserve"> children and adolescents</w:t>
      </w:r>
      <w:r w:rsidR="00696A94" w:rsidRPr="008A7BD7">
        <w:rPr>
          <w:rFonts w:ascii="Cambria" w:hAnsi="Cambria"/>
          <w:sz w:val="16"/>
          <w:szCs w:val="16"/>
        </w:rPr>
        <w:t xml:space="preserve"> with their family</w:t>
      </w:r>
      <w:r w:rsidR="00941747" w:rsidRPr="008A7BD7">
        <w:rPr>
          <w:rFonts w:ascii="Cambria" w:hAnsi="Cambria"/>
          <w:sz w:val="16"/>
          <w:szCs w:val="16"/>
        </w:rPr>
        <w:t xml:space="preserve">. </w:t>
      </w:r>
      <w:r w:rsidR="00BA6B98" w:rsidRPr="008A7BD7">
        <w:rPr>
          <w:rFonts w:ascii="Cambria" w:hAnsi="Cambria"/>
          <w:sz w:val="16"/>
          <w:szCs w:val="16"/>
        </w:rPr>
        <w:t>Response from the State of</w:t>
      </w:r>
      <w:r w:rsidR="00BA6B98"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BA6B98" w:rsidRPr="008A7BD7">
        <w:rPr>
          <w:rFonts w:ascii="Cambria" w:hAnsi="Cambria"/>
          <w:sz w:val="16"/>
          <w:szCs w:val="16"/>
        </w:rPr>
        <w:t>OEA</w:t>
      </w:r>
      <w:r w:rsidR="00BA6B98"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p. 148</w:t>
      </w:r>
      <w:r w:rsidR="00E15324"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149.</w:t>
      </w:r>
    </w:p>
  </w:footnote>
  <w:footnote w:id="303">
    <w:p w14:paraId="2F7DAD21" w14:textId="4CF761BC" w:rsidR="009E52D6" w:rsidRPr="008A7BD7" w:rsidRDefault="009E52D6" w:rsidP="009E52D6">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Pr="008A7BD7">
        <w:rPr>
          <w:rFonts w:ascii="Cambria" w:eastAsia="Cambria" w:hAnsi="Cambria" w:cs="Cambria"/>
          <w:sz w:val="16"/>
          <w:szCs w:val="16"/>
        </w:rPr>
        <w:t xml:space="preserve"> </w:t>
      </w:r>
      <w:r w:rsidR="00BA6B98" w:rsidRPr="008A7BD7">
        <w:rPr>
          <w:rFonts w:ascii="Cambria" w:hAnsi="Cambria"/>
          <w:sz w:val="16"/>
          <w:szCs w:val="16"/>
        </w:rPr>
        <w:t>Response from the State of</w:t>
      </w:r>
      <w:r w:rsidR="00BA6B98"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BA6B98" w:rsidRPr="008A7BD7">
        <w:rPr>
          <w:rFonts w:ascii="Cambria" w:hAnsi="Cambria"/>
          <w:sz w:val="16"/>
          <w:szCs w:val="16"/>
        </w:rPr>
        <w:t>OEA</w:t>
      </w:r>
      <w:r w:rsidR="00BA6B98"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p. 150</w:t>
      </w:r>
      <w:r w:rsidR="00E15324"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151.</w:t>
      </w:r>
    </w:p>
  </w:footnote>
  <w:footnote w:id="304">
    <w:p w14:paraId="6B63C052" w14:textId="6D6FBE82" w:rsidR="0028307B" w:rsidRPr="008A7BD7" w:rsidRDefault="0028307B" w:rsidP="0028307B">
      <w:pPr>
        <w:pStyle w:val="FootnoteText"/>
        <w:ind w:firstLine="720"/>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97239D" w:rsidRPr="008A7BD7">
        <w:rPr>
          <w:rFonts w:ascii="Cambria" w:hAnsi="Cambria"/>
          <w:sz w:val="16"/>
          <w:szCs w:val="16"/>
        </w:rPr>
        <w:t xml:space="preserve">World Bank, </w:t>
      </w:r>
      <w:hyperlink r:id="rId307" w:anchor="1" w:history="1">
        <w:r w:rsidR="0097239D" w:rsidRPr="008A7BD7">
          <w:rPr>
            <w:rStyle w:val="Hyperlink"/>
            <w:rFonts w:ascii="Cambria" w:hAnsi="Cambria"/>
            <w:sz w:val="16"/>
            <w:szCs w:val="16"/>
          </w:rPr>
          <w:t>The World Bank in Guatemala: Overview</w:t>
        </w:r>
      </w:hyperlink>
      <w:r w:rsidRPr="008A7BD7">
        <w:rPr>
          <w:rFonts w:ascii="Cambria" w:hAnsi="Cambria"/>
          <w:sz w:val="16"/>
          <w:szCs w:val="16"/>
        </w:rPr>
        <w:t xml:space="preserve">, </w:t>
      </w:r>
      <w:r w:rsidR="0097239D" w:rsidRPr="008A7BD7">
        <w:rPr>
          <w:rFonts w:ascii="Cambria" w:hAnsi="Cambria"/>
          <w:sz w:val="16"/>
          <w:szCs w:val="16"/>
        </w:rPr>
        <w:t xml:space="preserve">visited on November 22, </w:t>
      </w:r>
      <w:r w:rsidRPr="008A7BD7">
        <w:rPr>
          <w:rFonts w:ascii="Cambria" w:hAnsi="Cambria"/>
          <w:sz w:val="16"/>
          <w:szCs w:val="16"/>
        </w:rPr>
        <w:t>2021</w:t>
      </w:r>
      <w:r w:rsidR="0097239D" w:rsidRPr="008A7BD7">
        <w:rPr>
          <w:rFonts w:ascii="Cambria" w:hAnsi="Cambria"/>
          <w:sz w:val="16"/>
          <w:szCs w:val="16"/>
        </w:rPr>
        <w:t>.</w:t>
      </w:r>
    </w:p>
    <w:p w14:paraId="72EC834D" w14:textId="77777777" w:rsidR="00A95F2C" w:rsidRPr="008A7BD7" w:rsidRDefault="00A95F2C" w:rsidP="0028307B">
      <w:pPr>
        <w:pStyle w:val="FootnoteText"/>
        <w:ind w:firstLine="720"/>
        <w:rPr>
          <w:rFonts w:ascii="Cambria" w:hAnsi="Cambria"/>
          <w:sz w:val="16"/>
          <w:szCs w:val="16"/>
        </w:rPr>
      </w:pPr>
    </w:p>
  </w:footnote>
  <w:footnote w:id="305">
    <w:p w14:paraId="6CD5E7E6" w14:textId="6C59AEB3" w:rsidR="0028307B" w:rsidRPr="008A7BD7" w:rsidRDefault="0028307B" w:rsidP="0028307B">
      <w:pPr>
        <w:pStyle w:val="FootnoteText"/>
        <w:ind w:firstLine="720"/>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97239D" w:rsidRPr="008A7BD7">
        <w:rPr>
          <w:rFonts w:ascii="Cambria" w:hAnsi="Cambria"/>
          <w:sz w:val="16"/>
          <w:szCs w:val="16"/>
        </w:rPr>
        <w:t xml:space="preserve">World Bank, </w:t>
      </w:r>
      <w:hyperlink r:id="rId308" w:anchor="1" w:history="1">
        <w:r w:rsidR="0097239D" w:rsidRPr="008A7BD7">
          <w:rPr>
            <w:rStyle w:val="Hyperlink"/>
            <w:rFonts w:ascii="Cambria" w:hAnsi="Cambria"/>
            <w:sz w:val="16"/>
            <w:szCs w:val="16"/>
          </w:rPr>
          <w:t>The World Bank in Guatemala: Overview</w:t>
        </w:r>
      </w:hyperlink>
      <w:r w:rsidR="0097239D" w:rsidRPr="008A7BD7">
        <w:rPr>
          <w:rFonts w:ascii="Cambria" w:hAnsi="Cambria"/>
          <w:sz w:val="16"/>
          <w:szCs w:val="16"/>
        </w:rPr>
        <w:t>, visited on November 22, 2021</w:t>
      </w:r>
      <w:r w:rsidRPr="008A7BD7">
        <w:rPr>
          <w:rFonts w:ascii="Cambria" w:hAnsi="Cambria"/>
          <w:sz w:val="16"/>
          <w:szCs w:val="16"/>
        </w:rPr>
        <w:t xml:space="preserve">. </w:t>
      </w:r>
      <w:r w:rsidR="00061E70" w:rsidRPr="008A7BD7">
        <w:rPr>
          <w:rFonts w:ascii="Cambria" w:hAnsi="Cambria"/>
          <w:sz w:val="16"/>
          <w:szCs w:val="16"/>
        </w:rPr>
        <w:t xml:space="preserve">The World Bank also indicated that chronic childhood malnutrition affects </w:t>
      </w:r>
      <w:r w:rsidRPr="008A7BD7">
        <w:rPr>
          <w:rFonts w:ascii="Cambria" w:hAnsi="Cambria"/>
          <w:sz w:val="16"/>
          <w:szCs w:val="16"/>
        </w:rPr>
        <w:t>47</w:t>
      </w:r>
      <w:r w:rsidR="00061E70" w:rsidRPr="008A7BD7">
        <w:rPr>
          <w:rFonts w:ascii="Cambria" w:hAnsi="Cambria"/>
          <w:sz w:val="16"/>
          <w:szCs w:val="16"/>
        </w:rPr>
        <w:t xml:space="preserve">% of all children under age 5 and </w:t>
      </w:r>
      <w:r w:rsidRPr="008A7BD7">
        <w:rPr>
          <w:rFonts w:ascii="Cambria" w:hAnsi="Cambria"/>
          <w:sz w:val="16"/>
          <w:szCs w:val="16"/>
        </w:rPr>
        <w:t xml:space="preserve">66% </w:t>
      </w:r>
      <w:r w:rsidR="00061E70" w:rsidRPr="008A7BD7">
        <w:rPr>
          <w:rFonts w:ascii="Cambria" w:hAnsi="Cambria"/>
          <w:sz w:val="16"/>
          <w:szCs w:val="16"/>
        </w:rPr>
        <w:t xml:space="preserve">of children in the lowest income quintile. </w:t>
      </w:r>
    </w:p>
  </w:footnote>
  <w:footnote w:id="306">
    <w:p w14:paraId="652E41C9" w14:textId="00BD15ED" w:rsidR="0028307B" w:rsidRPr="008A7BD7" w:rsidRDefault="0028307B" w:rsidP="0028307B">
      <w:pPr>
        <w:pStyle w:val="FootnoteText"/>
        <w:ind w:firstLine="720"/>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061E70" w:rsidRPr="008A7BD7">
        <w:rPr>
          <w:rFonts w:ascii="Cambria" w:hAnsi="Cambria"/>
          <w:sz w:val="16"/>
          <w:szCs w:val="16"/>
        </w:rPr>
        <w:t xml:space="preserve">World Bank, </w:t>
      </w:r>
      <w:hyperlink r:id="rId309" w:anchor="1" w:history="1">
        <w:r w:rsidR="00061E70" w:rsidRPr="008A7BD7">
          <w:rPr>
            <w:rStyle w:val="Hyperlink"/>
            <w:rFonts w:ascii="Cambria" w:hAnsi="Cambria"/>
            <w:sz w:val="16"/>
            <w:szCs w:val="16"/>
          </w:rPr>
          <w:t>The World Bank in Guatemala: Overview</w:t>
        </w:r>
      </w:hyperlink>
      <w:r w:rsidR="00061E70" w:rsidRPr="008A7BD7">
        <w:rPr>
          <w:rFonts w:ascii="Cambria" w:hAnsi="Cambria"/>
          <w:sz w:val="16"/>
          <w:szCs w:val="16"/>
        </w:rPr>
        <w:t>, visited on November 22, 2021.</w:t>
      </w:r>
    </w:p>
    <w:p w14:paraId="70FEC923" w14:textId="77777777" w:rsidR="00A24017" w:rsidRPr="008A7BD7" w:rsidRDefault="00A24017" w:rsidP="0028307B">
      <w:pPr>
        <w:pStyle w:val="FootnoteText"/>
        <w:ind w:firstLine="720"/>
        <w:rPr>
          <w:rFonts w:ascii="Cambria" w:hAnsi="Cambria"/>
          <w:sz w:val="16"/>
          <w:szCs w:val="16"/>
        </w:rPr>
      </w:pPr>
    </w:p>
  </w:footnote>
  <w:footnote w:id="307">
    <w:p w14:paraId="3A9EB721" w14:textId="6BD4F55A" w:rsidR="0028307B" w:rsidRPr="008A7BD7" w:rsidRDefault="0028307B" w:rsidP="0028307B">
      <w:pPr>
        <w:pStyle w:val="FootnoteText"/>
        <w:ind w:firstLine="720"/>
        <w:rPr>
          <w:rStyle w:val="eop"/>
          <w:rFonts w:ascii="Cambria" w:hAnsi="Cambria"/>
          <w:color w:val="000000"/>
          <w:sz w:val="16"/>
          <w:szCs w:val="16"/>
          <w:shd w:val="clear" w:color="auto" w:fill="FFFFFF"/>
          <w:lang w:val="es-419"/>
        </w:rPr>
      </w:pPr>
      <w:r w:rsidRPr="008A7BD7">
        <w:rPr>
          <w:rStyle w:val="FootnoteReference"/>
          <w:rFonts w:ascii="Cambria" w:hAnsi="Cambria"/>
          <w:sz w:val="16"/>
          <w:szCs w:val="16"/>
        </w:rPr>
        <w:footnoteRef/>
      </w:r>
      <w:r w:rsidRPr="008A7BD7">
        <w:rPr>
          <w:rFonts w:ascii="Cambria" w:hAnsi="Cambria"/>
          <w:sz w:val="16"/>
          <w:szCs w:val="16"/>
          <w:lang w:val="es-419"/>
        </w:rPr>
        <w:t xml:space="preserve"> </w:t>
      </w:r>
      <w:r w:rsidRPr="008A7BD7">
        <w:rPr>
          <w:rStyle w:val="normaltextrun"/>
          <w:rFonts w:ascii="Cambria" w:hAnsi="Cambria"/>
          <w:i/>
          <w:iCs/>
          <w:color w:val="000000"/>
          <w:sz w:val="16"/>
          <w:szCs w:val="16"/>
          <w:shd w:val="clear" w:color="auto" w:fill="FFFFFF"/>
          <w:lang w:val="es-ES"/>
        </w:rPr>
        <w:t>Nómada</w:t>
      </w:r>
      <w:r w:rsidR="006F4F83" w:rsidRPr="008A7BD7">
        <w:rPr>
          <w:rStyle w:val="normaltextrun"/>
          <w:rFonts w:ascii="Cambria" w:hAnsi="Cambria"/>
          <w:i/>
          <w:iCs/>
          <w:color w:val="000000"/>
          <w:sz w:val="16"/>
          <w:szCs w:val="16"/>
          <w:shd w:val="clear" w:color="auto" w:fill="FFFFFF"/>
          <w:lang w:val="es-ES"/>
        </w:rPr>
        <w:t>,</w:t>
      </w:r>
      <w:r w:rsidRPr="008A7BD7">
        <w:rPr>
          <w:rStyle w:val="normaltextrun"/>
          <w:rFonts w:ascii="Cambria" w:hAnsi="Cambria"/>
          <w:color w:val="000000"/>
          <w:sz w:val="16"/>
          <w:szCs w:val="16"/>
          <w:shd w:val="clear" w:color="auto" w:fill="FFFFFF"/>
          <w:lang w:val="es-ES"/>
        </w:rPr>
        <w:t> </w:t>
      </w:r>
      <w:hyperlink r:id="rId310" w:tgtFrame="_blank" w:history="1">
        <w:r w:rsidRPr="008A7BD7">
          <w:rPr>
            <w:rStyle w:val="normaltextrun"/>
            <w:rFonts w:ascii="Cambria" w:hAnsi="Cambria" w:cs="Segoe UI"/>
            <w:i/>
            <w:iCs/>
            <w:color w:val="0000FF"/>
            <w:sz w:val="16"/>
            <w:szCs w:val="16"/>
            <w:u w:val="single"/>
            <w:shd w:val="clear" w:color="auto" w:fill="FFFFFF"/>
            <w:lang w:val="es-US"/>
          </w:rPr>
          <w:t>Q9.3 Mil Millones destinados a alimentación habrían terminado en sobornos, según informe</w:t>
        </w:r>
        <w:r w:rsidRPr="008A7BD7">
          <w:rPr>
            <w:rStyle w:val="normaltextrun"/>
            <w:rFonts w:ascii="Cambria" w:hAnsi="Cambria" w:cs="Segoe UI"/>
            <w:color w:val="0000FF"/>
            <w:sz w:val="16"/>
            <w:szCs w:val="16"/>
            <w:u w:val="single"/>
            <w:shd w:val="clear" w:color="auto" w:fill="FFFFFF"/>
            <w:lang w:val="es-US"/>
          </w:rPr>
          <w:t>.</w:t>
        </w:r>
      </w:hyperlink>
      <w:r w:rsidRPr="008A7BD7">
        <w:rPr>
          <w:rStyle w:val="normaltextrun"/>
          <w:rFonts w:ascii="Cambria" w:hAnsi="Cambria"/>
          <w:color w:val="000000"/>
          <w:sz w:val="16"/>
          <w:szCs w:val="16"/>
          <w:shd w:val="clear" w:color="auto" w:fill="FFFFFF"/>
          <w:lang w:val="es-US"/>
        </w:rPr>
        <w:t> </w:t>
      </w:r>
      <w:proofErr w:type="spellStart"/>
      <w:r w:rsidR="006F4F83" w:rsidRPr="008A7BD7">
        <w:rPr>
          <w:rStyle w:val="normaltextrun"/>
          <w:rFonts w:ascii="Cambria" w:hAnsi="Cambria"/>
          <w:color w:val="000000"/>
          <w:sz w:val="16"/>
          <w:szCs w:val="16"/>
          <w:shd w:val="clear" w:color="auto" w:fill="FFFFFF"/>
          <w:lang w:val="es-US"/>
        </w:rPr>
        <w:t>July</w:t>
      </w:r>
      <w:proofErr w:type="spellEnd"/>
      <w:r w:rsidR="006F4F83" w:rsidRPr="008A7BD7">
        <w:rPr>
          <w:rStyle w:val="normaltextrun"/>
          <w:rFonts w:ascii="Cambria" w:hAnsi="Cambria"/>
          <w:color w:val="000000"/>
          <w:sz w:val="16"/>
          <w:szCs w:val="16"/>
          <w:shd w:val="clear" w:color="auto" w:fill="FFFFFF"/>
          <w:lang w:val="es-US"/>
        </w:rPr>
        <w:t xml:space="preserve"> </w:t>
      </w:r>
      <w:r w:rsidRPr="008A7BD7">
        <w:rPr>
          <w:rStyle w:val="normaltextrun"/>
          <w:rFonts w:ascii="Cambria" w:hAnsi="Cambria"/>
          <w:color w:val="000000"/>
          <w:sz w:val="16"/>
          <w:szCs w:val="16"/>
          <w:shd w:val="clear" w:color="auto" w:fill="FFFFFF"/>
          <w:lang w:val="es-US"/>
        </w:rPr>
        <w:t>29</w:t>
      </w:r>
      <w:r w:rsidR="006F4F83" w:rsidRPr="008A7BD7">
        <w:rPr>
          <w:rStyle w:val="normaltextrun"/>
          <w:rFonts w:ascii="Cambria" w:hAnsi="Cambria"/>
          <w:color w:val="000000"/>
          <w:sz w:val="16"/>
          <w:szCs w:val="16"/>
          <w:shd w:val="clear" w:color="auto" w:fill="FFFFFF"/>
          <w:lang w:val="es-US"/>
        </w:rPr>
        <w:t xml:space="preserve">, </w:t>
      </w:r>
      <w:r w:rsidRPr="008A7BD7">
        <w:rPr>
          <w:rStyle w:val="normaltextrun"/>
          <w:rFonts w:ascii="Cambria" w:hAnsi="Cambria"/>
          <w:color w:val="000000"/>
          <w:sz w:val="16"/>
          <w:szCs w:val="16"/>
          <w:shd w:val="clear" w:color="auto" w:fill="FFFFFF"/>
          <w:lang w:val="es-US"/>
        </w:rPr>
        <w:t>2020. </w:t>
      </w:r>
    </w:p>
    <w:p w14:paraId="63D570DC" w14:textId="77777777" w:rsidR="00A24017" w:rsidRPr="008A7BD7" w:rsidRDefault="00A24017" w:rsidP="0028307B">
      <w:pPr>
        <w:pStyle w:val="FootnoteText"/>
        <w:ind w:firstLine="720"/>
        <w:rPr>
          <w:rFonts w:ascii="Cambria" w:hAnsi="Cambria"/>
          <w:sz w:val="16"/>
          <w:szCs w:val="16"/>
          <w:lang w:val="es-419"/>
        </w:rPr>
      </w:pPr>
    </w:p>
  </w:footnote>
  <w:footnote w:id="308">
    <w:p w14:paraId="75E4312C" w14:textId="0E5788CF" w:rsidR="0028307B" w:rsidRPr="008A7BD7" w:rsidRDefault="0028307B" w:rsidP="0028307B">
      <w:pPr>
        <w:pStyle w:val="FootnoteText"/>
        <w:ind w:firstLine="720"/>
        <w:rPr>
          <w:rStyle w:val="eop"/>
          <w:rFonts w:ascii="Cambria" w:hAnsi="Cambria"/>
          <w:color w:val="000000"/>
          <w:sz w:val="16"/>
          <w:szCs w:val="16"/>
          <w:shd w:val="clear" w:color="auto" w:fill="FFFFFF"/>
          <w:lang w:val="es-419"/>
        </w:rPr>
      </w:pPr>
      <w:r w:rsidRPr="008A7BD7">
        <w:rPr>
          <w:rStyle w:val="FootnoteReference"/>
          <w:rFonts w:ascii="Cambria" w:hAnsi="Cambria"/>
          <w:sz w:val="16"/>
          <w:szCs w:val="16"/>
        </w:rPr>
        <w:footnoteRef/>
      </w:r>
      <w:r w:rsidRPr="008A7BD7">
        <w:rPr>
          <w:rFonts w:ascii="Cambria" w:hAnsi="Cambria"/>
          <w:sz w:val="16"/>
          <w:szCs w:val="16"/>
          <w:lang w:val="es-419"/>
        </w:rPr>
        <w:t xml:space="preserve"> </w:t>
      </w:r>
      <w:r w:rsidRPr="008A7BD7">
        <w:rPr>
          <w:rStyle w:val="normaltextrun"/>
          <w:rFonts w:ascii="Cambria" w:hAnsi="Cambria"/>
          <w:color w:val="000000"/>
          <w:sz w:val="16"/>
          <w:szCs w:val="16"/>
          <w:shd w:val="clear" w:color="auto" w:fill="FFFFFF"/>
          <w:lang w:val="es-ES"/>
        </w:rPr>
        <w:t> </w:t>
      </w:r>
      <w:r w:rsidRPr="008A7BD7">
        <w:rPr>
          <w:rStyle w:val="normaltextrun"/>
          <w:rFonts w:ascii="Cambria" w:hAnsi="Cambria"/>
          <w:i/>
          <w:iCs/>
          <w:color w:val="000000"/>
          <w:sz w:val="16"/>
          <w:szCs w:val="16"/>
          <w:shd w:val="clear" w:color="auto" w:fill="FFFFFF"/>
          <w:lang w:val="es-ES"/>
        </w:rPr>
        <w:t>La Hora.gt</w:t>
      </w:r>
      <w:r w:rsidR="001750A8" w:rsidRPr="008A7BD7">
        <w:rPr>
          <w:rStyle w:val="normaltextrun"/>
          <w:rFonts w:ascii="Cambria" w:hAnsi="Cambria"/>
          <w:color w:val="000000"/>
          <w:sz w:val="16"/>
          <w:szCs w:val="16"/>
          <w:shd w:val="clear" w:color="auto" w:fill="FFFFFF"/>
          <w:lang w:val="es-ES"/>
        </w:rPr>
        <w:t>,</w:t>
      </w:r>
      <w:r w:rsidRPr="008A7BD7">
        <w:rPr>
          <w:rStyle w:val="normaltextrun"/>
          <w:rFonts w:ascii="Cambria" w:hAnsi="Cambria"/>
          <w:color w:val="000000"/>
          <w:sz w:val="16"/>
          <w:szCs w:val="16"/>
          <w:shd w:val="clear" w:color="auto" w:fill="FFFFFF"/>
          <w:lang w:val="es-ES"/>
        </w:rPr>
        <w:t> </w:t>
      </w:r>
      <w:hyperlink r:id="rId311" w:tgtFrame="_blank" w:history="1">
        <w:r w:rsidRPr="008A7BD7">
          <w:rPr>
            <w:rStyle w:val="normaltextrun"/>
            <w:rFonts w:ascii="Cambria" w:hAnsi="Cambria" w:cs="Segoe UI"/>
            <w:color w:val="0000FF"/>
            <w:sz w:val="16"/>
            <w:szCs w:val="16"/>
            <w:u w:val="single"/>
            <w:shd w:val="clear" w:color="auto" w:fill="FFFFFF"/>
            <w:lang w:val="es-ES"/>
          </w:rPr>
          <w:t>Expertos por estudio sobre talla baja en GT: niñez es víctima de la corrupción</w:t>
        </w:r>
      </w:hyperlink>
      <w:r w:rsidR="001750A8" w:rsidRPr="008A7BD7">
        <w:rPr>
          <w:rStyle w:val="normaltextrun"/>
          <w:rFonts w:ascii="Cambria" w:hAnsi="Cambria"/>
          <w:color w:val="000000"/>
          <w:sz w:val="16"/>
          <w:szCs w:val="16"/>
          <w:shd w:val="clear" w:color="auto" w:fill="FFFFFF"/>
          <w:lang w:val="es-ES"/>
        </w:rPr>
        <w:t>,</w:t>
      </w:r>
      <w:r w:rsidRPr="008A7BD7">
        <w:rPr>
          <w:rStyle w:val="normaltextrun"/>
          <w:rFonts w:ascii="Cambria" w:hAnsi="Cambria"/>
          <w:color w:val="000000"/>
          <w:sz w:val="16"/>
          <w:szCs w:val="16"/>
          <w:shd w:val="clear" w:color="auto" w:fill="FFFFFF"/>
          <w:lang w:val="es-ES"/>
        </w:rPr>
        <w:t xml:space="preserve"> </w:t>
      </w:r>
      <w:proofErr w:type="spellStart"/>
      <w:r w:rsidR="001750A8" w:rsidRPr="008A7BD7">
        <w:rPr>
          <w:rStyle w:val="normaltextrun"/>
          <w:rFonts w:ascii="Cambria" w:hAnsi="Cambria"/>
          <w:color w:val="000000"/>
          <w:sz w:val="16"/>
          <w:szCs w:val="16"/>
          <w:shd w:val="clear" w:color="auto" w:fill="FFFFFF"/>
          <w:lang w:val="es-ES"/>
        </w:rPr>
        <w:t>December</w:t>
      </w:r>
      <w:proofErr w:type="spellEnd"/>
      <w:r w:rsidR="001750A8" w:rsidRPr="008A7BD7">
        <w:rPr>
          <w:rStyle w:val="normaltextrun"/>
          <w:rFonts w:ascii="Cambria" w:hAnsi="Cambria"/>
          <w:color w:val="000000"/>
          <w:sz w:val="16"/>
          <w:szCs w:val="16"/>
          <w:shd w:val="clear" w:color="auto" w:fill="FFFFFF"/>
          <w:lang w:val="es-ES"/>
        </w:rPr>
        <w:t xml:space="preserve"> </w:t>
      </w:r>
      <w:r w:rsidRPr="008A7BD7">
        <w:rPr>
          <w:rStyle w:val="normaltextrun"/>
          <w:rFonts w:ascii="Cambria" w:hAnsi="Cambria"/>
          <w:color w:val="000000"/>
          <w:sz w:val="16"/>
          <w:szCs w:val="16"/>
          <w:shd w:val="clear" w:color="auto" w:fill="FFFFFF"/>
          <w:lang w:val="es-ES"/>
        </w:rPr>
        <w:t>10</w:t>
      </w:r>
      <w:r w:rsidR="001750A8" w:rsidRPr="008A7BD7">
        <w:rPr>
          <w:rStyle w:val="normaltextrun"/>
          <w:rFonts w:ascii="Cambria" w:hAnsi="Cambria"/>
          <w:color w:val="000000"/>
          <w:sz w:val="16"/>
          <w:szCs w:val="16"/>
          <w:shd w:val="clear" w:color="auto" w:fill="FFFFFF"/>
          <w:lang w:val="es-ES"/>
        </w:rPr>
        <w:t xml:space="preserve">, </w:t>
      </w:r>
      <w:r w:rsidRPr="008A7BD7">
        <w:rPr>
          <w:rStyle w:val="normaltextrun"/>
          <w:rFonts w:ascii="Cambria" w:hAnsi="Cambria"/>
          <w:color w:val="000000"/>
          <w:sz w:val="16"/>
          <w:szCs w:val="16"/>
          <w:shd w:val="clear" w:color="auto" w:fill="FFFFFF"/>
          <w:lang w:val="es-ES"/>
        </w:rPr>
        <w:t>2020.</w:t>
      </w:r>
      <w:r w:rsidRPr="008A7BD7">
        <w:rPr>
          <w:rStyle w:val="eop"/>
          <w:rFonts w:ascii="Cambria" w:hAnsi="Cambria"/>
          <w:color w:val="000000"/>
          <w:sz w:val="16"/>
          <w:szCs w:val="16"/>
          <w:shd w:val="clear" w:color="auto" w:fill="FFFFFF"/>
          <w:lang w:val="es-419"/>
        </w:rPr>
        <w:t> </w:t>
      </w:r>
    </w:p>
    <w:p w14:paraId="4F281B5B" w14:textId="77777777" w:rsidR="00A24017" w:rsidRPr="008A7BD7" w:rsidRDefault="00A24017" w:rsidP="0028307B">
      <w:pPr>
        <w:pStyle w:val="FootnoteText"/>
        <w:ind w:firstLine="720"/>
        <w:rPr>
          <w:rFonts w:ascii="Cambria" w:hAnsi="Cambria"/>
          <w:sz w:val="16"/>
          <w:szCs w:val="16"/>
          <w:lang w:val="es-419"/>
        </w:rPr>
      </w:pPr>
    </w:p>
  </w:footnote>
  <w:footnote w:id="309">
    <w:p w14:paraId="4E3F4A10" w14:textId="50AE47B3" w:rsidR="0028307B" w:rsidRPr="008A7BD7" w:rsidRDefault="0028307B" w:rsidP="0028307B">
      <w:pPr>
        <w:pStyle w:val="FootnoteText"/>
        <w:ind w:firstLine="720"/>
        <w:rPr>
          <w:rStyle w:val="eop"/>
          <w:rFonts w:ascii="Cambria" w:hAnsi="Cambria"/>
          <w:color w:val="000000"/>
          <w:sz w:val="16"/>
          <w:szCs w:val="16"/>
          <w:shd w:val="clear" w:color="auto" w:fill="FFFFFF"/>
          <w:lang w:val="es-CO"/>
        </w:rPr>
      </w:pPr>
      <w:r w:rsidRPr="008A7BD7">
        <w:rPr>
          <w:rStyle w:val="FootnoteReference"/>
          <w:rFonts w:ascii="Cambria" w:hAnsi="Cambria"/>
          <w:sz w:val="16"/>
          <w:szCs w:val="16"/>
        </w:rPr>
        <w:footnoteRef/>
      </w:r>
      <w:r w:rsidRPr="008A7BD7">
        <w:rPr>
          <w:rFonts w:ascii="Cambria" w:hAnsi="Cambria"/>
          <w:sz w:val="16"/>
          <w:szCs w:val="16"/>
        </w:rPr>
        <w:t xml:space="preserve"> </w:t>
      </w:r>
      <w:r w:rsidR="005117AC" w:rsidRPr="008A7BD7">
        <w:rPr>
          <w:rStyle w:val="normaltextrun"/>
          <w:rFonts w:ascii="Cambria" w:hAnsi="Cambria"/>
          <w:color w:val="000000"/>
          <w:sz w:val="16"/>
          <w:szCs w:val="16"/>
          <w:shd w:val="clear" w:color="auto" w:fill="FFFFFF"/>
        </w:rPr>
        <w:t xml:space="preserve">IACHR, </w:t>
      </w:r>
      <w:hyperlink r:id="rId312" w:history="1">
        <w:r w:rsidR="00784DA2" w:rsidRPr="008A7BD7">
          <w:rPr>
            <w:rStyle w:val="Hyperlink"/>
            <w:rFonts w:ascii="Cambria" w:hAnsi="Cambria"/>
            <w:sz w:val="16"/>
            <w:szCs w:val="16"/>
            <w:shd w:val="clear" w:color="auto" w:fill="FFFFFF"/>
          </w:rPr>
          <w:t>Situation of Human Rights in Guatemala: Diversity, Inequality and Exclusion</w:t>
        </w:r>
      </w:hyperlink>
      <w:r w:rsidR="00784DA2" w:rsidRPr="008A7BD7">
        <w:rPr>
          <w:rStyle w:val="normaltextrun"/>
          <w:rFonts w:ascii="Cambria" w:hAnsi="Cambria"/>
          <w:color w:val="000000"/>
          <w:sz w:val="16"/>
          <w:szCs w:val="16"/>
          <w:shd w:val="clear" w:color="auto" w:fill="FFFFFF"/>
        </w:rPr>
        <w:t>, OEA/</w:t>
      </w:r>
      <w:proofErr w:type="spellStart"/>
      <w:r w:rsidR="00784DA2" w:rsidRPr="008A7BD7">
        <w:rPr>
          <w:rStyle w:val="normaltextrun"/>
          <w:rFonts w:ascii="Cambria" w:hAnsi="Cambria"/>
          <w:color w:val="000000"/>
          <w:sz w:val="16"/>
          <w:szCs w:val="16"/>
          <w:shd w:val="clear" w:color="auto" w:fill="FFFFFF"/>
        </w:rPr>
        <w:t>Ser.L</w:t>
      </w:r>
      <w:proofErr w:type="spellEnd"/>
      <w:r w:rsidR="00784DA2" w:rsidRPr="008A7BD7">
        <w:rPr>
          <w:rStyle w:val="normaltextrun"/>
          <w:rFonts w:ascii="Cambria" w:hAnsi="Cambria"/>
          <w:color w:val="000000"/>
          <w:sz w:val="16"/>
          <w:szCs w:val="16"/>
          <w:shd w:val="clear" w:color="auto" w:fill="FFFFFF"/>
        </w:rPr>
        <w:t xml:space="preserve">/V/II. </w:t>
      </w:r>
      <w:proofErr w:type="spellStart"/>
      <w:r w:rsidR="00784DA2" w:rsidRPr="008A7BD7">
        <w:rPr>
          <w:rStyle w:val="normaltextrun"/>
          <w:rFonts w:ascii="Cambria" w:hAnsi="Cambria"/>
          <w:color w:val="000000"/>
          <w:sz w:val="16"/>
          <w:szCs w:val="16"/>
          <w:shd w:val="clear" w:color="auto" w:fill="FFFFFF"/>
          <w:lang w:val="es-CO"/>
        </w:rPr>
        <w:t>Doc</w:t>
      </w:r>
      <w:proofErr w:type="spellEnd"/>
      <w:r w:rsidR="00784DA2" w:rsidRPr="008A7BD7">
        <w:rPr>
          <w:rStyle w:val="normaltextrun"/>
          <w:rFonts w:ascii="Cambria" w:hAnsi="Cambria"/>
          <w:color w:val="000000"/>
          <w:sz w:val="16"/>
          <w:szCs w:val="16"/>
          <w:shd w:val="clear" w:color="auto" w:fill="FFFFFF"/>
          <w:lang w:val="es-CO"/>
        </w:rPr>
        <w:t xml:space="preserve"> 43/15, </w:t>
      </w:r>
      <w:proofErr w:type="spellStart"/>
      <w:r w:rsidR="00784DA2" w:rsidRPr="008A7BD7">
        <w:rPr>
          <w:rStyle w:val="normaltextrun"/>
          <w:rFonts w:ascii="Cambria" w:hAnsi="Cambria"/>
          <w:color w:val="000000"/>
          <w:sz w:val="16"/>
          <w:szCs w:val="16"/>
          <w:shd w:val="clear" w:color="auto" w:fill="FFFFFF"/>
          <w:lang w:val="es-CO"/>
        </w:rPr>
        <w:t>D</w:t>
      </w:r>
      <w:r w:rsidR="00A24017" w:rsidRPr="008A7BD7">
        <w:rPr>
          <w:rStyle w:val="normaltextrun"/>
          <w:rFonts w:ascii="Cambria" w:hAnsi="Cambria"/>
          <w:color w:val="000000"/>
          <w:sz w:val="16"/>
          <w:szCs w:val="16"/>
          <w:shd w:val="clear" w:color="auto" w:fill="FFFFFF"/>
          <w:lang w:val="es-CO"/>
        </w:rPr>
        <w:t>e</w:t>
      </w:r>
      <w:r w:rsidR="00784DA2" w:rsidRPr="008A7BD7">
        <w:rPr>
          <w:rStyle w:val="normaltextrun"/>
          <w:rFonts w:ascii="Cambria" w:hAnsi="Cambria"/>
          <w:color w:val="000000"/>
          <w:sz w:val="16"/>
          <w:szCs w:val="16"/>
          <w:shd w:val="clear" w:color="auto" w:fill="FFFFFF"/>
          <w:lang w:val="es-CO"/>
        </w:rPr>
        <w:t>cember</w:t>
      </w:r>
      <w:proofErr w:type="spellEnd"/>
      <w:r w:rsidR="00784DA2" w:rsidRPr="008A7BD7">
        <w:rPr>
          <w:rStyle w:val="normaltextrun"/>
          <w:rFonts w:ascii="Cambria" w:hAnsi="Cambria"/>
          <w:color w:val="000000"/>
          <w:sz w:val="16"/>
          <w:szCs w:val="16"/>
          <w:shd w:val="clear" w:color="auto" w:fill="FFFFFF"/>
          <w:lang w:val="es-CO"/>
        </w:rPr>
        <w:t xml:space="preserve"> 31, 2015, par.</w:t>
      </w:r>
      <w:r w:rsidR="00784DA2" w:rsidRPr="008A7BD7">
        <w:rPr>
          <w:lang w:val="es-CO"/>
        </w:rPr>
        <w:t xml:space="preserve"> </w:t>
      </w:r>
      <w:r w:rsidRPr="008A7BD7">
        <w:rPr>
          <w:rStyle w:val="normaltextrun"/>
          <w:rFonts w:ascii="Cambria" w:hAnsi="Cambria"/>
          <w:color w:val="000000"/>
          <w:sz w:val="16"/>
          <w:szCs w:val="16"/>
          <w:shd w:val="clear" w:color="auto" w:fill="FFFFFF"/>
          <w:lang w:val="es-CO"/>
        </w:rPr>
        <w:t>83.</w:t>
      </w:r>
      <w:r w:rsidRPr="008A7BD7">
        <w:rPr>
          <w:rStyle w:val="eop"/>
          <w:rFonts w:ascii="Cambria" w:hAnsi="Cambria"/>
          <w:color w:val="000000"/>
          <w:sz w:val="16"/>
          <w:szCs w:val="16"/>
          <w:shd w:val="clear" w:color="auto" w:fill="FFFFFF"/>
          <w:lang w:val="es-CO"/>
        </w:rPr>
        <w:t> </w:t>
      </w:r>
    </w:p>
    <w:p w14:paraId="67B0B10E" w14:textId="77777777" w:rsidR="00CA593D" w:rsidRPr="008A7BD7" w:rsidRDefault="00CA593D" w:rsidP="0028307B">
      <w:pPr>
        <w:pStyle w:val="FootnoteText"/>
        <w:ind w:firstLine="720"/>
        <w:rPr>
          <w:rFonts w:ascii="Cambria" w:hAnsi="Cambria"/>
          <w:sz w:val="16"/>
          <w:szCs w:val="16"/>
          <w:lang w:val="es-CO"/>
        </w:rPr>
      </w:pPr>
    </w:p>
  </w:footnote>
  <w:footnote w:id="310">
    <w:p w14:paraId="6D0922FF" w14:textId="55E70803" w:rsidR="0028307B" w:rsidRPr="008A7BD7" w:rsidRDefault="0028307B" w:rsidP="0028307B">
      <w:pPr>
        <w:pStyle w:val="FootnoteText"/>
        <w:ind w:firstLine="720"/>
        <w:rPr>
          <w:sz w:val="16"/>
          <w:szCs w:val="16"/>
          <w:lang w:val="es-419"/>
        </w:rPr>
      </w:pPr>
      <w:r w:rsidRPr="008A7BD7">
        <w:rPr>
          <w:rStyle w:val="FootnoteReference"/>
          <w:sz w:val="16"/>
          <w:szCs w:val="16"/>
        </w:rPr>
        <w:footnoteRef/>
      </w:r>
      <w:r w:rsidRPr="008A7BD7">
        <w:rPr>
          <w:sz w:val="16"/>
          <w:szCs w:val="16"/>
          <w:lang w:val="es-419"/>
        </w:rPr>
        <w:t xml:space="preserve"> </w:t>
      </w:r>
      <w:r w:rsidR="00CA593D" w:rsidRPr="008A7BD7">
        <w:rPr>
          <w:rStyle w:val="normaltextrun"/>
          <w:rFonts w:ascii="Cambria" w:hAnsi="Cambria"/>
          <w:color w:val="000000"/>
          <w:sz w:val="16"/>
          <w:szCs w:val="16"/>
          <w:shd w:val="clear" w:color="auto" w:fill="FFFFFF"/>
          <w:lang w:val="es-PE"/>
        </w:rPr>
        <w:t xml:space="preserve">IACHR, </w:t>
      </w:r>
      <w:proofErr w:type="spellStart"/>
      <w:r w:rsidR="00CA593D" w:rsidRPr="008A7BD7">
        <w:rPr>
          <w:rStyle w:val="normaltextrun"/>
          <w:rFonts w:ascii="Cambria" w:hAnsi="Cambria"/>
          <w:color w:val="000000"/>
          <w:sz w:val="16"/>
          <w:szCs w:val="16"/>
          <w:shd w:val="clear" w:color="auto" w:fill="FFFFFF"/>
          <w:lang w:val="es-PE"/>
        </w:rPr>
        <w:t>Press</w:t>
      </w:r>
      <w:proofErr w:type="spellEnd"/>
      <w:r w:rsidR="00CA593D" w:rsidRPr="008A7BD7">
        <w:rPr>
          <w:rStyle w:val="normaltextrun"/>
          <w:rFonts w:ascii="Cambria" w:hAnsi="Cambria"/>
          <w:color w:val="000000"/>
          <w:sz w:val="16"/>
          <w:szCs w:val="16"/>
          <w:shd w:val="clear" w:color="auto" w:fill="FFFFFF"/>
          <w:lang w:val="es-PE"/>
        </w:rPr>
        <w:t xml:space="preserve"> </w:t>
      </w:r>
      <w:proofErr w:type="spellStart"/>
      <w:r w:rsidR="00CA593D" w:rsidRPr="008A7BD7">
        <w:rPr>
          <w:rStyle w:val="normaltextrun"/>
          <w:rFonts w:ascii="Cambria" w:hAnsi="Cambria"/>
          <w:color w:val="000000"/>
          <w:sz w:val="16"/>
          <w:szCs w:val="16"/>
          <w:shd w:val="clear" w:color="auto" w:fill="FFFFFF"/>
          <w:lang w:val="es-PE"/>
        </w:rPr>
        <w:t>Release</w:t>
      </w:r>
      <w:proofErr w:type="spellEnd"/>
      <w:r w:rsidR="00CA593D" w:rsidRPr="008A7BD7">
        <w:rPr>
          <w:rStyle w:val="normaltextrun"/>
          <w:rFonts w:ascii="Cambria" w:hAnsi="Cambria"/>
          <w:color w:val="000000"/>
          <w:sz w:val="16"/>
          <w:szCs w:val="16"/>
          <w:shd w:val="clear" w:color="auto" w:fill="FFFFFF"/>
          <w:lang w:val="es-PE"/>
        </w:rPr>
        <w:t> </w:t>
      </w:r>
      <w:r w:rsidR="00CA593D" w:rsidRPr="008A7BD7">
        <w:rPr>
          <w:rStyle w:val="normaltextrun"/>
          <w:rFonts w:ascii="Cambria" w:hAnsi="Cambria" w:cs="Segoe UI"/>
          <w:color w:val="0000FF"/>
          <w:sz w:val="16"/>
          <w:szCs w:val="16"/>
          <w:u w:val="single"/>
          <w:shd w:val="clear" w:color="auto" w:fill="FFFFFF"/>
          <w:lang w:val="es-ES"/>
        </w:rPr>
        <w:t xml:space="preserve">293/21 - La CIDH condena el uso excesivo de la fuerza y la represión en contra de pueblos indígenas mayas </w:t>
      </w:r>
      <w:proofErr w:type="spellStart"/>
      <w:r w:rsidR="00CA593D" w:rsidRPr="008A7BD7">
        <w:rPr>
          <w:rStyle w:val="normaltextrun"/>
          <w:rFonts w:ascii="Cambria" w:hAnsi="Cambria" w:cs="Segoe UI"/>
          <w:color w:val="0000FF"/>
          <w:sz w:val="16"/>
          <w:szCs w:val="16"/>
          <w:u w:val="single"/>
          <w:shd w:val="clear" w:color="auto" w:fill="FFFFFF"/>
          <w:lang w:val="es-ES"/>
        </w:rPr>
        <w:t>q'eqchi</w:t>
      </w:r>
      <w:proofErr w:type="spellEnd"/>
      <w:r w:rsidR="00CA593D" w:rsidRPr="008A7BD7">
        <w:rPr>
          <w:rStyle w:val="normaltextrun"/>
          <w:rFonts w:ascii="Cambria" w:hAnsi="Cambria" w:cs="Segoe UI"/>
          <w:color w:val="0000FF"/>
          <w:sz w:val="16"/>
          <w:szCs w:val="16"/>
          <w:u w:val="single"/>
          <w:shd w:val="clear" w:color="auto" w:fill="FFFFFF"/>
          <w:lang w:val="es-ES"/>
        </w:rPr>
        <w:t>', periodistas y medios de comunicación en El Estor, Guatemala,</w:t>
      </w:r>
      <w:r w:rsidR="00CA593D" w:rsidRPr="008A7BD7">
        <w:rPr>
          <w:rStyle w:val="scxw214844039"/>
          <w:rFonts w:ascii="Cambria" w:hAnsi="Cambria" w:cs="Segoe UI"/>
          <w:color w:val="0000FF"/>
          <w:sz w:val="16"/>
          <w:szCs w:val="16"/>
          <w:shd w:val="clear" w:color="auto" w:fill="FFFFFF"/>
          <w:lang w:val="es-419"/>
        </w:rPr>
        <w:t> </w:t>
      </w:r>
      <w:proofErr w:type="spellStart"/>
      <w:r w:rsidR="00CA593D" w:rsidRPr="008A7BD7">
        <w:rPr>
          <w:rStyle w:val="normaltextrun"/>
          <w:rFonts w:ascii="Cambria" w:hAnsi="Cambria"/>
          <w:color w:val="000000"/>
          <w:sz w:val="16"/>
          <w:szCs w:val="16"/>
          <w:shd w:val="clear" w:color="auto" w:fill="FFFFFF"/>
          <w:lang w:val="es-ES"/>
        </w:rPr>
        <w:t>November</w:t>
      </w:r>
      <w:proofErr w:type="spellEnd"/>
      <w:r w:rsidR="00CA593D" w:rsidRPr="008A7BD7">
        <w:rPr>
          <w:rStyle w:val="normaltextrun"/>
          <w:rFonts w:ascii="Cambria" w:hAnsi="Cambria"/>
          <w:color w:val="000000"/>
          <w:sz w:val="16"/>
          <w:szCs w:val="16"/>
          <w:shd w:val="clear" w:color="auto" w:fill="FFFFFF"/>
          <w:lang w:val="es-ES"/>
        </w:rPr>
        <w:t xml:space="preserve"> 4, 2021.</w:t>
      </w:r>
    </w:p>
  </w:footnote>
  <w:footnote w:id="311">
    <w:p w14:paraId="180B3E0F" w14:textId="77777777" w:rsidR="00CA593D" w:rsidRPr="008A7BD7" w:rsidRDefault="00CA593D" w:rsidP="0028307B">
      <w:pPr>
        <w:pStyle w:val="FootnoteText"/>
        <w:ind w:firstLine="720"/>
        <w:rPr>
          <w:sz w:val="16"/>
          <w:szCs w:val="16"/>
          <w:lang w:val="es-419"/>
        </w:rPr>
      </w:pPr>
    </w:p>
    <w:p w14:paraId="12909304" w14:textId="008561F2" w:rsidR="0028307B" w:rsidRPr="008A7BD7" w:rsidRDefault="0028307B" w:rsidP="0028307B">
      <w:pPr>
        <w:pStyle w:val="FootnoteText"/>
        <w:ind w:firstLine="720"/>
        <w:rPr>
          <w:sz w:val="16"/>
          <w:szCs w:val="16"/>
          <w:lang w:val="es-419"/>
        </w:rPr>
      </w:pPr>
      <w:r w:rsidRPr="008A7BD7">
        <w:rPr>
          <w:rStyle w:val="FootnoteReference"/>
          <w:sz w:val="16"/>
          <w:szCs w:val="16"/>
        </w:rPr>
        <w:footnoteRef/>
      </w:r>
      <w:r w:rsidRPr="008A7BD7">
        <w:rPr>
          <w:sz w:val="16"/>
          <w:szCs w:val="16"/>
          <w:lang w:val="es-419"/>
        </w:rPr>
        <w:t xml:space="preserve"> </w:t>
      </w:r>
      <w:r w:rsidRPr="008A7BD7">
        <w:rPr>
          <w:rStyle w:val="normaltextrun"/>
          <w:rFonts w:ascii="Cambria" w:hAnsi="Cambria"/>
          <w:i/>
          <w:iCs/>
          <w:color w:val="000000"/>
          <w:sz w:val="16"/>
          <w:szCs w:val="16"/>
          <w:shd w:val="clear" w:color="auto" w:fill="FFFFFF"/>
          <w:lang w:val="es-ES"/>
        </w:rPr>
        <w:t>ElPaís.</w:t>
      </w:r>
      <w:r w:rsidR="00263331" w:rsidRPr="008A7BD7">
        <w:rPr>
          <w:rStyle w:val="normaltextrun"/>
          <w:rFonts w:ascii="Cambria" w:hAnsi="Cambria"/>
          <w:i/>
          <w:iCs/>
          <w:color w:val="000000"/>
          <w:sz w:val="16"/>
          <w:szCs w:val="16"/>
          <w:shd w:val="clear" w:color="auto" w:fill="FFFFFF"/>
          <w:lang w:val="es-ES"/>
        </w:rPr>
        <w:t>cr</w:t>
      </w:r>
      <w:r w:rsidR="00263331" w:rsidRPr="008A7BD7">
        <w:rPr>
          <w:rStyle w:val="normaltextrun"/>
          <w:rFonts w:ascii="Cambria" w:hAnsi="Cambria"/>
          <w:color w:val="000000"/>
          <w:sz w:val="16"/>
          <w:szCs w:val="16"/>
          <w:shd w:val="clear" w:color="auto" w:fill="FFFFFF"/>
          <w:lang w:val="es-ES"/>
        </w:rPr>
        <w:t>,</w:t>
      </w:r>
      <w:r w:rsidRPr="008A7BD7">
        <w:rPr>
          <w:rStyle w:val="normaltextrun"/>
          <w:rFonts w:ascii="Cambria" w:hAnsi="Cambria"/>
          <w:color w:val="000000"/>
          <w:sz w:val="16"/>
          <w:szCs w:val="16"/>
          <w:shd w:val="clear" w:color="auto" w:fill="FFFFFF"/>
          <w:lang w:val="es-ES"/>
        </w:rPr>
        <w:t> </w:t>
      </w:r>
      <w:hyperlink r:id="rId313" w:tgtFrame="_blank" w:history="1">
        <w:r w:rsidRPr="008A7BD7">
          <w:rPr>
            <w:rStyle w:val="normaltextrun"/>
            <w:rFonts w:ascii="Cambria" w:hAnsi="Cambria" w:cs="Segoe UI"/>
            <w:i/>
            <w:iCs/>
            <w:color w:val="0000FF"/>
            <w:sz w:val="16"/>
            <w:szCs w:val="16"/>
            <w:u w:val="single"/>
            <w:shd w:val="clear" w:color="auto" w:fill="FFFFFF"/>
            <w:lang w:val="es-ES"/>
          </w:rPr>
          <w:t xml:space="preserve">Peligra resistencia </w:t>
        </w:r>
        <w:proofErr w:type="spellStart"/>
        <w:r w:rsidRPr="008A7BD7">
          <w:rPr>
            <w:rStyle w:val="normaltextrun"/>
            <w:rFonts w:ascii="Cambria" w:hAnsi="Cambria" w:cs="Segoe UI"/>
            <w:i/>
            <w:iCs/>
            <w:color w:val="0000FF"/>
            <w:sz w:val="16"/>
            <w:szCs w:val="16"/>
            <w:u w:val="single"/>
            <w:shd w:val="clear" w:color="auto" w:fill="FFFFFF"/>
            <w:lang w:val="es-ES"/>
          </w:rPr>
          <w:t>q’eqchi</w:t>
        </w:r>
        <w:proofErr w:type="spellEnd"/>
        <w:r w:rsidRPr="008A7BD7">
          <w:rPr>
            <w:rStyle w:val="normaltextrun"/>
            <w:rFonts w:ascii="Cambria" w:hAnsi="Cambria" w:cs="Segoe UI"/>
            <w:i/>
            <w:iCs/>
            <w:color w:val="0000FF"/>
            <w:sz w:val="16"/>
            <w:szCs w:val="16"/>
            <w:u w:val="single"/>
            <w:shd w:val="clear" w:color="auto" w:fill="FFFFFF"/>
            <w:lang w:val="es-ES"/>
          </w:rPr>
          <w:t>’ a proyecto minero Fénix en Guatemala</w:t>
        </w:r>
      </w:hyperlink>
      <w:r w:rsidR="00263331" w:rsidRPr="008A7BD7">
        <w:rPr>
          <w:rStyle w:val="normaltextrun"/>
          <w:rFonts w:ascii="Cambria" w:hAnsi="Cambria"/>
          <w:color w:val="000000"/>
          <w:sz w:val="16"/>
          <w:szCs w:val="16"/>
          <w:shd w:val="clear" w:color="auto" w:fill="FFFFFF"/>
          <w:lang w:val="es-ES"/>
        </w:rPr>
        <w:t xml:space="preserve">, </w:t>
      </w:r>
      <w:proofErr w:type="spellStart"/>
      <w:r w:rsidR="00263331" w:rsidRPr="008A7BD7">
        <w:rPr>
          <w:rStyle w:val="normaltextrun"/>
          <w:rFonts w:ascii="Cambria" w:hAnsi="Cambria"/>
          <w:color w:val="000000"/>
          <w:sz w:val="16"/>
          <w:szCs w:val="16"/>
          <w:shd w:val="clear" w:color="auto" w:fill="FFFFFF"/>
          <w:lang w:val="es-ES"/>
        </w:rPr>
        <w:t>October</w:t>
      </w:r>
      <w:proofErr w:type="spellEnd"/>
      <w:r w:rsidRPr="008A7BD7">
        <w:rPr>
          <w:rStyle w:val="normaltextrun"/>
          <w:rFonts w:ascii="Cambria" w:hAnsi="Cambria"/>
          <w:color w:val="000000"/>
          <w:sz w:val="16"/>
          <w:szCs w:val="16"/>
          <w:shd w:val="clear" w:color="auto" w:fill="FFFFFF"/>
          <w:lang w:val="es-ES"/>
        </w:rPr>
        <w:t xml:space="preserve"> 22</w:t>
      </w:r>
      <w:r w:rsidR="00263331" w:rsidRPr="008A7BD7">
        <w:rPr>
          <w:rStyle w:val="normaltextrun"/>
          <w:rFonts w:ascii="Cambria" w:hAnsi="Cambria"/>
          <w:color w:val="000000"/>
          <w:sz w:val="16"/>
          <w:szCs w:val="16"/>
          <w:shd w:val="clear" w:color="auto" w:fill="FFFFFF"/>
          <w:lang w:val="es-ES"/>
        </w:rPr>
        <w:t xml:space="preserve">, </w:t>
      </w:r>
      <w:r w:rsidRPr="008A7BD7">
        <w:rPr>
          <w:rStyle w:val="normaltextrun"/>
          <w:rFonts w:ascii="Cambria" w:hAnsi="Cambria"/>
          <w:color w:val="000000"/>
          <w:sz w:val="16"/>
          <w:szCs w:val="16"/>
          <w:shd w:val="clear" w:color="auto" w:fill="FFFFFF"/>
          <w:lang w:val="es-ES"/>
        </w:rPr>
        <w:t>2021.</w:t>
      </w:r>
    </w:p>
  </w:footnote>
  <w:footnote w:id="312">
    <w:p w14:paraId="1865EACA" w14:textId="77777777" w:rsidR="00CA593D" w:rsidRPr="008A7BD7" w:rsidRDefault="00CA593D" w:rsidP="0028307B">
      <w:pPr>
        <w:pStyle w:val="FootnoteText"/>
        <w:ind w:firstLine="720"/>
        <w:rPr>
          <w:sz w:val="16"/>
          <w:szCs w:val="16"/>
          <w:lang w:val="es-419"/>
        </w:rPr>
      </w:pPr>
    </w:p>
    <w:p w14:paraId="4F64B607" w14:textId="7A4A7717" w:rsidR="0028307B" w:rsidRPr="008A7BD7" w:rsidRDefault="0028307B" w:rsidP="00FE3E3C">
      <w:pPr>
        <w:pStyle w:val="FootnoteText"/>
        <w:ind w:firstLine="720"/>
        <w:jc w:val="both"/>
        <w:rPr>
          <w:rStyle w:val="normaltextrun"/>
          <w:rFonts w:ascii="Cambria" w:hAnsi="Cambria"/>
          <w:color w:val="000000"/>
          <w:sz w:val="16"/>
          <w:szCs w:val="16"/>
          <w:shd w:val="clear" w:color="auto" w:fill="FFFFFF"/>
          <w:lang w:val="es-ES"/>
        </w:rPr>
      </w:pPr>
      <w:r w:rsidRPr="008A7BD7">
        <w:rPr>
          <w:rStyle w:val="FootnoteReference"/>
          <w:sz w:val="16"/>
          <w:szCs w:val="16"/>
        </w:rPr>
        <w:footnoteRef/>
      </w:r>
      <w:r w:rsidRPr="008A7BD7">
        <w:rPr>
          <w:sz w:val="16"/>
          <w:szCs w:val="16"/>
          <w:lang w:val="es-419"/>
        </w:rPr>
        <w:t xml:space="preserve"> </w:t>
      </w:r>
      <w:r w:rsidR="008C695D" w:rsidRPr="008A7BD7">
        <w:rPr>
          <w:rStyle w:val="normaltextrun"/>
          <w:rFonts w:ascii="Cambria" w:hAnsi="Cambria"/>
          <w:color w:val="000000"/>
          <w:sz w:val="16"/>
          <w:szCs w:val="16"/>
          <w:shd w:val="clear" w:color="auto" w:fill="FFFFFF"/>
          <w:lang w:val="es-PE"/>
        </w:rPr>
        <w:t xml:space="preserve">IACHR, </w:t>
      </w:r>
      <w:proofErr w:type="spellStart"/>
      <w:r w:rsidR="008C695D" w:rsidRPr="008A7BD7">
        <w:rPr>
          <w:rStyle w:val="normaltextrun"/>
          <w:rFonts w:ascii="Cambria" w:hAnsi="Cambria"/>
          <w:color w:val="000000"/>
          <w:sz w:val="16"/>
          <w:szCs w:val="16"/>
          <w:shd w:val="clear" w:color="auto" w:fill="FFFFFF"/>
          <w:lang w:val="es-PE"/>
        </w:rPr>
        <w:t>Press</w:t>
      </w:r>
      <w:proofErr w:type="spellEnd"/>
      <w:r w:rsidR="008C695D" w:rsidRPr="008A7BD7">
        <w:rPr>
          <w:rStyle w:val="normaltextrun"/>
          <w:rFonts w:ascii="Cambria" w:hAnsi="Cambria"/>
          <w:color w:val="000000"/>
          <w:sz w:val="16"/>
          <w:szCs w:val="16"/>
          <w:shd w:val="clear" w:color="auto" w:fill="FFFFFF"/>
          <w:lang w:val="es-PE"/>
        </w:rPr>
        <w:t xml:space="preserve"> </w:t>
      </w:r>
      <w:proofErr w:type="spellStart"/>
      <w:r w:rsidR="008C695D" w:rsidRPr="008A7BD7">
        <w:rPr>
          <w:rStyle w:val="normaltextrun"/>
          <w:rFonts w:ascii="Cambria" w:hAnsi="Cambria"/>
          <w:color w:val="000000"/>
          <w:sz w:val="16"/>
          <w:szCs w:val="16"/>
          <w:shd w:val="clear" w:color="auto" w:fill="FFFFFF"/>
          <w:lang w:val="es-PE"/>
        </w:rPr>
        <w:t>Release</w:t>
      </w:r>
      <w:proofErr w:type="spellEnd"/>
      <w:r w:rsidRPr="008A7BD7">
        <w:rPr>
          <w:rStyle w:val="normaltextrun"/>
          <w:rFonts w:ascii="Cambria" w:hAnsi="Cambria"/>
          <w:color w:val="000000"/>
          <w:sz w:val="16"/>
          <w:szCs w:val="16"/>
          <w:shd w:val="clear" w:color="auto" w:fill="FFFFFF"/>
          <w:lang w:val="es-PE"/>
        </w:rPr>
        <w:t> </w:t>
      </w:r>
      <w:r w:rsidRPr="008A7BD7">
        <w:rPr>
          <w:rStyle w:val="normaltextrun"/>
          <w:rFonts w:ascii="Cambria" w:hAnsi="Cambria" w:cs="Segoe UI"/>
          <w:i/>
          <w:iCs/>
          <w:color w:val="0000FF"/>
          <w:sz w:val="16"/>
          <w:szCs w:val="16"/>
          <w:u w:val="single"/>
          <w:shd w:val="clear" w:color="auto" w:fill="FFFFFF"/>
          <w:lang w:val="es-ES"/>
        </w:rPr>
        <w:t xml:space="preserve">293/21 - La CIDH condena el uso excesivo de la fuerza y la represión en contra de pueblos indígenas mayas </w:t>
      </w:r>
      <w:proofErr w:type="spellStart"/>
      <w:r w:rsidRPr="008A7BD7">
        <w:rPr>
          <w:rStyle w:val="normaltextrun"/>
          <w:rFonts w:ascii="Cambria" w:hAnsi="Cambria" w:cs="Segoe UI"/>
          <w:i/>
          <w:iCs/>
          <w:color w:val="0000FF"/>
          <w:sz w:val="16"/>
          <w:szCs w:val="16"/>
          <w:u w:val="single"/>
          <w:shd w:val="clear" w:color="auto" w:fill="FFFFFF"/>
          <w:lang w:val="es-ES"/>
        </w:rPr>
        <w:t>q'eqchi</w:t>
      </w:r>
      <w:proofErr w:type="spellEnd"/>
      <w:r w:rsidRPr="008A7BD7">
        <w:rPr>
          <w:rStyle w:val="normaltextrun"/>
          <w:rFonts w:ascii="Cambria" w:hAnsi="Cambria" w:cs="Segoe UI"/>
          <w:i/>
          <w:iCs/>
          <w:color w:val="0000FF"/>
          <w:sz w:val="16"/>
          <w:szCs w:val="16"/>
          <w:u w:val="single"/>
          <w:shd w:val="clear" w:color="auto" w:fill="FFFFFF"/>
          <w:lang w:val="es-ES"/>
        </w:rPr>
        <w:t>', periodistas y medios de comunicación en El Estor, Guatemala</w:t>
      </w:r>
      <w:r w:rsidR="008C695D" w:rsidRPr="008A7BD7">
        <w:rPr>
          <w:rStyle w:val="normaltextrun"/>
          <w:rFonts w:ascii="Cambria" w:hAnsi="Cambria" w:cs="Segoe UI"/>
          <w:color w:val="0000FF"/>
          <w:sz w:val="16"/>
          <w:szCs w:val="16"/>
          <w:u w:val="single"/>
          <w:shd w:val="clear" w:color="auto" w:fill="FFFFFF"/>
          <w:lang w:val="es-ES"/>
        </w:rPr>
        <w:t>,</w:t>
      </w:r>
      <w:r w:rsidRPr="008A7BD7">
        <w:rPr>
          <w:rStyle w:val="scxw214844039"/>
          <w:rFonts w:ascii="Cambria" w:hAnsi="Cambria" w:cs="Segoe UI"/>
          <w:color w:val="0000FF"/>
          <w:sz w:val="16"/>
          <w:szCs w:val="16"/>
          <w:shd w:val="clear" w:color="auto" w:fill="FFFFFF"/>
          <w:lang w:val="es-419"/>
        </w:rPr>
        <w:t> </w:t>
      </w:r>
      <w:proofErr w:type="spellStart"/>
      <w:r w:rsidR="008C695D" w:rsidRPr="008A7BD7">
        <w:rPr>
          <w:rStyle w:val="normaltextrun"/>
          <w:rFonts w:ascii="Cambria" w:hAnsi="Cambria"/>
          <w:color w:val="000000"/>
          <w:sz w:val="16"/>
          <w:szCs w:val="16"/>
          <w:shd w:val="clear" w:color="auto" w:fill="FFFFFF"/>
          <w:lang w:val="es-ES"/>
        </w:rPr>
        <w:t>November</w:t>
      </w:r>
      <w:proofErr w:type="spellEnd"/>
      <w:r w:rsidRPr="008A7BD7">
        <w:rPr>
          <w:rStyle w:val="normaltextrun"/>
          <w:rFonts w:ascii="Cambria" w:hAnsi="Cambria"/>
          <w:color w:val="000000"/>
          <w:sz w:val="16"/>
          <w:szCs w:val="16"/>
          <w:shd w:val="clear" w:color="auto" w:fill="FFFFFF"/>
          <w:lang w:val="es-ES"/>
        </w:rPr>
        <w:t xml:space="preserve"> 4</w:t>
      </w:r>
      <w:r w:rsidR="008C695D" w:rsidRPr="008A7BD7">
        <w:rPr>
          <w:rStyle w:val="normaltextrun"/>
          <w:rFonts w:ascii="Cambria" w:hAnsi="Cambria"/>
          <w:color w:val="000000"/>
          <w:sz w:val="16"/>
          <w:szCs w:val="16"/>
          <w:shd w:val="clear" w:color="auto" w:fill="FFFFFF"/>
          <w:lang w:val="es-ES"/>
        </w:rPr>
        <w:t xml:space="preserve">, </w:t>
      </w:r>
      <w:r w:rsidRPr="008A7BD7">
        <w:rPr>
          <w:rStyle w:val="normaltextrun"/>
          <w:rFonts w:ascii="Cambria" w:hAnsi="Cambria"/>
          <w:color w:val="000000"/>
          <w:sz w:val="16"/>
          <w:szCs w:val="16"/>
          <w:shd w:val="clear" w:color="auto" w:fill="FFFFFF"/>
          <w:lang w:val="es-ES"/>
        </w:rPr>
        <w:t>2021.</w:t>
      </w:r>
    </w:p>
    <w:p w14:paraId="15C79CED" w14:textId="77777777" w:rsidR="00481A56" w:rsidRPr="008A7BD7" w:rsidRDefault="00481A56" w:rsidP="00FE3E3C">
      <w:pPr>
        <w:pStyle w:val="FootnoteText"/>
        <w:ind w:firstLine="720"/>
        <w:jc w:val="both"/>
        <w:rPr>
          <w:sz w:val="18"/>
          <w:szCs w:val="18"/>
          <w:lang w:val="es-419"/>
        </w:rPr>
      </w:pPr>
    </w:p>
  </w:footnote>
  <w:footnote w:id="313">
    <w:p w14:paraId="5A30CA38" w14:textId="490CD702" w:rsidR="009E52D6" w:rsidRPr="008A7BD7" w:rsidRDefault="009E52D6" w:rsidP="009E52D6">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477AF" w:rsidRPr="008A7BD7">
        <w:rPr>
          <w:rFonts w:ascii="Cambria" w:hAnsi="Cambria"/>
          <w:sz w:val="16"/>
          <w:szCs w:val="16"/>
        </w:rPr>
        <w:t>Response from the State of</w:t>
      </w:r>
      <w:r w:rsidR="001477A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77AF" w:rsidRPr="008A7BD7">
        <w:rPr>
          <w:rFonts w:ascii="Cambria" w:hAnsi="Cambria"/>
          <w:sz w:val="16"/>
          <w:szCs w:val="16"/>
        </w:rPr>
        <w:t>OEA</w:t>
      </w:r>
      <w:r w:rsidR="001477AF"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p. 130</w:t>
      </w:r>
      <w:r w:rsidR="00AA3405"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131.</w:t>
      </w:r>
    </w:p>
  </w:footnote>
  <w:footnote w:id="314">
    <w:p w14:paraId="4E8349AF" w14:textId="7446BB24" w:rsidR="009E52D6" w:rsidRPr="008A7BD7" w:rsidRDefault="009E52D6" w:rsidP="009E52D6">
      <w:pP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bookmarkStart w:id="14" w:name="OLE_LINK3"/>
      <w:bookmarkStart w:id="15" w:name="OLE_LINK4"/>
      <w:r w:rsidR="00AA3405" w:rsidRPr="008A7BD7">
        <w:rPr>
          <w:rFonts w:ascii="Cambria" w:hAnsi="Cambria"/>
          <w:sz w:val="16"/>
          <w:szCs w:val="16"/>
        </w:rPr>
        <w:t>Response from the State of</w:t>
      </w:r>
      <w:r w:rsidR="00AA3405"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AA3405" w:rsidRPr="008A7BD7">
        <w:rPr>
          <w:rFonts w:ascii="Cambria" w:hAnsi="Cambria"/>
          <w:sz w:val="16"/>
          <w:szCs w:val="16"/>
        </w:rPr>
        <w:t>OEA</w:t>
      </w:r>
      <w:r w:rsidR="00AA3405" w:rsidRPr="008A7BD7">
        <w:rPr>
          <w:rFonts w:ascii="Cambria" w:eastAsia="Cambria" w:hAnsi="Cambria" w:cs="Cambria"/>
          <w:color w:val="000000"/>
          <w:sz w:val="16"/>
          <w:szCs w:val="16"/>
        </w:rPr>
        <w:t>-M4-980-2021, December 22, 2021, p</w:t>
      </w:r>
      <w:r w:rsidR="00AA3405"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153</w:t>
      </w:r>
      <w:r w:rsidR="00AA3405"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156.</w:t>
      </w:r>
      <w:bookmarkEnd w:id="14"/>
      <w:bookmarkEnd w:id="15"/>
    </w:p>
  </w:footnote>
  <w:footnote w:id="315">
    <w:p w14:paraId="67AA81BE" w14:textId="22F4CE4D" w:rsidR="00D57F13" w:rsidRPr="008A7BD7" w:rsidRDefault="00D57F13" w:rsidP="00FE3E3C">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481A56" w:rsidRPr="008A7BD7">
        <w:rPr>
          <w:rFonts w:ascii="Cambria" w:hAnsi="Cambria"/>
          <w:sz w:val="16"/>
          <w:szCs w:val="16"/>
        </w:rPr>
        <w:t xml:space="preserve">Office of the Public Prosecutor’s Observatory on Women, </w:t>
      </w:r>
      <w:r w:rsidRPr="008A7BD7">
        <w:rPr>
          <w:rFonts w:ascii="Cambria" w:hAnsi="Cambria"/>
          <w:sz w:val="16"/>
          <w:szCs w:val="16"/>
        </w:rPr>
        <w:t xml:space="preserve">Guatemala, </w:t>
      </w:r>
      <w:hyperlink r:id="rId314">
        <w:r w:rsidRPr="008A7BD7">
          <w:rPr>
            <w:rStyle w:val="Hyperlink"/>
            <w:rFonts w:ascii="Cambria" w:hAnsi="Cambria"/>
            <w:sz w:val="16"/>
            <w:szCs w:val="16"/>
          </w:rPr>
          <w:t xml:space="preserve">Portal </w:t>
        </w:r>
        <w:proofErr w:type="spellStart"/>
        <w:r w:rsidRPr="008A7BD7">
          <w:rPr>
            <w:rStyle w:val="Hyperlink"/>
            <w:rFonts w:ascii="Cambria" w:hAnsi="Cambria"/>
            <w:sz w:val="16"/>
            <w:szCs w:val="16"/>
          </w:rPr>
          <w:t>estadístico</w:t>
        </w:r>
        <w:proofErr w:type="spellEnd"/>
      </w:hyperlink>
      <w:r w:rsidRPr="008A7BD7">
        <w:rPr>
          <w:rFonts w:ascii="Cambria" w:hAnsi="Cambria"/>
          <w:sz w:val="16"/>
          <w:szCs w:val="16"/>
        </w:rPr>
        <w:t xml:space="preserve">, </w:t>
      </w:r>
      <w:r w:rsidR="00481A56" w:rsidRPr="008A7BD7">
        <w:rPr>
          <w:rFonts w:ascii="Cambria" w:hAnsi="Cambria"/>
          <w:sz w:val="16"/>
          <w:szCs w:val="16"/>
        </w:rPr>
        <w:t xml:space="preserve">data as of October </w:t>
      </w:r>
      <w:r w:rsidRPr="008A7BD7">
        <w:rPr>
          <w:rFonts w:ascii="Cambria" w:hAnsi="Cambria"/>
          <w:sz w:val="16"/>
          <w:szCs w:val="16"/>
        </w:rPr>
        <w:t>24</w:t>
      </w:r>
      <w:r w:rsidR="00481A56" w:rsidRPr="008A7BD7">
        <w:rPr>
          <w:rFonts w:ascii="Cambria" w:hAnsi="Cambria"/>
          <w:sz w:val="16"/>
          <w:szCs w:val="16"/>
        </w:rPr>
        <w:t>,</w:t>
      </w:r>
      <w:r w:rsidRPr="008A7BD7">
        <w:rPr>
          <w:rFonts w:ascii="Cambria" w:hAnsi="Cambria"/>
          <w:sz w:val="16"/>
          <w:szCs w:val="16"/>
        </w:rPr>
        <w:t xml:space="preserve"> 2021.</w:t>
      </w:r>
    </w:p>
  </w:footnote>
  <w:footnote w:id="316">
    <w:p w14:paraId="13403B7B" w14:textId="484E63A1" w:rsidR="00D57F13" w:rsidRPr="008A7BD7" w:rsidRDefault="00D57F13" w:rsidP="00FE3E3C">
      <w:pPr>
        <w:pStyle w:val="FootnoteText"/>
        <w:spacing w:after="120"/>
        <w:ind w:firstLine="720"/>
        <w:jc w:val="both"/>
        <w:rPr>
          <w:rFonts w:ascii="Cambria" w:hAnsi="Cambria"/>
          <w:sz w:val="16"/>
          <w:szCs w:val="16"/>
          <w:lang w:val="es-ES"/>
        </w:rPr>
      </w:pPr>
      <w:r w:rsidRPr="008A7BD7">
        <w:rPr>
          <w:rStyle w:val="FootnoteReference"/>
          <w:rFonts w:ascii="Cambria" w:hAnsi="Cambria"/>
          <w:sz w:val="16"/>
          <w:szCs w:val="16"/>
          <w:lang w:val="es-ES"/>
        </w:rPr>
        <w:footnoteRef/>
      </w:r>
      <w:r w:rsidRPr="008A7BD7">
        <w:rPr>
          <w:rFonts w:ascii="Cambria" w:hAnsi="Cambria"/>
          <w:sz w:val="16"/>
          <w:szCs w:val="16"/>
          <w:lang w:val="es-ES"/>
        </w:rPr>
        <w:t xml:space="preserve"> </w:t>
      </w:r>
      <w:r w:rsidR="00F6635A" w:rsidRPr="008A7BD7">
        <w:rPr>
          <w:rFonts w:ascii="Cambria" w:hAnsi="Cambria"/>
          <w:sz w:val="16"/>
          <w:szCs w:val="16"/>
          <w:lang w:val="es-ES"/>
        </w:rPr>
        <w:t>Grupo Guatemalteco de Mujeres</w:t>
      </w:r>
      <w:r w:rsidRPr="008A7BD7">
        <w:rPr>
          <w:rFonts w:ascii="Cambria" w:hAnsi="Cambria"/>
          <w:sz w:val="16"/>
          <w:szCs w:val="16"/>
          <w:lang w:val="es-ES"/>
        </w:rPr>
        <w:t xml:space="preserve">, </w:t>
      </w:r>
      <w:hyperlink r:id="rId315">
        <w:r w:rsidRPr="008A7BD7">
          <w:rPr>
            <w:rStyle w:val="Hyperlink"/>
            <w:rFonts w:ascii="Cambria" w:hAnsi="Cambria"/>
            <w:i/>
            <w:iCs/>
            <w:sz w:val="16"/>
            <w:szCs w:val="16"/>
            <w:lang w:val="es-ES"/>
          </w:rPr>
          <w:t>Informe Estadístico: Violencia contra la Mujer Muertes Violentas de Mujeres-MVM FEMICIDIOS República de Guatemala</w:t>
        </w:r>
      </w:hyperlink>
      <w:r w:rsidRPr="008A7BD7">
        <w:rPr>
          <w:rFonts w:ascii="Cambria" w:hAnsi="Cambria"/>
          <w:sz w:val="16"/>
          <w:szCs w:val="16"/>
          <w:lang w:val="es-ES"/>
        </w:rPr>
        <w:t xml:space="preserve">, </w:t>
      </w:r>
      <w:proofErr w:type="spellStart"/>
      <w:r w:rsidR="00F6635A" w:rsidRPr="008A7BD7">
        <w:rPr>
          <w:rFonts w:ascii="Cambria" w:hAnsi="Cambria"/>
          <w:sz w:val="16"/>
          <w:szCs w:val="16"/>
          <w:lang w:val="es-ES"/>
        </w:rPr>
        <w:t>January</w:t>
      </w:r>
      <w:proofErr w:type="spellEnd"/>
      <w:r w:rsidR="00F6635A" w:rsidRPr="008A7BD7">
        <w:rPr>
          <w:rFonts w:ascii="Cambria" w:hAnsi="Cambria"/>
          <w:sz w:val="16"/>
          <w:szCs w:val="16"/>
          <w:lang w:val="es-ES"/>
        </w:rPr>
        <w:t xml:space="preserve"> </w:t>
      </w:r>
      <w:r w:rsidRPr="008A7BD7">
        <w:rPr>
          <w:rFonts w:ascii="Cambria" w:hAnsi="Cambria"/>
          <w:sz w:val="16"/>
          <w:szCs w:val="16"/>
          <w:lang w:val="es-ES"/>
        </w:rPr>
        <w:t xml:space="preserve">1 </w:t>
      </w:r>
      <w:proofErr w:type="spellStart"/>
      <w:r w:rsidR="00F6635A" w:rsidRPr="008A7BD7">
        <w:rPr>
          <w:rFonts w:ascii="Cambria" w:hAnsi="Cambria"/>
          <w:sz w:val="16"/>
          <w:szCs w:val="16"/>
          <w:lang w:val="es-ES"/>
        </w:rPr>
        <w:t>to</w:t>
      </w:r>
      <w:proofErr w:type="spellEnd"/>
      <w:r w:rsidR="00F6635A" w:rsidRPr="008A7BD7">
        <w:rPr>
          <w:rFonts w:ascii="Cambria" w:hAnsi="Cambria"/>
          <w:sz w:val="16"/>
          <w:szCs w:val="16"/>
          <w:lang w:val="es-ES"/>
        </w:rPr>
        <w:t xml:space="preserve"> </w:t>
      </w:r>
      <w:proofErr w:type="spellStart"/>
      <w:r w:rsidR="00F6635A" w:rsidRPr="008A7BD7">
        <w:rPr>
          <w:rFonts w:ascii="Cambria" w:hAnsi="Cambria"/>
          <w:sz w:val="16"/>
          <w:szCs w:val="16"/>
          <w:lang w:val="es-ES"/>
        </w:rPr>
        <w:t>July</w:t>
      </w:r>
      <w:proofErr w:type="spellEnd"/>
      <w:r w:rsidR="00F6635A" w:rsidRPr="008A7BD7">
        <w:rPr>
          <w:rFonts w:ascii="Cambria" w:hAnsi="Cambria"/>
          <w:sz w:val="16"/>
          <w:szCs w:val="16"/>
          <w:lang w:val="es-ES"/>
        </w:rPr>
        <w:t xml:space="preserve"> 31, </w:t>
      </w:r>
      <w:r w:rsidRPr="008A7BD7">
        <w:rPr>
          <w:rFonts w:ascii="Cambria" w:hAnsi="Cambria"/>
          <w:sz w:val="16"/>
          <w:szCs w:val="16"/>
          <w:lang w:val="es-ES"/>
        </w:rPr>
        <w:t>2021.</w:t>
      </w:r>
    </w:p>
  </w:footnote>
  <w:footnote w:id="317">
    <w:p w14:paraId="22368EEA" w14:textId="650D459B" w:rsidR="00D57F13" w:rsidRPr="008A7BD7" w:rsidRDefault="00D57F13" w:rsidP="00FE3E3C">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C3305A" w:rsidRPr="008A7BD7">
        <w:rPr>
          <w:rFonts w:ascii="Cambria" w:hAnsi="Cambria"/>
          <w:sz w:val="16"/>
          <w:szCs w:val="16"/>
        </w:rPr>
        <w:t xml:space="preserve">IACHR, </w:t>
      </w:r>
      <w:hyperlink r:id="rId316" w:history="1">
        <w:r w:rsidR="00C3305A" w:rsidRPr="008A7BD7">
          <w:rPr>
            <w:rStyle w:val="Hyperlink"/>
            <w:rFonts w:ascii="Cambria" w:hAnsi="Cambria"/>
            <w:sz w:val="16"/>
            <w:szCs w:val="16"/>
          </w:rPr>
          <w:t>Annual Report 2020, Chapter IV.A, Human Rights Development in the Region</w:t>
        </w:r>
      </w:hyperlink>
      <w:r w:rsidR="00C3305A" w:rsidRPr="008A7BD7">
        <w:rPr>
          <w:rFonts w:ascii="Cambria" w:hAnsi="Cambria"/>
          <w:sz w:val="16"/>
          <w:szCs w:val="16"/>
        </w:rPr>
        <w:t>, par</w:t>
      </w:r>
      <w:r w:rsidRPr="008A7BD7">
        <w:rPr>
          <w:rFonts w:ascii="Cambria" w:hAnsi="Cambria"/>
          <w:sz w:val="16"/>
          <w:szCs w:val="16"/>
        </w:rPr>
        <w:t>. 4</w:t>
      </w:r>
      <w:r w:rsidR="006825AC" w:rsidRPr="008A7BD7">
        <w:rPr>
          <w:rFonts w:ascii="Cambria" w:hAnsi="Cambria"/>
          <w:sz w:val="16"/>
          <w:szCs w:val="16"/>
        </w:rPr>
        <w:t>06</w:t>
      </w:r>
      <w:r w:rsidR="00C3305A" w:rsidRPr="008A7BD7">
        <w:rPr>
          <w:rFonts w:ascii="Cambria" w:hAnsi="Cambria"/>
          <w:sz w:val="16"/>
          <w:szCs w:val="16"/>
        </w:rPr>
        <w:t>.</w:t>
      </w:r>
    </w:p>
  </w:footnote>
  <w:footnote w:id="318">
    <w:p w14:paraId="7ACB9BBD" w14:textId="5FA6B837" w:rsidR="00D57F13" w:rsidRPr="008A7BD7" w:rsidRDefault="00D57F13" w:rsidP="00FE3E3C">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5F57B0" w:rsidRPr="008A7BD7">
        <w:rPr>
          <w:rFonts w:ascii="Cambria" w:hAnsi="Cambria"/>
          <w:sz w:val="16"/>
          <w:szCs w:val="16"/>
        </w:rPr>
        <w:t xml:space="preserve">IACHR, Public Hearing, </w:t>
      </w:r>
      <w:r w:rsidR="003A4DEB" w:rsidRPr="008A7BD7">
        <w:rPr>
          <w:rFonts w:ascii="Cambria" w:hAnsi="Cambria"/>
          <w:sz w:val="16"/>
          <w:szCs w:val="16"/>
        </w:rPr>
        <w:t>“</w:t>
      </w:r>
      <w:hyperlink r:id="rId317" w:history="1">
        <w:r w:rsidR="005F57B0" w:rsidRPr="008A7BD7">
          <w:rPr>
            <w:rStyle w:val="Hyperlink"/>
            <w:rFonts w:ascii="Cambria" w:hAnsi="Cambria"/>
            <w:sz w:val="16"/>
            <w:szCs w:val="16"/>
          </w:rPr>
          <w:t xml:space="preserve">Situation of </w:t>
        </w:r>
        <w:r w:rsidR="003A4DEB" w:rsidRPr="008A7BD7">
          <w:rPr>
            <w:rStyle w:val="Hyperlink"/>
            <w:rFonts w:ascii="Cambria" w:hAnsi="Cambria"/>
            <w:sz w:val="16"/>
            <w:szCs w:val="16"/>
          </w:rPr>
          <w:t>W</w:t>
        </w:r>
        <w:r w:rsidR="005F57B0" w:rsidRPr="008A7BD7">
          <w:rPr>
            <w:rStyle w:val="Hyperlink"/>
            <w:rFonts w:ascii="Cambria" w:hAnsi="Cambria"/>
            <w:sz w:val="16"/>
            <w:szCs w:val="16"/>
          </w:rPr>
          <w:t xml:space="preserve">omen’s </w:t>
        </w:r>
        <w:r w:rsidR="003A4DEB" w:rsidRPr="008A7BD7">
          <w:rPr>
            <w:rStyle w:val="Hyperlink"/>
            <w:rFonts w:ascii="Cambria" w:hAnsi="Cambria"/>
            <w:sz w:val="16"/>
            <w:szCs w:val="16"/>
          </w:rPr>
          <w:t>H</w:t>
        </w:r>
        <w:r w:rsidR="005F57B0" w:rsidRPr="008A7BD7">
          <w:rPr>
            <w:rStyle w:val="Hyperlink"/>
            <w:rFonts w:ascii="Cambria" w:hAnsi="Cambria"/>
            <w:sz w:val="16"/>
            <w:szCs w:val="16"/>
          </w:rPr>
          <w:t xml:space="preserve">uman </w:t>
        </w:r>
        <w:r w:rsidR="003A4DEB" w:rsidRPr="008A7BD7">
          <w:rPr>
            <w:rStyle w:val="Hyperlink"/>
            <w:rFonts w:ascii="Cambria" w:hAnsi="Cambria"/>
            <w:sz w:val="16"/>
            <w:szCs w:val="16"/>
          </w:rPr>
          <w:t>R</w:t>
        </w:r>
        <w:r w:rsidR="005F57B0" w:rsidRPr="008A7BD7">
          <w:rPr>
            <w:rStyle w:val="Hyperlink"/>
            <w:rFonts w:ascii="Cambria" w:hAnsi="Cambria"/>
            <w:sz w:val="16"/>
            <w:szCs w:val="16"/>
          </w:rPr>
          <w:t>ights in Guatemala</w:t>
        </w:r>
      </w:hyperlink>
      <w:r w:rsidR="005F57B0" w:rsidRPr="008A7BD7">
        <w:rPr>
          <w:rFonts w:ascii="Cambria" w:hAnsi="Cambria"/>
          <w:sz w:val="16"/>
          <w:szCs w:val="16"/>
        </w:rPr>
        <w:t>,</w:t>
      </w:r>
      <w:r w:rsidR="003A4DEB" w:rsidRPr="008A7BD7">
        <w:rPr>
          <w:rFonts w:ascii="Cambria" w:hAnsi="Cambria"/>
          <w:sz w:val="16"/>
          <w:szCs w:val="16"/>
        </w:rPr>
        <w:t>”</w:t>
      </w:r>
      <w:r w:rsidR="005F57B0" w:rsidRPr="008A7BD7">
        <w:rPr>
          <w:rFonts w:ascii="Cambria" w:hAnsi="Cambria"/>
          <w:sz w:val="16"/>
          <w:szCs w:val="16"/>
        </w:rPr>
        <w:t xml:space="preserve"> 180</w:t>
      </w:r>
      <w:r w:rsidR="005F57B0" w:rsidRPr="008A7BD7">
        <w:rPr>
          <w:rFonts w:ascii="Cambria" w:hAnsi="Cambria"/>
          <w:sz w:val="16"/>
          <w:szCs w:val="16"/>
          <w:vertAlign w:val="superscript"/>
        </w:rPr>
        <w:t>th</w:t>
      </w:r>
      <w:r w:rsidR="005F57B0" w:rsidRPr="008A7BD7">
        <w:rPr>
          <w:rFonts w:ascii="Cambria" w:hAnsi="Cambria"/>
          <w:sz w:val="16"/>
          <w:szCs w:val="16"/>
        </w:rPr>
        <w:t xml:space="preserve"> period of sessions, June 29, </w:t>
      </w:r>
      <w:r w:rsidRPr="008A7BD7">
        <w:rPr>
          <w:rFonts w:ascii="Cambria" w:hAnsi="Cambria"/>
          <w:sz w:val="16"/>
          <w:szCs w:val="16"/>
        </w:rPr>
        <w:t>2021.</w:t>
      </w:r>
    </w:p>
  </w:footnote>
  <w:footnote w:id="319">
    <w:p w14:paraId="70228F5A" w14:textId="34AB0C7E" w:rsidR="00D57F13" w:rsidRPr="008A7BD7" w:rsidRDefault="00D57F13"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REDNOVI, CLADEM Guatemala, Women ́s Link Worldwide</w:t>
      </w:r>
      <w:r w:rsidR="005F57B0" w:rsidRPr="008A7BD7">
        <w:rPr>
          <w:rFonts w:ascii="Cambria" w:hAnsi="Cambria"/>
          <w:sz w:val="16"/>
          <w:szCs w:val="16"/>
        </w:rPr>
        <w:t>,</w:t>
      </w:r>
      <w:r w:rsidRPr="008A7BD7">
        <w:rPr>
          <w:rFonts w:ascii="Cambria" w:hAnsi="Cambria"/>
          <w:sz w:val="16"/>
          <w:szCs w:val="16"/>
        </w:rPr>
        <w:t xml:space="preserve"> </w:t>
      </w:r>
      <w:r w:rsidR="005F57B0" w:rsidRPr="008A7BD7">
        <w:rPr>
          <w:rFonts w:ascii="Cambria" w:hAnsi="Cambria"/>
          <w:sz w:val="16"/>
          <w:szCs w:val="16"/>
        </w:rPr>
        <w:t>Annex to the request for thematic hearing for 180</w:t>
      </w:r>
      <w:r w:rsidR="005F57B0" w:rsidRPr="008A7BD7">
        <w:rPr>
          <w:rFonts w:ascii="Cambria" w:hAnsi="Cambria"/>
          <w:sz w:val="16"/>
          <w:szCs w:val="16"/>
          <w:vertAlign w:val="superscript"/>
        </w:rPr>
        <w:t>th</w:t>
      </w:r>
      <w:r w:rsidR="005F57B0" w:rsidRPr="008A7BD7">
        <w:rPr>
          <w:rFonts w:ascii="Cambria" w:hAnsi="Cambria"/>
          <w:sz w:val="16"/>
          <w:szCs w:val="16"/>
        </w:rPr>
        <w:t xml:space="preserve"> period of sessions, Record </w:t>
      </w:r>
      <w:r w:rsidRPr="008A7BD7">
        <w:rPr>
          <w:rFonts w:ascii="Cambria" w:hAnsi="Cambria"/>
          <w:sz w:val="16"/>
          <w:szCs w:val="16"/>
        </w:rPr>
        <w:t xml:space="preserve">163499, </w:t>
      </w:r>
      <w:r w:rsidR="005F57B0" w:rsidRPr="008A7BD7">
        <w:rPr>
          <w:rFonts w:ascii="Cambria" w:hAnsi="Cambria"/>
          <w:sz w:val="16"/>
          <w:szCs w:val="16"/>
        </w:rPr>
        <w:t>April</w:t>
      </w:r>
      <w:r w:rsidRPr="008A7BD7">
        <w:rPr>
          <w:rFonts w:ascii="Cambria" w:hAnsi="Cambria"/>
          <w:sz w:val="16"/>
          <w:szCs w:val="16"/>
        </w:rPr>
        <w:t xml:space="preserve"> 2021, </w:t>
      </w:r>
      <w:r w:rsidR="005F57B0" w:rsidRPr="008A7BD7">
        <w:rPr>
          <w:rFonts w:ascii="Cambria" w:hAnsi="Cambria"/>
          <w:sz w:val="16"/>
          <w:szCs w:val="16"/>
        </w:rPr>
        <w:t xml:space="preserve">and follow-up communication, September 6, </w:t>
      </w:r>
      <w:r w:rsidRPr="008A7BD7">
        <w:rPr>
          <w:rFonts w:ascii="Cambria" w:hAnsi="Cambria"/>
          <w:sz w:val="16"/>
          <w:szCs w:val="16"/>
        </w:rPr>
        <w:t>2021</w:t>
      </w:r>
      <w:r w:rsidR="005F57B0" w:rsidRPr="008A7BD7">
        <w:rPr>
          <w:rFonts w:ascii="Cambria" w:hAnsi="Cambria"/>
          <w:sz w:val="16"/>
          <w:szCs w:val="16"/>
        </w:rPr>
        <w:t xml:space="preserve">, </w:t>
      </w:r>
      <w:r w:rsidR="00F520A9" w:rsidRPr="008A7BD7">
        <w:rPr>
          <w:rFonts w:ascii="Cambria" w:eastAsia="Cambria" w:hAnsi="Cambria" w:cs="Cambria"/>
          <w:sz w:val="16"/>
          <w:szCs w:val="16"/>
        </w:rPr>
        <w:t>records on file at the IACHR</w:t>
      </w:r>
      <w:r w:rsidRPr="008A7BD7">
        <w:rPr>
          <w:rFonts w:ascii="Cambria" w:hAnsi="Cambria"/>
          <w:sz w:val="16"/>
          <w:szCs w:val="16"/>
        </w:rPr>
        <w:t xml:space="preserve">. </w:t>
      </w:r>
    </w:p>
  </w:footnote>
  <w:footnote w:id="320">
    <w:p w14:paraId="78E26CE6" w14:textId="16A58B41" w:rsidR="00D57F13" w:rsidRPr="008A7BD7" w:rsidRDefault="00D57F13" w:rsidP="00FE3E3C">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177519" w:rsidRPr="008A7BD7">
        <w:rPr>
          <w:rFonts w:ascii="Cambria" w:hAnsi="Cambria"/>
          <w:sz w:val="16"/>
          <w:szCs w:val="16"/>
        </w:rPr>
        <w:t>According</w:t>
      </w:r>
      <w:r w:rsidRPr="008A7BD7">
        <w:rPr>
          <w:rFonts w:ascii="Cambria" w:hAnsi="Cambria"/>
          <w:sz w:val="16"/>
          <w:szCs w:val="16"/>
        </w:rPr>
        <w:t xml:space="preserve"> </w:t>
      </w:r>
      <w:r w:rsidR="00AB3B0F" w:rsidRPr="008A7BD7">
        <w:rPr>
          <w:rFonts w:ascii="Cambria" w:hAnsi="Cambria"/>
          <w:sz w:val="16"/>
          <w:szCs w:val="16"/>
        </w:rPr>
        <w:t xml:space="preserve">to information collected by the Commission, as of April </w:t>
      </w:r>
      <w:r w:rsidRPr="008A7BD7">
        <w:rPr>
          <w:rFonts w:ascii="Cambria" w:hAnsi="Cambria"/>
          <w:sz w:val="16"/>
          <w:szCs w:val="16"/>
        </w:rPr>
        <w:t xml:space="preserve">2021, CONAPREVI </w:t>
      </w:r>
      <w:r w:rsidR="00AB3B0F" w:rsidRPr="008A7BD7">
        <w:rPr>
          <w:rFonts w:ascii="Cambria" w:hAnsi="Cambria"/>
          <w:sz w:val="16"/>
          <w:szCs w:val="16"/>
        </w:rPr>
        <w:t xml:space="preserve">had </w:t>
      </w:r>
      <w:r w:rsidR="00F520A9" w:rsidRPr="008A7BD7">
        <w:rPr>
          <w:rFonts w:ascii="Cambria" w:hAnsi="Cambria"/>
          <w:sz w:val="16"/>
          <w:szCs w:val="16"/>
        </w:rPr>
        <w:t>held</w:t>
      </w:r>
      <w:r w:rsidR="00AB3B0F" w:rsidRPr="008A7BD7">
        <w:rPr>
          <w:rFonts w:ascii="Cambria" w:hAnsi="Cambria"/>
          <w:sz w:val="16"/>
          <w:szCs w:val="16"/>
        </w:rPr>
        <w:t xml:space="preserve"> only one working meeting; </w:t>
      </w:r>
      <w:proofErr w:type="gramStart"/>
      <w:r w:rsidR="00AB3B0F" w:rsidRPr="008A7BD7">
        <w:rPr>
          <w:rFonts w:ascii="Cambria" w:hAnsi="Cambria"/>
          <w:sz w:val="16"/>
          <w:szCs w:val="16"/>
        </w:rPr>
        <w:t>with regard to</w:t>
      </w:r>
      <w:proofErr w:type="gramEnd"/>
      <w:r w:rsidR="00AB3B0F" w:rsidRPr="008A7BD7">
        <w:rPr>
          <w:rFonts w:ascii="Cambria" w:hAnsi="Cambria"/>
          <w:sz w:val="16"/>
          <w:szCs w:val="16"/>
        </w:rPr>
        <w:t xml:space="preserve"> the </w:t>
      </w:r>
      <w:r w:rsidRPr="008A7BD7">
        <w:rPr>
          <w:rFonts w:ascii="Cambria" w:hAnsi="Cambria"/>
          <w:sz w:val="16"/>
          <w:szCs w:val="16"/>
        </w:rPr>
        <w:t xml:space="preserve">CAIMUS, </w:t>
      </w:r>
      <w:r w:rsidR="00AB3B0F" w:rsidRPr="008A7BD7">
        <w:rPr>
          <w:rFonts w:ascii="Cambria" w:hAnsi="Cambria"/>
          <w:sz w:val="16"/>
          <w:szCs w:val="16"/>
        </w:rPr>
        <w:t>as of August</w:t>
      </w:r>
      <w:r w:rsidR="00F520A9" w:rsidRPr="008A7BD7">
        <w:rPr>
          <w:rFonts w:ascii="Cambria" w:hAnsi="Cambria"/>
          <w:sz w:val="16"/>
          <w:szCs w:val="16"/>
        </w:rPr>
        <w:t xml:space="preserve"> 2021</w:t>
      </w:r>
      <w:r w:rsidR="00BC5E15" w:rsidRPr="008A7BD7">
        <w:rPr>
          <w:rFonts w:ascii="Cambria" w:hAnsi="Cambria"/>
          <w:sz w:val="16"/>
          <w:szCs w:val="16"/>
        </w:rPr>
        <w:t xml:space="preserve">, the agreement to turn over the funds allocated to the </w:t>
      </w:r>
      <w:r w:rsidR="00AF0597" w:rsidRPr="008A7BD7">
        <w:rPr>
          <w:rFonts w:ascii="Cambria" w:hAnsi="Cambria"/>
          <w:sz w:val="16"/>
          <w:szCs w:val="16"/>
        </w:rPr>
        <w:t xml:space="preserve">Grupo </w:t>
      </w:r>
      <w:proofErr w:type="spellStart"/>
      <w:r w:rsidR="00AF0597" w:rsidRPr="008A7BD7">
        <w:rPr>
          <w:rFonts w:ascii="Cambria" w:hAnsi="Cambria"/>
          <w:sz w:val="16"/>
          <w:szCs w:val="16"/>
        </w:rPr>
        <w:t>Guatemalteco</w:t>
      </w:r>
      <w:proofErr w:type="spellEnd"/>
      <w:r w:rsidR="00AF0597" w:rsidRPr="008A7BD7">
        <w:rPr>
          <w:rFonts w:ascii="Cambria" w:hAnsi="Cambria"/>
          <w:sz w:val="16"/>
          <w:szCs w:val="16"/>
        </w:rPr>
        <w:t xml:space="preserve"> de </w:t>
      </w:r>
      <w:proofErr w:type="spellStart"/>
      <w:r w:rsidR="00AF0597" w:rsidRPr="008A7BD7">
        <w:rPr>
          <w:rFonts w:ascii="Cambria" w:hAnsi="Cambria"/>
          <w:sz w:val="16"/>
          <w:szCs w:val="16"/>
        </w:rPr>
        <w:t>Mujeres</w:t>
      </w:r>
      <w:proofErr w:type="spellEnd"/>
      <w:r w:rsidR="00AF0597" w:rsidRPr="008A7BD7">
        <w:rPr>
          <w:rFonts w:ascii="Cambria" w:hAnsi="Cambria"/>
          <w:sz w:val="16"/>
          <w:szCs w:val="16"/>
        </w:rPr>
        <w:t xml:space="preserve"> </w:t>
      </w:r>
      <w:r w:rsidR="00BC5E15" w:rsidRPr="008A7BD7">
        <w:rPr>
          <w:rFonts w:ascii="Cambria" w:hAnsi="Cambria"/>
          <w:sz w:val="16"/>
          <w:szCs w:val="16"/>
        </w:rPr>
        <w:t xml:space="preserve">for fiscal year 2021 had yet to be signed. </w:t>
      </w:r>
      <w:r w:rsidRPr="008A7BD7">
        <w:rPr>
          <w:rFonts w:ascii="Cambria" w:hAnsi="Cambria"/>
          <w:sz w:val="16"/>
          <w:szCs w:val="16"/>
        </w:rPr>
        <w:t>REDNOVI, CLADEM Guatemala, Women ́s Link Worldwide</w:t>
      </w:r>
      <w:r w:rsidR="00BC5E15" w:rsidRPr="008A7BD7">
        <w:rPr>
          <w:rFonts w:ascii="Cambria" w:hAnsi="Cambria"/>
          <w:sz w:val="16"/>
          <w:szCs w:val="16"/>
        </w:rPr>
        <w:t>,</w:t>
      </w:r>
      <w:r w:rsidRPr="008A7BD7">
        <w:rPr>
          <w:rFonts w:ascii="Cambria" w:hAnsi="Cambria"/>
          <w:sz w:val="16"/>
          <w:szCs w:val="16"/>
        </w:rPr>
        <w:t xml:space="preserve"> </w:t>
      </w:r>
      <w:r w:rsidR="00BC5E15" w:rsidRPr="008A7BD7">
        <w:rPr>
          <w:rFonts w:ascii="Cambria" w:hAnsi="Cambria"/>
          <w:sz w:val="16"/>
          <w:szCs w:val="16"/>
        </w:rPr>
        <w:t xml:space="preserve">Annex to the request for thematic hearing for </w:t>
      </w:r>
      <w:r w:rsidR="00BA2DDF" w:rsidRPr="008A7BD7">
        <w:rPr>
          <w:rFonts w:ascii="Cambria" w:hAnsi="Cambria"/>
          <w:sz w:val="16"/>
          <w:szCs w:val="16"/>
        </w:rPr>
        <w:t>180</w:t>
      </w:r>
      <w:r w:rsidR="00BA2DDF" w:rsidRPr="008A7BD7">
        <w:rPr>
          <w:rFonts w:ascii="Cambria" w:hAnsi="Cambria"/>
          <w:sz w:val="16"/>
          <w:szCs w:val="16"/>
          <w:vertAlign w:val="superscript"/>
        </w:rPr>
        <w:t>th</w:t>
      </w:r>
      <w:r w:rsidR="00BC5E15" w:rsidRPr="008A7BD7">
        <w:rPr>
          <w:rFonts w:ascii="Cambria" w:hAnsi="Cambria"/>
          <w:sz w:val="16"/>
          <w:szCs w:val="16"/>
        </w:rPr>
        <w:t xml:space="preserve"> period of sessions, Record 163499, April 2021, and follow-up communication, September 6, 2021, </w:t>
      </w:r>
      <w:r w:rsidR="00F520A9" w:rsidRPr="008A7BD7">
        <w:rPr>
          <w:rFonts w:ascii="Cambria" w:eastAsia="Cambria" w:hAnsi="Cambria" w:cs="Cambria"/>
          <w:sz w:val="16"/>
          <w:szCs w:val="16"/>
        </w:rPr>
        <w:t>records on file at the IACHR</w:t>
      </w:r>
      <w:r w:rsidR="00BC5E15" w:rsidRPr="008A7BD7">
        <w:rPr>
          <w:rFonts w:ascii="Cambria" w:hAnsi="Cambria"/>
          <w:sz w:val="16"/>
          <w:szCs w:val="16"/>
        </w:rPr>
        <w:t>.</w:t>
      </w:r>
      <w:r w:rsidRPr="008A7BD7">
        <w:rPr>
          <w:rFonts w:ascii="Cambria" w:hAnsi="Cambria"/>
          <w:sz w:val="16"/>
          <w:szCs w:val="16"/>
        </w:rPr>
        <w:t xml:space="preserve"> </w:t>
      </w:r>
    </w:p>
  </w:footnote>
  <w:footnote w:id="321">
    <w:p w14:paraId="2178A17A" w14:textId="118BA424" w:rsidR="00D57F13" w:rsidRPr="008A7BD7" w:rsidRDefault="00D57F13" w:rsidP="00890E11">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REDNOVI, CLADEM Guatemala, Women ́s Link Worldwide</w:t>
      </w:r>
      <w:r w:rsidR="00BC5E15" w:rsidRPr="008A7BD7">
        <w:rPr>
          <w:rFonts w:ascii="Cambria" w:hAnsi="Cambria"/>
          <w:sz w:val="16"/>
          <w:szCs w:val="16"/>
        </w:rPr>
        <w:t xml:space="preserve">, Annex to the request for thematic hearing for </w:t>
      </w:r>
      <w:r w:rsidR="00BA2DDF" w:rsidRPr="008A7BD7">
        <w:rPr>
          <w:rFonts w:ascii="Cambria" w:hAnsi="Cambria"/>
          <w:sz w:val="16"/>
          <w:szCs w:val="16"/>
        </w:rPr>
        <w:t>180</w:t>
      </w:r>
      <w:r w:rsidR="00BA2DDF" w:rsidRPr="008A7BD7">
        <w:rPr>
          <w:rFonts w:ascii="Cambria" w:hAnsi="Cambria"/>
          <w:sz w:val="16"/>
          <w:szCs w:val="16"/>
          <w:vertAlign w:val="superscript"/>
        </w:rPr>
        <w:t>th</w:t>
      </w:r>
      <w:r w:rsidR="00BC5E15" w:rsidRPr="008A7BD7">
        <w:rPr>
          <w:rFonts w:ascii="Cambria" w:hAnsi="Cambria"/>
          <w:sz w:val="16"/>
          <w:szCs w:val="16"/>
        </w:rPr>
        <w:t xml:space="preserve"> period of sessions, Record 163499, April 2021, and follow-up communication, September 6, 2021, </w:t>
      </w:r>
      <w:r w:rsidR="00F520A9" w:rsidRPr="008A7BD7">
        <w:rPr>
          <w:rFonts w:ascii="Cambria" w:eastAsia="Cambria" w:hAnsi="Cambria" w:cs="Cambria"/>
          <w:sz w:val="16"/>
          <w:szCs w:val="16"/>
        </w:rPr>
        <w:t>records on file at the IACHR</w:t>
      </w:r>
      <w:r w:rsidRPr="008A7BD7">
        <w:rPr>
          <w:rFonts w:ascii="Cambria" w:hAnsi="Cambria"/>
          <w:sz w:val="16"/>
          <w:szCs w:val="16"/>
        </w:rPr>
        <w:t xml:space="preserve">. </w:t>
      </w:r>
    </w:p>
  </w:footnote>
  <w:footnote w:id="322">
    <w:p w14:paraId="2BD78AC8" w14:textId="5A391E0D" w:rsidR="00D57F13" w:rsidRPr="008A7BD7" w:rsidRDefault="00D57F13" w:rsidP="00890E11">
      <w:pPr>
        <w:pStyle w:val="FootnoteText"/>
        <w:spacing w:after="120"/>
        <w:ind w:firstLine="720"/>
        <w:jc w:val="both"/>
        <w:rPr>
          <w:rFonts w:ascii="Cambria" w:hAnsi="Cambria"/>
          <w:sz w:val="16"/>
          <w:szCs w:val="16"/>
        </w:rPr>
      </w:pPr>
      <w:r w:rsidRPr="008A7BD7">
        <w:rPr>
          <w:sz w:val="16"/>
          <w:szCs w:val="16"/>
          <w:vertAlign w:val="superscript"/>
        </w:rPr>
        <w:footnoteRef/>
      </w:r>
      <w:r w:rsidRPr="008A7BD7">
        <w:rPr>
          <w:rFonts w:ascii="Cambria" w:hAnsi="Cambria"/>
          <w:sz w:val="16"/>
          <w:szCs w:val="16"/>
          <w:vertAlign w:val="superscript"/>
        </w:rPr>
        <w:t xml:space="preserve"> </w:t>
      </w:r>
      <w:r w:rsidRPr="008A7BD7">
        <w:rPr>
          <w:rFonts w:ascii="Cambria" w:hAnsi="Cambria"/>
          <w:sz w:val="16"/>
          <w:szCs w:val="16"/>
        </w:rPr>
        <w:t>REDNOVI, CLADEM Guatemala, Women ́s Link Worldwide.</w:t>
      </w:r>
      <w:r w:rsidR="00BC5E15" w:rsidRPr="008A7BD7">
        <w:rPr>
          <w:rFonts w:ascii="Cambria" w:hAnsi="Cambria"/>
          <w:sz w:val="16"/>
          <w:szCs w:val="16"/>
        </w:rPr>
        <w:t xml:space="preserve"> Annex to the request for thematic hearing for </w:t>
      </w:r>
      <w:r w:rsidR="00BA2DDF" w:rsidRPr="008A7BD7">
        <w:rPr>
          <w:rFonts w:ascii="Cambria" w:hAnsi="Cambria"/>
          <w:sz w:val="16"/>
          <w:szCs w:val="16"/>
        </w:rPr>
        <w:t>180</w:t>
      </w:r>
      <w:r w:rsidR="00BA2DDF" w:rsidRPr="008A7BD7">
        <w:rPr>
          <w:rFonts w:ascii="Cambria" w:hAnsi="Cambria"/>
          <w:sz w:val="16"/>
          <w:szCs w:val="16"/>
          <w:vertAlign w:val="superscript"/>
        </w:rPr>
        <w:t>th</w:t>
      </w:r>
      <w:r w:rsidR="00BC5E15" w:rsidRPr="008A7BD7">
        <w:rPr>
          <w:rFonts w:ascii="Cambria" w:hAnsi="Cambria"/>
          <w:sz w:val="16"/>
          <w:szCs w:val="16"/>
        </w:rPr>
        <w:t xml:space="preserve"> period of sessions, Record 163499, April 2021, and follow-up communication, September 6, 2021, </w:t>
      </w:r>
      <w:r w:rsidR="00F520A9" w:rsidRPr="008A7BD7">
        <w:rPr>
          <w:rFonts w:ascii="Cambria" w:eastAsia="Cambria" w:hAnsi="Cambria" w:cs="Cambria"/>
          <w:sz w:val="16"/>
          <w:szCs w:val="16"/>
        </w:rPr>
        <w:t>records on file at the IACHR</w:t>
      </w:r>
      <w:r w:rsidR="00BC5E15" w:rsidRPr="008A7BD7">
        <w:rPr>
          <w:rFonts w:ascii="Cambria" w:hAnsi="Cambria"/>
          <w:sz w:val="16"/>
          <w:szCs w:val="16"/>
        </w:rPr>
        <w:t>.</w:t>
      </w:r>
    </w:p>
  </w:footnote>
  <w:footnote w:id="323">
    <w:p w14:paraId="06F3DCBF" w14:textId="07783C97" w:rsidR="00D57F13" w:rsidRPr="008A7BD7" w:rsidRDefault="00D57F13" w:rsidP="00890E11">
      <w:pPr>
        <w:pStyle w:val="FootnoteText"/>
        <w:spacing w:after="120"/>
        <w:ind w:firstLine="720"/>
        <w:jc w:val="both"/>
        <w:rPr>
          <w:rFonts w:ascii="Cambria" w:hAnsi="Cambria"/>
          <w:sz w:val="16"/>
          <w:szCs w:val="16"/>
        </w:rPr>
      </w:pPr>
      <w:r w:rsidRPr="008A7BD7">
        <w:rPr>
          <w:sz w:val="16"/>
          <w:szCs w:val="16"/>
          <w:vertAlign w:val="superscript"/>
        </w:rPr>
        <w:footnoteRef/>
      </w:r>
      <w:r w:rsidRPr="008A7BD7">
        <w:rPr>
          <w:rFonts w:ascii="Cambria" w:hAnsi="Cambria"/>
          <w:sz w:val="16"/>
          <w:szCs w:val="16"/>
          <w:vertAlign w:val="superscript"/>
        </w:rPr>
        <w:t xml:space="preserve"> </w:t>
      </w:r>
      <w:r w:rsidRPr="008A7BD7">
        <w:rPr>
          <w:rFonts w:ascii="Cambria" w:hAnsi="Cambria"/>
          <w:sz w:val="16"/>
          <w:szCs w:val="16"/>
        </w:rPr>
        <w:t>REDNOVI, CLADEM Guatemala, Women ́s Link Worldwide</w:t>
      </w:r>
      <w:r w:rsidR="0006242C" w:rsidRPr="008A7BD7">
        <w:rPr>
          <w:rFonts w:ascii="Cambria" w:hAnsi="Cambria"/>
          <w:sz w:val="16"/>
          <w:szCs w:val="16"/>
        </w:rPr>
        <w:t>,</w:t>
      </w:r>
      <w:r w:rsidRPr="008A7BD7">
        <w:rPr>
          <w:rFonts w:ascii="Cambria" w:hAnsi="Cambria"/>
          <w:sz w:val="16"/>
          <w:szCs w:val="16"/>
        </w:rPr>
        <w:t xml:space="preserve"> </w:t>
      </w:r>
      <w:r w:rsidR="0006242C" w:rsidRPr="008A7BD7">
        <w:rPr>
          <w:rFonts w:ascii="Cambria" w:hAnsi="Cambria"/>
          <w:sz w:val="16"/>
          <w:szCs w:val="16"/>
        </w:rPr>
        <w:t xml:space="preserve">Annex to the request for thematic hearing for </w:t>
      </w:r>
      <w:r w:rsidR="00BA2DDF" w:rsidRPr="008A7BD7">
        <w:rPr>
          <w:rFonts w:ascii="Cambria" w:hAnsi="Cambria"/>
          <w:sz w:val="16"/>
          <w:szCs w:val="16"/>
        </w:rPr>
        <w:t>180</w:t>
      </w:r>
      <w:r w:rsidR="00BA2DDF" w:rsidRPr="008A7BD7">
        <w:rPr>
          <w:rFonts w:ascii="Cambria" w:hAnsi="Cambria"/>
          <w:sz w:val="16"/>
          <w:szCs w:val="16"/>
          <w:vertAlign w:val="superscript"/>
        </w:rPr>
        <w:t>th</w:t>
      </w:r>
      <w:r w:rsidR="0006242C" w:rsidRPr="008A7BD7">
        <w:rPr>
          <w:rFonts w:ascii="Cambria" w:hAnsi="Cambria"/>
          <w:sz w:val="16"/>
          <w:szCs w:val="16"/>
        </w:rPr>
        <w:t xml:space="preserve"> period of sessions, Record 163499, April 2021, and follow-up communication, September 6, 2021, </w:t>
      </w:r>
      <w:r w:rsidR="00F520A9" w:rsidRPr="008A7BD7">
        <w:rPr>
          <w:rFonts w:ascii="Cambria" w:eastAsia="Cambria" w:hAnsi="Cambria" w:cs="Cambria"/>
          <w:sz w:val="16"/>
          <w:szCs w:val="16"/>
        </w:rPr>
        <w:t>records on file at the IACHR</w:t>
      </w:r>
      <w:r w:rsidR="0006242C" w:rsidRPr="008A7BD7">
        <w:rPr>
          <w:rFonts w:ascii="Cambria" w:hAnsi="Cambria"/>
          <w:sz w:val="16"/>
          <w:szCs w:val="16"/>
        </w:rPr>
        <w:t>.</w:t>
      </w:r>
      <w:r w:rsidRPr="008A7BD7">
        <w:rPr>
          <w:rFonts w:ascii="Cambria" w:hAnsi="Cambria"/>
          <w:sz w:val="16"/>
          <w:szCs w:val="16"/>
        </w:rPr>
        <w:t xml:space="preserve"> </w:t>
      </w:r>
    </w:p>
  </w:footnote>
  <w:footnote w:id="324">
    <w:p w14:paraId="546846CE" w14:textId="1A6236D5" w:rsidR="00D57F13" w:rsidRPr="008A7BD7" w:rsidRDefault="00D57F13" w:rsidP="00890E11">
      <w:pPr>
        <w:pStyle w:val="FootnoteText"/>
        <w:spacing w:after="120"/>
        <w:ind w:firstLine="720"/>
        <w:jc w:val="both"/>
        <w:rPr>
          <w:rFonts w:ascii="Cambria" w:hAnsi="Cambria"/>
          <w:sz w:val="16"/>
          <w:szCs w:val="16"/>
        </w:rPr>
      </w:pPr>
      <w:r w:rsidRPr="008A7BD7">
        <w:rPr>
          <w:sz w:val="16"/>
          <w:szCs w:val="16"/>
          <w:vertAlign w:val="superscript"/>
        </w:rPr>
        <w:footnoteRef/>
      </w:r>
      <w:r w:rsidRPr="008A7BD7">
        <w:rPr>
          <w:rFonts w:ascii="Cambria" w:hAnsi="Cambria"/>
          <w:sz w:val="16"/>
          <w:szCs w:val="16"/>
        </w:rPr>
        <w:t xml:space="preserve"> REDNOVI, CLADEM Guatemala, Women ́s Link Worldwide</w:t>
      </w:r>
      <w:r w:rsidR="0006242C" w:rsidRPr="008A7BD7">
        <w:rPr>
          <w:rFonts w:ascii="Cambria" w:hAnsi="Cambria"/>
          <w:sz w:val="16"/>
          <w:szCs w:val="16"/>
        </w:rPr>
        <w:t xml:space="preserve"> Annex to the request for thematic hearing for </w:t>
      </w:r>
      <w:r w:rsidR="00BA2DDF" w:rsidRPr="008A7BD7">
        <w:rPr>
          <w:rFonts w:ascii="Cambria" w:hAnsi="Cambria"/>
          <w:sz w:val="16"/>
          <w:szCs w:val="16"/>
        </w:rPr>
        <w:t>180</w:t>
      </w:r>
      <w:r w:rsidR="00BA2DDF" w:rsidRPr="008A7BD7">
        <w:rPr>
          <w:rFonts w:ascii="Cambria" w:hAnsi="Cambria"/>
          <w:sz w:val="16"/>
          <w:szCs w:val="16"/>
          <w:vertAlign w:val="superscript"/>
        </w:rPr>
        <w:t>th</w:t>
      </w:r>
      <w:r w:rsidR="0006242C" w:rsidRPr="008A7BD7">
        <w:rPr>
          <w:rFonts w:ascii="Cambria" w:hAnsi="Cambria"/>
          <w:sz w:val="16"/>
          <w:szCs w:val="16"/>
        </w:rPr>
        <w:t xml:space="preserve"> period of sessions, Record 163499, April 2021, and follow-up communication, September 6, 2021, </w:t>
      </w:r>
      <w:r w:rsidR="00F520A9" w:rsidRPr="008A7BD7">
        <w:rPr>
          <w:rFonts w:ascii="Cambria" w:eastAsia="Cambria" w:hAnsi="Cambria" w:cs="Cambria"/>
          <w:sz w:val="16"/>
          <w:szCs w:val="16"/>
        </w:rPr>
        <w:t>records on file at the IACHR</w:t>
      </w:r>
      <w:r w:rsidRPr="008A7BD7">
        <w:rPr>
          <w:rFonts w:ascii="Cambria" w:hAnsi="Cambria"/>
          <w:sz w:val="16"/>
          <w:szCs w:val="16"/>
        </w:rPr>
        <w:t xml:space="preserve">. </w:t>
      </w:r>
    </w:p>
  </w:footnote>
  <w:footnote w:id="325">
    <w:p w14:paraId="187B0C7F" w14:textId="3B1A17E9" w:rsidR="00890E11" w:rsidRPr="008A7BD7" w:rsidRDefault="00890E11" w:rsidP="00890E11">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06242C" w:rsidRPr="008A7BD7">
        <w:rPr>
          <w:rFonts w:ascii="Cambria" w:hAnsi="Cambria"/>
          <w:sz w:val="16"/>
          <w:szCs w:val="16"/>
        </w:rPr>
        <w:t>Presidential Commission for Peace and Human Rights (</w:t>
      </w:r>
      <w:r w:rsidRPr="008A7BD7">
        <w:rPr>
          <w:rFonts w:ascii="Cambria" w:hAnsi="Cambria"/>
          <w:sz w:val="16"/>
          <w:szCs w:val="16"/>
        </w:rPr>
        <w:t>COPADEH</w:t>
      </w:r>
      <w:r w:rsidR="0006242C" w:rsidRPr="008A7BD7">
        <w:rPr>
          <w:rFonts w:ascii="Cambria" w:hAnsi="Cambria"/>
          <w:sz w:val="16"/>
          <w:szCs w:val="16"/>
        </w:rPr>
        <w:t>),</w:t>
      </w:r>
      <w:r w:rsidRPr="008A7BD7">
        <w:rPr>
          <w:rFonts w:ascii="Cambria" w:hAnsi="Cambria"/>
          <w:sz w:val="16"/>
          <w:szCs w:val="16"/>
        </w:rPr>
        <w:t xml:space="preserve"> Ref.Of.502-2021-DE/COPADEH/HRCR/LFL/Kg</w:t>
      </w:r>
      <w:r w:rsidR="0006242C" w:rsidRPr="008A7BD7">
        <w:rPr>
          <w:rFonts w:ascii="Cambria" w:hAnsi="Cambria"/>
          <w:sz w:val="16"/>
          <w:szCs w:val="16"/>
        </w:rPr>
        <w:t>, Document sent to the IACHR, July</w:t>
      </w:r>
      <w:r w:rsidRPr="008A7BD7">
        <w:rPr>
          <w:rFonts w:ascii="Cambria" w:hAnsi="Cambria"/>
          <w:sz w:val="16"/>
          <w:szCs w:val="16"/>
        </w:rPr>
        <w:t xml:space="preserve"> 15</w:t>
      </w:r>
      <w:r w:rsidR="0006242C" w:rsidRPr="008A7BD7">
        <w:rPr>
          <w:rFonts w:ascii="Cambria" w:hAnsi="Cambria"/>
          <w:sz w:val="16"/>
          <w:szCs w:val="16"/>
        </w:rPr>
        <w:t xml:space="preserve">, </w:t>
      </w:r>
      <w:r w:rsidRPr="008A7BD7">
        <w:rPr>
          <w:rFonts w:ascii="Cambria" w:hAnsi="Cambria"/>
          <w:sz w:val="16"/>
          <w:szCs w:val="16"/>
        </w:rPr>
        <w:t>2021</w:t>
      </w:r>
      <w:r w:rsidR="0006242C" w:rsidRPr="008A7BD7">
        <w:rPr>
          <w:rFonts w:ascii="Cambria" w:hAnsi="Cambria"/>
          <w:sz w:val="16"/>
          <w:szCs w:val="16"/>
        </w:rPr>
        <w:t>.</w:t>
      </w:r>
    </w:p>
  </w:footnote>
  <w:footnote w:id="326">
    <w:p w14:paraId="439B2074" w14:textId="0D86C510" w:rsidR="00890E11" w:rsidRPr="008A7BD7" w:rsidRDefault="00890E11" w:rsidP="00890E11">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5B6ECF" w:rsidRPr="008A7BD7">
        <w:rPr>
          <w:rFonts w:ascii="Cambria" w:hAnsi="Cambria"/>
          <w:sz w:val="16"/>
          <w:szCs w:val="16"/>
        </w:rPr>
        <w:t xml:space="preserve">Government of </w:t>
      </w:r>
      <w:r w:rsidRPr="008A7BD7">
        <w:rPr>
          <w:rFonts w:ascii="Cambria" w:hAnsi="Cambria"/>
          <w:sz w:val="16"/>
          <w:szCs w:val="16"/>
        </w:rPr>
        <w:t xml:space="preserve">Guatemala, </w:t>
      </w:r>
      <w:hyperlink r:id="rId318">
        <w:proofErr w:type="spellStart"/>
        <w:r w:rsidRPr="008A7BD7">
          <w:rPr>
            <w:rStyle w:val="Hyperlink"/>
            <w:rFonts w:ascii="Cambria" w:hAnsi="Cambria"/>
            <w:i/>
            <w:iCs/>
            <w:sz w:val="16"/>
            <w:szCs w:val="16"/>
          </w:rPr>
          <w:t>Yo</w:t>
        </w:r>
        <w:proofErr w:type="spellEnd"/>
        <w:r w:rsidRPr="008A7BD7">
          <w:rPr>
            <w:rStyle w:val="Hyperlink"/>
            <w:rFonts w:ascii="Cambria" w:hAnsi="Cambria"/>
            <w:i/>
            <w:iCs/>
            <w:sz w:val="16"/>
            <w:szCs w:val="16"/>
          </w:rPr>
          <w:t xml:space="preserve"> </w:t>
        </w:r>
        <w:proofErr w:type="spellStart"/>
        <w:r w:rsidRPr="008A7BD7">
          <w:rPr>
            <w:rStyle w:val="Hyperlink"/>
            <w:rFonts w:ascii="Cambria" w:hAnsi="Cambria"/>
            <w:i/>
            <w:iCs/>
            <w:sz w:val="16"/>
            <w:szCs w:val="16"/>
          </w:rPr>
          <w:t>Denuncio</w:t>
        </w:r>
        <w:proofErr w:type="spellEnd"/>
      </w:hyperlink>
      <w:r w:rsidR="005B6ECF" w:rsidRPr="008A7BD7">
        <w:rPr>
          <w:rFonts w:ascii="Cambria" w:hAnsi="Cambria"/>
          <w:sz w:val="16"/>
          <w:szCs w:val="16"/>
        </w:rPr>
        <w:t xml:space="preserve"> campaign, June</w:t>
      </w:r>
      <w:r w:rsidRPr="008A7BD7">
        <w:rPr>
          <w:rFonts w:ascii="Cambria" w:hAnsi="Cambria"/>
          <w:sz w:val="16"/>
          <w:szCs w:val="16"/>
        </w:rPr>
        <w:t xml:space="preserve"> 1</w:t>
      </w:r>
      <w:r w:rsidR="005B6ECF" w:rsidRPr="008A7BD7">
        <w:rPr>
          <w:rFonts w:ascii="Cambria" w:hAnsi="Cambria"/>
          <w:sz w:val="16"/>
          <w:szCs w:val="16"/>
        </w:rPr>
        <w:t xml:space="preserve">, </w:t>
      </w:r>
      <w:r w:rsidRPr="008A7BD7">
        <w:rPr>
          <w:rFonts w:ascii="Cambria" w:hAnsi="Cambria"/>
          <w:sz w:val="16"/>
          <w:szCs w:val="16"/>
        </w:rPr>
        <w:t xml:space="preserve">2021; @PNCdeGuatemala, </w:t>
      </w:r>
      <w:hyperlink r:id="rId319">
        <w:r w:rsidR="005B6ECF" w:rsidRPr="008A7BD7">
          <w:rPr>
            <w:rStyle w:val="Hyperlink"/>
            <w:rFonts w:ascii="Cambria" w:hAnsi="Cambria"/>
            <w:sz w:val="16"/>
            <w:szCs w:val="16"/>
          </w:rPr>
          <w:t>t</w:t>
        </w:r>
        <w:r w:rsidRPr="008A7BD7">
          <w:rPr>
            <w:rStyle w:val="Hyperlink"/>
            <w:rFonts w:ascii="Cambria" w:hAnsi="Cambria"/>
            <w:sz w:val="16"/>
            <w:szCs w:val="16"/>
          </w:rPr>
          <w:t>weet</w:t>
        </w:r>
      </w:hyperlink>
      <w:r w:rsidRPr="008A7BD7">
        <w:rPr>
          <w:rFonts w:ascii="Cambria" w:hAnsi="Cambria"/>
          <w:sz w:val="16"/>
          <w:szCs w:val="16"/>
        </w:rPr>
        <w:t xml:space="preserve">, </w:t>
      </w:r>
      <w:r w:rsidR="005B6ECF" w:rsidRPr="008A7BD7">
        <w:rPr>
          <w:rFonts w:ascii="Cambria" w:hAnsi="Cambria"/>
          <w:sz w:val="16"/>
          <w:szCs w:val="16"/>
        </w:rPr>
        <w:t xml:space="preserve">January </w:t>
      </w:r>
      <w:r w:rsidRPr="008A7BD7">
        <w:rPr>
          <w:rFonts w:ascii="Cambria" w:hAnsi="Cambria"/>
          <w:sz w:val="16"/>
          <w:szCs w:val="16"/>
        </w:rPr>
        <w:t>29</w:t>
      </w:r>
      <w:r w:rsidR="005B6ECF" w:rsidRPr="008A7BD7">
        <w:rPr>
          <w:rFonts w:ascii="Cambria" w:hAnsi="Cambria"/>
          <w:sz w:val="16"/>
          <w:szCs w:val="16"/>
        </w:rPr>
        <w:t xml:space="preserve">, </w:t>
      </w:r>
      <w:r w:rsidRPr="008A7BD7">
        <w:rPr>
          <w:rFonts w:ascii="Cambria" w:hAnsi="Cambria"/>
          <w:sz w:val="16"/>
          <w:szCs w:val="16"/>
        </w:rPr>
        <w:t>2021</w:t>
      </w:r>
      <w:r w:rsidR="005B6ECF" w:rsidRPr="008A7BD7">
        <w:rPr>
          <w:rFonts w:ascii="Cambria" w:hAnsi="Cambria"/>
          <w:sz w:val="16"/>
          <w:szCs w:val="16"/>
        </w:rPr>
        <w:t xml:space="preserve">, at 5:10 p.m.; </w:t>
      </w:r>
      <w:r w:rsidRPr="008A7BD7">
        <w:rPr>
          <w:rFonts w:ascii="Cambria" w:hAnsi="Cambria"/>
          <w:sz w:val="16"/>
          <w:szCs w:val="16"/>
        </w:rPr>
        <w:t xml:space="preserve">@PNCdeGuatemala, </w:t>
      </w:r>
      <w:hyperlink r:id="rId320">
        <w:r w:rsidRPr="008A7BD7">
          <w:rPr>
            <w:rStyle w:val="Hyperlink"/>
            <w:rFonts w:ascii="Cambria" w:hAnsi="Cambria"/>
            <w:sz w:val="16"/>
            <w:szCs w:val="16"/>
          </w:rPr>
          <w:t>tweet</w:t>
        </w:r>
      </w:hyperlink>
      <w:r w:rsidRPr="008A7BD7">
        <w:rPr>
          <w:rFonts w:ascii="Cambria" w:hAnsi="Cambria"/>
          <w:sz w:val="16"/>
          <w:szCs w:val="16"/>
        </w:rPr>
        <w:t xml:space="preserve">, </w:t>
      </w:r>
      <w:r w:rsidR="005B6ECF" w:rsidRPr="008A7BD7">
        <w:rPr>
          <w:rFonts w:ascii="Cambria" w:hAnsi="Cambria"/>
          <w:sz w:val="16"/>
          <w:szCs w:val="16"/>
        </w:rPr>
        <w:t xml:space="preserve">January </w:t>
      </w:r>
      <w:r w:rsidRPr="008A7BD7">
        <w:rPr>
          <w:rFonts w:ascii="Cambria" w:hAnsi="Cambria"/>
          <w:sz w:val="16"/>
          <w:szCs w:val="16"/>
        </w:rPr>
        <w:t>29</w:t>
      </w:r>
      <w:r w:rsidR="005B6ECF" w:rsidRPr="008A7BD7">
        <w:rPr>
          <w:rFonts w:ascii="Cambria" w:hAnsi="Cambria"/>
          <w:sz w:val="16"/>
          <w:szCs w:val="16"/>
        </w:rPr>
        <w:t xml:space="preserve">, </w:t>
      </w:r>
      <w:r w:rsidRPr="008A7BD7">
        <w:rPr>
          <w:rFonts w:ascii="Cambria" w:hAnsi="Cambria"/>
          <w:sz w:val="16"/>
          <w:szCs w:val="16"/>
        </w:rPr>
        <w:t>2021</w:t>
      </w:r>
      <w:r w:rsidR="005B6ECF" w:rsidRPr="008A7BD7">
        <w:rPr>
          <w:rFonts w:ascii="Cambria" w:hAnsi="Cambria"/>
          <w:sz w:val="16"/>
          <w:szCs w:val="16"/>
        </w:rPr>
        <w:t>, at 6:33 p.m.</w:t>
      </w:r>
    </w:p>
  </w:footnote>
  <w:footnote w:id="327">
    <w:p w14:paraId="3138E473" w14:textId="79C34C00" w:rsidR="00890E11" w:rsidRPr="008A7BD7" w:rsidRDefault="00890E11" w:rsidP="00890E11">
      <w:pPr>
        <w:pStyle w:val="FootnoteText"/>
        <w:spacing w:after="120"/>
        <w:ind w:firstLine="720"/>
        <w:jc w:val="both"/>
        <w:rPr>
          <w:rFonts w:ascii="Cambria" w:hAnsi="Cambria"/>
          <w:sz w:val="16"/>
          <w:szCs w:val="16"/>
          <w:lang w:val="es-ES"/>
        </w:rPr>
      </w:pPr>
      <w:r w:rsidRPr="008A7BD7">
        <w:rPr>
          <w:rStyle w:val="FootnoteReference"/>
          <w:rFonts w:ascii="Cambria" w:hAnsi="Cambria"/>
          <w:sz w:val="16"/>
          <w:szCs w:val="16"/>
          <w:lang w:val="es-ES"/>
        </w:rPr>
        <w:footnoteRef/>
      </w:r>
      <w:r w:rsidRPr="008A7BD7">
        <w:rPr>
          <w:rFonts w:ascii="Cambria" w:hAnsi="Cambria"/>
          <w:sz w:val="16"/>
          <w:szCs w:val="16"/>
          <w:lang w:val="es-ES"/>
        </w:rPr>
        <w:t xml:space="preserve"> </w:t>
      </w:r>
      <w:r w:rsidR="004C0621" w:rsidRPr="008A7BD7">
        <w:rPr>
          <w:rFonts w:ascii="Cambria" w:hAnsi="Cambria"/>
          <w:sz w:val="16"/>
          <w:szCs w:val="16"/>
          <w:lang w:val="es-ES"/>
        </w:rPr>
        <w:t xml:space="preserve">ONHCR </w:t>
      </w:r>
      <w:r w:rsidRPr="008A7BD7">
        <w:rPr>
          <w:rFonts w:ascii="Cambria" w:hAnsi="Cambria"/>
          <w:sz w:val="16"/>
          <w:szCs w:val="16"/>
          <w:lang w:val="es-ES"/>
        </w:rPr>
        <w:t xml:space="preserve">Guatemala, </w:t>
      </w:r>
      <w:hyperlink r:id="rId321">
        <w:r w:rsidRPr="008A7BD7">
          <w:rPr>
            <w:rStyle w:val="Hyperlink"/>
            <w:rFonts w:ascii="Cambria" w:hAnsi="Cambria"/>
            <w:i/>
            <w:iCs/>
            <w:sz w:val="16"/>
            <w:szCs w:val="16"/>
            <w:lang w:val="es-ES"/>
          </w:rPr>
          <w:t>Presentación de la herramienta para incorporar el enfoque de derechos humanos, género e interseccionalidad en sentencias sobre violencia de género - actualización 2021</w:t>
        </w:r>
      </w:hyperlink>
      <w:r w:rsidRPr="008A7BD7">
        <w:rPr>
          <w:rFonts w:ascii="Cambria" w:hAnsi="Cambria"/>
          <w:sz w:val="16"/>
          <w:szCs w:val="16"/>
          <w:lang w:val="es-ES"/>
        </w:rPr>
        <w:t xml:space="preserve">, </w:t>
      </w:r>
      <w:r w:rsidR="004C0621" w:rsidRPr="008A7BD7">
        <w:rPr>
          <w:rFonts w:ascii="Cambria" w:hAnsi="Cambria"/>
          <w:sz w:val="16"/>
          <w:szCs w:val="16"/>
          <w:lang w:val="es-ES"/>
        </w:rPr>
        <w:t xml:space="preserve">August </w:t>
      </w:r>
      <w:r w:rsidRPr="008A7BD7">
        <w:rPr>
          <w:rFonts w:ascii="Cambria" w:hAnsi="Cambria"/>
          <w:sz w:val="16"/>
          <w:szCs w:val="16"/>
          <w:lang w:val="es-ES"/>
        </w:rPr>
        <w:t>18</w:t>
      </w:r>
      <w:r w:rsidR="004C0621" w:rsidRPr="008A7BD7">
        <w:rPr>
          <w:rFonts w:ascii="Cambria" w:hAnsi="Cambria"/>
          <w:sz w:val="16"/>
          <w:szCs w:val="16"/>
          <w:lang w:val="es-ES"/>
        </w:rPr>
        <w:t xml:space="preserve">, </w:t>
      </w:r>
      <w:r w:rsidRPr="008A7BD7">
        <w:rPr>
          <w:rFonts w:ascii="Cambria" w:hAnsi="Cambria"/>
          <w:sz w:val="16"/>
          <w:szCs w:val="16"/>
          <w:lang w:val="es-ES"/>
        </w:rPr>
        <w:t>2021</w:t>
      </w:r>
      <w:r w:rsidR="004C0621" w:rsidRPr="008A7BD7">
        <w:rPr>
          <w:rFonts w:ascii="Cambria" w:hAnsi="Cambria"/>
          <w:sz w:val="16"/>
          <w:szCs w:val="16"/>
          <w:lang w:val="es-ES"/>
        </w:rPr>
        <w:t>.</w:t>
      </w:r>
    </w:p>
  </w:footnote>
  <w:footnote w:id="328">
    <w:p w14:paraId="5E08D974" w14:textId="313E6BE1" w:rsidR="009E52D6" w:rsidRPr="008A7BD7" w:rsidRDefault="009E52D6" w:rsidP="009E52D6">
      <w:pPr>
        <w:pStyle w:val="FootnoteText"/>
        <w:spacing w:after="120"/>
        <w:ind w:firstLine="720"/>
        <w:jc w:val="both"/>
        <w:rPr>
          <w:rFonts w:ascii="Montserrat" w:eastAsia="Montserrat" w:hAnsi="Montserrat" w:cs="Montserrat"/>
        </w:rPr>
      </w:pPr>
      <w:r w:rsidRPr="008A7BD7">
        <w:rPr>
          <w:rStyle w:val="FootnoteReference"/>
          <w:rFonts w:ascii="Cambria" w:hAnsi="Cambria"/>
          <w:sz w:val="16"/>
          <w:szCs w:val="16"/>
        </w:rPr>
        <w:footnoteRef/>
      </w:r>
      <w:r w:rsidRPr="008A7BD7">
        <w:rPr>
          <w:rFonts w:ascii="Cambria" w:hAnsi="Cambria"/>
          <w:sz w:val="16"/>
          <w:szCs w:val="16"/>
        </w:rPr>
        <w:t xml:space="preserve"> </w:t>
      </w:r>
      <w:r w:rsidR="00385B99" w:rsidRPr="008A7BD7">
        <w:rPr>
          <w:rFonts w:ascii="Cambria" w:eastAsia="Montserrat" w:hAnsi="Cambria" w:cs="Montserrat"/>
          <w:sz w:val="16"/>
          <w:szCs w:val="16"/>
        </w:rPr>
        <w:t xml:space="preserve">In that regard, the State noted that an awareness campaign was launched during the </w:t>
      </w:r>
      <w:r w:rsidRPr="008A7BD7">
        <w:rPr>
          <w:rFonts w:ascii="Cambria" w:eastAsia="Montserrat" w:hAnsi="Cambria" w:cs="Montserrat"/>
          <w:sz w:val="16"/>
          <w:szCs w:val="16"/>
        </w:rPr>
        <w:t>COVID-19</w:t>
      </w:r>
      <w:r w:rsidR="00385B99" w:rsidRPr="008A7BD7">
        <w:rPr>
          <w:rFonts w:ascii="Cambria" w:eastAsia="Montserrat" w:hAnsi="Cambria" w:cs="Montserrat"/>
          <w:sz w:val="16"/>
          <w:szCs w:val="16"/>
        </w:rPr>
        <w:t xml:space="preserve"> emergency with the slogan “You are not alone/Break the silence,” the main purpose of which was to promote a culture of reporting cases involving violence against women and girls, senior citizens, and people with disabilities</w:t>
      </w:r>
      <w:r w:rsidRPr="008A7BD7">
        <w:rPr>
          <w:rFonts w:ascii="Cambria" w:eastAsia="Montserrat" w:hAnsi="Cambria" w:cs="Montserrat"/>
          <w:sz w:val="16"/>
          <w:szCs w:val="16"/>
        </w:rPr>
        <w:t xml:space="preserve">. </w:t>
      </w:r>
      <w:r w:rsidR="00CA02A4" w:rsidRPr="008A7BD7">
        <w:rPr>
          <w:rFonts w:ascii="Cambria" w:eastAsia="Montserrat" w:hAnsi="Cambria" w:cs="Montserrat"/>
          <w:sz w:val="16"/>
          <w:szCs w:val="16"/>
        </w:rPr>
        <w:t xml:space="preserve">The State also indicated that </w:t>
      </w:r>
      <w:r w:rsidR="00A46863" w:rsidRPr="008A7BD7">
        <w:rPr>
          <w:rFonts w:ascii="Cambria" w:eastAsia="Montserrat" w:hAnsi="Cambria" w:cs="Montserrat"/>
          <w:sz w:val="16"/>
          <w:szCs w:val="16"/>
        </w:rPr>
        <w:t xml:space="preserve">it promoted </w:t>
      </w:r>
      <w:r w:rsidR="002B0578" w:rsidRPr="008A7BD7">
        <w:rPr>
          <w:rFonts w:ascii="Cambria" w:eastAsia="Montserrat" w:hAnsi="Cambria" w:cs="Montserrat"/>
          <w:sz w:val="16"/>
          <w:szCs w:val="16"/>
        </w:rPr>
        <w:t>an</w:t>
      </w:r>
      <w:r w:rsidR="00A46863" w:rsidRPr="008A7BD7">
        <w:rPr>
          <w:rFonts w:ascii="Cambria" w:eastAsia="Montserrat" w:hAnsi="Cambria" w:cs="Montserrat"/>
          <w:sz w:val="16"/>
          <w:szCs w:val="16"/>
        </w:rPr>
        <w:t xml:space="preserve"> awareness campaign</w:t>
      </w:r>
      <w:r w:rsidR="001E042D" w:rsidRPr="008A7BD7">
        <w:rPr>
          <w:rFonts w:ascii="Cambria" w:eastAsia="Montserrat" w:hAnsi="Cambria" w:cs="Montserrat"/>
          <w:sz w:val="16"/>
          <w:szCs w:val="16"/>
        </w:rPr>
        <w:t xml:space="preserve"> to encourage the reporting of such cases</w:t>
      </w:r>
      <w:r w:rsidR="002B0578" w:rsidRPr="008A7BD7">
        <w:rPr>
          <w:rFonts w:ascii="Cambria" w:eastAsia="Montserrat" w:hAnsi="Cambria" w:cs="Montserrat"/>
          <w:sz w:val="16"/>
          <w:szCs w:val="16"/>
        </w:rPr>
        <w:t xml:space="preserve"> </w:t>
      </w:r>
      <w:r w:rsidR="00D23580" w:rsidRPr="008A7BD7">
        <w:rPr>
          <w:rFonts w:ascii="Cambria" w:eastAsia="Montserrat" w:hAnsi="Cambria" w:cs="Montserrat"/>
          <w:i/>
          <w:iCs/>
          <w:sz w:val="16"/>
          <w:szCs w:val="16"/>
        </w:rPr>
        <w:t>(</w:t>
      </w:r>
      <w:r w:rsidR="002B0578" w:rsidRPr="008A7BD7">
        <w:rPr>
          <w:rFonts w:ascii="Cambria" w:eastAsia="Montserrat" w:hAnsi="Cambria" w:cs="Montserrat"/>
          <w:i/>
          <w:iCs/>
          <w:sz w:val="16"/>
          <w:szCs w:val="16"/>
        </w:rPr>
        <w:t>“</w:t>
      </w:r>
      <w:proofErr w:type="spellStart"/>
      <w:r w:rsidR="002B0578" w:rsidRPr="008A7BD7">
        <w:rPr>
          <w:rFonts w:ascii="Cambria" w:eastAsia="Montserrat" w:hAnsi="Cambria" w:cs="Montserrat"/>
          <w:i/>
          <w:iCs/>
          <w:sz w:val="16"/>
          <w:szCs w:val="16"/>
        </w:rPr>
        <w:t>Yo</w:t>
      </w:r>
      <w:proofErr w:type="spellEnd"/>
      <w:r w:rsidR="002B0578" w:rsidRPr="008A7BD7">
        <w:rPr>
          <w:rFonts w:ascii="Cambria" w:eastAsia="Montserrat" w:hAnsi="Cambria" w:cs="Montserrat"/>
          <w:i/>
          <w:iCs/>
          <w:sz w:val="16"/>
          <w:szCs w:val="16"/>
        </w:rPr>
        <w:t xml:space="preserve"> </w:t>
      </w:r>
      <w:proofErr w:type="spellStart"/>
      <w:r w:rsidR="002B0578" w:rsidRPr="008A7BD7">
        <w:rPr>
          <w:rFonts w:ascii="Cambria" w:eastAsia="Montserrat" w:hAnsi="Cambria" w:cs="Montserrat"/>
          <w:i/>
          <w:iCs/>
          <w:sz w:val="16"/>
          <w:szCs w:val="16"/>
        </w:rPr>
        <w:t>denuncio</w:t>
      </w:r>
      <w:proofErr w:type="spellEnd"/>
      <w:r w:rsidR="002B0578" w:rsidRPr="008A7BD7">
        <w:rPr>
          <w:rFonts w:ascii="Cambria" w:eastAsia="Montserrat" w:hAnsi="Cambria" w:cs="Montserrat"/>
          <w:i/>
          <w:iCs/>
          <w:sz w:val="16"/>
          <w:szCs w:val="16"/>
        </w:rPr>
        <w:t>”</w:t>
      </w:r>
      <w:r w:rsidR="00CF1B4E" w:rsidRPr="008A7BD7">
        <w:rPr>
          <w:rFonts w:ascii="Cambria" w:eastAsia="Montserrat" w:hAnsi="Cambria" w:cs="Montserrat"/>
          <w:i/>
          <w:iCs/>
          <w:sz w:val="16"/>
          <w:szCs w:val="16"/>
        </w:rPr>
        <w:t>)</w:t>
      </w:r>
      <w:r w:rsidR="002B0578" w:rsidRPr="008A7BD7">
        <w:rPr>
          <w:rFonts w:ascii="Cambria" w:eastAsia="Montserrat" w:hAnsi="Cambria" w:cs="Montserrat"/>
          <w:sz w:val="16"/>
          <w:szCs w:val="16"/>
        </w:rPr>
        <w:t>,</w:t>
      </w:r>
      <w:r w:rsidR="00A46863" w:rsidRPr="008A7BD7">
        <w:rPr>
          <w:rFonts w:ascii="Cambria" w:eastAsia="Montserrat" w:hAnsi="Cambria" w:cs="Montserrat"/>
          <w:sz w:val="16"/>
          <w:szCs w:val="16"/>
        </w:rPr>
        <w:t xml:space="preserve"> </w:t>
      </w:r>
      <w:r w:rsidR="006E283B" w:rsidRPr="008A7BD7">
        <w:rPr>
          <w:rFonts w:ascii="Cambria" w:eastAsia="Montserrat" w:hAnsi="Cambria" w:cs="Montserrat"/>
          <w:sz w:val="16"/>
          <w:szCs w:val="16"/>
        </w:rPr>
        <w:t>with messages on</w:t>
      </w:r>
      <w:r w:rsidR="001E042D" w:rsidRPr="008A7BD7">
        <w:rPr>
          <w:rFonts w:ascii="Cambria" w:eastAsia="Montserrat" w:hAnsi="Cambria" w:cs="Montserrat"/>
          <w:sz w:val="16"/>
          <w:szCs w:val="16"/>
        </w:rPr>
        <w:t xml:space="preserve"> </w:t>
      </w:r>
      <w:r w:rsidR="006E283B" w:rsidRPr="008A7BD7">
        <w:rPr>
          <w:rFonts w:ascii="Cambria" w:eastAsia="Montserrat" w:hAnsi="Cambria" w:cs="Montserrat"/>
          <w:sz w:val="16"/>
          <w:szCs w:val="16"/>
        </w:rPr>
        <w:t>the radio and social media</w:t>
      </w:r>
      <w:r w:rsidR="002B0578" w:rsidRPr="008A7BD7">
        <w:rPr>
          <w:rFonts w:ascii="Cambria" w:eastAsia="Montserrat" w:hAnsi="Cambria" w:cs="Montserrat"/>
          <w:sz w:val="16"/>
          <w:szCs w:val="16"/>
        </w:rPr>
        <w:t xml:space="preserve">, an effort </w:t>
      </w:r>
      <w:r w:rsidR="006E283B" w:rsidRPr="008A7BD7">
        <w:rPr>
          <w:rFonts w:ascii="Cambria" w:eastAsia="Montserrat" w:hAnsi="Cambria" w:cs="Montserrat"/>
          <w:sz w:val="16"/>
          <w:szCs w:val="16"/>
        </w:rPr>
        <w:t>support</w:t>
      </w:r>
      <w:r w:rsidR="002B0578" w:rsidRPr="008A7BD7">
        <w:rPr>
          <w:rFonts w:ascii="Cambria" w:eastAsia="Montserrat" w:hAnsi="Cambria" w:cs="Montserrat"/>
          <w:sz w:val="16"/>
          <w:szCs w:val="16"/>
        </w:rPr>
        <w:t>ed by</w:t>
      </w:r>
      <w:r w:rsidR="006E283B" w:rsidRPr="008A7BD7">
        <w:rPr>
          <w:rFonts w:ascii="Cambria" w:eastAsia="Montserrat" w:hAnsi="Cambria" w:cs="Montserrat"/>
          <w:sz w:val="16"/>
          <w:szCs w:val="16"/>
        </w:rPr>
        <w:t xml:space="preserve"> the United Nations Development </w:t>
      </w:r>
      <w:proofErr w:type="spellStart"/>
      <w:r w:rsidR="006E283B" w:rsidRPr="008A7BD7">
        <w:rPr>
          <w:rFonts w:ascii="Cambria" w:eastAsia="Montserrat" w:hAnsi="Cambria" w:cs="Montserrat"/>
          <w:sz w:val="16"/>
          <w:szCs w:val="16"/>
        </w:rPr>
        <w:t>Programme</w:t>
      </w:r>
      <w:proofErr w:type="spellEnd"/>
      <w:r w:rsidR="006E283B" w:rsidRPr="008A7BD7">
        <w:rPr>
          <w:rFonts w:ascii="Cambria" w:eastAsia="Montserrat" w:hAnsi="Cambria" w:cs="Montserrat"/>
          <w:sz w:val="16"/>
          <w:szCs w:val="16"/>
        </w:rPr>
        <w:t xml:space="preserve"> (UNDP)</w:t>
      </w:r>
      <w:r w:rsidRPr="008A7BD7">
        <w:rPr>
          <w:rFonts w:ascii="Cambria" w:eastAsia="Montserrat" w:hAnsi="Cambria" w:cs="Montserrat"/>
          <w:sz w:val="16"/>
          <w:szCs w:val="16"/>
        </w:rPr>
        <w:t>. </w:t>
      </w:r>
      <w:r w:rsidR="006E283B" w:rsidRPr="008A7BD7">
        <w:rPr>
          <w:rFonts w:ascii="Cambria" w:eastAsia="Montserrat" w:hAnsi="Cambria" w:cs="Montserrat"/>
          <w:sz w:val="16"/>
          <w:szCs w:val="16"/>
        </w:rPr>
        <w:t xml:space="preserve">The State also pointed to actions carried out by the Interior Ministry to prevent violence against women and intrafamily violence, </w:t>
      </w:r>
      <w:proofErr w:type="gramStart"/>
      <w:r w:rsidR="006E283B" w:rsidRPr="008A7BD7">
        <w:rPr>
          <w:rFonts w:ascii="Cambria" w:eastAsia="Montserrat" w:hAnsi="Cambria" w:cs="Montserrat"/>
          <w:sz w:val="16"/>
          <w:szCs w:val="16"/>
        </w:rPr>
        <w:t>including</w:t>
      </w:r>
      <w:r w:rsidRPr="008A7BD7">
        <w:rPr>
          <w:rFonts w:ascii="Cambria" w:eastAsia="Montserrat" w:hAnsi="Cambria" w:cs="Montserrat"/>
          <w:sz w:val="16"/>
          <w:szCs w:val="16"/>
        </w:rPr>
        <w:t>:</w:t>
      </w:r>
      <w:proofErr w:type="gramEnd"/>
      <w:r w:rsidRPr="008A7BD7">
        <w:rPr>
          <w:rFonts w:ascii="Cambria" w:eastAsia="Montserrat" w:hAnsi="Cambria" w:cs="Montserrat"/>
          <w:sz w:val="16"/>
          <w:szCs w:val="16"/>
        </w:rPr>
        <w:t xml:space="preserve"> </w:t>
      </w:r>
      <w:r w:rsidR="00BE56E6" w:rsidRPr="008A7BD7">
        <w:rPr>
          <w:rFonts w:ascii="Cambria" w:eastAsia="Montserrat" w:hAnsi="Cambria" w:cs="Montserrat"/>
          <w:sz w:val="16"/>
          <w:szCs w:val="16"/>
        </w:rPr>
        <w:t xml:space="preserve">support, immediate follow-up, and coordination of investigations </w:t>
      </w:r>
      <w:r w:rsidR="00CF1B4E" w:rsidRPr="008A7BD7">
        <w:rPr>
          <w:rFonts w:ascii="Cambria" w:eastAsia="Montserrat" w:hAnsi="Cambria" w:cs="Montserrat"/>
          <w:sz w:val="16"/>
          <w:szCs w:val="16"/>
        </w:rPr>
        <w:t>with</w:t>
      </w:r>
      <w:r w:rsidR="00BE56E6" w:rsidRPr="008A7BD7">
        <w:rPr>
          <w:rFonts w:ascii="Cambria" w:eastAsia="Montserrat" w:hAnsi="Cambria" w:cs="Montserrat"/>
          <w:sz w:val="16"/>
          <w:szCs w:val="16"/>
        </w:rPr>
        <w:t xml:space="preserve"> the Public Prosecutor’s Office and campaigns to address the problems of violence against women, intrafamily violence, workplace and sexual </w:t>
      </w:r>
      <w:r w:rsidR="00CE39F9" w:rsidRPr="008A7BD7">
        <w:rPr>
          <w:rFonts w:ascii="Cambria" w:eastAsia="Montserrat" w:hAnsi="Cambria" w:cs="Montserrat"/>
          <w:sz w:val="16"/>
          <w:szCs w:val="16"/>
        </w:rPr>
        <w:t>harassment</w:t>
      </w:r>
      <w:r w:rsidR="00BE56E6" w:rsidRPr="008A7BD7">
        <w:rPr>
          <w:rFonts w:ascii="Cambria" w:eastAsia="Montserrat" w:hAnsi="Cambria" w:cs="Montserrat"/>
          <w:sz w:val="16"/>
          <w:szCs w:val="16"/>
        </w:rPr>
        <w:t>, and human trafficking</w:t>
      </w:r>
      <w:r w:rsidRPr="008A7BD7">
        <w:rPr>
          <w:rFonts w:ascii="Cambria" w:eastAsia="Montserrat" w:hAnsi="Cambria" w:cs="Montserrat"/>
          <w:sz w:val="16"/>
          <w:szCs w:val="16"/>
        </w:rPr>
        <w:t>. Final</w:t>
      </w:r>
      <w:r w:rsidR="00BE56E6" w:rsidRPr="008A7BD7">
        <w:rPr>
          <w:rFonts w:ascii="Cambria" w:eastAsia="Montserrat" w:hAnsi="Cambria" w:cs="Montserrat"/>
          <w:sz w:val="16"/>
          <w:szCs w:val="16"/>
        </w:rPr>
        <w:t xml:space="preserve">ly, from </w:t>
      </w:r>
      <w:r w:rsidRPr="008A7BD7">
        <w:rPr>
          <w:rFonts w:ascii="Cambria" w:eastAsia="Montserrat" w:hAnsi="Cambria" w:cs="Montserrat"/>
          <w:sz w:val="16"/>
          <w:szCs w:val="16"/>
        </w:rPr>
        <w:t xml:space="preserve">2018 </w:t>
      </w:r>
      <w:r w:rsidR="00BE56E6" w:rsidRPr="008A7BD7">
        <w:rPr>
          <w:rFonts w:ascii="Cambria" w:eastAsia="Montserrat" w:hAnsi="Cambria" w:cs="Montserrat"/>
          <w:sz w:val="16"/>
          <w:szCs w:val="16"/>
        </w:rPr>
        <w:t>to</w:t>
      </w:r>
      <w:r w:rsidRPr="008A7BD7">
        <w:rPr>
          <w:rFonts w:ascii="Cambria" w:eastAsia="Montserrat" w:hAnsi="Cambria" w:cs="Montserrat"/>
          <w:sz w:val="16"/>
          <w:szCs w:val="16"/>
        </w:rPr>
        <w:t xml:space="preserve"> 2020, </w:t>
      </w:r>
      <w:r w:rsidR="00BE56E6" w:rsidRPr="008A7BD7">
        <w:rPr>
          <w:rFonts w:ascii="Cambria" w:eastAsia="Montserrat" w:hAnsi="Cambria" w:cs="Montserrat"/>
          <w:sz w:val="16"/>
          <w:szCs w:val="16"/>
        </w:rPr>
        <w:t xml:space="preserve">the Ministry of the Interior carried out training </w:t>
      </w:r>
      <w:r w:rsidR="00B11E19" w:rsidRPr="008A7BD7">
        <w:rPr>
          <w:rFonts w:ascii="Cambria" w:eastAsia="Montserrat" w:hAnsi="Cambria" w:cs="Montserrat"/>
          <w:sz w:val="16"/>
          <w:szCs w:val="16"/>
        </w:rPr>
        <w:t>activities</w:t>
      </w:r>
      <w:r w:rsidR="00BE56E6" w:rsidRPr="008A7BD7">
        <w:rPr>
          <w:rFonts w:ascii="Cambria" w:eastAsia="Montserrat" w:hAnsi="Cambria" w:cs="Montserrat"/>
          <w:sz w:val="16"/>
          <w:szCs w:val="16"/>
        </w:rPr>
        <w:t xml:space="preserve"> for police personnel in general, for the Specialized Criminal Investigation Division, on issues related to human rights, the Immediate Search for Missing Women Law, the</w:t>
      </w:r>
      <w:r w:rsidRPr="008A7BD7">
        <w:rPr>
          <w:rFonts w:ascii="Cambria" w:eastAsia="Montserrat" w:hAnsi="Cambria" w:cs="Montserrat"/>
          <w:sz w:val="16"/>
          <w:szCs w:val="16"/>
        </w:rPr>
        <w:t xml:space="preserve"> Alba-</w:t>
      </w:r>
      <w:proofErr w:type="spellStart"/>
      <w:r w:rsidRPr="008A7BD7">
        <w:rPr>
          <w:rFonts w:ascii="Cambria" w:eastAsia="Montserrat" w:hAnsi="Cambria" w:cs="Montserrat"/>
          <w:sz w:val="16"/>
          <w:szCs w:val="16"/>
        </w:rPr>
        <w:t>Keneth</w:t>
      </w:r>
      <w:proofErr w:type="spellEnd"/>
      <w:r w:rsidR="00027F42" w:rsidRPr="008A7BD7">
        <w:rPr>
          <w:rFonts w:ascii="Cambria" w:eastAsia="Montserrat" w:hAnsi="Cambria" w:cs="Montserrat"/>
          <w:sz w:val="16"/>
          <w:szCs w:val="16"/>
        </w:rPr>
        <w:t xml:space="preserve"> Alert System Law, violence against women, intrafamily violence, and police action</w:t>
      </w:r>
      <w:r w:rsidR="00B11E19" w:rsidRPr="008A7BD7">
        <w:rPr>
          <w:rFonts w:ascii="Cambria" w:eastAsia="Montserrat" w:hAnsi="Cambria" w:cs="Montserrat"/>
          <w:sz w:val="16"/>
          <w:szCs w:val="16"/>
        </w:rPr>
        <w:t>s</w:t>
      </w:r>
      <w:r w:rsidR="00027F42" w:rsidRPr="008A7BD7">
        <w:rPr>
          <w:rFonts w:ascii="Cambria" w:eastAsia="Montserrat" w:hAnsi="Cambria" w:cs="Montserrat"/>
          <w:sz w:val="16"/>
          <w:szCs w:val="16"/>
        </w:rPr>
        <w:t xml:space="preserve"> on matters involving children and adolescents in which gender aspects are </w:t>
      </w:r>
      <w:proofErr w:type="gramStart"/>
      <w:r w:rsidR="00027F42" w:rsidRPr="008A7BD7">
        <w:rPr>
          <w:rFonts w:ascii="Cambria" w:eastAsia="Montserrat" w:hAnsi="Cambria" w:cs="Montserrat"/>
          <w:sz w:val="16"/>
          <w:szCs w:val="16"/>
        </w:rPr>
        <w:t>taken into account</w:t>
      </w:r>
      <w:proofErr w:type="gramEnd"/>
      <w:r w:rsidR="00027F42" w:rsidRPr="008A7BD7">
        <w:rPr>
          <w:rFonts w:ascii="Cambria" w:eastAsia="Montserrat" w:hAnsi="Cambria" w:cs="Montserrat"/>
          <w:sz w:val="16"/>
          <w:szCs w:val="16"/>
        </w:rPr>
        <w:t xml:space="preserve">. In all, </w:t>
      </w:r>
      <w:r w:rsidRPr="008A7BD7">
        <w:rPr>
          <w:rFonts w:ascii="Cambria" w:eastAsia="Montserrat" w:hAnsi="Cambria" w:cs="Montserrat"/>
          <w:sz w:val="16"/>
          <w:szCs w:val="16"/>
        </w:rPr>
        <w:t xml:space="preserve">14,448 </w:t>
      </w:r>
      <w:r w:rsidR="00027F42" w:rsidRPr="008A7BD7">
        <w:rPr>
          <w:rFonts w:ascii="Cambria" w:eastAsia="Montserrat" w:hAnsi="Cambria" w:cs="Montserrat"/>
          <w:sz w:val="16"/>
          <w:szCs w:val="16"/>
        </w:rPr>
        <w:t>police officers have received training</w:t>
      </w:r>
      <w:r w:rsidRPr="008A7BD7">
        <w:rPr>
          <w:rFonts w:ascii="Cambria" w:eastAsia="Montserrat" w:hAnsi="Cambria" w:cs="Montserrat"/>
          <w:sz w:val="16"/>
          <w:szCs w:val="16"/>
        </w:rPr>
        <w:t>.</w:t>
      </w:r>
      <w:r w:rsidR="002B0578" w:rsidRPr="008A7BD7">
        <w:rPr>
          <w:rFonts w:ascii="Cambria" w:eastAsia="Montserrat" w:hAnsi="Cambria" w:cs="Montserrat"/>
          <w:sz w:val="16"/>
          <w:szCs w:val="16"/>
        </w:rPr>
        <w:t xml:space="preserve"> </w:t>
      </w:r>
      <w:r w:rsidR="001477AF" w:rsidRPr="008A7BD7">
        <w:rPr>
          <w:rFonts w:ascii="Cambria" w:hAnsi="Cambria"/>
          <w:sz w:val="16"/>
          <w:szCs w:val="16"/>
        </w:rPr>
        <w:t>Response from the State of</w:t>
      </w:r>
      <w:r w:rsidR="001477A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77AF" w:rsidRPr="008A7BD7">
        <w:rPr>
          <w:rFonts w:ascii="Cambria" w:hAnsi="Cambria"/>
          <w:sz w:val="16"/>
          <w:szCs w:val="16"/>
        </w:rPr>
        <w:t>OEA</w:t>
      </w:r>
      <w:r w:rsidR="001477AF" w:rsidRPr="008A7BD7">
        <w:rPr>
          <w:rFonts w:ascii="Cambria" w:eastAsia="Cambria" w:hAnsi="Cambria" w:cs="Cambria"/>
          <w:color w:val="000000"/>
          <w:sz w:val="16"/>
          <w:szCs w:val="16"/>
        </w:rPr>
        <w:t>-M4-980-2021, December 22, 2021, p</w:t>
      </w:r>
      <w:r w:rsidR="001477AF"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162</w:t>
      </w:r>
      <w:r w:rsidR="00B11E19"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163.</w:t>
      </w:r>
    </w:p>
  </w:footnote>
  <w:footnote w:id="329">
    <w:p w14:paraId="148B32DA" w14:textId="549C6EC1" w:rsidR="009E52D6" w:rsidRPr="008A7BD7" w:rsidRDefault="009E52D6" w:rsidP="009E52D6">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CE39F9" w:rsidRPr="008A7BD7">
        <w:rPr>
          <w:rFonts w:ascii="Cambria" w:hAnsi="Cambria"/>
          <w:sz w:val="16"/>
          <w:szCs w:val="16"/>
        </w:rPr>
        <w:t>In that regard, it reported the following steps forward</w:t>
      </w:r>
      <w:r w:rsidRPr="008A7BD7">
        <w:rPr>
          <w:rFonts w:ascii="Cambria" w:hAnsi="Cambria"/>
          <w:sz w:val="16"/>
          <w:szCs w:val="16"/>
        </w:rPr>
        <w:t xml:space="preserve">: </w:t>
      </w:r>
      <w:r w:rsidR="00CE39F9" w:rsidRPr="008A7BD7">
        <w:rPr>
          <w:rFonts w:ascii="Cambria" w:hAnsi="Cambria"/>
          <w:sz w:val="16"/>
          <w:szCs w:val="16"/>
        </w:rPr>
        <w:t xml:space="preserve">May </w:t>
      </w:r>
      <w:r w:rsidRPr="008A7BD7">
        <w:rPr>
          <w:rFonts w:ascii="Cambria" w:hAnsi="Cambria"/>
          <w:sz w:val="16"/>
          <w:szCs w:val="16"/>
        </w:rPr>
        <w:t>11</w:t>
      </w:r>
      <w:r w:rsidR="00CE39F9" w:rsidRPr="008A7BD7">
        <w:rPr>
          <w:rFonts w:ascii="Cambria" w:hAnsi="Cambria"/>
          <w:sz w:val="16"/>
          <w:szCs w:val="16"/>
        </w:rPr>
        <w:t xml:space="preserve">, </w:t>
      </w:r>
      <w:r w:rsidRPr="008A7BD7">
        <w:rPr>
          <w:rFonts w:ascii="Cambria" w:hAnsi="Cambria"/>
          <w:sz w:val="16"/>
          <w:szCs w:val="16"/>
        </w:rPr>
        <w:t>2021</w:t>
      </w:r>
      <w:r w:rsidR="00CE39F9" w:rsidRPr="008A7BD7">
        <w:rPr>
          <w:rFonts w:ascii="Cambria" w:hAnsi="Cambria"/>
          <w:sz w:val="16"/>
          <w:szCs w:val="16"/>
        </w:rPr>
        <w:t>—Meeting with the CONAPREVI Commission on Institutional Strengthening of the State to provide feedback on the proposed technical guidelines of the</w:t>
      </w:r>
      <w:r w:rsidRPr="008A7BD7">
        <w:rPr>
          <w:rFonts w:ascii="Cambria" w:hAnsi="Cambria"/>
          <w:sz w:val="16"/>
          <w:szCs w:val="16"/>
        </w:rPr>
        <w:t xml:space="preserve"> PLANOVI</w:t>
      </w:r>
      <w:r w:rsidR="00A86703" w:rsidRPr="008A7BD7">
        <w:rPr>
          <w:rFonts w:ascii="Cambria" w:hAnsi="Cambria"/>
          <w:sz w:val="16"/>
          <w:szCs w:val="16"/>
        </w:rPr>
        <w:t xml:space="preserve"> Implementation Strategy</w:t>
      </w:r>
      <w:r w:rsidRPr="008A7BD7">
        <w:rPr>
          <w:rFonts w:ascii="Cambria" w:hAnsi="Cambria"/>
          <w:sz w:val="16"/>
          <w:szCs w:val="16"/>
        </w:rPr>
        <w:t xml:space="preserve">; </w:t>
      </w:r>
      <w:r w:rsidR="00A86703" w:rsidRPr="008A7BD7">
        <w:rPr>
          <w:rFonts w:ascii="Cambria" w:hAnsi="Cambria"/>
          <w:sz w:val="16"/>
          <w:szCs w:val="16"/>
        </w:rPr>
        <w:t>preparation of the</w:t>
      </w:r>
      <w:r w:rsidR="002B0578" w:rsidRPr="008A7BD7">
        <w:rPr>
          <w:rFonts w:ascii="Cambria" w:hAnsi="Cambria"/>
          <w:sz w:val="16"/>
          <w:szCs w:val="16"/>
        </w:rPr>
        <w:t xml:space="preserve"> </w:t>
      </w:r>
      <w:r w:rsidR="007B38A9" w:rsidRPr="008A7BD7">
        <w:rPr>
          <w:rFonts w:ascii="Cambria" w:hAnsi="Cambria"/>
          <w:sz w:val="16"/>
          <w:szCs w:val="16"/>
        </w:rPr>
        <w:t>first draft of the instruments for operationalizing and planning institutional commitments</w:t>
      </w:r>
      <w:r w:rsidRPr="008A7BD7">
        <w:rPr>
          <w:rFonts w:ascii="Cambria" w:hAnsi="Cambria"/>
          <w:sz w:val="16"/>
          <w:szCs w:val="16"/>
        </w:rPr>
        <w:t xml:space="preserve">; </w:t>
      </w:r>
      <w:r w:rsidR="007B38A9" w:rsidRPr="008A7BD7">
        <w:rPr>
          <w:rFonts w:ascii="Cambria" w:hAnsi="Cambria"/>
          <w:sz w:val="16"/>
          <w:szCs w:val="16"/>
        </w:rPr>
        <w:t xml:space="preserve">June </w:t>
      </w:r>
      <w:r w:rsidRPr="008A7BD7">
        <w:rPr>
          <w:rFonts w:ascii="Cambria" w:hAnsi="Cambria"/>
          <w:sz w:val="16"/>
          <w:szCs w:val="16"/>
        </w:rPr>
        <w:t>2</w:t>
      </w:r>
      <w:r w:rsidR="007B38A9" w:rsidRPr="008A7BD7">
        <w:rPr>
          <w:rFonts w:ascii="Cambria" w:hAnsi="Cambria"/>
          <w:sz w:val="16"/>
          <w:szCs w:val="16"/>
        </w:rPr>
        <w:t xml:space="preserve">, </w:t>
      </w:r>
      <w:r w:rsidRPr="008A7BD7">
        <w:rPr>
          <w:rFonts w:ascii="Cambria" w:hAnsi="Cambria"/>
          <w:sz w:val="16"/>
          <w:szCs w:val="16"/>
        </w:rPr>
        <w:t>2021</w:t>
      </w:r>
      <w:r w:rsidR="007B38A9" w:rsidRPr="008A7BD7">
        <w:rPr>
          <w:rFonts w:ascii="Cambria" w:hAnsi="Cambria"/>
          <w:sz w:val="16"/>
          <w:szCs w:val="16"/>
        </w:rPr>
        <w:t xml:space="preserve">—Meeting with the </w:t>
      </w:r>
      <w:r w:rsidR="00B744E0" w:rsidRPr="008A7BD7">
        <w:rPr>
          <w:rFonts w:ascii="Cambria" w:hAnsi="Cambria"/>
          <w:sz w:val="16"/>
          <w:szCs w:val="16"/>
        </w:rPr>
        <w:t xml:space="preserve">Commission on Institutional Strengthening to review methodological instruments; drafting of the PLANOVI Implementation Strategy </w:t>
      </w:r>
      <w:r w:rsidRPr="008A7BD7">
        <w:rPr>
          <w:rFonts w:ascii="Cambria" w:hAnsi="Cambria"/>
          <w:sz w:val="16"/>
          <w:szCs w:val="16"/>
        </w:rPr>
        <w:t xml:space="preserve">2020-2029, </w:t>
      </w:r>
      <w:r w:rsidR="00B744E0" w:rsidRPr="008A7BD7">
        <w:rPr>
          <w:rFonts w:ascii="Cambria" w:hAnsi="Cambria"/>
          <w:sz w:val="16"/>
          <w:szCs w:val="16"/>
        </w:rPr>
        <w:t>which includes methodological instruments</w:t>
      </w:r>
      <w:r w:rsidRPr="008A7BD7">
        <w:rPr>
          <w:rFonts w:ascii="Cambria" w:hAnsi="Cambria"/>
          <w:sz w:val="16"/>
          <w:szCs w:val="16"/>
        </w:rPr>
        <w:t xml:space="preserve">; </w:t>
      </w:r>
      <w:r w:rsidR="00B744E0" w:rsidRPr="008A7BD7">
        <w:rPr>
          <w:rFonts w:ascii="Cambria" w:hAnsi="Cambria"/>
          <w:sz w:val="16"/>
          <w:szCs w:val="16"/>
        </w:rPr>
        <w:t xml:space="preserve">June </w:t>
      </w:r>
      <w:r w:rsidRPr="008A7BD7">
        <w:rPr>
          <w:rFonts w:ascii="Cambria" w:hAnsi="Cambria"/>
          <w:sz w:val="16"/>
          <w:szCs w:val="16"/>
        </w:rPr>
        <w:t>21</w:t>
      </w:r>
      <w:r w:rsidR="00B744E0" w:rsidRPr="008A7BD7">
        <w:rPr>
          <w:rFonts w:ascii="Cambria" w:hAnsi="Cambria"/>
          <w:sz w:val="16"/>
          <w:szCs w:val="16"/>
        </w:rPr>
        <w:t xml:space="preserve">, </w:t>
      </w:r>
      <w:r w:rsidRPr="008A7BD7">
        <w:rPr>
          <w:rFonts w:ascii="Cambria" w:hAnsi="Cambria"/>
          <w:sz w:val="16"/>
          <w:szCs w:val="16"/>
        </w:rPr>
        <w:t>2021</w:t>
      </w:r>
      <w:r w:rsidR="00B744E0" w:rsidRPr="008A7BD7">
        <w:rPr>
          <w:rFonts w:ascii="Cambria" w:hAnsi="Cambria"/>
          <w:sz w:val="16"/>
          <w:szCs w:val="16"/>
        </w:rPr>
        <w:t>—Distribution of the preliminary version of the PLANOVI Implementation Strategy 2020-2029</w:t>
      </w:r>
      <w:r w:rsidRPr="008A7BD7">
        <w:rPr>
          <w:rFonts w:ascii="Cambria" w:hAnsi="Cambria"/>
          <w:sz w:val="16"/>
          <w:szCs w:val="16"/>
        </w:rPr>
        <w:t xml:space="preserve">, </w:t>
      </w:r>
      <w:r w:rsidR="00B744E0" w:rsidRPr="008A7BD7">
        <w:rPr>
          <w:rFonts w:ascii="Cambria" w:hAnsi="Cambria"/>
          <w:sz w:val="16"/>
          <w:szCs w:val="16"/>
        </w:rPr>
        <w:t xml:space="preserve">including the methodological instruments, to the members of </w:t>
      </w:r>
      <w:r w:rsidRPr="008A7BD7">
        <w:rPr>
          <w:rFonts w:ascii="Cambria" w:hAnsi="Cambria"/>
          <w:sz w:val="16"/>
          <w:szCs w:val="16"/>
        </w:rPr>
        <w:t xml:space="preserve">CONAPREVI </w:t>
      </w:r>
      <w:r w:rsidR="00B744E0" w:rsidRPr="008A7BD7">
        <w:rPr>
          <w:rFonts w:ascii="Cambria" w:hAnsi="Cambria"/>
          <w:sz w:val="16"/>
          <w:szCs w:val="16"/>
        </w:rPr>
        <w:t xml:space="preserve">and national counterparts; June </w:t>
      </w:r>
      <w:r w:rsidRPr="008A7BD7">
        <w:rPr>
          <w:rFonts w:ascii="Cambria" w:hAnsi="Cambria"/>
          <w:sz w:val="16"/>
          <w:szCs w:val="16"/>
        </w:rPr>
        <w:t>29</w:t>
      </w:r>
      <w:r w:rsidR="00B744E0" w:rsidRPr="008A7BD7">
        <w:rPr>
          <w:rFonts w:ascii="Cambria" w:hAnsi="Cambria"/>
          <w:sz w:val="16"/>
          <w:szCs w:val="16"/>
        </w:rPr>
        <w:t xml:space="preserve">, </w:t>
      </w:r>
      <w:r w:rsidRPr="008A7BD7">
        <w:rPr>
          <w:rFonts w:ascii="Cambria" w:hAnsi="Cambria"/>
          <w:sz w:val="16"/>
          <w:szCs w:val="16"/>
        </w:rPr>
        <w:t>2021</w:t>
      </w:r>
      <w:r w:rsidR="00B744E0" w:rsidRPr="008A7BD7">
        <w:rPr>
          <w:rFonts w:ascii="Cambria" w:hAnsi="Cambria"/>
          <w:sz w:val="16"/>
          <w:szCs w:val="16"/>
        </w:rPr>
        <w:t>—</w:t>
      </w:r>
      <w:r w:rsidRPr="008A7BD7">
        <w:rPr>
          <w:rFonts w:ascii="Cambria" w:hAnsi="Cambria"/>
          <w:sz w:val="16"/>
          <w:szCs w:val="16"/>
        </w:rPr>
        <w:t xml:space="preserve">CONAPREVI </w:t>
      </w:r>
      <w:r w:rsidR="00B744E0" w:rsidRPr="008A7BD7">
        <w:rPr>
          <w:rFonts w:ascii="Cambria" w:hAnsi="Cambria"/>
          <w:sz w:val="16"/>
          <w:szCs w:val="16"/>
        </w:rPr>
        <w:t>Special Assembly to validate and approve the PLANOVI Implementation Strategy 2020-2029</w:t>
      </w:r>
      <w:r w:rsidRPr="008A7BD7">
        <w:rPr>
          <w:rFonts w:ascii="Cambria" w:hAnsi="Cambria"/>
          <w:sz w:val="16"/>
          <w:szCs w:val="16"/>
        </w:rPr>
        <w:t>.</w:t>
      </w:r>
      <w:r w:rsidRPr="008A7BD7">
        <w:rPr>
          <w:rStyle w:val="normaltextrun"/>
          <w:rFonts w:ascii="Cambria" w:hAnsi="Cambria"/>
          <w:color w:val="000000"/>
          <w:sz w:val="16"/>
          <w:szCs w:val="16"/>
          <w:shd w:val="clear" w:color="auto" w:fill="FFFFFF"/>
        </w:rPr>
        <w:t xml:space="preserve"> </w:t>
      </w:r>
      <w:r w:rsidR="001477AF" w:rsidRPr="008A7BD7">
        <w:rPr>
          <w:rFonts w:ascii="Cambria" w:hAnsi="Cambria"/>
          <w:sz w:val="16"/>
          <w:szCs w:val="16"/>
        </w:rPr>
        <w:t>Response from the State of</w:t>
      </w:r>
      <w:r w:rsidR="001477A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77AF" w:rsidRPr="008A7BD7">
        <w:rPr>
          <w:rFonts w:ascii="Cambria" w:hAnsi="Cambria"/>
          <w:sz w:val="16"/>
          <w:szCs w:val="16"/>
        </w:rPr>
        <w:t>OEA</w:t>
      </w:r>
      <w:r w:rsidR="001477AF"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p. 161</w:t>
      </w:r>
      <w:r w:rsidR="001477AF"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172.</w:t>
      </w:r>
    </w:p>
  </w:footnote>
  <w:footnote w:id="330">
    <w:p w14:paraId="18845205" w14:textId="2AD863CA" w:rsidR="004D1FCF" w:rsidRPr="008A7BD7" w:rsidRDefault="004D1FC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386287" w:rsidRPr="008A7BD7">
        <w:rPr>
          <w:rFonts w:ascii="Cambria" w:hAnsi="Cambria"/>
          <w:sz w:val="16"/>
          <w:szCs w:val="16"/>
        </w:rPr>
        <w:t xml:space="preserve">IACHR, </w:t>
      </w:r>
      <w:hyperlink r:id="rId322" w:history="1">
        <w:r w:rsidR="00386287" w:rsidRPr="008A7BD7">
          <w:rPr>
            <w:rStyle w:val="Hyperlink"/>
            <w:rFonts w:ascii="Cambria" w:hAnsi="Cambria"/>
            <w:sz w:val="16"/>
            <w:szCs w:val="16"/>
          </w:rPr>
          <w:t>Access to Justice for Women Victims of Violence in the Americas</w:t>
        </w:r>
      </w:hyperlink>
      <w:r w:rsidR="00386287" w:rsidRPr="008A7BD7">
        <w:rPr>
          <w:rFonts w:ascii="Cambria" w:hAnsi="Cambria"/>
          <w:sz w:val="16"/>
          <w:szCs w:val="16"/>
        </w:rPr>
        <w:t xml:space="preserve">, </w:t>
      </w:r>
      <w:r w:rsidRPr="008A7BD7">
        <w:rPr>
          <w:rFonts w:ascii="Cambria" w:hAnsi="Cambria"/>
          <w:sz w:val="16"/>
          <w:szCs w:val="16"/>
        </w:rPr>
        <w:t>OEA/</w:t>
      </w:r>
      <w:proofErr w:type="spellStart"/>
      <w:r w:rsidRPr="008A7BD7">
        <w:rPr>
          <w:rFonts w:ascii="Cambria" w:hAnsi="Cambria"/>
          <w:sz w:val="16"/>
          <w:szCs w:val="16"/>
        </w:rPr>
        <w:t>Ser.L</w:t>
      </w:r>
      <w:proofErr w:type="spellEnd"/>
      <w:r w:rsidRPr="008A7BD7">
        <w:rPr>
          <w:rFonts w:ascii="Cambria" w:hAnsi="Cambria"/>
          <w:sz w:val="16"/>
          <w:szCs w:val="16"/>
        </w:rPr>
        <w:t xml:space="preserve">/V/II. Doc. 68. 2007, </w:t>
      </w:r>
      <w:r w:rsidR="00386287" w:rsidRPr="008A7BD7">
        <w:rPr>
          <w:rFonts w:ascii="Cambria" w:hAnsi="Cambria"/>
          <w:sz w:val="16"/>
          <w:szCs w:val="16"/>
        </w:rPr>
        <w:t>Chapter</w:t>
      </w:r>
      <w:r w:rsidRPr="008A7BD7">
        <w:rPr>
          <w:rFonts w:ascii="Cambria" w:hAnsi="Cambria"/>
          <w:sz w:val="16"/>
          <w:szCs w:val="16"/>
        </w:rPr>
        <w:t xml:space="preserve"> IV</w:t>
      </w:r>
      <w:r w:rsidR="00386287" w:rsidRPr="008A7BD7">
        <w:rPr>
          <w:rFonts w:ascii="Cambria" w:hAnsi="Cambria"/>
          <w:sz w:val="16"/>
          <w:szCs w:val="16"/>
        </w:rPr>
        <w:t>, Specific recommendations: Precautionary and preventive protection.</w:t>
      </w:r>
    </w:p>
  </w:footnote>
  <w:footnote w:id="331">
    <w:p w14:paraId="274B417D" w14:textId="1697CF09" w:rsidR="004D1FCF" w:rsidRPr="008A7BD7" w:rsidRDefault="004D1FC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A61EEA" w:rsidRPr="008A7BD7">
        <w:rPr>
          <w:rFonts w:ascii="Cambria" w:hAnsi="Cambria"/>
          <w:sz w:val="16"/>
          <w:szCs w:val="16"/>
        </w:rPr>
        <w:t xml:space="preserve">IACHR, Violence and Discrimination against Women and Girls, </w:t>
      </w:r>
      <w:hyperlink r:id="rId323" w:history="1">
        <w:r w:rsidR="00A61EEA" w:rsidRPr="008A7BD7">
          <w:rPr>
            <w:rStyle w:val="Hyperlink"/>
            <w:rFonts w:ascii="Cambria" w:hAnsi="Cambria"/>
            <w:sz w:val="16"/>
            <w:szCs w:val="16"/>
          </w:rPr>
          <w:t>Annex 1: Standards and Recommendations</w:t>
        </w:r>
      </w:hyperlink>
      <w:r w:rsidR="00A61EEA" w:rsidRPr="008A7BD7">
        <w:rPr>
          <w:rFonts w:ascii="Cambria" w:hAnsi="Cambria"/>
          <w:sz w:val="16"/>
          <w:szCs w:val="16"/>
        </w:rPr>
        <w:t xml:space="preserve">, </w:t>
      </w:r>
      <w:r w:rsidRPr="008A7BD7">
        <w:rPr>
          <w:rFonts w:ascii="Cambria" w:hAnsi="Cambria"/>
          <w:sz w:val="16"/>
          <w:szCs w:val="16"/>
        </w:rPr>
        <w:t>OEA/</w:t>
      </w:r>
      <w:proofErr w:type="spellStart"/>
      <w:r w:rsidRPr="008A7BD7">
        <w:rPr>
          <w:rFonts w:ascii="Cambria" w:hAnsi="Cambria"/>
          <w:sz w:val="16"/>
          <w:szCs w:val="16"/>
        </w:rPr>
        <w:t>Ser.L</w:t>
      </w:r>
      <w:proofErr w:type="spellEnd"/>
      <w:r w:rsidRPr="008A7BD7">
        <w:rPr>
          <w:rFonts w:ascii="Cambria" w:hAnsi="Cambria"/>
          <w:sz w:val="16"/>
          <w:szCs w:val="16"/>
        </w:rPr>
        <w:t xml:space="preserve">/V/II. Doc. 233, </w:t>
      </w:r>
      <w:r w:rsidR="00A61EEA" w:rsidRPr="008A7BD7">
        <w:rPr>
          <w:rFonts w:ascii="Cambria" w:hAnsi="Cambria"/>
          <w:sz w:val="16"/>
          <w:szCs w:val="16"/>
        </w:rPr>
        <w:t xml:space="preserve">November </w:t>
      </w:r>
      <w:r w:rsidRPr="008A7BD7">
        <w:rPr>
          <w:rFonts w:ascii="Cambria" w:hAnsi="Cambria"/>
          <w:sz w:val="16"/>
          <w:szCs w:val="16"/>
        </w:rPr>
        <w:t>14</w:t>
      </w:r>
      <w:r w:rsidR="00A61EEA" w:rsidRPr="008A7BD7">
        <w:rPr>
          <w:rFonts w:ascii="Cambria" w:hAnsi="Cambria"/>
          <w:sz w:val="16"/>
          <w:szCs w:val="16"/>
        </w:rPr>
        <w:t xml:space="preserve">, </w:t>
      </w:r>
      <w:r w:rsidRPr="008A7BD7">
        <w:rPr>
          <w:rFonts w:ascii="Cambria" w:hAnsi="Cambria"/>
          <w:sz w:val="16"/>
          <w:szCs w:val="16"/>
        </w:rPr>
        <w:t xml:space="preserve">2019, </w:t>
      </w:r>
      <w:r w:rsidR="00A61EEA" w:rsidRPr="008A7BD7">
        <w:rPr>
          <w:rFonts w:ascii="Cambria" w:hAnsi="Cambria"/>
          <w:sz w:val="16"/>
          <w:szCs w:val="16"/>
        </w:rPr>
        <w:t>par</w:t>
      </w:r>
      <w:r w:rsidRPr="008A7BD7">
        <w:rPr>
          <w:rFonts w:ascii="Cambria" w:hAnsi="Cambria"/>
          <w:sz w:val="16"/>
          <w:szCs w:val="16"/>
        </w:rPr>
        <w:t>. 85</w:t>
      </w:r>
      <w:r w:rsidR="000048DF" w:rsidRPr="008A7BD7">
        <w:rPr>
          <w:rFonts w:ascii="Cambria" w:hAnsi="Cambria"/>
          <w:sz w:val="16"/>
          <w:szCs w:val="16"/>
        </w:rPr>
        <w:t>.</w:t>
      </w:r>
    </w:p>
  </w:footnote>
  <w:footnote w:id="332">
    <w:p w14:paraId="0D1C30AE" w14:textId="7D358C02" w:rsidR="004D1FCF" w:rsidRPr="008A7BD7" w:rsidRDefault="004D1FC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0A2E25" w:rsidRPr="008A7BD7">
        <w:rPr>
          <w:rFonts w:ascii="Cambria" w:hAnsi="Cambria"/>
          <w:sz w:val="16"/>
          <w:szCs w:val="16"/>
        </w:rPr>
        <w:t>Government of</w:t>
      </w:r>
      <w:r w:rsidRPr="008A7BD7">
        <w:rPr>
          <w:rFonts w:ascii="Cambria" w:hAnsi="Cambria"/>
          <w:sz w:val="16"/>
          <w:szCs w:val="16"/>
        </w:rPr>
        <w:t xml:space="preserve"> Guatemala, </w:t>
      </w:r>
      <w:hyperlink r:id="rId324">
        <w:r w:rsidRPr="008A7BD7">
          <w:rPr>
            <w:rStyle w:val="Hyperlink"/>
            <w:rFonts w:ascii="Cambria" w:hAnsi="Cambria"/>
            <w:i/>
            <w:iCs/>
            <w:sz w:val="16"/>
            <w:szCs w:val="16"/>
          </w:rPr>
          <w:t xml:space="preserve">Política </w:t>
        </w:r>
        <w:proofErr w:type="spellStart"/>
        <w:r w:rsidRPr="008A7BD7">
          <w:rPr>
            <w:rStyle w:val="Hyperlink"/>
            <w:rFonts w:ascii="Cambria" w:hAnsi="Cambria"/>
            <w:i/>
            <w:iCs/>
            <w:sz w:val="16"/>
            <w:szCs w:val="16"/>
          </w:rPr>
          <w:t>Pública</w:t>
        </w:r>
        <w:proofErr w:type="spellEnd"/>
        <w:r w:rsidRPr="008A7BD7">
          <w:rPr>
            <w:rStyle w:val="Hyperlink"/>
            <w:rFonts w:ascii="Cambria" w:hAnsi="Cambria"/>
            <w:i/>
            <w:iCs/>
            <w:sz w:val="16"/>
            <w:szCs w:val="16"/>
          </w:rPr>
          <w:t xml:space="preserve"> de </w:t>
        </w:r>
        <w:proofErr w:type="spellStart"/>
        <w:r w:rsidRPr="008A7BD7">
          <w:rPr>
            <w:rStyle w:val="Hyperlink"/>
            <w:rFonts w:ascii="Cambria" w:hAnsi="Cambria"/>
            <w:i/>
            <w:iCs/>
            <w:sz w:val="16"/>
            <w:szCs w:val="16"/>
          </w:rPr>
          <w:t>Protección</w:t>
        </w:r>
        <w:proofErr w:type="spellEnd"/>
        <w:r w:rsidRPr="008A7BD7">
          <w:rPr>
            <w:rStyle w:val="Hyperlink"/>
            <w:rFonts w:ascii="Cambria" w:hAnsi="Cambria"/>
            <w:i/>
            <w:iCs/>
            <w:sz w:val="16"/>
            <w:szCs w:val="16"/>
          </w:rPr>
          <w:t xml:space="preserve"> a la Vida y la </w:t>
        </w:r>
        <w:proofErr w:type="spellStart"/>
        <w:r w:rsidRPr="008A7BD7">
          <w:rPr>
            <w:rStyle w:val="Hyperlink"/>
            <w:rFonts w:ascii="Cambria" w:hAnsi="Cambria"/>
            <w:i/>
            <w:iCs/>
            <w:sz w:val="16"/>
            <w:szCs w:val="16"/>
          </w:rPr>
          <w:t>Institucionalidad</w:t>
        </w:r>
        <w:proofErr w:type="spellEnd"/>
        <w:r w:rsidRPr="008A7BD7">
          <w:rPr>
            <w:rStyle w:val="Hyperlink"/>
            <w:rFonts w:ascii="Cambria" w:hAnsi="Cambria"/>
            <w:i/>
            <w:iCs/>
            <w:sz w:val="16"/>
            <w:szCs w:val="16"/>
          </w:rPr>
          <w:t xml:space="preserve"> de la Familia 2021-2032</w:t>
        </w:r>
      </w:hyperlink>
      <w:r w:rsidRPr="008A7BD7">
        <w:rPr>
          <w:rFonts w:ascii="Cambria" w:hAnsi="Cambria"/>
          <w:sz w:val="16"/>
          <w:szCs w:val="16"/>
        </w:rPr>
        <w:t xml:space="preserve">, </w:t>
      </w:r>
      <w:r w:rsidR="00F67E97" w:rsidRPr="008A7BD7">
        <w:rPr>
          <w:rFonts w:ascii="Cambria" w:hAnsi="Cambria"/>
          <w:sz w:val="16"/>
          <w:szCs w:val="16"/>
        </w:rPr>
        <w:t>July</w:t>
      </w:r>
      <w:r w:rsidRPr="008A7BD7">
        <w:rPr>
          <w:rFonts w:ascii="Cambria" w:hAnsi="Cambria"/>
          <w:sz w:val="16"/>
          <w:szCs w:val="16"/>
        </w:rPr>
        <w:t xml:space="preserve"> 2021; </w:t>
      </w:r>
      <w:r w:rsidR="00F67E97" w:rsidRPr="008A7BD7">
        <w:rPr>
          <w:rFonts w:ascii="Cambria" w:hAnsi="Cambria"/>
          <w:sz w:val="16"/>
          <w:szCs w:val="16"/>
        </w:rPr>
        <w:t>Presidential Commission for Peace and Human Rights (COPADEH), Ref.Of.502-2021-DE/COPADEH/HRCR/LFL/Kg, Document sent to the IACHR, July 15, 2021.</w:t>
      </w:r>
    </w:p>
  </w:footnote>
  <w:footnote w:id="333">
    <w:p w14:paraId="0D8435A4" w14:textId="5AC9CC65" w:rsidR="004D1FCF" w:rsidRPr="008A7BD7" w:rsidRDefault="004D1FC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F67E97" w:rsidRPr="008A7BD7">
        <w:rPr>
          <w:rFonts w:ascii="Cambria" w:hAnsi="Cambria"/>
          <w:sz w:val="16"/>
          <w:szCs w:val="16"/>
        </w:rPr>
        <w:t>Government of Guatemala</w:t>
      </w:r>
      <w:r w:rsidRPr="008A7BD7">
        <w:rPr>
          <w:rFonts w:ascii="Cambria" w:hAnsi="Cambria"/>
          <w:sz w:val="16"/>
          <w:szCs w:val="16"/>
        </w:rPr>
        <w:t xml:space="preserve">, </w:t>
      </w:r>
      <w:r w:rsidR="00F67E97" w:rsidRPr="008A7BD7">
        <w:rPr>
          <w:rFonts w:ascii="Cambria" w:hAnsi="Cambria"/>
          <w:sz w:val="16"/>
          <w:szCs w:val="16"/>
        </w:rPr>
        <w:t>Press Release</w:t>
      </w:r>
      <w:r w:rsidRPr="008A7BD7">
        <w:rPr>
          <w:rFonts w:ascii="Cambria" w:hAnsi="Cambria"/>
          <w:sz w:val="16"/>
          <w:szCs w:val="16"/>
        </w:rPr>
        <w:t xml:space="preserve">, </w:t>
      </w:r>
      <w:hyperlink r:id="rId325">
        <w:r w:rsidRPr="008A7BD7">
          <w:rPr>
            <w:rStyle w:val="Hyperlink"/>
            <w:rFonts w:ascii="Cambria" w:hAnsi="Cambria"/>
            <w:i/>
            <w:iCs/>
            <w:sz w:val="16"/>
            <w:szCs w:val="16"/>
          </w:rPr>
          <w:t xml:space="preserve">Guatemala se </w:t>
        </w:r>
        <w:proofErr w:type="spellStart"/>
        <w:r w:rsidRPr="008A7BD7">
          <w:rPr>
            <w:rStyle w:val="Hyperlink"/>
            <w:rFonts w:ascii="Cambria" w:hAnsi="Cambria"/>
            <w:i/>
            <w:iCs/>
            <w:sz w:val="16"/>
            <w:szCs w:val="16"/>
          </w:rPr>
          <w:t>adhiere</w:t>
        </w:r>
        <w:proofErr w:type="spellEnd"/>
        <w:r w:rsidRPr="008A7BD7">
          <w:rPr>
            <w:rStyle w:val="Hyperlink"/>
            <w:rFonts w:ascii="Cambria" w:hAnsi="Cambria"/>
            <w:i/>
            <w:iCs/>
            <w:sz w:val="16"/>
            <w:szCs w:val="16"/>
          </w:rPr>
          <w:t xml:space="preserve"> al “</w:t>
        </w:r>
        <w:proofErr w:type="spellStart"/>
        <w:r w:rsidRPr="008A7BD7">
          <w:rPr>
            <w:rStyle w:val="Hyperlink"/>
            <w:rFonts w:ascii="Cambria" w:hAnsi="Cambria"/>
            <w:i/>
            <w:iCs/>
            <w:sz w:val="16"/>
            <w:szCs w:val="16"/>
          </w:rPr>
          <w:t>Consenso</w:t>
        </w:r>
        <w:proofErr w:type="spellEnd"/>
        <w:r w:rsidRPr="008A7BD7">
          <w:rPr>
            <w:rStyle w:val="Hyperlink"/>
            <w:rFonts w:ascii="Cambria" w:hAnsi="Cambria"/>
            <w:i/>
            <w:iCs/>
            <w:sz w:val="16"/>
            <w:szCs w:val="16"/>
          </w:rPr>
          <w:t xml:space="preserve"> de Ginebra para </w:t>
        </w:r>
        <w:proofErr w:type="spellStart"/>
        <w:r w:rsidRPr="008A7BD7">
          <w:rPr>
            <w:rStyle w:val="Hyperlink"/>
            <w:rFonts w:ascii="Cambria" w:hAnsi="Cambria"/>
            <w:i/>
            <w:iCs/>
            <w:sz w:val="16"/>
            <w:szCs w:val="16"/>
          </w:rPr>
          <w:t>Promover</w:t>
        </w:r>
        <w:proofErr w:type="spellEnd"/>
        <w:r w:rsidRPr="008A7BD7">
          <w:rPr>
            <w:rStyle w:val="Hyperlink"/>
            <w:rFonts w:ascii="Cambria" w:hAnsi="Cambria"/>
            <w:i/>
            <w:iCs/>
            <w:sz w:val="16"/>
            <w:szCs w:val="16"/>
          </w:rPr>
          <w:t xml:space="preserve"> la </w:t>
        </w:r>
        <w:proofErr w:type="spellStart"/>
        <w:r w:rsidRPr="008A7BD7">
          <w:rPr>
            <w:rStyle w:val="Hyperlink"/>
            <w:rFonts w:ascii="Cambria" w:hAnsi="Cambria"/>
            <w:i/>
            <w:iCs/>
            <w:sz w:val="16"/>
            <w:szCs w:val="16"/>
          </w:rPr>
          <w:t>Salud</w:t>
        </w:r>
        <w:proofErr w:type="spellEnd"/>
        <w:r w:rsidRPr="008A7BD7">
          <w:rPr>
            <w:rStyle w:val="Hyperlink"/>
            <w:rFonts w:ascii="Cambria" w:hAnsi="Cambria"/>
            <w:i/>
            <w:iCs/>
            <w:sz w:val="16"/>
            <w:szCs w:val="16"/>
          </w:rPr>
          <w:t xml:space="preserve"> de la </w:t>
        </w:r>
        <w:proofErr w:type="spellStart"/>
        <w:r w:rsidRPr="008A7BD7">
          <w:rPr>
            <w:rStyle w:val="Hyperlink"/>
            <w:rFonts w:ascii="Cambria" w:hAnsi="Cambria"/>
            <w:i/>
            <w:iCs/>
            <w:sz w:val="16"/>
            <w:szCs w:val="16"/>
          </w:rPr>
          <w:t>Mujer</w:t>
        </w:r>
        <w:proofErr w:type="spellEnd"/>
        <w:r w:rsidRPr="008A7BD7">
          <w:rPr>
            <w:rStyle w:val="Hyperlink"/>
            <w:rFonts w:ascii="Cambria" w:hAnsi="Cambria"/>
            <w:i/>
            <w:iCs/>
            <w:sz w:val="16"/>
            <w:szCs w:val="16"/>
          </w:rPr>
          <w:t xml:space="preserve"> y la </w:t>
        </w:r>
        <w:proofErr w:type="spellStart"/>
        <w:r w:rsidRPr="008A7BD7">
          <w:rPr>
            <w:rStyle w:val="Hyperlink"/>
            <w:rFonts w:ascii="Cambria" w:hAnsi="Cambria"/>
            <w:i/>
            <w:iCs/>
            <w:sz w:val="16"/>
            <w:szCs w:val="16"/>
          </w:rPr>
          <w:t>Promoción</w:t>
        </w:r>
        <w:proofErr w:type="spellEnd"/>
        <w:r w:rsidRPr="008A7BD7">
          <w:rPr>
            <w:rStyle w:val="Hyperlink"/>
            <w:rFonts w:ascii="Cambria" w:hAnsi="Cambria"/>
            <w:i/>
            <w:iCs/>
            <w:sz w:val="16"/>
            <w:szCs w:val="16"/>
          </w:rPr>
          <w:t xml:space="preserve"> de la Familia</w:t>
        </w:r>
      </w:hyperlink>
      <w:r w:rsidRPr="008A7BD7">
        <w:rPr>
          <w:rFonts w:ascii="Cambria" w:hAnsi="Cambria"/>
          <w:sz w:val="16"/>
          <w:szCs w:val="16"/>
        </w:rPr>
        <w:t xml:space="preserve">, </w:t>
      </w:r>
      <w:r w:rsidR="00F67E97" w:rsidRPr="008A7BD7">
        <w:rPr>
          <w:rFonts w:ascii="Cambria" w:hAnsi="Cambria"/>
          <w:sz w:val="16"/>
          <w:szCs w:val="16"/>
        </w:rPr>
        <w:t xml:space="preserve">October </w:t>
      </w:r>
      <w:r w:rsidRPr="008A7BD7">
        <w:rPr>
          <w:rFonts w:ascii="Cambria" w:hAnsi="Cambria"/>
          <w:sz w:val="16"/>
          <w:szCs w:val="16"/>
        </w:rPr>
        <w:t>12</w:t>
      </w:r>
      <w:r w:rsidR="00F67E97" w:rsidRPr="008A7BD7">
        <w:rPr>
          <w:rFonts w:ascii="Cambria" w:hAnsi="Cambria"/>
          <w:sz w:val="16"/>
          <w:szCs w:val="16"/>
        </w:rPr>
        <w:t xml:space="preserve">, </w:t>
      </w:r>
      <w:r w:rsidRPr="008A7BD7">
        <w:rPr>
          <w:rFonts w:ascii="Cambria" w:hAnsi="Cambria"/>
          <w:sz w:val="16"/>
          <w:szCs w:val="16"/>
        </w:rPr>
        <w:t xml:space="preserve">2021; </w:t>
      </w:r>
      <w:hyperlink r:id="rId326">
        <w:r w:rsidRPr="008A7BD7">
          <w:rPr>
            <w:rStyle w:val="Hyperlink"/>
            <w:rFonts w:ascii="Cambria" w:hAnsi="Cambria"/>
            <w:sz w:val="16"/>
            <w:szCs w:val="16"/>
          </w:rPr>
          <w:t>Geneva Consensus Declaration on Promoting Women’s Health and Strengthening the Family</w:t>
        </w:r>
      </w:hyperlink>
      <w:r w:rsidRPr="008A7BD7">
        <w:rPr>
          <w:rFonts w:ascii="Cambria" w:hAnsi="Cambria"/>
          <w:sz w:val="16"/>
          <w:szCs w:val="16"/>
        </w:rPr>
        <w:t>.</w:t>
      </w:r>
    </w:p>
  </w:footnote>
  <w:footnote w:id="334">
    <w:p w14:paraId="240A916C" w14:textId="650C1100" w:rsidR="004D1FCF" w:rsidRPr="008A7BD7" w:rsidRDefault="004D1FC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95603F" w:rsidRPr="008A7BD7">
        <w:rPr>
          <w:rFonts w:ascii="Cambria" w:hAnsi="Cambria"/>
          <w:sz w:val="16"/>
          <w:szCs w:val="16"/>
        </w:rPr>
        <w:t>Congress of the Republic</w:t>
      </w:r>
      <w:r w:rsidR="00374067" w:rsidRPr="008A7BD7">
        <w:rPr>
          <w:rFonts w:ascii="Cambria" w:hAnsi="Cambria"/>
          <w:sz w:val="16"/>
          <w:szCs w:val="16"/>
        </w:rPr>
        <w:t xml:space="preserve"> of Guatemala</w:t>
      </w:r>
      <w:r w:rsidR="0095603F" w:rsidRPr="008A7BD7">
        <w:rPr>
          <w:rFonts w:ascii="Cambria" w:hAnsi="Cambria"/>
          <w:sz w:val="16"/>
          <w:szCs w:val="16"/>
        </w:rPr>
        <w:t>,</w:t>
      </w:r>
      <w:r w:rsidRPr="008A7BD7">
        <w:rPr>
          <w:rFonts w:ascii="Cambria" w:hAnsi="Cambria"/>
          <w:sz w:val="16"/>
          <w:szCs w:val="16"/>
        </w:rPr>
        <w:t xml:space="preserve"> </w:t>
      </w:r>
      <w:hyperlink r:id="rId327" w:history="1">
        <w:r w:rsidRPr="008A7BD7">
          <w:rPr>
            <w:rStyle w:val="Hyperlink"/>
            <w:rFonts w:ascii="Cambria" w:hAnsi="Cambria"/>
            <w:sz w:val="16"/>
            <w:szCs w:val="16"/>
          </w:rPr>
          <w:t>Código Penal</w:t>
        </w:r>
      </w:hyperlink>
      <w:r w:rsidRPr="008A7BD7">
        <w:rPr>
          <w:rFonts w:ascii="Cambria" w:hAnsi="Cambria"/>
          <w:sz w:val="16"/>
          <w:szCs w:val="16"/>
        </w:rPr>
        <w:t>, C</w:t>
      </w:r>
      <w:r w:rsidR="0095603F" w:rsidRPr="008A7BD7">
        <w:rPr>
          <w:rFonts w:ascii="Cambria" w:hAnsi="Cambria"/>
          <w:sz w:val="16"/>
          <w:szCs w:val="16"/>
        </w:rPr>
        <w:t xml:space="preserve">hapter </w:t>
      </w:r>
      <w:r w:rsidRPr="008A7BD7">
        <w:rPr>
          <w:rFonts w:ascii="Cambria" w:hAnsi="Cambria"/>
          <w:sz w:val="16"/>
          <w:szCs w:val="16"/>
        </w:rPr>
        <w:t xml:space="preserve">III, </w:t>
      </w:r>
      <w:r w:rsidR="0095603F" w:rsidRPr="008A7BD7">
        <w:rPr>
          <w:rFonts w:ascii="Cambria" w:hAnsi="Cambria"/>
          <w:sz w:val="16"/>
          <w:szCs w:val="16"/>
        </w:rPr>
        <w:t xml:space="preserve">on abortion, Article </w:t>
      </w:r>
      <w:r w:rsidRPr="008A7BD7">
        <w:rPr>
          <w:rFonts w:ascii="Cambria" w:hAnsi="Cambria"/>
          <w:sz w:val="16"/>
          <w:szCs w:val="16"/>
        </w:rPr>
        <w:t>137</w:t>
      </w:r>
      <w:r w:rsidR="0095603F" w:rsidRPr="008A7BD7">
        <w:rPr>
          <w:rFonts w:ascii="Cambria" w:hAnsi="Cambria"/>
          <w:sz w:val="16"/>
          <w:szCs w:val="16"/>
        </w:rPr>
        <w:t>.</w:t>
      </w:r>
    </w:p>
  </w:footnote>
  <w:footnote w:id="335">
    <w:p w14:paraId="4479A298" w14:textId="74272E4D" w:rsidR="004D1FCF" w:rsidRPr="008A7BD7" w:rsidRDefault="004D1FC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95603F" w:rsidRPr="008A7BD7">
        <w:rPr>
          <w:rFonts w:ascii="Cambria" w:hAnsi="Cambria"/>
          <w:sz w:val="16"/>
          <w:szCs w:val="16"/>
        </w:rPr>
        <w:t xml:space="preserve">IACHR, Press Release 208/21, </w:t>
      </w:r>
      <w:hyperlink r:id="rId328" w:history="1">
        <w:r w:rsidR="0095603F" w:rsidRPr="008A7BD7">
          <w:rPr>
            <w:rStyle w:val="Hyperlink"/>
            <w:rFonts w:ascii="Cambria" w:hAnsi="Cambria"/>
            <w:sz w:val="16"/>
            <w:szCs w:val="16"/>
          </w:rPr>
          <w:t>IACHR Expresses Concern over the Adoption of Regressive Measures Concerning Sexual and Reproductive Rights in the Americas</w:t>
        </w:r>
      </w:hyperlink>
      <w:r w:rsidR="0095603F" w:rsidRPr="008A7BD7">
        <w:rPr>
          <w:rFonts w:ascii="Cambria" w:hAnsi="Cambria"/>
          <w:sz w:val="16"/>
          <w:szCs w:val="16"/>
        </w:rPr>
        <w:t>, August 11, 2021.</w:t>
      </w:r>
    </w:p>
  </w:footnote>
  <w:footnote w:id="336">
    <w:p w14:paraId="081AC042" w14:textId="51D2F5A4" w:rsidR="00746761" w:rsidRPr="008A7BD7" w:rsidRDefault="00746761" w:rsidP="00746761">
      <w:pPr>
        <w:pBdr>
          <w:top w:val="nil"/>
          <w:left w:val="nil"/>
          <w:bottom w:val="nil"/>
          <w:right w:val="nil"/>
          <w:between w:val="nil"/>
        </w:pBdr>
        <w:spacing w:after="120"/>
        <w:ind w:firstLine="720"/>
        <w:rPr>
          <w:rFonts w:ascii="Cambria" w:hAnsi="Cambria"/>
          <w:color w:val="000000"/>
          <w:sz w:val="16"/>
          <w:szCs w:val="16"/>
        </w:rPr>
      </w:pPr>
      <w:r w:rsidRPr="008A7BD7">
        <w:rPr>
          <w:rStyle w:val="FootnoteReference"/>
          <w:rFonts w:ascii="Cambria" w:hAnsi="Cambria"/>
          <w:sz w:val="16"/>
          <w:szCs w:val="16"/>
        </w:rPr>
        <w:footnoteRef/>
      </w:r>
      <w:r w:rsidRPr="008A7BD7">
        <w:rPr>
          <w:rFonts w:ascii="Cambria" w:hAnsi="Cambria"/>
          <w:color w:val="000000"/>
          <w:sz w:val="16"/>
          <w:szCs w:val="16"/>
          <w:vertAlign w:val="superscript"/>
        </w:rPr>
        <w:t xml:space="preserve"> </w:t>
      </w:r>
      <w:r w:rsidR="001634AA" w:rsidRPr="008A7BD7">
        <w:rPr>
          <w:rFonts w:ascii="Cambria" w:hAnsi="Cambria"/>
          <w:sz w:val="16"/>
          <w:szCs w:val="16"/>
        </w:rPr>
        <w:t xml:space="preserve">IACHR, </w:t>
      </w:r>
      <w:hyperlink r:id="rId329" w:history="1">
        <w:r w:rsidR="001634AA" w:rsidRPr="008A7BD7">
          <w:rPr>
            <w:rStyle w:val="Hyperlink"/>
            <w:rFonts w:ascii="Cambria" w:hAnsi="Cambria"/>
            <w:sz w:val="16"/>
            <w:szCs w:val="16"/>
          </w:rPr>
          <w:t>Annual Report 2020, Chapter IV.A, Human Rights Development in the Region</w:t>
        </w:r>
      </w:hyperlink>
      <w:r w:rsidR="001634AA" w:rsidRPr="008A7BD7">
        <w:rPr>
          <w:rFonts w:ascii="Cambria" w:hAnsi="Cambria"/>
          <w:sz w:val="16"/>
          <w:szCs w:val="16"/>
        </w:rPr>
        <w:t>, par</w:t>
      </w:r>
      <w:r w:rsidRPr="008A7BD7">
        <w:rPr>
          <w:rFonts w:ascii="Cambria" w:hAnsi="Cambria"/>
          <w:color w:val="000000"/>
          <w:sz w:val="16"/>
          <w:szCs w:val="16"/>
        </w:rPr>
        <w:t>. 442.</w:t>
      </w:r>
    </w:p>
  </w:footnote>
  <w:footnote w:id="337">
    <w:p w14:paraId="293BB1CA" w14:textId="143D7070" w:rsidR="00746761" w:rsidRPr="008A7BD7" w:rsidRDefault="00746761" w:rsidP="00746761">
      <w:pPr>
        <w:spacing w:after="120"/>
        <w:ind w:firstLine="720"/>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374067" w:rsidRPr="008A7BD7">
        <w:rPr>
          <w:rFonts w:ascii="Cambria" w:hAnsi="Cambria"/>
          <w:sz w:val="16"/>
          <w:szCs w:val="16"/>
        </w:rPr>
        <w:t>Congress of the Republic of Guatemala</w:t>
      </w:r>
      <w:r w:rsidRPr="008A7BD7">
        <w:rPr>
          <w:rFonts w:ascii="Cambria" w:hAnsi="Cambria"/>
          <w:sz w:val="16"/>
          <w:szCs w:val="16"/>
        </w:rPr>
        <w:t xml:space="preserve">, </w:t>
      </w:r>
      <w:hyperlink r:id="rId330" w:anchor="gsc.tab=0">
        <w:r w:rsidRPr="008A7BD7">
          <w:rPr>
            <w:rFonts w:ascii="Cambria" w:hAnsi="Cambria"/>
            <w:i/>
            <w:iCs/>
            <w:color w:val="0563C1"/>
            <w:sz w:val="16"/>
            <w:szCs w:val="16"/>
            <w:u w:val="single"/>
          </w:rPr>
          <w:t xml:space="preserve">Consulta </w:t>
        </w:r>
        <w:proofErr w:type="spellStart"/>
        <w:r w:rsidRPr="008A7BD7">
          <w:rPr>
            <w:rFonts w:ascii="Cambria" w:hAnsi="Cambria"/>
            <w:i/>
            <w:iCs/>
            <w:color w:val="0563C1"/>
            <w:sz w:val="16"/>
            <w:szCs w:val="16"/>
            <w:u w:val="single"/>
          </w:rPr>
          <w:t>Legislativa</w:t>
        </w:r>
        <w:proofErr w:type="spellEnd"/>
        <w:r w:rsidRPr="008A7BD7">
          <w:rPr>
            <w:rFonts w:ascii="Cambria" w:hAnsi="Cambria"/>
            <w:i/>
            <w:iCs/>
            <w:color w:val="0563C1"/>
            <w:sz w:val="16"/>
            <w:szCs w:val="16"/>
            <w:u w:val="single"/>
          </w:rPr>
          <w:t xml:space="preserve">: </w:t>
        </w:r>
        <w:proofErr w:type="spellStart"/>
        <w:r w:rsidRPr="008A7BD7">
          <w:rPr>
            <w:rFonts w:ascii="Cambria" w:hAnsi="Cambria"/>
            <w:i/>
            <w:iCs/>
            <w:color w:val="0563C1"/>
            <w:sz w:val="16"/>
            <w:szCs w:val="16"/>
            <w:u w:val="single"/>
          </w:rPr>
          <w:t>iniciativas</w:t>
        </w:r>
        <w:proofErr w:type="spellEnd"/>
      </w:hyperlink>
      <w:r w:rsidRPr="008A7BD7">
        <w:rPr>
          <w:rFonts w:ascii="Cambria" w:hAnsi="Cambria"/>
          <w:sz w:val="16"/>
          <w:szCs w:val="16"/>
        </w:rPr>
        <w:t xml:space="preserve">, </w:t>
      </w:r>
      <w:r w:rsidR="00374067" w:rsidRPr="008A7BD7">
        <w:rPr>
          <w:rFonts w:ascii="Cambria" w:hAnsi="Cambria"/>
          <w:sz w:val="16"/>
          <w:szCs w:val="16"/>
        </w:rPr>
        <w:t xml:space="preserve">bill search engine, </w:t>
      </w:r>
      <w:r w:rsidR="00B56ECC" w:rsidRPr="008A7BD7">
        <w:rPr>
          <w:rFonts w:ascii="Cambria" w:hAnsi="Cambria"/>
          <w:sz w:val="16"/>
          <w:szCs w:val="16"/>
        </w:rPr>
        <w:t>B</w:t>
      </w:r>
      <w:r w:rsidR="00374067" w:rsidRPr="008A7BD7">
        <w:rPr>
          <w:rFonts w:ascii="Cambria" w:hAnsi="Cambria"/>
          <w:sz w:val="16"/>
          <w:szCs w:val="16"/>
        </w:rPr>
        <w:t xml:space="preserve">ill </w:t>
      </w:r>
      <w:r w:rsidRPr="008A7BD7">
        <w:rPr>
          <w:rFonts w:ascii="Cambria" w:hAnsi="Cambria"/>
          <w:sz w:val="16"/>
          <w:szCs w:val="16"/>
        </w:rPr>
        <w:t xml:space="preserve">No. 5285, </w:t>
      </w:r>
      <w:r w:rsidR="00374067" w:rsidRPr="008A7BD7">
        <w:rPr>
          <w:rFonts w:ascii="Cambria" w:hAnsi="Cambria"/>
          <w:sz w:val="16"/>
          <w:szCs w:val="16"/>
        </w:rPr>
        <w:t xml:space="preserve">accessed on October </w:t>
      </w:r>
      <w:r w:rsidRPr="008A7BD7">
        <w:rPr>
          <w:rFonts w:ascii="Cambria" w:hAnsi="Cambria"/>
          <w:sz w:val="16"/>
          <w:szCs w:val="16"/>
        </w:rPr>
        <w:t>25</w:t>
      </w:r>
      <w:r w:rsidR="00374067" w:rsidRPr="008A7BD7">
        <w:rPr>
          <w:rFonts w:ascii="Cambria" w:hAnsi="Cambria"/>
          <w:sz w:val="16"/>
          <w:szCs w:val="16"/>
        </w:rPr>
        <w:t xml:space="preserve">, </w:t>
      </w:r>
      <w:r w:rsidRPr="008A7BD7">
        <w:rPr>
          <w:rFonts w:ascii="Cambria" w:hAnsi="Cambria"/>
          <w:sz w:val="16"/>
          <w:szCs w:val="16"/>
        </w:rPr>
        <w:t>2021.</w:t>
      </w:r>
    </w:p>
  </w:footnote>
  <w:footnote w:id="338">
    <w:p w14:paraId="5DC85C33" w14:textId="2FB7B068" w:rsidR="00746761" w:rsidRPr="008A7BD7" w:rsidRDefault="00746761" w:rsidP="00746761">
      <w:pPr>
        <w:pBdr>
          <w:top w:val="nil"/>
          <w:left w:val="nil"/>
          <w:bottom w:val="nil"/>
          <w:right w:val="nil"/>
          <w:between w:val="nil"/>
        </w:pBdr>
        <w:spacing w:after="120"/>
        <w:ind w:firstLine="720"/>
        <w:rPr>
          <w:rFonts w:ascii="Cambria" w:hAnsi="Cambria"/>
          <w:color w:val="000000"/>
          <w:sz w:val="16"/>
          <w:szCs w:val="16"/>
        </w:rPr>
      </w:pPr>
      <w:r w:rsidRPr="008A7BD7">
        <w:rPr>
          <w:rStyle w:val="FootnoteReference"/>
          <w:rFonts w:ascii="Cambria" w:hAnsi="Cambria"/>
          <w:sz w:val="16"/>
          <w:szCs w:val="16"/>
        </w:rPr>
        <w:footnoteRef/>
      </w:r>
      <w:r w:rsidRPr="008A7BD7">
        <w:rPr>
          <w:rFonts w:ascii="Cambria" w:hAnsi="Cambria"/>
          <w:color w:val="000000"/>
          <w:sz w:val="16"/>
          <w:szCs w:val="16"/>
        </w:rPr>
        <w:t xml:space="preserve"> </w:t>
      </w:r>
      <w:r w:rsidR="00374067" w:rsidRPr="008A7BD7">
        <w:rPr>
          <w:rFonts w:ascii="Cambria" w:hAnsi="Cambria"/>
          <w:sz w:val="16"/>
          <w:szCs w:val="16"/>
        </w:rPr>
        <w:t>Congress of the Republic of Guatemala</w:t>
      </w:r>
      <w:r w:rsidRPr="008A7BD7">
        <w:rPr>
          <w:rFonts w:ascii="Cambria" w:hAnsi="Cambria"/>
          <w:color w:val="000000"/>
          <w:sz w:val="16"/>
          <w:szCs w:val="16"/>
        </w:rPr>
        <w:t xml:space="preserve">, </w:t>
      </w:r>
      <w:hyperlink r:id="rId331">
        <w:proofErr w:type="spellStart"/>
        <w:r w:rsidRPr="008A7BD7">
          <w:rPr>
            <w:rFonts w:ascii="Cambria" w:hAnsi="Cambria"/>
            <w:i/>
            <w:iCs/>
            <w:color w:val="0563C1"/>
            <w:sz w:val="16"/>
            <w:szCs w:val="16"/>
            <w:u w:val="single"/>
          </w:rPr>
          <w:t>Detalle</w:t>
        </w:r>
        <w:proofErr w:type="spellEnd"/>
        <w:r w:rsidRPr="008A7BD7">
          <w:rPr>
            <w:rFonts w:ascii="Cambria" w:hAnsi="Cambria"/>
            <w:i/>
            <w:iCs/>
            <w:color w:val="0563C1"/>
            <w:sz w:val="16"/>
            <w:szCs w:val="16"/>
            <w:u w:val="single"/>
          </w:rPr>
          <w:t xml:space="preserve"> </w:t>
        </w:r>
        <w:proofErr w:type="spellStart"/>
        <w:r w:rsidRPr="008A7BD7">
          <w:rPr>
            <w:rFonts w:ascii="Cambria" w:hAnsi="Cambria"/>
            <w:i/>
            <w:iCs/>
            <w:color w:val="0563C1"/>
            <w:sz w:val="16"/>
            <w:szCs w:val="16"/>
            <w:u w:val="single"/>
          </w:rPr>
          <w:t>Iniciativa</w:t>
        </w:r>
        <w:proofErr w:type="spellEnd"/>
        <w:r w:rsidRPr="008A7BD7">
          <w:rPr>
            <w:rFonts w:ascii="Cambria" w:hAnsi="Cambria"/>
            <w:i/>
            <w:iCs/>
            <w:color w:val="0563C1"/>
            <w:sz w:val="16"/>
            <w:szCs w:val="16"/>
            <w:u w:val="single"/>
          </w:rPr>
          <w:t xml:space="preserve"> de Ley No. 5285</w:t>
        </w:r>
      </w:hyperlink>
      <w:r w:rsidRPr="008A7BD7">
        <w:rPr>
          <w:rFonts w:ascii="Cambria" w:hAnsi="Cambria"/>
          <w:color w:val="000000"/>
          <w:sz w:val="16"/>
          <w:szCs w:val="16"/>
        </w:rPr>
        <w:t xml:space="preserve">, </w:t>
      </w:r>
      <w:r w:rsidR="00374067" w:rsidRPr="008A7BD7">
        <w:rPr>
          <w:rFonts w:ascii="Cambria" w:hAnsi="Cambria"/>
          <w:color w:val="000000"/>
          <w:sz w:val="16"/>
          <w:szCs w:val="16"/>
        </w:rPr>
        <w:t xml:space="preserve">May </w:t>
      </w:r>
      <w:r w:rsidRPr="008A7BD7">
        <w:rPr>
          <w:rFonts w:ascii="Cambria" w:hAnsi="Cambria"/>
          <w:color w:val="000000"/>
          <w:sz w:val="16"/>
          <w:szCs w:val="16"/>
        </w:rPr>
        <w:t>15</w:t>
      </w:r>
      <w:r w:rsidR="00374067" w:rsidRPr="008A7BD7">
        <w:rPr>
          <w:rFonts w:ascii="Cambria" w:hAnsi="Cambria"/>
          <w:color w:val="000000"/>
          <w:sz w:val="16"/>
          <w:szCs w:val="16"/>
        </w:rPr>
        <w:t xml:space="preserve">, </w:t>
      </w:r>
      <w:r w:rsidRPr="008A7BD7">
        <w:rPr>
          <w:rFonts w:ascii="Cambria" w:hAnsi="Cambria"/>
          <w:color w:val="000000"/>
          <w:sz w:val="16"/>
          <w:szCs w:val="16"/>
        </w:rPr>
        <w:t>2017, p. 7.</w:t>
      </w:r>
    </w:p>
  </w:footnote>
  <w:footnote w:id="339">
    <w:p w14:paraId="32C6F86B" w14:textId="4BCB1354" w:rsidR="00746761" w:rsidRPr="008A7BD7" w:rsidRDefault="00746761" w:rsidP="00746761">
      <w:pPr>
        <w:pBdr>
          <w:top w:val="nil"/>
          <w:left w:val="nil"/>
          <w:bottom w:val="nil"/>
          <w:right w:val="nil"/>
          <w:between w:val="nil"/>
        </w:pBdr>
        <w:spacing w:after="120"/>
        <w:ind w:firstLine="720"/>
        <w:rPr>
          <w:rFonts w:ascii="Cambria" w:hAnsi="Cambria"/>
          <w:color w:val="000000"/>
          <w:sz w:val="16"/>
          <w:szCs w:val="16"/>
          <w:lang w:val="es-US"/>
        </w:rPr>
      </w:pPr>
      <w:r w:rsidRPr="008A7BD7">
        <w:rPr>
          <w:rStyle w:val="FootnoteReference"/>
          <w:rFonts w:ascii="Cambria" w:hAnsi="Cambria"/>
          <w:sz w:val="16"/>
          <w:szCs w:val="16"/>
        </w:rPr>
        <w:footnoteRef/>
      </w:r>
      <w:r w:rsidRPr="008A7BD7">
        <w:rPr>
          <w:rFonts w:ascii="Cambria" w:hAnsi="Cambria"/>
          <w:color w:val="000000"/>
          <w:sz w:val="16"/>
          <w:szCs w:val="16"/>
          <w:lang w:val="es-US"/>
        </w:rPr>
        <w:t xml:space="preserve"> UNICEF Guatemala, </w:t>
      </w:r>
      <w:hyperlink r:id="rId332">
        <w:r w:rsidRPr="008A7BD7">
          <w:rPr>
            <w:rFonts w:ascii="Cambria" w:hAnsi="Cambria"/>
            <w:i/>
            <w:iCs/>
            <w:color w:val="0563C1"/>
            <w:sz w:val="16"/>
            <w:szCs w:val="16"/>
            <w:u w:val="single"/>
            <w:lang w:val="es-US"/>
          </w:rPr>
          <w:t>UNICEF llama a construir un Sistema de protección a la infancia en el cuarto aniversario de la tragedia del Hogar Seguro</w:t>
        </w:r>
      </w:hyperlink>
      <w:r w:rsidRPr="008A7BD7">
        <w:rPr>
          <w:rFonts w:ascii="Cambria" w:hAnsi="Cambria"/>
          <w:color w:val="000000"/>
          <w:sz w:val="16"/>
          <w:szCs w:val="16"/>
          <w:lang w:val="es-US"/>
        </w:rPr>
        <w:t xml:space="preserve">, </w:t>
      </w:r>
      <w:r w:rsidR="00374067" w:rsidRPr="008A7BD7">
        <w:rPr>
          <w:rFonts w:ascii="Cambria" w:hAnsi="Cambria"/>
          <w:color w:val="000000"/>
          <w:sz w:val="16"/>
          <w:szCs w:val="16"/>
          <w:lang w:val="es-US"/>
        </w:rPr>
        <w:t xml:space="preserve">March </w:t>
      </w:r>
      <w:r w:rsidRPr="008A7BD7">
        <w:rPr>
          <w:rFonts w:ascii="Cambria" w:hAnsi="Cambria"/>
          <w:color w:val="000000"/>
          <w:sz w:val="16"/>
          <w:szCs w:val="16"/>
          <w:lang w:val="es-US"/>
        </w:rPr>
        <w:t>6</w:t>
      </w:r>
      <w:r w:rsidR="00374067" w:rsidRPr="008A7BD7">
        <w:rPr>
          <w:rFonts w:ascii="Cambria" w:hAnsi="Cambria"/>
          <w:color w:val="000000"/>
          <w:sz w:val="16"/>
          <w:szCs w:val="16"/>
          <w:lang w:val="es-US"/>
        </w:rPr>
        <w:t xml:space="preserve">, </w:t>
      </w:r>
      <w:r w:rsidRPr="008A7BD7">
        <w:rPr>
          <w:rFonts w:ascii="Cambria" w:hAnsi="Cambria"/>
          <w:color w:val="000000"/>
          <w:sz w:val="16"/>
          <w:szCs w:val="16"/>
          <w:lang w:val="es-US"/>
        </w:rPr>
        <w:t>2021.</w:t>
      </w:r>
    </w:p>
  </w:footnote>
  <w:footnote w:id="340">
    <w:p w14:paraId="093DECE6" w14:textId="2429CF2E" w:rsidR="00746761" w:rsidRPr="008A7BD7" w:rsidRDefault="00746761" w:rsidP="00C442E2">
      <w:pPr>
        <w:pBdr>
          <w:top w:val="nil"/>
          <w:left w:val="nil"/>
          <w:bottom w:val="nil"/>
          <w:right w:val="nil"/>
          <w:between w:val="nil"/>
        </w:pBdr>
        <w:spacing w:after="120"/>
        <w:ind w:firstLine="720"/>
        <w:jc w:val="both"/>
        <w:rPr>
          <w:rFonts w:ascii="Cambria" w:hAnsi="Cambria"/>
          <w:color w:val="000000"/>
          <w:sz w:val="16"/>
          <w:szCs w:val="16"/>
        </w:rPr>
      </w:pPr>
      <w:r w:rsidRPr="008A7BD7">
        <w:rPr>
          <w:rStyle w:val="FootnoteReference"/>
          <w:rFonts w:ascii="Cambria" w:hAnsi="Cambria"/>
          <w:sz w:val="16"/>
          <w:szCs w:val="16"/>
        </w:rPr>
        <w:footnoteRef/>
      </w:r>
      <w:r w:rsidRPr="008A7BD7">
        <w:rPr>
          <w:rFonts w:ascii="Cambria" w:hAnsi="Cambria"/>
          <w:color w:val="000000"/>
          <w:sz w:val="16"/>
          <w:szCs w:val="16"/>
        </w:rPr>
        <w:t xml:space="preserve"> </w:t>
      </w:r>
      <w:r w:rsidR="0003719B" w:rsidRPr="008A7BD7">
        <w:rPr>
          <w:rFonts w:ascii="Cambria" w:hAnsi="Cambria"/>
          <w:color w:val="000000"/>
          <w:sz w:val="16"/>
          <w:szCs w:val="16"/>
        </w:rPr>
        <w:t xml:space="preserve">IACHR, Thematic Report, </w:t>
      </w:r>
      <w:hyperlink r:id="rId333" w:history="1">
        <w:r w:rsidR="0003719B" w:rsidRPr="008A7BD7">
          <w:rPr>
            <w:rStyle w:val="Hyperlink"/>
            <w:rFonts w:ascii="Cambria" w:hAnsi="Cambria"/>
            <w:sz w:val="16"/>
            <w:szCs w:val="16"/>
          </w:rPr>
          <w:t>Towards the Effective Fulfillment of Children’s Rights: National Protection Systems</w:t>
        </w:r>
      </w:hyperlink>
      <w:r w:rsidR="0003719B" w:rsidRPr="008A7BD7">
        <w:rPr>
          <w:rFonts w:ascii="Cambria" w:hAnsi="Cambria"/>
          <w:color w:val="000000"/>
          <w:sz w:val="16"/>
          <w:szCs w:val="16"/>
        </w:rPr>
        <w:t xml:space="preserve">, </w:t>
      </w:r>
      <w:r w:rsidRPr="008A7BD7">
        <w:rPr>
          <w:rFonts w:ascii="Cambria" w:hAnsi="Cambria"/>
          <w:color w:val="000000"/>
          <w:sz w:val="16"/>
          <w:szCs w:val="16"/>
        </w:rPr>
        <w:t>OEA/</w:t>
      </w:r>
      <w:proofErr w:type="spellStart"/>
      <w:r w:rsidRPr="008A7BD7">
        <w:rPr>
          <w:rFonts w:ascii="Cambria" w:hAnsi="Cambria"/>
          <w:color w:val="000000"/>
          <w:sz w:val="16"/>
          <w:szCs w:val="16"/>
        </w:rPr>
        <w:t>Ser.L</w:t>
      </w:r>
      <w:proofErr w:type="spellEnd"/>
      <w:r w:rsidRPr="008A7BD7">
        <w:rPr>
          <w:rFonts w:ascii="Cambria" w:hAnsi="Cambria"/>
          <w:color w:val="000000"/>
          <w:sz w:val="16"/>
          <w:szCs w:val="16"/>
        </w:rPr>
        <w:t xml:space="preserve">/V/II.166 Doc. 206/17, </w:t>
      </w:r>
      <w:r w:rsidR="0003719B" w:rsidRPr="008A7BD7">
        <w:rPr>
          <w:rFonts w:ascii="Cambria" w:hAnsi="Cambria"/>
          <w:color w:val="000000"/>
          <w:sz w:val="16"/>
          <w:szCs w:val="16"/>
        </w:rPr>
        <w:t xml:space="preserve">November </w:t>
      </w:r>
      <w:r w:rsidRPr="008A7BD7">
        <w:rPr>
          <w:rFonts w:ascii="Cambria" w:hAnsi="Cambria"/>
          <w:color w:val="000000"/>
          <w:sz w:val="16"/>
          <w:szCs w:val="16"/>
        </w:rPr>
        <w:t>30</w:t>
      </w:r>
      <w:r w:rsidR="0003719B" w:rsidRPr="008A7BD7">
        <w:rPr>
          <w:rFonts w:ascii="Cambria" w:hAnsi="Cambria"/>
          <w:color w:val="000000"/>
          <w:sz w:val="16"/>
          <w:szCs w:val="16"/>
        </w:rPr>
        <w:t xml:space="preserve">, </w:t>
      </w:r>
      <w:r w:rsidRPr="008A7BD7">
        <w:rPr>
          <w:rFonts w:ascii="Cambria" w:hAnsi="Cambria"/>
          <w:color w:val="000000"/>
          <w:sz w:val="16"/>
          <w:szCs w:val="16"/>
        </w:rPr>
        <w:t xml:space="preserve">2017, </w:t>
      </w:r>
      <w:r w:rsidR="0003719B" w:rsidRPr="008A7BD7">
        <w:rPr>
          <w:rFonts w:ascii="Cambria" w:hAnsi="Cambria"/>
          <w:color w:val="000000"/>
          <w:sz w:val="16"/>
          <w:szCs w:val="16"/>
        </w:rPr>
        <w:t>paras</w:t>
      </w:r>
      <w:r w:rsidRPr="008A7BD7">
        <w:rPr>
          <w:rFonts w:ascii="Cambria" w:hAnsi="Cambria"/>
          <w:color w:val="000000"/>
          <w:sz w:val="16"/>
          <w:szCs w:val="16"/>
        </w:rPr>
        <w:t>. 99-101.</w:t>
      </w:r>
    </w:p>
  </w:footnote>
  <w:footnote w:id="341">
    <w:p w14:paraId="05EECC4B" w14:textId="093208AC" w:rsidR="00746761" w:rsidRPr="008A7BD7" w:rsidRDefault="00746761" w:rsidP="00C442E2">
      <w:pPr>
        <w:pBdr>
          <w:top w:val="nil"/>
          <w:left w:val="nil"/>
          <w:bottom w:val="nil"/>
          <w:right w:val="nil"/>
          <w:between w:val="nil"/>
        </w:pBd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color w:val="000000"/>
          <w:sz w:val="16"/>
          <w:szCs w:val="16"/>
        </w:rPr>
        <w:t xml:space="preserve"> </w:t>
      </w:r>
      <w:r w:rsidR="00155E29" w:rsidRPr="008A7BD7">
        <w:rPr>
          <w:rFonts w:ascii="Cambria" w:hAnsi="Cambria"/>
          <w:sz w:val="16"/>
          <w:szCs w:val="16"/>
        </w:rPr>
        <w:t>Office of the Public Prosecutor</w:t>
      </w:r>
      <w:r w:rsidRPr="008A7BD7">
        <w:rPr>
          <w:rFonts w:ascii="Cambria" w:hAnsi="Cambria"/>
          <w:sz w:val="16"/>
          <w:szCs w:val="16"/>
        </w:rPr>
        <w:t xml:space="preserve">, Guatemala, </w:t>
      </w:r>
      <w:hyperlink r:id="rId334">
        <w:proofErr w:type="spellStart"/>
        <w:r w:rsidRPr="008A7BD7">
          <w:rPr>
            <w:rFonts w:ascii="Cambria" w:hAnsi="Cambria"/>
            <w:i/>
            <w:iCs/>
            <w:color w:val="1155CC"/>
            <w:sz w:val="16"/>
            <w:szCs w:val="16"/>
            <w:u w:val="single"/>
          </w:rPr>
          <w:t>Tercer</w:t>
        </w:r>
        <w:proofErr w:type="spellEnd"/>
        <w:r w:rsidRPr="008A7BD7">
          <w:rPr>
            <w:rFonts w:ascii="Cambria" w:hAnsi="Cambria"/>
            <w:i/>
            <w:iCs/>
            <w:color w:val="1155CC"/>
            <w:sz w:val="16"/>
            <w:szCs w:val="16"/>
            <w:u w:val="single"/>
          </w:rPr>
          <w:t xml:space="preserve"> Informe </w:t>
        </w:r>
        <w:proofErr w:type="spellStart"/>
        <w:r w:rsidRPr="008A7BD7">
          <w:rPr>
            <w:rFonts w:ascii="Cambria" w:hAnsi="Cambria"/>
            <w:i/>
            <w:iCs/>
            <w:color w:val="1155CC"/>
            <w:sz w:val="16"/>
            <w:szCs w:val="16"/>
            <w:u w:val="single"/>
          </w:rPr>
          <w:t>Anual</w:t>
        </w:r>
        <w:proofErr w:type="spellEnd"/>
        <w:r w:rsidRPr="008A7BD7">
          <w:rPr>
            <w:rFonts w:ascii="Cambria" w:hAnsi="Cambria"/>
            <w:i/>
            <w:iCs/>
            <w:color w:val="1155CC"/>
            <w:sz w:val="16"/>
            <w:szCs w:val="16"/>
            <w:u w:val="single"/>
          </w:rPr>
          <w:t xml:space="preserve"> </w:t>
        </w:r>
        <w:proofErr w:type="spellStart"/>
        <w:r w:rsidRPr="008A7BD7">
          <w:rPr>
            <w:rFonts w:ascii="Cambria" w:hAnsi="Cambria"/>
            <w:i/>
            <w:iCs/>
            <w:color w:val="1155CC"/>
            <w:sz w:val="16"/>
            <w:szCs w:val="16"/>
            <w:u w:val="single"/>
          </w:rPr>
          <w:t>Período</w:t>
        </w:r>
        <w:proofErr w:type="spellEnd"/>
        <w:r w:rsidRPr="008A7BD7">
          <w:rPr>
            <w:rFonts w:ascii="Cambria" w:hAnsi="Cambria"/>
            <w:i/>
            <w:iCs/>
            <w:color w:val="1155CC"/>
            <w:sz w:val="16"/>
            <w:szCs w:val="16"/>
            <w:u w:val="single"/>
          </w:rPr>
          <w:t xml:space="preserve"> 2020-2021</w:t>
        </w:r>
      </w:hyperlink>
      <w:r w:rsidRPr="008A7BD7">
        <w:rPr>
          <w:rFonts w:ascii="Cambria" w:hAnsi="Cambria"/>
          <w:sz w:val="16"/>
          <w:szCs w:val="16"/>
        </w:rPr>
        <w:t xml:space="preserve">, </w:t>
      </w:r>
      <w:r w:rsidR="00155E29" w:rsidRPr="008A7BD7">
        <w:rPr>
          <w:rFonts w:ascii="Cambria" w:hAnsi="Cambria"/>
          <w:sz w:val="16"/>
          <w:szCs w:val="16"/>
        </w:rPr>
        <w:t>May</w:t>
      </w:r>
      <w:r w:rsidRPr="008A7BD7">
        <w:rPr>
          <w:rFonts w:ascii="Cambria" w:hAnsi="Cambria"/>
          <w:sz w:val="16"/>
          <w:szCs w:val="16"/>
        </w:rPr>
        <w:t xml:space="preserve"> 2021.</w:t>
      </w:r>
    </w:p>
  </w:footnote>
  <w:footnote w:id="342">
    <w:p w14:paraId="28A371BE" w14:textId="25516950" w:rsidR="00746761" w:rsidRPr="008A7BD7" w:rsidRDefault="00746761" w:rsidP="00C442E2">
      <w:pPr>
        <w:pBdr>
          <w:top w:val="nil"/>
          <w:left w:val="nil"/>
          <w:bottom w:val="nil"/>
          <w:right w:val="nil"/>
          <w:between w:val="nil"/>
        </w:pBdr>
        <w:spacing w:after="120"/>
        <w:ind w:firstLine="720"/>
        <w:jc w:val="both"/>
        <w:rPr>
          <w:rFonts w:ascii="Cambria" w:hAnsi="Cambria"/>
          <w:color w:val="000000"/>
          <w:sz w:val="16"/>
          <w:szCs w:val="16"/>
          <w:lang w:val="es-US"/>
        </w:rPr>
      </w:pPr>
      <w:r w:rsidRPr="008A7BD7">
        <w:rPr>
          <w:rStyle w:val="FootnoteReference"/>
          <w:rFonts w:ascii="Cambria" w:hAnsi="Cambria"/>
          <w:sz w:val="16"/>
          <w:szCs w:val="16"/>
        </w:rPr>
        <w:footnoteRef/>
      </w:r>
      <w:r w:rsidRPr="008A7BD7">
        <w:rPr>
          <w:rFonts w:ascii="Cambria" w:hAnsi="Cambria"/>
          <w:color w:val="000000"/>
          <w:sz w:val="16"/>
          <w:szCs w:val="16"/>
          <w:lang w:val="es-US"/>
        </w:rPr>
        <w:t xml:space="preserve"> </w:t>
      </w:r>
      <w:r w:rsidR="008D4D23" w:rsidRPr="008A7BD7">
        <w:rPr>
          <w:rFonts w:ascii="Cambria" w:hAnsi="Cambria"/>
          <w:sz w:val="16"/>
          <w:szCs w:val="16"/>
          <w:lang w:val="es-CO"/>
        </w:rPr>
        <w:t>Asociación Nacional Contra el Maltrato Infantil (</w:t>
      </w:r>
      <w:r w:rsidRPr="008A7BD7">
        <w:rPr>
          <w:rFonts w:ascii="Cambria" w:hAnsi="Cambria"/>
          <w:sz w:val="16"/>
          <w:szCs w:val="16"/>
          <w:lang w:val="es-US"/>
        </w:rPr>
        <w:t>CONACMI</w:t>
      </w:r>
      <w:r w:rsidR="008D4D23" w:rsidRPr="008A7BD7">
        <w:rPr>
          <w:rFonts w:ascii="Cambria" w:hAnsi="Cambria"/>
          <w:sz w:val="16"/>
          <w:szCs w:val="16"/>
          <w:lang w:val="es-US"/>
        </w:rPr>
        <w:t>)</w:t>
      </w:r>
      <w:r w:rsidRPr="008A7BD7">
        <w:rPr>
          <w:rFonts w:ascii="Cambria" w:hAnsi="Cambria"/>
          <w:sz w:val="16"/>
          <w:szCs w:val="16"/>
          <w:lang w:val="es-US"/>
        </w:rPr>
        <w:t>,</w:t>
      </w:r>
      <w:hyperlink r:id="rId335">
        <w:r w:rsidRPr="008A7BD7">
          <w:rPr>
            <w:rFonts w:ascii="Cambria" w:hAnsi="Cambria"/>
            <w:sz w:val="16"/>
            <w:szCs w:val="16"/>
            <w:lang w:val="es-US"/>
          </w:rPr>
          <w:t xml:space="preserve"> </w:t>
        </w:r>
      </w:hyperlink>
      <w:hyperlink r:id="rId336">
        <w:r w:rsidRPr="008A7BD7">
          <w:rPr>
            <w:rFonts w:ascii="Cambria" w:hAnsi="Cambria"/>
            <w:i/>
            <w:iCs/>
            <w:color w:val="1155CC"/>
            <w:sz w:val="16"/>
            <w:szCs w:val="16"/>
            <w:u w:val="single"/>
            <w:lang w:val="es-US"/>
          </w:rPr>
          <w:t>1 de octubre: no es un día para celebrar</w:t>
        </w:r>
      </w:hyperlink>
      <w:r w:rsidRPr="008A7BD7">
        <w:rPr>
          <w:rFonts w:ascii="Cambria" w:hAnsi="Cambria"/>
          <w:sz w:val="16"/>
          <w:szCs w:val="16"/>
          <w:lang w:val="es-US"/>
        </w:rPr>
        <w:t xml:space="preserve">, </w:t>
      </w:r>
      <w:proofErr w:type="spellStart"/>
      <w:r w:rsidR="008D4D23" w:rsidRPr="008A7BD7">
        <w:rPr>
          <w:rFonts w:ascii="Cambria" w:hAnsi="Cambria"/>
          <w:sz w:val="16"/>
          <w:szCs w:val="16"/>
          <w:lang w:val="es-US"/>
        </w:rPr>
        <w:t>October</w:t>
      </w:r>
      <w:proofErr w:type="spellEnd"/>
      <w:r w:rsidR="008D4D23" w:rsidRPr="008A7BD7">
        <w:rPr>
          <w:rFonts w:ascii="Cambria" w:hAnsi="Cambria"/>
          <w:sz w:val="16"/>
          <w:szCs w:val="16"/>
          <w:lang w:val="es-US"/>
        </w:rPr>
        <w:t xml:space="preserve"> </w:t>
      </w:r>
      <w:r w:rsidRPr="008A7BD7">
        <w:rPr>
          <w:rFonts w:ascii="Cambria" w:hAnsi="Cambria"/>
          <w:sz w:val="16"/>
          <w:szCs w:val="16"/>
          <w:lang w:val="es-US"/>
        </w:rPr>
        <w:t>1</w:t>
      </w:r>
      <w:r w:rsidR="008D4D23" w:rsidRPr="008A7BD7">
        <w:rPr>
          <w:rFonts w:ascii="Cambria" w:hAnsi="Cambria"/>
          <w:sz w:val="16"/>
          <w:szCs w:val="16"/>
          <w:lang w:val="es-US"/>
        </w:rPr>
        <w:t xml:space="preserve">, </w:t>
      </w:r>
      <w:r w:rsidRPr="008A7BD7">
        <w:rPr>
          <w:rFonts w:ascii="Cambria" w:hAnsi="Cambria"/>
          <w:sz w:val="16"/>
          <w:szCs w:val="16"/>
          <w:lang w:val="es-US"/>
        </w:rPr>
        <w:t>2021.</w:t>
      </w:r>
    </w:p>
  </w:footnote>
  <w:footnote w:id="343">
    <w:p w14:paraId="3949B157" w14:textId="2FE7FE99" w:rsidR="009E52D6" w:rsidRPr="008A7BD7" w:rsidRDefault="009E52D6" w:rsidP="009E52D6">
      <w:pPr>
        <w:spacing w:after="120"/>
        <w:ind w:firstLine="720"/>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477AF" w:rsidRPr="008A7BD7">
        <w:rPr>
          <w:rFonts w:ascii="Cambria" w:hAnsi="Cambria"/>
          <w:sz w:val="16"/>
          <w:szCs w:val="16"/>
        </w:rPr>
        <w:t>Response from the State of</w:t>
      </w:r>
      <w:r w:rsidR="001477A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77AF" w:rsidRPr="008A7BD7">
        <w:rPr>
          <w:rFonts w:ascii="Cambria" w:hAnsi="Cambria"/>
          <w:sz w:val="16"/>
          <w:szCs w:val="16"/>
        </w:rPr>
        <w:t>OEA</w:t>
      </w:r>
      <w:r w:rsidR="001477AF" w:rsidRPr="008A7BD7">
        <w:rPr>
          <w:rFonts w:ascii="Cambria" w:eastAsia="Cambria" w:hAnsi="Cambria" w:cs="Cambria"/>
          <w:color w:val="000000"/>
          <w:sz w:val="16"/>
          <w:szCs w:val="16"/>
        </w:rPr>
        <w:t>-M4-980-2021, December 22, 2021, p</w:t>
      </w:r>
      <w:r w:rsidR="001477AF"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161</w:t>
      </w:r>
      <w:r w:rsidR="001477AF"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172.</w:t>
      </w:r>
    </w:p>
  </w:footnote>
  <w:footnote w:id="344">
    <w:p w14:paraId="7D2EB22D" w14:textId="591FD4CB" w:rsidR="00746761" w:rsidRPr="008A7BD7" w:rsidRDefault="00746761" w:rsidP="00C442E2">
      <w:pPr>
        <w:pBdr>
          <w:top w:val="nil"/>
          <w:left w:val="nil"/>
          <w:bottom w:val="nil"/>
          <w:right w:val="nil"/>
          <w:between w:val="nil"/>
        </w:pBdr>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color w:val="000000"/>
          <w:sz w:val="16"/>
          <w:szCs w:val="16"/>
          <w:lang w:val="es-US"/>
        </w:rPr>
        <w:t xml:space="preserve"> </w:t>
      </w:r>
      <w:r w:rsidR="004F18E4" w:rsidRPr="008A7BD7">
        <w:rPr>
          <w:rFonts w:ascii="Cambria" w:hAnsi="Cambria"/>
          <w:sz w:val="16"/>
          <w:szCs w:val="16"/>
          <w:lang w:val="es-CO"/>
        </w:rPr>
        <w:t>Asociación Nacional Contra el Maltrato Infantil (</w:t>
      </w:r>
      <w:r w:rsidR="004F18E4" w:rsidRPr="008A7BD7">
        <w:rPr>
          <w:rFonts w:ascii="Cambria" w:hAnsi="Cambria"/>
          <w:sz w:val="16"/>
          <w:szCs w:val="16"/>
          <w:lang w:val="es-US"/>
        </w:rPr>
        <w:t>CONACMI),</w:t>
      </w:r>
      <w:hyperlink r:id="rId337">
        <w:r w:rsidR="004F18E4" w:rsidRPr="008A7BD7">
          <w:rPr>
            <w:rFonts w:ascii="Cambria" w:hAnsi="Cambria"/>
            <w:sz w:val="16"/>
            <w:szCs w:val="16"/>
            <w:lang w:val="es-US"/>
          </w:rPr>
          <w:t xml:space="preserve"> </w:t>
        </w:r>
      </w:hyperlink>
      <w:hyperlink r:id="rId338">
        <w:r w:rsidR="004F18E4" w:rsidRPr="008A7BD7">
          <w:rPr>
            <w:rFonts w:ascii="Cambria" w:hAnsi="Cambria"/>
            <w:i/>
            <w:iCs/>
            <w:color w:val="1155CC"/>
            <w:sz w:val="16"/>
            <w:szCs w:val="16"/>
            <w:u w:val="single"/>
            <w:lang w:val="es-US"/>
          </w:rPr>
          <w:t>1 de octubre: no es un día para celebrar</w:t>
        </w:r>
      </w:hyperlink>
      <w:r w:rsidR="004F18E4" w:rsidRPr="008A7BD7">
        <w:rPr>
          <w:rFonts w:ascii="Cambria" w:hAnsi="Cambria"/>
          <w:sz w:val="16"/>
          <w:szCs w:val="16"/>
          <w:lang w:val="es-US"/>
        </w:rPr>
        <w:t xml:space="preserve">, </w:t>
      </w:r>
      <w:proofErr w:type="spellStart"/>
      <w:r w:rsidR="004F18E4" w:rsidRPr="008A7BD7">
        <w:rPr>
          <w:rFonts w:ascii="Cambria" w:hAnsi="Cambria"/>
          <w:sz w:val="16"/>
          <w:szCs w:val="16"/>
          <w:lang w:val="es-US"/>
        </w:rPr>
        <w:t>October</w:t>
      </w:r>
      <w:proofErr w:type="spellEnd"/>
      <w:r w:rsidR="004F18E4" w:rsidRPr="008A7BD7">
        <w:rPr>
          <w:rFonts w:ascii="Cambria" w:hAnsi="Cambria"/>
          <w:sz w:val="16"/>
          <w:szCs w:val="16"/>
          <w:lang w:val="es-US"/>
        </w:rPr>
        <w:t xml:space="preserve"> 1, 2021</w:t>
      </w:r>
      <w:r w:rsidRPr="008A7BD7">
        <w:rPr>
          <w:rFonts w:ascii="Cambria" w:hAnsi="Cambria"/>
          <w:sz w:val="16"/>
          <w:szCs w:val="16"/>
          <w:lang w:val="es-US"/>
        </w:rPr>
        <w:t>.</w:t>
      </w:r>
    </w:p>
  </w:footnote>
  <w:footnote w:id="345">
    <w:p w14:paraId="728FA435" w14:textId="40078DBE" w:rsidR="00746761" w:rsidRPr="008A7BD7" w:rsidRDefault="00746761" w:rsidP="00C442E2">
      <w:pPr>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CIPRODENI, </w:t>
      </w:r>
      <w:hyperlink r:id="rId339">
        <w:r w:rsidRPr="008A7BD7">
          <w:rPr>
            <w:rFonts w:ascii="Cambria" w:hAnsi="Cambria"/>
            <w:i/>
            <w:iCs/>
            <w:color w:val="1155CC"/>
            <w:sz w:val="16"/>
            <w:szCs w:val="16"/>
            <w:u w:val="single"/>
            <w:lang w:val="es-US"/>
          </w:rPr>
          <w:t>Muertes y lesiones por causas violentas contra Niñas, Niños y Adolescentes de Guatemala</w:t>
        </w:r>
      </w:hyperlink>
      <w:r w:rsidRPr="008A7BD7">
        <w:rPr>
          <w:rFonts w:ascii="Cambria" w:hAnsi="Cambria"/>
          <w:sz w:val="16"/>
          <w:szCs w:val="16"/>
          <w:lang w:val="es-US"/>
        </w:rPr>
        <w:t xml:space="preserve">, </w:t>
      </w:r>
      <w:proofErr w:type="spellStart"/>
      <w:r w:rsidR="004F18E4" w:rsidRPr="008A7BD7">
        <w:rPr>
          <w:rFonts w:ascii="Cambria" w:hAnsi="Cambria"/>
          <w:sz w:val="16"/>
          <w:szCs w:val="16"/>
          <w:lang w:val="es-US"/>
        </w:rPr>
        <w:t>October</w:t>
      </w:r>
      <w:proofErr w:type="spellEnd"/>
      <w:r w:rsidR="004F18E4" w:rsidRPr="008A7BD7">
        <w:rPr>
          <w:rFonts w:ascii="Cambria" w:hAnsi="Cambria"/>
          <w:sz w:val="16"/>
          <w:szCs w:val="16"/>
          <w:lang w:val="es-US"/>
        </w:rPr>
        <w:t xml:space="preserve"> </w:t>
      </w:r>
      <w:r w:rsidRPr="008A7BD7">
        <w:rPr>
          <w:rFonts w:ascii="Cambria" w:hAnsi="Cambria"/>
          <w:sz w:val="16"/>
          <w:szCs w:val="16"/>
          <w:lang w:val="es-US"/>
        </w:rPr>
        <w:t>2021.</w:t>
      </w:r>
    </w:p>
  </w:footnote>
  <w:footnote w:id="346">
    <w:p w14:paraId="641FFC14" w14:textId="525004BC" w:rsidR="00746761" w:rsidRPr="008A7BD7" w:rsidRDefault="00746761" w:rsidP="00C442E2">
      <w:pPr>
        <w:pBdr>
          <w:top w:val="nil"/>
          <w:left w:val="nil"/>
          <w:bottom w:val="nil"/>
          <w:right w:val="nil"/>
          <w:between w:val="nil"/>
        </w:pBdr>
        <w:spacing w:after="120"/>
        <w:ind w:firstLine="720"/>
        <w:jc w:val="both"/>
        <w:rPr>
          <w:rFonts w:ascii="Cambria" w:hAnsi="Cambria"/>
          <w:color w:val="000000"/>
          <w:sz w:val="16"/>
          <w:szCs w:val="16"/>
        </w:rPr>
      </w:pPr>
      <w:r w:rsidRPr="008A7BD7">
        <w:rPr>
          <w:rStyle w:val="FootnoteReference"/>
          <w:rFonts w:ascii="Cambria" w:hAnsi="Cambria"/>
          <w:sz w:val="16"/>
          <w:szCs w:val="16"/>
        </w:rPr>
        <w:footnoteRef/>
      </w:r>
      <w:r w:rsidRPr="008A7BD7">
        <w:rPr>
          <w:rFonts w:ascii="Cambria" w:hAnsi="Cambria"/>
          <w:color w:val="000000"/>
          <w:sz w:val="16"/>
          <w:szCs w:val="16"/>
        </w:rPr>
        <w:t xml:space="preserve"> Observator</w:t>
      </w:r>
      <w:r w:rsidR="004F18E4" w:rsidRPr="008A7BD7">
        <w:rPr>
          <w:rFonts w:ascii="Cambria" w:hAnsi="Cambria"/>
          <w:color w:val="000000"/>
          <w:sz w:val="16"/>
          <w:szCs w:val="16"/>
        </w:rPr>
        <w:t>y on Reproductive Health</w:t>
      </w:r>
      <w:r w:rsidRPr="008A7BD7">
        <w:rPr>
          <w:rFonts w:ascii="Cambria" w:hAnsi="Cambria"/>
          <w:color w:val="000000"/>
          <w:sz w:val="16"/>
          <w:szCs w:val="16"/>
        </w:rPr>
        <w:t>,</w:t>
      </w:r>
      <w:r w:rsidRPr="008A7BD7">
        <w:rPr>
          <w:rFonts w:ascii="Cambria" w:hAnsi="Cambria"/>
          <w:i/>
          <w:iCs/>
          <w:color w:val="000000"/>
          <w:sz w:val="16"/>
          <w:szCs w:val="16"/>
        </w:rPr>
        <w:t xml:space="preserve"> </w:t>
      </w:r>
      <w:hyperlink r:id="rId340">
        <w:proofErr w:type="spellStart"/>
        <w:r w:rsidRPr="008A7BD7">
          <w:rPr>
            <w:rFonts w:ascii="Cambria" w:hAnsi="Cambria"/>
            <w:i/>
            <w:iCs/>
            <w:color w:val="0563C1"/>
            <w:sz w:val="16"/>
            <w:szCs w:val="16"/>
            <w:u w:val="single"/>
          </w:rPr>
          <w:t>Embarazos</w:t>
        </w:r>
        <w:proofErr w:type="spellEnd"/>
        <w:r w:rsidRPr="008A7BD7">
          <w:rPr>
            <w:rFonts w:ascii="Cambria" w:hAnsi="Cambria"/>
            <w:i/>
            <w:iCs/>
            <w:color w:val="0563C1"/>
            <w:sz w:val="16"/>
            <w:szCs w:val="16"/>
            <w:u w:val="single"/>
          </w:rPr>
          <w:t xml:space="preserve"> y </w:t>
        </w:r>
        <w:proofErr w:type="spellStart"/>
        <w:r w:rsidRPr="008A7BD7">
          <w:rPr>
            <w:rFonts w:ascii="Cambria" w:hAnsi="Cambria"/>
            <w:i/>
            <w:iCs/>
            <w:color w:val="0563C1"/>
            <w:sz w:val="16"/>
            <w:szCs w:val="16"/>
            <w:u w:val="single"/>
          </w:rPr>
          <w:t>registro</w:t>
        </w:r>
        <w:proofErr w:type="spellEnd"/>
        <w:r w:rsidRPr="008A7BD7">
          <w:rPr>
            <w:rFonts w:ascii="Cambria" w:hAnsi="Cambria"/>
            <w:i/>
            <w:iCs/>
            <w:color w:val="0563C1"/>
            <w:sz w:val="16"/>
            <w:szCs w:val="16"/>
            <w:u w:val="single"/>
          </w:rPr>
          <w:t xml:space="preserve"> de </w:t>
        </w:r>
        <w:proofErr w:type="spellStart"/>
        <w:r w:rsidRPr="008A7BD7">
          <w:rPr>
            <w:rFonts w:ascii="Cambria" w:hAnsi="Cambria"/>
            <w:i/>
            <w:iCs/>
            <w:color w:val="0563C1"/>
            <w:sz w:val="16"/>
            <w:szCs w:val="16"/>
            <w:u w:val="single"/>
          </w:rPr>
          <w:t>nacimiento</w:t>
        </w:r>
        <w:proofErr w:type="spellEnd"/>
        <w:r w:rsidRPr="008A7BD7">
          <w:rPr>
            <w:rFonts w:ascii="Cambria" w:hAnsi="Cambria"/>
            <w:i/>
            <w:iCs/>
            <w:color w:val="0563C1"/>
            <w:sz w:val="16"/>
            <w:szCs w:val="16"/>
            <w:u w:val="single"/>
          </w:rPr>
          <w:t xml:space="preserve"> de </w:t>
        </w:r>
        <w:proofErr w:type="spellStart"/>
        <w:r w:rsidRPr="008A7BD7">
          <w:rPr>
            <w:rFonts w:ascii="Cambria" w:hAnsi="Cambria"/>
            <w:i/>
            <w:iCs/>
            <w:color w:val="0563C1"/>
            <w:sz w:val="16"/>
            <w:szCs w:val="16"/>
            <w:u w:val="single"/>
          </w:rPr>
          <w:t>madres</w:t>
        </w:r>
        <w:proofErr w:type="spellEnd"/>
        <w:r w:rsidRPr="008A7BD7">
          <w:rPr>
            <w:rFonts w:ascii="Cambria" w:hAnsi="Cambria"/>
            <w:i/>
            <w:iCs/>
            <w:color w:val="0563C1"/>
            <w:sz w:val="16"/>
            <w:szCs w:val="16"/>
            <w:u w:val="single"/>
          </w:rPr>
          <w:t xml:space="preserve"> </w:t>
        </w:r>
        <w:proofErr w:type="spellStart"/>
        <w:r w:rsidRPr="008A7BD7">
          <w:rPr>
            <w:rFonts w:ascii="Cambria" w:hAnsi="Cambria"/>
            <w:i/>
            <w:iCs/>
            <w:color w:val="0563C1"/>
            <w:sz w:val="16"/>
            <w:szCs w:val="16"/>
            <w:u w:val="single"/>
          </w:rPr>
          <w:t>adolescentes</w:t>
        </w:r>
        <w:proofErr w:type="spellEnd"/>
        <w:r w:rsidRPr="008A7BD7">
          <w:rPr>
            <w:rFonts w:ascii="Cambria" w:hAnsi="Cambria"/>
            <w:i/>
            <w:iCs/>
            <w:color w:val="0563C1"/>
            <w:sz w:val="16"/>
            <w:szCs w:val="16"/>
            <w:u w:val="single"/>
          </w:rPr>
          <w:t xml:space="preserve"> – </w:t>
        </w:r>
        <w:proofErr w:type="spellStart"/>
        <w:r w:rsidRPr="008A7BD7">
          <w:rPr>
            <w:rFonts w:ascii="Cambria" w:hAnsi="Cambria"/>
            <w:i/>
            <w:iCs/>
            <w:color w:val="0563C1"/>
            <w:sz w:val="16"/>
            <w:szCs w:val="16"/>
            <w:u w:val="single"/>
          </w:rPr>
          <w:t>año</w:t>
        </w:r>
        <w:proofErr w:type="spellEnd"/>
        <w:r w:rsidRPr="008A7BD7">
          <w:rPr>
            <w:rFonts w:ascii="Cambria" w:hAnsi="Cambria"/>
            <w:i/>
            <w:iCs/>
            <w:color w:val="0563C1"/>
            <w:sz w:val="16"/>
            <w:szCs w:val="16"/>
            <w:u w:val="single"/>
          </w:rPr>
          <w:t xml:space="preserve"> 2021</w:t>
        </w:r>
      </w:hyperlink>
      <w:r w:rsidRPr="008A7BD7">
        <w:rPr>
          <w:rFonts w:ascii="Cambria" w:hAnsi="Cambria"/>
          <w:color w:val="000000"/>
          <w:sz w:val="16"/>
          <w:szCs w:val="16"/>
        </w:rPr>
        <w:t xml:space="preserve">, </w:t>
      </w:r>
      <w:r w:rsidR="004F18E4" w:rsidRPr="008A7BD7">
        <w:rPr>
          <w:rFonts w:ascii="Cambria" w:hAnsi="Cambria"/>
          <w:color w:val="000000"/>
          <w:sz w:val="16"/>
          <w:szCs w:val="16"/>
        </w:rPr>
        <w:t xml:space="preserve">accessed on November 9, </w:t>
      </w:r>
      <w:r w:rsidRPr="008A7BD7">
        <w:rPr>
          <w:rFonts w:ascii="Cambria" w:hAnsi="Cambria"/>
          <w:color w:val="000000"/>
          <w:sz w:val="16"/>
          <w:szCs w:val="16"/>
        </w:rPr>
        <w:t>2021.</w:t>
      </w:r>
    </w:p>
  </w:footnote>
  <w:footnote w:id="347">
    <w:p w14:paraId="0D13F63A" w14:textId="5DE8EE1A" w:rsidR="00746761" w:rsidRPr="008A7BD7" w:rsidRDefault="00746761" w:rsidP="00C442E2">
      <w:pPr>
        <w:pBdr>
          <w:top w:val="nil"/>
          <w:left w:val="nil"/>
          <w:bottom w:val="nil"/>
          <w:right w:val="nil"/>
          <w:between w:val="nil"/>
        </w:pBdr>
        <w:spacing w:after="120"/>
        <w:ind w:firstLine="720"/>
        <w:jc w:val="both"/>
        <w:rPr>
          <w:rFonts w:ascii="Cambria" w:hAnsi="Cambria"/>
          <w:color w:val="000000"/>
          <w:sz w:val="16"/>
          <w:szCs w:val="16"/>
        </w:rPr>
      </w:pPr>
      <w:r w:rsidRPr="008A7BD7">
        <w:rPr>
          <w:rStyle w:val="FootnoteReference"/>
          <w:rFonts w:ascii="Cambria" w:hAnsi="Cambria"/>
          <w:sz w:val="16"/>
          <w:szCs w:val="16"/>
        </w:rPr>
        <w:footnoteRef/>
      </w:r>
      <w:r w:rsidRPr="008A7BD7">
        <w:rPr>
          <w:rFonts w:ascii="Cambria" w:hAnsi="Cambria"/>
          <w:color w:val="000000"/>
          <w:sz w:val="16"/>
          <w:szCs w:val="16"/>
        </w:rPr>
        <w:t xml:space="preserve"> </w:t>
      </w:r>
      <w:r w:rsidR="00A36EAE" w:rsidRPr="008A7BD7">
        <w:rPr>
          <w:rFonts w:ascii="Cambria" w:hAnsi="Cambria"/>
          <w:color w:val="000000"/>
          <w:sz w:val="16"/>
          <w:szCs w:val="16"/>
        </w:rPr>
        <w:t xml:space="preserve">IACHR, Thematic Report, </w:t>
      </w:r>
      <w:hyperlink r:id="rId341" w:history="1">
        <w:r w:rsidR="00A36EAE" w:rsidRPr="008A7BD7">
          <w:rPr>
            <w:rStyle w:val="Hyperlink"/>
            <w:rFonts w:ascii="Cambria" w:hAnsi="Cambria"/>
            <w:sz w:val="16"/>
            <w:szCs w:val="16"/>
          </w:rPr>
          <w:t>Violence and Discrimination against Women and Girls</w:t>
        </w:r>
      </w:hyperlink>
      <w:r w:rsidR="00A36EAE" w:rsidRPr="008A7BD7">
        <w:rPr>
          <w:rFonts w:ascii="Cambria" w:hAnsi="Cambria"/>
          <w:color w:val="000000"/>
          <w:sz w:val="16"/>
          <w:szCs w:val="16"/>
        </w:rPr>
        <w:t xml:space="preserve">, </w:t>
      </w:r>
      <w:r w:rsidRPr="008A7BD7">
        <w:rPr>
          <w:rFonts w:ascii="Cambria" w:hAnsi="Cambria"/>
          <w:color w:val="000000"/>
          <w:sz w:val="16"/>
          <w:szCs w:val="16"/>
        </w:rPr>
        <w:t>OEA/</w:t>
      </w:r>
      <w:proofErr w:type="spellStart"/>
      <w:r w:rsidRPr="008A7BD7">
        <w:rPr>
          <w:rFonts w:ascii="Cambria" w:hAnsi="Cambria"/>
          <w:color w:val="000000"/>
          <w:sz w:val="16"/>
          <w:szCs w:val="16"/>
        </w:rPr>
        <w:t>Ser.L</w:t>
      </w:r>
      <w:proofErr w:type="spellEnd"/>
      <w:r w:rsidRPr="008A7BD7">
        <w:rPr>
          <w:rFonts w:ascii="Cambria" w:hAnsi="Cambria"/>
          <w:color w:val="000000"/>
          <w:sz w:val="16"/>
          <w:szCs w:val="16"/>
        </w:rPr>
        <w:t xml:space="preserve">/V/II. Doc. 233, </w:t>
      </w:r>
      <w:r w:rsidR="00A36EAE" w:rsidRPr="008A7BD7">
        <w:rPr>
          <w:rFonts w:ascii="Cambria" w:hAnsi="Cambria"/>
          <w:color w:val="000000"/>
          <w:sz w:val="16"/>
          <w:szCs w:val="16"/>
        </w:rPr>
        <w:t xml:space="preserve">November </w:t>
      </w:r>
      <w:r w:rsidRPr="008A7BD7">
        <w:rPr>
          <w:rFonts w:ascii="Cambria" w:hAnsi="Cambria"/>
          <w:color w:val="000000"/>
          <w:sz w:val="16"/>
          <w:szCs w:val="16"/>
        </w:rPr>
        <w:t>14</w:t>
      </w:r>
      <w:r w:rsidR="00A36EAE" w:rsidRPr="008A7BD7">
        <w:rPr>
          <w:rFonts w:ascii="Cambria" w:hAnsi="Cambria"/>
          <w:color w:val="000000"/>
          <w:sz w:val="16"/>
          <w:szCs w:val="16"/>
        </w:rPr>
        <w:t xml:space="preserve">, </w:t>
      </w:r>
      <w:r w:rsidRPr="008A7BD7">
        <w:rPr>
          <w:rFonts w:ascii="Cambria" w:hAnsi="Cambria"/>
          <w:color w:val="000000"/>
          <w:sz w:val="16"/>
          <w:szCs w:val="16"/>
        </w:rPr>
        <w:t xml:space="preserve">2019, </w:t>
      </w:r>
      <w:r w:rsidR="00A36EAE" w:rsidRPr="008A7BD7">
        <w:rPr>
          <w:rFonts w:ascii="Cambria" w:hAnsi="Cambria"/>
          <w:color w:val="000000"/>
          <w:sz w:val="16"/>
          <w:szCs w:val="16"/>
        </w:rPr>
        <w:t>par</w:t>
      </w:r>
      <w:r w:rsidRPr="008A7BD7">
        <w:rPr>
          <w:rFonts w:ascii="Cambria" w:hAnsi="Cambria"/>
          <w:color w:val="000000"/>
          <w:sz w:val="16"/>
          <w:szCs w:val="16"/>
        </w:rPr>
        <w:t>. 255.</w:t>
      </w:r>
    </w:p>
  </w:footnote>
  <w:footnote w:id="348">
    <w:p w14:paraId="2B879555" w14:textId="27778131" w:rsidR="00746761" w:rsidRPr="008A7BD7" w:rsidRDefault="00746761" w:rsidP="00C442E2">
      <w:pPr>
        <w:pBdr>
          <w:top w:val="nil"/>
          <w:left w:val="nil"/>
          <w:bottom w:val="nil"/>
          <w:right w:val="nil"/>
          <w:between w:val="nil"/>
        </w:pBdr>
        <w:spacing w:after="120"/>
        <w:ind w:firstLine="720"/>
        <w:jc w:val="both"/>
        <w:rPr>
          <w:rFonts w:ascii="Cambria" w:hAnsi="Cambria"/>
          <w:color w:val="000000"/>
          <w:sz w:val="16"/>
          <w:szCs w:val="16"/>
        </w:rPr>
      </w:pPr>
      <w:r w:rsidRPr="008A7BD7">
        <w:rPr>
          <w:rStyle w:val="FootnoteReference"/>
          <w:rFonts w:ascii="Cambria" w:hAnsi="Cambria"/>
          <w:sz w:val="16"/>
          <w:szCs w:val="16"/>
        </w:rPr>
        <w:footnoteRef/>
      </w:r>
      <w:r w:rsidRPr="008A7BD7">
        <w:rPr>
          <w:rFonts w:ascii="Cambria" w:hAnsi="Cambria"/>
          <w:color w:val="000000"/>
          <w:sz w:val="16"/>
          <w:szCs w:val="16"/>
        </w:rPr>
        <w:t xml:space="preserve"> </w:t>
      </w:r>
      <w:r w:rsidR="00A85BBA" w:rsidRPr="008A7BD7">
        <w:rPr>
          <w:rFonts w:ascii="Cambria" w:hAnsi="Cambria"/>
          <w:color w:val="000000"/>
          <w:sz w:val="16"/>
          <w:szCs w:val="16"/>
        </w:rPr>
        <w:t xml:space="preserve">IACHR, Thematic Report, </w:t>
      </w:r>
      <w:hyperlink r:id="rId342" w:history="1">
        <w:r w:rsidR="00A85BBA" w:rsidRPr="008A7BD7">
          <w:rPr>
            <w:rStyle w:val="Hyperlink"/>
            <w:rFonts w:ascii="Cambria" w:hAnsi="Cambria"/>
            <w:sz w:val="16"/>
            <w:szCs w:val="16"/>
          </w:rPr>
          <w:t>Violence and Discrimination against Women and Girls</w:t>
        </w:r>
      </w:hyperlink>
      <w:r w:rsidR="00A85BBA" w:rsidRPr="008A7BD7">
        <w:rPr>
          <w:rFonts w:ascii="Cambria" w:hAnsi="Cambria"/>
          <w:color w:val="000000"/>
          <w:sz w:val="16"/>
          <w:szCs w:val="16"/>
        </w:rPr>
        <w:t>, OEA/</w:t>
      </w:r>
      <w:proofErr w:type="spellStart"/>
      <w:r w:rsidR="00A85BBA" w:rsidRPr="008A7BD7">
        <w:rPr>
          <w:rFonts w:ascii="Cambria" w:hAnsi="Cambria"/>
          <w:color w:val="000000"/>
          <w:sz w:val="16"/>
          <w:szCs w:val="16"/>
        </w:rPr>
        <w:t>Ser.L</w:t>
      </w:r>
      <w:proofErr w:type="spellEnd"/>
      <w:r w:rsidR="00A85BBA" w:rsidRPr="008A7BD7">
        <w:rPr>
          <w:rFonts w:ascii="Cambria" w:hAnsi="Cambria"/>
          <w:color w:val="000000"/>
          <w:sz w:val="16"/>
          <w:szCs w:val="16"/>
        </w:rPr>
        <w:t xml:space="preserve">/V/II. Doc. 233, November 14, 2019, par. </w:t>
      </w:r>
      <w:r w:rsidRPr="008A7BD7">
        <w:rPr>
          <w:rFonts w:ascii="Cambria" w:hAnsi="Cambria"/>
          <w:color w:val="000000"/>
          <w:sz w:val="16"/>
          <w:szCs w:val="16"/>
        </w:rPr>
        <w:t>257.</w:t>
      </w:r>
    </w:p>
  </w:footnote>
  <w:footnote w:id="349">
    <w:p w14:paraId="4E9C6036" w14:textId="480284D8" w:rsidR="009E52D6" w:rsidRPr="008A7BD7" w:rsidRDefault="009E52D6" w:rsidP="009E52D6">
      <w:pPr>
        <w:pBdr>
          <w:top w:val="nil"/>
          <w:left w:val="nil"/>
          <w:bottom w:val="nil"/>
          <w:right w:val="nil"/>
          <w:between w:val="nil"/>
        </w:pBd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477AF" w:rsidRPr="008A7BD7">
        <w:rPr>
          <w:rFonts w:ascii="Cambria" w:hAnsi="Cambria"/>
          <w:sz w:val="16"/>
          <w:szCs w:val="16"/>
        </w:rPr>
        <w:t>Response from the State of</w:t>
      </w:r>
      <w:r w:rsidR="001477A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77AF" w:rsidRPr="008A7BD7">
        <w:rPr>
          <w:rFonts w:ascii="Cambria" w:hAnsi="Cambria"/>
          <w:sz w:val="16"/>
          <w:szCs w:val="16"/>
        </w:rPr>
        <w:t>OEA</w:t>
      </w:r>
      <w:r w:rsidR="001477AF"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 173.</w:t>
      </w:r>
    </w:p>
  </w:footnote>
  <w:footnote w:id="350">
    <w:p w14:paraId="6023CB03" w14:textId="6BE440C1" w:rsidR="009E52D6" w:rsidRPr="008A7BD7" w:rsidRDefault="009E52D6" w:rsidP="009E52D6">
      <w:pPr>
        <w:pBdr>
          <w:top w:val="nil"/>
          <w:left w:val="nil"/>
          <w:bottom w:val="nil"/>
          <w:right w:val="nil"/>
          <w:between w:val="nil"/>
        </w:pBdr>
        <w:spacing w:after="120"/>
        <w:ind w:firstLine="720"/>
        <w:jc w:val="both"/>
        <w:rPr>
          <w:rFonts w:ascii="Cambria" w:hAnsi="Cambria"/>
          <w:color w:val="000000"/>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9339A" w:rsidRPr="008A7BD7">
        <w:rPr>
          <w:rFonts w:ascii="Cambria" w:hAnsi="Cambria"/>
          <w:sz w:val="16"/>
          <w:szCs w:val="16"/>
        </w:rPr>
        <w:t>According to the information provided, “</w:t>
      </w:r>
      <w:r w:rsidR="0019339A" w:rsidRPr="008A7BD7">
        <w:rPr>
          <w:rFonts w:ascii="Cambria" w:hAnsi="Cambria"/>
          <w:color w:val="000000"/>
          <w:sz w:val="16"/>
          <w:szCs w:val="16"/>
        </w:rPr>
        <w:t>The main actions were implemented in the various activities held in the context of the Powers of Prevention Project</w:t>
      </w:r>
      <w:r w:rsidRPr="008A7BD7">
        <w:rPr>
          <w:rFonts w:ascii="Cambria" w:hAnsi="Cambria"/>
          <w:color w:val="000000"/>
          <w:sz w:val="16"/>
          <w:szCs w:val="16"/>
        </w:rPr>
        <w:t xml:space="preserve">, </w:t>
      </w:r>
      <w:r w:rsidR="0019339A" w:rsidRPr="008A7BD7">
        <w:rPr>
          <w:rFonts w:ascii="Cambria" w:hAnsi="Cambria"/>
          <w:color w:val="000000"/>
          <w:sz w:val="16"/>
          <w:szCs w:val="16"/>
        </w:rPr>
        <w:t>geared toward Community Commissions for Prevention of Violence at the community level (women) and municipal level</w:t>
      </w:r>
      <w:r w:rsidR="004E7B10" w:rsidRPr="008A7BD7">
        <w:rPr>
          <w:rFonts w:ascii="Cambria" w:hAnsi="Cambria"/>
          <w:color w:val="000000"/>
          <w:sz w:val="16"/>
          <w:szCs w:val="16"/>
        </w:rPr>
        <w:t>,</w:t>
      </w:r>
      <w:r w:rsidR="0019339A" w:rsidRPr="008A7BD7">
        <w:rPr>
          <w:rFonts w:ascii="Cambria" w:hAnsi="Cambria"/>
          <w:color w:val="000000"/>
          <w:sz w:val="16"/>
          <w:szCs w:val="16"/>
        </w:rPr>
        <w:t xml:space="preserve"> groups of young people</w:t>
      </w:r>
      <w:r w:rsidR="0039268F" w:rsidRPr="008A7BD7">
        <w:rPr>
          <w:rFonts w:ascii="Cambria" w:hAnsi="Cambria"/>
          <w:color w:val="000000"/>
          <w:sz w:val="16"/>
          <w:szCs w:val="16"/>
        </w:rPr>
        <w:t>,</w:t>
      </w:r>
      <w:r w:rsidR="0019339A" w:rsidRPr="008A7BD7">
        <w:rPr>
          <w:rFonts w:ascii="Cambria" w:hAnsi="Cambria"/>
          <w:color w:val="000000"/>
          <w:sz w:val="16"/>
          <w:szCs w:val="16"/>
        </w:rPr>
        <w:t xml:space="preserve"> parents at public and private educational centers</w:t>
      </w:r>
      <w:r w:rsidR="0039268F" w:rsidRPr="008A7BD7">
        <w:rPr>
          <w:rFonts w:ascii="Cambria" w:hAnsi="Cambria"/>
          <w:color w:val="000000"/>
          <w:sz w:val="16"/>
          <w:szCs w:val="16"/>
        </w:rPr>
        <w:t>,</w:t>
      </w:r>
      <w:r w:rsidR="0019339A" w:rsidRPr="008A7BD7">
        <w:rPr>
          <w:rFonts w:ascii="Cambria" w:hAnsi="Cambria"/>
          <w:color w:val="000000"/>
          <w:sz w:val="16"/>
          <w:szCs w:val="16"/>
        </w:rPr>
        <w:t xml:space="preserve"> police officers at National Civil Police</w:t>
      </w:r>
      <w:r w:rsidR="0039268F" w:rsidRPr="008A7BD7">
        <w:rPr>
          <w:rFonts w:ascii="Cambria" w:hAnsi="Cambria"/>
          <w:color w:val="000000"/>
          <w:sz w:val="16"/>
          <w:szCs w:val="16"/>
        </w:rPr>
        <w:t xml:space="preserve"> substations, local </w:t>
      </w:r>
      <w:r w:rsidR="0019339A" w:rsidRPr="008A7BD7">
        <w:rPr>
          <w:rFonts w:ascii="Cambria" w:hAnsi="Cambria"/>
          <w:color w:val="000000"/>
          <w:sz w:val="16"/>
          <w:szCs w:val="16"/>
        </w:rPr>
        <w:t>personnel from Municipal Offices on Women and Municipal Offices on Youth</w:t>
      </w:r>
      <w:r w:rsidR="0039268F" w:rsidRPr="008A7BD7">
        <w:rPr>
          <w:rFonts w:ascii="Cambria" w:hAnsi="Cambria"/>
          <w:color w:val="000000"/>
          <w:sz w:val="16"/>
          <w:szCs w:val="16"/>
        </w:rPr>
        <w:t>, and</w:t>
      </w:r>
      <w:r w:rsidR="0019339A" w:rsidRPr="008A7BD7">
        <w:rPr>
          <w:rFonts w:ascii="Cambria" w:hAnsi="Cambria"/>
          <w:color w:val="000000"/>
          <w:sz w:val="16"/>
          <w:szCs w:val="16"/>
        </w:rPr>
        <w:t xml:space="preserve"> Indigenous Mayor’s Offices</w:t>
      </w:r>
      <w:r w:rsidR="0039268F" w:rsidRPr="008A7BD7">
        <w:rPr>
          <w:rFonts w:ascii="Cambria" w:hAnsi="Cambria"/>
          <w:color w:val="000000"/>
          <w:sz w:val="16"/>
          <w:szCs w:val="16"/>
        </w:rPr>
        <w:t xml:space="preserve">, where </w:t>
      </w:r>
      <w:r w:rsidR="006C3E47" w:rsidRPr="008A7BD7">
        <w:rPr>
          <w:rFonts w:ascii="Cambria" w:hAnsi="Cambria"/>
          <w:color w:val="000000"/>
          <w:sz w:val="16"/>
          <w:szCs w:val="16"/>
        </w:rPr>
        <w:t>all</w:t>
      </w:r>
      <w:r w:rsidR="0039268F" w:rsidRPr="008A7BD7">
        <w:rPr>
          <w:rFonts w:ascii="Cambria" w:hAnsi="Cambria"/>
          <w:color w:val="000000"/>
          <w:sz w:val="16"/>
          <w:szCs w:val="16"/>
        </w:rPr>
        <w:t xml:space="preserve"> the delegates encourage participation and involvement in issues related to violence prevention. Interinstitutional coordination efforts were also implemented to carry out these activities.” </w:t>
      </w:r>
      <w:r w:rsidR="001477AF" w:rsidRPr="008A7BD7">
        <w:rPr>
          <w:rFonts w:ascii="Cambria" w:hAnsi="Cambria"/>
          <w:sz w:val="16"/>
          <w:szCs w:val="16"/>
        </w:rPr>
        <w:t>Response from the State of</w:t>
      </w:r>
      <w:r w:rsidR="001477A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77AF" w:rsidRPr="008A7BD7">
        <w:rPr>
          <w:rFonts w:ascii="Cambria" w:hAnsi="Cambria"/>
          <w:sz w:val="16"/>
          <w:szCs w:val="16"/>
        </w:rPr>
        <w:t>OEA</w:t>
      </w:r>
      <w:r w:rsidR="001477AF" w:rsidRPr="008A7BD7">
        <w:rPr>
          <w:rFonts w:ascii="Cambria" w:eastAsia="Cambria" w:hAnsi="Cambria" w:cs="Cambria"/>
          <w:color w:val="000000"/>
          <w:sz w:val="16"/>
          <w:szCs w:val="16"/>
        </w:rPr>
        <w:t>-M4-980-2021, December 22, 2021, p</w:t>
      </w:r>
      <w:r w:rsidR="001477AF"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206</w:t>
      </w:r>
      <w:r w:rsidR="006C3E47"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207.</w:t>
      </w:r>
    </w:p>
  </w:footnote>
  <w:footnote w:id="351">
    <w:p w14:paraId="2F75134E" w14:textId="7329203F" w:rsidR="00746761" w:rsidRPr="008A7BD7" w:rsidRDefault="00746761" w:rsidP="00C442E2">
      <w:pPr>
        <w:pBdr>
          <w:top w:val="nil"/>
          <w:left w:val="nil"/>
          <w:bottom w:val="nil"/>
          <w:right w:val="nil"/>
          <w:between w:val="nil"/>
        </w:pBdr>
        <w:spacing w:after="120"/>
        <w:ind w:firstLine="720"/>
        <w:jc w:val="both"/>
        <w:rPr>
          <w:rFonts w:ascii="Cambria" w:hAnsi="Cambria"/>
          <w:color w:val="000000"/>
          <w:sz w:val="16"/>
          <w:szCs w:val="16"/>
        </w:rPr>
      </w:pPr>
      <w:r w:rsidRPr="008A7BD7">
        <w:rPr>
          <w:rStyle w:val="FootnoteReference"/>
          <w:rFonts w:ascii="Cambria" w:hAnsi="Cambria"/>
          <w:sz w:val="16"/>
          <w:szCs w:val="16"/>
        </w:rPr>
        <w:footnoteRef/>
      </w:r>
      <w:r w:rsidRPr="008A7BD7">
        <w:rPr>
          <w:rFonts w:ascii="Cambria" w:hAnsi="Cambria"/>
          <w:color w:val="000000"/>
          <w:sz w:val="16"/>
          <w:szCs w:val="16"/>
        </w:rPr>
        <w:t xml:space="preserve"> </w:t>
      </w:r>
      <w:r w:rsidR="00DE161C" w:rsidRPr="008A7BD7">
        <w:rPr>
          <w:rFonts w:ascii="Cambria" w:hAnsi="Cambria"/>
          <w:color w:val="000000"/>
          <w:sz w:val="16"/>
          <w:szCs w:val="16"/>
        </w:rPr>
        <w:t>Government of</w:t>
      </w:r>
      <w:r w:rsidRPr="008A7BD7">
        <w:rPr>
          <w:rFonts w:ascii="Cambria" w:hAnsi="Cambria"/>
          <w:color w:val="000000"/>
          <w:sz w:val="16"/>
          <w:szCs w:val="16"/>
        </w:rPr>
        <w:t xml:space="preserve"> Guatemala, </w:t>
      </w:r>
      <w:r w:rsidR="00DE161C" w:rsidRPr="008A7BD7">
        <w:rPr>
          <w:rFonts w:ascii="Cambria" w:hAnsi="Cambria"/>
          <w:color w:val="000000"/>
          <w:sz w:val="16"/>
          <w:szCs w:val="16"/>
        </w:rPr>
        <w:t>Social Welfare Secretariat of the Office of the President of the Republic</w:t>
      </w:r>
      <w:r w:rsidRPr="008A7BD7">
        <w:rPr>
          <w:rFonts w:ascii="Cambria" w:hAnsi="Cambria"/>
          <w:color w:val="000000"/>
          <w:sz w:val="16"/>
          <w:szCs w:val="16"/>
        </w:rPr>
        <w:t xml:space="preserve">, </w:t>
      </w:r>
      <w:hyperlink r:id="rId343">
        <w:r w:rsidRPr="008A7BD7">
          <w:rPr>
            <w:rFonts w:ascii="Cambria" w:hAnsi="Cambria"/>
            <w:i/>
            <w:iCs/>
            <w:color w:val="0563C1"/>
            <w:sz w:val="16"/>
            <w:szCs w:val="16"/>
            <w:u w:val="single"/>
          </w:rPr>
          <w:t xml:space="preserve">Primer Informe </w:t>
        </w:r>
        <w:proofErr w:type="spellStart"/>
        <w:r w:rsidRPr="008A7BD7">
          <w:rPr>
            <w:rFonts w:ascii="Cambria" w:hAnsi="Cambria"/>
            <w:i/>
            <w:iCs/>
            <w:color w:val="0563C1"/>
            <w:sz w:val="16"/>
            <w:szCs w:val="16"/>
            <w:u w:val="single"/>
          </w:rPr>
          <w:t>Cuatrimestral</w:t>
        </w:r>
        <w:proofErr w:type="spellEnd"/>
      </w:hyperlink>
      <w:r w:rsidRPr="008A7BD7">
        <w:rPr>
          <w:rFonts w:ascii="Cambria" w:hAnsi="Cambria"/>
          <w:color w:val="000000"/>
          <w:sz w:val="16"/>
          <w:szCs w:val="16"/>
        </w:rPr>
        <w:t xml:space="preserve">, </w:t>
      </w:r>
      <w:r w:rsidR="00DE161C" w:rsidRPr="008A7BD7">
        <w:rPr>
          <w:rFonts w:ascii="Cambria" w:hAnsi="Cambria"/>
          <w:color w:val="000000"/>
          <w:sz w:val="16"/>
          <w:szCs w:val="16"/>
        </w:rPr>
        <w:t xml:space="preserve">May </w:t>
      </w:r>
      <w:r w:rsidRPr="008A7BD7">
        <w:rPr>
          <w:rFonts w:ascii="Cambria" w:hAnsi="Cambria"/>
          <w:color w:val="000000"/>
          <w:sz w:val="16"/>
          <w:szCs w:val="16"/>
        </w:rPr>
        <w:t>7</w:t>
      </w:r>
      <w:r w:rsidR="00DE161C" w:rsidRPr="008A7BD7">
        <w:rPr>
          <w:rFonts w:ascii="Cambria" w:hAnsi="Cambria"/>
          <w:color w:val="000000"/>
          <w:sz w:val="16"/>
          <w:szCs w:val="16"/>
        </w:rPr>
        <w:t xml:space="preserve">, </w:t>
      </w:r>
      <w:r w:rsidRPr="008A7BD7">
        <w:rPr>
          <w:rFonts w:ascii="Cambria" w:hAnsi="Cambria"/>
          <w:color w:val="000000"/>
          <w:sz w:val="16"/>
          <w:szCs w:val="16"/>
        </w:rPr>
        <w:t>2021.</w:t>
      </w:r>
    </w:p>
  </w:footnote>
  <w:footnote w:id="352">
    <w:p w14:paraId="731CA32B" w14:textId="10969046" w:rsidR="00746761" w:rsidRPr="008A7BD7" w:rsidRDefault="00746761" w:rsidP="00DA23B2">
      <w:pPr>
        <w:pBdr>
          <w:top w:val="nil"/>
          <w:left w:val="nil"/>
          <w:bottom w:val="nil"/>
          <w:right w:val="nil"/>
          <w:between w:val="nil"/>
        </w:pBdr>
        <w:spacing w:after="120"/>
        <w:ind w:firstLine="720"/>
        <w:jc w:val="both"/>
        <w:rPr>
          <w:rFonts w:ascii="Cambria" w:hAnsi="Cambria"/>
          <w:color w:val="000000"/>
          <w:sz w:val="16"/>
          <w:szCs w:val="16"/>
          <w:lang w:val="es-US"/>
        </w:rPr>
      </w:pPr>
      <w:r w:rsidRPr="008A7BD7">
        <w:rPr>
          <w:rStyle w:val="FootnoteReference"/>
          <w:rFonts w:ascii="Cambria" w:hAnsi="Cambria"/>
          <w:sz w:val="16"/>
          <w:szCs w:val="16"/>
        </w:rPr>
        <w:footnoteRef/>
      </w:r>
      <w:r w:rsidRPr="008A7BD7">
        <w:rPr>
          <w:rFonts w:ascii="Cambria" w:hAnsi="Cambria"/>
          <w:color w:val="000000"/>
          <w:sz w:val="16"/>
          <w:szCs w:val="16"/>
          <w:lang w:val="es-US"/>
        </w:rPr>
        <w:t xml:space="preserve"> </w:t>
      </w:r>
      <w:r w:rsidR="00165F3F" w:rsidRPr="008A7BD7">
        <w:rPr>
          <w:rFonts w:ascii="Cambria" w:eastAsia="Cambria" w:hAnsi="Cambria" w:cstheme="majorHAnsi"/>
          <w:sz w:val="16"/>
          <w:szCs w:val="16"/>
          <w:lang w:val="es-CO"/>
        </w:rPr>
        <w:t xml:space="preserve">Human </w:t>
      </w:r>
      <w:proofErr w:type="spellStart"/>
      <w:r w:rsidR="00165F3F" w:rsidRPr="008A7BD7">
        <w:rPr>
          <w:rFonts w:ascii="Cambria" w:eastAsia="Cambria" w:hAnsi="Cambria" w:cstheme="majorHAnsi"/>
          <w:sz w:val="16"/>
          <w:szCs w:val="16"/>
          <w:lang w:val="es-CO"/>
        </w:rPr>
        <w:t>Rights</w:t>
      </w:r>
      <w:proofErr w:type="spellEnd"/>
      <w:r w:rsidR="00165F3F" w:rsidRPr="008A7BD7">
        <w:rPr>
          <w:rFonts w:ascii="Cambria" w:eastAsia="Cambria" w:hAnsi="Cambria" w:cstheme="majorHAnsi"/>
          <w:sz w:val="16"/>
          <w:szCs w:val="16"/>
          <w:lang w:val="es-CO"/>
        </w:rPr>
        <w:t xml:space="preserve"> Ombudsman, </w:t>
      </w:r>
      <w:hyperlink r:id="rId344">
        <w:r w:rsidRPr="008A7BD7">
          <w:rPr>
            <w:rFonts w:ascii="Cambria" w:hAnsi="Cambria"/>
            <w:i/>
            <w:iCs/>
            <w:color w:val="0563C1"/>
            <w:sz w:val="16"/>
            <w:szCs w:val="16"/>
            <w:u w:val="single"/>
            <w:lang w:val="es-US"/>
          </w:rPr>
          <w:t>PDH participa en reunión acerca de la sobrepoblación en los hogares de la SBS</w:t>
        </w:r>
      </w:hyperlink>
      <w:r w:rsidRPr="008A7BD7">
        <w:rPr>
          <w:rFonts w:ascii="Cambria" w:hAnsi="Cambria"/>
          <w:color w:val="000000"/>
          <w:sz w:val="16"/>
          <w:szCs w:val="16"/>
          <w:lang w:val="es-US"/>
        </w:rPr>
        <w:t xml:space="preserve">, </w:t>
      </w:r>
      <w:r w:rsidR="00165F3F" w:rsidRPr="008A7BD7">
        <w:rPr>
          <w:rFonts w:ascii="Cambria" w:hAnsi="Cambria"/>
          <w:color w:val="000000"/>
          <w:sz w:val="16"/>
          <w:szCs w:val="16"/>
          <w:lang w:val="es-US"/>
        </w:rPr>
        <w:t xml:space="preserve">August </w:t>
      </w:r>
      <w:r w:rsidRPr="008A7BD7">
        <w:rPr>
          <w:rFonts w:ascii="Cambria" w:hAnsi="Cambria"/>
          <w:color w:val="000000"/>
          <w:sz w:val="16"/>
          <w:szCs w:val="16"/>
          <w:lang w:val="es-US"/>
        </w:rPr>
        <w:t>31</w:t>
      </w:r>
      <w:r w:rsidR="00165F3F" w:rsidRPr="008A7BD7">
        <w:rPr>
          <w:rFonts w:ascii="Cambria" w:hAnsi="Cambria"/>
          <w:color w:val="000000"/>
          <w:sz w:val="16"/>
          <w:szCs w:val="16"/>
          <w:lang w:val="es-US"/>
        </w:rPr>
        <w:t>,</w:t>
      </w:r>
      <w:r w:rsidRPr="008A7BD7">
        <w:rPr>
          <w:rFonts w:ascii="Cambria" w:hAnsi="Cambria"/>
          <w:color w:val="000000"/>
          <w:sz w:val="16"/>
          <w:szCs w:val="16"/>
          <w:lang w:val="es-US"/>
        </w:rPr>
        <w:t xml:space="preserve"> 2021.</w:t>
      </w:r>
    </w:p>
  </w:footnote>
  <w:footnote w:id="353">
    <w:p w14:paraId="74FB2DCF" w14:textId="729F7324" w:rsidR="00746761" w:rsidRPr="008A7BD7" w:rsidRDefault="00746761" w:rsidP="00DA23B2">
      <w:pPr>
        <w:pBdr>
          <w:top w:val="nil"/>
          <w:left w:val="nil"/>
          <w:bottom w:val="nil"/>
          <w:right w:val="nil"/>
          <w:between w:val="nil"/>
        </w:pBdr>
        <w:spacing w:after="120"/>
        <w:ind w:firstLine="720"/>
        <w:jc w:val="both"/>
        <w:rPr>
          <w:rFonts w:ascii="Cambria" w:hAnsi="Cambria"/>
          <w:color w:val="000000"/>
          <w:sz w:val="16"/>
          <w:szCs w:val="16"/>
          <w:lang w:val="es-US"/>
        </w:rPr>
      </w:pPr>
      <w:r w:rsidRPr="008A7BD7">
        <w:rPr>
          <w:rStyle w:val="FootnoteReference"/>
          <w:rFonts w:ascii="Cambria" w:hAnsi="Cambria"/>
          <w:sz w:val="16"/>
          <w:szCs w:val="16"/>
        </w:rPr>
        <w:footnoteRef/>
      </w:r>
      <w:r w:rsidRPr="008A7BD7">
        <w:rPr>
          <w:rFonts w:ascii="Cambria" w:hAnsi="Cambria"/>
          <w:color w:val="000000"/>
          <w:sz w:val="16"/>
          <w:szCs w:val="16"/>
          <w:lang w:val="es-US"/>
        </w:rPr>
        <w:t xml:space="preserve"> </w:t>
      </w:r>
      <w:r w:rsidR="00165F3F" w:rsidRPr="008A7BD7">
        <w:rPr>
          <w:rFonts w:ascii="Cambria" w:eastAsia="Cambria" w:hAnsi="Cambria" w:cstheme="majorHAnsi"/>
          <w:sz w:val="16"/>
          <w:szCs w:val="16"/>
          <w:lang w:val="es-CO"/>
        </w:rPr>
        <w:t xml:space="preserve">Human </w:t>
      </w:r>
      <w:proofErr w:type="spellStart"/>
      <w:r w:rsidR="00165F3F" w:rsidRPr="008A7BD7">
        <w:rPr>
          <w:rFonts w:ascii="Cambria" w:eastAsia="Cambria" w:hAnsi="Cambria" w:cstheme="majorHAnsi"/>
          <w:sz w:val="16"/>
          <w:szCs w:val="16"/>
          <w:lang w:val="es-CO"/>
        </w:rPr>
        <w:t>Rights</w:t>
      </w:r>
      <w:proofErr w:type="spellEnd"/>
      <w:r w:rsidR="00165F3F" w:rsidRPr="008A7BD7">
        <w:rPr>
          <w:rFonts w:ascii="Cambria" w:eastAsia="Cambria" w:hAnsi="Cambria" w:cstheme="majorHAnsi"/>
          <w:sz w:val="16"/>
          <w:szCs w:val="16"/>
          <w:lang w:val="es-CO"/>
        </w:rPr>
        <w:t xml:space="preserve"> Ombudsman</w:t>
      </w:r>
      <w:r w:rsidRPr="008A7BD7">
        <w:rPr>
          <w:rFonts w:ascii="Cambria" w:hAnsi="Cambria"/>
          <w:color w:val="000000"/>
          <w:sz w:val="16"/>
          <w:szCs w:val="16"/>
          <w:lang w:val="es-US"/>
        </w:rPr>
        <w:t xml:space="preserve">, </w:t>
      </w:r>
      <w:hyperlink r:id="rId345">
        <w:r w:rsidRPr="008A7BD7">
          <w:rPr>
            <w:rFonts w:ascii="Cambria" w:hAnsi="Cambria"/>
            <w:i/>
            <w:iCs/>
            <w:color w:val="0563C1"/>
            <w:sz w:val="16"/>
            <w:szCs w:val="16"/>
            <w:u w:val="single"/>
            <w:lang w:val="es-US"/>
          </w:rPr>
          <w:t>PDH recibe ampliación de denuncia en contra de hogar a cargo de la SBS</w:t>
        </w:r>
      </w:hyperlink>
      <w:r w:rsidRPr="008A7BD7">
        <w:rPr>
          <w:rFonts w:ascii="Cambria" w:hAnsi="Cambria"/>
          <w:color w:val="000000"/>
          <w:sz w:val="16"/>
          <w:szCs w:val="16"/>
          <w:lang w:val="es-US"/>
        </w:rPr>
        <w:t xml:space="preserve">, </w:t>
      </w:r>
      <w:proofErr w:type="spellStart"/>
      <w:r w:rsidR="00165F3F" w:rsidRPr="008A7BD7">
        <w:rPr>
          <w:rFonts w:ascii="Cambria" w:hAnsi="Cambria"/>
          <w:color w:val="000000"/>
          <w:sz w:val="16"/>
          <w:szCs w:val="16"/>
          <w:lang w:val="es-US"/>
        </w:rPr>
        <w:t>November</w:t>
      </w:r>
      <w:proofErr w:type="spellEnd"/>
      <w:r w:rsidR="00165F3F" w:rsidRPr="008A7BD7">
        <w:rPr>
          <w:rFonts w:ascii="Cambria" w:hAnsi="Cambria"/>
          <w:color w:val="000000"/>
          <w:sz w:val="16"/>
          <w:szCs w:val="16"/>
          <w:lang w:val="es-US"/>
        </w:rPr>
        <w:t xml:space="preserve"> </w:t>
      </w:r>
      <w:r w:rsidRPr="008A7BD7">
        <w:rPr>
          <w:rFonts w:ascii="Cambria" w:hAnsi="Cambria"/>
          <w:color w:val="000000"/>
          <w:sz w:val="16"/>
          <w:szCs w:val="16"/>
          <w:lang w:val="es-US"/>
        </w:rPr>
        <w:t>5</w:t>
      </w:r>
      <w:r w:rsidR="00165F3F" w:rsidRPr="008A7BD7">
        <w:rPr>
          <w:rFonts w:ascii="Cambria" w:hAnsi="Cambria"/>
          <w:color w:val="000000"/>
          <w:sz w:val="16"/>
          <w:szCs w:val="16"/>
          <w:lang w:val="es-US"/>
        </w:rPr>
        <w:t xml:space="preserve">, </w:t>
      </w:r>
      <w:r w:rsidRPr="008A7BD7">
        <w:rPr>
          <w:rFonts w:ascii="Cambria" w:hAnsi="Cambria"/>
          <w:color w:val="000000"/>
          <w:sz w:val="16"/>
          <w:szCs w:val="16"/>
          <w:lang w:val="es-US"/>
        </w:rPr>
        <w:t>2021.</w:t>
      </w:r>
    </w:p>
  </w:footnote>
  <w:footnote w:id="354">
    <w:p w14:paraId="5C4DC2B3" w14:textId="3913066C" w:rsidR="009E52D6" w:rsidRPr="008A7BD7" w:rsidRDefault="009E52D6" w:rsidP="009E52D6">
      <w:pPr>
        <w:pBdr>
          <w:top w:val="nil"/>
          <w:left w:val="nil"/>
          <w:bottom w:val="nil"/>
          <w:right w:val="nil"/>
          <w:between w:val="nil"/>
        </w:pBd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477AF" w:rsidRPr="008A7BD7">
        <w:rPr>
          <w:rFonts w:ascii="Cambria" w:hAnsi="Cambria"/>
          <w:sz w:val="16"/>
          <w:szCs w:val="16"/>
        </w:rPr>
        <w:t>Response from the State of</w:t>
      </w:r>
      <w:r w:rsidR="001477A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77AF" w:rsidRPr="008A7BD7">
        <w:rPr>
          <w:rFonts w:ascii="Cambria" w:hAnsi="Cambria"/>
          <w:sz w:val="16"/>
          <w:szCs w:val="16"/>
        </w:rPr>
        <w:t>OEA</w:t>
      </w:r>
      <w:r w:rsidR="001477AF" w:rsidRPr="008A7BD7">
        <w:rPr>
          <w:rFonts w:ascii="Cambria" w:eastAsia="Cambria" w:hAnsi="Cambria" w:cs="Cambria"/>
          <w:color w:val="000000"/>
          <w:sz w:val="16"/>
          <w:szCs w:val="16"/>
        </w:rPr>
        <w:t>-M4-980-2021, December 22, 2021, p</w:t>
      </w:r>
      <w:r w:rsidR="001477AF"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184</w:t>
      </w:r>
      <w:r w:rsidR="004E04AD"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185.</w:t>
      </w:r>
    </w:p>
  </w:footnote>
  <w:footnote w:id="355">
    <w:p w14:paraId="2E332DC3" w14:textId="1A16081E" w:rsidR="009E52D6" w:rsidRPr="008A7BD7" w:rsidRDefault="009E52D6" w:rsidP="009E52D6">
      <w:pPr>
        <w:pBdr>
          <w:top w:val="nil"/>
          <w:left w:val="nil"/>
          <w:bottom w:val="nil"/>
          <w:right w:val="nil"/>
          <w:between w:val="nil"/>
        </w:pBdr>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477AF" w:rsidRPr="008A7BD7">
        <w:rPr>
          <w:rFonts w:ascii="Cambria" w:hAnsi="Cambria"/>
          <w:sz w:val="16"/>
          <w:szCs w:val="16"/>
        </w:rPr>
        <w:t>Response from the State of</w:t>
      </w:r>
      <w:r w:rsidR="001477A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77AF" w:rsidRPr="008A7BD7">
        <w:rPr>
          <w:rFonts w:ascii="Cambria" w:hAnsi="Cambria"/>
          <w:sz w:val="16"/>
          <w:szCs w:val="16"/>
        </w:rPr>
        <w:t>OEA</w:t>
      </w:r>
      <w:r w:rsidR="001477AF" w:rsidRPr="008A7BD7">
        <w:rPr>
          <w:rFonts w:ascii="Cambria" w:eastAsia="Cambria" w:hAnsi="Cambria" w:cs="Cambria"/>
          <w:color w:val="000000"/>
          <w:sz w:val="16"/>
          <w:szCs w:val="16"/>
        </w:rPr>
        <w:t>-M4-980-2021, December 22, 2021, p</w:t>
      </w:r>
      <w:r w:rsidR="001477AF"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184</w:t>
      </w:r>
      <w:r w:rsidR="004E04AD"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185.</w:t>
      </w:r>
    </w:p>
  </w:footnote>
  <w:footnote w:id="356">
    <w:p w14:paraId="5FB78232" w14:textId="24A07162" w:rsidR="00746761" w:rsidRPr="008A7BD7" w:rsidRDefault="00746761" w:rsidP="00DA23B2">
      <w:pPr>
        <w:spacing w:after="120"/>
        <w:ind w:firstLine="720"/>
        <w:jc w:val="both"/>
        <w:rPr>
          <w:rFonts w:ascii="Cambria" w:hAnsi="Cambria"/>
          <w:b/>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Disability Rights International,</w:t>
      </w:r>
      <w:r w:rsidR="00492926" w:rsidRPr="008A7BD7">
        <w:rPr>
          <w:rFonts w:ascii="Cambria" w:hAnsi="Cambria"/>
          <w:sz w:val="16"/>
          <w:szCs w:val="16"/>
        </w:rPr>
        <w:t xml:space="preserve"> </w:t>
      </w:r>
      <w:hyperlink r:id="rId346" w:history="1">
        <w:r w:rsidR="00492926" w:rsidRPr="008A7BD7">
          <w:rPr>
            <w:rStyle w:val="Hyperlink"/>
            <w:rFonts w:ascii="Cambria" w:hAnsi="Cambria"/>
            <w:sz w:val="16"/>
            <w:szCs w:val="16"/>
          </w:rPr>
          <w:t>Still at Risk – Death and Disappearance of the fire at Hogar Seguro Virgen de la Asunción</w:t>
        </w:r>
      </w:hyperlink>
      <w:r w:rsidR="00492926" w:rsidRPr="008A7BD7">
        <w:rPr>
          <w:rFonts w:ascii="Cambria" w:hAnsi="Cambria"/>
          <w:sz w:val="16"/>
          <w:szCs w:val="16"/>
        </w:rPr>
        <w:t>,</w:t>
      </w:r>
      <w:r w:rsidR="00492926" w:rsidRPr="008A7BD7">
        <w:t xml:space="preserve"> </w:t>
      </w:r>
      <w:r w:rsidR="00492926" w:rsidRPr="008A7BD7">
        <w:rPr>
          <w:rFonts w:ascii="Cambria" w:hAnsi="Cambria"/>
          <w:sz w:val="16"/>
          <w:szCs w:val="16"/>
        </w:rPr>
        <w:t>October 1</w:t>
      </w:r>
      <w:r w:rsidRPr="008A7BD7">
        <w:rPr>
          <w:rFonts w:ascii="Cambria" w:hAnsi="Cambria"/>
          <w:sz w:val="16"/>
          <w:szCs w:val="16"/>
        </w:rPr>
        <w:t>3</w:t>
      </w:r>
      <w:r w:rsidR="00492926" w:rsidRPr="008A7BD7">
        <w:rPr>
          <w:rFonts w:ascii="Cambria" w:hAnsi="Cambria"/>
          <w:sz w:val="16"/>
          <w:szCs w:val="16"/>
        </w:rPr>
        <w:t>,</w:t>
      </w:r>
      <w:r w:rsidRPr="008A7BD7">
        <w:rPr>
          <w:rFonts w:ascii="Cambria" w:hAnsi="Cambria"/>
          <w:sz w:val="16"/>
          <w:szCs w:val="16"/>
        </w:rPr>
        <w:t xml:space="preserve"> 2021.</w:t>
      </w:r>
    </w:p>
  </w:footnote>
  <w:footnote w:id="357">
    <w:p w14:paraId="177E974E" w14:textId="74CE5B6F" w:rsidR="00746761" w:rsidRPr="008A7BD7" w:rsidRDefault="00746761" w:rsidP="00DA23B2">
      <w:pPr>
        <w:pBdr>
          <w:top w:val="nil"/>
          <w:left w:val="nil"/>
          <w:bottom w:val="nil"/>
          <w:right w:val="nil"/>
          <w:between w:val="nil"/>
        </w:pBdr>
        <w:spacing w:after="120"/>
        <w:ind w:firstLine="720"/>
        <w:jc w:val="both"/>
        <w:rPr>
          <w:rFonts w:ascii="Cambria" w:hAnsi="Cambria"/>
          <w:b/>
          <w:color w:val="000000"/>
          <w:sz w:val="16"/>
          <w:szCs w:val="16"/>
        </w:rPr>
      </w:pPr>
      <w:r w:rsidRPr="008A7BD7">
        <w:rPr>
          <w:rStyle w:val="FootnoteReference"/>
          <w:rFonts w:ascii="Cambria" w:hAnsi="Cambria"/>
          <w:sz w:val="16"/>
          <w:szCs w:val="16"/>
        </w:rPr>
        <w:footnoteRef/>
      </w:r>
      <w:r w:rsidRPr="008A7BD7">
        <w:rPr>
          <w:rFonts w:ascii="Cambria" w:hAnsi="Cambria"/>
          <w:color w:val="000000"/>
          <w:sz w:val="16"/>
          <w:szCs w:val="16"/>
        </w:rPr>
        <w:t xml:space="preserve"> </w:t>
      </w:r>
      <w:r w:rsidR="00492926" w:rsidRPr="008A7BD7">
        <w:rPr>
          <w:rFonts w:ascii="Cambria" w:hAnsi="Cambria"/>
          <w:sz w:val="16"/>
          <w:szCs w:val="16"/>
        </w:rPr>
        <w:t xml:space="preserve">Disability Rights International, </w:t>
      </w:r>
      <w:hyperlink r:id="rId347" w:history="1">
        <w:r w:rsidR="00492926" w:rsidRPr="008A7BD7">
          <w:rPr>
            <w:rStyle w:val="Hyperlink"/>
            <w:rFonts w:ascii="Cambria" w:hAnsi="Cambria"/>
            <w:sz w:val="16"/>
            <w:szCs w:val="16"/>
          </w:rPr>
          <w:t>Still at Risk – Death and Disappearance of the fire at Hogar Seguro Virgen de la Asunción</w:t>
        </w:r>
      </w:hyperlink>
      <w:r w:rsidR="00492926" w:rsidRPr="008A7BD7">
        <w:rPr>
          <w:rFonts w:ascii="Cambria" w:hAnsi="Cambria"/>
          <w:sz w:val="16"/>
          <w:szCs w:val="16"/>
        </w:rPr>
        <w:t>,</w:t>
      </w:r>
      <w:r w:rsidR="00492926" w:rsidRPr="008A7BD7">
        <w:t xml:space="preserve"> </w:t>
      </w:r>
      <w:r w:rsidR="00492926" w:rsidRPr="008A7BD7">
        <w:rPr>
          <w:rFonts w:ascii="Cambria" w:hAnsi="Cambria"/>
          <w:sz w:val="16"/>
          <w:szCs w:val="16"/>
        </w:rPr>
        <w:t>October 13, 2021</w:t>
      </w:r>
      <w:r w:rsidRPr="008A7BD7">
        <w:rPr>
          <w:rFonts w:ascii="Cambria" w:hAnsi="Cambria"/>
          <w:color w:val="000000"/>
          <w:sz w:val="16"/>
          <w:szCs w:val="16"/>
        </w:rPr>
        <w:t>.</w:t>
      </w:r>
    </w:p>
  </w:footnote>
  <w:footnote w:id="358">
    <w:p w14:paraId="705D71B7" w14:textId="60E3ADA7" w:rsidR="009E52D6" w:rsidRPr="008A7BD7" w:rsidRDefault="009E52D6" w:rsidP="009E52D6">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477AF" w:rsidRPr="008A7BD7">
        <w:rPr>
          <w:rFonts w:ascii="Cambria" w:hAnsi="Cambria"/>
          <w:sz w:val="16"/>
          <w:szCs w:val="16"/>
        </w:rPr>
        <w:t>Response from the State of</w:t>
      </w:r>
      <w:r w:rsidR="001477A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77AF" w:rsidRPr="008A7BD7">
        <w:rPr>
          <w:rFonts w:ascii="Cambria" w:hAnsi="Cambria"/>
          <w:sz w:val="16"/>
          <w:szCs w:val="16"/>
        </w:rPr>
        <w:t>OEA</w:t>
      </w:r>
      <w:r w:rsidR="001477AF" w:rsidRPr="008A7BD7">
        <w:rPr>
          <w:rFonts w:ascii="Cambria" w:eastAsia="Cambria" w:hAnsi="Cambria" w:cs="Cambria"/>
          <w:color w:val="000000"/>
          <w:sz w:val="16"/>
          <w:szCs w:val="16"/>
        </w:rPr>
        <w:t>-M4-980-2021, December 22, 2021, p</w:t>
      </w:r>
      <w:r w:rsidR="001477AF" w:rsidRPr="008A7BD7">
        <w:rPr>
          <w:rFonts w:ascii="Cambria" w:eastAsia="Times New Roman" w:hAnsi="Cambria" w:cs="Tahoma"/>
          <w:color w:val="000000"/>
          <w:sz w:val="16"/>
          <w:szCs w:val="16"/>
          <w:lang w:eastAsia="es-ES_tradnl"/>
        </w:rPr>
        <w:t>p</w:t>
      </w:r>
      <w:r w:rsidRPr="008A7BD7">
        <w:rPr>
          <w:rFonts w:ascii="Cambria" w:eastAsia="Times New Roman" w:hAnsi="Cambria" w:cs="Tahoma"/>
          <w:color w:val="000000"/>
          <w:sz w:val="16"/>
          <w:szCs w:val="16"/>
          <w:lang w:eastAsia="es-ES_tradnl"/>
        </w:rPr>
        <w:t>. 161</w:t>
      </w:r>
      <w:r w:rsidR="001477AF" w:rsidRPr="008A7BD7">
        <w:rPr>
          <w:rFonts w:ascii="Cambria" w:eastAsia="Times New Roman" w:hAnsi="Cambria" w:cs="Tahoma"/>
          <w:color w:val="000000"/>
          <w:sz w:val="16"/>
          <w:szCs w:val="16"/>
          <w:lang w:eastAsia="es-ES_tradnl"/>
        </w:rPr>
        <w:t>-</w:t>
      </w:r>
      <w:r w:rsidRPr="008A7BD7">
        <w:rPr>
          <w:rFonts w:ascii="Cambria" w:eastAsia="Times New Roman" w:hAnsi="Cambria" w:cs="Tahoma"/>
          <w:color w:val="000000"/>
          <w:sz w:val="16"/>
          <w:szCs w:val="16"/>
          <w:lang w:eastAsia="es-ES_tradnl"/>
        </w:rPr>
        <w:t>172.</w:t>
      </w:r>
    </w:p>
  </w:footnote>
  <w:footnote w:id="359">
    <w:p w14:paraId="4BE07689" w14:textId="66F374DF" w:rsidR="009E52D6" w:rsidRPr="008A7BD7" w:rsidRDefault="009E52D6" w:rsidP="009E52D6">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1477AF" w:rsidRPr="008A7BD7">
        <w:rPr>
          <w:rFonts w:ascii="Cambria" w:hAnsi="Cambria"/>
          <w:sz w:val="16"/>
          <w:szCs w:val="16"/>
        </w:rPr>
        <w:t>Response from the State of</w:t>
      </w:r>
      <w:r w:rsidR="001477AF"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001477AF" w:rsidRPr="008A7BD7">
        <w:rPr>
          <w:rFonts w:ascii="Cambria" w:hAnsi="Cambria"/>
          <w:sz w:val="16"/>
          <w:szCs w:val="16"/>
        </w:rPr>
        <w:t>OEA</w:t>
      </w:r>
      <w:r w:rsidR="001477AF" w:rsidRPr="008A7BD7">
        <w:rPr>
          <w:rFonts w:ascii="Cambria" w:eastAsia="Cambria" w:hAnsi="Cambria" w:cs="Cambria"/>
          <w:color w:val="000000"/>
          <w:sz w:val="16"/>
          <w:szCs w:val="16"/>
        </w:rPr>
        <w:t>-M4-980-2021, December 22, 2021, p</w:t>
      </w:r>
      <w:r w:rsidRPr="008A7BD7">
        <w:rPr>
          <w:rFonts w:ascii="Cambria" w:eastAsia="Times New Roman" w:hAnsi="Cambria" w:cs="Tahoma"/>
          <w:color w:val="000000"/>
          <w:sz w:val="16"/>
          <w:szCs w:val="16"/>
          <w:lang w:eastAsia="es-ES_tradnl"/>
        </w:rPr>
        <w:t>. 195.</w:t>
      </w:r>
    </w:p>
  </w:footnote>
  <w:footnote w:id="360">
    <w:p w14:paraId="2303DE74" w14:textId="6A8E60D4" w:rsidR="00746761" w:rsidRPr="008A7BD7" w:rsidRDefault="00746761" w:rsidP="00DA23B2">
      <w:pPr>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US"/>
        </w:rPr>
        <w:t xml:space="preserve"> Iniciativa Mesoamericana de Mujeres Defensoras de Derechos Humanos, </w:t>
      </w:r>
      <w:hyperlink r:id="rId348">
        <w:r w:rsidRPr="008A7BD7">
          <w:rPr>
            <w:rFonts w:ascii="Cambria" w:hAnsi="Cambria"/>
            <w:i/>
            <w:iCs/>
            <w:color w:val="1155CC"/>
            <w:sz w:val="16"/>
            <w:szCs w:val="16"/>
            <w:u w:val="single"/>
            <w:lang w:val="es-US"/>
          </w:rPr>
          <w:t>[Alerta Defensoras] GUATEMALA / Asesinan a defensora que buscaba justicia para su hija, una de las 56 niñas víctimas de la masacre en el Hogar Virgen de la Asunción</w:t>
        </w:r>
      </w:hyperlink>
      <w:r w:rsidRPr="008A7BD7">
        <w:rPr>
          <w:rFonts w:ascii="Cambria" w:hAnsi="Cambria"/>
          <w:sz w:val="16"/>
          <w:szCs w:val="16"/>
          <w:lang w:val="es-US"/>
        </w:rPr>
        <w:t xml:space="preserve">, </w:t>
      </w:r>
      <w:proofErr w:type="spellStart"/>
      <w:r w:rsidR="00246AC3" w:rsidRPr="008A7BD7">
        <w:rPr>
          <w:rFonts w:ascii="Cambria" w:hAnsi="Cambria"/>
          <w:sz w:val="16"/>
          <w:szCs w:val="16"/>
          <w:lang w:val="es-US"/>
        </w:rPr>
        <w:t>February</w:t>
      </w:r>
      <w:proofErr w:type="spellEnd"/>
      <w:r w:rsidR="00246AC3" w:rsidRPr="008A7BD7">
        <w:rPr>
          <w:rFonts w:ascii="Cambria" w:hAnsi="Cambria"/>
          <w:sz w:val="16"/>
          <w:szCs w:val="16"/>
          <w:lang w:val="es-US"/>
        </w:rPr>
        <w:t xml:space="preserve"> </w:t>
      </w:r>
      <w:r w:rsidRPr="008A7BD7">
        <w:rPr>
          <w:rFonts w:ascii="Cambria" w:hAnsi="Cambria"/>
          <w:sz w:val="16"/>
          <w:szCs w:val="16"/>
          <w:lang w:val="es-US"/>
        </w:rPr>
        <w:t>24</w:t>
      </w:r>
      <w:r w:rsidR="00246AC3" w:rsidRPr="008A7BD7">
        <w:rPr>
          <w:rFonts w:ascii="Cambria" w:hAnsi="Cambria"/>
          <w:sz w:val="16"/>
          <w:szCs w:val="16"/>
          <w:lang w:val="es-US"/>
        </w:rPr>
        <w:t>,</w:t>
      </w:r>
      <w:r w:rsidRPr="008A7BD7">
        <w:rPr>
          <w:rFonts w:ascii="Cambria" w:hAnsi="Cambria"/>
          <w:sz w:val="16"/>
          <w:szCs w:val="16"/>
          <w:lang w:val="es-US"/>
        </w:rPr>
        <w:t xml:space="preserve"> 2021</w:t>
      </w:r>
      <w:r w:rsidR="00246AC3" w:rsidRPr="008A7BD7">
        <w:rPr>
          <w:rFonts w:ascii="Cambria" w:hAnsi="Cambria"/>
          <w:sz w:val="16"/>
          <w:szCs w:val="16"/>
          <w:lang w:val="es-US"/>
        </w:rPr>
        <w:t>;</w:t>
      </w:r>
      <w:r w:rsidRPr="008A7BD7">
        <w:rPr>
          <w:rFonts w:ascii="Cambria" w:hAnsi="Cambria"/>
          <w:sz w:val="16"/>
          <w:szCs w:val="16"/>
          <w:lang w:val="es-US"/>
        </w:rPr>
        <w:t xml:space="preserve"> Comité </w:t>
      </w:r>
      <w:proofErr w:type="spellStart"/>
      <w:r w:rsidRPr="008A7BD7">
        <w:rPr>
          <w:rFonts w:ascii="Cambria" w:hAnsi="Cambria"/>
          <w:sz w:val="16"/>
          <w:szCs w:val="16"/>
          <w:lang w:val="es-US"/>
        </w:rPr>
        <w:t>pour</w:t>
      </w:r>
      <w:proofErr w:type="spellEnd"/>
      <w:r w:rsidRPr="008A7BD7">
        <w:rPr>
          <w:rFonts w:ascii="Cambria" w:hAnsi="Cambria"/>
          <w:sz w:val="16"/>
          <w:szCs w:val="16"/>
          <w:lang w:val="es-US"/>
        </w:rPr>
        <w:t xml:space="preserve"> les </w:t>
      </w:r>
      <w:proofErr w:type="spellStart"/>
      <w:r w:rsidRPr="008A7BD7">
        <w:rPr>
          <w:rFonts w:ascii="Cambria" w:hAnsi="Cambria"/>
          <w:sz w:val="16"/>
          <w:szCs w:val="16"/>
          <w:lang w:val="es-US"/>
        </w:rPr>
        <w:t>Droits</w:t>
      </w:r>
      <w:proofErr w:type="spellEnd"/>
      <w:r w:rsidRPr="008A7BD7">
        <w:rPr>
          <w:rFonts w:ascii="Cambria" w:hAnsi="Cambria"/>
          <w:sz w:val="16"/>
          <w:szCs w:val="16"/>
          <w:lang w:val="es-US"/>
        </w:rPr>
        <w:t xml:space="preserve"> </w:t>
      </w:r>
      <w:proofErr w:type="spellStart"/>
      <w:r w:rsidRPr="008A7BD7">
        <w:rPr>
          <w:rFonts w:ascii="Cambria" w:hAnsi="Cambria"/>
          <w:sz w:val="16"/>
          <w:szCs w:val="16"/>
          <w:lang w:val="es-US"/>
        </w:rPr>
        <w:t>Humain</w:t>
      </w:r>
      <w:proofErr w:type="spellEnd"/>
      <w:r w:rsidRPr="008A7BD7">
        <w:rPr>
          <w:rFonts w:ascii="Cambria" w:hAnsi="Cambria"/>
          <w:sz w:val="16"/>
          <w:szCs w:val="16"/>
          <w:lang w:val="es-US"/>
        </w:rPr>
        <w:t xml:space="preserve"> en Amérique Latina (CDHAL),</w:t>
      </w:r>
      <w:hyperlink r:id="rId349">
        <w:r w:rsidRPr="008A7BD7">
          <w:rPr>
            <w:rFonts w:ascii="Cambria" w:hAnsi="Cambria"/>
            <w:sz w:val="16"/>
            <w:szCs w:val="16"/>
            <w:lang w:val="es-US"/>
          </w:rPr>
          <w:t xml:space="preserve"> </w:t>
        </w:r>
      </w:hyperlink>
      <w:hyperlink r:id="rId350">
        <w:r w:rsidRPr="008A7BD7">
          <w:rPr>
            <w:rFonts w:ascii="Cambria" w:hAnsi="Cambria"/>
            <w:i/>
            <w:iCs/>
            <w:color w:val="1155CC"/>
            <w:sz w:val="16"/>
            <w:szCs w:val="16"/>
            <w:u w:val="single"/>
            <w:lang w:val="es-US"/>
          </w:rPr>
          <w:t xml:space="preserve">Guatemala: Elsa </w:t>
        </w:r>
        <w:proofErr w:type="spellStart"/>
        <w:r w:rsidRPr="008A7BD7">
          <w:rPr>
            <w:rFonts w:ascii="Cambria" w:hAnsi="Cambria"/>
            <w:i/>
            <w:iCs/>
            <w:color w:val="1155CC"/>
            <w:sz w:val="16"/>
            <w:szCs w:val="16"/>
            <w:u w:val="single"/>
            <w:lang w:val="es-US"/>
          </w:rPr>
          <w:t>Siquín</w:t>
        </w:r>
        <w:proofErr w:type="spellEnd"/>
        <w:r w:rsidRPr="008A7BD7">
          <w:rPr>
            <w:rFonts w:ascii="Cambria" w:hAnsi="Cambria"/>
            <w:i/>
            <w:iCs/>
            <w:color w:val="1155CC"/>
            <w:sz w:val="16"/>
            <w:szCs w:val="16"/>
            <w:u w:val="single"/>
            <w:lang w:val="es-US"/>
          </w:rPr>
          <w:t>, madre de una de las 56 víctimas de la masacre del Hogar Seguro Virgen de la Asunción, amenazada de muerte</w:t>
        </w:r>
      </w:hyperlink>
      <w:r w:rsidRPr="008A7BD7">
        <w:rPr>
          <w:rFonts w:ascii="Cambria" w:hAnsi="Cambria"/>
          <w:sz w:val="16"/>
          <w:szCs w:val="16"/>
          <w:lang w:val="es-US"/>
        </w:rPr>
        <w:t xml:space="preserve">, </w:t>
      </w:r>
      <w:r w:rsidR="00246AC3" w:rsidRPr="008A7BD7">
        <w:rPr>
          <w:rFonts w:ascii="Cambria" w:hAnsi="Cambria"/>
          <w:sz w:val="16"/>
          <w:szCs w:val="16"/>
          <w:lang w:val="es-US"/>
        </w:rPr>
        <w:t xml:space="preserve">March </w:t>
      </w:r>
      <w:r w:rsidRPr="008A7BD7">
        <w:rPr>
          <w:rFonts w:ascii="Cambria" w:hAnsi="Cambria"/>
          <w:sz w:val="16"/>
          <w:szCs w:val="16"/>
          <w:lang w:val="es-US"/>
        </w:rPr>
        <w:t>25</w:t>
      </w:r>
      <w:r w:rsidR="00246AC3" w:rsidRPr="008A7BD7">
        <w:rPr>
          <w:rFonts w:ascii="Cambria" w:hAnsi="Cambria"/>
          <w:sz w:val="16"/>
          <w:szCs w:val="16"/>
          <w:lang w:val="es-US"/>
        </w:rPr>
        <w:t xml:space="preserve">, </w:t>
      </w:r>
      <w:r w:rsidRPr="008A7BD7">
        <w:rPr>
          <w:rFonts w:ascii="Cambria" w:hAnsi="Cambria"/>
          <w:sz w:val="16"/>
          <w:szCs w:val="16"/>
          <w:lang w:val="es-US"/>
        </w:rPr>
        <w:t>2021.</w:t>
      </w:r>
    </w:p>
  </w:footnote>
  <w:footnote w:id="361">
    <w:p w14:paraId="6679BC37" w14:textId="1434D930" w:rsidR="00746761" w:rsidRPr="008A7BD7" w:rsidRDefault="00746761" w:rsidP="00DA23B2">
      <w:pPr>
        <w:pBdr>
          <w:top w:val="nil"/>
          <w:left w:val="nil"/>
          <w:bottom w:val="nil"/>
          <w:right w:val="nil"/>
          <w:between w:val="nil"/>
        </w:pBdr>
        <w:spacing w:after="120"/>
        <w:ind w:firstLine="720"/>
        <w:jc w:val="both"/>
        <w:rPr>
          <w:rFonts w:ascii="Cambria" w:hAnsi="Cambria"/>
          <w:color w:val="000000"/>
          <w:sz w:val="16"/>
          <w:szCs w:val="16"/>
        </w:rPr>
      </w:pPr>
      <w:r w:rsidRPr="008A7BD7">
        <w:rPr>
          <w:rStyle w:val="FootnoteReference"/>
          <w:rFonts w:ascii="Cambria" w:hAnsi="Cambria"/>
          <w:sz w:val="16"/>
          <w:szCs w:val="16"/>
        </w:rPr>
        <w:footnoteRef/>
      </w:r>
      <w:r w:rsidRPr="008A7BD7">
        <w:rPr>
          <w:rFonts w:ascii="Cambria" w:hAnsi="Cambria"/>
          <w:color w:val="000000"/>
          <w:sz w:val="16"/>
          <w:szCs w:val="16"/>
        </w:rPr>
        <w:t xml:space="preserve"> </w:t>
      </w:r>
      <w:r w:rsidR="0076248E" w:rsidRPr="008A7BD7">
        <w:rPr>
          <w:rFonts w:ascii="Cambria" w:hAnsi="Cambria"/>
          <w:color w:val="000000"/>
          <w:sz w:val="16"/>
          <w:szCs w:val="16"/>
        </w:rPr>
        <w:t xml:space="preserve">IACHR, </w:t>
      </w:r>
      <w:hyperlink r:id="rId351" w:history="1">
        <w:r w:rsidR="0076248E" w:rsidRPr="008A7BD7">
          <w:rPr>
            <w:rStyle w:val="Hyperlink"/>
            <w:rFonts w:ascii="Cambria" w:hAnsi="Cambria"/>
            <w:sz w:val="16"/>
            <w:szCs w:val="16"/>
          </w:rPr>
          <w:t>The Right of Boys and Girls to a Family. Alternativ</w:t>
        </w:r>
        <w:r w:rsidR="00496D98" w:rsidRPr="008A7BD7">
          <w:rPr>
            <w:rStyle w:val="Hyperlink"/>
            <w:rFonts w:ascii="Cambria" w:hAnsi="Cambria"/>
            <w:sz w:val="16"/>
            <w:szCs w:val="16"/>
          </w:rPr>
          <w:t>e</w:t>
        </w:r>
        <w:r w:rsidR="0076248E" w:rsidRPr="008A7BD7">
          <w:rPr>
            <w:rStyle w:val="Hyperlink"/>
            <w:rFonts w:ascii="Cambria" w:hAnsi="Cambria"/>
            <w:sz w:val="16"/>
            <w:szCs w:val="16"/>
          </w:rPr>
          <w:t xml:space="preserve"> Care. Ending Institutionalization in the Americas</w:t>
        </w:r>
      </w:hyperlink>
      <w:r w:rsidR="0076248E" w:rsidRPr="008A7BD7">
        <w:rPr>
          <w:rFonts w:ascii="Cambria" w:hAnsi="Cambria"/>
          <w:color w:val="000000"/>
          <w:sz w:val="16"/>
          <w:szCs w:val="16"/>
        </w:rPr>
        <w:t>, OAS/</w:t>
      </w:r>
      <w:proofErr w:type="spellStart"/>
      <w:r w:rsidR="0076248E" w:rsidRPr="008A7BD7">
        <w:rPr>
          <w:rFonts w:ascii="Cambria" w:hAnsi="Cambria"/>
          <w:color w:val="000000"/>
          <w:sz w:val="16"/>
          <w:szCs w:val="16"/>
        </w:rPr>
        <w:t>Ser.L</w:t>
      </w:r>
      <w:proofErr w:type="spellEnd"/>
      <w:r w:rsidR="0076248E" w:rsidRPr="008A7BD7">
        <w:rPr>
          <w:rFonts w:ascii="Cambria" w:hAnsi="Cambria"/>
          <w:color w:val="000000"/>
          <w:sz w:val="16"/>
          <w:szCs w:val="16"/>
        </w:rPr>
        <w:t xml:space="preserve">/V./II. Doc. 54/13, </w:t>
      </w:r>
      <w:r w:rsidRPr="008A7BD7">
        <w:rPr>
          <w:rFonts w:ascii="Cambria" w:hAnsi="Cambria"/>
          <w:color w:val="000000"/>
          <w:sz w:val="16"/>
          <w:szCs w:val="16"/>
        </w:rPr>
        <w:t>2013.</w:t>
      </w:r>
    </w:p>
  </w:footnote>
  <w:footnote w:id="362">
    <w:p w14:paraId="095F6A34" w14:textId="132B3208" w:rsidR="004D1FCF" w:rsidRPr="008A7BD7" w:rsidRDefault="004D1FCF" w:rsidP="00DA23B2">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CE2EB6" w:rsidRPr="008A7BD7">
        <w:rPr>
          <w:rFonts w:ascii="Cambria" w:eastAsia="Cambria" w:hAnsi="Cambria" w:cstheme="majorHAnsi"/>
          <w:sz w:val="16"/>
          <w:szCs w:val="16"/>
        </w:rPr>
        <w:t>Human Rights Ombudsman</w:t>
      </w:r>
      <w:r w:rsidRPr="008A7BD7">
        <w:rPr>
          <w:rFonts w:ascii="Cambria" w:hAnsi="Cambria"/>
          <w:sz w:val="16"/>
          <w:szCs w:val="16"/>
        </w:rPr>
        <w:t xml:space="preserve">, Guatemala, </w:t>
      </w:r>
      <w:hyperlink r:id="rId352" w:history="1">
        <w:proofErr w:type="spellStart"/>
        <w:r w:rsidRPr="008A7BD7">
          <w:rPr>
            <w:rStyle w:val="Hyperlink"/>
            <w:rFonts w:ascii="Cambria" w:hAnsi="Cambria"/>
            <w:i/>
            <w:iCs/>
            <w:sz w:val="16"/>
            <w:szCs w:val="16"/>
          </w:rPr>
          <w:t>Comunicado</w:t>
        </w:r>
        <w:proofErr w:type="spellEnd"/>
        <w:r w:rsidRPr="008A7BD7">
          <w:rPr>
            <w:rStyle w:val="Hyperlink"/>
            <w:rFonts w:ascii="Cambria" w:hAnsi="Cambria"/>
            <w:i/>
            <w:iCs/>
            <w:sz w:val="16"/>
            <w:szCs w:val="16"/>
          </w:rPr>
          <w:t xml:space="preserve"> 16/21</w:t>
        </w:r>
      </w:hyperlink>
      <w:r w:rsidRPr="008A7BD7">
        <w:rPr>
          <w:rFonts w:ascii="Cambria" w:hAnsi="Cambria"/>
          <w:sz w:val="16"/>
          <w:szCs w:val="16"/>
        </w:rPr>
        <w:t xml:space="preserve">, </w:t>
      </w:r>
      <w:r w:rsidR="00CE2EB6" w:rsidRPr="008A7BD7">
        <w:rPr>
          <w:rFonts w:ascii="Cambria" w:hAnsi="Cambria"/>
          <w:sz w:val="16"/>
          <w:szCs w:val="16"/>
        </w:rPr>
        <w:t xml:space="preserve">January </w:t>
      </w:r>
      <w:r w:rsidRPr="008A7BD7">
        <w:rPr>
          <w:rFonts w:ascii="Cambria" w:hAnsi="Cambria"/>
          <w:sz w:val="16"/>
          <w:szCs w:val="16"/>
        </w:rPr>
        <w:t>28</w:t>
      </w:r>
      <w:r w:rsidR="00CE2EB6" w:rsidRPr="008A7BD7">
        <w:rPr>
          <w:rFonts w:ascii="Cambria" w:hAnsi="Cambria"/>
          <w:sz w:val="16"/>
          <w:szCs w:val="16"/>
        </w:rPr>
        <w:t xml:space="preserve">, </w:t>
      </w:r>
      <w:r w:rsidRPr="008A7BD7">
        <w:rPr>
          <w:rFonts w:ascii="Cambria" w:hAnsi="Cambria"/>
          <w:sz w:val="16"/>
          <w:szCs w:val="16"/>
        </w:rPr>
        <w:t>2021</w:t>
      </w:r>
    </w:p>
  </w:footnote>
  <w:footnote w:id="363">
    <w:p w14:paraId="2C79FD39" w14:textId="210186F2" w:rsidR="004D1FCF" w:rsidRPr="008A7BD7" w:rsidRDefault="004D1FCF" w:rsidP="00DA23B2">
      <w:pPr>
        <w:pStyle w:val="FootnoteText"/>
        <w:spacing w:after="120"/>
        <w:ind w:firstLine="720"/>
        <w:jc w:val="both"/>
        <w:rPr>
          <w:rFonts w:ascii="Cambria" w:hAnsi="Cambria"/>
          <w:sz w:val="16"/>
          <w:szCs w:val="16"/>
          <w:lang w:val="es-US"/>
        </w:rPr>
      </w:pPr>
      <w:r w:rsidRPr="008A7BD7">
        <w:rPr>
          <w:rStyle w:val="FootnoteReference"/>
          <w:rFonts w:ascii="Cambria" w:hAnsi="Cambria"/>
          <w:sz w:val="16"/>
          <w:szCs w:val="16"/>
        </w:rPr>
        <w:footnoteRef/>
      </w:r>
      <w:r w:rsidRPr="008A7BD7">
        <w:rPr>
          <w:rFonts w:ascii="Cambria" w:hAnsi="Cambria"/>
          <w:sz w:val="16"/>
          <w:szCs w:val="16"/>
          <w:lang w:val="es-ES"/>
        </w:rPr>
        <w:t xml:space="preserve"> Human </w:t>
      </w:r>
      <w:proofErr w:type="spellStart"/>
      <w:r w:rsidRPr="008A7BD7">
        <w:rPr>
          <w:rFonts w:ascii="Cambria" w:hAnsi="Cambria"/>
          <w:sz w:val="16"/>
          <w:szCs w:val="16"/>
          <w:lang w:val="es-ES"/>
        </w:rPr>
        <w:t>Rights</w:t>
      </w:r>
      <w:proofErr w:type="spellEnd"/>
      <w:r w:rsidRPr="008A7BD7">
        <w:rPr>
          <w:rFonts w:ascii="Cambria" w:hAnsi="Cambria"/>
          <w:sz w:val="16"/>
          <w:szCs w:val="16"/>
          <w:lang w:val="es-ES"/>
        </w:rPr>
        <w:t xml:space="preserve"> </w:t>
      </w:r>
      <w:proofErr w:type="spellStart"/>
      <w:r w:rsidRPr="008A7BD7">
        <w:rPr>
          <w:rFonts w:ascii="Cambria" w:hAnsi="Cambria"/>
          <w:sz w:val="16"/>
          <w:szCs w:val="16"/>
          <w:lang w:val="es-ES"/>
        </w:rPr>
        <w:t>Watch</w:t>
      </w:r>
      <w:proofErr w:type="spellEnd"/>
      <w:r w:rsidRPr="008A7BD7">
        <w:rPr>
          <w:rFonts w:ascii="Cambria" w:hAnsi="Cambria"/>
          <w:sz w:val="16"/>
          <w:szCs w:val="16"/>
          <w:lang w:val="es-ES"/>
        </w:rPr>
        <w:t>,</w:t>
      </w:r>
      <w:r w:rsidR="00697A62" w:rsidRPr="008A7BD7">
        <w:rPr>
          <w:rFonts w:ascii="Cambria" w:hAnsi="Cambria"/>
          <w:sz w:val="16"/>
          <w:szCs w:val="16"/>
          <w:lang w:val="es-ES"/>
        </w:rPr>
        <w:t xml:space="preserve"> Guatemala: </w:t>
      </w:r>
      <w:hyperlink r:id="rId353" w:history="1">
        <w:r w:rsidR="00697A62" w:rsidRPr="008A7BD7">
          <w:rPr>
            <w:rStyle w:val="Hyperlink"/>
            <w:rFonts w:ascii="Cambria" w:hAnsi="Cambria"/>
            <w:sz w:val="16"/>
            <w:szCs w:val="16"/>
            <w:lang w:val="es-ES"/>
          </w:rPr>
          <w:t xml:space="preserve">3 </w:t>
        </w:r>
        <w:proofErr w:type="spellStart"/>
        <w:r w:rsidR="00697A62" w:rsidRPr="008A7BD7">
          <w:rPr>
            <w:rStyle w:val="Hyperlink"/>
            <w:rFonts w:ascii="Cambria" w:hAnsi="Cambria"/>
            <w:sz w:val="16"/>
            <w:szCs w:val="16"/>
            <w:lang w:val="es-ES"/>
          </w:rPr>
          <w:t>Killings</w:t>
        </w:r>
        <w:proofErr w:type="spellEnd"/>
        <w:r w:rsidR="00697A62" w:rsidRPr="008A7BD7">
          <w:rPr>
            <w:rStyle w:val="Hyperlink"/>
            <w:rFonts w:ascii="Cambria" w:hAnsi="Cambria"/>
            <w:sz w:val="16"/>
            <w:szCs w:val="16"/>
            <w:lang w:val="es-ES"/>
          </w:rPr>
          <w:t xml:space="preserve"> of LGBT People in a </w:t>
        </w:r>
        <w:proofErr w:type="spellStart"/>
        <w:r w:rsidR="00697A62" w:rsidRPr="008A7BD7">
          <w:rPr>
            <w:rStyle w:val="Hyperlink"/>
            <w:rFonts w:ascii="Cambria" w:hAnsi="Cambria"/>
            <w:sz w:val="16"/>
            <w:szCs w:val="16"/>
            <w:lang w:val="es-ES"/>
          </w:rPr>
          <w:t>Week</w:t>
        </w:r>
        <w:proofErr w:type="spellEnd"/>
      </w:hyperlink>
      <w:r w:rsidRPr="008A7BD7">
        <w:rPr>
          <w:rFonts w:ascii="Cambria" w:hAnsi="Cambria"/>
          <w:sz w:val="16"/>
          <w:szCs w:val="16"/>
          <w:lang w:val="es-ES"/>
        </w:rPr>
        <w:t xml:space="preserve">, </w:t>
      </w:r>
      <w:r w:rsidR="00697A62" w:rsidRPr="008A7BD7">
        <w:rPr>
          <w:rFonts w:ascii="Cambria" w:hAnsi="Cambria"/>
          <w:sz w:val="16"/>
          <w:szCs w:val="16"/>
          <w:lang w:val="es-ES"/>
        </w:rPr>
        <w:t xml:space="preserve">June </w:t>
      </w:r>
      <w:r w:rsidRPr="008A7BD7">
        <w:rPr>
          <w:rFonts w:ascii="Cambria" w:hAnsi="Cambria"/>
          <w:sz w:val="16"/>
          <w:szCs w:val="16"/>
          <w:lang w:val="es-ES"/>
        </w:rPr>
        <w:t>22</w:t>
      </w:r>
      <w:r w:rsidR="00697A62" w:rsidRPr="008A7BD7">
        <w:rPr>
          <w:rFonts w:ascii="Cambria" w:hAnsi="Cambria"/>
          <w:sz w:val="16"/>
          <w:szCs w:val="16"/>
          <w:lang w:val="es-ES"/>
        </w:rPr>
        <w:t>,</w:t>
      </w:r>
      <w:r w:rsidRPr="008A7BD7">
        <w:rPr>
          <w:rFonts w:ascii="Cambria" w:hAnsi="Cambria"/>
          <w:sz w:val="16"/>
          <w:szCs w:val="16"/>
          <w:lang w:val="es-ES"/>
        </w:rPr>
        <w:t xml:space="preserve"> 2021; Agencia Presentes, </w:t>
      </w:r>
      <w:hyperlink r:id="rId354" w:history="1">
        <w:r w:rsidRPr="008A7BD7">
          <w:rPr>
            <w:rStyle w:val="Hyperlink"/>
            <w:rFonts w:ascii="Cambria" w:hAnsi="Cambria"/>
            <w:i/>
            <w:iCs/>
            <w:sz w:val="16"/>
            <w:szCs w:val="16"/>
            <w:lang w:val="es-ES"/>
          </w:rPr>
          <w:t xml:space="preserve">Asesinaron a las activistas Ceci </w:t>
        </w:r>
        <w:proofErr w:type="spellStart"/>
        <w:r w:rsidRPr="008A7BD7">
          <w:rPr>
            <w:rStyle w:val="Hyperlink"/>
            <w:rFonts w:ascii="Cambria" w:hAnsi="Cambria"/>
            <w:i/>
            <w:iCs/>
            <w:sz w:val="16"/>
            <w:szCs w:val="16"/>
            <w:lang w:val="es-ES"/>
          </w:rPr>
          <w:t>Ixpata</w:t>
        </w:r>
        <w:proofErr w:type="spellEnd"/>
        <w:r w:rsidRPr="008A7BD7">
          <w:rPr>
            <w:rStyle w:val="Hyperlink"/>
            <w:rFonts w:ascii="Cambria" w:hAnsi="Cambria"/>
            <w:i/>
            <w:iCs/>
            <w:sz w:val="16"/>
            <w:szCs w:val="16"/>
            <w:lang w:val="es-ES"/>
          </w:rPr>
          <w:t xml:space="preserve"> y Andrea González: dos </w:t>
        </w:r>
        <w:proofErr w:type="spellStart"/>
        <w:r w:rsidRPr="008A7BD7">
          <w:rPr>
            <w:rStyle w:val="Hyperlink"/>
            <w:rFonts w:ascii="Cambria" w:hAnsi="Cambria"/>
            <w:i/>
            <w:iCs/>
            <w:sz w:val="16"/>
            <w:szCs w:val="16"/>
            <w:lang w:val="es-ES"/>
          </w:rPr>
          <w:t>transfemicidios</w:t>
        </w:r>
        <w:proofErr w:type="spellEnd"/>
        <w:r w:rsidRPr="008A7BD7">
          <w:rPr>
            <w:rStyle w:val="Hyperlink"/>
            <w:rFonts w:ascii="Cambria" w:hAnsi="Cambria"/>
            <w:i/>
            <w:iCs/>
            <w:sz w:val="16"/>
            <w:szCs w:val="16"/>
            <w:lang w:val="es-ES"/>
          </w:rPr>
          <w:t xml:space="preserve"> en menos de una semana en Guatemala</w:t>
        </w:r>
      </w:hyperlink>
      <w:r w:rsidRPr="008A7BD7">
        <w:rPr>
          <w:rFonts w:ascii="Cambria" w:hAnsi="Cambria"/>
          <w:sz w:val="16"/>
          <w:szCs w:val="16"/>
          <w:lang w:val="es-ES"/>
        </w:rPr>
        <w:t xml:space="preserve">, </w:t>
      </w:r>
      <w:r w:rsidR="00D43255" w:rsidRPr="008A7BD7">
        <w:rPr>
          <w:rFonts w:ascii="Cambria" w:hAnsi="Cambria"/>
          <w:sz w:val="16"/>
          <w:szCs w:val="16"/>
          <w:lang w:val="es-ES"/>
        </w:rPr>
        <w:t xml:space="preserve">June </w:t>
      </w:r>
      <w:r w:rsidRPr="008A7BD7">
        <w:rPr>
          <w:rFonts w:ascii="Cambria" w:hAnsi="Cambria"/>
          <w:sz w:val="16"/>
          <w:szCs w:val="16"/>
          <w:lang w:val="es-ES"/>
        </w:rPr>
        <w:t>14</w:t>
      </w:r>
      <w:r w:rsidR="00D43255" w:rsidRPr="008A7BD7">
        <w:rPr>
          <w:rFonts w:ascii="Cambria" w:hAnsi="Cambria"/>
          <w:sz w:val="16"/>
          <w:szCs w:val="16"/>
          <w:lang w:val="es-ES"/>
        </w:rPr>
        <w:t xml:space="preserve">, </w:t>
      </w:r>
      <w:r w:rsidRPr="008A7BD7">
        <w:rPr>
          <w:rFonts w:ascii="Cambria" w:hAnsi="Cambria"/>
          <w:sz w:val="16"/>
          <w:szCs w:val="16"/>
          <w:lang w:val="es-ES"/>
        </w:rPr>
        <w:t>2021</w:t>
      </w:r>
      <w:r w:rsidR="00D43255" w:rsidRPr="008A7BD7">
        <w:rPr>
          <w:rFonts w:ascii="Cambria" w:hAnsi="Cambria"/>
          <w:sz w:val="16"/>
          <w:szCs w:val="16"/>
          <w:lang w:val="es-ES"/>
        </w:rPr>
        <w:t>.</w:t>
      </w:r>
    </w:p>
  </w:footnote>
  <w:footnote w:id="364">
    <w:p w14:paraId="5EF42D40" w14:textId="2BB9B2B2" w:rsidR="004D1FCF" w:rsidRPr="008A7BD7" w:rsidRDefault="004D1FC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571475" w:rsidRPr="008A7BD7">
        <w:rPr>
          <w:rFonts w:ascii="Cambria" w:hAnsi="Cambria"/>
          <w:sz w:val="16"/>
          <w:szCs w:val="16"/>
        </w:rPr>
        <w:t xml:space="preserve">IACHR, </w:t>
      </w:r>
      <w:hyperlink r:id="rId355" w:history="1">
        <w:r w:rsidR="00571475" w:rsidRPr="008A7BD7">
          <w:rPr>
            <w:rStyle w:val="Hyperlink"/>
            <w:rFonts w:ascii="Cambria" w:hAnsi="Cambria"/>
            <w:sz w:val="16"/>
            <w:szCs w:val="16"/>
          </w:rPr>
          <w:t xml:space="preserve">Violence against Lesbian, Gay, Bisexual, </w:t>
        </w:r>
        <w:proofErr w:type="gramStart"/>
        <w:r w:rsidR="00571475" w:rsidRPr="008A7BD7">
          <w:rPr>
            <w:rStyle w:val="Hyperlink"/>
            <w:rFonts w:ascii="Cambria" w:hAnsi="Cambria"/>
            <w:sz w:val="16"/>
            <w:szCs w:val="16"/>
          </w:rPr>
          <w:t>Trans</w:t>
        </w:r>
        <w:proofErr w:type="gramEnd"/>
        <w:r w:rsidR="00571475" w:rsidRPr="008A7BD7">
          <w:rPr>
            <w:rStyle w:val="Hyperlink"/>
            <w:rFonts w:ascii="Cambria" w:hAnsi="Cambria"/>
            <w:sz w:val="16"/>
            <w:szCs w:val="16"/>
          </w:rPr>
          <w:t xml:space="preserve"> and Intersex Persons in the Americas</w:t>
        </w:r>
      </w:hyperlink>
      <w:r w:rsidR="00571475" w:rsidRPr="008A7BD7">
        <w:rPr>
          <w:rFonts w:ascii="Cambria" w:hAnsi="Cambria"/>
          <w:sz w:val="16"/>
          <w:szCs w:val="16"/>
        </w:rPr>
        <w:t>,</w:t>
      </w:r>
      <w:r w:rsidR="00DE5E20" w:rsidRPr="008A7BD7">
        <w:rPr>
          <w:rFonts w:ascii="Cambria" w:hAnsi="Cambria"/>
          <w:sz w:val="16"/>
          <w:szCs w:val="16"/>
        </w:rPr>
        <w:t xml:space="preserve"> OAS/</w:t>
      </w:r>
      <w:proofErr w:type="spellStart"/>
      <w:r w:rsidR="00DE5E20" w:rsidRPr="008A7BD7">
        <w:rPr>
          <w:rFonts w:ascii="Cambria" w:hAnsi="Cambria"/>
          <w:sz w:val="16"/>
          <w:szCs w:val="16"/>
        </w:rPr>
        <w:t>Ser.L</w:t>
      </w:r>
      <w:proofErr w:type="spellEnd"/>
      <w:r w:rsidR="00DE5E20" w:rsidRPr="008A7BD7">
        <w:rPr>
          <w:rFonts w:ascii="Cambria" w:hAnsi="Cambria"/>
          <w:sz w:val="16"/>
          <w:szCs w:val="16"/>
        </w:rPr>
        <w:t>/V/II.rev.1 Doc. 36, November 12, 2015, par.</w:t>
      </w:r>
      <w:r w:rsidRPr="008A7BD7">
        <w:rPr>
          <w:rFonts w:ascii="Cambria" w:hAnsi="Cambria"/>
          <w:sz w:val="16"/>
          <w:szCs w:val="16"/>
        </w:rPr>
        <w:t xml:space="preserve"> 84.</w:t>
      </w:r>
    </w:p>
  </w:footnote>
  <w:footnote w:id="365">
    <w:p w14:paraId="5878DD45" w14:textId="372CBF45" w:rsidR="004D1FCF" w:rsidRPr="008A7BD7" w:rsidRDefault="004D1FC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DD03CD" w:rsidRPr="008A7BD7">
        <w:rPr>
          <w:rFonts w:ascii="Cambria" w:hAnsi="Cambria"/>
          <w:sz w:val="16"/>
          <w:szCs w:val="16"/>
        </w:rPr>
        <w:t>Presidential Commission for Peace and Human Rights (COPADEH), Ref.Of.502-2021-DE/COPADEH/HRCR/LFL/Kg, Document sent to the IACHR, July 15, 2021, in response to the request for information sent by the IACHR on June 28, 2021, on this and other initiatives.</w:t>
      </w:r>
      <w:r w:rsidRPr="008A7BD7">
        <w:rPr>
          <w:rFonts w:ascii="Cambria" w:hAnsi="Cambria"/>
          <w:sz w:val="16"/>
          <w:szCs w:val="16"/>
        </w:rPr>
        <w:t xml:space="preserve"> </w:t>
      </w:r>
    </w:p>
  </w:footnote>
  <w:footnote w:id="366">
    <w:p w14:paraId="2FCD84EC" w14:textId="531FCF40" w:rsidR="004D1FCF" w:rsidRPr="008A7BD7" w:rsidRDefault="004D1FC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r w:rsidR="007D5F98" w:rsidRPr="008A7BD7">
        <w:rPr>
          <w:rFonts w:ascii="Cambria" w:hAnsi="Cambria"/>
          <w:sz w:val="16"/>
          <w:szCs w:val="16"/>
        </w:rPr>
        <w:t xml:space="preserve">Congress of </w:t>
      </w:r>
      <w:r w:rsidRPr="008A7BD7">
        <w:rPr>
          <w:rFonts w:ascii="Cambria" w:hAnsi="Cambria"/>
          <w:sz w:val="16"/>
          <w:szCs w:val="16"/>
        </w:rPr>
        <w:t xml:space="preserve">Guatemala, </w:t>
      </w:r>
      <w:r w:rsidR="007D5F98" w:rsidRPr="008A7BD7">
        <w:rPr>
          <w:rFonts w:ascii="Cambria" w:hAnsi="Cambria"/>
          <w:sz w:val="16"/>
          <w:szCs w:val="16"/>
        </w:rPr>
        <w:t>Bill</w:t>
      </w:r>
      <w:r w:rsidRPr="008A7BD7">
        <w:rPr>
          <w:rFonts w:ascii="Cambria" w:hAnsi="Cambria"/>
          <w:sz w:val="16"/>
          <w:szCs w:val="16"/>
        </w:rPr>
        <w:t xml:space="preserve"> 5940</w:t>
      </w:r>
      <w:r w:rsidR="007D5F98" w:rsidRPr="008A7BD7">
        <w:rPr>
          <w:rFonts w:ascii="Cambria" w:hAnsi="Cambria"/>
          <w:sz w:val="16"/>
          <w:szCs w:val="16"/>
        </w:rPr>
        <w:t xml:space="preserve">, </w:t>
      </w:r>
      <w:r w:rsidR="00430AA1" w:rsidRPr="008A7BD7">
        <w:rPr>
          <w:rFonts w:ascii="Cambria" w:hAnsi="Cambria"/>
          <w:sz w:val="16"/>
          <w:szCs w:val="16"/>
        </w:rPr>
        <w:t>which</w:t>
      </w:r>
      <w:r w:rsidR="007D5F98" w:rsidRPr="008A7BD7">
        <w:rPr>
          <w:rFonts w:ascii="Cambria" w:hAnsi="Cambria"/>
          <w:sz w:val="16"/>
          <w:szCs w:val="16"/>
        </w:rPr>
        <w:t xml:space="preserve"> </w:t>
      </w:r>
      <w:r w:rsidR="003E3EAE" w:rsidRPr="008A7BD7">
        <w:rPr>
          <w:rFonts w:ascii="Cambria" w:hAnsi="Cambria"/>
          <w:sz w:val="16"/>
          <w:szCs w:val="16"/>
        </w:rPr>
        <w:t>provides for the passage</w:t>
      </w:r>
      <w:r w:rsidR="00430AA1" w:rsidRPr="008A7BD7">
        <w:rPr>
          <w:rFonts w:ascii="Cambria" w:hAnsi="Cambria"/>
          <w:sz w:val="16"/>
          <w:szCs w:val="16"/>
        </w:rPr>
        <w:t xml:space="preserve"> </w:t>
      </w:r>
      <w:r w:rsidR="003E3EAE" w:rsidRPr="008A7BD7">
        <w:rPr>
          <w:rFonts w:ascii="Cambria" w:hAnsi="Cambria"/>
          <w:sz w:val="16"/>
          <w:szCs w:val="16"/>
        </w:rPr>
        <w:t xml:space="preserve">of </w:t>
      </w:r>
      <w:r w:rsidR="00430AA1" w:rsidRPr="008A7BD7">
        <w:rPr>
          <w:rFonts w:ascii="Cambria" w:hAnsi="Cambria"/>
          <w:sz w:val="16"/>
          <w:szCs w:val="16"/>
        </w:rPr>
        <w:t>a law to ensure the comprehensive protection of</w:t>
      </w:r>
      <w:r w:rsidR="007D5F98" w:rsidRPr="008A7BD7">
        <w:rPr>
          <w:rFonts w:ascii="Cambria" w:hAnsi="Cambria"/>
          <w:sz w:val="16"/>
          <w:szCs w:val="16"/>
        </w:rPr>
        <w:t xml:space="preserve"> children and adolescents </w:t>
      </w:r>
      <w:r w:rsidR="00066E81" w:rsidRPr="008A7BD7">
        <w:rPr>
          <w:rFonts w:ascii="Cambria" w:hAnsi="Cambria"/>
          <w:sz w:val="16"/>
          <w:szCs w:val="16"/>
        </w:rPr>
        <w:t>from</w:t>
      </w:r>
      <w:r w:rsidR="007D5F98" w:rsidRPr="008A7BD7">
        <w:rPr>
          <w:rFonts w:ascii="Cambria" w:hAnsi="Cambria"/>
          <w:sz w:val="16"/>
          <w:szCs w:val="16"/>
        </w:rPr>
        <w:t xml:space="preserve"> gender identity disorders, July 12, </w:t>
      </w:r>
      <w:r w:rsidRPr="008A7BD7">
        <w:rPr>
          <w:rFonts w:ascii="Cambria" w:hAnsi="Cambria"/>
          <w:sz w:val="16"/>
          <w:szCs w:val="16"/>
        </w:rPr>
        <w:t>2021.</w:t>
      </w:r>
    </w:p>
  </w:footnote>
  <w:footnote w:id="367">
    <w:p w14:paraId="7A7117F0" w14:textId="71E3D2F3" w:rsidR="004D1FCF" w:rsidRPr="008A7BD7" w:rsidRDefault="004D1FCF" w:rsidP="00746761">
      <w:pPr>
        <w:pStyle w:val="FootnoteText"/>
        <w:spacing w:after="120"/>
        <w:ind w:firstLine="720"/>
        <w:jc w:val="both"/>
        <w:rPr>
          <w:rFonts w:ascii="Cambria" w:hAnsi="Cambria"/>
          <w:sz w:val="16"/>
          <w:szCs w:val="16"/>
        </w:rPr>
      </w:pPr>
      <w:r w:rsidRPr="008A7BD7">
        <w:rPr>
          <w:rStyle w:val="FootnoteReference"/>
          <w:rFonts w:ascii="Cambria" w:hAnsi="Cambria"/>
          <w:sz w:val="16"/>
          <w:szCs w:val="16"/>
          <w:lang w:val="es-ES"/>
        </w:rPr>
        <w:footnoteRef/>
      </w:r>
      <w:r w:rsidRPr="008A7BD7">
        <w:rPr>
          <w:rFonts w:ascii="Cambria" w:hAnsi="Cambria"/>
          <w:sz w:val="16"/>
          <w:szCs w:val="16"/>
        </w:rPr>
        <w:t xml:space="preserve"> </w:t>
      </w:r>
      <w:r w:rsidR="007D5F98" w:rsidRPr="008A7BD7">
        <w:rPr>
          <w:rFonts w:ascii="Cambria" w:hAnsi="Cambria"/>
          <w:sz w:val="16"/>
          <w:szCs w:val="16"/>
        </w:rPr>
        <w:t xml:space="preserve">Government of Guatemala, </w:t>
      </w:r>
      <w:hyperlink r:id="rId356">
        <w:r w:rsidR="007D5F98" w:rsidRPr="008A7BD7">
          <w:rPr>
            <w:rStyle w:val="Hyperlink"/>
            <w:rFonts w:ascii="Cambria" w:hAnsi="Cambria"/>
            <w:i/>
            <w:iCs/>
            <w:sz w:val="16"/>
            <w:szCs w:val="16"/>
          </w:rPr>
          <w:t xml:space="preserve">Política </w:t>
        </w:r>
        <w:proofErr w:type="spellStart"/>
        <w:r w:rsidR="007D5F98" w:rsidRPr="008A7BD7">
          <w:rPr>
            <w:rStyle w:val="Hyperlink"/>
            <w:rFonts w:ascii="Cambria" w:hAnsi="Cambria"/>
            <w:i/>
            <w:iCs/>
            <w:sz w:val="16"/>
            <w:szCs w:val="16"/>
          </w:rPr>
          <w:t>Pública</w:t>
        </w:r>
        <w:proofErr w:type="spellEnd"/>
        <w:r w:rsidR="007D5F98" w:rsidRPr="008A7BD7">
          <w:rPr>
            <w:rStyle w:val="Hyperlink"/>
            <w:rFonts w:ascii="Cambria" w:hAnsi="Cambria"/>
            <w:i/>
            <w:iCs/>
            <w:sz w:val="16"/>
            <w:szCs w:val="16"/>
          </w:rPr>
          <w:t xml:space="preserve"> de </w:t>
        </w:r>
        <w:proofErr w:type="spellStart"/>
        <w:r w:rsidR="007D5F98" w:rsidRPr="008A7BD7">
          <w:rPr>
            <w:rStyle w:val="Hyperlink"/>
            <w:rFonts w:ascii="Cambria" w:hAnsi="Cambria"/>
            <w:i/>
            <w:iCs/>
            <w:sz w:val="16"/>
            <w:szCs w:val="16"/>
          </w:rPr>
          <w:t>Protección</w:t>
        </w:r>
        <w:proofErr w:type="spellEnd"/>
        <w:r w:rsidR="007D5F98" w:rsidRPr="008A7BD7">
          <w:rPr>
            <w:rStyle w:val="Hyperlink"/>
            <w:rFonts w:ascii="Cambria" w:hAnsi="Cambria"/>
            <w:i/>
            <w:iCs/>
            <w:sz w:val="16"/>
            <w:szCs w:val="16"/>
          </w:rPr>
          <w:t xml:space="preserve"> a la Vida y la </w:t>
        </w:r>
        <w:proofErr w:type="spellStart"/>
        <w:r w:rsidR="007D5F98" w:rsidRPr="008A7BD7">
          <w:rPr>
            <w:rStyle w:val="Hyperlink"/>
            <w:rFonts w:ascii="Cambria" w:hAnsi="Cambria"/>
            <w:i/>
            <w:iCs/>
            <w:sz w:val="16"/>
            <w:szCs w:val="16"/>
          </w:rPr>
          <w:t>Institucionalidad</w:t>
        </w:r>
        <w:proofErr w:type="spellEnd"/>
        <w:r w:rsidR="007D5F98" w:rsidRPr="008A7BD7">
          <w:rPr>
            <w:rStyle w:val="Hyperlink"/>
            <w:rFonts w:ascii="Cambria" w:hAnsi="Cambria"/>
            <w:i/>
            <w:iCs/>
            <w:sz w:val="16"/>
            <w:szCs w:val="16"/>
          </w:rPr>
          <w:t xml:space="preserve"> de la Familia 2021-2032</w:t>
        </w:r>
      </w:hyperlink>
      <w:r w:rsidR="007D5F98" w:rsidRPr="008A7BD7">
        <w:rPr>
          <w:rFonts w:ascii="Cambria" w:hAnsi="Cambria"/>
          <w:sz w:val="16"/>
          <w:szCs w:val="16"/>
        </w:rPr>
        <w:t>, July 2021; Presidential Commission for Peace and Human Rights (COPADEH), Ref.Of.502-2021-DE/COPADEH/HRCR/LFL/Kg, Document sent to the IACHR, July 15, 2021.</w:t>
      </w:r>
    </w:p>
  </w:footnote>
  <w:footnote w:id="368">
    <w:p w14:paraId="1118F7BD" w14:textId="004DE7DA" w:rsidR="009E52D6" w:rsidRPr="008A7BD7" w:rsidRDefault="009E52D6" w:rsidP="009E52D6">
      <w:pPr>
        <w:pStyle w:val="FootnoteText"/>
        <w:ind w:firstLine="720"/>
        <w:rPr>
          <w:rFonts w:ascii="Cambria" w:hAnsi="Cambria"/>
          <w:sz w:val="16"/>
          <w:szCs w:val="16"/>
        </w:rPr>
      </w:pPr>
      <w:r w:rsidRPr="008A7BD7">
        <w:rPr>
          <w:rStyle w:val="FootnoteReference"/>
          <w:rFonts w:ascii="Cambria" w:hAnsi="Cambria"/>
          <w:sz w:val="16"/>
          <w:szCs w:val="16"/>
        </w:rPr>
        <w:footnoteRef/>
      </w:r>
      <w:r w:rsidRPr="008A7BD7">
        <w:rPr>
          <w:rFonts w:ascii="Cambria" w:hAnsi="Cambria"/>
          <w:sz w:val="16"/>
          <w:szCs w:val="16"/>
        </w:rPr>
        <w:t xml:space="preserve"> </w:t>
      </w:r>
      <w:proofErr w:type="gramStart"/>
      <w:r w:rsidR="00095DD9" w:rsidRPr="008A7BD7">
        <w:rPr>
          <w:rFonts w:ascii="Cambria" w:hAnsi="Cambria"/>
          <w:sz w:val="16"/>
          <w:szCs w:val="16"/>
        </w:rPr>
        <w:t>With regard to</w:t>
      </w:r>
      <w:proofErr w:type="gramEnd"/>
      <w:r w:rsidR="00471AD9" w:rsidRPr="008A7BD7">
        <w:rPr>
          <w:rFonts w:ascii="Cambria" w:hAnsi="Cambria"/>
          <w:sz w:val="16"/>
          <w:szCs w:val="16"/>
        </w:rPr>
        <w:t xml:space="preserve"> the conclusions reached by the IACHR, the State of Guatemala made the following statement</w:t>
      </w:r>
      <w:r w:rsidRPr="008A7BD7">
        <w:rPr>
          <w:rFonts w:ascii="Cambria" w:hAnsi="Cambria"/>
          <w:sz w:val="16"/>
          <w:szCs w:val="16"/>
        </w:rPr>
        <w:t>:</w:t>
      </w:r>
    </w:p>
    <w:p w14:paraId="34D4E1C0" w14:textId="77777777" w:rsidR="009E52D6" w:rsidRPr="008A7BD7" w:rsidRDefault="009E52D6" w:rsidP="009E52D6">
      <w:pPr>
        <w:shd w:val="clear" w:color="auto" w:fill="FFFFFF"/>
        <w:ind w:left="720"/>
        <w:jc w:val="both"/>
        <w:rPr>
          <w:rFonts w:ascii="Cambria" w:eastAsia="Times New Roman" w:hAnsi="Cambria" w:cs="Tahoma"/>
          <w:color w:val="000000" w:themeColor="text1"/>
          <w:sz w:val="16"/>
          <w:szCs w:val="16"/>
        </w:rPr>
      </w:pPr>
      <w:r w:rsidRPr="008A7BD7">
        <w:rPr>
          <w:rFonts w:ascii="Cambria" w:eastAsia="Times New Roman" w:hAnsi="Cambria" w:cs="Tahoma"/>
          <w:color w:val="000000" w:themeColor="text1"/>
          <w:sz w:val="16"/>
          <w:szCs w:val="16"/>
        </w:rPr>
        <w:t>“[…]</w:t>
      </w:r>
    </w:p>
    <w:p w14:paraId="65E54283" w14:textId="77777777" w:rsidR="009E52D6" w:rsidRPr="008A7BD7" w:rsidRDefault="009E52D6" w:rsidP="009E52D6">
      <w:pPr>
        <w:shd w:val="clear" w:color="auto" w:fill="FFFFFF"/>
        <w:ind w:left="720"/>
        <w:jc w:val="both"/>
        <w:rPr>
          <w:rFonts w:ascii="Cambria" w:eastAsia="Times New Roman" w:hAnsi="Cambria" w:cs="Tahoma"/>
          <w:color w:val="000000" w:themeColor="text1"/>
          <w:sz w:val="16"/>
          <w:szCs w:val="16"/>
        </w:rPr>
      </w:pPr>
    </w:p>
    <w:p w14:paraId="27358B89" w14:textId="1350A992" w:rsidR="009E52D6" w:rsidRPr="008A7BD7" w:rsidRDefault="00471AD9" w:rsidP="009E52D6">
      <w:pPr>
        <w:shd w:val="clear" w:color="auto" w:fill="FFFFFF"/>
        <w:ind w:left="720"/>
        <w:jc w:val="both"/>
        <w:rPr>
          <w:rFonts w:ascii="Cambria" w:eastAsia="Times New Roman" w:hAnsi="Cambria" w:cs="Tahoma"/>
          <w:color w:val="000000" w:themeColor="text1"/>
          <w:sz w:val="16"/>
          <w:szCs w:val="16"/>
        </w:rPr>
      </w:pPr>
      <w:r w:rsidRPr="008A7BD7">
        <w:rPr>
          <w:rFonts w:ascii="Cambria" w:hAnsi="Cambria"/>
          <w:sz w:val="16"/>
          <w:szCs w:val="16"/>
        </w:rPr>
        <w:t xml:space="preserve">It is important to note that to arrive at objective conclusions that would provide the foundation to include the State in Chapter </w:t>
      </w:r>
      <w:r w:rsidR="009E52D6" w:rsidRPr="008A7BD7">
        <w:rPr>
          <w:rFonts w:ascii="Cambria" w:hAnsi="Cambria"/>
          <w:sz w:val="16"/>
          <w:szCs w:val="16"/>
        </w:rPr>
        <w:t xml:space="preserve">IV.B </w:t>
      </w:r>
      <w:r w:rsidRPr="008A7BD7">
        <w:rPr>
          <w:rFonts w:ascii="Cambria" w:hAnsi="Cambria"/>
          <w:sz w:val="16"/>
          <w:szCs w:val="16"/>
        </w:rPr>
        <w:t xml:space="preserve">of the Annual Report, such as in the case before us, it should be considered that many of the cases in which the State of </w:t>
      </w:r>
      <w:r w:rsidR="009E52D6" w:rsidRPr="008A7BD7">
        <w:rPr>
          <w:rFonts w:ascii="Cambria" w:hAnsi="Cambria"/>
          <w:sz w:val="16"/>
          <w:szCs w:val="16"/>
        </w:rPr>
        <w:t xml:space="preserve">Guatemala </w:t>
      </w:r>
      <w:r w:rsidR="00407673" w:rsidRPr="008A7BD7">
        <w:rPr>
          <w:rFonts w:ascii="Cambria" w:hAnsi="Cambria"/>
          <w:sz w:val="16"/>
          <w:szCs w:val="16"/>
        </w:rPr>
        <w:t>has been</w:t>
      </w:r>
      <w:r w:rsidRPr="008A7BD7">
        <w:rPr>
          <w:rFonts w:ascii="Cambria" w:hAnsi="Cambria"/>
          <w:sz w:val="16"/>
          <w:szCs w:val="16"/>
        </w:rPr>
        <w:t xml:space="preserve"> singled out for its supposed lack of attention to human rights </w:t>
      </w:r>
      <w:r w:rsidR="00A264B1" w:rsidRPr="008A7BD7">
        <w:rPr>
          <w:rFonts w:ascii="Cambria" w:hAnsi="Cambria"/>
          <w:sz w:val="16"/>
          <w:szCs w:val="16"/>
        </w:rPr>
        <w:t xml:space="preserve">stand in </w:t>
      </w:r>
      <w:r w:rsidRPr="008A7BD7">
        <w:rPr>
          <w:rFonts w:ascii="Cambria" w:hAnsi="Cambria"/>
          <w:sz w:val="16"/>
          <w:szCs w:val="16"/>
        </w:rPr>
        <w:t xml:space="preserve">contrast </w:t>
      </w:r>
      <w:r w:rsidR="00A264B1" w:rsidRPr="008A7BD7">
        <w:rPr>
          <w:rFonts w:ascii="Cambria" w:hAnsi="Cambria"/>
          <w:sz w:val="16"/>
          <w:szCs w:val="16"/>
        </w:rPr>
        <w:t>to</w:t>
      </w:r>
      <w:r w:rsidRPr="008A7BD7">
        <w:rPr>
          <w:rFonts w:ascii="Cambria" w:hAnsi="Cambria"/>
          <w:sz w:val="16"/>
          <w:szCs w:val="16"/>
        </w:rPr>
        <w:t xml:space="preserve"> facts</w:t>
      </w:r>
      <w:r w:rsidR="00407673" w:rsidRPr="008A7BD7">
        <w:rPr>
          <w:rFonts w:ascii="Cambria" w:hAnsi="Cambria"/>
          <w:sz w:val="16"/>
          <w:szCs w:val="16"/>
        </w:rPr>
        <w:t>,</w:t>
      </w:r>
      <w:r w:rsidRPr="008A7BD7">
        <w:rPr>
          <w:rFonts w:ascii="Cambria" w:hAnsi="Cambria"/>
          <w:sz w:val="16"/>
          <w:szCs w:val="16"/>
        </w:rPr>
        <w:t xml:space="preserve"> circumstances, reports, and testimony, equally as extensive and detailed, that point to the existence of </w:t>
      </w:r>
      <w:r w:rsidR="00A264B1" w:rsidRPr="008A7BD7">
        <w:rPr>
          <w:rFonts w:ascii="Cambria" w:hAnsi="Cambria"/>
          <w:sz w:val="16"/>
          <w:szCs w:val="16"/>
        </w:rPr>
        <w:t>concrete actions, achievements, and fulfillment of the current government’s commitments to meet the human rights standards established in the Convention. Along these lines</w:t>
      </w:r>
      <w:r w:rsidR="00FF6DDC" w:rsidRPr="008A7BD7">
        <w:rPr>
          <w:rFonts w:ascii="Cambria" w:hAnsi="Cambria"/>
          <w:sz w:val="16"/>
          <w:szCs w:val="16"/>
        </w:rPr>
        <w:t xml:space="preserve">, </w:t>
      </w:r>
      <w:r w:rsidR="00A264B1" w:rsidRPr="008A7BD7">
        <w:rPr>
          <w:rFonts w:ascii="Cambria" w:hAnsi="Cambria"/>
          <w:sz w:val="16"/>
          <w:szCs w:val="16"/>
        </w:rPr>
        <w:t xml:space="preserve">the distinguished Commission’s </w:t>
      </w:r>
      <w:r w:rsidR="0053723E" w:rsidRPr="008A7BD7">
        <w:rPr>
          <w:rFonts w:ascii="Cambria" w:hAnsi="Cambria"/>
          <w:sz w:val="16"/>
          <w:szCs w:val="16"/>
        </w:rPr>
        <w:t>decision</w:t>
      </w:r>
      <w:r w:rsidR="00A264B1" w:rsidRPr="008A7BD7">
        <w:rPr>
          <w:rFonts w:ascii="Cambria" w:hAnsi="Cambria"/>
          <w:sz w:val="16"/>
          <w:szCs w:val="16"/>
        </w:rPr>
        <w:t xml:space="preserve"> to include the State in Chapter </w:t>
      </w:r>
      <w:r w:rsidR="009E52D6" w:rsidRPr="008A7BD7">
        <w:rPr>
          <w:rFonts w:ascii="Cambria" w:hAnsi="Cambria"/>
          <w:sz w:val="16"/>
          <w:szCs w:val="16"/>
        </w:rPr>
        <w:t xml:space="preserve">IV.B </w:t>
      </w:r>
      <w:r w:rsidR="00A264B1" w:rsidRPr="008A7BD7">
        <w:rPr>
          <w:rFonts w:ascii="Cambria" w:hAnsi="Cambria"/>
          <w:sz w:val="16"/>
          <w:szCs w:val="16"/>
        </w:rPr>
        <w:t xml:space="preserve">of the Annual Report, without objective reasons for doing so, </w:t>
      </w:r>
      <w:r w:rsidR="0053723E" w:rsidRPr="008A7BD7">
        <w:rPr>
          <w:rFonts w:ascii="Cambria" w:hAnsi="Cambria"/>
          <w:sz w:val="16"/>
          <w:szCs w:val="16"/>
        </w:rPr>
        <w:t>causes</w:t>
      </w:r>
      <w:r w:rsidR="00A264B1" w:rsidRPr="008A7BD7">
        <w:rPr>
          <w:rFonts w:ascii="Cambria" w:hAnsi="Cambria"/>
          <w:sz w:val="16"/>
          <w:szCs w:val="16"/>
        </w:rPr>
        <w:t xml:space="preserve"> </w:t>
      </w:r>
      <w:r w:rsidR="0053723E" w:rsidRPr="008A7BD7">
        <w:rPr>
          <w:rFonts w:ascii="Cambria" w:hAnsi="Cambria"/>
          <w:sz w:val="16"/>
          <w:szCs w:val="16"/>
        </w:rPr>
        <w:t xml:space="preserve">Guatemala </w:t>
      </w:r>
      <w:r w:rsidR="00A264B1" w:rsidRPr="008A7BD7">
        <w:rPr>
          <w:rFonts w:ascii="Cambria" w:hAnsi="Cambria"/>
          <w:sz w:val="16"/>
          <w:szCs w:val="16"/>
        </w:rPr>
        <w:t xml:space="preserve">profound concern and </w:t>
      </w:r>
      <w:r w:rsidR="0053723E" w:rsidRPr="008A7BD7">
        <w:rPr>
          <w:rFonts w:ascii="Cambria" w:hAnsi="Cambria"/>
          <w:sz w:val="16"/>
          <w:szCs w:val="16"/>
        </w:rPr>
        <w:t>unease</w:t>
      </w:r>
      <w:r w:rsidR="009E52D6" w:rsidRPr="008A7BD7">
        <w:rPr>
          <w:rFonts w:ascii="Cambria" w:hAnsi="Cambria"/>
          <w:sz w:val="16"/>
          <w:szCs w:val="16"/>
        </w:rPr>
        <w:t xml:space="preserve"> </w:t>
      </w:r>
      <w:r w:rsidR="00FF6DDC" w:rsidRPr="008A7BD7">
        <w:rPr>
          <w:rFonts w:ascii="Cambria" w:hAnsi="Cambria"/>
          <w:sz w:val="16"/>
          <w:szCs w:val="16"/>
        </w:rPr>
        <w:t>because it obscures and devalues</w:t>
      </w:r>
      <w:r w:rsidR="0069214D" w:rsidRPr="008A7BD7">
        <w:rPr>
          <w:rFonts w:ascii="Cambria" w:hAnsi="Cambria"/>
          <w:sz w:val="16"/>
          <w:szCs w:val="16"/>
        </w:rPr>
        <w:t xml:space="preserve"> the progress and goals </w:t>
      </w:r>
      <w:r w:rsidR="00FF6DDC" w:rsidRPr="008A7BD7">
        <w:rPr>
          <w:rFonts w:ascii="Cambria" w:hAnsi="Cambria"/>
          <w:sz w:val="16"/>
          <w:szCs w:val="16"/>
        </w:rPr>
        <w:t>achieved</w:t>
      </w:r>
      <w:r w:rsidR="0069214D" w:rsidRPr="008A7BD7">
        <w:rPr>
          <w:rFonts w:ascii="Cambria" w:hAnsi="Cambria"/>
          <w:sz w:val="16"/>
          <w:szCs w:val="16"/>
        </w:rPr>
        <w:t xml:space="preserve"> related to promoting and disseminating human rights and combating impunity. The State requests that the illustrious Commission consider the content of the observations laid out in this document and rememb</w:t>
      </w:r>
      <w:r w:rsidR="00FF6DDC" w:rsidRPr="008A7BD7">
        <w:rPr>
          <w:rFonts w:ascii="Cambria" w:hAnsi="Cambria"/>
          <w:sz w:val="16"/>
          <w:szCs w:val="16"/>
        </w:rPr>
        <w:t>e</w:t>
      </w:r>
      <w:r w:rsidR="0069214D" w:rsidRPr="008A7BD7">
        <w:rPr>
          <w:rFonts w:ascii="Cambria" w:hAnsi="Cambria"/>
          <w:sz w:val="16"/>
          <w:szCs w:val="16"/>
        </w:rPr>
        <w:t xml:space="preserve">r the </w:t>
      </w:r>
      <w:r w:rsidR="00FF6DDC" w:rsidRPr="008A7BD7">
        <w:rPr>
          <w:rFonts w:ascii="Cambria" w:hAnsi="Cambria"/>
          <w:sz w:val="16"/>
          <w:szCs w:val="16"/>
        </w:rPr>
        <w:t xml:space="preserve">joint </w:t>
      </w:r>
      <w:r w:rsidR="0069214D" w:rsidRPr="008A7BD7">
        <w:rPr>
          <w:rFonts w:ascii="Cambria" w:hAnsi="Cambria"/>
          <w:sz w:val="16"/>
          <w:szCs w:val="16"/>
        </w:rPr>
        <w:t>commitments it made</w:t>
      </w:r>
      <w:r w:rsidR="00FF6DDC" w:rsidRPr="008A7BD7">
        <w:rPr>
          <w:rFonts w:ascii="Cambria" w:hAnsi="Cambria"/>
          <w:sz w:val="16"/>
          <w:szCs w:val="16"/>
        </w:rPr>
        <w:t xml:space="preserve"> </w:t>
      </w:r>
      <w:r w:rsidR="0069214D" w:rsidRPr="008A7BD7">
        <w:rPr>
          <w:rFonts w:ascii="Cambria" w:hAnsi="Cambria"/>
          <w:sz w:val="16"/>
          <w:szCs w:val="16"/>
        </w:rPr>
        <w:t xml:space="preserve">with the State to pursue a work plan that would </w:t>
      </w:r>
      <w:r w:rsidR="00C52713" w:rsidRPr="008A7BD7">
        <w:rPr>
          <w:rFonts w:ascii="Cambria" w:hAnsi="Cambria"/>
          <w:sz w:val="16"/>
          <w:szCs w:val="16"/>
        </w:rPr>
        <w:t>seek</w:t>
      </w:r>
      <w:r w:rsidR="0069214D" w:rsidRPr="008A7BD7">
        <w:rPr>
          <w:rFonts w:ascii="Cambria" w:hAnsi="Cambria"/>
          <w:sz w:val="16"/>
          <w:szCs w:val="16"/>
        </w:rPr>
        <w:t xml:space="preserve"> to overcome the outstanding challenges and goals related to human rights </w:t>
      </w:r>
      <w:r w:rsidR="00C52713" w:rsidRPr="008A7BD7">
        <w:rPr>
          <w:rFonts w:ascii="Cambria" w:hAnsi="Cambria"/>
          <w:sz w:val="16"/>
          <w:szCs w:val="16"/>
        </w:rPr>
        <w:t>while</w:t>
      </w:r>
      <w:r w:rsidR="0069214D" w:rsidRPr="008A7BD7">
        <w:rPr>
          <w:rFonts w:ascii="Cambria" w:hAnsi="Cambria"/>
          <w:sz w:val="16"/>
          <w:szCs w:val="16"/>
        </w:rPr>
        <w:t xml:space="preserve"> also recogniz</w:t>
      </w:r>
      <w:r w:rsidR="00C52713" w:rsidRPr="008A7BD7">
        <w:rPr>
          <w:rFonts w:ascii="Cambria" w:hAnsi="Cambria"/>
          <w:sz w:val="16"/>
          <w:szCs w:val="16"/>
        </w:rPr>
        <w:t>ing</w:t>
      </w:r>
      <w:r w:rsidR="009E52D6" w:rsidRPr="008A7BD7">
        <w:rPr>
          <w:rFonts w:ascii="Cambria" w:hAnsi="Cambria"/>
          <w:sz w:val="16"/>
          <w:szCs w:val="16"/>
        </w:rPr>
        <w:t xml:space="preserve"> </w:t>
      </w:r>
      <w:r w:rsidR="0069214D" w:rsidRPr="008A7BD7">
        <w:rPr>
          <w:rFonts w:ascii="Cambria" w:hAnsi="Cambria"/>
          <w:sz w:val="16"/>
          <w:szCs w:val="16"/>
        </w:rPr>
        <w:t>and valu</w:t>
      </w:r>
      <w:r w:rsidR="00C52713" w:rsidRPr="008A7BD7">
        <w:rPr>
          <w:rFonts w:ascii="Cambria" w:hAnsi="Cambria"/>
          <w:sz w:val="16"/>
          <w:szCs w:val="16"/>
        </w:rPr>
        <w:t>ing</w:t>
      </w:r>
      <w:r w:rsidR="0069214D" w:rsidRPr="008A7BD7">
        <w:rPr>
          <w:rFonts w:ascii="Cambria" w:hAnsi="Cambria"/>
          <w:sz w:val="16"/>
          <w:szCs w:val="16"/>
        </w:rPr>
        <w:t xml:space="preserve"> the progress made in this area</w:t>
      </w:r>
      <w:r w:rsidR="009E52D6" w:rsidRPr="008A7BD7">
        <w:rPr>
          <w:rFonts w:ascii="Cambria" w:hAnsi="Cambria"/>
          <w:sz w:val="16"/>
          <w:szCs w:val="16"/>
        </w:rPr>
        <w:t xml:space="preserve">.   </w:t>
      </w:r>
    </w:p>
    <w:p w14:paraId="4C36C87B" w14:textId="77777777" w:rsidR="009E52D6" w:rsidRPr="008A7BD7" w:rsidRDefault="009E52D6" w:rsidP="009E52D6">
      <w:pPr>
        <w:shd w:val="clear" w:color="auto" w:fill="FFFFFF"/>
        <w:ind w:left="720"/>
        <w:jc w:val="both"/>
        <w:rPr>
          <w:rFonts w:ascii="Cambria" w:eastAsia="Times New Roman" w:hAnsi="Cambria" w:cs="Tahoma"/>
          <w:color w:val="000000" w:themeColor="text1"/>
          <w:sz w:val="16"/>
          <w:szCs w:val="16"/>
        </w:rPr>
      </w:pPr>
    </w:p>
    <w:p w14:paraId="6CB5FBFC" w14:textId="3E6A7AD6" w:rsidR="009E52D6" w:rsidRPr="008A7BD7" w:rsidRDefault="00CF3F7F" w:rsidP="009E52D6">
      <w:pPr>
        <w:shd w:val="clear" w:color="auto" w:fill="FFFFFF"/>
        <w:ind w:left="720"/>
        <w:jc w:val="both"/>
        <w:rPr>
          <w:rFonts w:ascii="Cambria" w:eastAsia="Times New Roman" w:hAnsi="Cambria" w:cs="Tahoma"/>
          <w:color w:val="000000" w:themeColor="text1"/>
          <w:sz w:val="16"/>
          <w:szCs w:val="16"/>
        </w:rPr>
      </w:pPr>
      <w:r w:rsidRPr="008A7BD7">
        <w:rPr>
          <w:rFonts w:ascii="Cambria" w:eastAsia="Montserrat" w:hAnsi="Cambria" w:cs="Montserrat"/>
          <w:sz w:val="16"/>
          <w:szCs w:val="16"/>
        </w:rPr>
        <w:t>The State reaffirms its willingness to maintain an open dialogue with the Commission, with truthful information grounded in fact, with</w:t>
      </w:r>
      <w:r w:rsidR="00C52713" w:rsidRPr="008A7BD7">
        <w:rPr>
          <w:rFonts w:ascii="Cambria" w:eastAsia="Montserrat" w:hAnsi="Cambria" w:cs="Montserrat"/>
          <w:sz w:val="16"/>
          <w:szCs w:val="16"/>
        </w:rPr>
        <w:t xml:space="preserve"> no</w:t>
      </w:r>
      <w:r w:rsidRPr="008A7BD7">
        <w:rPr>
          <w:rFonts w:ascii="Cambria" w:eastAsia="Montserrat" w:hAnsi="Cambria" w:cs="Montserrat"/>
          <w:sz w:val="16"/>
          <w:szCs w:val="16"/>
        </w:rPr>
        <w:t xml:space="preserve"> </w:t>
      </w:r>
      <w:r w:rsidR="007B627E" w:rsidRPr="008A7BD7">
        <w:rPr>
          <w:rFonts w:ascii="Cambria" w:eastAsia="Montserrat" w:hAnsi="Cambria" w:cs="Montserrat"/>
          <w:sz w:val="16"/>
          <w:szCs w:val="16"/>
        </w:rPr>
        <w:t>vested</w:t>
      </w:r>
      <w:r w:rsidRPr="008A7BD7">
        <w:rPr>
          <w:rFonts w:ascii="Cambria" w:eastAsia="Montserrat" w:hAnsi="Cambria" w:cs="Montserrat"/>
          <w:sz w:val="16"/>
          <w:szCs w:val="16"/>
        </w:rPr>
        <w:t xml:space="preserve"> interests, </w:t>
      </w:r>
      <w:r w:rsidR="00C52713" w:rsidRPr="008A7BD7">
        <w:rPr>
          <w:rFonts w:ascii="Cambria" w:eastAsia="Montserrat" w:hAnsi="Cambria" w:cs="Montserrat"/>
          <w:sz w:val="16"/>
          <w:szCs w:val="16"/>
        </w:rPr>
        <w:t>noting</w:t>
      </w:r>
      <w:r w:rsidRPr="008A7BD7">
        <w:rPr>
          <w:rFonts w:ascii="Cambria" w:eastAsia="Montserrat" w:hAnsi="Cambria" w:cs="Montserrat"/>
          <w:sz w:val="16"/>
          <w:szCs w:val="16"/>
        </w:rPr>
        <w:t xml:space="preserve"> that </w:t>
      </w:r>
      <w:proofErr w:type="gramStart"/>
      <w:r w:rsidRPr="008A7BD7">
        <w:rPr>
          <w:rFonts w:ascii="Cambria" w:eastAsia="Montserrat" w:hAnsi="Cambria" w:cs="Montserrat"/>
          <w:sz w:val="16"/>
          <w:szCs w:val="16"/>
        </w:rPr>
        <w:t>all of</w:t>
      </w:r>
      <w:proofErr w:type="gramEnd"/>
      <w:r w:rsidRPr="008A7BD7">
        <w:rPr>
          <w:rFonts w:ascii="Cambria" w:eastAsia="Montserrat" w:hAnsi="Cambria" w:cs="Montserrat"/>
          <w:sz w:val="16"/>
          <w:szCs w:val="16"/>
        </w:rPr>
        <w:t xml:space="preserve"> the State of Guatemala’s institutions</w:t>
      </w:r>
      <w:r w:rsidR="009E52D6" w:rsidRPr="008A7BD7">
        <w:rPr>
          <w:rFonts w:ascii="Cambria" w:eastAsia="Montserrat" w:hAnsi="Cambria" w:cs="Montserrat"/>
          <w:sz w:val="16"/>
          <w:szCs w:val="16"/>
        </w:rPr>
        <w:t xml:space="preserve"> </w:t>
      </w:r>
      <w:r w:rsidRPr="008A7BD7">
        <w:rPr>
          <w:rFonts w:ascii="Cambria" w:eastAsia="Montserrat" w:hAnsi="Cambria" w:cs="Montserrat"/>
          <w:sz w:val="16"/>
          <w:szCs w:val="16"/>
        </w:rPr>
        <w:t xml:space="preserve">are open to the various </w:t>
      </w:r>
      <w:r w:rsidR="007B627E" w:rsidRPr="008A7BD7">
        <w:rPr>
          <w:rFonts w:ascii="Cambria" w:eastAsia="Montserrat" w:hAnsi="Cambria" w:cs="Montserrat"/>
          <w:sz w:val="16"/>
          <w:szCs w:val="16"/>
        </w:rPr>
        <w:t>proposals</w:t>
      </w:r>
      <w:r w:rsidRPr="008A7BD7">
        <w:rPr>
          <w:rFonts w:ascii="Cambria" w:eastAsia="Montserrat" w:hAnsi="Cambria" w:cs="Montserrat"/>
          <w:sz w:val="16"/>
          <w:szCs w:val="16"/>
        </w:rPr>
        <w:t xml:space="preserve"> made by the Inter-American Commission on Human Rights.</w:t>
      </w:r>
      <w:r w:rsidR="0078301F" w:rsidRPr="008A7BD7">
        <w:rPr>
          <w:rFonts w:ascii="Cambria" w:eastAsia="Montserrat" w:hAnsi="Cambria" w:cs="Montserrat"/>
          <w:sz w:val="16"/>
          <w:szCs w:val="16"/>
        </w:rPr>
        <w:t xml:space="preserve"> </w:t>
      </w:r>
      <w:r w:rsidRPr="008A7BD7">
        <w:rPr>
          <w:rFonts w:ascii="Cambria" w:eastAsia="Montserrat" w:hAnsi="Cambria" w:cs="Montserrat"/>
          <w:sz w:val="16"/>
          <w:szCs w:val="16"/>
        </w:rPr>
        <w:t xml:space="preserve">The State thus proposes </w:t>
      </w:r>
      <w:r w:rsidR="007B627E" w:rsidRPr="008A7BD7">
        <w:rPr>
          <w:rFonts w:ascii="Cambria" w:eastAsia="Montserrat" w:hAnsi="Cambria" w:cs="Montserrat"/>
          <w:sz w:val="16"/>
          <w:szCs w:val="16"/>
        </w:rPr>
        <w:t>a</w:t>
      </w:r>
      <w:r w:rsidRPr="008A7BD7">
        <w:rPr>
          <w:rFonts w:ascii="Cambria" w:eastAsia="Montserrat" w:hAnsi="Cambria" w:cs="Montserrat"/>
          <w:sz w:val="16"/>
          <w:szCs w:val="16"/>
        </w:rPr>
        <w:t xml:space="preserve"> bilateral </w:t>
      </w:r>
      <w:r w:rsidR="007B627E" w:rsidRPr="008A7BD7">
        <w:rPr>
          <w:rFonts w:ascii="Cambria" w:eastAsia="Montserrat" w:hAnsi="Cambria" w:cs="Montserrat"/>
          <w:sz w:val="16"/>
          <w:szCs w:val="16"/>
        </w:rPr>
        <w:t>work plan with</w:t>
      </w:r>
      <w:r w:rsidRPr="008A7BD7">
        <w:rPr>
          <w:rFonts w:ascii="Cambria" w:eastAsia="Montserrat" w:hAnsi="Cambria" w:cs="Montserrat"/>
          <w:sz w:val="16"/>
          <w:szCs w:val="16"/>
        </w:rPr>
        <w:t xml:space="preserve"> direct engagement, using digital media on virtual platforms, with a tentative schedule of activities described in the proposed roadmap </w:t>
      </w:r>
      <w:r w:rsidR="00C52713" w:rsidRPr="008A7BD7">
        <w:rPr>
          <w:rFonts w:ascii="Cambria" w:eastAsia="Montserrat" w:hAnsi="Cambria" w:cs="Montserrat"/>
          <w:sz w:val="16"/>
          <w:szCs w:val="16"/>
        </w:rPr>
        <w:t>detailed</w:t>
      </w:r>
      <w:r w:rsidRPr="008A7BD7">
        <w:rPr>
          <w:rFonts w:ascii="Cambria" w:eastAsia="Montserrat" w:hAnsi="Cambria" w:cs="Montserrat"/>
          <w:sz w:val="16"/>
          <w:szCs w:val="16"/>
        </w:rPr>
        <w:t xml:space="preserve"> below.</w:t>
      </w:r>
      <w:r w:rsidR="0078301F" w:rsidRPr="008A7BD7">
        <w:rPr>
          <w:rFonts w:ascii="Cambria" w:eastAsia="Montserrat" w:hAnsi="Cambria" w:cs="Montserrat"/>
          <w:sz w:val="16"/>
          <w:szCs w:val="16"/>
        </w:rPr>
        <w:t xml:space="preserve"> </w:t>
      </w:r>
    </w:p>
    <w:p w14:paraId="1C90E291" w14:textId="77777777" w:rsidR="009E52D6" w:rsidRPr="008A7BD7" w:rsidRDefault="009E52D6" w:rsidP="009E52D6">
      <w:pPr>
        <w:shd w:val="clear" w:color="auto" w:fill="FFFFFF"/>
        <w:ind w:left="720"/>
        <w:jc w:val="both"/>
        <w:rPr>
          <w:rFonts w:ascii="Cambria" w:eastAsia="Times New Roman" w:hAnsi="Cambria" w:cs="Tahoma"/>
          <w:color w:val="000000" w:themeColor="text1"/>
          <w:sz w:val="16"/>
          <w:szCs w:val="16"/>
        </w:rPr>
      </w:pPr>
    </w:p>
    <w:p w14:paraId="7D509D6E" w14:textId="63F36156" w:rsidR="009E52D6" w:rsidRPr="008A7BD7" w:rsidRDefault="0078301F" w:rsidP="009E52D6">
      <w:pPr>
        <w:shd w:val="clear" w:color="auto" w:fill="FFFFFF"/>
        <w:ind w:left="720"/>
        <w:jc w:val="both"/>
        <w:rPr>
          <w:rFonts w:ascii="Cambria" w:eastAsia="Times New Roman" w:hAnsi="Cambria" w:cs="Tahoma"/>
          <w:color w:val="000000" w:themeColor="text1"/>
          <w:sz w:val="16"/>
          <w:szCs w:val="16"/>
        </w:rPr>
      </w:pPr>
      <w:r w:rsidRPr="008A7BD7">
        <w:rPr>
          <w:rFonts w:ascii="Cambria" w:eastAsia="Montserrat" w:hAnsi="Cambria" w:cs="Montserrat"/>
          <w:sz w:val="16"/>
          <w:szCs w:val="16"/>
        </w:rPr>
        <w:t xml:space="preserve">In view of the information contained in this report on observations for the IACHR Annual Report, the State finds the need to reiterate to the Honorable Commission that the criterion </w:t>
      </w:r>
      <w:r w:rsidR="00CC5EC0" w:rsidRPr="008A7BD7">
        <w:rPr>
          <w:rFonts w:ascii="Cambria" w:eastAsia="Montserrat" w:hAnsi="Cambria" w:cs="Montserrat"/>
          <w:sz w:val="16"/>
          <w:szCs w:val="16"/>
        </w:rPr>
        <w:t xml:space="preserve">it </w:t>
      </w:r>
      <w:r w:rsidRPr="008A7BD7">
        <w:rPr>
          <w:rFonts w:ascii="Cambria" w:eastAsia="Montserrat" w:hAnsi="Cambria" w:cs="Montserrat"/>
          <w:sz w:val="16"/>
          <w:szCs w:val="16"/>
        </w:rPr>
        <w:t>used with regard to Article 59</w:t>
      </w:r>
      <w:r w:rsidR="007B627E" w:rsidRPr="008A7BD7">
        <w:rPr>
          <w:rFonts w:ascii="Cambria" w:eastAsia="Montserrat" w:hAnsi="Cambria" w:cs="Montserrat"/>
          <w:sz w:val="16"/>
          <w:szCs w:val="16"/>
        </w:rPr>
        <w:t>(</w:t>
      </w:r>
      <w:r w:rsidRPr="008A7BD7">
        <w:rPr>
          <w:rFonts w:ascii="Cambria" w:eastAsia="Montserrat" w:hAnsi="Cambria" w:cs="Montserrat"/>
          <w:sz w:val="16"/>
          <w:szCs w:val="16"/>
        </w:rPr>
        <w:t>6</w:t>
      </w:r>
      <w:r w:rsidR="007B627E" w:rsidRPr="008A7BD7">
        <w:rPr>
          <w:rFonts w:ascii="Cambria" w:eastAsia="Montserrat" w:hAnsi="Cambria" w:cs="Montserrat"/>
          <w:sz w:val="16"/>
          <w:szCs w:val="16"/>
        </w:rPr>
        <w:t>)</w:t>
      </w:r>
      <w:r w:rsidRPr="008A7BD7">
        <w:rPr>
          <w:rFonts w:ascii="Cambria" w:eastAsia="Montserrat" w:hAnsi="Cambria" w:cs="Montserrat"/>
          <w:sz w:val="16"/>
          <w:szCs w:val="16"/>
        </w:rPr>
        <w:t xml:space="preserve"> of its Rules of Procedure, which </w:t>
      </w:r>
      <w:r w:rsidR="00564CCA" w:rsidRPr="008A7BD7">
        <w:rPr>
          <w:rFonts w:ascii="Cambria" w:eastAsia="Montserrat" w:hAnsi="Cambria" w:cs="Montserrat"/>
          <w:sz w:val="16"/>
          <w:szCs w:val="16"/>
        </w:rPr>
        <w:t>establishes a set of six hypothetical situations that would lead to a State being included in Chapter IV</w:t>
      </w:r>
      <w:r w:rsidR="007B627E" w:rsidRPr="008A7BD7">
        <w:rPr>
          <w:rFonts w:ascii="Cambria" w:eastAsia="Montserrat" w:hAnsi="Cambria" w:cs="Montserrat"/>
          <w:sz w:val="16"/>
          <w:szCs w:val="16"/>
        </w:rPr>
        <w:t>.</w:t>
      </w:r>
      <w:r w:rsidR="00564CCA" w:rsidRPr="008A7BD7">
        <w:rPr>
          <w:rFonts w:ascii="Cambria" w:eastAsia="Montserrat" w:hAnsi="Cambria" w:cs="Montserrat"/>
          <w:sz w:val="16"/>
          <w:szCs w:val="16"/>
        </w:rPr>
        <w:t xml:space="preserve">B of an Annual Report, </w:t>
      </w:r>
      <w:r w:rsidRPr="008A7BD7">
        <w:rPr>
          <w:rFonts w:ascii="Cambria" w:eastAsia="Montserrat" w:hAnsi="Cambria" w:cs="Montserrat"/>
          <w:sz w:val="16"/>
          <w:szCs w:val="16"/>
        </w:rPr>
        <w:t xml:space="preserve">is not conclusive; </w:t>
      </w:r>
      <w:r w:rsidR="00564CCA" w:rsidRPr="008A7BD7">
        <w:rPr>
          <w:rFonts w:ascii="Cambria" w:eastAsia="Montserrat" w:hAnsi="Cambria" w:cs="Montserrat"/>
          <w:sz w:val="16"/>
          <w:szCs w:val="16"/>
        </w:rPr>
        <w:t xml:space="preserve">therefore, in light of that provision, a State’s denial of an on-site visit </w:t>
      </w:r>
      <w:r w:rsidR="007B627E" w:rsidRPr="008A7BD7">
        <w:rPr>
          <w:rFonts w:ascii="Cambria" w:eastAsia="Montserrat" w:hAnsi="Cambria" w:cs="Montserrat"/>
          <w:sz w:val="16"/>
          <w:szCs w:val="16"/>
        </w:rPr>
        <w:t xml:space="preserve">in no case </w:t>
      </w:r>
      <w:r w:rsidR="00564CCA" w:rsidRPr="008A7BD7">
        <w:rPr>
          <w:rFonts w:ascii="Cambria" w:eastAsia="Montserrat" w:hAnsi="Cambria" w:cs="Montserrat"/>
          <w:sz w:val="16"/>
          <w:szCs w:val="16"/>
        </w:rPr>
        <w:t>represent</w:t>
      </w:r>
      <w:r w:rsidR="007B627E" w:rsidRPr="008A7BD7">
        <w:rPr>
          <w:rFonts w:ascii="Cambria" w:eastAsia="Montserrat" w:hAnsi="Cambria" w:cs="Montserrat"/>
          <w:sz w:val="16"/>
          <w:szCs w:val="16"/>
        </w:rPr>
        <w:t>s</w:t>
      </w:r>
      <w:r w:rsidR="00564CCA" w:rsidRPr="008A7BD7">
        <w:rPr>
          <w:rFonts w:ascii="Cambria" w:eastAsia="Montserrat" w:hAnsi="Cambria" w:cs="Montserrat"/>
          <w:sz w:val="16"/>
          <w:szCs w:val="16"/>
        </w:rPr>
        <w:t xml:space="preserve"> a circumstance that would cause it to be included</w:t>
      </w:r>
      <w:r w:rsidR="009E52D6" w:rsidRPr="008A7BD7">
        <w:rPr>
          <w:rFonts w:ascii="Cambria" w:eastAsia="Montserrat" w:hAnsi="Cambria" w:cs="Montserrat"/>
          <w:sz w:val="16"/>
          <w:szCs w:val="16"/>
        </w:rPr>
        <w:t>.</w:t>
      </w:r>
    </w:p>
    <w:p w14:paraId="18B46D1D" w14:textId="77777777" w:rsidR="009E52D6" w:rsidRPr="008A7BD7" w:rsidRDefault="009E52D6" w:rsidP="009E52D6">
      <w:pPr>
        <w:pStyle w:val="ListParagraph"/>
        <w:jc w:val="both"/>
        <w:rPr>
          <w:rFonts w:ascii="Cambria" w:eastAsia="Montserrat" w:hAnsi="Cambria" w:cs="Montserrat"/>
          <w:sz w:val="16"/>
          <w:szCs w:val="16"/>
        </w:rPr>
      </w:pPr>
    </w:p>
    <w:p w14:paraId="5CCAB797" w14:textId="581EA3A5" w:rsidR="009E52D6" w:rsidRPr="008A7BD7" w:rsidRDefault="007451A9" w:rsidP="009E52D6">
      <w:pPr>
        <w:shd w:val="clear" w:color="auto" w:fill="FFFFFF"/>
        <w:ind w:left="720"/>
        <w:jc w:val="both"/>
        <w:rPr>
          <w:rFonts w:ascii="Cambria" w:eastAsia="Montserrat" w:hAnsi="Cambria" w:cs="Montserrat"/>
          <w:sz w:val="16"/>
          <w:szCs w:val="16"/>
        </w:rPr>
      </w:pPr>
      <w:r w:rsidRPr="008A7BD7">
        <w:rPr>
          <w:rFonts w:ascii="Cambria" w:eastAsia="Montserrat" w:hAnsi="Cambria" w:cs="Montserrat"/>
          <w:sz w:val="16"/>
          <w:szCs w:val="16"/>
        </w:rPr>
        <w:t>Moreover, the State reiterates its protest of the distinguished Inter-American Commission on Human Rights’ communication of November 23,</w:t>
      </w:r>
      <w:r w:rsidR="009E52D6" w:rsidRPr="008A7BD7">
        <w:rPr>
          <w:rFonts w:ascii="Cambria" w:eastAsia="Montserrat" w:hAnsi="Cambria" w:cs="Montserrat"/>
          <w:sz w:val="16"/>
          <w:szCs w:val="16"/>
        </w:rPr>
        <w:t xml:space="preserve"> 2021</w:t>
      </w:r>
      <w:r w:rsidRPr="008A7BD7">
        <w:rPr>
          <w:rFonts w:ascii="Cambria" w:eastAsia="Montserrat" w:hAnsi="Cambria" w:cs="Montserrat"/>
          <w:sz w:val="16"/>
          <w:szCs w:val="16"/>
        </w:rPr>
        <w:t>, which is inconsistent with the mandates of its Rules of Procedure</w:t>
      </w:r>
      <w:r w:rsidR="009E52D6" w:rsidRPr="008A7BD7">
        <w:rPr>
          <w:rFonts w:ascii="Cambria" w:eastAsia="Montserrat" w:hAnsi="Cambria" w:cs="Montserrat"/>
          <w:sz w:val="16"/>
          <w:szCs w:val="16"/>
        </w:rPr>
        <w:t>.”</w:t>
      </w:r>
    </w:p>
    <w:p w14:paraId="67F215B0" w14:textId="77777777" w:rsidR="009E52D6" w:rsidRPr="008A7BD7" w:rsidRDefault="009E52D6" w:rsidP="009E52D6">
      <w:pPr>
        <w:shd w:val="clear" w:color="auto" w:fill="FFFFFF"/>
        <w:ind w:left="720"/>
        <w:jc w:val="both"/>
        <w:rPr>
          <w:rFonts w:ascii="Cambria" w:eastAsia="Montserrat" w:hAnsi="Cambria" w:cs="Montserrat"/>
          <w:sz w:val="16"/>
          <w:szCs w:val="16"/>
        </w:rPr>
      </w:pPr>
    </w:p>
    <w:p w14:paraId="4D36E81D" w14:textId="2F7B50F5" w:rsidR="009E52D6" w:rsidRPr="007451A9" w:rsidRDefault="007451A9" w:rsidP="009E52D6">
      <w:pPr>
        <w:shd w:val="clear" w:color="auto" w:fill="FFFFFF"/>
        <w:ind w:left="720"/>
        <w:jc w:val="both"/>
        <w:rPr>
          <w:rFonts w:ascii="Cambria" w:eastAsia="Times New Roman" w:hAnsi="Cambria" w:cs="Tahoma"/>
          <w:color w:val="000000" w:themeColor="text1"/>
          <w:sz w:val="16"/>
          <w:szCs w:val="16"/>
        </w:rPr>
      </w:pPr>
      <w:r w:rsidRPr="008A7BD7">
        <w:rPr>
          <w:rFonts w:ascii="Cambria" w:hAnsi="Cambria"/>
          <w:sz w:val="16"/>
          <w:szCs w:val="16"/>
        </w:rPr>
        <w:t>Response from the State of</w:t>
      </w:r>
      <w:r w:rsidRPr="008A7BD7">
        <w:rPr>
          <w:rFonts w:ascii="Cambria" w:eastAsia="Cambria" w:hAnsi="Cambria" w:cs="Cambria"/>
          <w:color w:val="000000"/>
          <w:sz w:val="16"/>
          <w:szCs w:val="16"/>
        </w:rPr>
        <w:t xml:space="preserve"> Guatemala to the draft report on Guatemala from Chapter IV.B of the Annual Report of the Inter-American Commission on Human Rights, Note from the Permanent Mission of Guatemala to the Organization of American States (OAS), NV-</w:t>
      </w:r>
      <w:r w:rsidRPr="008A7BD7">
        <w:rPr>
          <w:rFonts w:ascii="Cambria" w:hAnsi="Cambria"/>
          <w:sz w:val="16"/>
          <w:szCs w:val="16"/>
        </w:rPr>
        <w:t>OEA</w:t>
      </w:r>
      <w:r w:rsidRPr="008A7BD7">
        <w:rPr>
          <w:rFonts w:ascii="Cambria" w:eastAsia="Cambria" w:hAnsi="Cambria" w:cs="Cambria"/>
          <w:color w:val="000000"/>
          <w:sz w:val="16"/>
          <w:szCs w:val="16"/>
        </w:rPr>
        <w:t>-M4-980-2021, December 22, 2021, p</w:t>
      </w:r>
      <w:r w:rsidR="009E52D6" w:rsidRPr="008A7BD7">
        <w:rPr>
          <w:rFonts w:ascii="Cambria" w:eastAsia="Times New Roman" w:hAnsi="Cambria" w:cs="Tahoma"/>
          <w:color w:val="000000"/>
          <w:sz w:val="16"/>
          <w:szCs w:val="16"/>
          <w:lang w:eastAsia="es-ES_tradnl"/>
        </w:rPr>
        <w:t>p. 210</w:t>
      </w:r>
      <w:r w:rsidR="00371027" w:rsidRPr="008A7BD7">
        <w:rPr>
          <w:rFonts w:ascii="Cambria" w:eastAsia="Times New Roman" w:hAnsi="Cambria" w:cs="Tahoma"/>
          <w:color w:val="000000"/>
          <w:sz w:val="16"/>
          <w:szCs w:val="16"/>
          <w:lang w:eastAsia="es-ES_tradnl"/>
        </w:rPr>
        <w:t>-</w:t>
      </w:r>
      <w:r w:rsidR="009E52D6" w:rsidRPr="008A7BD7">
        <w:rPr>
          <w:rFonts w:ascii="Cambria" w:eastAsia="Times New Roman" w:hAnsi="Cambria" w:cs="Tahoma"/>
          <w:color w:val="000000"/>
          <w:sz w:val="16"/>
          <w:szCs w:val="16"/>
          <w:lang w:eastAsia="es-ES_tradnl"/>
        </w:rPr>
        <w:t>211.</w:t>
      </w:r>
    </w:p>
    <w:p w14:paraId="4E737EF2" w14:textId="77777777" w:rsidR="009E52D6" w:rsidRPr="007451A9" w:rsidRDefault="009E52D6" w:rsidP="009E52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4310" w14:textId="77777777" w:rsidR="005971D5" w:rsidRDefault="00597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F626" w14:textId="2B917844" w:rsidR="006420D8" w:rsidRDefault="006420D8" w:rsidP="006420D8">
    <w:pPr>
      <w:pStyle w:val="Header"/>
      <w:rPr>
        <w:rFonts w:ascii="Arial" w:hAnsi="Arial" w:cs="Arial"/>
        <w:color w:val="3B3838" w:themeColor="background2" w:themeShade="40"/>
        <w:sz w:val="22"/>
        <w:szCs w:val="28"/>
      </w:rPr>
    </w:pPr>
    <w:r>
      <w:rPr>
        <w:noProof/>
      </w:rPr>
      <w:drawing>
        <wp:anchor distT="0" distB="0" distL="114300" distR="114300" simplePos="0" relativeHeight="251659776" behindDoc="0" locked="0" layoutInCell="1" allowOverlap="1" wp14:anchorId="46D053A0" wp14:editId="2CC8B9ED">
          <wp:simplePos x="0" y="0"/>
          <wp:positionH relativeFrom="column">
            <wp:posOffset>4787900</wp:posOffset>
          </wp:positionH>
          <wp:positionV relativeFrom="paragraph">
            <wp:posOffset>-3175</wp:posOffset>
          </wp:positionV>
          <wp:extent cx="1360170" cy="313055"/>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3130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215EEE7" wp14:editId="534033B5">
          <wp:extent cx="1314450" cy="304800"/>
          <wp:effectExtent l="0" t="0" r="0" b="0"/>
          <wp:docPr id="12" name="Picture 12"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enho com traços pretos em fundo branco&#10;&#10;Descrição gerada automaticamente com confiança baixa"/>
                  <pic:cNvPicPr>
                    <a:picLocks noChangeAspect="1" noChangeArrowheads="1"/>
                  </pic:cNvPicPr>
                </pic:nvPicPr>
                <pic:blipFill>
                  <a:blip r:embed="rId2">
                    <a:extLst>
                      <a:ext uri="{28A0092B-C50C-407E-A947-70E740481C1C}">
                        <a14:useLocalDpi xmlns:a14="http://schemas.microsoft.com/office/drawing/2010/main" val="0"/>
                      </a:ext>
                    </a:extLst>
                  </a:blip>
                  <a:srcRect t="-47" b="-47"/>
                  <a:stretch>
                    <a:fillRect/>
                  </a:stretch>
                </pic:blipFill>
                <pic:spPr bwMode="auto">
                  <a:xfrm>
                    <a:off x="0" y="0"/>
                    <a:ext cx="1314450" cy="304800"/>
                  </a:xfrm>
                  <a:prstGeom prst="rect">
                    <a:avLst/>
                  </a:prstGeom>
                  <a:noFill/>
                  <a:ln>
                    <a:noFill/>
                  </a:ln>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2E41EEAA" w14:textId="3A0D447C" w:rsidR="006420D8" w:rsidRDefault="006420D8" w:rsidP="006420D8">
    <w:pPr>
      <w:pStyle w:val="Header"/>
      <w:rPr>
        <w:rFonts w:ascii="Arial" w:hAnsi="Arial" w:cs="Arial"/>
        <w:b/>
        <w:bCs/>
        <w:color w:val="404040" w:themeColor="text1" w:themeTint="BF"/>
        <w:sz w:val="44"/>
        <w:szCs w:val="44"/>
        <w:lang w:val="es-ES"/>
      </w:rPr>
    </w:pPr>
    <w:r>
      <w:rPr>
        <w:noProof/>
      </w:rPr>
      <mc:AlternateContent>
        <mc:Choice Requires="wps">
          <w:drawing>
            <wp:anchor distT="0" distB="0" distL="114300" distR="114300" simplePos="0" relativeHeight="251658752" behindDoc="0" locked="0" layoutInCell="1" allowOverlap="1" wp14:anchorId="4124F69E" wp14:editId="75758F74">
              <wp:simplePos x="0" y="0"/>
              <wp:positionH relativeFrom="column">
                <wp:posOffset>-5080</wp:posOffset>
              </wp:positionH>
              <wp:positionV relativeFrom="paragraph">
                <wp:posOffset>173990</wp:posOffset>
              </wp:positionV>
              <wp:extent cx="614807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C0B954C" id="Straight Connector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" strokecolor="#272727 [2749]"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4977" w14:textId="6973E187" w:rsidR="006420D8" w:rsidRDefault="006420D8" w:rsidP="006420D8">
    <w:pPr>
      <w:pStyle w:val="Header"/>
      <w:spacing w:line="216" w:lineRule="auto"/>
      <w:rPr>
        <w:rFonts w:ascii="Arial" w:hAnsi="Arial" w:cs="Arial"/>
        <w:color w:val="3B3838" w:themeColor="background2" w:themeShade="40"/>
        <w:sz w:val="28"/>
        <w:szCs w:val="28"/>
        <w:lang w:val="es-ES"/>
      </w:rPr>
    </w:pPr>
    <w:r>
      <w:rPr>
        <w:noProof/>
      </w:rPr>
      <w:drawing>
        <wp:anchor distT="0" distB="0" distL="114300" distR="114300" simplePos="0" relativeHeight="251655680" behindDoc="0" locked="0" layoutInCell="1" allowOverlap="1" wp14:anchorId="3B829A1E" wp14:editId="339B5761">
          <wp:simplePos x="0" y="0"/>
          <wp:positionH relativeFrom="column">
            <wp:posOffset>4076065</wp:posOffset>
          </wp:positionH>
          <wp:positionV relativeFrom="paragraph">
            <wp:posOffset>78740</wp:posOffset>
          </wp:positionV>
          <wp:extent cx="2210435" cy="508635"/>
          <wp:effectExtent l="0" t="0" r="0"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5086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1C5F43B2" wp14:editId="4836238B">
              <wp:simplePos x="0" y="0"/>
              <wp:positionH relativeFrom="column">
                <wp:posOffset>-166370</wp:posOffset>
              </wp:positionH>
              <wp:positionV relativeFrom="paragraph">
                <wp:posOffset>48895</wp:posOffset>
              </wp:positionV>
              <wp:extent cx="2936875" cy="664845"/>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2936875" cy="664845"/>
                      </a:xfrm>
                      <a:prstGeom prst="rect">
                        <a:avLst/>
                      </a:prstGeom>
                      <a:noFill/>
                      <a:ln w="6350">
                        <a:noFill/>
                      </a:ln>
                    </wps:spPr>
                    <wps:txbx>
                      <w:txbxContent>
                        <w:p w14:paraId="162EE63C" w14:textId="1C002A88" w:rsidR="006420D8" w:rsidRDefault="006420D8" w:rsidP="006420D8">
                          <w:r>
                            <w:rPr>
                              <w:noProof/>
                              <w:sz w:val="20"/>
                              <w:szCs w:val="20"/>
                            </w:rPr>
                            <w:drawing>
                              <wp:inline distT="0" distB="0" distL="0" distR="0" wp14:anchorId="6CFBE28B" wp14:editId="31837A86">
                                <wp:extent cx="2019300" cy="476250"/>
                                <wp:effectExtent l="0" t="0" r="0" b="0"/>
                                <wp:docPr id="7" name="Picture 7"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enho com traços pretos em fundo branco&#10;&#10;Descrição gerada automaticamente com confiança baixa"/>
                                        <pic:cNvPicPr>
                                          <a:picLocks noChangeAspect="1" noChangeArrowheads="1"/>
                                        </pic:cNvPicPr>
                                      </pic:nvPicPr>
                                      <pic:blipFill>
                                        <a:blip r:embed="rId2">
                                          <a:extLst>
                                            <a:ext uri="{28A0092B-C50C-407E-A947-70E740481C1C}">
                                              <a14:useLocalDpi xmlns:a14="http://schemas.microsoft.com/office/drawing/2010/main" val="0"/>
                                            </a:ext>
                                          </a:extLst>
                                        </a:blip>
                                        <a:srcRect t="-47" b="-47"/>
                                        <a:stretch>
                                          <a:fillRect/>
                                        </a:stretch>
                                      </pic:blipFill>
                                      <pic:spPr bwMode="auto">
                                        <a:xfrm>
                                          <a:off x="0" y="0"/>
                                          <a:ext cx="2019300" cy="47625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1C5F43B2" id="_x0000_t202" coordsize="21600,21600" o:spt="202" path="m,l,21600r21600,l21600,xe">
              <v:stroke joinstyle="miter"/>
              <v:path gradientshapeok="t" o:connecttype="rect"/>
            </v:shapetype>
            <v:shape id="Text Box 8" o:spid="_x0000_s1026" type="#_x0000_t202" style="position:absolute;margin-left:-13.1pt;margin-top:3.85pt;width:231.2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" filled="f" stroked="f" strokeweight=".5pt">
              <v:textbox>
                <w:txbxContent>
                  <w:p w14:paraId="162EE63C" w14:textId="1C002A88" w:rsidR="006420D8" w:rsidRDefault="006420D8" w:rsidP="006420D8">
                    <w:r>
                      <w:rPr>
                        <w:noProof/>
                        <w:sz w:val="20"/>
                        <w:szCs w:val="20"/>
                      </w:rPr>
                      <w:drawing>
                        <wp:inline distT="0" distB="0" distL="0" distR="0" wp14:anchorId="6CFBE28B" wp14:editId="31837A86">
                          <wp:extent cx="2019300" cy="476250"/>
                          <wp:effectExtent l="0" t="0" r="0" b="0"/>
                          <wp:docPr id="7" name="Picture 7"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enho com traços pretos em fundo branco&#10;&#10;Descrição gerada automaticamente com confiança baixa"/>
                                  <pic:cNvPicPr>
                                    <a:picLocks noChangeAspect="1" noChangeArrowheads="1"/>
                                  </pic:cNvPicPr>
                                </pic:nvPicPr>
                                <pic:blipFill>
                                  <a:blip r:embed="rId3">
                                    <a:extLst>
                                      <a:ext uri="{28A0092B-C50C-407E-A947-70E740481C1C}">
                                        <a14:useLocalDpi xmlns:a14="http://schemas.microsoft.com/office/drawing/2010/main" val="0"/>
                                      </a:ext>
                                    </a:extLst>
                                  </a:blip>
                                  <a:srcRect t="-47" b="-47"/>
                                  <a:stretch>
                                    <a:fillRect/>
                                  </a:stretch>
                                </pic:blipFill>
                                <pic:spPr bwMode="auto">
                                  <a:xfrm>
                                    <a:off x="0" y="0"/>
                                    <a:ext cx="2019300" cy="476250"/>
                                  </a:xfrm>
                                  <a:prstGeom prst="rect">
                                    <a:avLst/>
                                  </a:prstGeom>
                                  <a:noFill/>
                                  <a:ln>
                                    <a:noFill/>
                                  </a:ln>
                                </pic:spPr>
                              </pic:pic>
                            </a:graphicData>
                          </a:graphic>
                        </wp:inline>
                      </w:drawing>
                    </w:r>
                  </w:p>
                </w:txbxContent>
              </v:textbox>
            </v:shape>
          </w:pict>
        </mc:Fallback>
      </mc:AlternateContent>
    </w:r>
    <w:r>
      <w:rPr>
        <w:rFonts w:ascii="Arial" w:hAnsi="Arial" w:cs="Arial"/>
        <w:color w:val="3B3838" w:themeColor="background2" w:themeShade="40"/>
        <w:sz w:val="28"/>
        <w:szCs w:val="28"/>
        <w:lang w:val="es-ES"/>
      </w:rPr>
      <w:softHyphen/>
    </w:r>
    <w:r>
      <w:rPr>
        <w:rFonts w:ascii="Arial" w:hAnsi="Arial" w:cs="Arial"/>
        <w:color w:val="3B3838" w:themeColor="background2" w:themeShade="40"/>
        <w:sz w:val="28"/>
        <w:szCs w:val="28"/>
        <w:lang w:val="es-ES"/>
      </w:rPr>
      <w:softHyphen/>
    </w:r>
    <w:r>
      <w:rPr>
        <w:rFonts w:ascii="Arial" w:hAnsi="Arial" w:cs="Arial"/>
        <w:color w:val="3B3838" w:themeColor="background2" w:themeShade="40"/>
        <w:sz w:val="28"/>
        <w:szCs w:val="28"/>
        <w:lang w:val="es-ES"/>
      </w:rPr>
      <w:softHyphen/>
    </w:r>
  </w:p>
  <w:p w14:paraId="50662083" w14:textId="77777777" w:rsidR="006420D8" w:rsidRDefault="006420D8" w:rsidP="006420D8">
    <w:pPr>
      <w:pStyle w:val="Header"/>
      <w:spacing w:line="216" w:lineRule="auto"/>
      <w:rPr>
        <w:rFonts w:ascii="Arial" w:hAnsi="Arial" w:cs="Arial"/>
        <w:color w:val="3B3838" w:themeColor="background2" w:themeShade="40"/>
        <w:sz w:val="28"/>
        <w:szCs w:val="28"/>
        <w:lang w:val="es-ES"/>
      </w:rPr>
    </w:pPr>
  </w:p>
  <w:p w14:paraId="78FA29F6" w14:textId="77777777" w:rsidR="006420D8" w:rsidRDefault="006420D8" w:rsidP="006420D8">
    <w:pPr>
      <w:pStyle w:val="Header"/>
      <w:spacing w:line="216" w:lineRule="auto"/>
      <w:rPr>
        <w:rFonts w:ascii="Arial" w:hAnsi="Arial" w:cs="Arial"/>
        <w:color w:val="3B3838" w:themeColor="background2" w:themeShade="40"/>
        <w:sz w:val="28"/>
        <w:szCs w:val="28"/>
        <w:lang w:val="es-ES"/>
      </w:rPr>
    </w:pPr>
  </w:p>
  <w:p w14:paraId="3028C38B" w14:textId="5E49C06C" w:rsidR="006420D8" w:rsidRDefault="006420D8" w:rsidP="006420D8">
    <w:pPr>
      <w:pStyle w:val="Header"/>
      <w:spacing w:line="216" w:lineRule="auto"/>
      <w:rPr>
        <w:rFonts w:ascii="Arial" w:hAnsi="Arial" w:cs="Arial"/>
        <w:b/>
        <w:bCs/>
        <w:color w:val="404040" w:themeColor="text1" w:themeTint="BF"/>
        <w:sz w:val="44"/>
        <w:szCs w:val="44"/>
        <w:lang w:val="es-ES"/>
      </w:rPr>
    </w:pPr>
    <w:r>
      <w:rPr>
        <w:noProof/>
      </w:rPr>
      <mc:AlternateContent>
        <mc:Choice Requires="wps">
          <w:drawing>
            <wp:anchor distT="0" distB="0" distL="114300" distR="114300" simplePos="0" relativeHeight="251657728" behindDoc="0" locked="0" layoutInCell="1" allowOverlap="1" wp14:anchorId="0DB4D27E" wp14:editId="2BCC78F9">
              <wp:simplePos x="0" y="0"/>
              <wp:positionH relativeFrom="column">
                <wp:posOffset>-5715</wp:posOffset>
              </wp:positionH>
              <wp:positionV relativeFrom="paragraph">
                <wp:posOffset>167640</wp:posOffset>
              </wp:positionV>
              <wp:extent cx="614807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899B2A7" id="Straight Connector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13B"/>
    <w:multiLevelType w:val="multilevel"/>
    <w:tmpl w:val="7F30EBB8"/>
    <w:lvl w:ilvl="0">
      <w:start w:val="25"/>
      <w:numFmt w:val="decimal"/>
      <w:lvlText w:val="%1."/>
      <w:lvlJc w:val="left"/>
      <w:pPr>
        <w:ind w:left="2610" w:hanging="360"/>
      </w:pPr>
      <w:rPr>
        <w:rFonts w:ascii="Cambria" w:eastAsia="Cambria" w:hAnsi="Cambria" w:cs="Cambria" w:hint="default"/>
        <w:b w:val="0"/>
        <w:sz w:val="20"/>
        <w:szCs w:val="20"/>
        <w:vertAlign w:val="baseline"/>
        <w:lang w:val="es-MX"/>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 w15:restartNumberingAfterBreak="0">
    <w:nsid w:val="0F2A6647"/>
    <w:multiLevelType w:val="hybridMultilevel"/>
    <w:tmpl w:val="71FA0488"/>
    <w:lvl w:ilvl="0" w:tplc="1D06F8C8">
      <w:start w:val="1"/>
      <w:numFmt w:val="decimal"/>
      <w:lvlText w:val="%1."/>
      <w:lvlJc w:val="left"/>
      <w:pPr>
        <w:ind w:left="360" w:hanging="360"/>
      </w:pPr>
      <w:rPr>
        <w:b w:val="0"/>
        <w:bCs w:val="0"/>
        <w:color w:val="000000" w:themeColor="text1"/>
        <w:sz w:val="20"/>
        <w:szCs w:val="20"/>
      </w:rPr>
    </w:lvl>
    <w:lvl w:ilvl="1" w:tplc="E36AF24E">
      <w:start w:val="1"/>
      <w:numFmt w:val="lowerLetter"/>
      <w:lvlText w:val="%2."/>
      <w:lvlJc w:val="left"/>
      <w:pPr>
        <w:ind w:left="3240" w:hanging="360"/>
      </w:pPr>
    </w:lvl>
    <w:lvl w:ilvl="2" w:tplc="25AA7314">
      <w:start w:val="1"/>
      <w:numFmt w:val="lowerRoman"/>
      <w:lvlText w:val="%3."/>
      <w:lvlJc w:val="right"/>
      <w:pPr>
        <w:ind w:left="4140" w:hanging="180"/>
      </w:pPr>
    </w:lvl>
    <w:lvl w:ilvl="3" w:tplc="3FECD44E">
      <w:start w:val="1"/>
      <w:numFmt w:val="decimal"/>
      <w:lvlText w:val="%4."/>
      <w:lvlJc w:val="left"/>
      <w:pPr>
        <w:ind w:left="4680" w:hanging="360"/>
      </w:pPr>
    </w:lvl>
    <w:lvl w:ilvl="4" w:tplc="339AF06A">
      <w:start w:val="1"/>
      <w:numFmt w:val="lowerLetter"/>
      <w:lvlText w:val="%5."/>
      <w:lvlJc w:val="left"/>
      <w:pPr>
        <w:ind w:left="5400" w:hanging="360"/>
      </w:pPr>
    </w:lvl>
    <w:lvl w:ilvl="5" w:tplc="D57471EE">
      <w:start w:val="1"/>
      <w:numFmt w:val="lowerRoman"/>
      <w:lvlText w:val="%6."/>
      <w:lvlJc w:val="right"/>
      <w:pPr>
        <w:ind w:left="6120" w:hanging="180"/>
      </w:pPr>
    </w:lvl>
    <w:lvl w:ilvl="6" w:tplc="4FC0E6BA">
      <w:start w:val="1"/>
      <w:numFmt w:val="decimal"/>
      <w:lvlText w:val="%7."/>
      <w:lvlJc w:val="left"/>
      <w:pPr>
        <w:ind w:left="6840" w:hanging="360"/>
      </w:pPr>
    </w:lvl>
    <w:lvl w:ilvl="7" w:tplc="FD8EDB78">
      <w:start w:val="1"/>
      <w:numFmt w:val="lowerLetter"/>
      <w:lvlText w:val="%8."/>
      <w:lvlJc w:val="left"/>
      <w:pPr>
        <w:ind w:left="7560" w:hanging="360"/>
      </w:pPr>
    </w:lvl>
    <w:lvl w:ilvl="8" w:tplc="23409514">
      <w:start w:val="1"/>
      <w:numFmt w:val="lowerRoman"/>
      <w:lvlText w:val="%9."/>
      <w:lvlJc w:val="right"/>
      <w:pPr>
        <w:ind w:left="8280" w:hanging="180"/>
      </w:pPr>
    </w:lvl>
  </w:abstractNum>
  <w:abstractNum w:abstractNumId="2" w15:restartNumberingAfterBreak="0">
    <w:nsid w:val="0FD50A1B"/>
    <w:multiLevelType w:val="multilevel"/>
    <w:tmpl w:val="8ACAF862"/>
    <w:lvl w:ilvl="0">
      <w:start w:val="1"/>
      <w:numFmt w:val="upperLetter"/>
      <w:pStyle w:val="Heading2"/>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56C3263"/>
    <w:multiLevelType w:val="hybridMultilevel"/>
    <w:tmpl w:val="11E252FA"/>
    <w:lvl w:ilvl="0" w:tplc="E5940C9E">
      <w:start w:val="1"/>
      <w:numFmt w:val="decimal"/>
      <w:pStyle w:val="Numberedparagraphs"/>
      <w:lvlText w:val="%1."/>
      <w:lvlJc w:val="left"/>
      <w:pPr>
        <w:ind w:left="360" w:hanging="360"/>
      </w:pPr>
      <w:rPr>
        <w:rFonts w:ascii="Cambria" w:hAnsi="Cambria" w:hint="default"/>
        <w:b w:val="0"/>
        <w:i w:val="0"/>
        <w:strike w:val="0"/>
        <w:color w:val="595959"/>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B4E9F"/>
    <w:multiLevelType w:val="hybridMultilevel"/>
    <w:tmpl w:val="C3F4E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26510"/>
    <w:multiLevelType w:val="hybridMultilevel"/>
    <w:tmpl w:val="63F4FC8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881117D"/>
    <w:multiLevelType w:val="hybridMultilevel"/>
    <w:tmpl w:val="D5280638"/>
    <w:lvl w:ilvl="0" w:tplc="14485E36">
      <w:start w:val="1"/>
      <w:numFmt w:val="upperRoman"/>
      <w:pStyle w:val="Heading1"/>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118643F"/>
    <w:multiLevelType w:val="hybridMultilevel"/>
    <w:tmpl w:val="FFFFFFFF"/>
    <w:lvl w:ilvl="0" w:tplc="38F6C3AA">
      <w:start w:val="1"/>
      <w:numFmt w:val="upperLetter"/>
      <w:lvlText w:val="%1."/>
      <w:lvlJc w:val="left"/>
      <w:pPr>
        <w:ind w:left="720" w:hanging="360"/>
      </w:pPr>
    </w:lvl>
    <w:lvl w:ilvl="1" w:tplc="078AAF0E">
      <w:start w:val="1"/>
      <w:numFmt w:val="lowerLetter"/>
      <w:lvlText w:val="%2."/>
      <w:lvlJc w:val="left"/>
      <w:pPr>
        <w:ind w:left="1440" w:hanging="360"/>
      </w:pPr>
    </w:lvl>
    <w:lvl w:ilvl="2" w:tplc="468E0490">
      <w:start w:val="1"/>
      <w:numFmt w:val="lowerRoman"/>
      <w:lvlText w:val="%3."/>
      <w:lvlJc w:val="right"/>
      <w:pPr>
        <w:ind w:left="2160" w:hanging="180"/>
      </w:pPr>
    </w:lvl>
    <w:lvl w:ilvl="3" w:tplc="86A267E0">
      <w:start w:val="1"/>
      <w:numFmt w:val="decimal"/>
      <w:lvlText w:val="%4."/>
      <w:lvlJc w:val="left"/>
      <w:pPr>
        <w:ind w:left="2880" w:hanging="360"/>
      </w:pPr>
    </w:lvl>
    <w:lvl w:ilvl="4" w:tplc="63B445DC">
      <w:start w:val="1"/>
      <w:numFmt w:val="lowerLetter"/>
      <w:lvlText w:val="%5."/>
      <w:lvlJc w:val="left"/>
      <w:pPr>
        <w:ind w:left="3600" w:hanging="360"/>
      </w:pPr>
    </w:lvl>
    <w:lvl w:ilvl="5" w:tplc="54F01114">
      <w:start w:val="1"/>
      <w:numFmt w:val="lowerRoman"/>
      <w:lvlText w:val="%6."/>
      <w:lvlJc w:val="right"/>
      <w:pPr>
        <w:ind w:left="4320" w:hanging="180"/>
      </w:pPr>
    </w:lvl>
    <w:lvl w:ilvl="6" w:tplc="95788EE4">
      <w:start w:val="1"/>
      <w:numFmt w:val="decimal"/>
      <w:lvlText w:val="%7."/>
      <w:lvlJc w:val="left"/>
      <w:pPr>
        <w:ind w:left="5040" w:hanging="360"/>
      </w:pPr>
    </w:lvl>
    <w:lvl w:ilvl="7" w:tplc="3BD83E8A">
      <w:start w:val="1"/>
      <w:numFmt w:val="lowerLetter"/>
      <w:lvlText w:val="%8."/>
      <w:lvlJc w:val="left"/>
      <w:pPr>
        <w:ind w:left="5760" w:hanging="360"/>
      </w:pPr>
    </w:lvl>
    <w:lvl w:ilvl="8" w:tplc="896C91CA">
      <w:start w:val="1"/>
      <w:numFmt w:val="lowerRoman"/>
      <w:lvlText w:val="%9."/>
      <w:lvlJc w:val="right"/>
      <w:pPr>
        <w:ind w:left="6480" w:hanging="180"/>
      </w:pPr>
    </w:lvl>
  </w:abstractNum>
  <w:abstractNum w:abstractNumId="9" w15:restartNumberingAfterBreak="0">
    <w:nsid w:val="78E11399"/>
    <w:multiLevelType w:val="hybridMultilevel"/>
    <w:tmpl w:val="8C7CE156"/>
    <w:lvl w:ilvl="0" w:tplc="4A12FA0E">
      <w:start w:val="7"/>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9F626F4"/>
    <w:multiLevelType w:val="hybridMultilevel"/>
    <w:tmpl w:val="09369A40"/>
    <w:lvl w:ilvl="0" w:tplc="172C6E56">
      <w:start w:val="1"/>
      <w:numFmt w:val="decimal"/>
      <w:lvlText w:val="%1."/>
      <w:lvlJc w:val="left"/>
      <w:pPr>
        <w:ind w:left="1890" w:hanging="360"/>
      </w:pPr>
      <w:rPr>
        <w:b w:val="0"/>
        <w:bCs/>
        <w:sz w:val="20"/>
        <w:szCs w:val="2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90979"/>
    <w:multiLevelType w:val="multilevel"/>
    <w:tmpl w:val="3F06138C"/>
    <w:lvl w:ilvl="0">
      <w:start w:val="25"/>
      <w:numFmt w:val="decimal"/>
      <w:lvlText w:val="%1."/>
      <w:lvlJc w:val="left"/>
      <w:pPr>
        <w:ind w:left="1170" w:hanging="360"/>
      </w:pPr>
      <w:rPr>
        <w:rFonts w:ascii="Cambria" w:eastAsia="Cambria" w:hAnsi="Cambria" w:cs="Cambria" w:hint="default"/>
        <w:b w:val="0"/>
        <w:sz w:val="20"/>
        <w:szCs w:val="20"/>
        <w:vertAlign w:val="baseline"/>
        <w:lang w:val="es-US"/>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num w:numId="1" w16cid:durableId="824785596">
    <w:abstractNumId w:val="8"/>
  </w:num>
  <w:num w:numId="2" w16cid:durableId="272254116">
    <w:abstractNumId w:val="10"/>
  </w:num>
  <w:num w:numId="3" w16cid:durableId="679237612">
    <w:abstractNumId w:val="6"/>
  </w:num>
  <w:num w:numId="4" w16cid:durableId="1927030140">
    <w:abstractNumId w:val="11"/>
  </w:num>
  <w:num w:numId="5" w16cid:durableId="665935396">
    <w:abstractNumId w:val="2"/>
  </w:num>
  <w:num w:numId="6" w16cid:durableId="408964281">
    <w:abstractNumId w:val="4"/>
  </w:num>
  <w:num w:numId="7" w16cid:durableId="7602475">
    <w:abstractNumId w:val="7"/>
  </w:num>
  <w:num w:numId="8" w16cid:durableId="548300052">
    <w:abstractNumId w:val="3"/>
  </w:num>
  <w:num w:numId="9" w16cid:durableId="746342799">
    <w:abstractNumId w:val="1"/>
  </w:num>
  <w:num w:numId="10" w16cid:durableId="1107970852">
    <w:abstractNumId w:val="9"/>
  </w:num>
  <w:num w:numId="11" w16cid:durableId="1586383675">
    <w:abstractNumId w:val="0"/>
  </w:num>
  <w:num w:numId="12" w16cid:durableId="1709181371">
    <w:abstractNumId w:val="3"/>
  </w:num>
  <w:num w:numId="13" w16cid:durableId="1144547745">
    <w:abstractNumId w:val="3"/>
  </w:num>
  <w:num w:numId="14" w16cid:durableId="898055759">
    <w:abstractNumId w:val="5"/>
  </w:num>
  <w:num w:numId="15" w16cid:durableId="1358384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0246"/>
    <w:rsid w:val="000007B3"/>
    <w:rsid w:val="00000ECE"/>
    <w:rsid w:val="0000126D"/>
    <w:rsid w:val="0000154D"/>
    <w:rsid w:val="00001DE9"/>
    <w:rsid w:val="000024BE"/>
    <w:rsid w:val="00003720"/>
    <w:rsid w:val="000037CC"/>
    <w:rsid w:val="00003A33"/>
    <w:rsid w:val="00003B18"/>
    <w:rsid w:val="000048DF"/>
    <w:rsid w:val="00004AF5"/>
    <w:rsid w:val="00004F6B"/>
    <w:rsid w:val="00005F08"/>
    <w:rsid w:val="000063E1"/>
    <w:rsid w:val="000066D6"/>
    <w:rsid w:val="00006722"/>
    <w:rsid w:val="000067C2"/>
    <w:rsid w:val="00007755"/>
    <w:rsid w:val="000110D3"/>
    <w:rsid w:val="000111EB"/>
    <w:rsid w:val="0001153A"/>
    <w:rsid w:val="00012D21"/>
    <w:rsid w:val="00012D6F"/>
    <w:rsid w:val="00014080"/>
    <w:rsid w:val="00021827"/>
    <w:rsid w:val="00022420"/>
    <w:rsid w:val="000236DD"/>
    <w:rsid w:val="00023A23"/>
    <w:rsid w:val="00024BFA"/>
    <w:rsid w:val="00025184"/>
    <w:rsid w:val="00025F27"/>
    <w:rsid w:val="0002615C"/>
    <w:rsid w:val="000278E9"/>
    <w:rsid w:val="00027F42"/>
    <w:rsid w:val="00027FA6"/>
    <w:rsid w:val="00031232"/>
    <w:rsid w:val="000313B3"/>
    <w:rsid w:val="0003159B"/>
    <w:rsid w:val="000330B3"/>
    <w:rsid w:val="00033BBC"/>
    <w:rsid w:val="00033F8F"/>
    <w:rsid w:val="00034C5C"/>
    <w:rsid w:val="00034E59"/>
    <w:rsid w:val="00034FDB"/>
    <w:rsid w:val="00036248"/>
    <w:rsid w:val="00036650"/>
    <w:rsid w:val="0003719B"/>
    <w:rsid w:val="00037E1A"/>
    <w:rsid w:val="00037E1D"/>
    <w:rsid w:val="0004164E"/>
    <w:rsid w:val="00042447"/>
    <w:rsid w:val="00042E37"/>
    <w:rsid w:val="00043686"/>
    <w:rsid w:val="00043E2D"/>
    <w:rsid w:val="00044FFD"/>
    <w:rsid w:val="00045E5E"/>
    <w:rsid w:val="00046090"/>
    <w:rsid w:val="0004692B"/>
    <w:rsid w:val="0004718E"/>
    <w:rsid w:val="00047677"/>
    <w:rsid w:val="00047B1F"/>
    <w:rsid w:val="00047F3F"/>
    <w:rsid w:val="00050AF2"/>
    <w:rsid w:val="00050B87"/>
    <w:rsid w:val="000520A8"/>
    <w:rsid w:val="000528C6"/>
    <w:rsid w:val="00054EF8"/>
    <w:rsid w:val="000552F3"/>
    <w:rsid w:val="00056440"/>
    <w:rsid w:val="0005683F"/>
    <w:rsid w:val="00056DD8"/>
    <w:rsid w:val="00056E3A"/>
    <w:rsid w:val="00057B16"/>
    <w:rsid w:val="00061766"/>
    <w:rsid w:val="00061784"/>
    <w:rsid w:val="00061DFC"/>
    <w:rsid w:val="00061E70"/>
    <w:rsid w:val="0006242C"/>
    <w:rsid w:val="000631CD"/>
    <w:rsid w:val="00064067"/>
    <w:rsid w:val="000654C2"/>
    <w:rsid w:val="0006550F"/>
    <w:rsid w:val="00065A27"/>
    <w:rsid w:val="00065B38"/>
    <w:rsid w:val="00066A3B"/>
    <w:rsid w:val="00066E81"/>
    <w:rsid w:val="0006708A"/>
    <w:rsid w:val="000700AB"/>
    <w:rsid w:val="000709F7"/>
    <w:rsid w:val="00070B22"/>
    <w:rsid w:val="00071FF2"/>
    <w:rsid w:val="00072060"/>
    <w:rsid w:val="00073102"/>
    <w:rsid w:val="00073774"/>
    <w:rsid w:val="00074796"/>
    <w:rsid w:val="0007498A"/>
    <w:rsid w:val="00076220"/>
    <w:rsid w:val="0007720F"/>
    <w:rsid w:val="00080683"/>
    <w:rsid w:val="00080A78"/>
    <w:rsid w:val="0008169B"/>
    <w:rsid w:val="00082145"/>
    <w:rsid w:val="00082E3A"/>
    <w:rsid w:val="00082F09"/>
    <w:rsid w:val="0008503D"/>
    <w:rsid w:val="00085D8E"/>
    <w:rsid w:val="0008686D"/>
    <w:rsid w:val="00087061"/>
    <w:rsid w:val="00090B2D"/>
    <w:rsid w:val="000911D0"/>
    <w:rsid w:val="000911E1"/>
    <w:rsid w:val="00091DA1"/>
    <w:rsid w:val="00091EE7"/>
    <w:rsid w:val="000923CA"/>
    <w:rsid w:val="00093558"/>
    <w:rsid w:val="00094609"/>
    <w:rsid w:val="00094FAE"/>
    <w:rsid w:val="0009513E"/>
    <w:rsid w:val="00095AA8"/>
    <w:rsid w:val="00095DD9"/>
    <w:rsid w:val="000968D0"/>
    <w:rsid w:val="000A0684"/>
    <w:rsid w:val="000A1054"/>
    <w:rsid w:val="000A2E25"/>
    <w:rsid w:val="000A346E"/>
    <w:rsid w:val="000A3A94"/>
    <w:rsid w:val="000A47EC"/>
    <w:rsid w:val="000A4B5F"/>
    <w:rsid w:val="000A5A56"/>
    <w:rsid w:val="000A62DE"/>
    <w:rsid w:val="000A6CFE"/>
    <w:rsid w:val="000A7F59"/>
    <w:rsid w:val="000B0DB2"/>
    <w:rsid w:val="000B118F"/>
    <w:rsid w:val="000B125D"/>
    <w:rsid w:val="000B1800"/>
    <w:rsid w:val="000B25A3"/>
    <w:rsid w:val="000B269A"/>
    <w:rsid w:val="000B2759"/>
    <w:rsid w:val="000B2EF9"/>
    <w:rsid w:val="000B468A"/>
    <w:rsid w:val="000B50ED"/>
    <w:rsid w:val="000B539E"/>
    <w:rsid w:val="000B5E1D"/>
    <w:rsid w:val="000B65F5"/>
    <w:rsid w:val="000B6E7C"/>
    <w:rsid w:val="000B6F0A"/>
    <w:rsid w:val="000C1B99"/>
    <w:rsid w:val="000C2633"/>
    <w:rsid w:val="000C26A2"/>
    <w:rsid w:val="000C26B1"/>
    <w:rsid w:val="000C3484"/>
    <w:rsid w:val="000C4F5B"/>
    <w:rsid w:val="000C5524"/>
    <w:rsid w:val="000C6849"/>
    <w:rsid w:val="000C78DC"/>
    <w:rsid w:val="000D1013"/>
    <w:rsid w:val="000D1E14"/>
    <w:rsid w:val="000D1F42"/>
    <w:rsid w:val="000D2109"/>
    <w:rsid w:val="000D2D6B"/>
    <w:rsid w:val="000D4243"/>
    <w:rsid w:val="000D43EF"/>
    <w:rsid w:val="000D6099"/>
    <w:rsid w:val="000D64A6"/>
    <w:rsid w:val="000D659E"/>
    <w:rsid w:val="000D6625"/>
    <w:rsid w:val="000D738C"/>
    <w:rsid w:val="000D7C24"/>
    <w:rsid w:val="000D7CA7"/>
    <w:rsid w:val="000E00C1"/>
    <w:rsid w:val="000E1833"/>
    <w:rsid w:val="000E211A"/>
    <w:rsid w:val="000E25E7"/>
    <w:rsid w:val="000E2A0A"/>
    <w:rsid w:val="000E304C"/>
    <w:rsid w:val="000E3E61"/>
    <w:rsid w:val="000E4F23"/>
    <w:rsid w:val="000E6190"/>
    <w:rsid w:val="000E7C84"/>
    <w:rsid w:val="000E7DF6"/>
    <w:rsid w:val="000F00E3"/>
    <w:rsid w:val="000F10E2"/>
    <w:rsid w:val="000F1957"/>
    <w:rsid w:val="000F1C0E"/>
    <w:rsid w:val="000F272F"/>
    <w:rsid w:val="000F2817"/>
    <w:rsid w:val="000F32E6"/>
    <w:rsid w:val="000F369F"/>
    <w:rsid w:val="000F3C9D"/>
    <w:rsid w:val="000F3DF6"/>
    <w:rsid w:val="000F402C"/>
    <w:rsid w:val="000F413C"/>
    <w:rsid w:val="000F4F08"/>
    <w:rsid w:val="000F5C31"/>
    <w:rsid w:val="000F61F6"/>
    <w:rsid w:val="000F68D7"/>
    <w:rsid w:val="000F7825"/>
    <w:rsid w:val="000F793D"/>
    <w:rsid w:val="000F7D65"/>
    <w:rsid w:val="00102C89"/>
    <w:rsid w:val="0010336C"/>
    <w:rsid w:val="00103DD6"/>
    <w:rsid w:val="001040BB"/>
    <w:rsid w:val="00105437"/>
    <w:rsid w:val="00105B23"/>
    <w:rsid w:val="001062AC"/>
    <w:rsid w:val="00106782"/>
    <w:rsid w:val="00106FA7"/>
    <w:rsid w:val="0010790C"/>
    <w:rsid w:val="00107A47"/>
    <w:rsid w:val="00107E94"/>
    <w:rsid w:val="00112922"/>
    <w:rsid w:val="001148DD"/>
    <w:rsid w:val="00114929"/>
    <w:rsid w:val="0011588B"/>
    <w:rsid w:val="00115EE1"/>
    <w:rsid w:val="00115F5F"/>
    <w:rsid w:val="00117416"/>
    <w:rsid w:val="00117603"/>
    <w:rsid w:val="00117C1A"/>
    <w:rsid w:val="00120413"/>
    <w:rsid w:val="00120A9A"/>
    <w:rsid w:val="0012436F"/>
    <w:rsid w:val="00124BBD"/>
    <w:rsid w:val="00124C6F"/>
    <w:rsid w:val="001258EE"/>
    <w:rsid w:val="00126183"/>
    <w:rsid w:val="0012660B"/>
    <w:rsid w:val="0012680D"/>
    <w:rsid w:val="001270A3"/>
    <w:rsid w:val="0013010B"/>
    <w:rsid w:val="00131359"/>
    <w:rsid w:val="00131FA9"/>
    <w:rsid w:val="00132AC1"/>
    <w:rsid w:val="00133226"/>
    <w:rsid w:val="001347BB"/>
    <w:rsid w:val="00136970"/>
    <w:rsid w:val="001373B5"/>
    <w:rsid w:val="00137D4C"/>
    <w:rsid w:val="00140430"/>
    <w:rsid w:val="00140810"/>
    <w:rsid w:val="00142C74"/>
    <w:rsid w:val="00142E21"/>
    <w:rsid w:val="001430BF"/>
    <w:rsid w:val="001435A0"/>
    <w:rsid w:val="00143BA2"/>
    <w:rsid w:val="00143FEF"/>
    <w:rsid w:val="001449B8"/>
    <w:rsid w:val="00144B57"/>
    <w:rsid w:val="00145DA4"/>
    <w:rsid w:val="001477AF"/>
    <w:rsid w:val="001478F2"/>
    <w:rsid w:val="00147C52"/>
    <w:rsid w:val="001520BC"/>
    <w:rsid w:val="00152455"/>
    <w:rsid w:val="00152F19"/>
    <w:rsid w:val="001530F1"/>
    <w:rsid w:val="0015428F"/>
    <w:rsid w:val="00154798"/>
    <w:rsid w:val="00154826"/>
    <w:rsid w:val="00154B97"/>
    <w:rsid w:val="00155013"/>
    <w:rsid w:val="0015594F"/>
    <w:rsid w:val="00155E29"/>
    <w:rsid w:val="00155E8C"/>
    <w:rsid w:val="00156B3D"/>
    <w:rsid w:val="00160A33"/>
    <w:rsid w:val="00160C5A"/>
    <w:rsid w:val="00161036"/>
    <w:rsid w:val="00161327"/>
    <w:rsid w:val="001613AD"/>
    <w:rsid w:val="00162D6A"/>
    <w:rsid w:val="00162F82"/>
    <w:rsid w:val="001634AA"/>
    <w:rsid w:val="0016405A"/>
    <w:rsid w:val="00165F3F"/>
    <w:rsid w:val="0016619C"/>
    <w:rsid w:val="00166813"/>
    <w:rsid w:val="00167A88"/>
    <w:rsid w:val="00167B68"/>
    <w:rsid w:val="00170781"/>
    <w:rsid w:val="00170867"/>
    <w:rsid w:val="00170A87"/>
    <w:rsid w:val="00170F70"/>
    <w:rsid w:val="00170FBC"/>
    <w:rsid w:val="001715F6"/>
    <w:rsid w:val="00173264"/>
    <w:rsid w:val="00173C2A"/>
    <w:rsid w:val="001741CE"/>
    <w:rsid w:val="00174426"/>
    <w:rsid w:val="001750A8"/>
    <w:rsid w:val="00176AC0"/>
    <w:rsid w:val="00176BB5"/>
    <w:rsid w:val="00177519"/>
    <w:rsid w:val="001777C2"/>
    <w:rsid w:val="0017787B"/>
    <w:rsid w:val="00180239"/>
    <w:rsid w:val="00181DA0"/>
    <w:rsid w:val="00182430"/>
    <w:rsid w:val="001837AD"/>
    <w:rsid w:val="00183B8B"/>
    <w:rsid w:val="00184E31"/>
    <w:rsid w:val="00185DE8"/>
    <w:rsid w:val="0018789E"/>
    <w:rsid w:val="0019073E"/>
    <w:rsid w:val="00190CE4"/>
    <w:rsid w:val="00190F3C"/>
    <w:rsid w:val="0019200D"/>
    <w:rsid w:val="001921FC"/>
    <w:rsid w:val="00192B72"/>
    <w:rsid w:val="0019339A"/>
    <w:rsid w:val="001935A8"/>
    <w:rsid w:val="00196D2E"/>
    <w:rsid w:val="00196EB5"/>
    <w:rsid w:val="0019776C"/>
    <w:rsid w:val="00197C26"/>
    <w:rsid w:val="001A08D0"/>
    <w:rsid w:val="001A0E98"/>
    <w:rsid w:val="001A0EFB"/>
    <w:rsid w:val="001A17F5"/>
    <w:rsid w:val="001A1BAB"/>
    <w:rsid w:val="001A2977"/>
    <w:rsid w:val="001A2BA8"/>
    <w:rsid w:val="001A2FB5"/>
    <w:rsid w:val="001A3271"/>
    <w:rsid w:val="001A3360"/>
    <w:rsid w:val="001A53FE"/>
    <w:rsid w:val="001A6289"/>
    <w:rsid w:val="001A6885"/>
    <w:rsid w:val="001A6A12"/>
    <w:rsid w:val="001A790D"/>
    <w:rsid w:val="001A7C2A"/>
    <w:rsid w:val="001B0084"/>
    <w:rsid w:val="001B144C"/>
    <w:rsid w:val="001B20F5"/>
    <w:rsid w:val="001B243B"/>
    <w:rsid w:val="001B327B"/>
    <w:rsid w:val="001B367E"/>
    <w:rsid w:val="001B4786"/>
    <w:rsid w:val="001B67EE"/>
    <w:rsid w:val="001B6AC0"/>
    <w:rsid w:val="001B70AF"/>
    <w:rsid w:val="001B74C8"/>
    <w:rsid w:val="001B7DFE"/>
    <w:rsid w:val="001C0259"/>
    <w:rsid w:val="001C0306"/>
    <w:rsid w:val="001C1237"/>
    <w:rsid w:val="001C1541"/>
    <w:rsid w:val="001C1AE1"/>
    <w:rsid w:val="001C21C0"/>
    <w:rsid w:val="001C35F8"/>
    <w:rsid w:val="001C410E"/>
    <w:rsid w:val="001C5C06"/>
    <w:rsid w:val="001C69CB"/>
    <w:rsid w:val="001C7740"/>
    <w:rsid w:val="001C7DDF"/>
    <w:rsid w:val="001D121A"/>
    <w:rsid w:val="001D1320"/>
    <w:rsid w:val="001D17EF"/>
    <w:rsid w:val="001D196C"/>
    <w:rsid w:val="001D1FED"/>
    <w:rsid w:val="001D33F1"/>
    <w:rsid w:val="001D37AA"/>
    <w:rsid w:val="001D3AA7"/>
    <w:rsid w:val="001D4211"/>
    <w:rsid w:val="001D432F"/>
    <w:rsid w:val="001D4500"/>
    <w:rsid w:val="001D4F61"/>
    <w:rsid w:val="001D56C4"/>
    <w:rsid w:val="001D57F2"/>
    <w:rsid w:val="001D6DC3"/>
    <w:rsid w:val="001D6F5A"/>
    <w:rsid w:val="001D76E1"/>
    <w:rsid w:val="001D792D"/>
    <w:rsid w:val="001D7A9B"/>
    <w:rsid w:val="001D7DC0"/>
    <w:rsid w:val="001E036D"/>
    <w:rsid w:val="001E042D"/>
    <w:rsid w:val="001E340B"/>
    <w:rsid w:val="001E35DB"/>
    <w:rsid w:val="001E3F30"/>
    <w:rsid w:val="001E4CBB"/>
    <w:rsid w:val="001E544A"/>
    <w:rsid w:val="001E66FA"/>
    <w:rsid w:val="001E7704"/>
    <w:rsid w:val="001E796A"/>
    <w:rsid w:val="001E7A1A"/>
    <w:rsid w:val="001E7EE0"/>
    <w:rsid w:val="001F1EAA"/>
    <w:rsid w:val="001F2155"/>
    <w:rsid w:val="001F28C1"/>
    <w:rsid w:val="001F2993"/>
    <w:rsid w:val="001F3229"/>
    <w:rsid w:val="001F3D4D"/>
    <w:rsid w:val="001F5126"/>
    <w:rsid w:val="001F7A28"/>
    <w:rsid w:val="001F7FC6"/>
    <w:rsid w:val="00200DB6"/>
    <w:rsid w:val="002012EE"/>
    <w:rsid w:val="00203127"/>
    <w:rsid w:val="0020345C"/>
    <w:rsid w:val="00203D7F"/>
    <w:rsid w:val="00204406"/>
    <w:rsid w:val="00204762"/>
    <w:rsid w:val="00204953"/>
    <w:rsid w:val="002060FA"/>
    <w:rsid w:val="00206196"/>
    <w:rsid w:val="00206934"/>
    <w:rsid w:val="002069B8"/>
    <w:rsid w:val="00207328"/>
    <w:rsid w:val="002100C2"/>
    <w:rsid w:val="0021086F"/>
    <w:rsid w:val="00210FA8"/>
    <w:rsid w:val="0021109B"/>
    <w:rsid w:val="00211150"/>
    <w:rsid w:val="002111E0"/>
    <w:rsid w:val="0021134F"/>
    <w:rsid w:val="002113B5"/>
    <w:rsid w:val="00211714"/>
    <w:rsid w:val="00211740"/>
    <w:rsid w:val="002121EE"/>
    <w:rsid w:val="00212C21"/>
    <w:rsid w:val="00212EAE"/>
    <w:rsid w:val="002139E1"/>
    <w:rsid w:val="00213A66"/>
    <w:rsid w:val="00214FCB"/>
    <w:rsid w:val="00216F57"/>
    <w:rsid w:val="00221410"/>
    <w:rsid w:val="00221EAD"/>
    <w:rsid w:val="0022377A"/>
    <w:rsid w:val="002248FB"/>
    <w:rsid w:val="00224C9C"/>
    <w:rsid w:val="00225087"/>
    <w:rsid w:val="00225402"/>
    <w:rsid w:val="002256B9"/>
    <w:rsid w:val="00226137"/>
    <w:rsid w:val="00226175"/>
    <w:rsid w:val="002279F9"/>
    <w:rsid w:val="00227D01"/>
    <w:rsid w:val="00227D1B"/>
    <w:rsid w:val="00231B85"/>
    <w:rsid w:val="00233DD8"/>
    <w:rsid w:val="002341E8"/>
    <w:rsid w:val="00234E64"/>
    <w:rsid w:val="002360B9"/>
    <w:rsid w:val="00236D63"/>
    <w:rsid w:val="00237250"/>
    <w:rsid w:val="00237DA2"/>
    <w:rsid w:val="002407F1"/>
    <w:rsid w:val="00240C45"/>
    <w:rsid w:val="00240EA6"/>
    <w:rsid w:val="00240FE0"/>
    <w:rsid w:val="002417D6"/>
    <w:rsid w:val="0024222B"/>
    <w:rsid w:val="0024223C"/>
    <w:rsid w:val="002423EC"/>
    <w:rsid w:val="00242674"/>
    <w:rsid w:val="00242C3E"/>
    <w:rsid w:val="00243C66"/>
    <w:rsid w:val="00244049"/>
    <w:rsid w:val="0024514B"/>
    <w:rsid w:val="00245493"/>
    <w:rsid w:val="0024591E"/>
    <w:rsid w:val="00246AC3"/>
    <w:rsid w:val="002476D5"/>
    <w:rsid w:val="0025101B"/>
    <w:rsid w:val="00252086"/>
    <w:rsid w:val="002520EA"/>
    <w:rsid w:val="002528E7"/>
    <w:rsid w:val="002533E4"/>
    <w:rsid w:val="0025498E"/>
    <w:rsid w:val="00254FA8"/>
    <w:rsid w:val="00255793"/>
    <w:rsid w:val="002561E6"/>
    <w:rsid w:val="00256349"/>
    <w:rsid w:val="00256393"/>
    <w:rsid w:val="00256894"/>
    <w:rsid w:val="002571C2"/>
    <w:rsid w:val="002602E4"/>
    <w:rsid w:val="002605B6"/>
    <w:rsid w:val="00261A30"/>
    <w:rsid w:val="0026286A"/>
    <w:rsid w:val="00263331"/>
    <w:rsid w:val="002638B3"/>
    <w:rsid w:val="00264CC9"/>
    <w:rsid w:val="00264EEB"/>
    <w:rsid w:val="00267B10"/>
    <w:rsid w:val="00267B1D"/>
    <w:rsid w:val="00267CA3"/>
    <w:rsid w:val="00270116"/>
    <w:rsid w:val="002707EB"/>
    <w:rsid w:val="0027097A"/>
    <w:rsid w:val="00271098"/>
    <w:rsid w:val="00271359"/>
    <w:rsid w:val="0027194D"/>
    <w:rsid w:val="00271D8A"/>
    <w:rsid w:val="002722A0"/>
    <w:rsid w:val="00273150"/>
    <w:rsid w:val="00275DCB"/>
    <w:rsid w:val="0027615A"/>
    <w:rsid w:val="00276811"/>
    <w:rsid w:val="00276E8C"/>
    <w:rsid w:val="00277878"/>
    <w:rsid w:val="0028015D"/>
    <w:rsid w:val="00281C09"/>
    <w:rsid w:val="00282874"/>
    <w:rsid w:val="00282C7F"/>
    <w:rsid w:val="00282D37"/>
    <w:rsid w:val="00282FAB"/>
    <w:rsid w:val="0028307B"/>
    <w:rsid w:val="00283081"/>
    <w:rsid w:val="00285D0A"/>
    <w:rsid w:val="00286A8B"/>
    <w:rsid w:val="00286E62"/>
    <w:rsid w:val="00290E4E"/>
    <w:rsid w:val="0029151D"/>
    <w:rsid w:val="00292012"/>
    <w:rsid w:val="0029289D"/>
    <w:rsid w:val="00293C8E"/>
    <w:rsid w:val="002958EE"/>
    <w:rsid w:val="002971EE"/>
    <w:rsid w:val="00297324"/>
    <w:rsid w:val="002A0E04"/>
    <w:rsid w:val="002A1241"/>
    <w:rsid w:val="002A138A"/>
    <w:rsid w:val="002A1FF6"/>
    <w:rsid w:val="002A31C5"/>
    <w:rsid w:val="002A419B"/>
    <w:rsid w:val="002A4B5C"/>
    <w:rsid w:val="002A4B5F"/>
    <w:rsid w:val="002A5A10"/>
    <w:rsid w:val="002A5CAF"/>
    <w:rsid w:val="002A750C"/>
    <w:rsid w:val="002A764D"/>
    <w:rsid w:val="002A77B4"/>
    <w:rsid w:val="002B0578"/>
    <w:rsid w:val="002B11B1"/>
    <w:rsid w:val="002B4F29"/>
    <w:rsid w:val="002B5EA3"/>
    <w:rsid w:val="002B5F94"/>
    <w:rsid w:val="002B68F1"/>
    <w:rsid w:val="002B7187"/>
    <w:rsid w:val="002C1217"/>
    <w:rsid w:val="002C14E0"/>
    <w:rsid w:val="002C2945"/>
    <w:rsid w:val="002C3187"/>
    <w:rsid w:val="002C3D5A"/>
    <w:rsid w:val="002C46CC"/>
    <w:rsid w:val="002C4860"/>
    <w:rsid w:val="002C6641"/>
    <w:rsid w:val="002C6CF9"/>
    <w:rsid w:val="002C7332"/>
    <w:rsid w:val="002C7376"/>
    <w:rsid w:val="002D0273"/>
    <w:rsid w:val="002D0AEE"/>
    <w:rsid w:val="002D1469"/>
    <w:rsid w:val="002D26B0"/>
    <w:rsid w:val="002D29B9"/>
    <w:rsid w:val="002D332E"/>
    <w:rsid w:val="002D35BE"/>
    <w:rsid w:val="002D3735"/>
    <w:rsid w:val="002D3911"/>
    <w:rsid w:val="002D3C23"/>
    <w:rsid w:val="002D3E06"/>
    <w:rsid w:val="002D4016"/>
    <w:rsid w:val="002D4359"/>
    <w:rsid w:val="002D4830"/>
    <w:rsid w:val="002D6197"/>
    <w:rsid w:val="002D7419"/>
    <w:rsid w:val="002D759C"/>
    <w:rsid w:val="002E1861"/>
    <w:rsid w:val="002E1B52"/>
    <w:rsid w:val="002E2834"/>
    <w:rsid w:val="002E2CFA"/>
    <w:rsid w:val="002E3185"/>
    <w:rsid w:val="002E3771"/>
    <w:rsid w:val="002E3AFB"/>
    <w:rsid w:val="002E3B63"/>
    <w:rsid w:val="002E4656"/>
    <w:rsid w:val="002E4CDF"/>
    <w:rsid w:val="002E5DC7"/>
    <w:rsid w:val="002E6890"/>
    <w:rsid w:val="002E7AEB"/>
    <w:rsid w:val="002F1485"/>
    <w:rsid w:val="002F2B5B"/>
    <w:rsid w:val="002F3C18"/>
    <w:rsid w:val="002F409F"/>
    <w:rsid w:val="002F47F9"/>
    <w:rsid w:val="002F4DB7"/>
    <w:rsid w:val="002F6C62"/>
    <w:rsid w:val="002F7E14"/>
    <w:rsid w:val="002F7F39"/>
    <w:rsid w:val="00300851"/>
    <w:rsid w:val="003011B1"/>
    <w:rsid w:val="0030205C"/>
    <w:rsid w:val="0030321D"/>
    <w:rsid w:val="003048AF"/>
    <w:rsid w:val="00304B76"/>
    <w:rsid w:val="00304C53"/>
    <w:rsid w:val="003051FB"/>
    <w:rsid w:val="00305232"/>
    <w:rsid w:val="003064D2"/>
    <w:rsid w:val="00310798"/>
    <w:rsid w:val="00310C35"/>
    <w:rsid w:val="0031133F"/>
    <w:rsid w:val="0031211A"/>
    <w:rsid w:val="003122C4"/>
    <w:rsid w:val="003129B9"/>
    <w:rsid w:val="003141CD"/>
    <w:rsid w:val="00314E2B"/>
    <w:rsid w:val="00315D1B"/>
    <w:rsid w:val="003160D6"/>
    <w:rsid w:val="0031716B"/>
    <w:rsid w:val="003174D1"/>
    <w:rsid w:val="00317F30"/>
    <w:rsid w:val="0032027A"/>
    <w:rsid w:val="003207F1"/>
    <w:rsid w:val="00321F00"/>
    <w:rsid w:val="00322720"/>
    <w:rsid w:val="0032276B"/>
    <w:rsid w:val="00322A57"/>
    <w:rsid w:val="003230C8"/>
    <w:rsid w:val="003236A8"/>
    <w:rsid w:val="0032511B"/>
    <w:rsid w:val="0032579F"/>
    <w:rsid w:val="00325AF1"/>
    <w:rsid w:val="00325BA9"/>
    <w:rsid w:val="003266B0"/>
    <w:rsid w:val="00327DE8"/>
    <w:rsid w:val="00330766"/>
    <w:rsid w:val="003309BD"/>
    <w:rsid w:val="00330C92"/>
    <w:rsid w:val="00331F23"/>
    <w:rsid w:val="0033275F"/>
    <w:rsid w:val="00333033"/>
    <w:rsid w:val="003349F3"/>
    <w:rsid w:val="0033611E"/>
    <w:rsid w:val="00336D82"/>
    <w:rsid w:val="00336E8D"/>
    <w:rsid w:val="003370BD"/>
    <w:rsid w:val="0034021D"/>
    <w:rsid w:val="00340973"/>
    <w:rsid w:val="00340985"/>
    <w:rsid w:val="00340B1D"/>
    <w:rsid w:val="003423D2"/>
    <w:rsid w:val="003425CC"/>
    <w:rsid w:val="003433C6"/>
    <w:rsid w:val="003441A5"/>
    <w:rsid w:val="0034432E"/>
    <w:rsid w:val="00344E92"/>
    <w:rsid w:val="00345B3E"/>
    <w:rsid w:val="00346E3E"/>
    <w:rsid w:val="00347C35"/>
    <w:rsid w:val="00347C51"/>
    <w:rsid w:val="00347D5D"/>
    <w:rsid w:val="00350668"/>
    <w:rsid w:val="00350989"/>
    <w:rsid w:val="00350DC9"/>
    <w:rsid w:val="00351308"/>
    <w:rsid w:val="00352CF5"/>
    <w:rsid w:val="00352E86"/>
    <w:rsid w:val="00355124"/>
    <w:rsid w:val="00356710"/>
    <w:rsid w:val="00357413"/>
    <w:rsid w:val="00357A6E"/>
    <w:rsid w:val="0036071B"/>
    <w:rsid w:val="00360C00"/>
    <w:rsid w:val="003617B5"/>
    <w:rsid w:val="0036386E"/>
    <w:rsid w:val="00364529"/>
    <w:rsid w:val="00365A04"/>
    <w:rsid w:val="00365CCA"/>
    <w:rsid w:val="00366073"/>
    <w:rsid w:val="003666CF"/>
    <w:rsid w:val="003673DE"/>
    <w:rsid w:val="003675DD"/>
    <w:rsid w:val="00367819"/>
    <w:rsid w:val="00370A36"/>
    <w:rsid w:val="00370D4C"/>
    <w:rsid w:val="00371027"/>
    <w:rsid w:val="003712D0"/>
    <w:rsid w:val="003716BD"/>
    <w:rsid w:val="003716DC"/>
    <w:rsid w:val="003726BB"/>
    <w:rsid w:val="00372D93"/>
    <w:rsid w:val="00373119"/>
    <w:rsid w:val="003732B1"/>
    <w:rsid w:val="003739D9"/>
    <w:rsid w:val="00373EF9"/>
    <w:rsid w:val="00374067"/>
    <w:rsid w:val="0037435B"/>
    <w:rsid w:val="00375BA0"/>
    <w:rsid w:val="00376659"/>
    <w:rsid w:val="00377E73"/>
    <w:rsid w:val="00380660"/>
    <w:rsid w:val="00380D26"/>
    <w:rsid w:val="0038153B"/>
    <w:rsid w:val="003815AC"/>
    <w:rsid w:val="003815CE"/>
    <w:rsid w:val="00381E61"/>
    <w:rsid w:val="00381E7B"/>
    <w:rsid w:val="003820F4"/>
    <w:rsid w:val="00382949"/>
    <w:rsid w:val="00383C51"/>
    <w:rsid w:val="003848B0"/>
    <w:rsid w:val="00384A36"/>
    <w:rsid w:val="00384CD3"/>
    <w:rsid w:val="00385B99"/>
    <w:rsid w:val="00385B9A"/>
    <w:rsid w:val="00386287"/>
    <w:rsid w:val="003878B9"/>
    <w:rsid w:val="00390221"/>
    <w:rsid w:val="00390874"/>
    <w:rsid w:val="00391145"/>
    <w:rsid w:val="003915FA"/>
    <w:rsid w:val="00391A22"/>
    <w:rsid w:val="0039251F"/>
    <w:rsid w:val="0039268F"/>
    <w:rsid w:val="00392B31"/>
    <w:rsid w:val="003932B1"/>
    <w:rsid w:val="00393628"/>
    <w:rsid w:val="00394A57"/>
    <w:rsid w:val="003950D4"/>
    <w:rsid w:val="003952B3"/>
    <w:rsid w:val="003954A0"/>
    <w:rsid w:val="0039587C"/>
    <w:rsid w:val="00396C3C"/>
    <w:rsid w:val="00396DD8"/>
    <w:rsid w:val="00397E18"/>
    <w:rsid w:val="00397E85"/>
    <w:rsid w:val="003A032E"/>
    <w:rsid w:val="003A255D"/>
    <w:rsid w:val="003A31E2"/>
    <w:rsid w:val="003A32A6"/>
    <w:rsid w:val="003A3461"/>
    <w:rsid w:val="003A34FE"/>
    <w:rsid w:val="003A39EA"/>
    <w:rsid w:val="003A46C8"/>
    <w:rsid w:val="003A47E2"/>
    <w:rsid w:val="003A4DEB"/>
    <w:rsid w:val="003A59D1"/>
    <w:rsid w:val="003A5AFF"/>
    <w:rsid w:val="003A69C4"/>
    <w:rsid w:val="003A69FF"/>
    <w:rsid w:val="003B073B"/>
    <w:rsid w:val="003B0775"/>
    <w:rsid w:val="003B2C89"/>
    <w:rsid w:val="003B3F12"/>
    <w:rsid w:val="003B799C"/>
    <w:rsid w:val="003C0305"/>
    <w:rsid w:val="003C09EC"/>
    <w:rsid w:val="003C0CA2"/>
    <w:rsid w:val="003C19EC"/>
    <w:rsid w:val="003C1C07"/>
    <w:rsid w:val="003C4B8B"/>
    <w:rsid w:val="003C55DA"/>
    <w:rsid w:val="003C6661"/>
    <w:rsid w:val="003C7AC0"/>
    <w:rsid w:val="003C7BBB"/>
    <w:rsid w:val="003C7D66"/>
    <w:rsid w:val="003C7E3D"/>
    <w:rsid w:val="003D12C3"/>
    <w:rsid w:val="003D2381"/>
    <w:rsid w:val="003D2539"/>
    <w:rsid w:val="003D2DEB"/>
    <w:rsid w:val="003D2E3D"/>
    <w:rsid w:val="003D3059"/>
    <w:rsid w:val="003D3227"/>
    <w:rsid w:val="003D3780"/>
    <w:rsid w:val="003D4C1F"/>
    <w:rsid w:val="003D4CAB"/>
    <w:rsid w:val="003D4D37"/>
    <w:rsid w:val="003D6733"/>
    <w:rsid w:val="003D6897"/>
    <w:rsid w:val="003E088E"/>
    <w:rsid w:val="003E0EDC"/>
    <w:rsid w:val="003E11AC"/>
    <w:rsid w:val="003E3EAE"/>
    <w:rsid w:val="003E4306"/>
    <w:rsid w:val="003E633A"/>
    <w:rsid w:val="003E6461"/>
    <w:rsid w:val="003E666F"/>
    <w:rsid w:val="003E748C"/>
    <w:rsid w:val="003E7A5B"/>
    <w:rsid w:val="003F06BF"/>
    <w:rsid w:val="003F09EE"/>
    <w:rsid w:val="003F0B50"/>
    <w:rsid w:val="003F0CD7"/>
    <w:rsid w:val="003F13A6"/>
    <w:rsid w:val="003F19BB"/>
    <w:rsid w:val="003F290D"/>
    <w:rsid w:val="003F31F3"/>
    <w:rsid w:val="003F3DA3"/>
    <w:rsid w:val="003F4EF7"/>
    <w:rsid w:val="003F5085"/>
    <w:rsid w:val="00400052"/>
    <w:rsid w:val="00400604"/>
    <w:rsid w:val="00400724"/>
    <w:rsid w:val="00400C48"/>
    <w:rsid w:val="00400DD5"/>
    <w:rsid w:val="00402B6D"/>
    <w:rsid w:val="00402EDA"/>
    <w:rsid w:val="00404DA3"/>
    <w:rsid w:val="00405D85"/>
    <w:rsid w:val="00406129"/>
    <w:rsid w:val="00406DE4"/>
    <w:rsid w:val="00406EFB"/>
    <w:rsid w:val="004071A4"/>
    <w:rsid w:val="004075D5"/>
    <w:rsid w:val="00407673"/>
    <w:rsid w:val="004077D9"/>
    <w:rsid w:val="004100D2"/>
    <w:rsid w:val="00410661"/>
    <w:rsid w:val="00410D80"/>
    <w:rsid w:val="00411CD4"/>
    <w:rsid w:val="00412CEC"/>
    <w:rsid w:val="004132CF"/>
    <w:rsid w:val="00413F39"/>
    <w:rsid w:val="00414730"/>
    <w:rsid w:val="00414FF4"/>
    <w:rsid w:val="00416245"/>
    <w:rsid w:val="004166D4"/>
    <w:rsid w:val="004205DB"/>
    <w:rsid w:val="00421114"/>
    <w:rsid w:val="00421BA0"/>
    <w:rsid w:val="00422C58"/>
    <w:rsid w:val="00423934"/>
    <w:rsid w:val="00423FEC"/>
    <w:rsid w:val="00424A31"/>
    <w:rsid w:val="00426D23"/>
    <w:rsid w:val="00427069"/>
    <w:rsid w:val="00430AA1"/>
    <w:rsid w:val="00431D67"/>
    <w:rsid w:val="00432C38"/>
    <w:rsid w:val="004331BC"/>
    <w:rsid w:val="00433315"/>
    <w:rsid w:val="004334E7"/>
    <w:rsid w:val="004339C5"/>
    <w:rsid w:val="00433CD7"/>
    <w:rsid w:val="0043495C"/>
    <w:rsid w:val="00434CE0"/>
    <w:rsid w:val="00435CB4"/>
    <w:rsid w:val="00435D8F"/>
    <w:rsid w:val="004365F9"/>
    <w:rsid w:val="00442F54"/>
    <w:rsid w:val="00444112"/>
    <w:rsid w:val="00445ED7"/>
    <w:rsid w:val="00445EF5"/>
    <w:rsid w:val="00446169"/>
    <w:rsid w:val="00446AA0"/>
    <w:rsid w:val="00447D13"/>
    <w:rsid w:val="00451334"/>
    <w:rsid w:val="00451E29"/>
    <w:rsid w:val="004525F2"/>
    <w:rsid w:val="00452D75"/>
    <w:rsid w:val="00453031"/>
    <w:rsid w:val="00453115"/>
    <w:rsid w:val="00453886"/>
    <w:rsid w:val="00460799"/>
    <w:rsid w:val="00460AFA"/>
    <w:rsid w:val="00461F95"/>
    <w:rsid w:val="004620E3"/>
    <w:rsid w:val="00462DA5"/>
    <w:rsid w:val="00464937"/>
    <w:rsid w:val="004667DF"/>
    <w:rsid w:val="0046692B"/>
    <w:rsid w:val="00467608"/>
    <w:rsid w:val="00467F76"/>
    <w:rsid w:val="0046E52A"/>
    <w:rsid w:val="004702D4"/>
    <w:rsid w:val="00471283"/>
    <w:rsid w:val="004712C8"/>
    <w:rsid w:val="00471647"/>
    <w:rsid w:val="0047171B"/>
    <w:rsid w:val="00471AD9"/>
    <w:rsid w:val="00472097"/>
    <w:rsid w:val="004728BB"/>
    <w:rsid w:val="00472E3E"/>
    <w:rsid w:val="0047448C"/>
    <w:rsid w:val="004758C9"/>
    <w:rsid w:val="00475B2F"/>
    <w:rsid w:val="004807B9"/>
    <w:rsid w:val="00481A56"/>
    <w:rsid w:val="004824EA"/>
    <w:rsid w:val="00483BDA"/>
    <w:rsid w:val="004864A0"/>
    <w:rsid w:val="0048723C"/>
    <w:rsid w:val="00487B12"/>
    <w:rsid w:val="00487D4A"/>
    <w:rsid w:val="00490B75"/>
    <w:rsid w:val="00491020"/>
    <w:rsid w:val="00491F24"/>
    <w:rsid w:val="00492926"/>
    <w:rsid w:val="0049322F"/>
    <w:rsid w:val="00493611"/>
    <w:rsid w:val="004938EA"/>
    <w:rsid w:val="00493B0E"/>
    <w:rsid w:val="004946E2"/>
    <w:rsid w:val="00496D98"/>
    <w:rsid w:val="00497311"/>
    <w:rsid w:val="0049745C"/>
    <w:rsid w:val="004975F8"/>
    <w:rsid w:val="00497C31"/>
    <w:rsid w:val="00497F57"/>
    <w:rsid w:val="004A00CD"/>
    <w:rsid w:val="004A06C5"/>
    <w:rsid w:val="004A07DF"/>
    <w:rsid w:val="004A0889"/>
    <w:rsid w:val="004A0FE8"/>
    <w:rsid w:val="004A14C2"/>
    <w:rsid w:val="004A182E"/>
    <w:rsid w:val="004A188F"/>
    <w:rsid w:val="004A18D7"/>
    <w:rsid w:val="004A18DA"/>
    <w:rsid w:val="004A1B98"/>
    <w:rsid w:val="004A1E99"/>
    <w:rsid w:val="004A23FE"/>
    <w:rsid w:val="004A3959"/>
    <w:rsid w:val="004A3F95"/>
    <w:rsid w:val="004A4C3A"/>
    <w:rsid w:val="004A4C5B"/>
    <w:rsid w:val="004A4F78"/>
    <w:rsid w:val="004A584A"/>
    <w:rsid w:val="004A7163"/>
    <w:rsid w:val="004B12B8"/>
    <w:rsid w:val="004B1FD8"/>
    <w:rsid w:val="004B38CD"/>
    <w:rsid w:val="004B46CB"/>
    <w:rsid w:val="004B5D23"/>
    <w:rsid w:val="004B6674"/>
    <w:rsid w:val="004B720B"/>
    <w:rsid w:val="004B753A"/>
    <w:rsid w:val="004C0621"/>
    <w:rsid w:val="004C16D8"/>
    <w:rsid w:val="004C274A"/>
    <w:rsid w:val="004C29C1"/>
    <w:rsid w:val="004C2F5A"/>
    <w:rsid w:val="004C3198"/>
    <w:rsid w:val="004C3251"/>
    <w:rsid w:val="004C5948"/>
    <w:rsid w:val="004C5B11"/>
    <w:rsid w:val="004C6202"/>
    <w:rsid w:val="004D03CD"/>
    <w:rsid w:val="004D1FCF"/>
    <w:rsid w:val="004D2228"/>
    <w:rsid w:val="004D2C2E"/>
    <w:rsid w:val="004D39C0"/>
    <w:rsid w:val="004D4A94"/>
    <w:rsid w:val="004D4B3A"/>
    <w:rsid w:val="004D4DBF"/>
    <w:rsid w:val="004D4DE1"/>
    <w:rsid w:val="004D50C2"/>
    <w:rsid w:val="004D50FD"/>
    <w:rsid w:val="004D5982"/>
    <w:rsid w:val="004D7938"/>
    <w:rsid w:val="004D7EB4"/>
    <w:rsid w:val="004E04AD"/>
    <w:rsid w:val="004E05F9"/>
    <w:rsid w:val="004E0CAC"/>
    <w:rsid w:val="004E25F1"/>
    <w:rsid w:val="004E2ADA"/>
    <w:rsid w:val="004E2D72"/>
    <w:rsid w:val="004E30FE"/>
    <w:rsid w:val="004E3922"/>
    <w:rsid w:val="004E4256"/>
    <w:rsid w:val="004E4F7F"/>
    <w:rsid w:val="004E531D"/>
    <w:rsid w:val="004E5599"/>
    <w:rsid w:val="004E56A0"/>
    <w:rsid w:val="004E6F49"/>
    <w:rsid w:val="004E70D0"/>
    <w:rsid w:val="004E7B10"/>
    <w:rsid w:val="004F16E4"/>
    <w:rsid w:val="004F18E4"/>
    <w:rsid w:val="004F1CDD"/>
    <w:rsid w:val="004F2AAD"/>
    <w:rsid w:val="004F2FE9"/>
    <w:rsid w:val="004F414F"/>
    <w:rsid w:val="004F4DE8"/>
    <w:rsid w:val="004F6767"/>
    <w:rsid w:val="004F678F"/>
    <w:rsid w:val="004F6B3D"/>
    <w:rsid w:val="00500FDE"/>
    <w:rsid w:val="005010B5"/>
    <w:rsid w:val="00501315"/>
    <w:rsid w:val="00501AE9"/>
    <w:rsid w:val="00501F6D"/>
    <w:rsid w:val="00502735"/>
    <w:rsid w:val="0050337A"/>
    <w:rsid w:val="0050339B"/>
    <w:rsid w:val="0050425D"/>
    <w:rsid w:val="0050468D"/>
    <w:rsid w:val="0050550F"/>
    <w:rsid w:val="00505F3F"/>
    <w:rsid w:val="0050783D"/>
    <w:rsid w:val="00507E2B"/>
    <w:rsid w:val="00510C2A"/>
    <w:rsid w:val="00510D95"/>
    <w:rsid w:val="005117AC"/>
    <w:rsid w:val="005117FA"/>
    <w:rsid w:val="00512C9F"/>
    <w:rsid w:val="00512F3D"/>
    <w:rsid w:val="00514A18"/>
    <w:rsid w:val="00515FBD"/>
    <w:rsid w:val="00520C25"/>
    <w:rsid w:val="00521434"/>
    <w:rsid w:val="00521C84"/>
    <w:rsid w:val="00523432"/>
    <w:rsid w:val="0052385F"/>
    <w:rsid w:val="00523E9C"/>
    <w:rsid w:val="00524266"/>
    <w:rsid w:val="00524711"/>
    <w:rsid w:val="00525BAD"/>
    <w:rsid w:val="00525E60"/>
    <w:rsid w:val="00526742"/>
    <w:rsid w:val="00526C9C"/>
    <w:rsid w:val="0052766E"/>
    <w:rsid w:val="005306F1"/>
    <w:rsid w:val="00531BFA"/>
    <w:rsid w:val="00534776"/>
    <w:rsid w:val="00535090"/>
    <w:rsid w:val="005352CF"/>
    <w:rsid w:val="00536049"/>
    <w:rsid w:val="005360D0"/>
    <w:rsid w:val="0053661A"/>
    <w:rsid w:val="00536A2E"/>
    <w:rsid w:val="00536E71"/>
    <w:rsid w:val="0053723E"/>
    <w:rsid w:val="005402F9"/>
    <w:rsid w:val="00540892"/>
    <w:rsid w:val="00541245"/>
    <w:rsid w:val="00541752"/>
    <w:rsid w:val="00541B5F"/>
    <w:rsid w:val="00541EC9"/>
    <w:rsid w:val="005426E8"/>
    <w:rsid w:val="00543D12"/>
    <w:rsid w:val="005441FE"/>
    <w:rsid w:val="00544A1F"/>
    <w:rsid w:val="00545028"/>
    <w:rsid w:val="005456A3"/>
    <w:rsid w:val="005461EB"/>
    <w:rsid w:val="005467EB"/>
    <w:rsid w:val="00553198"/>
    <w:rsid w:val="005533AD"/>
    <w:rsid w:val="00554430"/>
    <w:rsid w:val="00557B78"/>
    <w:rsid w:val="00560307"/>
    <w:rsid w:val="00560FFE"/>
    <w:rsid w:val="00561010"/>
    <w:rsid w:val="0056154B"/>
    <w:rsid w:val="00561F2C"/>
    <w:rsid w:val="00562279"/>
    <w:rsid w:val="00562EB7"/>
    <w:rsid w:val="00563088"/>
    <w:rsid w:val="005637E5"/>
    <w:rsid w:val="0056389A"/>
    <w:rsid w:val="00563EA1"/>
    <w:rsid w:val="00564CCA"/>
    <w:rsid w:val="00564CE7"/>
    <w:rsid w:val="00565A59"/>
    <w:rsid w:val="00566CD0"/>
    <w:rsid w:val="00566D6C"/>
    <w:rsid w:val="00567EAD"/>
    <w:rsid w:val="00570647"/>
    <w:rsid w:val="0057075B"/>
    <w:rsid w:val="00570979"/>
    <w:rsid w:val="005712C2"/>
    <w:rsid w:val="00571475"/>
    <w:rsid w:val="0057258A"/>
    <w:rsid w:val="005730EF"/>
    <w:rsid w:val="005734EA"/>
    <w:rsid w:val="00573605"/>
    <w:rsid w:val="00573965"/>
    <w:rsid w:val="005739AF"/>
    <w:rsid w:val="00573A3B"/>
    <w:rsid w:val="00573F1A"/>
    <w:rsid w:val="00575218"/>
    <w:rsid w:val="00575A42"/>
    <w:rsid w:val="00576244"/>
    <w:rsid w:val="00576EA7"/>
    <w:rsid w:val="005812A5"/>
    <w:rsid w:val="005824F9"/>
    <w:rsid w:val="0058254F"/>
    <w:rsid w:val="005832F8"/>
    <w:rsid w:val="0058332A"/>
    <w:rsid w:val="005841D0"/>
    <w:rsid w:val="00585516"/>
    <w:rsid w:val="005855D1"/>
    <w:rsid w:val="00585746"/>
    <w:rsid w:val="0058654B"/>
    <w:rsid w:val="00587195"/>
    <w:rsid w:val="00587D74"/>
    <w:rsid w:val="0059072F"/>
    <w:rsid w:val="005916DA"/>
    <w:rsid w:val="00593D12"/>
    <w:rsid w:val="00594A5A"/>
    <w:rsid w:val="00595191"/>
    <w:rsid w:val="005951EE"/>
    <w:rsid w:val="005971D5"/>
    <w:rsid w:val="00597655"/>
    <w:rsid w:val="00597E05"/>
    <w:rsid w:val="005A1616"/>
    <w:rsid w:val="005A3401"/>
    <w:rsid w:val="005A4F89"/>
    <w:rsid w:val="005A5216"/>
    <w:rsid w:val="005A586A"/>
    <w:rsid w:val="005A5C8C"/>
    <w:rsid w:val="005A5E86"/>
    <w:rsid w:val="005A5F3E"/>
    <w:rsid w:val="005A6374"/>
    <w:rsid w:val="005A6AC8"/>
    <w:rsid w:val="005A7394"/>
    <w:rsid w:val="005A78AA"/>
    <w:rsid w:val="005A79EF"/>
    <w:rsid w:val="005A7FAD"/>
    <w:rsid w:val="005B03E9"/>
    <w:rsid w:val="005B11D9"/>
    <w:rsid w:val="005B1C3E"/>
    <w:rsid w:val="005B2681"/>
    <w:rsid w:val="005B38A2"/>
    <w:rsid w:val="005B3F5D"/>
    <w:rsid w:val="005B404A"/>
    <w:rsid w:val="005B47D9"/>
    <w:rsid w:val="005B516D"/>
    <w:rsid w:val="005B5751"/>
    <w:rsid w:val="005B6ECF"/>
    <w:rsid w:val="005B6FCB"/>
    <w:rsid w:val="005C005A"/>
    <w:rsid w:val="005C1505"/>
    <w:rsid w:val="005C16FA"/>
    <w:rsid w:val="005C1C67"/>
    <w:rsid w:val="005C1FCE"/>
    <w:rsid w:val="005C277C"/>
    <w:rsid w:val="005C29B2"/>
    <w:rsid w:val="005C4448"/>
    <w:rsid w:val="005C5429"/>
    <w:rsid w:val="005C54F0"/>
    <w:rsid w:val="005C5550"/>
    <w:rsid w:val="005C6191"/>
    <w:rsid w:val="005C6428"/>
    <w:rsid w:val="005C6B6E"/>
    <w:rsid w:val="005C6DCD"/>
    <w:rsid w:val="005C7129"/>
    <w:rsid w:val="005C7BBE"/>
    <w:rsid w:val="005D01B4"/>
    <w:rsid w:val="005D061D"/>
    <w:rsid w:val="005D076F"/>
    <w:rsid w:val="005D11AF"/>
    <w:rsid w:val="005D2056"/>
    <w:rsid w:val="005D248D"/>
    <w:rsid w:val="005D253B"/>
    <w:rsid w:val="005D3950"/>
    <w:rsid w:val="005D483C"/>
    <w:rsid w:val="005D4EFE"/>
    <w:rsid w:val="005D7761"/>
    <w:rsid w:val="005D7A7B"/>
    <w:rsid w:val="005E060E"/>
    <w:rsid w:val="005E1985"/>
    <w:rsid w:val="005E1C26"/>
    <w:rsid w:val="005E4B55"/>
    <w:rsid w:val="005E544B"/>
    <w:rsid w:val="005E568D"/>
    <w:rsid w:val="005E587E"/>
    <w:rsid w:val="005E5DF4"/>
    <w:rsid w:val="005E60B0"/>
    <w:rsid w:val="005E6DDF"/>
    <w:rsid w:val="005E6DE6"/>
    <w:rsid w:val="005F0169"/>
    <w:rsid w:val="005F156B"/>
    <w:rsid w:val="005F2833"/>
    <w:rsid w:val="005F42C5"/>
    <w:rsid w:val="005F43E7"/>
    <w:rsid w:val="005F47DF"/>
    <w:rsid w:val="005F4A54"/>
    <w:rsid w:val="005F4B93"/>
    <w:rsid w:val="005F4F0E"/>
    <w:rsid w:val="005F5170"/>
    <w:rsid w:val="005F570C"/>
    <w:rsid w:val="005F57B0"/>
    <w:rsid w:val="005F609F"/>
    <w:rsid w:val="005F617A"/>
    <w:rsid w:val="005F7B06"/>
    <w:rsid w:val="005F7E86"/>
    <w:rsid w:val="005F7FD3"/>
    <w:rsid w:val="006000D9"/>
    <w:rsid w:val="006007D0"/>
    <w:rsid w:val="006009E3"/>
    <w:rsid w:val="00601D78"/>
    <w:rsid w:val="00602B1C"/>
    <w:rsid w:val="0060355E"/>
    <w:rsid w:val="00605D7E"/>
    <w:rsid w:val="006060BF"/>
    <w:rsid w:val="00606505"/>
    <w:rsid w:val="00606AC2"/>
    <w:rsid w:val="00610698"/>
    <w:rsid w:val="006107B4"/>
    <w:rsid w:val="006108CE"/>
    <w:rsid w:val="00610CA3"/>
    <w:rsid w:val="006117A6"/>
    <w:rsid w:val="00612FC3"/>
    <w:rsid w:val="006134E2"/>
    <w:rsid w:val="0061566F"/>
    <w:rsid w:val="0061639D"/>
    <w:rsid w:val="00617378"/>
    <w:rsid w:val="006174AB"/>
    <w:rsid w:val="00617513"/>
    <w:rsid w:val="00620621"/>
    <w:rsid w:val="00621E17"/>
    <w:rsid w:val="00621FA5"/>
    <w:rsid w:val="00622668"/>
    <w:rsid w:val="00624845"/>
    <w:rsid w:val="006258AB"/>
    <w:rsid w:val="00627753"/>
    <w:rsid w:val="00627A54"/>
    <w:rsid w:val="00630D02"/>
    <w:rsid w:val="00630FD7"/>
    <w:rsid w:val="0063102D"/>
    <w:rsid w:val="006312E7"/>
    <w:rsid w:val="00631891"/>
    <w:rsid w:val="00631CE6"/>
    <w:rsid w:val="00632175"/>
    <w:rsid w:val="00632C48"/>
    <w:rsid w:val="006335E2"/>
    <w:rsid w:val="006339DE"/>
    <w:rsid w:val="00633FE7"/>
    <w:rsid w:val="00635A8C"/>
    <w:rsid w:val="00637B3C"/>
    <w:rsid w:val="00637EC8"/>
    <w:rsid w:val="00637ED3"/>
    <w:rsid w:val="006420D8"/>
    <w:rsid w:val="006427EA"/>
    <w:rsid w:val="00642B3E"/>
    <w:rsid w:val="006432E5"/>
    <w:rsid w:val="00643684"/>
    <w:rsid w:val="00644E6F"/>
    <w:rsid w:val="00645879"/>
    <w:rsid w:val="00645F3C"/>
    <w:rsid w:val="00647623"/>
    <w:rsid w:val="0065010E"/>
    <w:rsid w:val="00650C91"/>
    <w:rsid w:val="00651857"/>
    <w:rsid w:val="00651987"/>
    <w:rsid w:val="00651D80"/>
    <w:rsid w:val="006533DC"/>
    <w:rsid w:val="0065432C"/>
    <w:rsid w:val="006550CE"/>
    <w:rsid w:val="00655A8C"/>
    <w:rsid w:val="00656029"/>
    <w:rsid w:val="006562F8"/>
    <w:rsid w:val="00656653"/>
    <w:rsid w:val="006567E4"/>
    <w:rsid w:val="006574AA"/>
    <w:rsid w:val="00657FC2"/>
    <w:rsid w:val="00661F8F"/>
    <w:rsid w:val="00663049"/>
    <w:rsid w:val="006638E5"/>
    <w:rsid w:val="00665B54"/>
    <w:rsid w:val="0066690B"/>
    <w:rsid w:val="00667131"/>
    <w:rsid w:val="0066726A"/>
    <w:rsid w:val="00670035"/>
    <w:rsid w:val="00670044"/>
    <w:rsid w:val="00670341"/>
    <w:rsid w:val="00671608"/>
    <w:rsid w:val="00672469"/>
    <w:rsid w:val="00672733"/>
    <w:rsid w:val="00672DE4"/>
    <w:rsid w:val="00673480"/>
    <w:rsid w:val="0067451B"/>
    <w:rsid w:val="00674B91"/>
    <w:rsid w:val="00675A6E"/>
    <w:rsid w:val="006771DE"/>
    <w:rsid w:val="0067738B"/>
    <w:rsid w:val="00677C9F"/>
    <w:rsid w:val="00681EEC"/>
    <w:rsid w:val="00681F99"/>
    <w:rsid w:val="006825AC"/>
    <w:rsid w:val="006828F1"/>
    <w:rsid w:val="00683CE3"/>
    <w:rsid w:val="0068461E"/>
    <w:rsid w:val="006846AE"/>
    <w:rsid w:val="006849EB"/>
    <w:rsid w:val="0068555B"/>
    <w:rsid w:val="00685B0C"/>
    <w:rsid w:val="00686514"/>
    <w:rsid w:val="006869F4"/>
    <w:rsid w:val="00686AFB"/>
    <w:rsid w:val="00690235"/>
    <w:rsid w:val="00690884"/>
    <w:rsid w:val="006909F7"/>
    <w:rsid w:val="00690A37"/>
    <w:rsid w:val="00690B20"/>
    <w:rsid w:val="0069214D"/>
    <w:rsid w:val="00692FD8"/>
    <w:rsid w:val="0069303A"/>
    <w:rsid w:val="006934F6"/>
    <w:rsid w:val="006945DD"/>
    <w:rsid w:val="00695A4B"/>
    <w:rsid w:val="00695FED"/>
    <w:rsid w:val="00696A64"/>
    <w:rsid w:val="00696A94"/>
    <w:rsid w:val="00697A62"/>
    <w:rsid w:val="006A0534"/>
    <w:rsid w:val="006A0FFC"/>
    <w:rsid w:val="006A2F0E"/>
    <w:rsid w:val="006A3743"/>
    <w:rsid w:val="006A3E20"/>
    <w:rsid w:val="006A3F56"/>
    <w:rsid w:val="006A5652"/>
    <w:rsid w:val="006A79F9"/>
    <w:rsid w:val="006B039D"/>
    <w:rsid w:val="006B09A7"/>
    <w:rsid w:val="006B0DC5"/>
    <w:rsid w:val="006B1F24"/>
    <w:rsid w:val="006B22D8"/>
    <w:rsid w:val="006B2463"/>
    <w:rsid w:val="006B26B9"/>
    <w:rsid w:val="006B2A8C"/>
    <w:rsid w:val="006B3E9A"/>
    <w:rsid w:val="006B45B6"/>
    <w:rsid w:val="006B4A92"/>
    <w:rsid w:val="006B54BC"/>
    <w:rsid w:val="006B6126"/>
    <w:rsid w:val="006B6EC7"/>
    <w:rsid w:val="006C0FFD"/>
    <w:rsid w:val="006C12CB"/>
    <w:rsid w:val="006C1848"/>
    <w:rsid w:val="006C18DC"/>
    <w:rsid w:val="006C1DC6"/>
    <w:rsid w:val="006C1FBE"/>
    <w:rsid w:val="006C3262"/>
    <w:rsid w:val="006C3E47"/>
    <w:rsid w:val="006C3E59"/>
    <w:rsid w:val="006C41EA"/>
    <w:rsid w:val="006C43B7"/>
    <w:rsid w:val="006C5A4B"/>
    <w:rsid w:val="006C5E54"/>
    <w:rsid w:val="006C6F5A"/>
    <w:rsid w:val="006C7544"/>
    <w:rsid w:val="006C7F33"/>
    <w:rsid w:val="006D0109"/>
    <w:rsid w:val="006D0953"/>
    <w:rsid w:val="006D11E1"/>
    <w:rsid w:val="006D185C"/>
    <w:rsid w:val="006D20F2"/>
    <w:rsid w:val="006D2552"/>
    <w:rsid w:val="006D2D33"/>
    <w:rsid w:val="006D3476"/>
    <w:rsid w:val="006D3587"/>
    <w:rsid w:val="006D3988"/>
    <w:rsid w:val="006D4534"/>
    <w:rsid w:val="006D54A5"/>
    <w:rsid w:val="006D75F8"/>
    <w:rsid w:val="006D7A8C"/>
    <w:rsid w:val="006D7F37"/>
    <w:rsid w:val="006E0506"/>
    <w:rsid w:val="006E13BE"/>
    <w:rsid w:val="006E16A7"/>
    <w:rsid w:val="006E283B"/>
    <w:rsid w:val="006E551D"/>
    <w:rsid w:val="006E5B3C"/>
    <w:rsid w:val="006E7AA3"/>
    <w:rsid w:val="006E7DA1"/>
    <w:rsid w:val="006F10BF"/>
    <w:rsid w:val="006F2367"/>
    <w:rsid w:val="006F33D3"/>
    <w:rsid w:val="006F3836"/>
    <w:rsid w:val="006F3CC2"/>
    <w:rsid w:val="006F41EF"/>
    <w:rsid w:val="006F4B96"/>
    <w:rsid w:val="006F4B9D"/>
    <w:rsid w:val="006F4F83"/>
    <w:rsid w:val="006F501C"/>
    <w:rsid w:val="006F516F"/>
    <w:rsid w:val="006F5F62"/>
    <w:rsid w:val="006F68A6"/>
    <w:rsid w:val="006F7E49"/>
    <w:rsid w:val="0070074A"/>
    <w:rsid w:val="007008B8"/>
    <w:rsid w:val="00701799"/>
    <w:rsid w:val="00701960"/>
    <w:rsid w:val="0070253D"/>
    <w:rsid w:val="00702915"/>
    <w:rsid w:val="00702F9B"/>
    <w:rsid w:val="00703771"/>
    <w:rsid w:val="007037E0"/>
    <w:rsid w:val="00703E9D"/>
    <w:rsid w:val="00703ED3"/>
    <w:rsid w:val="00706116"/>
    <w:rsid w:val="00706CD2"/>
    <w:rsid w:val="00707F0B"/>
    <w:rsid w:val="00710359"/>
    <w:rsid w:val="0071079C"/>
    <w:rsid w:val="00711BCB"/>
    <w:rsid w:val="00712081"/>
    <w:rsid w:val="00713875"/>
    <w:rsid w:val="00713BF1"/>
    <w:rsid w:val="007144F0"/>
    <w:rsid w:val="0071518B"/>
    <w:rsid w:val="00716D2D"/>
    <w:rsid w:val="00717848"/>
    <w:rsid w:val="00717B61"/>
    <w:rsid w:val="00720221"/>
    <w:rsid w:val="00720455"/>
    <w:rsid w:val="007205E7"/>
    <w:rsid w:val="007205EA"/>
    <w:rsid w:val="0072069D"/>
    <w:rsid w:val="007209C1"/>
    <w:rsid w:val="00721E9C"/>
    <w:rsid w:val="0072308B"/>
    <w:rsid w:val="00723AC4"/>
    <w:rsid w:val="007254C0"/>
    <w:rsid w:val="007267AC"/>
    <w:rsid w:val="00727099"/>
    <w:rsid w:val="00730D6B"/>
    <w:rsid w:val="0073121C"/>
    <w:rsid w:val="00732683"/>
    <w:rsid w:val="00734FDF"/>
    <w:rsid w:val="00735DE4"/>
    <w:rsid w:val="00737459"/>
    <w:rsid w:val="007375F3"/>
    <w:rsid w:val="007402DB"/>
    <w:rsid w:val="00740E2C"/>
    <w:rsid w:val="007411DD"/>
    <w:rsid w:val="00741733"/>
    <w:rsid w:val="00743CBB"/>
    <w:rsid w:val="00743D2A"/>
    <w:rsid w:val="007451A9"/>
    <w:rsid w:val="007460A5"/>
    <w:rsid w:val="007462BE"/>
    <w:rsid w:val="00746761"/>
    <w:rsid w:val="00747AA3"/>
    <w:rsid w:val="00747DB2"/>
    <w:rsid w:val="00747DB6"/>
    <w:rsid w:val="00750ADD"/>
    <w:rsid w:val="007516E6"/>
    <w:rsid w:val="00751E5D"/>
    <w:rsid w:val="00751E80"/>
    <w:rsid w:val="00753679"/>
    <w:rsid w:val="00753966"/>
    <w:rsid w:val="0075473C"/>
    <w:rsid w:val="00754A48"/>
    <w:rsid w:val="007568D0"/>
    <w:rsid w:val="00756AFE"/>
    <w:rsid w:val="00756FEA"/>
    <w:rsid w:val="00757330"/>
    <w:rsid w:val="0075B3DB"/>
    <w:rsid w:val="00760CB6"/>
    <w:rsid w:val="00761BA8"/>
    <w:rsid w:val="00761CEF"/>
    <w:rsid w:val="0076248E"/>
    <w:rsid w:val="007626BB"/>
    <w:rsid w:val="0076394C"/>
    <w:rsid w:val="00763E5E"/>
    <w:rsid w:val="00764782"/>
    <w:rsid w:val="00765F9E"/>
    <w:rsid w:val="00766591"/>
    <w:rsid w:val="00766CDD"/>
    <w:rsid w:val="0076768E"/>
    <w:rsid w:val="00767AA4"/>
    <w:rsid w:val="00767AC1"/>
    <w:rsid w:val="00771FBC"/>
    <w:rsid w:val="0077261F"/>
    <w:rsid w:val="0077329B"/>
    <w:rsid w:val="007733A5"/>
    <w:rsid w:val="0077354E"/>
    <w:rsid w:val="007737AF"/>
    <w:rsid w:val="007737D8"/>
    <w:rsid w:val="00773FD4"/>
    <w:rsid w:val="0077418E"/>
    <w:rsid w:val="00774547"/>
    <w:rsid w:val="00774903"/>
    <w:rsid w:val="0077498A"/>
    <w:rsid w:val="00775C4B"/>
    <w:rsid w:val="0077615A"/>
    <w:rsid w:val="007762CE"/>
    <w:rsid w:val="00776F30"/>
    <w:rsid w:val="00777032"/>
    <w:rsid w:val="00777069"/>
    <w:rsid w:val="007777A5"/>
    <w:rsid w:val="00780542"/>
    <w:rsid w:val="00780A71"/>
    <w:rsid w:val="007814CA"/>
    <w:rsid w:val="00781650"/>
    <w:rsid w:val="0078178E"/>
    <w:rsid w:val="00781C20"/>
    <w:rsid w:val="0078301F"/>
    <w:rsid w:val="00783CAB"/>
    <w:rsid w:val="007846C4"/>
    <w:rsid w:val="00784DA2"/>
    <w:rsid w:val="007855D0"/>
    <w:rsid w:val="00785675"/>
    <w:rsid w:val="00786497"/>
    <w:rsid w:val="007864D1"/>
    <w:rsid w:val="007875B1"/>
    <w:rsid w:val="0078787D"/>
    <w:rsid w:val="00787A69"/>
    <w:rsid w:val="007904AE"/>
    <w:rsid w:val="0079171A"/>
    <w:rsid w:val="00791E90"/>
    <w:rsid w:val="007920D4"/>
    <w:rsid w:val="00793492"/>
    <w:rsid w:val="00795459"/>
    <w:rsid w:val="00795800"/>
    <w:rsid w:val="00795C7C"/>
    <w:rsid w:val="0079609A"/>
    <w:rsid w:val="00796F14"/>
    <w:rsid w:val="00797AAD"/>
    <w:rsid w:val="00797B41"/>
    <w:rsid w:val="007A0282"/>
    <w:rsid w:val="007A0617"/>
    <w:rsid w:val="007A06A0"/>
    <w:rsid w:val="007A077B"/>
    <w:rsid w:val="007A1D53"/>
    <w:rsid w:val="007A2598"/>
    <w:rsid w:val="007A266A"/>
    <w:rsid w:val="007A31A9"/>
    <w:rsid w:val="007A3F48"/>
    <w:rsid w:val="007A414A"/>
    <w:rsid w:val="007A4199"/>
    <w:rsid w:val="007A4F12"/>
    <w:rsid w:val="007A652B"/>
    <w:rsid w:val="007A7689"/>
    <w:rsid w:val="007B045B"/>
    <w:rsid w:val="007B14AD"/>
    <w:rsid w:val="007B1FC0"/>
    <w:rsid w:val="007B247F"/>
    <w:rsid w:val="007B38A9"/>
    <w:rsid w:val="007B39F0"/>
    <w:rsid w:val="007B4C0B"/>
    <w:rsid w:val="007B501A"/>
    <w:rsid w:val="007B5502"/>
    <w:rsid w:val="007B60AB"/>
    <w:rsid w:val="007B627E"/>
    <w:rsid w:val="007C030C"/>
    <w:rsid w:val="007C0662"/>
    <w:rsid w:val="007C2BA5"/>
    <w:rsid w:val="007C37B4"/>
    <w:rsid w:val="007C3CA1"/>
    <w:rsid w:val="007C4DCE"/>
    <w:rsid w:val="007C68AB"/>
    <w:rsid w:val="007C6A66"/>
    <w:rsid w:val="007D06D2"/>
    <w:rsid w:val="007D09E9"/>
    <w:rsid w:val="007D1129"/>
    <w:rsid w:val="007D1AD0"/>
    <w:rsid w:val="007D27E0"/>
    <w:rsid w:val="007D36C3"/>
    <w:rsid w:val="007D3EF1"/>
    <w:rsid w:val="007D4D86"/>
    <w:rsid w:val="007D4E14"/>
    <w:rsid w:val="007D5193"/>
    <w:rsid w:val="007D5F98"/>
    <w:rsid w:val="007D657F"/>
    <w:rsid w:val="007D7B6E"/>
    <w:rsid w:val="007E1763"/>
    <w:rsid w:val="007E2EC6"/>
    <w:rsid w:val="007E3AEC"/>
    <w:rsid w:val="007E4087"/>
    <w:rsid w:val="007E4213"/>
    <w:rsid w:val="007E4577"/>
    <w:rsid w:val="007E5B68"/>
    <w:rsid w:val="007E5E35"/>
    <w:rsid w:val="007E7324"/>
    <w:rsid w:val="007E74AF"/>
    <w:rsid w:val="007F064A"/>
    <w:rsid w:val="007F165B"/>
    <w:rsid w:val="007F23E2"/>
    <w:rsid w:val="007F2639"/>
    <w:rsid w:val="007F2CD3"/>
    <w:rsid w:val="007F2F49"/>
    <w:rsid w:val="007F52F9"/>
    <w:rsid w:val="007F5DBE"/>
    <w:rsid w:val="007F6DBE"/>
    <w:rsid w:val="007F70DA"/>
    <w:rsid w:val="007F7F2C"/>
    <w:rsid w:val="008006E0"/>
    <w:rsid w:val="00800D97"/>
    <w:rsid w:val="008026B9"/>
    <w:rsid w:val="00802939"/>
    <w:rsid w:val="00802F09"/>
    <w:rsid w:val="00802FD3"/>
    <w:rsid w:val="0080314B"/>
    <w:rsid w:val="00803AA1"/>
    <w:rsid w:val="0080529A"/>
    <w:rsid w:val="008053FE"/>
    <w:rsid w:val="008055F0"/>
    <w:rsid w:val="00805977"/>
    <w:rsid w:val="008075E5"/>
    <w:rsid w:val="00807EAC"/>
    <w:rsid w:val="0081077F"/>
    <w:rsid w:val="00810A7D"/>
    <w:rsid w:val="00811434"/>
    <w:rsid w:val="0081202D"/>
    <w:rsid w:val="00812779"/>
    <w:rsid w:val="0081290A"/>
    <w:rsid w:val="00813F53"/>
    <w:rsid w:val="00814F23"/>
    <w:rsid w:val="008151CF"/>
    <w:rsid w:val="008158B0"/>
    <w:rsid w:val="00815BC3"/>
    <w:rsid w:val="00815FA1"/>
    <w:rsid w:val="00816332"/>
    <w:rsid w:val="00816C67"/>
    <w:rsid w:val="00817425"/>
    <w:rsid w:val="00817A0E"/>
    <w:rsid w:val="00821A79"/>
    <w:rsid w:val="00822036"/>
    <w:rsid w:val="008232D2"/>
    <w:rsid w:val="00824BA2"/>
    <w:rsid w:val="00824BD6"/>
    <w:rsid w:val="00824F72"/>
    <w:rsid w:val="0082583F"/>
    <w:rsid w:val="00825859"/>
    <w:rsid w:val="00825F6B"/>
    <w:rsid w:val="00826D1F"/>
    <w:rsid w:val="00830F24"/>
    <w:rsid w:val="00830F96"/>
    <w:rsid w:val="00831DFD"/>
    <w:rsid w:val="0083217B"/>
    <w:rsid w:val="00832A52"/>
    <w:rsid w:val="00832C79"/>
    <w:rsid w:val="00833ADB"/>
    <w:rsid w:val="00834151"/>
    <w:rsid w:val="00834EAC"/>
    <w:rsid w:val="0083696F"/>
    <w:rsid w:val="0083736E"/>
    <w:rsid w:val="008434B5"/>
    <w:rsid w:val="00843E83"/>
    <w:rsid w:val="008446E3"/>
    <w:rsid w:val="008459E9"/>
    <w:rsid w:val="00845E2C"/>
    <w:rsid w:val="008463D3"/>
    <w:rsid w:val="00847011"/>
    <w:rsid w:val="00847E4C"/>
    <w:rsid w:val="008504D1"/>
    <w:rsid w:val="008515F1"/>
    <w:rsid w:val="00851BD7"/>
    <w:rsid w:val="00851CDD"/>
    <w:rsid w:val="00854CAF"/>
    <w:rsid w:val="00854E6D"/>
    <w:rsid w:val="00854E89"/>
    <w:rsid w:val="00855488"/>
    <w:rsid w:val="00856554"/>
    <w:rsid w:val="0085655E"/>
    <w:rsid w:val="00857288"/>
    <w:rsid w:val="008573FF"/>
    <w:rsid w:val="00857E47"/>
    <w:rsid w:val="00857E50"/>
    <w:rsid w:val="00860468"/>
    <w:rsid w:val="00860586"/>
    <w:rsid w:val="00860A2F"/>
    <w:rsid w:val="008610D1"/>
    <w:rsid w:val="008610DE"/>
    <w:rsid w:val="0086127B"/>
    <w:rsid w:val="00861C2B"/>
    <w:rsid w:val="008626D4"/>
    <w:rsid w:val="0086341E"/>
    <w:rsid w:val="00863AC6"/>
    <w:rsid w:val="00864226"/>
    <w:rsid w:val="008643FB"/>
    <w:rsid w:val="00865334"/>
    <w:rsid w:val="008707FC"/>
    <w:rsid w:val="00870849"/>
    <w:rsid w:val="008729FC"/>
    <w:rsid w:val="008736BF"/>
    <w:rsid w:val="00874653"/>
    <w:rsid w:val="0087562D"/>
    <w:rsid w:val="0087624B"/>
    <w:rsid w:val="00880A0F"/>
    <w:rsid w:val="008818B0"/>
    <w:rsid w:val="00881B62"/>
    <w:rsid w:val="00881DCD"/>
    <w:rsid w:val="00882330"/>
    <w:rsid w:val="008825D8"/>
    <w:rsid w:val="00882793"/>
    <w:rsid w:val="008832AB"/>
    <w:rsid w:val="00883A1C"/>
    <w:rsid w:val="00883CF3"/>
    <w:rsid w:val="00884320"/>
    <w:rsid w:val="00884728"/>
    <w:rsid w:val="008848B1"/>
    <w:rsid w:val="00884C35"/>
    <w:rsid w:val="0088517B"/>
    <w:rsid w:val="008861D6"/>
    <w:rsid w:val="008864B8"/>
    <w:rsid w:val="0088683B"/>
    <w:rsid w:val="00887155"/>
    <w:rsid w:val="0089045A"/>
    <w:rsid w:val="008908D8"/>
    <w:rsid w:val="00890E11"/>
    <w:rsid w:val="00891732"/>
    <w:rsid w:val="00891915"/>
    <w:rsid w:val="00891939"/>
    <w:rsid w:val="00891D2B"/>
    <w:rsid w:val="008920BE"/>
    <w:rsid w:val="008936EC"/>
    <w:rsid w:val="00893E82"/>
    <w:rsid w:val="00893F54"/>
    <w:rsid w:val="00896802"/>
    <w:rsid w:val="008978D0"/>
    <w:rsid w:val="00897F02"/>
    <w:rsid w:val="008A0766"/>
    <w:rsid w:val="008A1443"/>
    <w:rsid w:val="008A1BAB"/>
    <w:rsid w:val="008A1DE1"/>
    <w:rsid w:val="008A25F2"/>
    <w:rsid w:val="008A2AEC"/>
    <w:rsid w:val="008A2D62"/>
    <w:rsid w:val="008A2ED8"/>
    <w:rsid w:val="008A314D"/>
    <w:rsid w:val="008A3BBF"/>
    <w:rsid w:val="008A4125"/>
    <w:rsid w:val="008A4537"/>
    <w:rsid w:val="008A4BC7"/>
    <w:rsid w:val="008A4CC2"/>
    <w:rsid w:val="008A4D0C"/>
    <w:rsid w:val="008A54CA"/>
    <w:rsid w:val="008A75E6"/>
    <w:rsid w:val="008A7BD7"/>
    <w:rsid w:val="008B17BE"/>
    <w:rsid w:val="008B29CC"/>
    <w:rsid w:val="008B3D12"/>
    <w:rsid w:val="008B6190"/>
    <w:rsid w:val="008C1F36"/>
    <w:rsid w:val="008C20A1"/>
    <w:rsid w:val="008C4260"/>
    <w:rsid w:val="008C52B9"/>
    <w:rsid w:val="008C56E2"/>
    <w:rsid w:val="008C65BD"/>
    <w:rsid w:val="008C695D"/>
    <w:rsid w:val="008C6F2A"/>
    <w:rsid w:val="008C721F"/>
    <w:rsid w:val="008C722C"/>
    <w:rsid w:val="008D0843"/>
    <w:rsid w:val="008D10A2"/>
    <w:rsid w:val="008D1FCD"/>
    <w:rsid w:val="008D3370"/>
    <w:rsid w:val="008D349B"/>
    <w:rsid w:val="008D3983"/>
    <w:rsid w:val="008D49C8"/>
    <w:rsid w:val="008D4D23"/>
    <w:rsid w:val="008D5A5A"/>
    <w:rsid w:val="008D5C34"/>
    <w:rsid w:val="008D5C8D"/>
    <w:rsid w:val="008D6381"/>
    <w:rsid w:val="008D66FC"/>
    <w:rsid w:val="008D68DF"/>
    <w:rsid w:val="008D734D"/>
    <w:rsid w:val="008E2803"/>
    <w:rsid w:val="008E2A39"/>
    <w:rsid w:val="008E2AE6"/>
    <w:rsid w:val="008E3907"/>
    <w:rsid w:val="008E4163"/>
    <w:rsid w:val="008E437A"/>
    <w:rsid w:val="008E744D"/>
    <w:rsid w:val="008E7882"/>
    <w:rsid w:val="008F2A9E"/>
    <w:rsid w:val="008F3B9C"/>
    <w:rsid w:val="008F3C57"/>
    <w:rsid w:val="008F3D96"/>
    <w:rsid w:val="008F526F"/>
    <w:rsid w:val="008F54C9"/>
    <w:rsid w:val="008F58B4"/>
    <w:rsid w:val="008F5A1B"/>
    <w:rsid w:val="008F6385"/>
    <w:rsid w:val="008F6A31"/>
    <w:rsid w:val="008F6ED3"/>
    <w:rsid w:val="008F71D3"/>
    <w:rsid w:val="008F76D8"/>
    <w:rsid w:val="008FA586"/>
    <w:rsid w:val="00900252"/>
    <w:rsid w:val="00900303"/>
    <w:rsid w:val="00901786"/>
    <w:rsid w:val="00901EEF"/>
    <w:rsid w:val="009020E5"/>
    <w:rsid w:val="00902B08"/>
    <w:rsid w:val="00902DE8"/>
    <w:rsid w:val="00902DFF"/>
    <w:rsid w:val="009045CC"/>
    <w:rsid w:val="009047E7"/>
    <w:rsid w:val="00904A40"/>
    <w:rsid w:val="00906169"/>
    <w:rsid w:val="00906B2A"/>
    <w:rsid w:val="00906BBE"/>
    <w:rsid w:val="0090785F"/>
    <w:rsid w:val="00907FAB"/>
    <w:rsid w:val="00910B64"/>
    <w:rsid w:val="00910C76"/>
    <w:rsid w:val="00910E5A"/>
    <w:rsid w:val="00912553"/>
    <w:rsid w:val="0091286D"/>
    <w:rsid w:val="009135C9"/>
    <w:rsid w:val="009138BE"/>
    <w:rsid w:val="009141A0"/>
    <w:rsid w:val="0091485F"/>
    <w:rsid w:val="009155E8"/>
    <w:rsid w:val="00915C59"/>
    <w:rsid w:val="0092169A"/>
    <w:rsid w:val="0092193F"/>
    <w:rsid w:val="00921DBD"/>
    <w:rsid w:val="00922850"/>
    <w:rsid w:val="0092291E"/>
    <w:rsid w:val="00922F3F"/>
    <w:rsid w:val="0092379A"/>
    <w:rsid w:val="009248E6"/>
    <w:rsid w:val="00925A9B"/>
    <w:rsid w:val="00926015"/>
    <w:rsid w:val="00926E1A"/>
    <w:rsid w:val="00927C40"/>
    <w:rsid w:val="009307AD"/>
    <w:rsid w:val="00931138"/>
    <w:rsid w:val="009317B7"/>
    <w:rsid w:val="0093263F"/>
    <w:rsid w:val="00932679"/>
    <w:rsid w:val="00932B2A"/>
    <w:rsid w:val="00935047"/>
    <w:rsid w:val="009351B8"/>
    <w:rsid w:val="00935EA4"/>
    <w:rsid w:val="00935F8C"/>
    <w:rsid w:val="00936B16"/>
    <w:rsid w:val="00936F8C"/>
    <w:rsid w:val="0093749F"/>
    <w:rsid w:val="009378CA"/>
    <w:rsid w:val="0094005B"/>
    <w:rsid w:val="00940336"/>
    <w:rsid w:val="00941010"/>
    <w:rsid w:val="009416E0"/>
    <w:rsid w:val="00941747"/>
    <w:rsid w:val="00941DD4"/>
    <w:rsid w:val="00942103"/>
    <w:rsid w:val="00943955"/>
    <w:rsid w:val="00943CEC"/>
    <w:rsid w:val="00944A58"/>
    <w:rsid w:val="009450BA"/>
    <w:rsid w:val="00945CDA"/>
    <w:rsid w:val="0094687B"/>
    <w:rsid w:val="009474C9"/>
    <w:rsid w:val="00947532"/>
    <w:rsid w:val="00947B3E"/>
    <w:rsid w:val="009516D0"/>
    <w:rsid w:val="0095445A"/>
    <w:rsid w:val="009554E7"/>
    <w:rsid w:val="0095603F"/>
    <w:rsid w:val="00956783"/>
    <w:rsid w:val="009569D6"/>
    <w:rsid w:val="0095714D"/>
    <w:rsid w:val="00957D45"/>
    <w:rsid w:val="00960162"/>
    <w:rsid w:val="00960707"/>
    <w:rsid w:val="00960B33"/>
    <w:rsid w:val="00960BAC"/>
    <w:rsid w:val="00961425"/>
    <w:rsid w:val="00964295"/>
    <w:rsid w:val="009644A1"/>
    <w:rsid w:val="009649DC"/>
    <w:rsid w:val="00964E0F"/>
    <w:rsid w:val="0096661D"/>
    <w:rsid w:val="00966B7E"/>
    <w:rsid w:val="009670EA"/>
    <w:rsid w:val="009676CE"/>
    <w:rsid w:val="009679E2"/>
    <w:rsid w:val="00967A01"/>
    <w:rsid w:val="0097239D"/>
    <w:rsid w:val="00972A72"/>
    <w:rsid w:val="00972E05"/>
    <w:rsid w:val="009731A8"/>
    <w:rsid w:val="009735FC"/>
    <w:rsid w:val="00973D75"/>
    <w:rsid w:val="009744D1"/>
    <w:rsid w:val="00974718"/>
    <w:rsid w:val="00974858"/>
    <w:rsid w:val="00974CF9"/>
    <w:rsid w:val="009764EF"/>
    <w:rsid w:val="00976612"/>
    <w:rsid w:val="00977D87"/>
    <w:rsid w:val="0098011E"/>
    <w:rsid w:val="00980511"/>
    <w:rsid w:val="009810DB"/>
    <w:rsid w:val="00981870"/>
    <w:rsid w:val="00985BA1"/>
    <w:rsid w:val="00985BBA"/>
    <w:rsid w:val="00986085"/>
    <w:rsid w:val="009862FA"/>
    <w:rsid w:val="00986E32"/>
    <w:rsid w:val="00986F64"/>
    <w:rsid w:val="0098724C"/>
    <w:rsid w:val="00987D54"/>
    <w:rsid w:val="00987EF2"/>
    <w:rsid w:val="00992C35"/>
    <w:rsid w:val="00992C6A"/>
    <w:rsid w:val="00992DE7"/>
    <w:rsid w:val="00992E26"/>
    <w:rsid w:val="00993753"/>
    <w:rsid w:val="00994A22"/>
    <w:rsid w:val="00995E09"/>
    <w:rsid w:val="009979CF"/>
    <w:rsid w:val="009A1606"/>
    <w:rsid w:val="009A2353"/>
    <w:rsid w:val="009A3AEA"/>
    <w:rsid w:val="009A52FD"/>
    <w:rsid w:val="009A54C4"/>
    <w:rsid w:val="009A639E"/>
    <w:rsid w:val="009A6848"/>
    <w:rsid w:val="009B1383"/>
    <w:rsid w:val="009B400B"/>
    <w:rsid w:val="009B508A"/>
    <w:rsid w:val="009B58E4"/>
    <w:rsid w:val="009B5EAD"/>
    <w:rsid w:val="009B6721"/>
    <w:rsid w:val="009B6F19"/>
    <w:rsid w:val="009B7138"/>
    <w:rsid w:val="009B73F9"/>
    <w:rsid w:val="009C07EB"/>
    <w:rsid w:val="009C2423"/>
    <w:rsid w:val="009C2860"/>
    <w:rsid w:val="009C38B7"/>
    <w:rsid w:val="009C3B15"/>
    <w:rsid w:val="009C3B29"/>
    <w:rsid w:val="009C4A37"/>
    <w:rsid w:val="009C4ACD"/>
    <w:rsid w:val="009C4BF1"/>
    <w:rsid w:val="009C4D03"/>
    <w:rsid w:val="009C59C2"/>
    <w:rsid w:val="009C5A46"/>
    <w:rsid w:val="009C6019"/>
    <w:rsid w:val="009C6EE2"/>
    <w:rsid w:val="009D19C8"/>
    <w:rsid w:val="009D201B"/>
    <w:rsid w:val="009D2372"/>
    <w:rsid w:val="009D2FEB"/>
    <w:rsid w:val="009D32A0"/>
    <w:rsid w:val="009D3C45"/>
    <w:rsid w:val="009D3CC4"/>
    <w:rsid w:val="009D42DC"/>
    <w:rsid w:val="009D43AF"/>
    <w:rsid w:val="009D456F"/>
    <w:rsid w:val="009D4949"/>
    <w:rsid w:val="009D56E2"/>
    <w:rsid w:val="009D5CDF"/>
    <w:rsid w:val="009D62C1"/>
    <w:rsid w:val="009D6552"/>
    <w:rsid w:val="009D6915"/>
    <w:rsid w:val="009D6DD6"/>
    <w:rsid w:val="009D7B6D"/>
    <w:rsid w:val="009E0293"/>
    <w:rsid w:val="009E046C"/>
    <w:rsid w:val="009E0B4F"/>
    <w:rsid w:val="009E2036"/>
    <w:rsid w:val="009E260F"/>
    <w:rsid w:val="009E2AA2"/>
    <w:rsid w:val="009E3C95"/>
    <w:rsid w:val="009E52D6"/>
    <w:rsid w:val="009E7689"/>
    <w:rsid w:val="009F0114"/>
    <w:rsid w:val="009F0892"/>
    <w:rsid w:val="009F0B09"/>
    <w:rsid w:val="009F1AD4"/>
    <w:rsid w:val="009F49F4"/>
    <w:rsid w:val="009F4E76"/>
    <w:rsid w:val="009F55DE"/>
    <w:rsid w:val="00A00EB9"/>
    <w:rsid w:val="00A00F44"/>
    <w:rsid w:val="00A01011"/>
    <w:rsid w:val="00A0154A"/>
    <w:rsid w:val="00A01CF2"/>
    <w:rsid w:val="00A024B2"/>
    <w:rsid w:val="00A02904"/>
    <w:rsid w:val="00A02BD1"/>
    <w:rsid w:val="00A03212"/>
    <w:rsid w:val="00A03267"/>
    <w:rsid w:val="00A05005"/>
    <w:rsid w:val="00A059CD"/>
    <w:rsid w:val="00A06548"/>
    <w:rsid w:val="00A06845"/>
    <w:rsid w:val="00A071E4"/>
    <w:rsid w:val="00A1120E"/>
    <w:rsid w:val="00A115E5"/>
    <w:rsid w:val="00A1389C"/>
    <w:rsid w:val="00A14599"/>
    <w:rsid w:val="00A15828"/>
    <w:rsid w:val="00A15C5C"/>
    <w:rsid w:val="00A15E74"/>
    <w:rsid w:val="00A17083"/>
    <w:rsid w:val="00A17203"/>
    <w:rsid w:val="00A17221"/>
    <w:rsid w:val="00A1743F"/>
    <w:rsid w:val="00A17451"/>
    <w:rsid w:val="00A17904"/>
    <w:rsid w:val="00A17AF3"/>
    <w:rsid w:val="00A17EEE"/>
    <w:rsid w:val="00A22336"/>
    <w:rsid w:val="00A22445"/>
    <w:rsid w:val="00A24017"/>
    <w:rsid w:val="00A24C62"/>
    <w:rsid w:val="00A2528C"/>
    <w:rsid w:val="00A25382"/>
    <w:rsid w:val="00A263E0"/>
    <w:rsid w:val="00A264B1"/>
    <w:rsid w:val="00A26949"/>
    <w:rsid w:val="00A2707D"/>
    <w:rsid w:val="00A27AB6"/>
    <w:rsid w:val="00A305C4"/>
    <w:rsid w:val="00A30EF1"/>
    <w:rsid w:val="00A31025"/>
    <w:rsid w:val="00A3201D"/>
    <w:rsid w:val="00A32134"/>
    <w:rsid w:val="00A32B74"/>
    <w:rsid w:val="00A33F06"/>
    <w:rsid w:val="00A340C9"/>
    <w:rsid w:val="00A34E87"/>
    <w:rsid w:val="00A352F4"/>
    <w:rsid w:val="00A367F0"/>
    <w:rsid w:val="00A36EAE"/>
    <w:rsid w:val="00A37CFD"/>
    <w:rsid w:val="00A40B41"/>
    <w:rsid w:val="00A41132"/>
    <w:rsid w:val="00A414B1"/>
    <w:rsid w:val="00A41F40"/>
    <w:rsid w:val="00A42907"/>
    <w:rsid w:val="00A42E49"/>
    <w:rsid w:val="00A42EA4"/>
    <w:rsid w:val="00A4379B"/>
    <w:rsid w:val="00A449A8"/>
    <w:rsid w:val="00A44E60"/>
    <w:rsid w:val="00A46863"/>
    <w:rsid w:val="00A4771F"/>
    <w:rsid w:val="00A50134"/>
    <w:rsid w:val="00A51D8A"/>
    <w:rsid w:val="00A522DE"/>
    <w:rsid w:val="00A534FE"/>
    <w:rsid w:val="00A553DD"/>
    <w:rsid w:val="00A555F7"/>
    <w:rsid w:val="00A56650"/>
    <w:rsid w:val="00A5759F"/>
    <w:rsid w:val="00A57F51"/>
    <w:rsid w:val="00A6047E"/>
    <w:rsid w:val="00A61EEA"/>
    <w:rsid w:val="00A63325"/>
    <w:rsid w:val="00A63443"/>
    <w:rsid w:val="00A63862"/>
    <w:rsid w:val="00A64596"/>
    <w:rsid w:val="00A64BA5"/>
    <w:rsid w:val="00A654DE"/>
    <w:rsid w:val="00A65C21"/>
    <w:rsid w:val="00A660A2"/>
    <w:rsid w:val="00A67277"/>
    <w:rsid w:val="00A67BA0"/>
    <w:rsid w:val="00A67BE8"/>
    <w:rsid w:val="00A71B3B"/>
    <w:rsid w:val="00A7270A"/>
    <w:rsid w:val="00A73B8F"/>
    <w:rsid w:val="00A73C02"/>
    <w:rsid w:val="00A73D52"/>
    <w:rsid w:val="00A74AF7"/>
    <w:rsid w:val="00A77332"/>
    <w:rsid w:val="00A804D7"/>
    <w:rsid w:val="00A8101B"/>
    <w:rsid w:val="00A81ECE"/>
    <w:rsid w:val="00A82A43"/>
    <w:rsid w:val="00A8344D"/>
    <w:rsid w:val="00A8454B"/>
    <w:rsid w:val="00A8500C"/>
    <w:rsid w:val="00A85B42"/>
    <w:rsid w:val="00A85BBA"/>
    <w:rsid w:val="00A85D99"/>
    <w:rsid w:val="00A86703"/>
    <w:rsid w:val="00A86F1A"/>
    <w:rsid w:val="00A875D5"/>
    <w:rsid w:val="00A87903"/>
    <w:rsid w:val="00A917CB"/>
    <w:rsid w:val="00A927C3"/>
    <w:rsid w:val="00A92878"/>
    <w:rsid w:val="00A93875"/>
    <w:rsid w:val="00A93D5A"/>
    <w:rsid w:val="00A94765"/>
    <w:rsid w:val="00A9527C"/>
    <w:rsid w:val="00A95298"/>
    <w:rsid w:val="00A95358"/>
    <w:rsid w:val="00A95B5F"/>
    <w:rsid w:val="00A95F2C"/>
    <w:rsid w:val="00A963C8"/>
    <w:rsid w:val="00A968B8"/>
    <w:rsid w:val="00A97418"/>
    <w:rsid w:val="00A978E1"/>
    <w:rsid w:val="00AA1A97"/>
    <w:rsid w:val="00AA1B4E"/>
    <w:rsid w:val="00AA3405"/>
    <w:rsid w:val="00AA3954"/>
    <w:rsid w:val="00AA3A3C"/>
    <w:rsid w:val="00AA4D70"/>
    <w:rsid w:val="00AA5E9F"/>
    <w:rsid w:val="00AA60EE"/>
    <w:rsid w:val="00AA6964"/>
    <w:rsid w:val="00AA7DD7"/>
    <w:rsid w:val="00AB0270"/>
    <w:rsid w:val="00AB058D"/>
    <w:rsid w:val="00AB078C"/>
    <w:rsid w:val="00AB19DD"/>
    <w:rsid w:val="00AB1F08"/>
    <w:rsid w:val="00AB1F2F"/>
    <w:rsid w:val="00AB216B"/>
    <w:rsid w:val="00AB2824"/>
    <w:rsid w:val="00AB3289"/>
    <w:rsid w:val="00AB3B0F"/>
    <w:rsid w:val="00AB4602"/>
    <w:rsid w:val="00AB51E4"/>
    <w:rsid w:val="00AB52A0"/>
    <w:rsid w:val="00AB585C"/>
    <w:rsid w:val="00AB593C"/>
    <w:rsid w:val="00AB68D7"/>
    <w:rsid w:val="00AB7203"/>
    <w:rsid w:val="00AB7923"/>
    <w:rsid w:val="00AC00A6"/>
    <w:rsid w:val="00AC0523"/>
    <w:rsid w:val="00AC1272"/>
    <w:rsid w:val="00AC16AC"/>
    <w:rsid w:val="00AC1794"/>
    <w:rsid w:val="00AC1C79"/>
    <w:rsid w:val="00AC4EF0"/>
    <w:rsid w:val="00AC541D"/>
    <w:rsid w:val="00AD12F3"/>
    <w:rsid w:val="00AD1BAF"/>
    <w:rsid w:val="00AD2950"/>
    <w:rsid w:val="00AD2CB7"/>
    <w:rsid w:val="00AD3683"/>
    <w:rsid w:val="00AD524B"/>
    <w:rsid w:val="00AD62E2"/>
    <w:rsid w:val="00AD6CA3"/>
    <w:rsid w:val="00AD7059"/>
    <w:rsid w:val="00AD7455"/>
    <w:rsid w:val="00AE0261"/>
    <w:rsid w:val="00AE0319"/>
    <w:rsid w:val="00AE168E"/>
    <w:rsid w:val="00AE247E"/>
    <w:rsid w:val="00AE28B4"/>
    <w:rsid w:val="00AE3642"/>
    <w:rsid w:val="00AE42F4"/>
    <w:rsid w:val="00AE5AA4"/>
    <w:rsid w:val="00AE5B80"/>
    <w:rsid w:val="00AE5C1F"/>
    <w:rsid w:val="00AE6504"/>
    <w:rsid w:val="00AE7B50"/>
    <w:rsid w:val="00AF0442"/>
    <w:rsid w:val="00AF0597"/>
    <w:rsid w:val="00AF34CD"/>
    <w:rsid w:val="00AF41B0"/>
    <w:rsid w:val="00AF4274"/>
    <w:rsid w:val="00AF4C4F"/>
    <w:rsid w:val="00AF687A"/>
    <w:rsid w:val="00AF7AB4"/>
    <w:rsid w:val="00AFF0F4"/>
    <w:rsid w:val="00B00FD3"/>
    <w:rsid w:val="00B03564"/>
    <w:rsid w:val="00B04603"/>
    <w:rsid w:val="00B05358"/>
    <w:rsid w:val="00B07201"/>
    <w:rsid w:val="00B103D0"/>
    <w:rsid w:val="00B10481"/>
    <w:rsid w:val="00B10C9F"/>
    <w:rsid w:val="00B1173B"/>
    <w:rsid w:val="00B11745"/>
    <w:rsid w:val="00B11E19"/>
    <w:rsid w:val="00B11F99"/>
    <w:rsid w:val="00B1272B"/>
    <w:rsid w:val="00B13D4B"/>
    <w:rsid w:val="00B1419F"/>
    <w:rsid w:val="00B145E9"/>
    <w:rsid w:val="00B150AA"/>
    <w:rsid w:val="00B151ED"/>
    <w:rsid w:val="00B1523B"/>
    <w:rsid w:val="00B15464"/>
    <w:rsid w:val="00B15A12"/>
    <w:rsid w:val="00B16675"/>
    <w:rsid w:val="00B1696F"/>
    <w:rsid w:val="00B174FF"/>
    <w:rsid w:val="00B20F69"/>
    <w:rsid w:val="00B21461"/>
    <w:rsid w:val="00B2180A"/>
    <w:rsid w:val="00B23293"/>
    <w:rsid w:val="00B26497"/>
    <w:rsid w:val="00B309CF"/>
    <w:rsid w:val="00B31FCC"/>
    <w:rsid w:val="00B3226B"/>
    <w:rsid w:val="00B33DA3"/>
    <w:rsid w:val="00B354C9"/>
    <w:rsid w:val="00B369E8"/>
    <w:rsid w:val="00B37AA2"/>
    <w:rsid w:val="00B402B4"/>
    <w:rsid w:val="00B413F5"/>
    <w:rsid w:val="00B41F85"/>
    <w:rsid w:val="00B427BD"/>
    <w:rsid w:val="00B42A7E"/>
    <w:rsid w:val="00B4492A"/>
    <w:rsid w:val="00B45566"/>
    <w:rsid w:val="00B464AF"/>
    <w:rsid w:val="00B46C40"/>
    <w:rsid w:val="00B508D4"/>
    <w:rsid w:val="00B50FB0"/>
    <w:rsid w:val="00B51296"/>
    <w:rsid w:val="00B5202B"/>
    <w:rsid w:val="00B521C3"/>
    <w:rsid w:val="00B53169"/>
    <w:rsid w:val="00B53207"/>
    <w:rsid w:val="00B53ECC"/>
    <w:rsid w:val="00B53EDF"/>
    <w:rsid w:val="00B54329"/>
    <w:rsid w:val="00B556AE"/>
    <w:rsid w:val="00B56ECC"/>
    <w:rsid w:val="00B57726"/>
    <w:rsid w:val="00B60ABF"/>
    <w:rsid w:val="00B61503"/>
    <w:rsid w:val="00B61881"/>
    <w:rsid w:val="00B619FD"/>
    <w:rsid w:val="00B646F2"/>
    <w:rsid w:val="00B6491B"/>
    <w:rsid w:val="00B649AA"/>
    <w:rsid w:val="00B65750"/>
    <w:rsid w:val="00B65CBE"/>
    <w:rsid w:val="00B67306"/>
    <w:rsid w:val="00B6761B"/>
    <w:rsid w:val="00B67E47"/>
    <w:rsid w:val="00B700B3"/>
    <w:rsid w:val="00B7133C"/>
    <w:rsid w:val="00B71D0C"/>
    <w:rsid w:val="00B7202F"/>
    <w:rsid w:val="00B726EC"/>
    <w:rsid w:val="00B744E0"/>
    <w:rsid w:val="00B74B37"/>
    <w:rsid w:val="00B75092"/>
    <w:rsid w:val="00B760DA"/>
    <w:rsid w:val="00B765CA"/>
    <w:rsid w:val="00B77B08"/>
    <w:rsid w:val="00B8058F"/>
    <w:rsid w:val="00B80749"/>
    <w:rsid w:val="00B80760"/>
    <w:rsid w:val="00B807D9"/>
    <w:rsid w:val="00B80B4F"/>
    <w:rsid w:val="00B80DD3"/>
    <w:rsid w:val="00B814E1"/>
    <w:rsid w:val="00B81F98"/>
    <w:rsid w:val="00B82980"/>
    <w:rsid w:val="00B83DF5"/>
    <w:rsid w:val="00B84223"/>
    <w:rsid w:val="00B84C5D"/>
    <w:rsid w:val="00B84DA0"/>
    <w:rsid w:val="00B85F30"/>
    <w:rsid w:val="00B86198"/>
    <w:rsid w:val="00B86A31"/>
    <w:rsid w:val="00B86F69"/>
    <w:rsid w:val="00B87795"/>
    <w:rsid w:val="00B879A6"/>
    <w:rsid w:val="00B905A1"/>
    <w:rsid w:val="00B91145"/>
    <w:rsid w:val="00B91236"/>
    <w:rsid w:val="00B91307"/>
    <w:rsid w:val="00B91ABE"/>
    <w:rsid w:val="00B92C60"/>
    <w:rsid w:val="00B94CD8"/>
    <w:rsid w:val="00B962F2"/>
    <w:rsid w:val="00B97248"/>
    <w:rsid w:val="00B97A4D"/>
    <w:rsid w:val="00B97E70"/>
    <w:rsid w:val="00B97F8F"/>
    <w:rsid w:val="00BA16D1"/>
    <w:rsid w:val="00BA2DDF"/>
    <w:rsid w:val="00BA5407"/>
    <w:rsid w:val="00BA562A"/>
    <w:rsid w:val="00BA59E4"/>
    <w:rsid w:val="00BA62E1"/>
    <w:rsid w:val="00BA6668"/>
    <w:rsid w:val="00BA6B98"/>
    <w:rsid w:val="00BB060E"/>
    <w:rsid w:val="00BB1716"/>
    <w:rsid w:val="00BB356C"/>
    <w:rsid w:val="00BB4161"/>
    <w:rsid w:val="00BB510A"/>
    <w:rsid w:val="00BB519C"/>
    <w:rsid w:val="00BB5E13"/>
    <w:rsid w:val="00BB65C9"/>
    <w:rsid w:val="00BB65D3"/>
    <w:rsid w:val="00BB6DC5"/>
    <w:rsid w:val="00BB7528"/>
    <w:rsid w:val="00BB7B3A"/>
    <w:rsid w:val="00BB7FB5"/>
    <w:rsid w:val="00BC299F"/>
    <w:rsid w:val="00BC2C90"/>
    <w:rsid w:val="00BC2D4C"/>
    <w:rsid w:val="00BC3893"/>
    <w:rsid w:val="00BC38F1"/>
    <w:rsid w:val="00BC3DE4"/>
    <w:rsid w:val="00BC584F"/>
    <w:rsid w:val="00BC5E15"/>
    <w:rsid w:val="00BC61FE"/>
    <w:rsid w:val="00BC6279"/>
    <w:rsid w:val="00BC7A9E"/>
    <w:rsid w:val="00BD063E"/>
    <w:rsid w:val="00BD1702"/>
    <w:rsid w:val="00BD17B0"/>
    <w:rsid w:val="00BD24B5"/>
    <w:rsid w:val="00BD2C00"/>
    <w:rsid w:val="00BD417B"/>
    <w:rsid w:val="00BD462B"/>
    <w:rsid w:val="00BD46D3"/>
    <w:rsid w:val="00BD54B1"/>
    <w:rsid w:val="00BD61AC"/>
    <w:rsid w:val="00BE08B5"/>
    <w:rsid w:val="00BE0B1B"/>
    <w:rsid w:val="00BE1485"/>
    <w:rsid w:val="00BE26C8"/>
    <w:rsid w:val="00BE27B6"/>
    <w:rsid w:val="00BE312C"/>
    <w:rsid w:val="00BE3B60"/>
    <w:rsid w:val="00BE4C73"/>
    <w:rsid w:val="00BE52F4"/>
    <w:rsid w:val="00BE56E6"/>
    <w:rsid w:val="00BE628F"/>
    <w:rsid w:val="00BE764B"/>
    <w:rsid w:val="00BE78FC"/>
    <w:rsid w:val="00BE7F7E"/>
    <w:rsid w:val="00BF0773"/>
    <w:rsid w:val="00BF07E1"/>
    <w:rsid w:val="00BF17FE"/>
    <w:rsid w:val="00BF2D82"/>
    <w:rsid w:val="00BF30B3"/>
    <w:rsid w:val="00BF350B"/>
    <w:rsid w:val="00BF3AA7"/>
    <w:rsid w:val="00BF415D"/>
    <w:rsid w:val="00BF4417"/>
    <w:rsid w:val="00BF4472"/>
    <w:rsid w:val="00BF52FF"/>
    <w:rsid w:val="00BF5345"/>
    <w:rsid w:val="00BF5A07"/>
    <w:rsid w:val="00BF7A78"/>
    <w:rsid w:val="00C0105C"/>
    <w:rsid w:val="00C01D25"/>
    <w:rsid w:val="00C0361E"/>
    <w:rsid w:val="00C039B5"/>
    <w:rsid w:val="00C07974"/>
    <w:rsid w:val="00C079F5"/>
    <w:rsid w:val="00C10B9E"/>
    <w:rsid w:val="00C10DB8"/>
    <w:rsid w:val="00C10E25"/>
    <w:rsid w:val="00C11E2F"/>
    <w:rsid w:val="00C12D5B"/>
    <w:rsid w:val="00C130A8"/>
    <w:rsid w:val="00C13E17"/>
    <w:rsid w:val="00C14FF7"/>
    <w:rsid w:val="00C16795"/>
    <w:rsid w:val="00C17130"/>
    <w:rsid w:val="00C172A3"/>
    <w:rsid w:val="00C174CC"/>
    <w:rsid w:val="00C1774F"/>
    <w:rsid w:val="00C17BA9"/>
    <w:rsid w:val="00C20185"/>
    <w:rsid w:val="00C216AE"/>
    <w:rsid w:val="00C21D7F"/>
    <w:rsid w:val="00C2257F"/>
    <w:rsid w:val="00C23DB2"/>
    <w:rsid w:val="00C2400A"/>
    <w:rsid w:val="00C263E5"/>
    <w:rsid w:val="00C27A10"/>
    <w:rsid w:val="00C27C29"/>
    <w:rsid w:val="00C30787"/>
    <w:rsid w:val="00C31348"/>
    <w:rsid w:val="00C31606"/>
    <w:rsid w:val="00C3182F"/>
    <w:rsid w:val="00C32014"/>
    <w:rsid w:val="00C3305A"/>
    <w:rsid w:val="00C332BE"/>
    <w:rsid w:val="00C33A0C"/>
    <w:rsid w:val="00C34891"/>
    <w:rsid w:val="00C34940"/>
    <w:rsid w:val="00C35D90"/>
    <w:rsid w:val="00C36D18"/>
    <w:rsid w:val="00C37854"/>
    <w:rsid w:val="00C4173A"/>
    <w:rsid w:val="00C43633"/>
    <w:rsid w:val="00C43F8E"/>
    <w:rsid w:val="00C442E2"/>
    <w:rsid w:val="00C4459B"/>
    <w:rsid w:val="00C4502E"/>
    <w:rsid w:val="00C45F3F"/>
    <w:rsid w:val="00C4669F"/>
    <w:rsid w:val="00C50159"/>
    <w:rsid w:val="00C5028D"/>
    <w:rsid w:val="00C52713"/>
    <w:rsid w:val="00C5403C"/>
    <w:rsid w:val="00C56230"/>
    <w:rsid w:val="00C56F9D"/>
    <w:rsid w:val="00C577F1"/>
    <w:rsid w:val="00C57E02"/>
    <w:rsid w:val="00C60D25"/>
    <w:rsid w:val="00C60D74"/>
    <w:rsid w:val="00C611EE"/>
    <w:rsid w:val="00C61646"/>
    <w:rsid w:val="00C61831"/>
    <w:rsid w:val="00C627BC"/>
    <w:rsid w:val="00C62B89"/>
    <w:rsid w:val="00C62BB1"/>
    <w:rsid w:val="00C63448"/>
    <w:rsid w:val="00C63BA8"/>
    <w:rsid w:val="00C64CB6"/>
    <w:rsid w:val="00C6667C"/>
    <w:rsid w:val="00C67744"/>
    <w:rsid w:val="00C67773"/>
    <w:rsid w:val="00C6785C"/>
    <w:rsid w:val="00C712FA"/>
    <w:rsid w:val="00C71383"/>
    <w:rsid w:val="00C71412"/>
    <w:rsid w:val="00C716C5"/>
    <w:rsid w:val="00C716E4"/>
    <w:rsid w:val="00C71BEF"/>
    <w:rsid w:val="00C71C73"/>
    <w:rsid w:val="00C71CBC"/>
    <w:rsid w:val="00C71D80"/>
    <w:rsid w:val="00C72483"/>
    <w:rsid w:val="00C73D43"/>
    <w:rsid w:val="00C73D75"/>
    <w:rsid w:val="00C74150"/>
    <w:rsid w:val="00C75D1D"/>
    <w:rsid w:val="00C75FEF"/>
    <w:rsid w:val="00C763BC"/>
    <w:rsid w:val="00C767A4"/>
    <w:rsid w:val="00C77B9C"/>
    <w:rsid w:val="00C80063"/>
    <w:rsid w:val="00C809E5"/>
    <w:rsid w:val="00C82821"/>
    <w:rsid w:val="00C830EA"/>
    <w:rsid w:val="00C837E8"/>
    <w:rsid w:val="00C8476B"/>
    <w:rsid w:val="00C85462"/>
    <w:rsid w:val="00C85C88"/>
    <w:rsid w:val="00C86285"/>
    <w:rsid w:val="00C8632B"/>
    <w:rsid w:val="00C90401"/>
    <w:rsid w:val="00C91423"/>
    <w:rsid w:val="00C92905"/>
    <w:rsid w:val="00C92C65"/>
    <w:rsid w:val="00C93802"/>
    <w:rsid w:val="00C939D7"/>
    <w:rsid w:val="00C93F3B"/>
    <w:rsid w:val="00C94522"/>
    <w:rsid w:val="00C945DB"/>
    <w:rsid w:val="00C94A11"/>
    <w:rsid w:val="00C94D81"/>
    <w:rsid w:val="00C94F7C"/>
    <w:rsid w:val="00C95596"/>
    <w:rsid w:val="00C95B8E"/>
    <w:rsid w:val="00C95E34"/>
    <w:rsid w:val="00C96284"/>
    <w:rsid w:val="00C9718E"/>
    <w:rsid w:val="00C97A4B"/>
    <w:rsid w:val="00CA02A4"/>
    <w:rsid w:val="00CA092E"/>
    <w:rsid w:val="00CA14D2"/>
    <w:rsid w:val="00CA1E6F"/>
    <w:rsid w:val="00CA236F"/>
    <w:rsid w:val="00CA262D"/>
    <w:rsid w:val="00CA32B5"/>
    <w:rsid w:val="00CA33D5"/>
    <w:rsid w:val="00CA350C"/>
    <w:rsid w:val="00CA45F6"/>
    <w:rsid w:val="00CA4EF8"/>
    <w:rsid w:val="00CA525F"/>
    <w:rsid w:val="00CA57BE"/>
    <w:rsid w:val="00CA593D"/>
    <w:rsid w:val="00CA5A32"/>
    <w:rsid w:val="00CA6285"/>
    <w:rsid w:val="00CA632E"/>
    <w:rsid w:val="00CA6472"/>
    <w:rsid w:val="00CA667F"/>
    <w:rsid w:val="00CA6E0F"/>
    <w:rsid w:val="00CA70FA"/>
    <w:rsid w:val="00CA7936"/>
    <w:rsid w:val="00CB0116"/>
    <w:rsid w:val="00CB0172"/>
    <w:rsid w:val="00CB09AD"/>
    <w:rsid w:val="00CB0C13"/>
    <w:rsid w:val="00CB13D4"/>
    <w:rsid w:val="00CB44BE"/>
    <w:rsid w:val="00CB49E1"/>
    <w:rsid w:val="00CB4EE1"/>
    <w:rsid w:val="00CB69C7"/>
    <w:rsid w:val="00CB6A46"/>
    <w:rsid w:val="00CB6B54"/>
    <w:rsid w:val="00CB6B7E"/>
    <w:rsid w:val="00CB7F74"/>
    <w:rsid w:val="00CC0D80"/>
    <w:rsid w:val="00CC26F6"/>
    <w:rsid w:val="00CC2B12"/>
    <w:rsid w:val="00CC30AD"/>
    <w:rsid w:val="00CC364C"/>
    <w:rsid w:val="00CC374D"/>
    <w:rsid w:val="00CC4E1E"/>
    <w:rsid w:val="00CC5AB3"/>
    <w:rsid w:val="00CC5BA4"/>
    <w:rsid w:val="00CC5EC0"/>
    <w:rsid w:val="00CC6CD8"/>
    <w:rsid w:val="00CC773A"/>
    <w:rsid w:val="00CC7E99"/>
    <w:rsid w:val="00CD119B"/>
    <w:rsid w:val="00CD12FD"/>
    <w:rsid w:val="00CD250F"/>
    <w:rsid w:val="00CD33D0"/>
    <w:rsid w:val="00CD6747"/>
    <w:rsid w:val="00CE1A1A"/>
    <w:rsid w:val="00CE1A98"/>
    <w:rsid w:val="00CE1BB3"/>
    <w:rsid w:val="00CE2629"/>
    <w:rsid w:val="00CE2EB6"/>
    <w:rsid w:val="00CE39F9"/>
    <w:rsid w:val="00CE5850"/>
    <w:rsid w:val="00CE5991"/>
    <w:rsid w:val="00CE7620"/>
    <w:rsid w:val="00CE78F6"/>
    <w:rsid w:val="00CF007E"/>
    <w:rsid w:val="00CF02F9"/>
    <w:rsid w:val="00CF08D7"/>
    <w:rsid w:val="00CF0A38"/>
    <w:rsid w:val="00CF1192"/>
    <w:rsid w:val="00CF1B4E"/>
    <w:rsid w:val="00CF2FA6"/>
    <w:rsid w:val="00CF309D"/>
    <w:rsid w:val="00CF3F7F"/>
    <w:rsid w:val="00CF4054"/>
    <w:rsid w:val="00CF4932"/>
    <w:rsid w:val="00CF4F2C"/>
    <w:rsid w:val="00CF5C0F"/>
    <w:rsid w:val="00D01806"/>
    <w:rsid w:val="00D01B3D"/>
    <w:rsid w:val="00D024BB"/>
    <w:rsid w:val="00D03125"/>
    <w:rsid w:val="00D043D7"/>
    <w:rsid w:val="00D04F6A"/>
    <w:rsid w:val="00D05C9B"/>
    <w:rsid w:val="00D10630"/>
    <w:rsid w:val="00D11711"/>
    <w:rsid w:val="00D1178E"/>
    <w:rsid w:val="00D129B8"/>
    <w:rsid w:val="00D13979"/>
    <w:rsid w:val="00D143E2"/>
    <w:rsid w:val="00D14B2B"/>
    <w:rsid w:val="00D15054"/>
    <w:rsid w:val="00D155BA"/>
    <w:rsid w:val="00D16137"/>
    <w:rsid w:val="00D17FB7"/>
    <w:rsid w:val="00D206C4"/>
    <w:rsid w:val="00D21591"/>
    <w:rsid w:val="00D217F8"/>
    <w:rsid w:val="00D2198A"/>
    <w:rsid w:val="00D225DB"/>
    <w:rsid w:val="00D23580"/>
    <w:rsid w:val="00D239C3"/>
    <w:rsid w:val="00D24220"/>
    <w:rsid w:val="00D250B1"/>
    <w:rsid w:val="00D2568E"/>
    <w:rsid w:val="00D25A92"/>
    <w:rsid w:val="00D26529"/>
    <w:rsid w:val="00D26DD0"/>
    <w:rsid w:val="00D27115"/>
    <w:rsid w:val="00D27BFF"/>
    <w:rsid w:val="00D3237C"/>
    <w:rsid w:val="00D33109"/>
    <w:rsid w:val="00D33721"/>
    <w:rsid w:val="00D33E4D"/>
    <w:rsid w:val="00D344C7"/>
    <w:rsid w:val="00D34E62"/>
    <w:rsid w:val="00D3558E"/>
    <w:rsid w:val="00D35A71"/>
    <w:rsid w:val="00D360C6"/>
    <w:rsid w:val="00D37718"/>
    <w:rsid w:val="00D37C34"/>
    <w:rsid w:val="00D400FD"/>
    <w:rsid w:val="00D40A87"/>
    <w:rsid w:val="00D40C45"/>
    <w:rsid w:val="00D4133F"/>
    <w:rsid w:val="00D41778"/>
    <w:rsid w:val="00D42423"/>
    <w:rsid w:val="00D42ED1"/>
    <w:rsid w:val="00D43255"/>
    <w:rsid w:val="00D432B2"/>
    <w:rsid w:val="00D46541"/>
    <w:rsid w:val="00D50056"/>
    <w:rsid w:val="00D5034F"/>
    <w:rsid w:val="00D50494"/>
    <w:rsid w:val="00D5188D"/>
    <w:rsid w:val="00D51D17"/>
    <w:rsid w:val="00D526DC"/>
    <w:rsid w:val="00D52C71"/>
    <w:rsid w:val="00D53D13"/>
    <w:rsid w:val="00D5551B"/>
    <w:rsid w:val="00D5626A"/>
    <w:rsid w:val="00D568CD"/>
    <w:rsid w:val="00D56DC4"/>
    <w:rsid w:val="00D5733D"/>
    <w:rsid w:val="00D57F13"/>
    <w:rsid w:val="00D61D62"/>
    <w:rsid w:val="00D6228A"/>
    <w:rsid w:val="00D6296A"/>
    <w:rsid w:val="00D6339D"/>
    <w:rsid w:val="00D639DC"/>
    <w:rsid w:val="00D66302"/>
    <w:rsid w:val="00D666BD"/>
    <w:rsid w:val="00D66E56"/>
    <w:rsid w:val="00D67CD6"/>
    <w:rsid w:val="00D71D6E"/>
    <w:rsid w:val="00D72DC1"/>
    <w:rsid w:val="00D730F4"/>
    <w:rsid w:val="00D74762"/>
    <w:rsid w:val="00D74907"/>
    <w:rsid w:val="00D7605B"/>
    <w:rsid w:val="00D7653B"/>
    <w:rsid w:val="00D7694D"/>
    <w:rsid w:val="00D76C2A"/>
    <w:rsid w:val="00D77378"/>
    <w:rsid w:val="00D7770E"/>
    <w:rsid w:val="00D80AA1"/>
    <w:rsid w:val="00D81DBF"/>
    <w:rsid w:val="00D828FA"/>
    <w:rsid w:val="00D83FDE"/>
    <w:rsid w:val="00D84720"/>
    <w:rsid w:val="00D849B8"/>
    <w:rsid w:val="00D84BFE"/>
    <w:rsid w:val="00D85445"/>
    <w:rsid w:val="00D85906"/>
    <w:rsid w:val="00D86119"/>
    <w:rsid w:val="00D87F39"/>
    <w:rsid w:val="00D92616"/>
    <w:rsid w:val="00D92665"/>
    <w:rsid w:val="00D92848"/>
    <w:rsid w:val="00D929A9"/>
    <w:rsid w:val="00D93186"/>
    <w:rsid w:val="00D9388B"/>
    <w:rsid w:val="00D93D47"/>
    <w:rsid w:val="00D9406B"/>
    <w:rsid w:val="00D951FE"/>
    <w:rsid w:val="00D97BC1"/>
    <w:rsid w:val="00DA00BB"/>
    <w:rsid w:val="00DA1A63"/>
    <w:rsid w:val="00DA23B2"/>
    <w:rsid w:val="00DA4343"/>
    <w:rsid w:val="00DA5181"/>
    <w:rsid w:val="00DA5895"/>
    <w:rsid w:val="00DA59A7"/>
    <w:rsid w:val="00DA64BA"/>
    <w:rsid w:val="00DA6CDE"/>
    <w:rsid w:val="00DA70A3"/>
    <w:rsid w:val="00DA7A59"/>
    <w:rsid w:val="00DA7C66"/>
    <w:rsid w:val="00DB043C"/>
    <w:rsid w:val="00DB056A"/>
    <w:rsid w:val="00DB0859"/>
    <w:rsid w:val="00DB0A2D"/>
    <w:rsid w:val="00DB0ACE"/>
    <w:rsid w:val="00DB2334"/>
    <w:rsid w:val="00DB34B6"/>
    <w:rsid w:val="00DB3A52"/>
    <w:rsid w:val="00DB5007"/>
    <w:rsid w:val="00DB53D7"/>
    <w:rsid w:val="00DB565F"/>
    <w:rsid w:val="00DB5B27"/>
    <w:rsid w:val="00DB6C37"/>
    <w:rsid w:val="00DB6C45"/>
    <w:rsid w:val="00DC1464"/>
    <w:rsid w:val="00DC16DE"/>
    <w:rsid w:val="00DC238D"/>
    <w:rsid w:val="00DC23BF"/>
    <w:rsid w:val="00DC2AD6"/>
    <w:rsid w:val="00DC2E71"/>
    <w:rsid w:val="00DC32FE"/>
    <w:rsid w:val="00DC3694"/>
    <w:rsid w:val="00DC4A43"/>
    <w:rsid w:val="00DC4D79"/>
    <w:rsid w:val="00DC4EE9"/>
    <w:rsid w:val="00DC4F64"/>
    <w:rsid w:val="00DC767E"/>
    <w:rsid w:val="00DC7DEA"/>
    <w:rsid w:val="00DD03CD"/>
    <w:rsid w:val="00DD09D3"/>
    <w:rsid w:val="00DD108E"/>
    <w:rsid w:val="00DD1C04"/>
    <w:rsid w:val="00DD3F34"/>
    <w:rsid w:val="00DD4905"/>
    <w:rsid w:val="00DD4EE4"/>
    <w:rsid w:val="00DD5ACF"/>
    <w:rsid w:val="00DD7536"/>
    <w:rsid w:val="00DD75D4"/>
    <w:rsid w:val="00DE03B1"/>
    <w:rsid w:val="00DE0C96"/>
    <w:rsid w:val="00DE0D50"/>
    <w:rsid w:val="00DE161C"/>
    <w:rsid w:val="00DE1C15"/>
    <w:rsid w:val="00DE2444"/>
    <w:rsid w:val="00DE262B"/>
    <w:rsid w:val="00DE29EA"/>
    <w:rsid w:val="00DE48FE"/>
    <w:rsid w:val="00DE569D"/>
    <w:rsid w:val="00DE5E20"/>
    <w:rsid w:val="00DE6537"/>
    <w:rsid w:val="00DE7135"/>
    <w:rsid w:val="00DE719F"/>
    <w:rsid w:val="00DE7F7B"/>
    <w:rsid w:val="00DF0592"/>
    <w:rsid w:val="00DF16F1"/>
    <w:rsid w:val="00DF19B9"/>
    <w:rsid w:val="00DF2566"/>
    <w:rsid w:val="00DF30A3"/>
    <w:rsid w:val="00DF355D"/>
    <w:rsid w:val="00DF47D6"/>
    <w:rsid w:val="00DF481F"/>
    <w:rsid w:val="00DF4FA5"/>
    <w:rsid w:val="00DF5BF1"/>
    <w:rsid w:val="00DF64EF"/>
    <w:rsid w:val="00E00F85"/>
    <w:rsid w:val="00E01F30"/>
    <w:rsid w:val="00E027AC"/>
    <w:rsid w:val="00E02A17"/>
    <w:rsid w:val="00E0306D"/>
    <w:rsid w:val="00E031AA"/>
    <w:rsid w:val="00E042FE"/>
    <w:rsid w:val="00E04740"/>
    <w:rsid w:val="00E0555A"/>
    <w:rsid w:val="00E05868"/>
    <w:rsid w:val="00E0628E"/>
    <w:rsid w:val="00E063C5"/>
    <w:rsid w:val="00E06808"/>
    <w:rsid w:val="00E06960"/>
    <w:rsid w:val="00E11030"/>
    <w:rsid w:val="00E111CC"/>
    <w:rsid w:val="00E1270F"/>
    <w:rsid w:val="00E135A2"/>
    <w:rsid w:val="00E13EBF"/>
    <w:rsid w:val="00E14A57"/>
    <w:rsid w:val="00E14DCB"/>
    <w:rsid w:val="00E15324"/>
    <w:rsid w:val="00E1561D"/>
    <w:rsid w:val="00E17A96"/>
    <w:rsid w:val="00E20598"/>
    <w:rsid w:val="00E209D4"/>
    <w:rsid w:val="00E233A1"/>
    <w:rsid w:val="00E25283"/>
    <w:rsid w:val="00E26523"/>
    <w:rsid w:val="00E266FE"/>
    <w:rsid w:val="00E26EA5"/>
    <w:rsid w:val="00E27371"/>
    <w:rsid w:val="00E2783C"/>
    <w:rsid w:val="00E27E94"/>
    <w:rsid w:val="00E27E9C"/>
    <w:rsid w:val="00E27FD3"/>
    <w:rsid w:val="00E27FD7"/>
    <w:rsid w:val="00E30A91"/>
    <w:rsid w:val="00E31F83"/>
    <w:rsid w:val="00E326F7"/>
    <w:rsid w:val="00E32F9C"/>
    <w:rsid w:val="00E3331F"/>
    <w:rsid w:val="00E33E96"/>
    <w:rsid w:val="00E35490"/>
    <w:rsid w:val="00E35B68"/>
    <w:rsid w:val="00E35CAC"/>
    <w:rsid w:val="00E3759B"/>
    <w:rsid w:val="00E377B3"/>
    <w:rsid w:val="00E42F10"/>
    <w:rsid w:val="00E43172"/>
    <w:rsid w:val="00E43DD1"/>
    <w:rsid w:val="00E4426E"/>
    <w:rsid w:val="00E445EB"/>
    <w:rsid w:val="00E446F9"/>
    <w:rsid w:val="00E456DD"/>
    <w:rsid w:val="00E4706C"/>
    <w:rsid w:val="00E50B9A"/>
    <w:rsid w:val="00E50FAA"/>
    <w:rsid w:val="00E516AB"/>
    <w:rsid w:val="00E529C9"/>
    <w:rsid w:val="00E52D18"/>
    <w:rsid w:val="00E52FC4"/>
    <w:rsid w:val="00E54172"/>
    <w:rsid w:val="00E55DB9"/>
    <w:rsid w:val="00E56C9A"/>
    <w:rsid w:val="00E56F6D"/>
    <w:rsid w:val="00E6051B"/>
    <w:rsid w:val="00E60732"/>
    <w:rsid w:val="00E61D02"/>
    <w:rsid w:val="00E62403"/>
    <w:rsid w:val="00E62FDC"/>
    <w:rsid w:val="00E645F4"/>
    <w:rsid w:val="00E65AE3"/>
    <w:rsid w:val="00E66C72"/>
    <w:rsid w:val="00E6756A"/>
    <w:rsid w:val="00E70857"/>
    <w:rsid w:val="00E70895"/>
    <w:rsid w:val="00E70F95"/>
    <w:rsid w:val="00E72F2C"/>
    <w:rsid w:val="00E73329"/>
    <w:rsid w:val="00E73F9B"/>
    <w:rsid w:val="00E74957"/>
    <w:rsid w:val="00E74CCE"/>
    <w:rsid w:val="00E750D5"/>
    <w:rsid w:val="00E757B4"/>
    <w:rsid w:val="00E757CC"/>
    <w:rsid w:val="00E76C93"/>
    <w:rsid w:val="00E76DD3"/>
    <w:rsid w:val="00E77EB9"/>
    <w:rsid w:val="00E801EC"/>
    <w:rsid w:val="00E80623"/>
    <w:rsid w:val="00E80BD0"/>
    <w:rsid w:val="00E812DB"/>
    <w:rsid w:val="00E81A03"/>
    <w:rsid w:val="00E81DA9"/>
    <w:rsid w:val="00E82252"/>
    <w:rsid w:val="00E82442"/>
    <w:rsid w:val="00E826F3"/>
    <w:rsid w:val="00E82A8E"/>
    <w:rsid w:val="00E82F6D"/>
    <w:rsid w:val="00E8346E"/>
    <w:rsid w:val="00E84107"/>
    <w:rsid w:val="00E862A0"/>
    <w:rsid w:val="00E865E8"/>
    <w:rsid w:val="00E86CC0"/>
    <w:rsid w:val="00E90862"/>
    <w:rsid w:val="00E90CB3"/>
    <w:rsid w:val="00E91BA3"/>
    <w:rsid w:val="00E9377D"/>
    <w:rsid w:val="00E93C70"/>
    <w:rsid w:val="00E93ED1"/>
    <w:rsid w:val="00E9550D"/>
    <w:rsid w:val="00E965FE"/>
    <w:rsid w:val="00E97C1D"/>
    <w:rsid w:val="00E97F91"/>
    <w:rsid w:val="00EA00B8"/>
    <w:rsid w:val="00EA0262"/>
    <w:rsid w:val="00EA0375"/>
    <w:rsid w:val="00EA0747"/>
    <w:rsid w:val="00EA1E6D"/>
    <w:rsid w:val="00EA22F2"/>
    <w:rsid w:val="00EA39AB"/>
    <w:rsid w:val="00EA3FA3"/>
    <w:rsid w:val="00EA4A80"/>
    <w:rsid w:val="00EA5AD6"/>
    <w:rsid w:val="00EA659F"/>
    <w:rsid w:val="00EA6E79"/>
    <w:rsid w:val="00EA72CA"/>
    <w:rsid w:val="00EB16F6"/>
    <w:rsid w:val="00EB1D85"/>
    <w:rsid w:val="00EB1E7A"/>
    <w:rsid w:val="00EB3582"/>
    <w:rsid w:val="00EB4169"/>
    <w:rsid w:val="00EB47D8"/>
    <w:rsid w:val="00EB5003"/>
    <w:rsid w:val="00EB592C"/>
    <w:rsid w:val="00EB5B48"/>
    <w:rsid w:val="00EB5CA1"/>
    <w:rsid w:val="00EB6CEB"/>
    <w:rsid w:val="00EB6F5C"/>
    <w:rsid w:val="00EC0E24"/>
    <w:rsid w:val="00EC234B"/>
    <w:rsid w:val="00EC4AF9"/>
    <w:rsid w:val="00EC4B59"/>
    <w:rsid w:val="00EC5590"/>
    <w:rsid w:val="00EC5881"/>
    <w:rsid w:val="00EC61E3"/>
    <w:rsid w:val="00EC6588"/>
    <w:rsid w:val="00ED06B6"/>
    <w:rsid w:val="00ED0AAA"/>
    <w:rsid w:val="00ED10F1"/>
    <w:rsid w:val="00ED12B7"/>
    <w:rsid w:val="00ED1EBA"/>
    <w:rsid w:val="00ED218B"/>
    <w:rsid w:val="00ED2D74"/>
    <w:rsid w:val="00ED43EE"/>
    <w:rsid w:val="00ED49C1"/>
    <w:rsid w:val="00ED4F15"/>
    <w:rsid w:val="00ED6FCF"/>
    <w:rsid w:val="00ED70AE"/>
    <w:rsid w:val="00ED729C"/>
    <w:rsid w:val="00EE013B"/>
    <w:rsid w:val="00EE176F"/>
    <w:rsid w:val="00EE1FAB"/>
    <w:rsid w:val="00EE2500"/>
    <w:rsid w:val="00EE2BB6"/>
    <w:rsid w:val="00EE333E"/>
    <w:rsid w:val="00EE33AF"/>
    <w:rsid w:val="00EE48A3"/>
    <w:rsid w:val="00EE5AD0"/>
    <w:rsid w:val="00EE6299"/>
    <w:rsid w:val="00EE63E1"/>
    <w:rsid w:val="00EE7510"/>
    <w:rsid w:val="00EE7D18"/>
    <w:rsid w:val="00EF01C9"/>
    <w:rsid w:val="00EF096C"/>
    <w:rsid w:val="00EF0EDB"/>
    <w:rsid w:val="00EF20D4"/>
    <w:rsid w:val="00EF21AB"/>
    <w:rsid w:val="00EF363B"/>
    <w:rsid w:val="00EF43EC"/>
    <w:rsid w:val="00EF51D8"/>
    <w:rsid w:val="00EF55CD"/>
    <w:rsid w:val="00EF5A60"/>
    <w:rsid w:val="00EF7021"/>
    <w:rsid w:val="00EF7408"/>
    <w:rsid w:val="00EF764B"/>
    <w:rsid w:val="00EF779E"/>
    <w:rsid w:val="00F00433"/>
    <w:rsid w:val="00F01332"/>
    <w:rsid w:val="00F01E96"/>
    <w:rsid w:val="00F0442F"/>
    <w:rsid w:val="00F0513B"/>
    <w:rsid w:val="00F05772"/>
    <w:rsid w:val="00F06675"/>
    <w:rsid w:val="00F06B27"/>
    <w:rsid w:val="00F06FA0"/>
    <w:rsid w:val="00F103D6"/>
    <w:rsid w:val="00F10575"/>
    <w:rsid w:val="00F10FC6"/>
    <w:rsid w:val="00F110B8"/>
    <w:rsid w:val="00F116E4"/>
    <w:rsid w:val="00F1192B"/>
    <w:rsid w:val="00F13329"/>
    <w:rsid w:val="00F135C0"/>
    <w:rsid w:val="00F1371E"/>
    <w:rsid w:val="00F14456"/>
    <w:rsid w:val="00F1485B"/>
    <w:rsid w:val="00F152DB"/>
    <w:rsid w:val="00F15316"/>
    <w:rsid w:val="00F15957"/>
    <w:rsid w:val="00F17BA7"/>
    <w:rsid w:val="00F20B3C"/>
    <w:rsid w:val="00F2118D"/>
    <w:rsid w:val="00F21525"/>
    <w:rsid w:val="00F21790"/>
    <w:rsid w:val="00F21D10"/>
    <w:rsid w:val="00F22F31"/>
    <w:rsid w:val="00F235D8"/>
    <w:rsid w:val="00F238C0"/>
    <w:rsid w:val="00F25569"/>
    <w:rsid w:val="00F25A65"/>
    <w:rsid w:val="00F266A6"/>
    <w:rsid w:val="00F26772"/>
    <w:rsid w:val="00F30C96"/>
    <w:rsid w:val="00F30DD6"/>
    <w:rsid w:val="00F31402"/>
    <w:rsid w:val="00F31820"/>
    <w:rsid w:val="00F33637"/>
    <w:rsid w:val="00F33D00"/>
    <w:rsid w:val="00F340BB"/>
    <w:rsid w:val="00F347AA"/>
    <w:rsid w:val="00F35593"/>
    <w:rsid w:val="00F407BD"/>
    <w:rsid w:val="00F40E2F"/>
    <w:rsid w:val="00F41E7E"/>
    <w:rsid w:val="00F42495"/>
    <w:rsid w:val="00F42DC5"/>
    <w:rsid w:val="00F43B29"/>
    <w:rsid w:val="00F43E47"/>
    <w:rsid w:val="00F44498"/>
    <w:rsid w:val="00F4575B"/>
    <w:rsid w:val="00F46CC5"/>
    <w:rsid w:val="00F4720D"/>
    <w:rsid w:val="00F4777C"/>
    <w:rsid w:val="00F50AF9"/>
    <w:rsid w:val="00F50E85"/>
    <w:rsid w:val="00F50F7F"/>
    <w:rsid w:val="00F5135E"/>
    <w:rsid w:val="00F514F1"/>
    <w:rsid w:val="00F51882"/>
    <w:rsid w:val="00F520A9"/>
    <w:rsid w:val="00F524F3"/>
    <w:rsid w:val="00F5369D"/>
    <w:rsid w:val="00F53B3A"/>
    <w:rsid w:val="00F53E1B"/>
    <w:rsid w:val="00F549B7"/>
    <w:rsid w:val="00F55C3F"/>
    <w:rsid w:val="00F55EA6"/>
    <w:rsid w:val="00F55FC4"/>
    <w:rsid w:val="00F56101"/>
    <w:rsid w:val="00F566C8"/>
    <w:rsid w:val="00F56753"/>
    <w:rsid w:val="00F56A0E"/>
    <w:rsid w:val="00F56AD1"/>
    <w:rsid w:val="00F5736C"/>
    <w:rsid w:val="00F57B1D"/>
    <w:rsid w:val="00F57E7E"/>
    <w:rsid w:val="00F6071C"/>
    <w:rsid w:val="00F62B66"/>
    <w:rsid w:val="00F64095"/>
    <w:rsid w:val="00F65251"/>
    <w:rsid w:val="00F65E52"/>
    <w:rsid w:val="00F6635A"/>
    <w:rsid w:val="00F67A42"/>
    <w:rsid w:val="00F67E97"/>
    <w:rsid w:val="00F70954"/>
    <w:rsid w:val="00F719E4"/>
    <w:rsid w:val="00F748D8"/>
    <w:rsid w:val="00F755FB"/>
    <w:rsid w:val="00F76516"/>
    <w:rsid w:val="00F769D3"/>
    <w:rsid w:val="00F7769D"/>
    <w:rsid w:val="00F8039A"/>
    <w:rsid w:val="00F80514"/>
    <w:rsid w:val="00F8062F"/>
    <w:rsid w:val="00F80703"/>
    <w:rsid w:val="00F8120A"/>
    <w:rsid w:val="00F81960"/>
    <w:rsid w:val="00F838D0"/>
    <w:rsid w:val="00F8398A"/>
    <w:rsid w:val="00F83E67"/>
    <w:rsid w:val="00F84F41"/>
    <w:rsid w:val="00F85919"/>
    <w:rsid w:val="00F86266"/>
    <w:rsid w:val="00F86B1C"/>
    <w:rsid w:val="00F90B78"/>
    <w:rsid w:val="00F90EAD"/>
    <w:rsid w:val="00F91ADB"/>
    <w:rsid w:val="00F9212F"/>
    <w:rsid w:val="00F92EF8"/>
    <w:rsid w:val="00F938D2"/>
    <w:rsid w:val="00F94FD8"/>
    <w:rsid w:val="00F9512B"/>
    <w:rsid w:val="00F96152"/>
    <w:rsid w:val="00F967D4"/>
    <w:rsid w:val="00F96C1A"/>
    <w:rsid w:val="00F97F2A"/>
    <w:rsid w:val="00FA04DB"/>
    <w:rsid w:val="00FA08CE"/>
    <w:rsid w:val="00FA0BF3"/>
    <w:rsid w:val="00FA21C5"/>
    <w:rsid w:val="00FA22A2"/>
    <w:rsid w:val="00FA4700"/>
    <w:rsid w:val="00FA502F"/>
    <w:rsid w:val="00FA539D"/>
    <w:rsid w:val="00FA5EB1"/>
    <w:rsid w:val="00FA69D9"/>
    <w:rsid w:val="00FA7346"/>
    <w:rsid w:val="00FB0E7E"/>
    <w:rsid w:val="00FB10AA"/>
    <w:rsid w:val="00FB157B"/>
    <w:rsid w:val="00FB26C2"/>
    <w:rsid w:val="00FB406D"/>
    <w:rsid w:val="00FB5FFB"/>
    <w:rsid w:val="00FB671D"/>
    <w:rsid w:val="00FB7554"/>
    <w:rsid w:val="00FB7A5E"/>
    <w:rsid w:val="00FC058E"/>
    <w:rsid w:val="00FC0C0D"/>
    <w:rsid w:val="00FC1184"/>
    <w:rsid w:val="00FC1BA7"/>
    <w:rsid w:val="00FC47D9"/>
    <w:rsid w:val="00FC5142"/>
    <w:rsid w:val="00FC5673"/>
    <w:rsid w:val="00FC6F5D"/>
    <w:rsid w:val="00FD0414"/>
    <w:rsid w:val="00FD0826"/>
    <w:rsid w:val="00FD0F75"/>
    <w:rsid w:val="00FD1C57"/>
    <w:rsid w:val="00FD21E3"/>
    <w:rsid w:val="00FD2C9F"/>
    <w:rsid w:val="00FD3A0D"/>
    <w:rsid w:val="00FD55A3"/>
    <w:rsid w:val="00FD5BD0"/>
    <w:rsid w:val="00FD63AF"/>
    <w:rsid w:val="00FD67C3"/>
    <w:rsid w:val="00FD712E"/>
    <w:rsid w:val="00FD7203"/>
    <w:rsid w:val="00FD7C19"/>
    <w:rsid w:val="00FE0673"/>
    <w:rsid w:val="00FE0EA0"/>
    <w:rsid w:val="00FE12E4"/>
    <w:rsid w:val="00FE1BF3"/>
    <w:rsid w:val="00FE24C8"/>
    <w:rsid w:val="00FE29B2"/>
    <w:rsid w:val="00FE2A2F"/>
    <w:rsid w:val="00FE3C4C"/>
    <w:rsid w:val="00FE3E3C"/>
    <w:rsid w:val="00FE47C7"/>
    <w:rsid w:val="00FE4A09"/>
    <w:rsid w:val="00FE51E2"/>
    <w:rsid w:val="00FE51FC"/>
    <w:rsid w:val="00FE54C7"/>
    <w:rsid w:val="00FE5F66"/>
    <w:rsid w:val="00FE6053"/>
    <w:rsid w:val="00FF145B"/>
    <w:rsid w:val="00FF1712"/>
    <w:rsid w:val="00FF1AD0"/>
    <w:rsid w:val="00FF2619"/>
    <w:rsid w:val="00FF2961"/>
    <w:rsid w:val="00FF2C5A"/>
    <w:rsid w:val="00FF2F51"/>
    <w:rsid w:val="00FF3066"/>
    <w:rsid w:val="00FF3899"/>
    <w:rsid w:val="00FF443F"/>
    <w:rsid w:val="00FF523C"/>
    <w:rsid w:val="00FF58CB"/>
    <w:rsid w:val="00FF6DDC"/>
    <w:rsid w:val="00FF6F4A"/>
    <w:rsid w:val="00FF79CF"/>
    <w:rsid w:val="00FF7E39"/>
    <w:rsid w:val="01120909"/>
    <w:rsid w:val="011BF115"/>
    <w:rsid w:val="01F45FD0"/>
    <w:rsid w:val="02D9D27D"/>
    <w:rsid w:val="02DFF8A0"/>
    <w:rsid w:val="02EB7C93"/>
    <w:rsid w:val="03476638"/>
    <w:rsid w:val="034B6C9B"/>
    <w:rsid w:val="03556801"/>
    <w:rsid w:val="035878D6"/>
    <w:rsid w:val="037E23E9"/>
    <w:rsid w:val="03B0A3D5"/>
    <w:rsid w:val="03F68779"/>
    <w:rsid w:val="0480674F"/>
    <w:rsid w:val="056DC687"/>
    <w:rsid w:val="05AA650C"/>
    <w:rsid w:val="065F9041"/>
    <w:rsid w:val="066ED2DA"/>
    <w:rsid w:val="06B3C9CC"/>
    <w:rsid w:val="06CD6C9C"/>
    <w:rsid w:val="06ECA54D"/>
    <w:rsid w:val="0803B2CF"/>
    <w:rsid w:val="080C9B79"/>
    <w:rsid w:val="088D6DDC"/>
    <w:rsid w:val="09B550C2"/>
    <w:rsid w:val="0A2B03AA"/>
    <w:rsid w:val="0A6FFA99"/>
    <w:rsid w:val="0B0B2E15"/>
    <w:rsid w:val="0B15E7BF"/>
    <w:rsid w:val="0B47088E"/>
    <w:rsid w:val="0BB4386E"/>
    <w:rsid w:val="0BF83272"/>
    <w:rsid w:val="0C128C34"/>
    <w:rsid w:val="0C985DED"/>
    <w:rsid w:val="0C9FDB39"/>
    <w:rsid w:val="0CE4B7F7"/>
    <w:rsid w:val="0D35FCDD"/>
    <w:rsid w:val="0D725064"/>
    <w:rsid w:val="0DAA038D"/>
    <w:rsid w:val="0E5F8E70"/>
    <w:rsid w:val="0EECA522"/>
    <w:rsid w:val="0EFBB344"/>
    <w:rsid w:val="0F0EB385"/>
    <w:rsid w:val="0F7E1840"/>
    <w:rsid w:val="0F7E4DB5"/>
    <w:rsid w:val="0F881D48"/>
    <w:rsid w:val="0FA8B811"/>
    <w:rsid w:val="0FE25DAF"/>
    <w:rsid w:val="1038F517"/>
    <w:rsid w:val="10BBBFB8"/>
    <w:rsid w:val="10D0F69E"/>
    <w:rsid w:val="11134246"/>
    <w:rsid w:val="119431E3"/>
    <w:rsid w:val="11F54D83"/>
    <w:rsid w:val="123C68AA"/>
    <w:rsid w:val="125B2686"/>
    <w:rsid w:val="13560CB6"/>
    <w:rsid w:val="13D1489F"/>
    <w:rsid w:val="13FF7AEA"/>
    <w:rsid w:val="1410F32D"/>
    <w:rsid w:val="141CA9F1"/>
    <w:rsid w:val="1455EA1C"/>
    <w:rsid w:val="145F3865"/>
    <w:rsid w:val="1495C0D0"/>
    <w:rsid w:val="14A4F130"/>
    <w:rsid w:val="14C6732C"/>
    <w:rsid w:val="155B58DF"/>
    <w:rsid w:val="15926545"/>
    <w:rsid w:val="166E9372"/>
    <w:rsid w:val="167E640B"/>
    <w:rsid w:val="16E087E3"/>
    <w:rsid w:val="16E24BA7"/>
    <w:rsid w:val="16EE3444"/>
    <w:rsid w:val="17120BB0"/>
    <w:rsid w:val="17C99854"/>
    <w:rsid w:val="18060079"/>
    <w:rsid w:val="18817FD3"/>
    <w:rsid w:val="19428399"/>
    <w:rsid w:val="195E08DB"/>
    <w:rsid w:val="1A277335"/>
    <w:rsid w:val="1A6E25F1"/>
    <w:rsid w:val="1B0ABA04"/>
    <w:rsid w:val="1B5D5FF8"/>
    <w:rsid w:val="1BA256E7"/>
    <w:rsid w:val="1BACA14F"/>
    <w:rsid w:val="1BE650E8"/>
    <w:rsid w:val="1C5CA60F"/>
    <w:rsid w:val="1C759B6F"/>
    <w:rsid w:val="1C8C0076"/>
    <w:rsid w:val="1D0FF03B"/>
    <w:rsid w:val="1D3CF789"/>
    <w:rsid w:val="1D3D2A5A"/>
    <w:rsid w:val="1DF1DFE4"/>
    <w:rsid w:val="1DFF2A3F"/>
    <w:rsid w:val="1E278E61"/>
    <w:rsid w:val="1E4F7253"/>
    <w:rsid w:val="1EAC2FDE"/>
    <w:rsid w:val="1F51A2FB"/>
    <w:rsid w:val="20089827"/>
    <w:rsid w:val="206B49FF"/>
    <w:rsid w:val="20A6E8D6"/>
    <w:rsid w:val="20CFF510"/>
    <w:rsid w:val="2100E67E"/>
    <w:rsid w:val="214A6D84"/>
    <w:rsid w:val="2155DF4A"/>
    <w:rsid w:val="21ED1EE9"/>
    <w:rsid w:val="22230FDC"/>
    <w:rsid w:val="22864F60"/>
    <w:rsid w:val="22D85D0D"/>
    <w:rsid w:val="23543713"/>
    <w:rsid w:val="23771EB0"/>
    <w:rsid w:val="23D9CED6"/>
    <w:rsid w:val="23F6B386"/>
    <w:rsid w:val="23FCE6C0"/>
    <w:rsid w:val="2468F9BB"/>
    <w:rsid w:val="249BA5E2"/>
    <w:rsid w:val="251710A9"/>
    <w:rsid w:val="251BA433"/>
    <w:rsid w:val="2552EC1D"/>
    <w:rsid w:val="256629F9"/>
    <w:rsid w:val="2593BEC7"/>
    <w:rsid w:val="26396E81"/>
    <w:rsid w:val="26D039F0"/>
    <w:rsid w:val="26F34F39"/>
    <w:rsid w:val="271FB543"/>
    <w:rsid w:val="27A6A3FD"/>
    <w:rsid w:val="282B0C01"/>
    <w:rsid w:val="28C00E64"/>
    <w:rsid w:val="28EAAF04"/>
    <w:rsid w:val="28EBDF9A"/>
    <w:rsid w:val="28FC4E7F"/>
    <w:rsid w:val="2987DB5C"/>
    <w:rsid w:val="298F1F2E"/>
    <w:rsid w:val="299F9690"/>
    <w:rsid w:val="29A5BC1E"/>
    <w:rsid w:val="29B50047"/>
    <w:rsid w:val="2A7F5C25"/>
    <w:rsid w:val="2AA63289"/>
    <w:rsid w:val="2AC35629"/>
    <w:rsid w:val="2AF7D119"/>
    <w:rsid w:val="2AFD606E"/>
    <w:rsid w:val="2B15BE82"/>
    <w:rsid w:val="2B97CA70"/>
    <w:rsid w:val="2BBC0683"/>
    <w:rsid w:val="2BC650EE"/>
    <w:rsid w:val="2C6CCAC5"/>
    <w:rsid w:val="2C79559E"/>
    <w:rsid w:val="2C8821F5"/>
    <w:rsid w:val="2DCBCE5A"/>
    <w:rsid w:val="2DF66430"/>
    <w:rsid w:val="2E1A1366"/>
    <w:rsid w:val="2E44769A"/>
    <w:rsid w:val="2E610293"/>
    <w:rsid w:val="2E7403D2"/>
    <w:rsid w:val="2EA9B795"/>
    <w:rsid w:val="2F1E47E2"/>
    <w:rsid w:val="2F64A23B"/>
    <w:rsid w:val="2FA9992A"/>
    <w:rsid w:val="307BDF1E"/>
    <w:rsid w:val="30865C2B"/>
    <w:rsid w:val="30C0713A"/>
    <w:rsid w:val="310047EE"/>
    <w:rsid w:val="31114628"/>
    <w:rsid w:val="316469D6"/>
    <w:rsid w:val="31996D9E"/>
    <w:rsid w:val="321C383F"/>
    <w:rsid w:val="327FE636"/>
    <w:rsid w:val="329BAB85"/>
    <w:rsid w:val="3308E1C1"/>
    <w:rsid w:val="3310CF1B"/>
    <w:rsid w:val="332B67CE"/>
    <w:rsid w:val="333473B6"/>
    <w:rsid w:val="3362D2F9"/>
    <w:rsid w:val="3426D5E3"/>
    <w:rsid w:val="343AD341"/>
    <w:rsid w:val="349906BB"/>
    <w:rsid w:val="350B8813"/>
    <w:rsid w:val="35274AC1"/>
    <w:rsid w:val="3547638A"/>
    <w:rsid w:val="35AD3C8D"/>
    <w:rsid w:val="35FD1FFA"/>
    <w:rsid w:val="3611281C"/>
    <w:rsid w:val="361B0CE5"/>
    <w:rsid w:val="366F793E"/>
    <w:rsid w:val="36A63C79"/>
    <w:rsid w:val="36DE67B7"/>
    <w:rsid w:val="36EB5344"/>
    <w:rsid w:val="37630934"/>
    <w:rsid w:val="37B0B6F4"/>
    <w:rsid w:val="37D525DB"/>
    <w:rsid w:val="383B9A1D"/>
    <w:rsid w:val="39566645"/>
    <w:rsid w:val="39B5251A"/>
    <w:rsid w:val="39D07A12"/>
    <w:rsid w:val="3A3ABCC0"/>
    <w:rsid w:val="3A3D1882"/>
    <w:rsid w:val="3A6919E5"/>
    <w:rsid w:val="3A8E29E1"/>
    <w:rsid w:val="3A9D07D3"/>
    <w:rsid w:val="3B2F51AA"/>
    <w:rsid w:val="3B5033C1"/>
    <w:rsid w:val="3BD3C8AB"/>
    <w:rsid w:val="3C224A54"/>
    <w:rsid w:val="3C5CED0F"/>
    <w:rsid w:val="3C9758D2"/>
    <w:rsid w:val="3CC09B06"/>
    <w:rsid w:val="3D07835C"/>
    <w:rsid w:val="3E1B7AA3"/>
    <w:rsid w:val="3EA08D72"/>
    <w:rsid w:val="3EAF75FF"/>
    <w:rsid w:val="3EF46CEE"/>
    <w:rsid w:val="3F65FBBD"/>
    <w:rsid w:val="3F871346"/>
    <w:rsid w:val="3FFC5F12"/>
    <w:rsid w:val="400B158A"/>
    <w:rsid w:val="40246F01"/>
    <w:rsid w:val="40334C24"/>
    <w:rsid w:val="4050A266"/>
    <w:rsid w:val="40C1C2C2"/>
    <w:rsid w:val="40EDC425"/>
    <w:rsid w:val="415C916B"/>
    <w:rsid w:val="4160E786"/>
    <w:rsid w:val="41B4BC67"/>
    <w:rsid w:val="420E05AC"/>
    <w:rsid w:val="4215A7E2"/>
    <w:rsid w:val="42EAE59B"/>
    <w:rsid w:val="42F88A02"/>
    <w:rsid w:val="43903082"/>
    <w:rsid w:val="43909555"/>
    <w:rsid w:val="43B07181"/>
    <w:rsid w:val="43DC4013"/>
    <w:rsid w:val="43EFDA95"/>
    <w:rsid w:val="442CBAF5"/>
    <w:rsid w:val="44F641F2"/>
    <w:rsid w:val="4540A07D"/>
    <w:rsid w:val="455A22BA"/>
    <w:rsid w:val="45882722"/>
    <w:rsid w:val="45E9D214"/>
    <w:rsid w:val="4614D758"/>
    <w:rsid w:val="46638C01"/>
    <w:rsid w:val="46C1090E"/>
    <w:rsid w:val="46CA2F24"/>
    <w:rsid w:val="473C2392"/>
    <w:rsid w:val="47D7B0EE"/>
    <w:rsid w:val="4835428E"/>
    <w:rsid w:val="4949686F"/>
    <w:rsid w:val="49774A90"/>
    <w:rsid w:val="49AC8FA4"/>
    <w:rsid w:val="49EAD2C4"/>
    <w:rsid w:val="4A2DC3B6"/>
    <w:rsid w:val="4A410F22"/>
    <w:rsid w:val="4A69BFCE"/>
    <w:rsid w:val="4ADCCF23"/>
    <w:rsid w:val="4B6FCC37"/>
    <w:rsid w:val="4BB8CAAB"/>
    <w:rsid w:val="4C140892"/>
    <w:rsid w:val="4C4F8CB9"/>
    <w:rsid w:val="4C8B56A3"/>
    <w:rsid w:val="4CDE7985"/>
    <w:rsid w:val="4D97C1C7"/>
    <w:rsid w:val="4DA9393B"/>
    <w:rsid w:val="4DE84785"/>
    <w:rsid w:val="4DF9AA51"/>
    <w:rsid w:val="4E28AAD8"/>
    <w:rsid w:val="4E4398A2"/>
    <w:rsid w:val="4EB6BC12"/>
    <w:rsid w:val="4EC5FE6D"/>
    <w:rsid w:val="4EDD6062"/>
    <w:rsid w:val="4EE9E077"/>
    <w:rsid w:val="4F2AC4B5"/>
    <w:rsid w:val="4F469E02"/>
    <w:rsid w:val="4F4F0C04"/>
    <w:rsid w:val="4F54743F"/>
    <w:rsid w:val="4F850929"/>
    <w:rsid w:val="4FBDE4AD"/>
    <w:rsid w:val="4FCD5A17"/>
    <w:rsid w:val="5013B1CC"/>
    <w:rsid w:val="504E5E50"/>
    <w:rsid w:val="50700B5A"/>
    <w:rsid w:val="5084DBF4"/>
    <w:rsid w:val="508EFF24"/>
    <w:rsid w:val="50B8653B"/>
    <w:rsid w:val="50E3A71C"/>
    <w:rsid w:val="51145978"/>
    <w:rsid w:val="51213E31"/>
    <w:rsid w:val="5154FA49"/>
    <w:rsid w:val="51CB44D8"/>
    <w:rsid w:val="5221B40A"/>
    <w:rsid w:val="5296382E"/>
    <w:rsid w:val="52BD7E00"/>
    <w:rsid w:val="53046728"/>
    <w:rsid w:val="533A7C5E"/>
    <w:rsid w:val="53947762"/>
    <w:rsid w:val="548D972A"/>
    <w:rsid w:val="54D4BBC9"/>
    <w:rsid w:val="54DC4BD3"/>
    <w:rsid w:val="5501B6AA"/>
    <w:rsid w:val="55631188"/>
    <w:rsid w:val="5589167B"/>
    <w:rsid w:val="558FA09A"/>
    <w:rsid w:val="55D367CA"/>
    <w:rsid w:val="562E2CEB"/>
    <w:rsid w:val="569E832A"/>
    <w:rsid w:val="56AC34D0"/>
    <w:rsid w:val="56B9AE5D"/>
    <w:rsid w:val="56FEA54C"/>
    <w:rsid w:val="57836252"/>
    <w:rsid w:val="578DB296"/>
    <w:rsid w:val="584E8E52"/>
    <w:rsid w:val="58BA8E76"/>
    <w:rsid w:val="59633E23"/>
    <w:rsid w:val="59C8E458"/>
    <w:rsid w:val="5A6356E9"/>
    <w:rsid w:val="5A92077A"/>
    <w:rsid w:val="5AB51F3B"/>
    <w:rsid w:val="5AD2E8C6"/>
    <w:rsid w:val="5AFFFFDC"/>
    <w:rsid w:val="5B3FA48E"/>
    <w:rsid w:val="5BA4B446"/>
    <w:rsid w:val="5BE38417"/>
    <w:rsid w:val="5C2AD878"/>
    <w:rsid w:val="5C946129"/>
    <w:rsid w:val="5D063CCA"/>
    <w:rsid w:val="5D2C170F"/>
    <w:rsid w:val="5D952D71"/>
    <w:rsid w:val="5E04B967"/>
    <w:rsid w:val="5E5E81C9"/>
    <w:rsid w:val="5EE312A3"/>
    <w:rsid w:val="5EE3AA1B"/>
    <w:rsid w:val="5F73F0ED"/>
    <w:rsid w:val="5FD1DD68"/>
    <w:rsid w:val="6027B522"/>
    <w:rsid w:val="602C0DE1"/>
    <w:rsid w:val="60C9699C"/>
    <w:rsid w:val="60E95A58"/>
    <w:rsid w:val="6128E9AB"/>
    <w:rsid w:val="616A21F7"/>
    <w:rsid w:val="619B26BC"/>
    <w:rsid w:val="61B0E917"/>
    <w:rsid w:val="61DFAD01"/>
    <w:rsid w:val="623A6787"/>
    <w:rsid w:val="62595160"/>
    <w:rsid w:val="625E498E"/>
    <w:rsid w:val="62A34080"/>
    <w:rsid w:val="632990F7"/>
    <w:rsid w:val="635B27FC"/>
    <w:rsid w:val="63768508"/>
    <w:rsid w:val="640D1B2E"/>
    <w:rsid w:val="64352B1D"/>
    <w:rsid w:val="6463A6BA"/>
    <w:rsid w:val="648B2CCB"/>
    <w:rsid w:val="65873F2F"/>
    <w:rsid w:val="65EEDE9D"/>
    <w:rsid w:val="66948E2B"/>
    <w:rsid w:val="67C3D1B7"/>
    <w:rsid w:val="6802C3B9"/>
    <w:rsid w:val="6809ECCF"/>
    <w:rsid w:val="6879E902"/>
    <w:rsid w:val="6884FCBB"/>
    <w:rsid w:val="68C73BEA"/>
    <w:rsid w:val="68D673BC"/>
    <w:rsid w:val="68FDAFC2"/>
    <w:rsid w:val="6918DAF5"/>
    <w:rsid w:val="692F6301"/>
    <w:rsid w:val="6955751F"/>
    <w:rsid w:val="69A3C4F2"/>
    <w:rsid w:val="6A1C452B"/>
    <w:rsid w:val="6A7506A4"/>
    <w:rsid w:val="6B06EBD4"/>
    <w:rsid w:val="6B364707"/>
    <w:rsid w:val="6B387216"/>
    <w:rsid w:val="6B4759D4"/>
    <w:rsid w:val="6B582638"/>
    <w:rsid w:val="6C4A22C3"/>
    <w:rsid w:val="6C4AEC11"/>
    <w:rsid w:val="6C57DB91"/>
    <w:rsid w:val="6CA28964"/>
    <w:rsid w:val="6CC505EA"/>
    <w:rsid w:val="6CFB19D6"/>
    <w:rsid w:val="6D0CF7AE"/>
    <w:rsid w:val="6D2DD8D4"/>
    <w:rsid w:val="6D4E2E3A"/>
    <w:rsid w:val="6DC0DDB2"/>
    <w:rsid w:val="6E4679F0"/>
    <w:rsid w:val="6EB1187F"/>
    <w:rsid w:val="6EE7FB96"/>
    <w:rsid w:val="6F11C743"/>
    <w:rsid w:val="6F630E26"/>
    <w:rsid w:val="6F6CFC0D"/>
    <w:rsid w:val="6FBCA1DF"/>
    <w:rsid w:val="700F3D38"/>
    <w:rsid w:val="70404095"/>
    <w:rsid w:val="70882215"/>
    <w:rsid w:val="70930E90"/>
    <w:rsid w:val="70EF02D0"/>
    <w:rsid w:val="719CF9F0"/>
    <w:rsid w:val="71AD7611"/>
    <w:rsid w:val="72123F4B"/>
    <w:rsid w:val="721E3AF3"/>
    <w:rsid w:val="722B4884"/>
    <w:rsid w:val="72404F3D"/>
    <w:rsid w:val="728DFA5C"/>
    <w:rsid w:val="731D81AC"/>
    <w:rsid w:val="74B72A8C"/>
    <w:rsid w:val="74BCA145"/>
    <w:rsid w:val="75166A73"/>
    <w:rsid w:val="7575F520"/>
    <w:rsid w:val="7586BE63"/>
    <w:rsid w:val="75928119"/>
    <w:rsid w:val="75F71B06"/>
    <w:rsid w:val="7603092E"/>
    <w:rsid w:val="761203DE"/>
    <w:rsid w:val="7631730C"/>
    <w:rsid w:val="76326064"/>
    <w:rsid w:val="76388BAE"/>
    <w:rsid w:val="764939A5"/>
    <w:rsid w:val="76548AF6"/>
    <w:rsid w:val="767669FB"/>
    <w:rsid w:val="768E3097"/>
    <w:rsid w:val="76954939"/>
    <w:rsid w:val="76B14565"/>
    <w:rsid w:val="76C9D40B"/>
    <w:rsid w:val="781A295C"/>
    <w:rsid w:val="783FF691"/>
    <w:rsid w:val="785B5495"/>
    <w:rsid w:val="785F88E1"/>
    <w:rsid w:val="78670A8D"/>
    <w:rsid w:val="78943AE0"/>
    <w:rsid w:val="78ACFE6A"/>
    <w:rsid w:val="78E1B6A1"/>
    <w:rsid w:val="793FD793"/>
    <w:rsid w:val="79C43CF3"/>
    <w:rsid w:val="79E58560"/>
    <w:rsid w:val="7A177090"/>
    <w:rsid w:val="7A82B037"/>
    <w:rsid w:val="7A87004D"/>
    <w:rsid w:val="7A9E046F"/>
    <w:rsid w:val="7ABB5AB1"/>
    <w:rsid w:val="7BBC713A"/>
    <w:rsid w:val="7BBF3357"/>
    <w:rsid w:val="7C16620B"/>
    <w:rsid w:val="7CAF5516"/>
    <w:rsid w:val="7CB5E0DB"/>
    <w:rsid w:val="7CC15A36"/>
    <w:rsid w:val="7CEA0C35"/>
    <w:rsid w:val="7CF9B3A1"/>
    <w:rsid w:val="7D100EB0"/>
    <w:rsid w:val="7D56CB0C"/>
    <w:rsid w:val="7D907B71"/>
    <w:rsid w:val="7ED8D5BF"/>
    <w:rsid w:val="7EE97FF2"/>
    <w:rsid w:val="7F6EE510"/>
    <w:rsid w:val="7F78A29B"/>
    <w:rsid w:val="7FC0C0B8"/>
    <w:rsid w:val="7FF863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0442F"/>
    <w:pPr>
      <w:numPr>
        <w:numId w:val="7"/>
      </w:numPr>
      <w:ind w:left="1530" w:hanging="810"/>
      <w:jc w:val="both"/>
      <w:outlineLvl w:val="0"/>
    </w:pPr>
    <w:rPr>
      <w:rFonts w:ascii="Cambria" w:hAnsi="Cambria"/>
      <w:b/>
      <w:bCs/>
      <w:sz w:val="20"/>
      <w:szCs w:val="20"/>
      <w:lang w:val="es-US" w:eastAsia="es-ES"/>
    </w:rPr>
  </w:style>
  <w:style w:type="paragraph" w:styleId="Heading2">
    <w:name w:val="heading 2"/>
    <w:basedOn w:val="Normal"/>
    <w:next w:val="Normal"/>
    <w:link w:val="Heading2Char"/>
    <w:uiPriority w:val="9"/>
    <w:unhideWhenUsed/>
    <w:qFormat/>
    <w:rsid w:val="00F0442F"/>
    <w:pPr>
      <w:numPr>
        <w:numId w:val="5"/>
      </w:numPr>
      <w:ind w:hanging="720"/>
      <w:jc w:val="both"/>
      <w:outlineLvl w:val="1"/>
    </w:pPr>
    <w:rPr>
      <w:rFonts w:ascii="Cambria" w:eastAsia="Times New Roman" w:hAnsi="Cambria" w:cs="Tahoma"/>
      <w:b/>
      <w:color w:val="000000"/>
      <w:sz w:val="20"/>
      <w:szCs w:val="20"/>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F0442F"/>
    <w:rPr>
      <w:rFonts w:ascii="Cambria" w:eastAsiaTheme="majorEastAsia" w:hAnsi="Cambria" w:cstheme="majorBidi"/>
      <w:b/>
      <w:bCs/>
      <w:spacing w:val="-10"/>
      <w:kern w:val="28"/>
      <w:sz w:val="20"/>
      <w:szCs w:val="20"/>
      <w:lang w:val="es-US" w:eastAsia="es-ES"/>
    </w:rPr>
  </w:style>
  <w:style w:type="paragraph" w:styleId="ListParagraph">
    <w:name w:val="List Paragraph"/>
    <w:aliases w:val="List,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516A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styleId="NormalWeb">
    <w:name w:val="Normal (Web)"/>
    <w:basedOn w:val="Normal"/>
    <w:uiPriority w:val="99"/>
    <w:unhideWhenUsed/>
    <w:rsid w:val="00706CD2"/>
    <w:rPr>
      <w:rFonts w:ascii="Times New Roman" w:hAnsi="Times New Roman" w:cs="Times New Roman"/>
    </w:rPr>
  </w:style>
  <w:style w:type="character" w:styleId="Hyperlink">
    <w:name w:val="Hyperlink"/>
    <w:aliases w:val="http://www.fantaproject.org/sites/default/files/resources/Guatemala-municipal-brief-English-June30.pdf"/>
    <w:uiPriority w:val="99"/>
    <w:unhideWhenUsed/>
    <w:rsid w:val="00706CD2"/>
    <w:rPr>
      <w:color w:val="0000FF"/>
      <w:u w:val="single"/>
    </w:rPr>
  </w:style>
  <w:style w:type="paragraph" w:customStyle="1" w:styleId="Refdenotaalpie">
    <w:name w:val="Ref. de nota al pie."/>
    <w:aliases w:val="Footnote symbol,Footnote,Ref. de nota al pi,f1,referencia nota al pi..."/>
    <w:basedOn w:val="Normal"/>
    <w:link w:val="FootnoteReference"/>
    <w:uiPriority w:val="99"/>
    <w:rsid w:val="00706CD2"/>
    <w:pPr>
      <w:spacing w:before="200" w:after="160" w:line="240" w:lineRule="exact"/>
    </w:pPr>
    <w:rPr>
      <w:vertAlign w:val="superscript"/>
    </w:rPr>
  </w:style>
  <w:style w:type="character" w:styleId="UnresolvedMention">
    <w:name w:val="Unresolved Mention"/>
    <w:basedOn w:val="DefaultParagraphFont"/>
    <w:uiPriority w:val="99"/>
    <w:semiHidden/>
    <w:unhideWhenUsed/>
    <w:rsid w:val="00A92878"/>
    <w:rPr>
      <w:color w:val="605E5C"/>
      <w:shd w:val="clear" w:color="auto" w:fill="E1DFDD"/>
    </w:rPr>
  </w:style>
  <w:style w:type="character" w:customStyle="1" w:styleId="ListParagraphChar">
    <w:name w:val="List Paragraph Char"/>
    <w:aliases w:val="List Char,Parragrap Char,Superíndice Char,Dot pt Char,No Spacing1 Char,List Paragraph Char Char Char Char,Indicator Text Char,List Paragraph1 Char,Numbered Para 1 Char,4 Párrafo de lista Char,Figuras Char,DH1 Char,4 Párrafo de l Char"/>
    <w:link w:val="ListParagraph"/>
    <w:uiPriority w:val="34"/>
    <w:locked/>
    <w:rsid w:val="003A3461"/>
  </w:style>
  <w:style w:type="character" w:customStyle="1" w:styleId="Heading2Char">
    <w:name w:val="Heading 2 Char"/>
    <w:basedOn w:val="DefaultParagraphFont"/>
    <w:link w:val="Heading2"/>
    <w:uiPriority w:val="9"/>
    <w:rsid w:val="00F0442F"/>
    <w:rPr>
      <w:rFonts w:ascii="Cambria" w:eastAsia="Times New Roman" w:hAnsi="Cambria" w:cs="Tahoma"/>
      <w:b/>
      <w:color w:val="000000"/>
      <w:sz w:val="20"/>
      <w:szCs w:val="20"/>
      <w:lang w:eastAsia="es-ES_tradnl"/>
    </w:rPr>
  </w:style>
  <w:style w:type="paragraph" w:styleId="CommentText">
    <w:name w:val="annotation text"/>
    <w:basedOn w:val="Normal"/>
    <w:link w:val="CommentTextChar"/>
    <w:uiPriority w:val="99"/>
    <w:unhideWhenUsed/>
    <w:rsid w:val="009C4A37"/>
    <w:pPr>
      <w:ind w:firstLine="849"/>
      <w:jc w:val="both"/>
    </w:pPr>
    <w:rPr>
      <w:rFonts w:ascii="Times New Roman" w:eastAsia="Times New Roman" w:hAnsi="Times New Roman" w:cs="Times New Roman"/>
      <w:sz w:val="20"/>
      <w:szCs w:val="20"/>
      <w:lang w:val="pt-BR" w:eastAsia="es-419"/>
    </w:rPr>
  </w:style>
  <w:style w:type="character" w:customStyle="1" w:styleId="CommentTextChar">
    <w:name w:val="Comment Text Char"/>
    <w:basedOn w:val="DefaultParagraphFont"/>
    <w:link w:val="CommentText"/>
    <w:uiPriority w:val="99"/>
    <w:rsid w:val="009C4A37"/>
    <w:rPr>
      <w:rFonts w:ascii="Times New Roman" w:eastAsia="Times New Roman" w:hAnsi="Times New Roman" w:cs="Times New Roman"/>
      <w:sz w:val="20"/>
      <w:szCs w:val="20"/>
      <w:lang w:val="pt-BR" w:eastAsia="es-419"/>
    </w:rPr>
  </w:style>
  <w:style w:type="character" w:styleId="CommentReference">
    <w:name w:val="annotation reference"/>
    <w:basedOn w:val="DefaultParagraphFont"/>
    <w:uiPriority w:val="99"/>
    <w:semiHidden/>
    <w:unhideWhenUsed/>
    <w:rsid w:val="009C4A37"/>
    <w:rPr>
      <w:sz w:val="16"/>
      <w:szCs w:val="16"/>
    </w:rPr>
  </w:style>
  <w:style w:type="character" w:styleId="FollowedHyperlink">
    <w:name w:val="FollowedHyperlink"/>
    <w:basedOn w:val="DefaultParagraphFont"/>
    <w:uiPriority w:val="99"/>
    <w:semiHidden/>
    <w:unhideWhenUsed/>
    <w:rsid w:val="009C4A3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17451"/>
    <w:pPr>
      <w:ind w:firstLine="0"/>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A17451"/>
    <w:rPr>
      <w:rFonts w:ascii="Times New Roman" w:eastAsia="Times New Roman" w:hAnsi="Times New Roman" w:cs="Times New Roman"/>
      <w:b/>
      <w:bCs/>
      <w:sz w:val="20"/>
      <w:szCs w:val="20"/>
      <w:lang w:val="pt-BR" w:eastAsia="es-419"/>
    </w:rPr>
  </w:style>
  <w:style w:type="paragraph" w:styleId="Revision">
    <w:name w:val="Revision"/>
    <w:hidden/>
    <w:uiPriority w:val="99"/>
    <w:semiHidden/>
    <w:rsid w:val="00AC0523"/>
  </w:style>
  <w:style w:type="paragraph" w:customStyle="1" w:styleId="Numberedparagraphs">
    <w:name w:val="Numbered paragraphs"/>
    <w:basedOn w:val="Normal"/>
    <w:qFormat/>
    <w:rsid w:val="00832A52"/>
    <w:pPr>
      <w:numPr>
        <w:numId w:val="6"/>
      </w:numPr>
      <w:spacing w:after="240"/>
      <w:jc w:val="both"/>
    </w:pPr>
    <w:rPr>
      <w:rFonts w:ascii="Cambria" w:eastAsia="MS Mincho" w:hAnsi="Cambria" w:cs="Times New Roman"/>
      <w:sz w:val="20"/>
      <w:szCs w:val="20"/>
      <w:lang w:val="es-US" w:eastAsia="es-ES_tradnl"/>
    </w:rPr>
  </w:style>
  <w:style w:type="paragraph" w:customStyle="1" w:styleId="Normal1">
    <w:name w:val="Normal 1"/>
    <w:basedOn w:val="Normal"/>
    <w:link w:val="Normal1Char"/>
    <w:qFormat/>
    <w:rsid w:val="00082F09"/>
    <w:pPr>
      <w:numPr>
        <w:numId w:val="8"/>
      </w:numPr>
      <w:spacing w:after="240"/>
      <w:jc w:val="both"/>
    </w:pPr>
    <w:rPr>
      <w:rFonts w:ascii="Cambria" w:hAnsi="Cambria"/>
      <w:sz w:val="20"/>
      <w:szCs w:val="20"/>
      <w:lang w:val="es-419"/>
    </w:rPr>
  </w:style>
  <w:style w:type="character" w:customStyle="1" w:styleId="Normal1Char">
    <w:name w:val="Normal 1 Char"/>
    <w:basedOn w:val="DefaultParagraphFont"/>
    <w:link w:val="Normal1"/>
    <w:rsid w:val="00082F09"/>
    <w:rPr>
      <w:rFonts w:ascii="Cambria" w:hAnsi="Cambria"/>
      <w:sz w:val="20"/>
      <w:szCs w:val="20"/>
      <w:lang w:val="es-419"/>
    </w:rPr>
  </w:style>
  <w:style w:type="character" w:customStyle="1" w:styleId="apple-converted-space">
    <w:name w:val="apple-converted-space"/>
    <w:basedOn w:val="DefaultParagraphFont"/>
    <w:rsid w:val="00BE78FC"/>
  </w:style>
  <w:style w:type="character" w:customStyle="1" w:styleId="normaltextrun">
    <w:name w:val="normaltextrun"/>
    <w:basedOn w:val="DefaultParagraphFont"/>
    <w:rsid w:val="00224C9C"/>
  </w:style>
  <w:style w:type="character" w:customStyle="1" w:styleId="superscript">
    <w:name w:val="superscript"/>
    <w:basedOn w:val="DefaultParagraphFont"/>
    <w:rsid w:val="00224C9C"/>
  </w:style>
  <w:style w:type="character" w:customStyle="1" w:styleId="eop">
    <w:name w:val="eop"/>
    <w:basedOn w:val="DefaultParagraphFont"/>
    <w:rsid w:val="00224C9C"/>
  </w:style>
  <w:style w:type="paragraph" w:customStyle="1" w:styleId="paragraph">
    <w:name w:val="paragraph"/>
    <w:basedOn w:val="Normal"/>
    <w:rsid w:val="00224C9C"/>
    <w:pPr>
      <w:spacing w:before="100" w:beforeAutospacing="1" w:after="100" w:afterAutospacing="1"/>
    </w:pPr>
    <w:rPr>
      <w:rFonts w:ascii="Times New Roman" w:eastAsia="Times New Roman" w:hAnsi="Times New Roman" w:cs="Times New Roman"/>
      <w:lang w:val="es-US" w:eastAsia="es-ES_tradnl"/>
    </w:rPr>
  </w:style>
  <w:style w:type="character" w:customStyle="1" w:styleId="scxw214844039">
    <w:name w:val="scxw214844039"/>
    <w:basedOn w:val="DefaultParagraphFont"/>
    <w:rsid w:val="0028307B"/>
  </w:style>
  <w:style w:type="table" w:customStyle="1" w:styleId="30">
    <w:name w:val="30"/>
    <w:basedOn w:val="TableNormal"/>
    <w:rsid w:val="00FF2619"/>
    <w:pPr>
      <w:widowControl w:val="0"/>
    </w:pPr>
    <w:rPr>
      <w:rFonts w:ascii="Calibri" w:eastAsia="Calibri" w:hAnsi="Calibri" w:cs="Calibri"/>
      <w:sz w:val="22"/>
      <w:szCs w:val="22"/>
      <w:lang w:val="es-GT" w:eastAsia="es-GT"/>
    </w:rPr>
    <w:tblPr>
      <w:tblStyleRowBandSize w:val="1"/>
      <w:tblStyleColBandSize w:val="1"/>
      <w:tblInd w:w="0" w:type="nil"/>
      <w:tblCellMar>
        <w:top w:w="100" w:type="dxa"/>
        <w:left w:w="70" w:type="dxa"/>
        <w:bottom w:w="100" w:type="dxa"/>
        <w:right w:w="70" w:type="dxa"/>
      </w:tblCellMar>
    </w:tblPr>
  </w:style>
  <w:style w:type="table" w:customStyle="1" w:styleId="12">
    <w:name w:val="12"/>
    <w:basedOn w:val="TableNormal"/>
    <w:rsid w:val="00F97F2A"/>
    <w:pPr>
      <w:widowControl w:val="0"/>
    </w:pPr>
    <w:rPr>
      <w:rFonts w:ascii="Calibri" w:eastAsia="Calibri" w:hAnsi="Calibri" w:cs="Calibri"/>
      <w:sz w:val="22"/>
      <w:szCs w:val="22"/>
      <w:lang w:val="es-GT" w:eastAsia="es-GT"/>
    </w:rPr>
    <w:tblPr>
      <w:tblStyleRowBandSize w:val="1"/>
      <w:tblStyleColBandSize w:val="1"/>
      <w:tblInd w:w="0" w:type="nil"/>
      <w:tblCellMar>
        <w:top w:w="100" w:type="dxa"/>
        <w:left w:w="70" w:type="dxa"/>
        <w:bottom w:w="100" w:type="dxa"/>
        <w:right w:w="70" w:type="dxa"/>
      </w:tblCellMar>
    </w:tblPr>
  </w:style>
  <w:style w:type="table" w:customStyle="1" w:styleId="11">
    <w:name w:val="11"/>
    <w:basedOn w:val="TableNormal"/>
    <w:rsid w:val="00F97F2A"/>
    <w:pPr>
      <w:widowControl w:val="0"/>
    </w:pPr>
    <w:rPr>
      <w:rFonts w:ascii="Calibri" w:eastAsia="Calibri" w:hAnsi="Calibri" w:cs="Calibri"/>
      <w:sz w:val="22"/>
      <w:szCs w:val="22"/>
      <w:lang w:val="es-GT" w:eastAsia="es-GT"/>
    </w:rPr>
    <w:tblPr>
      <w:tblStyleRowBandSize w:val="1"/>
      <w:tblStyleColBandSize w:val="1"/>
      <w:tblInd w:w="0" w:type="nil"/>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901">
      <w:bodyDiv w:val="1"/>
      <w:marLeft w:val="0"/>
      <w:marRight w:val="0"/>
      <w:marTop w:val="0"/>
      <w:marBottom w:val="0"/>
      <w:divBdr>
        <w:top w:val="none" w:sz="0" w:space="0" w:color="auto"/>
        <w:left w:val="none" w:sz="0" w:space="0" w:color="auto"/>
        <w:bottom w:val="none" w:sz="0" w:space="0" w:color="auto"/>
        <w:right w:val="none" w:sz="0" w:space="0" w:color="auto"/>
      </w:divBdr>
    </w:div>
    <w:div w:id="37510570">
      <w:bodyDiv w:val="1"/>
      <w:marLeft w:val="0"/>
      <w:marRight w:val="0"/>
      <w:marTop w:val="0"/>
      <w:marBottom w:val="0"/>
      <w:divBdr>
        <w:top w:val="none" w:sz="0" w:space="0" w:color="auto"/>
        <w:left w:val="none" w:sz="0" w:space="0" w:color="auto"/>
        <w:bottom w:val="none" w:sz="0" w:space="0" w:color="auto"/>
        <w:right w:val="none" w:sz="0" w:space="0" w:color="auto"/>
      </w:divBdr>
    </w:div>
    <w:div w:id="55787152">
      <w:bodyDiv w:val="1"/>
      <w:marLeft w:val="0"/>
      <w:marRight w:val="0"/>
      <w:marTop w:val="0"/>
      <w:marBottom w:val="0"/>
      <w:divBdr>
        <w:top w:val="none" w:sz="0" w:space="0" w:color="auto"/>
        <w:left w:val="none" w:sz="0" w:space="0" w:color="auto"/>
        <w:bottom w:val="none" w:sz="0" w:space="0" w:color="auto"/>
        <w:right w:val="none" w:sz="0" w:space="0" w:color="auto"/>
      </w:divBdr>
      <w:divsChild>
        <w:div w:id="247272106">
          <w:marLeft w:val="0"/>
          <w:marRight w:val="0"/>
          <w:marTop w:val="0"/>
          <w:marBottom w:val="0"/>
          <w:divBdr>
            <w:top w:val="none" w:sz="0" w:space="0" w:color="auto"/>
            <w:left w:val="none" w:sz="0" w:space="0" w:color="auto"/>
            <w:bottom w:val="none" w:sz="0" w:space="0" w:color="auto"/>
            <w:right w:val="none" w:sz="0" w:space="0" w:color="auto"/>
          </w:divBdr>
          <w:divsChild>
            <w:div w:id="522401259">
              <w:marLeft w:val="0"/>
              <w:marRight w:val="0"/>
              <w:marTop w:val="0"/>
              <w:marBottom w:val="0"/>
              <w:divBdr>
                <w:top w:val="none" w:sz="0" w:space="0" w:color="auto"/>
                <w:left w:val="none" w:sz="0" w:space="0" w:color="auto"/>
                <w:bottom w:val="none" w:sz="0" w:space="0" w:color="auto"/>
                <w:right w:val="none" w:sz="0" w:space="0" w:color="auto"/>
              </w:divBdr>
              <w:divsChild>
                <w:div w:id="5283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2447">
      <w:bodyDiv w:val="1"/>
      <w:marLeft w:val="0"/>
      <w:marRight w:val="0"/>
      <w:marTop w:val="0"/>
      <w:marBottom w:val="0"/>
      <w:divBdr>
        <w:top w:val="none" w:sz="0" w:space="0" w:color="auto"/>
        <w:left w:val="none" w:sz="0" w:space="0" w:color="auto"/>
        <w:bottom w:val="none" w:sz="0" w:space="0" w:color="auto"/>
        <w:right w:val="none" w:sz="0" w:space="0" w:color="auto"/>
      </w:divBdr>
    </w:div>
    <w:div w:id="78144220">
      <w:bodyDiv w:val="1"/>
      <w:marLeft w:val="0"/>
      <w:marRight w:val="0"/>
      <w:marTop w:val="0"/>
      <w:marBottom w:val="0"/>
      <w:divBdr>
        <w:top w:val="none" w:sz="0" w:space="0" w:color="auto"/>
        <w:left w:val="none" w:sz="0" w:space="0" w:color="auto"/>
        <w:bottom w:val="none" w:sz="0" w:space="0" w:color="auto"/>
        <w:right w:val="none" w:sz="0" w:space="0" w:color="auto"/>
      </w:divBdr>
    </w:div>
    <w:div w:id="93936623">
      <w:bodyDiv w:val="1"/>
      <w:marLeft w:val="0"/>
      <w:marRight w:val="0"/>
      <w:marTop w:val="0"/>
      <w:marBottom w:val="0"/>
      <w:divBdr>
        <w:top w:val="none" w:sz="0" w:space="0" w:color="auto"/>
        <w:left w:val="none" w:sz="0" w:space="0" w:color="auto"/>
        <w:bottom w:val="none" w:sz="0" w:space="0" w:color="auto"/>
        <w:right w:val="none" w:sz="0" w:space="0" w:color="auto"/>
      </w:divBdr>
      <w:divsChild>
        <w:div w:id="1311324724">
          <w:marLeft w:val="0"/>
          <w:marRight w:val="0"/>
          <w:marTop w:val="0"/>
          <w:marBottom w:val="0"/>
          <w:divBdr>
            <w:top w:val="none" w:sz="0" w:space="0" w:color="auto"/>
            <w:left w:val="none" w:sz="0" w:space="0" w:color="auto"/>
            <w:bottom w:val="none" w:sz="0" w:space="0" w:color="auto"/>
            <w:right w:val="none" w:sz="0" w:space="0" w:color="auto"/>
          </w:divBdr>
          <w:divsChild>
            <w:div w:id="1661880807">
              <w:marLeft w:val="0"/>
              <w:marRight w:val="0"/>
              <w:marTop w:val="0"/>
              <w:marBottom w:val="0"/>
              <w:divBdr>
                <w:top w:val="none" w:sz="0" w:space="0" w:color="auto"/>
                <w:left w:val="none" w:sz="0" w:space="0" w:color="auto"/>
                <w:bottom w:val="none" w:sz="0" w:space="0" w:color="auto"/>
                <w:right w:val="none" w:sz="0" w:space="0" w:color="auto"/>
              </w:divBdr>
              <w:divsChild>
                <w:div w:id="6342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1189">
      <w:bodyDiv w:val="1"/>
      <w:marLeft w:val="0"/>
      <w:marRight w:val="0"/>
      <w:marTop w:val="0"/>
      <w:marBottom w:val="0"/>
      <w:divBdr>
        <w:top w:val="none" w:sz="0" w:space="0" w:color="auto"/>
        <w:left w:val="none" w:sz="0" w:space="0" w:color="auto"/>
        <w:bottom w:val="none" w:sz="0" w:space="0" w:color="auto"/>
        <w:right w:val="none" w:sz="0" w:space="0" w:color="auto"/>
      </w:divBdr>
    </w:div>
    <w:div w:id="119618761">
      <w:bodyDiv w:val="1"/>
      <w:marLeft w:val="0"/>
      <w:marRight w:val="0"/>
      <w:marTop w:val="0"/>
      <w:marBottom w:val="0"/>
      <w:divBdr>
        <w:top w:val="none" w:sz="0" w:space="0" w:color="auto"/>
        <w:left w:val="none" w:sz="0" w:space="0" w:color="auto"/>
        <w:bottom w:val="none" w:sz="0" w:space="0" w:color="auto"/>
        <w:right w:val="none" w:sz="0" w:space="0" w:color="auto"/>
      </w:divBdr>
    </w:div>
    <w:div w:id="151339112">
      <w:bodyDiv w:val="1"/>
      <w:marLeft w:val="0"/>
      <w:marRight w:val="0"/>
      <w:marTop w:val="0"/>
      <w:marBottom w:val="0"/>
      <w:divBdr>
        <w:top w:val="none" w:sz="0" w:space="0" w:color="auto"/>
        <w:left w:val="none" w:sz="0" w:space="0" w:color="auto"/>
        <w:bottom w:val="none" w:sz="0" w:space="0" w:color="auto"/>
        <w:right w:val="none" w:sz="0" w:space="0" w:color="auto"/>
      </w:divBdr>
    </w:div>
    <w:div w:id="158348662">
      <w:bodyDiv w:val="1"/>
      <w:marLeft w:val="0"/>
      <w:marRight w:val="0"/>
      <w:marTop w:val="0"/>
      <w:marBottom w:val="0"/>
      <w:divBdr>
        <w:top w:val="none" w:sz="0" w:space="0" w:color="auto"/>
        <w:left w:val="none" w:sz="0" w:space="0" w:color="auto"/>
        <w:bottom w:val="none" w:sz="0" w:space="0" w:color="auto"/>
        <w:right w:val="none" w:sz="0" w:space="0" w:color="auto"/>
      </w:divBdr>
      <w:divsChild>
        <w:div w:id="1689064593">
          <w:marLeft w:val="0"/>
          <w:marRight w:val="0"/>
          <w:marTop w:val="0"/>
          <w:marBottom w:val="0"/>
          <w:divBdr>
            <w:top w:val="none" w:sz="0" w:space="0" w:color="auto"/>
            <w:left w:val="none" w:sz="0" w:space="0" w:color="auto"/>
            <w:bottom w:val="none" w:sz="0" w:space="0" w:color="auto"/>
            <w:right w:val="none" w:sz="0" w:space="0" w:color="auto"/>
          </w:divBdr>
          <w:divsChild>
            <w:div w:id="1297222650">
              <w:marLeft w:val="0"/>
              <w:marRight w:val="0"/>
              <w:marTop w:val="0"/>
              <w:marBottom w:val="0"/>
              <w:divBdr>
                <w:top w:val="none" w:sz="0" w:space="0" w:color="auto"/>
                <w:left w:val="none" w:sz="0" w:space="0" w:color="auto"/>
                <w:bottom w:val="none" w:sz="0" w:space="0" w:color="auto"/>
                <w:right w:val="none" w:sz="0" w:space="0" w:color="auto"/>
              </w:divBdr>
              <w:divsChild>
                <w:div w:id="1727726564">
                  <w:marLeft w:val="0"/>
                  <w:marRight w:val="0"/>
                  <w:marTop w:val="0"/>
                  <w:marBottom w:val="0"/>
                  <w:divBdr>
                    <w:top w:val="none" w:sz="0" w:space="0" w:color="auto"/>
                    <w:left w:val="none" w:sz="0" w:space="0" w:color="auto"/>
                    <w:bottom w:val="none" w:sz="0" w:space="0" w:color="auto"/>
                    <w:right w:val="none" w:sz="0" w:space="0" w:color="auto"/>
                  </w:divBdr>
                </w:div>
              </w:divsChild>
            </w:div>
            <w:div w:id="828061656">
              <w:marLeft w:val="0"/>
              <w:marRight w:val="0"/>
              <w:marTop w:val="0"/>
              <w:marBottom w:val="0"/>
              <w:divBdr>
                <w:top w:val="none" w:sz="0" w:space="0" w:color="auto"/>
                <w:left w:val="none" w:sz="0" w:space="0" w:color="auto"/>
                <w:bottom w:val="none" w:sz="0" w:space="0" w:color="auto"/>
                <w:right w:val="none" w:sz="0" w:space="0" w:color="auto"/>
              </w:divBdr>
              <w:divsChild>
                <w:div w:id="1552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1501">
      <w:bodyDiv w:val="1"/>
      <w:marLeft w:val="0"/>
      <w:marRight w:val="0"/>
      <w:marTop w:val="0"/>
      <w:marBottom w:val="0"/>
      <w:divBdr>
        <w:top w:val="none" w:sz="0" w:space="0" w:color="auto"/>
        <w:left w:val="none" w:sz="0" w:space="0" w:color="auto"/>
        <w:bottom w:val="none" w:sz="0" w:space="0" w:color="auto"/>
        <w:right w:val="none" w:sz="0" w:space="0" w:color="auto"/>
      </w:divBdr>
    </w:div>
    <w:div w:id="167717317">
      <w:bodyDiv w:val="1"/>
      <w:marLeft w:val="0"/>
      <w:marRight w:val="0"/>
      <w:marTop w:val="0"/>
      <w:marBottom w:val="0"/>
      <w:divBdr>
        <w:top w:val="none" w:sz="0" w:space="0" w:color="auto"/>
        <w:left w:val="none" w:sz="0" w:space="0" w:color="auto"/>
        <w:bottom w:val="none" w:sz="0" w:space="0" w:color="auto"/>
        <w:right w:val="none" w:sz="0" w:space="0" w:color="auto"/>
      </w:divBdr>
    </w:div>
    <w:div w:id="176431981">
      <w:bodyDiv w:val="1"/>
      <w:marLeft w:val="0"/>
      <w:marRight w:val="0"/>
      <w:marTop w:val="0"/>
      <w:marBottom w:val="0"/>
      <w:divBdr>
        <w:top w:val="none" w:sz="0" w:space="0" w:color="auto"/>
        <w:left w:val="none" w:sz="0" w:space="0" w:color="auto"/>
        <w:bottom w:val="none" w:sz="0" w:space="0" w:color="auto"/>
        <w:right w:val="none" w:sz="0" w:space="0" w:color="auto"/>
      </w:divBdr>
      <w:divsChild>
        <w:div w:id="1166507697">
          <w:marLeft w:val="0"/>
          <w:marRight w:val="0"/>
          <w:marTop w:val="0"/>
          <w:marBottom w:val="0"/>
          <w:divBdr>
            <w:top w:val="none" w:sz="0" w:space="0" w:color="auto"/>
            <w:left w:val="none" w:sz="0" w:space="0" w:color="auto"/>
            <w:bottom w:val="none" w:sz="0" w:space="0" w:color="auto"/>
            <w:right w:val="none" w:sz="0" w:space="0" w:color="auto"/>
          </w:divBdr>
          <w:divsChild>
            <w:div w:id="181632321">
              <w:marLeft w:val="0"/>
              <w:marRight w:val="0"/>
              <w:marTop w:val="0"/>
              <w:marBottom w:val="0"/>
              <w:divBdr>
                <w:top w:val="none" w:sz="0" w:space="0" w:color="auto"/>
                <w:left w:val="none" w:sz="0" w:space="0" w:color="auto"/>
                <w:bottom w:val="none" w:sz="0" w:space="0" w:color="auto"/>
                <w:right w:val="none" w:sz="0" w:space="0" w:color="auto"/>
              </w:divBdr>
              <w:divsChild>
                <w:div w:id="12414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4382">
      <w:bodyDiv w:val="1"/>
      <w:marLeft w:val="0"/>
      <w:marRight w:val="0"/>
      <w:marTop w:val="0"/>
      <w:marBottom w:val="0"/>
      <w:divBdr>
        <w:top w:val="none" w:sz="0" w:space="0" w:color="auto"/>
        <w:left w:val="none" w:sz="0" w:space="0" w:color="auto"/>
        <w:bottom w:val="none" w:sz="0" w:space="0" w:color="auto"/>
        <w:right w:val="none" w:sz="0" w:space="0" w:color="auto"/>
      </w:divBdr>
    </w:div>
    <w:div w:id="221644489">
      <w:bodyDiv w:val="1"/>
      <w:marLeft w:val="0"/>
      <w:marRight w:val="0"/>
      <w:marTop w:val="0"/>
      <w:marBottom w:val="0"/>
      <w:divBdr>
        <w:top w:val="none" w:sz="0" w:space="0" w:color="auto"/>
        <w:left w:val="none" w:sz="0" w:space="0" w:color="auto"/>
        <w:bottom w:val="none" w:sz="0" w:space="0" w:color="auto"/>
        <w:right w:val="none" w:sz="0" w:space="0" w:color="auto"/>
      </w:divBdr>
    </w:div>
    <w:div w:id="258756312">
      <w:bodyDiv w:val="1"/>
      <w:marLeft w:val="0"/>
      <w:marRight w:val="0"/>
      <w:marTop w:val="0"/>
      <w:marBottom w:val="0"/>
      <w:divBdr>
        <w:top w:val="none" w:sz="0" w:space="0" w:color="auto"/>
        <w:left w:val="none" w:sz="0" w:space="0" w:color="auto"/>
        <w:bottom w:val="none" w:sz="0" w:space="0" w:color="auto"/>
        <w:right w:val="none" w:sz="0" w:space="0" w:color="auto"/>
      </w:divBdr>
    </w:div>
    <w:div w:id="279653755">
      <w:bodyDiv w:val="1"/>
      <w:marLeft w:val="0"/>
      <w:marRight w:val="0"/>
      <w:marTop w:val="0"/>
      <w:marBottom w:val="0"/>
      <w:divBdr>
        <w:top w:val="none" w:sz="0" w:space="0" w:color="auto"/>
        <w:left w:val="none" w:sz="0" w:space="0" w:color="auto"/>
        <w:bottom w:val="none" w:sz="0" w:space="0" w:color="auto"/>
        <w:right w:val="none" w:sz="0" w:space="0" w:color="auto"/>
      </w:divBdr>
    </w:div>
    <w:div w:id="290938213">
      <w:bodyDiv w:val="1"/>
      <w:marLeft w:val="0"/>
      <w:marRight w:val="0"/>
      <w:marTop w:val="0"/>
      <w:marBottom w:val="0"/>
      <w:divBdr>
        <w:top w:val="none" w:sz="0" w:space="0" w:color="auto"/>
        <w:left w:val="none" w:sz="0" w:space="0" w:color="auto"/>
        <w:bottom w:val="none" w:sz="0" w:space="0" w:color="auto"/>
        <w:right w:val="none" w:sz="0" w:space="0" w:color="auto"/>
      </w:divBdr>
    </w:div>
    <w:div w:id="308100384">
      <w:bodyDiv w:val="1"/>
      <w:marLeft w:val="0"/>
      <w:marRight w:val="0"/>
      <w:marTop w:val="0"/>
      <w:marBottom w:val="0"/>
      <w:divBdr>
        <w:top w:val="none" w:sz="0" w:space="0" w:color="auto"/>
        <w:left w:val="none" w:sz="0" w:space="0" w:color="auto"/>
        <w:bottom w:val="none" w:sz="0" w:space="0" w:color="auto"/>
        <w:right w:val="none" w:sz="0" w:space="0" w:color="auto"/>
      </w:divBdr>
    </w:div>
    <w:div w:id="308479869">
      <w:bodyDiv w:val="1"/>
      <w:marLeft w:val="0"/>
      <w:marRight w:val="0"/>
      <w:marTop w:val="0"/>
      <w:marBottom w:val="0"/>
      <w:divBdr>
        <w:top w:val="none" w:sz="0" w:space="0" w:color="auto"/>
        <w:left w:val="none" w:sz="0" w:space="0" w:color="auto"/>
        <w:bottom w:val="none" w:sz="0" w:space="0" w:color="auto"/>
        <w:right w:val="none" w:sz="0" w:space="0" w:color="auto"/>
      </w:divBdr>
    </w:div>
    <w:div w:id="313723433">
      <w:bodyDiv w:val="1"/>
      <w:marLeft w:val="0"/>
      <w:marRight w:val="0"/>
      <w:marTop w:val="0"/>
      <w:marBottom w:val="0"/>
      <w:divBdr>
        <w:top w:val="none" w:sz="0" w:space="0" w:color="auto"/>
        <w:left w:val="none" w:sz="0" w:space="0" w:color="auto"/>
        <w:bottom w:val="none" w:sz="0" w:space="0" w:color="auto"/>
        <w:right w:val="none" w:sz="0" w:space="0" w:color="auto"/>
      </w:divBdr>
    </w:div>
    <w:div w:id="321012654">
      <w:bodyDiv w:val="1"/>
      <w:marLeft w:val="0"/>
      <w:marRight w:val="0"/>
      <w:marTop w:val="0"/>
      <w:marBottom w:val="0"/>
      <w:divBdr>
        <w:top w:val="none" w:sz="0" w:space="0" w:color="auto"/>
        <w:left w:val="none" w:sz="0" w:space="0" w:color="auto"/>
        <w:bottom w:val="none" w:sz="0" w:space="0" w:color="auto"/>
        <w:right w:val="none" w:sz="0" w:space="0" w:color="auto"/>
      </w:divBdr>
    </w:div>
    <w:div w:id="342706513">
      <w:bodyDiv w:val="1"/>
      <w:marLeft w:val="0"/>
      <w:marRight w:val="0"/>
      <w:marTop w:val="0"/>
      <w:marBottom w:val="0"/>
      <w:divBdr>
        <w:top w:val="none" w:sz="0" w:space="0" w:color="auto"/>
        <w:left w:val="none" w:sz="0" w:space="0" w:color="auto"/>
        <w:bottom w:val="none" w:sz="0" w:space="0" w:color="auto"/>
        <w:right w:val="none" w:sz="0" w:space="0" w:color="auto"/>
      </w:divBdr>
    </w:div>
    <w:div w:id="408893453">
      <w:bodyDiv w:val="1"/>
      <w:marLeft w:val="0"/>
      <w:marRight w:val="0"/>
      <w:marTop w:val="0"/>
      <w:marBottom w:val="0"/>
      <w:divBdr>
        <w:top w:val="none" w:sz="0" w:space="0" w:color="auto"/>
        <w:left w:val="none" w:sz="0" w:space="0" w:color="auto"/>
        <w:bottom w:val="none" w:sz="0" w:space="0" w:color="auto"/>
        <w:right w:val="none" w:sz="0" w:space="0" w:color="auto"/>
      </w:divBdr>
    </w:div>
    <w:div w:id="476994513">
      <w:bodyDiv w:val="1"/>
      <w:marLeft w:val="0"/>
      <w:marRight w:val="0"/>
      <w:marTop w:val="0"/>
      <w:marBottom w:val="0"/>
      <w:divBdr>
        <w:top w:val="none" w:sz="0" w:space="0" w:color="auto"/>
        <w:left w:val="none" w:sz="0" w:space="0" w:color="auto"/>
        <w:bottom w:val="none" w:sz="0" w:space="0" w:color="auto"/>
        <w:right w:val="none" w:sz="0" w:space="0" w:color="auto"/>
      </w:divBdr>
      <w:divsChild>
        <w:div w:id="317151813">
          <w:marLeft w:val="0"/>
          <w:marRight w:val="0"/>
          <w:marTop w:val="0"/>
          <w:marBottom w:val="0"/>
          <w:divBdr>
            <w:top w:val="none" w:sz="0" w:space="0" w:color="auto"/>
            <w:left w:val="none" w:sz="0" w:space="0" w:color="auto"/>
            <w:bottom w:val="none" w:sz="0" w:space="0" w:color="auto"/>
            <w:right w:val="none" w:sz="0" w:space="0" w:color="auto"/>
          </w:divBdr>
          <w:divsChild>
            <w:div w:id="1352100311">
              <w:marLeft w:val="0"/>
              <w:marRight w:val="0"/>
              <w:marTop w:val="0"/>
              <w:marBottom w:val="0"/>
              <w:divBdr>
                <w:top w:val="none" w:sz="0" w:space="0" w:color="auto"/>
                <w:left w:val="none" w:sz="0" w:space="0" w:color="auto"/>
                <w:bottom w:val="none" w:sz="0" w:space="0" w:color="auto"/>
                <w:right w:val="none" w:sz="0" w:space="0" w:color="auto"/>
              </w:divBdr>
              <w:divsChild>
                <w:div w:id="15489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2470">
      <w:bodyDiv w:val="1"/>
      <w:marLeft w:val="0"/>
      <w:marRight w:val="0"/>
      <w:marTop w:val="0"/>
      <w:marBottom w:val="0"/>
      <w:divBdr>
        <w:top w:val="none" w:sz="0" w:space="0" w:color="auto"/>
        <w:left w:val="none" w:sz="0" w:space="0" w:color="auto"/>
        <w:bottom w:val="none" w:sz="0" w:space="0" w:color="auto"/>
        <w:right w:val="none" w:sz="0" w:space="0" w:color="auto"/>
      </w:divBdr>
    </w:div>
    <w:div w:id="592010844">
      <w:bodyDiv w:val="1"/>
      <w:marLeft w:val="0"/>
      <w:marRight w:val="0"/>
      <w:marTop w:val="0"/>
      <w:marBottom w:val="0"/>
      <w:divBdr>
        <w:top w:val="none" w:sz="0" w:space="0" w:color="auto"/>
        <w:left w:val="none" w:sz="0" w:space="0" w:color="auto"/>
        <w:bottom w:val="none" w:sz="0" w:space="0" w:color="auto"/>
        <w:right w:val="none" w:sz="0" w:space="0" w:color="auto"/>
      </w:divBdr>
    </w:div>
    <w:div w:id="618294574">
      <w:bodyDiv w:val="1"/>
      <w:marLeft w:val="0"/>
      <w:marRight w:val="0"/>
      <w:marTop w:val="0"/>
      <w:marBottom w:val="0"/>
      <w:divBdr>
        <w:top w:val="none" w:sz="0" w:space="0" w:color="auto"/>
        <w:left w:val="none" w:sz="0" w:space="0" w:color="auto"/>
        <w:bottom w:val="none" w:sz="0" w:space="0" w:color="auto"/>
        <w:right w:val="none" w:sz="0" w:space="0" w:color="auto"/>
      </w:divBdr>
      <w:divsChild>
        <w:div w:id="1965386277">
          <w:marLeft w:val="0"/>
          <w:marRight w:val="0"/>
          <w:marTop w:val="0"/>
          <w:marBottom w:val="0"/>
          <w:divBdr>
            <w:top w:val="none" w:sz="0" w:space="0" w:color="auto"/>
            <w:left w:val="none" w:sz="0" w:space="0" w:color="auto"/>
            <w:bottom w:val="none" w:sz="0" w:space="0" w:color="auto"/>
            <w:right w:val="none" w:sz="0" w:space="0" w:color="auto"/>
          </w:divBdr>
          <w:divsChild>
            <w:div w:id="710803657">
              <w:marLeft w:val="0"/>
              <w:marRight w:val="0"/>
              <w:marTop w:val="0"/>
              <w:marBottom w:val="0"/>
              <w:divBdr>
                <w:top w:val="none" w:sz="0" w:space="0" w:color="auto"/>
                <w:left w:val="none" w:sz="0" w:space="0" w:color="auto"/>
                <w:bottom w:val="none" w:sz="0" w:space="0" w:color="auto"/>
                <w:right w:val="none" w:sz="0" w:space="0" w:color="auto"/>
              </w:divBdr>
              <w:divsChild>
                <w:div w:id="561869076">
                  <w:marLeft w:val="0"/>
                  <w:marRight w:val="0"/>
                  <w:marTop w:val="0"/>
                  <w:marBottom w:val="0"/>
                  <w:divBdr>
                    <w:top w:val="none" w:sz="0" w:space="0" w:color="auto"/>
                    <w:left w:val="none" w:sz="0" w:space="0" w:color="auto"/>
                    <w:bottom w:val="none" w:sz="0" w:space="0" w:color="auto"/>
                    <w:right w:val="none" w:sz="0" w:space="0" w:color="auto"/>
                  </w:divBdr>
                </w:div>
              </w:divsChild>
            </w:div>
            <w:div w:id="868568623">
              <w:marLeft w:val="0"/>
              <w:marRight w:val="0"/>
              <w:marTop w:val="0"/>
              <w:marBottom w:val="0"/>
              <w:divBdr>
                <w:top w:val="none" w:sz="0" w:space="0" w:color="auto"/>
                <w:left w:val="none" w:sz="0" w:space="0" w:color="auto"/>
                <w:bottom w:val="none" w:sz="0" w:space="0" w:color="auto"/>
                <w:right w:val="none" w:sz="0" w:space="0" w:color="auto"/>
              </w:divBdr>
              <w:divsChild>
                <w:div w:id="6522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30443">
      <w:bodyDiv w:val="1"/>
      <w:marLeft w:val="0"/>
      <w:marRight w:val="0"/>
      <w:marTop w:val="0"/>
      <w:marBottom w:val="0"/>
      <w:divBdr>
        <w:top w:val="none" w:sz="0" w:space="0" w:color="auto"/>
        <w:left w:val="none" w:sz="0" w:space="0" w:color="auto"/>
        <w:bottom w:val="none" w:sz="0" w:space="0" w:color="auto"/>
        <w:right w:val="none" w:sz="0" w:space="0" w:color="auto"/>
      </w:divBdr>
      <w:divsChild>
        <w:div w:id="120611377">
          <w:marLeft w:val="0"/>
          <w:marRight w:val="0"/>
          <w:marTop w:val="0"/>
          <w:marBottom w:val="0"/>
          <w:divBdr>
            <w:top w:val="none" w:sz="0" w:space="0" w:color="auto"/>
            <w:left w:val="none" w:sz="0" w:space="0" w:color="auto"/>
            <w:bottom w:val="none" w:sz="0" w:space="0" w:color="auto"/>
            <w:right w:val="none" w:sz="0" w:space="0" w:color="auto"/>
          </w:divBdr>
          <w:divsChild>
            <w:div w:id="606350197">
              <w:marLeft w:val="0"/>
              <w:marRight w:val="0"/>
              <w:marTop w:val="0"/>
              <w:marBottom w:val="0"/>
              <w:divBdr>
                <w:top w:val="none" w:sz="0" w:space="0" w:color="auto"/>
                <w:left w:val="none" w:sz="0" w:space="0" w:color="auto"/>
                <w:bottom w:val="none" w:sz="0" w:space="0" w:color="auto"/>
                <w:right w:val="none" w:sz="0" w:space="0" w:color="auto"/>
              </w:divBdr>
              <w:divsChild>
                <w:div w:id="666175736">
                  <w:marLeft w:val="0"/>
                  <w:marRight w:val="0"/>
                  <w:marTop w:val="0"/>
                  <w:marBottom w:val="0"/>
                  <w:divBdr>
                    <w:top w:val="none" w:sz="0" w:space="0" w:color="auto"/>
                    <w:left w:val="none" w:sz="0" w:space="0" w:color="auto"/>
                    <w:bottom w:val="none" w:sz="0" w:space="0" w:color="auto"/>
                    <w:right w:val="none" w:sz="0" w:space="0" w:color="auto"/>
                  </w:divBdr>
                </w:div>
              </w:divsChild>
            </w:div>
            <w:div w:id="1217400970">
              <w:marLeft w:val="0"/>
              <w:marRight w:val="0"/>
              <w:marTop w:val="0"/>
              <w:marBottom w:val="0"/>
              <w:divBdr>
                <w:top w:val="none" w:sz="0" w:space="0" w:color="auto"/>
                <w:left w:val="none" w:sz="0" w:space="0" w:color="auto"/>
                <w:bottom w:val="none" w:sz="0" w:space="0" w:color="auto"/>
                <w:right w:val="none" w:sz="0" w:space="0" w:color="auto"/>
              </w:divBdr>
              <w:divsChild>
                <w:div w:id="863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0063">
      <w:bodyDiv w:val="1"/>
      <w:marLeft w:val="0"/>
      <w:marRight w:val="0"/>
      <w:marTop w:val="0"/>
      <w:marBottom w:val="0"/>
      <w:divBdr>
        <w:top w:val="none" w:sz="0" w:space="0" w:color="auto"/>
        <w:left w:val="none" w:sz="0" w:space="0" w:color="auto"/>
        <w:bottom w:val="none" w:sz="0" w:space="0" w:color="auto"/>
        <w:right w:val="none" w:sz="0" w:space="0" w:color="auto"/>
      </w:divBdr>
      <w:divsChild>
        <w:div w:id="336270689">
          <w:marLeft w:val="0"/>
          <w:marRight w:val="0"/>
          <w:marTop w:val="0"/>
          <w:marBottom w:val="0"/>
          <w:divBdr>
            <w:top w:val="none" w:sz="0" w:space="0" w:color="auto"/>
            <w:left w:val="none" w:sz="0" w:space="0" w:color="auto"/>
            <w:bottom w:val="none" w:sz="0" w:space="0" w:color="auto"/>
            <w:right w:val="none" w:sz="0" w:space="0" w:color="auto"/>
          </w:divBdr>
          <w:divsChild>
            <w:div w:id="97677878">
              <w:marLeft w:val="0"/>
              <w:marRight w:val="0"/>
              <w:marTop w:val="0"/>
              <w:marBottom w:val="0"/>
              <w:divBdr>
                <w:top w:val="none" w:sz="0" w:space="0" w:color="auto"/>
                <w:left w:val="none" w:sz="0" w:space="0" w:color="auto"/>
                <w:bottom w:val="none" w:sz="0" w:space="0" w:color="auto"/>
                <w:right w:val="none" w:sz="0" w:space="0" w:color="auto"/>
              </w:divBdr>
              <w:divsChild>
                <w:div w:id="1087966519">
                  <w:marLeft w:val="0"/>
                  <w:marRight w:val="0"/>
                  <w:marTop w:val="0"/>
                  <w:marBottom w:val="0"/>
                  <w:divBdr>
                    <w:top w:val="none" w:sz="0" w:space="0" w:color="auto"/>
                    <w:left w:val="none" w:sz="0" w:space="0" w:color="auto"/>
                    <w:bottom w:val="none" w:sz="0" w:space="0" w:color="auto"/>
                    <w:right w:val="none" w:sz="0" w:space="0" w:color="auto"/>
                  </w:divBdr>
                </w:div>
              </w:divsChild>
            </w:div>
            <w:div w:id="380445746">
              <w:marLeft w:val="0"/>
              <w:marRight w:val="0"/>
              <w:marTop w:val="0"/>
              <w:marBottom w:val="0"/>
              <w:divBdr>
                <w:top w:val="none" w:sz="0" w:space="0" w:color="auto"/>
                <w:left w:val="none" w:sz="0" w:space="0" w:color="auto"/>
                <w:bottom w:val="none" w:sz="0" w:space="0" w:color="auto"/>
                <w:right w:val="none" w:sz="0" w:space="0" w:color="auto"/>
              </w:divBdr>
              <w:divsChild>
                <w:div w:id="4488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6766">
      <w:bodyDiv w:val="1"/>
      <w:marLeft w:val="0"/>
      <w:marRight w:val="0"/>
      <w:marTop w:val="0"/>
      <w:marBottom w:val="0"/>
      <w:divBdr>
        <w:top w:val="none" w:sz="0" w:space="0" w:color="auto"/>
        <w:left w:val="none" w:sz="0" w:space="0" w:color="auto"/>
        <w:bottom w:val="none" w:sz="0" w:space="0" w:color="auto"/>
        <w:right w:val="none" w:sz="0" w:space="0" w:color="auto"/>
      </w:divBdr>
    </w:div>
    <w:div w:id="814643492">
      <w:bodyDiv w:val="1"/>
      <w:marLeft w:val="0"/>
      <w:marRight w:val="0"/>
      <w:marTop w:val="0"/>
      <w:marBottom w:val="0"/>
      <w:divBdr>
        <w:top w:val="none" w:sz="0" w:space="0" w:color="auto"/>
        <w:left w:val="none" w:sz="0" w:space="0" w:color="auto"/>
        <w:bottom w:val="none" w:sz="0" w:space="0" w:color="auto"/>
        <w:right w:val="none" w:sz="0" w:space="0" w:color="auto"/>
      </w:divBdr>
      <w:divsChild>
        <w:div w:id="586352688">
          <w:marLeft w:val="0"/>
          <w:marRight w:val="0"/>
          <w:marTop w:val="0"/>
          <w:marBottom w:val="0"/>
          <w:divBdr>
            <w:top w:val="none" w:sz="0" w:space="0" w:color="auto"/>
            <w:left w:val="none" w:sz="0" w:space="0" w:color="auto"/>
            <w:bottom w:val="none" w:sz="0" w:space="0" w:color="auto"/>
            <w:right w:val="none" w:sz="0" w:space="0" w:color="auto"/>
          </w:divBdr>
          <w:divsChild>
            <w:div w:id="1915775424">
              <w:marLeft w:val="0"/>
              <w:marRight w:val="0"/>
              <w:marTop w:val="0"/>
              <w:marBottom w:val="0"/>
              <w:divBdr>
                <w:top w:val="none" w:sz="0" w:space="0" w:color="auto"/>
                <w:left w:val="none" w:sz="0" w:space="0" w:color="auto"/>
                <w:bottom w:val="none" w:sz="0" w:space="0" w:color="auto"/>
                <w:right w:val="none" w:sz="0" w:space="0" w:color="auto"/>
              </w:divBdr>
              <w:divsChild>
                <w:div w:id="1785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6669">
      <w:bodyDiv w:val="1"/>
      <w:marLeft w:val="0"/>
      <w:marRight w:val="0"/>
      <w:marTop w:val="0"/>
      <w:marBottom w:val="0"/>
      <w:divBdr>
        <w:top w:val="none" w:sz="0" w:space="0" w:color="auto"/>
        <w:left w:val="none" w:sz="0" w:space="0" w:color="auto"/>
        <w:bottom w:val="none" w:sz="0" w:space="0" w:color="auto"/>
        <w:right w:val="none" w:sz="0" w:space="0" w:color="auto"/>
      </w:divBdr>
      <w:divsChild>
        <w:div w:id="1401749912">
          <w:marLeft w:val="0"/>
          <w:marRight w:val="0"/>
          <w:marTop w:val="0"/>
          <w:marBottom w:val="0"/>
          <w:divBdr>
            <w:top w:val="none" w:sz="0" w:space="0" w:color="auto"/>
            <w:left w:val="none" w:sz="0" w:space="0" w:color="auto"/>
            <w:bottom w:val="none" w:sz="0" w:space="0" w:color="auto"/>
            <w:right w:val="none" w:sz="0" w:space="0" w:color="auto"/>
          </w:divBdr>
          <w:divsChild>
            <w:div w:id="1728799139">
              <w:marLeft w:val="0"/>
              <w:marRight w:val="0"/>
              <w:marTop w:val="0"/>
              <w:marBottom w:val="0"/>
              <w:divBdr>
                <w:top w:val="none" w:sz="0" w:space="0" w:color="auto"/>
                <w:left w:val="none" w:sz="0" w:space="0" w:color="auto"/>
                <w:bottom w:val="none" w:sz="0" w:space="0" w:color="auto"/>
                <w:right w:val="none" w:sz="0" w:space="0" w:color="auto"/>
              </w:divBdr>
              <w:divsChild>
                <w:div w:id="14054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73035">
      <w:bodyDiv w:val="1"/>
      <w:marLeft w:val="0"/>
      <w:marRight w:val="0"/>
      <w:marTop w:val="0"/>
      <w:marBottom w:val="0"/>
      <w:divBdr>
        <w:top w:val="none" w:sz="0" w:space="0" w:color="auto"/>
        <w:left w:val="none" w:sz="0" w:space="0" w:color="auto"/>
        <w:bottom w:val="none" w:sz="0" w:space="0" w:color="auto"/>
        <w:right w:val="none" w:sz="0" w:space="0" w:color="auto"/>
      </w:divBdr>
    </w:div>
    <w:div w:id="887885095">
      <w:bodyDiv w:val="1"/>
      <w:marLeft w:val="0"/>
      <w:marRight w:val="0"/>
      <w:marTop w:val="0"/>
      <w:marBottom w:val="0"/>
      <w:divBdr>
        <w:top w:val="none" w:sz="0" w:space="0" w:color="auto"/>
        <w:left w:val="none" w:sz="0" w:space="0" w:color="auto"/>
        <w:bottom w:val="none" w:sz="0" w:space="0" w:color="auto"/>
        <w:right w:val="none" w:sz="0" w:space="0" w:color="auto"/>
      </w:divBdr>
      <w:divsChild>
        <w:div w:id="32509697">
          <w:marLeft w:val="0"/>
          <w:marRight w:val="0"/>
          <w:marTop w:val="0"/>
          <w:marBottom w:val="0"/>
          <w:divBdr>
            <w:top w:val="none" w:sz="0" w:space="0" w:color="auto"/>
            <w:left w:val="none" w:sz="0" w:space="0" w:color="auto"/>
            <w:bottom w:val="none" w:sz="0" w:space="0" w:color="auto"/>
            <w:right w:val="none" w:sz="0" w:space="0" w:color="auto"/>
          </w:divBdr>
          <w:divsChild>
            <w:div w:id="162938841">
              <w:marLeft w:val="0"/>
              <w:marRight w:val="0"/>
              <w:marTop w:val="0"/>
              <w:marBottom w:val="0"/>
              <w:divBdr>
                <w:top w:val="none" w:sz="0" w:space="0" w:color="auto"/>
                <w:left w:val="none" w:sz="0" w:space="0" w:color="auto"/>
                <w:bottom w:val="none" w:sz="0" w:space="0" w:color="auto"/>
                <w:right w:val="none" w:sz="0" w:space="0" w:color="auto"/>
              </w:divBdr>
              <w:divsChild>
                <w:div w:id="1821457612">
                  <w:marLeft w:val="0"/>
                  <w:marRight w:val="0"/>
                  <w:marTop w:val="0"/>
                  <w:marBottom w:val="0"/>
                  <w:divBdr>
                    <w:top w:val="none" w:sz="0" w:space="0" w:color="auto"/>
                    <w:left w:val="none" w:sz="0" w:space="0" w:color="auto"/>
                    <w:bottom w:val="none" w:sz="0" w:space="0" w:color="auto"/>
                    <w:right w:val="none" w:sz="0" w:space="0" w:color="auto"/>
                  </w:divBdr>
                </w:div>
              </w:divsChild>
            </w:div>
            <w:div w:id="316736118">
              <w:marLeft w:val="0"/>
              <w:marRight w:val="0"/>
              <w:marTop w:val="0"/>
              <w:marBottom w:val="0"/>
              <w:divBdr>
                <w:top w:val="none" w:sz="0" w:space="0" w:color="auto"/>
                <w:left w:val="none" w:sz="0" w:space="0" w:color="auto"/>
                <w:bottom w:val="none" w:sz="0" w:space="0" w:color="auto"/>
                <w:right w:val="none" w:sz="0" w:space="0" w:color="auto"/>
              </w:divBdr>
              <w:divsChild>
                <w:div w:id="21413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9598">
      <w:bodyDiv w:val="1"/>
      <w:marLeft w:val="0"/>
      <w:marRight w:val="0"/>
      <w:marTop w:val="0"/>
      <w:marBottom w:val="0"/>
      <w:divBdr>
        <w:top w:val="none" w:sz="0" w:space="0" w:color="auto"/>
        <w:left w:val="none" w:sz="0" w:space="0" w:color="auto"/>
        <w:bottom w:val="none" w:sz="0" w:space="0" w:color="auto"/>
        <w:right w:val="none" w:sz="0" w:space="0" w:color="auto"/>
      </w:divBdr>
      <w:divsChild>
        <w:div w:id="2000689896">
          <w:marLeft w:val="0"/>
          <w:marRight w:val="0"/>
          <w:marTop w:val="0"/>
          <w:marBottom w:val="0"/>
          <w:divBdr>
            <w:top w:val="none" w:sz="0" w:space="0" w:color="auto"/>
            <w:left w:val="none" w:sz="0" w:space="0" w:color="auto"/>
            <w:bottom w:val="none" w:sz="0" w:space="0" w:color="auto"/>
            <w:right w:val="none" w:sz="0" w:space="0" w:color="auto"/>
          </w:divBdr>
          <w:divsChild>
            <w:div w:id="2127583122">
              <w:marLeft w:val="0"/>
              <w:marRight w:val="0"/>
              <w:marTop w:val="0"/>
              <w:marBottom w:val="0"/>
              <w:divBdr>
                <w:top w:val="none" w:sz="0" w:space="0" w:color="auto"/>
                <w:left w:val="none" w:sz="0" w:space="0" w:color="auto"/>
                <w:bottom w:val="none" w:sz="0" w:space="0" w:color="auto"/>
                <w:right w:val="none" w:sz="0" w:space="0" w:color="auto"/>
              </w:divBdr>
              <w:divsChild>
                <w:div w:id="1092236415">
                  <w:marLeft w:val="0"/>
                  <w:marRight w:val="0"/>
                  <w:marTop w:val="0"/>
                  <w:marBottom w:val="0"/>
                  <w:divBdr>
                    <w:top w:val="none" w:sz="0" w:space="0" w:color="auto"/>
                    <w:left w:val="none" w:sz="0" w:space="0" w:color="auto"/>
                    <w:bottom w:val="none" w:sz="0" w:space="0" w:color="auto"/>
                    <w:right w:val="none" w:sz="0" w:space="0" w:color="auto"/>
                  </w:divBdr>
                </w:div>
              </w:divsChild>
            </w:div>
            <w:div w:id="515389624">
              <w:marLeft w:val="0"/>
              <w:marRight w:val="0"/>
              <w:marTop w:val="0"/>
              <w:marBottom w:val="0"/>
              <w:divBdr>
                <w:top w:val="none" w:sz="0" w:space="0" w:color="auto"/>
                <w:left w:val="none" w:sz="0" w:space="0" w:color="auto"/>
                <w:bottom w:val="none" w:sz="0" w:space="0" w:color="auto"/>
                <w:right w:val="none" w:sz="0" w:space="0" w:color="auto"/>
              </w:divBdr>
              <w:divsChild>
                <w:div w:id="7248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30828">
      <w:bodyDiv w:val="1"/>
      <w:marLeft w:val="0"/>
      <w:marRight w:val="0"/>
      <w:marTop w:val="0"/>
      <w:marBottom w:val="0"/>
      <w:divBdr>
        <w:top w:val="none" w:sz="0" w:space="0" w:color="auto"/>
        <w:left w:val="none" w:sz="0" w:space="0" w:color="auto"/>
        <w:bottom w:val="none" w:sz="0" w:space="0" w:color="auto"/>
        <w:right w:val="none" w:sz="0" w:space="0" w:color="auto"/>
      </w:divBdr>
      <w:divsChild>
        <w:div w:id="812866458">
          <w:marLeft w:val="0"/>
          <w:marRight w:val="0"/>
          <w:marTop w:val="0"/>
          <w:marBottom w:val="0"/>
          <w:divBdr>
            <w:top w:val="none" w:sz="0" w:space="0" w:color="auto"/>
            <w:left w:val="none" w:sz="0" w:space="0" w:color="auto"/>
            <w:bottom w:val="none" w:sz="0" w:space="0" w:color="auto"/>
            <w:right w:val="none" w:sz="0" w:space="0" w:color="auto"/>
          </w:divBdr>
          <w:divsChild>
            <w:div w:id="978001850">
              <w:marLeft w:val="0"/>
              <w:marRight w:val="0"/>
              <w:marTop w:val="0"/>
              <w:marBottom w:val="0"/>
              <w:divBdr>
                <w:top w:val="none" w:sz="0" w:space="0" w:color="auto"/>
                <w:left w:val="none" w:sz="0" w:space="0" w:color="auto"/>
                <w:bottom w:val="none" w:sz="0" w:space="0" w:color="auto"/>
                <w:right w:val="none" w:sz="0" w:space="0" w:color="auto"/>
              </w:divBdr>
              <w:divsChild>
                <w:div w:id="21001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3925">
      <w:bodyDiv w:val="1"/>
      <w:marLeft w:val="0"/>
      <w:marRight w:val="0"/>
      <w:marTop w:val="0"/>
      <w:marBottom w:val="0"/>
      <w:divBdr>
        <w:top w:val="none" w:sz="0" w:space="0" w:color="auto"/>
        <w:left w:val="none" w:sz="0" w:space="0" w:color="auto"/>
        <w:bottom w:val="none" w:sz="0" w:space="0" w:color="auto"/>
        <w:right w:val="none" w:sz="0" w:space="0" w:color="auto"/>
      </w:divBdr>
    </w:div>
    <w:div w:id="989678706">
      <w:bodyDiv w:val="1"/>
      <w:marLeft w:val="0"/>
      <w:marRight w:val="0"/>
      <w:marTop w:val="0"/>
      <w:marBottom w:val="0"/>
      <w:divBdr>
        <w:top w:val="none" w:sz="0" w:space="0" w:color="auto"/>
        <w:left w:val="none" w:sz="0" w:space="0" w:color="auto"/>
        <w:bottom w:val="none" w:sz="0" w:space="0" w:color="auto"/>
        <w:right w:val="none" w:sz="0" w:space="0" w:color="auto"/>
      </w:divBdr>
    </w:div>
    <w:div w:id="1045645523">
      <w:bodyDiv w:val="1"/>
      <w:marLeft w:val="0"/>
      <w:marRight w:val="0"/>
      <w:marTop w:val="0"/>
      <w:marBottom w:val="0"/>
      <w:divBdr>
        <w:top w:val="none" w:sz="0" w:space="0" w:color="auto"/>
        <w:left w:val="none" w:sz="0" w:space="0" w:color="auto"/>
        <w:bottom w:val="none" w:sz="0" w:space="0" w:color="auto"/>
        <w:right w:val="none" w:sz="0" w:space="0" w:color="auto"/>
      </w:divBdr>
    </w:div>
    <w:div w:id="1101536951">
      <w:bodyDiv w:val="1"/>
      <w:marLeft w:val="0"/>
      <w:marRight w:val="0"/>
      <w:marTop w:val="0"/>
      <w:marBottom w:val="0"/>
      <w:divBdr>
        <w:top w:val="none" w:sz="0" w:space="0" w:color="auto"/>
        <w:left w:val="none" w:sz="0" w:space="0" w:color="auto"/>
        <w:bottom w:val="none" w:sz="0" w:space="0" w:color="auto"/>
        <w:right w:val="none" w:sz="0" w:space="0" w:color="auto"/>
      </w:divBdr>
      <w:divsChild>
        <w:div w:id="587468562">
          <w:marLeft w:val="0"/>
          <w:marRight w:val="0"/>
          <w:marTop w:val="0"/>
          <w:marBottom w:val="0"/>
          <w:divBdr>
            <w:top w:val="none" w:sz="0" w:space="0" w:color="auto"/>
            <w:left w:val="none" w:sz="0" w:space="0" w:color="auto"/>
            <w:bottom w:val="none" w:sz="0" w:space="0" w:color="auto"/>
            <w:right w:val="none" w:sz="0" w:space="0" w:color="auto"/>
          </w:divBdr>
          <w:divsChild>
            <w:div w:id="2137983498">
              <w:marLeft w:val="0"/>
              <w:marRight w:val="0"/>
              <w:marTop w:val="0"/>
              <w:marBottom w:val="0"/>
              <w:divBdr>
                <w:top w:val="none" w:sz="0" w:space="0" w:color="auto"/>
                <w:left w:val="none" w:sz="0" w:space="0" w:color="auto"/>
                <w:bottom w:val="none" w:sz="0" w:space="0" w:color="auto"/>
                <w:right w:val="none" w:sz="0" w:space="0" w:color="auto"/>
              </w:divBdr>
              <w:divsChild>
                <w:div w:id="1857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8989">
      <w:bodyDiv w:val="1"/>
      <w:marLeft w:val="0"/>
      <w:marRight w:val="0"/>
      <w:marTop w:val="0"/>
      <w:marBottom w:val="0"/>
      <w:divBdr>
        <w:top w:val="none" w:sz="0" w:space="0" w:color="auto"/>
        <w:left w:val="none" w:sz="0" w:space="0" w:color="auto"/>
        <w:bottom w:val="none" w:sz="0" w:space="0" w:color="auto"/>
        <w:right w:val="none" w:sz="0" w:space="0" w:color="auto"/>
      </w:divBdr>
      <w:divsChild>
        <w:div w:id="1941990232">
          <w:marLeft w:val="0"/>
          <w:marRight w:val="0"/>
          <w:marTop w:val="0"/>
          <w:marBottom w:val="0"/>
          <w:divBdr>
            <w:top w:val="none" w:sz="0" w:space="0" w:color="auto"/>
            <w:left w:val="none" w:sz="0" w:space="0" w:color="auto"/>
            <w:bottom w:val="none" w:sz="0" w:space="0" w:color="auto"/>
            <w:right w:val="none" w:sz="0" w:space="0" w:color="auto"/>
          </w:divBdr>
          <w:divsChild>
            <w:div w:id="1700160986">
              <w:marLeft w:val="0"/>
              <w:marRight w:val="0"/>
              <w:marTop w:val="0"/>
              <w:marBottom w:val="0"/>
              <w:divBdr>
                <w:top w:val="none" w:sz="0" w:space="0" w:color="auto"/>
                <w:left w:val="none" w:sz="0" w:space="0" w:color="auto"/>
                <w:bottom w:val="none" w:sz="0" w:space="0" w:color="auto"/>
                <w:right w:val="none" w:sz="0" w:space="0" w:color="auto"/>
              </w:divBdr>
              <w:divsChild>
                <w:div w:id="940642975">
                  <w:marLeft w:val="0"/>
                  <w:marRight w:val="0"/>
                  <w:marTop w:val="0"/>
                  <w:marBottom w:val="0"/>
                  <w:divBdr>
                    <w:top w:val="none" w:sz="0" w:space="0" w:color="auto"/>
                    <w:left w:val="none" w:sz="0" w:space="0" w:color="auto"/>
                    <w:bottom w:val="none" w:sz="0" w:space="0" w:color="auto"/>
                    <w:right w:val="none" w:sz="0" w:space="0" w:color="auto"/>
                  </w:divBdr>
                </w:div>
              </w:divsChild>
            </w:div>
            <w:div w:id="1961062311">
              <w:marLeft w:val="0"/>
              <w:marRight w:val="0"/>
              <w:marTop w:val="0"/>
              <w:marBottom w:val="0"/>
              <w:divBdr>
                <w:top w:val="none" w:sz="0" w:space="0" w:color="auto"/>
                <w:left w:val="none" w:sz="0" w:space="0" w:color="auto"/>
                <w:bottom w:val="none" w:sz="0" w:space="0" w:color="auto"/>
                <w:right w:val="none" w:sz="0" w:space="0" w:color="auto"/>
              </w:divBdr>
              <w:divsChild>
                <w:div w:id="20622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3079">
      <w:bodyDiv w:val="1"/>
      <w:marLeft w:val="0"/>
      <w:marRight w:val="0"/>
      <w:marTop w:val="0"/>
      <w:marBottom w:val="0"/>
      <w:divBdr>
        <w:top w:val="none" w:sz="0" w:space="0" w:color="auto"/>
        <w:left w:val="none" w:sz="0" w:space="0" w:color="auto"/>
        <w:bottom w:val="none" w:sz="0" w:space="0" w:color="auto"/>
        <w:right w:val="none" w:sz="0" w:space="0" w:color="auto"/>
      </w:divBdr>
    </w:div>
    <w:div w:id="1160386045">
      <w:bodyDiv w:val="1"/>
      <w:marLeft w:val="0"/>
      <w:marRight w:val="0"/>
      <w:marTop w:val="0"/>
      <w:marBottom w:val="0"/>
      <w:divBdr>
        <w:top w:val="none" w:sz="0" w:space="0" w:color="auto"/>
        <w:left w:val="none" w:sz="0" w:space="0" w:color="auto"/>
        <w:bottom w:val="none" w:sz="0" w:space="0" w:color="auto"/>
        <w:right w:val="none" w:sz="0" w:space="0" w:color="auto"/>
      </w:divBdr>
    </w:div>
    <w:div w:id="1167940505">
      <w:bodyDiv w:val="1"/>
      <w:marLeft w:val="0"/>
      <w:marRight w:val="0"/>
      <w:marTop w:val="0"/>
      <w:marBottom w:val="0"/>
      <w:divBdr>
        <w:top w:val="none" w:sz="0" w:space="0" w:color="auto"/>
        <w:left w:val="none" w:sz="0" w:space="0" w:color="auto"/>
        <w:bottom w:val="none" w:sz="0" w:space="0" w:color="auto"/>
        <w:right w:val="none" w:sz="0" w:space="0" w:color="auto"/>
      </w:divBdr>
    </w:div>
    <w:div w:id="1212613741">
      <w:bodyDiv w:val="1"/>
      <w:marLeft w:val="0"/>
      <w:marRight w:val="0"/>
      <w:marTop w:val="0"/>
      <w:marBottom w:val="0"/>
      <w:divBdr>
        <w:top w:val="none" w:sz="0" w:space="0" w:color="auto"/>
        <w:left w:val="none" w:sz="0" w:space="0" w:color="auto"/>
        <w:bottom w:val="none" w:sz="0" w:space="0" w:color="auto"/>
        <w:right w:val="none" w:sz="0" w:space="0" w:color="auto"/>
      </w:divBdr>
    </w:div>
    <w:div w:id="1218661994">
      <w:bodyDiv w:val="1"/>
      <w:marLeft w:val="0"/>
      <w:marRight w:val="0"/>
      <w:marTop w:val="0"/>
      <w:marBottom w:val="0"/>
      <w:divBdr>
        <w:top w:val="none" w:sz="0" w:space="0" w:color="auto"/>
        <w:left w:val="none" w:sz="0" w:space="0" w:color="auto"/>
        <w:bottom w:val="none" w:sz="0" w:space="0" w:color="auto"/>
        <w:right w:val="none" w:sz="0" w:space="0" w:color="auto"/>
      </w:divBdr>
    </w:div>
    <w:div w:id="1256013817">
      <w:bodyDiv w:val="1"/>
      <w:marLeft w:val="0"/>
      <w:marRight w:val="0"/>
      <w:marTop w:val="0"/>
      <w:marBottom w:val="0"/>
      <w:divBdr>
        <w:top w:val="none" w:sz="0" w:space="0" w:color="auto"/>
        <w:left w:val="none" w:sz="0" w:space="0" w:color="auto"/>
        <w:bottom w:val="none" w:sz="0" w:space="0" w:color="auto"/>
        <w:right w:val="none" w:sz="0" w:space="0" w:color="auto"/>
      </w:divBdr>
    </w:div>
    <w:div w:id="1278869507">
      <w:bodyDiv w:val="1"/>
      <w:marLeft w:val="0"/>
      <w:marRight w:val="0"/>
      <w:marTop w:val="0"/>
      <w:marBottom w:val="0"/>
      <w:divBdr>
        <w:top w:val="none" w:sz="0" w:space="0" w:color="auto"/>
        <w:left w:val="none" w:sz="0" w:space="0" w:color="auto"/>
        <w:bottom w:val="none" w:sz="0" w:space="0" w:color="auto"/>
        <w:right w:val="none" w:sz="0" w:space="0" w:color="auto"/>
      </w:divBdr>
    </w:div>
    <w:div w:id="1346902017">
      <w:bodyDiv w:val="1"/>
      <w:marLeft w:val="0"/>
      <w:marRight w:val="0"/>
      <w:marTop w:val="0"/>
      <w:marBottom w:val="0"/>
      <w:divBdr>
        <w:top w:val="none" w:sz="0" w:space="0" w:color="auto"/>
        <w:left w:val="none" w:sz="0" w:space="0" w:color="auto"/>
        <w:bottom w:val="none" w:sz="0" w:space="0" w:color="auto"/>
        <w:right w:val="none" w:sz="0" w:space="0" w:color="auto"/>
      </w:divBdr>
      <w:divsChild>
        <w:div w:id="1707830672">
          <w:marLeft w:val="0"/>
          <w:marRight w:val="0"/>
          <w:marTop w:val="0"/>
          <w:marBottom w:val="0"/>
          <w:divBdr>
            <w:top w:val="none" w:sz="0" w:space="0" w:color="auto"/>
            <w:left w:val="none" w:sz="0" w:space="0" w:color="auto"/>
            <w:bottom w:val="none" w:sz="0" w:space="0" w:color="auto"/>
            <w:right w:val="none" w:sz="0" w:space="0" w:color="auto"/>
          </w:divBdr>
          <w:divsChild>
            <w:div w:id="213781541">
              <w:marLeft w:val="0"/>
              <w:marRight w:val="0"/>
              <w:marTop w:val="0"/>
              <w:marBottom w:val="0"/>
              <w:divBdr>
                <w:top w:val="none" w:sz="0" w:space="0" w:color="auto"/>
                <w:left w:val="none" w:sz="0" w:space="0" w:color="auto"/>
                <w:bottom w:val="none" w:sz="0" w:space="0" w:color="auto"/>
                <w:right w:val="none" w:sz="0" w:space="0" w:color="auto"/>
              </w:divBdr>
              <w:divsChild>
                <w:div w:id="13244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7330">
      <w:bodyDiv w:val="1"/>
      <w:marLeft w:val="0"/>
      <w:marRight w:val="0"/>
      <w:marTop w:val="0"/>
      <w:marBottom w:val="0"/>
      <w:divBdr>
        <w:top w:val="none" w:sz="0" w:space="0" w:color="auto"/>
        <w:left w:val="none" w:sz="0" w:space="0" w:color="auto"/>
        <w:bottom w:val="none" w:sz="0" w:space="0" w:color="auto"/>
        <w:right w:val="none" w:sz="0" w:space="0" w:color="auto"/>
      </w:divBdr>
      <w:divsChild>
        <w:div w:id="916666160">
          <w:marLeft w:val="0"/>
          <w:marRight w:val="0"/>
          <w:marTop w:val="0"/>
          <w:marBottom w:val="0"/>
          <w:divBdr>
            <w:top w:val="none" w:sz="0" w:space="0" w:color="auto"/>
            <w:left w:val="none" w:sz="0" w:space="0" w:color="auto"/>
            <w:bottom w:val="none" w:sz="0" w:space="0" w:color="auto"/>
            <w:right w:val="none" w:sz="0" w:space="0" w:color="auto"/>
          </w:divBdr>
          <w:divsChild>
            <w:div w:id="1001929527">
              <w:marLeft w:val="0"/>
              <w:marRight w:val="0"/>
              <w:marTop w:val="0"/>
              <w:marBottom w:val="0"/>
              <w:divBdr>
                <w:top w:val="none" w:sz="0" w:space="0" w:color="auto"/>
                <w:left w:val="none" w:sz="0" w:space="0" w:color="auto"/>
                <w:bottom w:val="none" w:sz="0" w:space="0" w:color="auto"/>
                <w:right w:val="none" w:sz="0" w:space="0" w:color="auto"/>
              </w:divBdr>
              <w:divsChild>
                <w:div w:id="1530100412">
                  <w:marLeft w:val="0"/>
                  <w:marRight w:val="0"/>
                  <w:marTop w:val="0"/>
                  <w:marBottom w:val="0"/>
                  <w:divBdr>
                    <w:top w:val="none" w:sz="0" w:space="0" w:color="auto"/>
                    <w:left w:val="none" w:sz="0" w:space="0" w:color="auto"/>
                    <w:bottom w:val="none" w:sz="0" w:space="0" w:color="auto"/>
                    <w:right w:val="none" w:sz="0" w:space="0" w:color="auto"/>
                  </w:divBdr>
                </w:div>
              </w:divsChild>
            </w:div>
            <w:div w:id="1413821802">
              <w:marLeft w:val="0"/>
              <w:marRight w:val="0"/>
              <w:marTop w:val="0"/>
              <w:marBottom w:val="0"/>
              <w:divBdr>
                <w:top w:val="none" w:sz="0" w:space="0" w:color="auto"/>
                <w:left w:val="none" w:sz="0" w:space="0" w:color="auto"/>
                <w:bottom w:val="none" w:sz="0" w:space="0" w:color="auto"/>
                <w:right w:val="none" w:sz="0" w:space="0" w:color="auto"/>
              </w:divBdr>
              <w:divsChild>
                <w:div w:id="10258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701">
      <w:bodyDiv w:val="1"/>
      <w:marLeft w:val="0"/>
      <w:marRight w:val="0"/>
      <w:marTop w:val="0"/>
      <w:marBottom w:val="0"/>
      <w:divBdr>
        <w:top w:val="none" w:sz="0" w:space="0" w:color="auto"/>
        <w:left w:val="none" w:sz="0" w:space="0" w:color="auto"/>
        <w:bottom w:val="none" w:sz="0" w:space="0" w:color="auto"/>
        <w:right w:val="none" w:sz="0" w:space="0" w:color="auto"/>
      </w:divBdr>
    </w:div>
    <w:div w:id="1485050408">
      <w:bodyDiv w:val="1"/>
      <w:marLeft w:val="0"/>
      <w:marRight w:val="0"/>
      <w:marTop w:val="0"/>
      <w:marBottom w:val="0"/>
      <w:divBdr>
        <w:top w:val="none" w:sz="0" w:space="0" w:color="auto"/>
        <w:left w:val="none" w:sz="0" w:space="0" w:color="auto"/>
        <w:bottom w:val="none" w:sz="0" w:space="0" w:color="auto"/>
        <w:right w:val="none" w:sz="0" w:space="0" w:color="auto"/>
      </w:divBdr>
      <w:divsChild>
        <w:div w:id="646055895">
          <w:blockQuote w:val="1"/>
          <w:marLeft w:val="480"/>
          <w:marRight w:val="0"/>
          <w:marTop w:val="0"/>
          <w:marBottom w:val="0"/>
          <w:divBdr>
            <w:top w:val="none" w:sz="0" w:space="0" w:color="auto"/>
            <w:left w:val="none" w:sz="0" w:space="0" w:color="auto"/>
            <w:bottom w:val="none" w:sz="0" w:space="0" w:color="auto"/>
            <w:right w:val="none" w:sz="0" w:space="0" w:color="auto"/>
          </w:divBdr>
        </w:div>
        <w:div w:id="1811248619">
          <w:blockQuote w:val="1"/>
          <w:marLeft w:val="480"/>
          <w:marRight w:val="0"/>
          <w:marTop w:val="0"/>
          <w:marBottom w:val="0"/>
          <w:divBdr>
            <w:top w:val="none" w:sz="0" w:space="0" w:color="auto"/>
            <w:left w:val="none" w:sz="0" w:space="0" w:color="auto"/>
            <w:bottom w:val="none" w:sz="0" w:space="0" w:color="auto"/>
            <w:right w:val="none" w:sz="0" w:space="0" w:color="auto"/>
          </w:divBdr>
          <w:divsChild>
            <w:div w:id="147260159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0850954">
      <w:bodyDiv w:val="1"/>
      <w:marLeft w:val="0"/>
      <w:marRight w:val="0"/>
      <w:marTop w:val="0"/>
      <w:marBottom w:val="0"/>
      <w:divBdr>
        <w:top w:val="none" w:sz="0" w:space="0" w:color="auto"/>
        <w:left w:val="none" w:sz="0" w:space="0" w:color="auto"/>
        <w:bottom w:val="none" w:sz="0" w:space="0" w:color="auto"/>
        <w:right w:val="none" w:sz="0" w:space="0" w:color="auto"/>
      </w:divBdr>
      <w:divsChild>
        <w:div w:id="1795518740">
          <w:blockQuote w:val="1"/>
          <w:marLeft w:val="480"/>
          <w:marRight w:val="0"/>
          <w:marTop w:val="0"/>
          <w:marBottom w:val="0"/>
          <w:divBdr>
            <w:top w:val="none" w:sz="0" w:space="0" w:color="auto"/>
            <w:left w:val="none" w:sz="0" w:space="0" w:color="auto"/>
            <w:bottom w:val="none" w:sz="0" w:space="0" w:color="auto"/>
            <w:right w:val="none" w:sz="0" w:space="0" w:color="auto"/>
          </w:divBdr>
        </w:div>
        <w:div w:id="1462963894">
          <w:blockQuote w:val="1"/>
          <w:marLeft w:val="480"/>
          <w:marRight w:val="0"/>
          <w:marTop w:val="0"/>
          <w:marBottom w:val="0"/>
          <w:divBdr>
            <w:top w:val="none" w:sz="0" w:space="0" w:color="auto"/>
            <w:left w:val="none" w:sz="0" w:space="0" w:color="auto"/>
            <w:bottom w:val="none" w:sz="0" w:space="0" w:color="auto"/>
            <w:right w:val="none" w:sz="0" w:space="0" w:color="auto"/>
          </w:divBdr>
          <w:divsChild>
            <w:div w:id="60689295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45092250">
      <w:bodyDiv w:val="1"/>
      <w:marLeft w:val="0"/>
      <w:marRight w:val="0"/>
      <w:marTop w:val="0"/>
      <w:marBottom w:val="0"/>
      <w:divBdr>
        <w:top w:val="none" w:sz="0" w:space="0" w:color="auto"/>
        <w:left w:val="none" w:sz="0" w:space="0" w:color="auto"/>
        <w:bottom w:val="none" w:sz="0" w:space="0" w:color="auto"/>
        <w:right w:val="none" w:sz="0" w:space="0" w:color="auto"/>
      </w:divBdr>
    </w:div>
    <w:div w:id="1548494384">
      <w:bodyDiv w:val="1"/>
      <w:marLeft w:val="0"/>
      <w:marRight w:val="0"/>
      <w:marTop w:val="0"/>
      <w:marBottom w:val="0"/>
      <w:divBdr>
        <w:top w:val="none" w:sz="0" w:space="0" w:color="auto"/>
        <w:left w:val="none" w:sz="0" w:space="0" w:color="auto"/>
        <w:bottom w:val="none" w:sz="0" w:space="0" w:color="auto"/>
        <w:right w:val="none" w:sz="0" w:space="0" w:color="auto"/>
      </w:divBdr>
      <w:divsChild>
        <w:div w:id="1432430137">
          <w:marLeft w:val="0"/>
          <w:marRight w:val="0"/>
          <w:marTop w:val="0"/>
          <w:marBottom w:val="0"/>
          <w:divBdr>
            <w:top w:val="none" w:sz="0" w:space="0" w:color="auto"/>
            <w:left w:val="none" w:sz="0" w:space="0" w:color="auto"/>
            <w:bottom w:val="none" w:sz="0" w:space="0" w:color="auto"/>
            <w:right w:val="none" w:sz="0" w:space="0" w:color="auto"/>
          </w:divBdr>
          <w:divsChild>
            <w:div w:id="420376022">
              <w:marLeft w:val="0"/>
              <w:marRight w:val="0"/>
              <w:marTop w:val="0"/>
              <w:marBottom w:val="0"/>
              <w:divBdr>
                <w:top w:val="none" w:sz="0" w:space="0" w:color="auto"/>
                <w:left w:val="none" w:sz="0" w:space="0" w:color="auto"/>
                <w:bottom w:val="none" w:sz="0" w:space="0" w:color="auto"/>
                <w:right w:val="none" w:sz="0" w:space="0" w:color="auto"/>
              </w:divBdr>
              <w:divsChild>
                <w:div w:id="2024360225">
                  <w:marLeft w:val="0"/>
                  <w:marRight w:val="0"/>
                  <w:marTop w:val="0"/>
                  <w:marBottom w:val="0"/>
                  <w:divBdr>
                    <w:top w:val="none" w:sz="0" w:space="0" w:color="auto"/>
                    <w:left w:val="none" w:sz="0" w:space="0" w:color="auto"/>
                    <w:bottom w:val="none" w:sz="0" w:space="0" w:color="auto"/>
                    <w:right w:val="none" w:sz="0" w:space="0" w:color="auto"/>
                  </w:divBdr>
                </w:div>
              </w:divsChild>
            </w:div>
            <w:div w:id="940794192">
              <w:marLeft w:val="0"/>
              <w:marRight w:val="0"/>
              <w:marTop w:val="0"/>
              <w:marBottom w:val="0"/>
              <w:divBdr>
                <w:top w:val="none" w:sz="0" w:space="0" w:color="auto"/>
                <w:left w:val="none" w:sz="0" w:space="0" w:color="auto"/>
                <w:bottom w:val="none" w:sz="0" w:space="0" w:color="auto"/>
                <w:right w:val="none" w:sz="0" w:space="0" w:color="auto"/>
              </w:divBdr>
              <w:divsChild>
                <w:div w:id="12185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6544">
      <w:bodyDiv w:val="1"/>
      <w:marLeft w:val="0"/>
      <w:marRight w:val="0"/>
      <w:marTop w:val="0"/>
      <w:marBottom w:val="0"/>
      <w:divBdr>
        <w:top w:val="none" w:sz="0" w:space="0" w:color="auto"/>
        <w:left w:val="none" w:sz="0" w:space="0" w:color="auto"/>
        <w:bottom w:val="none" w:sz="0" w:space="0" w:color="auto"/>
        <w:right w:val="none" w:sz="0" w:space="0" w:color="auto"/>
      </w:divBdr>
    </w:div>
    <w:div w:id="1587424881">
      <w:bodyDiv w:val="1"/>
      <w:marLeft w:val="0"/>
      <w:marRight w:val="0"/>
      <w:marTop w:val="0"/>
      <w:marBottom w:val="0"/>
      <w:divBdr>
        <w:top w:val="none" w:sz="0" w:space="0" w:color="auto"/>
        <w:left w:val="none" w:sz="0" w:space="0" w:color="auto"/>
        <w:bottom w:val="none" w:sz="0" w:space="0" w:color="auto"/>
        <w:right w:val="none" w:sz="0" w:space="0" w:color="auto"/>
      </w:divBdr>
      <w:divsChild>
        <w:div w:id="664170760">
          <w:marLeft w:val="0"/>
          <w:marRight w:val="0"/>
          <w:marTop w:val="0"/>
          <w:marBottom w:val="0"/>
          <w:divBdr>
            <w:top w:val="none" w:sz="0" w:space="0" w:color="auto"/>
            <w:left w:val="none" w:sz="0" w:space="0" w:color="auto"/>
            <w:bottom w:val="none" w:sz="0" w:space="0" w:color="auto"/>
            <w:right w:val="none" w:sz="0" w:space="0" w:color="auto"/>
          </w:divBdr>
          <w:divsChild>
            <w:div w:id="939989855">
              <w:marLeft w:val="0"/>
              <w:marRight w:val="0"/>
              <w:marTop w:val="0"/>
              <w:marBottom w:val="0"/>
              <w:divBdr>
                <w:top w:val="none" w:sz="0" w:space="0" w:color="auto"/>
                <w:left w:val="none" w:sz="0" w:space="0" w:color="auto"/>
                <w:bottom w:val="none" w:sz="0" w:space="0" w:color="auto"/>
                <w:right w:val="none" w:sz="0" w:space="0" w:color="auto"/>
              </w:divBdr>
              <w:divsChild>
                <w:div w:id="997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3392">
      <w:bodyDiv w:val="1"/>
      <w:marLeft w:val="0"/>
      <w:marRight w:val="0"/>
      <w:marTop w:val="0"/>
      <w:marBottom w:val="0"/>
      <w:divBdr>
        <w:top w:val="none" w:sz="0" w:space="0" w:color="auto"/>
        <w:left w:val="none" w:sz="0" w:space="0" w:color="auto"/>
        <w:bottom w:val="none" w:sz="0" w:space="0" w:color="auto"/>
        <w:right w:val="none" w:sz="0" w:space="0" w:color="auto"/>
      </w:divBdr>
    </w:div>
    <w:div w:id="1679507167">
      <w:bodyDiv w:val="1"/>
      <w:marLeft w:val="0"/>
      <w:marRight w:val="0"/>
      <w:marTop w:val="0"/>
      <w:marBottom w:val="0"/>
      <w:divBdr>
        <w:top w:val="none" w:sz="0" w:space="0" w:color="auto"/>
        <w:left w:val="none" w:sz="0" w:space="0" w:color="auto"/>
        <w:bottom w:val="none" w:sz="0" w:space="0" w:color="auto"/>
        <w:right w:val="none" w:sz="0" w:space="0" w:color="auto"/>
      </w:divBdr>
      <w:divsChild>
        <w:div w:id="349378200">
          <w:marLeft w:val="0"/>
          <w:marRight w:val="0"/>
          <w:marTop w:val="0"/>
          <w:marBottom w:val="0"/>
          <w:divBdr>
            <w:top w:val="none" w:sz="0" w:space="0" w:color="auto"/>
            <w:left w:val="none" w:sz="0" w:space="0" w:color="auto"/>
            <w:bottom w:val="none" w:sz="0" w:space="0" w:color="auto"/>
            <w:right w:val="none" w:sz="0" w:space="0" w:color="auto"/>
          </w:divBdr>
          <w:divsChild>
            <w:div w:id="1895697503">
              <w:marLeft w:val="0"/>
              <w:marRight w:val="0"/>
              <w:marTop w:val="0"/>
              <w:marBottom w:val="0"/>
              <w:divBdr>
                <w:top w:val="none" w:sz="0" w:space="0" w:color="auto"/>
                <w:left w:val="none" w:sz="0" w:space="0" w:color="auto"/>
                <w:bottom w:val="none" w:sz="0" w:space="0" w:color="auto"/>
                <w:right w:val="none" w:sz="0" w:space="0" w:color="auto"/>
              </w:divBdr>
              <w:divsChild>
                <w:div w:id="15769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4044">
      <w:bodyDiv w:val="1"/>
      <w:marLeft w:val="0"/>
      <w:marRight w:val="0"/>
      <w:marTop w:val="0"/>
      <w:marBottom w:val="0"/>
      <w:divBdr>
        <w:top w:val="none" w:sz="0" w:space="0" w:color="auto"/>
        <w:left w:val="none" w:sz="0" w:space="0" w:color="auto"/>
        <w:bottom w:val="none" w:sz="0" w:space="0" w:color="auto"/>
        <w:right w:val="none" w:sz="0" w:space="0" w:color="auto"/>
      </w:divBdr>
    </w:div>
    <w:div w:id="1809862240">
      <w:bodyDiv w:val="1"/>
      <w:marLeft w:val="0"/>
      <w:marRight w:val="0"/>
      <w:marTop w:val="0"/>
      <w:marBottom w:val="0"/>
      <w:divBdr>
        <w:top w:val="none" w:sz="0" w:space="0" w:color="auto"/>
        <w:left w:val="none" w:sz="0" w:space="0" w:color="auto"/>
        <w:bottom w:val="none" w:sz="0" w:space="0" w:color="auto"/>
        <w:right w:val="none" w:sz="0" w:space="0" w:color="auto"/>
      </w:divBdr>
    </w:div>
    <w:div w:id="1883397850">
      <w:bodyDiv w:val="1"/>
      <w:marLeft w:val="0"/>
      <w:marRight w:val="0"/>
      <w:marTop w:val="0"/>
      <w:marBottom w:val="0"/>
      <w:divBdr>
        <w:top w:val="none" w:sz="0" w:space="0" w:color="auto"/>
        <w:left w:val="none" w:sz="0" w:space="0" w:color="auto"/>
        <w:bottom w:val="none" w:sz="0" w:space="0" w:color="auto"/>
        <w:right w:val="none" w:sz="0" w:space="0" w:color="auto"/>
      </w:divBdr>
      <w:divsChild>
        <w:div w:id="794102218">
          <w:blockQuote w:val="1"/>
          <w:marLeft w:val="480"/>
          <w:marRight w:val="0"/>
          <w:marTop w:val="0"/>
          <w:marBottom w:val="0"/>
          <w:divBdr>
            <w:top w:val="none" w:sz="0" w:space="0" w:color="auto"/>
            <w:left w:val="none" w:sz="0" w:space="0" w:color="auto"/>
            <w:bottom w:val="none" w:sz="0" w:space="0" w:color="auto"/>
            <w:right w:val="none" w:sz="0" w:space="0" w:color="auto"/>
          </w:divBdr>
        </w:div>
        <w:div w:id="1438022454">
          <w:blockQuote w:val="1"/>
          <w:marLeft w:val="480"/>
          <w:marRight w:val="0"/>
          <w:marTop w:val="0"/>
          <w:marBottom w:val="0"/>
          <w:divBdr>
            <w:top w:val="none" w:sz="0" w:space="0" w:color="auto"/>
            <w:left w:val="none" w:sz="0" w:space="0" w:color="auto"/>
            <w:bottom w:val="none" w:sz="0" w:space="0" w:color="auto"/>
            <w:right w:val="none" w:sz="0" w:space="0" w:color="auto"/>
          </w:divBdr>
          <w:divsChild>
            <w:div w:id="359742747">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94079784">
      <w:bodyDiv w:val="1"/>
      <w:marLeft w:val="0"/>
      <w:marRight w:val="0"/>
      <w:marTop w:val="0"/>
      <w:marBottom w:val="0"/>
      <w:divBdr>
        <w:top w:val="none" w:sz="0" w:space="0" w:color="auto"/>
        <w:left w:val="none" w:sz="0" w:space="0" w:color="auto"/>
        <w:bottom w:val="none" w:sz="0" w:space="0" w:color="auto"/>
        <w:right w:val="none" w:sz="0" w:space="0" w:color="auto"/>
      </w:divBdr>
    </w:div>
    <w:div w:id="1929345114">
      <w:bodyDiv w:val="1"/>
      <w:marLeft w:val="0"/>
      <w:marRight w:val="0"/>
      <w:marTop w:val="0"/>
      <w:marBottom w:val="0"/>
      <w:divBdr>
        <w:top w:val="none" w:sz="0" w:space="0" w:color="auto"/>
        <w:left w:val="none" w:sz="0" w:space="0" w:color="auto"/>
        <w:bottom w:val="none" w:sz="0" w:space="0" w:color="auto"/>
        <w:right w:val="none" w:sz="0" w:space="0" w:color="auto"/>
      </w:divBdr>
    </w:div>
    <w:div w:id="1956715603">
      <w:bodyDiv w:val="1"/>
      <w:marLeft w:val="0"/>
      <w:marRight w:val="0"/>
      <w:marTop w:val="0"/>
      <w:marBottom w:val="0"/>
      <w:divBdr>
        <w:top w:val="none" w:sz="0" w:space="0" w:color="auto"/>
        <w:left w:val="none" w:sz="0" w:space="0" w:color="auto"/>
        <w:bottom w:val="none" w:sz="0" w:space="0" w:color="auto"/>
        <w:right w:val="none" w:sz="0" w:space="0" w:color="auto"/>
      </w:divBdr>
    </w:div>
    <w:div w:id="1957981232">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sChild>
        <w:div w:id="422729170">
          <w:marLeft w:val="0"/>
          <w:marRight w:val="0"/>
          <w:marTop w:val="0"/>
          <w:marBottom w:val="0"/>
          <w:divBdr>
            <w:top w:val="none" w:sz="0" w:space="0" w:color="auto"/>
            <w:left w:val="none" w:sz="0" w:space="0" w:color="auto"/>
            <w:bottom w:val="none" w:sz="0" w:space="0" w:color="auto"/>
            <w:right w:val="none" w:sz="0" w:space="0" w:color="auto"/>
          </w:divBdr>
          <w:divsChild>
            <w:div w:id="1403985309">
              <w:marLeft w:val="0"/>
              <w:marRight w:val="0"/>
              <w:marTop w:val="0"/>
              <w:marBottom w:val="0"/>
              <w:divBdr>
                <w:top w:val="none" w:sz="0" w:space="0" w:color="auto"/>
                <w:left w:val="none" w:sz="0" w:space="0" w:color="auto"/>
                <w:bottom w:val="none" w:sz="0" w:space="0" w:color="auto"/>
                <w:right w:val="none" w:sz="0" w:space="0" w:color="auto"/>
              </w:divBdr>
              <w:divsChild>
                <w:div w:id="2704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3537">
      <w:bodyDiv w:val="1"/>
      <w:marLeft w:val="0"/>
      <w:marRight w:val="0"/>
      <w:marTop w:val="0"/>
      <w:marBottom w:val="0"/>
      <w:divBdr>
        <w:top w:val="none" w:sz="0" w:space="0" w:color="auto"/>
        <w:left w:val="none" w:sz="0" w:space="0" w:color="auto"/>
        <w:bottom w:val="none" w:sz="0" w:space="0" w:color="auto"/>
        <w:right w:val="none" w:sz="0" w:space="0" w:color="auto"/>
      </w:divBdr>
    </w:div>
    <w:div w:id="2008970624">
      <w:bodyDiv w:val="1"/>
      <w:marLeft w:val="0"/>
      <w:marRight w:val="0"/>
      <w:marTop w:val="0"/>
      <w:marBottom w:val="0"/>
      <w:divBdr>
        <w:top w:val="none" w:sz="0" w:space="0" w:color="auto"/>
        <w:left w:val="none" w:sz="0" w:space="0" w:color="auto"/>
        <w:bottom w:val="none" w:sz="0" w:space="0" w:color="auto"/>
        <w:right w:val="none" w:sz="0" w:space="0" w:color="auto"/>
      </w:divBdr>
    </w:div>
    <w:div w:id="2074424957">
      <w:bodyDiv w:val="1"/>
      <w:marLeft w:val="0"/>
      <w:marRight w:val="0"/>
      <w:marTop w:val="0"/>
      <w:marBottom w:val="0"/>
      <w:divBdr>
        <w:top w:val="none" w:sz="0" w:space="0" w:color="auto"/>
        <w:left w:val="none" w:sz="0" w:space="0" w:color="auto"/>
        <w:bottom w:val="none" w:sz="0" w:space="0" w:color="auto"/>
        <w:right w:val="none" w:sz="0" w:space="0" w:color="auto"/>
      </w:divBdr>
    </w:div>
    <w:div w:id="2094929831">
      <w:bodyDiv w:val="1"/>
      <w:marLeft w:val="0"/>
      <w:marRight w:val="0"/>
      <w:marTop w:val="0"/>
      <w:marBottom w:val="0"/>
      <w:divBdr>
        <w:top w:val="none" w:sz="0" w:space="0" w:color="auto"/>
        <w:left w:val="none" w:sz="0" w:space="0" w:color="auto"/>
        <w:bottom w:val="none" w:sz="0" w:space="0" w:color="auto"/>
        <w:right w:val="none" w:sz="0" w:space="0" w:color="auto"/>
      </w:divBdr>
    </w:div>
    <w:div w:id="211956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CIDH/status/1359592251819773953?s=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MITIERRACLMOFICIAL" TargetMode="External"/><Relationship Id="rId5" Type="http://schemas.openxmlformats.org/officeDocument/2006/relationships/numbering" Target="numbering.xml"/><Relationship Id="rId15" Type="http://schemas.openxmlformats.org/officeDocument/2006/relationships/hyperlink" Target="https://drive.google.com/file/d/1q1CYuujxDXVSBEfNBbKdVnbQn1nbMwNM/vie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gob.gt/cc-migra/pdf/COM-26-2020.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twitter.com/UDEFEGUA/status/1433822157465870337" TargetMode="External"/><Relationship Id="rId299" Type="http://schemas.openxmlformats.org/officeDocument/2006/relationships/hyperlink" Target="https://www.oas.org/en/iachr/reports/pdfs/Guatemala2017-en.pdf" TargetMode="External"/><Relationship Id="rId21" Type="http://schemas.openxmlformats.org/officeDocument/2006/relationships/hyperlink" Target="https://elpais.com/internacional/2021-09-04/el-presidente-de-guatemala-es-investigado-por-presuntos-sobornos-de-empresarios-rusos.html;" TargetMode="External"/><Relationship Id="rId63" Type="http://schemas.openxmlformats.org/officeDocument/2006/relationships/hyperlink" Target="https://www.oas.org/es/cidh/defensores/docs/pdf/Justice-Operators-2013.pdf" TargetMode="External"/><Relationship Id="rId159" Type="http://schemas.openxmlformats.org/officeDocument/2006/relationships/hyperlink" Target="https://www.pdh.org.gt/comunicacion/noticias/cc-otorga-amparo-provisional-a-pdh-y-ordena-a-las-autoridades-impugnadas-garantizar-el-derecho-a-manifestar.html" TargetMode="External"/><Relationship Id="rId324" Type="http://schemas.openxmlformats.org/officeDocument/2006/relationships/hyperlink" Target="https://prensa.gob.gt/sites/default/files/2021-07/Pol%C3%ADtica%20P%C3%BAblica%20de%20Protecci%C3%B3n%20a%20la%20Vida%20y%20la%20Institucionalidad%20de%20la%20Familia.pdf" TargetMode="External"/><Relationship Id="rId170" Type="http://schemas.openxmlformats.org/officeDocument/2006/relationships/hyperlink" Target="https://s3.us-west-2.amazonaws.com/cdn.republica.gt/2021/08/006-EXTRAORDINARIA_4254-2021.pdf" TargetMode="External"/><Relationship Id="rId226" Type="http://schemas.openxmlformats.org/officeDocument/2006/relationships/hyperlink" Target="https://elperiodico.com.gt/nacionales/2021/06/19/gobierno-paralizo-resarcimiento-a-victimas-del-conflicto-armado/" TargetMode="External"/><Relationship Id="rId268" Type="http://schemas.openxmlformats.org/officeDocument/2006/relationships/hyperlink" Target="https://bakfem.com/el-hacinamiento-en-las-carceles-continua-sin-que-se-implementen-mecanismos-alternativos-prensa-libre/" TargetMode="External"/><Relationship Id="rId32" Type="http://schemas.openxmlformats.org/officeDocument/2006/relationships/hyperlink" Target="https://elpais.com/internacional/2021-07-26/guatemala-sacude-la-lucha-contra-la-corrupcion-con-la-destitucion-del-fiscal-especial-contra-la-impunidad.html" TargetMode="External"/><Relationship Id="rId74" Type="http://schemas.openxmlformats.org/officeDocument/2006/relationships/hyperlink" Target="https://www.oas.org/en/iachr/reports/pdfs/Guatemala2017-en.pdf" TargetMode="External"/><Relationship Id="rId128" Type="http://schemas.openxmlformats.org/officeDocument/2006/relationships/hyperlink" Target="https://articulo19.org/acoso-sistematico-contra-los-periodistas-marvin-del-cid-y-sonny-figueroa/" TargetMode="External"/><Relationship Id="rId335" Type="http://schemas.openxmlformats.org/officeDocument/2006/relationships/hyperlink" Target="https://conacmi.org/comunicado1deoctubre/" TargetMode="External"/><Relationship Id="rId5" Type="http://schemas.openxmlformats.org/officeDocument/2006/relationships/hyperlink" Target="https://www.oas.org/en/iachr/docs/annual/2018/docs/IA2018cap.5GU-en.pdf" TargetMode="External"/><Relationship Id="rId181" Type="http://schemas.openxmlformats.org/officeDocument/2006/relationships/hyperlink" Target="https://publications.iadb.org/publications/english/document/Annual-Report-of-the-Broadband-Development-Index-IDBA-2020-Digital-Gap-in-Latin-America-and-the-Caribbean.pdf" TargetMode="External"/><Relationship Id="rId237" Type="http://schemas.openxmlformats.org/officeDocument/2006/relationships/hyperlink" Target="https://www.pdh.org.gt/comunicacion/noticias/169-21-el-procurador-de-los-derechos-humanos-jordan-rodas-andrade-condena-el-asesinato-del-defensor-de-derechos-humanos-y-lider-comunitario-ramon-jimenez-lopez-y-recuerda-que-en-los-tres-ultimos-anos-han-sido-ejecutados-mas-de-20-dirigentes-del-codeca.html" TargetMode="External"/><Relationship Id="rId279" Type="http://schemas.openxmlformats.org/officeDocument/2006/relationships/hyperlink" Target="https://www.cbp.gov/newsroom/stats/southwest-land-border-encounters" TargetMode="External"/><Relationship Id="rId43" Type="http://schemas.openxmlformats.org/officeDocument/2006/relationships/hyperlink" Target="https://www.wola.org/wp-content/uploads/2021/02/EL-ESTADO-DE-DERECHO-Y-EL-ACCESO-A-LA-JUSTICIA-ESTAN-EN-JUEGO.pdf" TargetMode="External"/><Relationship Id="rId139" Type="http://schemas.openxmlformats.org/officeDocument/2006/relationships/hyperlink" Target="https://sgp.gob.gt/wp-content/uploads/2021/08/DG-006-2021.pdf" TargetMode="External"/><Relationship Id="rId290" Type="http://schemas.openxmlformats.org/officeDocument/2006/relationships/hyperlink" Target="https://www.oas.org/en/iachr/media_center/PReleases/2020/027.asp" TargetMode="External"/><Relationship Id="rId304" Type="http://schemas.openxmlformats.org/officeDocument/2006/relationships/hyperlink" Target="https://twitter.com/CUCGuatemala/status/1443608475204997124?s=20" TargetMode="External"/><Relationship Id="rId346" Type="http://schemas.openxmlformats.org/officeDocument/2006/relationships/hyperlink" Target="https://www.driadvocacy.org/still-at-risk-guatemala-2021/" TargetMode="External"/><Relationship Id="rId85" Type="http://schemas.openxmlformats.org/officeDocument/2006/relationships/hyperlink" Target="https://www.youtube.com/watch?v=y92R-_E9NKU" TargetMode="External"/><Relationship Id="rId150" Type="http://schemas.openxmlformats.org/officeDocument/2006/relationships/hyperlink" Target="https://www.pdh.org.gt/comunicacion/noticias/158-21-el-procurador-de-los-derechos-humanos-jordan-rodas-andrade-deplora-la-actitud-arbitraria-autoritaria-y-violatoria-de-la-constitucion-por-parte-del-presidente-del-congreso-de-la-republica-allan-rodriguez-al-impedir-el-acceso-del-periodista-enrique-garcia-del-diario-elperiodico-a-la-rueda-de-prensa-que-trato-aspectos-relacionados-con-el-presupuesto-general-de-ingresos-y-egresos-del-estado-2022.html" TargetMode="External"/><Relationship Id="rId192" Type="http://schemas.openxmlformats.org/officeDocument/2006/relationships/hyperlink" Target="https://cpj.org/2021/09/cpj-welcomes-decision-to-drop-criminal-charges-against-guatemalan-journalist-anastasia-mejia/" TargetMode="External"/><Relationship Id="rId206" Type="http://schemas.openxmlformats.org/officeDocument/2006/relationships/hyperlink" Target="https://twitter.com/CIDH/status/1404913238526005254" TargetMode="External"/><Relationship Id="rId248" Type="http://schemas.openxmlformats.org/officeDocument/2006/relationships/hyperlink" Target="https://www.oas.org/en/iachr/defenders/docs/pdf/defenders2011.pdf" TargetMode="External"/><Relationship Id="rId12" Type="http://schemas.openxmlformats.org/officeDocument/2006/relationships/hyperlink" Target="https://www.minex.gob.gt/userfiles/Informe_Mision_Especial_OEA_en_Guatemala_12_2021.pdf" TargetMode="External"/><Relationship Id="rId108" Type="http://schemas.openxmlformats.org/officeDocument/2006/relationships/hyperlink" Target="https://www.oas.org/en/iachr/expression/showarticle.asp?artID=1216&amp;lID=1" TargetMode="External"/><Relationship Id="rId315" Type="http://schemas.openxmlformats.org/officeDocument/2006/relationships/hyperlink" Target="http://ggm.org.gt/wp-content/uploads/2021/10/Datos-estad%C3%ADsticos-MVM-ACTUALIZADO-1-de-enero-al-31-de-julio-2021.pdf" TargetMode="External"/><Relationship Id="rId54" Type="http://schemas.openxmlformats.org/officeDocument/2006/relationships/hyperlink" Target="https://republica.gt/2021/08/18/la-cc-ordena-no-juramentar-a-gloria-porras-como-magistrada/" TargetMode="External"/><Relationship Id="rId96" Type="http://schemas.openxmlformats.org/officeDocument/2006/relationships/hyperlink" Target="https://elperiodico.com.gt/nacionales/2021/06/19/gobierno-paralizo-resarcimiento-a-victimas-del-conflicto-armado/" TargetMode="External"/><Relationship Id="rId161" Type="http://schemas.openxmlformats.org/officeDocument/2006/relationships/hyperlink" Target="https://www.dw.com/es/guatemala-bloquean-carreteras-para-exigir-renuncia-de-alejandro-giammattei/a-58699349" TargetMode="External"/><Relationship Id="rId217" Type="http://schemas.openxmlformats.org/officeDocument/2006/relationships/hyperlink" Target="https://www.oas.org/es/CIDH/jsForm/?File=/es/cidh/prensa/comunicados/2021/293.asp" TargetMode="External"/><Relationship Id="rId259" Type="http://schemas.openxmlformats.org/officeDocument/2006/relationships/hyperlink" Target="https://twitter.com/Dgspg/status/1437449128041238531" TargetMode="External"/><Relationship Id="rId23" Type="http://schemas.openxmlformats.org/officeDocument/2006/relationships/hyperlink" Target="https://prensa.gob.gt/comunicado/respuestas-la-periodista-natalie-kitroeff-new-york-times" TargetMode="External"/><Relationship Id="rId119" Type="http://schemas.openxmlformats.org/officeDocument/2006/relationships/hyperlink" Target="https://crnnoticias.com/alejandra-carrillo-usa-la-ley-contra-el-femicidio-para-denunciar-a-directivos-del-diario-la-hora/" TargetMode="External"/><Relationship Id="rId270" Type="http://schemas.openxmlformats.org/officeDocument/2006/relationships/hyperlink" Target="https://www.oas.org/en/iachr/reports/pdfs/PretrialDetention.pdf" TargetMode="External"/><Relationship Id="rId326" Type="http://schemas.openxmlformats.org/officeDocument/2006/relationships/hyperlink" Target="https://www.hhs.gov/sites/default/files/geneva-consensus-declaration-english.pdf" TargetMode="External"/><Relationship Id="rId65" Type="http://schemas.openxmlformats.org/officeDocument/2006/relationships/hyperlink" Target="https://www.soy502.com/articulo/solicitud-giammattei-provoca-salida-feci-caso-5313" TargetMode="External"/><Relationship Id="rId130" Type="http://schemas.openxmlformats.org/officeDocument/2006/relationships/hyperlink" Target="https://www.dw.com/es/periodistas-de-guatemala-denuncian-nuevos-seguimientos-y-ataques/a-57071358" TargetMode="External"/><Relationship Id="rId172" Type="http://schemas.openxmlformats.org/officeDocument/2006/relationships/hyperlink" Target="https://outline.com/k6afUK" TargetMode="External"/><Relationship Id="rId228" Type="http://schemas.openxmlformats.org/officeDocument/2006/relationships/hyperlink" Target="https://lahora.gt/tras-sentencia-de-la-cc-congreso-archiva-ley-de-reconciliacion-nacional/" TargetMode="External"/><Relationship Id="rId281" Type="http://schemas.openxmlformats.org/officeDocument/2006/relationships/hyperlink" Target="https://reliefweb.int/sites/reliefweb.int/files/resources/HNO%20CENTROAMERICA%202021%20ING.pdf" TargetMode="External"/><Relationship Id="rId337" Type="http://schemas.openxmlformats.org/officeDocument/2006/relationships/hyperlink" Target="https://conacmi.org/comunicado1deoctubre/" TargetMode="External"/><Relationship Id="rId34" Type="http://schemas.openxmlformats.org/officeDocument/2006/relationships/hyperlink" Target="https://www.infobae.com/america/america-latina/2021/08/05/continuan-las-protestas-en-guatemala-para-pedir-la-renuncia-del-presidente-y-la-fiscal-general/" TargetMode="External"/><Relationship Id="rId76" Type="http://schemas.openxmlformats.org/officeDocument/2006/relationships/hyperlink" Target="https://www.youtube.com/watch?v=y92R-_E9NKU" TargetMode="External"/><Relationship Id="rId141" Type="http://schemas.openxmlformats.org/officeDocument/2006/relationships/hyperlink" Target="https://sgp.gob.gt/wp-content/uploads/2021/08/DG-007-2021.pdf" TargetMode="External"/><Relationship Id="rId7" Type="http://schemas.openxmlformats.org/officeDocument/2006/relationships/hyperlink" Target="https://www.oas.org/en/iachr/docs/annual/2020/Chapters/IA2020cap.5.GU-en.pdf" TargetMode="External"/><Relationship Id="rId183" Type="http://schemas.openxmlformats.org/officeDocument/2006/relationships/hyperlink" Target="https://www.plazapublica.com.gt/content/gobierno-hace-malabares-con-banda-4g-y-beneficia-tigo" TargetMode="External"/><Relationship Id="rId239" Type="http://schemas.openxmlformats.org/officeDocument/2006/relationships/hyperlink" Target="https://www.fidh.org/es/region/americas/guatemala/guatemala-violencia-sistematica-contra-quienes-defienden-el" TargetMode="External"/><Relationship Id="rId250" Type="http://schemas.openxmlformats.org/officeDocument/2006/relationships/hyperlink" Target="https://www.dw.com/es/corte-de-guatemala-da-luz-verde-a-cuestionada-ley-sobre-ong/a-57515905" TargetMode="External"/><Relationship Id="rId292" Type="http://schemas.openxmlformats.org/officeDocument/2006/relationships/hyperlink" Target="https://www.oas.org/en/iachr/docs/annual/2020/Chapters/IA2020cap.4A-en.pdf" TargetMode="External"/><Relationship Id="rId306" Type="http://schemas.openxmlformats.org/officeDocument/2006/relationships/hyperlink" Target="https://www.oas.org/en/iachr/media_center/PReleases/2018/158.asp" TargetMode="External"/><Relationship Id="rId45" Type="http://schemas.openxmlformats.org/officeDocument/2006/relationships/hyperlink" Target="https://twitter.com/MPguatemala/status/1346129647805870083?s=20" TargetMode="External"/><Relationship Id="rId87" Type="http://schemas.openxmlformats.org/officeDocument/2006/relationships/hyperlink" Target="https://www.pdh.org.gt/comunicacion/noticias/71-21-el-procurador-de-los-derechos-humanos-jordan-rodas-andrade-advierte-que-el-incumplimiento-del-congreso-de-la-republica-en-el-traslado-de-los-recursos-aprobados-en-el-presupuesto-general-de-la-nacion-hara-colapsar-a-la-institucion-en-los-proximos-tres-meses.html" TargetMode="External"/><Relationship Id="rId110" Type="http://schemas.openxmlformats.org/officeDocument/2006/relationships/hyperlink" Target="https://www.prensalibre.com/guatemala/politica/congreso-de-la-republica-ratifica-el-estado-de-sitio-en-el-estor-izabal-y-estara-vigente-por-30-dias-breaking/" TargetMode="External"/><Relationship Id="rId348" Type="http://schemas.openxmlformats.org/officeDocument/2006/relationships/hyperlink" Target="https://im-defensoras.org/2021/02/alerta-defensoras-guatemala-asesinan-a-defensora-que-buscaba-justicia-para-su-hija-una-de-las-56-ninas-victimas-de-la-masacre-en-el-hogar-virgen-de-la-asuncion/" TargetMode="External"/><Relationship Id="rId152" Type="http://schemas.openxmlformats.org/officeDocument/2006/relationships/hyperlink" Target="https://www.soy502.com/articulo/ley-ong-entrara-vigencia-lunes-21-junio-5313" TargetMode="External"/><Relationship Id="rId194" Type="http://schemas.openxmlformats.org/officeDocument/2006/relationships/hyperlink" Target="https://www.oas.org/en/iachr/expression/reports/ENGIA2020.pdf" TargetMode="External"/><Relationship Id="rId208" Type="http://schemas.openxmlformats.org/officeDocument/2006/relationships/hyperlink" Target="https://republica.gt/2021/09/12/rio-pantaleon-cambia-de-cauce-y-afecta-comunidades-cultivos-y-carreteras/" TargetMode="External"/><Relationship Id="rId261" Type="http://schemas.openxmlformats.org/officeDocument/2006/relationships/hyperlink" Target="https://www.oas.org/en/iachr/pdl/reports/pdfs/Report-PD-2013-en.pdf" TargetMode="External"/><Relationship Id="rId14" Type="http://schemas.openxmlformats.org/officeDocument/2006/relationships/hyperlink" Target="https://www.oas.org/en/iachr/reports/pdfs/Guatemala2017-en.pdf" TargetMode="External"/><Relationship Id="rId56" Type="http://schemas.openxmlformats.org/officeDocument/2006/relationships/hyperlink" Target="https://www.wola.org/es/2020/10/guatemala-concluir-eleccion/" TargetMode="External"/><Relationship Id="rId317" Type="http://schemas.openxmlformats.org/officeDocument/2006/relationships/hyperlink" Target="https://www.youtube.com/watch?v=-KIdAlx0NUA" TargetMode="External"/><Relationship Id="rId98" Type="http://schemas.openxmlformats.org/officeDocument/2006/relationships/hyperlink" Target="https://www.prensalibre.com/ciudades/guatemala-ciudades/ataque-armado-deja-cuatro-muertos-y-dos-heridos-en-una-discoteca-de-la-zona-6-capitalina-breaking/" TargetMode="External"/><Relationship Id="rId121" Type="http://schemas.openxmlformats.org/officeDocument/2006/relationships/hyperlink" Target="https://outline.com/9RxhJE" TargetMode="External"/><Relationship Id="rId163" Type="http://schemas.openxmlformats.org/officeDocument/2006/relationships/hyperlink" Target="https://lahora.gt/ministro-de-economia-reconoce-derecho-a-manifestar-pero-cuestiona-bloqueos/" TargetMode="External"/><Relationship Id="rId219" Type="http://schemas.openxmlformats.org/officeDocument/2006/relationships/hyperlink" Target="https://www.oas.org/es/CIDH/jsForm/?File=/es/cidh/prensa/comunicados/2021/293.asp" TargetMode="External"/><Relationship Id="rId230" Type="http://schemas.openxmlformats.org/officeDocument/2006/relationships/hyperlink" Target="https://cejil.org/comunicado-de-prensa/demandamos-a-guatemala-justicia-y-verdad-en-cumplimiento-de-la-sentencia-de-la-corte-idh-en-el-caso-diario-militar/" TargetMode="External"/><Relationship Id="rId251" Type="http://schemas.openxmlformats.org/officeDocument/2006/relationships/hyperlink" Target="https://www.sandiegouniontribune.com/en-espanol/noticias/story/2021-05-13/guatemala-corte-da-via-libre-a-ley-que-controla-a-las-ong" TargetMode="External"/><Relationship Id="rId25" Type="http://schemas.openxmlformats.org/officeDocument/2006/relationships/hyperlink" Target="https://www.dplf.org/sites/default/files/pbn_21072021_international_organizations_reject_dismissal_of_prosecutor_juan_fransico_sandoval_in_guatemala.pdf" TargetMode="External"/><Relationship Id="rId46" Type="http://schemas.openxmlformats.org/officeDocument/2006/relationships/hyperlink" Target="https://www.prensalibre.com/guatemala/justicia/mynor-moto-amparos-apelaciones-congreso-corte-constitucionalidad-breaking/" TargetMode="External"/><Relationship Id="rId67" Type="http://schemas.openxmlformats.org/officeDocument/2006/relationships/hyperlink" Target="https://twitter.com/ImpunityWatchGt/status/1457698841457790978?s=20" TargetMode="External"/><Relationship Id="rId272" Type="http://schemas.openxmlformats.org/officeDocument/2006/relationships/hyperlink" Target="https://www.oas.org/en/iachr/reports/pdfs/PretrialDetention.pdf" TargetMode="External"/><Relationship Id="rId293" Type="http://schemas.openxmlformats.org/officeDocument/2006/relationships/hyperlink" Target="http://www.oas.org/en/iachr/jsForm/?File=/en/iachr/media_center/preleases/2021/243.asp" TargetMode="External"/><Relationship Id="rId307" Type="http://schemas.openxmlformats.org/officeDocument/2006/relationships/hyperlink" Target="https://www.worldbank.org/en/country/guatemala/overview" TargetMode="External"/><Relationship Id="rId328" Type="http://schemas.openxmlformats.org/officeDocument/2006/relationships/hyperlink" Target="https://www.oas.org/en/iachr/jsForm/?File=/en/iachr/media_center/preleases/2021/208.asp" TargetMode="External"/><Relationship Id="rId349" Type="http://schemas.openxmlformats.org/officeDocument/2006/relationships/hyperlink" Target="https://www.cdhal.org/es/guatemala-elsa-siquin-madre-de-una-de-las-56-victimas-de-la-masacre-del-hogar-seguro-virgen-de-la-asuncion-amenazada-de-muerte/" TargetMode="External"/><Relationship Id="rId88" Type="http://schemas.openxmlformats.org/officeDocument/2006/relationships/hyperlink" Target="https://lahora.gt/pdh-denuncia-a-la-direccion-de-comunicacion-del-congreso-de-la-republica/" TargetMode="External"/><Relationship Id="rId111" Type="http://schemas.openxmlformats.org/officeDocument/2006/relationships/hyperlink" Target="https://www.oas.org/en/iachr/expression/docs/reports/annual/Annual%20Report%202014.pdf" TargetMode="External"/><Relationship Id="rId132" Type="http://schemas.openxmlformats.org/officeDocument/2006/relationships/hyperlink" Target="https://twitter.com/lordvadergt" TargetMode="External"/><Relationship Id="rId153" Type="http://schemas.openxmlformats.org/officeDocument/2006/relationships/hyperlink" Target="https://republica.gt/2021/06/21/ley-que-permite-cancelar-a-oeneges-cobra-vigencia/" TargetMode="External"/><Relationship Id="rId174" Type="http://schemas.openxmlformats.org/officeDocument/2006/relationships/hyperlink" Target="https://www.efe.com/efe/cono-sur/latinoamerica/las-protestas-en-el-congreso-de-guatemala-dejan-cuatro-periodistas-heridos-y-dos-detenidos/50000764-4655961" TargetMode="External"/><Relationship Id="rId195" Type="http://schemas.openxmlformats.org/officeDocument/2006/relationships/hyperlink" Target="https://www.prensalibre.com/guatemala/justicia/lanzan-en-redes-sociales-tengo-miedo-la-campana-contra-la-violencia-hacia-las-mujeres-mp-la-critica/" TargetMode="External"/><Relationship Id="rId209" Type="http://schemas.openxmlformats.org/officeDocument/2006/relationships/hyperlink" Target="https://www.oas.org/en/iachr/jsForm/?File=/en/iachr/media_center/preleases/2021/291.asp" TargetMode="External"/><Relationship Id="rId220" Type="http://schemas.openxmlformats.org/officeDocument/2006/relationships/hyperlink" Target="https://prensa.gob.gt/comunicado/copadeh-cumple-un-ano-de-existir-institucionalmente-y-7-meses-en-funciones-fomentando" TargetMode="External"/><Relationship Id="rId241" Type="http://schemas.openxmlformats.org/officeDocument/2006/relationships/hyperlink" Target="https://www.business-humanrights.org/en/latest-news/guatemala-almost-200-international-organisations-jointly-denounce-the-murder-attack-against-xinka-leader-opposing-escobal-mine/" TargetMode="External"/><Relationship Id="rId15" Type="http://schemas.openxmlformats.org/officeDocument/2006/relationships/hyperlink" Target="https://www.oas.org/en/iachr/reports/pdfs/Guatemala2017-en.pdf" TargetMode="External"/><Relationship Id="rId36" Type="http://schemas.openxmlformats.org/officeDocument/2006/relationships/hyperlink" Target="https://www.transparency.org/en/cpi/2020/index/nzl" TargetMode="External"/><Relationship Id="rId57" Type="http://schemas.openxmlformats.org/officeDocument/2006/relationships/hyperlink" Target="https://independenciajudicial.org/wp-content/uploads/2020/10/IW-informe-eleccion-de-cortes-en-el-congreso-5-de-oct-2020.pdf" TargetMode="External"/><Relationship Id="rId262" Type="http://schemas.openxmlformats.org/officeDocument/2006/relationships/hyperlink" Target="https://www.oas.org/en/iachr/pdl/reports/pdfs/Report-PD-2013-en.pdf" TargetMode="External"/><Relationship Id="rId283" Type="http://schemas.openxmlformats.org/officeDocument/2006/relationships/hyperlink" Target="https://guatemala.unfpa.org/sites/default/files/pub-pdf/caracterizacion_migracion_internacional_gt_.pdf" TargetMode="External"/><Relationship Id="rId318" Type="http://schemas.openxmlformats.org/officeDocument/2006/relationships/hyperlink" Target="https://prensa.gob.gt/yo-denuncio" TargetMode="External"/><Relationship Id="rId339" Type="http://schemas.openxmlformats.org/officeDocument/2006/relationships/hyperlink" Target="https://www.ciprodeni.org/tableau/muertes-y-lesiones-por-causas-violentas-contra-ninas-ninos-y-adolescentes-de-guatemala/" TargetMode="External"/><Relationship Id="rId78" Type="http://schemas.openxmlformats.org/officeDocument/2006/relationships/hyperlink" Target="https://elperiodico.com.gt/politica/justicia/2021/10/04/cc-ratifica-que-el-tramite-de-antejuicio-en-contra-de-la-jueza-aifan-debe-continuar" TargetMode="External"/><Relationship Id="rId99" Type="http://schemas.openxmlformats.org/officeDocument/2006/relationships/hyperlink" Target="https://twitter.com/mpguatemala/status/1413838675511848962" TargetMode="External"/><Relationship Id="rId101" Type="http://schemas.openxmlformats.org/officeDocument/2006/relationships/hyperlink" Target="https://elperiodico.com.gt/politica/seguridad/2021/09/12/mp-confirmo-que-las-armas-localizadas-en-la-zona-6-se-usaron-en-ataque-a-ramazzini/" TargetMode="External"/><Relationship Id="rId122" Type="http://schemas.openxmlformats.org/officeDocument/2006/relationships/hyperlink" Target="https://www.sipiapa.org/notas/1214699-sip-rechaza-investigacion-elperiodico-ordenada-la-corte-suprema-guatemala" TargetMode="External"/><Relationship Id="rId143" Type="http://schemas.openxmlformats.org/officeDocument/2006/relationships/hyperlink" Target="https://lahora.gt/la-amenaza-a-la-libertad-de-prensa-que-ya-estaba-y-ahora-causo-preocupacion/" TargetMode="External"/><Relationship Id="rId164" Type="http://schemas.openxmlformats.org/officeDocument/2006/relationships/hyperlink" Target="https://www.perspectiva.gt/noticias/malouf-bloqueos-ocasionan-perdidas-economicas-1/" TargetMode="External"/><Relationship Id="rId185" Type="http://schemas.openxmlformats.org/officeDocument/2006/relationships/hyperlink" Target="https://www.plazapublica.com.gt/content/la-posicion-ambigua-de-tigo-tiene-los-derechos-sobre-la-banda-4g-pero-no-puede-usarlos-por" TargetMode="External"/><Relationship Id="rId350" Type="http://schemas.openxmlformats.org/officeDocument/2006/relationships/hyperlink" Target="https://www.cdhal.org/es/guatemala-elsa-siquin-madre-de-una-de-las-56-victimas-de-la-masacre-del-hogar-seguro-virgen-de-la-asuncion-amenazada-de-muerte/" TargetMode="External"/><Relationship Id="rId9" Type="http://schemas.openxmlformats.org/officeDocument/2006/relationships/hyperlink" Target="https://www.efe.com/efe/america/politica/giammattei-invoca-la-carta-democratica-interamericana-ante-crisis-en-guatemala/20000035-4400837" TargetMode="External"/><Relationship Id="rId210" Type="http://schemas.openxmlformats.org/officeDocument/2006/relationships/hyperlink" Target="https://es-us.noticias.yahoo.com/temporada-lluvias-deja-muertos-266-175402955.html" TargetMode="External"/><Relationship Id="rId26" Type="http://schemas.openxmlformats.org/officeDocument/2006/relationships/hyperlink" Target="https://lahora.gt/consuelo-porras-no-quiere-operativos-con-pnc-sin-que-ella-autorice/" TargetMode="External"/><Relationship Id="rId231" Type="http://schemas.openxmlformats.org/officeDocument/2006/relationships/hyperlink" Target="https://www.dw.com/es/guatemala-inician-imputaci%C3%B3n-a-acusados-en-caso-diario-militar/a-57765174" TargetMode="External"/><Relationship Id="rId252" Type="http://schemas.openxmlformats.org/officeDocument/2006/relationships/hyperlink" Target="https://www.soy502.com/articulo/gobierno-publica-reglamento-ley-ongs-guatemala-32419" TargetMode="External"/><Relationship Id="rId273" Type="http://schemas.openxmlformats.org/officeDocument/2006/relationships/hyperlink" Target="https://www.oas.org/en/iachr/pdl/docs/pdf/PPL2011eng.pdf" TargetMode="External"/><Relationship Id="rId294" Type="http://schemas.openxmlformats.org/officeDocument/2006/relationships/hyperlink" Target="https://igm.gob.gt/wp-content/uploads/2021/06/INFORME-CUANTITATIVO-ENERO-A-MAYO-2021.pdf" TargetMode="External"/><Relationship Id="rId308" Type="http://schemas.openxmlformats.org/officeDocument/2006/relationships/hyperlink" Target="https://www.worldbank.org/en/country/guatemala/overview" TargetMode="External"/><Relationship Id="rId329" Type="http://schemas.openxmlformats.org/officeDocument/2006/relationships/hyperlink" Target="https://www.oas.org/en/iachr/docs/annual/2020/Chapters/IA2020cap.4A-en.pdf" TargetMode="External"/><Relationship Id="rId47" Type="http://schemas.openxmlformats.org/officeDocument/2006/relationships/hyperlink" Target="https://www.prensalibre.com/guatemala/justicia/mynor-moto-cc-deja-en-suspenso-juramentacion-hecha-por-el-congreso-breaking/" TargetMode="External"/><Relationship Id="rId68" Type="http://schemas.openxmlformats.org/officeDocument/2006/relationships/hyperlink" Target="https://www.facebook.com/mpguatemala/photos/pcb.5084964564854193/5084964318187551/" TargetMode="External"/><Relationship Id="rId89" Type="http://schemas.openxmlformats.org/officeDocument/2006/relationships/hyperlink" Target="https://voxpopuliguate.com/2021/05/20/la-estrategia-del-congreso-para-atacar-a-opositores-y-funcionarios/" TargetMode="External"/><Relationship Id="rId112" Type="http://schemas.openxmlformats.org/officeDocument/2006/relationships/hyperlink" Target="https://www.fger.org/inicia-etapa-intermedia-en-caso-de-periodista-norma-sancir/" TargetMode="External"/><Relationship Id="rId133" Type="http://schemas.openxmlformats.org/officeDocument/2006/relationships/hyperlink" Target="https://lahora.gt/periodistas-acusan-a-magistrada-de-la-csj-de-filtrar-imagenes-a-netcenter/" TargetMode="External"/><Relationship Id="rId154" Type="http://schemas.openxmlformats.org/officeDocument/2006/relationships/hyperlink" Target="https://www.oas.org/en/iachr/jsForm/?File=/en/iachr/media_center/preleases/2021/128.asp" TargetMode="External"/><Relationship Id="rId175" Type="http://schemas.openxmlformats.org/officeDocument/2006/relationships/hyperlink" Target="https://d.docs.live.net/8112aaf37d02698a/Documentos/APG%20conden&#243;%20las%20agresiones%20contra%20periodistas%20durante%20la%20manifestaci&#243;n%20de%20militares%20retirados%20|%20elPeri&#243;dico%20de%20Guatemala.%20(elperiodico.com.gt)" TargetMode="External"/><Relationship Id="rId340" Type="http://schemas.openxmlformats.org/officeDocument/2006/relationships/hyperlink" Target="https://osarguatemala.org/embarazos-y-registro-de-nacimientos-2021/" TargetMode="External"/><Relationship Id="rId196" Type="http://schemas.openxmlformats.org/officeDocument/2006/relationships/hyperlink" Target="https://elpais.com/planeta-futuro/2021-04-28/tengomiedo-la-campana-que-desvela-el-aumento-de-asesinatos-y-desapariciones-de-mujeres-y-ninas-en-guatemala.html" TargetMode="External"/><Relationship Id="rId200" Type="http://schemas.openxmlformats.org/officeDocument/2006/relationships/hyperlink" Target="https://www.oas.org/en/iachr/reports/pdfs/Guatemala2017-en.pdf" TargetMode="External"/><Relationship Id="rId16" Type="http://schemas.openxmlformats.org/officeDocument/2006/relationships/hyperlink" Target="https://lahora.gt/mp-y-cicig-revelan-segundo-caso-de-financiamiento-ilicito-de-fcn/" TargetMode="External"/><Relationship Id="rId221" Type="http://schemas.openxmlformats.org/officeDocument/2006/relationships/hyperlink" Target="https://lacuerda.gt/2021/09/06/las-mujeres-que-llevan-22-anos-buscando-justicia-en-nombre-de-sus-familias/" TargetMode="External"/><Relationship Id="rId242" Type="http://schemas.openxmlformats.org/officeDocument/2006/relationships/hyperlink" Target="http://www.cidh.org/countryrep/Defenders/defenderstoc.htm" TargetMode="External"/><Relationship Id="rId263" Type="http://schemas.openxmlformats.org/officeDocument/2006/relationships/hyperlink" Target="https://twitter.com/Dgspg/status/1437449128041238531" TargetMode="External"/><Relationship Id="rId284" Type="http://schemas.openxmlformats.org/officeDocument/2006/relationships/hyperlink" Target="https://www.oas.org/en/iachr/decisions/pdf/Resolution-4-19-en.pdf" TargetMode="External"/><Relationship Id="rId319" Type="http://schemas.openxmlformats.org/officeDocument/2006/relationships/hyperlink" Target="https://twitter.com/PNCdeGuatemala/status/1355277088664780802?s=20" TargetMode="External"/><Relationship Id="rId37" Type="http://schemas.openxmlformats.org/officeDocument/2006/relationships/hyperlink" Target="https://www.oas.org/en/iachr/reports/pdfs/CorruptionHR.pdf" TargetMode="External"/><Relationship Id="rId58" Type="http://schemas.openxmlformats.org/officeDocument/2006/relationships/hyperlink" Target="http://www.dplf.org/sites/default/files/recomendaciones_para_el_cumplimiento_de_la_sentencia_cc_eleccion_cortes_guatemala.pdf" TargetMode="External"/><Relationship Id="rId79" Type="http://schemas.openxmlformats.org/officeDocument/2006/relationships/hyperlink" Target="https://elperiodico.com.gt/nacionales/2021/07/01/cc-reactiva-antejuicio-contra-juez-pablo-xitumul/" TargetMode="External"/><Relationship Id="rId102" Type="http://schemas.openxmlformats.org/officeDocument/2006/relationships/hyperlink" Target="https://www.soy502.com/articulo/armas-ubicadas-carro-fueron-usadas-contra-frank-ramazzini-32419" TargetMode="External"/><Relationship Id="rId123" Type="http://schemas.openxmlformats.org/officeDocument/2006/relationships/hyperlink" Target="https://lahora.gt/mp-quiere-interrogar-a-periodista-por-nota-que-denuncio-filtracion/" TargetMode="External"/><Relationship Id="rId144" Type="http://schemas.openxmlformats.org/officeDocument/2006/relationships/hyperlink" Target="https://twitter.com/PDHgt/status/1429499161217482756?ref_src=twsrc%5Etfw%7Ctwcamp%5Etweetembed%7Ctwterm%5E1429505772782866435%7Ctwgr%5E%7Ctwcon%5Es3_&amp;ref_url=https%3A%2F%2Flahora.gt%2Fla-amenaza-a-la-libertad-de-prensa-que-ya-estaba-y-ahora-causo-preocupacion%2F" TargetMode="External"/><Relationship Id="rId330" Type="http://schemas.openxmlformats.org/officeDocument/2006/relationships/hyperlink" Target="https://www.congreso.gob.gt/seccion_informacion_legislativa/iniciativas" TargetMode="External"/><Relationship Id="rId90" Type="http://schemas.openxmlformats.org/officeDocument/2006/relationships/hyperlink" Target="https://www.prensacomunitaria.org/2021/10/continua-desgaste-al-pdh-en-el-congreso-fracasa-intento-de-conocer-memorial-para-destituirlo/" TargetMode="External"/><Relationship Id="rId165" Type="http://schemas.openxmlformats.org/officeDocument/2006/relationships/hyperlink" Target="https://www.soy502.com/articulo/accionan-contra-supuestos-vendedores-terminal-100931" TargetMode="External"/><Relationship Id="rId186" Type="http://schemas.openxmlformats.org/officeDocument/2006/relationships/hyperlink" Target="https://www.plazapublica.com.gt/content/gobierno-hace-malabares-con-banda-4g-y-beneficia-tigo" TargetMode="External"/><Relationship Id="rId351" Type="http://schemas.openxmlformats.org/officeDocument/2006/relationships/hyperlink" Target="https://www.oas.org/en/iachr/children/docs/pdf/Report-Right-to-family.pdf" TargetMode="External"/><Relationship Id="rId211" Type="http://schemas.openxmlformats.org/officeDocument/2006/relationships/hyperlink" Target="https://mic.iom.int/webntmi/descargas/2021/DTMTormentaR2/GT/EncuestaHogaresAV-Hue.pdf" TargetMode="External"/><Relationship Id="rId232" Type="http://schemas.openxmlformats.org/officeDocument/2006/relationships/hyperlink" Target="https://www.dw.com/es/guatemala-arrestan-a-jos%C3%A9-ortiz-por-masacre-en-dos-erres/a-57473527" TargetMode="External"/><Relationship Id="rId253" Type="http://schemas.openxmlformats.org/officeDocument/2006/relationships/hyperlink" Target="https://www.oas.org/en/iachr/jsForm/?File=/en/iachr/media_center/preleases/2021/128.asp" TargetMode="External"/><Relationship Id="rId274" Type="http://schemas.openxmlformats.org/officeDocument/2006/relationships/hyperlink" Target="https://www.oas.org/en/iachr/decisions/pdf/Resolution-1-20-en.pdf" TargetMode="External"/><Relationship Id="rId295" Type="http://schemas.openxmlformats.org/officeDocument/2006/relationships/hyperlink" Target="https://igm.gob.gt/wp-content/uploads/2017/09/INFORME-GENERAL-CORRESPONDIENTE-AL-MES-DE-DICIEMBRE-2020-FINAL-.pdf" TargetMode="External"/><Relationship Id="rId309" Type="http://schemas.openxmlformats.org/officeDocument/2006/relationships/hyperlink" Target="https://www.worldbank.org/en/country/guatemala/overview" TargetMode="External"/><Relationship Id="rId27" Type="http://schemas.openxmlformats.org/officeDocument/2006/relationships/hyperlink" Target="https://www.prensalibre.com/guatemala/justicia/feci-debe-solicitar-autorizacion-de-fiscal-general-para-operativos-pero-otras-fiscalias-no/" TargetMode="External"/><Relationship Id="rId48" Type="http://schemas.openxmlformats.org/officeDocument/2006/relationships/hyperlink" Target="https://www.prensalibre.com/guatemala/justicia/mynor-moto-profugo-de-la-justicia-presenta-amparo-con-el-que-busca-volver-a-ocupar-su-cargo-como-juez-breaking/" TargetMode="External"/><Relationship Id="rId69" Type="http://schemas.openxmlformats.org/officeDocument/2006/relationships/hyperlink" Target="https://www.prensalibre.com/guatemala/justicia/consuelo-porras-hace-rotaciones-en-11-fiscalias-entre-ellas-la-de-derechos-humanos-cuya-extitular-llevo-a-juicio-a-rios-montt-breaking/" TargetMode="External"/><Relationship Id="rId113" Type="http://schemas.openxmlformats.org/officeDocument/2006/relationships/hyperlink" Target="https://rudagt.org/policias-podrian-enfrentar-juicio-por-abuso-de-autoridad-en-contra-de-periodista/" TargetMode="External"/><Relationship Id="rId134" Type="http://schemas.openxmlformats.org/officeDocument/2006/relationships/hyperlink" Target="https://www.pdh.org.gt/comunicacion/noticias/75-21-el-procurador-de-los-derechos-humanos-jordan-rodas-andrade-condena-los-actos-de-hostigamiento-contra-la-periodista-michelle-mendoza-y-rechaza-categoricamente-los-ataques-promovidos-contra-lideres-civiles-desde-los-netcenters-que-forman-parte-de-estructuras-criminales.html" TargetMode="External"/><Relationship Id="rId320" Type="http://schemas.openxmlformats.org/officeDocument/2006/relationships/hyperlink" Target="https://twitter.com/PNCdeGuatemala/status/1355298006766133259?s=20" TargetMode="External"/><Relationship Id="rId80" Type="http://schemas.openxmlformats.org/officeDocument/2006/relationships/hyperlink" Target="https://independenciajudicial.org/anomalias-en-el-proceso-de-antejuicio-contra-el-juez-pablo-xitumul/" TargetMode="External"/><Relationship Id="rId155" Type="http://schemas.openxmlformats.org/officeDocument/2006/relationships/hyperlink" Target="https://prensa.gob.gt/sites/default/files/2021-07/Decreto%20gubernativo%205-2021.pdf" TargetMode="External"/><Relationship Id="rId176" Type="http://schemas.openxmlformats.org/officeDocument/2006/relationships/hyperlink" Target="https://www.oas.org/en/iachr/expression/showarticle.asp?artID=1216&amp;lID=1" TargetMode="External"/><Relationship Id="rId197" Type="http://schemas.openxmlformats.org/officeDocument/2006/relationships/hyperlink" Target="https://lahora.gt/campana-tengomiedo-busca-hacer-conciencia-sobre-la-violencia-contra-las-ninas-y-mujeres-en-gt/" TargetMode="External"/><Relationship Id="rId341" Type="http://schemas.openxmlformats.org/officeDocument/2006/relationships/hyperlink" Target="https://www.oas.org/en/iachr/reports/pdfs/ViolenceWomenGirls.pdf" TargetMode="External"/><Relationship Id="rId201" Type="http://schemas.openxmlformats.org/officeDocument/2006/relationships/hyperlink" Target="https://mobile.twitter.com/contraloria_gt/status/1411094759922413572?lang=de" TargetMode="External"/><Relationship Id="rId222" Type="http://schemas.openxmlformats.org/officeDocument/2006/relationships/hyperlink" Target="https://www.prensacomunitaria.org/2021/05/piden-declarar-inconstitucional-acuerdo-que-afecta-resarcimiento-a-victimas-de-chixoy/" TargetMode="External"/><Relationship Id="rId243" Type="http://schemas.openxmlformats.org/officeDocument/2006/relationships/hyperlink" Target="https://www.oas.org/en/iachr/defenders/docs/pdf/defenders2011.pdf" TargetMode="External"/><Relationship Id="rId264" Type="http://schemas.openxmlformats.org/officeDocument/2006/relationships/hyperlink" Target="https://www.oas.org/en/iachr/reports/pdfs/Guatemala2017-en.pdf" TargetMode="External"/><Relationship Id="rId285" Type="http://schemas.openxmlformats.org/officeDocument/2006/relationships/hyperlink" Target="http://www.oas.org/en/iachr/jsForm/?File=/en/iachr/media_center/preleases/2021/016.asp" TargetMode="External"/><Relationship Id="rId17" Type="http://schemas.openxmlformats.org/officeDocument/2006/relationships/hyperlink" Target="https://www.prensalibre.com/guatemala/justicia/estos-son-los-casos-mas-emblematicos-investigados-por-la-feci/" TargetMode="External"/><Relationship Id="rId38" Type="http://schemas.openxmlformats.org/officeDocument/2006/relationships/hyperlink" Target="https://www.oas.org/en/iachr/reports/pdfs/CorruptionHR.pdf" TargetMode="External"/><Relationship Id="rId59" Type="http://schemas.openxmlformats.org/officeDocument/2006/relationships/hyperlink" Target="https://sv.boell.org/sites/default/files/2020-05/Informe%20Comisiones%20Paralelas%20FMM%202020V2.pdf" TargetMode="External"/><Relationship Id="rId103" Type="http://schemas.openxmlformats.org/officeDocument/2006/relationships/hyperlink" Target="https://www.rsf-es.org/guatemala-asesinado-el-periodista-pedro-alfonso-guadron-hernandez/" TargetMode="External"/><Relationship Id="rId124" Type="http://schemas.openxmlformats.org/officeDocument/2006/relationships/hyperlink" Target="https://www.oas.org/en/iachr/expression/showarticle.asp?artID=1216&amp;lID=1" TargetMode="External"/><Relationship Id="rId310" Type="http://schemas.openxmlformats.org/officeDocument/2006/relationships/hyperlink" Target="https://nomada.gt/pais/la-corrupcion-no-es-normal/q9-3-mil-millones-destinados-a-alimentacion-habrian-terminado-en-sobornos-segun-informe/" TargetMode="External"/><Relationship Id="rId70" Type="http://schemas.openxmlformats.org/officeDocument/2006/relationships/hyperlink" Target="https://www.fidh.org/es/region/americas/guatemala/guatemala-asesinato-de-benoit-maria-representante-de-agronomos-y" TargetMode="External"/><Relationship Id="rId91" Type="http://schemas.openxmlformats.org/officeDocument/2006/relationships/hyperlink" Target="https://lahora.gt/comision-de-dd-hh-analizara-citar-al-pdh-por-pedido-de-destitucion/" TargetMode="External"/><Relationship Id="rId145" Type="http://schemas.openxmlformats.org/officeDocument/2006/relationships/hyperlink" Target="https://lahora.gt/diputados-de-la-une-accionan-contra-disposicion-presidencial-sobre-labor-informativa/" TargetMode="External"/><Relationship Id="rId166" Type="http://schemas.openxmlformats.org/officeDocument/2006/relationships/hyperlink" Target="https://lahora.gt/sin-joviel-y-anam-vendedores-de-la-terminal-asumen-defensa-del-gobierno/" TargetMode="External"/><Relationship Id="rId187" Type="http://schemas.openxmlformats.org/officeDocument/2006/relationships/hyperlink" Target="https://www.prensalibre.com/economia/dos-recursos-se-cruzan-en-el-proceso-para-subastar-la-red-4g/" TargetMode="External"/><Relationship Id="rId331" Type="http://schemas.openxmlformats.org/officeDocument/2006/relationships/hyperlink" Target="https://www.congreso.gob.gt/assets/uploads/info_legislativo/iniciativas/1519945531_5285.pdf" TargetMode="External"/><Relationship Id="rId352" Type="http://schemas.openxmlformats.org/officeDocument/2006/relationships/hyperlink" Target="https://www.pdh.org.gt/comunicacion/noticias/16-21-el-procurador-de-los-derechos-humanos-jordan-rodas-andrade-condena-el-recrudecimiento-de-asesinatos-de-personas-lgbtiq-y-recomienda-al-ministerio-publico-prestar-prioridad-a-su-esclarecimiento.html" TargetMode="External"/><Relationship Id="rId1" Type="http://schemas.openxmlformats.org/officeDocument/2006/relationships/hyperlink" Target="https://www.oas.org/en/iachr/reports/pdfs/Guatemala2017-en.pdf" TargetMode="External"/><Relationship Id="rId212" Type="http://schemas.openxmlformats.org/officeDocument/2006/relationships/hyperlink" Target="https://crnnoticias.com/los-huracanes-eta-e-iota-aun-generan-desplazados-en-guatemala/" TargetMode="External"/><Relationship Id="rId233" Type="http://schemas.openxmlformats.org/officeDocument/2006/relationships/hyperlink" Target="https://www.ice.gov/news/releases/ice-removes-guatemalan-citizen-alleged-human-rights-violations-connection-1982-dos" TargetMode="External"/><Relationship Id="rId254" Type="http://schemas.openxmlformats.org/officeDocument/2006/relationships/hyperlink" Target="https://www.oas.org/en/iachr/defenders/docs/pdf/defenders2011.pdf" TargetMode="External"/><Relationship Id="rId28" Type="http://schemas.openxmlformats.org/officeDocument/2006/relationships/hyperlink" Target="https://twitter.com/NabilaEUspox/status/1419714519895617536?s=20" TargetMode="External"/><Relationship Id="rId49" Type="http://schemas.openxmlformats.org/officeDocument/2006/relationships/hyperlink" Target="http://www.oas.org/en/iachr/jsForm/?File=/en/iachr/media_center/preleases/2021/031.asp" TargetMode="External"/><Relationship Id="rId114" Type="http://schemas.openxmlformats.org/officeDocument/2006/relationships/hyperlink" Target="https://articulo19.org/interponen-denuncias-penales-contra-marvin-del-cid-y-sonny-figueroa-por-publicar-casos-de-interes-publico/" TargetMode="External"/><Relationship Id="rId275" Type="http://schemas.openxmlformats.org/officeDocument/2006/relationships/hyperlink" Target="https://www.unhcr.org/en-us/statistics/unhcrstats/60b638e37/global-trends-forced-displacement-2020.html?query=" TargetMode="External"/><Relationship Id="rId296" Type="http://schemas.openxmlformats.org/officeDocument/2006/relationships/hyperlink" Target="https://www.oas.org/en/iachr/reports/pdfs/DueProcess-EN.pdf" TargetMode="External"/><Relationship Id="rId300" Type="http://schemas.openxmlformats.org/officeDocument/2006/relationships/hyperlink" Target="https://www.prensacomunitaria.org/2021/06/el-estor-vuelven-los-desalojos-de-comunidades-qeqchi-en-medio-de-la-pandemia/" TargetMode="External"/><Relationship Id="rId60" Type="http://schemas.openxmlformats.org/officeDocument/2006/relationships/hyperlink" Target="https://www.no-ficcion.com/project/eleccion-csj-maquinaria-impunidad-atrofiada" TargetMode="External"/><Relationship Id="rId81" Type="http://schemas.openxmlformats.org/officeDocument/2006/relationships/hyperlink" Target="https://www.youtube.com/watch?v=y92R-_E9NKU" TargetMode="External"/><Relationship Id="rId135" Type="http://schemas.openxmlformats.org/officeDocument/2006/relationships/hyperlink" Target="https://elperiodico.com.gt/nacionales/2021/06/09/pnc-allana-vivienda-de-editor-de-elperiodico/" TargetMode="External"/><Relationship Id="rId156" Type="http://schemas.openxmlformats.org/officeDocument/2006/relationships/hyperlink" Target="https://lahora.gt/publican-estado-de-prevencion-vicepresidente-voto-en-contra/" TargetMode="External"/><Relationship Id="rId177" Type="http://schemas.openxmlformats.org/officeDocument/2006/relationships/hyperlink" Target="https://sgp.gob.gt/wp-content/uploads/2021/10/DG-009-2021.pdf" TargetMode="External"/><Relationship Id="rId198" Type="http://schemas.openxmlformats.org/officeDocument/2006/relationships/hyperlink" Target="https://www.pdh.org.gt/comunicacion/noticias/39-21-el-procurador-de-los-derechos-humanos-jordan-rodas-andrade-recomienda-a-la-onsec-analizar-con-objetividad-y-considerando-el-marco-normativo-la-no-renovacion-del-contrato-laboral-de-maria-alejandra-morales-arana-sin-mas-causa-aparente-que-haber-promovido-la-impactante-campana-ciudadana-tengomiedo-en-relacion-a-la-violencia-contra-la-mujer.html" TargetMode="External"/><Relationship Id="rId321" Type="http://schemas.openxmlformats.org/officeDocument/2006/relationships/hyperlink" Target="http://www.oacnudh.org.gt/index.php/sala-de-prensa/noticias-y-comunicados/437-herramientasentenciasviolenciadegenero" TargetMode="External"/><Relationship Id="rId342" Type="http://schemas.openxmlformats.org/officeDocument/2006/relationships/hyperlink" Target="https://www.oas.org/en/iachr/reports/pdfs/ViolenceWomenGirls.pdf" TargetMode="External"/><Relationship Id="rId202" Type="http://schemas.openxmlformats.org/officeDocument/2006/relationships/hyperlink" Target="https://www.prensalibre.com/guatemala/justicia/contraloria-general-de-cuentas-denuncia-a-la-ministra-de-salud-amelia-flores-breaking/" TargetMode="External"/><Relationship Id="rId223" Type="http://schemas.openxmlformats.org/officeDocument/2006/relationships/hyperlink" Target="https://www.prensalibre.com/pl-plus/guatemala/politica/asi-funciona-la-comision-presidencial-por-la-paz-y-los-derechos-humanos/" TargetMode="External"/><Relationship Id="rId244" Type="http://schemas.openxmlformats.org/officeDocument/2006/relationships/hyperlink" Target="https://www.fidh.org/es/temas/defensores-de-derechos-humanos/guatemala-criminalizacion-de-cinco-personas-defensoras-maya-ch-orti" TargetMode="External"/><Relationship Id="rId18" Type="http://schemas.openxmlformats.org/officeDocument/2006/relationships/hyperlink" Target="https://www.prensalibre.com/guatemala/justicia/hallan-mas-de-q122-millones-en-casa-en-antigua-guatemala-y-segun-el-mp-podria-estar-vinculado-a-un-gobierno-anterior/" TargetMode="External"/><Relationship Id="rId39" Type="http://schemas.openxmlformats.org/officeDocument/2006/relationships/hyperlink" Target="https://www.oas.org/en/iachr/decisions/pdf/Resolution-1-17-en.pdf" TargetMode="External"/><Relationship Id="rId265" Type="http://schemas.openxmlformats.org/officeDocument/2006/relationships/hyperlink" Target="https://www.oas.org/en/iachr/reports/pdfs/PretrialDetention.pdf" TargetMode="External"/><Relationship Id="rId286" Type="http://schemas.openxmlformats.org/officeDocument/2006/relationships/hyperlink" Target="http://www.oas.org/en/iachr/jsForm/?File=/en/iachr/media_center/preleases/2021/082.asp" TargetMode="External"/><Relationship Id="rId50" Type="http://schemas.openxmlformats.org/officeDocument/2006/relationships/hyperlink" Target="https://www.minex.gob.gt/userfiles/Informe_Mision_Especial_OEA_en_Guatemala_12_2021.pdf" TargetMode="External"/><Relationship Id="rId104" Type="http://schemas.openxmlformats.org/officeDocument/2006/relationships/hyperlink" Target="https://republica.gt/2021/07/31/asesinato-de-comunicador-social-en-chiquimula-pedro-alfonso-guadron-hernandez/" TargetMode="External"/><Relationship Id="rId125" Type="http://schemas.openxmlformats.org/officeDocument/2006/relationships/hyperlink" Target="https://articulo19.org/acoso-sistematico-contra-los-periodistas-marvin-del-cid-y-sonny-figueroa/" TargetMode="External"/><Relationship Id="rId146" Type="http://schemas.openxmlformats.org/officeDocument/2006/relationships/hyperlink" Target="https://www.soy502.com/articulo/reves-giammattei-diputados-rechazan-estado-calamidad-100931" TargetMode="External"/><Relationship Id="rId167" Type="http://schemas.openxmlformats.org/officeDocument/2006/relationships/hyperlink" Target="https://s3.us-west-2.amazonaws.com/cdn.republica.gt/2021/08/006-EXTRAORDINARIA_4254-2021.pdf" TargetMode="External"/><Relationship Id="rId188" Type="http://schemas.openxmlformats.org/officeDocument/2006/relationships/hyperlink" Target="https://www.soy502.com/articulo/exjefe-sit-acusa-giammattei-presiones-firmar-acuerdo-100931" TargetMode="External"/><Relationship Id="rId311" Type="http://schemas.openxmlformats.org/officeDocument/2006/relationships/hyperlink" Target="https://lahora.gt/expertos-por-estudio-sobre-talla-baja-en-gt-ninez-es-victima-de-la-corrupcion/" TargetMode="External"/><Relationship Id="rId332" Type="http://schemas.openxmlformats.org/officeDocument/2006/relationships/hyperlink" Target="https://www.unicef.org/guatemala/comunicados-prensa/unicef-llama-construir-un-sistema-de-protecci%C3%B3n-la-infancia-en-el-cuarto" TargetMode="External"/><Relationship Id="rId353" Type="http://schemas.openxmlformats.org/officeDocument/2006/relationships/hyperlink" Target="https://www.hrw.org/news/2021/06/22/guatemala-3-killings-lgbt-people-week" TargetMode="External"/><Relationship Id="rId71" Type="http://schemas.openxmlformats.org/officeDocument/2006/relationships/hyperlink" Target="https://www.fidh.org/es/region/americas/guatemala/guatemala-traslado-injustificado-de-la-fiscal-de-derechos-humanos" TargetMode="External"/><Relationship Id="rId92" Type="http://schemas.openxmlformats.org/officeDocument/2006/relationships/hyperlink" Target="https://www.minfin.gob.gt/images/downloads/leyes_acuerdos/28W.pdf" TargetMode="External"/><Relationship Id="rId213" Type="http://schemas.openxmlformats.org/officeDocument/2006/relationships/hyperlink" Target="https://mic.iom.int/webntmi/descargas/2021/DTMTormentaR2/GT/EncuestaHogaresAV-Hue.pdf" TargetMode="External"/><Relationship Id="rId234" Type="http://schemas.openxmlformats.org/officeDocument/2006/relationships/hyperlink" Target="https://lahora.gt/caso-dos-erres-juzgado-envia-a-juicio-a-jose-ortiz-por-crimenes-cometidos-en-1982/" TargetMode="External"/><Relationship Id="rId2" Type="http://schemas.openxmlformats.org/officeDocument/2006/relationships/hyperlink" Target="https://www.oas.org/en/iachr/media_center/PReleases/2017/114A.asp" TargetMode="External"/><Relationship Id="rId29" Type="http://schemas.openxmlformats.org/officeDocument/2006/relationships/hyperlink" Target="https://www.state.gov/briefings/department-press-briefing-july-27-2021/" TargetMode="External"/><Relationship Id="rId255" Type="http://schemas.openxmlformats.org/officeDocument/2006/relationships/hyperlink" Target="https://www.pdh.org.gt/documentos/seccion-de-informes/informes/supervision-y-monitoreo/defensoria-de-las-personas-defensora-de-derechos-humanos-y-periodistas/ano-2021-9/supervision-a-comision-presidencial-por-la-paz-y-los-derechos-humanos-secretaria-de-planificacion-y-programacion-de-la-presidencia-y-ministerio-de-gobernacion-sobre-la-politica-publica-para-la-proteccion-de-defensores-de-derechos-humanos-junio-2021/8300-supervision-a-copade-humanos-secretaria-de-planificacion-y-programacion-de-la-presidencia-y-ministerio-de-gobernacion-sobre-la-politica-publica-para-la-proteccion-de-defensores-de-ddhh-junio-2021/file.html" TargetMode="External"/><Relationship Id="rId276" Type="http://schemas.openxmlformats.org/officeDocument/2006/relationships/hyperlink" Target="https://www.oas.org/en/iachr/docs/annual/2020/Chapters/IA2020cap.5.GU-en.pdf" TargetMode="External"/><Relationship Id="rId297" Type="http://schemas.openxmlformats.org/officeDocument/2006/relationships/hyperlink" Target="http://www.oas.org/en/iachr/jsForm/?File=/en/iachr/media_center/preleases/2021/243.asp" TargetMode="External"/><Relationship Id="rId40" Type="http://schemas.openxmlformats.org/officeDocument/2006/relationships/hyperlink" Target="https://cc.gob.gt/2020/05/08/expediente-1169-2020/" TargetMode="External"/><Relationship Id="rId115" Type="http://schemas.openxmlformats.org/officeDocument/2006/relationships/hyperlink" Target="https://lahora.gt/mama-y-hermana-de-miguel-martinez-denuncian-a-periodistas-por-reportaje-de-casa/" TargetMode="External"/><Relationship Id="rId136" Type="http://schemas.openxmlformats.org/officeDocument/2006/relationships/hyperlink" Target="https://latamjournalismreview.org/es/news/policia-allana-vivienda-de-editor-de-elperiodico-en-guatemala/" TargetMode="External"/><Relationship Id="rId157" Type="http://schemas.openxmlformats.org/officeDocument/2006/relationships/hyperlink" Target="https://prensa.gob.gt/sites/default/files/2021-07/Decreto%20gubernativo%205-2021.pdf" TargetMode="External"/><Relationship Id="rId178" Type="http://schemas.openxmlformats.org/officeDocument/2006/relationships/hyperlink" Target="https://www.prensalibre.com/guatemala/politica/congreso-de-la-republica-ratifica-el-estado-de-sitio-en-el-estor-izabal-y-estara-vigente-por-30-dias-breaking/" TargetMode="External"/><Relationship Id="rId301" Type="http://schemas.openxmlformats.org/officeDocument/2006/relationships/hyperlink" Target="https://www.fger.org/operativo-policial-partio-de-rio-dulce/?fbclid=IwAR3kJD6ilGXypdgDU4724D_Dkz8R4_sZCmptgX6NS7OUGOsUSkolyNnXLu0" TargetMode="External"/><Relationship Id="rId322" Type="http://schemas.openxmlformats.org/officeDocument/2006/relationships/hyperlink" Target="http://www.cidh.org/women/Access07/chap4.htm" TargetMode="External"/><Relationship Id="rId343" Type="http://schemas.openxmlformats.org/officeDocument/2006/relationships/hyperlink" Target="https://www.sbs.gob.gt/wp-content/uploads/2021/05/SBS-Rendicion-de-Cuentes-I-Cuatrimestre-2021.pdf" TargetMode="External"/><Relationship Id="rId61" Type="http://schemas.openxmlformats.org/officeDocument/2006/relationships/hyperlink" Target="https://cc.gob.gt/2020/05/08/expediente-1169-2020/" TargetMode="External"/><Relationship Id="rId82" Type="http://schemas.openxmlformats.org/officeDocument/2006/relationships/hyperlink" Target="https://www.oas.org/es/cidh/defensores/docs/pdf/Justice-Operators-2013.pdf" TargetMode="External"/><Relationship Id="rId199" Type="http://schemas.openxmlformats.org/officeDocument/2006/relationships/hyperlink" Target="https://www.oxfam.org/es/informes/entre-el-suelo-y-el-cielo" TargetMode="External"/><Relationship Id="rId203" Type="http://schemas.openxmlformats.org/officeDocument/2006/relationships/hyperlink" Target="https://www.prensalibre.com/ciudades/crisis-hospitalaria-asi-viven-la-escalada-de-casos-por-covid-19-en-los-diferentes-centros-asistenciales-de-guatemala-breaking/" TargetMode="External"/><Relationship Id="rId19" Type="http://schemas.openxmlformats.org/officeDocument/2006/relationships/hyperlink" Target="https://independenciajudicial.org/impacto-de-la-destitucion-del-fiscal-juan-francisco-sandoval-para-el-futuro-de-la-justicia/" TargetMode="External"/><Relationship Id="rId224" Type="http://schemas.openxmlformats.org/officeDocument/2006/relationships/hyperlink" Target="https://udgtv.com/noticias/denuncian-retroceso-acuerdos-paz-al-recordar-masacre-guatemala/" TargetMode="External"/><Relationship Id="rId245" Type="http://schemas.openxmlformats.org/officeDocument/2006/relationships/hyperlink" Target="https://www.ohchr.org/EN/NewsEvents/Pages/DisplayNews.aspx?NewsID=27343&amp;LangID=E" TargetMode="External"/><Relationship Id="rId266" Type="http://schemas.openxmlformats.org/officeDocument/2006/relationships/hyperlink" Target="https://www.oas.org/en/iachr/reports/pdfs/PretrialDetention.pdf" TargetMode="External"/><Relationship Id="rId287" Type="http://schemas.openxmlformats.org/officeDocument/2006/relationships/hyperlink" Target="https://legal.dca.gob.gt/GestionDocumento/VisualizarDocumento?verDocumentoPrevia=True&amp;versionImpresa=True&amp;doc=81284" TargetMode="External"/><Relationship Id="rId30" Type="http://schemas.openxmlformats.org/officeDocument/2006/relationships/hyperlink" Target="https://www.state.gov/united-states-announces-actions-against-seven-central-american-officials-for-undermining-democracy-and-obstructing-investigations-into-acts-of-corruption/" TargetMode="External"/><Relationship Id="rId105" Type="http://schemas.openxmlformats.org/officeDocument/2006/relationships/hyperlink" Target="https://twitter.com/APG_1947/status/1421517816080048138?ref_src=twsrc%5Etfw%7Ctwcamp%5Etweetembed%7Ctwterm%5E1421517816080048138%7Ctwgr%5E%7Ctwcon%5Es1_&amp;ref_url=https%3A%2F%2Flahora.gt%2Fapg-condena-muerte-de-periodista-en-chiquimula-habria-recibido-amenazas%2F" TargetMode="External"/><Relationship Id="rId126" Type="http://schemas.openxmlformats.org/officeDocument/2006/relationships/hyperlink" Target="https://www.fidh.org/es/region/americas/guatemala/guatemala-persiste-el-hostigamiento-contra-los-periodistas-marvin-del" TargetMode="External"/><Relationship Id="rId147" Type="http://schemas.openxmlformats.org/officeDocument/2006/relationships/hyperlink" Target="https://www.dw.com/es/congreso-de-guatemala-rechaza-estado-de-calamidad-por-covid-19-decretado-por-giammattei/a-58964675" TargetMode="External"/><Relationship Id="rId168" Type="http://schemas.openxmlformats.org/officeDocument/2006/relationships/hyperlink" Target="https://www.prensalibre.com/economia/la-camara-de-comercio-y-la-del-agro-se-pronuncian-y-muestran-rechazo-a-los-bloqueos-en-guatemala-breaking/" TargetMode="External"/><Relationship Id="rId312" Type="http://schemas.openxmlformats.org/officeDocument/2006/relationships/hyperlink" Target="https://www.oas.org/en/iachr/reports/pdfs/Guatemala2016-en.pdf" TargetMode="External"/><Relationship Id="rId333" Type="http://schemas.openxmlformats.org/officeDocument/2006/relationships/hyperlink" Target="https://www.oas.org/en/iachr/reports/pdfs/FulfillmentRights-Children.pdf" TargetMode="External"/><Relationship Id="rId354" Type="http://schemas.openxmlformats.org/officeDocument/2006/relationships/hyperlink" Target="https://agenciapresentes.org/2021/06/14/dos-transfemicidios-en-menos-de-una-semana-en-guatemala-ceci-ixtapa-y-andrea-gonzalez-activistas/" TargetMode="External"/><Relationship Id="rId51" Type="http://schemas.openxmlformats.org/officeDocument/2006/relationships/hyperlink" Target="https://independenciajudicial.org/wp-content/uploads/2021/05/IW-informe-anomalias-en-la-eleccion-de-la-CC-mayo-2021.pdf" TargetMode="External"/><Relationship Id="rId72" Type="http://schemas.openxmlformats.org/officeDocument/2006/relationships/hyperlink" Target="https://www.oas.org/es/cidh/defensores/docs/pdf/Justice-Operators-2013.pdf" TargetMode="External"/><Relationship Id="rId93" Type="http://schemas.openxmlformats.org/officeDocument/2006/relationships/hyperlink" Target="https://www.oas.org/en/iachr/docs/annual/2020/Chapters/IA2020cap.5.GU-en.pdf" TargetMode="External"/><Relationship Id="rId189" Type="http://schemas.openxmlformats.org/officeDocument/2006/relationships/hyperlink" Target="https://www.centralamericadata.com/es/article/home/Subasta_red_4G_Batalla_en_Guatemala" TargetMode="External"/><Relationship Id="rId3" Type="http://schemas.openxmlformats.org/officeDocument/2006/relationships/hyperlink" Target="https://www.oas.org/en/iachr/reports/pdfs/Guatemala2017-en.pdf" TargetMode="External"/><Relationship Id="rId214" Type="http://schemas.openxmlformats.org/officeDocument/2006/relationships/hyperlink" Target="https://lahora.gt/mas-de-80-organizaciones-piden-ratificar-acuerdo-de-escazu/" TargetMode="External"/><Relationship Id="rId235" Type="http://schemas.openxmlformats.org/officeDocument/2006/relationships/hyperlink" Target="https://mcusercontent.com/cd639ff1b4b8013b628e7b0b1/files/455ae0e7-f3c2-5dd2-5bb1-2b2055e55e37/COMUNICADO_UDEFEGUA_actualizaci%C3%B3n_de_datos_de_situaci%C3%B3n_personas_defensoras_2021.pdf" TargetMode="External"/><Relationship Id="rId256" Type="http://schemas.openxmlformats.org/officeDocument/2006/relationships/hyperlink" Target="https://www.youtube.com/watch?v=y92R-_E9NKU" TargetMode="External"/><Relationship Id="rId277" Type="http://schemas.openxmlformats.org/officeDocument/2006/relationships/hyperlink" Target="https://www.unhcr.org/en-us/statistics/unhcrstats/5ee200e37/unhcr-global-trends-2019.html?query=Global%20Trends%20in%20Forced%20Displacement%202019" TargetMode="External"/><Relationship Id="rId298" Type="http://schemas.openxmlformats.org/officeDocument/2006/relationships/hyperlink" Target="http://www.oas.org/en/iachr/jsForm/?File=/en/iachr/media_center/preleases/2021/243.asp" TargetMode="External"/><Relationship Id="rId116" Type="http://schemas.openxmlformats.org/officeDocument/2006/relationships/hyperlink" Target="https://articulo35.com/archivos/5033" TargetMode="External"/><Relationship Id="rId137" Type="http://schemas.openxmlformats.org/officeDocument/2006/relationships/hyperlink" Target="https://www.prensacomunitaria.org/2021/10/allanamiento-en-casa-del-periodista-juan-bautista-xol-acto-de-criminalizacion-y-censura/" TargetMode="External"/><Relationship Id="rId158" Type="http://schemas.openxmlformats.org/officeDocument/2006/relationships/hyperlink" Target="https://twitter.com/PDHgt/status/1415050249974996994?ref_src=twsrc%5Etfw%7Ctwcamp%5Etweetembed%7Ctwterm%5E1415052293905518592%7Ctwgr%5E%7Ctwcon%5Es3_&amp;ref_url=https%3A%2F%2Flahora.gt%2Fpdh-tambien-acciona-en-la-cc-contra-giammattei-por-amenaza-de-estado-de-prevencion%2F" TargetMode="External"/><Relationship Id="rId302" Type="http://schemas.openxmlformats.org/officeDocument/2006/relationships/hyperlink" Target="https://twitter.com/PrensaComunitar/status/1443964303057596423?s=20" TargetMode="External"/><Relationship Id="rId323" Type="http://schemas.openxmlformats.org/officeDocument/2006/relationships/hyperlink" Target="https://www.oas.org/en/iachr/reports/pdfs/ViolenceWomenGirls-Annex1.pdf" TargetMode="External"/><Relationship Id="rId344" Type="http://schemas.openxmlformats.org/officeDocument/2006/relationships/hyperlink" Target="https://www.pdh.org.gt/comunicacion/noticias/pdh-participa-en-reunion-acerca-de-la-sobrepoblacion-en-los-hogares-de-la-sbs.html" TargetMode="External"/><Relationship Id="rId20" Type="http://schemas.openxmlformats.org/officeDocument/2006/relationships/hyperlink" Target="https://www.elespectador.com/mundo/america/guatemala-capturada-por-una-elite-corrupta/" TargetMode="External"/><Relationship Id="rId41" Type="http://schemas.openxmlformats.org/officeDocument/2006/relationships/hyperlink" Target="https://www.youtube.com/watch?v=y92R-_E9NKU" TargetMode="External"/><Relationship Id="rId62" Type="http://schemas.openxmlformats.org/officeDocument/2006/relationships/hyperlink" Target="https://independenciajudicial.org/el-congreso-cumple-dos-anos-de-retraso-en-la-eleccion-de-cortes-2/" TargetMode="External"/><Relationship Id="rId83" Type="http://schemas.openxmlformats.org/officeDocument/2006/relationships/hyperlink" Target="https://www.oas.org/es/cidh/defensores/docs/pdf/Justice-Operators-2013.pdf" TargetMode="External"/><Relationship Id="rId179" Type="http://schemas.openxmlformats.org/officeDocument/2006/relationships/hyperlink" Target="https://elperiodico.com.gt/nacionales/2021/07/04/un-netcenter-en-twitter-disemina-apoyo-al-presidente-giammattei-1/" TargetMode="External"/><Relationship Id="rId190" Type="http://schemas.openxmlformats.org/officeDocument/2006/relationships/hyperlink" Target="https://articulo19.org/wp-content/uploads/2021/05/Informe-Guatemala_WEB.pdf" TargetMode="External"/><Relationship Id="rId204" Type="http://schemas.openxmlformats.org/officeDocument/2006/relationships/hyperlink" Target="https://elperiodico.com.gt/nacionales/2021/01/19/medicos-renuncian-al-sistema-de-salud/" TargetMode="External"/><Relationship Id="rId225" Type="http://schemas.openxmlformats.org/officeDocument/2006/relationships/hyperlink" Target="https://prensa.gob.gt/comunicado/copadeh-cumple-un-ano-de-existir-institucionalmente-y-7-meses-en-funciones-fomentando" TargetMode="External"/><Relationship Id="rId246" Type="http://schemas.openxmlformats.org/officeDocument/2006/relationships/hyperlink" Target="https://www.oas.org/en/iachr/reports/pdfs/Guatemala2017-en.pdf" TargetMode="External"/><Relationship Id="rId267" Type="http://schemas.openxmlformats.org/officeDocument/2006/relationships/hyperlink" Target="https://bakfem.com/el-hacinamiento-en-las-carceles-continua-sin-que-se-implementen-mecanismos-alternativos-prensa-libre/" TargetMode="External"/><Relationship Id="rId288" Type="http://schemas.openxmlformats.org/officeDocument/2006/relationships/hyperlink" Target="https://www.minfin.gob.gt/images/downloads/leyes_acuerdos/DECRETO1-2020_220120.pdf" TargetMode="External"/><Relationship Id="rId106" Type="http://schemas.openxmlformats.org/officeDocument/2006/relationships/hyperlink" Target="https://rudagt.org/periodistas-narran-detencion-y-falta-de-informacion-a-comunidades-sobre-exhumacion/" TargetMode="External"/><Relationship Id="rId127" Type="http://schemas.openxmlformats.org/officeDocument/2006/relationships/hyperlink" Target="https://www.dw.com/es/periodistas-de-guatemala-denuncian-nuevos-seguimientos-y-ataques/a-57071358" TargetMode="External"/><Relationship Id="rId313" Type="http://schemas.openxmlformats.org/officeDocument/2006/relationships/hyperlink" Target="https://www.elpais.cr/2021/10/22/peligra-resistencia-qeqchi-a-proyecto-minero-fenix-en-guatemala/" TargetMode="External"/><Relationship Id="rId10" Type="http://schemas.openxmlformats.org/officeDocument/2006/relationships/hyperlink" Target="https://www.oas.org/en/iachr/docs/annual/2020/Chapters/IA2020cap.4A-en.pdf" TargetMode="External"/><Relationship Id="rId31" Type="http://schemas.openxmlformats.org/officeDocument/2006/relationships/hyperlink" Target="https://www.state.gov/u-s-releases-section-353-list-of-corrupt-and-undemocratic-actors-for-guatemala-honduras-and-el-salvador/" TargetMode="External"/><Relationship Id="rId52" Type="http://schemas.openxmlformats.org/officeDocument/2006/relationships/hyperlink" Target="https://independenciajudicial.org/wp-content/uploads/2021/05/IW-informe-anomalias-en-la-eleccion-de-la-CC-mayo-2021.pdf" TargetMode="External"/><Relationship Id="rId73" Type="http://schemas.openxmlformats.org/officeDocument/2006/relationships/hyperlink" Target="https://www.oas.org/es/cidh/defensores/docs/pdf/Justice-Operators-2013.pdf" TargetMode="External"/><Relationship Id="rId94" Type="http://schemas.openxmlformats.org/officeDocument/2006/relationships/hyperlink" Target="https://www.prensalibre.com/pl-plus/guatemala/politica/asi-funciona-la-comision-presidencial-por-la-paz-y-los-derechos-humanos" TargetMode="External"/><Relationship Id="rId148" Type="http://schemas.openxmlformats.org/officeDocument/2006/relationships/hyperlink" Target="https://www.prensacomunitaria.org/2021/06/violentan-mandato-constitucional-en-centro-medico-militar/" TargetMode="External"/><Relationship Id="rId169" Type="http://schemas.openxmlformats.org/officeDocument/2006/relationships/hyperlink" Target="https://s3.us-west-2.amazonaws.com/cdn.republica.gt/2021/08/006-EXTRAORDINARIA_4254-2021.pdf" TargetMode="External"/><Relationship Id="rId334" Type="http://schemas.openxmlformats.org/officeDocument/2006/relationships/hyperlink" Target="https://www.mp.gob.gt/transparencia///info/res/source/Articulo%2010:%20Informaci%C3%B3n%20P%C3%BAblica%20de%20Oficio/29%20Otra%20informacion/2021/TERCER%20INFORME%20MEMORIA-MP%202020-2021.pdf" TargetMode="External"/><Relationship Id="rId355" Type="http://schemas.openxmlformats.org/officeDocument/2006/relationships/hyperlink" Target="https://www.oas.org/en/iachr/reports/pdfs/ViolenceLGBTIPersons.pdf" TargetMode="External"/><Relationship Id="rId4" Type="http://schemas.openxmlformats.org/officeDocument/2006/relationships/hyperlink" Target="https://www.oas.org/en/iachr/decisions/pdf/Resolution-1-17-en.pdf" TargetMode="External"/><Relationship Id="rId180" Type="http://schemas.openxmlformats.org/officeDocument/2006/relationships/hyperlink" Target="https://www.soy502.com/articulo/apoyo-ficticio-giammattei-twitter-vacunas-100931" TargetMode="External"/><Relationship Id="rId215" Type="http://schemas.openxmlformats.org/officeDocument/2006/relationships/hyperlink" Target="https://lahora.gt/mas-de-80-organizaciones-piden-ratificar-acuerdo-de-escazu/" TargetMode="External"/><Relationship Id="rId236" Type="http://schemas.openxmlformats.org/officeDocument/2006/relationships/hyperlink" Target="https://www.oas.org/en/iachr/media_center/PReleases/2020/215.asp" TargetMode="External"/><Relationship Id="rId257" Type="http://schemas.openxmlformats.org/officeDocument/2006/relationships/hyperlink" Target="https://www.oas.org/en/iachr/reports/pdfs/Guatemala2017-en.pdf" TargetMode="External"/><Relationship Id="rId278" Type="http://schemas.openxmlformats.org/officeDocument/2006/relationships/hyperlink" Target="https://www.unhcr.org/en-us/statistics/unhcrstats/60b638e37/global-trends-forced-displacement-2020.html?query=" TargetMode="External"/><Relationship Id="rId303" Type="http://schemas.openxmlformats.org/officeDocument/2006/relationships/hyperlink" Target="https://twitter.com/CUCGuatemala/status/1443687211740893194?s=20" TargetMode="External"/><Relationship Id="rId42" Type="http://schemas.openxmlformats.org/officeDocument/2006/relationships/hyperlink" Target="https://lahora.gt/cang-convoca-a-eleccion-de-magistrado-titular-ante-la-cc/" TargetMode="External"/><Relationship Id="rId84" Type="http://schemas.openxmlformats.org/officeDocument/2006/relationships/hyperlink" Target="https://www.youtube.com/watch?v=y92R-_E9NKU" TargetMode="External"/><Relationship Id="rId138" Type="http://schemas.openxmlformats.org/officeDocument/2006/relationships/hyperlink" Target="https://www.oas.org/en/iachr/expression/showarticle.asp?artID=1216&amp;lID=1" TargetMode="External"/><Relationship Id="rId345" Type="http://schemas.openxmlformats.org/officeDocument/2006/relationships/hyperlink" Target="https://www.pdh.org.gt/comunicacion/noticias/pdh-recibe-ampliacion-de-denuncia-en-contra-de-hogar-a-cargo-de-la-sbs.html" TargetMode="External"/><Relationship Id="rId191" Type="http://schemas.openxmlformats.org/officeDocument/2006/relationships/hyperlink" Target="https://www.oas.org/en/iachr/expression/showarticle.asp?artID=1216&amp;lID=1" TargetMode="External"/><Relationship Id="rId205" Type="http://schemas.openxmlformats.org/officeDocument/2006/relationships/hyperlink" Target="https://germanwatch.org/sites/default/files/Global%20Climate%20Risk%20Index%202021_2.pdf" TargetMode="External"/><Relationship Id="rId247" Type="http://schemas.openxmlformats.org/officeDocument/2006/relationships/hyperlink" Target="https://www.oas.org/en/iachr/reports/pdfs/Criminalization2016.pdf" TargetMode="External"/><Relationship Id="rId107" Type="http://schemas.openxmlformats.org/officeDocument/2006/relationships/hyperlink" Target="https://www.pdh.org.gt/comunicacion/noticias/174-21-el-procurador-de-los-derechos-humanos-jordan-rodas-andrade-deplora-la-retencion-ilegal-del-periodista-jose-guarcas-en-el-contexto-de-una-diligencia-judicial-de-exhumacion-en-chiul-cunen-quiche-donde-fueron-masacrados-115-nino-en-1988.html" TargetMode="External"/><Relationship Id="rId289" Type="http://schemas.openxmlformats.org/officeDocument/2006/relationships/hyperlink" Target="https://legal.dca.gob.gt/GestionDocumento/VisualizarDocumento?verDocumentoPrevia=True&amp;versionImpresa=True&amp;doc=68902" TargetMode="External"/><Relationship Id="rId11" Type="http://schemas.openxmlformats.org/officeDocument/2006/relationships/hyperlink" Target="https://www.oas.org/en/media_center/press_release.asp?sCodigo=E-119/20" TargetMode="External"/><Relationship Id="rId53" Type="http://schemas.openxmlformats.org/officeDocument/2006/relationships/hyperlink" Target="https://twitter.com/JodyReporta/status/1382125272384815109?s=20" TargetMode="External"/><Relationship Id="rId149" Type="http://schemas.openxmlformats.org/officeDocument/2006/relationships/hyperlink" Target="https://pdh.org.gt/comunicacion/noticias/103-21-el-procurador-de-los-derechos-humanos-jordan-rodas-andrade-condena-la-obstruccion-del-libre-acceso-a-la-fuente-y-a-la-informacion-a-dos-periodistas-en-el-caso-de-la-primera-declaracion-publica-del-diario-militar-en-el-centro-medico-militar.html" TargetMode="External"/><Relationship Id="rId314" Type="http://schemas.openxmlformats.org/officeDocument/2006/relationships/hyperlink" Target="https://observatorio.mp.gob.gt/portal-estadistico/" TargetMode="External"/><Relationship Id="rId356" Type="http://schemas.openxmlformats.org/officeDocument/2006/relationships/hyperlink" Target="https://prensa.gob.gt/sites/default/files/2021-07/Pol%C3%ADtica%20P%C3%BAblica%20de%20Protecci%C3%B3n%20a%20la%20Vida%20y%20la%20Institucionalidad%20de%20la%20Familia.pdf" TargetMode="External"/><Relationship Id="rId95" Type="http://schemas.openxmlformats.org/officeDocument/2006/relationships/hyperlink" Target="https://elperiodico.com.gt/nacionales/2021/06/19/gobierno-paralizo-resarcimiento-a-victimas-del-conflicto-armado/" TargetMode="External"/><Relationship Id="rId160" Type="http://schemas.openxmlformats.org/officeDocument/2006/relationships/hyperlink" Target="https://www.bbc.com/mundo/noticias-america-latina-58021295" TargetMode="External"/><Relationship Id="rId216" Type="http://schemas.openxmlformats.org/officeDocument/2006/relationships/hyperlink" Target="https://www.oas.org/en/iachr/jsForm/?File=/en/iachr/media_center/preleases/2021/098.asp" TargetMode="External"/><Relationship Id="rId258" Type="http://schemas.openxmlformats.org/officeDocument/2006/relationships/hyperlink" Target="https://www.prisonstudies.org/highest-to-lowest/occupancy-level?field_region_taxonomy_tid=All" TargetMode="External"/><Relationship Id="rId22" Type="http://schemas.openxmlformats.org/officeDocument/2006/relationships/hyperlink" Target="https://www.nytimes.com/2021/08/24/world/americas/guatemala-corruption-migrants.html" TargetMode="External"/><Relationship Id="rId64" Type="http://schemas.openxmlformats.org/officeDocument/2006/relationships/hyperlink" Target="https://www.youtube.com/watch?v=y92R-_E9NKU" TargetMode="External"/><Relationship Id="rId118" Type="http://schemas.openxmlformats.org/officeDocument/2006/relationships/hyperlink" Target="https://www.pdh.org.gt/comunicacion/noticias/153-21-ante-la-demanda-penal-de-la-directora-del-instituto-nacional-de-la-victima-alejandra-carrillo-en-contra-del-diario-la-hora-amparandose-en-la-ley-contra-el-femicidio-y-otras-formas-de-violencia-contra-la-mujer-el-procurador-de-los-derechos-humanos-jordan-rodas-andrade-recomienda-a-las-autoridades-pertinentes-velar-por-el-debido-proceso-y-el-cumplimiento-estricto-de-la-ley-recordando-que-las-normas-que-protegen-a-las-mujeres-en-contextos-de-relaciones-desiguales-de-poder-no-se-deben-tergiversar-para-criminalizar-a-la-prensa-ni-eludir-la-rendicion-de-cuentas-de-funcionarias-y-dirigentes-politicas-con-obligaciones-publicas.html" TargetMode="External"/><Relationship Id="rId325" Type="http://schemas.openxmlformats.org/officeDocument/2006/relationships/hyperlink" Target="https://prensa.gob.gt/comunicado/guatemala-se-adhiere-al-consenso-de-ginebra-para-promover-la-salud-de-la-mujer-y-la" TargetMode="External"/><Relationship Id="rId171" Type="http://schemas.openxmlformats.org/officeDocument/2006/relationships/hyperlink" Target="https://lahora.gt/cc-otorga-amparo-por-manifestaciones-locomocion-tambien-debe-garantizarse/" TargetMode="External"/><Relationship Id="rId227" Type="http://schemas.openxmlformats.org/officeDocument/2006/relationships/hyperlink" Target="https://prensa.gob.gt/comunicado/copadeh-cumple-un-ano-de-existir-institucionalmente-y-7-meses-en-funciones-fomentando" TargetMode="External"/><Relationship Id="rId269" Type="http://schemas.openxmlformats.org/officeDocument/2006/relationships/hyperlink" Target="https://www.oas.org/en/iachr/reports/pdfs/PretrialDetention.pdf" TargetMode="External"/><Relationship Id="rId33" Type="http://schemas.openxmlformats.org/officeDocument/2006/relationships/hyperlink" Target="https://www.bbc.com/mundo/noticias-america-latina-58021295" TargetMode="External"/><Relationship Id="rId129" Type="http://schemas.openxmlformats.org/officeDocument/2006/relationships/hyperlink" Target="https://www.fidh.org/es/region/americas/guatemala/guatemala-persiste-el-hostigamiento-contra-los-periodistas-marvin-del" TargetMode="External"/><Relationship Id="rId280" Type="http://schemas.openxmlformats.org/officeDocument/2006/relationships/hyperlink" Target="https://www.cbp.gov/newsroom/stats/southwest-land-border-encounters" TargetMode="External"/><Relationship Id="rId336" Type="http://schemas.openxmlformats.org/officeDocument/2006/relationships/hyperlink" Target="https://conacmi.org/comunicado1deoctubre/" TargetMode="External"/><Relationship Id="rId75" Type="http://schemas.openxmlformats.org/officeDocument/2006/relationships/hyperlink" Target="https://www.oas.org/en/iachr/jsForm/?File=/en/iachr/media_center/preleases/2021/203.asp" TargetMode="External"/><Relationship Id="rId140" Type="http://schemas.openxmlformats.org/officeDocument/2006/relationships/hyperlink" Target="file:///C:/Users/fmelzi/AppData/Local/Microsoft/Windows/INetCache/Content.Outlook/2Q8SY0EG/DISPOSICI&#211;N-001-13-08-2021.pdf%20(sgp.gob.gt)" TargetMode="External"/><Relationship Id="rId182" Type="http://schemas.openxmlformats.org/officeDocument/2006/relationships/hyperlink" Target="https://www.plazapublica.com.gt/content/la-posicion-ambigua-de-tigo-tiene-los-derechos-sobre-la-banda-4g-pero-no-puede-usarlos-por" TargetMode="External"/><Relationship Id="rId6" Type="http://schemas.openxmlformats.org/officeDocument/2006/relationships/hyperlink" Target="https://www.oas.org/en/iachr/docs/annual/2019/docs/IA2019cap5GU-en.pdf" TargetMode="External"/><Relationship Id="rId238" Type="http://schemas.openxmlformats.org/officeDocument/2006/relationships/hyperlink" Target="https://lahora.gt/reportan-asesinato-de-integrante-de-codeca-en-jalapa-dos-fiscalias-investigan-el-hecho/" TargetMode="External"/><Relationship Id="rId291" Type="http://schemas.openxmlformats.org/officeDocument/2006/relationships/hyperlink" Target="http://www.oas.org/en/iachr/jsForm/?File=/en/iachr/media_center/preleases/2021/016.asp" TargetMode="External"/><Relationship Id="rId305" Type="http://schemas.openxmlformats.org/officeDocument/2006/relationships/hyperlink" Target="https://www.cuc.org.gt/web25/index.php?option=com_content&amp;view=article&amp;id=952:representantes-de-18-comunidades-de-la-sierra-de-santa-cruz-izabal-demandan-la-titulacion-de-su-territorio-al-estado-de-guatemala&amp;catid=13&amp;Itemid=122" TargetMode="External"/><Relationship Id="rId347" Type="http://schemas.openxmlformats.org/officeDocument/2006/relationships/hyperlink" Target="https://www.driadvocacy.org/still-at-risk-guatemala-2021/" TargetMode="External"/><Relationship Id="rId44" Type="http://schemas.openxmlformats.org/officeDocument/2006/relationships/hyperlink" Target="http://www.ricig.org/mp-solicita-antejuicio-contra-el-juez-mynor-moto-morataya/" TargetMode="External"/><Relationship Id="rId86" Type="http://schemas.openxmlformats.org/officeDocument/2006/relationships/hyperlink" Target="http://www.oas.org/en/iachr/jsForm/?File=/en/iachr/media_center/preleases/2021/065.asp" TargetMode="External"/><Relationship Id="rId151" Type="http://schemas.openxmlformats.org/officeDocument/2006/relationships/hyperlink" Target="https://elperiodico.com.gt/politica/congreso/2021/09/02/presidente-del-congreso-niega-acceso-a-periodista-de-el-periodico-a-rueda-de-prensa/" TargetMode="External"/><Relationship Id="rId193" Type="http://schemas.openxmlformats.org/officeDocument/2006/relationships/hyperlink" Target="https://www.fidh.org/es/temas/defensores-de-derechos-humanos/guatemala-fin-de-la-criminalizacion-de-anastasia-mejia-tiriquiz" TargetMode="External"/><Relationship Id="rId207" Type="http://schemas.openxmlformats.org/officeDocument/2006/relationships/hyperlink" Target="https://www.soy502.com/articulo/diez-mil-personas-son-evacuadas-tras-inundaciones-solola-101476" TargetMode="External"/><Relationship Id="rId249" Type="http://schemas.openxmlformats.org/officeDocument/2006/relationships/hyperlink" Target="https://www.oas.org/en/iachr/jsForm/?File=/en/iachr/media_center/preleases/2021/128.asp" TargetMode="External"/><Relationship Id="rId13" Type="http://schemas.openxmlformats.org/officeDocument/2006/relationships/hyperlink" Target="https://www.youtube.com/watch?v=y92R-_E9NKU" TargetMode="External"/><Relationship Id="rId109" Type="http://schemas.openxmlformats.org/officeDocument/2006/relationships/hyperlink" Target="https://sgp.gob.gt/wp-content/uploads/2021/10/DG-009-2021.pdf" TargetMode="External"/><Relationship Id="rId260" Type="http://schemas.openxmlformats.org/officeDocument/2006/relationships/hyperlink" Target="https://www.prisonstudies.org/country/guatemala" TargetMode="External"/><Relationship Id="rId316" Type="http://schemas.openxmlformats.org/officeDocument/2006/relationships/hyperlink" Target="https://www.oas.org/en/iachr/docs/annual/2020/Chapters/IA2020cap.4A-en.pdf" TargetMode="External"/><Relationship Id="rId55" Type="http://schemas.openxmlformats.org/officeDocument/2006/relationships/hyperlink" Target="http://www.oas.org/en/iachr/jsForm/?File=/en/iachr/media_center/preleases/2021/065.asp" TargetMode="External"/><Relationship Id="rId97" Type="http://schemas.openxmlformats.org/officeDocument/2006/relationships/hyperlink" Target="https://www.ifj.org/media-centre/news/detail/category/press-releases/article/guatemala-asesinaron-al-activista-y-periodista-independiente-frank-stalyn-ramazzini.html" TargetMode="External"/><Relationship Id="rId120" Type="http://schemas.openxmlformats.org/officeDocument/2006/relationships/hyperlink" Target="https://www.dw.com/es/asociaci%C3%B3n-de-periodistas-de-guatemala-condena-acoso-judicial-contra-la-hora/a-59010237" TargetMode="External"/><Relationship Id="rId162" Type="http://schemas.openxmlformats.org/officeDocument/2006/relationships/hyperlink" Target="https://www.telesurtv.net/news/guatemala-campesinos-renuncia-presidente-giammattei-20210810-0017.html" TargetMode="External"/><Relationship Id="rId218" Type="http://schemas.openxmlformats.org/officeDocument/2006/relationships/hyperlink" Target="https://www.oas.org/es/CIDH/jsForm/?File=/es/cidh/prensa/comunicados/2021/293.asp" TargetMode="External"/><Relationship Id="rId271" Type="http://schemas.openxmlformats.org/officeDocument/2006/relationships/hyperlink" Target="https://www.oas.org/en/iachr/pdl/reports/pdfs/Report-PD-2013-en.pdf" TargetMode="External"/><Relationship Id="rId24" Type="http://schemas.openxmlformats.org/officeDocument/2006/relationships/hyperlink" Target="https://www.fidh.org/es/region/americas/guatemala/guatemala-destitucion-del-fiscal-especial-contra-la-impunidad-una" TargetMode="External"/><Relationship Id="rId66" Type="http://schemas.openxmlformats.org/officeDocument/2006/relationships/hyperlink" Target="https://www.youtube.com/watch?v=y92R-_E9NKU" TargetMode="External"/><Relationship Id="rId131" Type="http://schemas.openxmlformats.org/officeDocument/2006/relationships/hyperlink" Target="https://rsf.org/es/noticias/guatemala-rsf-condena-las-difamaciones-y-amenazas-contra-el-periodista-espanol-asier-vera-1" TargetMode="External"/><Relationship Id="rId327" Type="http://schemas.openxmlformats.org/officeDocument/2006/relationships/hyperlink" Target="http://ww2.oj.gob.gt/es/QueEsOJ/EstructuraOJ/UnidadesAdministrativas/CentroAnalisisDocumentacionJudicial/cds/CDs%20compilaciones/Compilacion%20Leyes%20Penales/expedientes/01_CodigoPenal.pdf" TargetMode="External"/><Relationship Id="rId173" Type="http://schemas.openxmlformats.org/officeDocument/2006/relationships/hyperlink" Target="https://republica.gt/2021/09/28/diez-policias-heridos-durante-desalojo-en-bloqueo-de-cuyotenango-suchitepequez/" TargetMode="External"/><Relationship Id="rId229" Type="http://schemas.openxmlformats.org/officeDocument/2006/relationships/hyperlink" Target="https://www.prensacomunitaria.org/2021/06/victimas-del-conflicto-armado-interno-rechazan-proyecto-de-ley-que-busca-amnistia-para-militares/" TargetMode="External"/><Relationship Id="rId240" Type="http://schemas.openxmlformats.org/officeDocument/2006/relationships/hyperlink" Target="https://www.amnesty.org/en/documents/amr34/3572/2021/en/" TargetMode="External"/><Relationship Id="rId35" Type="http://schemas.openxmlformats.org/officeDocument/2006/relationships/hyperlink" Target="https://worldjusticeproject.org/our-work/research-and-data/wjp-rule-law-index-2021" TargetMode="External"/><Relationship Id="rId77" Type="http://schemas.openxmlformats.org/officeDocument/2006/relationships/hyperlink" Target="https://www.prensalibre.com/guatemala/justicia/cc-ratifica-decision-de-reactivar-juicio-contra-jueza-erika-aifan-breaking/" TargetMode="External"/><Relationship Id="rId100" Type="http://schemas.openxmlformats.org/officeDocument/2006/relationships/hyperlink" Target="https://lahora.gt/indignacion-y-pedidos-de-investigacion-causa-asesinato-de-frank-ramazzini/" TargetMode="External"/><Relationship Id="rId282" Type="http://schemas.openxmlformats.org/officeDocument/2006/relationships/hyperlink" Target="https://oi-files-cng-prod.s3.amazonaws.com/lac.oxfam.org/s3fs-public/file_attachments/Faces%20of%20hunger%20in%20Central%20America.pdf" TargetMode="External"/><Relationship Id="rId338" Type="http://schemas.openxmlformats.org/officeDocument/2006/relationships/hyperlink" Target="https://conacmi.org/comunicado1deoctubre/" TargetMode="External"/><Relationship Id="rId8" Type="http://schemas.openxmlformats.org/officeDocument/2006/relationships/hyperlink" Target="https://twitter.com/GuatemalaGob/status/1330665722473836545?s=20" TargetMode="External"/><Relationship Id="rId142" Type="http://schemas.openxmlformats.org/officeDocument/2006/relationships/hyperlink" Target="file:///C:/Users/fmelzi/AppData/Local/Microsoft/Windows/INetCache/Content.Outlook/2Q8SY0EG/DISPOSICI&#211;N-002-21-08-2021-1.pdf%20(sgp.gob.gt)" TargetMode="External"/><Relationship Id="rId184" Type="http://schemas.openxmlformats.org/officeDocument/2006/relationships/hyperlink" Target="https://www.prensalibre.com/economia/dos-recursos-se-cruzan-en-el-proceso-para-subastar-la-red-4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2.xml><?xml version="1.0" encoding="utf-8"?>
<ds:datastoreItem xmlns:ds="http://schemas.openxmlformats.org/officeDocument/2006/customXml" ds:itemID="{F6875959-3248-4776-8BD3-80118028C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0A20A-434F-4838-93D5-8CA5C50E18AE}">
  <ds:schemaRefs>
    <ds:schemaRef ds:uri="http://schemas.microsoft.com/sharepoint/v3/contenttype/forms"/>
  </ds:schemaRefs>
</ds:datastoreItem>
</file>

<file path=customXml/itemProps4.xml><?xml version="1.0" encoding="utf-8"?>
<ds:datastoreItem xmlns:ds="http://schemas.openxmlformats.org/officeDocument/2006/customXml" ds:itemID="{2C6A8D28-2BEA-4CD5-BCF7-E7826CDE7DE3}"/>
</file>

<file path=docProps/app.xml><?xml version="1.0" encoding="utf-8"?>
<Properties xmlns="http://schemas.openxmlformats.org/officeDocument/2006/extended-properties" xmlns:vt="http://schemas.openxmlformats.org/officeDocument/2006/docPropsVTypes">
  <Template>Normal</Template>
  <TotalTime>0</TotalTime>
  <Pages>71</Pages>
  <Words>32158</Words>
  <Characters>183305</Characters>
  <Application>Microsoft Office Word</Application>
  <DocSecurity>0</DocSecurity>
  <Lines>1527</Lines>
  <Paragraphs>430</Paragraphs>
  <ScaleCrop>false</ScaleCrop>
  <HeadingPairs>
    <vt:vector size="2" baseType="variant">
      <vt:variant>
        <vt:lpstr>Title</vt:lpstr>
      </vt:variant>
      <vt:variant>
        <vt:i4>1</vt:i4>
      </vt:variant>
    </vt:vector>
  </HeadingPairs>
  <TitlesOfParts>
    <vt:vector size="1" baseType="lpstr">
      <vt:lpstr>Annual Report 2021, Chapter IV.B Guatemala</vt:lpstr>
    </vt:vector>
  </TitlesOfParts>
  <Company/>
  <LinksUpToDate>false</LinksUpToDate>
  <CharactersWithSpaces>215033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2021, Chapter IV.B Guatemala</dc:title>
  <dc:subject/>
  <dc:creator/>
  <cp:keywords/>
  <dc:description/>
  <cp:lastModifiedBy/>
  <cp:revision>1</cp:revision>
  <dcterms:created xsi:type="dcterms:W3CDTF">2022-05-26T15:59:00Z</dcterms:created>
  <dcterms:modified xsi:type="dcterms:W3CDTF">2022-05-26T15:59:00Z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